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247028" w14:textId="77777777" w:rsidR="000B228E" w:rsidRDefault="000B228E" w:rsidP="00BC5E29">
      <w:pPr>
        <w:pStyle w:val="Heading1"/>
        <w:numPr>
          <w:ilvl w:val="0"/>
          <w:numId w:val="0"/>
        </w:numPr>
        <w:pBdr>
          <w:bottom w:val="none" w:sz="0" w:space="0" w:color="auto"/>
        </w:pBdr>
        <w:spacing w:after="360"/>
        <w:ind w:left="788"/>
        <w:jc w:val="center"/>
        <w:rPr>
          <w:rFonts w:ascii="Arial" w:hAnsi="Arial" w:cs="Arial"/>
          <w:b/>
          <w:bCs/>
          <w:color w:val="000080"/>
          <w:sz w:val="36"/>
          <w:szCs w:val="36"/>
        </w:rPr>
      </w:pPr>
      <w:r>
        <w:rPr>
          <w:rFonts w:ascii="Arial" w:hAnsi="Arial" w:cs="Arial"/>
          <w:b/>
          <w:bCs/>
          <w:color w:val="000080"/>
          <w:sz w:val="36"/>
          <w:szCs w:val="36"/>
        </w:rPr>
        <w:t>Medical Services Advisory Committee (MSAC)</w:t>
      </w:r>
      <w:r>
        <w:rPr>
          <w:rFonts w:ascii="Arial" w:hAnsi="Arial" w:cs="Arial"/>
          <w:b/>
          <w:bCs/>
          <w:color w:val="000080"/>
          <w:sz w:val="36"/>
          <w:szCs w:val="36"/>
        </w:rPr>
        <w:br/>
      </w:r>
      <w:r w:rsidRPr="00F76D74">
        <w:rPr>
          <w:rFonts w:ascii="Arial" w:hAnsi="Arial" w:cs="Arial"/>
          <w:b/>
          <w:bCs/>
          <w:color w:val="000080"/>
          <w:sz w:val="36"/>
          <w:szCs w:val="36"/>
        </w:rPr>
        <w:t>Public Summary Document</w:t>
      </w:r>
    </w:p>
    <w:p w14:paraId="2872926B" w14:textId="10F285F4" w:rsidR="0025692F" w:rsidRDefault="00772829" w:rsidP="00515AC2">
      <w:pPr>
        <w:pStyle w:val="Subtitle"/>
      </w:pPr>
      <w:r w:rsidRPr="00CE28E3">
        <w:t xml:space="preserve">Application No. </w:t>
      </w:r>
      <w:r w:rsidR="00787D07" w:rsidRPr="001A0EB7">
        <w:t>1744</w:t>
      </w:r>
      <w:r w:rsidRPr="001A0EB7">
        <w:t xml:space="preserve"> – </w:t>
      </w:r>
      <w:r w:rsidR="00FA27EC" w:rsidRPr="000D4A1C">
        <w:rPr>
          <w:rFonts w:ascii="Arial Bold" w:hAnsi="Arial Bold"/>
          <w:vertAlign w:val="superscript"/>
        </w:rPr>
        <w:t>177</w:t>
      </w:r>
      <w:r w:rsidR="00FA27EC" w:rsidRPr="00FA27EC">
        <w:t>Lutetium</w:t>
      </w:r>
      <w:r w:rsidR="00DB483D" w:rsidRPr="001A0EB7">
        <w:t>-</w:t>
      </w:r>
      <w:r w:rsidR="00607D95">
        <w:t xml:space="preserve">DOTA-octreotate </w:t>
      </w:r>
      <w:r w:rsidR="00FA27EC" w:rsidRPr="00FA27EC">
        <w:t xml:space="preserve">treatment for advanced neuroendocrine </w:t>
      </w:r>
      <w:r w:rsidR="00DB483D" w:rsidRPr="001A0EB7">
        <w:t>neoplasms with</w:t>
      </w:r>
      <w:r w:rsidR="00FA27EC" w:rsidRPr="00FA27EC">
        <w:t xml:space="preserve"> high somatostatin receptor </w:t>
      </w:r>
      <w:r w:rsidR="00DB483D" w:rsidRPr="001A0EB7">
        <w:t>expression</w:t>
      </w:r>
    </w:p>
    <w:p w14:paraId="0776D8FF" w14:textId="26F0F58E" w:rsidR="00D934CD" w:rsidRPr="00D934CD" w:rsidRDefault="00D934CD" w:rsidP="000B228E">
      <w:pPr>
        <w:tabs>
          <w:tab w:val="left" w:pos="3686"/>
        </w:tabs>
        <w:spacing w:after="240"/>
        <w:rPr>
          <w:rFonts w:ascii="Arial" w:eastAsia="Times New Roman" w:hAnsi="Arial" w:cs="Arial"/>
          <w:b/>
          <w:bCs/>
          <w:color w:val="000000"/>
          <w:szCs w:val="20"/>
          <w:lang w:eastAsia="en-AU"/>
        </w:rPr>
      </w:pPr>
      <w:bookmarkStart w:id="0" w:name="_Toc161841928"/>
      <w:bookmarkStart w:id="1" w:name="_Toc165275513"/>
      <w:r w:rsidRPr="00D934CD">
        <w:rPr>
          <w:rFonts w:ascii="Arial" w:eastAsia="Times New Roman" w:hAnsi="Arial" w:cs="Arial"/>
          <w:b/>
          <w:bCs/>
          <w:color w:val="000000"/>
          <w:szCs w:val="20"/>
          <w:lang w:eastAsia="en-AU"/>
        </w:rPr>
        <w:t>Applicant:</w:t>
      </w:r>
      <w:r w:rsidRPr="00D934CD">
        <w:rPr>
          <w:rFonts w:ascii="Arial" w:eastAsia="Times New Roman" w:hAnsi="Arial" w:cs="Arial"/>
          <w:b/>
          <w:bCs/>
          <w:color w:val="000000"/>
          <w:szCs w:val="20"/>
          <w:lang w:eastAsia="en-AU"/>
        </w:rPr>
        <w:tab/>
        <w:t>Applied Molecular Therapies (AMT) Pty Ltd</w:t>
      </w:r>
    </w:p>
    <w:p w14:paraId="756F7118" w14:textId="0FEACC84" w:rsidR="00D934CD" w:rsidRPr="00D934CD" w:rsidRDefault="00D934CD" w:rsidP="00BE0C24">
      <w:pPr>
        <w:tabs>
          <w:tab w:val="left" w:pos="3686"/>
        </w:tabs>
        <w:spacing w:before="320" w:after="240"/>
        <w:ind w:left="3600" w:hanging="3600"/>
        <w:rPr>
          <w:rFonts w:ascii="Arial" w:eastAsia="Times New Roman" w:hAnsi="Arial" w:cs="Arial"/>
          <w:b/>
          <w:bCs/>
          <w:color w:val="000000"/>
          <w:szCs w:val="20"/>
          <w:lang w:eastAsia="en-AU"/>
        </w:rPr>
      </w:pPr>
      <w:r w:rsidRPr="00D934CD">
        <w:rPr>
          <w:rFonts w:ascii="Arial" w:eastAsia="Times New Roman" w:hAnsi="Arial" w:cs="Arial"/>
          <w:b/>
          <w:bCs/>
          <w:color w:val="000000"/>
          <w:szCs w:val="20"/>
          <w:lang w:eastAsia="en-AU"/>
        </w:rPr>
        <w:t xml:space="preserve">Date of </w:t>
      </w:r>
      <w:r w:rsidR="000B228E">
        <w:rPr>
          <w:rFonts w:ascii="Arial" w:eastAsia="Times New Roman" w:hAnsi="Arial" w:cs="Arial"/>
          <w:b/>
          <w:bCs/>
          <w:color w:val="000000"/>
          <w:szCs w:val="20"/>
          <w:lang w:eastAsia="en-AU"/>
        </w:rPr>
        <w:t>MSAC</w:t>
      </w:r>
      <w:r w:rsidRPr="00D934CD">
        <w:rPr>
          <w:rFonts w:ascii="Arial" w:eastAsia="Times New Roman" w:hAnsi="Arial" w:cs="Arial"/>
          <w:b/>
          <w:bCs/>
          <w:color w:val="000000"/>
          <w:szCs w:val="20"/>
          <w:lang w:eastAsia="en-AU"/>
        </w:rPr>
        <w:t xml:space="preserve"> consideration:</w:t>
      </w:r>
      <w:r w:rsidRPr="00D934CD">
        <w:rPr>
          <w:rFonts w:ascii="Arial" w:eastAsia="Times New Roman" w:hAnsi="Arial" w:cs="Arial"/>
          <w:b/>
          <w:bCs/>
          <w:color w:val="000000"/>
          <w:szCs w:val="20"/>
          <w:lang w:eastAsia="en-AU"/>
        </w:rPr>
        <w:tab/>
      </w:r>
      <w:r w:rsidR="00BE0C24">
        <w:rPr>
          <w:rFonts w:ascii="Arial" w:eastAsia="Times New Roman" w:hAnsi="Arial" w:cs="Arial"/>
          <w:b/>
          <w:bCs/>
          <w:color w:val="000000"/>
          <w:szCs w:val="20"/>
          <w:lang w:eastAsia="en-AU"/>
        </w:rPr>
        <w:t>29 November 2024</w:t>
      </w:r>
      <w:r w:rsidR="00BE0C24">
        <w:rPr>
          <w:rFonts w:ascii="Arial" w:eastAsia="Times New Roman" w:hAnsi="Arial" w:cs="Arial"/>
          <w:b/>
          <w:bCs/>
          <w:color w:val="000000"/>
          <w:szCs w:val="20"/>
          <w:lang w:eastAsia="en-AU"/>
        </w:rPr>
        <w:br/>
      </w:r>
      <w:r w:rsidR="000B228E">
        <w:rPr>
          <w:rFonts w:ascii="Arial" w:eastAsia="Times New Roman" w:hAnsi="Arial" w:cs="Arial"/>
          <w:b/>
          <w:bCs/>
          <w:color w:val="000000"/>
          <w:szCs w:val="20"/>
          <w:lang w:eastAsia="en-AU"/>
        </w:rPr>
        <w:t>1-2 August</w:t>
      </w:r>
      <w:r w:rsidRPr="00D934CD">
        <w:rPr>
          <w:rFonts w:ascii="Arial" w:eastAsia="Times New Roman" w:hAnsi="Arial" w:cs="Arial"/>
          <w:b/>
          <w:bCs/>
          <w:color w:val="000000"/>
          <w:szCs w:val="20"/>
          <w:lang w:eastAsia="en-AU"/>
        </w:rPr>
        <w:t xml:space="preserve"> 2024</w:t>
      </w:r>
    </w:p>
    <w:p w14:paraId="3C12774A" w14:textId="77777777" w:rsidR="000B228E" w:rsidRPr="00415A9B" w:rsidRDefault="000B228E" w:rsidP="000B228E">
      <w:pPr>
        <w:rPr>
          <w:color w:val="0000FF"/>
          <w:szCs w:val="24"/>
          <w:u w:val="single"/>
        </w:rPr>
      </w:pPr>
      <w:r w:rsidRPr="00F715D1">
        <w:rPr>
          <w:szCs w:val="24"/>
        </w:rPr>
        <w:t>Context for decision: MSAC makes its advice in accordance wit</w:t>
      </w:r>
      <w:r>
        <w:rPr>
          <w:szCs w:val="24"/>
        </w:rPr>
        <w:t>h its Terms of Reference,</w:t>
      </w:r>
      <w:r w:rsidRPr="00F715D1">
        <w:rPr>
          <w:szCs w:val="24"/>
        </w:rPr>
        <w:t xml:space="preserve"> </w:t>
      </w:r>
      <w:hyperlink r:id="rId11" w:tooltip="Link to Medical Services Advisory Committee website" w:history="1">
        <w:r w:rsidRPr="00F715D1">
          <w:rPr>
            <w:rStyle w:val="Hyperlink"/>
            <w:szCs w:val="24"/>
          </w:rPr>
          <w:t>visit the MSAC website</w:t>
        </w:r>
      </w:hyperlink>
    </w:p>
    <w:p w14:paraId="7EAA7262" w14:textId="26997A7E" w:rsidR="00772829" w:rsidRPr="00CE28E3" w:rsidRDefault="00C36633" w:rsidP="00C36633">
      <w:pPr>
        <w:pStyle w:val="Heading2"/>
        <w:numPr>
          <w:ilvl w:val="0"/>
          <w:numId w:val="0"/>
        </w:numPr>
      </w:pPr>
      <w:r>
        <w:t>1.</w:t>
      </w:r>
      <w:r>
        <w:tab/>
      </w:r>
      <w:r w:rsidR="00772829" w:rsidRPr="00CE28E3">
        <w:t xml:space="preserve">Purpose </w:t>
      </w:r>
      <w:r w:rsidR="00772829" w:rsidRPr="00CE28E3">
        <w:rPr>
          <w:szCs w:val="32"/>
        </w:rPr>
        <w:t>of</w:t>
      </w:r>
      <w:r w:rsidR="00772829" w:rsidRPr="00CE28E3">
        <w:t xml:space="preserve"> application</w:t>
      </w:r>
      <w:bookmarkEnd w:id="0"/>
      <w:bookmarkEnd w:id="1"/>
    </w:p>
    <w:p w14:paraId="2E964B78" w14:textId="0B1108F3" w:rsidR="00771A72" w:rsidRDefault="00C5159E" w:rsidP="00771A72">
      <w:pPr>
        <w:spacing w:after="240"/>
        <w:rPr>
          <w:color w:val="000000" w:themeColor="text1"/>
        </w:rPr>
      </w:pPr>
      <w:bookmarkStart w:id="2" w:name="_Hlk69734469"/>
      <w:r>
        <w:rPr>
          <w:iCs/>
        </w:rPr>
        <w:t xml:space="preserve">An </w:t>
      </w:r>
      <w:r w:rsidR="004F3649">
        <w:rPr>
          <w:iCs/>
        </w:rPr>
        <w:t xml:space="preserve">application was received </w:t>
      </w:r>
      <w:r w:rsidR="00CC5715" w:rsidRPr="00C06124">
        <w:rPr>
          <w:iCs/>
        </w:rPr>
        <w:t>from Applied Molecular Therapies (AMT) Pty Ltd by the Department of Health</w:t>
      </w:r>
      <w:r w:rsidR="00E15EB7">
        <w:rPr>
          <w:iCs/>
        </w:rPr>
        <w:t xml:space="preserve"> and Aged Care</w:t>
      </w:r>
      <w:r w:rsidR="00CC5715" w:rsidRPr="00C06124">
        <w:rPr>
          <w:iCs/>
        </w:rPr>
        <w:t xml:space="preserve">, requesting </w:t>
      </w:r>
      <w:r w:rsidR="00FB3431">
        <w:rPr>
          <w:iCs/>
        </w:rPr>
        <w:t>Medicare Benefits Schedule (</w:t>
      </w:r>
      <w:r w:rsidR="00CC5715" w:rsidRPr="00C06124">
        <w:rPr>
          <w:iCs/>
        </w:rPr>
        <w:t>MBS</w:t>
      </w:r>
      <w:r w:rsidR="00FB3431">
        <w:rPr>
          <w:iCs/>
        </w:rPr>
        <w:t>)</w:t>
      </w:r>
      <w:r w:rsidR="00CC5715">
        <w:rPr>
          <w:iCs/>
        </w:rPr>
        <w:t xml:space="preserve"> listing of </w:t>
      </w:r>
      <w:r w:rsidR="00461E09" w:rsidRPr="00EE774C">
        <w:rPr>
          <w:vertAlign w:val="superscript"/>
        </w:rPr>
        <w:t>177</w:t>
      </w:r>
      <w:r w:rsidR="000F10D3" w:rsidRPr="21328503">
        <w:rPr>
          <w:lang w:val="en-US"/>
        </w:rPr>
        <w:t>Lutetium</w:t>
      </w:r>
      <w:r w:rsidR="00EB2EB7">
        <w:rPr>
          <w:iCs/>
        </w:rPr>
        <w:t xml:space="preserve"> (no carrier added)</w:t>
      </w:r>
      <w:r w:rsidR="00461E09" w:rsidRPr="00461E09">
        <w:rPr>
          <w:iCs/>
        </w:rPr>
        <w:t>-</w:t>
      </w:r>
      <w:r w:rsidR="00607D95">
        <w:rPr>
          <w:iCs/>
        </w:rPr>
        <w:t>DOTA-</w:t>
      </w:r>
      <w:proofErr w:type="spellStart"/>
      <w:r w:rsidR="00607D95">
        <w:rPr>
          <w:iCs/>
        </w:rPr>
        <w:t>octreotate</w:t>
      </w:r>
      <w:proofErr w:type="spellEnd"/>
      <w:r w:rsidR="00607D95">
        <w:rPr>
          <w:iCs/>
        </w:rPr>
        <w:t xml:space="preserve"> </w:t>
      </w:r>
      <w:r w:rsidR="008017BD">
        <w:rPr>
          <w:iCs/>
        </w:rPr>
        <w:t>(</w:t>
      </w:r>
      <w:r w:rsidR="00EB2EB7" w:rsidRPr="00EE774C">
        <w:rPr>
          <w:iCs/>
          <w:vertAlign w:val="superscript"/>
        </w:rPr>
        <w:t>177</w:t>
      </w:r>
      <w:r w:rsidR="00EB2EB7" w:rsidRPr="00461E09">
        <w:rPr>
          <w:iCs/>
        </w:rPr>
        <w:t>Lu</w:t>
      </w:r>
      <w:r w:rsidR="008017BD">
        <w:rPr>
          <w:iCs/>
        </w:rPr>
        <w:t xml:space="preserve"> </w:t>
      </w:r>
      <w:r w:rsidR="00461E09" w:rsidRPr="00461E09">
        <w:rPr>
          <w:iCs/>
        </w:rPr>
        <w:t>(</w:t>
      </w:r>
      <w:proofErr w:type="spellStart"/>
      <w:r w:rsidR="00461E09" w:rsidRPr="00461E09">
        <w:rPr>
          <w:iCs/>
        </w:rPr>
        <w:t>nca</w:t>
      </w:r>
      <w:proofErr w:type="spellEnd"/>
      <w:r w:rsidR="00461E09" w:rsidRPr="00461E09">
        <w:rPr>
          <w:iCs/>
        </w:rPr>
        <w:t>)-</w:t>
      </w:r>
      <w:r w:rsidR="00607D95">
        <w:rPr>
          <w:iCs/>
        </w:rPr>
        <w:t>DOTA-</w:t>
      </w:r>
      <w:proofErr w:type="spellStart"/>
      <w:r w:rsidR="00607D95">
        <w:rPr>
          <w:iCs/>
        </w:rPr>
        <w:t>octreotate</w:t>
      </w:r>
      <w:proofErr w:type="spellEnd"/>
      <w:r w:rsidR="008017BD">
        <w:rPr>
          <w:iCs/>
        </w:rPr>
        <w:t>)</w:t>
      </w:r>
      <w:r w:rsidR="00461E09" w:rsidRPr="00461E09">
        <w:rPr>
          <w:iCs/>
        </w:rPr>
        <w:t xml:space="preserve"> for the treatment of advanced neuroendocrine </w:t>
      </w:r>
      <w:r w:rsidR="0059745E">
        <w:rPr>
          <w:iCs/>
        </w:rPr>
        <w:t>neopl</w:t>
      </w:r>
      <w:r w:rsidR="006B7A12">
        <w:rPr>
          <w:iCs/>
        </w:rPr>
        <w:t>asms</w:t>
      </w:r>
      <w:r w:rsidR="00461E09" w:rsidRPr="00461E09">
        <w:rPr>
          <w:iCs/>
          <w:color w:val="000000" w:themeColor="text1"/>
        </w:rPr>
        <w:t xml:space="preserve"> </w:t>
      </w:r>
      <w:r w:rsidR="007F3BE6">
        <w:rPr>
          <w:iCs/>
          <w:color w:val="000000" w:themeColor="text1"/>
        </w:rPr>
        <w:t>(NE</w:t>
      </w:r>
      <w:r w:rsidR="00775CB5">
        <w:rPr>
          <w:iCs/>
          <w:color w:val="000000" w:themeColor="text1"/>
        </w:rPr>
        <w:t>T</w:t>
      </w:r>
      <w:r w:rsidR="007F3BE6">
        <w:rPr>
          <w:iCs/>
          <w:color w:val="000000" w:themeColor="text1"/>
        </w:rPr>
        <w:t xml:space="preserve">s) </w:t>
      </w:r>
      <w:r w:rsidR="00461E09" w:rsidRPr="00C06124">
        <w:rPr>
          <w:iCs/>
          <w:color w:val="000000" w:themeColor="text1"/>
        </w:rPr>
        <w:t>with high somatostatin receptor (H-SSTR) expression</w:t>
      </w:r>
      <w:r w:rsidR="00461E09">
        <w:rPr>
          <w:iCs/>
          <w:color w:val="000000" w:themeColor="text1"/>
        </w:rPr>
        <w:t>.</w:t>
      </w:r>
      <w:r w:rsidR="00EB1C5E">
        <w:rPr>
          <w:iCs/>
          <w:color w:val="000000" w:themeColor="text1"/>
        </w:rPr>
        <w:t xml:space="preserve"> </w:t>
      </w:r>
      <w:r w:rsidR="00165A59">
        <w:rPr>
          <w:iCs/>
          <w:color w:val="000000" w:themeColor="text1"/>
        </w:rPr>
        <w:t xml:space="preserve">As </w:t>
      </w:r>
      <w:r w:rsidR="00892030">
        <w:rPr>
          <w:iCs/>
          <w:color w:val="000000" w:themeColor="text1"/>
        </w:rPr>
        <w:t xml:space="preserve">noted in the ratified </w:t>
      </w:r>
      <w:r w:rsidR="003D1ED3">
        <w:rPr>
          <w:iCs/>
          <w:color w:val="000000" w:themeColor="text1"/>
        </w:rPr>
        <w:t>PICO</w:t>
      </w:r>
      <w:r w:rsidR="0077631A">
        <w:rPr>
          <w:iCs/>
          <w:color w:val="000000" w:themeColor="text1"/>
        </w:rPr>
        <w:t xml:space="preserve"> </w:t>
      </w:r>
      <w:r w:rsidR="0077631A">
        <w:t>(Population, Intervention, Comparator, Outcomes)</w:t>
      </w:r>
      <w:r w:rsidR="003D1ED3">
        <w:rPr>
          <w:iCs/>
          <w:color w:val="000000" w:themeColor="text1"/>
        </w:rPr>
        <w:t xml:space="preserve">, </w:t>
      </w:r>
      <w:r w:rsidR="00775CB5">
        <w:rPr>
          <w:iCs/>
          <w:color w:val="000000" w:themeColor="text1"/>
        </w:rPr>
        <w:t>NETs</w:t>
      </w:r>
      <w:r w:rsidR="00E123AE">
        <w:rPr>
          <w:iCs/>
          <w:color w:val="000000" w:themeColor="text1"/>
        </w:rPr>
        <w:t xml:space="preserve"> have been recently reclassified as neuroendocrine neoplasms (NENs), and these terms are used interchangeably in the assessment report. </w:t>
      </w:r>
      <w:r w:rsidR="007D66CB">
        <w:rPr>
          <w:iCs/>
          <w:color w:val="000000" w:themeColor="text1"/>
        </w:rPr>
        <w:t>In general,</w:t>
      </w:r>
      <w:r w:rsidR="00771A72">
        <w:rPr>
          <w:iCs/>
          <w:color w:val="000000" w:themeColor="text1"/>
        </w:rPr>
        <w:t xml:space="preserve"> the term NEN is preferred except when referring to a specific reference</w:t>
      </w:r>
      <w:r w:rsidR="002C69CC">
        <w:rPr>
          <w:iCs/>
          <w:color w:val="000000" w:themeColor="text1"/>
        </w:rPr>
        <w:t>, study,</w:t>
      </w:r>
      <w:r w:rsidR="00771A72">
        <w:rPr>
          <w:iCs/>
          <w:color w:val="000000" w:themeColor="text1"/>
        </w:rPr>
        <w:t xml:space="preserve"> or trial inclusion/exclusion criteria, where the term NET </w:t>
      </w:r>
      <w:r w:rsidR="00D23674">
        <w:rPr>
          <w:iCs/>
          <w:color w:val="000000" w:themeColor="text1"/>
        </w:rPr>
        <w:t>may be</w:t>
      </w:r>
      <w:r w:rsidR="00771A72">
        <w:rPr>
          <w:iCs/>
          <w:color w:val="000000" w:themeColor="text1"/>
        </w:rPr>
        <w:t xml:space="preserve"> used.</w:t>
      </w:r>
    </w:p>
    <w:p w14:paraId="40719EC1" w14:textId="0887A6FC" w:rsidR="009F5336" w:rsidRPr="00C06124" w:rsidRDefault="00740400" w:rsidP="0039778A">
      <w:pPr>
        <w:spacing w:after="240"/>
      </w:pPr>
      <w:r>
        <w:rPr>
          <w:iCs/>
          <w:color w:val="000000" w:themeColor="text1"/>
        </w:rPr>
        <w:t>The application also request</w:t>
      </w:r>
      <w:r w:rsidR="00D9592E">
        <w:rPr>
          <w:iCs/>
          <w:color w:val="000000" w:themeColor="text1"/>
        </w:rPr>
        <w:t>ed</w:t>
      </w:r>
      <w:r>
        <w:rPr>
          <w:iCs/>
          <w:color w:val="000000" w:themeColor="text1"/>
        </w:rPr>
        <w:t xml:space="preserve"> </w:t>
      </w:r>
      <w:r w:rsidR="0039778A">
        <w:rPr>
          <w:iCs/>
          <w:color w:val="000000" w:themeColor="text1"/>
        </w:rPr>
        <w:t xml:space="preserve">a new MBS listing for </w:t>
      </w:r>
      <w:r w:rsidR="00963A7D" w:rsidRPr="00C06124">
        <w:rPr>
          <w:vertAlign w:val="superscript"/>
        </w:rPr>
        <w:t>68</w:t>
      </w:r>
      <w:r w:rsidR="00963A7D" w:rsidRPr="00C06124">
        <w:t>Ga</w:t>
      </w:r>
      <w:r w:rsidR="00AB28FD">
        <w:t>llium</w:t>
      </w:r>
      <w:r w:rsidR="00621E70">
        <w:t xml:space="preserve"> </w:t>
      </w:r>
      <w:r w:rsidR="00981063">
        <w:t>(</w:t>
      </w:r>
      <w:r w:rsidR="00621E70">
        <w:t>Ga</w:t>
      </w:r>
      <w:r w:rsidR="00981063">
        <w:t>)</w:t>
      </w:r>
      <w:r w:rsidR="00963A7D" w:rsidRPr="00C06124">
        <w:t>-</w:t>
      </w:r>
      <w:r w:rsidR="00607D95">
        <w:t>DOTA-</w:t>
      </w:r>
      <w:proofErr w:type="spellStart"/>
      <w:r w:rsidR="00607D95">
        <w:t>octreotate</w:t>
      </w:r>
      <w:proofErr w:type="spellEnd"/>
      <w:r w:rsidR="00607D95">
        <w:t xml:space="preserve"> </w:t>
      </w:r>
      <w:r w:rsidR="00963A7D" w:rsidRPr="00C06124">
        <w:t>SSTR-</w:t>
      </w:r>
      <w:r w:rsidR="00BF366F">
        <w:t>positron emission tomography (</w:t>
      </w:r>
      <w:r w:rsidR="00963A7D" w:rsidRPr="00C06124">
        <w:t>PET</w:t>
      </w:r>
      <w:r w:rsidR="00BF366F">
        <w:t>)</w:t>
      </w:r>
      <w:r w:rsidR="00963A7D" w:rsidRPr="00C06124">
        <w:t>/</w:t>
      </w:r>
      <w:r w:rsidR="00CF060F">
        <w:t>computed tomography (</w:t>
      </w:r>
      <w:r w:rsidR="00963A7D" w:rsidRPr="00C06124">
        <w:t>CT</w:t>
      </w:r>
      <w:r w:rsidR="00CF060F">
        <w:t>)</w:t>
      </w:r>
      <w:r w:rsidR="00174622">
        <w:t xml:space="preserve"> (</w:t>
      </w:r>
      <w:r w:rsidR="00BF366F" w:rsidRPr="00C06124">
        <w:rPr>
          <w:vertAlign w:val="superscript"/>
        </w:rPr>
        <w:t>68</w:t>
      </w:r>
      <w:r w:rsidR="00BF366F" w:rsidRPr="00C06124">
        <w:t>Ga-</w:t>
      </w:r>
      <w:r w:rsidR="00607D95">
        <w:t xml:space="preserve">DOTA-octreotate </w:t>
      </w:r>
      <w:r w:rsidR="00BF366F">
        <w:t>PET/CT</w:t>
      </w:r>
      <w:r w:rsidR="00174622">
        <w:t>)</w:t>
      </w:r>
      <w:r w:rsidR="00174622" w:rsidRPr="00C06124">
        <w:t xml:space="preserve"> </w:t>
      </w:r>
      <w:r w:rsidR="000D7D01" w:rsidRPr="00C06124">
        <w:t xml:space="preserve">to </w:t>
      </w:r>
      <w:r w:rsidR="00AC170E" w:rsidRPr="00C06124">
        <w:t>determine eligibility</w:t>
      </w:r>
      <w:r w:rsidR="009F5336" w:rsidRPr="00C06124">
        <w:t xml:space="preserve"> for</w:t>
      </w:r>
      <w:r w:rsidR="00DB085C" w:rsidRPr="00C06124">
        <w:t xml:space="preserve"> </w:t>
      </w:r>
      <w:r w:rsidR="009F5336" w:rsidRPr="00C06124">
        <w:rPr>
          <w:vertAlign w:val="superscript"/>
        </w:rPr>
        <w:t>177</w:t>
      </w:r>
      <w:r w:rsidR="009F5336" w:rsidRPr="00C06124">
        <w:t>Lu</w:t>
      </w:r>
      <w:r w:rsidR="00D24AB1">
        <w:t xml:space="preserve"> </w:t>
      </w:r>
      <w:r w:rsidR="004D01AF" w:rsidRPr="00C06124">
        <w:t>(</w:t>
      </w:r>
      <w:proofErr w:type="spellStart"/>
      <w:r w:rsidR="004D01AF" w:rsidRPr="00C06124">
        <w:t>nca</w:t>
      </w:r>
      <w:proofErr w:type="spellEnd"/>
      <w:r w:rsidR="004D01AF" w:rsidRPr="00C06124">
        <w:t>)</w:t>
      </w:r>
      <w:r w:rsidR="009F5336" w:rsidRPr="00C06124">
        <w:t>-</w:t>
      </w:r>
      <w:r w:rsidR="00607D95">
        <w:t>DOTA-</w:t>
      </w:r>
      <w:proofErr w:type="spellStart"/>
      <w:r w:rsidR="00607D95">
        <w:t>octreotate</w:t>
      </w:r>
      <w:proofErr w:type="spellEnd"/>
      <w:r w:rsidR="00607D95">
        <w:t xml:space="preserve"> </w:t>
      </w:r>
      <w:r w:rsidR="009F5336" w:rsidRPr="00C06124">
        <w:t>treatment</w:t>
      </w:r>
      <w:r w:rsidR="00171D1B" w:rsidRPr="00C06124">
        <w:t>, as well as</w:t>
      </w:r>
      <w:r w:rsidR="00D46244">
        <w:t xml:space="preserve"> for monitoring</w:t>
      </w:r>
      <w:r w:rsidR="00171D1B" w:rsidRPr="00C06124">
        <w:t xml:space="preserve"> the post-treatment effect of </w:t>
      </w:r>
      <w:r w:rsidR="00171D1B" w:rsidRPr="00C06124">
        <w:rPr>
          <w:vertAlign w:val="superscript"/>
        </w:rPr>
        <w:t>177</w:t>
      </w:r>
      <w:r w:rsidR="00171D1B" w:rsidRPr="00C06124">
        <w:t>Lu</w:t>
      </w:r>
      <w:r w:rsidR="00D24AB1">
        <w:t xml:space="preserve"> </w:t>
      </w:r>
      <w:r w:rsidR="00996917">
        <w:t>(</w:t>
      </w:r>
      <w:proofErr w:type="spellStart"/>
      <w:r w:rsidR="00996917">
        <w:t>nca</w:t>
      </w:r>
      <w:proofErr w:type="spellEnd"/>
      <w:r w:rsidR="00996917">
        <w:t>)</w:t>
      </w:r>
      <w:r w:rsidR="00171D1B" w:rsidRPr="00C06124">
        <w:t>-</w:t>
      </w:r>
      <w:r w:rsidR="00607D95">
        <w:t>DOTA-</w:t>
      </w:r>
      <w:proofErr w:type="spellStart"/>
      <w:r w:rsidR="00607D95">
        <w:t>octreotate</w:t>
      </w:r>
      <w:proofErr w:type="spellEnd"/>
      <w:r w:rsidR="00607D95">
        <w:t xml:space="preserve"> </w:t>
      </w:r>
      <w:r w:rsidR="00171D1B" w:rsidRPr="00C06124">
        <w:t>treatment.</w:t>
      </w:r>
    </w:p>
    <w:p w14:paraId="792184CC" w14:textId="401B1A9D" w:rsidR="005814B8" w:rsidRPr="005814B8" w:rsidRDefault="005173BA" w:rsidP="00C06124">
      <w:pPr>
        <w:spacing w:after="240"/>
        <w:rPr>
          <w:iCs/>
        </w:rPr>
      </w:pPr>
      <w:r>
        <w:t xml:space="preserve">The </w:t>
      </w:r>
      <w:r w:rsidR="009677EB">
        <w:t>original</w:t>
      </w:r>
      <w:r>
        <w:t xml:space="preserve"> </w:t>
      </w:r>
      <w:r w:rsidRPr="00A33952">
        <w:t xml:space="preserve">application </w:t>
      </w:r>
      <w:r w:rsidR="00A33952" w:rsidRPr="00A33952">
        <w:t>requested a</w:t>
      </w:r>
      <w:r w:rsidR="00FC1FB9" w:rsidRPr="00A33952">
        <w:t xml:space="preserve"> </w:t>
      </w:r>
      <w:r w:rsidRPr="00A33952">
        <w:t>restrict</w:t>
      </w:r>
      <w:r w:rsidR="00A33952" w:rsidRPr="004B6916">
        <w:t>ion</w:t>
      </w:r>
      <w:r w:rsidRPr="00A33952">
        <w:t xml:space="preserve"> to the ‘</w:t>
      </w:r>
      <w:proofErr w:type="spellStart"/>
      <w:r w:rsidRPr="00A33952">
        <w:t>nca</w:t>
      </w:r>
      <w:proofErr w:type="spellEnd"/>
      <w:r w:rsidRPr="00A33952">
        <w:t>’ product</w:t>
      </w:r>
      <w:r w:rsidR="007F35A3">
        <w:t>.</w:t>
      </w:r>
      <w:r w:rsidR="00A349F6">
        <w:t xml:space="preserve"> </w:t>
      </w:r>
      <w:r w:rsidR="007F35A3">
        <w:t>H</w:t>
      </w:r>
      <w:r w:rsidRPr="00A33952">
        <w:t xml:space="preserve">owever, </w:t>
      </w:r>
      <w:r w:rsidR="007F35A3">
        <w:t xml:space="preserve">as noted by the </w:t>
      </w:r>
      <w:r w:rsidR="007F35A3" w:rsidRPr="00A33952">
        <w:t xml:space="preserve">PICO Advisory Sub-Committee (PASC) </w:t>
      </w:r>
      <w:r w:rsidRPr="00A33952">
        <w:t xml:space="preserve">there is no available evidence </w:t>
      </w:r>
      <w:r w:rsidR="00ED046C" w:rsidRPr="00A33952">
        <w:t>to support</w:t>
      </w:r>
      <w:r w:rsidRPr="00A33952">
        <w:t xml:space="preserve"> the superior safety and effectiveness of the </w:t>
      </w:r>
      <w:proofErr w:type="spellStart"/>
      <w:r w:rsidRPr="00A33952">
        <w:t>nca</w:t>
      </w:r>
      <w:proofErr w:type="spellEnd"/>
      <w:r w:rsidRPr="00A33952">
        <w:t xml:space="preserve"> product compared to the ‘</w:t>
      </w:r>
      <w:r w:rsidR="008017BD" w:rsidRPr="00A33952">
        <w:t>carrier added’</w:t>
      </w:r>
      <w:r w:rsidRPr="00A33952">
        <w:t xml:space="preserve"> </w:t>
      </w:r>
      <w:r w:rsidR="008017BD" w:rsidRPr="00A33952">
        <w:t>(</w:t>
      </w:r>
      <w:r w:rsidRPr="00A33952">
        <w:t>ca</w:t>
      </w:r>
      <w:r w:rsidR="008017BD" w:rsidRPr="00A33952">
        <w:t>)</w:t>
      </w:r>
      <w:r w:rsidRPr="00A33952">
        <w:t xml:space="preserve"> product to justify restriction of the benefit to the </w:t>
      </w:r>
      <w:proofErr w:type="spellStart"/>
      <w:r w:rsidRPr="00A33952">
        <w:t>nca</w:t>
      </w:r>
      <w:proofErr w:type="spellEnd"/>
      <w:r w:rsidRPr="00A33952">
        <w:t xml:space="preserve"> product.</w:t>
      </w:r>
      <w:r w:rsidR="006F6373" w:rsidRPr="00A33952">
        <w:t xml:space="preserve"> Therefore</w:t>
      </w:r>
      <w:r w:rsidR="00BA1C51" w:rsidRPr="00A33952">
        <w:t>,</w:t>
      </w:r>
      <w:r w:rsidR="006F6373" w:rsidRPr="00A33952">
        <w:t xml:space="preserve"> </w:t>
      </w:r>
      <w:r w:rsidR="003C6053" w:rsidRPr="00A33952">
        <w:t>the intervention</w:t>
      </w:r>
      <w:r w:rsidR="00790C25" w:rsidRPr="00A33952">
        <w:t xml:space="preserve"> </w:t>
      </w:r>
      <w:r w:rsidR="00A85E90" w:rsidRPr="00A33952">
        <w:t>described in this assessment report</w:t>
      </w:r>
      <w:r w:rsidR="005F289A" w:rsidRPr="00A33952">
        <w:t xml:space="preserve"> refers</w:t>
      </w:r>
      <w:r w:rsidR="00790C25" w:rsidRPr="00A33952">
        <w:t xml:space="preserve"> to </w:t>
      </w:r>
      <w:r w:rsidR="005F289A" w:rsidRPr="00A33952">
        <w:t>the more generic</w:t>
      </w:r>
      <w:r w:rsidR="00790C25" w:rsidRPr="00A33952">
        <w:t xml:space="preserve"> </w:t>
      </w:r>
      <w:r w:rsidR="00790C25" w:rsidRPr="00A33952">
        <w:rPr>
          <w:vertAlign w:val="superscript"/>
        </w:rPr>
        <w:t>177</w:t>
      </w:r>
      <w:r w:rsidR="00790C25" w:rsidRPr="00A33952">
        <w:t>Lu-</w:t>
      </w:r>
      <w:r w:rsidR="00607D95" w:rsidRPr="00A33952">
        <w:t>DOTA-octreotate</w:t>
      </w:r>
      <w:r w:rsidR="00F14528">
        <w:t>.</w:t>
      </w:r>
    </w:p>
    <w:p w14:paraId="38902B58" w14:textId="3D50A466" w:rsidR="00912778" w:rsidRDefault="005819A6" w:rsidP="00C06124">
      <w:pPr>
        <w:spacing w:after="240"/>
      </w:pPr>
      <w:r>
        <w:t>Furthermore,</w:t>
      </w:r>
      <w:r w:rsidR="00765445">
        <w:t xml:space="preserve"> the original application </w:t>
      </w:r>
      <w:r w:rsidR="00CB15FE">
        <w:t xml:space="preserve">included </w:t>
      </w:r>
      <w:r w:rsidR="00E01C64">
        <w:t xml:space="preserve">the requirement for </w:t>
      </w:r>
      <w:r w:rsidR="00CB15FE">
        <w:t xml:space="preserve">an </w:t>
      </w:r>
      <w:r w:rsidR="00F0186E">
        <w:t>additional</w:t>
      </w:r>
      <w:r w:rsidR="00CB15FE">
        <w:t xml:space="preserve"> test, </w:t>
      </w:r>
      <w:r w:rsidR="00090B55" w:rsidRPr="00090B55">
        <w:rPr>
          <w:vertAlign w:val="superscript"/>
        </w:rPr>
        <w:t>18</w:t>
      </w:r>
      <w:r w:rsidR="00090B55">
        <w:t>F-</w:t>
      </w:r>
      <w:r w:rsidR="009B5574">
        <w:t>FDG</w:t>
      </w:r>
      <w:r w:rsidR="00C97247">
        <w:t xml:space="preserve"> </w:t>
      </w:r>
      <w:r w:rsidR="007014A3">
        <w:t>(</w:t>
      </w:r>
      <w:r w:rsidR="007014A3" w:rsidRPr="00FF47BD">
        <w:t>fluorodeoxyglucose)</w:t>
      </w:r>
      <w:r w:rsidR="007014A3" w:rsidRPr="007014A3">
        <w:t xml:space="preserve"> </w:t>
      </w:r>
      <w:r w:rsidR="009B5574">
        <w:t>PET/CT</w:t>
      </w:r>
      <w:r w:rsidR="00090B55">
        <w:t xml:space="preserve"> (FDG PET/CT)</w:t>
      </w:r>
      <w:r w:rsidR="00880F58">
        <w:t xml:space="preserve">, </w:t>
      </w:r>
      <w:r w:rsidR="00B5541E">
        <w:t>to assist in therapeutic decision</w:t>
      </w:r>
      <w:r w:rsidR="00CF48BE">
        <w:t>-</w:t>
      </w:r>
      <w:r w:rsidR="00B5541E">
        <w:t xml:space="preserve">making for some patients. </w:t>
      </w:r>
      <w:r w:rsidR="00AE77C5">
        <w:t xml:space="preserve">The application </w:t>
      </w:r>
      <w:r w:rsidR="00765445">
        <w:t xml:space="preserve">requested the </w:t>
      </w:r>
      <w:r w:rsidR="008006A0">
        <w:t>amendment of</w:t>
      </w:r>
      <w:r w:rsidR="00146536">
        <w:t xml:space="preserve"> existing MBS item </w:t>
      </w:r>
      <w:r w:rsidR="00F5057E">
        <w:t xml:space="preserve">61612 </w:t>
      </w:r>
      <w:r w:rsidR="00276364">
        <w:t xml:space="preserve">for whole body </w:t>
      </w:r>
      <w:r w:rsidR="00642FA3">
        <w:t>FDG</w:t>
      </w:r>
      <w:r w:rsidR="00070D3F">
        <w:t xml:space="preserve"> </w:t>
      </w:r>
      <w:r w:rsidR="00642FA3">
        <w:t>PET</w:t>
      </w:r>
      <w:r w:rsidR="001340AF">
        <w:t xml:space="preserve"> study </w:t>
      </w:r>
      <w:r w:rsidR="00346ABB">
        <w:t xml:space="preserve">to include </w:t>
      </w:r>
      <w:r w:rsidR="005804FE">
        <w:t xml:space="preserve">assessing </w:t>
      </w:r>
      <w:r w:rsidR="00102D37">
        <w:t xml:space="preserve">eligibility for </w:t>
      </w:r>
      <w:r w:rsidR="00102D37">
        <w:rPr>
          <w:vertAlign w:val="superscript"/>
        </w:rPr>
        <w:t>177</w:t>
      </w:r>
      <w:r w:rsidR="00102D37">
        <w:t>Lu-</w:t>
      </w:r>
      <w:r w:rsidR="00607D95">
        <w:t xml:space="preserve">DOTA-octreotate </w:t>
      </w:r>
      <w:r w:rsidR="00102D37">
        <w:t>treatment.</w:t>
      </w:r>
      <w:r w:rsidR="00C45001">
        <w:t xml:space="preserve"> </w:t>
      </w:r>
      <w:r w:rsidR="003E482B">
        <w:t xml:space="preserve">This item is used for initial staging of rare or uncommon cancers </w:t>
      </w:r>
      <w:r w:rsidR="007070FF">
        <w:t xml:space="preserve">for a patient considered suitable for active therapy. </w:t>
      </w:r>
      <w:r w:rsidR="00AA2DB4">
        <w:t xml:space="preserve">PASC </w:t>
      </w:r>
      <w:r w:rsidR="00912778">
        <w:t xml:space="preserve">considered that existing item MBS </w:t>
      </w:r>
      <w:r w:rsidR="003C2F11">
        <w:t>61612 would not require amend</w:t>
      </w:r>
      <w:r w:rsidR="00297EC0">
        <w:t>ment</w:t>
      </w:r>
      <w:r w:rsidR="00D27351">
        <w:t xml:space="preserve">, as NENs are considered rare or uncommon cancers. </w:t>
      </w:r>
    </w:p>
    <w:p w14:paraId="7AAE5B7C" w14:textId="44C8EA96" w:rsidR="00575E45" w:rsidRPr="00194EDC" w:rsidRDefault="000B228E" w:rsidP="00194EDC">
      <w:pPr>
        <w:pStyle w:val="Heading2"/>
        <w:numPr>
          <w:ilvl w:val="0"/>
          <w:numId w:val="0"/>
        </w:numPr>
      </w:pPr>
      <w:r>
        <w:lastRenderedPageBreak/>
        <w:t>2.</w:t>
      </w:r>
      <w:r>
        <w:tab/>
        <w:t>MSAC’s advice to the Minister</w:t>
      </w:r>
    </w:p>
    <w:p w14:paraId="0F7A0118" w14:textId="4B3016AD" w:rsidR="00F1157C" w:rsidRDefault="00F1157C" w:rsidP="00194EDC">
      <w:pPr>
        <w:keepNext/>
        <w:keepLines/>
      </w:pPr>
      <w:r w:rsidRPr="00C5172C">
        <w:rPr>
          <w:rFonts w:eastAsia="Calibri" w:cs="Times New Roman"/>
          <w:b/>
          <w:bCs/>
        </w:rPr>
        <w:t>November 2024 MSAC consideration</w:t>
      </w:r>
    </w:p>
    <w:p w14:paraId="71A72372" w14:textId="2AC2B13A" w:rsidR="00575E45" w:rsidRDefault="00FA29E8" w:rsidP="00194EDC">
      <w:pPr>
        <w:keepNext/>
        <w:keepLines/>
      </w:pPr>
      <w:r w:rsidRPr="00201854">
        <w:t xml:space="preserve">After considering the strength of the available evidence in relation to comparative safety, clinical effectiveness, cost-effectiveness and total cost, </w:t>
      </w:r>
      <w:r w:rsidR="00575E45">
        <w:rPr>
          <w:rFonts w:eastAsia="Franklin Gothic Book"/>
        </w:rPr>
        <w:t>M</w:t>
      </w:r>
      <w:r w:rsidR="00575E45" w:rsidRPr="2315746F">
        <w:rPr>
          <w:rFonts w:eastAsia="Franklin Gothic Book"/>
        </w:rPr>
        <w:t xml:space="preserve">SAC supported </w:t>
      </w:r>
      <w:r w:rsidR="00575E45">
        <w:rPr>
          <w:rFonts w:eastAsia="Franklin Gothic Book"/>
        </w:rPr>
        <w:t>the creation of</w:t>
      </w:r>
      <w:r w:rsidR="00575E45" w:rsidRPr="23DA47FE">
        <w:rPr>
          <w:rFonts w:eastAsia="Franklin Gothic Book"/>
        </w:rPr>
        <w:t xml:space="preserve"> new Medicare Benefits Schedule (MBS) item</w:t>
      </w:r>
      <w:r w:rsidR="00362437">
        <w:rPr>
          <w:rFonts w:eastAsia="Franklin Gothic Book"/>
        </w:rPr>
        <w:t>s</w:t>
      </w:r>
      <w:r w:rsidR="00575E45">
        <w:rPr>
          <w:rFonts w:eastAsia="Franklin Gothic Book"/>
        </w:rPr>
        <w:t xml:space="preserve"> for</w:t>
      </w:r>
      <w:r w:rsidR="00575E45" w:rsidRPr="23DA47FE">
        <w:rPr>
          <w:rFonts w:eastAsia="Franklin Gothic Book"/>
        </w:rPr>
        <w:t xml:space="preserve"> </w:t>
      </w:r>
      <w:r w:rsidR="00575E45" w:rsidRPr="00A1692A">
        <w:rPr>
          <w:vertAlign w:val="superscript"/>
        </w:rPr>
        <w:t>177</w:t>
      </w:r>
      <w:r w:rsidR="00575E45" w:rsidRPr="00A1692A">
        <w:t>Lutetium </w:t>
      </w:r>
      <w:proofErr w:type="spellStart"/>
      <w:r w:rsidR="00575E45" w:rsidRPr="00A1692A">
        <w:t>Octreotate</w:t>
      </w:r>
      <w:proofErr w:type="spellEnd"/>
      <w:r w:rsidR="00575E45" w:rsidRPr="00A1692A">
        <w:t xml:space="preserve"> (</w:t>
      </w:r>
      <w:r w:rsidR="00575E45" w:rsidRPr="00A1692A">
        <w:rPr>
          <w:vertAlign w:val="superscript"/>
        </w:rPr>
        <w:t>177</w:t>
      </w:r>
      <w:r w:rsidR="00575E45" w:rsidRPr="00A1692A">
        <w:t xml:space="preserve">Lu-DOTA-octreotate) </w:t>
      </w:r>
      <w:r w:rsidR="00575E45">
        <w:t xml:space="preserve">therapy for the </w:t>
      </w:r>
      <w:r w:rsidR="00575E45" w:rsidRPr="00A1692A">
        <w:t>treatment of advanced neuroendocrine neoplasms (NENs) with high somatostatin receptor (H-SSTR) expression</w:t>
      </w:r>
      <w:r w:rsidR="00575E45" w:rsidRPr="29C37C18">
        <w:t>, including phaeochromocytomas and paragangliomas</w:t>
      </w:r>
      <w:r w:rsidR="00575E45" w:rsidRPr="00A1692A">
        <w:t xml:space="preserve"> and</w:t>
      </w:r>
      <w:r w:rsidR="00D40E70">
        <w:t xml:space="preserve"> </w:t>
      </w:r>
      <w:r w:rsidR="00807067" w:rsidRPr="0A3B44D0">
        <w:t xml:space="preserve">whole body </w:t>
      </w:r>
      <w:r w:rsidR="00807067" w:rsidRPr="00592E75">
        <w:rPr>
          <w:vertAlign w:val="superscript"/>
        </w:rPr>
        <w:t>68</w:t>
      </w:r>
      <w:r w:rsidR="00807067" w:rsidRPr="0A3B44D0">
        <w:t>Gallium (Ga)-DOTA-</w:t>
      </w:r>
      <w:proofErr w:type="spellStart"/>
      <w:r w:rsidR="00807067" w:rsidRPr="0A3B44D0">
        <w:t>octreotate</w:t>
      </w:r>
      <w:proofErr w:type="spellEnd"/>
      <w:r w:rsidR="00807067" w:rsidRPr="0A3B44D0">
        <w:t xml:space="preserve"> SSTR-positron emission tomography (PET)/computed tomography (CT) </w:t>
      </w:r>
      <w:r w:rsidR="00807067">
        <w:t>(</w:t>
      </w:r>
      <w:r w:rsidR="00807067" w:rsidRPr="00592E75">
        <w:rPr>
          <w:vertAlign w:val="superscript"/>
        </w:rPr>
        <w:t>68</w:t>
      </w:r>
      <w:r w:rsidR="00807067" w:rsidRPr="0A3B44D0">
        <w:t>Ga-DOTA-octreotate PET/CT</w:t>
      </w:r>
      <w:r w:rsidR="00807067">
        <w:t>)</w:t>
      </w:r>
      <w:r w:rsidR="00807067" w:rsidRPr="0A3B44D0">
        <w:t xml:space="preserve"> </w:t>
      </w:r>
      <w:r w:rsidR="00575E45" w:rsidRPr="00A1692A">
        <w:t xml:space="preserve">to identify </w:t>
      </w:r>
      <w:r w:rsidR="00575E45">
        <w:t>patients</w:t>
      </w:r>
      <w:r w:rsidR="00575E45" w:rsidRPr="00A1692A">
        <w:t xml:space="preserve"> eligible for </w:t>
      </w:r>
      <w:r w:rsidR="00575E45" w:rsidRPr="00A1692A">
        <w:rPr>
          <w:vertAlign w:val="superscript"/>
        </w:rPr>
        <w:t>177</w:t>
      </w:r>
      <w:r w:rsidR="00575E45" w:rsidRPr="00A1692A">
        <w:t>Lu-DOTA-octreotate</w:t>
      </w:r>
      <w:r w:rsidR="00575E45" w:rsidRPr="79D5B532">
        <w:t xml:space="preserve"> and/or to monitor response to this treatment</w:t>
      </w:r>
      <w:r w:rsidR="00575E45">
        <w:t xml:space="preserve">. </w:t>
      </w:r>
    </w:p>
    <w:p w14:paraId="29AF01AB" w14:textId="77777777" w:rsidR="00575E45" w:rsidRDefault="00575E45" w:rsidP="00575E45">
      <w:r>
        <w:t xml:space="preserve">MSAC had previously </w:t>
      </w:r>
      <w:r w:rsidRPr="00EC4B5C">
        <w:t xml:space="preserve">deferred its advice and requested </w:t>
      </w:r>
      <w:r w:rsidRPr="00453BC1">
        <w:t>independent radiochemist advice</w:t>
      </w:r>
      <w:r>
        <w:t xml:space="preserve"> on</w:t>
      </w:r>
      <w:r w:rsidRPr="00EC4B5C">
        <w:t xml:space="preserve"> the extent of similarity of the chemical structure of </w:t>
      </w:r>
      <w:r w:rsidRPr="00A1692A">
        <w:rPr>
          <w:vertAlign w:val="superscript"/>
        </w:rPr>
        <w:t>177</w:t>
      </w:r>
      <w:r w:rsidRPr="00EC4B5C">
        <w:t xml:space="preserve">Lu-DOTA-octreotate and </w:t>
      </w:r>
      <w:r w:rsidRPr="00A1692A">
        <w:rPr>
          <w:vertAlign w:val="superscript"/>
        </w:rPr>
        <w:t>177</w:t>
      </w:r>
      <w:r w:rsidRPr="00EC4B5C">
        <w:t xml:space="preserve">Lu-DOTATATE </w:t>
      </w:r>
      <w:r>
        <w:t xml:space="preserve">because the clinical evidence presented in the assessment had been based on </w:t>
      </w:r>
      <w:r w:rsidRPr="00A77726">
        <w:rPr>
          <w:vertAlign w:val="superscript"/>
        </w:rPr>
        <w:t>177</w:t>
      </w:r>
      <w:r w:rsidRPr="00453BC1">
        <w:t>Lu-DOTATATE</w:t>
      </w:r>
      <w:r w:rsidRPr="00453BC1" w:rsidDel="00453BC1">
        <w:t xml:space="preserve"> </w:t>
      </w:r>
      <w:r>
        <w:t xml:space="preserve">and was premised on non-inferiority between </w:t>
      </w:r>
      <w:r w:rsidRPr="00592E75">
        <w:rPr>
          <w:vertAlign w:val="superscript"/>
        </w:rPr>
        <w:t>177</w:t>
      </w:r>
      <w:r w:rsidRPr="006A1B53">
        <w:t>Lu-DOTA-octreotate</w:t>
      </w:r>
      <w:r>
        <w:t xml:space="preserve"> and </w:t>
      </w:r>
      <w:r w:rsidRPr="0018362B">
        <w:rPr>
          <w:vertAlign w:val="superscript"/>
        </w:rPr>
        <w:t>177</w:t>
      </w:r>
      <w:r w:rsidRPr="00D1433A">
        <w:t>Lu-DOTATATE</w:t>
      </w:r>
      <w:r>
        <w:t>.</w:t>
      </w:r>
    </w:p>
    <w:p w14:paraId="6C180E51" w14:textId="0A277CC7" w:rsidR="007E7376" w:rsidRPr="005B11DF" w:rsidRDefault="00575E45" w:rsidP="007E7376">
      <w:pPr>
        <w:rPr>
          <w:rFonts w:eastAsia="Times New Roman" w:cs="Times New Roman"/>
          <w:lang w:eastAsia="en-AU"/>
        </w:rPr>
      </w:pPr>
      <w:r w:rsidRPr="005B11DF">
        <w:t>MSAC accepted</w:t>
      </w:r>
      <w:r w:rsidR="00045955" w:rsidRPr="005B11DF">
        <w:t>,</w:t>
      </w:r>
      <w:r w:rsidR="002700B2" w:rsidRPr="005B11DF">
        <w:t xml:space="preserve"> based on advice from </w:t>
      </w:r>
      <w:r w:rsidR="004639E1" w:rsidRPr="005B11DF">
        <w:t xml:space="preserve">two </w:t>
      </w:r>
      <w:r w:rsidR="002700B2" w:rsidRPr="005B11DF">
        <w:t>independent radiochemists</w:t>
      </w:r>
      <w:r w:rsidR="00045955" w:rsidRPr="005B11DF">
        <w:t>,</w:t>
      </w:r>
      <w:r w:rsidRPr="005B11DF">
        <w:t xml:space="preserve"> that </w:t>
      </w:r>
      <w:r w:rsidR="00885EC5" w:rsidRPr="005B11DF">
        <w:t>the c</w:t>
      </w:r>
      <w:r w:rsidR="002700B2" w:rsidRPr="005B11DF">
        <w:t xml:space="preserve">hemical structures of </w:t>
      </w:r>
      <w:r w:rsidRPr="005B11DF">
        <w:rPr>
          <w:vertAlign w:val="superscript"/>
        </w:rPr>
        <w:t>177</w:t>
      </w:r>
      <w:r w:rsidRPr="005B11DF">
        <w:t xml:space="preserve">Lu-DOTA-octreotate and </w:t>
      </w:r>
      <w:r w:rsidRPr="005B11DF">
        <w:rPr>
          <w:vertAlign w:val="superscript"/>
        </w:rPr>
        <w:t>177</w:t>
      </w:r>
      <w:r w:rsidRPr="005B11DF">
        <w:t xml:space="preserve">Lu-DOTATATE were </w:t>
      </w:r>
      <w:r w:rsidR="00B478FA" w:rsidRPr="005B11DF">
        <w:rPr>
          <w:rFonts w:eastAsia="Times New Roman" w:cs="Times New Roman"/>
          <w:lang w:eastAsia="en-AU"/>
        </w:rPr>
        <w:t>identical</w:t>
      </w:r>
      <w:r w:rsidR="007E7376" w:rsidRPr="005B11DF">
        <w:rPr>
          <w:rFonts w:eastAsia="Times New Roman" w:cs="Times New Roman"/>
          <w:lang w:eastAsia="en-AU"/>
        </w:rPr>
        <w:t xml:space="preserve"> in terms of:</w:t>
      </w:r>
    </w:p>
    <w:p w14:paraId="71EA36B4" w14:textId="77777777" w:rsidR="007E7376" w:rsidRPr="005B11DF" w:rsidRDefault="007E7376" w:rsidP="007E7376">
      <w:pPr>
        <w:rPr>
          <w:rFonts w:eastAsia="Times New Roman" w:cs="Times New Roman"/>
          <w:lang w:eastAsia="en-AU"/>
        </w:rPr>
      </w:pPr>
      <w:r w:rsidRPr="005B11DF">
        <w:rPr>
          <w:rFonts w:eastAsia="Times New Roman" w:cs="Times New Roman"/>
          <w:lang w:eastAsia="en-AU"/>
        </w:rPr>
        <w:t>•</w:t>
      </w:r>
      <w:r w:rsidRPr="005B11DF">
        <w:rPr>
          <w:rFonts w:eastAsia="Times New Roman" w:cs="Times New Roman"/>
          <w:lang w:eastAsia="en-AU"/>
        </w:rPr>
        <w:tab/>
        <w:t>targeting moiety (peptides)</w:t>
      </w:r>
    </w:p>
    <w:p w14:paraId="41418C34" w14:textId="77777777" w:rsidR="007E7376" w:rsidRPr="005B11DF" w:rsidRDefault="007E7376" w:rsidP="007E7376">
      <w:pPr>
        <w:rPr>
          <w:rFonts w:eastAsia="Times New Roman" w:cs="Times New Roman"/>
          <w:lang w:eastAsia="en-AU"/>
        </w:rPr>
      </w:pPr>
      <w:r w:rsidRPr="005B11DF">
        <w:rPr>
          <w:rFonts w:eastAsia="Times New Roman" w:cs="Times New Roman"/>
          <w:lang w:eastAsia="en-AU"/>
        </w:rPr>
        <w:t>•</w:t>
      </w:r>
      <w:r w:rsidRPr="005B11DF">
        <w:rPr>
          <w:rFonts w:eastAsia="Times New Roman" w:cs="Times New Roman"/>
          <w:lang w:eastAsia="en-AU"/>
        </w:rPr>
        <w:tab/>
        <w:t>the chelators binding 177Lu-DOTATATE to the peptides</w:t>
      </w:r>
    </w:p>
    <w:p w14:paraId="49B53219" w14:textId="53EC80C4" w:rsidR="007E7376" w:rsidRPr="005B11DF" w:rsidRDefault="007E7376" w:rsidP="007E7376">
      <w:r w:rsidRPr="005B11DF">
        <w:rPr>
          <w:rFonts w:eastAsia="Times New Roman" w:cs="Times New Roman"/>
          <w:lang w:eastAsia="en-AU"/>
        </w:rPr>
        <w:t>•</w:t>
      </w:r>
      <w:r w:rsidRPr="005B11DF">
        <w:rPr>
          <w:rFonts w:eastAsia="Times New Roman" w:cs="Times New Roman"/>
          <w:lang w:eastAsia="en-AU"/>
        </w:rPr>
        <w:tab/>
        <w:t>the linker which joins the chelator to the targeting part of the peptides.</w:t>
      </w:r>
      <w:r w:rsidRPr="005B11DF">
        <w:t xml:space="preserve"> </w:t>
      </w:r>
    </w:p>
    <w:p w14:paraId="312F520A" w14:textId="6F981C80" w:rsidR="00885EC5" w:rsidRPr="005B2C69" w:rsidRDefault="00885EC5" w:rsidP="007E7376">
      <w:pPr>
        <w:rPr>
          <w:rFonts w:eastAsia="Calibri" w:cs="Times New Roman"/>
        </w:rPr>
      </w:pPr>
      <w:r w:rsidRPr="005B11DF">
        <w:rPr>
          <w:rFonts w:eastAsia="Calibri" w:cs="Times New Roman"/>
        </w:rPr>
        <w:t xml:space="preserve">MSAC considered that, because the chemical structures of </w:t>
      </w:r>
      <w:r w:rsidRPr="005B11DF">
        <w:rPr>
          <w:rFonts w:eastAsia="Calibri" w:cs="Times New Roman"/>
          <w:vertAlign w:val="superscript"/>
        </w:rPr>
        <w:t>177</w:t>
      </w:r>
      <w:r w:rsidRPr="005B11DF">
        <w:rPr>
          <w:rFonts w:eastAsia="Calibri" w:cs="Times New Roman"/>
        </w:rPr>
        <w:t xml:space="preserve">Lu-DOTA-octreotate </w:t>
      </w:r>
      <w:r w:rsidR="00F07D9E" w:rsidRPr="005B11DF">
        <w:rPr>
          <w:rFonts w:eastAsia="Calibri" w:cs="Times New Roman"/>
        </w:rPr>
        <w:t xml:space="preserve">and </w:t>
      </w:r>
      <w:r w:rsidRPr="005B11DF">
        <w:rPr>
          <w:vertAlign w:val="superscript"/>
        </w:rPr>
        <w:t>177</w:t>
      </w:r>
      <w:r w:rsidRPr="005B11DF">
        <w:t>Lu</w:t>
      </w:r>
      <w:r w:rsidR="00E878F3" w:rsidRPr="005B11DF">
        <w:noBreakHyphen/>
      </w:r>
      <w:r w:rsidRPr="005B11DF">
        <w:t>DOTATATE were identical</w:t>
      </w:r>
      <w:r w:rsidR="000C0AB0" w:rsidRPr="005B11DF">
        <w:t xml:space="preserve"> </w:t>
      </w:r>
      <w:r w:rsidR="00A1296C" w:rsidRPr="005B11DF">
        <w:t>(</w:t>
      </w:r>
      <w:r w:rsidR="00782082" w:rsidRPr="005B11DF">
        <w:t>as outline</w:t>
      </w:r>
      <w:r w:rsidR="000A182E" w:rsidRPr="005B11DF">
        <w:t>d</w:t>
      </w:r>
      <w:r w:rsidR="00782082" w:rsidRPr="005B11DF">
        <w:t xml:space="preserve"> above</w:t>
      </w:r>
      <w:r w:rsidR="00A1296C" w:rsidRPr="005B11DF">
        <w:t>)</w:t>
      </w:r>
      <w:r w:rsidRPr="005B11DF">
        <w:rPr>
          <w:rFonts w:eastAsia="Calibri" w:cs="Times New Roman"/>
        </w:rPr>
        <w:t xml:space="preserve">, further comparative assessment of the biodistribution, efficacy and safety of </w:t>
      </w:r>
      <w:r w:rsidRPr="005B11DF">
        <w:rPr>
          <w:rFonts w:eastAsia="Calibri" w:cs="Times New Roman"/>
          <w:vertAlign w:val="superscript"/>
        </w:rPr>
        <w:t>177</w:t>
      </w:r>
      <w:r w:rsidRPr="005B11DF">
        <w:rPr>
          <w:rFonts w:eastAsia="Calibri" w:cs="Times New Roman"/>
        </w:rPr>
        <w:t xml:space="preserve">Lu-DOTA-octreotate and </w:t>
      </w:r>
      <w:r w:rsidRPr="005B11DF">
        <w:rPr>
          <w:rFonts w:eastAsia="Calibri" w:cs="Times New Roman"/>
          <w:vertAlign w:val="superscript"/>
        </w:rPr>
        <w:t>177</w:t>
      </w:r>
      <w:r w:rsidRPr="005B11DF">
        <w:rPr>
          <w:rFonts w:eastAsia="Calibri" w:cs="Times New Roman"/>
        </w:rPr>
        <w:t xml:space="preserve">Lu-DOTATATE was not required to demonstrate that the two products are non-inferior in terms of health outcomes and the evidence presented for </w:t>
      </w:r>
      <w:r w:rsidRPr="005B11DF">
        <w:rPr>
          <w:vertAlign w:val="superscript"/>
        </w:rPr>
        <w:t>177</w:t>
      </w:r>
      <w:r w:rsidRPr="005B11DF">
        <w:t>Lu</w:t>
      </w:r>
      <w:r w:rsidR="00E878F3" w:rsidRPr="005B11DF">
        <w:noBreakHyphen/>
      </w:r>
      <w:r w:rsidRPr="005B11DF">
        <w:t>DOTATATE</w:t>
      </w:r>
      <w:r w:rsidRPr="005B11DF">
        <w:rPr>
          <w:rFonts w:eastAsia="Calibri" w:cs="Times New Roman"/>
        </w:rPr>
        <w:t xml:space="preserve"> could be used to assess </w:t>
      </w:r>
      <w:r w:rsidRPr="005B11DF">
        <w:rPr>
          <w:rFonts w:eastAsia="Calibri" w:cs="Times New Roman"/>
          <w:vertAlign w:val="superscript"/>
        </w:rPr>
        <w:t>177</w:t>
      </w:r>
      <w:r w:rsidRPr="005B11DF">
        <w:rPr>
          <w:rFonts w:eastAsia="Calibri" w:cs="Times New Roman"/>
        </w:rPr>
        <w:t>Lu-DOTA-octreotate</w:t>
      </w:r>
      <w:r w:rsidR="002700B2" w:rsidRPr="005B11DF">
        <w:rPr>
          <w:rFonts w:eastAsia="Calibri" w:cs="Times New Roman"/>
        </w:rPr>
        <w:t>.</w:t>
      </w:r>
    </w:p>
    <w:p w14:paraId="2D263751" w14:textId="14F81D9F" w:rsidR="00575E45" w:rsidRPr="007D0D35" w:rsidRDefault="007E7376" w:rsidP="007E7376">
      <w:pPr>
        <w:rPr>
          <w:rFonts w:eastAsia="Calibri" w:cs="Calibri"/>
        </w:rPr>
      </w:pPr>
      <w:r>
        <w:t>Th</w:t>
      </w:r>
      <w:r w:rsidR="00575E45" w:rsidRPr="007D0D35">
        <w:t xml:space="preserve">erefore, MSAC considered </w:t>
      </w:r>
      <w:r w:rsidR="00575E45" w:rsidRPr="007D0D35">
        <w:rPr>
          <w:vertAlign w:val="superscript"/>
        </w:rPr>
        <w:t>177</w:t>
      </w:r>
      <w:r w:rsidR="00575E45" w:rsidRPr="007D0D35">
        <w:t xml:space="preserve">Lu-DOTA-octreotate was acceptably safe and effective compared with standard care and despite limitations in the economic evaluation, </w:t>
      </w:r>
      <w:r w:rsidR="00575E45" w:rsidRPr="007D0D35">
        <w:rPr>
          <w:vertAlign w:val="superscript"/>
        </w:rPr>
        <w:t>177</w:t>
      </w:r>
      <w:r w:rsidR="00575E45" w:rsidRPr="007D0D35">
        <w:t xml:space="preserve">Lu-DOTA-octreotate was acceptably cost-effective. MSAC noted that the net financial impact to the MBS from the funding of the treatment and expanding testing for its eligibility was acceptable. MSAC advised the treatment MBS item should refer to </w:t>
      </w:r>
      <w:r w:rsidR="00575E45" w:rsidRPr="007D0D35">
        <w:rPr>
          <w:vertAlign w:val="superscript"/>
        </w:rPr>
        <w:t>177</w:t>
      </w:r>
      <w:r w:rsidR="00575E45" w:rsidRPr="007D0D35">
        <w:t>Lutetium</w:t>
      </w:r>
      <w:r w:rsidR="00575E45" w:rsidRPr="007D0D35">
        <w:rPr>
          <w:rFonts w:eastAsia="Calibri" w:cs="Calibri"/>
        </w:rPr>
        <w:t xml:space="preserve">-DOTA-somatostatin receptor agonist treatment to align with the evidence base and testing item descriptor. </w:t>
      </w:r>
    </w:p>
    <w:p w14:paraId="421447B2" w14:textId="411E44AD" w:rsidR="004E5F64" w:rsidRPr="007D0D35" w:rsidRDefault="00575E45" w:rsidP="00FD0B1B">
      <w:pPr>
        <w:spacing w:after="240" w:line="240" w:lineRule="auto"/>
        <w:rPr>
          <w:rFonts w:eastAsia="Calibri" w:cs="Times New Roman"/>
          <w:b/>
          <w:bCs/>
        </w:rPr>
      </w:pPr>
      <w:r w:rsidRPr="007D0D35">
        <w:t xml:space="preserve">MSAC noted the patent related issues raised during the consultation process. MSAC referred to its Terms of Reference and concluded that patent related matters were not within its Terms of Reference and would require consideration by Government prior to any decision to list the MBS items </w:t>
      </w:r>
      <w:proofErr w:type="gramStart"/>
      <w:r w:rsidRPr="007D0D35">
        <w:t>as a result of</w:t>
      </w:r>
      <w:proofErr w:type="gramEnd"/>
      <w:r w:rsidRPr="007D0D35">
        <w:t xml:space="preserve"> this applicatio</w:t>
      </w:r>
      <w:r w:rsidR="00353770" w:rsidRPr="007D0D35">
        <w:t>n.</w:t>
      </w:r>
    </w:p>
    <w:tbl>
      <w:tblPr>
        <w:tblStyle w:val="TableGrid"/>
        <w:tblW w:w="0" w:type="auto"/>
        <w:tblLook w:val="04A0" w:firstRow="1" w:lastRow="0" w:firstColumn="1" w:lastColumn="0" w:noHBand="0" w:noVBand="1"/>
        <w:tblCaption w:val="Proposed item descriptor for diagnostic testing"/>
        <w:tblDescription w:val="Proposed item descriptor for diagnostic testing"/>
      </w:tblPr>
      <w:tblGrid>
        <w:gridCol w:w="9016"/>
      </w:tblGrid>
      <w:tr w:rsidR="00B14B59" w:rsidRPr="00B14B59" w14:paraId="3881E32D" w14:textId="77777777" w:rsidTr="00B14B59">
        <w:trPr>
          <w:cantSplit/>
          <w:trHeight w:val="350"/>
          <w:tblHeader/>
        </w:trPr>
        <w:tc>
          <w:tcPr>
            <w:tcW w:w="9016" w:type="dxa"/>
            <w:tcBorders>
              <w:top w:val="single" w:sz="4" w:space="0" w:color="auto"/>
              <w:left w:val="single" w:sz="4" w:space="0" w:color="auto"/>
              <w:bottom w:val="single" w:sz="4" w:space="0" w:color="auto"/>
              <w:right w:val="single" w:sz="4" w:space="0" w:color="auto"/>
            </w:tcBorders>
            <w:hideMark/>
          </w:tcPr>
          <w:p w14:paraId="1729C547" w14:textId="71A2AAAA" w:rsidR="00B14B59" w:rsidRPr="00B14B59" w:rsidRDefault="00B14B59" w:rsidP="00B14B59">
            <w:pPr>
              <w:spacing w:after="120"/>
              <w:rPr>
                <w:rFonts w:ascii="Arial Narrow" w:eastAsia="Calibri" w:hAnsi="Arial Narrow" w:cs="Times New Roman"/>
                <w:b/>
                <w:bCs/>
                <w:sz w:val="20"/>
                <w:szCs w:val="20"/>
              </w:rPr>
            </w:pPr>
            <w:r w:rsidRPr="00B14B59">
              <w:rPr>
                <w:rFonts w:ascii="Arial Narrow" w:eastAsia="Calibri" w:hAnsi="Arial Narrow" w:cs="Times New Roman"/>
                <w:b/>
                <w:bCs/>
                <w:sz w:val="20"/>
                <w:szCs w:val="20"/>
              </w:rPr>
              <w:lastRenderedPageBreak/>
              <w:t>Category T3 – Therapeutic Nuclear Medicine</w:t>
            </w:r>
          </w:p>
        </w:tc>
      </w:tr>
      <w:tr w:rsidR="00B14B59" w:rsidRPr="00B14B59" w14:paraId="4F9598F0" w14:textId="77777777" w:rsidTr="00B14B59">
        <w:trPr>
          <w:cantSplit/>
          <w:tblHeader/>
        </w:trPr>
        <w:tc>
          <w:tcPr>
            <w:tcW w:w="9016" w:type="dxa"/>
            <w:tcBorders>
              <w:top w:val="single" w:sz="4" w:space="0" w:color="auto"/>
              <w:left w:val="single" w:sz="4" w:space="0" w:color="auto"/>
              <w:bottom w:val="single" w:sz="4" w:space="0" w:color="auto"/>
              <w:right w:val="single" w:sz="4" w:space="0" w:color="auto"/>
            </w:tcBorders>
          </w:tcPr>
          <w:p w14:paraId="69F4F988" w14:textId="77777777" w:rsidR="00B14B59" w:rsidRPr="00B14B59" w:rsidRDefault="00B14B59" w:rsidP="00B14B59">
            <w:pPr>
              <w:spacing w:after="240"/>
              <w:rPr>
                <w:rFonts w:ascii="Arial Narrow" w:eastAsia="Calibri" w:hAnsi="Arial Narrow" w:cs="Times New Roman"/>
                <w:sz w:val="20"/>
                <w:szCs w:val="20"/>
              </w:rPr>
            </w:pPr>
            <w:r w:rsidRPr="00B14B59">
              <w:rPr>
                <w:rFonts w:ascii="Arial Narrow" w:eastAsia="Calibri" w:hAnsi="Arial Narrow" w:cs="Times New Roman"/>
                <w:sz w:val="20"/>
                <w:szCs w:val="20"/>
              </w:rPr>
              <w:t>MBS item XXXX</w:t>
            </w:r>
          </w:p>
          <w:p w14:paraId="7615BB7B" w14:textId="77777777" w:rsidR="00B14B59" w:rsidRPr="00B14B59" w:rsidRDefault="00B14B59" w:rsidP="00B14B59">
            <w:pPr>
              <w:spacing w:after="240"/>
              <w:rPr>
                <w:rFonts w:ascii="Arial Narrow" w:eastAsia="Calibri" w:hAnsi="Arial Narrow" w:cs="Times New Roman"/>
                <w:sz w:val="20"/>
                <w:szCs w:val="20"/>
              </w:rPr>
            </w:pPr>
            <w:r w:rsidRPr="00B14B59">
              <w:rPr>
                <w:rFonts w:ascii="Arial Narrow" w:eastAsia="Calibri" w:hAnsi="Arial Narrow" w:cs="Times New Roman"/>
                <w:sz w:val="20"/>
                <w:szCs w:val="20"/>
                <w:vertAlign w:val="superscript"/>
              </w:rPr>
              <w:t>177</w:t>
            </w:r>
            <w:r w:rsidRPr="00B14B59">
              <w:rPr>
                <w:rFonts w:ascii="Arial Narrow" w:eastAsia="Calibri" w:hAnsi="Arial Narrow" w:cs="Times New Roman"/>
                <w:sz w:val="20"/>
                <w:szCs w:val="20"/>
              </w:rPr>
              <w:t>Lutetium-DOTA-somatostatin receptor agonist treatment for patients with histologically confirmed, locally advanced or metastatic, and inoperable neuroendocrine neoplasms (NENs) with documented disease progression or uncontrolled symptoms related to their NEN despite standard therapy who:</w:t>
            </w:r>
          </w:p>
          <w:p w14:paraId="3AC65F29" w14:textId="77777777" w:rsidR="00B14B59" w:rsidRPr="00B14B59" w:rsidRDefault="00B14B59" w:rsidP="009D7F87">
            <w:pPr>
              <w:numPr>
                <w:ilvl w:val="0"/>
                <w:numId w:val="38"/>
              </w:numPr>
              <w:spacing w:after="120"/>
              <w:ind w:left="714" w:hanging="357"/>
              <w:rPr>
                <w:rFonts w:ascii="Arial Narrow" w:eastAsia="Calibri" w:hAnsi="Arial Narrow" w:cs="Times New Roman"/>
                <w:sz w:val="20"/>
                <w:szCs w:val="20"/>
              </w:rPr>
            </w:pPr>
            <w:r w:rsidRPr="00B14B59">
              <w:rPr>
                <w:rFonts w:ascii="Arial Narrow" w:eastAsia="Calibri" w:hAnsi="Arial Narrow" w:cs="Times New Roman"/>
                <w:sz w:val="20"/>
                <w:szCs w:val="20"/>
              </w:rPr>
              <w:t xml:space="preserve">have high tumour somatostatin receptor expression demonstrated on whole body </w:t>
            </w:r>
            <w:r w:rsidRPr="00B14B59">
              <w:rPr>
                <w:rFonts w:ascii="Arial Narrow" w:eastAsia="Calibri" w:hAnsi="Arial Narrow" w:cs="Times New Roman"/>
                <w:sz w:val="20"/>
                <w:szCs w:val="20"/>
                <w:vertAlign w:val="superscript"/>
              </w:rPr>
              <w:t>68</w:t>
            </w:r>
            <w:r w:rsidRPr="00B14B59">
              <w:rPr>
                <w:rFonts w:ascii="Arial Narrow" w:eastAsia="Calibri" w:hAnsi="Arial Narrow" w:cs="Times New Roman"/>
                <w:sz w:val="20"/>
                <w:szCs w:val="20"/>
              </w:rPr>
              <w:t>Ga DOTA somatostatin agonist PET study; and</w:t>
            </w:r>
          </w:p>
          <w:p w14:paraId="3CEEE33F" w14:textId="00696273" w:rsidR="00B14B59" w:rsidRPr="00B14B59" w:rsidRDefault="00B14B59" w:rsidP="00B14B59">
            <w:pPr>
              <w:numPr>
                <w:ilvl w:val="0"/>
                <w:numId w:val="38"/>
              </w:numPr>
              <w:spacing w:after="240"/>
              <w:rPr>
                <w:rFonts w:ascii="Arial Narrow" w:eastAsia="Calibri" w:hAnsi="Arial Narrow" w:cs="Times New Roman"/>
                <w:sz w:val="20"/>
                <w:szCs w:val="20"/>
              </w:rPr>
            </w:pPr>
            <w:r w:rsidRPr="00B14B59">
              <w:rPr>
                <w:rFonts w:ascii="Arial Narrow" w:eastAsia="Calibri" w:hAnsi="Arial Narrow" w:cs="Times New Roman"/>
                <w:sz w:val="20"/>
                <w:szCs w:val="20"/>
              </w:rPr>
              <w:t xml:space="preserve">are considered suitable for </w:t>
            </w:r>
            <w:r w:rsidRPr="00B14B59">
              <w:rPr>
                <w:rFonts w:ascii="Arial Narrow" w:eastAsia="Calibri" w:hAnsi="Arial Narrow" w:cs="Times New Roman"/>
                <w:sz w:val="20"/>
                <w:szCs w:val="20"/>
                <w:vertAlign w:val="superscript"/>
              </w:rPr>
              <w:t>177</w:t>
            </w:r>
            <w:r w:rsidRPr="00B14B59">
              <w:rPr>
                <w:rFonts w:ascii="Arial Narrow" w:eastAsia="Calibri" w:hAnsi="Arial Narrow" w:cs="Times New Roman"/>
                <w:sz w:val="20"/>
                <w:szCs w:val="20"/>
              </w:rPr>
              <w:t>Lutetium-DOTA-somatostatin receptor agonist therapy by a formally convened neuroendocrine neoplasm multidisciplinary board.</w:t>
            </w:r>
          </w:p>
          <w:p w14:paraId="3390BC7B" w14:textId="77777777" w:rsidR="00B14B59" w:rsidRPr="00B14B59" w:rsidRDefault="00B14B59" w:rsidP="00B14B59">
            <w:pPr>
              <w:spacing w:after="240"/>
              <w:rPr>
                <w:rFonts w:ascii="Arial Narrow" w:eastAsia="Calibri" w:hAnsi="Arial Narrow" w:cs="Times New Roman"/>
                <w:sz w:val="20"/>
                <w:szCs w:val="20"/>
              </w:rPr>
            </w:pPr>
            <w:r w:rsidRPr="00B14B59">
              <w:rPr>
                <w:rFonts w:ascii="Arial Narrow" w:eastAsia="Calibri" w:hAnsi="Arial Narrow" w:cs="Times New Roman"/>
                <w:sz w:val="20"/>
                <w:szCs w:val="20"/>
              </w:rPr>
              <w:t>The item fee is inclusive of necessary patient preparation such as:</w:t>
            </w:r>
          </w:p>
          <w:p w14:paraId="529B974B" w14:textId="77777777" w:rsidR="00B14B59" w:rsidRPr="00B14B59" w:rsidRDefault="00B14B59" w:rsidP="009D7F87">
            <w:pPr>
              <w:numPr>
                <w:ilvl w:val="0"/>
                <w:numId w:val="39"/>
              </w:numPr>
              <w:spacing w:after="120"/>
              <w:ind w:left="714" w:hanging="357"/>
              <w:rPr>
                <w:rFonts w:ascii="Arial Narrow" w:eastAsia="Calibri" w:hAnsi="Arial Narrow" w:cs="Times New Roman"/>
                <w:sz w:val="20"/>
                <w:szCs w:val="20"/>
              </w:rPr>
            </w:pPr>
            <w:r w:rsidRPr="00B14B59">
              <w:rPr>
                <w:rFonts w:ascii="Arial Narrow" w:eastAsia="Calibri" w:hAnsi="Arial Narrow" w:cs="Times New Roman"/>
                <w:sz w:val="20"/>
                <w:szCs w:val="20"/>
              </w:rPr>
              <w:t>patient preparation (including cost of amino acid infusion),</w:t>
            </w:r>
          </w:p>
          <w:p w14:paraId="36080591" w14:textId="77777777" w:rsidR="00B14B59" w:rsidRPr="00B14B59" w:rsidRDefault="00B14B59" w:rsidP="009D7F87">
            <w:pPr>
              <w:numPr>
                <w:ilvl w:val="0"/>
                <w:numId w:val="39"/>
              </w:numPr>
              <w:spacing w:after="120"/>
              <w:ind w:left="714" w:hanging="357"/>
              <w:rPr>
                <w:rFonts w:ascii="Arial Narrow" w:eastAsia="Calibri" w:hAnsi="Arial Narrow" w:cs="Times New Roman"/>
                <w:sz w:val="20"/>
                <w:szCs w:val="20"/>
              </w:rPr>
            </w:pPr>
            <w:r w:rsidRPr="00B14B59">
              <w:rPr>
                <w:rFonts w:ascii="Arial Narrow" w:eastAsia="Calibri" w:hAnsi="Arial Narrow" w:cs="Times New Roman"/>
                <w:sz w:val="20"/>
                <w:szCs w:val="20"/>
              </w:rPr>
              <w:t>radiopharmaceutical preparation and administration,</w:t>
            </w:r>
          </w:p>
          <w:p w14:paraId="6CCA6609" w14:textId="77777777" w:rsidR="00B14B59" w:rsidRPr="00B14B59" w:rsidRDefault="00B14B59" w:rsidP="009D7F87">
            <w:pPr>
              <w:numPr>
                <w:ilvl w:val="0"/>
                <w:numId w:val="39"/>
              </w:numPr>
              <w:spacing w:after="120"/>
              <w:ind w:left="714" w:hanging="357"/>
              <w:rPr>
                <w:rFonts w:ascii="Arial Narrow" w:eastAsia="Calibri" w:hAnsi="Arial Narrow" w:cs="Times New Roman"/>
                <w:sz w:val="20"/>
                <w:szCs w:val="20"/>
              </w:rPr>
            </w:pPr>
            <w:r w:rsidRPr="00B14B59">
              <w:rPr>
                <w:rFonts w:ascii="Arial Narrow" w:eastAsia="Calibri" w:hAnsi="Arial Narrow" w:cs="Times New Roman"/>
                <w:sz w:val="20"/>
                <w:szCs w:val="20"/>
              </w:rPr>
              <w:t>immediate patient aftercare; and</w:t>
            </w:r>
          </w:p>
          <w:p w14:paraId="03199AD4" w14:textId="379EEC0F" w:rsidR="00B14B59" w:rsidRPr="00B14B59" w:rsidRDefault="00B14B59" w:rsidP="00B14B59">
            <w:pPr>
              <w:numPr>
                <w:ilvl w:val="0"/>
                <w:numId w:val="39"/>
              </w:numPr>
              <w:spacing w:after="240"/>
              <w:rPr>
                <w:rFonts w:ascii="Arial Narrow" w:eastAsia="Calibri" w:hAnsi="Arial Narrow" w:cs="Times New Roman"/>
                <w:sz w:val="20"/>
                <w:szCs w:val="20"/>
              </w:rPr>
            </w:pPr>
            <w:r w:rsidRPr="00B14B59">
              <w:rPr>
                <w:rFonts w:ascii="Arial Narrow" w:eastAsia="Calibri" w:hAnsi="Arial Narrow" w:cs="Times New Roman"/>
                <w:sz w:val="20"/>
                <w:szCs w:val="20"/>
              </w:rPr>
              <w:t>post-infusion single photon emission tomography (SPECT) if performed (recommended after every 2nd cycle)</w:t>
            </w:r>
          </w:p>
          <w:p w14:paraId="08556879" w14:textId="77777777" w:rsidR="00B14B59" w:rsidRPr="00B14B59" w:rsidRDefault="00B14B59" w:rsidP="00B14B59">
            <w:pPr>
              <w:spacing w:after="120"/>
              <w:rPr>
                <w:rFonts w:ascii="Arial Narrow" w:eastAsia="Calibri" w:hAnsi="Arial Narrow" w:cs="Times New Roman"/>
                <w:sz w:val="20"/>
                <w:szCs w:val="20"/>
              </w:rPr>
            </w:pPr>
            <w:r w:rsidRPr="00B14B59">
              <w:rPr>
                <w:rFonts w:ascii="Arial Narrow" w:eastAsia="Calibri" w:hAnsi="Arial Narrow" w:cs="Times New Roman"/>
                <w:sz w:val="20"/>
                <w:szCs w:val="20"/>
              </w:rPr>
              <w:t>NOTE: To be finalised but will specify the provider’s qualifications</w:t>
            </w:r>
          </w:p>
        </w:tc>
      </w:tr>
      <w:tr w:rsidR="00B14B59" w:rsidRPr="00B14B59" w14:paraId="134A66E0" w14:textId="77777777" w:rsidTr="00B14B59">
        <w:trPr>
          <w:cantSplit/>
          <w:trHeight w:val="223"/>
          <w:tblHeader/>
        </w:trPr>
        <w:tc>
          <w:tcPr>
            <w:tcW w:w="9016" w:type="dxa"/>
            <w:tcBorders>
              <w:top w:val="single" w:sz="4" w:space="0" w:color="auto"/>
              <w:left w:val="single" w:sz="4" w:space="0" w:color="auto"/>
              <w:bottom w:val="single" w:sz="4" w:space="0" w:color="auto"/>
              <w:right w:val="single" w:sz="4" w:space="0" w:color="auto"/>
            </w:tcBorders>
            <w:hideMark/>
          </w:tcPr>
          <w:p w14:paraId="39191BC0" w14:textId="77777777" w:rsidR="00B14B59" w:rsidRPr="00B14B59" w:rsidRDefault="00B14B59" w:rsidP="00B14B59">
            <w:pPr>
              <w:spacing w:before="0"/>
              <w:rPr>
                <w:rFonts w:ascii="Arial Narrow" w:eastAsia="Calibri" w:hAnsi="Arial Narrow" w:cs="Times New Roman"/>
                <w:sz w:val="20"/>
                <w:szCs w:val="20"/>
              </w:rPr>
            </w:pPr>
            <w:r w:rsidRPr="00B14B59">
              <w:rPr>
                <w:rFonts w:ascii="Arial Narrow" w:eastAsia="Calibri" w:hAnsi="Arial Narrow" w:cs="Times New Roman"/>
                <w:sz w:val="20"/>
                <w:szCs w:val="20"/>
              </w:rPr>
              <w:t>Fee: $10,000</w:t>
            </w:r>
          </w:p>
        </w:tc>
      </w:tr>
    </w:tbl>
    <w:p w14:paraId="48D36577" w14:textId="77777777" w:rsidR="00BE0C24" w:rsidRDefault="00BE0C24" w:rsidP="00FD0B1B">
      <w:pPr>
        <w:spacing w:after="240" w:line="240" w:lineRule="auto"/>
        <w:rPr>
          <w:rFonts w:eastAsia="Calibri" w:cs="Times New Roman"/>
        </w:rPr>
      </w:pPr>
    </w:p>
    <w:tbl>
      <w:tblPr>
        <w:tblStyle w:val="TableGrid"/>
        <w:tblW w:w="0" w:type="auto"/>
        <w:tblLook w:val="04A0" w:firstRow="1" w:lastRow="0" w:firstColumn="1" w:lastColumn="0" w:noHBand="0" w:noVBand="1"/>
      </w:tblPr>
      <w:tblGrid>
        <w:gridCol w:w="9016"/>
      </w:tblGrid>
      <w:tr w:rsidR="004E5F64" w:rsidRPr="004E5F64" w14:paraId="3FEB9938" w14:textId="77777777" w:rsidTr="004E5F64">
        <w:trPr>
          <w:cantSplit/>
          <w:trHeight w:val="350"/>
          <w:tblHeader/>
        </w:trPr>
        <w:tc>
          <w:tcPr>
            <w:tcW w:w="9016" w:type="dxa"/>
            <w:tcBorders>
              <w:top w:val="single" w:sz="4" w:space="0" w:color="auto"/>
              <w:left w:val="single" w:sz="4" w:space="0" w:color="auto"/>
              <w:bottom w:val="single" w:sz="4" w:space="0" w:color="auto"/>
              <w:right w:val="single" w:sz="4" w:space="0" w:color="auto"/>
            </w:tcBorders>
            <w:hideMark/>
          </w:tcPr>
          <w:p w14:paraId="440B4D35" w14:textId="77777777" w:rsidR="004E5F64" w:rsidRPr="004E5F64" w:rsidRDefault="004E5F64" w:rsidP="004E5F64">
            <w:pPr>
              <w:spacing w:after="120"/>
              <w:rPr>
                <w:rFonts w:ascii="Arial Narrow" w:eastAsia="Calibri" w:hAnsi="Arial Narrow"/>
                <w:sz w:val="20"/>
                <w:szCs w:val="20"/>
              </w:rPr>
            </w:pPr>
            <w:r w:rsidRPr="004E5F64">
              <w:rPr>
                <w:rFonts w:ascii="Arial Narrow" w:eastAsia="Calibri" w:hAnsi="Arial Narrow"/>
                <w:b/>
                <w:bCs/>
                <w:sz w:val="20"/>
                <w:szCs w:val="20"/>
              </w:rPr>
              <w:t>Category 5 – Diagnostic Imaging Services</w:t>
            </w:r>
          </w:p>
          <w:p w14:paraId="009DC718" w14:textId="77777777" w:rsidR="004E5F64" w:rsidRPr="004E5F64" w:rsidRDefault="004E5F64" w:rsidP="004E5F64">
            <w:pPr>
              <w:spacing w:after="120"/>
              <w:rPr>
                <w:rFonts w:ascii="Arial Narrow" w:eastAsia="Calibri" w:hAnsi="Arial Narrow"/>
                <w:sz w:val="20"/>
                <w:szCs w:val="20"/>
              </w:rPr>
            </w:pPr>
            <w:r w:rsidRPr="004E5F64">
              <w:rPr>
                <w:rFonts w:ascii="Arial Narrow" w:eastAsia="Calibri" w:hAnsi="Arial Narrow"/>
                <w:b/>
                <w:bCs/>
                <w:sz w:val="20"/>
                <w:szCs w:val="20"/>
              </w:rPr>
              <w:t>Group I4 – Nuclear Medicine Imaging, Subgroup 2 – PET</w:t>
            </w:r>
          </w:p>
        </w:tc>
      </w:tr>
      <w:tr w:rsidR="004E5F64" w:rsidRPr="004E5F64" w14:paraId="77C09987" w14:textId="77777777" w:rsidTr="004E5F64">
        <w:trPr>
          <w:cantSplit/>
          <w:tblHeader/>
        </w:trPr>
        <w:tc>
          <w:tcPr>
            <w:tcW w:w="9016" w:type="dxa"/>
            <w:tcBorders>
              <w:top w:val="single" w:sz="4" w:space="0" w:color="auto"/>
              <w:left w:val="single" w:sz="4" w:space="0" w:color="auto"/>
              <w:bottom w:val="single" w:sz="4" w:space="0" w:color="auto"/>
              <w:right w:val="single" w:sz="4" w:space="0" w:color="auto"/>
            </w:tcBorders>
            <w:hideMark/>
          </w:tcPr>
          <w:p w14:paraId="4C61C758" w14:textId="77777777" w:rsidR="004E5F64" w:rsidRPr="004E5F64" w:rsidRDefault="004E5F64" w:rsidP="004E5F64">
            <w:pPr>
              <w:spacing w:after="240"/>
              <w:rPr>
                <w:rFonts w:ascii="Arial Narrow" w:eastAsia="Calibri" w:hAnsi="Arial Narrow"/>
                <w:sz w:val="20"/>
                <w:szCs w:val="20"/>
              </w:rPr>
            </w:pPr>
            <w:r w:rsidRPr="004E5F64">
              <w:rPr>
                <w:rFonts w:ascii="Arial Narrow" w:eastAsia="Calibri" w:hAnsi="Arial Narrow"/>
                <w:sz w:val="20"/>
                <w:szCs w:val="20"/>
              </w:rPr>
              <w:t>MBS item XXXX</w:t>
            </w:r>
          </w:p>
          <w:p w14:paraId="5E2963A4" w14:textId="77777777" w:rsidR="004E5F64" w:rsidRPr="004E5F64" w:rsidRDefault="004E5F64" w:rsidP="004E5F64">
            <w:pPr>
              <w:spacing w:after="240"/>
              <w:rPr>
                <w:rFonts w:ascii="Arial Narrow" w:eastAsia="Calibri" w:hAnsi="Arial Narrow"/>
                <w:sz w:val="20"/>
                <w:szCs w:val="20"/>
              </w:rPr>
            </w:pPr>
            <w:r w:rsidRPr="004E5F64">
              <w:rPr>
                <w:rFonts w:ascii="Arial Narrow" w:eastAsia="Calibri" w:hAnsi="Arial Narrow"/>
                <w:sz w:val="20"/>
                <w:szCs w:val="20"/>
              </w:rPr>
              <w:t xml:space="preserve">Whole body </w:t>
            </w:r>
            <w:r w:rsidRPr="004E5F64">
              <w:rPr>
                <w:rFonts w:ascii="Arial Narrow" w:eastAsia="Calibri" w:hAnsi="Arial Narrow"/>
                <w:sz w:val="20"/>
                <w:szCs w:val="20"/>
                <w:vertAlign w:val="superscript"/>
              </w:rPr>
              <w:t>68</w:t>
            </w:r>
            <w:r w:rsidRPr="004E5F64">
              <w:rPr>
                <w:rFonts w:ascii="Arial Narrow" w:eastAsia="Calibri" w:hAnsi="Arial Narrow"/>
                <w:sz w:val="20"/>
                <w:szCs w:val="20"/>
              </w:rPr>
              <w:t>Ga-DOTA-octreotate or somatostatin receptor agonist PET study of patients with histologically confirmed, locally advanced or metastatic, and inoperable neuroendocrine neoplasms (NENs) with</w:t>
            </w:r>
          </w:p>
          <w:p w14:paraId="74E08143" w14:textId="77777777" w:rsidR="004E5F64" w:rsidRPr="004E5F64" w:rsidRDefault="004E5F64" w:rsidP="00F2205F">
            <w:pPr>
              <w:numPr>
                <w:ilvl w:val="0"/>
                <w:numId w:val="40"/>
              </w:numPr>
              <w:spacing w:after="120"/>
              <w:ind w:left="714" w:hanging="357"/>
              <w:rPr>
                <w:rFonts w:ascii="Arial Narrow" w:eastAsia="Calibri" w:hAnsi="Arial Narrow"/>
                <w:sz w:val="20"/>
                <w:szCs w:val="20"/>
              </w:rPr>
            </w:pPr>
            <w:r w:rsidRPr="004E5F64">
              <w:rPr>
                <w:rFonts w:ascii="Arial Narrow" w:eastAsia="Calibri" w:hAnsi="Arial Narrow"/>
                <w:sz w:val="20"/>
                <w:szCs w:val="20"/>
              </w:rPr>
              <w:t>Localisation of functioning (hormonally active) NEN when conventional imaging negative or equivocal; or</w:t>
            </w:r>
          </w:p>
          <w:p w14:paraId="63CBDCC0" w14:textId="77777777" w:rsidR="004E5F64" w:rsidRPr="004E5F64" w:rsidRDefault="004E5F64" w:rsidP="00F2205F">
            <w:pPr>
              <w:numPr>
                <w:ilvl w:val="0"/>
                <w:numId w:val="40"/>
              </w:numPr>
              <w:spacing w:after="120"/>
              <w:ind w:left="714" w:hanging="357"/>
              <w:rPr>
                <w:rFonts w:ascii="Arial Narrow" w:eastAsia="Calibri" w:hAnsi="Arial Narrow"/>
                <w:sz w:val="20"/>
                <w:szCs w:val="20"/>
              </w:rPr>
            </w:pPr>
            <w:r w:rsidRPr="004E5F64">
              <w:rPr>
                <w:rFonts w:ascii="Arial Narrow" w:eastAsia="Calibri" w:hAnsi="Arial Narrow"/>
                <w:sz w:val="20"/>
                <w:szCs w:val="20"/>
              </w:rPr>
              <w:t>Staging of histologically confirmed NEN considered surgically curable on conventional imaging, or</w:t>
            </w:r>
          </w:p>
          <w:p w14:paraId="1EE0A3DE" w14:textId="77777777" w:rsidR="004E5F64" w:rsidRPr="004E5F64" w:rsidRDefault="004E5F64" w:rsidP="00F2205F">
            <w:pPr>
              <w:numPr>
                <w:ilvl w:val="0"/>
                <w:numId w:val="40"/>
              </w:numPr>
              <w:spacing w:after="120"/>
              <w:ind w:left="714" w:hanging="357"/>
              <w:rPr>
                <w:rFonts w:ascii="Arial Narrow" w:eastAsia="Calibri" w:hAnsi="Arial Narrow"/>
                <w:sz w:val="20"/>
                <w:szCs w:val="20"/>
              </w:rPr>
            </w:pPr>
            <w:r w:rsidRPr="004E5F64">
              <w:rPr>
                <w:rFonts w:ascii="Arial Narrow" w:eastAsia="Calibri" w:hAnsi="Arial Narrow"/>
                <w:sz w:val="20"/>
                <w:szCs w:val="20"/>
              </w:rPr>
              <w:t>Evaluation of somatostatin analogue (SSA) avidity (SSTR-2 expression) of NEN under consideration for peptide receptor radionuclide therapy (PRRT); or</w:t>
            </w:r>
          </w:p>
          <w:p w14:paraId="2AFB47A1" w14:textId="77777777" w:rsidR="004E5F64" w:rsidRPr="004E5F64" w:rsidRDefault="004E5F64" w:rsidP="00F2205F">
            <w:pPr>
              <w:numPr>
                <w:ilvl w:val="0"/>
                <w:numId w:val="40"/>
              </w:numPr>
              <w:spacing w:after="120"/>
              <w:ind w:left="714" w:hanging="357"/>
              <w:rPr>
                <w:rFonts w:ascii="Arial Narrow" w:eastAsia="Calibri" w:hAnsi="Arial Narrow"/>
                <w:sz w:val="20"/>
                <w:szCs w:val="20"/>
              </w:rPr>
            </w:pPr>
            <w:r w:rsidRPr="004E5F64">
              <w:rPr>
                <w:rFonts w:ascii="Arial Narrow" w:eastAsia="Calibri" w:hAnsi="Arial Narrow"/>
                <w:sz w:val="20"/>
                <w:szCs w:val="20"/>
              </w:rPr>
              <w:t>Evaluation of response to PRRT therapy; or</w:t>
            </w:r>
          </w:p>
          <w:p w14:paraId="04F7A603" w14:textId="77777777" w:rsidR="004E5F64" w:rsidRPr="004E5F64" w:rsidRDefault="004E5F64" w:rsidP="004E5F64">
            <w:pPr>
              <w:numPr>
                <w:ilvl w:val="0"/>
                <w:numId w:val="40"/>
              </w:numPr>
              <w:spacing w:after="240"/>
              <w:rPr>
                <w:rFonts w:ascii="Arial Narrow" w:eastAsia="Calibri" w:hAnsi="Arial Narrow"/>
                <w:sz w:val="20"/>
                <w:szCs w:val="20"/>
              </w:rPr>
            </w:pPr>
            <w:r w:rsidRPr="004E5F64">
              <w:rPr>
                <w:rFonts w:ascii="Arial Narrow" w:eastAsia="Calibri" w:hAnsi="Arial Narrow"/>
                <w:sz w:val="20"/>
                <w:szCs w:val="20"/>
              </w:rPr>
              <w:t>Evaluation of suspected recurrent/metastatic disease in known SSA-avid (H-SSTR) NEN</w:t>
            </w:r>
          </w:p>
          <w:p w14:paraId="2BA86F3F" w14:textId="77777777" w:rsidR="004E5F64" w:rsidRPr="004E5F64" w:rsidRDefault="004E5F64" w:rsidP="004E5F64">
            <w:pPr>
              <w:spacing w:after="120"/>
              <w:rPr>
                <w:rFonts w:ascii="Arial Narrow" w:eastAsia="Calibri" w:hAnsi="Arial Narrow"/>
                <w:sz w:val="20"/>
                <w:szCs w:val="20"/>
              </w:rPr>
            </w:pPr>
            <w:r w:rsidRPr="004E5F64">
              <w:rPr>
                <w:rFonts w:ascii="Arial Narrow" w:eastAsia="Calibri" w:hAnsi="Arial Narrow"/>
                <w:sz w:val="20"/>
                <w:szCs w:val="20"/>
              </w:rPr>
              <w:t>when referred by a specialist or consultant physician.</w:t>
            </w:r>
          </w:p>
        </w:tc>
      </w:tr>
      <w:tr w:rsidR="004E5F64" w:rsidRPr="004E5F64" w14:paraId="40E18C30" w14:textId="77777777" w:rsidTr="004E5F64">
        <w:trPr>
          <w:cantSplit/>
          <w:trHeight w:val="223"/>
          <w:tblHeader/>
        </w:trPr>
        <w:tc>
          <w:tcPr>
            <w:tcW w:w="9016" w:type="dxa"/>
            <w:tcBorders>
              <w:top w:val="single" w:sz="4" w:space="0" w:color="auto"/>
              <w:left w:val="single" w:sz="4" w:space="0" w:color="auto"/>
              <w:bottom w:val="single" w:sz="4" w:space="0" w:color="auto"/>
              <w:right w:val="single" w:sz="4" w:space="0" w:color="auto"/>
            </w:tcBorders>
            <w:hideMark/>
          </w:tcPr>
          <w:p w14:paraId="32CEC17C" w14:textId="77777777" w:rsidR="004E5F64" w:rsidRPr="004E5F64" w:rsidRDefault="004E5F64" w:rsidP="004E5F64">
            <w:pPr>
              <w:spacing w:before="0"/>
              <w:rPr>
                <w:rFonts w:ascii="Arial Narrow" w:eastAsia="Calibri" w:hAnsi="Arial Narrow"/>
                <w:sz w:val="20"/>
                <w:szCs w:val="20"/>
              </w:rPr>
            </w:pPr>
            <w:r w:rsidRPr="004E5F64">
              <w:rPr>
                <w:rFonts w:ascii="Arial Narrow" w:eastAsia="Calibri" w:hAnsi="Arial Narrow"/>
                <w:sz w:val="20"/>
                <w:szCs w:val="20"/>
              </w:rPr>
              <w:t>Fee: $953</w:t>
            </w:r>
          </w:p>
        </w:tc>
      </w:tr>
    </w:tbl>
    <w:p w14:paraId="1352B2E3" w14:textId="77777777" w:rsidR="00353770" w:rsidRDefault="00353770">
      <w:pPr>
        <w:spacing w:before="0"/>
        <w:rPr>
          <w:rFonts w:eastAsia="Calibri" w:cs="Times New Roman"/>
        </w:rPr>
      </w:pPr>
      <w:r>
        <w:rPr>
          <w:rFonts w:eastAsia="Calibri" w:cs="Times New Roman"/>
        </w:rPr>
        <w:br w:type="page"/>
      </w:r>
    </w:p>
    <w:tbl>
      <w:tblPr>
        <w:tblStyle w:val="TableGrid"/>
        <w:tblW w:w="0" w:type="auto"/>
        <w:tblLook w:val="04A0" w:firstRow="1" w:lastRow="0" w:firstColumn="1" w:lastColumn="0" w:noHBand="0" w:noVBand="1"/>
        <w:tblDescription w:val="Consumer summary of MSAC consideration"/>
      </w:tblPr>
      <w:tblGrid>
        <w:gridCol w:w="9016"/>
      </w:tblGrid>
      <w:tr w:rsidR="00DB557F" w:rsidRPr="00DB557F" w14:paraId="5D5D8BF2" w14:textId="77777777" w:rsidTr="00DB557F">
        <w:trPr>
          <w:tblHeader/>
        </w:trPr>
        <w:tc>
          <w:tcPr>
            <w:tcW w:w="9016" w:type="dxa"/>
            <w:tcBorders>
              <w:top w:val="single" w:sz="4" w:space="0" w:color="auto"/>
              <w:left w:val="single" w:sz="4" w:space="0" w:color="auto"/>
              <w:bottom w:val="single" w:sz="4" w:space="0" w:color="auto"/>
              <w:right w:val="single" w:sz="4" w:space="0" w:color="auto"/>
            </w:tcBorders>
            <w:hideMark/>
          </w:tcPr>
          <w:p w14:paraId="0EC958BA" w14:textId="460389D7" w:rsidR="00DB557F" w:rsidRPr="00DB557F" w:rsidRDefault="00DB557F" w:rsidP="00DB557F">
            <w:pPr>
              <w:spacing w:after="120"/>
              <w:rPr>
                <w:rFonts w:eastAsia="Calibri" w:cs="Times New Roman"/>
                <w:b/>
                <w:bCs/>
                <w:iCs/>
                <w:sz w:val="24"/>
                <w:szCs w:val="24"/>
              </w:rPr>
            </w:pPr>
            <w:r w:rsidRPr="00DB557F">
              <w:rPr>
                <w:rFonts w:eastAsia="Calibri" w:cs="Times New Roman"/>
                <w:b/>
                <w:bCs/>
                <w:sz w:val="24"/>
                <w:szCs w:val="24"/>
              </w:rPr>
              <w:lastRenderedPageBreak/>
              <w:t>Consumer summary</w:t>
            </w:r>
            <w:r w:rsidR="00485F38">
              <w:rPr>
                <w:rFonts w:eastAsia="Calibri" w:cs="Times New Roman"/>
                <w:b/>
                <w:bCs/>
                <w:sz w:val="24"/>
                <w:szCs w:val="24"/>
              </w:rPr>
              <w:t xml:space="preserve"> - </w:t>
            </w:r>
            <w:r w:rsidR="00485F38" w:rsidRPr="00510500">
              <w:rPr>
                <w:rFonts w:eastAsia="Calibri" w:cs="Times New Roman"/>
                <w:b/>
                <w:bCs/>
              </w:rPr>
              <w:t>November 2024 MSAC consideration</w:t>
            </w:r>
          </w:p>
        </w:tc>
      </w:tr>
      <w:tr w:rsidR="00DB557F" w:rsidRPr="00DB557F" w14:paraId="02BAFC6B" w14:textId="77777777" w:rsidTr="00DB557F">
        <w:tc>
          <w:tcPr>
            <w:tcW w:w="9016" w:type="dxa"/>
            <w:tcBorders>
              <w:top w:val="single" w:sz="4" w:space="0" w:color="auto"/>
              <w:left w:val="single" w:sz="4" w:space="0" w:color="auto"/>
              <w:bottom w:val="single" w:sz="4" w:space="0" w:color="auto"/>
              <w:right w:val="single" w:sz="4" w:space="0" w:color="auto"/>
            </w:tcBorders>
            <w:hideMark/>
          </w:tcPr>
          <w:p w14:paraId="68CE9B7A" w14:textId="6E18E392" w:rsidR="00DB557F" w:rsidRPr="00DB557F" w:rsidRDefault="00DB557F" w:rsidP="00DB557F">
            <w:pPr>
              <w:spacing w:after="240"/>
              <w:rPr>
                <w:rFonts w:eastAsia="Calibri" w:cs="Times New Roman"/>
              </w:rPr>
            </w:pPr>
            <w:r w:rsidRPr="00DB557F">
              <w:rPr>
                <w:rFonts w:eastAsia="Calibri" w:cs="Times New Roman"/>
              </w:rPr>
              <w:t xml:space="preserve">This is an application from Applied Molecular Therapies requesting Medicare Benefits Schedule (MBS) listing of </w:t>
            </w:r>
            <w:r w:rsidRPr="00DB557F">
              <w:rPr>
                <w:rFonts w:eastAsia="Calibri" w:cs="Times New Roman"/>
                <w:vertAlign w:val="superscript"/>
              </w:rPr>
              <w:t>177</w:t>
            </w:r>
            <w:r w:rsidRPr="00DB557F">
              <w:rPr>
                <w:rFonts w:eastAsia="Calibri" w:cs="Times New Roman"/>
              </w:rPr>
              <w:t>Lutetium-DOTA-octreotate (</w:t>
            </w:r>
            <w:r w:rsidRPr="00DB557F">
              <w:rPr>
                <w:rFonts w:eastAsia="Calibri" w:cs="Times New Roman"/>
                <w:vertAlign w:val="superscript"/>
              </w:rPr>
              <w:t>177</w:t>
            </w:r>
            <w:r w:rsidRPr="00DB557F">
              <w:rPr>
                <w:rFonts w:eastAsia="Calibri" w:cs="Times New Roman"/>
              </w:rPr>
              <w:t xml:space="preserve">Lu-DOTA-octreotate) for the treatment of advanced neuroendocrine neoplasms and other high somatostatin receptor expressing tumours. This application also requests </w:t>
            </w:r>
            <w:r w:rsidR="00362437">
              <w:rPr>
                <w:rFonts w:eastAsia="Calibri" w:cs="Times New Roman"/>
              </w:rPr>
              <w:t>a new</w:t>
            </w:r>
            <w:r w:rsidRPr="00DB557F">
              <w:rPr>
                <w:rFonts w:eastAsia="Calibri" w:cs="Times New Roman"/>
              </w:rPr>
              <w:t xml:space="preserve"> MBS item </w:t>
            </w:r>
            <w:r w:rsidR="00362437">
              <w:rPr>
                <w:rFonts w:eastAsia="Calibri" w:cs="Times New Roman"/>
              </w:rPr>
              <w:t xml:space="preserve">for </w:t>
            </w:r>
            <w:r w:rsidRPr="00DB557F">
              <w:rPr>
                <w:rFonts w:eastAsia="Calibri" w:cs="Times New Roman"/>
                <w:vertAlign w:val="superscript"/>
              </w:rPr>
              <w:t>68</w:t>
            </w:r>
            <w:proofErr w:type="gramStart"/>
            <w:r w:rsidRPr="00DB557F">
              <w:rPr>
                <w:rFonts w:eastAsia="Calibri" w:cs="Times New Roman"/>
              </w:rPr>
              <w:t>Gallium[</w:t>
            </w:r>
            <w:proofErr w:type="gramEnd"/>
            <w:r w:rsidRPr="00DB557F">
              <w:rPr>
                <w:rFonts w:eastAsia="Calibri" w:cs="Times New Roman"/>
              </w:rPr>
              <w:t>Ga]-DOTA-</w:t>
            </w:r>
            <w:proofErr w:type="spellStart"/>
            <w:r w:rsidRPr="00DB557F">
              <w:rPr>
                <w:rFonts w:eastAsia="Calibri" w:cs="Times New Roman"/>
              </w:rPr>
              <w:t>octreotate</w:t>
            </w:r>
            <w:proofErr w:type="spellEnd"/>
            <w:r w:rsidRPr="00DB557F">
              <w:rPr>
                <w:rFonts w:eastAsia="Calibri" w:cs="Times New Roman"/>
              </w:rPr>
              <w:t xml:space="preserve"> somatostatin receptor positron emission tomography [PET] / computed tomography [CT])</w:t>
            </w:r>
            <w:r w:rsidR="000222E5">
              <w:rPr>
                <w:rFonts w:eastAsia="Calibri" w:cs="Times New Roman"/>
              </w:rPr>
              <w:t xml:space="preserve"> </w:t>
            </w:r>
            <w:r w:rsidRPr="00DB557F">
              <w:rPr>
                <w:rFonts w:eastAsia="Calibri" w:cs="Times New Roman"/>
              </w:rPr>
              <w:t>to determine eligibility for therapy and/or to monitor response to therapy.</w:t>
            </w:r>
          </w:p>
          <w:p w14:paraId="592F8BFC" w14:textId="4155C27C" w:rsidR="00DB557F" w:rsidRPr="00DB557F" w:rsidRDefault="00DB557F" w:rsidP="00DB557F">
            <w:pPr>
              <w:spacing w:after="240"/>
              <w:rPr>
                <w:rFonts w:eastAsia="Calibri" w:cs="Times New Roman"/>
              </w:rPr>
            </w:pPr>
            <w:r w:rsidRPr="00DB557F">
              <w:rPr>
                <w:rFonts w:eastAsia="Calibri" w:cs="Times New Roman"/>
              </w:rPr>
              <w:t>Neuroendocrine neoplasms or tumours are a rare type of cancer that form in neuroendocrine cells</w:t>
            </w:r>
            <w:r w:rsidR="002B60DC">
              <w:rPr>
                <w:rFonts w:eastAsia="Calibri" w:cs="Times New Roman"/>
              </w:rPr>
              <w:t xml:space="preserve">. </w:t>
            </w:r>
            <w:r w:rsidRPr="00DB557F">
              <w:rPr>
                <w:rFonts w:eastAsia="Calibri" w:cs="Times New Roman"/>
              </w:rPr>
              <w:t xml:space="preserve">Neuroendocrine cells are </w:t>
            </w:r>
            <w:r w:rsidR="002B60DC">
              <w:rPr>
                <w:rFonts w:eastAsia="Calibri" w:cs="Times New Roman"/>
              </w:rPr>
              <w:t xml:space="preserve">found throughout the body and form </w:t>
            </w:r>
            <w:r w:rsidRPr="00DB557F">
              <w:rPr>
                <w:rFonts w:eastAsia="Calibri" w:cs="Times New Roman"/>
              </w:rPr>
              <w:t>part</w:t>
            </w:r>
            <w:r w:rsidR="007918C5">
              <w:rPr>
                <w:rFonts w:eastAsia="Calibri" w:cs="Times New Roman"/>
              </w:rPr>
              <w:t xml:space="preserve"> of</w:t>
            </w:r>
            <w:r w:rsidRPr="00DB557F">
              <w:rPr>
                <w:rFonts w:eastAsia="Calibri" w:cs="Times New Roman"/>
              </w:rPr>
              <w:t xml:space="preserve"> a network of glands and nerve cells that make hormones and release them into the bloodstream. Neuroendocrine tumours cause the cells to release more hormones than normal, which can </w:t>
            </w:r>
            <w:r w:rsidR="002B60DC">
              <w:rPr>
                <w:rFonts w:eastAsia="Calibri" w:cs="Times New Roman"/>
              </w:rPr>
              <w:t xml:space="preserve">cause significant problems and </w:t>
            </w:r>
            <w:r w:rsidRPr="00DB557F">
              <w:rPr>
                <w:rFonts w:eastAsia="Calibri" w:cs="Times New Roman"/>
              </w:rPr>
              <w:t>worsen the person’s quality of life. High-grade tumours can affect organ function and lead to death.</w:t>
            </w:r>
          </w:p>
          <w:p w14:paraId="101A1545" w14:textId="1212ED76" w:rsidR="00DB557F" w:rsidRPr="00DB557F" w:rsidRDefault="00DB557F" w:rsidP="00DB557F">
            <w:pPr>
              <w:spacing w:after="240"/>
              <w:rPr>
                <w:rFonts w:eastAsia="Calibri" w:cs="Times New Roman"/>
              </w:rPr>
            </w:pPr>
            <w:r w:rsidRPr="00DB557F">
              <w:rPr>
                <w:rFonts w:eastAsia="Calibri" w:cs="Times New Roman"/>
              </w:rPr>
              <w:t xml:space="preserve">Some neuroendocrine tumour cells have specific </w:t>
            </w:r>
            <w:r w:rsidR="002B60DC">
              <w:rPr>
                <w:rFonts w:eastAsia="Calibri" w:cs="Times New Roman"/>
              </w:rPr>
              <w:t>receptor</w:t>
            </w:r>
            <w:r w:rsidR="002B60DC" w:rsidRPr="00DB557F">
              <w:rPr>
                <w:rFonts w:eastAsia="Calibri" w:cs="Times New Roman"/>
              </w:rPr>
              <w:t xml:space="preserve">s </w:t>
            </w:r>
            <w:r w:rsidRPr="00DB557F">
              <w:rPr>
                <w:rFonts w:eastAsia="Calibri" w:cs="Times New Roman"/>
              </w:rPr>
              <w:t>on their surface</w:t>
            </w:r>
            <w:r w:rsidR="002B60DC">
              <w:rPr>
                <w:rFonts w:eastAsia="Calibri" w:cs="Times New Roman"/>
              </w:rPr>
              <w:t>,</w:t>
            </w:r>
            <w:r w:rsidRPr="00DB557F">
              <w:rPr>
                <w:rFonts w:eastAsia="Calibri" w:cs="Times New Roman"/>
              </w:rPr>
              <w:t xml:space="preserve"> called somatostatin receptors. The receptors can be detected by a special type of scan (PET/CT scan). If the scan finds that a patient’s tumour cells have a high number of somatostatin receptors, they may be eligible for a new treatment containing Lutetium. Lutetium is a radioactive chemical. The treatment containing Lutetium is designed to stick to the somatostatin receptors on the surface of the tumour cells. The Lutetium is then able to enter the tumour cell and kill it. The number of doses of the </w:t>
            </w:r>
            <w:r w:rsidR="002B60DC">
              <w:rPr>
                <w:rFonts w:eastAsia="Calibri" w:cs="Times New Roman"/>
              </w:rPr>
              <w:t xml:space="preserve">Lutetium </w:t>
            </w:r>
            <w:r w:rsidRPr="00DB557F">
              <w:rPr>
                <w:rFonts w:eastAsia="Calibri" w:cs="Times New Roman"/>
              </w:rPr>
              <w:t>treatment that a person needs depends on the grade or severity of their cancer.</w:t>
            </w:r>
          </w:p>
          <w:p w14:paraId="53AEBFEC" w14:textId="5C58E50C" w:rsidR="00DB557F" w:rsidRPr="00DB557F" w:rsidRDefault="00DB557F" w:rsidP="00DB557F">
            <w:pPr>
              <w:spacing w:after="240"/>
              <w:rPr>
                <w:rFonts w:eastAsia="Calibri" w:cs="Times New Roman"/>
              </w:rPr>
            </w:pPr>
            <w:r w:rsidRPr="00DB557F">
              <w:rPr>
                <w:rFonts w:eastAsia="Calibri" w:cs="Times New Roman"/>
              </w:rPr>
              <w:t xml:space="preserve">MSAC had considered this application at its meeting in August 2024. Although the evidence had suggested that </w:t>
            </w:r>
            <w:r w:rsidRPr="00DB557F">
              <w:rPr>
                <w:rFonts w:eastAsia="Calibri" w:cs="Times New Roman"/>
                <w:vertAlign w:val="superscript"/>
              </w:rPr>
              <w:t>177</w:t>
            </w:r>
            <w:r w:rsidRPr="00DB557F">
              <w:rPr>
                <w:rFonts w:eastAsia="Calibri" w:cs="Times New Roman"/>
              </w:rPr>
              <w:t xml:space="preserve">Lu-DOTA-octreotate is more effective and just as safe as other treatments and is good value for money, this </w:t>
            </w:r>
            <w:proofErr w:type="gramStart"/>
            <w:r w:rsidRPr="00DB557F">
              <w:rPr>
                <w:rFonts w:eastAsia="Calibri" w:cs="Times New Roman"/>
              </w:rPr>
              <w:t>was based on the assumption</w:t>
            </w:r>
            <w:proofErr w:type="gramEnd"/>
            <w:r w:rsidRPr="00DB557F">
              <w:rPr>
                <w:rFonts w:eastAsia="Calibri" w:cs="Times New Roman"/>
              </w:rPr>
              <w:t xml:space="preserve"> that </w:t>
            </w:r>
            <w:r w:rsidRPr="00DB557F">
              <w:rPr>
                <w:rFonts w:eastAsia="Calibri" w:cs="Times New Roman"/>
                <w:vertAlign w:val="superscript"/>
              </w:rPr>
              <w:t>177</w:t>
            </w:r>
            <w:r w:rsidRPr="00DB557F">
              <w:rPr>
                <w:rFonts w:eastAsia="Calibri" w:cs="Times New Roman"/>
              </w:rPr>
              <w:t xml:space="preserve">Lu-DOTA-octreotate was chemically identical to another product </w:t>
            </w:r>
            <w:r w:rsidR="00FA4EA5" w:rsidRPr="00FA4EA5">
              <w:rPr>
                <w:rFonts w:eastAsia="Calibri" w:cs="Times New Roman"/>
                <w:vertAlign w:val="superscript"/>
              </w:rPr>
              <w:t>177</w:t>
            </w:r>
            <w:r w:rsidR="00FA4EA5" w:rsidRPr="00FA4EA5">
              <w:rPr>
                <w:rFonts w:eastAsia="Calibri" w:cs="Times New Roman"/>
              </w:rPr>
              <w:t>Lu-DOTATATE</w:t>
            </w:r>
            <w:r w:rsidRPr="00DB557F">
              <w:rPr>
                <w:rFonts w:eastAsia="Calibri" w:cs="Times New Roman"/>
              </w:rPr>
              <w:t xml:space="preserve">. MSAC </w:t>
            </w:r>
            <w:r w:rsidR="00C91ABE">
              <w:rPr>
                <w:rFonts w:eastAsia="Calibri" w:cs="Times New Roman"/>
              </w:rPr>
              <w:t xml:space="preserve">previously </w:t>
            </w:r>
            <w:r w:rsidRPr="00DB557F">
              <w:rPr>
                <w:rFonts w:eastAsia="Calibri" w:cs="Times New Roman"/>
              </w:rPr>
              <w:t>could not be sure that the products were chemically identical, so deferred its decision so that it could seek expert advice from radiochemists.</w:t>
            </w:r>
          </w:p>
          <w:p w14:paraId="7205A1FD" w14:textId="0A7B7A6D" w:rsidR="00DB557F" w:rsidRPr="00DB557F" w:rsidRDefault="00DB557F" w:rsidP="00DB557F">
            <w:pPr>
              <w:spacing w:after="240"/>
              <w:rPr>
                <w:rFonts w:eastAsia="Calibri" w:cs="Times New Roman"/>
              </w:rPr>
            </w:pPr>
            <w:r w:rsidRPr="003A66D3">
              <w:rPr>
                <w:rFonts w:eastAsia="Calibri" w:cs="Times New Roman"/>
              </w:rPr>
              <w:t xml:space="preserve">MSAC received the advice from </w:t>
            </w:r>
            <w:r w:rsidR="002B60DC">
              <w:rPr>
                <w:rFonts w:eastAsia="Calibri" w:cs="Times New Roman"/>
              </w:rPr>
              <w:t xml:space="preserve">two separate </w:t>
            </w:r>
            <w:r w:rsidRPr="003A66D3">
              <w:rPr>
                <w:rFonts w:eastAsia="Calibri" w:cs="Times New Roman"/>
              </w:rPr>
              <w:t xml:space="preserve">radiochemists, who </w:t>
            </w:r>
            <w:r w:rsidR="002B60DC">
              <w:rPr>
                <w:rFonts w:eastAsia="Calibri" w:cs="Times New Roman"/>
              </w:rPr>
              <w:t xml:space="preserve">both independently </w:t>
            </w:r>
            <w:r w:rsidRPr="003A66D3">
              <w:rPr>
                <w:rFonts w:eastAsia="Calibri" w:cs="Times New Roman"/>
              </w:rPr>
              <w:t>confirmed that the</w:t>
            </w:r>
            <w:r w:rsidR="003A66D3" w:rsidRPr="003A66D3">
              <w:rPr>
                <w:rFonts w:eastAsia="Calibri" w:cs="Times New Roman"/>
              </w:rPr>
              <w:t xml:space="preserve"> chemical structures of </w:t>
            </w:r>
            <w:r w:rsidR="003F18D1" w:rsidRPr="003A66D3">
              <w:rPr>
                <w:rFonts w:eastAsia="Calibri" w:cs="Times New Roman"/>
              </w:rPr>
              <w:t>the two</w:t>
            </w:r>
            <w:r w:rsidRPr="003A66D3">
              <w:rPr>
                <w:rFonts w:eastAsia="Calibri" w:cs="Times New Roman"/>
              </w:rPr>
              <w:t> products</w:t>
            </w:r>
            <w:r w:rsidR="003A66D3" w:rsidRPr="003A66D3">
              <w:rPr>
                <w:rFonts w:eastAsia="Calibri" w:cs="Times New Roman"/>
              </w:rPr>
              <w:t xml:space="preserve"> were identical</w:t>
            </w:r>
            <w:bookmarkStart w:id="3" w:name="_Ref187670637"/>
            <w:r w:rsidR="00450847" w:rsidRPr="003A66D3">
              <w:rPr>
                <w:rStyle w:val="FootnoteReference"/>
                <w:rFonts w:eastAsia="Calibri" w:cs="Times New Roman"/>
              </w:rPr>
              <w:footnoteReference w:id="2"/>
            </w:r>
            <w:bookmarkEnd w:id="3"/>
            <w:r w:rsidRPr="003A66D3">
              <w:rPr>
                <w:rFonts w:eastAsia="Calibri" w:cs="Times New Roman"/>
              </w:rPr>
              <w:t>. This meant that MSAC’s previous conclusions</w:t>
            </w:r>
            <w:r w:rsidR="00307C32" w:rsidRPr="003A66D3">
              <w:rPr>
                <w:rFonts w:eastAsia="Calibri" w:cs="Times New Roman"/>
              </w:rPr>
              <w:t xml:space="preserve"> for </w:t>
            </w:r>
            <w:r w:rsidR="00307C32" w:rsidRPr="003A66D3">
              <w:rPr>
                <w:rFonts w:eastAsia="Calibri" w:cs="Times New Roman"/>
                <w:vertAlign w:val="superscript"/>
              </w:rPr>
              <w:t>177</w:t>
            </w:r>
            <w:r w:rsidR="00307C32" w:rsidRPr="003A66D3">
              <w:rPr>
                <w:rFonts w:eastAsia="Calibri" w:cs="Times New Roman"/>
              </w:rPr>
              <w:t>Lu-DOTATATE</w:t>
            </w:r>
            <w:r w:rsidRPr="003A66D3">
              <w:rPr>
                <w:rFonts w:eastAsia="Calibri" w:cs="Times New Roman"/>
              </w:rPr>
              <w:t xml:space="preserve"> were applicable to the </w:t>
            </w:r>
            <w:r w:rsidRPr="003A66D3">
              <w:rPr>
                <w:rFonts w:eastAsia="Calibri" w:cs="Times New Roman"/>
                <w:vertAlign w:val="superscript"/>
              </w:rPr>
              <w:t>177</w:t>
            </w:r>
            <w:r w:rsidRPr="003A66D3">
              <w:rPr>
                <w:rFonts w:eastAsia="Calibri" w:cs="Times New Roman"/>
              </w:rPr>
              <w:t xml:space="preserve">Lu-DOTA-octreotate product in this application. Therefore, MSAC supported public funding for this treatment for advanced neuroendocrine neoplasms. It also supported </w:t>
            </w:r>
            <w:r w:rsidR="00A30947" w:rsidRPr="003A66D3">
              <w:rPr>
                <w:rFonts w:eastAsia="Calibri" w:cs="Times New Roman"/>
              </w:rPr>
              <w:t>an MBS</w:t>
            </w:r>
            <w:r w:rsidRPr="003A66D3" w:rsidDel="001647C6">
              <w:rPr>
                <w:rFonts w:eastAsia="Calibri" w:cs="Times New Roman"/>
              </w:rPr>
              <w:t xml:space="preserve"> </w:t>
            </w:r>
            <w:r w:rsidRPr="003A66D3">
              <w:rPr>
                <w:rFonts w:eastAsia="Calibri" w:cs="Times New Roman"/>
              </w:rPr>
              <w:t>item</w:t>
            </w:r>
            <w:r w:rsidR="001647C6" w:rsidRPr="003A66D3">
              <w:rPr>
                <w:rFonts w:eastAsia="Calibri" w:cs="Times New Roman"/>
              </w:rPr>
              <w:t xml:space="preserve"> for </w:t>
            </w:r>
            <w:r w:rsidR="00A30947" w:rsidRPr="003A66D3">
              <w:rPr>
                <w:rFonts w:eastAsia="Calibri" w:cs="Times New Roman"/>
              </w:rPr>
              <w:t>a PET/CT</w:t>
            </w:r>
            <w:r w:rsidR="001647C6" w:rsidRPr="003A66D3">
              <w:rPr>
                <w:rFonts w:eastAsia="Calibri" w:cs="Times New Roman"/>
              </w:rPr>
              <w:t xml:space="preserve"> scan</w:t>
            </w:r>
            <w:r w:rsidRPr="003A66D3">
              <w:rPr>
                <w:rFonts w:eastAsia="Calibri" w:cs="Times New Roman"/>
              </w:rPr>
              <w:t xml:space="preserve"> so that it could be used to assess a patient’s suitability and response to the therapy, as well as </w:t>
            </w:r>
            <w:r w:rsidR="00B91511" w:rsidRPr="003A66D3">
              <w:rPr>
                <w:rFonts w:eastAsia="Calibri" w:cs="Times New Roman"/>
              </w:rPr>
              <w:t xml:space="preserve">checking </w:t>
            </w:r>
            <w:r w:rsidRPr="003A66D3">
              <w:rPr>
                <w:rFonts w:eastAsia="Calibri" w:cs="Times New Roman"/>
              </w:rPr>
              <w:t>whether their tumours ha</w:t>
            </w:r>
            <w:r w:rsidR="00B91511" w:rsidRPr="003A66D3">
              <w:rPr>
                <w:rFonts w:eastAsia="Calibri" w:cs="Times New Roman"/>
              </w:rPr>
              <w:t>ve</w:t>
            </w:r>
            <w:r w:rsidRPr="003A66D3">
              <w:rPr>
                <w:rFonts w:eastAsia="Calibri" w:cs="Times New Roman"/>
              </w:rPr>
              <w:t xml:space="preserve"> returned.</w:t>
            </w:r>
          </w:p>
          <w:p w14:paraId="5D245E45" w14:textId="2BDA6359" w:rsidR="00DB557F" w:rsidRPr="00DB557F" w:rsidRDefault="00DB557F" w:rsidP="00485F38">
            <w:pPr>
              <w:spacing w:after="120"/>
              <w:rPr>
                <w:rFonts w:eastAsia="Calibri" w:cs="Times New Roman"/>
                <w:b/>
                <w:bCs/>
                <w:sz w:val="24"/>
                <w:szCs w:val="24"/>
              </w:rPr>
            </w:pPr>
            <w:r w:rsidRPr="00A251D0">
              <w:rPr>
                <w:rFonts w:eastAsia="Calibri" w:cs="Times New Roman"/>
                <w:b/>
                <w:bCs/>
                <w:sz w:val="24"/>
                <w:szCs w:val="24"/>
              </w:rPr>
              <w:t xml:space="preserve">MSAC’s advice to the </w:t>
            </w:r>
            <w:proofErr w:type="gramStart"/>
            <w:r w:rsidRPr="00A251D0">
              <w:rPr>
                <w:rFonts w:eastAsia="Calibri" w:cs="Times New Roman"/>
                <w:b/>
                <w:bCs/>
                <w:sz w:val="24"/>
                <w:szCs w:val="24"/>
              </w:rPr>
              <w:t>Commonwealth Minister</w:t>
            </w:r>
            <w:proofErr w:type="gramEnd"/>
            <w:r w:rsidRPr="00A251D0">
              <w:rPr>
                <w:rFonts w:eastAsia="Calibri" w:cs="Times New Roman"/>
                <w:b/>
                <w:bCs/>
                <w:sz w:val="24"/>
                <w:szCs w:val="24"/>
              </w:rPr>
              <w:t xml:space="preserve"> for Health and Aged Care</w:t>
            </w:r>
            <w:r w:rsidR="00485F38" w:rsidRPr="00A251D0">
              <w:rPr>
                <w:rFonts w:eastAsia="Calibri" w:cs="Times New Roman"/>
                <w:b/>
                <w:bCs/>
                <w:sz w:val="24"/>
                <w:szCs w:val="24"/>
              </w:rPr>
              <w:t xml:space="preserve"> </w:t>
            </w:r>
            <w:r w:rsidR="008530AE">
              <w:rPr>
                <w:rFonts w:eastAsia="Calibri" w:cs="Times New Roman"/>
                <w:b/>
                <w:bCs/>
                <w:sz w:val="24"/>
                <w:szCs w:val="24"/>
              </w:rPr>
              <w:t>–</w:t>
            </w:r>
            <w:r w:rsidR="00485F38" w:rsidRPr="00A251D0">
              <w:rPr>
                <w:rFonts w:eastAsia="Calibri" w:cs="Times New Roman"/>
                <w:b/>
                <w:bCs/>
                <w:sz w:val="24"/>
                <w:szCs w:val="24"/>
              </w:rPr>
              <w:t xml:space="preserve"> </w:t>
            </w:r>
            <w:r w:rsidR="00485F38" w:rsidRPr="00A251D0">
              <w:rPr>
                <w:rFonts w:eastAsia="Calibri" w:cs="Times New Roman"/>
                <w:b/>
                <w:bCs/>
              </w:rPr>
              <w:t>November</w:t>
            </w:r>
            <w:r w:rsidR="008530AE">
              <w:rPr>
                <w:rFonts w:eastAsia="Calibri" w:cs="Times New Roman"/>
                <w:b/>
                <w:bCs/>
              </w:rPr>
              <w:t> </w:t>
            </w:r>
            <w:r w:rsidR="00485F38" w:rsidRPr="00A251D0">
              <w:rPr>
                <w:rFonts w:eastAsia="Calibri" w:cs="Times New Roman"/>
                <w:b/>
                <w:bCs/>
              </w:rPr>
              <w:t>2024 MSAC consideration</w:t>
            </w:r>
          </w:p>
          <w:p w14:paraId="5741648B" w14:textId="34C53BED" w:rsidR="00DB557F" w:rsidRPr="00DB557F" w:rsidRDefault="00DB557F" w:rsidP="00DB557F">
            <w:pPr>
              <w:spacing w:after="240"/>
              <w:rPr>
                <w:rFonts w:eastAsia="Calibri" w:cs="Times New Roman"/>
              </w:rPr>
            </w:pPr>
            <w:r w:rsidRPr="00DB557F">
              <w:rPr>
                <w:rFonts w:eastAsia="Calibri" w:cs="Times New Roman"/>
              </w:rPr>
              <w:t xml:space="preserve">MSAC supported public funding for </w:t>
            </w:r>
            <w:r w:rsidRPr="00DB557F">
              <w:rPr>
                <w:rFonts w:eastAsia="Calibri" w:cs="Times New Roman"/>
                <w:vertAlign w:val="superscript"/>
              </w:rPr>
              <w:t>177</w:t>
            </w:r>
            <w:r w:rsidRPr="00DB557F">
              <w:rPr>
                <w:rFonts w:eastAsia="Calibri" w:cs="Times New Roman"/>
              </w:rPr>
              <w:t xml:space="preserve">Lu-DOTA-octreotate treatment for advanced </w:t>
            </w:r>
            <w:r w:rsidRPr="003A66D3">
              <w:rPr>
                <w:rFonts w:eastAsia="Calibri" w:cs="Times New Roman"/>
              </w:rPr>
              <w:t xml:space="preserve">neuroendocrine neoplasms. MSAC also supported public funding for DOTATATE PET/CT to include assessment of suitability for </w:t>
            </w:r>
            <w:r w:rsidRPr="003A66D3">
              <w:rPr>
                <w:rFonts w:eastAsia="Calibri" w:cs="Times New Roman"/>
                <w:vertAlign w:val="superscript"/>
              </w:rPr>
              <w:t>177</w:t>
            </w:r>
            <w:r w:rsidRPr="003A66D3">
              <w:rPr>
                <w:rFonts w:eastAsia="Calibri" w:cs="Times New Roman"/>
              </w:rPr>
              <w:t>Lu-DOTA-octreotate therapy, therapy response and disease recurrence. MSAC had previously accepted the safety, effectiveness and cost-effectiveness of a similar treatment</w:t>
            </w:r>
            <w:r w:rsidR="004C51D5" w:rsidRPr="003A66D3">
              <w:rPr>
                <w:rFonts w:eastAsia="Calibri" w:cs="Times New Roman"/>
              </w:rPr>
              <w:t xml:space="preserve"> (</w:t>
            </w:r>
            <w:r w:rsidR="004C51D5" w:rsidRPr="003A66D3">
              <w:rPr>
                <w:rFonts w:eastAsia="Calibri" w:cs="Times New Roman"/>
                <w:vertAlign w:val="superscript"/>
              </w:rPr>
              <w:t>177</w:t>
            </w:r>
            <w:r w:rsidR="004C51D5" w:rsidRPr="003A66D3">
              <w:rPr>
                <w:rFonts w:eastAsia="Calibri" w:cs="Times New Roman"/>
              </w:rPr>
              <w:t>Lu-DOTATATE)</w:t>
            </w:r>
            <w:r w:rsidRPr="003A66D3">
              <w:rPr>
                <w:rFonts w:eastAsia="Calibri" w:cs="Times New Roman"/>
              </w:rPr>
              <w:t xml:space="preserve">, but it had not been sure if </w:t>
            </w:r>
            <w:r w:rsidR="004C51D5" w:rsidRPr="003A66D3">
              <w:rPr>
                <w:rFonts w:eastAsia="Calibri" w:cs="Times New Roman"/>
                <w:vertAlign w:val="superscript"/>
              </w:rPr>
              <w:t>177</w:t>
            </w:r>
            <w:r w:rsidR="004C51D5" w:rsidRPr="003A66D3">
              <w:rPr>
                <w:rFonts w:eastAsia="Calibri" w:cs="Times New Roman"/>
              </w:rPr>
              <w:t xml:space="preserve">Lu-DOTA-octreotate </w:t>
            </w:r>
            <w:r w:rsidRPr="003A66D3">
              <w:rPr>
                <w:rFonts w:eastAsia="Calibri" w:cs="Times New Roman"/>
              </w:rPr>
              <w:t>worked in the same way. After receiving expert advice</w:t>
            </w:r>
            <w:r w:rsidR="00EA6EC9" w:rsidRPr="003A66D3">
              <w:rPr>
                <w:rFonts w:eastAsia="Calibri" w:cs="Times New Roman"/>
              </w:rPr>
              <w:t xml:space="preserve"> that the two treatments were chemically </w:t>
            </w:r>
            <w:r w:rsidR="0078237A" w:rsidRPr="003A66D3">
              <w:rPr>
                <w:rFonts w:eastAsia="Calibri" w:cs="Times New Roman"/>
              </w:rPr>
              <w:t>identical</w:t>
            </w:r>
            <w:r w:rsidRPr="003A66D3">
              <w:rPr>
                <w:rFonts w:eastAsia="Calibri" w:cs="Times New Roman"/>
              </w:rPr>
              <w:t xml:space="preserve">, MSAC accepted that </w:t>
            </w:r>
            <w:r w:rsidR="00EA6EC9" w:rsidRPr="003A66D3">
              <w:rPr>
                <w:rFonts w:eastAsia="Calibri" w:cs="Times New Roman"/>
              </w:rPr>
              <w:t xml:space="preserve">177Lu-DOTA-octreotate </w:t>
            </w:r>
            <w:r w:rsidR="0078237A" w:rsidRPr="003A66D3">
              <w:rPr>
                <w:rFonts w:eastAsia="Calibri" w:cs="Times New Roman"/>
              </w:rPr>
              <w:t xml:space="preserve">is </w:t>
            </w:r>
            <w:r w:rsidR="00EA6EC9" w:rsidRPr="003A66D3">
              <w:rPr>
                <w:rFonts w:eastAsia="Calibri" w:cs="Times New Roman"/>
              </w:rPr>
              <w:t>more effective and just as safe as other treatments and has good value for money</w:t>
            </w:r>
            <w:r w:rsidR="0078237A" w:rsidRPr="003A66D3">
              <w:rPr>
                <w:rFonts w:eastAsia="Calibri" w:cs="Times New Roman"/>
              </w:rPr>
              <w:t>.</w:t>
            </w:r>
            <w:r w:rsidR="0078237A">
              <w:rPr>
                <w:rFonts w:eastAsia="Calibri" w:cs="Times New Roman"/>
              </w:rPr>
              <w:t xml:space="preserve"> </w:t>
            </w:r>
          </w:p>
        </w:tc>
      </w:tr>
    </w:tbl>
    <w:p w14:paraId="1E303EE9" w14:textId="0223A570" w:rsidR="00BE0C24" w:rsidRPr="00BE0C24" w:rsidRDefault="00BE0C24" w:rsidP="00DB557F">
      <w:pPr>
        <w:keepNext/>
        <w:keepLines/>
        <w:spacing w:after="240" w:line="240" w:lineRule="auto"/>
        <w:rPr>
          <w:rFonts w:eastAsia="Calibri" w:cs="Times New Roman"/>
          <w:b/>
          <w:bCs/>
        </w:rPr>
      </w:pPr>
      <w:r w:rsidRPr="00BE0C24">
        <w:rPr>
          <w:rFonts w:eastAsia="Calibri" w:cs="Times New Roman"/>
          <w:b/>
          <w:bCs/>
        </w:rPr>
        <w:lastRenderedPageBreak/>
        <w:t>August 2024 MSAC consideration</w:t>
      </w:r>
    </w:p>
    <w:p w14:paraId="4CAB913E" w14:textId="70E86324" w:rsidR="00FD0B1B" w:rsidRDefault="000B228E" w:rsidP="00DB557F">
      <w:pPr>
        <w:keepNext/>
        <w:keepLines/>
        <w:spacing w:after="240" w:line="240" w:lineRule="auto"/>
        <w:rPr>
          <w:rFonts w:eastAsia="Calibri" w:cs="Times New Roman"/>
        </w:rPr>
      </w:pPr>
      <w:r w:rsidRPr="00C86E49">
        <w:rPr>
          <w:rFonts w:eastAsia="Calibri" w:cs="Times New Roman"/>
        </w:rPr>
        <w:t xml:space="preserve">After considering the strength of the available evidence in relation to comparative safety, clinical effectiveness, cost-effectiveness and total cost, </w:t>
      </w:r>
      <w:r w:rsidR="00F76545" w:rsidRPr="0A3B44D0">
        <w:t>MSAC deferred its advice on the public funding of 1)</w:t>
      </w:r>
      <w:r w:rsidR="00F76545">
        <w:t xml:space="preserve"> </w:t>
      </w:r>
      <w:r w:rsidR="00F76545" w:rsidRPr="00592E75">
        <w:rPr>
          <w:vertAlign w:val="superscript"/>
        </w:rPr>
        <w:t>177</w:t>
      </w:r>
      <w:r w:rsidR="00F76545" w:rsidRPr="0A3B44D0">
        <w:t>Lutetium</w:t>
      </w:r>
      <w:r w:rsidR="00F76545">
        <w:t> </w:t>
      </w:r>
      <w:proofErr w:type="spellStart"/>
      <w:r w:rsidR="00F76545" w:rsidRPr="0A3B44D0">
        <w:t>Octreotate</w:t>
      </w:r>
      <w:proofErr w:type="spellEnd"/>
      <w:r w:rsidR="00F76545" w:rsidRPr="0A3B44D0">
        <w:t xml:space="preserve"> </w:t>
      </w:r>
      <w:r w:rsidR="00F76545">
        <w:t>(</w:t>
      </w:r>
      <w:r w:rsidR="00F76545" w:rsidRPr="00592E75">
        <w:rPr>
          <w:vertAlign w:val="superscript"/>
        </w:rPr>
        <w:t>177</w:t>
      </w:r>
      <w:r w:rsidR="00F76545" w:rsidRPr="006A1B53">
        <w:t>Lu-DOTA-octreotate</w:t>
      </w:r>
      <w:r w:rsidR="00F76545">
        <w:t>)</w:t>
      </w:r>
      <w:r w:rsidR="00F76545" w:rsidRPr="0A3B44D0">
        <w:t xml:space="preserve"> treatment of advanced neuroendocrine neoplasms </w:t>
      </w:r>
      <w:r w:rsidR="00F76545">
        <w:t>(NENs)</w:t>
      </w:r>
      <w:r w:rsidR="00F76545" w:rsidRPr="0A3B44D0">
        <w:t xml:space="preserve"> with high somatostatin receptor (H-SSTR) expression and 2) whole body </w:t>
      </w:r>
      <w:r w:rsidR="00F76545" w:rsidRPr="00592E75">
        <w:rPr>
          <w:vertAlign w:val="superscript"/>
        </w:rPr>
        <w:t>68</w:t>
      </w:r>
      <w:r w:rsidR="00F76545" w:rsidRPr="0A3B44D0">
        <w:t>Gallium (Ga)-DOTA-</w:t>
      </w:r>
      <w:proofErr w:type="spellStart"/>
      <w:r w:rsidR="00F76545" w:rsidRPr="0A3B44D0">
        <w:t>octreotate</w:t>
      </w:r>
      <w:proofErr w:type="spellEnd"/>
      <w:r w:rsidR="00F76545" w:rsidRPr="0A3B44D0">
        <w:t xml:space="preserve"> SSTR-positron emission tomography (PET)/computed tomography (CT) </w:t>
      </w:r>
      <w:r w:rsidR="00F76545">
        <w:t>(</w:t>
      </w:r>
      <w:r w:rsidR="00F76545" w:rsidRPr="00592E75">
        <w:rPr>
          <w:vertAlign w:val="superscript"/>
        </w:rPr>
        <w:t>68</w:t>
      </w:r>
      <w:r w:rsidR="00F76545" w:rsidRPr="0A3B44D0">
        <w:t>Ga-DOTA-octreotate PET/CT</w:t>
      </w:r>
      <w:r w:rsidR="00F76545">
        <w:t>)</w:t>
      </w:r>
      <w:r w:rsidR="00F76545" w:rsidRPr="0A3B44D0">
        <w:t xml:space="preserve"> to identify those eligible for </w:t>
      </w:r>
      <w:r w:rsidR="00F76545" w:rsidRPr="0A3B44D0">
        <w:rPr>
          <w:vertAlign w:val="superscript"/>
        </w:rPr>
        <w:t>177</w:t>
      </w:r>
      <w:r w:rsidR="00F76545" w:rsidRPr="0A3B44D0">
        <w:t>Lu</w:t>
      </w:r>
      <w:r w:rsidR="00F76545">
        <w:t>-DOTA-o</w:t>
      </w:r>
      <w:r w:rsidR="00F76545" w:rsidRPr="0A3B44D0">
        <w:t>ctreotate</w:t>
      </w:r>
      <w:r w:rsidR="009A6081">
        <w:t>.</w:t>
      </w:r>
      <w:r w:rsidR="00FD0B1B" w:rsidRPr="00FD0B1B">
        <w:rPr>
          <w:rFonts w:eastAsia="Calibri" w:cs="Times New Roman"/>
        </w:rPr>
        <w:t xml:space="preserve"> </w:t>
      </w:r>
    </w:p>
    <w:p w14:paraId="60D3DC4E" w14:textId="33974129" w:rsidR="00FD0B1B" w:rsidRPr="00FD0B1B" w:rsidRDefault="00FD0B1B" w:rsidP="00FD0B1B">
      <w:pPr>
        <w:spacing w:after="240" w:line="240" w:lineRule="auto"/>
        <w:rPr>
          <w:rFonts w:eastAsia="Calibri" w:cs="Times New Roman"/>
        </w:rPr>
      </w:pPr>
      <w:r w:rsidRPr="00FD0B1B">
        <w:rPr>
          <w:rFonts w:eastAsia="Calibri" w:cs="Times New Roman"/>
        </w:rPr>
        <w:t xml:space="preserve">MSAC accepted the high clinical need for this population with advanced disease. MSAC also noted there is an equity of access issue as the proposed intervention is standard of care in Australian practice and some patients are currently paying privately for the treatment or are receiving the treatment funded through the Department of Veterans' Affairs. </w:t>
      </w:r>
    </w:p>
    <w:p w14:paraId="44900379" w14:textId="385E547F" w:rsidR="00F64E65" w:rsidRDefault="00F64E65" w:rsidP="00F64E65">
      <w:r w:rsidRPr="0A3B44D0">
        <w:t>MSAC considered the evidence base</w:t>
      </w:r>
      <w:r>
        <w:t xml:space="preserve"> </w:t>
      </w:r>
      <w:r w:rsidRPr="0A3B44D0">
        <w:t>and</w:t>
      </w:r>
      <w:r>
        <w:t xml:space="preserve"> the additional perspectives comparing </w:t>
      </w:r>
      <w:r w:rsidRPr="00592E75">
        <w:rPr>
          <w:vertAlign w:val="superscript"/>
        </w:rPr>
        <w:t>177</w:t>
      </w:r>
      <w:r w:rsidRPr="006A1B53">
        <w:t>Lu-DOTA-octreotate</w:t>
      </w:r>
      <w:r>
        <w:t xml:space="preserve"> and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 xml:space="preserve">. MSAC noted that </w:t>
      </w:r>
      <w:r w:rsidRPr="0A3B44D0" w:rsidDel="00356338">
        <w:t xml:space="preserve">the </w:t>
      </w:r>
      <w:r>
        <w:t xml:space="preserve">assessment assumed </w:t>
      </w:r>
      <w:r w:rsidRPr="0A3B44D0">
        <w:t>non</w:t>
      </w:r>
      <w:r w:rsidR="004A7E51">
        <w:t>-</w:t>
      </w:r>
      <w:r w:rsidRPr="0A3B44D0">
        <w:t xml:space="preserve">inferiority of </w:t>
      </w:r>
      <w:r w:rsidRPr="00592E75">
        <w:rPr>
          <w:vertAlign w:val="superscript"/>
        </w:rPr>
        <w:t>177</w:t>
      </w:r>
      <w:r w:rsidRPr="0A3B44D0">
        <w:t xml:space="preserve">Lu-DOTA-octreotate and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w:t>
      </w:r>
      <w:r w:rsidRPr="0A3B44D0" w:rsidDel="0086424C">
        <w:t xml:space="preserve"> </w:t>
      </w:r>
      <w:r>
        <w:t xml:space="preserve">and therefore assumed that the randomised controlled trial (RCT) data presented for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 xml:space="preserve"> would be relevant to</w:t>
      </w:r>
      <w:r w:rsidDel="004F62E1">
        <w:t xml:space="preserve"> </w:t>
      </w:r>
      <w:r w:rsidRPr="00592E75">
        <w:rPr>
          <w:vertAlign w:val="superscript"/>
        </w:rPr>
        <w:t>177</w:t>
      </w:r>
      <w:r w:rsidRPr="006A1B53">
        <w:t>Lu-DOTA-octreotate</w:t>
      </w:r>
      <w:r>
        <w:t>.</w:t>
      </w:r>
      <w:r w:rsidRPr="0A3B44D0" w:rsidDel="00D825C9">
        <w:t xml:space="preserve"> MSAC considered that </w:t>
      </w:r>
      <w:r>
        <w:t xml:space="preserve">whilst </w:t>
      </w:r>
      <w:r w:rsidRPr="0A3B44D0" w:rsidDel="00D825C9">
        <w:t xml:space="preserve">it appeared </w:t>
      </w:r>
      <w:r w:rsidDel="00D825C9">
        <w:t xml:space="preserve">that </w:t>
      </w:r>
      <w:r w:rsidRPr="0A3B44D0" w:rsidDel="00D825C9">
        <w:t xml:space="preserve">the products </w:t>
      </w:r>
      <w:r>
        <w:t xml:space="preserve">may be </w:t>
      </w:r>
      <w:r w:rsidRPr="0A3B44D0" w:rsidDel="00D825C9">
        <w:t>two formulations of the same active compound [(Tyr</w:t>
      </w:r>
      <w:proofErr w:type="gramStart"/>
      <w:r w:rsidRPr="0A3B44D0" w:rsidDel="00D825C9">
        <w:t>3)</w:t>
      </w:r>
      <w:proofErr w:type="spellStart"/>
      <w:r w:rsidRPr="0A3B44D0" w:rsidDel="00D825C9">
        <w:t>Octreotate</w:t>
      </w:r>
      <w:proofErr w:type="spellEnd"/>
      <w:proofErr w:type="gramEnd"/>
      <w:r w:rsidRPr="0A3B44D0" w:rsidDel="00D825C9">
        <w:t xml:space="preserve">-Dota-Lu, i.e., </w:t>
      </w:r>
      <w:r w:rsidRPr="00592E75" w:rsidDel="00D825C9">
        <w:rPr>
          <w:vertAlign w:val="superscript"/>
        </w:rPr>
        <w:t>177</w:t>
      </w:r>
      <w:r w:rsidRPr="0A3B44D0" w:rsidDel="00D825C9">
        <w:t>Lu-DOTATATE</w:t>
      </w:r>
      <w:r w:rsidR="00986640">
        <w:t>]</w:t>
      </w:r>
      <w:r>
        <w:t>,</w:t>
      </w:r>
      <w:r w:rsidRPr="0A3B44D0" w:rsidDel="00D825C9">
        <w:t xml:space="preserve"> </w:t>
      </w:r>
      <w:r w:rsidRPr="00C05A3E">
        <w:t xml:space="preserve">no </w:t>
      </w:r>
      <w:r>
        <w:t xml:space="preserve">reliable data were </w:t>
      </w:r>
      <w:r w:rsidRPr="00C05A3E">
        <w:t>presented</w:t>
      </w:r>
      <w:r>
        <w:t xml:space="preserve"> </w:t>
      </w:r>
      <w:r w:rsidR="00DF468A">
        <w:t xml:space="preserve">in the </w:t>
      </w:r>
      <w:r w:rsidR="00A60A30">
        <w:t>assessment</w:t>
      </w:r>
      <w:r w:rsidR="007F35A3">
        <w:t xml:space="preserve"> </w:t>
      </w:r>
      <w:r>
        <w:t xml:space="preserve">to establish whether or not </w:t>
      </w:r>
      <w:r w:rsidRPr="00C05A3E">
        <w:t xml:space="preserve">the </w:t>
      </w:r>
      <w:r>
        <w:t xml:space="preserve">products </w:t>
      </w:r>
      <w:r w:rsidRPr="0A3B44D0" w:rsidDel="00D825C9">
        <w:t>ha</w:t>
      </w:r>
      <w:r>
        <w:t>ve</w:t>
      </w:r>
      <w:r w:rsidRPr="0A3B44D0" w:rsidDel="00D825C9">
        <w:t xml:space="preserve"> similar </w:t>
      </w:r>
      <w:r w:rsidDel="00D825C9">
        <w:t xml:space="preserve">chemical structures </w:t>
      </w:r>
      <w:r>
        <w:t xml:space="preserve">and/or </w:t>
      </w:r>
      <w:r w:rsidDel="00D825C9">
        <w:t xml:space="preserve"> </w:t>
      </w:r>
      <w:r w:rsidRPr="0A3B44D0" w:rsidDel="00D825C9">
        <w:t>biodistribution</w:t>
      </w:r>
      <w:r w:rsidR="007F35A3">
        <w:t xml:space="preserve"> -</w:t>
      </w:r>
      <w:r>
        <w:t xml:space="preserve"> characteristics which are expected to affect the relative efficacy and safety of the products</w:t>
      </w:r>
      <w:r w:rsidDel="00913677">
        <w:t>.</w:t>
      </w:r>
    </w:p>
    <w:p w14:paraId="3AB787DC" w14:textId="421A2C20" w:rsidR="00FD0B1B" w:rsidRPr="00852103" w:rsidRDefault="008E4246" w:rsidP="00852103">
      <w:r>
        <w:t xml:space="preserve">MSAC deferred its advice and requested that further consultation is required to ascertain the extent of similarity of the chemical structure of </w:t>
      </w:r>
      <w:r w:rsidRPr="00592E75">
        <w:rPr>
          <w:vertAlign w:val="superscript"/>
        </w:rPr>
        <w:t>177</w:t>
      </w:r>
      <w:r w:rsidRPr="0A3B44D0">
        <w:t xml:space="preserve">Lu-DOTA-octreotate and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 xml:space="preserve"> as this has implications for whether the two products have similar biodistribution and therefore similar efficacy and safety. MSAC advised that if the similarity of chemical structure between the two products is not </w:t>
      </w:r>
      <w:r w:rsidR="00DF468A">
        <w:t xml:space="preserve">adequately </w:t>
      </w:r>
      <w:r>
        <w:t>established, then additional evidence is required to establish similar biodistribution, efficacy and safety between the two products.  I</w:t>
      </w:r>
      <w:r w:rsidR="009D0CFF">
        <w:t xml:space="preserve">f </w:t>
      </w:r>
      <w:r w:rsidR="00615D79">
        <w:t>the chemical simi</w:t>
      </w:r>
      <w:r w:rsidR="002B61EA">
        <w:t>larity of the two products cannot be established</w:t>
      </w:r>
      <w:r w:rsidRPr="0A3B44D0">
        <w:t>,</w:t>
      </w:r>
      <w:r>
        <w:t xml:space="preserve"> MSAC </w:t>
      </w:r>
      <w:r w:rsidRPr="007D5FE3">
        <w:t>requested that a more comprehensive assessment of the efficacy and safety</w:t>
      </w:r>
      <w:r>
        <w:t xml:space="preserve"> </w:t>
      </w:r>
      <w:r w:rsidRPr="007D5FE3">
        <w:t xml:space="preserve">of </w:t>
      </w:r>
      <w:r w:rsidRPr="00483F1D">
        <w:rPr>
          <w:vertAlign w:val="superscript"/>
        </w:rPr>
        <w:t>177</w:t>
      </w:r>
      <w:r w:rsidRPr="007D5FE3">
        <w:t xml:space="preserve">Lu-DOTA-octreotate and </w:t>
      </w:r>
      <w:proofErr w:type="spellStart"/>
      <w:r w:rsidRPr="007D5FE3">
        <w:t>Lutathera</w:t>
      </w:r>
      <w:proofErr w:type="spellEnd"/>
      <w:r w:rsidRPr="007D5FE3">
        <w:t>® (</w:t>
      </w:r>
      <w:r w:rsidRPr="00483F1D">
        <w:rPr>
          <w:vertAlign w:val="superscript"/>
        </w:rPr>
        <w:t>177</w:t>
      </w:r>
      <w:r w:rsidRPr="007D5FE3">
        <w:t>Lu-DOTATATE) be conducted</w:t>
      </w:r>
      <w:r>
        <w:t xml:space="preserve"> </w:t>
      </w:r>
      <w:proofErr w:type="gramStart"/>
      <w:r>
        <w:t>in order to</w:t>
      </w:r>
      <w:proofErr w:type="gramEnd"/>
      <w:r>
        <w:t xml:space="preserve"> demonstrate that the two products are </w:t>
      </w:r>
      <w:r w:rsidR="004A7E51">
        <w:t>non-inferior</w:t>
      </w:r>
      <w:r>
        <w:t xml:space="preserve"> in terms of health outcomes</w:t>
      </w:r>
      <w:r w:rsidRPr="007D5FE3">
        <w:t xml:space="preserve">. Specifically, MSAC noted that published observational data (including studies from Australia) of these products </w:t>
      </w:r>
      <w:r>
        <w:t>were</w:t>
      </w:r>
      <w:r w:rsidRPr="007D5FE3">
        <w:t xml:space="preserve"> not included in the </w:t>
      </w:r>
      <w:r>
        <w:t xml:space="preserve">assessment </w:t>
      </w:r>
      <w:r w:rsidRPr="007D5FE3">
        <w:t>and that this evidence was likely to be relevant to the Committee in providing its advice</w:t>
      </w:r>
      <w:r>
        <w:t>.</w:t>
      </w:r>
    </w:p>
    <w:p w14:paraId="425D0265" w14:textId="0FBAF108" w:rsidR="00B45DFA" w:rsidRDefault="00B45DFA" w:rsidP="00B45DFA">
      <w:r w:rsidRPr="0A3B44D0">
        <w:t>MSAC foreshadowed it was of</w:t>
      </w:r>
      <w:r w:rsidR="001D2754">
        <w:t xml:space="preserve"> a</w:t>
      </w:r>
      <w:r w:rsidRPr="0A3B44D0">
        <w:t xml:space="preserve"> mind to support public funding if </w:t>
      </w:r>
      <w:r>
        <w:t xml:space="preserve">the </w:t>
      </w:r>
      <w:r w:rsidR="004A7E51">
        <w:t>non-inferior</w:t>
      </w:r>
      <w:r w:rsidRPr="0A3B44D0">
        <w:t xml:space="preserve">ity between </w:t>
      </w:r>
      <w:r w:rsidRPr="00592E75">
        <w:rPr>
          <w:vertAlign w:val="superscript"/>
        </w:rPr>
        <w:t>177</w:t>
      </w:r>
      <w:r w:rsidRPr="006A1B53">
        <w:t>Lu-DOTA-octreotate</w:t>
      </w:r>
      <w:r>
        <w:t xml:space="preserve"> and </w:t>
      </w:r>
      <w:proofErr w:type="spellStart"/>
      <w:r w:rsidRPr="0A3B44D0">
        <w:t>Lutathera</w:t>
      </w:r>
      <w:proofErr w:type="spellEnd"/>
      <w:r w:rsidRPr="00592E75">
        <w:rPr>
          <w:vertAlign w:val="superscript"/>
        </w:rPr>
        <w:t>®</w:t>
      </w:r>
      <w:r w:rsidRPr="0A3B44D0">
        <w:t xml:space="preserve"> (</w:t>
      </w:r>
      <w:r w:rsidRPr="00592E75">
        <w:rPr>
          <w:vertAlign w:val="superscript"/>
        </w:rPr>
        <w:t>177</w:t>
      </w:r>
      <w:r w:rsidRPr="0A3B44D0">
        <w:t>Lu-DOTATATE)</w:t>
      </w:r>
      <w:r>
        <w:t xml:space="preserve"> </w:t>
      </w:r>
      <w:r w:rsidRPr="0A3B44D0">
        <w:t>products</w:t>
      </w:r>
      <w:r>
        <w:t xml:space="preserve"> </w:t>
      </w:r>
      <w:r w:rsidRPr="0A3B44D0">
        <w:t>was subsequently accepted</w:t>
      </w:r>
      <w:r>
        <w:t xml:space="preserve">. </w:t>
      </w:r>
      <w:r w:rsidRPr="0A3B44D0">
        <w:t xml:space="preserve">This was because MSAC </w:t>
      </w:r>
      <w:r>
        <w:t xml:space="preserve">concluded from the evidence presented that </w:t>
      </w:r>
      <w:r w:rsidRPr="0A3B44D0">
        <w:rPr>
          <w:vertAlign w:val="superscript"/>
        </w:rPr>
        <w:t>177</w:t>
      </w:r>
      <w:r w:rsidRPr="0A3B44D0">
        <w:t>Lu</w:t>
      </w:r>
      <w:r>
        <w:t>-</w:t>
      </w:r>
      <w:r w:rsidRPr="0A3B44D0">
        <w:t>DOTATATE</w:t>
      </w:r>
      <w:r>
        <w:t xml:space="preserve">, and thus </w:t>
      </w:r>
      <w:r w:rsidRPr="00592E75">
        <w:rPr>
          <w:vertAlign w:val="superscript"/>
        </w:rPr>
        <w:t>177</w:t>
      </w:r>
      <w:r w:rsidRPr="006A1B53">
        <w:t>Lu-DOTA-octreotate</w:t>
      </w:r>
      <w:r>
        <w:t xml:space="preserve"> if </w:t>
      </w:r>
      <w:r w:rsidR="004A7E51">
        <w:t>non-inferior</w:t>
      </w:r>
      <w:r>
        <w:t xml:space="preserve">ity was subsequently accepted, was acceptably safe and effective compared with standard care and despite limitations in the economic evaluation, </w:t>
      </w:r>
      <w:r w:rsidRPr="00592E75">
        <w:rPr>
          <w:vertAlign w:val="superscript"/>
        </w:rPr>
        <w:t>177</w:t>
      </w:r>
      <w:r w:rsidRPr="006A1B53">
        <w:t>Lu-DOTA-octreotate</w:t>
      </w:r>
      <w:r>
        <w:t xml:space="preserve"> was acceptably cost-effective.</w:t>
      </w:r>
    </w:p>
    <w:p w14:paraId="0457555C" w14:textId="0508FBFC" w:rsidR="00395F59" w:rsidRDefault="00B45DFA" w:rsidP="00395F59">
      <w:pPr>
        <w:spacing w:after="240" w:line="240" w:lineRule="auto"/>
      </w:pPr>
      <w:r w:rsidRPr="006A77D3">
        <w:t xml:space="preserve">MSAC noted the patent related issues raised during the consultation process. MSAC referred to its Terms of Reference and concluded that patent related matters would require consideration by </w:t>
      </w:r>
      <w:r w:rsidRPr="2EE7FF25">
        <w:t>Government</w:t>
      </w:r>
      <w:r w:rsidRPr="006A77D3">
        <w:t xml:space="preserve"> prior to any decision to list the MBS items </w:t>
      </w:r>
      <w:proofErr w:type="gramStart"/>
      <w:r w:rsidRPr="006A77D3">
        <w:t>as a result of</w:t>
      </w:r>
      <w:proofErr w:type="gramEnd"/>
      <w:r w:rsidRPr="006A77D3">
        <w:t xml:space="preserve"> this application.</w:t>
      </w:r>
      <w:r w:rsidR="00395F59">
        <w:br w:type="page"/>
      </w:r>
    </w:p>
    <w:tbl>
      <w:tblPr>
        <w:tblStyle w:val="TableGrid"/>
        <w:tblW w:w="0" w:type="auto"/>
        <w:tblLook w:val="04A0" w:firstRow="1" w:lastRow="0" w:firstColumn="1" w:lastColumn="0" w:noHBand="0" w:noVBand="1"/>
        <w:tblDescription w:val="Consumer summary of MSAC consideration"/>
      </w:tblPr>
      <w:tblGrid>
        <w:gridCol w:w="9016"/>
      </w:tblGrid>
      <w:tr w:rsidR="000B228E" w:rsidRPr="00C86E49" w14:paraId="4F12491A" w14:textId="77777777" w:rsidTr="6A680B3E">
        <w:trPr>
          <w:tblHeader/>
        </w:trPr>
        <w:tc>
          <w:tcPr>
            <w:tcW w:w="9016" w:type="dxa"/>
          </w:tcPr>
          <w:p w14:paraId="3249AA2D" w14:textId="490DB85F" w:rsidR="000B228E" w:rsidRPr="00485F38" w:rsidRDefault="000B228E" w:rsidP="00485F38">
            <w:pPr>
              <w:keepNext/>
              <w:keepLines/>
              <w:spacing w:after="120"/>
              <w:rPr>
                <w:rFonts w:eastAsia="Calibri" w:cs="Times New Roman"/>
                <w:b/>
                <w:bCs/>
              </w:rPr>
            </w:pPr>
            <w:r w:rsidRPr="00485F38">
              <w:rPr>
                <w:rFonts w:eastAsia="Times New Roman" w:cs="Times New Roman"/>
                <w:b/>
                <w:bCs/>
                <w:sz w:val="24"/>
                <w:szCs w:val="24"/>
              </w:rPr>
              <w:lastRenderedPageBreak/>
              <w:t>Consumer summary</w:t>
            </w:r>
            <w:r w:rsidR="00485F38" w:rsidRPr="00485F38">
              <w:rPr>
                <w:rFonts w:eastAsia="Times New Roman" w:cs="Times New Roman"/>
                <w:b/>
                <w:bCs/>
                <w:sz w:val="24"/>
                <w:szCs w:val="24"/>
              </w:rPr>
              <w:t xml:space="preserve"> - </w:t>
            </w:r>
            <w:r w:rsidR="00485F38" w:rsidRPr="00485F38">
              <w:rPr>
                <w:rFonts w:eastAsia="Calibri" w:cs="Times New Roman"/>
                <w:b/>
                <w:bCs/>
                <w:sz w:val="24"/>
                <w:szCs w:val="24"/>
              </w:rPr>
              <w:t>August</w:t>
            </w:r>
            <w:r w:rsidR="00485F38" w:rsidRPr="00BE0C24">
              <w:rPr>
                <w:rFonts w:eastAsia="Calibri" w:cs="Times New Roman"/>
                <w:b/>
                <w:bCs/>
              </w:rPr>
              <w:t xml:space="preserve"> 2024 MSAC consideration</w:t>
            </w:r>
          </w:p>
        </w:tc>
      </w:tr>
      <w:tr w:rsidR="000B228E" w:rsidRPr="00C86E49" w14:paraId="07596FC2" w14:textId="77777777" w:rsidTr="6A680B3E">
        <w:tc>
          <w:tcPr>
            <w:tcW w:w="9016" w:type="dxa"/>
          </w:tcPr>
          <w:p w14:paraId="47D795F4" w14:textId="4ECBF343" w:rsidR="003A6697" w:rsidRDefault="003A6697" w:rsidP="003A6697">
            <w:r w:rsidRPr="00AF46D8">
              <w:t xml:space="preserve">This is an application from </w:t>
            </w:r>
            <w:r>
              <w:t>Applied Molecular Therapies</w:t>
            </w:r>
            <w:r w:rsidRPr="00AF46D8">
              <w:t xml:space="preserve"> requesting Medicare Benefits Schedule (MBS) listing of</w:t>
            </w:r>
            <w:r>
              <w:t xml:space="preserve"> </w:t>
            </w:r>
            <w:r w:rsidRPr="00963BCF">
              <w:rPr>
                <w:vertAlign w:val="superscript"/>
              </w:rPr>
              <w:t>177</w:t>
            </w:r>
            <w:r>
              <w:t>Lutetium (no carrier added [</w:t>
            </w:r>
            <w:proofErr w:type="spellStart"/>
            <w:r>
              <w:t>nca</w:t>
            </w:r>
            <w:proofErr w:type="spellEnd"/>
            <w:r>
              <w:t>])-DOTA-</w:t>
            </w:r>
            <w:proofErr w:type="spellStart"/>
            <w:r>
              <w:t>octreotate</w:t>
            </w:r>
            <w:proofErr w:type="spellEnd"/>
            <w:r>
              <w:t xml:space="preserve"> (</w:t>
            </w:r>
            <w:r w:rsidRPr="00366BB8">
              <w:rPr>
                <w:vertAlign w:val="superscript"/>
              </w:rPr>
              <w:t>177</w:t>
            </w:r>
            <w:r>
              <w:t>Lu [</w:t>
            </w:r>
            <w:proofErr w:type="spellStart"/>
            <w:r>
              <w:t>nca</w:t>
            </w:r>
            <w:proofErr w:type="spellEnd"/>
            <w:r>
              <w:t>]-DOTA-</w:t>
            </w:r>
            <w:proofErr w:type="spellStart"/>
            <w:r>
              <w:t>octreotate</w:t>
            </w:r>
            <w:proofErr w:type="spellEnd"/>
            <w:r>
              <w:t>) for the treatment of advanced neuroendocrine neoplasms with high somatostatin receptor expression. This application also requests</w:t>
            </w:r>
            <w:r w:rsidR="008B4CCB">
              <w:t xml:space="preserve"> listing of a new </w:t>
            </w:r>
            <w:r>
              <w:t>MBS item </w:t>
            </w:r>
            <w:r w:rsidR="008B4CCB">
              <w:t xml:space="preserve">for whole body </w:t>
            </w:r>
            <w:r w:rsidRPr="00A836D3">
              <w:rPr>
                <w:vertAlign w:val="superscript"/>
              </w:rPr>
              <w:t>68</w:t>
            </w:r>
            <w:proofErr w:type="gramStart"/>
            <w:r>
              <w:t>Gallium[</w:t>
            </w:r>
            <w:proofErr w:type="gramEnd"/>
            <w:r>
              <w:t>Ga]-DOTA-</w:t>
            </w:r>
            <w:proofErr w:type="spellStart"/>
            <w:r>
              <w:t>octreotate</w:t>
            </w:r>
            <w:proofErr w:type="spellEnd"/>
            <w:r>
              <w:t xml:space="preserve"> SSTR positron emission tomography [PET] / computed tomography [CT] to determine eligibility for therapy and/or to monitor response</w:t>
            </w:r>
            <w:r w:rsidR="007F4623">
              <w:t xml:space="preserve"> to therapy</w:t>
            </w:r>
            <w:r>
              <w:t>.</w:t>
            </w:r>
          </w:p>
          <w:p w14:paraId="34A0869C" w14:textId="13D6EBA1" w:rsidR="003A6697" w:rsidRDefault="003A6697" w:rsidP="003A6697">
            <w:r>
              <w:t>Neuroendocrine neoplasms or tumours are a rare type of cancer that form in neuroendocrine cells, which are found throughout the body. Neuroendocrine cells are part of the neuroendocrine system, a network of glands and nerve cells that make hormones and release them into the bloodstream. Neuroendocrine tumours cause the cells to release more hormones than normal, which can worsen the person’s quality of life and, with high-grade tumours, affect organ function and lead to death.</w:t>
            </w:r>
          </w:p>
          <w:p w14:paraId="742204B6" w14:textId="21606985" w:rsidR="0095605A" w:rsidRDefault="003A6697" w:rsidP="003A6697">
            <w:r>
              <w:t xml:space="preserve">Some neuroendocrine tumour cells have </w:t>
            </w:r>
            <w:r w:rsidR="002301AC">
              <w:t xml:space="preserve">specific spots </w:t>
            </w:r>
            <w:r w:rsidR="00D20995">
              <w:t>on the</w:t>
            </w:r>
            <w:r w:rsidR="002301AC">
              <w:t>ir</w:t>
            </w:r>
            <w:r w:rsidR="00D20995">
              <w:t xml:space="preserve"> surface</w:t>
            </w:r>
            <w:r w:rsidR="00E32F5B">
              <w:t xml:space="preserve"> </w:t>
            </w:r>
            <w:r w:rsidR="00B2341B">
              <w:t>called somatostatin receptors</w:t>
            </w:r>
            <w:r w:rsidR="00734518">
              <w:t>.</w:t>
            </w:r>
            <w:r w:rsidR="00ED3EAD">
              <w:t xml:space="preserve"> </w:t>
            </w:r>
            <w:r w:rsidR="00891964">
              <w:t>The receptors</w:t>
            </w:r>
            <w:r w:rsidR="00ED3EAD">
              <w:t xml:space="preserve"> </w:t>
            </w:r>
            <w:r w:rsidR="000D0437">
              <w:t>can be detected by a special type of scan</w:t>
            </w:r>
            <w:r w:rsidR="00980447">
              <w:t xml:space="preserve"> (PET/CT scan)</w:t>
            </w:r>
            <w:r w:rsidR="000D0437">
              <w:t xml:space="preserve">. </w:t>
            </w:r>
            <w:r>
              <w:t xml:space="preserve">If </w:t>
            </w:r>
            <w:r w:rsidR="00CB3589">
              <w:t xml:space="preserve">the scan finds that </w:t>
            </w:r>
            <w:r>
              <w:t xml:space="preserve">a patient’s tumour cells are found to have a high number of somatostatin receptors, they may be eligible for </w:t>
            </w:r>
            <w:r w:rsidR="00D4247C">
              <w:t xml:space="preserve">a new </w:t>
            </w:r>
            <w:r w:rsidR="004F1A8D">
              <w:t>treatment</w:t>
            </w:r>
            <w:r w:rsidR="00D4247C">
              <w:t xml:space="preserve"> </w:t>
            </w:r>
            <w:r w:rsidR="00CA3E20">
              <w:t>containing</w:t>
            </w:r>
            <w:r w:rsidR="00D4247C">
              <w:t xml:space="preserve"> </w:t>
            </w:r>
            <w:r w:rsidR="00A849E0">
              <w:t>Lutetium</w:t>
            </w:r>
            <w:r w:rsidR="00510670">
              <w:t>.</w:t>
            </w:r>
            <w:r w:rsidR="00D4247C">
              <w:t xml:space="preserve"> </w:t>
            </w:r>
            <w:r w:rsidR="00510670">
              <w:t>Lutetium is a radioactive chemical</w:t>
            </w:r>
            <w:r w:rsidR="004F1A8D">
              <w:t>. The treatment containing Lutetium</w:t>
            </w:r>
            <w:r w:rsidR="002F5DEB">
              <w:t xml:space="preserve"> is designed to stick to the somatostatin receptor</w:t>
            </w:r>
            <w:r w:rsidR="00025D48">
              <w:t xml:space="preserve">s on the surface of the </w:t>
            </w:r>
            <w:r w:rsidR="00F95642">
              <w:t xml:space="preserve">tumour cells. </w:t>
            </w:r>
            <w:r w:rsidR="00181586">
              <w:t xml:space="preserve">The Lutetium is then able to enter the tumour cell and kill it. </w:t>
            </w:r>
            <w:r w:rsidR="00F06FA9">
              <w:t xml:space="preserve">The number </w:t>
            </w:r>
            <w:r w:rsidR="00181586">
              <w:t xml:space="preserve">of doses of </w:t>
            </w:r>
            <w:r w:rsidR="00567892">
              <w:t xml:space="preserve">the treatment </w:t>
            </w:r>
            <w:r w:rsidR="00F06FA9">
              <w:t>a person needs depends on the grade</w:t>
            </w:r>
            <w:r w:rsidR="00C272FB">
              <w:t xml:space="preserve"> or severity</w:t>
            </w:r>
            <w:r w:rsidR="00F06FA9">
              <w:t xml:space="preserve"> of their cancer.</w:t>
            </w:r>
          </w:p>
          <w:p w14:paraId="68D55156" w14:textId="1BE8903F" w:rsidR="00743E73" w:rsidRDefault="0050594A" w:rsidP="003A6697">
            <w:r>
              <w:t xml:space="preserve">The applicant’s product </w:t>
            </w:r>
            <w:r w:rsidR="0055300F">
              <w:t xml:space="preserve">is called </w:t>
            </w:r>
            <w:r w:rsidR="0055300F" w:rsidRPr="6A680B3E">
              <w:rPr>
                <w:vertAlign w:val="superscript"/>
              </w:rPr>
              <w:t>177</w:t>
            </w:r>
            <w:r w:rsidR="0055300F">
              <w:t>Lu</w:t>
            </w:r>
            <w:r w:rsidR="00416AA0">
              <w:t>tetium</w:t>
            </w:r>
            <w:r w:rsidR="0055300F">
              <w:t>(</w:t>
            </w:r>
            <w:proofErr w:type="spellStart"/>
            <w:r w:rsidR="0055300F">
              <w:t>nca</w:t>
            </w:r>
            <w:proofErr w:type="spellEnd"/>
            <w:r w:rsidR="0055300F">
              <w:t>)</w:t>
            </w:r>
            <w:r w:rsidR="00AF1BAC">
              <w:t>-</w:t>
            </w:r>
            <w:r w:rsidR="0055300F">
              <w:t>DOTA</w:t>
            </w:r>
            <w:r w:rsidR="00AF1BAC">
              <w:t>-</w:t>
            </w:r>
            <w:proofErr w:type="spellStart"/>
            <w:r w:rsidR="0055300F">
              <w:t>octreotate</w:t>
            </w:r>
            <w:proofErr w:type="spellEnd"/>
            <w:r w:rsidR="00416AA0">
              <w:t>. After the Lutetium</w:t>
            </w:r>
            <w:r w:rsidR="07DC0E82">
              <w:t xml:space="preserve"> in the product name,</w:t>
            </w:r>
            <w:r w:rsidR="00416AA0">
              <w:t xml:space="preserve"> you may notice </w:t>
            </w:r>
            <w:r w:rsidR="0066795D">
              <w:t>the wording ‘(</w:t>
            </w:r>
            <w:proofErr w:type="spellStart"/>
            <w:r w:rsidR="0066795D">
              <w:t>nca</w:t>
            </w:r>
            <w:proofErr w:type="spellEnd"/>
            <w:r w:rsidR="0066795D">
              <w:t>)’.</w:t>
            </w:r>
            <w:r w:rsidR="0055300F">
              <w:t xml:space="preserve"> </w:t>
            </w:r>
            <w:r w:rsidR="0066795D">
              <w:t>This</w:t>
            </w:r>
            <w:r w:rsidR="00575612">
              <w:t xml:space="preserve"> </w:t>
            </w:r>
            <w:r w:rsidR="003A1B8B">
              <w:t>is an abbreviation for</w:t>
            </w:r>
            <w:r w:rsidR="00575612">
              <w:t xml:space="preserve"> </w:t>
            </w:r>
            <w:r w:rsidR="003A6697">
              <w:t>“</w:t>
            </w:r>
            <w:r w:rsidR="003B704C">
              <w:t>n</w:t>
            </w:r>
            <w:r w:rsidR="003A6697">
              <w:t>o carrier added”</w:t>
            </w:r>
            <w:r w:rsidR="003A1B8B">
              <w:t xml:space="preserve"> which</w:t>
            </w:r>
            <w:r w:rsidR="003A6697">
              <w:t xml:space="preserve"> means that the </w:t>
            </w:r>
            <w:r w:rsidR="003458D3">
              <w:t xml:space="preserve">treatment </w:t>
            </w:r>
            <w:r w:rsidR="003A6697">
              <w:t>is free from byproducts of the production process</w:t>
            </w:r>
            <w:r w:rsidR="007F586F">
              <w:t>. However,</w:t>
            </w:r>
            <w:r w:rsidR="003A6697">
              <w:t xml:space="preserve"> whether a carrier is added</w:t>
            </w:r>
            <w:r w:rsidR="004F5068">
              <w:t xml:space="preserve"> or not</w:t>
            </w:r>
            <w:r w:rsidR="003A6697">
              <w:t xml:space="preserve"> does not affect how well the treatment works.</w:t>
            </w:r>
          </w:p>
          <w:p w14:paraId="26BFFC8F" w14:textId="286D5B4E" w:rsidR="003A6697" w:rsidRDefault="003A6697" w:rsidP="003A6697">
            <w:r w:rsidRPr="00366BB8">
              <w:rPr>
                <w:vertAlign w:val="superscript"/>
              </w:rPr>
              <w:t>177</w:t>
            </w:r>
            <w:r>
              <w:t>Lu-DOTA-</w:t>
            </w:r>
            <w:r w:rsidRPr="0056428C">
              <w:t>octreotate</w:t>
            </w:r>
            <w:r>
              <w:t xml:space="preserve"> treatment has been used in Australia for the past 10 years. It is currently funded for certain people through the Department of Veterans’ Affairs, or</w:t>
            </w:r>
            <w:r w:rsidR="00FC4098">
              <w:t xml:space="preserve"> other people</w:t>
            </w:r>
            <w:r>
              <w:t xml:space="preserve"> pa</w:t>
            </w:r>
            <w:r w:rsidR="00FC4098">
              <w:t>y</w:t>
            </w:r>
            <w:r>
              <w:t xml:space="preserve"> for</w:t>
            </w:r>
            <w:r w:rsidR="00FC4098">
              <w:t xml:space="preserve"> it</w:t>
            </w:r>
            <w:r>
              <w:t xml:space="preserve"> </w:t>
            </w:r>
            <w:r w:rsidR="00FC4098">
              <w:t>privately</w:t>
            </w:r>
            <w:r>
              <w:t>.</w:t>
            </w:r>
          </w:p>
          <w:p w14:paraId="0B8B5299" w14:textId="12279CFF" w:rsidR="000B228E" w:rsidRPr="003A6697" w:rsidRDefault="003A6697" w:rsidP="003A6697">
            <w:r>
              <w:t xml:space="preserve">MSAC acknowledged the high clinical need for this therapy, and that it has been used for several years in Australia and is considered standard of care for patients with neuroendocrine tumours. However, all the evidence presented in the application was for </w:t>
            </w:r>
            <w:r w:rsidRPr="005C0139">
              <w:rPr>
                <w:vertAlign w:val="superscript"/>
              </w:rPr>
              <w:t>177</w:t>
            </w:r>
            <w:r>
              <w:t xml:space="preserve">Lu-DOTATATE, not </w:t>
            </w:r>
            <w:r w:rsidRPr="00366BB8">
              <w:rPr>
                <w:vertAlign w:val="superscript"/>
              </w:rPr>
              <w:t>177</w:t>
            </w:r>
            <w:r>
              <w:t>Lu-DOTA-</w:t>
            </w:r>
            <w:r w:rsidRPr="0056428C">
              <w:t>octreotate</w:t>
            </w:r>
            <w:r w:rsidR="002E467C">
              <w:t xml:space="preserve"> (the applicant’s product)</w:t>
            </w:r>
            <w:r>
              <w:t>. Although the evidence suggested that</w:t>
            </w:r>
            <w:r w:rsidR="00416719">
              <w:t xml:space="preserve"> </w:t>
            </w:r>
            <w:r w:rsidR="00416719" w:rsidRPr="00366BB8">
              <w:rPr>
                <w:vertAlign w:val="superscript"/>
              </w:rPr>
              <w:t>177</w:t>
            </w:r>
            <w:r w:rsidR="00416719">
              <w:t>Lu-DOTA-</w:t>
            </w:r>
            <w:r w:rsidR="00416719" w:rsidRPr="0056428C">
              <w:t>octreotate</w:t>
            </w:r>
            <w:r>
              <w:t xml:space="preserve"> is more effective and just as safe as other treatments and is good value for money,</w:t>
            </w:r>
            <w:r w:rsidR="00596876">
              <w:t xml:space="preserve"> this was based on the assumption that</w:t>
            </w:r>
            <w:r w:rsidR="0091484C">
              <w:t xml:space="preserve"> </w:t>
            </w:r>
            <w:r w:rsidR="0091484C" w:rsidRPr="00366BB8">
              <w:rPr>
                <w:vertAlign w:val="superscript"/>
              </w:rPr>
              <w:t>177</w:t>
            </w:r>
            <w:r w:rsidR="0091484C">
              <w:t>Lu-DOTA-</w:t>
            </w:r>
            <w:r w:rsidR="0091484C" w:rsidRPr="0056428C">
              <w:t>octreotate</w:t>
            </w:r>
            <w:r w:rsidR="0091484C">
              <w:t xml:space="preserve"> was chemically similar to </w:t>
            </w:r>
            <w:r w:rsidR="0091484C" w:rsidRPr="005C0139">
              <w:rPr>
                <w:vertAlign w:val="superscript"/>
              </w:rPr>
              <w:t>177</w:t>
            </w:r>
            <w:r w:rsidR="0091484C">
              <w:t xml:space="preserve">Lu-DOTATATE or has the same impacts in terms of the uptake and delivery of Lutetium in the human body and </w:t>
            </w:r>
            <w:r>
              <w:t>MSAC could not be sure that</w:t>
            </w:r>
            <w:r w:rsidR="0091484C">
              <w:t xml:space="preserve"> this assumption was warranted</w:t>
            </w:r>
            <w:r w:rsidR="008C37B2">
              <w:t>.</w:t>
            </w:r>
            <w:r w:rsidR="00EE2E65">
              <w:t xml:space="preserve"> </w:t>
            </w:r>
            <w:r w:rsidR="00280D1D">
              <w:t xml:space="preserve">MSAC wanted to be certain that </w:t>
            </w:r>
            <w:r w:rsidR="000B73C4" w:rsidRPr="005C0139">
              <w:rPr>
                <w:vertAlign w:val="superscript"/>
              </w:rPr>
              <w:t>177</w:t>
            </w:r>
            <w:r w:rsidR="000B73C4">
              <w:t xml:space="preserve">Lu-DOTATATE and </w:t>
            </w:r>
            <w:r w:rsidR="00C73B3C" w:rsidRPr="00366BB8">
              <w:rPr>
                <w:vertAlign w:val="superscript"/>
              </w:rPr>
              <w:t>177</w:t>
            </w:r>
            <w:r w:rsidR="00C73B3C">
              <w:t>Lu-DOTA-</w:t>
            </w:r>
            <w:r w:rsidR="00C73B3C" w:rsidRPr="0056428C">
              <w:t>octreotate</w:t>
            </w:r>
            <w:r w:rsidR="00C73B3C">
              <w:t xml:space="preserve"> </w:t>
            </w:r>
            <w:r w:rsidR="000B73C4">
              <w:t xml:space="preserve">are chemically similar and/or have the same effects on the body </w:t>
            </w:r>
            <w:r w:rsidR="00EE2E65">
              <w:t xml:space="preserve">before it can be assumed that </w:t>
            </w:r>
            <w:r w:rsidR="007711B3">
              <w:t xml:space="preserve">the evidence presented for </w:t>
            </w:r>
            <w:r w:rsidR="007711B3" w:rsidRPr="005C0139">
              <w:rPr>
                <w:vertAlign w:val="superscript"/>
              </w:rPr>
              <w:t>177</w:t>
            </w:r>
            <w:r w:rsidR="007711B3">
              <w:t xml:space="preserve">Lu-DOTATATE is also applicable to the </w:t>
            </w:r>
            <w:r w:rsidR="00762547">
              <w:t>applicant’s product.</w:t>
            </w:r>
            <w:r w:rsidR="007711B3">
              <w:t xml:space="preserve"> </w:t>
            </w:r>
            <w:r>
              <w:t xml:space="preserve">Therefore, MSAC could not </w:t>
            </w:r>
            <w:proofErr w:type="gramStart"/>
            <w:r>
              <w:t>make a decision</w:t>
            </w:r>
            <w:proofErr w:type="gramEnd"/>
            <w:r>
              <w:t xml:space="preserve"> without first seeking advice from an expert such as a radiochemist.</w:t>
            </w:r>
            <w:r w:rsidR="00BF1F72">
              <w:t xml:space="preserve"> MSAC noted that additional evidence may need to be included for consideration if this advice established that the two products were </w:t>
            </w:r>
            <w:r w:rsidR="00096A1F">
              <w:t xml:space="preserve">not chemically </w:t>
            </w:r>
            <w:r w:rsidR="004A116E">
              <w:t>identical</w:t>
            </w:r>
            <w:r>
              <w:t>.</w:t>
            </w:r>
          </w:p>
          <w:p w14:paraId="7AEC7D7D" w14:textId="2B06241E" w:rsidR="000B228E" w:rsidRPr="00485F38" w:rsidRDefault="000B228E" w:rsidP="00CD47D6">
            <w:pPr>
              <w:keepNext/>
              <w:keepLines/>
              <w:outlineLvl w:val="2"/>
              <w:rPr>
                <w:rFonts w:ascii="Franklin Gothic Medium" w:eastAsia="Times New Roman" w:hAnsi="Franklin Gothic Medium" w:cs="Times New Roman"/>
                <w:b/>
                <w:bCs/>
                <w:sz w:val="24"/>
                <w:szCs w:val="24"/>
              </w:rPr>
            </w:pPr>
            <w:r w:rsidRPr="00485F38">
              <w:rPr>
                <w:rFonts w:ascii="Franklin Gothic Medium" w:eastAsia="Times New Roman" w:hAnsi="Franklin Gothic Medium" w:cs="Times New Roman"/>
                <w:b/>
                <w:bCs/>
                <w:sz w:val="24"/>
                <w:szCs w:val="24"/>
              </w:rPr>
              <w:t xml:space="preserve">MSAC’s advice to the </w:t>
            </w:r>
            <w:proofErr w:type="gramStart"/>
            <w:r w:rsidRPr="00485F38">
              <w:rPr>
                <w:rFonts w:ascii="Franklin Gothic Medium" w:eastAsia="Times New Roman" w:hAnsi="Franklin Gothic Medium" w:cs="Times New Roman"/>
                <w:b/>
                <w:bCs/>
                <w:sz w:val="24"/>
                <w:szCs w:val="24"/>
              </w:rPr>
              <w:t>Commonwealth Minister</w:t>
            </w:r>
            <w:proofErr w:type="gramEnd"/>
            <w:r w:rsidRPr="00485F38">
              <w:rPr>
                <w:rFonts w:ascii="Franklin Gothic Medium" w:eastAsia="Times New Roman" w:hAnsi="Franklin Gothic Medium" w:cs="Times New Roman"/>
                <w:b/>
                <w:bCs/>
                <w:sz w:val="24"/>
                <w:szCs w:val="24"/>
              </w:rPr>
              <w:t xml:space="preserve"> for Health and Aged Care</w:t>
            </w:r>
            <w:r w:rsidR="00BE0C24" w:rsidRPr="00485F38">
              <w:rPr>
                <w:rFonts w:ascii="Franklin Gothic Medium" w:eastAsia="Times New Roman" w:hAnsi="Franklin Gothic Medium" w:cs="Times New Roman"/>
                <w:b/>
                <w:bCs/>
                <w:sz w:val="24"/>
                <w:szCs w:val="24"/>
              </w:rPr>
              <w:t xml:space="preserve"> – August</w:t>
            </w:r>
            <w:r w:rsidR="00D602F1">
              <w:rPr>
                <w:rFonts w:ascii="Franklin Gothic Medium" w:eastAsia="Times New Roman" w:hAnsi="Franklin Gothic Medium" w:cs="Times New Roman"/>
                <w:b/>
                <w:bCs/>
                <w:sz w:val="24"/>
                <w:szCs w:val="24"/>
              </w:rPr>
              <w:t> </w:t>
            </w:r>
            <w:r w:rsidR="00BE0C24" w:rsidRPr="00485F38">
              <w:rPr>
                <w:rFonts w:ascii="Franklin Gothic Medium" w:eastAsia="Times New Roman" w:hAnsi="Franklin Gothic Medium" w:cs="Times New Roman"/>
                <w:b/>
                <w:bCs/>
                <w:sz w:val="24"/>
                <w:szCs w:val="24"/>
              </w:rPr>
              <w:t>2024 consideration</w:t>
            </w:r>
          </w:p>
          <w:p w14:paraId="34E4A916" w14:textId="04AC642C" w:rsidR="009B15DB" w:rsidRDefault="009B15DB" w:rsidP="003A7EF7">
            <w:r w:rsidRPr="00AF46D8">
              <w:t xml:space="preserve">MSAC deferred its </w:t>
            </w:r>
            <w:r w:rsidR="00FB706D">
              <w:t xml:space="preserve">advice </w:t>
            </w:r>
            <w:r>
              <w:t xml:space="preserve">on MBS listing of </w:t>
            </w:r>
            <w:r w:rsidRPr="00366BB8">
              <w:rPr>
                <w:vertAlign w:val="superscript"/>
              </w:rPr>
              <w:t>177</w:t>
            </w:r>
            <w:r>
              <w:t>Lu (</w:t>
            </w:r>
            <w:proofErr w:type="spellStart"/>
            <w:r>
              <w:t>nca</w:t>
            </w:r>
            <w:proofErr w:type="spellEnd"/>
            <w:r>
              <w:t>)-DOTA-</w:t>
            </w:r>
            <w:proofErr w:type="spellStart"/>
            <w:r>
              <w:t>octreotate</w:t>
            </w:r>
            <w:proofErr w:type="spellEnd"/>
            <w:r>
              <w:t xml:space="preserve"> treatment for advanced neuroendocrine neoplasms with high somatostatin receptor expression. The evidence presented was for another product, </w:t>
            </w:r>
            <w:r w:rsidRPr="005C0139">
              <w:rPr>
                <w:vertAlign w:val="superscript"/>
              </w:rPr>
              <w:t>177</w:t>
            </w:r>
            <w:r>
              <w:t xml:space="preserve">Lu-DOTATATE. Although </w:t>
            </w:r>
            <w:r w:rsidR="00B330A5" w:rsidRPr="00366BB8">
              <w:rPr>
                <w:vertAlign w:val="superscript"/>
              </w:rPr>
              <w:t>177</w:t>
            </w:r>
            <w:r w:rsidR="00B330A5">
              <w:t>Lu-DOTA-</w:t>
            </w:r>
            <w:r w:rsidR="00B330A5" w:rsidRPr="0056428C">
              <w:t>octreotate</w:t>
            </w:r>
            <w:r w:rsidR="00B330A5">
              <w:t xml:space="preserve"> </w:t>
            </w:r>
            <w:r>
              <w:t>appeared to be more effective and just as safe as other treatments and has good value for money,</w:t>
            </w:r>
            <w:r w:rsidR="00B330A5">
              <w:t xml:space="preserve"> this was based</w:t>
            </w:r>
            <w:r>
              <w:t xml:space="preserve"> </w:t>
            </w:r>
            <w:r w:rsidR="00B330A5">
              <w:t xml:space="preserve">on the assumption that </w:t>
            </w:r>
            <w:r>
              <w:t xml:space="preserve">it is </w:t>
            </w:r>
            <w:r w:rsidR="004721DD">
              <w:t xml:space="preserve">chemically similar </w:t>
            </w:r>
            <w:r w:rsidR="004D3105">
              <w:t>and/</w:t>
            </w:r>
            <w:r w:rsidR="004721DD">
              <w:t>or has the same</w:t>
            </w:r>
            <w:r w:rsidR="004D3105">
              <w:t xml:space="preserve"> effects on the body</w:t>
            </w:r>
            <w:r>
              <w:t xml:space="preserve"> as </w:t>
            </w:r>
            <w:r w:rsidR="001C4F6C" w:rsidRPr="005C0139">
              <w:rPr>
                <w:vertAlign w:val="superscript"/>
              </w:rPr>
              <w:t>177</w:t>
            </w:r>
            <w:r w:rsidR="001C4F6C">
              <w:t>Lu-</w:t>
            </w:r>
            <w:proofErr w:type="gramStart"/>
            <w:r w:rsidR="001C4F6C">
              <w:t>DOTATATE</w:t>
            </w:r>
            <w:r w:rsidR="001C4F6C" w:rsidRPr="00366BB8">
              <w:rPr>
                <w:vertAlign w:val="superscript"/>
              </w:rPr>
              <w:t xml:space="preserve"> </w:t>
            </w:r>
            <w:r>
              <w:t>.</w:t>
            </w:r>
            <w:proofErr w:type="gramEnd"/>
            <w:r>
              <w:t xml:space="preserve"> Therefore, MSAC could not </w:t>
            </w:r>
            <w:proofErr w:type="gramStart"/>
            <w:r>
              <w:t>make a decision</w:t>
            </w:r>
            <w:proofErr w:type="gramEnd"/>
            <w:r>
              <w:t xml:space="preserve"> without </w:t>
            </w:r>
            <w:r>
              <w:lastRenderedPageBreak/>
              <w:t>first seeking advice from a radiochemist. MSAC also requested that all published studies be included in the application.</w:t>
            </w:r>
          </w:p>
          <w:p w14:paraId="5D97104E" w14:textId="4F8A99E1" w:rsidR="00BE0C24" w:rsidRPr="00F0751B" w:rsidRDefault="009B15DB" w:rsidP="00F0751B">
            <w:pPr>
              <w:spacing w:after="120"/>
            </w:pPr>
            <w:r>
              <w:t xml:space="preserve">If the products are found to be </w:t>
            </w:r>
            <w:r w:rsidR="004721DD">
              <w:t xml:space="preserve">chemically similar </w:t>
            </w:r>
            <w:r w:rsidR="003B30F2">
              <w:t>and/</w:t>
            </w:r>
            <w:r w:rsidR="004721DD">
              <w:t xml:space="preserve">or have </w:t>
            </w:r>
            <w:r w:rsidR="0086546B">
              <w:t>the same</w:t>
            </w:r>
            <w:r w:rsidR="003B30F2">
              <w:t xml:space="preserve"> effects on the body </w:t>
            </w:r>
            <w:r>
              <w:t>and MSAC approves MBS listing, MSAC advised that uptake and usage should be reviewed after 12 months. Patient out-of-pocket costs should also be monitored.</w:t>
            </w:r>
          </w:p>
        </w:tc>
      </w:tr>
    </w:tbl>
    <w:p w14:paraId="0D211CC7" w14:textId="77777777" w:rsidR="000B228E" w:rsidRPr="00C86E49" w:rsidRDefault="000B228E" w:rsidP="000B228E">
      <w:pPr>
        <w:pStyle w:val="Heading2"/>
        <w:numPr>
          <w:ilvl w:val="1"/>
          <w:numId w:val="0"/>
        </w:numPr>
      </w:pPr>
      <w:r w:rsidRPr="00C86E49">
        <w:lastRenderedPageBreak/>
        <w:t>3.</w:t>
      </w:r>
      <w:r w:rsidRPr="00C86E49">
        <w:tab/>
        <w:t>Summary of consideration and rationale for MSAC’s advice</w:t>
      </w:r>
    </w:p>
    <w:p w14:paraId="635573B7" w14:textId="77777777" w:rsidR="00BE0C24" w:rsidRPr="00BE0C24" w:rsidRDefault="00BE0C24" w:rsidP="00BE0C24">
      <w:pPr>
        <w:spacing w:after="240" w:line="240" w:lineRule="auto"/>
        <w:rPr>
          <w:rFonts w:eastAsia="Calibri" w:cs="Times New Roman"/>
          <w:b/>
          <w:bCs/>
        </w:rPr>
      </w:pPr>
      <w:r w:rsidRPr="009010EE">
        <w:rPr>
          <w:rFonts w:eastAsia="Calibri" w:cs="Times New Roman"/>
          <w:b/>
          <w:bCs/>
        </w:rPr>
        <w:t>November 2024 MSAC consideration</w:t>
      </w:r>
    </w:p>
    <w:p w14:paraId="6B5FA1D7" w14:textId="77777777" w:rsidR="009D50D3" w:rsidRPr="009D50D3" w:rsidRDefault="009D50D3" w:rsidP="009D50D3">
      <w:pPr>
        <w:spacing w:after="240" w:line="240" w:lineRule="auto"/>
        <w:rPr>
          <w:rFonts w:eastAsia="Calibri" w:cs="Times New Roman"/>
        </w:rPr>
      </w:pPr>
      <w:r w:rsidRPr="009D50D3">
        <w:rPr>
          <w:rFonts w:eastAsia="Calibri" w:cs="Times New Roman"/>
        </w:rPr>
        <w:t xml:space="preserve">MSAC noted that this was an application from Applied Molecular Therapies Pty Ltd requesting Medicare Benefits Schedule (MBS) listing of </w:t>
      </w:r>
      <w:r w:rsidRPr="009D50D3">
        <w:rPr>
          <w:rFonts w:eastAsia="Calibri" w:cs="Times New Roman"/>
          <w:vertAlign w:val="superscript"/>
        </w:rPr>
        <w:t>177</w:t>
      </w:r>
      <w:r w:rsidRPr="009D50D3">
        <w:rPr>
          <w:rFonts w:eastAsia="Calibri" w:cs="Times New Roman"/>
        </w:rPr>
        <w:t>Lutetium (no carrier added)-DOTA-</w:t>
      </w:r>
      <w:proofErr w:type="spellStart"/>
      <w:r w:rsidRPr="009D50D3">
        <w:rPr>
          <w:rFonts w:eastAsia="Calibri" w:cs="Times New Roman"/>
        </w:rPr>
        <w:t>octreotate</w:t>
      </w:r>
      <w:proofErr w:type="spellEnd"/>
      <w:r w:rsidRPr="009D50D3">
        <w:rPr>
          <w:rFonts w:eastAsia="Calibri" w:cs="Times New Roman"/>
        </w:rPr>
        <w:t xml:space="preserve"> (</w:t>
      </w:r>
      <w:r w:rsidRPr="009D50D3">
        <w:rPr>
          <w:rFonts w:eastAsia="Calibri" w:cs="Times New Roman"/>
          <w:vertAlign w:val="superscript"/>
        </w:rPr>
        <w:t>177</w:t>
      </w:r>
      <w:r w:rsidRPr="009D50D3">
        <w:rPr>
          <w:rFonts w:eastAsia="Calibri" w:cs="Times New Roman"/>
        </w:rPr>
        <w:t>Lu (</w:t>
      </w:r>
      <w:proofErr w:type="spellStart"/>
      <w:r w:rsidRPr="009D50D3">
        <w:rPr>
          <w:rFonts w:eastAsia="Calibri" w:cs="Times New Roman"/>
        </w:rPr>
        <w:t>nca</w:t>
      </w:r>
      <w:proofErr w:type="spellEnd"/>
      <w:r w:rsidRPr="009D50D3">
        <w:rPr>
          <w:rFonts w:eastAsia="Calibri" w:cs="Times New Roman"/>
        </w:rPr>
        <w:t>)-DOTA-</w:t>
      </w:r>
      <w:proofErr w:type="spellStart"/>
      <w:r w:rsidRPr="009D50D3">
        <w:rPr>
          <w:rFonts w:eastAsia="Calibri" w:cs="Times New Roman"/>
        </w:rPr>
        <w:t>octreotate</w:t>
      </w:r>
      <w:proofErr w:type="spellEnd"/>
      <w:r w:rsidRPr="009D50D3">
        <w:rPr>
          <w:rFonts w:eastAsia="Calibri" w:cs="Times New Roman"/>
        </w:rPr>
        <w:t xml:space="preserve">) for the treatment of advanced neuroendocrine neoplasms (NENs) with high somatostatin receptor (H-SSTR) expression. The application was also requesting a new MBS listing for </w:t>
      </w:r>
      <w:r w:rsidRPr="009D50D3">
        <w:rPr>
          <w:rFonts w:eastAsia="Calibri" w:cs="Times New Roman"/>
          <w:vertAlign w:val="superscript"/>
        </w:rPr>
        <w:t>68</w:t>
      </w:r>
      <w:r w:rsidRPr="009D50D3">
        <w:rPr>
          <w:rFonts w:eastAsia="Calibri" w:cs="Times New Roman"/>
        </w:rPr>
        <w:t>Gallium (Ga)-DOTA-</w:t>
      </w:r>
      <w:proofErr w:type="spellStart"/>
      <w:r w:rsidRPr="009D50D3">
        <w:rPr>
          <w:rFonts w:eastAsia="Calibri" w:cs="Times New Roman"/>
        </w:rPr>
        <w:t>octreotate</w:t>
      </w:r>
      <w:proofErr w:type="spellEnd"/>
      <w:r w:rsidRPr="009D50D3">
        <w:rPr>
          <w:rFonts w:eastAsia="Calibri" w:cs="Times New Roman"/>
        </w:rPr>
        <w:t xml:space="preserve"> SSTR-positron emission tomography (PET)/computed tomography (CT) — </w:t>
      </w:r>
      <w:r w:rsidRPr="009D50D3">
        <w:rPr>
          <w:rFonts w:eastAsia="Calibri" w:cs="Times New Roman"/>
          <w:vertAlign w:val="superscript"/>
        </w:rPr>
        <w:t>68</w:t>
      </w:r>
      <w:r w:rsidRPr="009D50D3">
        <w:rPr>
          <w:rFonts w:eastAsia="Calibri" w:cs="Times New Roman"/>
        </w:rPr>
        <w:t xml:space="preserve">Ga-DOTA-octreotate PET/CT — to determine eligibility for </w:t>
      </w:r>
      <w:r w:rsidRPr="009D50D3">
        <w:rPr>
          <w:rFonts w:eastAsia="Calibri" w:cs="Times New Roman"/>
          <w:vertAlign w:val="superscript"/>
        </w:rPr>
        <w:t>177</w:t>
      </w:r>
      <w:r w:rsidRPr="009D50D3">
        <w:rPr>
          <w:rFonts w:eastAsia="Calibri" w:cs="Times New Roman"/>
        </w:rPr>
        <w:t>Lu (</w:t>
      </w:r>
      <w:proofErr w:type="spellStart"/>
      <w:r w:rsidRPr="009D50D3">
        <w:rPr>
          <w:rFonts w:eastAsia="Calibri" w:cs="Times New Roman"/>
        </w:rPr>
        <w:t>nca</w:t>
      </w:r>
      <w:proofErr w:type="spellEnd"/>
      <w:r w:rsidRPr="009D50D3">
        <w:rPr>
          <w:rFonts w:eastAsia="Calibri" w:cs="Times New Roman"/>
        </w:rPr>
        <w:t>)-DOTA-</w:t>
      </w:r>
      <w:proofErr w:type="spellStart"/>
      <w:r w:rsidRPr="009D50D3">
        <w:rPr>
          <w:rFonts w:eastAsia="Calibri" w:cs="Times New Roman"/>
        </w:rPr>
        <w:t>octreotate</w:t>
      </w:r>
      <w:proofErr w:type="spellEnd"/>
      <w:r w:rsidRPr="009D50D3">
        <w:rPr>
          <w:rFonts w:eastAsia="Calibri" w:cs="Times New Roman"/>
        </w:rPr>
        <w:t xml:space="preserve"> treatment, as well as for monitoring the post-treatment effect of </w:t>
      </w:r>
      <w:r w:rsidRPr="009D50D3">
        <w:rPr>
          <w:rFonts w:eastAsia="Calibri" w:cs="Times New Roman"/>
          <w:vertAlign w:val="superscript"/>
        </w:rPr>
        <w:t>177</w:t>
      </w:r>
      <w:r w:rsidRPr="009D50D3">
        <w:rPr>
          <w:rFonts w:eastAsia="Calibri" w:cs="Times New Roman"/>
        </w:rPr>
        <w:t>Lu (</w:t>
      </w:r>
      <w:proofErr w:type="spellStart"/>
      <w:r w:rsidRPr="009D50D3">
        <w:rPr>
          <w:rFonts w:eastAsia="Calibri" w:cs="Times New Roman"/>
        </w:rPr>
        <w:t>nca</w:t>
      </w:r>
      <w:proofErr w:type="spellEnd"/>
      <w:r w:rsidRPr="009D50D3">
        <w:rPr>
          <w:rFonts w:eastAsia="Calibri" w:cs="Times New Roman"/>
        </w:rPr>
        <w:t>)-DOTA-</w:t>
      </w:r>
      <w:proofErr w:type="spellStart"/>
      <w:r w:rsidRPr="009D50D3">
        <w:rPr>
          <w:rFonts w:eastAsia="Calibri" w:cs="Times New Roman"/>
        </w:rPr>
        <w:t>octreotate</w:t>
      </w:r>
      <w:proofErr w:type="spellEnd"/>
      <w:r w:rsidRPr="009D50D3">
        <w:rPr>
          <w:rFonts w:eastAsia="Calibri" w:cs="Times New Roman"/>
        </w:rPr>
        <w:t>. This treatment is a type of peptide receptor radionuclide therapy (PRRT).</w:t>
      </w:r>
    </w:p>
    <w:p w14:paraId="265BE53E" w14:textId="2B4401F2" w:rsidR="009D50D3" w:rsidRPr="009D50D3" w:rsidRDefault="009D50D3" w:rsidP="009D50D3">
      <w:pPr>
        <w:spacing w:after="240" w:line="240" w:lineRule="auto"/>
        <w:rPr>
          <w:rFonts w:eastAsia="Calibri" w:cs="Times New Roman"/>
        </w:rPr>
      </w:pPr>
      <w:r w:rsidRPr="009D50D3">
        <w:rPr>
          <w:rFonts w:eastAsia="Calibri" w:cs="Times New Roman"/>
        </w:rPr>
        <w:t>MSAC recalled that it considered this application at its meeting in August 2024. The evidence that had been considered in the Department-contracted assessment report (DCAR) was for</w:t>
      </w:r>
      <w:r w:rsidR="00173FB6">
        <w:rPr>
          <w:rFonts w:eastAsia="Calibri" w:cs="Times New Roman"/>
        </w:rPr>
        <w:t xml:space="preserve"> </w:t>
      </w:r>
      <w:r w:rsidR="00173FB6" w:rsidRPr="005C0139">
        <w:rPr>
          <w:vertAlign w:val="superscript"/>
        </w:rPr>
        <w:t>177</w:t>
      </w:r>
      <w:r w:rsidR="00173FB6">
        <w:t>Lu-DOTATATE (with the commercial name</w:t>
      </w:r>
      <w:r w:rsidRPr="009D50D3">
        <w:rPr>
          <w:rFonts w:eastAsia="Calibri" w:cs="Times New Roman"/>
        </w:rPr>
        <w:t xml:space="preserve"> </w:t>
      </w:r>
      <w:proofErr w:type="spellStart"/>
      <w:r w:rsidRPr="009D50D3">
        <w:rPr>
          <w:rFonts w:eastAsia="Calibri" w:cs="Times New Roman"/>
        </w:rPr>
        <w:t>Lutathera</w:t>
      </w:r>
      <w:proofErr w:type="spellEnd"/>
      <w:r w:rsidR="000D3A90" w:rsidRPr="00E97EBE">
        <w:rPr>
          <w:rFonts w:eastAsia="Calibri" w:cs="Times New Roman"/>
        </w:rPr>
        <w:t>®</w:t>
      </w:r>
      <w:r w:rsidR="00173FB6">
        <w:rPr>
          <w:rFonts w:eastAsia="Calibri" w:cs="Times New Roman"/>
        </w:rPr>
        <w:t>)</w:t>
      </w:r>
      <w:r w:rsidRPr="009D50D3">
        <w:rPr>
          <w:rFonts w:eastAsia="Calibri" w:cs="Times New Roman"/>
        </w:rPr>
        <w:t>, with the assumption being that it was</w:t>
      </w:r>
      <w:r w:rsidR="00895959">
        <w:rPr>
          <w:rFonts w:eastAsia="Calibri" w:cs="Times New Roman"/>
        </w:rPr>
        <w:t xml:space="preserve"> non-inferior</w:t>
      </w:r>
      <w:r w:rsidRPr="009D50D3">
        <w:rPr>
          <w:rFonts w:eastAsia="Calibri" w:cs="Times New Roman"/>
        </w:rPr>
        <w:t xml:space="preserve"> to </w:t>
      </w:r>
      <w:r w:rsidRPr="009D50D3">
        <w:rPr>
          <w:rFonts w:eastAsia="Calibri" w:cs="Times New Roman"/>
          <w:vertAlign w:val="superscript"/>
        </w:rPr>
        <w:t>177</w:t>
      </w:r>
      <w:r w:rsidRPr="009D50D3">
        <w:rPr>
          <w:rFonts w:eastAsia="Calibri" w:cs="Times New Roman"/>
        </w:rPr>
        <w:t>Lu-DOTA-octreotate. At the time, MSAC accepted that there was no basis in the presented clinic evidence to distinguish</w:t>
      </w:r>
      <w:r w:rsidR="000F0540">
        <w:rPr>
          <w:rFonts w:eastAsia="Calibri" w:cs="Times New Roman"/>
        </w:rPr>
        <w:t xml:space="preserve"> </w:t>
      </w:r>
      <w:r w:rsidR="0048187E" w:rsidRPr="009D50D3">
        <w:rPr>
          <w:rFonts w:eastAsia="Calibri" w:cs="Times New Roman"/>
          <w:vertAlign w:val="superscript"/>
        </w:rPr>
        <w:t>177</w:t>
      </w:r>
      <w:r w:rsidR="0048187E" w:rsidRPr="009D50D3">
        <w:rPr>
          <w:rFonts w:eastAsia="Calibri" w:cs="Times New Roman"/>
        </w:rPr>
        <w:t>Lu-DOTA-octreotate treatment</w:t>
      </w:r>
      <w:r w:rsidR="0048187E">
        <w:rPr>
          <w:rFonts w:eastAsia="Calibri" w:cs="Times New Roman"/>
        </w:rPr>
        <w:t xml:space="preserve"> that was </w:t>
      </w:r>
      <w:r w:rsidR="000F0540">
        <w:rPr>
          <w:rFonts w:eastAsia="Calibri" w:cs="Times New Roman"/>
        </w:rPr>
        <w:t>non-carrier added</w:t>
      </w:r>
      <w:r w:rsidRPr="009D50D3">
        <w:rPr>
          <w:rFonts w:eastAsia="Calibri" w:cs="Times New Roman"/>
        </w:rPr>
        <w:t xml:space="preserve"> </w:t>
      </w:r>
      <w:r w:rsidR="000F0540">
        <w:rPr>
          <w:rFonts w:eastAsia="Calibri" w:cs="Times New Roman"/>
        </w:rPr>
        <w:t>(</w:t>
      </w:r>
      <w:r w:rsidRPr="009D50D3">
        <w:rPr>
          <w:rFonts w:eastAsia="Calibri" w:cs="Times New Roman"/>
        </w:rPr>
        <w:t>‘</w:t>
      </w:r>
      <w:proofErr w:type="spellStart"/>
      <w:r w:rsidRPr="009D50D3">
        <w:rPr>
          <w:rFonts w:eastAsia="Calibri" w:cs="Times New Roman"/>
        </w:rPr>
        <w:t>nca</w:t>
      </w:r>
      <w:proofErr w:type="spellEnd"/>
      <w:r w:rsidRPr="009D50D3">
        <w:rPr>
          <w:rFonts w:eastAsia="Calibri" w:cs="Times New Roman"/>
        </w:rPr>
        <w:t>’</w:t>
      </w:r>
      <w:r w:rsidR="000F0540">
        <w:rPr>
          <w:rFonts w:eastAsia="Calibri" w:cs="Times New Roman"/>
        </w:rPr>
        <w:t>)</w:t>
      </w:r>
      <w:r w:rsidRPr="009D50D3">
        <w:rPr>
          <w:rFonts w:eastAsia="Calibri" w:cs="Times New Roman"/>
        </w:rPr>
        <w:t xml:space="preserve"> from </w:t>
      </w:r>
      <w:r w:rsidR="0048187E" w:rsidRPr="009D50D3">
        <w:rPr>
          <w:rFonts w:eastAsia="Calibri" w:cs="Times New Roman"/>
          <w:vertAlign w:val="superscript"/>
        </w:rPr>
        <w:t>177</w:t>
      </w:r>
      <w:r w:rsidR="0048187E" w:rsidRPr="009D50D3">
        <w:rPr>
          <w:rFonts w:eastAsia="Calibri" w:cs="Times New Roman"/>
        </w:rPr>
        <w:t>Lu-DOTA-octreotate treatment</w:t>
      </w:r>
      <w:r w:rsidR="0048187E">
        <w:rPr>
          <w:rFonts w:eastAsia="Calibri" w:cs="Times New Roman"/>
        </w:rPr>
        <w:t xml:space="preserve"> that was </w:t>
      </w:r>
      <w:r w:rsidR="000F0540">
        <w:rPr>
          <w:rFonts w:eastAsia="Calibri" w:cs="Times New Roman"/>
        </w:rPr>
        <w:t>carrier added (</w:t>
      </w:r>
      <w:r w:rsidRPr="009D50D3">
        <w:rPr>
          <w:rFonts w:eastAsia="Calibri" w:cs="Times New Roman"/>
        </w:rPr>
        <w:t>‘ca’</w:t>
      </w:r>
      <w:r w:rsidR="000F0540">
        <w:rPr>
          <w:rFonts w:eastAsia="Calibri" w:cs="Times New Roman"/>
        </w:rPr>
        <w:t>)</w:t>
      </w:r>
      <w:r w:rsidRPr="009D50D3">
        <w:rPr>
          <w:rFonts w:eastAsia="Calibri" w:cs="Times New Roman"/>
        </w:rPr>
        <w:t>. MSAC had also accepted that, although evidence for some NEN subtypes was weak, overall, the evidence showed that:</w:t>
      </w:r>
    </w:p>
    <w:p w14:paraId="2E764AE0" w14:textId="73E35964" w:rsidR="009D50D3" w:rsidRPr="009D50D3" w:rsidRDefault="00895959" w:rsidP="00353770">
      <w:pPr>
        <w:numPr>
          <w:ilvl w:val="0"/>
          <w:numId w:val="41"/>
        </w:numPr>
        <w:spacing w:after="120" w:line="240" w:lineRule="auto"/>
        <w:ind w:left="714" w:hanging="357"/>
        <w:rPr>
          <w:rFonts w:eastAsia="Calibri" w:cs="Times New Roman"/>
        </w:rPr>
      </w:pPr>
      <w:r w:rsidRPr="005C0139">
        <w:rPr>
          <w:vertAlign w:val="superscript"/>
        </w:rPr>
        <w:t>177</w:t>
      </w:r>
      <w:r>
        <w:t>Lu-DOTATATE</w:t>
      </w:r>
      <w:r w:rsidRPr="009D50D3" w:rsidDel="00895959">
        <w:rPr>
          <w:rFonts w:eastAsia="Calibri" w:cs="Times New Roman"/>
        </w:rPr>
        <w:t xml:space="preserve"> </w:t>
      </w:r>
      <w:r w:rsidR="009D50D3" w:rsidRPr="009D50D3">
        <w:rPr>
          <w:rFonts w:eastAsia="Calibri" w:cs="Times New Roman"/>
        </w:rPr>
        <w:t xml:space="preserve">was </w:t>
      </w:r>
      <w:r>
        <w:rPr>
          <w:rFonts w:eastAsia="Calibri" w:cs="Times New Roman"/>
        </w:rPr>
        <w:t xml:space="preserve">a </w:t>
      </w:r>
      <w:r w:rsidR="009D50D3" w:rsidRPr="009D50D3">
        <w:rPr>
          <w:rFonts w:eastAsia="Calibri" w:cs="Times New Roman"/>
        </w:rPr>
        <w:t>safe and clinically effective</w:t>
      </w:r>
      <w:r>
        <w:rPr>
          <w:rFonts w:eastAsia="Calibri" w:cs="Times New Roman"/>
        </w:rPr>
        <w:t xml:space="preserve"> therapy </w:t>
      </w:r>
    </w:p>
    <w:p w14:paraId="0B233491" w14:textId="73E934E8" w:rsidR="009D50D3" w:rsidRPr="009D50D3" w:rsidRDefault="009D50D3" w:rsidP="00353770">
      <w:pPr>
        <w:numPr>
          <w:ilvl w:val="0"/>
          <w:numId w:val="41"/>
        </w:numPr>
        <w:spacing w:after="120" w:line="240" w:lineRule="auto"/>
        <w:ind w:left="714" w:hanging="357"/>
        <w:rPr>
          <w:rFonts w:eastAsia="Calibri" w:cs="Times New Roman"/>
        </w:rPr>
      </w:pPr>
      <w:r w:rsidRPr="009D50D3">
        <w:rPr>
          <w:rFonts w:eastAsia="Calibri" w:cs="Times New Roman"/>
        </w:rPr>
        <w:t xml:space="preserve">in most plausible scenarios, </w:t>
      </w:r>
      <w:r w:rsidR="00895959" w:rsidRPr="005C0139">
        <w:rPr>
          <w:vertAlign w:val="superscript"/>
        </w:rPr>
        <w:t>177</w:t>
      </w:r>
      <w:r w:rsidR="00895959">
        <w:t>Lu-DOTATATE</w:t>
      </w:r>
      <w:r w:rsidRPr="009D50D3">
        <w:rPr>
          <w:rFonts w:eastAsia="Calibri" w:cs="Times New Roman"/>
        </w:rPr>
        <w:t xml:space="preserve"> had an acceptable incremental cost-effectiveness ratio (ICER)</w:t>
      </w:r>
    </w:p>
    <w:p w14:paraId="60A45333" w14:textId="77777777" w:rsidR="009D50D3" w:rsidRPr="009D50D3" w:rsidRDefault="009D50D3" w:rsidP="009D50D3">
      <w:pPr>
        <w:numPr>
          <w:ilvl w:val="0"/>
          <w:numId w:val="41"/>
        </w:numPr>
        <w:spacing w:after="240" w:line="240" w:lineRule="auto"/>
        <w:rPr>
          <w:rFonts w:eastAsia="Calibri" w:cs="Times New Roman"/>
        </w:rPr>
      </w:pPr>
      <w:r w:rsidRPr="009D50D3">
        <w:rPr>
          <w:rFonts w:eastAsia="Calibri" w:cs="Times New Roman"/>
        </w:rPr>
        <w:t xml:space="preserve">better data to inform decisions </w:t>
      </w:r>
      <w:proofErr w:type="gramStart"/>
      <w:r w:rsidRPr="009D50D3">
        <w:rPr>
          <w:rFonts w:eastAsia="Calibri" w:cs="Times New Roman"/>
        </w:rPr>
        <w:t>in the near future</w:t>
      </w:r>
      <w:proofErr w:type="gramEnd"/>
      <w:r w:rsidRPr="009D50D3">
        <w:rPr>
          <w:rFonts w:eastAsia="Calibri" w:cs="Times New Roman"/>
        </w:rPr>
        <w:t xml:space="preserve"> were unlikely.</w:t>
      </w:r>
    </w:p>
    <w:p w14:paraId="1B18B208" w14:textId="6918CAF2" w:rsidR="009D50D3" w:rsidRPr="009D50D3" w:rsidRDefault="009D50D3" w:rsidP="009D50D3">
      <w:pPr>
        <w:spacing w:after="240" w:line="240" w:lineRule="auto"/>
        <w:rPr>
          <w:rFonts w:eastAsia="Calibri" w:cs="Times New Roman"/>
        </w:rPr>
      </w:pPr>
      <w:r w:rsidRPr="009D50D3">
        <w:rPr>
          <w:rFonts w:eastAsia="Calibri" w:cs="Times New Roman"/>
        </w:rPr>
        <w:t xml:space="preserve">MSAC had also noted the high clinical need and strong consumer support for the treatment. Therefore, MSAC had considered supporting funding for </w:t>
      </w:r>
      <w:r w:rsidRPr="009D50D3">
        <w:rPr>
          <w:rFonts w:eastAsia="Calibri" w:cs="Times New Roman"/>
          <w:vertAlign w:val="superscript"/>
        </w:rPr>
        <w:t>177</w:t>
      </w:r>
      <w:r w:rsidRPr="009D50D3">
        <w:rPr>
          <w:rFonts w:eastAsia="Calibri" w:cs="Times New Roman"/>
        </w:rPr>
        <w:t xml:space="preserve">Lu-DOTA-octreotate. However, </w:t>
      </w:r>
      <w:r w:rsidR="008E3A45">
        <w:t xml:space="preserve">MSAC noted </w:t>
      </w:r>
      <w:r w:rsidR="00567D47">
        <w:t>that no</w:t>
      </w:r>
      <w:r w:rsidR="00567D47" w:rsidRPr="00307050">
        <w:t xml:space="preserve"> reliable data</w:t>
      </w:r>
      <w:r w:rsidR="00567D47">
        <w:t xml:space="preserve"> </w:t>
      </w:r>
      <w:r w:rsidR="00567D47" w:rsidRPr="00307050">
        <w:t xml:space="preserve">were presented </w:t>
      </w:r>
      <w:r w:rsidR="00567D47">
        <w:t xml:space="preserve">in the DCAR </w:t>
      </w:r>
      <w:r w:rsidR="00567D47" w:rsidRPr="00307050">
        <w:t xml:space="preserve">to establish </w:t>
      </w:r>
      <w:proofErr w:type="gramStart"/>
      <w:r w:rsidR="00567D47" w:rsidRPr="00307050">
        <w:t>whether or not</w:t>
      </w:r>
      <w:proofErr w:type="gramEnd"/>
      <w:r w:rsidR="00567D47" w:rsidRPr="00307050">
        <w:t xml:space="preserve"> the products have similar chemical structure</w:t>
      </w:r>
      <w:r w:rsidR="00567D47">
        <w:t xml:space="preserve"> or similar biodistributions, characteristics which are expected to affect the assessment of non-inferiority of the two products in terms of safety and efficacy</w:t>
      </w:r>
      <w:r w:rsidRPr="009D50D3">
        <w:rPr>
          <w:rFonts w:eastAsia="Calibri" w:cs="Times New Roman"/>
        </w:rPr>
        <w:t xml:space="preserve">. </w:t>
      </w:r>
      <w:r w:rsidR="0055620F">
        <w:rPr>
          <w:rFonts w:eastAsia="Calibri" w:cs="Times New Roman"/>
        </w:rPr>
        <w:t xml:space="preserve">This </w:t>
      </w:r>
      <w:r w:rsidRPr="009D50D3">
        <w:rPr>
          <w:rFonts w:eastAsia="Calibri" w:cs="Times New Roman"/>
        </w:rPr>
        <w:t>meant that the relevance of the evidence presented in the DCAR was uncertain. MSAC had therefore requested that the Department seek expert assessment on the chemical forms of the 2 products.</w:t>
      </w:r>
    </w:p>
    <w:p w14:paraId="1D72A2F7" w14:textId="3F9984BE" w:rsidR="009D50D3" w:rsidRPr="00E97EBE" w:rsidRDefault="009D50D3" w:rsidP="00353770">
      <w:pPr>
        <w:keepNext/>
        <w:keepLines/>
        <w:spacing w:after="240" w:line="240" w:lineRule="auto"/>
        <w:rPr>
          <w:rFonts w:eastAsia="Calibri" w:cs="Times New Roman"/>
        </w:rPr>
      </w:pPr>
      <w:r w:rsidRPr="00E97EBE">
        <w:rPr>
          <w:rFonts w:eastAsia="Calibri" w:cs="Times New Roman"/>
        </w:rPr>
        <w:lastRenderedPageBreak/>
        <w:t xml:space="preserve">MSAC noted that </w:t>
      </w:r>
      <w:r w:rsidR="00163D0C">
        <w:rPr>
          <w:rFonts w:eastAsia="Calibri" w:cs="Times New Roman"/>
        </w:rPr>
        <w:t>two</w:t>
      </w:r>
      <w:r w:rsidRPr="00E97EBE">
        <w:rPr>
          <w:rFonts w:eastAsia="Calibri" w:cs="Times New Roman"/>
        </w:rPr>
        <w:t xml:space="preserve"> independent radiochemists </w:t>
      </w:r>
      <w:r w:rsidR="002D47DA" w:rsidRPr="00E97EBE">
        <w:rPr>
          <w:rFonts w:eastAsia="Calibri" w:cs="Times New Roman"/>
        </w:rPr>
        <w:t xml:space="preserve">advised </w:t>
      </w:r>
      <w:r w:rsidRPr="00E97EBE">
        <w:rPr>
          <w:rFonts w:eastAsia="Calibri" w:cs="Times New Roman"/>
        </w:rPr>
        <w:t>that</w:t>
      </w:r>
      <w:r w:rsidR="00AF0C9E">
        <w:rPr>
          <w:rFonts w:eastAsia="Calibri" w:cs="Times New Roman"/>
        </w:rPr>
        <w:t xml:space="preserve"> the chemical structures of</w:t>
      </w:r>
      <w:r w:rsidRPr="00E97EBE">
        <w:rPr>
          <w:rFonts w:eastAsia="Calibri" w:cs="Times New Roman"/>
        </w:rPr>
        <w:t xml:space="preserve"> </w:t>
      </w:r>
      <w:r w:rsidR="00D31F86" w:rsidRPr="00E97EBE">
        <w:rPr>
          <w:vertAlign w:val="superscript"/>
        </w:rPr>
        <w:t>177</w:t>
      </w:r>
      <w:r w:rsidR="00D31F86" w:rsidRPr="00E97EBE">
        <w:t>Lu</w:t>
      </w:r>
      <w:r w:rsidR="00DC0820">
        <w:noBreakHyphen/>
      </w:r>
      <w:r w:rsidR="00D31F86" w:rsidRPr="00E97EBE">
        <w:t>DOTATATE</w:t>
      </w:r>
      <w:r w:rsidR="00D31F86" w:rsidRPr="00E97EBE" w:rsidDel="00895959">
        <w:rPr>
          <w:rFonts w:eastAsia="Calibri" w:cs="Times New Roman"/>
        </w:rPr>
        <w:t xml:space="preserve"> </w:t>
      </w:r>
      <w:r w:rsidRPr="00E97EBE">
        <w:rPr>
          <w:rFonts w:eastAsia="Calibri" w:cs="Times New Roman"/>
        </w:rPr>
        <w:t xml:space="preserve">and </w:t>
      </w:r>
      <w:r w:rsidRPr="00E97EBE">
        <w:rPr>
          <w:rFonts w:eastAsia="Calibri" w:cs="Times New Roman"/>
          <w:vertAlign w:val="superscript"/>
        </w:rPr>
        <w:t>177</w:t>
      </w:r>
      <w:r w:rsidRPr="00E97EBE">
        <w:rPr>
          <w:rFonts w:eastAsia="Calibri" w:cs="Times New Roman"/>
        </w:rPr>
        <w:t xml:space="preserve">Lu-DOTA-octreotate </w:t>
      </w:r>
      <w:r w:rsidR="00AF0C9E">
        <w:rPr>
          <w:rFonts w:eastAsia="Calibri" w:cs="Times New Roman"/>
        </w:rPr>
        <w:t>we</w:t>
      </w:r>
      <w:r w:rsidRPr="00E97EBE">
        <w:rPr>
          <w:rFonts w:eastAsia="Calibri" w:cs="Times New Roman"/>
        </w:rPr>
        <w:t xml:space="preserve">re </w:t>
      </w:r>
      <w:r w:rsidR="0089052C" w:rsidRPr="00E97EBE">
        <w:rPr>
          <w:rFonts w:eastAsia="Calibri" w:cs="Times New Roman"/>
        </w:rPr>
        <w:t>identical</w:t>
      </w:r>
      <w:r w:rsidRPr="00E97EBE">
        <w:rPr>
          <w:rFonts w:eastAsia="Calibri" w:cs="Times New Roman"/>
        </w:rPr>
        <w:t>. Specifically, advice from the radiochemists confirmed that:</w:t>
      </w:r>
    </w:p>
    <w:p w14:paraId="51E2B133" w14:textId="77777777" w:rsidR="009D50D3" w:rsidRPr="00E97EBE" w:rsidRDefault="009D50D3" w:rsidP="00353770">
      <w:pPr>
        <w:keepNext/>
        <w:keepLines/>
        <w:numPr>
          <w:ilvl w:val="0"/>
          <w:numId w:val="42"/>
        </w:numPr>
        <w:spacing w:after="120" w:line="240" w:lineRule="auto"/>
        <w:ind w:left="714" w:hanging="357"/>
        <w:rPr>
          <w:rFonts w:eastAsia="Calibri" w:cs="Times New Roman"/>
        </w:rPr>
      </w:pPr>
      <w:r w:rsidRPr="00E97EBE">
        <w:rPr>
          <w:rFonts w:eastAsia="Calibri" w:cs="Times New Roman"/>
        </w:rPr>
        <w:t xml:space="preserve">the targeting moiety of both products feature the same </w:t>
      </w:r>
      <w:proofErr w:type="spellStart"/>
      <w:r w:rsidRPr="00E97EBE">
        <w:rPr>
          <w:rFonts w:eastAsia="Calibri" w:cs="Times New Roman"/>
        </w:rPr>
        <w:t>octreotate</w:t>
      </w:r>
      <w:proofErr w:type="spellEnd"/>
      <w:r w:rsidRPr="00E97EBE">
        <w:rPr>
          <w:rFonts w:eastAsia="Calibri" w:cs="Times New Roman"/>
        </w:rPr>
        <w:t xml:space="preserve"> analogue</w:t>
      </w:r>
    </w:p>
    <w:p w14:paraId="00B4D8B5" w14:textId="6D0ABCED" w:rsidR="009D50D3" w:rsidRPr="00E97EBE" w:rsidRDefault="009D50D3" w:rsidP="00353770">
      <w:pPr>
        <w:keepNext/>
        <w:keepLines/>
        <w:numPr>
          <w:ilvl w:val="0"/>
          <w:numId w:val="42"/>
        </w:numPr>
        <w:spacing w:after="120" w:line="240" w:lineRule="auto"/>
        <w:ind w:left="714" w:hanging="357"/>
        <w:rPr>
          <w:rFonts w:eastAsia="Calibri" w:cs="Times New Roman"/>
        </w:rPr>
      </w:pPr>
      <w:r w:rsidRPr="00E97EBE">
        <w:rPr>
          <w:rFonts w:eastAsia="Calibri" w:cs="Times New Roman"/>
        </w:rPr>
        <w:t xml:space="preserve">both products feature the DOTA chelator for binding </w:t>
      </w:r>
      <w:r w:rsidRPr="00E97EBE">
        <w:rPr>
          <w:rFonts w:eastAsia="Calibri" w:cs="Times New Roman"/>
          <w:vertAlign w:val="superscript"/>
        </w:rPr>
        <w:t>177</w:t>
      </w:r>
      <w:r w:rsidR="009F21CA" w:rsidRPr="00E97EBE">
        <w:t xml:space="preserve"> </w:t>
      </w:r>
      <w:r w:rsidR="009F21CA" w:rsidRPr="00E97EBE">
        <w:rPr>
          <w:rFonts w:eastAsia="Calibri" w:cs="Times New Roman"/>
        </w:rPr>
        <w:t>Lutetium</w:t>
      </w:r>
    </w:p>
    <w:p w14:paraId="34EA4FCD" w14:textId="77777777" w:rsidR="009D50D3" w:rsidRPr="00E97EBE" w:rsidRDefault="009D50D3" w:rsidP="00353770">
      <w:pPr>
        <w:keepNext/>
        <w:keepLines/>
        <w:numPr>
          <w:ilvl w:val="0"/>
          <w:numId w:val="42"/>
        </w:numPr>
        <w:spacing w:after="240" w:line="240" w:lineRule="auto"/>
        <w:rPr>
          <w:rFonts w:eastAsia="Calibri" w:cs="Times New Roman"/>
        </w:rPr>
      </w:pPr>
      <w:r w:rsidRPr="00E97EBE">
        <w:rPr>
          <w:rFonts w:eastAsia="Calibri" w:cs="Times New Roman"/>
        </w:rPr>
        <w:t xml:space="preserve">the metal chelator in both products is conjugated to the N-terminus of the </w:t>
      </w:r>
      <w:proofErr w:type="spellStart"/>
      <w:r w:rsidRPr="00E97EBE">
        <w:rPr>
          <w:rFonts w:eastAsia="Calibri" w:cs="Times New Roman"/>
        </w:rPr>
        <w:t>octreotate</w:t>
      </w:r>
      <w:proofErr w:type="spellEnd"/>
      <w:r w:rsidRPr="00E97EBE">
        <w:rPr>
          <w:rFonts w:eastAsia="Calibri" w:cs="Times New Roman"/>
        </w:rPr>
        <w:t xml:space="preserve"> peptide via the same chemical methodology and is, therefore, of the same chemical structure.</w:t>
      </w:r>
    </w:p>
    <w:p w14:paraId="1C044038" w14:textId="77777777" w:rsidR="009D50D3" w:rsidRPr="00E52FBD" w:rsidRDefault="009D50D3" w:rsidP="009D50D3">
      <w:pPr>
        <w:spacing w:after="240" w:line="240" w:lineRule="auto"/>
        <w:rPr>
          <w:rFonts w:eastAsia="Calibri" w:cs="Times New Roman"/>
        </w:rPr>
      </w:pPr>
      <w:r w:rsidRPr="00E97EBE">
        <w:rPr>
          <w:rFonts w:eastAsia="Calibri" w:cs="Times New Roman"/>
        </w:rPr>
        <w:t xml:space="preserve">Based on this advice, the MSAC Executive had agreed that this application should be </w:t>
      </w:r>
      <w:r w:rsidRPr="00E52FBD">
        <w:rPr>
          <w:rFonts w:eastAsia="Calibri" w:cs="Times New Roman"/>
        </w:rPr>
        <w:t>reconsidered by MSAC.</w:t>
      </w:r>
    </w:p>
    <w:p w14:paraId="166E71AE" w14:textId="24EF54F3" w:rsidR="00313005" w:rsidRPr="005B11DF" w:rsidRDefault="003B15BC" w:rsidP="009D50D3">
      <w:pPr>
        <w:spacing w:after="240" w:line="240" w:lineRule="auto"/>
        <w:rPr>
          <w:rFonts w:eastAsia="Times New Roman" w:cs="Times New Roman"/>
          <w:lang w:eastAsia="en-AU"/>
        </w:rPr>
      </w:pPr>
      <w:r w:rsidRPr="005B11DF">
        <w:rPr>
          <w:rFonts w:eastAsia="Times New Roman" w:cs="Times New Roman"/>
          <w:lang w:eastAsia="en-AU"/>
        </w:rPr>
        <w:t>MSAC accepted</w:t>
      </w:r>
      <w:r w:rsidR="00E46155" w:rsidRPr="005B11DF">
        <w:rPr>
          <w:rFonts w:eastAsia="Times New Roman" w:cs="Times New Roman"/>
          <w:lang w:eastAsia="en-AU"/>
        </w:rPr>
        <w:t xml:space="preserve"> </w:t>
      </w:r>
      <w:r w:rsidRPr="005B11DF">
        <w:rPr>
          <w:rFonts w:eastAsia="Times New Roman" w:cs="Times New Roman"/>
          <w:lang w:eastAsia="en-AU"/>
        </w:rPr>
        <w:t xml:space="preserve">that </w:t>
      </w:r>
      <w:r w:rsidR="00C42933" w:rsidRPr="005B11DF">
        <w:rPr>
          <w:rFonts w:eastAsia="Times New Roman" w:cs="Times New Roman"/>
          <w:lang w:eastAsia="en-AU"/>
        </w:rPr>
        <w:t xml:space="preserve">the chemical structures of </w:t>
      </w:r>
      <w:r w:rsidRPr="005B11DF">
        <w:rPr>
          <w:rFonts w:eastAsia="Times New Roman" w:cs="Times New Roman"/>
          <w:vertAlign w:val="superscript"/>
          <w:lang w:eastAsia="en-AU"/>
        </w:rPr>
        <w:t>177</w:t>
      </w:r>
      <w:r w:rsidRPr="005B11DF">
        <w:rPr>
          <w:rFonts w:eastAsia="Times New Roman" w:cs="Times New Roman"/>
          <w:lang w:eastAsia="en-AU"/>
        </w:rPr>
        <w:t xml:space="preserve">Lu-DOTA-octreotate and </w:t>
      </w:r>
      <w:r w:rsidRPr="005B11DF">
        <w:rPr>
          <w:rFonts w:eastAsia="Times New Roman" w:cs="Times New Roman"/>
          <w:vertAlign w:val="superscript"/>
          <w:lang w:eastAsia="en-AU"/>
        </w:rPr>
        <w:t>177</w:t>
      </w:r>
      <w:r w:rsidRPr="005B11DF">
        <w:rPr>
          <w:rFonts w:eastAsia="Times New Roman" w:cs="Times New Roman"/>
          <w:lang w:eastAsia="en-AU"/>
        </w:rPr>
        <w:t xml:space="preserve">Lu-DOTATATE were </w:t>
      </w:r>
      <w:r w:rsidR="00C42933" w:rsidRPr="005B11DF">
        <w:rPr>
          <w:rFonts w:eastAsia="Times New Roman" w:cs="Times New Roman"/>
          <w:lang w:eastAsia="en-AU"/>
        </w:rPr>
        <w:t>identical</w:t>
      </w:r>
      <w:r w:rsidR="00E46155" w:rsidRPr="005B11DF">
        <w:rPr>
          <w:rFonts w:eastAsia="Times New Roman" w:cs="Times New Roman"/>
          <w:lang w:eastAsia="en-AU"/>
        </w:rPr>
        <w:t xml:space="preserve">, based on </w:t>
      </w:r>
      <w:r w:rsidR="008F095D" w:rsidRPr="005B11DF">
        <w:rPr>
          <w:rFonts w:eastAsia="Times New Roman" w:cs="Times New Roman"/>
          <w:lang w:eastAsia="en-AU"/>
        </w:rPr>
        <w:t xml:space="preserve">the </w:t>
      </w:r>
      <w:proofErr w:type="gramStart"/>
      <w:r w:rsidR="008F095D" w:rsidRPr="005B11DF">
        <w:rPr>
          <w:rFonts w:eastAsia="Times New Roman" w:cs="Times New Roman"/>
          <w:lang w:eastAsia="en-AU"/>
        </w:rPr>
        <w:t xml:space="preserve">aforementioned </w:t>
      </w:r>
      <w:r w:rsidR="00E46155" w:rsidRPr="005B11DF">
        <w:rPr>
          <w:rFonts w:eastAsia="Times New Roman" w:cs="Times New Roman"/>
          <w:lang w:eastAsia="en-AU"/>
        </w:rPr>
        <w:t>advice</w:t>
      </w:r>
      <w:proofErr w:type="gramEnd"/>
      <w:r w:rsidR="00E46155" w:rsidRPr="005B11DF">
        <w:rPr>
          <w:rFonts w:eastAsia="Times New Roman" w:cs="Times New Roman"/>
          <w:lang w:eastAsia="en-AU"/>
        </w:rPr>
        <w:t xml:space="preserve"> from </w:t>
      </w:r>
      <w:r w:rsidR="00485720" w:rsidRPr="005B11DF">
        <w:rPr>
          <w:rFonts w:eastAsia="Times New Roman" w:cs="Times New Roman"/>
          <w:lang w:eastAsia="en-AU"/>
        </w:rPr>
        <w:t xml:space="preserve">the </w:t>
      </w:r>
      <w:r w:rsidR="00E46155" w:rsidRPr="005B11DF">
        <w:rPr>
          <w:rFonts w:eastAsia="Times New Roman" w:cs="Times New Roman"/>
          <w:lang w:eastAsia="en-AU"/>
        </w:rPr>
        <w:t>independent radiochemists</w:t>
      </w:r>
      <w:r w:rsidR="00C42933" w:rsidRPr="005B11DF">
        <w:rPr>
          <w:rFonts w:eastAsia="Times New Roman" w:cs="Times New Roman"/>
          <w:lang w:eastAsia="en-AU"/>
        </w:rPr>
        <w:t xml:space="preserve">. </w:t>
      </w:r>
    </w:p>
    <w:p w14:paraId="6A207407" w14:textId="25A46D7D" w:rsidR="009D50D3" w:rsidRPr="00485720" w:rsidRDefault="003D7A13" w:rsidP="009D50D3">
      <w:pPr>
        <w:spacing w:after="240" w:line="240" w:lineRule="auto"/>
      </w:pPr>
      <w:r w:rsidRPr="005B11DF">
        <w:rPr>
          <w:rFonts w:eastAsia="Calibri" w:cs="Times New Roman"/>
        </w:rPr>
        <w:t xml:space="preserve">MSAC considered that, because the chemical structures of </w:t>
      </w:r>
      <w:r w:rsidRPr="005B11DF">
        <w:rPr>
          <w:rFonts w:eastAsia="Calibri" w:cs="Times New Roman"/>
          <w:vertAlign w:val="superscript"/>
        </w:rPr>
        <w:t>177</w:t>
      </w:r>
      <w:r w:rsidRPr="005B11DF">
        <w:rPr>
          <w:rFonts w:eastAsia="Calibri" w:cs="Times New Roman"/>
        </w:rPr>
        <w:t xml:space="preserve">Lu-DOTA-octreotate </w:t>
      </w:r>
      <w:r w:rsidRPr="005B11DF">
        <w:rPr>
          <w:vertAlign w:val="superscript"/>
        </w:rPr>
        <w:t>177</w:t>
      </w:r>
      <w:r w:rsidRPr="005B11DF">
        <w:t>Lu-DOTATATE were identical</w:t>
      </w:r>
      <w:r w:rsidRPr="005B11DF">
        <w:rPr>
          <w:rFonts w:eastAsia="Calibri" w:cs="Times New Roman"/>
        </w:rPr>
        <w:t xml:space="preserve">, further comparative assessment of the biodistribution, efficacy and safety of </w:t>
      </w:r>
      <w:r w:rsidRPr="005B11DF">
        <w:rPr>
          <w:rFonts w:eastAsia="Calibri" w:cs="Times New Roman"/>
          <w:vertAlign w:val="superscript"/>
        </w:rPr>
        <w:t>177</w:t>
      </w:r>
      <w:r w:rsidRPr="005B11DF">
        <w:rPr>
          <w:rFonts w:eastAsia="Calibri" w:cs="Times New Roman"/>
        </w:rPr>
        <w:t>Lu-DOTA</w:t>
      </w:r>
      <w:r w:rsidRPr="005B11DF">
        <w:rPr>
          <w:rFonts w:eastAsia="Calibri" w:cs="Times New Roman"/>
        </w:rPr>
        <w:noBreakHyphen/>
        <w:t xml:space="preserve">octreotate and </w:t>
      </w:r>
      <w:r w:rsidRPr="005B11DF">
        <w:rPr>
          <w:rFonts w:eastAsia="Calibri" w:cs="Times New Roman"/>
          <w:vertAlign w:val="superscript"/>
        </w:rPr>
        <w:t>177</w:t>
      </w:r>
      <w:r w:rsidRPr="005B11DF">
        <w:rPr>
          <w:rFonts w:eastAsia="Calibri" w:cs="Times New Roman"/>
        </w:rPr>
        <w:t>Lu-DOTATATE was not required to demonstrate that the two products are non</w:t>
      </w:r>
      <w:r w:rsidRPr="005B11DF">
        <w:rPr>
          <w:rFonts w:eastAsia="Calibri" w:cs="Times New Roman"/>
        </w:rPr>
        <w:noBreakHyphen/>
        <w:t xml:space="preserve">inferior in terms of health outcomes and the evidence presented for </w:t>
      </w:r>
      <w:r w:rsidRPr="005B11DF">
        <w:rPr>
          <w:vertAlign w:val="superscript"/>
        </w:rPr>
        <w:t>177</w:t>
      </w:r>
      <w:r w:rsidRPr="005B11DF">
        <w:t>Lu-DOTATATE</w:t>
      </w:r>
      <w:r w:rsidRPr="005B11DF">
        <w:rPr>
          <w:rFonts w:eastAsia="Calibri" w:cs="Times New Roman"/>
        </w:rPr>
        <w:t xml:space="preserve"> could be used to assess </w:t>
      </w:r>
      <w:r w:rsidRPr="005B11DF">
        <w:rPr>
          <w:rFonts w:eastAsia="Calibri" w:cs="Times New Roman"/>
          <w:vertAlign w:val="superscript"/>
        </w:rPr>
        <w:t>177</w:t>
      </w:r>
      <w:r w:rsidRPr="005B11DF">
        <w:rPr>
          <w:rFonts w:eastAsia="Calibri" w:cs="Times New Roman"/>
        </w:rPr>
        <w:t xml:space="preserve">Lu-DOTA-octreotate. </w:t>
      </w:r>
      <w:r w:rsidR="008573B3" w:rsidRPr="005B11DF">
        <w:rPr>
          <w:rFonts w:eastAsia="Calibri" w:cs="Times New Roman"/>
        </w:rPr>
        <w:t xml:space="preserve"> </w:t>
      </w:r>
      <w:r w:rsidR="00622AD5" w:rsidRPr="005B11DF">
        <w:t xml:space="preserve">Therefore, MSAC considered </w:t>
      </w:r>
      <w:r w:rsidR="00622AD5" w:rsidRPr="005B11DF">
        <w:rPr>
          <w:vertAlign w:val="superscript"/>
        </w:rPr>
        <w:t>177</w:t>
      </w:r>
      <w:r w:rsidR="00622AD5" w:rsidRPr="005B11DF">
        <w:t>Lu-DOTA-octreotate was acceptably safe and effective compared with standard care</w:t>
      </w:r>
      <w:r w:rsidR="00F802D4" w:rsidRPr="005B11DF">
        <w:rPr>
          <w:rFonts w:eastAsia="Calibri" w:cs="Times New Roman"/>
        </w:rPr>
        <w:t xml:space="preserve"> for treating advanced NENs</w:t>
      </w:r>
      <w:r w:rsidRPr="005B11DF">
        <w:rPr>
          <w:rFonts w:eastAsia="Calibri" w:cs="Times New Roman"/>
        </w:rPr>
        <w:t xml:space="preserve"> based on the </w:t>
      </w:r>
      <w:r w:rsidR="008E754C" w:rsidRPr="005B11DF">
        <w:rPr>
          <w:rFonts w:eastAsia="Calibri" w:cs="Times New Roman"/>
        </w:rPr>
        <w:t xml:space="preserve">evidence presented for </w:t>
      </w:r>
      <w:r w:rsidR="008E754C" w:rsidRPr="005B11DF">
        <w:rPr>
          <w:vertAlign w:val="superscript"/>
        </w:rPr>
        <w:t>177</w:t>
      </w:r>
      <w:r w:rsidR="008E754C" w:rsidRPr="005B11DF">
        <w:t>Lu-DOTATATE</w:t>
      </w:r>
      <w:r w:rsidR="00827FEE" w:rsidRPr="005B11DF">
        <w:t>.</w:t>
      </w:r>
      <w:r w:rsidR="00622AD5" w:rsidRPr="005B11DF">
        <w:t xml:space="preserve"> </w:t>
      </w:r>
      <w:r w:rsidR="004364D2" w:rsidRPr="005B11DF">
        <w:rPr>
          <w:rFonts w:eastAsia="Calibri" w:cs="Times New Roman"/>
        </w:rPr>
        <w:t xml:space="preserve">MSAC </w:t>
      </w:r>
      <w:r w:rsidR="008E754C" w:rsidRPr="005B11DF">
        <w:rPr>
          <w:rFonts w:eastAsia="Calibri" w:cs="Times New Roman"/>
        </w:rPr>
        <w:t>further</w:t>
      </w:r>
      <w:r w:rsidR="004364D2" w:rsidRPr="005B11DF">
        <w:rPr>
          <w:rFonts w:eastAsia="Calibri" w:cs="Times New Roman"/>
        </w:rPr>
        <w:t xml:space="preserve"> acknowledged that this treatment has been used in Australia for more than 10 years and. has proven safety and effectiveness in day-to-day clinical practice</w:t>
      </w:r>
      <w:r w:rsidR="004364D2" w:rsidRPr="005B11DF">
        <w:t xml:space="preserve">. </w:t>
      </w:r>
      <w:r w:rsidR="004364D2" w:rsidRPr="005B11DF">
        <w:rPr>
          <w:rFonts w:eastAsia="Calibri" w:cs="Times New Roman"/>
        </w:rPr>
        <w:t xml:space="preserve">MSAC also considered that, in most plausible scenarios, </w:t>
      </w:r>
      <w:r w:rsidR="004364D2" w:rsidRPr="005B11DF">
        <w:rPr>
          <w:rFonts w:eastAsia="Calibri" w:cs="Times New Roman"/>
          <w:vertAlign w:val="superscript"/>
        </w:rPr>
        <w:t>177</w:t>
      </w:r>
      <w:r w:rsidR="004364D2" w:rsidRPr="005B11DF">
        <w:rPr>
          <w:rFonts w:eastAsia="Calibri" w:cs="Times New Roman"/>
        </w:rPr>
        <w:t>Lu-DOTA-octreotate is cost-effective.</w:t>
      </w:r>
    </w:p>
    <w:p w14:paraId="7A102444" w14:textId="0E70726D" w:rsidR="009D50D3" w:rsidRPr="009D50D3" w:rsidRDefault="009D50D3" w:rsidP="009D50D3">
      <w:pPr>
        <w:spacing w:after="240" w:line="240" w:lineRule="auto"/>
        <w:rPr>
          <w:rFonts w:eastAsia="Calibri" w:cs="Times New Roman"/>
        </w:rPr>
      </w:pPr>
      <w:r w:rsidRPr="009D50D3">
        <w:rPr>
          <w:rFonts w:eastAsia="Calibri" w:cs="Times New Roman"/>
        </w:rPr>
        <w:t>MSAC noted that the generic definition of the agent in the MBS item descriptor was broader than the evidence presented in the DCAR and accepted by MSAC. MSAC was concerned that, by making the item descriptor too generic, new products with different targeting moieties, chelators or linkers could be claimed under this MBS item without MSAC consideration. Therefore, MSAC advised that the MBS item descriptor should specify ‘</w:t>
      </w:r>
      <w:r w:rsidRPr="009D50D3">
        <w:rPr>
          <w:rFonts w:eastAsia="Calibri" w:cs="Times New Roman"/>
          <w:vertAlign w:val="superscript"/>
        </w:rPr>
        <w:t>177</w:t>
      </w:r>
      <w:r w:rsidRPr="009D50D3">
        <w:rPr>
          <w:rFonts w:eastAsia="Calibri" w:cs="Times New Roman"/>
        </w:rPr>
        <w:t>Lutetium-DOTA</w:t>
      </w:r>
      <w:r w:rsidR="002D3B35" w:rsidRPr="002D3B35">
        <w:rPr>
          <w:rFonts w:eastAsia="Calibri" w:cs="Times New Roman"/>
        </w:rPr>
        <w:t>-somatostatin receptor agonist</w:t>
      </w:r>
      <w:r w:rsidRPr="009D50D3">
        <w:rPr>
          <w:rFonts w:eastAsia="Calibri" w:cs="Times New Roman"/>
        </w:rPr>
        <w:t xml:space="preserve">’ to </w:t>
      </w:r>
      <w:r w:rsidR="00B90C64">
        <w:rPr>
          <w:rFonts w:eastAsia="Calibri" w:cs="Times New Roman"/>
        </w:rPr>
        <w:t xml:space="preserve">align with </w:t>
      </w:r>
      <w:r w:rsidRPr="009D50D3">
        <w:rPr>
          <w:rFonts w:eastAsia="Calibri" w:cs="Times New Roman"/>
        </w:rPr>
        <w:t>the evidence base that had been considered by MSAC. This would also better align th</w:t>
      </w:r>
      <w:r w:rsidR="002C27E3">
        <w:rPr>
          <w:rFonts w:eastAsia="Calibri" w:cs="Times New Roman"/>
        </w:rPr>
        <w:t>e</w:t>
      </w:r>
      <w:r w:rsidRPr="009D50D3">
        <w:rPr>
          <w:rFonts w:eastAsia="Calibri" w:cs="Times New Roman"/>
        </w:rPr>
        <w:t xml:space="preserve"> item descriptor</w:t>
      </w:r>
      <w:r w:rsidR="00631536">
        <w:rPr>
          <w:rFonts w:eastAsia="Calibri" w:cs="Times New Roman"/>
        </w:rPr>
        <w:t xml:space="preserve"> for </w:t>
      </w:r>
      <w:r w:rsidR="00631536" w:rsidRPr="00366BB8">
        <w:rPr>
          <w:vertAlign w:val="superscript"/>
        </w:rPr>
        <w:t>177</w:t>
      </w:r>
      <w:r w:rsidR="00631536">
        <w:t>Lu-DOTA</w:t>
      </w:r>
      <w:r w:rsidR="00AA213B" w:rsidRPr="00AA213B">
        <w:t>-somatostatin receptor agonist</w:t>
      </w:r>
      <w:r w:rsidR="00631536">
        <w:t xml:space="preserve"> treatment</w:t>
      </w:r>
      <w:r w:rsidRPr="009D50D3">
        <w:rPr>
          <w:rFonts w:eastAsia="Calibri" w:cs="Times New Roman"/>
        </w:rPr>
        <w:t xml:space="preserve"> with that for the </w:t>
      </w:r>
      <w:r w:rsidRPr="009D50D3">
        <w:rPr>
          <w:rFonts w:eastAsia="Calibri" w:cs="Times New Roman"/>
          <w:vertAlign w:val="superscript"/>
        </w:rPr>
        <w:t>68</w:t>
      </w:r>
      <w:r w:rsidRPr="009D50D3">
        <w:rPr>
          <w:rFonts w:eastAsia="Calibri" w:cs="Times New Roman"/>
        </w:rPr>
        <w:t>Ga-DOTA-octreotate PET/CT scan.</w:t>
      </w:r>
    </w:p>
    <w:p w14:paraId="584C46A1" w14:textId="56ADECCC" w:rsidR="009D50D3" w:rsidRPr="009D50D3" w:rsidRDefault="009D50D3" w:rsidP="009D50D3">
      <w:pPr>
        <w:spacing w:after="240" w:line="240" w:lineRule="auto"/>
        <w:rPr>
          <w:rFonts w:eastAsia="Calibri" w:cs="Times New Roman"/>
        </w:rPr>
      </w:pPr>
      <w:r w:rsidRPr="009D50D3">
        <w:rPr>
          <w:rFonts w:eastAsia="Calibri" w:cs="Times New Roman"/>
        </w:rPr>
        <w:t xml:space="preserve">MSAC agreed that it was important that the MBS item descriptor include patient preparation and post-infusion single-photon emission computed tomography (SPECT). MSAC also advised that the MBS item descriptor or an Explanatory Note should specify that phaeochromocytoma and paraganglioma are eligible, </w:t>
      </w:r>
      <w:r w:rsidR="000D6CBC">
        <w:rPr>
          <w:rFonts w:eastAsia="Calibri" w:cs="Times New Roman"/>
        </w:rPr>
        <w:t xml:space="preserve">to ensure </w:t>
      </w:r>
      <w:r w:rsidRPr="009D50D3">
        <w:rPr>
          <w:rFonts w:eastAsia="Calibri" w:cs="Times New Roman"/>
        </w:rPr>
        <w:t xml:space="preserve">that these conditions are </w:t>
      </w:r>
      <w:r w:rsidR="000D6CBC">
        <w:rPr>
          <w:rFonts w:eastAsia="Calibri" w:cs="Times New Roman"/>
        </w:rPr>
        <w:t xml:space="preserve">included under the umbrella of </w:t>
      </w:r>
      <w:r w:rsidRPr="009D50D3">
        <w:rPr>
          <w:rFonts w:eastAsia="Calibri" w:cs="Times New Roman"/>
        </w:rPr>
        <w:t>NENs.</w:t>
      </w:r>
    </w:p>
    <w:p w14:paraId="013E6722" w14:textId="696238F4" w:rsidR="009D50D3" w:rsidRPr="009D50D3" w:rsidRDefault="009D50D3" w:rsidP="009D50D3">
      <w:pPr>
        <w:spacing w:after="240" w:line="240" w:lineRule="auto"/>
        <w:rPr>
          <w:rFonts w:eastAsia="Calibri" w:cs="Times New Roman"/>
        </w:rPr>
      </w:pPr>
      <w:r w:rsidRPr="009D50D3">
        <w:rPr>
          <w:rFonts w:eastAsia="Calibri" w:cs="Times New Roman"/>
        </w:rPr>
        <w:t xml:space="preserve">Regarding the number of treatment cycles, MSAC noted that </w:t>
      </w:r>
      <w:r w:rsidRPr="009D50D3">
        <w:rPr>
          <w:rFonts w:eastAsia="Calibri" w:cs="Times New Roman"/>
          <w:vertAlign w:val="superscript"/>
        </w:rPr>
        <w:t>177</w:t>
      </w:r>
      <w:r w:rsidRPr="009D50D3">
        <w:rPr>
          <w:rFonts w:eastAsia="Calibri" w:cs="Times New Roman"/>
        </w:rPr>
        <w:t xml:space="preserve">Lu-DOTA-octreotate will be </w:t>
      </w:r>
      <w:r w:rsidR="004B313B">
        <w:rPr>
          <w:rFonts w:eastAsia="Calibri" w:cs="Times New Roman"/>
        </w:rPr>
        <w:t>administered</w:t>
      </w:r>
      <w:r w:rsidRPr="009D50D3">
        <w:rPr>
          <w:rFonts w:eastAsia="Calibri" w:cs="Times New Roman"/>
        </w:rPr>
        <w:t xml:space="preserve"> based on the consensus of a NEN multidisciplinary team and determined by the grade of tumour and patient response. MSAC considered that some patients may not tolerate having 4 initial treatment cycles, while a small proportion may need retreatment (typically 1 or 2 additional cycles). Therefore, MSAC agreed with the Department that, at least initially, it is appropriate to have no restrictions on the number of therapy cycles. MSAC suggested that utilisation and out-of-pocket costs be reviewed after 24 months, and </w:t>
      </w:r>
      <w:r w:rsidR="00EF3D02">
        <w:rPr>
          <w:rFonts w:eastAsia="Calibri" w:cs="Times New Roman"/>
        </w:rPr>
        <w:t xml:space="preserve">if </w:t>
      </w:r>
      <w:r w:rsidRPr="009D50D3">
        <w:rPr>
          <w:rFonts w:eastAsia="Calibri" w:cs="Times New Roman"/>
        </w:rPr>
        <w:t>any overuse</w:t>
      </w:r>
      <w:r w:rsidR="00EF3D02">
        <w:rPr>
          <w:rFonts w:eastAsia="Calibri" w:cs="Times New Roman"/>
        </w:rPr>
        <w:t xml:space="preserve"> is detected, this</w:t>
      </w:r>
      <w:r w:rsidR="00F769B1">
        <w:rPr>
          <w:rFonts w:eastAsia="Calibri" w:cs="Times New Roman"/>
        </w:rPr>
        <w:t xml:space="preserve"> can</w:t>
      </w:r>
      <w:r w:rsidRPr="009D50D3">
        <w:rPr>
          <w:rFonts w:eastAsia="Calibri" w:cs="Times New Roman"/>
        </w:rPr>
        <w:t xml:space="preserve"> be addressed through consultation with relevant stakeholders.</w:t>
      </w:r>
    </w:p>
    <w:p w14:paraId="52073242" w14:textId="77777777" w:rsidR="009D50D3" w:rsidRPr="009D50D3" w:rsidRDefault="009D50D3" w:rsidP="009D50D3">
      <w:pPr>
        <w:spacing w:after="240" w:line="240" w:lineRule="auto"/>
        <w:rPr>
          <w:rFonts w:eastAsia="Calibri" w:cs="Times New Roman"/>
        </w:rPr>
      </w:pPr>
      <w:r w:rsidRPr="009D50D3">
        <w:rPr>
          <w:rFonts w:eastAsia="Calibri" w:cs="Times New Roman"/>
        </w:rPr>
        <w:t xml:space="preserve">Regarding the fee, MSAC acknowledged that this would depend on the cost of </w:t>
      </w:r>
      <w:r w:rsidRPr="009D50D3">
        <w:rPr>
          <w:rFonts w:eastAsia="Calibri" w:cs="Times New Roman"/>
          <w:vertAlign w:val="superscript"/>
        </w:rPr>
        <w:t>177</w:t>
      </w:r>
      <w:r w:rsidRPr="009D50D3">
        <w:rPr>
          <w:rFonts w:eastAsia="Calibri" w:cs="Times New Roman"/>
        </w:rPr>
        <w:t xml:space="preserve">Lu-DOTA-octreotate, which was difficult to predict. However, MSAC considered a fee of $10,000 to be appropriate, based on equivalent items and the available knowledge of </w:t>
      </w:r>
      <w:r w:rsidRPr="009D50D3">
        <w:rPr>
          <w:rFonts w:eastAsia="Calibri" w:cs="Times New Roman"/>
          <w:vertAlign w:val="superscript"/>
        </w:rPr>
        <w:t>177</w:t>
      </w:r>
      <w:r w:rsidRPr="009D50D3">
        <w:rPr>
          <w:rFonts w:eastAsia="Calibri" w:cs="Times New Roman"/>
        </w:rPr>
        <w:t>Lu-DOTA-octreotate therapy at this time.</w:t>
      </w:r>
    </w:p>
    <w:p w14:paraId="791FDC93" w14:textId="3706F6C2" w:rsidR="009D50D3" w:rsidRPr="009D50D3" w:rsidRDefault="009D50D3" w:rsidP="00353770">
      <w:pPr>
        <w:keepNext/>
        <w:keepLines/>
        <w:spacing w:after="240" w:line="240" w:lineRule="auto"/>
        <w:rPr>
          <w:rFonts w:eastAsia="Calibri" w:cs="Times New Roman"/>
        </w:rPr>
      </w:pPr>
      <w:r w:rsidRPr="009D50D3">
        <w:rPr>
          <w:rFonts w:eastAsia="Calibri" w:cs="Times New Roman"/>
        </w:rPr>
        <w:lastRenderedPageBreak/>
        <w:t>MSAC noted that an MBS item number exists for DOTATATE PET (MBS item </w:t>
      </w:r>
      <w:hyperlink r:id="rId12" w:history="1">
        <w:r w:rsidRPr="009D50D3">
          <w:rPr>
            <w:rStyle w:val="Hyperlink"/>
            <w:rFonts w:eastAsia="Calibri" w:cs="Times New Roman"/>
          </w:rPr>
          <w:t>61647</w:t>
        </w:r>
      </w:hyperlink>
      <w:r w:rsidRPr="009D50D3">
        <w:rPr>
          <w:rFonts w:eastAsia="Calibri" w:cs="Times New Roman"/>
        </w:rPr>
        <w:t xml:space="preserve">), but it only covers diagnosis and presurgical staging. MSAC </w:t>
      </w:r>
      <w:r w:rsidR="004B313B">
        <w:rPr>
          <w:rFonts w:eastAsia="Calibri" w:cs="Times New Roman"/>
        </w:rPr>
        <w:t>recommended</w:t>
      </w:r>
      <w:r w:rsidR="00B53C1F">
        <w:rPr>
          <w:rFonts w:eastAsia="Calibri" w:cs="Times New Roman"/>
        </w:rPr>
        <w:t xml:space="preserve"> a new</w:t>
      </w:r>
      <w:r w:rsidRPr="009D50D3">
        <w:rPr>
          <w:rFonts w:eastAsia="Calibri" w:cs="Times New Roman"/>
        </w:rPr>
        <w:t xml:space="preserve"> item number</w:t>
      </w:r>
      <w:r w:rsidRPr="009D50D3" w:rsidDel="004B313B">
        <w:rPr>
          <w:rFonts w:eastAsia="Calibri" w:cs="Times New Roman"/>
        </w:rPr>
        <w:t xml:space="preserve"> </w:t>
      </w:r>
      <w:r w:rsidRPr="009D50D3">
        <w:rPr>
          <w:rFonts w:eastAsia="Calibri" w:cs="Times New Roman"/>
        </w:rPr>
        <w:t>to include assessing:</w:t>
      </w:r>
    </w:p>
    <w:p w14:paraId="565DED76" w14:textId="612136D8" w:rsidR="009D50D3" w:rsidRPr="009D50D3" w:rsidRDefault="009D50D3" w:rsidP="00353770">
      <w:pPr>
        <w:keepNext/>
        <w:keepLines/>
        <w:numPr>
          <w:ilvl w:val="0"/>
          <w:numId w:val="43"/>
        </w:numPr>
        <w:spacing w:after="120" w:line="240" w:lineRule="auto"/>
        <w:ind w:left="714" w:hanging="357"/>
        <w:rPr>
          <w:rFonts w:eastAsia="Calibri" w:cs="Times New Roman"/>
        </w:rPr>
      </w:pPr>
      <w:r w:rsidRPr="009D50D3">
        <w:rPr>
          <w:rFonts w:eastAsia="Calibri" w:cs="Times New Roman"/>
        </w:rPr>
        <w:t xml:space="preserve">patients for treatment </w:t>
      </w:r>
      <w:r w:rsidR="00551A00">
        <w:rPr>
          <w:rFonts w:eastAsia="Calibri" w:cs="Times New Roman"/>
        </w:rPr>
        <w:t xml:space="preserve">eligibility </w:t>
      </w:r>
      <w:r w:rsidRPr="009D50D3">
        <w:rPr>
          <w:rFonts w:eastAsia="Calibri" w:cs="Times New Roman"/>
        </w:rPr>
        <w:t xml:space="preserve">before receiving </w:t>
      </w:r>
      <w:r w:rsidRPr="009D50D3">
        <w:rPr>
          <w:rFonts w:eastAsia="Calibri" w:cs="Times New Roman"/>
          <w:vertAlign w:val="superscript"/>
        </w:rPr>
        <w:t>177</w:t>
      </w:r>
      <w:r w:rsidRPr="009D50D3">
        <w:rPr>
          <w:rFonts w:eastAsia="Calibri" w:cs="Times New Roman"/>
        </w:rPr>
        <w:t>Lu-DOTA-octreotate therapy</w:t>
      </w:r>
    </w:p>
    <w:p w14:paraId="6C6B9DA8" w14:textId="77777777" w:rsidR="009D50D3" w:rsidRPr="009D50D3" w:rsidRDefault="009D50D3" w:rsidP="00353770">
      <w:pPr>
        <w:keepNext/>
        <w:keepLines/>
        <w:numPr>
          <w:ilvl w:val="0"/>
          <w:numId w:val="43"/>
        </w:numPr>
        <w:spacing w:after="120" w:line="240" w:lineRule="auto"/>
        <w:ind w:left="714" w:hanging="357"/>
        <w:rPr>
          <w:rFonts w:eastAsia="Calibri" w:cs="Times New Roman"/>
        </w:rPr>
      </w:pPr>
      <w:r w:rsidRPr="009D50D3">
        <w:rPr>
          <w:rFonts w:eastAsia="Calibri" w:cs="Times New Roman"/>
        </w:rPr>
        <w:t xml:space="preserve">patient response to </w:t>
      </w:r>
      <w:r w:rsidRPr="009D50D3">
        <w:rPr>
          <w:rFonts w:eastAsia="Calibri" w:cs="Times New Roman"/>
          <w:vertAlign w:val="superscript"/>
        </w:rPr>
        <w:t>177</w:t>
      </w:r>
      <w:r w:rsidRPr="009D50D3">
        <w:rPr>
          <w:rFonts w:eastAsia="Calibri" w:cs="Times New Roman"/>
        </w:rPr>
        <w:t>Lu-DOTA-octreotate therapy</w:t>
      </w:r>
    </w:p>
    <w:p w14:paraId="778C3568" w14:textId="77777777" w:rsidR="009D50D3" w:rsidRPr="009D50D3" w:rsidRDefault="009D50D3" w:rsidP="00353770">
      <w:pPr>
        <w:keepNext/>
        <w:keepLines/>
        <w:numPr>
          <w:ilvl w:val="0"/>
          <w:numId w:val="43"/>
        </w:numPr>
        <w:spacing w:after="240" w:line="240" w:lineRule="auto"/>
        <w:rPr>
          <w:rFonts w:eastAsia="Calibri" w:cs="Times New Roman"/>
        </w:rPr>
      </w:pPr>
      <w:r w:rsidRPr="009D50D3">
        <w:rPr>
          <w:rFonts w:eastAsia="Calibri" w:cs="Times New Roman"/>
        </w:rPr>
        <w:t xml:space="preserve">progression of recurrent or metastatic disease following </w:t>
      </w:r>
      <w:r w:rsidRPr="009D50D3">
        <w:rPr>
          <w:rFonts w:eastAsia="Calibri" w:cs="Times New Roman"/>
          <w:vertAlign w:val="superscript"/>
        </w:rPr>
        <w:t>177</w:t>
      </w:r>
      <w:r w:rsidRPr="009D50D3">
        <w:rPr>
          <w:rFonts w:eastAsia="Calibri" w:cs="Times New Roman"/>
        </w:rPr>
        <w:t>Lu-DOTA-octreotate therapy.</w:t>
      </w:r>
    </w:p>
    <w:p w14:paraId="1CB2E143" w14:textId="7155B05A" w:rsidR="009D50D3" w:rsidRPr="009D50D3" w:rsidRDefault="009D50D3" w:rsidP="009D50D3">
      <w:pPr>
        <w:spacing w:after="240" w:line="240" w:lineRule="auto"/>
        <w:rPr>
          <w:rFonts w:eastAsia="Calibri" w:cs="Times New Roman"/>
        </w:rPr>
      </w:pPr>
      <w:r w:rsidRPr="009D50D3">
        <w:rPr>
          <w:rFonts w:eastAsia="Calibri" w:cs="Times New Roman"/>
        </w:rPr>
        <w:t xml:space="preserve">Regarding training and accreditation, MSAC noted that </w:t>
      </w:r>
      <w:r w:rsidR="00C27EC2" w:rsidRPr="009D50D3">
        <w:rPr>
          <w:rFonts w:eastAsia="Calibri" w:cs="Times New Roman"/>
          <w:vertAlign w:val="superscript"/>
        </w:rPr>
        <w:t>177</w:t>
      </w:r>
      <w:r w:rsidR="00C27EC2" w:rsidRPr="009D50D3">
        <w:rPr>
          <w:rFonts w:eastAsia="Calibri" w:cs="Times New Roman"/>
        </w:rPr>
        <w:t xml:space="preserve">Lu-DOTA-octreotate </w:t>
      </w:r>
      <w:r w:rsidRPr="009D50D3">
        <w:rPr>
          <w:rFonts w:eastAsia="Calibri" w:cs="Times New Roman"/>
        </w:rPr>
        <w:t>is a specialised therapy using unsealed longer-acting beta-emitters, so it does carry some risk to the patient, staff, carers, the community and the environment (waste disposal). MSAC also noted that, clinically, there is a small risk of carcinoid crisis during therapy. MSAC considered that these risks can be mitigated if therapy is undertaken by properly trained staff in appropriately licensed facilities with adequate resuscitation capacity. MSAC noted that the Department plans to consult on training and accreditation requirements before implementation. MSAC noted that the only expert group currently offering training and accreditation for use of this treatment is the Australasian Association of Nuclear Medicine Specialists.</w:t>
      </w:r>
    </w:p>
    <w:p w14:paraId="1578986A" w14:textId="4D9DBA19" w:rsidR="009D50D3" w:rsidRPr="009D50D3" w:rsidRDefault="009D50D3" w:rsidP="009D50D3">
      <w:pPr>
        <w:spacing w:after="240" w:line="240" w:lineRule="auto"/>
        <w:rPr>
          <w:rFonts w:eastAsia="Calibri" w:cs="Times New Roman"/>
        </w:rPr>
      </w:pPr>
      <w:r w:rsidRPr="009D50D3">
        <w:rPr>
          <w:rFonts w:eastAsia="Calibri" w:cs="Times New Roman"/>
        </w:rPr>
        <w:t xml:space="preserve">MSAC noted that, assuming a </w:t>
      </w:r>
      <w:r w:rsidRPr="009D50D3">
        <w:rPr>
          <w:rFonts w:eastAsia="Calibri" w:cs="Times New Roman"/>
          <w:vertAlign w:val="superscript"/>
        </w:rPr>
        <w:t>177</w:t>
      </w:r>
      <w:r w:rsidRPr="009D50D3">
        <w:rPr>
          <w:rFonts w:eastAsia="Calibri" w:cs="Times New Roman"/>
        </w:rPr>
        <w:t xml:space="preserve">Lu-DOTA-octreotate fee of $10,000 and that 80% of patients diagnosed with NENs each year have </w:t>
      </w:r>
      <w:r w:rsidRPr="009D50D3">
        <w:rPr>
          <w:rFonts w:eastAsia="Calibri" w:cs="Times New Roman"/>
          <w:vertAlign w:val="superscript"/>
        </w:rPr>
        <w:t>68</w:t>
      </w:r>
      <w:r w:rsidRPr="009D50D3">
        <w:rPr>
          <w:rFonts w:eastAsia="Calibri" w:cs="Times New Roman"/>
        </w:rPr>
        <w:t xml:space="preserve">Ga-DOTA-octreotate PET assessment (estimated by ESC), the Department estimates that the ‘upper limit’ cost to the MBS will be $12.6 million in year 1 to $14.1 million in year 4, totalling $53.2 million over 4 years. MSAC considered that the assumption that 80% of the eligible population will have PET imaging was an overestimate. MSAC noted that around </w:t>
      </w:r>
      <w:r w:rsidR="006827C8">
        <w:rPr>
          <w:rFonts w:eastAsia="Calibri" w:cs="Times New Roman"/>
        </w:rPr>
        <w:t xml:space="preserve">50% </w:t>
      </w:r>
      <w:r w:rsidRPr="009D50D3">
        <w:rPr>
          <w:rFonts w:eastAsia="Calibri" w:cs="Times New Roman"/>
        </w:rPr>
        <w:t>of all NENs a</w:t>
      </w:r>
      <w:r w:rsidR="00BF1FC2">
        <w:rPr>
          <w:rFonts w:eastAsia="Calibri" w:cs="Times New Roman"/>
        </w:rPr>
        <w:t>re</w:t>
      </w:r>
      <w:r w:rsidRPr="009D50D3">
        <w:rPr>
          <w:rFonts w:eastAsia="Calibri" w:cs="Times New Roman"/>
        </w:rPr>
        <w:t xml:space="preserve"> diagnos</w:t>
      </w:r>
      <w:r w:rsidR="00BF1FC2">
        <w:rPr>
          <w:rFonts w:eastAsia="Calibri" w:cs="Times New Roman"/>
        </w:rPr>
        <w:t>ed</w:t>
      </w:r>
      <w:r w:rsidRPr="009D50D3">
        <w:rPr>
          <w:rFonts w:eastAsia="Calibri" w:cs="Times New Roman"/>
        </w:rPr>
        <w:t xml:space="preserve"> </w:t>
      </w:r>
      <w:r w:rsidR="00080358">
        <w:rPr>
          <w:rFonts w:eastAsia="Calibri" w:cs="Times New Roman"/>
        </w:rPr>
        <w:t xml:space="preserve">early </w:t>
      </w:r>
      <w:r w:rsidRPr="009D50D3">
        <w:rPr>
          <w:rFonts w:eastAsia="Calibri" w:cs="Times New Roman"/>
        </w:rPr>
        <w:t>a</w:t>
      </w:r>
      <w:r w:rsidR="008614ED">
        <w:rPr>
          <w:rFonts w:eastAsia="Calibri" w:cs="Times New Roman"/>
        </w:rPr>
        <w:t>t</w:t>
      </w:r>
      <w:r w:rsidRPr="009D50D3">
        <w:rPr>
          <w:rFonts w:eastAsia="Calibri" w:cs="Times New Roman"/>
        </w:rPr>
        <w:t xml:space="preserve"> stage I</w:t>
      </w:r>
      <w:r w:rsidR="00080358">
        <w:rPr>
          <w:rFonts w:eastAsia="Calibri" w:cs="Times New Roman"/>
        </w:rPr>
        <w:t xml:space="preserve"> and </w:t>
      </w:r>
      <w:r w:rsidR="006B66C8">
        <w:rPr>
          <w:rFonts w:eastAsia="Calibri" w:cs="Times New Roman"/>
        </w:rPr>
        <w:t>therefor</w:t>
      </w:r>
      <w:r w:rsidR="003C0946">
        <w:rPr>
          <w:rFonts w:eastAsia="Calibri" w:cs="Times New Roman"/>
        </w:rPr>
        <w:t>e</w:t>
      </w:r>
      <w:r w:rsidR="006B66C8">
        <w:rPr>
          <w:rFonts w:eastAsia="Calibri" w:cs="Times New Roman"/>
        </w:rPr>
        <w:t xml:space="preserve"> these patients </w:t>
      </w:r>
      <w:r w:rsidR="003C0946">
        <w:rPr>
          <w:rFonts w:eastAsia="Calibri" w:cs="Times New Roman"/>
        </w:rPr>
        <w:t xml:space="preserve">would be too early in the disease process to </w:t>
      </w:r>
      <w:r w:rsidR="000852A0">
        <w:rPr>
          <w:rFonts w:eastAsia="Calibri" w:cs="Times New Roman"/>
        </w:rPr>
        <w:t xml:space="preserve">be eligible for </w:t>
      </w:r>
      <w:r w:rsidR="000852A0" w:rsidRPr="009D50D3">
        <w:rPr>
          <w:rFonts w:eastAsia="Calibri" w:cs="Times New Roman"/>
          <w:vertAlign w:val="superscript"/>
        </w:rPr>
        <w:t>177</w:t>
      </w:r>
      <w:r w:rsidR="000852A0" w:rsidRPr="009D50D3">
        <w:rPr>
          <w:rFonts w:eastAsia="Calibri" w:cs="Times New Roman"/>
        </w:rPr>
        <w:t>Lu-DOTA-octreotate</w:t>
      </w:r>
      <w:r w:rsidR="000852A0">
        <w:rPr>
          <w:rFonts w:eastAsia="Calibri" w:cs="Times New Roman"/>
        </w:rPr>
        <w:t xml:space="preserve"> therapy</w:t>
      </w:r>
      <w:r w:rsidR="001609D2">
        <w:rPr>
          <w:rFonts w:eastAsia="Calibri" w:cs="Times New Roman"/>
        </w:rPr>
        <w:t>.</w:t>
      </w:r>
      <w:r w:rsidR="00FF7006">
        <w:rPr>
          <w:rFonts w:eastAsia="Calibri" w:cs="Times New Roman"/>
        </w:rPr>
        <w:t xml:space="preserve"> Thus,</w:t>
      </w:r>
      <w:r w:rsidRPr="009D50D3">
        <w:rPr>
          <w:rFonts w:eastAsia="Calibri" w:cs="Times New Roman"/>
        </w:rPr>
        <w:t xml:space="preserve"> the figures presented in the </w:t>
      </w:r>
      <w:r w:rsidR="00680016">
        <w:rPr>
          <w:rFonts w:eastAsia="Calibri" w:cs="Times New Roman"/>
        </w:rPr>
        <w:t xml:space="preserve">financial estimates </w:t>
      </w:r>
      <w:r w:rsidR="00DD3C84">
        <w:rPr>
          <w:rFonts w:eastAsia="Calibri" w:cs="Times New Roman"/>
        </w:rPr>
        <w:t xml:space="preserve">for </w:t>
      </w:r>
      <w:r w:rsidR="00525368">
        <w:rPr>
          <w:rFonts w:eastAsia="Calibri" w:cs="Times New Roman"/>
        </w:rPr>
        <w:t xml:space="preserve">utilisation </w:t>
      </w:r>
      <w:r w:rsidRPr="009D50D3">
        <w:rPr>
          <w:rFonts w:eastAsia="Calibri" w:cs="Times New Roman"/>
        </w:rPr>
        <w:t>were</w:t>
      </w:r>
      <w:r w:rsidR="00525368">
        <w:rPr>
          <w:rFonts w:eastAsia="Calibri" w:cs="Times New Roman"/>
        </w:rPr>
        <w:t xml:space="preserve"> an overestimate</w:t>
      </w:r>
      <w:r w:rsidR="00B00BA3">
        <w:rPr>
          <w:rFonts w:eastAsia="Calibri" w:cs="Times New Roman"/>
        </w:rPr>
        <w:t>.</w:t>
      </w:r>
      <w:r w:rsidRPr="009D50D3">
        <w:rPr>
          <w:rFonts w:eastAsia="Calibri" w:cs="Times New Roman"/>
        </w:rPr>
        <w:t xml:space="preserve"> MSAC also noted that the costs included </w:t>
      </w:r>
      <w:r w:rsidRPr="009D50D3">
        <w:rPr>
          <w:rFonts w:eastAsia="Calibri" w:cs="Times New Roman"/>
          <w:vertAlign w:val="superscript"/>
        </w:rPr>
        <w:t>18</w:t>
      </w:r>
      <w:r w:rsidRPr="009D50D3">
        <w:rPr>
          <w:rFonts w:eastAsia="Calibri" w:cs="Times New Roman"/>
        </w:rPr>
        <w:t>Fluorodeoxyglucose (FDG) PET/CT imaging for 30% of patients. However, FDG PET/CT is already covered by MBS item </w:t>
      </w:r>
      <w:r w:rsidRPr="00D456D9">
        <w:rPr>
          <w:rFonts w:eastAsia="Calibri" w:cs="Times New Roman"/>
        </w:rPr>
        <w:t>61612</w:t>
      </w:r>
      <w:r w:rsidR="001D760F" w:rsidRPr="00D456D9">
        <w:rPr>
          <w:rStyle w:val="Hyperlink"/>
          <w:rFonts w:eastAsia="Calibri" w:cs="Times New Roman"/>
          <w:u w:val="none"/>
        </w:rPr>
        <w:t xml:space="preserve"> </w:t>
      </w:r>
      <w:r w:rsidR="00D456D9" w:rsidRPr="00D456D9">
        <w:rPr>
          <w:rStyle w:val="Hyperlink"/>
          <w:rFonts w:eastAsia="Calibri" w:cs="Times New Roman"/>
          <w:color w:val="auto"/>
          <w:u w:val="none"/>
        </w:rPr>
        <w:t>and 61614</w:t>
      </w:r>
      <w:r w:rsidR="00D456D9">
        <w:rPr>
          <w:rStyle w:val="Hyperlink"/>
          <w:rFonts w:eastAsia="Calibri" w:cs="Times New Roman"/>
        </w:rPr>
        <w:t>.</w:t>
      </w:r>
      <w:r w:rsidRPr="009D50D3">
        <w:rPr>
          <w:rFonts w:eastAsia="Calibri" w:cs="Times New Roman"/>
        </w:rPr>
        <w:t xml:space="preserve"> </w:t>
      </w:r>
      <w:r w:rsidR="002907AB">
        <w:rPr>
          <w:rFonts w:eastAsia="Calibri" w:cs="Times New Roman"/>
        </w:rPr>
        <w:t xml:space="preserve">This item </w:t>
      </w:r>
      <w:r w:rsidRPr="009D50D3">
        <w:rPr>
          <w:rFonts w:eastAsia="Calibri" w:cs="Times New Roman"/>
        </w:rPr>
        <w:t xml:space="preserve">can </w:t>
      </w:r>
      <w:r w:rsidR="00EE17F2">
        <w:rPr>
          <w:rFonts w:eastAsia="Calibri" w:cs="Times New Roman"/>
        </w:rPr>
        <w:t xml:space="preserve">be used for </w:t>
      </w:r>
      <w:r w:rsidRPr="009D50D3">
        <w:rPr>
          <w:rFonts w:eastAsia="Calibri" w:cs="Times New Roman"/>
        </w:rPr>
        <w:t>patients with rare and uncommon cancers,</w:t>
      </w:r>
      <w:r w:rsidR="00EE17F2">
        <w:rPr>
          <w:rFonts w:eastAsia="Calibri" w:cs="Times New Roman"/>
        </w:rPr>
        <w:t xml:space="preserve"> such as NENs,</w:t>
      </w:r>
      <w:r w:rsidRPr="009D50D3">
        <w:rPr>
          <w:rFonts w:eastAsia="Calibri" w:cs="Times New Roman"/>
        </w:rPr>
        <w:t xml:space="preserve"> so MSAC considered that the cost to the MBS will likely be much lower than estimated.</w:t>
      </w:r>
    </w:p>
    <w:p w14:paraId="60452C57" w14:textId="2C941307" w:rsidR="00BE0C24" w:rsidRDefault="009D50D3" w:rsidP="00BE0C24">
      <w:pPr>
        <w:spacing w:after="240" w:line="240" w:lineRule="auto"/>
        <w:rPr>
          <w:rFonts w:eastAsia="Calibri" w:cs="Times New Roman"/>
        </w:rPr>
      </w:pPr>
      <w:r w:rsidRPr="009D50D3">
        <w:rPr>
          <w:rFonts w:eastAsia="Calibri" w:cs="Times New Roman"/>
        </w:rPr>
        <w:t xml:space="preserve">MSAC also noted that patients who undergo </w:t>
      </w:r>
      <w:r w:rsidRPr="009D50D3">
        <w:rPr>
          <w:rFonts w:eastAsia="Calibri" w:cs="Times New Roman"/>
          <w:vertAlign w:val="superscript"/>
        </w:rPr>
        <w:t>177</w:t>
      </w:r>
      <w:r w:rsidRPr="009D50D3">
        <w:rPr>
          <w:rFonts w:eastAsia="Calibri" w:cs="Times New Roman"/>
        </w:rPr>
        <w:t xml:space="preserve">Lu-DOTA-octreotate treatment (3.5 cycles) would also require at least one follow-up whole body </w:t>
      </w:r>
      <w:r w:rsidRPr="009D50D3">
        <w:rPr>
          <w:rFonts w:eastAsia="Calibri" w:cs="Times New Roman"/>
          <w:vertAlign w:val="superscript"/>
        </w:rPr>
        <w:t>68</w:t>
      </w:r>
      <w:r w:rsidRPr="009D50D3">
        <w:rPr>
          <w:rFonts w:eastAsia="Calibri" w:cs="Times New Roman"/>
        </w:rPr>
        <w:t>Ga-DOTA-octreotate PET study for treatment response and recurrence. MSAC recalled that this had been discussed at its August 2024 meeting, and it retained its previous conclusion that this was reasonable.</w:t>
      </w:r>
    </w:p>
    <w:p w14:paraId="6A8312A9" w14:textId="47D2C9C8" w:rsidR="00F415F9" w:rsidRDefault="00D87FED" w:rsidP="00BE0C24">
      <w:pPr>
        <w:spacing w:after="240" w:line="240" w:lineRule="auto"/>
        <w:rPr>
          <w:rFonts w:eastAsia="Calibri" w:cs="Times New Roman"/>
        </w:rPr>
      </w:pPr>
      <w:r w:rsidRPr="0077406F">
        <w:rPr>
          <w:rFonts w:eastAsia="Calibri" w:cs="Times New Roman"/>
        </w:rPr>
        <w:t xml:space="preserve">MSAC noted the patent-related issues raised during the consultation process. MSAC noted that it was not within its Terms of Reference to reach a conclusion about the extent of the patent or the rights under </w:t>
      </w:r>
      <w:proofErr w:type="gramStart"/>
      <w:r w:rsidRPr="0077406F">
        <w:rPr>
          <w:rFonts w:eastAsia="Calibri" w:cs="Times New Roman"/>
        </w:rPr>
        <w:t>it, and</w:t>
      </w:r>
      <w:proofErr w:type="gramEnd"/>
      <w:r w:rsidRPr="0077406F">
        <w:rPr>
          <w:rFonts w:eastAsia="Calibri" w:cs="Times New Roman"/>
        </w:rPr>
        <w:t xml:space="preserve"> concluded that these matters would require consideration by government and in particular the Minister before and during any decision in relation to whether to list new MBS items as a result of this application.</w:t>
      </w:r>
    </w:p>
    <w:p w14:paraId="58C2DEEB" w14:textId="77777777" w:rsidR="00BE0C24" w:rsidRPr="00BE0C24" w:rsidRDefault="00BE0C24" w:rsidP="00BE0C24">
      <w:pPr>
        <w:spacing w:after="240" w:line="240" w:lineRule="auto"/>
        <w:rPr>
          <w:rFonts w:eastAsia="Calibri" w:cs="Times New Roman"/>
          <w:b/>
          <w:bCs/>
        </w:rPr>
      </w:pPr>
      <w:r w:rsidRPr="00BE0C24">
        <w:rPr>
          <w:rFonts w:eastAsia="Calibri" w:cs="Times New Roman"/>
          <w:b/>
          <w:bCs/>
        </w:rPr>
        <w:t>August 2024 MSAC consideration</w:t>
      </w:r>
    </w:p>
    <w:p w14:paraId="4F5439D6" w14:textId="7C0598DE" w:rsidR="00C561D7" w:rsidRDefault="00C561D7" w:rsidP="00C561D7">
      <w:r w:rsidRPr="00516D4E">
        <w:t>MSAC</w:t>
      </w:r>
      <w:r>
        <w:t xml:space="preserve"> noted that this application from Applied Molecular Therapies Pty Ltd was requesting Medicare Benefits Schedule (MBS) listing of </w:t>
      </w:r>
      <w:r w:rsidRPr="00963BCF">
        <w:rPr>
          <w:vertAlign w:val="superscript"/>
        </w:rPr>
        <w:t>177</w:t>
      </w:r>
      <w:r>
        <w:t>Lutetium (no carrier added)-DOTA-</w:t>
      </w:r>
      <w:proofErr w:type="spellStart"/>
      <w:r>
        <w:t>octreotate</w:t>
      </w:r>
      <w:proofErr w:type="spellEnd"/>
      <w:r>
        <w:t xml:space="preserve"> (</w:t>
      </w:r>
      <w:r w:rsidRPr="00366BB8">
        <w:rPr>
          <w:vertAlign w:val="superscript"/>
        </w:rPr>
        <w:t>177</w:t>
      </w:r>
      <w:r>
        <w:t>Lu (</w:t>
      </w:r>
      <w:proofErr w:type="spellStart"/>
      <w:r>
        <w:t>nca</w:t>
      </w:r>
      <w:proofErr w:type="spellEnd"/>
      <w:r>
        <w:t>)-DOTA-</w:t>
      </w:r>
      <w:proofErr w:type="spellStart"/>
      <w:r>
        <w:t>octreotate</w:t>
      </w:r>
      <w:proofErr w:type="spellEnd"/>
      <w:r>
        <w:t xml:space="preserve">) for the treatment of advanced neuroendocrine neoplasms (NENs) with high somatostatin receptor (H-SSTR) expression. The application was also requesting </w:t>
      </w:r>
      <w:r w:rsidR="00D65EA1">
        <w:t xml:space="preserve">MBS listing of a new item for whole body </w:t>
      </w:r>
      <w:r w:rsidRPr="00A836D3">
        <w:rPr>
          <w:vertAlign w:val="superscript"/>
        </w:rPr>
        <w:t>68</w:t>
      </w:r>
      <w:r>
        <w:t>Gallium [Ga]-DOTA-</w:t>
      </w:r>
      <w:proofErr w:type="spellStart"/>
      <w:r>
        <w:t>octreotate</w:t>
      </w:r>
      <w:proofErr w:type="spellEnd"/>
      <w:r>
        <w:t xml:space="preserve"> SSTR positron emission tomography [PET] / computed tomography [CT] to determine eligibility for therapy and/or to monitor response.</w:t>
      </w:r>
    </w:p>
    <w:p w14:paraId="25720FF2" w14:textId="68C65901" w:rsidR="00C561D7" w:rsidRDefault="00C561D7" w:rsidP="00C561D7">
      <w:r>
        <w:t xml:space="preserve">MSAC noted that NENs are a heterogenous tumour type with varied behaviour. Some are functional and </w:t>
      </w:r>
      <w:r w:rsidR="00AA0786">
        <w:t>release</w:t>
      </w:r>
      <w:r>
        <w:t xml:space="preserve"> hormones (e.g. insulin, serotonin, catecholamines) that can be life-threatening. The only cure is surgical resection, but NENs often present late when the disease is </w:t>
      </w:r>
      <w:r>
        <w:lastRenderedPageBreak/>
        <w:t xml:space="preserve">unresectable (e.g. due to metastatic disease). </w:t>
      </w:r>
      <w:r w:rsidR="004B68C6">
        <w:t>MSAC noted that t</w:t>
      </w:r>
      <w:r w:rsidR="004A30D0" w:rsidRPr="004A30D0">
        <w:t>reatment of NENs is not “one size fits all”</w:t>
      </w:r>
      <w:r w:rsidR="004B68C6">
        <w:t xml:space="preserve"> </w:t>
      </w:r>
      <w:r w:rsidR="00777223">
        <w:t>especially regarding</w:t>
      </w:r>
      <w:r w:rsidR="004B68C6">
        <w:t xml:space="preserve"> the t</w:t>
      </w:r>
      <w:r w:rsidR="004A30D0" w:rsidRPr="004A30D0">
        <w:t>iming of different treatments</w:t>
      </w:r>
      <w:r w:rsidR="00777223">
        <w:t>.</w:t>
      </w:r>
    </w:p>
    <w:p w14:paraId="1FE63C55" w14:textId="1762B60D" w:rsidR="003B4C6F" w:rsidRDefault="00C561D7" w:rsidP="00C561D7">
      <w:r>
        <w:t>MSAC noted that consultation feedback, received from eight professional organisations and one consumer organisation, was generally supportive. The consumer feedback highlighted the strong clinical need for this therapy, due to the condition b</w:t>
      </w:r>
      <w:r w:rsidR="004A1633">
        <w:t>e</w:t>
      </w:r>
      <w:r>
        <w:t xml:space="preserve">ing rare and often diagnosed late. The treatment has been successfully performed in Australia for the past 10 years and is currently funded through the Department of Veterans’ Affairs on a case-by-case basis, while other patients pay </w:t>
      </w:r>
      <w:r w:rsidR="00892692">
        <w:t xml:space="preserve">privately </w:t>
      </w:r>
      <w:r>
        <w:t>for the service. The feedback noted that both the “no carrier added” and “carrier added” treatment options are currently being used, and that having both options subsidised would enable clinicians to manage radiopharmaceutical shortages.</w:t>
      </w:r>
      <w:r w:rsidR="00E96C86">
        <w:t xml:space="preserve"> </w:t>
      </w:r>
      <w:r w:rsidR="003B4C6F">
        <w:t>MSAC also noted and considered the consultation input from those who were not supportive of the application</w:t>
      </w:r>
      <w:r w:rsidR="0080485D">
        <w:t>. MSAC noted that Novarti</w:t>
      </w:r>
      <w:r w:rsidR="00A37278">
        <w:t xml:space="preserve">s </w:t>
      </w:r>
      <w:r w:rsidR="003848F1">
        <w:t>considered that the proposed</w:t>
      </w:r>
      <w:r w:rsidR="00CE6DEE" w:rsidRPr="00787F82">
        <w:t xml:space="preserve"> </w:t>
      </w:r>
      <w:r w:rsidR="00CE6DEE" w:rsidRPr="00DA391E">
        <w:rPr>
          <w:vertAlign w:val="superscript"/>
        </w:rPr>
        <w:t>177</w:t>
      </w:r>
      <w:r w:rsidR="00CE6DEE" w:rsidRPr="00787F82">
        <w:t>Lu</w:t>
      </w:r>
      <w:r w:rsidR="00CE6DEE">
        <w:t>-</w:t>
      </w:r>
      <w:r w:rsidR="00CE6DEE" w:rsidRPr="00787F82">
        <w:t>DOTA</w:t>
      </w:r>
      <w:r w:rsidR="00E67263">
        <w:t>-</w:t>
      </w:r>
      <w:r w:rsidR="00CE6DEE" w:rsidRPr="00787F82">
        <w:t xml:space="preserve">ctreotate and </w:t>
      </w:r>
      <w:r w:rsidR="00CE6DEE" w:rsidRPr="00DA391E">
        <w:rPr>
          <w:vertAlign w:val="superscript"/>
        </w:rPr>
        <w:t>177</w:t>
      </w:r>
      <w:r w:rsidR="00CE6DEE" w:rsidRPr="00787F82">
        <w:t>Lu-DOTATATE (</w:t>
      </w:r>
      <w:proofErr w:type="spellStart"/>
      <w:r w:rsidR="00CE6DEE" w:rsidRPr="00787F82">
        <w:t>Lutathera</w:t>
      </w:r>
      <w:proofErr w:type="spellEnd"/>
      <w:r w:rsidR="00CE6DEE" w:rsidRPr="00787F82">
        <w:t>®)</w:t>
      </w:r>
      <w:r w:rsidR="00CE6DEE">
        <w:t xml:space="preserve"> may be two different drug products and there is no evidence to support the therapeutic equivalence between the two products. </w:t>
      </w:r>
      <w:r w:rsidR="00495F01">
        <w:t>No</w:t>
      </w:r>
      <w:r w:rsidR="00B83FB1">
        <w:t>v</w:t>
      </w:r>
      <w:r w:rsidR="00495F01">
        <w:t xml:space="preserve">artis also noted that </w:t>
      </w:r>
      <w:r w:rsidR="00B83FB1">
        <w:t>its</w:t>
      </w:r>
      <w:r w:rsidR="00A550C3">
        <w:t xml:space="preserve"> </w:t>
      </w:r>
      <w:r w:rsidR="00B83FB1" w:rsidRPr="00DA391E">
        <w:rPr>
          <w:vertAlign w:val="superscript"/>
        </w:rPr>
        <w:t>177</w:t>
      </w:r>
      <w:r w:rsidR="00B83FB1" w:rsidRPr="00AF0CE1">
        <w:t>Lu-DOTA</w:t>
      </w:r>
      <w:r w:rsidR="00B83FB1">
        <w:t>TA</w:t>
      </w:r>
      <w:r w:rsidR="00B83FB1" w:rsidRPr="00AF0CE1">
        <w:t>TE</w:t>
      </w:r>
      <w:r w:rsidR="00B83FB1">
        <w:t xml:space="preserve"> drug product </w:t>
      </w:r>
      <w:r w:rsidR="00B83FB1" w:rsidRPr="00AF0CE1">
        <w:t>is protected by a granted patent.</w:t>
      </w:r>
    </w:p>
    <w:p w14:paraId="1153FEDA" w14:textId="3048FF67" w:rsidR="00883C1B" w:rsidRDefault="00883C1B" w:rsidP="00BD172E">
      <w:r>
        <w:t xml:space="preserve">MSAC noted the patent-related issues </w:t>
      </w:r>
      <w:r w:rsidR="00E56039" w:rsidRPr="00E56039">
        <w:t>raised during the consultation process</w:t>
      </w:r>
      <w:r>
        <w:t>. MSAC noted that it was not within its Terms of Reference to reach a conclusion about the extent of the patent or the rights under it</w:t>
      </w:r>
      <w:r w:rsidR="00BD172E">
        <w:t xml:space="preserve"> and concluded that these matters would require consideration by government and in particular the Minister prior to and </w:t>
      </w:r>
      <w:proofErr w:type="gramStart"/>
      <w:r w:rsidR="00BD172E">
        <w:t>in the course of</w:t>
      </w:r>
      <w:proofErr w:type="gramEnd"/>
      <w:r w:rsidR="00BD172E">
        <w:t xml:space="preserve"> any decision in relation to whether to list new MBS items as a result of this application. Accordingly, MSAC conducted its analysis in relation to the comparative safety, clinical effectiveness, cost-effectiveness and total cost of the applicant’s product </w:t>
      </w:r>
      <w:proofErr w:type="gramStart"/>
      <w:r w:rsidR="00BD172E">
        <w:t>on the basis of</w:t>
      </w:r>
      <w:proofErr w:type="gramEnd"/>
      <w:r w:rsidR="00BD172E">
        <w:t xml:space="preserve"> the information and evidence before it, and on the premise that providers will have a legal right to use it in Australia if the application is approved.</w:t>
      </w:r>
    </w:p>
    <w:p w14:paraId="11FE98A7" w14:textId="27F0A76A" w:rsidR="00C561D7" w:rsidRDefault="00C561D7" w:rsidP="00C561D7">
      <w:r>
        <w:t xml:space="preserve">MSAC noted the clinical management algorithm. The proposed population </w:t>
      </w:r>
      <w:r w:rsidR="00905979">
        <w:t>is</w:t>
      </w:r>
      <w:r w:rsidR="0092040C">
        <w:t xml:space="preserve"> </w:t>
      </w:r>
      <w:r>
        <w:t xml:space="preserve">those with histologically confirmed, locally advanced or metastatic inoperable NENs with documented disease progression or uncontrolled NEN-related symptoms despite standard therapy. Patients first undergo whole-body </w:t>
      </w:r>
      <w:r w:rsidRPr="00A836D3">
        <w:rPr>
          <w:vertAlign w:val="superscript"/>
        </w:rPr>
        <w:t>68</w:t>
      </w:r>
      <w:r>
        <w:t>Ga-DOTA-octreotate SSTR PET/CT to determine if there is high SSTR expression. Patients with a positive result (i.e. modified Krenning score &gt;3) are potential candidates for peptide receptor radionuclide therapy (PRRT)</w:t>
      </w:r>
      <w:r w:rsidR="007576ED">
        <w:t xml:space="preserve">, which is proposed to be </w:t>
      </w:r>
      <w:r w:rsidR="007576ED" w:rsidRPr="00366BB8">
        <w:rPr>
          <w:vertAlign w:val="superscript"/>
        </w:rPr>
        <w:t>177</w:t>
      </w:r>
      <w:r w:rsidR="007576ED">
        <w:t>Lu (</w:t>
      </w:r>
      <w:proofErr w:type="spellStart"/>
      <w:r w:rsidR="007576ED">
        <w:t>nca</w:t>
      </w:r>
      <w:proofErr w:type="spellEnd"/>
      <w:r w:rsidR="007576ED">
        <w:t>)-DOTA-</w:t>
      </w:r>
      <w:proofErr w:type="spellStart"/>
      <w:r w:rsidR="007576ED">
        <w:t>octreotate</w:t>
      </w:r>
      <w:proofErr w:type="spellEnd"/>
      <w:r>
        <w:t>. Approximately 30% of patients require an additional FDG PET/CT scan (</w:t>
      </w:r>
      <w:r w:rsidR="00DF468A">
        <w:t xml:space="preserve">already </w:t>
      </w:r>
      <w:r>
        <w:t xml:space="preserve">covered by MBS item 61612) to assess for concordance of lesions with the first scan. Discordance </w:t>
      </w:r>
      <w:r w:rsidR="00534304">
        <w:t>indicates a poorer</w:t>
      </w:r>
      <w:r>
        <w:t xml:space="preserve"> prognosis and </w:t>
      </w:r>
      <w:r w:rsidR="001E7766">
        <w:t xml:space="preserve">hence </w:t>
      </w:r>
      <w:r>
        <w:t>that the patient is unsuitable for PRRT.</w:t>
      </w:r>
    </w:p>
    <w:p w14:paraId="10918657" w14:textId="38AA0C52" w:rsidR="00C561D7" w:rsidRDefault="00C561D7" w:rsidP="00C561D7">
      <w:r>
        <w:t>MSAC noted that access to PET services</w:t>
      </w:r>
      <w:r w:rsidR="001614AE">
        <w:t xml:space="preserve"> in Australia</w:t>
      </w:r>
      <w:r>
        <w:t xml:space="preserve"> is limited based on the location of the PET machines. Most PRRT is </w:t>
      </w:r>
      <w:r w:rsidR="00DF468A">
        <w:t xml:space="preserve">currently </w:t>
      </w:r>
      <w:r>
        <w:t>administered in public hospitals, and nearly all state</w:t>
      </w:r>
      <w:r w:rsidR="00A87478">
        <w:t>s</w:t>
      </w:r>
      <w:r>
        <w:t xml:space="preserve"> and territories can provide PRRT to patients with NENs. The exception is the Northern Territory</w:t>
      </w:r>
      <w:r w:rsidR="0022045E">
        <w:t xml:space="preserve"> (NT)</w:t>
      </w:r>
      <w:r>
        <w:t xml:space="preserve">, </w:t>
      </w:r>
      <w:r w:rsidRPr="00FC2F9F">
        <w:t xml:space="preserve">whose patients </w:t>
      </w:r>
      <w:r w:rsidR="001614AE">
        <w:t>receive treatment in</w:t>
      </w:r>
      <w:r w:rsidRPr="00FC2F9F">
        <w:t xml:space="preserve"> Adelaide</w:t>
      </w:r>
      <w:r w:rsidR="001E7766">
        <w:t>, which</w:t>
      </w:r>
      <w:r w:rsidR="00607791">
        <w:t xml:space="preserve"> </w:t>
      </w:r>
      <w:r>
        <w:t>introduce</w:t>
      </w:r>
      <w:r w:rsidR="001E7766">
        <w:t>s</w:t>
      </w:r>
      <w:r>
        <w:t xml:space="preserve"> additional costs associated with travel and accommodation</w:t>
      </w:r>
      <w:r w:rsidR="0022045E">
        <w:t xml:space="preserve"> for NT patie</w:t>
      </w:r>
      <w:r w:rsidR="00A87478">
        <w:t>nts</w:t>
      </w:r>
      <w:r>
        <w:t>. MSAC noted that there is a PET department in the Northern Territory that is expected to offer therapeutic nuclear medicine</w:t>
      </w:r>
      <w:r w:rsidR="00EA6010">
        <w:t xml:space="preserve"> </w:t>
      </w:r>
      <w:proofErr w:type="gramStart"/>
      <w:r w:rsidR="00EA6010">
        <w:t>in the near future</w:t>
      </w:r>
      <w:proofErr w:type="gramEnd"/>
      <w:r>
        <w:t>.</w:t>
      </w:r>
    </w:p>
    <w:p w14:paraId="39DB7845" w14:textId="41CCDA51" w:rsidR="00C561D7" w:rsidRDefault="00C561D7" w:rsidP="00C561D7">
      <w:r>
        <w:t xml:space="preserve">MSAC noted the comparators include long-acting somatostatin analogues (SSAs) (octreotide depot and lanreotide), target therapies (everolimus and sunitinib), chemotherapy and best supportive care (BSC). MSAC noted that </w:t>
      </w:r>
      <w:r w:rsidRPr="00366BB8">
        <w:rPr>
          <w:vertAlign w:val="superscript"/>
        </w:rPr>
        <w:t>177</w:t>
      </w:r>
      <w:r>
        <w:t>Lu (</w:t>
      </w:r>
      <w:proofErr w:type="spellStart"/>
      <w:r>
        <w:t>nca</w:t>
      </w:r>
      <w:proofErr w:type="spellEnd"/>
      <w:r>
        <w:t>)-DOTA-</w:t>
      </w:r>
      <w:proofErr w:type="spellStart"/>
      <w:r>
        <w:t>octreotate</w:t>
      </w:r>
      <w:proofErr w:type="spellEnd"/>
      <w:r>
        <w:t xml:space="preserve"> will not displace other therapies but </w:t>
      </w:r>
      <w:r w:rsidR="00EB628D">
        <w:t>will</w:t>
      </w:r>
      <w:r>
        <w:t xml:space="preserve"> be used in addition to current treatments. Thresholds for treatment are presented in the clinical algorithm, but in clinical practice, a multidisciplinary team make</w:t>
      </w:r>
      <w:r w:rsidR="00EB628D">
        <w:t>s</w:t>
      </w:r>
      <w:r>
        <w:t xml:space="preserve"> treatment decisions, due to the high complexity of individual cases.</w:t>
      </w:r>
    </w:p>
    <w:p w14:paraId="33A1BF8A" w14:textId="30091F0A" w:rsidR="00C561D7" w:rsidRDefault="00C561D7" w:rsidP="00C561D7">
      <w:r>
        <w:t>MSAC noted that the outcomes</w:t>
      </w:r>
      <w:r w:rsidR="003D55ED">
        <w:t xml:space="preserve"> for the diagnostic test</w:t>
      </w:r>
      <w:r>
        <w:t xml:space="preserve"> were based on the clinical utility / diagnostic performance of </w:t>
      </w:r>
      <w:r w:rsidRPr="00A836D3">
        <w:rPr>
          <w:vertAlign w:val="superscript"/>
        </w:rPr>
        <w:t>68</w:t>
      </w:r>
      <w:r>
        <w:t>Ga-DOTA-octreotate PET/CT +/– FDG PET/CT, but that th</w:t>
      </w:r>
      <w:r w:rsidR="008F511C">
        <w:t xml:space="preserve">ere was very limited evidence on </w:t>
      </w:r>
      <w:r>
        <w:t xml:space="preserve">sensitivity and specificity </w:t>
      </w:r>
      <w:r w:rsidR="00121C4F">
        <w:t xml:space="preserve">for </w:t>
      </w:r>
      <w:r w:rsidR="00EA6010">
        <w:t>either</w:t>
      </w:r>
      <w:r w:rsidR="00121C4F">
        <w:t xml:space="preserve"> of </w:t>
      </w:r>
      <w:r w:rsidR="002F1718">
        <w:t xml:space="preserve">these </w:t>
      </w:r>
      <w:r w:rsidR="00121C4F">
        <w:t xml:space="preserve">tests </w:t>
      </w:r>
      <w:r>
        <w:t>compared to the reference standard</w:t>
      </w:r>
      <w:r w:rsidR="00576586">
        <w:t>s</w:t>
      </w:r>
      <w:r w:rsidR="00EA6010">
        <w:t>,</w:t>
      </w:r>
      <w:r>
        <w:t xml:space="preserve"> and no quantitative data were presented on change in clinical outcomes. However, MSAC noted that </w:t>
      </w:r>
      <w:r w:rsidRPr="00A836D3">
        <w:rPr>
          <w:vertAlign w:val="superscript"/>
        </w:rPr>
        <w:t>68</w:t>
      </w:r>
      <w:r>
        <w:t xml:space="preserve">Ga-DOTA-octreotate PET/CT is more accurate, easier for the patient, </w:t>
      </w:r>
      <w:r>
        <w:lastRenderedPageBreak/>
        <w:t xml:space="preserve">less expensive and has a lower radiation dose than the alternative, </w:t>
      </w:r>
      <w:r w:rsidRPr="0097312B">
        <w:rPr>
          <w:vertAlign w:val="superscript"/>
        </w:rPr>
        <w:t>111</w:t>
      </w:r>
      <w:r>
        <w:t>Indium-octreotide single-photon emission CT (SPECT). Also, some trials</w:t>
      </w:r>
      <w:r w:rsidR="008C2E0A">
        <w:t>,</w:t>
      </w:r>
      <w:r>
        <w:t xml:space="preserve"> </w:t>
      </w:r>
      <w:r w:rsidR="005F210A">
        <w:t xml:space="preserve">including </w:t>
      </w:r>
      <w:r w:rsidR="00C715F1">
        <w:t>CONTROL</w:t>
      </w:r>
      <w:r w:rsidR="00625994">
        <w:t xml:space="preserve"> </w:t>
      </w:r>
      <w:r w:rsidR="00C715F1">
        <w:t>NET</w:t>
      </w:r>
      <w:r w:rsidR="00EA5CBB">
        <w:t>S</w:t>
      </w:r>
      <w:r w:rsidR="001B795F">
        <w:t xml:space="preserve"> (which was omitted from the Department Commissioned Assessment Report</w:t>
      </w:r>
      <w:r w:rsidR="007C2380">
        <w:t xml:space="preserve"> [DCAR]</w:t>
      </w:r>
      <w:r w:rsidR="001B795F">
        <w:t>)</w:t>
      </w:r>
      <w:r w:rsidR="00C715F1">
        <w:t xml:space="preserve"> </w:t>
      </w:r>
      <w:r w:rsidR="001B795F">
        <w:t xml:space="preserve">have </w:t>
      </w:r>
      <w:r>
        <w:t>use</w:t>
      </w:r>
      <w:r w:rsidR="001B795F">
        <w:t>d</w:t>
      </w:r>
      <w:r>
        <w:t xml:space="preserve"> </w:t>
      </w:r>
      <w:r w:rsidRPr="00A836D3">
        <w:rPr>
          <w:vertAlign w:val="superscript"/>
        </w:rPr>
        <w:t>68</w:t>
      </w:r>
      <w:r>
        <w:t xml:space="preserve">Ga-DOTA-octreotate PET/CT to assess suitability for therapy. Regarding change in clinical outcomes, MSAC noted that </w:t>
      </w:r>
      <w:r w:rsidRPr="00366BB8">
        <w:rPr>
          <w:vertAlign w:val="superscript"/>
        </w:rPr>
        <w:t>177</w:t>
      </w:r>
      <w:r>
        <w:t>Lu-DOTA-octreotate treatment is only given when there is good evidence that most lesions express SSTR.</w:t>
      </w:r>
    </w:p>
    <w:p w14:paraId="2CE80E07" w14:textId="68F8992C" w:rsidR="00107AFF" w:rsidRDefault="00107AFF" w:rsidP="00107AFF">
      <w:r>
        <w:t>MSAC noted there was no evidence presented for the safety of the diagnostic test</w:t>
      </w:r>
      <w:r w:rsidR="00F218F9">
        <w:t>, but</w:t>
      </w:r>
      <w:r w:rsidR="005E4083">
        <w:t xml:space="preserve"> </w:t>
      </w:r>
      <w:r w:rsidR="00F218F9">
        <w:t>a</w:t>
      </w:r>
      <w:r>
        <w:t xml:space="preserve">s both tests </w:t>
      </w:r>
      <w:r w:rsidR="00F218F9">
        <w:t xml:space="preserve">have previously undergone MSAC assessment and </w:t>
      </w:r>
      <w:r>
        <w:t xml:space="preserve">are already listed on the MBS, their safety profile has been established. </w:t>
      </w:r>
    </w:p>
    <w:p w14:paraId="2D5B5F83" w14:textId="42543192" w:rsidR="006F774B" w:rsidRDefault="00012983" w:rsidP="006F774B">
      <w:r>
        <w:t xml:space="preserve">MSAC noted that although the applicant expressed a preference for the proposed MBS listing to be for </w:t>
      </w:r>
      <w:r w:rsidRPr="007A7786">
        <w:rPr>
          <w:vertAlign w:val="superscript"/>
        </w:rPr>
        <w:t>177</w:t>
      </w:r>
      <w:r>
        <w:t>Lu (</w:t>
      </w:r>
      <w:proofErr w:type="spellStart"/>
      <w:r>
        <w:t>nca</w:t>
      </w:r>
      <w:proofErr w:type="spellEnd"/>
      <w:r>
        <w:t>)-DOTA-</w:t>
      </w:r>
      <w:proofErr w:type="spellStart"/>
      <w:r>
        <w:t>octreotate</w:t>
      </w:r>
      <w:proofErr w:type="spellEnd"/>
      <w:r>
        <w:t xml:space="preserve">, there is no difference in biodistribution between the “carrier added” and “no carrier added” versions of </w:t>
      </w:r>
      <w:r w:rsidRPr="007A7786">
        <w:rPr>
          <w:vertAlign w:val="superscript"/>
        </w:rPr>
        <w:t>177</w:t>
      </w:r>
      <w:r>
        <w:t>Lu-DOTA-octreotate</w:t>
      </w:r>
      <w:r w:rsidR="00344894">
        <w:t>. The</w:t>
      </w:r>
      <w:r>
        <w:t xml:space="preserve"> main</w:t>
      </w:r>
      <w:r w:rsidR="00344894">
        <w:t xml:space="preserve"> difference</w:t>
      </w:r>
      <w:r w:rsidR="00820FAF">
        <w:t xml:space="preserve"> in the version</w:t>
      </w:r>
      <w:r>
        <w:t xml:space="preserve"> relates to waste disposal</w:t>
      </w:r>
      <w:r w:rsidR="00820FAF">
        <w:t xml:space="preserve"> rather than biodistribution or effectiveness</w:t>
      </w:r>
      <w:r>
        <w:t>. Therefore, MSAC agreed with ESC that it is appropriate to not stipulate “no carrier added” in the item descriptor (i.e. that the descriptor be carrier agnostic)</w:t>
      </w:r>
      <w:r w:rsidR="001847AE">
        <w:t xml:space="preserve">. </w:t>
      </w:r>
      <w:r w:rsidR="00926B3A">
        <w:t>MSAC</w:t>
      </w:r>
      <w:r w:rsidR="00926B3A" w:rsidRPr="00926B3A">
        <w:t xml:space="preserve"> also </w:t>
      </w:r>
      <w:r w:rsidR="00AE2A71">
        <w:t xml:space="preserve">agreed with </w:t>
      </w:r>
      <w:r w:rsidR="00926B3A">
        <w:t>ESC</w:t>
      </w:r>
      <w:r w:rsidR="00AE2A71">
        <w:t xml:space="preserve"> that the</w:t>
      </w:r>
      <w:r w:rsidR="00926B3A" w:rsidRPr="00926B3A">
        <w:t xml:space="preserve"> amended uniform fee of $10,000 for </w:t>
      </w:r>
      <w:r w:rsidR="00FB5717">
        <w:t>the proposed therapeutic item was appropriate.</w:t>
      </w:r>
    </w:p>
    <w:p w14:paraId="1556AAB2" w14:textId="32FE8C73" w:rsidR="0093656D" w:rsidRDefault="009D02BB" w:rsidP="00C561D7">
      <w:r>
        <w:t xml:space="preserve">MSAC noted that all evidence presented </w:t>
      </w:r>
      <w:r w:rsidR="00FD217B">
        <w:t xml:space="preserve">for the treatment </w:t>
      </w:r>
      <w:r>
        <w:t xml:space="preserve">related to another product, </w:t>
      </w:r>
      <w:r w:rsidRPr="005C0139">
        <w:rPr>
          <w:vertAlign w:val="superscript"/>
        </w:rPr>
        <w:t>177</w:t>
      </w:r>
      <w:r>
        <w:t>Lu-DOTATATE, and not</w:t>
      </w:r>
      <w:r w:rsidR="001D41E6">
        <w:t xml:space="preserve"> </w:t>
      </w:r>
      <w:r w:rsidR="00654993">
        <w:t xml:space="preserve">to </w:t>
      </w:r>
      <w:r w:rsidR="001D41E6" w:rsidRPr="007A7786">
        <w:rPr>
          <w:vertAlign w:val="superscript"/>
        </w:rPr>
        <w:t>177</w:t>
      </w:r>
      <w:r w:rsidR="001D41E6">
        <w:t>Lu-DOTA-octreotate</w:t>
      </w:r>
      <w:r w:rsidR="00820FAF">
        <w:t xml:space="preserve"> (the applicant’s product)</w:t>
      </w:r>
      <w:r w:rsidR="00FD217B">
        <w:t xml:space="preserve"> and therefore the </w:t>
      </w:r>
      <w:r w:rsidR="009D5FD9">
        <w:t xml:space="preserve">relevance of this evidence was premised on the assumed non-inferiority between </w:t>
      </w:r>
      <w:r w:rsidR="009D5FD9" w:rsidRPr="005C0139">
        <w:rPr>
          <w:vertAlign w:val="superscript"/>
        </w:rPr>
        <w:t>177</w:t>
      </w:r>
      <w:r w:rsidR="009D5FD9">
        <w:t xml:space="preserve">Lu-DOTATATE, and </w:t>
      </w:r>
      <w:r w:rsidR="009D5FD9" w:rsidRPr="007A7786">
        <w:rPr>
          <w:vertAlign w:val="superscript"/>
        </w:rPr>
        <w:t>177</w:t>
      </w:r>
      <w:r w:rsidR="009D5FD9">
        <w:t>Lu-DOTA-octreotate</w:t>
      </w:r>
      <w:r w:rsidR="001D41E6">
        <w:t>.</w:t>
      </w:r>
      <w:r w:rsidR="00C24862">
        <w:t xml:space="preserve"> </w:t>
      </w:r>
      <w:r w:rsidR="00E64CC0">
        <w:t xml:space="preserve">This was </w:t>
      </w:r>
      <w:r w:rsidR="004C2C8A">
        <w:t xml:space="preserve">because </w:t>
      </w:r>
      <w:r w:rsidR="00E64CC0">
        <w:t>the</w:t>
      </w:r>
      <w:r w:rsidR="00E47C4D">
        <w:t xml:space="preserve"> DCAR identified a</w:t>
      </w:r>
      <w:r w:rsidR="00E64CC0">
        <w:t xml:space="preserve"> lack of randomised controlled (RCT) data available for </w:t>
      </w:r>
      <w:r w:rsidR="00E64CC0" w:rsidRPr="00592E75">
        <w:rPr>
          <w:vertAlign w:val="superscript"/>
        </w:rPr>
        <w:t>177</w:t>
      </w:r>
      <w:r w:rsidR="00E64CC0" w:rsidRPr="0A3B44D0">
        <w:t>Lutetium</w:t>
      </w:r>
      <w:r w:rsidR="00E64CC0">
        <w:t> </w:t>
      </w:r>
      <w:proofErr w:type="spellStart"/>
      <w:r w:rsidR="00E64CC0" w:rsidRPr="0A3B44D0">
        <w:t>Octreotate</w:t>
      </w:r>
      <w:proofErr w:type="spellEnd"/>
      <w:r w:rsidR="00E64CC0" w:rsidRPr="0A3B44D0">
        <w:t xml:space="preserve"> </w:t>
      </w:r>
      <w:r w:rsidR="00E64CC0">
        <w:t>(</w:t>
      </w:r>
      <w:r w:rsidR="00E64CC0" w:rsidRPr="00592E75">
        <w:rPr>
          <w:vertAlign w:val="superscript"/>
        </w:rPr>
        <w:t>177</w:t>
      </w:r>
      <w:r w:rsidR="00E64CC0" w:rsidRPr="006A1B53">
        <w:t>Lu-DOTA-octreotate</w:t>
      </w:r>
      <w:r w:rsidR="00E64CC0">
        <w:t xml:space="preserve">). </w:t>
      </w:r>
      <w:r w:rsidR="00C24862">
        <w:t xml:space="preserve">MSAC noted that the </w:t>
      </w:r>
      <w:r w:rsidR="00C24862" w:rsidRPr="00C24862">
        <w:t xml:space="preserve">commercial therapeutic product, </w:t>
      </w:r>
      <w:r w:rsidR="00C24862" w:rsidRPr="00852103">
        <w:rPr>
          <w:vertAlign w:val="superscript"/>
        </w:rPr>
        <w:t>177</w:t>
      </w:r>
      <w:r w:rsidR="00C24862" w:rsidRPr="00C24862">
        <w:t xml:space="preserve">Lu-DOTATATE, </w:t>
      </w:r>
      <w:proofErr w:type="spellStart"/>
      <w:r w:rsidR="00C24862" w:rsidRPr="00C24862">
        <w:t>Lutathera</w:t>
      </w:r>
      <w:proofErr w:type="spellEnd"/>
      <w:r w:rsidR="00C24862" w:rsidRPr="00C24862">
        <w:t>® (Novartis)</w:t>
      </w:r>
      <w:r w:rsidR="00C24862">
        <w:t xml:space="preserve"> </w:t>
      </w:r>
      <w:r w:rsidR="008F50F8">
        <w:t>against which a claim of non-inferiority is being made</w:t>
      </w:r>
      <w:r w:rsidR="00C24862" w:rsidRPr="00C24862">
        <w:t>, is not currently registered in Australia.</w:t>
      </w:r>
    </w:p>
    <w:p w14:paraId="2C1BCB50" w14:textId="7B7ADD6B" w:rsidR="0093656D" w:rsidRDefault="0093656D" w:rsidP="0093656D">
      <w:r>
        <w:t>MSAC noted th</w:t>
      </w:r>
      <w:r w:rsidR="00C64B7B">
        <w:t>e</w:t>
      </w:r>
      <w:r>
        <w:t xml:space="preserve"> assumption of non-inferiority between </w:t>
      </w:r>
      <w:r w:rsidRPr="005C0139">
        <w:rPr>
          <w:vertAlign w:val="superscript"/>
        </w:rPr>
        <w:t>177</w:t>
      </w:r>
      <w:r>
        <w:t>Lu-DOTATATE</w:t>
      </w:r>
      <w:r w:rsidR="00CF78C8">
        <w:t xml:space="preserve"> (</w:t>
      </w:r>
      <w:proofErr w:type="spellStart"/>
      <w:r w:rsidR="00CF78C8" w:rsidRPr="00C24862">
        <w:t>Lutathera</w:t>
      </w:r>
      <w:proofErr w:type="spellEnd"/>
      <w:r w:rsidR="00CF78C8" w:rsidRPr="00C24862">
        <w:t>®</w:t>
      </w:r>
      <w:r w:rsidR="00CF78C8">
        <w:t>)</w:t>
      </w:r>
      <w:r>
        <w:t xml:space="preserve"> and </w:t>
      </w:r>
      <w:r w:rsidRPr="007A7786">
        <w:rPr>
          <w:vertAlign w:val="superscript"/>
        </w:rPr>
        <w:t>177</w:t>
      </w:r>
      <w:r>
        <w:t>Lu-DOTA-octreotate</w:t>
      </w:r>
      <w:r w:rsidR="00AB4E2A">
        <w:t xml:space="preserve"> which was based on </w:t>
      </w:r>
      <w:r w:rsidR="00D42857">
        <w:t xml:space="preserve">a comparison of pharmaceutical forms only </w:t>
      </w:r>
      <w:r>
        <w:t>was highlighted as a key uncertainty in the DCAR and was based solely on information provided in the product package inserts of the two products</w:t>
      </w:r>
      <w:r w:rsidR="0004163D">
        <w:t xml:space="preserve">. </w:t>
      </w:r>
      <w:r>
        <w:t>N</w:t>
      </w:r>
      <w:r w:rsidRPr="00307050">
        <w:t>o reliable data</w:t>
      </w:r>
      <w:r>
        <w:t xml:space="preserve"> </w:t>
      </w:r>
      <w:r w:rsidRPr="00307050">
        <w:t xml:space="preserve">were presented </w:t>
      </w:r>
      <w:r>
        <w:t xml:space="preserve">in the DCAR </w:t>
      </w:r>
      <w:r w:rsidR="004C2C8A">
        <w:t xml:space="preserve">itself </w:t>
      </w:r>
      <w:r w:rsidRPr="00307050">
        <w:t xml:space="preserve">to establish </w:t>
      </w:r>
      <w:proofErr w:type="gramStart"/>
      <w:r w:rsidRPr="00307050">
        <w:t>whether or not</w:t>
      </w:r>
      <w:proofErr w:type="gramEnd"/>
      <w:r w:rsidRPr="00307050">
        <w:t xml:space="preserve"> the products have similar chemical structure</w:t>
      </w:r>
      <w:r>
        <w:t xml:space="preserve"> or similar biodistributions, characteristics which are expected to affect the assessment of non-inferiority of the two products in terms of safety and efficacy. </w:t>
      </w:r>
      <w:r w:rsidR="004A3D7A">
        <w:t>MSAC noted the pre-</w:t>
      </w:r>
      <w:r w:rsidR="00505FAA">
        <w:t>MSAC response</w:t>
      </w:r>
      <w:r w:rsidR="00A54E52">
        <w:t xml:space="preserve">, </w:t>
      </w:r>
      <w:r w:rsidR="007B792D">
        <w:t xml:space="preserve">in </w:t>
      </w:r>
      <w:r w:rsidR="00505FAA">
        <w:t xml:space="preserve">which </w:t>
      </w:r>
      <w:r w:rsidR="004A3D7A">
        <w:rPr>
          <w:rFonts w:eastAsia="Calibri" w:cs="Times New Roman"/>
          <w:color w:val="000000"/>
          <w:szCs w:val="20"/>
        </w:rPr>
        <w:t xml:space="preserve">the applicant </w:t>
      </w:r>
      <w:r w:rsidR="00F11032">
        <w:rPr>
          <w:rFonts w:eastAsia="Calibri" w:cs="Times New Roman"/>
          <w:color w:val="000000"/>
          <w:szCs w:val="20"/>
        </w:rPr>
        <w:t xml:space="preserve">noted that the active ingredients of </w:t>
      </w:r>
      <w:r w:rsidR="00F11032" w:rsidRPr="007A7786">
        <w:rPr>
          <w:vertAlign w:val="superscript"/>
        </w:rPr>
        <w:t>177</w:t>
      </w:r>
      <w:r w:rsidR="00F11032">
        <w:t xml:space="preserve">Lu-DOTA-octreotate and </w:t>
      </w:r>
      <w:r w:rsidR="00F11032" w:rsidRPr="005C0139">
        <w:rPr>
          <w:vertAlign w:val="superscript"/>
        </w:rPr>
        <w:t>177</w:t>
      </w:r>
      <w:r w:rsidR="00F11032">
        <w:t xml:space="preserve">Lu-DOTATATE </w:t>
      </w:r>
      <w:r w:rsidR="00DA017A">
        <w:rPr>
          <w:rFonts w:eastAsia="Calibri" w:cs="Times New Roman"/>
          <w:color w:val="000000"/>
          <w:szCs w:val="20"/>
        </w:rPr>
        <w:t xml:space="preserve">are the same, </w:t>
      </w:r>
      <w:r w:rsidR="004A3D7A">
        <w:rPr>
          <w:rFonts w:eastAsia="Calibri" w:cs="Times New Roman"/>
          <w:color w:val="000000"/>
          <w:szCs w:val="20"/>
        </w:rPr>
        <w:t>the European Medicines Agency (EMA) accepted the evidence using different formulations of the active substance in Erasmus Phase I/II study and NETTER-I tria</w:t>
      </w:r>
      <w:r w:rsidR="00654F1F">
        <w:rPr>
          <w:rFonts w:eastAsia="Calibri" w:cs="Times New Roman"/>
          <w:color w:val="000000"/>
          <w:szCs w:val="20"/>
        </w:rPr>
        <w:t>l</w:t>
      </w:r>
      <w:r w:rsidR="007B792D">
        <w:rPr>
          <w:rFonts w:eastAsia="Calibri" w:cs="Times New Roman"/>
          <w:color w:val="000000"/>
          <w:szCs w:val="20"/>
        </w:rPr>
        <w:t>,</w:t>
      </w:r>
      <w:r w:rsidR="00DA017A">
        <w:rPr>
          <w:rFonts w:eastAsia="Calibri" w:cs="Times New Roman"/>
          <w:color w:val="000000"/>
          <w:szCs w:val="20"/>
        </w:rPr>
        <w:t xml:space="preserve"> and there are multiple trials</w:t>
      </w:r>
      <w:r w:rsidR="0042256E">
        <w:rPr>
          <w:rFonts w:eastAsia="Calibri" w:cs="Times New Roman"/>
          <w:color w:val="000000"/>
          <w:szCs w:val="20"/>
        </w:rPr>
        <w:t xml:space="preserve"> demonstrating improved patient outcomes with</w:t>
      </w:r>
      <w:r w:rsidR="00693FF6">
        <w:rPr>
          <w:rFonts w:eastAsia="Calibri" w:cs="Times New Roman"/>
          <w:color w:val="000000"/>
          <w:szCs w:val="20"/>
        </w:rPr>
        <w:t xml:space="preserve"> </w:t>
      </w:r>
      <w:r w:rsidR="00693FF6" w:rsidRPr="007A7786">
        <w:rPr>
          <w:vertAlign w:val="superscript"/>
        </w:rPr>
        <w:t>177</w:t>
      </w:r>
      <w:r w:rsidR="00693FF6">
        <w:t>Lu-DOTA-octreotate</w:t>
      </w:r>
      <w:r w:rsidR="004A3D7A">
        <w:rPr>
          <w:rFonts w:eastAsia="Calibri" w:cs="Times New Roman"/>
          <w:color w:val="000000"/>
          <w:szCs w:val="20"/>
        </w:rPr>
        <w:t>.</w:t>
      </w:r>
      <w:r w:rsidR="00505FAA">
        <w:rPr>
          <w:rFonts w:eastAsia="Calibri" w:cs="Times New Roman"/>
          <w:color w:val="000000"/>
          <w:szCs w:val="20"/>
        </w:rPr>
        <w:t xml:space="preserve"> In addition, </w:t>
      </w:r>
      <w:r>
        <w:t xml:space="preserve">MSAC noted the applicant tendered expert opinion from a biochemist that the structure of </w:t>
      </w:r>
      <w:r w:rsidR="00C30E7A">
        <w:t xml:space="preserve">the </w:t>
      </w:r>
      <w:r>
        <w:t xml:space="preserve">peptides in </w:t>
      </w:r>
      <w:r w:rsidRPr="005C0139">
        <w:rPr>
          <w:vertAlign w:val="superscript"/>
        </w:rPr>
        <w:t>177</w:t>
      </w:r>
      <w:r>
        <w:t>Lu-DOTATATE</w:t>
      </w:r>
      <w:r w:rsidR="00693FF6">
        <w:t xml:space="preserve"> </w:t>
      </w:r>
      <w:r>
        <w:t xml:space="preserve">and </w:t>
      </w:r>
      <w:r w:rsidRPr="007A7786">
        <w:rPr>
          <w:vertAlign w:val="superscript"/>
        </w:rPr>
        <w:t>177</w:t>
      </w:r>
      <w:r>
        <w:t xml:space="preserve">Lu-DOTA-octreotate information were similar. </w:t>
      </w:r>
      <w:r w:rsidRPr="001948A3">
        <w:t xml:space="preserve">MSAC considered that whilst it appeared that the products may be two </w:t>
      </w:r>
      <w:r>
        <w:t>formulations of the same active compound</w:t>
      </w:r>
      <w:r w:rsidRPr="001948A3">
        <w:t xml:space="preserve"> [(Tyr</w:t>
      </w:r>
      <w:proofErr w:type="gramStart"/>
      <w:r w:rsidRPr="001948A3">
        <w:t>3)</w:t>
      </w:r>
      <w:proofErr w:type="spellStart"/>
      <w:r w:rsidRPr="001948A3">
        <w:t>Octreotate</w:t>
      </w:r>
      <w:proofErr w:type="spellEnd"/>
      <w:proofErr w:type="gramEnd"/>
      <w:r w:rsidRPr="001948A3">
        <w:t xml:space="preserve">-Dota-Lu, i.e., </w:t>
      </w:r>
      <w:r w:rsidRPr="00852103">
        <w:rPr>
          <w:vertAlign w:val="superscript"/>
        </w:rPr>
        <w:t>177</w:t>
      </w:r>
      <w:r w:rsidRPr="001948A3">
        <w:t>Lu-DOTATATE</w:t>
      </w:r>
      <w:r w:rsidR="0097016C">
        <w:t>]</w:t>
      </w:r>
      <w:r>
        <w:t xml:space="preserve">, </w:t>
      </w:r>
      <w:r w:rsidRPr="00215205">
        <w:t xml:space="preserve">further </w:t>
      </w:r>
      <w:r w:rsidR="004C2C8A">
        <w:t xml:space="preserve">independent </w:t>
      </w:r>
      <w:r>
        <w:t xml:space="preserve">expert radiochemist </w:t>
      </w:r>
      <w:r w:rsidRPr="00215205">
        <w:t>advice</w:t>
      </w:r>
      <w:r>
        <w:t xml:space="preserve"> </w:t>
      </w:r>
      <w:r w:rsidRPr="00215205">
        <w:t xml:space="preserve">was needed before </w:t>
      </w:r>
      <w:r>
        <w:t xml:space="preserve">non-inferiority between the two products </w:t>
      </w:r>
      <w:r w:rsidRPr="00215205">
        <w:t>could be accepted</w:t>
      </w:r>
      <w:r>
        <w:t>, either on the basis of establishing chemical similarity or establishing similarity in biodistribution</w:t>
      </w:r>
      <w:r w:rsidR="000809EE">
        <w:t>.</w:t>
      </w:r>
    </w:p>
    <w:p w14:paraId="3FAC7DE7" w14:textId="25ACEE43" w:rsidR="00621C93" w:rsidRDefault="00675D2C" w:rsidP="00621C93">
      <w:r w:rsidRPr="0A3B44D0">
        <w:t>Additionally, MSAC noted that</w:t>
      </w:r>
      <w:r>
        <w:t xml:space="preserve"> the NENs are a heterogenous group of rare tumours, which limits the RCT data that </w:t>
      </w:r>
      <w:r w:rsidR="00C30E7A">
        <w:t>are</w:t>
      </w:r>
      <w:r>
        <w:t xml:space="preserve"> available. The evidence base presented to MSAC only included RCT data, however, </w:t>
      </w:r>
      <w:r w:rsidR="00621C93">
        <w:t xml:space="preserve">MSAC noted that there was both </w:t>
      </w:r>
      <w:r w:rsidR="00FB546D">
        <w:t xml:space="preserve">available </w:t>
      </w:r>
      <w:r w:rsidR="00621C93">
        <w:t xml:space="preserve">published observational studies and </w:t>
      </w:r>
      <w:r w:rsidR="009C161A">
        <w:t xml:space="preserve">Australian </w:t>
      </w:r>
      <w:r w:rsidR="00621C93">
        <w:t xml:space="preserve">RCTs </w:t>
      </w:r>
      <w:r w:rsidR="007E7DE8">
        <w:t>that</w:t>
      </w:r>
      <w:r w:rsidR="00621C93">
        <w:t xml:space="preserve"> had been omitted from the DCA</w:t>
      </w:r>
      <w:r w:rsidR="00130FA6">
        <w:t>R</w:t>
      </w:r>
      <w:r w:rsidR="007E7DE8">
        <w:t>,</w:t>
      </w:r>
      <w:r w:rsidR="00621C93">
        <w:t xml:space="preserve"> including studies which </w:t>
      </w:r>
      <w:r w:rsidR="001A1317">
        <w:t>used</w:t>
      </w:r>
      <w:r w:rsidR="00621C93">
        <w:t xml:space="preserve"> the applicant’s product rather than </w:t>
      </w:r>
      <w:r w:rsidR="00621C93" w:rsidRPr="005C0139">
        <w:rPr>
          <w:vertAlign w:val="superscript"/>
        </w:rPr>
        <w:t>177</w:t>
      </w:r>
      <w:r w:rsidR="00621C93">
        <w:t>Lu-DOTATATE</w:t>
      </w:r>
      <w:r w:rsidR="004B371B">
        <w:t xml:space="preserve"> (as noted above in </w:t>
      </w:r>
      <w:r w:rsidR="001A1317">
        <w:t xml:space="preserve">the </w:t>
      </w:r>
      <w:r w:rsidR="004B371B">
        <w:t>pre-MSAC response)</w:t>
      </w:r>
      <w:r w:rsidR="00AF15C0">
        <w:t>.</w:t>
      </w:r>
    </w:p>
    <w:p w14:paraId="70ADAE00" w14:textId="3F89805B" w:rsidR="00621C93" w:rsidRDefault="00621C93" w:rsidP="0093656D">
      <w:r>
        <w:t xml:space="preserve">MSAC noted </w:t>
      </w:r>
      <w:r w:rsidR="00F365DD">
        <w:t>it was aware of at least one observational study and one RCT</w:t>
      </w:r>
      <w:r w:rsidR="00571405">
        <w:t xml:space="preserve"> from Australia that could have been considered for inclusion in the evidence base</w:t>
      </w:r>
      <w:r w:rsidR="00D0233F">
        <w:t xml:space="preserve"> presented in the DCAR. The first was </w:t>
      </w:r>
      <w:r w:rsidR="00E252E4">
        <w:t xml:space="preserve">a </w:t>
      </w:r>
      <w:r w:rsidR="0036461F">
        <w:t>clinical</w:t>
      </w:r>
      <w:r>
        <w:t xml:space="preserve"> audit of </w:t>
      </w:r>
      <w:r w:rsidRPr="005C0139">
        <w:rPr>
          <w:vertAlign w:val="superscript"/>
        </w:rPr>
        <w:t>177</w:t>
      </w:r>
      <w:r>
        <w:t>Lu-DOTATATE</w:t>
      </w:r>
      <w:r w:rsidR="0077046E">
        <w:t xml:space="preserve"> </w:t>
      </w:r>
      <w:r>
        <w:t xml:space="preserve">services at the </w:t>
      </w:r>
      <w:r w:rsidR="009205B2">
        <w:t xml:space="preserve">Royal Brisbane and Women’s Hospital </w:t>
      </w:r>
      <w:r w:rsidR="009205B2">
        <w:lastRenderedPageBreak/>
        <w:t>(RBWH)</w:t>
      </w:r>
      <w:r w:rsidR="009205B2">
        <w:rPr>
          <w:rStyle w:val="FootnoteReference"/>
        </w:rPr>
        <w:footnoteReference w:id="3"/>
      </w:r>
      <w:r>
        <w:t xml:space="preserve">, consisting of 123 patients </w:t>
      </w:r>
      <w:r w:rsidR="00440741">
        <w:t xml:space="preserve">with </w:t>
      </w:r>
      <w:r>
        <w:t xml:space="preserve">a median follow up of 51 months. </w:t>
      </w:r>
      <w:r w:rsidR="00D0233F">
        <w:t>The second study</w:t>
      </w:r>
      <w:r w:rsidR="00BA48AF">
        <w:t xml:space="preserve"> was the</w:t>
      </w:r>
      <w:r w:rsidR="005763A0">
        <w:t xml:space="preserve"> </w:t>
      </w:r>
      <w:r>
        <w:t>CONTROL</w:t>
      </w:r>
      <w:r w:rsidR="00625994">
        <w:t xml:space="preserve"> </w:t>
      </w:r>
      <w:r>
        <w:t>NET</w:t>
      </w:r>
      <w:r w:rsidR="00EA5CBB">
        <w:t>S</w:t>
      </w:r>
      <w:r>
        <w:t xml:space="preserve"> </w:t>
      </w:r>
      <w:r w:rsidR="005763A0">
        <w:t xml:space="preserve">trial which </w:t>
      </w:r>
      <w:r>
        <w:t>us</w:t>
      </w:r>
      <w:r w:rsidR="005763A0">
        <w:t>ed</w:t>
      </w:r>
      <w:r>
        <w:t xml:space="preserve"> the </w:t>
      </w:r>
      <w:proofErr w:type="spellStart"/>
      <w:r>
        <w:t>nca</w:t>
      </w:r>
      <w:proofErr w:type="spellEnd"/>
      <w:r>
        <w:t xml:space="preserve"> produc</w:t>
      </w:r>
      <w:r w:rsidR="00962172">
        <w:t>t</w:t>
      </w:r>
      <w:r w:rsidR="00431C7A">
        <w:t xml:space="preserve">, </w:t>
      </w:r>
      <w:r w:rsidR="00431C7A" w:rsidRPr="00852103">
        <w:rPr>
          <w:vertAlign w:val="superscript"/>
        </w:rPr>
        <w:t>177</w:t>
      </w:r>
      <w:r w:rsidR="00431C7A" w:rsidRPr="00431C7A">
        <w:t>Lu</w:t>
      </w:r>
      <w:r w:rsidR="00540BA8">
        <w:t>-</w:t>
      </w:r>
      <w:r w:rsidR="00431C7A" w:rsidRPr="00431C7A">
        <w:t xml:space="preserve"> </w:t>
      </w:r>
      <w:proofErr w:type="spellStart"/>
      <w:r w:rsidR="00431C7A" w:rsidRPr="00431C7A">
        <w:t>Octreotate</w:t>
      </w:r>
      <w:proofErr w:type="spellEnd"/>
      <w:r w:rsidR="00431C7A" w:rsidRPr="00431C7A">
        <w:t xml:space="preserve"> </w:t>
      </w:r>
      <w:r w:rsidR="00431C7A">
        <w:t>[</w:t>
      </w:r>
      <w:proofErr w:type="spellStart"/>
      <w:r w:rsidR="00431C7A" w:rsidRPr="00431C7A">
        <w:t>Lutate</w:t>
      </w:r>
      <w:proofErr w:type="spellEnd"/>
      <w:r w:rsidR="00431C7A">
        <w:t>]</w:t>
      </w:r>
      <w:r>
        <w:t>.</w:t>
      </w:r>
    </w:p>
    <w:p w14:paraId="0EA432C5" w14:textId="190E0B96" w:rsidR="00245347" w:rsidRDefault="00AB7093" w:rsidP="0093656D">
      <w:r>
        <w:t xml:space="preserve">MSAC noted that </w:t>
      </w:r>
      <w:r>
        <w:rPr>
          <w:rFonts w:eastAsia="Calibri" w:cs="Times New Roman"/>
        </w:rPr>
        <w:t xml:space="preserve">a claim of </w:t>
      </w:r>
      <w:r w:rsidR="004A7E51">
        <w:rPr>
          <w:rFonts w:eastAsia="Calibri" w:cs="Times New Roman"/>
        </w:rPr>
        <w:t>non-inferior</w:t>
      </w:r>
      <w:r>
        <w:rPr>
          <w:rFonts w:eastAsia="Calibri" w:cs="Times New Roman"/>
        </w:rPr>
        <w:t xml:space="preserve">ity needs to be accepted </w:t>
      </w:r>
      <w:proofErr w:type="gramStart"/>
      <w:r>
        <w:rPr>
          <w:rFonts w:eastAsia="Calibri" w:cs="Times New Roman"/>
        </w:rPr>
        <w:t>in order for</w:t>
      </w:r>
      <w:proofErr w:type="gramEnd"/>
      <w:r>
        <w:rPr>
          <w:rFonts w:eastAsia="Calibri" w:cs="Times New Roman"/>
        </w:rPr>
        <w:t xml:space="preserve"> the evidence for the </w:t>
      </w:r>
      <w:proofErr w:type="spellStart"/>
      <w:r w:rsidRPr="00B84E88">
        <w:rPr>
          <w:iCs/>
        </w:rPr>
        <w:t>Lutathera</w:t>
      </w:r>
      <w:proofErr w:type="spellEnd"/>
      <w:r w:rsidRPr="00B84E88">
        <w:rPr>
          <w:iCs/>
        </w:rPr>
        <w:t>® product (</w:t>
      </w:r>
      <w:r w:rsidRPr="00B84E88">
        <w:rPr>
          <w:iCs/>
          <w:vertAlign w:val="superscript"/>
        </w:rPr>
        <w:t>177</w:t>
      </w:r>
      <w:r w:rsidRPr="00B84E88">
        <w:rPr>
          <w:iCs/>
        </w:rPr>
        <w:t>Lu-DOTATATE; unspecified, used in the NETTER-1 trial)</w:t>
      </w:r>
      <w:r w:rsidRPr="00CD41F4">
        <w:rPr>
          <w:iCs/>
        </w:rPr>
        <w:t>,</w:t>
      </w:r>
      <w:r>
        <w:t xml:space="preserve"> </w:t>
      </w:r>
      <w:r>
        <w:rPr>
          <w:rFonts w:eastAsia="Calibri" w:cs="Times New Roman"/>
        </w:rPr>
        <w:t xml:space="preserve">to be considered relevant for </w:t>
      </w:r>
      <w:r w:rsidR="0015213C" w:rsidRPr="00852103">
        <w:rPr>
          <w:rFonts w:eastAsia="Calibri" w:cs="Times New Roman"/>
        </w:rPr>
        <w:t xml:space="preserve">the </w:t>
      </w:r>
      <w:r w:rsidR="0015213C">
        <w:t>applicant’s product (</w:t>
      </w:r>
      <w:r w:rsidR="0015213C" w:rsidRPr="007A7786">
        <w:rPr>
          <w:vertAlign w:val="superscript"/>
        </w:rPr>
        <w:t>177</w:t>
      </w:r>
      <w:r w:rsidR="0015213C">
        <w:t xml:space="preserve">Lu-DOTA-octreotate) </w:t>
      </w:r>
      <w:r>
        <w:rPr>
          <w:rFonts w:eastAsia="Calibri" w:cs="Times New Roman"/>
        </w:rPr>
        <w:t xml:space="preserve">or other </w:t>
      </w:r>
      <w:r w:rsidRPr="00852103">
        <w:rPr>
          <w:rFonts w:eastAsia="Calibri" w:cs="Times New Roman"/>
          <w:vertAlign w:val="superscript"/>
        </w:rPr>
        <w:t>177</w:t>
      </w:r>
      <w:r>
        <w:rPr>
          <w:rFonts w:eastAsia="Calibri" w:cs="Times New Roman"/>
        </w:rPr>
        <w:t>Lu </w:t>
      </w:r>
      <w:r w:rsidR="0015213C">
        <w:rPr>
          <w:rFonts w:eastAsia="Calibri" w:cs="Times New Roman"/>
        </w:rPr>
        <w:t>PRRT</w:t>
      </w:r>
      <w:r>
        <w:rPr>
          <w:rFonts w:eastAsia="Calibri" w:cs="Times New Roman"/>
        </w:rPr>
        <w:t xml:space="preserve"> product</w:t>
      </w:r>
      <w:r w:rsidR="004E16C1">
        <w:rPr>
          <w:rFonts w:eastAsia="Calibri" w:cs="Times New Roman"/>
        </w:rPr>
        <w:t>s</w:t>
      </w:r>
      <w:r w:rsidR="0072517F">
        <w:rPr>
          <w:rFonts w:eastAsia="Calibri" w:cs="Times New Roman"/>
        </w:rPr>
        <w:t>,</w:t>
      </w:r>
      <w:r>
        <w:rPr>
          <w:rFonts w:eastAsia="Calibri" w:cs="Times New Roman"/>
        </w:rPr>
        <w:t xml:space="preserve"> and for subsequent acceptance of the results of the modelled economic evaluation. </w:t>
      </w:r>
      <w:r w:rsidR="002D5D00">
        <w:t>MSAC considered that a</w:t>
      </w:r>
      <w:r w:rsidR="00245347">
        <w:t xml:space="preserve"> significant </w:t>
      </w:r>
      <w:r w:rsidR="00626139">
        <w:t>limitation</w:t>
      </w:r>
      <w:r w:rsidR="00581330">
        <w:t xml:space="preserve"> </w:t>
      </w:r>
      <w:r w:rsidR="008F61BF">
        <w:t>wa</w:t>
      </w:r>
      <w:r w:rsidR="006D5A48">
        <w:t xml:space="preserve">s </w:t>
      </w:r>
      <w:r w:rsidR="00581330">
        <w:t xml:space="preserve">that available data regarding the </w:t>
      </w:r>
      <w:r w:rsidR="00626139">
        <w:t>safety and efficacy of the applicant’s product</w:t>
      </w:r>
      <w:r w:rsidR="007426E0">
        <w:t xml:space="preserve"> (</w:t>
      </w:r>
      <w:r w:rsidR="007426E0" w:rsidRPr="007A7786">
        <w:rPr>
          <w:vertAlign w:val="superscript"/>
        </w:rPr>
        <w:t>177</w:t>
      </w:r>
      <w:r w:rsidR="007426E0">
        <w:t>Lu-DOTA-octreotate)</w:t>
      </w:r>
      <w:r w:rsidR="00626139">
        <w:t xml:space="preserve"> was n</w:t>
      </w:r>
      <w:r w:rsidR="007426E0">
        <w:t>ot assessed in the DCAR</w:t>
      </w:r>
      <w:r w:rsidR="00EE7198">
        <w:t>,</w:t>
      </w:r>
      <w:r w:rsidR="007426E0">
        <w:t xml:space="preserve"> including to inform the claim of </w:t>
      </w:r>
      <w:r w:rsidR="004A7E51">
        <w:t>non-inferior</w:t>
      </w:r>
      <w:r w:rsidR="007426E0">
        <w:t xml:space="preserve">ity </w:t>
      </w:r>
      <w:r w:rsidR="00641164">
        <w:t xml:space="preserve">of </w:t>
      </w:r>
      <w:r w:rsidR="00641164" w:rsidRPr="007A7786">
        <w:rPr>
          <w:vertAlign w:val="superscript"/>
        </w:rPr>
        <w:t>177</w:t>
      </w:r>
      <w:r w:rsidR="00641164">
        <w:t xml:space="preserve">Lu-DOTA-octreotate versus </w:t>
      </w:r>
      <w:r w:rsidR="00CD41F4" w:rsidRPr="00852103">
        <w:rPr>
          <w:iCs/>
          <w:vertAlign w:val="superscript"/>
        </w:rPr>
        <w:t>177</w:t>
      </w:r>
      <w:r w:rsidR="00CD41F4" w:rsidRPr="00852103">
        <w:rPr>
          <w:iCs/>
        </w:rPr>
        <w:t>Lu-DOTATATE</w:t>
      </w:r>
      <w:r w:rsidR="00AC797B">
        <w:rPr>
          <w:iCs/>
        </w:rPr>
        <w:t>. However,</w:t>
      </w:r>
      <w:r w:rsidR="00245347">
        <w:t xml:space="preserve"> MSAC</w:t>
      </w:r>
      <w:r w:rsidR="005841DF">
        <w:t xml:space="preserve"> assessed </w:t>
      </w:r>
      <w:r w:rsidR="00012C2A">
        <w:t xml:space="preserve">the </w:t>
      </w:r>
      <w:r w:rsidR="00A83004">
        <w:t>comparative</w:t>
      </w:r>
      <w:r w:rsidR="00245347">
        <w:t xml:space="preserve"> safety and effectiveness </w:t>
      </w:r>
      <w:r w:rsidR="00A06CB7">
        <w:t>of</w:t>
      </w:r>
      <w:r w:rsidR="000C248C">
        <w:t xml:space="preserve"> </w:t>
      </w:r>
      <w:r w:rsidR="000C248C" w:rsidRPr="005C0139">
        <w:rPr>
          <w:vertAlign w:val="superscript"/>
        </w:rPr>
        <w:t>177</w:t>
      </w:r>
      <w:r w:rsidR="000C248C">
        <w:t>Lu-DOTATAT</w:t>
      </w:r>
      <w:r w:rsidR="00BD1CA8">
        <w:t xml:space="preserve">E and left for </w:t>
      </w:r>
      <w:r w:rsidR="00AD3A3C">
        <w:t>later</w:t>
      </w:r>
      <w:r w:rsidR="00BD1CA8">
        <w:t xml:space="preserve"> consideration (as discussed below)</w:t>
      </w:r>
      <w:r w:rsidR="00AD3A3C">
        <w:t xml:space="preserve">, the </w:t>
      </w:r>
      <w:r w:rsidR="00B540C9">
        <w:t xml:space="preserve">implications </w:t>
      </w:r>
      <w:r w:rsidR="00AD3A3C">
        <w:t xml:space="preserve">of this evidence </w:t>
      </w:r>
      <w:r w:rsidR="00B540C9">
        <w:t xml:space="preserve">for the </w:t>
      </w:r>
      <w:r w:rsidR="00A35D1B">
        <w:t>clinical safety and effectiveness</w:t>
      </w:r>
      <w:r w:rsidR="00A06CB7">
        <w:t xml:space="preserve"> and cost effectiveness</w:t>
      </w:r>
      <w:r w:rsidR="00A35D1B">
        <w:t xml:space="preserve"> of </w:t>
      </w:r>
      <w:r w:rsidR="00500947" w:rsidRPr="007A7786">
        <w:rPr>
          <w:vertAlign w:val="superscript"/>
        </w:rPr>
        <w:t>177</w:t>
      </w:r>
      <w:r w:rsidR="00500947">
        <w:t>Lu-DOTA-octreotate</w:t>
      </w:r>
      <w:r w:rsidR="00CA1862">
        <w:t>.</w:t>
      </w:r>
    </w:p>
    <w:p w14:paraId="03A633B6" w14:textId="0EA221F6" w:rsidR="009D5FD9" w:rsidRDefault="009D5FD9" w:rsidP="009D5FD9">
      <w:r>
        <w:t xml:space="preserve">Regarding </w:t>
      </w:r>
      <w:r w:rsidR="005F0E17">
        <w:t>comparative</w:t>
      </w:r>
      <w:r>
        <w:t xml:space="preserve"> safety, MSAC noted that a high number of patients (all pooled proportions and across all studies) experienced AEs, but the rates of serious AEs (SAEs) varied across treatments (including the comparators). The rates of SAEs for octreotide + everolimus (59%) were more than double those for </w:t>
      </w:r>
      <w:r w:rsidRPr="005C0139">
        <w:rPr>
          <w:vertAlign w:val="superscript"/>
        </w:rPr>
        <w:t>177</w:t>
      </w:r>
      <w:r>
        <w:t>Lu-DOTATATE (26%). The frequency of SAEs was no worse with PRRT treatment than other comparator treatments. The long-term side effects of PRRT included myelodysplastic syndrome, occurring in 2% (</w:t>
      </w:r>
      <w:r>
        <w:rPr>
          <w:i/>
          <w:iCs/>
        </w:rPr>
        <w:t>n</w:t>
      </w:r>
      <w:r>
        <w:t xml:space="preserve"> = 2) of patients in the NETTER-1 key pivotal trial. Limited evidence was presented demonstrating that </w:t>
      </w:r>
      <w:r w:rsidRPr="005C0139">
        <w:rPr>
          <w:vertAlign w:val="superscript"/>
        </w:rPr>
        <w:t>177</w:t>
      </w:r>
      <w:r>
        <w:t>Lu-DOTATATE had:</w:t>
      </w:r>
    </w:p>
    <w:p w14:paraId="1A1A85C4" w14:textId="34EF45C1" w:rsidR="009D5FD9" w:rsidRDefault="009D5FD9" w:rsidP="009D5FD9">
      <w:pPr>
        <w:pStyle w:val="ListParagraph"/>
        <w:numPr>
          <w:ilvl w:val="0"/>
          <w:numId w:val="32"/>
        </w:numPr>
        <w:spacing w:before="0" w:after="0" w:line="240" w:lineRule="auto"/>
      </w:pPr>
      <w:r>
        <w:t xml:space="preserve">non-inferior safety compared with octreotide monotherapy, everolimus monotherapy, sunitinib, lanreotide </w:t>
      </w:r>
      <w:r w:rsidR="008E1D2A">
        <w:t xml:space="preserve">or </w:t>
      </w:r>
      <w:r>
        <w:t>placebo/BSC</w:t>
      </w:r>
    </w:p>
    <w:p w14:paraId="068A6FF9" w14:textId="77777777" w:rsidR="009D5FD9" w:rsidRDefault="009D5FD9" w:rsidP="00353770">
      <w:pPr>
        <w:pStyle w:val="ListParagraph"/>
        <w:numPr>
          <w:ilvl w:val="0"/>
          <w:numId w:val="32"/>
        </w:numPr>
        <w:spacing w:before="0" w:after="240" w:line="240" w:lineRule="auto"/>
        <w:ind w:left="714" w:hanging="357"/>
        <w:contextualSpacing w:val="0"/>
      </w:pPr>
      <w:r>
        <w:t>superior safety compared to octreotide + everolimus combination therapy.</w:t>
      </w:r>
    </w:p>
    <w:p w14:paraId="07F646AD" w14:textId="7122C217" w:rsidR="009D5FD9" w:rsidRPr="00882BA2" w:rsidRDefault="009D5FD9" w:rsidP="009D5FD9">
      <w:r>
        <w:t xml:space="preserve">MSAC noted that </w:t>
      </w:r>
      <w:r w:rsidR="008E1D2A" w:rsidRPr="005C0139">
        <w:rPr>
          <w:vertAlign w:val="superscript"/>
        </w:rPr>
        <w:t>177</w:t>
      </w:r>
      <w:r w:rsidR="008E1D2A">
        <w:t>Lu-DOTATATE</w:t>
      </w:r>
      <w:r>
        <w:t xml:space="preserve"> is a specialised form of therapy using unsealed radiopharmaceuticals, which are longer-acting beta-emitters</w:t>
      </w:r>
      <w:r w:rsidR="002936DF">
        <w:t>. Consequently</w:t>
      </w:r>
      <w:r>
        <w:t xml:space="preserve">, </w:t>
      </w:r>
      <w:r w:rsidR="002936DF">
        <w:t>the therapy</w:t>
      </w:r>
      <w:r>
        <w:t xml:space="preserve"> carries risks to the patient, and to a lesser extent, staff, carers and other members of the community, as well as the environment (waste disposal). There is also a small risk of carcinoid crises during </w:t>
      </w:r>
      <w:r w:rsidRPr="005C0139">
        <w:rPr>
          <w:vertAlign w:val="superscript"/>
        </w:rPr>
        <w:t>177</w:t>
      </w:r>
      <w:r>
        <w:t xml:space="preserve">Lu-DOTATATE therapy. However, MSAC considered that these risks can be mitigated if therapy is administered in appropriately equipped centres </w:t>
      </w:r>
      <w:r w:rsidR="002936DF">
        <w:t xml:space="preserve">with resuscitation capacity </w:t>
      </w:r>
      <w:r w:rsidR="00DE5609">
        <w:t xml:space="preserve">and </w:t>
      </w:r>
      <w:r>
        <w:t xml:space="preserve">with appropriately trained supervision. </w:t>
      </w:r>
      <w:r w:rsidR="00DE5609">
        <w:t>MSAC noted that a</w:t>
      </w:r>
      <w:r>
        <w:t xml:space="preserve"> NEN multidisciplinary team </w:t>
      </w:r>
      <w:r w:rsidR="00DE5609">
        <w:t xml:space="preserve">is </w:t>
      </w:r>
      <w:r>
        <w:t>need</w:t>
      </w:r>
      <w:r w:rsidR="00DE5609">
        <w:t>ed</w:t>
      </w:r>
      <w:r>
        <w:t xml:space="preserve"> to advise on management of therapy on a case-by-case basis.</w:t>
      </w:r>
    </w:p>
    <w:p w14:paraId="0E021C90" w14:textId="7ACAC0B0" w:rsidR="009D5FD9" w:rsidRDefault="009D5FD9" w:rsidP="009D5FD9">
      <w:r>
        <w:t xml:space="preserve">MSAC noted that comparative effectiveness evidence against </w:t>
      </w:r>
      <w:r w:rsidRPr="005C0139">
        <w:rPr>
          <w:vertAlign w:val="superscript"/>
        </w:rPr>
        <w:t>177</w:t>
      </w:r>
      <w:r>
        <w:t xml:space="preserve">Lu-DOTATATE was only found for two comparator treatments (octreotide and sunitinib). A network meta-analysis (NMA) was conducted to generate </w:t>
      </w:r>
      <w:r w:rsidR="00944653">
        <w:t xml:space="preserve">indirect </w:t>
      </w:r>
      <w:r>
        <w:t xml:space="preserve">evidence. Based on the NMA, </w:t>
      </w:r>
      <w:r w:rsidRPr="005C0139">
        <w:rPr>
          <w:vertAlign w:val="superscript"/>
        </w:rPr>
        <w:t>177</w:t>
      </w:r>
      <w:r>
        <w:t>Lu-DOTATATE was associated with:</w:t>
      </w:r>
    </w:p>
    <w:p w14:paraId="020E7F42" w14:textId="5D7CE237" w:rsidR="009D5FD9" w:rsidRDefault="009D5FD9" w:rsidP="009D5FD9">
      <w:pPr>
        <w:pStyle w:val="ListParagraph"/>
        <w:numPr>
          <w:ilvl w:val="0"/>
          <w:numId w:val="34"/>
        </w:numPr>
        <w:spacing w:before="0" w:after="0" w:line="240" w:lineRule="auto"/>
      </w:pPr>
      <w:r>
        <w:t xml:space="preserve">statistically significant improvements in progression-free survival (PFS) </w:t>
      </w:r>
      <w:r w:rsidR="00B91278">
        <w:t>versus</w:t>
      </w:r>
      <w:r>
        <w:t xml:space="preserve"> all examined comparators (however, this was based on indirect evidence)</w:t>
      </w:r>
    </w:p>
    <w:p w14:paraId="0134AA46" w14:textId="16BBFFCE" w:rsidR="009D5FD9" w:rsidRDefault="009D5FD9" w:rsidP="009D5FD9">
      <w:pPr>
        <w:pStyle w:val="ListParagraph"/>
        <w:numPr>
          <w:ilvl w:val="0"/>
          <w:numId w:val="34"/>
        </w:numPr>
        <w:spacing w:before="0" w:after="0" w:line="240" w:lineRule="auto"/>
      </w:pPr>
      <w:r>
        <w:t xml:space="preserve">non-significant improvement (i.e. no evidence of change) in overall survival (OS) compared to four comparators, </w:t>
      </w:r>
      <w:r w:rsidR="004F3B9C">
        <w:t xml:space="preserve">and inferior improvement compared </w:t>
      </w:r>
      <w:r w:rsidR="00B91278">
        <w:t>with</w:t>
      </w:r>
      <w:r>
        <w:t xml:space="preserve"> sunitinib.</w:t>
      </w:r>
    </w:p>
    <w:p w14:paraId="5C74E1BF" w14:textId="77777777" w:rsidR="009D5FD9" w:rsidRDefault="009D5FD9" w:rsidP="009D5FD9">
      <w:r>
        <w:t>However, MSAC noted that there were significant transitivity issues with the NMA that made the findings highly uncertain, including:</w:t>
      </w:r>
    </w:p>
    <w:p w14:paraId="0B055492" w14:textId="30C2926C" w:rsidR="009D5FD9" w:rsidRDefault="009D5FD9" w:rsidP="009D5FD9">
      <w:pPr>
        <w:pStyle w:val="ListParagraph"/>
        <w:numPr>
          <w:ilvl w:val="0"/>
          <w:numId w:val="33"/>
        </w:numPr>
        <w:spacing w:before="0" w:after="0" w:line="240" w:lineRule="auto"/>
      </w:pPr>
      <w:r>
        <w:t>only one o</w:t>
      </w:r>
      <w:r w:rsidR="00B4354F">
        <w:t xml:space="preserve">f </w:t>
      </w:r>
      <w:r>
        <w:t>two trials informed each pairwise connection, resulting in imprecision</w:t>
      </w:r>
    </w:p>
    <w:p w14:paraId="668A12E5" w14:textId="77777777" w:rsidR="009D5FD9" w:rsidRDefault="009D5FD9" w:rsidP="009D5FD9">
      <w:pPr>
        <w:pStyle w:val="ListParagraph"/>
        <w:numPr>
          <w:ilvl w:val="0"/>
          <w:numId w:val="33"/>
        </w:numPr>
        <w:spacing w:before="0" w:after="0" w:line="240" w:lineRule="auto"/>
      </w:pPr>
      <w:r>
        <w:t>the key assumption of similarity and transitivity was breached</w:t>
      </w:r>
    </w:p>
    <w:p w14:paraId="5A03BB53" w14:textId="425BB11E" w:rsidR="009D5FD9" w:rsidRDefault="009D5FD9" w:rsidP="009D5FD9">
      <w:pPr>
        <w:pStyle w:val="ListParagraph"/>
        <w:numPr>
          <w:ilvl w:val="0"/>
          <w:numId w:val="33"/>
        </w:numPr>
        <w:spacing w:before="0" w:after="0" w:line="240" w:lineRule="auto"/>
      </w:pPr>
      <w:r>
        <w:lastRenderedPageBreak/>
        <w:t>there were methodological issues associated with the individual studies, resulting in selection and measurement bias</w:t>
      </w:r>
      <w:r w:rsidDel="00417AFE">
        <w:t xml:space="preserve"> </w:t>
      </w:r>
      <w:r>
        <w:t xml:space="preserve">in individual studies, </w:t>
      </w:r>
      <w:r w:rsidR="00DC6E1E">
        <w:t>with</w:t>
      </w:r>
      <w:r w:rsidR="003A69F6">
        <w:t xml:space="preserve"> an unknown magnitude or</w:t>
      </w:r>
      <w:r w:rsidR="00D04433">
        <w:t xml:space="preserve"> </w:t>
      </w:r>
      <w:r>
        <w:t>direction of the biases</w:t>
      </w:r>
      <w:r w:rsidR="008C3910">
        <w:t>.</w:t>
      </w:r>
    </w:p>
    <w:p w14:paraId="5C363AB7" w14:textId="77777777" w:rsidR="009D5FD9" w:rsidRDefault="009D5FD9" w:rsidP="009D5FD9">
      <w:r>
        <w:t>MSAC noted that the transitivity and potential biases associated with the indirect treatment comparisons resulted in inconsistency between OS and PFS results across comparators. The uncertainty in the indirect evidence of comparative effectiveness had flow-on effects to the reliability of the inputs used in the economic model.</w:t>
      </w:r>
    </w:p>
    <w:p w14:paraId="0BA607CF" w14:textId="0865BD74" w:rsidR="00C561D7" w:rsidRDefault="00C561D7" w:rsidP="00C561D7">
      <w:r>
        <w:t>MSAC noted that the economic evaluation was a cost-utility analysis considering lifetime quality-adjusted life years (QALYs) and healthcare costs. It used a partitioned survival approach, which MSAC considered appropriate. MSAC also considered the model structure to be reasonable. However, the model relie</w:t>
      </w:r>
      <w:r w:rsidR="002113E7">
        <w:t>d</w:t>
      </w:r>
      <w:r>
        <w:t xml:space="preserve"> on acceptance of the clinical evaluation assuming efficacy and safety of </w:t>
      </w:r>
      <w:r w:rsidRPr="007A7786">
        <w:rPr>
          <w:vertAlign w:val="superscript"/>
        </w:rPr>
        <w:t>177</w:t>
      </w:r>
      <w:r>
        <w:t xml:space="preserve">Lu-DOTA-octreotate is </w:t>
      </w:r>
      <w:r w:rsidR="004A7E51">
        <w:t>non-inferior</w:t>
      </w:r>
      <w:r>
        <w:t xml:space="preserve"> to </w:t>
      </w:r>
      <w:r w:rsidRPr="005C0139">
        <w:rPr>
          <w:vertAlign w:val="superscript"/>
        </w:rPr>
        <w:t>177</w:t>
      </w:r>
      <w:r>
        <w:t xml:space="preserve">Lu-DOTATATE, as well as acceptance of the results of the NMA. The economic evaluation used </w:t>
      </w:r>
      <w:r w:rsidRPr="007A7786">
        <w:rPr>
          <w:vertAlign w:val="superscript"/>
        </w:rPr>
        <w:t>177</w:t>
      </w:r>
      <w:r>
        <w:t>Lu-DOTA-octreotate as a first-line treatment against the six comparators, but MSAC considered it is more likely to be used as a second-line treatment in clinical practice.</w:t>
      </w:r>
    </w:p>
    <w:p w14:paraId="7B86482B" w14:textId="5137840C" w:rsidR="00C561D7" w:rsidRDefault="00C561D7" w:rsidP="00C561D7">
      <w:r>
        <w:t xml:space="preserve">MSAC noted that the incremental cost-effectiveness ratio (ICER) was highly uncertain and variable against the comparators. However, ICERs were &lt;$50,000 (most &lt;$35,000) per QALY for </w:t>
      </w:r>
      <w:proofErr w:type="gramStart"/>
      <w:r w:rsidR="00067EA6">
        <w:t>the majority of</w:t>
      </w:r>
      <w:proofErr w:type="gramEnd"/>
      <w:r w:rsidR="00D04433">
        <w:t xml:space="preserve"> </w:t>
      </w:r>
      <w:r>
        <w:t xml:space="preserve">modelled scenarios, which is in the range </w:t>
      </w:r>
      <w:r w:rsidR="00A150B4">
        <w:t>typically considered acceptable by</w:t>
      </w:r>
      <w:r w:rsidR="00D04433">
        <w:t xml:space="preserve"> </w:t>
      </w:r>
      <w:r>
        <w:t xml:space="preserve">MSAC. One scenario showed </w:t>
      </w:r>
      <w:r w:rsidRPr="00577B88">
        <w:rPr>
          <w:vertAlign w:val="superscript"/>
        </w:rPr>
        <w:t>177</w:t>
      </w:r>
      <w:r w:rsidRPr="00577B88">
        <w:t xml:space="preserve">Lu-DOTATATE </w:t>
      </w:r>
      <w:r>
        <w:t xml:space="preserve">to be dominated by sunitinib, which MSAC considered surprising from a clinical perspective as there is a lack of evidence that sunitinib prolongs OS in small bowel NENs; MSAC noted that the DCAR model appeared to have applied the same sunitinib efficacy to all NENs, overestimating likely response. Additionally, MSAC noted that the only head-to-head trial of sunitinib vs </w:t>
      </w:r>
      <w:r w:rsidRPr="005C0139">
        <w:rPr>
          <w:vertAlign w:val="superscript"/>
        </w:rPr>
        <w:t>177</w:t>
      </w:r>
      <w:r>
        <w:t>Lu-DOTATATE (</w:t>
      </w:r>
      <w:hyperlink r:id="rId13" w:history="1">
        <w:r w:rsidRPr="00886BD8">
          <w:rPr>
            <w:rStyle w:val="Hyperlink"/>
          </w:rPr>
          <w:t>OCCLURANDOM</w:t>
        </w:r>
      </w:hyperlink>
      <w:r>
        <w:t xml:space="preserve">) showed that </w:t>
      </w:r>
      <w:r w:rsidRPr="005C0139">
        <w:rPr>
          <w:vertAlign w:val="superscript"/>
        </w:rPr>
        <w:t>177</w:t>
      </w:r>
      <w:r>
        <w:t xml:space="preserve">Lu-DOTATATE had better PFS and fewer AEs. MSAC also questioned the conclusion that domination by sunitinib </w:t>
      </w:r>
      <w:r w:rsidR="00B85F69">
        <w:t>wa</w:t>
      </w:r>
      <w:r>
        <w:t xml:space="preserve">s related to better OS, as OS was not yet reported in the OCCLURANDOM trials; in recent published abstracts, there was only one death and that was in the sunitinib arm. </w:t>
      </w:r>
      <w:proofErr w:type="gramStart"/>
      <w:r w:rsidR="001A74EE">
        <w:t>However</w:t>
      </w:r>
      <w:proofErr w:type="gramEnd"/>
      <w:r w:rsidR="001A74EE">
        <w:t xml:space="preserve"> despite these limitations</w:t>
      </w:r>
      <w:r>
        <w:t xml:space="preserve">, MSAC considered that, due to the </w:t>
      </w:r>
      <w:r w:rsidR="001A74EE">
        <w:t xml:space="preserve">complexity of the clinical presentation of NENs and the </w:t>
      </w:r>
      <w:r w:rsidR="00E55988">
        <w:t xml:space="preserve">low </w:t>
      </w:r>
      <w:r>
        <w:t xml:space="preserve">likelihood of better-quality RCT evidence to reduce the uncertainty of the economic analysis, the current model is sufficient </w:t>
      </w:r>
      <w:r w:rsidR="00681526">
        <w:t>for exploring the likely</w:t>
      </w:r>
      <w:r>
        <w:t xml:space="preserve"> cost-effectiveness</w:t>
      </w:r>
      <w:r w:rsidR="00681526">
        <w:t xml:space="preserve"> of therapy with</w:t>
      </w:r>
      <w:r w:rsidR="00344123">
        <w:t xml:space="preserve"> </w:t>
      </w:r>
      <w:r w:rsidR="00344123" w:rsidRPr="00734D83">
        <w:rPr>
          <w:rFonts w:cs="Segoe UI"/>
          <w:vertAlign w:val="superscript"/>
        </w:rPr>
        <w:t>177</w:t>
      </w:r>
      <w:r w:rsidR="00344123" w:rsidRPr="00734D83">
        <w:rPr>
          <w:rFonts w:cs="Segoe UI"/>
        </w:rPr>
        <w:t>Lu-</w:t>
      </w:r>
      <w:r w:rsidR="00344123" w:rsidRPr="00982CA4">
        <w:rPr>
          <w:rFonts w:cs="Segoe UI"/>
        </w:rPr>
        <w:t>DOTA-octreotate</w:t>
      </w:r>
      <w:r w:rsidR="00344123">
        <w:rPr>
          <w:rFonts w:cs="Segoe UI"/>
        </w:rPr>
        <w:t xml:space="preserve"> (assuming </w:t>
      </w:r>
      <w:r w:rsidR="004A7E51">
        <w:rPr>
          <w:rFonts w:cs="Segoe UI"/>
        </w:rPr>
        <w:t>non-inferior</w:t>
      </w:r>
      <w:r w:rsidR="0066377F">
        <w:rPr>
          <w:rFonts w:cs="Segoe UI"/>
        </w:rPr>
        <w:t>ity between</w:t>
      </w:r>
      <w:r w:rsidR="00C00CDF">
        <w:rPr>
          <w:rFonts w:cs="Segoe UI"/>
        </w:rPr>
        <w:t xml:space="preserve"> the applicant’s product and</w:t>
      </w:r>
      <w:r w:rsidR="00344123">
        <w:rPr>
          <w:vertAlign w:val="superscript"/>
        </w:rPr>
        <w:t xml:space="preserve"> </w:t>
      </w:r>
      <w:r w:rsidR="00681526" w:rsidRPr="005C0139">
        <w:rPr>
          <w:vertAlign w:val="superscript"/>
        </w:rPr>
        <w:t>177</w:t>
      </w:r>
      <w:r w:rsidR="00681526">
        <w:t>Lu-DOTATATE</w:t>
      </w:r>
      <w:r w:rsidR="00C00CDF">
        <w:t>)</w:t>
      </w:r>
      <w:r>
        <w:t>, and the ICERs appear acceptable.</w:t>
      </w:r>
    </w:p>
    <w:p w14:paraId="698B8DC2" w14:textId="77777777" w:rsidR="00C561D7" w:rsidRDefault="00C561D7" w:rsidP="00C561D7">
      <w:r>
        <w:t>The key drivers of the model were the comparative effectiveness relative to the six comparators (high impact), the choice of the health state utility values (high impact) and the choice of the parametric distribution for PFS and OS (moderate impact).</w:t>
      </w:r>
    </w:p>
    <w:p w14:paraId="29CA3A4C" w14:textId="77777777" w:rsidR="00C561D7" w:rsidRDefault="00C561D7" w:rsidP="00C561D7">
      <w:r>
        <w:t>MSAC noted that additional scenarios requested by ESC were included in the addendum. These were:</w:t>
      </w:r>
    </w:p>
    <w:p w14:paraId="4E2B41E3" w14:textId="77777777" w:rsidR="00C561D7" w:rsidRDefault="00C561D7" w:rsidP="00C561D7">
      <w:pPr>
        <w:pStyle w:val="ListParagraph"/>
        <w:numPr>
          <w:ilvl w:val="0"/>
          <w:numId w:val="35"/>
        </w:numPr>
        <w:spacing w:before="0" w:after="0" w:line="240" w:lineRule="auto"/>
      </w:pPr>
      <w:r>
        <w:t>converting the base case from average time on treatment based on 3.5 administrations to time based on dosing regimen in the NETTER-1 trial (4 infusions at 1 infusion every 8 weeks)</w:t>
      </w:r>
    </w:p>
    <w:p w14:paraId="6C8B77DB" w14:textId="77777777" w:rsidR="00C561D7" w:rsidRDefault="00C561D7" w:rsidP="00C561D7">
      <w:pPr>
        <w:pStyle w:val="ListParagraph"/>
        <w:numPr>
          <w:ilvl w:val="0"/>
          <w:numId w:val="35"/>
        </w:numPr>
        <w:spacing w:before="0" w:after="0" w:line="240" w:lineRule="auto"/>
      </w:pPr>
      <w:r>
        <w:t>including a scenario of 4 cycles over 8 months, which may be more realistic due to treatment being unrestricted</w:t>
      </w:r>
    </w:p>
    <w:p w14:paraId="3D81F6F5" w14:textId="77777777" w:rsidR="00C561D7" w:rsidRDefault="00C561D7" w:rsidP="00C561D7">
      <w:pPr>
        <w:pStyle w:val="ListParagraph"/>
        <w:numPr>
          <w:ilvl w:val="0"/>
          <w:numId w:val="35"/>
        </w:numPr>
        <w:spacing w:before="0" w:after="0" w:line="240" w:lineRule="auto"/>
      </w:pPr>
      <w:r>
        <w:t>including an additional two consolidation cycles of therapy following progression of disease.</w:t>
      </w:r>
    </w:p>
    <w:p w14:paraId="3DEBEC25" w14:textId="77777777" w:rsidR="00C561D7" w:rsidRDefault="00C561D7" w:rsidP="00C561D7">
      <w:r>
        <w:t>MSAC noted that these scenarios had little impact on the ICER.</w:t>
      </w:r>
    </w:p>
    <w:p w14:paraId="1ECF2ACC" w14:textId="23D85375" w:rsidR="00C561D7" w:rsidRDefault="00C561D7" w:rsidP="00C561D7">
      <w:r>
        <w:t>MSAC noted that the estimated financial impacts to the MBS</w:t>
      </w:r>
      <w:r w:rsidR="00B3688C">
        <w:t xml:space="preserve"> under the scenario defined by ESC </w:t>
      </w:r>
      <w:r>
        <w:t xml:space="preserve">were $12,561,865 in </w:t>
      </w:r>
      <w:r w:rsidR="00575564">
        <w:t>Y</w:t>
      </w:r>
      <w:r>
        <w:t xml:space="preserve">ear 1 increasing to $14,053,288 in </w:t>
      </w:r>
      <w:r w:rsidR="00575564">
        <w:t>Y</w:t>
      </w:r>
      <w:r>
        <w:t xml:space="preserve">ear 4 (total of $53.2 million over 4 years), with the PRRT fee set at $10,000. The figures were based on approximately 80% of patients diagnosed with NENs receiving </w:t>
      </w:r>
      <w:r w:rsidRPr="00A836D3">
        <w:rPr>
          <w:vertAlign w:val="superscript"/>
        </w:rPr>
        <w:t>68</w:t>
      </w:r>
      <w:r>
        <w:t xml:space="preserve">Ga-DOTA-octreotate PET/CT, with 30% of these </w:t>
      </w:r>
      <w:r>
        <w:lastRenderedPageBreak/>
        <w:t xml:space="preserve">undergoing FDG PET/CT (as stated previously, this is already covered by MBS item 61612). It also assumed patients undergoing PRRT would require at least one follow-up </w:t>
      </w:r>
      <w:r w:rsidRPr="00A836D3">
        <w:rPr>
          <w:vertAlign w:val="superscript"/>
        </w:rPr>
        <w:t>68</w:t>
      </w:r>
      <w:r>
        <w:t xml:space="preserve">Ga-DOTA-octreotate PET/CT to determine treatment response or recurrence, as well as assuming no change in the use of comparator therapies. MSAC noted from ESC that the uptake rate and number of cycles of </w:t>
      </w:r>
      <w:r w:rsidRPr="007A7786">
        <w:rPr>
          <w:vertAlign w:val="superscript"/>
        </w:rPr>
        <w:t>177</w:t>
      </w:r>
      <w:r>
        <w:t xml:space="preserve">Lu-DOTA-octreotate are uncertain, and small changes affect the financial estimates. </w:t>
      </w:r>
      <w:r w:rsidR="00B3688C">
        <w:t>However</w:t>
      </w:r>
      <w:r w:rsidR="00FE1ED2">
        <w:t>,</w:t>
      </w:r>
      <w:r w:rsidR="00B3688C">
        <w:t xml:space="preserve"> MSAC considered that the financial estimates</w:t>
      </w:r>
      <w:r w:rsidR="00193268">
        <w:t xml:space="preserve"> prese</w:t>
      </w:r>
      <w:r w:rsidR="004B3402">
        <w:t>nted in the addendum</w:t>
      </w:r>
      <w:r w:rsidR="00B3688C">
        <w:t xml:space="preserve"> were likely to constitute the upper limit of the financial impacts of listing.</w:t>
      </w:r>
    </w:p>
    <w:p w14:paraId="0CA9A868" w14:textId="0CEFD5F5" w:rsidR="00C561D7" w:rsidRDefault="00C561D7" w:rsidP="00C561D7">
      <w:r>
        <w:t>MSAC considered it unlikely that 80% of the incident population will be assessed</w:t>
      </w:r>
      <w:r w:rsidR="004B3402">
        <w:t xml:space="preserve"> for therapy</w:t>
      </w:r>
      <w:r w:rsidR="006661A7">
        <w:t>:</w:t>
      </w:r>
      <w:r>
        <w:t xml:space="preserve"> MSAC noted that the </w:t>
      </w:r>
      <w:r w:rsidR="007C12D3">
        <w:t>RBWH</w:t>
      </w:r>
      <w:r w:rsidR="002A353D">
        <w:t xml:space="preserve"> </w:t>
      </w:r>
      <w:r>
        <w:t xml:space="preserve">currently treats </w:t>
      </w:r>
      <w:r w:rsidR="001A74EE">
        <w:t xml:space="preserve">in the order of </w:t>
      </w:r>
      <w:r>
        <w:t>35 new patients/year</w:t>
      </w:r>
      <w:r w:rsidR="002A353D">
        <w:t xml:space="preserve"> with </w:t>
      </w:r>
      <w:r w:rsidR="00D1448D" w:rsidRPr="005C0139">
        <w:rPr>
          <w:vertAlign w:val="superscript"/>
        </w:rPr>
        <w:t>177</w:t>
      </w:r>
      <w:r w:rsidR="00D1448D">
        <w:t>Lu-DOTATATE therapy</w:t>
      </w:r>
      <w:r>
        <w:t xml:space="preserve">, which </w:t>
      </w:r>
      <w:r w:rsidR="006661A7">
        <w:t>w</w:t>
      </w:r>
      <w:r>
        <w:t xml:space="preserve">ould equate to approximately 175 patients/year in Australia. MSAC also considered that there should be no restrictions on the number of treatment cycles, as neuroendocrine tumours behave differently depending on their </w:t>
      </w:r>
      <w:r w:rsidR="001A74EE">
        <w:t xml:space="preserve">subtype and </w:t>
      </w:r>
      <w:r>
        <w:t xml:space="preserve">grade. Including potential retreatment and additional </w:t>
      </w:r>
      <w:r w:rsidRPr="00A836D3">
        <w:rPr>
          <w:vertAlign w:val="superscript"/>
        </w:rPr>
        <w:t>68</w:t>
      </w:r>
      <w:r>
        <w:t>Ga-DOTA-octreotate PET/CT for response monitoring, using a treatment fee of $10,000 and excluding FDG PET/CT, MSAC noted that the estimated financial impact to the MBS is more likely to be approximately $8–10 million/year over 6 years.</w:t>
      </w:r>
    </w:p>
    <w:p w14:paraId="6A32F238" w14:textId="0DA7379A" w:rsidR="00710079" w:rsidRDefault="00C561D7" w:rsidP="007D3D34">
      <w:r>
        <w:t xml:space="preserve">Overall, MSAC deferred </w:t>
      </w:r>
      <w:r w:rsidR="00171CBD">
        <w:t>its advice</w:t>
      </w:r>
      <w:r>
        <w:t xml:space="preserve"> on MBS listing of </w:t>
      </w:r>
      <w:r w:rsidRPr="00963BCF">
        <w:rPr>
          <w:vertAlign w:val="superscript"/>
        </w:rPr>
        <w:t>177</w:t>
      </w:r>
      <w:r>
        <w:t xml:space="preserve">Lu-DOTA-octreotate treatment for advanced NENs with H-SSTR expression. MSAC acknowledged the high clinical need for </w:t>
      </w:r>
      <w:r w:rsidR="00784E13">
        <w:t>a therapy for NENs</w:t>
      </w:r>
      <w:r>
        <w:t xml:space="preserve">, and that the rarity of the disease </w:t>
      </w:r>
      <w:r w:rsidR="00784E13">
        <w:t xml:space="preserve">presents challenges for collecting </w:t>
      </w:r>
      <w:r>
        <w:t xml:space="preserve">high-quality evidence. MSAC also acknowledged that </w:t>
      </w:r>
      <w:r w:rsidR="00784E13" w:rsidRPr="00963BCF">
        <w:rPr>
          <w:vertAlign w:val="superscript"/>
        </w:rPr>
        <w:t>177</w:t>
      </w:r>
      <w:r w:rsidR="00784E13">
        <w:t xml:space="preserve">Lu-DOTA-octreotate </w:t>
      </w:r>
      <w:r>
        <w:t xml:space="preserve">has been used for the past 10 years in Australia and is considered standard of care for NEN patients. However, the evidence presented </w:t>
      </w:r>
      <w:r w:rsidR="001A74EE">
        <w:t xml:space="preserve">in the DCAR </w:t>
      </w:r>
      <w:r>
        <w:t xml:space="preserve">for comparative effectiveness and safety was for another product, </w:t>
      </w:r>
      <w:r w:rsidRPr="005C0139">
        <w:rPr>
          <w:vertAlign w:val="superscript"/>
        </w:rPr>
        <w:t>177</w:t>
      </w:r>
      <w:r>
        <w:t xml:space="preserve">Lu-DOTATATE. Although MSAC considered that this product appeared to have superior clinical effectiveness and non-inferior safety, the </w:t>
      </w:r>
      <w:r w:rsidR="00B3688C">
        <w:t xml:space="preserve">assumed non-inferiority </w:t>
      </w:r>
      <w:r>
        <w:t xml:space="preserve">between </w:t>
      </w:r>
      <w:r w:rsidR="00B3688C" w:rsidRPr="005C0139">
        <w:rPr>
          <w:vertAlign w:val="superscript"/>
        </w:rPr>
        <w:t>177</w:t>
      </w:r>
      <w:r w:rsidR="00B3688C">
        <w:t>Lu-DOTATATE</w:t>
      </w:r>
      <w:r>
        <w:t xml:space="preserve"> and the proposed product, </w:t>
      </w:r>
      <w:r w:rsidRPr="00963BCF">
        <w:rPr>
          <w:vertAlign w:val="superscript"/>
        </w:rPr>
        <w:t>177</w:t>
      </w:r>
      <w:r>
        <w:t>Lu-DOTA-octreotate,</w:t>
      </w:r>
      <w:r w:rsidR="00B3688C">
        <w:t xml:space="preserve"> upon which the assessment of </w:t>
      </w:r>
      <w:r w:rsidR="00D26225">
        <w:t>comparative safety,</w:t>
      </w:r>
      <w:r w:rsidR="00B3688C">
        <w:t xml:space="preserve"> effectiveness and cost-effectiveness was premised </w:t>
      </w:r>
      <w:r>
        <w:t>was uncertain.</w:t>
      </w:r>
    </w:p>
    <w:p w14:paraId="2CA52AD0" w14:textId="5B27AFE7" w:rsidR="00710079" w:rsidRDefault="004B585D" w:rsidP="00E35197">
      <w:pPr>
        <w:keepNext/>
        <w:keepLines/>
      </w:pPr>
      <w:r>
        <w:t>MSAC was of the view that i</w:t>
      </w:r>
      <w:r w:rsidR="00C561D7">
        <w:t xml:space="preserve">ndependent radiochemist advice is needed to </w:t>
      </w:r>
      <w:r w:rsidR="00B3688C">
        <w:t xml:space="preserve">establish </w:t>
      </w:r>
      <w:r w:rsidR="00A80F6E">
        <w:t xml:space="preserve">either </w:t>
      </w:r>
      <w:r w:rsidR="001A74EE">
        <w:t xml:space="preserve">the degree of </w:t>
      </w:r>
      <w:r w:rsidR="00B3688C">
        <w:t xml:space="preserve">chemical similarity or similarity of </w:t>
      </w:r>
      <w:r w:rsidR="00A80F6E">
        <w:t xml:space="preserve">biodistribution between the two products </w:t>
      </w:r>
      <w:proofErr w:type="gramStart"/>
      <w:r w:rsidR="00A80F6E">
        <w:t>in order to</w:t>
      </w:r>
      <w:proofErr w:type="gramEnd"/>
      <w:r w:rsidR="00A80F6E">
        <w:t xml:space="preserve"> establish non-inferior</w:t>
      </w:r>
      <w:r>
        <w:t xml:space="preserve"> </w:t>
      </w:r>
      <w:r w:rsidR="00A80F6E">
        <w:t>safety and efficacy</w:t>
      </w:r>
      <w:r w:rsidR="00C561D7">
        <w:t xml:space="preserve">. </w:t>
      </w:r>
      <w:proofErr w:type="gramStart"/>
      <w:r w:rsidR="00710079">
        <w:t>In particular, MSAC</w:t>
      </w:r>
      <w:proofErr w:type="gramEnd"/>
      <w:r w:rsidR="00710079">
        <w:t xml:space="preserve"> considered that in order to establish </w:t>
      </w:r>
      <w:r w:rsidR="001A74EE">
        <w:t xml:space="preserve">the </w:t>
      </w:r>
      <w:r w:rsidR="00710079">
        <w:t xml:space="preserve">similarity of chemical structure between the two products, expert </w:t>
      </w:r>
      <w:r w:rsidR="00C45BB5">
        <w:t xml:space="preserve">independent </w:t>
      </w:r>
      <w:r w:rsidR="00710079">
        <w:t>radiochemist opinion w</w:t>
      </w:r>
      <w:r w:rsidR="00C45BB5">
        <w:t>ould be</w:t>
      </w:r>
      <w:r w:rsidR="00710079">
        <w:t xml:space="preserve"> needed to verify the similarity of the following in the two products:</w:t>
      </w:r>
    </w:p>
    <w:p w14:paraId="576840F5" w14:textId="77777777" w:rsidR="00710079" w:rsidRDefault="00710079" w:rsidP="00E35197">
      <w:pPr>
        <w:pStyle w:val="ListParagraph"/>
        <w:keepNext/>
        <w:keepLines/>
        <w:numPr>
          <w:ilvl w:val="0"/>
          <w:numId w:val="36"/>
        </w:numPr>
      </w:pPr>
      <w:r w:rsidRPr="00A52830">
        <w:t>targeting moiety (peptide</w:t>
      </w:r>
      <w:r>
        <w:t>s</w:t>
      </w:r>
      <w:r w:rsidRPr="00A52830">
        <w:t>)</w:t>
      </w:r>
    </w:p>
    <w:p w14:paraId="5590D736" w14:textId="77777777" w:rsidR="00710079" w:rsidRDefault="00710079" w:rsidP="00E35197">
      <w:pPr>
        <w:pStyle w:val="ListParagraph"/>
        <w:keepNext/>
        <w:keepLines/>
        <w:numPr>
          <w:ilvl w:val="0"/>
          <w:numId w:val="36"/>
        </w:numPr>
      </w:pPr>
      <w:r>
        <w:t xml:space="preserve">the chelators binding </w:t>
      </w:r>
      <w:r w:rsidRPr="005C0139">
        <w:rPr>
          <w:vertAlign w:val="superscript"/>
        </w:rPr>
        <w:t>177</w:t>
      </w:r>
      <w:r>
        <w:t>Lu-DOTATATE to the peptides</w:t>
      </w:r>
    </w:p>
    <w:p w14:paraId="309D1526" w14:textId="77777777" w:rsidR="00710079" w:rsidRDefault="00710079" w:rsidP="00710079">
      <w:pPr>
        <w:pStyle w:val="ListParagraph"/>
        <w:numPr>
          <w:ilvl w:val="0"/>
          <w:numId w:val="36"/>
        </w:numPr>
      </w:pPr>
      <w:r>
        <w:t>the linker which joins the chelator to the targeting part of the peptides.</w:t>
      </w:r>
    </w:p>
    <w:p w14:paraId="14982634" w14:textId="03B2E2C8" w:rsidR="00710079" w:rsidRDefault="00710079" w:rsidP="00710079">
      <w:r>
        <w:t>If chemical similarity cannot be established,</w:t>
      </w:r>
      <w:r w:rsidR="005C0C79">
        <w:t xml:space="preserve"> </w:t>
      </w:r>
      <w:r>
        <w:t xml:space="preserve">similarity of biodistribution between the two products </w:t>
      </w:r>
      <w:r w:rsidR="00B10EF6">
        <w:t>would need to be established based on the following questions</w:t>
      </w:r>
      <w:r>
        <w:t>:</w:t>
      </w:r>
    </w:p>
    <w:p w14:paraId="2BFE5DE7" w14:textId="77777777" w:rsidR="00710079" w:rsidRPr="00845AEA" w:rsidRDefault="00710079" w:rsidP="00710079">
      <w:pPr>
        <w:pStyle w:val="ListParagraph"/>
        <w:numPr>
          <w:ilvl w:val="0"/>
          <w:numId w:val="36"/>
        </w:numPr>
      </w:pPr>
      <w:r w:rsidRPr="00845AEA">
        <w:t xml:space="preserve">Are the molecular kinetics (tissue uptake and washout) of these agents equivalent in human tissues? </w:t>
      </w:r>
    </w:p>
    <w:p w14:paraId="5865258F" w14:textId="77777777" w:rsidR="00710079" w:rsidRPr="00845AEA" w:rsidRDefault="00710079" w:rsidP="00710079">
      <w:pPr>
        <w:pStyle w:val="ListParagraph"/>
        <w:numPr>
          <w:ilvl w:val="0"/>
          <w:numId w:val="36"/>
        </w:numPr>
      </w:pPr>
      <w:r w:rsidRPr="00845AEA">
        <w:t>Is the measured radiation dose delivered equivalent in “at risk” healthy tissues?</w:t>
      </w:r>
    </w:p>
    <w:p w14:paraId="3B5EB318" w14:textId="77777777" w:rsidR="00710079" w:rsidRDefault="00710079" w:rsidP="00710079">
      <w:pPr>
        <w:pStyle w:val="ListParagraph"/>
        <w:numPr>
          <w:ilvl w:val="0"/>
          <w:numId w:val="36"/>
        </w:numPr>
      </w:pPr>
      <w:r w:rsidRPr="00845AEA">
        <w:t>Is the measured radiation dose delivered to the tumour tissue equivalent?</w:t>
      </w:r>
    </w:p>
    <w:p w14:paraId="32E01121" w14:textId="4F7C1DB9" w:rsidR="0045124C" w:rsidRDefault="005C0C79" w:rsidP="007C12D3">
      <w:r>
        <w:t>MSAC noted that information</w:t>
      </w:r>
      <w:r w:rsidR="00C45BB5">
        <w:t xml:space="preserve"> on the above </w:t>
      </w:r>
      <w:r w:rsidR="00DA7B46">
        <w:t xml:space="preserve">biodistribution </w:t>
      </w:r>
      <w:r w:rsidR="00C45BB5">
        <w:t>questions may be available from pre-clinical studies.</w:t>
      </w:r>
    </w:p>
    <w:p w14:paraId="4E66B5C2" w14:textId="20EE51F5" w:rsidR="007050F8" w:rsidRPr="00B84E88" w:rsidRDefault="007050F8" w:rsidP="007050F8">
      <w:r>
        <w:t>MSAC advised that if the similarity of chemical structure between the two products is not established, then additional evidence is required to establish similar biodistribution, efficacy and safety between the two products.  In this case</w:t>
      </w:r>
      <w:r w:rsidRPr="0A3B44D0">
        <w:t>,</w:t>
      </w:r>
      <w:r>
        <w:t xml:space="preserve"> MSAC </w:t>
      </w:r>
      <w:r w:rsidRPr="007D5FE3">
        <w:t>requested that a more comprehensive assessment of the efficacy and safety</w:t>
      </w:r>
      <w:r>
        <w:t xml:space="preserve"> </w:t>
      </w:r>
      <w:r w:rsidRPr="007D5FE3">
        <w:t xml:space="preserve">of </w:t>
      </w:r>
      <w:r w:rsidRPr="00483F1D">
        <w:rPr>
          <w:vertAlign w:val="superscript"/>
        </w:rPr>
        <w:t>177</w:t>
      </w:r>
      <w:r w:rsidRPr="007D5FE3">
        <w:t xml:space="preserve">Lu-DOTA-octreotate and </w:t>
      </w:r>
      <w:proofErr w:type="spellStart"/>
      <w:r w:rsidRPr="007D5FE3">
        <w:t>Lutathera</w:t>
      </w:r>
      <w:proofErr w:type="spellEnd"/>
      <w:r w:rsidRPr="007D5FE3">
        <w:t>® (</w:t>
      </w:r>
      <w:r w:rsidRPr="00483F1D">
        <w:rPr>
          <w:vertAlign w:val="superscript"/>
        </w:rPr>
        <w:t>177</w:t>
      </w:r>
      <w:r w:rsidRPr="007D5FE3">
        <w:t>Lu-DOTATATE) be conducted</w:t>
      </w:r>
      <w:r>
        <w:t xml:space="preserve"> </w:t>
      </w:r>
      <w:proofErr w:type="gramStart"/>
      <w:r>
        <w:t>in order to</w:t>
      </w:r>
      <w:proofErr w:type="gramEnd"/>
      <w:r>
        <w:t xml:space="preserve"> demonstrate that the two products are </w:t>
      </w:r>
      <w:r w:rsidR="004A7E51">
        <w:t>non-inferior</w:t>
      </w:r>
      <w:r>
        <w:t xml:space="preserve"> in terms of health outcomes</w:t>
      </w:r>
      <w:r w:rsidRPr="007D5FE3">
        <w:t xml:space="preserve">. </w:t>
      </w:r>
      <w:r w:rsidR="00942FD9">
        <w:t xml:space="preserve">MSAC noted that there was both available published observational studies </w:t>
      </w:r>
      <w:r w:rsidR="00942FD9">
        <w:lastRenderedPageBreak/>
        <w:t xml:space="preserve">and Australian RCTs </w:t>
      </w:r>
      <w:r w:rsidR="007D5578">
        <w:t>that used</w:t>
      </w:r>
      <w:r w:rsidR="00942FD9">
        <w:t xml:space="preserve"> the applicant’s product</w:t>
      </w:r>
      <w:r w:rsidR="00190AA7">
        <w:t xml:space="preserve"> (</w:t>
      </w:r>
      <w:r w:rsidR="00190AA7" w:rsidRPr="00963BCF">
        <w:rPr>
          <w:vertAlign w:val="superscript"/>
        </w:rPr>
        <w:t>177</w:t>
      </w:r>
      <w:r w:rsidR="00190AA7">
        <w:t>Lu-DOTA-octreotate)</w:t>
      </w:r>
      <w:r w:rsidR="007E415E">
        <w:t xml:space="preserve"> </w:t>
      </w:r>
      <w:r w:rsidR="00942FD9">
        <w:t xml:space="preserve">rather than </w:t>
      </w:r>
      <w:r w:rsidR="00942FD9" w:rsidRPr="005C0139">
        <w:rPr>
          <w:vertAlign w:val="superscript"/>
        </w:rPr>
        <w:t>177</w:t>
      </w:r>
      <w:r w:rsidR="00942FD9">
        <w:t>Lu-DOTATATE</w:t>
      </w:r>
      <w:r w:rsidR="00AC4882">
        <w:t xml:space="preserve"> (</w:t>
      </w:r>
      <w:proofErr w:type="spellStart"/>
      <w:r w:rsidR="00AC4882" w:rsidRPr="007D5FE3">
        <w:t>Lutathera</w:t>
      </w:r>
      <w:proofErr w:type="spellEnd"/>
      <w:r w:rsidR="00AC4882" w:rsidRPr="007D5FE3">
        <w:t>®</w:t>
      </w:r>
      <w:r w:rsidR="00AC4882">
        <w:t>)</w:t>
      </w:r>
      <w:r w:rsidR="00336972">
        <w:t xml:space="preserve"> </w:t>
      </w:r>
      <w:r w:rsidR="00D5001A">
        <w:t xml:space="preserve">but </w:t>
      </w:r>
      <w:r w:rsidR="009926D1">
        <w:t xml:space="preserve">that </w:t>
      </w:r>
      <w:r w:rsidR="00D5001A">
        <w:t>these studies were not evaluated in the DCAR.</w:t>
      </w:r>
    </w:p>
    <w:p w14:paraId="345588CA" w14:textId="0FBBA829" w:rsidR="003C7410" w:rsidRDefault="007D3D34" w:rsidP="00664474">
      <w:r w:rsidRPr="00215205">
        <w:t>MSAC also noted that there appeared to be several names used for the same product</w:t>
      </w:r>
      <w:r>
        <w:t xml:space="preserve">, so </w:t>
      </w:r>
      <w:r w:rsidRPr="00215205">
        <w:t xml:space="preserve">suggested consulting </w:t>
      </w:r>
      <w:r w:rsidR="001B68A8">
        <w:t xml:space="preserve">the applicant and </w:t>
      </w:r>
      <w:r w:rsidR="00AE053D">
        <w:t>appropriate clinicians and clinician organisations (e.g. the A</w:t>
      </w:r>
      <w:r w:rsidR="003C1D14">
        <w:t xml:space="preserve">ustralasian Association of Nuclear Medicine Specialists) to </w:t>
      </w:r>
      <w:r w:rsidR="00414737">
        <w:t xml:space="preserve">appropriately </w:t>
      </w:r>
      <w:r w:rsidR="00096508">
        <w:t xml:space="preserve">define the product </w:t>
      </w:r>
      <w:r w:rsidR="003C1D14">
        <w:t xml:space="preserve"> terminology</w:t>
      </w:r>
      <w:r w:rsidR="00043B25">
        <w:t xml:space="preserve"> to ensure </w:t>
      </w:r>
      <w:r w:rsidR="00037AF4">
        <w:t>appropriate</w:t>
      </w:r>
      <w:r w:rsidR="00C854B8">
        <w:t xml:space="preserve"> wording in the proposed </w:t>
      </w:r>
      <w:r>
        <w:t>agnostic item descriptor</w:t>
      </w:r>
      <w:r w:rsidR="00111A8D">
        <w:t xml:space="preserve"> </w:t>
      </w:r>
      <w:r w:rsidR="00FD5E0A">
        <w:t xml:space="preserve">for the proposed therapeutic service </w:t>
      </w:r>
      <w:r w:rsidR="00111A8D">
        <w:t>(</w:t>
      </w:r>
      <w:r w:rsidR="00111A8D" w:rsidRPr="00852103">
        <w:rPr>
          <w:vertAlign w:val="superscript"/>
        </w:rPr>
        <w:t>177</w:t>
      </w:r>
      <w:r w:rsidR="00111A8D" w:rsidRPr="00111A8D">
        <w:t>Lutetium-somastatin receptor agonist treatment</w:t>
      </w:r>
      <w:r w:rsidR="00037AF4">
        <w:t>)</w:t>
      </w:r>
      <w:r w:rsidR="0071066C">
        <w:t xml:space="preserve"> </w:t>
      </w:r>
      <w:r>
        <w:t xml:space="preserve">if this service is </w:t>
      </w:r>
      <w:r w:rsidR="00111A8D">
        <w:t>subsequently supported</w:t>
      </w:r>
      <w:r>
        <w:t xml:space="preserve"> for MBS listing.</w:t>
      </w:r>
    </w:p>
    <w:p w14:paraId="336CEBC2" w14:textId="65AF0BE4" w:rsidR="00C561D7" w:rsidRPr="00AF46D8" w:rsidRDefault="008F3D93" w:rsidP="00C561D7">
      <w:r>
        <w:t>MSAC considered that in drafting the item descriptor, the Department should ensure that patients with</w:t>
      </w:r>
      <w:r w:rsidR="00664474">
        <w:t xml:space="preserve"> </w:t>
      </w:r>
      <w:r>
        <w:t>phaeochromocytoma and paraganglioma are also eligible for this service.</w:t>
      </w:r>
      <w:r w:rsidR="00B70CFA">
        <w:t xml:space="preserve"> </w:t>
      </w:r>
      <w:r>
        <w:t xml:space="preserve">Due to </w:t>
      </w:r>
      <w:r w:rsidR="00C561D7">
        <w:t xml:space="preserve">the uncertainty in uptake and usage (i.e. number of cycles per patient), MSAC advised that, if the service is </w:t>
      </w:r>
      <w:r w:rsidR="00203E57">
        <w:t xml:space="preserve">subsequently </w:t>
      </w:r>
      <w:r w:rsidR="00C561D7">
        <w:t xml:space="preserve">listed, usage should be reviewed after 12 months. </w:t>
      </w:r>
      <w:r w:rsidR="00F4549A">
        <w:t xml:space="preserve">In addition, </w:t>
      </w:r>
      <w:r w:rsidR="00C561D7">
        <w:t>MSAC also supported the Department in monitoring the out-of-pocket costs for patients.</w:t>
      </w:r>
    </w:p>
    <w:p w14:paraId="6710B69D" w14:textId="58C3AB45" w:rsidR="00772829" w:rsidRDefault="000B228E" w:rsidP="002A18BE">
      <w:pPr>
        <w:pStyle w:val="Heading2"/>
        <w:numPr>
          <w:ilvl w:val="0"/>
          <w:numId w:val="0"/>
        </w:numPr>
      </w:pPr>
      <w:bookmarkStart w:id="4" w:name="_Toc161841929"/>
      <w:bookmarkStart w:id="5" w:name="_Toc165275514"/>
      <w:bookmarkEnd w:id="2"/>
      <w:r>
        <w:t>4</w:t>
      </w:r>
      <w:r w:rsidR="00C36633">
        <w:t>.</w:t>
      </w:r>
      <w:r w:rsidR="00C36633">
        <w:tab/>
      </w:r>
      <w:r w:rsidR="00772829" w:rsidRPr="00CE28E3">
        <w:t>Background</w:t>
      </w:r>
      <w:bookmarkEnd w:id="4"/>
      <w:bookmarkEnd w:id="5"/>
    </w:p>
    <w:p w14:paraId="048B9ECB" w14:textId="051A065B" w:rsidR="00034C5E" w:rsidRDefault="00034C5E" w:rsidP="00034C5E">
      <w:r w:rsidRPr="00B6133E">
        <w:t xml:space="preserve">MSAC has not previously considered </w:t>
      </w:r>
      <w:r w:rsidRPr="00B6133E">
        <w:rPr>
          <w:vertAlign w:val="superscript"/>
        </w:rPr>
        <w:t>177</w:t>
      </w:r>
      <w:r w:rsidRPr="00B6133E">
        <w:t>Lu-</w:t>
      </w:r>
      <w:r w:rsidR="00607D95">
        <w:t xml:space="preserve">DOTA-octreotate </w:t>
      </w:r>
      <w:r w:rsidRPr="00B6133E">
        <w:t xml:space="preserve">for the treatment of advanced NENs with </w:t>
      </w:r>
      <w:r w:rsidR="008C12A4">
        <w:t>H-</w:t>
      </w:r>
      <w:r w:rsidRPr="00B6133E">
        <w:t>SSTR expression</w:t>
      </w:r>
      <w:r w:rsidR="00FE0A55">
        <w:t>, n</w:t>
      </w:r>
      <w:r w:rsidRPr="00B6133E">
        <w:t>or has a similar technology been considered</w:t>
      </w:r>
      <w:r w:rsidR="00A628EF">
        <w:t xml:space="preserve"> for use in this treatment indication.</w:t>
      </w:r>
    </w:p>
    <w:p w14:paraId="7B5779C1" w14:textId="76E345A0" w:rsidR="00034C5E" w:rsidRDefault="00034C5E" w:rsidP="00034C5E">
      <w:r w:rsidRPr="00B6133E">
        <w:t xml:space="preserve">PASC ratified the PICO for </w:t>
      </w:r>
      <w:r w:rsidRPr="00B6133E">
        <w:rPr>
          <w:vertAlign w:val="superscript"/>
        </w:rPr>
        <w:t>177</w:t>
      </w:r>
      <w:r w:rsidRPr="00B6133E">
        <w:t>Lu-</w:t>
      </w:r>
      <w:r w:rsidR="00607D95">
        <w:t xml:space="preserve">DOTA-octreotate </w:t>
      </w:r>
      <w:r w:rsidR="007C549F">
        <w:t>at</w:t>
      </w:r>
      <w:r w:rsidRPr="00B6133E">
        <w:t xml:space="preserve"> its meeting </w:t>
      </w:r>
      <w:r w:rsidR="0065709A">
        <w:t>in</w:t>
      </w:r>
      <w:r w:rsidRPr="00B6133E">
        <w:t xml:space="preserve"> August 2023.</w:t>
      </w:r>
    </w:p>
    <w:p w14:paraId="6F52500A" w14:textId="231480FE" w:rsidR="00772829" w:rsidRPr="00CE28E3" w:rsidRDefault="000B228E" w:rsidP="00E35197">
      <w:pPr>
        <w:pStyle w:val="Heading2"/>
        <w:numPr>
          <w:ilvl w:val="0"/>
          <w:numId w:val="0"/>
        </w:numPr>
      </w:pPr>
      <w:bookmarkStart w:id="6" w:name="_Toc161841930"/>
      <w:bookmarkStart w:id="7" w:name="_Toc165275515"/>
      <w:r>
        <w:t>5</w:t>
      </w:r>
      <w:r w:rsidR="00C36633">
        <w:t>.</w:t>
      </w:r>
      <w:r w:rsidR="00C36633">
        <w:tab/>
      </w:r>
      <w:r w:rsidR="00772829" w:rsidRPr="00CE28E3">
        <w:t>Prerequisites to implementation of any funding advice</w:t>
      </w:r>
      <w:bookmarkEnd w:id="6"/>
      <w:bookmarkEnd w:id="7"/>
    </w:p>
    <w:p w14:paraId="5D084613" w14:textId="6561DD2F" w:rsidR="00034C5E" w:rsidRPr="00FC6560" w:rsidRDefault="00034C5E" w:rsidP="00E35197">
      <w:pPr>
        <w:pStyle w:val="Instructionaltext"/>
        <w:keepNext/>
        <w:keepLines/>
        <w:rPr>
          <w:color w:val="auto"/>
        </w:rPr>
      </w:pPr>
      <w:r w:rsidRPr="00FC6560">
        <w:rPr>
          <w:color w:val="auto"/>
          <w:vertAlign w:val="superscript"/>
        </w:rPr>
        <w:t>177</w:t>
      </w:r>
      <w:r w:rsidRPr="00FC6560">
        <w:rPr>
          <w:color w:val="auto"/>
        </w:rPr>
        <w:t xml:space="preserve">Lu chloride was approved by the Therapeutic Goods Administration (TGA) on </w:t>
      </w:r>
      <w:proofErr w:type="gramStart"/>
      <w:r w:rsidRPr="00FC6560">
        <w:rPr>
          <w:color w:val="auto"/>
        </w:rPr>
        <w:t>8</w:t>
      </w:r>
      <w:r w:rsidR="00946EDC">
        <w:rPr>
          <w:color w:val="auto"/>
        </w:rPr>
        <w:t> </w:t>
      </w:r>
      <w:r w:rsidRPr="00FC6560">
        <w:rPr>
          <w:color w:val="auto"/>
        </w:rPr>
        <w:t>December</w:t>
      </w:r>
      <w:r w:rsidR="00946EDC">
        <w:rPr>
          <w:color w:val="auto"/>
        </w:rPr>
        <w:t> </w:t>
      </w:r>
      <w:r w:rsidRPr="00FC6560">
        <w:rPr>
          <w:color w:val="auto"/>
        </w:rPr>
        <w:t>2021, and</w:t>
      </w:r>
      <w:proofErr w:type="gramEnd"/>
      <w:r w:rsidRPr="00FC6560">
        <w:rPr>
          <w:color w:val="auto"/>
        </w:rPr>
        <w:t xml:space="preserve"> was included on the Australian Register of Therapeutic Goods (ARTG) on 11 January 2022 (ARTG number: 352121).</w:t>
      </w:r>
      <w:r>
        <w:rPr>
          <w:color w:val="auto"/>
        </w:rPr>
        <w:t xml:space="preserve"> </w:t>
      </w:r>
      <w:r w:rsidRPr="003D711B">
        <w:rPr>
          <w:color w:val="auto"/>
        </w:rPr>
        <w:t>Its approved therapeutic use is as a radiopharmaceutical precursor</w:t>
      </w:r>
      <w:r w:rsidR="003D6144">
        <w:rPr>
          <w:color w:val="auto"/>
        </w:rPr>
        <w:t>;</w:t>
      </w:r>
      <w:r w:rsidRPr="003D711B">
        <w:rPr>
          <w:color w:val="auto"/>
        </w:rPr>
        <w:t xml:space="preserve"> it is not intended for direct use in patients. The registered use is: </w:t>
      </w:r>
      <w:r w:rsidR="003D6144">
        <w:rPr>
          <w:color w:val="auto"/>
        </w:rPr>
        <w:t>‘</w:t>
      </w:r>
      <w:r w:rsidRPr="003D711B">
        <w:rPr>
          <w:color w:val="auto"/>
        </w:rPr>
        <w:t>For the treatment of non</w:t>
      </w:r>
      <w:r w:rsidR="00213F70">
        <w:rPr>
          <w:color w:val="auto"/>
        </w:rPr>
        <w:t>-</w:t>
      </w:r>
      <w:proofErr w:type="spellStart"/>
      <w:r w:rsidRPr="003D711B">
        <w:rPr>
          <w:color w:val="auto"/>
        </w:rPr>
        <w:t>resectable</w:t>
      </w:r>
      <w:proofErr w:type="spellEnd"/>
      <w:r w:rsidRPr="003D711B">
        <w:rPr>
          <w:color w:val="auto"/>
        </w:rPr>
        <w:t xml:space="preserve"> or metastatic </w:t>
      </w:r>
      <w:r w:rsidR="00D82A28">
        <w:rPr>
          <w:color w:val="auto"/>
        </w:rPr>
        <w:t>NET</w:t>
      </w:r>
      <w:r w:rsidR="007718D2">
        <w:rPr>
          <w:color w:val="auto"/>
        </w:rPr>
        <w:t>s</w:t>
      </w:r>
      <w:r w:rsidRPr="003D711B">
        <w:rPr>
          <w:color w:val="auto"/>
        </w:rPr>
        <w:t xml:space="preserve"> expressing somatostatin subtype 2 receptors when coupled with a suitable carrier molecule</w:t>
      </w:r>
      <w:r>
        <w:rPr>
          <w:color w:val="auto"/>
        </w:rPr>
        <w:t>.</w:t>
      </w:r>
      <w:r w:rsidR="003D6144">
        <w:rPr>
          <w:color w:val="auto"/>
        </w:rPr>
        <w:t>’</w:t>
      </w:r>
    </w:p>
    <w:p w14:paraId="217533DA" w14:textId="1DD0BBDE" w:rsidR="00034C5E" w:rsidRPr="00FC6560" w:rsidRDefault="00034C5E" w:rsidP="00034C5E">
      <w:pPr>
        <w:pStyle w:val="Instructionaltext"/>
        <w:rPr>
          <w:color w:val="auto"/>
        </w:rPr>
      </w:pPr>
      <w:r w:rsidRPr="00FC6560">
        <w:rPr>
          <w:color w:val="auto"/>
        </w:rPr>
        <w:t xml:space="preserve">The </w:t>
      </w:r>
      <w:r w:rsidRPr="00FC6560">
        <w:rPr>
          <w:color w:val="auto"/>
          <w:vertAlign w:val="superscript"/>
        </w:rPr>
        <w:t>177</w:t>
      </w:r>
      <w:r w:rsidRPr="00FC6560">
        <w:rPr>
          <w:color w:val="auto"/>
        </w:rPr>
        <w:t>Lu</w:t>
      </w:r>
      <w:r w:rsidR="009740D5">
        <w:rPr>
          <w:color w:val="auto"/>
        </w:rPr>
        <w:t>-</w:t>
      </w:r>
      <w:r w:rsidR="00607D95">
        <w:rPr>
          <w:color w:val="auto"/>
        </w:rPr>
        <w:t xml:space="preserve">DOTA-octreotate </w:t>
      </w:r>
      <w:r w:rsidRPr="00FC6560">
        <w:rPr>
          <w:color w:val="auto"/>
        </w:rPr>
        <w:t xml:space="preserve">product </w:t>
      </w:r>
      <w:r w:rsidR="00EF6F7E" w:rsidRPr="00EF6F7E">
        <w:rPr>
          <w:color w:val="auto"/>
        </w:rPr>
        <w:t>is supplied as an extemporaneously manufactured medicine for individual patient use as prescribed by a medical practitioner. The product is exempt from ARTG entry</w:t>
      </w:r>
      <w:r w:rsidR="008A1C60">
        <w:rPr>
          <w:color w:val="auto"/>
        </w:rPr>
        <w:t>. The product</w:t>
      </w:r>
      <w:r w:rsidR="008A1C60">
        <w:t xml:space="preserve"> </w:t>
      </w:r>
      <w:r w:rsidRPr="00FC6560">
        <w:rPr>
          <w:color w:val="auto"/>
        </w:rPr>
        <w:t>that will be supplied by the applicant is produced by a TGA</w:t>
      </w:r>
      <w:r w:rsidR="00F9018C">
        <w:rPr>
          <w:color w:val="auto"/>
        </w:rPr>
        <w:t>-</w:t>
      </w:r>
      <w:r w:rsidRPr="00FC6560">
        <w:rPr>
          <w:color w:val="auto"/>
        </w:rPr>
        <w:t>licen</w:t>
      </w:r>
      <w:r w:rsidR="004A015A">
        <w:rPr>
          <w:color w:val="auto"/>
        </w:rPr>
        <w:t>s</w:t>
      </w:r>
      <w:r w:rsidRPr="00FC6560">
        <w:rPr>
          <w:color w:val="auto"/>
        </w:rPr>
        <w:t xml:space="preserve">ed manufacturer following </w:t>
      </w:r>
      <w:r w:rsidR="000F4337">
        <w:rPr>
          <w:color w:val="auto"/>
        </w:rPr>
        <w:t>g</w:t>
      </w:r>
      <w:r w:rsidRPr="00FC6560">
        <w:rPr>
          <w:color w:val="auto"/>
        </w:rPr>
        <w:t xml:space="preserve">ood </w:t>
      </w:r>
      <w:r w:rsidR="000F4337">
        <w:rPr>
          <w:color w:val="auto"/>
        </w:rPr>
        <w:t>m</w:t>
      </w:r>
      <w:r w:rsidRPr="00FC6560">
        <w:rPr>
          <w:color w:val="auto"/>
        </w:rPr>
        <w:t xml:space="preserve">anufacturing </w:t>
      </w:r>
      <w:r w:rsidR="000F4337">
        <w:rPr>
          <w:color w:val="auto"/>
        </w:rPr>
        <w:t>p</w:t>
      </w:r>
      <w:r w:rsidRPr="00FC6560">
        <w:rPr>
          <w:color w:val="auto"/>
        </w:rPr>
        <w:t xml:space="preserve">ractice (GMP). According to TGA </w:t>
      </w:r>
      <w:r w:rsidR="00B64830">
        <w:rPr>
          <w:color w:val="auto"/>
        </w:rPr>
        <w:t>g</w:t>
      </w:r>
      <w:r w:rsidRPr="00FC6560">
        <w:rPr>
          <w:color w:val="auto"/>
        </w:rPr>
        <w:t>uidance on GMP information for manufacturers of compounded medicines and dose administration aids</w:t>
      </w:r>
      <w:r w:rsidR="00EA1569">
        <w:rPr>
          <w:color w:val="auto"/>
        </w:rPr>
        <w:t>,</w:t>
      </w:r>
      <w:r w:rsidRPr="00FC6560">
        <w:rPr>
          <w:color w:val="auto"/>
        </w:rPr>
        <w:t xml:space="preserve"> a person with a TGA</w:t>
      </w:r>
      <w:r w:rsidR="00EA1569">
        <w:rPr>
          <w:color w:val="auto"/>
        </w:rPr>
        <w:t>-</w:t>
      </w:r>
      <w:r w:rsidRPr="00FC6560">
        <w:rPr>
          <w:color w:val="auto"/>
        </w:rPr>
        <w:t>issued manufacturing licence can supply a medicine that has been extemporaneously compounded for a particular person for therapeutic application to that person</w:t>
      </w:r>
      <w:r w:rsidR="00CD27FC">
        <w:rPr>
          <w:color w:val="auto"/>
        </w:rPr>
        <w:t>.</w:t>
      </w:r>
      <w:r w:rsidR="00CD27FC">
        <w:rPr>
          <w:rStyle w:val="FootnoteReference"/>
          <w:color w:val="auto"/>
        </w:rPr>
        <w:footnoteReference w:id="4"/>
      </w:r>
    </w:p>
    <w:p w14:paraId="44C3B242" w14:textId="37B6D9C9" w:rsidR="00772829" w:rsidRPr="00CE28E3" w:rsidRDefault="000B228E" w:rsidP="002A18BE">
      <w:pPr>
        <w:pStyle w:val="Heading2"/>
        <w:numPr>
          <w:ilvl w:val="0"/>
          <w:numId w:val="0"/>
        </w:numPr>
      </w:pPr>
      <w:bookmarkStart w:id="8" w:name="_Toc161841931"/>
      <w:bookmarkStart w:id="9" w:name="_Toc165275516"/>
      <w:r>
        <w:t>6</w:t>
      </w:r>
      <w:r w:rsidR="00C36633">
        <w:t>.</w:t>
      </w:r>
      <w:r w:rsidR="00C36633">
        <w:tab/>
      </w:r>
      <w:r w:rsidR="00772829" w:rsidRPr="00CE28E3">
        <w:t>Proposal for public funding</w:t>
      </w:r>
      <w:bookmarkEnd w:id="8"/>
      <w:bookmarkEnd w:id="9"/>
    </w:p>
    <w:p w14:paraId="2CD81E4E" w14:textId="68016253" w:rsidR="006C595D" w:rsidRPr="00CE28E3" w:rsidRDefault="006C595D" w:rsidP="00F27AD6">
      <w:pPr>
        <w:widowControl w:val="0"/>
        <w:spacing w:before="0" w:after="240" w:line="240" w:lineRule="auto"/>
      </w:pPr>
      <w:r w:rsidRPr="00C87A52">
        <w:rPr>
          <w:rFonts w:eastAsia="Times New Roman" w:cs="Arial"/>
          <w:snapToGrid w:val="0"/>
          <w:szCs w:val="24"/>
        </w:rPr>
        <w:t>The proposed funding arrangement is via the MBS</w:t>
      </w:r>
      <w:r>
        <w:rPr>
          <w:rFonts w:eastAsia="Times New Roman" w:cs="Arial"/>
          <w:snapToGrid w:val="0"/>
          <w:szCs w:val="24"/>
        </w:rPr>
        <w:t xml:space="preserve">, with listing of </w:t>
      </w:r>
      <w:r w:rsidR="00E66A53">
        <w:rPr>
          <w:rFonts w:eastAsia="Times New Roman" w:cs="Arial"/>
          <w:snapToGrid w:val="0"/>
          <w:szCs w:val="24"/>
        </w:rPr>
        <w:t>2</w:t>
      </w:r>
      <w:r>
        <w:rPr>
          <w:rFonts w:eastAsia="Times New Roman" w:cs="Arial"/>
          <w:snapToGrid w:val="0"/>
          <w:szCs w:val="24"/>
        </w:rPr>
        <w:t xml:space="preserve"> new MBS items being sought.</w:t>
      </w:r>
    </w:p>
    <w:p w14:paraId="6E5FFFFF" w14:textId="72682255" w:rsidR="005D2057" w:rsidRPr="00FB7119" w:rsidRDefault="005D2057" w:rsidP="00FB7119">
      <w:pPr>
        <w:pStyle w:val="Heading3"/>
      </w:pPr>
      <w:bookmarkStart w:id="10" w:name="_Toc161841932"/>
      <w:bookmarkStart w:id="11" w:name="_Toc165239038"/>
      <w:bookmarkStart w:id="12" w:name="_Toc165271868"/>
      <w:bookmarkStart w:id="13" w:name="_Toc165274294"/>
      <w:bookmarkStart w:id="14" w:name="_Toc165275517"/>
      <w:r w:rsidRPr="00FB7119">
        <w:t>New MBS item for 68Ga</w:t>
      </w:r>
      <w:r w:rsidR="00A342E6" w:rsidRPr="00FB7119">
        <w:t>-</w:t>
      </w:r>
      <w:r w:rsidRPr="00FB7119">
        <w:t>DOTA</w:t>
      </w:r>
      <w:r w:rsidR="00A342E6" w:rsidRPr="00FB7119">
        <w:t>-</w:t>
      </w:r>
      <w:r w:rsidRPr="00FB7119">
        <w:t>peptide PET</w:t>
      </w:r>
      <w:bookmarkEnd w:id="10"/>
      <w:bookmarkEnd w:id="11"/>
      <w:bookmarkEnd w:id="12"/>
      <w:bookmarkEnd w:id="13"/>
      <w:bookmarkEnd w:id="14"/>
    </w:p>
    <w:p w14:paraId="73ECCCF3" w14:textId="42E5103F" w:rsidR="005D2057" w:rsidRPr="009866A9" w:rsidRDefault="005D2057" w:rsidP="00F27AD6">
      <w:pPr>
        <w:autoSpaceDE w:val="0"/>
        <w:autoSpaceDN w:val="0"/>
        <w:adjustRightInd w:val="0"/>
        <w:rPr>
          <w:szCs w:val="24"/>
        </w:rPr>
      </w:pPr>
      <w:r w:rsidRPr="009233F9">
        <w:rPr>
          <w:rFonts w:eastAsia="Times New Roman" w:cs="Arial"/>
          <w:snapToGrid w:val="0"/>
          <w:szCs w:val="24"/>
        </w:rPr>
        <w:t xml:space="preserve">PASC recommended that the existing MBS item descriptor for </w:t>
      </w:r>
      <w:r w:rsidRPr="009447CA">
        <w:rPr>
          <w:szCs w:val="24"/>
          <w:vertAlign w:val="superscript"/>
        </w:rPr>
        <w:t>68</w:t>
      </w:r>
      <w:r w:rsidRPr="009233F9">
        <w:rPr>
          <w:szCs w:val="24"/>
        </w:rPr>
        <w:t>Ga</w:t>
      </w:r>
      <w:r w:rsidR="00B017D2">
        <w:rPr>
          <w:szCs w:val="24"/>
        </w:rPr>
        <w:t>-</w:t>
      </w:r>
      <w:r w:rsidRPr="009233F9">
        <w:rPr>
          <w:szCs w:val="24"/>
        </w:rPr>
        <w:t>DOTA</w:t>
      </w:r>
      <w:r w:rsidR="00B017D2">
        <w:rPr>
          <w:szCs w:val="24"/>
        </w:rPr>
        <w:t>-</w:t>
      </w:r>
      <w:r w:rsidRPr="009233F9">
        <w:rPr>
          <w:szCs w:val="24"/>
        </w:rPr>
        <w:t>peptide PET imaging</w:t>
      </w:r>
      <w:r w:rsidR="005068C8">
        <w:rPr>
          <w:szCs w:val="24"/>
        </w:rPr>
        <w:t xml:space="preserve"> </w:t>
      </w:r>
      <w:r w:rsidR="002B4975">
        <w:rPr>
          <w:szCs w:val="24"/>
        </w:rPr>
        <w:t>(</w:t>
      </w:r>
      <w:r w:rsidRPr="009233F9">
        <w:rPr>
          <w:szCs w:val="24"/>
        </w:rPr>
        <w:t>item 61647</w:t>
      </w:r>
      <w:r w:rsidR="002B4975">
        <w:rPr>
          <w:szCs w:val="24"/>
        </w:rPr>
        <w:t>)</w:t>
      </w:r>
      <w:r w:rsidR="00922B51">
        <w:rPr>
          <w:szCs w:val="24"/>
        </w:rPr>
        <w:t xml:space="preserve"> (</w:t>
      </w:r>
      <w:r w:rsidR="00922B51">
        <w:rPr>
          <w:szCs w:val="24"/>
        </w:rPr>
        <w:fldChar w:fldCharType="begin"/>
      </w:r>
      <w:r w:rsidR="00922B51">
        <w:rPr>
          <w:szCs w:val="24"/>
        </w:rPr>
        <w:instrText xml:space="preserve"> REF _Ref160035738 \h </w:instrText>
      </w:r>
      <w:r w:rsidR="00F27AD6">
        <w:rPr>
          <w:szCs w:val="24"/>
        </w:rPr>
        <w:instrText xml:space="preserve"> \* MERGEFORMAT </w:instrText>
      </w:r>
      <w:r w:rsidR="00922B51">
        <w:rPr>
          <w:szCs w:val="24"/>
        </w:rPr>
      </w:r>
      <w:r w:rsidR="00922B51">
        <w:rPr>
          <w:szCs w:val="24"/>
        </w:rPr>
        <w:fldChar w:fldCharType="separate"/>
      </w:r>
      <w:r w:rsidR="00674D5E" w:rsidRPr="00F65CC7">
        <w:t xml:space="preserve">Table </w:t>
      </w:r>
      <w:r w:rsidR="00674D5E">
        <w:rPr>
          <w:noProof/>
        </w:rPr>
        <w:t>1</w:t>
      </w:r>
      <w:r w:rsidR="00922B51">
        <w:rPr>
          <w:szCs w:val="24"/>
        </w:rPr>
        <w:fldChar w:fldCharType="end"/>
      </w:r>
      <w:r w:rsidR="00922B51">
        <w:rPr>
          <w:szCs w:val="24"/>
        </w:rPr>
        <w:t>)</w:t>
      </w:r>
      <w:r w:rsidR="005068C8">
        <w:rPr>
          <w:szCs w:val="24"/>
        </w:rPr>
        <w:t>,</w:t>
      </w:r>
      <w:r>
        <w:t xml:space="preserve"> </w:t>
      </w:r>
      <w:r w:rsidR="00124E3F">
        <w:rPr>
          <w:szCs w:val="24"/>
        </w:rPr>
        <w:t>would require</w:t>
      </w:r>
      <w:r w:rsidR="00124E3F" w:rsidRPr="009233F9">
        <w:rPr>
          <w:szCs w:val="24"/>
        </w:rPr>
        <w:t xml:space="preserve"> </w:t>
      </w:r>
      <w:r w:rsidRPr="009233F9">
        <w:rPr>
          <w:szCs w:val="24"/>
        </w:rPr>
        <w:t>revision</w:t>
      </w:r>
      <w:r w:rsidR="007B40E9">
        <w:rPr>
          <w:szCs w:val="24"/>
        </w:rPr>
        <w:t xml:space="preserve"> or </w:t>
      </w:r>
      <w:r w:rsidRPr="009233F9">
        <w:rPr>
          <w:szCs w:val="24"/>
        </w:rPr>
        <w:t>replacement</w:t>
      </w:r>
      <w:r w:rsidR="009B1B09">
        <w:rPr>
          <w:szCs w:val="24"/>
        </w:rPr>
        <w:t xml:space="preserve"> to accommodate the </w:t>
      </w:r>
      <w:r w:rsidR="00DF091F">
        <w:rPr>
          <w:rFonts w:cs="Calibri"/>
          <w:vertAlign w:val="superscript"/>
        </w:rPr>
        <w:t>68</w:t>
      </w:r>
      <w:r w:rsidR="00DF091F">
        <w:rPr>
          <w:rFonts w:cs="Calibri"/>
        </w:rPr>
        <w:t>Ga-DOTA-</w:t>
      </w:r>
      <w:r w:rsidR="00DF091F">
        <w:rPr>
          <w:rFonts w:cs="Calibri"/>
        </w:rPr>
        <w:lastRenderedPageBreak/>
        <w:t xml:space="preserve">octreotate PET/CT imaging proposed </w:t>
      </w:r>
      <w:r w:rsidR="00FE4229">
        <w:rPr>
          <w:rFonts w:cs="Calibri"/>
        </w:rPr>
        <w:t>in this application</w:t>
      </w:r>
      <w:r w:rsidRPr="009233F9">
        <w:rPr>
          <w:szCs w:val="24"/>
        </w:rPr>
        <w:t xml:space="preserve">. </w:t>
      </w:r>
      <w:r w:rsidRPr="009866A9">
        <w:rPr>
          <w:szCs w:val="24"/>
        </w:rPr>
        <w:t xml:space="preserve">Specifically, the relevant radiopharmaceutical product should be a </w:t>
      </w:r>
      <w:r w:rsidRPr="009866A9">
        <w:rPr>
          <w:szCs w:val="24"/>
          <w:vertAlign w:val="superscript"/>
        </w:rPr>
        <w:t>68</w:t>
      </w:r>
      <w:r w:rsidRPr="009866A9">
        <w:rPr>
          <w:szCs w:val="24"/>
        </w:rPr>
        <w:t>Ga-</w:t>
      </w:r>
      <w:r w:rsidR="00607D95">
        <w:rPr>
          <w:szCs w:val="24"/>
        </w:rPr>
        <w:t xml:space="preserve">DOTA-octreotate </w:t>
      </w:r>
      <w:r w:rsidRPr="009866A9">
        <w:rPr>
          <w:szCs w:val="24"/>
        </w:rPr>
        <w:t xml:space="preserve">or </w:t>
      </w:r>
      <w:r w:rsidR="00BD608B">
        <w:rPr>
          <w:szCs w:val="24"/>
        </w:rPr>
        <w:t>SSTR</w:t>
      </w:r>
      <w:r w:rsidRPr="009866A9">
        <w:rPr>
          <w:szCs w:val="24"/>
        </w:rPr>
        <w:t xml:space="preserve"> agonist (excludes SSTR antagonists) and indications should be amended to include:</w:t>
      </w:r>
    </w:p>
    <w:p w14:paraId="5E7F7518" w14:textId="7D2E2AF4" w:rsidR="005D2057" w:rsidRPr="009866A9" w:rsidRDefault="00950AB7"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l</w:t>
      </w:r>
      <w:r w:rsidR="005D2057" w:rsidRPr="009866A9">
        <w:rPr>
          <w:szCs w:val="24"/>
        </w:rPr>
        <w:t xml:space="preserve">ocalisation of functioning (hormonally active) NEN </w:t>
      </w:r>
      <w:r w:rsidR="00954A40">
        <w:rPr>
          <w:szCs w:val="24"/>
        </w:rPr>
        <w:t>w</w:t>
      </w:r>
      <w:r w:rsidR="005D2057" w:rsidRPr="009866A9">
        <w:rPr>
          <w:szCs w:val="24"/>
        </w:rPr>
        <w:t>hen conventional imaging is negative/equivocal</w:t>
      </w:r>
    </w:p>
    <w:p w14:paraId="5ABC0C6F" w14:textId="35206AFE" w:rsidR="005D2057" w:rsidRPr="009866A9" w:rsidRDefault="00950AB7"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s</w:t>
      </w:r>
      <w:r w:rsidR="005D2057" w:rsidRPr="009866A9">
        <w:rPr>
          <w:szCs w:val="24"/>
        </w:rPr>
        <w:t>taging of histologically confirmed NEN considered surgically curable on conventional imaging</w:t>
      </w:r>
    </w:p>
    <w:p w14:paraId="7B35DBAE" w14:textId="18CBDB5A" w:rsidR="005D2057" w:rsidRPr="009866A9" w:rsidRDefault="00950AB7"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e</w:t>
      </w:r>
      <w:r w:rsidR="005D2057" w:rsidRPr="009866A9">
        <w:rPr>
          <w:szCs w:val="24"/>
        </w:rPr>
        <w:t xml:space="preserve">valuation of somatostatin analogue (SSA) avidity (SSTR-2 expression) of NEN under consideration for </w:t>
      </w:r>
      <w:r w:rsidR="004F1ED7">
        <w:rPr>
          <w:szCs w:val="24"/>
        </w:rPr>
        <w:t>peptide receptor radionuclide therapy (</w:t>
      </w:r>
      <w:r w:rsidR="005D2057" w:rsidRPr="009866A9">
        <w:rPr>
          <w:szCs w:val="24"/>
        </w:rPr>
        <w:t>PRRT</w:t>
      </w:r>
      <w:r w:rsidR="004F1ED7">
        <w:rPr>
          <w:szCs w:val="24"/>
        </w:rPr>
        <w:t>)</w:t>
      </w:r>
    </w:p>
    <w:p w14:paraId="5C39AEDA" w14:textId="22F9825A" w:rsidR="005D2057" w:rsidRPr="009866A9" w:rsidRDefault="0039119B"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e</w:t>
      </w:r>
      <w:r w:rsidR="005D2057" w:rsidRPr="009866A9">
        <w:rPr>
          <w:szCs w:val="24"/>
        </w:rPr>
        <w:t>valuation of response to therapy</w:t>
      </w:r>
    </w:p>
    <w:p w14:paraId="2BF5B8CA" w14:textId="6C68DFCD" w:rsidR="005D2057" w:rsidRPr="009866A9" w:rsidRDefault="0039119B" w:rsidP="00D83E90">
      <w:pPr>
        <w:pStyle w:val="ListParagraph"/>
        <w:numPr>
          <w:ilvl w:val="1"/>
          <w:numId w:val="12"/>
        </w:numPr>
        <w:autoSpaceDE w:val="0"/>
        <w:autoSpaceDN w:val="0"/>
        <w:adjustRightInd w:val="0"/>
        <w:spacing w:before="0" w:after="200" w:line="276" w:lineRule="auto"/>
        <w:ind w:left="425" w:hanging="425"/>
        <w:rPr>
          <w:szCs w:val="24"/>
        </w:rPr>
      </w:pPr>
      <w:r>
        <w:rPr>
          <w:szCs w:val="24"/>
        </w:rPr>
        <w:t>e</w:t>
      </w:r>
      <w:r w:rsidR="005D2057" w:rsidRPr="009866A9">
        <w:rPr>
          <w:szCs w:val="24"/>
        </w:rPr>
        <w:t>valuation of suspected recurrent/metastatic disease in known SSA-avid (H-SSTR) NEN</w:t>
      </w:r>
      <w:r w:rsidR="00753E91">
        <w:rPr>
          <w:szCs w:val="24"/>
        </w:rPr>
        <w:t>.</w:t>
      </w:r>
    </w:p>
    <w:p w14:paraId="0CBEDDD3" w14:textId="463EA06A" w:rsidR="005D2057" w:rsidRPr="009866A9" w:rsidRDefault="005D2057" w:rsidP="00861788">
      <w:r w:rsidRPr="009866A9">
        <w:t xml:space="preserve">PASC </w:t>
      </w:r>
      <w:r>
        <w:t xml:space="preserve">also </w:t>
      </w:r>
      <w:r w:rsidRPr="009866A9">
        <w:t xml:space="preserve">noted that a revised item for whole body </w:t>
      </w:r>
      <w:r w:rsidRPr="009866A9">
        <w:rPr>
          <w:vertAlign w:val="superscript"/>
        </w:rPr>
        <w:t>68</w:t>
      </w:r>
      <w:r w:rsidRPr="009866A9">
        <w:t>Ga-DOTA-peptide PET study should allow referral by a specialist or consultant physician rather than restrict referrals to a</w:t>
      </w:r>
      <w:r w:rsidR="002A31B9">
        <w:t xml:space="preserve"> </w:t>
      </w:r>
      <w:r w:rsidR="002A31B9" w:rsidRPr="002A31B9">
        <w:t>multidisciplinary team</w:t>
      </w:r>
      <w:r w:rsidR="002A31B9" w:rsidRPr="002A31B9" w:rsidDel="002A31B9">
        <w:t xml:space="preserve"> </w:t>
      </w:r>
      <w:r w:rsidR="002A31B9">
        <w:t>(</w:t>
      </w:r>
      <w:r w:rsidRPr="009866A9">
        <w:t>MDT</w:t>
      </w:r>
      <w:r w:rsidR="002A31B9">
        <w:t>)</w:t>
      </w:r>
      <w:r w:rsidRPr="009866A9">
        <w:t>.</w:t>
      </w:r>
    </w:p>
    <w:p w14:paraId="5678EF9D" w14:textId="53C4A4CB" w:rsidR="00322952" w:rsidRPr="00322952" w:rsidRDefault="00322952" w:rsidP="00861788">
      <w:r w:rsidRPr="00322952">
        <w:t>Item 61647 is often billed with item 61505</w:t>
      </w:r>
      <w:r>
        <w:t xml:space="preserve"> (</w:t>
      </w:r>
      <w:r>
        <w:fldChar w:fldCharType="begin"/>
      </w:r>
      <w:r>
        <w:instrText xml:space="preserve"> REF _Ref160035738 \h  \* MERGEFORMAT </w:instrText>
      </w:r>
      <w:r>
        <w:fldChar w:fldCharType="separate"/>
      </w:r>
      <w:r w:rsidR="00674D5E" w:rsidRPr="00F65CC7">
        <w:t xml:space="preserve">Table </w:t>
      </w:r>
      <w:r w:rsidR="00674D5E">
        <w:t>1</w:t>
      </w:r>
      <w:r>
        <w:fldChar w:fldCharType="end"/>
      </w:r>
      <w:r>
        <w:t>)</w:t>
      </w:r>
      <w:r w:rsidRPr="00322952">
        <w:t xml:space="preserve"> </w:t>
      </w:r>
      <w:r w:rsidR="004E3717">
        <w:t xml:space="preserve">for a CT scan performed at the same time and covering the same body as PET. </w:t>
      </w:r>
      <w:r w:rsidR="00034FDF">
        <w:t>T</w:t>
      </w:r>
      <w:r w:rsidRPr="00322952">
        <w:t>he wording for item 61505 w</w:t>
      </w:r>
      <w:r w:rsidR="00034FDF">
        <w:t>ill</w:t>
      </w:r>
      <w:r w:rsidRPr="00322952">
        <w:t xml:space="preserve"> not require amendment. </w:t>
      </w:r>
    </w:p>
    <w:p w14:paraId="1150A339" w14:textId="362A4ECD" w:rsidR="005D2057" w:rsidRPr="009233F9" w:rsidRDefault="005D2057" w:rsidP="00861788">
      <w:r w:rsidRPr="009233F9">
        <w:t xml:space="preserve">The proposed new MBS </w:t>
      </w:r>
      <w:r w:rsidR="002A48D2">
        <w:t>i</w:t>
      </w:r>
      <w:r w:rsidRPr="009233F9">
        <w:t xml:space="preserve">tem for </w:t>
      </w:r>
      <w:r w:rsidRPr="009447CA">
        <w:rPr>
          <w:vertAlign w:val="superscript"/>
        </w:rPr>
        <w:t>68</w:t>
      </w:r>
      <w:r w:rsidRPr="009233F9">
        <w:t>Ga DOTA</w:t>
      </w:r>
      <w:r w:rsidR="00A05E45">
        <w:t>-</w:t>
      </w:r>
      <w:r w:rsidRPr="009233F9">
        <w:t>peptide PET to determine SSTR expression, suggested by PASC at the August 2023 meeting</w:t>
      </w:r>
      <w:r w:rsidR="00F24214">
        <w:t>,</w:t>
      </w:r>
      <w:r w:rsidRPr="009233F9">
        <w:t xml:space="preserve"> is below (</w:t>
      </w:r>
      <w:r w:rsidR="000D0A78">
        <w:fldChar w:fldCharType="begin"/>
      </w:r>
      <w:r w:rsidR="000D0A78">
        <w:instrText xml:space="preserve"> REF _Ref160035807 \h  \* MERGEFORMAT </w:instrText>
      </w:r>
      <w:r w:rsidR="000D0A78">
        <w:fldChar w:fldCharType="separate"/>
      </w:r>
      <w:r w:rsidR="00674D5E" w:rsidRPr="00F65CC7">
        <w:t xml:space="preserve">Table </w:t>
      </w:r>
      <w:r w:rsidR="00674D5E">
        <w:t>2</w:t>
      </w:r>
      <w:r w:rsidR="000D0A78">
        <w:fldChar w:fldCharType="end"/>
      </w:r>
      <w:r w:rsidRPr="009233F9">
        <w:t>).</w:t>
      </w:r>
      <w:r>
        <w:t xml:space="preserve"> The proposed new MBS item has the same fee as existing item 61647.</w:t>
      </w:r>
    </w:p>
    <w:p w14:paraId="06DD32A2" w14:textId="36DEDF51" w:rsidR="00576B1A" w:rsidRPr="00ED4E95" w:rsidRDefault="005D2057" w:rsidP="005068C8">
      <w:pPr>
        <w:pStyle w:val="Caption"/>
      </w:pPr>
      <w:bookmarkStart w:id="15" w:name="_Ref159953793"/>
      <w:bookmarkStart w:id="16" w:name="_Ref160035738"/>
      <w:bookmarkStart w:id="17" w:name="_Toc161842038"/>
      <w:r w:rsidRPr="00F65CC7">
        <w:t xml:space="preserve">Table </w:t>
      </w:r>
      <w:r w:rsidR="006D13BC">
        <w:fldChar w:fldCharType="begin"/>
      </w:r>
      <w:r w:rsidR="006D13BC">
        <w:instrText xml:space="preserve"> SEQ Table \* ARABIC </w:instrText>
      </w:r>
      <w:r w:rsidR="006D13BC">
        <w:fldChar w:fldCharType="separate"/>
      </w:r>
      <w:r w:rsidR="006D13BC">
        <w:rPr>
          <w:noProof/>
        </w:rPr>
        <w:t>1</w:t>
      </w:r>
      <w:r w:rsidR="006D13BC">
        <w:rPr>
          <w:noProof/>
        </w:rPr>
        <w:fldChar w:fldCharType="end"/>
      </w:r>
      <w:bookmarkEnd w:id="15"/>
      <w:bookmarkEnd w:id="16"/>
      <w:r w:rsidR="00A03258">
        <w:tab/>
      </w:r>
      <w:r w:rsidR="00576B1A" w:rsidRPr="00ED4E95">
        <w:t xml:space="preserve">Current MBS item for </w:t>
      </w:r>
      <w:r w:rsidR="00576B1A" w:rsidRPr="00ED4E95">
        <w:rPr>
          <w:vertAlign w:val="superscript"/>
        </w:rPr>
        <w:t>68</w:t>
      </w:r>
      <w:r w:rsidR="00576B1A" w:rsidRPr="00ED4E95">
        <w:t>Ga</w:t>
      </w:r>
      <w:r w:rsidR="00576B1A">
        <w:t xml:space="preserve"> </w:t>
      </w:r>
      <w:r w:rsidR="00576B1A" w:rsidRPr="00ED4E95">
        <w:t>DOTA</w:t>
      </w:r>
      <w:r w:rsidR="00A05E45">
        <w:t>-</w:t>
      </w:r>
      <w:r w:rsidR="00576B1A">
        <w:t xml:space="preserve">peptide </w:t>
      </w:r>
      <w:r w:rsidR="00576B1A" w:rsidRPr="00ED4E95">
        <w:t>PET</w:t>
      </w:r>
      <w:bookmarkEnd w:id="17"/>
      <w:r w:rsidR="00576B1A" w:rsidRPr="00ED4E95">
        <w:t xml:space="preserve"> </w:t>
      </w:r>
    </w:p>
    <w:tbl>
      <w:tblPr>
        <w:tblStyle w:val="TableGrid"/>
        <w:tblW w:w="5000" w:type="pct"/>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5068C8" w:rsidRPr="00ED4E95" w14:paraId="2A4AD7BA"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hideMark/>
          </w:tcPr>
          <w:p w14:paraId="71B0E4EA" w14:textId="47720F19" w:rsidR="005068C8" w:rsidRPr="00922B1C" w:rsidRDefault="005068C8" w:rsidP="00ED0F7E">
            <w:pPr>
              <w:pStyle w:val="TableHeading0"/>
              <w:rPr>
                <w:b w:val="0"/>
                <w:bCs/>
                <w:szCs w:val="20"/>
              </w:rPr>
            </w:pPr>
            <w:r w:rsidRPr="00ED4E95">
              <w:t xml:space="preserve">Category 5 – Diagnostic </w:t>
            </w:r>
            <w:r w:rsidRPr="00ED4E95">
              <w:rPr>
                <w:bCs/>
                <w:szCs w:val="20"/>
              </w:rPr>
              <w:t>Imaging Services</w:t>
            </w:r>
          </w:p>
        </w:tc>
      </w:tr>
      <w:tr w:rsidR="00576B1A" w:rsidRPr="00ED4E95" w14:paraId="0A54FE99"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tcPr>
          <w:p w14:paraId="4C987E65" w14:textId="77777777" w:rsidR="00576B1A" w:rsidRPr="00ED4E95" w:rsidRDefault="00576B1A" w:rsidP="00ED0F7E">
            <w:pPr>
              <w:pStyle w:val="TableText"/>
              <w:rPr>
                <w:szCs w:val="20"/>
              </w:rPr>
            </w:pPr>
            <w:r w:rsidRPr="00ED4E95">
              <w:t>MBS item 61647</w:t>
            </w:r>
          </w:p>
          <w:p w14:paraId="1135B68C" w14:textId="62C0F05E" w:rsidR="00576B1A" w:rsidRPr="00ED4E95" w:rsidRDefault="00576B1A" w:rsidP="00ED0F7E">
            <w:pPr>
              <w:pStyle w:val="TableText"/>
              <w:rPr>
                <w:szCs w:val="20"/>
              </w:rPr>
            </w:pPr>
            <w:r w:rsidRPr="00ED4E95">
              <w:t xml:space="preserve">Whole body </w:t>
            </w:r>
            <w:r w:rsidRPr="00ED4E95">
              <w:rPr>
                <w:szCs w:val="20"/>
                <w:vertAlign w:val="superscript"/>
              </w:rPr>
              <w:t>68</w:t>
            </w:r>
            <w:r w:rsidRPr="00ED4E95">
              <w:rPr>
                <w:szCs w:val="20"/>
              </w:rPr>
              <w:t>Ga DOTA</w:t>
            </w:r>
            <w:r w:rsidR="00A05E45">
              <w:rPr>
                <w:szCs w:val="20"/>
              </w:rPr>
              <w:t>-</w:t>
            </w:r>
            <w:r w:rsidRPr="00ED4E95">
              <w:rPr>
                <w:szCs w:val="20"/>
              </w:rPr>
              <w:t>peptide PET study, if:</w:t>
            </w:r>
          </w:p>
          <w:p w14:paraId="54A8C1C5" w14:textId="77777777" w:rsidR="00576B1A" w:rsidRPr="00ED4E95" w:rsidRDefault="00576B1A" w:rsidP="00ED0F7E">
            <w:pPr>
              <w:pStyle w:val="TableText"/>
              <w:rPr>
                <w:szCs w:val="20"/>
              </w:rPr>
            </w:pPr>
            <w:r w:rsidRPr="00ED4E95">
              <w:t xml:space="preserve">(a) a gastro </w:t>
            </w:r>
            <w:proofErr w:type="spellStart"/>
            <w:r w:rsidRPr="00ED4E95">
              <w:t>entero</w:t>
            </w:r>
            <w:proofErr w:type="spellEnd"/>
            <w:r w:rsidRPr="00ED4E95">
              <w:t xml:space="preserve"> pancreatic neuroendocrine tumour is suspected </w:t>
            </w:r>
            <w:bookmarkStart w:id="18" w:name="_Int_bz0AuhPI"/>
            <w:proofErr w:type="gramStart"/>
            <w:r w:rsidRPr="00ED4E95">
              <w:t>on the basis of</w:t>
            </w:r>
            <w:bookmarkEnd w:id="18"/>
            <w:proofErr w:type="gramEnd"/>
            <w:r w:rsidRPr="00ED4E95">
              <w:t xml:space="preserve"> biochemical evidence with negative or equivocal conventional imaging; or</w:t>
            </w:r>
          </w:p>
          <w:p w14:paraId="691E8326" w14:textId="77777777" w:rsidR="00576B1A" w:rsidRPr="00ED4E95" w:rsidRDefault="00576B1A" w:rsidP="00ED0F7E">
            <w:pPr>
              <w:pStyle w:val="TableText"/>
              <w:rPr>
                <w:szCs w:val="20"/>
              </w:rPr>
            </w:pPr>
            <w:r w:rsidRPr="00ED4E95">
              <w:t>(b) both:</w:t>
            </w:r>
          </w:p>
          <w:p w14:paraId="529A27D0" w14:textId="77777777" w:rsidR="00576B1A" w:rsidRPr="00ED4E95" w:rsidRDefault="00576B1A" w:rsidP="00ED0F7E">
            <w:pPr>
              <w:pStyle w:val="TableText"/>
              <w:rPr>
                <w:szCs w:val="20"/>
              </w:rPr>
            </w:pPr>
            <w:r w:rsidRPr="00ED4E95">
              <w:t>(</w:t>
            </w:r>
            <w:proofErr w:type="spellStart"/>
            <w:r w:rsidRPr="00ED4E95">
              <w:t>i</w:t>
            </w:r>
            <w:proofErr w:type="spellEnd"/>
            <w:r w:rsidRPr="00ED4E95">
              <w:t xml:space="preserve">) a surgically amenable gastro </w:t>
            </w:r>
            <w:proofErr w:type="spellStart"/>
            <w:r w:rsidRPr="00ED4E95">
              <w:t>entero</w:t>
            </w:r>
            <w:proofErr w:type="spellEnd"/>
            <w:r w:rsidRPr="00ED4E95">
              <w:t xml:space="preserve"> pancreatic neuroendocrine tumour has been identified </w:t>
            </w:r>
            <w:bookmarkStart w:id="19" w:name="_Int_dALXl1Yt"/>
            <w:proofErr w:type="gramStart"/>
            <w:r w:rsidRPr="00ED4E95">
              <w:t>on the basis of</w:t>
            </w:r>
            <w:bookmarkEnd w:id="19"/>
            <w:proofErr w:type="gramEnd"/>
            <w:r w:rsidRPr="00ED4E95">
              <w:t xml:space="preserve"> conventional techniques; and</w:t>
            </w:r>
          </w:p>
          <w:p w14:paraId="63E2AEB3" w14:textId="473C5D72" w:rsidR="00576B1A" w:rsidRPr="00922B1C" w:rsidRDefault="00576B1A" w:rsidP="00ED0F7E">
            <w:pPr>
              <w:pStyle w:val="TableText"/>
              <w:rPr>
                <w:szCs w:val="20"/>
              </w:rPr>
            </w:pPr>
            <w:r w:rsidRPr="00ED4E95">
              <w:t>(ii) the study is for excluding additional disease sites (R)</w:t>
            </w:r>
          </w:p>
        </w:tc>
      </w:tr>
      <w:tr w:rsidR="005068C8" w:rsidRPr="00ED4E95" w14:paraId="42CA018B"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vAlign w:val="center"/>
          </w:tcPr>
          <w:p w14:paraId="1CD21706" w14:textId="0BC062D1" w:rsidR="005068C8" w:rsidRPr="00922B1C" w:rsidRDefault="005068C8" w:rsidP="00ED0F7E">
            <w:pPr>
              <w:pStyle w:val="TableText"/>
              <w:rPr>
                <w:szCs w:val="20"/>
              </w:rPr>
            </w:pPr>
            <w:r w:rsidRPr="00ED4E95">
              <w:t>Fee: $953.00</w:t>
            </w:r>
          </w:p>
        </w:tc>
      </w:tr>
      <w:tr w:rsidR="00576B1A" w:rsidRPr="00ED4E95" w14:paraId="48ACD1F9"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hideMark/>
          </w:tcPr>
          <w:p w14:paraId="5AAA0C75" w14:textId="77777777" w:rsidR="00576B1A" w:rsidRPr="00ED4E95" w:rsidRDefault="00576B1A" w:rsidP="00ED0F7E">
            <w:pPr>
              <w:pStyle w:val="TableHeading0"/>
              <w:rPr>
                <w:b w:val="0"/>
                <w:bCs/>
                <w:i/>
                <w:iCs/>
                <w:szCs w:val="20"/>
              </w:rPr>
            </w:pPr>
            <w:r w:rsidRPr="00ED4E95">
              <w:t>Category 5 – Diagnostic Imaging Services</w:t>
            </w:r>
          </w:p>
        </w:tc>
      </w:tr>
      <w:tr w:rsidR="00576B1A" w:rsidRPr="00ED4E95" w14:paraId="18E3C872"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tcPr>
          <w:p w14:paraId="290025C2" w14:textId="77777777" w:rsidR="00576B1A" w:rsidRPr="00ED4E95" w:rsidRDefault="00576B1A" w:rsidP="00ED0F7E">
            <w:pPr>
              <w:pStyle w:val="TableText"/>
              <w:rPr>
                <w:szCs w:val="20"/>
              </w:rPr>
            </w:pPr>
            <w:r w:rsidRPr="00ED4E95">
              <w:t xml:space="preserve">MBS item </w:t>
            </w:r>
            <w:r w:rsidRPr="00ED4E95">
              <w:rPr>
                <w:szCs w:val="20"/>
              </w:rPr>
              <w:t>61505</w:t>
            </w:r>
          </w:p>
          <w:p w14:paraId="05B55753" w14:textId="77777777" w:rsidR="00576B1A" w:rsidRPr="00ED4E95" w:rsidRDefault="00576B1A" w:rsidP="00ED0F7E">
            <w:pPr>
              <w:pStyle w:val="TableText"/>
              <w:rPr>
                <w:i/>
                <w:iCs/>
                <w:szCs w:val="20"/>
              </w:rPr>
            </w:pPr>
            <w:r w:rsidRPr="00ED4E95">
              <w:t xml:space="preserve">CT scan performed at the same time and covering the same body area as single photon emission tomography or positron emission tomography for the purpose of anatomic localisation or attenuation correction if no separate diagnostic CT report is </w:t>
            </w:r>
            <w:r w:rsidRPr="00ED4E95">
              <w:rPr>
                <w:szCs w:val="20"/>
              </w:rPr>
              <w:t>issued and performed in association with a service to which an item in Subgroup 1 or 2 of Group I4 applies (R)</w:t>
            </w:r>
          </w:p>
        </w:tc>
      </w:tr>
      <w:tr w:rsidR="00576B1A" w:rsidRPr="00ED4E95" w14:paraId="518945F6" w14:textId="77777777" w:rsidTr="003D57E3">
        <w:trPr>
          <w:cantSplit/>
          <w:tblHeader/>
        </w:trPr>
        <w:tc>
          <w:tcPr>
            <w:tcW w:w="5000" w:type="pct"/>
            <w:tcBorders>
              <w:top w:val="single" w:sz="4" w:space="0" w:color="auto"/>
              <w:left w:val="single" w:sz="4" w:space="0" w:color="auto"/>
              <w:bottom w:val="single" w:sz="4" w:space="0" w:color="auto"/>
              <w:right w:val="single" w:sz="4" w:space="0" w:color="auto"/>
            </w:tcBorders>
            <w:vAlign w:val="center"/>
          </w:tcPr>
          <w:p w14:paraId="758D8737" w14:textId="77777777" w:rsidR="00576B1A" w:rsidRPr="00ED4E95" w:rsidRDefault="00576B1A" w:rsidP="00ED0F7E">
            <w:pPr>
              <w:pStyle w:val="TableText"/>
              <w:rPr>
                <w:i/>
                <w:iCs/>
                <w:szCs w:val="20"/>
              </w:rPr>
            </w:pPr>
            <w:r w:rsidRPr="00ED4E95">
              <w:t>Fee: $100.00</w:t>
            </w:r>
          </w:p>
        </w:tc>
      </w:tr>
    </w:tbl>
    <w:p w14:paraId="34E3EC7B" w14:textId="1EE9424A" w:rsidR="00576B1A" w:rsidRDefault="00576B1A" w:rsidP="00861788">
      <w:pPr>
        <w:pStyle w:val="Tablenotes0"/>
      </w:pPr>
      <w:r w:rsidRPr="00A03258">
        <w:t>Abbreviations</w:t>
      </w:r>
      <w:r w:rsidRPr="00ED4E95">
        <w:t>: CT = computerised tomography; Ga = Gallium; MBS = Medicare Benefits Schedule; PET = positron emission tomography</w:t>
      </w:r>
    </w:p>
    <w:p w14:paraId="3335179C" w14:textId="0AAFC6F8" w:rsidR="00A84EA8" w:rsidRDefault="00A84EA8" w:rsidP="00861788">
      <w:pPr>
        <w:pStyle w:val="Tablenotes0"/>
      </w:pPr>
      <w:r w:rsidRPr="00ED4E95">
        <w:t>Source: MBS online</w:t>
      </w:r>
    </w:p>
    <w:p w14:paraId="5D9284B1" w14:textId="6BC1A1BD" w:rsidR="005D2057" w:rsidRPr="009233F9" w:rsidRDefault="005D2057" w:rsidP="00946EDC">
      <w:pPr>
        <w:pStyle w:val="Caption"/>
        <w:keepLines/>
        <w:rPr>
          <w:rFonts w:cs="Calibri"/>
          <w:lang w:val="en-GB" w:eastAsia="ja-JP"/>
        </w:rPr>
      </w:pPr>
      <w:bookmarkStart w:id="20" w:name="_Ref160035807"/>
      <w:bookmarkStart w:id="21" w:name="_Toc161842039"/>
      <w:r w:rsidRPr="00F65CC7">
        <w:lastRenderedPageBreak/>
        <w:t xml:space="preserve">Table </w:t>
      </w:r>
      <w:r w:rsidR="006D13BC">
        <w:fldChar w:fldCharType="begin"/>
      </w:r>
      <w:r w:rsidR="006D13BC">
        <w:instrText xml:space="preserve"> SEQ Table \* ARABIC </w:instrText>
      </w:r>
      <w:r w:rsidR="006D13BC">
        <w:fldChar w:fldCharType="separate"/>
      </w:r>
      <w:r w:rsidR="006D13BC">
        <w:rPr>
          <w:noProof/>
        </w:rPr>
        <w:t>2</w:t>
      </w:r>
      <w:r w:rsidR="006D13BC">
        <w:rPr>
          <w:noProof/>
        </w:rPr>
        <w:fldChar w:fldCharType="end"/>
      </w:r>
      <w:bookmarkEnd w:id="20"/>
      <w:r w:rsidR="00A03258">
        <w:tab/>
      </w:r>
      <w:r w:rsidRPr="009233F9">
        <w:rPr>
          <w:rFonts w:cs="Calibri"/>
          <w:lang w:val="en-GB" w:eastAsia="ja-JP"/>
        </w:rPr>
        <w:t xml:space="preserve">Proposed </w:t>
      </w:r>
      <w:r w:rsidRPr="00F65CC7">
        <w:rPr>
          <w:rFonts w:cs="Calibri"/>
          <w:lang w:val="en-GB" w:eastAsia="ja-JP"/>
        </w:rPr>
        <w:t>item descriptor</w:t>
      </w:r>
      <w:r w:rsidRPr="009233F9">
        <w:rPr>
          <w:rFonts w:cs="Calibri"/>
          <w:lang w:val="en-GB" w:eastAsia="ja-JP"/>
        </w:rPr>
        <w:t xml:space="preserve"> for </w:t>
      </w:r>
      <w:r w:rsidRPr="009233F9">
        <w:rPr>
          <w:rFonts w:cs="Calibri"/>
          <w:vertAlign w:val="superscript"/>
          <w:lang w:val="en-GB" w:eastAsia="ja-JP"/>
        </w:rPr>
        <w:t>68</w:t>
      </w:r>
      <w:r w:rsidRPr="009233F9">
        <w:rPr>
          <w:rFonts w:cs="Calibri"/>
          <w:lang w:val="en-GB" w:eastAsia="ja-JP"/>
        </w:rPr>
        <w:t>Ga DOTA</w:t>
      </w:r>
      <w:r w:rsidR="00A05E45">
        <w:rPr>
          <w:rFonts w:cs="Calibri"/>
          <w:lang w:val="en-GB" w:eastAsia="ja-JP"/>
        </w:rPr>
        <w:t>-</w:t>
      </w:r>
      <w:r w:rsidRPr="009233F9">
        <w:rPr>
          <w:rFonts w:cs="Calibri"/>
          <w:lang w:val="en-GB" w:eastAsia="ja-JP"/>
        </w:rPr>
        <w:t>peptide PET Study to determine SSTR expression</w:t>
      </w:r>
      <w:bookmarkEnd w:id="21"/>
    </w:p>
    <w:tbl>
      <w:tblPr>
        <w:tblStyle w:val="ASDTable8"/>
        <w:tblW w:w="0" w:type="auto"/>
        <w:tblInd w:w="0" w:type="dxa"/>
        <w:tblLook w:val="04A0" w:firstRow="1" w:lastRow="0" w:firstColumn="1" w:lastColumn="0" w:noHBand="0" w:noVBand="1"/>
      </w:tblPr>
      <w:tblGrid>
        <w:gridCol w:w="9016"/>
      </w:tblGrid>
      <w:tr w:rsidR="005D2057" w:rsidRPr="009233F9" w14:paraId="7256E124" w14:textId="77777777">
        <w:tc>
          <w:tcPr>
            <w:tcW w:w="0" w:type="auto"/>
          </w:tcPr>
          <w:p w14:paraId="58F962F9" w14:textId="77777777" w:rsidR="005D2057" w:rsidRPr="009233F9" w:rsidRDefault="005D2057" w:rsidP="00946EDC">
            <w:pPr>
              <w:pStyle w:val="TableHeading0"/>
              <w:keepNext/>
              <w:keepLines/>
            </w:pPr>
            <w:r w:rsidRPr="009233F9">
              <w:t>Category 5 – Diagnostic Imaging Services</w:t>
            </w:r>
          </w:p>
        </w:tc>
      </w:tr>
      <w:tr w:rsidR="005D2057" w:rsidRPr="009233F9" w14:paraId="64B8038D" w14:textId="77777777">
        <w:tc>
          <w:tcPr>
            <w:tcW w:w="0" w:type="auto"/>
          </w:tcPr>
          <w:p w14:paraId="0A08177F" w14:textId="695F501F" w:rsidR="005D2057" w:rsidRPr="009233F9" w:rsidRDefault="005D2057" w:rsidP="00946EDC">
            <w:pPr>
              <w:pStyle w:val="TableText"/>
              <w:keepNext/>
              <w:keepLines/>
              <w:rPr>
                <w:rFonts w:eastAsia="Calibri" w:cs="Calibri"/>
                <w:szCs w:val="20"/>
              </w:rPr>
            </w:pPr>
            <w:r w:rsidRPr="009233F9">
              <w:t xml:space="preserve">MBS </w:t>
            </w:r>
            <w:r w:rsidR="002A48D2">
              <w:rPr>
                <w:rFonts w:eastAsia="Calibri" w:cs="Calibri"/>
                <w:szCs w:val="20"/>
              </w:rPr>
              <w:t>i</w:t>
            </w:r>
            <w:r w:rsidRPr="009233F9">
              <w:rPr>
                <w:rFonts w:eastAsia="Calibri" w:cs="Calibri"/>
                <w:szCs w:val="20"/>
              </w:rPr>
              <w:t xml:space="preserve">tem </w:t>
            </w:r>
            <w:r w:rsidR="009B0252">
              <w:rPr>
                <w:rFonts w:eastAsia="Calibri" w:cs="Calibri"/>
                <w:szCs w:val="20"/>
              </w:rPr>
              <w:t>[item number]</w:t>
            </w:r>
          </w:p>
          <w:p w14:paraId="737A0886" w14:textId="616F5BFE" w:rsidR="005D2057" w:rsidRPr="009233F9" w:rsidRDefault="005D2057" w:rsidP="00946EDC">
            <w:pPr>
              <w:pStyle w:val="TableText"/>
              <w:keepNext/>
              <w:keepLines/>
              <w:rPr>
                <w:rFonts w:eastAsia="Calibri" w:cs="Calibri"/>
                <w:szCs w:val="20"/>
              </w:rPr>
            </w:pPr>
            <w:r w:rsidRPr="009233F9">
              <w:t xml:space="preserve">Whole body </w:t>
            </w:r>
            <w:r w:rsidRPr="009233F9">
              <w:rPr>
                <w:rFonts w:eastAsia="Calibri" w:cs="Calibri"/>
                <w:szCs w:val="20"/>
                <w:vertAlign w:val="superscript"/>
              </w:rPr>
              <w:t>68</w:t>
            </w:r>
            <w:r w:rsidRPr="009233F9">
              <w:rPr>
                <w:rFonts w:eastAsia="Calibri" w:cs="Calibri"/>
                <w:szCs w:val="20"/>
              </w:rPr>
              <w:t>Ga-</w:t>
            </w:r>
            <w:r w:rsidR="00607D95">
              <w:rPr>
                <w:rFonts w:eastAsia="Calibri" w:cs="Calibri"/>
                <w:szCs w:val="20"/>
              </w:rPr>
              <w:t xml:space="preserve">DOTA-octreotate </w:t>
            </w:r>
            <w:r w:rsidRPr="009233F9">
              <w:rPr>
                <w:rFonts w:eastAsia="Calibri" w:cs="Calibri"/>
                <w:szCs w:val="20"/>
              </w:rPr>
              <w:t>or somatostatin receptor agonist PET study of patients with histologically confirmed, locally advanced or metastatic, and inoperable neuroendocrine neoplasms (NENs) with</w:t>
            </w:r>
          </w:p>
          <w:p w14:paraId="2BA5EF06" w14:textId="476C2A83" w:rsidR="005D2057" w:rsidRPr="009233F9" w:rsidRDefault="005D2057" w:rsidP="00946EDC">
            <w:pPr>
              <w:pStyle w:val="TableText"/>
              <w:keepNext/>
              <w:keepLines/>
              <w:numPr>
                <w:ilvl w:val="0"/>
                <w:numId w:val="18"/>
              </w:numPr>
              <w:rPr>
                <w:rFonts w:eastAsia="Calibri" w:cs="Calibri"/>
                <w:szCs w:val="20"/>
              </w:rPr>
            </w:pPr>
            <w:r w:rsidRPr="009233F9">
              <w:t>Localisation of functioning (hormonally active) NEN when conventional imaging negative or equivocal; or</w:t>
            </w:r>
          </w:p>
          <w:p w14:paraId="17CF73DA" w14:textId="77777777" w:rsidR="005D2057" w:rsidRPr="009233F9" w:rsidRDefault="005D2057" w:rsidP="00946EDC">
            <w:pPr>
              <w:pStyle w:val="TableText"/>
              <w:keepNext/>
              <w:keepLines/>
              <w:numPr>
                <w:ilvl w:val="0"/>
                <w:numId w:val="18"/>
              </w:numPr>
              <w:rPr>
                <w:rFonts w:eastAsia="Calibri" w:cs="Calibri"/>
                <w:szCs w:val="20"/>
              </w:rPr>
            </w:pPr>
            <w:r w:rsidRPr="009233F9">
              <w:t>Staging of histologically confirmed NEN considered surgically curable on conventional imaging, or</w:t>
            </w:r>
          </w:p>
          <w:p w14:paraId="0C9C2E4B" w14:textId="77777777" w:rsidR="005D2057" w:rsidRPr="009233F9" w:rsidRDefault="005D2057" w:rsidP="00946EDC">
            <w:pPr>
              <w:pStyle w:val="TableText"/>
              <w:keepNext/>
              <w:keepLines/>
              <w:numPr>
                <w:ilvl w:val="0"/>
                <w:numId w:val="18"/>
              </w:numPr>
              <w:rPr>
                <w:rFonts w:eastAsia="Calibri" w:cs="Calibri"/>
                <w:szCs w:val="20"/>
              </w:rPr>
            </w:pPr>
            <w:r w:rsidRPr="009233F9">
              <w:t>Evaluation of somatostatin analogue (SSA) avidity (SSTR-2 expression)</w:t>
            </w:r>
            <w:r w:rsidRPr="009233F9">
              <w:rPr>
                <w:rFonts w:eastAsia="Calibri" w:cs="Calibri"/>
                <w:szCs w:val="20"/>
              </w:rPr>
              <w:t xml:space="preserve"> of NEN under consideration for peptide receptor radionuclide therapy (PRRT); or</w:t>
            </w:r>
          </w:p>
          <w:p w14:paraId="60C6C508" w14:textId="77777777" w:rsidR="00AA3FA7" w:rsidRPr="00AA3FA7" w:rsidRDefault="005D2057" w:rsidP="00946EDC">
            <w:pPr>
              <w:pStyle w:val="TableText"/>
              <w:keepNext/>
              <w:keepLines/>
              <w:numPr>
                <w:ilvl w:val="0"/>
                <w:numId w:val="18"/>
              </w:numPr>
              <w:rPr>
                <w:rFonts w:eastAsia="Calibri" w:cs="Calibri"/>
                <w:szCs w:val="20"/>
              </w:rPr>
            </w:pPr>
            <w:r w:rsidRPr="009233F9">
              <w:t>Evaluation of response to PRRT therapy; or</w:t>
            </w:r>
          </w:p>
          <w:p w14:paraId="0533AE5A" w14:textId="603B5F60" w:rsidR="005D2057" w:rsidRPr="009233F9" w:rsidRDefault="005D2057" w:rsidP="00946EDC">
            <w:pPr>
              <w:pStyle w:val="TableText"/>
              <w:keepNext/>
              <w:keepLines/>
              <w:numPr>
                <w:ilvl w:val="0"/>
                <w:numId w:val="18"/>
              </w:numPr>
              <w:rPr>
                <w:rFonts w:eastAsia="Calibri" w:cs="Calibri"/>
                <w:szCs w:val="20"/>
              </w:rPr>
            </w:pPr>
            <w:r w:rsidRPr="009233F9">
              <w:t>Evaluation of suspected recurrent/metastatic disease in known SSA-avid (H-SSTR) NEN</w:t>
            </w:r>
            <w:r w:rsidRPr="009233F9">
              <w:rPr>
                <w:rFonts w:eastAsia="Calibri" w:cs="Calibri"/>
                <w:szCs w:val="20"/>
              </w:rPr>
              <w:t xml:space="preserve">. </w:t>
            </w:r>
          </w:p>
          <w:p w14:paraId="2AB45F47" w14:textId="2F8FF084" w:rsidR="005D2057" w:rsidRPr="009233F9" w:rsidRDefault="005D2057" w:rsidP="00946EDC">
            <w:pPr>
              <w:pStyle w:val="TableText"/>
              <w:keepNext/>
              <w:keepLines/>
            </w:pPr>
            <w:r w:rsidRPr="009233F9">
              <w:t xml:space="preserve">when referred by a specialist or consultant physician. </w:t>
            </w:r>
          </w:p>
        </w:tc>
      </w:tr>
      <w:tr w:rsidR="005D2057" w:rsidRPr="009233F9" w14:paraId="325CC7CE" w14:textId="77777777">
        <w:tc>
          <w:tcPr>
            <w:tcW w:w="0" w:type="auto"/>
          </w:tcPr>
          <w:p w14:paraId="026D337C" w14:textId="77777777" w:rsidR="005D2057" w:rsidRPr="009233F9" w:rsidRDefault="005D2057" w:rsidP="00946EDC">
            <w:pPr>
              <w:pStyle w:val="TableText"/>
              <w:keepNext/>
              <w:keepLines/>
            </w:pPr>
            <w:r w:rsidRPr="009233F9">
              <w:t>Fee: $953.00</w:t>
            </w:r>
          </w:p>
        </w:tc>
      </w:tr>
    </w:tbl>
    <w:p w14:paraId="352C689C" w14:textId="423CD256" w:rsidR="004D4D45" w:rsidRDefault="0093527F" w:rsidP="00946EDC">
      <w:pPr>
        <w:pStyle w:val="Tablenotes0"/>
        <w:keepNext/>
        <w:keepLines/>
      </w:pPr>
      <w:r>
        <w:t>Abbreviations:</w:t>
      </w:r>
      <w:r w:rsidRPr="0093527F">
        <w:t xml:space="preserve"> </w:t>
      </w:r>
      <w:r w:rsidRPr="00ED4E95">
        <w:t xml:space="preserve">Ga = Gallium; MBS = Medicare Benefits Schedule; </w:t>
      </w:r>
      <w:r w:rsidR="00464021">
        <w:t xml:space="preserve">NEN = </w:t>
      </w:r>
      <w:r w:rsidR="00464021" w:rsidRPr="00FD6F5E">
        <w:t xml:space="preserve">neuroendocrine neoplasm; </w:t>
      </w:r>
      <w:r w:rsidR="00B321BB" w:rsidRPr="00FD6F5E">
        <w:t>PRRT = peptide receptor radionuclide therapy;</w:t>
      </w:r>
      <w:r w:rsidR="00464021" w:rsidRPr="00FD6F5E">
        <w:t xml:space="preserve"> </w:t>
      </w:r>
      <w:r w:rsidRPr="00ED4E95">
        <w:t>PET = positron emission tomography;</w:t>
      </w:r>
      <w:r w:rsidR="00FA0284">
        <w:t xml:space="preserve"> SSA = somatostatin analogue;</w:t>
      </w:r>
      <w:r w:rsidRPr="00ED4E95">
        <w:t xml:space="preserve"> SSTR = somatostatin receptor</w:t>
      </w:r>
    </w:p>
    <w:p w14:paraId="0856FA2E" w14:textId="57024870" w:rsidR="00A84EA8" w:rsidRPr="00ED4E95" w:rsidRDefault="00A84EA8" w:rsidP="00FD6F5E">
      <w:pPr>
        <w:pStyle w:val="Tablenotes0"/>
      </w:pPr>
      <w:r w:rsidRPr="00ED4E95">
        <w:t xml:space="preserve">Source: </w:t>
      </w:r>
      <w:r>
        <w:t>Ratified PICO</w:t>
      </w:r>
    </w:p>
    <w:p w14:paraId="75087CA8" w14:textId="7EF768C8" w:rsidR="005D2057" w:rsidRDefault="005D2057" w:rsidP="002C6E7D">
      <w:pPr>
        <w:pStyle w:val="Heading3"/>
        <w:rPr>
          <w:snapToGrid w:val="0"/>
        </w:rPr>
      </w:pPr>
      <w:bookmarkStart w:id="22" w:name="_Toc161841933"/>
      <w:bookmarkStart w:id="23" w:name="_Toc165239039"/>
      <w:bookmarkStart w:id="24" w:name="_Toc165271869"/>
      <w:bookmarkStart w:id="25" w:name="_Toc165274295"/>
      <w:bookmarkStart w:id="26" w:name="_Toc165275518"/>
      <w:r>
        <w:rPr>
          <w:snapToGrid w:val="0"/>
        </w:rPr>
        <w:t xml:space="preserve">New </w:t>
      </w:r>
      <w:r w:rsidRPr="004979E3">
        <w:rPr>
          <w:snapToGrid w:val="0"/>
        </w:rPr>
        <w:t xml:space="preserve">MBS item for </w:t>
      </w:r>
      <w:r w:rsidRPr="00A14248">
        <w:rPr>
          <w:snapToGrid w:val="0"/>
          <w:vertAlign w:val="superscript"/>
        </w:rPr>
        <w:t>177</w:t>
      </w:r>
      <w:r w:rsidRPr="004979E3">
        <w:rPr>
          <w:snapToGrid w:val="0"/>
        </w:rPr>
        <w:t>Lu-</w:t>
      </w:r>
      <w:r w:rsidR="00607D95">
        <w:rPr>
          <w:snapToGrid w:val="0"/>
        </w:rPr>
        <w:t>DOTA-octreotate</w:t>
      </w:r>
      <w:bookmarkEnd w:id="22"/>
      <w:bookmarkEnd w:id="23"/>
      <w:bookmarkEnd w:id="24"/>
      <w:bookmarkEnd w:id="25"/>
      <w:bookmarkEnd w:id="26"/>
      <w:r w:rsidR="00607D95">
        <w:rPr>
          <w:snapToGrid w:val="0"/>
        </w:rPr>
        <w:t xml:space="preserve"> </w:t>
      </w:r>
    </w:p>
    <w:p w14:paraId="5FAA4802" w14:textId="64DF2852" w:rsidR="00DB69E2" w:rsidRDefault="0075756F" w:rsidP="005D2057">
      <w:pPr>
        <w:pStyle w:val="Instructionaltext"/>
        <w:rPr>
          <w:color w:val="auto"/>
        </w:rPr>
      </w:pPr>
      <w:r>
        <w:rPr>
          <w:rFonts w:eastAsia="Times New Roman" w:cs="Arial"/>
          <w:snapToGrid w:val="0"/>
          <w:color w:val="auto"/>
          <w:szCs w:val="24"/>
        </w:rPr>
        <w:fldChar w:fldCharType="begin"/>
      </w:r>
      <w:r>
        <w:rPr>
          <w:rFonts w:eastAsia="Times New Roman" w:cs="Arial"/>
          <w:snapToGrid w:val="0"/>
          <w:color w:val="auto"/>
          <w:szCs w:val="24"/>
        </w:rPr>
        <w:instrText xml:space="preserve"> REF _Ref159955739 \h  \* MERGEFORMAT </w:instrText>
      </w:r>
      <w:r>
        <w:rPr>
          <w:rFonts w:eastAsia="Times New Roman" w:cs="Arial"/>
          <w:snapToGrid w:val="0"/>
          <w:color w:val="auto"/>
          <w:szCs w:val="24"/>
        </w:rPr>
      </w:r>
      <w:r>
        <w:rPr>
          <w:rFonts w:eastAsia="Times New Roman" w:cs="Arial"/>
          <w:snapToGrid w:val="0"/>
          <w:color w:val="auto"/>
          <w:szCs w:val="24"/>
        </w:rPr>
        <w:fldChar w:fldCharType="separate"/>
      </w:r>
      <w:r w:rsidR="00674D5E" w:rsidRPr="00EF2D54">
        <w:rPr>
          <w:rFonts w:eastAsia="Times New Roman" w:cs="Arial"/>
          <w:snapToGrid w:val="0"/>
          <w:color w:val="auto"/>
          <w:szCs w:val="24"/>
        </w:rPr>
        <w:t>Table 3</w:t>
      </w:r>
      <w:r>
        <w:rPr>
          <w:rFonts w:eastAsia="Times New Roman" w:cs="Arial"/>
          <w:snapToGrid w:val="0"/>
          <w:color w:val="auto"/>
          <w:szCs w:val="24"/>
        </w:rPr>
        <w:fldChar w:fldCharType="end"/>
      </w:r>
      <w:r>
        <w:rPr>
          <w:rFonts w:eastAsia="Times New Roman" w:cs="Arial"/>
          <w:snapToGrid w:val="0"/>
          <w:color w:val="auto"/>
          <w:szCs w:val="24"/>
        </w:rPr>
        <w:t xml:space="preserve"> </w:t>
      </w:r>
      <w:r w:rsidR="005D2057">
        <w:rPr>
          <w:rFonts w:eastAsia="Times New Roman" w:cs="Arial"/>
          <w:snapToGrid w:val="0"/>
          <w:color w:val="auto"/>
          <w:szCs w:val="24"/>
        </w:rPr>
        <w:t>presents</w:t>
      </w:r>
      <w:r w:rsidR="005D2057" w:rsidRPr="000736B9">
        <w:rPr>
          <w:rFonts w:eastAsia="Times New Roman" w:cs="Arial"/>
          <w:snapToGrid w:val="0"/>
          <w:color w:val="auto"/>
          <w:szCs w:val="24"/>
        </w:rPr>
        <w:t xml:space="preserve"> the item descriptor </w:t>
      </w:r>
      <w:r w:rsidR="005D2057">
        <w:rPr>
          <w:rFonts w:eastAsia="Times New Roman" w:cs="Arial"/>
          <w:snapToGrid w:val="0"/>
          <w:color w:val="auto"/>
          <w:szCs w:val="24"/>
        </w:rPr>
        <w:t xml:space="preserve">suggested by PASC </w:t>
      </w:r>
      <w:r w:rsidR="005D2057" w:rsidRPr="000736B9">
        <w:rPr>
          <w:rFonts w:eastAsia="Times New Roman" w:cs="Arial"/>
          <w:snapToGrid w:val="0"/>
          <w:color w:val="auto"/>
          <w:szCs w:val="24"/>
        </w:rPr>
        <w:t xml:space="preserve">for the proposed new MBS item for </w:t>
      </w:r>
      <w:r w:rsidR="005D2057" w:rsidRPr="000736B9">
        <w:rPr>
          <w:color w:val="auto"/>
          <w:vertAlign w:val="superscript"/>
        </w:rPr>
        <w:t>177</w:t>
      </w:r>
      <w:r w:rsidR="005D2057" w:rsidRPr="000736B9">
        <w:rPr>
          <w:color w:val="auto"/>
        </w:rPr>
        <w:t>Lu-</w:t>
      </w:r>
      <w:r w:rsidR="00607D95">
        <w:rPr>
          <w:color w:val="auto"/>
        </w:rPr>
        <w:t>DOTA-octreotate</w:t>
      </w:r>
      <w:r w:rsidR="00A67F19">
        <w:rPr>
          <w:color w:val="auto"/>
        </w:rPr>
        <w:t>.</w:t>
      </w:r>
      <w:r w:rsidR="005D2057" w:rsidRPr="006F2D70">
        <w:rPr>
          <w:color w:val="auto"/>
        </w:rPr>
        <w:t xml:space="preserve"> </w:t>
      </w:r>
      <w:r w:rsidR="005D2057">
        <w:rPr>
          <w:color w:val="auto"/>
        </w:rPr>
        <w:t xml:space="preserve">It is proposed that the various service elements of </w:t>
      </w:r>
      <w:r w:rsidR="005D2057" w:rsidRPr="001A2DB7">
        <w:rPr>
          <w:color w:val="auto"/>
          <w:vertAlign w:val="superscript"/>
        </w:rPr>
        <w:t>177</w:t>
      </w:r>
      <w:r w:rsidR="005D2057" w:rsidRPr="001A2DB7">
        <w:rPr>
          <w:color w:val="auto"/>
        </w:rPr>
        <w:t>Lu-</w:t>
      </w:r>
      <w:r w:rsidR="00607D95">
        <w:rPr>
          <w:color w:val="auto"/>
        </w:rPr>
        <w:t xml:space="preserve">DOTA-octreotate </w:t>
      </w:r>
      <w:r w:rsidR="005D2057">
        <w:rPr>
          <w:color w:val="auto"/>
        </w:rPr>
        <w:t>treatment administration be bundled together into the per</w:t>
      </w:r>
      <w:r w:rsidR="00B2605B">
        <w:rPr>
          <w:color w:val="auto"/>
        </w:rPr>
        <w:t>-</w:t>
      </w:r>
      <w:r w:rsidR="005D2057">
        <w:rPr>
          <w:color w:val="auto"/>
        </w:rPr>
        <w:t xml:space="preserve">cycle fee for </w:t>
      </w:r>
      <w:r w:rsidR="005D2057" w:rsidRPr="001A2DB7">
        <w:rPr>
          <w:color w:val="auto"/>
          <w:vertAlign w:val="superscript"/>
        </w:rPr>
        <w:t>177</w:t>
      </w:r>
      <w:r w:rsidR="005D2057" w:rsidRPr="001A2DB7">
        <w:rPr>
          <w:color w:val="auto"/>
        </w:rPr>
        <w:t>Lu-</w:t>
      </w:r>
      <w:r w:rsidR="00607D95">
        <w:rPr>
          <w:color w:val="auto"/>
        </w:rPr>
        <w:t xml:space="preserve">DOTA-octreotate </w:t>
      </w:r>
      <w:r w:rsidR="005D2057">
        <w:rPr>
          <w:color w:val="auto"/>
        </w:rPr>
        <w:t>treatment (</w:t>
      </w:r>
      <w:r>
        <w:rPr>
          <w:color w:val="auto"/>
        </w:rPr>
        <w:fldChar w:fldCharType="begin"/>
      </w:r>
      <w:r>
        <w:rPr>
          <w:color w:val="auto"/>
        </w:rPr>
        <w:instrText xml:space="preserve"> REF _Ref159955764 \h  \* MERGEFORMAT </w:instrText>
      </w:r>
      <w:r>
        <w:rPr>
          <w:color w:val="auto"/>
        </w:rPr>
      </w:r>
      <w:r>
        <w:rPr>
          <w:color w:val="auto"/>
        </w:rPr>
        <w:fldChar w:fldCharType="separate"/>
      </w:r>
      <w:r w:rsidR="00674D5E" w:rsidRPr="00EF2D54">
        <w:rPr>
          <w:color w:val="auto"/>
        </w:rPr>
        <w:t>Table 4</w:t>
      </w:r>
      <w:r>
        <w:rPr>
          <w:color w:val="auto"/>
        </w:rPr>
        <w:fldChar w:fldCharType="end"/>
      </w:r>
      <w:r w:rsidR="005D2057">
        <w:rPr>
          <w:color w:val="auto"/>
        </w:rPr>
        <w:t>).</w:t>
      </w:r>
      <w:r w:rsidR="006117E5">
        <w:rPr>
          <w:color w:val="auto"/>
        </w:rPr>
        <w:t xml:space="preserve"> </w:t>
      </w:r>
      <w:r w:rsidR="005F5A3D">
        <w:rPr>
          <w:color w:val="auto"/>
        </w:rPr>
        <w:t xml:space="preserve">If this item is recommended for MBS listing, the item descriptor should </w:t>
      </w:r>
      <w:r w:rsidR="00986A81">
        <w:rPr>
          <w:color w:val="auto"/>
        </w:rPr>
        <w:t xml:space="preserve">be accompanied by </w:t>
      </w:r>
      <w:r w:rsidR="005F5A3D">
        <w:rPr>
          <w:color w:val="auto"/>
        </w:rPr>
        <w:t xml:space="preserve">an explanatory note </w:t>
      </w:r>
      <w:r w:rsidR="00E004DD">
        <w:rPr>
          <w:color w:val="auto"/>
        </w:rPr>
        <w:t xml:space="preserve">that </w:t>
      </w:r>
      <w:r w:rsidR="00130173">
        <w:rPr>
          <w:color w:val="auto"/>
        </w:rPr>
        <w:t xml:space="preserve">provides guidance to clinicians regarding the use of the item, including the </w:t>
      </w:r>
      <w:r w:rsidR="005F5A3D">
        <w:rPr>
          <w:color w:val="auto"/>
        </w:rPr>
        <w:t xml:space="preserve">provider’s qualifications </w:t>
      </w:r>
      <w:r w:rsidR="00112D58">
        <w:rPr>
          <w:color w:val="auto"/>
        </w:rPr>
        <w:t>(</w:t>
      </w:r>
      <w:r w:rsidR="005F5A3D">
        <w:rPr>
          <w:color w:val="auto"/>
        </w:rPr>
        <w:t xml:space="preserve">i.e. a </w:t>
      </w:r>
      <w:proofErr w:type="spellStart"/>
      <w:r w:rsidR="005F5A3D">
        <w:rPr>
          <w:color w:val="auto"/>
        </w:rPr>
        <w:t>theranostic</w:t>
      </w:r>
      <w:proofErr w:type="spellEnd"/>
      <w:r w:rsidR="005F5A3D">
        <w:rPr>
          <w:color w:val="auto"/>
        </w:rPr>
        <w:t xml:space="preserve"> specialist</w:t>
      </w:r>
      <w:r w:rsidR="00112D58">
        <w:rPr>
          <w:color w:val="auto"/>
        </w:rPr>
        <w:t>)</w:t>
      </w:r>
      <w:r w:rsidR="005F5A3D">
        <w:rPr>
          <w:color w:val="auto"/>
        </w:rPr>
        <w:t xml:space="preserve">. The credentialing requirements of service providers and facilities will be developed in consultation with stakeholders and will further </w:t>
      </w:r>
      <w:r w:rsidR="00BD2DDE">
        <w:rPr>
          <w:color w:val="auto"/>
        </w:rPr>
        <w:t xml:space="preserve">develop how </w:t>
      </w:r>
      <w:r w:rsidR="005F5A3D">
        <w:rPr>
          <w:color w:val="auto"/>
        </w:rPr>
        <w:t>a ‘</w:t>
      </w:r>
      <w:proofErr w:type="spellStart"/>
      <w:r w:rsidR="005F5A3D">
        <w:rPr>
          <w:color w:val="auto"/>
        </w:rPr>
        <w:t>theranostic</w:t>
      </w:r>
      <w:proofErr w:type="spellEnd"/>
      <w:r w:rsidR="005F5A3D">
        <w:rPr>
          <w:color w:val="auto"/>
        </w:rPr>
        <w:t xml:space="preserve"> specialist’</w:t>
      </w:r>
      <w:r w:rsidR="00BD2DDE">
        <w:rPr>
          <w:color w:val="auto"/>
        </w:rPr>
        <w:t xml:space="preserve"> should be defined</w:t>
      </w:r>
      <w:r w:rsidR="005F5A3D">
        <w:rPr>
          <w:color w:val="auto"/>
        </w:rPr>
        <w:t>.</w:t>
      </w:r>
      <w:r w:rsidR="00556E3E">
        <w:rPr>
          <w:color w:val="auto"/>
        </w:rPr>
        <w:t xml:space="preserve"> </w:t>
      </w:r>
      <w:r w:rsidR="00F73681">
        <w:rPr>
          <w:color w:val="auto"/>
        </w:rPr>
        <w:t xml:space="preserve">The fee for the proposed new MBS item should reflect the final definition of the provider’s qualifications. </w:t>
      </w:r>
    </w:p>
    <w:p w14:paraId="61A33FFA" w14:textId="601AC28E" w:rsidR="005D2057" w:rsidRPr="00CB48A5" w:rsidRDefault="00EB3221" w:rsidP="005D2057">
      <w:pPr>
        <w:pStyle w:val="Instructionaltext"/>
        <w:rPr>
          <w:color w:val="auto"/>
        </w:rPr>
      </w:pPr>
      <w:r>
        <w:rPr>
          <w:color w:val="auto"/>
        </w:rPr>
        <w:t>T</w:t>
      </w:r>
      <w:r w:rsidR="001E28D6">
        <w:rPr>
          <w:color w:val="auto"/>
        </w:rPr>
        <w:t xml:space="preserve">he </w:t>
      </w:r>
      <w:r>
        <w:rPr>
          <w:color w:val="auto"/>
        </w:rPr>
        <w:t xml:space="preserve">bundled fee elements for the proposed MBS item provided in the ratified PICO includes a </w:t>
      </w:r>
      <w:proofErr w:type="spellStart"/>
      <w:r>
        <w:rPr>
          <w:color w:val="auto"/>
        </w:rPr>
        <w:t>theranostic</w:t>
      </w:r>
      <w:proofErr w:type="spellEnd"/>
      <w:r>
        <w:rPr>
          <w:color w:val="auto"/>
        </w:rPr>
        <w:t xml:space="preserve"> specialist pre-treatment consult fee aligned with MBS item 110</w:t>
      </w:r>
      <w:r w:rsidR="00B069CD">
        <w:rPr>
          <w:color w:val="auto"/>
        </w:rPr>
        <w:t xml:space="preserve"> ($167.75)</w:t>
      </w:r>
      <w:r>
        <w:rPr>
          <w:color w:val="auto"/>
        </w:rPr>
        <w:t xml:space="preserve">, which represents the </w:t>
      </w:r>
      <w:r w:rsidR="00194E6D">
        <w:rPr>
          <w:color w:val="auto"/>
        </w:rPr>
        <w:t xml:space="preserve">fee for the </w:t>
      </w:r>
      <w:r w:rsidR="00C03EB8">
        <w:rPr>
          <w:color w:val="auto"/>
        </w:rPr>
        <w:t xml:space="preserve">initial </w:t>
      </w:r>
      <w:r w:rsidR="00194E6D">
        <w:rPr>
          <w:color w:val="auto"/>
        </w:rPr>
        <w:t xml:space="preserve">attendance of a </w:t>
      </w:r>
      <w:r>
        <w:rPr>
          <w:color w:val="auto"/>
        </w:rPr>
        <w:t>c</w:t>
      </w:r>
      <w:r w:rsidR="00613DB8">
        <w:rPr>
          <w:color w:val="auto"/>
        </w:rPr>
        <w:t>onsultant physician</w:t>
      </w:r>
      <w:r w:rsidR="00CC512A">
        <w:rPr>
          <w:color w:val="auto"/>
        </w:rPr>
        <w:t xml:space="preserve"> (</w:t>
      </w:r>
      <w:r w:rsidR="00CC512A">
        <w:rPr>
          <w:color w:val="auto"/>
        </w:rPr>
        <w:fldChar w:fldCharType="begin"/>
      </w:r>
      <w:r w:rsidR="00CC512A">
        <w:rPr>
          <w:color w:val="auto"/>
        </w:rPr>
        <w:instrText xml:space="preserve"> REF _Ref159955764 \h  \* MERGEFORMAT </w:instrText>
      </w:r>
      <w:r w:rsidR="00CC512A">
        <w:rPr>
          <w:color w:val="auto"/>
        </w:rPr>
      </w:r>
      <w:r w:rsidR="00CC512A">
        <w:rPr>
          <w:color w:val="auto"/>
        </w:rPr>
        <w:fldChar w:fldCharType="separate"/>
      </w:r>
      <w:r w:rsidR="00674D5E" w:rsidRPr="00EF2D54">
        <w:rPr>
          <w:color w:val="auto"/>
        </w:rPr>
        <w:t>Table 4</w:t>
      </w:r>
      <w:r w:rsidR="00CC512A">
        <w:rPr>
          <w:color w:val="auto"/>
        </w:rPr>
        <w:fldChar w:fldCharType="end"/>
      </w:r>
      <w:r w:rsidR="00CC512A">
        <w:rPr>
          <w:color w:val="auto"/>
        </w:rPr>
        <w:t>)</w:t>
      </w:r>
      <w:r w:rsidR="00EE7BFB">
        <w:rPr>
          <w:color w:val="auto"/>
        </w:rPr>
        <w:t>.</w:t>
      </w:r>
      <w:r w:rsidR="00613DB8">
        <w:rPr>
          <w:color w:val="auto"/>
        </w:rPr>
        <w:t xml:space="preserve"> </w:t>
      </w:r>
      <w:r w:rsidR="00E92ADB">
        <w:rPr>
          <w:color w:val="auto"/>
        </w:rPr>
        <w:t>Alternatively, the fee for this service element could be aligned to MBS item 104 (</w:t>
      </w:r>
      <w:r w:rsidR="00C03EB8">
        <w:rPr>
          <w:color w:val="auto"/>
        </w:rPr>
        <w:t>$95.60)</w:t>
      </w:r>
      <w:r w:rsidR="000C19A7">
        <w:rPr>
          <w:color w:val="auto"/>
        </w:rPr>
        <w:t xml:space="preserve"> </w:t>
      </w:r>
      <w:r w:rsidR="00854CF2">
        <w:rPr>
          <w:color w:val="auto"/>
        </w:rPr>
        <w:t xml:space="preserve">for the initial attendance </w:t>
      </w:r>
      <w:r w:rsidR="00D777BC">
        <w:rPr>
          <w:color w:val="auto"/>
        </w:rPr>
        <w:t>of a specialist</w:t>
      </w:r>
      <w:r w:rsidR="00EF0AD7">
        <w:rPr>
          <w:color w:val="auto"/>
        </w:rPr>
        <w:t xml:space="preserve">. Furthermore, </w:t>
      </w:r>
      <w:r w:rsidR="00AC1F4B">
        <w:rPr>
          <w:color w:val="auto"/>
        </w:rPr>
        <w:t>the fee</w:t>
      </w:r>
      <w:r w:rsidR="00B366F4">
        <w:rPr>
          <w:color w:val="auto"/>
        </w:rPr>
        <w:t>s</w:t>
      </w:r>
      <w:r w:rsidR="00AC1F4B">
        <w:rPr>
          <w:color w:val="auto"/>
        </w:rPr>
        <w:t xml:space="preserve"> for</w:t>
      </w:r>
      <w:r w:rsidR="00EF0AD7">
        <w:rPr>
          <w:color w:val="auto"/>
        </w:rPr>
        <w:t xml:space="preserve"> </w:t>
      </w:r>
      <w:r w:rsidR="00AC1D07">
        <w:rPr>
          <w:color w:val="auto"/>
        </w:rPr>
        <w:t>MBS item 1</w:t>
      </w:r>
      <w:r w:rsidR="00D13E1B">
        <w:rPr>
          <w:color w:val="auto"/>
        </w:rPr>
        <w:t>16</w:t>
      </w:r>
      <w:r w:rsidR="001A7E4F">
        <w:rPr>
          <w:color w:val="auto"/>
        </w:rPr>
        <w:t xml:space="preserve"> </w:t>
      </w:r>
      <w:r w:rsidR="005B0A73">
        <w:rPr>
          <w:color w:val="auto"/>
        </w:rPr>
        <w:t>($84.35)</w:t>
      </w:r>
      <w:r w:rsidR="001A7E4F">
        <w:rPr>
          <w:color w:val="auto"/>
        </w:rPr>
        <w:t xml:space="preserve"> </w:t>
      </w:r>
      <w:r w:rsidR="003A4924">
        <w:rPr>
          <w:color w:val="auto"/>
        </w:rPr>
        <w:t xml:space="preserve">for </w:t>
      </w:r>
      <w:r w:rsidR="005D6A87">
        <w:rPr>
          <w:color w:val="auto"/>
        </w:rPr>
        <w:t xml:space="preserve">the </w:t>
      </w:r>
      <w:r w:rsidR="002E12F5">
        <w:rPr>
          <w:color w:val="auto"/>
        </w:rPr>
        <w:t xml:space="preserve">subsequent </w:t>
      </w:r>
      <w:r w:rsidR="00AC1F4B">
        <w:rPr>
          <w:color w:val="auto"/>
        </w:rPr>
        <w:t xml:space="preserve">attendance of </w:t>
      </w:r>
      <w:r w:rsidR="005B0A73">
        <w:rPr>
          <w:color w:val="auto"/>
        </w:rPr>
        <w:t xml:space="preserve">a </w:t>
      </w:r>
      <w:r w:rsidR="002E12F5">
        <w:rPr>
          <w:color w:val="auto"/>
        </w:rPr>
        <w:t>consultant p</w:t>
      </w:r>
      <w:r w:rsidR="00AC1F4B">
        <w:rPr>
          <w:color w:val="auto"/>
        </w:rPr>
        <w:t>hysician</w:t>
      </w:r>
      <w:r w:rsidR="005B0A73">
        <w:rPr>
          <w:color w:val="auto"/>
        </w:rPr>
        <w:t xml:space="preserve">, </w:t>
      </w:r>
      <w:r w:rsidR="000F3088">
        <w:rPr>
          <w:color w:val="auto"/>
        </w:rPr>
        <w:t>and</w:t>
      </w:r>
      <w:r w:rsidR="005B0A73">
        <w:rPr>
          <w:color w:val="auto"/>
        </w:rPr>
        <w:t xml:space="preserve"> </w:t>
      </w:r>
      <w:r w:rsidR="00F50177">
        <w:rPr>
          <w:color w:val="auto"/>
        </w:rPr>
        <w:t>for MBS item 105 (</w:t>
      </w:r>
      <w:r w:rsidR="00866BD8">
        <w:rPr>
          <w:color w:val="auto"/>
        </w:rPr>
        <w:t>$48.05)</w:t>
      </w:r>
      <w:r w:rsidR="000F103F">
        <w:rPr>
          <w:color w:val="auto"/>
        </w:rPr>
        <w:t xml:space="preserve"> for the subsequent attendance of a specialist</w:t>
      </w:r>
      <w:r w:rsidR="000F3088">
        <w:rPr>
          <w:color w:val="auto"/>
        </w:rPr>
        <w:t xml:space="preserve">, are also relevant in this context. </w:t>
      </w:r>
      <w:r w:rsidR="00807839">
        <w:rPr>
          <w:color w:val="auto"/>
        </w:rPr>
        <w:t>The most relevant MBS item</w:t>
      </w:r>
      <w:r w:rsidR="00D26F53">
        <w:rPr>
          <w:color w:val="auto"/>
        </w:rPr>
        <w:t xml:space="preserve"> for this service element</w:t>
      </w:r>
      <w:r w:rsidR="00807839">
        <w:rPr>
          <w:color w:val="auto"/>
        </w:rPr>
        <w:t xml:space="preserve"> </w:t>
      </w:r>
      <w:r w:rsidR="00121BD4">
        <w:rPr>
          <w:color w:val="auto"/>
        </w:rPr>
        <w:t xml:space="preserve">depends on </w:t>
      </w:r>
      <w:r w:rsidR="009F70C1">
        <w:rPr>
          <w:color w:val="auto"/>
        </w:rPr>
        <w:t>who is most likely to be delivering this item, as nuc</w:t>
      </w:r>
      <w:r w:rsidR="002B74C6">
        <w:rPr>
          <w:color w:val="auto"/>
        </w:rPr>
        <w:t>lear medicine physicians (</w:t>
      </w:r>
      <w:r w:rsidR="00513636">
        <w:rPr>
          <w:color w:val="auto"/>
        </w:rPr>
        <w:t xml:space="preserve">classified as </w:t>
      </w:r>
      <w:r w:rsidR="002B74C6">
        <w:rPr>
          <w:color w:val="auto"/>
        </w:rPr>
        <w:t>consultant physicians) could claim items 110/116</w:t>
      </w:r>
      <w:r w:rsidR="003C32E8">
        <w:rPr>
          <w:color w:val="auto"/>
        </w:rPr>
        <w:t xml:space="preserve"> </w:t>
      </w:r>
      <w:r w:rsidR="007E6641">
        <w:rPr>
          <w:color w:val="auto"/>
        </w:rPr>
        <w:t>whereas</w:t>
      </w:r>
      <w:r w:rsidR="003C32E8">
        <w:rPr>
          <w:color w:val="auto"/>
        </w:rPr>
        <w:t xml:space="preserve"> </w:t>
      </w:r>
      <w:r w:rsidR="0021375C">
        <w:rPr>
          <w:color w:val="auto"/>
        </w:rPr>
        <w:t>items 104/105 are more relevant if</w:t>
      </w:r>
      <w:r w:rsidR="003C32E8">
        <w:rPr>
          <w:color w:val="auto"/>
        </w:rPr>
        <w:t xml:space="preserve"> radiologists (</w:t>
      </w:r>
      <w:r w:rsidR="00513636">
        <w:rPr>
          <w:color w:val="auto"/>
        </w:rPr>
        <w:t xml:space="preserve">classified as </w:t>
      </w:r>
      <w:r w:rsidR="003C32E8">
        <w:rPr>
          <w:color w:val="auto"/>
        </w:rPr>
        <w:t>s</w:t>
      </w:r>
      <w:r w:rsidR="00513636">
        <w:rPr>
          <w:color w:val="auto"/>
        </w:rPr>
        <w:t xml:space="preserve">pecialists) </w:t>
      </w:r>
      <w:r w:rsidR="0021375C">
        <w:rPr>
          <w:color w:val="auto"/>
        </w:rPr>
        <w:t>are involved.</w:t>
      </w:r>
    </w:p>
    <w:p w14:paraId="24C5E304" w14:textId="4CFC0204" w:rsidR="005D2057" w:rsidRPr="0023570A" w:rsidRDefault="005D2057" w:rsidP="005D2057">
      <w:pPr>
        <w:pStyle w:val="Caption"/>
        <w:rPr>
          <w:rFonts w:cs="Tahoma"/>
          <w:b w:val="0"/>
          <w:lang w:val="en-GB" w:eastAsia="ja-JP"/>
        </w:rPr>
      </w:pPr>
      <w:bookmarkStart w:id="27" w:name="_Ref159955739"/>
      <w:bookmarkStart w:id="28" w:name="_Toc161842040"/>
      <w:r>
        <w:lastRenderedPageBreak/>
        <w:t xml:space="preserve">Table </w:t>
      </w:r>
      <w:r w:rsidR="006D13BC">
        <w:fldChar w:fldCharType="begin"/>
      </w:r>
      <w:r w:rsidR="006D13BC">
        <w:instrText xml:space="preserve"> SEQ Table \* ARABIC </w:instrText>
      </w:r>
      <w:r w:rsidR="006D13BC">
        <w:fldChar w:fldCharType="separate"/>
      </w:r>
      <w:r w:rsidR="006D13BC">
        <w:rPr>
          <w:noProof/>
        </w:rPr>
        <w:t>3</w:t>
      </w:r>
      <w:r w:rsidR="006D13BC">
        <w:rPr>
          <w:noProof/>
        </w:rPr>
        <w:fldChar w:fldCharType="end"/>
      </w:r>
      <w:bookmarkEnd w:id="27"/>
      <w:r>
        <w:t xml:space="preserve">: </w:t>
      </w:r>
      <w:r w:rsidRPr="0023570A">
        <w:rPr>
          <w:rFonts w:cs="Tahoma"/>
          <w:lang w:val="en-GB" w:eastAsia="ja-JP"/>
        </w:rPr>
        <w:t xml:space="preserve">Proposed item </w:t>
      </w:r>
      <w:r>
        <w:rPr>
          <w:rFonts w:cs="Tahoma"/>
          <w:lang w:val="en-GB" w:eastAsia="ja-JP"/>
        </w:rPr>
        <w:t xml:space="preserve">descriptor </w:t>
      </w:r>
      <w:r w:rsidRPr="0023570A">
        <w:rPr>
          <w:rFonts w:cs="Tahoma"/>
          <w:lang w:val="en-GB" w:eastAsia="ja-JP"/>
        </w:rPr>
        <w:t xml:space="preserve">for </w:t>
      </w:r>
      <w:r w:rsidRPr="0023570A">
        <w:rPr>
          <w:rFonts w:cs="Tahoma"/>
          <w:vertAlign w:val="superscript"/>
          <w:lang w:val="en-GB" w:eastAsia="ja-JP"/>
        </w:rPr>
        <w:t>177</w:t>
      </w:r>
      <w:r w:rsidRPr="0023570A">
        <w:rPr>
          <w:rFonts w:cs="Tahoma"/>
          <w:lang w:val="en-GB" w:eastAsia="ja-JP"/>
        </w:rPr>
        <w:t>Lu-</w:t>
      </w:r>
      <w:r w:rsidR="00607D95">
        <w:rPr>
          <w:rFonts w:cs="Tahoma"/>
          <w:lang w:val="en-GB" w:eastAsia="ja-JP"/>
        </w:rPr>
        <w:t>DOTA-octreotate</w:t>
      </w:r>
      <w:bookmarkEnd w:id="28"/>
      <w:r w:rsidR="00607D95">
        <w:rPr>
          <w:rFonts w:cs="Tahoma"/>
          <w:lang w:val="en-GB" w:eastAsia="ja-JP"/>
        </w:rPr>
        <w:t xml:space="preserve"> </w:t>
      </w:r>
    </w:p>
    <w:tbl>
      <w:tblPr>
        <w:tblStyle w:val="ASDTable5"/>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016"/>
      </w:tblGrid>
      <w:tr w:rsidR="005D2057" w:rsidRPr="0023570A" w14:paraId="3FF53418" w14:textId="77777777">
        <w:trPr>
          <w:cantSplit/>
          <w:tblHeader/>
        </w:trPr>
        <w:tc>
          <w:tcPr>
            <w:tcW w:w="9016" w:type="dxa"/>
            <w:tcBorders>
              <w:top w:val="single" w:sz="4" w:space="0" w:color="auto"/>
              <w:left w:val="single" w:sz="4" w:space="0" w:color="auto"/>
              <w:bottom w:val="single" w:sz="4" w:space="0" w:color="auto"/>
              <w:right w:val="single" w:sz="4" w:space="0" w:color="auto"/>
            </w:tcBorders>
            <w:hideMark/>
          </w:tcPr>
          <w:p w14:paraId="56A2D5E9" w14:textId="77777777" w:rsidR="005D2057" w:rsidRPr="003477F1" w:rsidRDefault="005D2057" w:rsidP="00FD6F5E">
            <w:pPr>
              <w:pStyle w:val="TableHeading0"/>
            </w:pPr>
            <w:r w:rsidRPr="003477F1">
              <w:t>Category T3-Therapeutic Nuclear Medicine</w:t>
            </w:r>
          </w:p>
        </w:tc>
      </w:tr>
      <w:tr w:rsidR="005D2057" w:rsidRPr="0023570A" w14:paraId="15E01473" w14:textId="77777777">
        <w:trPr>
          <w:cantSplit/>
          <w:tblHeader/>
        </w:trPr>
        <w:tc>
          <w:tcPr>
            <w:tcW w:w="9016" w:type="dxa"/>
            <w:tcBorders>
              <w:top w:val="single" w:sz="4" w:space="0" w:color="auto"/>
              <w:left w:val="single" w:sz="4" w:space="0" w:color="auto"/>
              <w:bottom w:val="single" w:sz="4" w:space="0" w:color="auto"/>
              <w:right w:val="single" w:sz="4" w:space="0" w:color="auto"/>
            </w:tcBorders>
          </w:tcPr>
          <w:p w14:paraId="3CDC5E80" w14:textId="6CE103AB" w:rsidR="005D2057" w:rsidRPr="003477F1" w:rsidRDefault="005D2057">
            <w:pPr>
              <w:spacing w:after="120"/>
              <w:rPr>
                <w:rFonts w:ascii="Arial Narrow" w:eastAsia="Calibri" w:hAnsi="Arial Narrow" w:cs="Times New Roman"/>
                <w:sz w:val="20"/>
                <w:szCs w:val="20"/>
              </w:rPr>
            </w:pPr>
            <w:r w:rsidRPr="003477F1">
              <w:rPr>
                <w:rFonts w:ascii="Arial Narrow" w:eastAsia="Calibri" w:hAnsi="Arial Narrow" w:cs="Times New Roman"/>
                <w:sz w:val="20"/>
                <w:szCs w:val="20"/>
              </w:rPr>
              <w:t xml:space="preserve">MBS item </w:t>
            </w:r>
            <w:r w:rsidR="009B0252">
              <w:rPr>
                <w:rFonts w:ascii="Arial Narrow" w:eastAsia="Calibri" w:hAnsi="Arial Narrow" w:cs="Calibri"/>
                <w:sz w:val="20"/>
                <w:szCs w:val="20"/>
              </w:rPr>
              <w:t>[item number]</w:t>
            </w:r>
          </w:p>
          <w:p w14:paraId="6D222FE9" w14:textId="44B4D442" w:rsidR="005D2057" w:rsidRPr="003477F1" w:rsidRDefault="005D2057">
            <w:pPr>
              <w:spacing w:after="120"/>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vertAlign w:val="superscript"/>
              </w:rPr>
              <w:t>177</w:t>
            </w:r>
            <w:r w:rsidRPr="003477F1">
              <w:rPr>
                <w:rFonts w:ascii="Arial Narrow" w:eastAsia="Calibri" w:hAnsi="Arial Narrow" w:cs="Times New Roman"/>
                <w:sz w:val="20"/>
                <w:szCs w:val="20"/>
              </w:rPr>
              <w:t xml:space="preserve">Lutetium-somastatin receptor agonist treatment for patients with histologically confirmed, locally advanced or metastatic, and inoperable neuroendocrine </w:t>
            </w:r>
            <w:r w:rsidR="00B97ACC">
              <w:rPr>
                <w:rFonts w:ascii="Arial Narrow" w:eastAsia="Calibri" w:hAnsi="Arial Narrow" w:cs="Times New Roman"/>
                <w:sz w:val="20"/>
                <w:szCs w:val="20"/>
              </w:rPr>
              <w:t>neoplasms</w:t>
            </w:r>
            <w:r w:rsidRPr="003477F1">
              <w:rPr>
                <w:rFonts w:ascii="Arial Narrow" w:eastAsia="Calibri" w:hAnsi="Arial Narrow" w:cs="Times New Roman"/>
                <w:sz w:val="20"/>
                <w:szCs w:val="20"/>
              </w:rPr>
              <w:t xml:space="preserve"> (NENs) with documented disease progression or uncontrolled symptoms related to their NEN despite standard therapy who:</w:t>
            </w:r>
          </w:p>
          <w:p w14:paraId="5394EE90" w14:textId="68AF87FD" w:rsidR="005D2057" w:rsidRPr="003477F1" w:rsidRDefault="005D2057" w:rsidP="00D83E90">
            <w:pPr>
              <w:numPr>
                <w:ilvl w:val="0"/>
                <w:numId w:val="10"/>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 xml:space="preserve">have high tumour somatostatin receptor expression demonstrated on whole body </w:t>
            </w:r>
            <w:r w:rsidRPr="003477F1">
              <w:rPr>
                <w:rFonts w:ascii="Arial Narrow" w:eastAsia="Calibri" w:hAnsi="Arial Narrow" w:cs="Times New Roman"/>
                <w:sz w:val="20"/>
                <w:szCs w:val="20"/>
                <w:vertAlign w:val="superscript"/>
              </w:rPr>
              <w:t>68</w:t>
            </w:r>
            <w:r w:rsidRPr="003477F1">
              <w:rPr>
                <w:rFonts w:ascii="Arial Narrow" w:eastAsia="Calibri" w:hAnsi="Arial Narrow" w:cs="Times New Roman"/>
                <w:sz w:val="20"/>
                <w:szCs w:val="20"/>
              </w:rPr>
              <w:t>Ga DOTA somatostatin agonist PET study; and</w:t>
            </w:r>
          </w:p>
          <w:p w14:paraId="1390D9F7" w14:textId="683FCCC1" w:rsidR="005D2057" w:rsidRPr="003477F1" w:rsidRDefault="005D2057" w:rsidP="00D83E90">
            <w:pPr>
              <w:numPr>
                <w:ilvl w:val="0"/>
                <w:numId w:val="10"/>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 xml:space="preserve">are considered suitable for </w:t>
            </w:r>
            <w:r w:rsidRPr="003477F1">
              <w:rPr>
                <w:rFonts w:ascii="Arial Narrow" w:eastAsia="Calibri" w:hAnsi="Arial Narrow" w:cs="Times New Roman"/>
                <w:sz w:val="20"/>
                <w:szCs w:val="20"/>
                <w:vertAlign w:val="superscript"/>
              </w:rPr>
              <w:t>177</w:t>
            </w:r>
            <w:r w:rsidRPr="003477F1">
              <w:rPr>
                <w:rFonts w:ascii="Arial Narrow" w:eastAsia="Calibri" w:hAnsi="Arial Narrow" w:cs="Times New Roman"/>
                <w:sz w:val="20"/>
                <w:szCs w:val="20"/>
              </w:rPr>
              <w:t xml:space="preserve">Lu-somatostatin agonist therapy by a formally convened </w:t>
            </w:r>
            <w:r w:rsidR="00B97ACC">
              <w:rPr>
                <w:rFonts w:ascii="Arial Narrow" w:eastAsia="Calibri" w:hAnsi="Arial Narrow" w:cs="Times New Roman"/>
                <w:sz w:val="20"/>
                <w:szCs w:val="20"/>
              </w:rPr>
              <w:t>neuroendocrine neoplasm</w:t>
            </w:r>
            <w:r w:rsidRPr="003477F1">
              <w:rPr>
                <w:rFonts w:ascii="Arial Narrow" w:eastAsia="Calibri" w:hAnsi="Arial Narrow" w:cs="Times New Roman"/>
                <w:sz w:val="20"/>
                <w:szCs w:val="20"/>
              </w:rPr>
              <w:t xml:space="preserve"> multidisciplinary board.</w:t>
            </w:r>
          </w:p>
          <w:p w14:paraId="37068F6E" w14:textId="77777777" w:rsidR="005D2057" w:rsidRPr="003477F1" w:rsidRDefault="005D2057">
            <w:pPr>
              <w:spacing w:before="0" w:after="120"/>
              <w:ind w:left="319"/>
              <w:contextualSpacing/>
              <w:jc w:val="both"/>
              <w:rPr>
                <w:rFonts w:ascii="Arial Narrow" w:eastAsia="Calibri" w:hAnsi="Arial Narrow" w:cs="Times New Roman"/>
                <w:sz w:val="20"/>
                <w:szCs w:val="20"/>
              </w:rPr>
            </w:pPr>
          </w:p>
          <w:p w14:paraId="11B9395E" w14:textId="77777777" w:rsidR="005D2057" w:rsidRPr="003477F1" w:rsidRDefault="005D2057">
            <w:pPr>
              <w:spacing w:after="120"/>
              <w:jc w:val="both"/>
              <w:rPr>
                <w:rFonts w:ascii="Arial Narrow" w:eastAsia="Calibri" w:hAnsi="Arial Narrow" w:cs="Times New Roman"/>
                <w:sz w:val="20"/>
                <w:szCs w:val="20"/>
              </w:rPr>
            </w:pPr>
            <w:r w:rsidRPr="003477F1">
              <w:rPr>
                <w:rFonts w:ascii="Arial Narrow" w:eastAsia="Calibri" w:hAnsi="Arial Narrow" w:cs="Times New Roman"/>
                <w:sz w:val="20"/>
                <w:szCs w:val="20"/>
              </w:rPr>
              <w:t>The item fee is inclusive of necessary patient preparation such as:</w:t>
            </w:r>
          </w:p>
          <w:p w14:paraId="09DA8CCA" w14:textId="77777777" w:rsidR="005D2057" w:rsidRPr="003477F1" w:rsidRDefault="005D2057" w:rsidP="00D83E90">
            <w:pPr>
              <w:numPr>
                <w:ilvl w:val="0"/>
                <w:numId w:val="11"/>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patient preparation (including cost of amino acid infusion),</w:t>
            </w:r>
          </w:p>
          <w:p w14:paraId="2057D95B" w14:textId="77777777" w:rsidR="005D2057" w:rsidRPr="003477F1" w:rsidRDefault="005D2057" w:rsidP="00D83E90">
            <w:pPr>
              <w:numPr>
                <w:ilvl w:val="0"/>
                <w:numId w:val="11"/>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radiopharmaceutical preparation and administration,</w:t>
            </w:r>
          </w:p>
          <w:p w14:paraId="653A45D5" w14:textId="77777777" w:rsidR="005D2057" w:rsidRPr="003477F1" w:rsidRDefault="005D2057" w:rsidP="00D83E90">
            <w:pPr>
              <w:numPr>
                <w:ilvl w:val="0"/>
                <w:numId w:val="11"/>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immediate patient aftercare; and</w:t>
            </w:r>
          </w:p>
          <w:p w14:paraId="0795EB0D" w14:textId="77777777" w:rsidR="005D2057" w:rsidRDefault="005D2057" w:rsidP="00D83E90">
            <w:pPr>
              <w:numPr>
                <w:ilvl w:val="0"/>
                <w:numId w:val="11"/>
              </w:numPr>
              <w:spacing w:before="0" w:after="120"/>
              <w:ind w:left="319" w:hanging="284"/>
              <w:contextualSpacing/>
              <w:jc w:val="both"/>
              <w:rPr>
                <w:rFonts w:ascii="Arial Narrow" w:eastAsia="Calibri" w:hAnsi="Arial Narrow" w:cs="Times New Roman"/>
                <w:sz w:val="20"/>
                <w:szCs w:val="20"/>
              </w:rPr>
            </w:pPr>
            <w:r w:rsidRPr="003477F1">
              <w:rPr>
                <w:rFonts w:ascii="Arial Narrow" w:eastAsia="Calibri" w:hAnsi="Arial Narrow" w:cs="Times New Roman"/>
                <w:sz w:val="20"/>
                <w:szCs w:val="20"/>
              </w:rPr>
              <w:t>post-infusion single photon emission tomography (SPECT) if performed (recommended after every 2</w:t>
            </w:r>
            <w:r w:rsidRPr="003477F1">
              <w:rPr>
                <w:rFonts w:ascii="Arial Narrow" w:eastAsia="Calibri" w:hAnsi="Arial Narrow" w:cs="Times New Roman"/>
                <w:sz w:val="20"/>
                <w:szCs w:val="20"/>
                <w:vertAlign w:val="superscript"/>
              </w:rPr>
              <w:t>nd</w:t>
            </w:r>
            <w:r w:rsidRPr="003477F1">
              <w:rPr>
                <w:rFonts w:ascii="Arial Narrow" w:eastAsia="Calibri" w:hAnsi="Arial Narrow" w:cs="Times New Roman"/>
                <w:sz w:val="20"/>
                <w:szCs w:val="20"/>
              </w:rPr>
              <w:t xml:space="preserve"> cycle)</w:t>
            </w:r>
          </w:p>
          <w:p w14:paraId="1D671011" w14:textId="77777777" w:rsidR="005D2057" w:rsidRPr="003477F1" w:rsidRDefault="005D2057">
            <w:pPr>
              <w:spacing w:after="120"/>
              <w:jc w:val="both"/>
              <w:rPr>
                <w:rFonts w:ascii="Arial Narrow" w:eastAsia="Calibri" w:hAnsi="Arial Narrow" w:cs="Times New Roman"/>
                <w:sz w:val="20"/>
                <w:szCs w:val="20"/>
              </w:rPr>
            </w:pPr>
            <w:r w:rsidRPr="001732A5">
              <w:rPr>
                <w:rFonts w:ascii="Arial Narrow" w:eastAsia="Calibri" w:hAnsi="Arial Narrow" w:cs="Times New Roman"/>
                <w:sz w:val="20"/>
                <w:szCs w:val="20"/>
              </w:rPr>
              <w:t>NOTE: To be finalised but will specify the provider’s qualifications</w:t>
            </w:r>
          </w:p>
        </w:tc>
      </w:tr>
      <w:tr w:rsidR="005D2057" w:rsidRPr="0023570A" w14:paraId="70829AFF" w14:textId="77777777">
        <w:trPr>
          <w:cantSplit/>
          <w:tblHeader/>
        </w:trPr>
        <w:tc>
          <w:tcPr>
            <w:tcW w:w="9016" w:type="dxa"/>
            <w:tcBorders>
              <w:top w:val="single" w:sz="4" w:space="0" w:color="auto"/>
              <w:left w:val="single" w:sz="4" w:space="0" w:color="auto"/>
              <w:bottom w:val="single" w:sz="4" w:space="0" w:color="auto"/>
              <w:right w:val="single" w:sz="4" w:space="0" w:color="auto"/>
            </w:tcBorders>
            <w:vAlign w:val="center"/>
          </w:tcPr>
          <w:p w14:paraId="507D4310" w14:textId="77777777" w:rsidR="005D2057" w:rsidRPr="003477F1" w:rsidRDefault="005D2057">
            <w:pPr>
              <w:spacing w:before="40" w:after="40"/>
              <w:rPr>
                <w:rFonts w:ascii="Arial Narrow" w:eastAsia="Calibri" w:hAnsi="Arial Narrow" w:cs="Times New Roman"/>
                <w:sz w:val="20"/>
                <w:szCs w:val="20"/>
                <w:highlight w:val="cyan"/>
              </w:rPr>
            </w:pPr>
            <w:r w:rsidRPr="003477F1">
              <w:rPr>
                <w:rFonts w:ascii="Arial Narrow" w:eastAsia="Calibri" w:hAnsi="Arial Narrow" w:cs="Times New Roman"/>
                <w:sz w:val="20"/>
                <w:szCs w:val="20"/>
              </w:rPr>
              <w:t>Fee: $10,431.05 (</w:t>
            </w:r>
            <w:proofErr w:type="spellStart"/>
            <w:r w:rsidRPr="003477F1">
              <w:rPr>
                <w:rFonts w:ascii="Arial Narrow" w:eastAsia="Calibri" w:hAnsi="Arial Narrow" w:cs="Times New Roman"/>
                <w:sz w:val="20"/>
                <w:szCs w:val="20"/>
              </w:rPr>
              <w:t>nca</w:t>
            </w:r>
            <w:proofErr w:type="spellEnd"/>
            <w:r w:rsidRPr="003477F1">
              <w:rPr>
                <w:rFonts w:ascii="Arial Narrow" w:eastAsia="Calibri" w:hAnsi="Arial Narrow" w:cs="Times New Roman"/>
                <w:sz w:val="20"/>
                <w:szCs w:val="20"/>
              </w:rPr>
              <w:t>) / $10,031.05 (ca)</w:t>
            </w:r>
          </w:p>
        </w:tc>
      </w:tr>
    </w:tbl>
    <w:p w14:paraId="195EE4C8" w14:textId="3BA13FED" w:rsidR="00E64642" w:rsidRDefault="00E64642" w:rsidP="0050775E">
      <w:pPr>
        <w:pStyle w:val="Tablenotes"/>
        <w:spacing w:after="0"/>
      </w:pPr>
      <w:r>
        <w:t xml:space="preserve">Abbreviations: </w:t>
      </w:r>
      <w:r w:rsidR="00EE4FB1">
        <w:t xml:space="preserve">ca = carrier added; </w:t>
      </w:r>
      <w:r w:rsidR="00DA38E6" w:rsidRPr="00ED4E95">
        <w:t>Ga = Gallium</w:t>
      </w:r>
      <w:r w:rsidR="00DA38E6">
        <w:t xml:space="preserve">; </w:t>
      </w:r>
      <w:r w:rsidRPr="003477F1">
        <w:rPr>
          <w:rFonts w:eastAsia="Calibri" w:cs="Times New Roman"/>
          <w:sz w:val="20"/>
        </w:rPr>
        <w:t>Lu</w:t>
      </w:r>
      <w:r>
        <w:rPr>
          <w:rFonts w:eastAsia="Calibri" w:cs="Times New Roman"/>
          <w:sz w:val="20"/>
        </w:rPr>
        <w:t xml:space="preserve"> =</w:t>
      </w:r>
      <w:r w:rsidR="00F3746C">
        <w:rPr>
          <w:rFonts w:eastAsia="Calibri" w:cs="Times New Roman"/>
          <w:sz w:val="20"/>
        </w:rPr>
        <w:t xml:space="preserve"> </w:t>
      </w:r>
      <w:r w:rsidRPr="003477F1">
        <w:rPr>
          <w:rFonts w:eastAsia="Calibri" w:cs="Times New Roman"/>
          <w:sz w:val="20"/>
        </w:rPr>
        <w:t>Lutetium</w:t>
      </w:r>
      <w:r>
        <w:rPr>
          <w:rFonts w:eastAsia="Calibri" w:cs="Times New Roman"/>
          <w:sz w:val="20"/>
        </w:rPr>
        <w:t xml:space="preserve">; </w:t>
      </w:r>
      <w:proofErr w:type="spellStart"/>
      <w:r w:rsidR="00001CEA">
        <w:rPr>
          <w:rFonts w:eastAsia="Calibri" w:cs="Times New Roman"/>
          <w:sz w:val="20"/>
        </w:rPr>
        <w:t>nca</w:t>
      </w:r>
      <w:proofErr w:type="spellEnd"/>
      <w:r w:rsidR="00001CEA">
        <w:rPr>
          <w:rFonts w:eastAsia="Calibri" w:cs="Times New Roman"/>
          <w:sz w:val="20"/>
        </w:rPr>
        <w:t xml:space="preserve"> = no</w:t>
      </w:r>
      <w:r w:rsidR="00EE4FB1">
        <w:rPr>
          <w:rFonts w:eastAsia="Calibri" w:cs="Times New Roman"/>
          <w:sz w:val="20"/>
        </w:rPr>
        <w:t xml:space="preserve"> carrier added;</w:t>
      </w:r>
      <w:r>
        <w:rPr>
          <w:rFonts w:eastAsia="Calibri" w:cs="Times New Roman"/>
          <w:sz w:val="20"/>
        </w:rPr>
        <w:t xml:space="preserve"> </w:t>
      </w:r>
      <w:r w:rsidR="00C034C5" w:rsidRPr="00ED4E95">
        <w:t>PET = positron emission tomography</w:t>
      </w:r>
      <w:r w:rsidR="00DA38E6">
        <w:t>.</w:t>
      </w:r>
    </w:p>
    <w:p w14:paraId="4A5A7E72" w14:textId="3A1A73A4" w:rsidR="00E35197" w:rsidRDefault="00F3041A" w:rsidP="00E35197">
      <w:pPr>
        <w:pStyle w:val="Tablenotes"/>
        <w:spacing w:after="0"/>
      </w:pPr>
      <w:r w:rsidRPr="00ED4E95">
        <w:t xml:space="preserve">Source: </w:t>
      </w:r>
      <w:r>
        <w:t>Ratified PICO</w:t>
      </w:r>
    </w:p>
    <w:p w14:paraId="3B231EA7" w14:textId="400B83D1" w:rsidR="005D2057" w:rsidRPr="006E7239" w:rsidRDefault="005D2057" w:rsidP="00E61F62">
      <w:pPr>
        <w:pStyle w:val="Caption"/>
        <w:keepLines/>
        <w:rPr>
          <w:rFonts w:cs="Tahoma"/>
          <w:b w:val="0"/>
          <w:lang w:val="en-GB" w:eastAsia="ja-JP"/>
        </w:rPr>
      </w:pPr>
      <w:bookmarkStart w:id="29" w:name="_Ref159955764"/>
      <w:bookmarkStart w:id="30" w:name="_Toc161842041"/>
      <w:r>
        <w:lastRenderedPageBreak/>
        <w:t xml:space="preserve">Table </w:t>
      </w:r>
      <w:r w:rsidR="006D13BC">
        <w:fldChar w:fldCharType="begin"/>
      </w:r>
      <w:r w:rsidR="006D13BC">
        <w:instrText xml:space="preserve"> SEQ Table \* ARABIC </w:instrText>
      </w:r>
      <w:r w:rsidR="006D13BC">
        <w:fldChar w:fldCharType="separate"/>
      </w:r>
      <w:r w:rsidR="006D13BC">
        <w:rPr>
          <w:noProof/>
        </w:rPr>
        <w:t>4</w:t>
      </w:r>
      <w:r w:rsidR="006D13BC">
        <w:rPr>
          <w:noProof/>
        </w:rPr>
        <w:fldChar w:fldCharType="end"/>
      </w:r>
      <w:bookmarkEnd w:id="29"/>
      <w:r>
        <w:t xml:space="preserve">: </w:t>
      </w:r>
      <w:r w:rsidRPr="006E7239">
        <w:rPr>
          <w:rFonts w:cs="Tahoma"/>
          <w:lang w:val="en-GB" w:eastAsia="ja-JP"/>
        </w:rPr>
        <w:t xml:space="preserve">Bundled fee elements for the proposed MBS item for </w:t>
      </w:r>
      <w:r w:rsidRPr="006D17EE">
        <w:rPr>
          <w:rFonts w:cs="Tahoma"/>
          <w:vertAlign w:val="superscript"/>
          <w:lang w:val="en-GB" w:eastAsia="ja-JP"/>
        </w:rPr>
        <w:t>177</w:t>
      </w:r>
      <w:r w:rsidRPr="006E7239">
        <w:rPr>
          <w:rFonts w:cs="Tahoma"/>
          <w:lang w:val="en-GB" w:eastAsia="ja-JP"/>
        </w:rPr>
        <w:t>Lu-</w:t>
      </w:r>
      <w:r w:rsidR="00607D95">
        <w:rPr>
          <w:rFonts w:cs="Tahoma"/>
          <w:lang w:val="en-GB" w:eastAsia="ja-JP"/>
        </w:rPr>
        <w:t>DOTA-octreotate</w:t>
      </w:r>
      <w:bookmarkEnd w:id="30"/>
      <w:r w:rsidR="00607D95">
        <w:rPr>
          <w:rFonts w:cs="Tahoma"/>
          <w:lang w:val="en-GB" w:eastAsia="ja-JP"/>
        </w:rPr>
        <w:t xml:space="preserve"> </w:t>
      </w:r>
    </w:p>
    <w:tbl>
      <w:tblPr>
        <w:tblStyle w:val="ASDTable7"/>
        <w:tblW w:w="5000" w:type="pct"/>
        <w:tblInd w:w="0" w:type="dxa"/>
        <w:tblLook w:val="04A0" w:firstRow="1" w:lastRow="0" w:firstColumn="1" w:lastColumn="0" w:noHBand="0" w:noVBand="1"/>
      </w:tblPr>
      <w:tblGrid>
        <w:gridCol w:w="3005"/>
        <w:gridCol w:w="1526"/>
        <w:gridCol w:w="4485"/>
      </w:tblGrid>
      <w:tr w:rsidR="005D2057" w:rsidRPr="00722279" w14:paraId="7E71F782" w14:textId="77777777" w:rsidTr="0031372D">
        <w:trPr>
          <w:cantSplit/>
          <w:tblHeader/>
        </w:trPr>
        <w:tc>
          <w:tcPr>
            <w:tcW w:w="1666" w:type="pct"/>
          </w:tcPr>
          <w:p w14:paraId="4D5BD09F" w14:textId="77777777" w:rsidR="005D2057" w:rsidRPr="00722279" w:rsidRDefault="005D2057" w:rsidP="00E61F62">
            <w:pPr>
              <w:pStyle w:val="TableHeading0"/>
              <w:keepNext/>
              <w:keepLines/>
            </w:pPr>
            <w:r w:rsidRPr="00722279">
              <w:t>Service Element</w:t>
            </w:r>
          </w:p>
        </w:tc>
        <w:tc>
          <w:tcPr>
            <w:tcW w:w="846" w:type="pct"/>
          </w:tcPr>
          <w:p w14:paraId="565F4970" w14:textId="77777777" w:rsidR="005D2057" w:rsidRPr="00722279" w:rsidRDefault="005D2057" w:rsidP="00E61F62">
            <w:pPr>
              <w:pStyle w:val="TableHeading0"/>
              <w:keepNext/>
              <w:keepLines/>
            </w:pPr>
            <w:r w:rsidRPr="00722279">
              <w:t>Suggested Fee</w:t>
            </w:r>
          </w:p>
        </w:tc>
        <w:tc>
          <w:tcPr>
            <w:tcW w:w="2487" w:type="pct"/>
          </w:tcPr>
          <w:p w14:paraId="20913A30" w14:textId="729EEDB7" w:rsidR="005D2057" w:rsidRPr="00722279" w:rsidRDefault="005D2057" w:rsidP="00E61F62">
            <w:pPr>
              <w:pStyle w:val="TableHeading0"/>
              <w:keepNext/>
              <w:keepLines/>
            </w:pPr>
            <w:r w:rsidRPr="00722279">
              <w:t>Comment</w:t>
            </w:r>
            <w:r w:rsidR="00F41440">
              <w:t>s from applicant</w:t>
            </w:r>
          </w:p>
        </w:tc>
      </w:tr>
      <w:tr w:rsidR="005D2057" w:rsidRPr="00722279" w14:paraId="098D786B" w14:textId="77777777" w:rsidTr="0031372D">
        <w:trPr>
          <w:cantSplit/>
        </w:trPr>
        <w:tc>
          <w:tcPr>
            <w:tcW w:w="1666" w:type="pct"/>
          </w:tcPr>
          <w:p w14:paraId="75313FA4" w14:textId="4CBEF0A3" w:rsidR="005D2057" w:rsidRPr="00722279" w:rsidRDefault="005D2057" w:rsidP="00E61F62">
            <w:pPr>
              <w:pStyle w:val="TableText"/>
              <w:keepNext/>
              <w:keepLines/>
            </w:pPr>
            <w:r w:rsidRPr="00722279">
              <w:t xml:space="preserve">GMP </w:t>
            </w:r>
            <w:r w:rsidRPr="00722279">
              <w:rPr>
                <w:vertAlign w:val="superscript"/>
              </w:rPr>
              <w:t>177</w:t>
            </w:r>
            <w:r w:rsidRPr="00722279">
              <w:t>Lu (</w:t>
            </w:r>
            <w:proofErr w:type="spellStart"/>
            <w:r w:rsidRPr="00722279">
              <w:t>nca</w:t>
            </w:r>
            <w:proofErr w:type="spellEnd"/>
            <w:r w:rsidRPr="00722279">
              <w:t>)</w:t>
            </w:r>
            <w:r w:rsidR="00CB1F4E">
              <w:t>-</w:t>
            </w:r>
            <w:r w:rsidRPr="00722279">
              <w:t>DOTA-</w:t>
            </w:r>
            <w:proofErr w:type="spellStart"/>
            <w:r w:rsidR="00463B9A">
              <w:t>o</w:t>
            </w:r>
            <w:r w:rsidRPr="00722279">
              <w:t>ctreotate</w:t>
            </w:r>
            <w:proofErr w:type="spellEnd"/>
            <w:r w:rsidRPr="00722279">
              <w:t xml:space="preserve"> </w:t>
            </w:r>
            <w:r w:rsidR="00463B9A">
              <w:t>s</w:t>
            </w:r>
            <w:r w:rsidRPr="00722279">
              <w:t>upply</w:t>
            </w:r>
          </w:p>
        </w:tc>
        <w:tc>
          <w:tcPr>
            <w:tcW w:w="846" w:type="pct"/>
          </w:tcPr>
          <w:p w14:paraId="7D637BDF" w14:textId="0CEB40A6" w:rsidR="005D2057" w:rsidRPr="00722279" w:rsidRDefault="005D2057" w:rsidP="00E61F62">
            <w:pPr>
              <w:pStyle w:val="TableText"/>
              <w:keepNext/>
              <w:keepLines/>
            </w:pPr>
            <w:r w:rsidRPr="00722279">
              <w:t>$8</w:t>
            </w:r>
            <w:r w:rsidR="005D1AB7">
              <w:t>,</w:t>
            </w:r>
            <w:r w:rsidRPr="00722279">
              <w:t>000</w:t>
            </w:r>
            <w:r w:rsidR="005D1AB7">
              <w:t>.00</w:t>
            </w:r>
          </w:p>
        </w:tc>
        <w:tc>
          <w:tcPr>
            <w:tcW w:w="2487" w:type="pct"/>
          </w:tcPr>
          <w:p w14:paraId="6C941F9B" w14:textId="77777777" w:rsidR="005D2057" w:rsidRPr="00722279" w:rsidRDefault="005D2057" w:rsidP="00E61F62">
            <w:pPr>
              <w:pStyle w:val="TableText"/>
              <w:keepNext/>
              <w:keepLines/>
            </w:pPr>
            <w:r w:rsidRPr="00722279">
              <w:t>AMT cannot supply for a lower cost</w:t>
            </w:r>
          </w:p>
        </w:tc>
      </w:tr>
      <w:tr w:rsidR="005D2057" w:rsidRPr="00722279" w14:paraId="54CA96C2" w14:textId="77777777" w:rsidTr="0031372D">
        <w:trPr>
          <w:cantSplit/>
        </w:trPr>
        <w:tc>
          <w:tcPr>
            <w:tcW w:w="1666" w:type="pct"/>
          </w:tcPr>
          <w:p w14:paraId="13516522" w14:textId="01AE5AC7" w:rsidR="005D2057" w:rsidRPr="00722279" w:rsidRDefault="005D2057" w:rsidP="00E61F62">
            <w:pPr>
              <w:pStyle w:val="TableText"/>
              <w:keepNext/>
              <w:keepLines/>
            </w:pPr>
            <w:r w:rsidRPr="00722279">
              <w:t xml:space="preserve">GMP </w:t>
            </w:r>
            <w:r w:rsidRPr="00722279">
              <w:rPr>
                <w:vertAlign w:val="superscript"/>
              </w:rPr>
              <w:t>177</w:t>
            </w:r>
            <w:r w:rsidRPr="00722279">
              <w:t>Lu (ca)</w:t>
            </w:r>
            <w:r w:rsidR="00CB1F4E">
              <w:t>-</w:t>
            </w:r>
            <w:r w:rsidRPr="00722279">
              <w:t>DOTA-</w:t>
            </w:r>
            <w:proofErr w:type="spellStart"/>
            <w:r w:rsidR="00463B9A">
              <w:t>o</w:t>
            </w:r>
            <w:r w:rsidRPr="00722279">
              <w:t>ctreotate</w:t>
            </w:r>
            <w:proofErr w:type="spellEnd"/>
            <w:r w:rsidRPr="00722279">
              <w:t xml:space="preserve"> </w:t>
            </w:r>
            <w:r w:rsidR="00463B9A">
              <w:t>s</w:t>
            </w:r>
            <w:r w:rsidRPr="00722279">
              <w:t>upply</w:t>
            </w:r>
          </w:p>
        </w:tc>
        <w:tc>
          <w:tcPr>
            <w:tcW w:w="846" w:type="pct"/>
          </w:tcPr>
          <w:p w14:paraId="34A18F09" w14:textId="18D9F47E" w:rsidR="005D2057" w:rsidRPr="00722279" w:rsidRDefault="005D2057" w:rsidP="00E61F62">
            <w:pPr>
              <w:pStyle w:val="TableText"/>
              <w:keepNext/>
              <w:keepLines/>
            </w:pPr>
            <w:r w:rsidRPr="00722279">
              <w:t>$7</w:t>
            </w:r>
            <w:r w:rsidR="005D1AB7">
              <w:t>,</w:t>
            </w:r>
            <w:r w:rsidRPr="00722279">
              <w:t>600</w:t>
            </w:r>
            <w:r w:rsidR="005D1AB7">
              <w:t>.00</w:t>
            </w:r>
          </w:p>
        </w:tc>
        <w:tc>
          <w:tcPr>
            <w:tcW w:w="2487" w:type="pct"/>
          </w:tcPr>
          <w:p w14:paraId="34F92343" w14:textId="77777777" w:rsidR="005D2057" w:rsidRPr="00722279" w:rsidRDefault="005D2057" w:rsidP="00E61F62">
            <w:pPr>
              <w:pStyle w:val="TableText"/>
              <w:keepNext/>
              <w:keepLines/>
            </w:pPr>
            <w:r w:rsidRPr="00722279">
              <w:t>AMT cannot supply for a lower cost</w:t>
            </w:r>
          </w:p>
        </w:tc>
      </w:tr>
      <w:tr w:rsidR="005D2057" w:rsidRPr="00722279" w14:paraId="23E09E3A" w14:textId="77777777" w:rsidTr="0031372D">
        <w:trPr>
          <w:cantSplit/>
        </w:trPr>
        <w:tc>
          <w:tcPr>
            <w:tcW w:w="1666" w:type="pct"/>
          </w:tcPr>
          <w:p w14:paraId="7B066D02" w14:textId="77777777" w:rsidR="005D2057" w:rsidRPr="00722279" w:rsidRDefault="005D2057" w:rsidP="00E61F62">
            <w:pPr>
              <w:pStyle w:val="TableText"/>
              <w:keepNext/>
              <w:keepLines/>
            </w:pPr>
            <w:r w:rsidRPr="00722279">
              <w:t>Delivery</w:t>
            </w:r>
          </w:p>
        </w:tc>
        <w:tc>
          <w:tcPr>
            <w:tcW w:w="846" w:type="pct"/>
          </w:tcPr>
          <w:p w14:paraId="4090F271" w14:textId="31C33B6D" w:rsidR="005D2057" w:rsidRPr="00722279" w:rsidRDefault="005D2057" w:rsidP="00E61F62">
            <w:pPr>
              <w:pStyle w:val="TableText"/>
              <w:keepNext/>
              <w:keepLines/>
            </w:pPr>
            <w:r w:rsidRPr="00722279">
              <w:t>$450</w:t>
            </w:r>
            <w:r w:rsidR="005D1AB7">
              <w:t>.00</w:t>
            </w:r>
          </w:p>
        </w:tc>
        <w:tc>
          <w:tcPr>
            <w:tcW w:w="2487" w:type="pct"/>
          </w:tcPr>
          <w:p w14:paraId="13B1B7B0" w14:textId="1593EED9" w:rsidR="005D2057" w:rsidRPr="00722279" w:rsidRDefault="00507BDA" w:rsidP="00E61F62">
            <w:pPr>
              <w:pStyle w:val="TableText"/>
              <w:keepNext/>
              <w:keepLines/>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 </w:t>
            </w:r>
          </w:p>
        </w:tc>
      </w:tr>
      <w:tr w:rsidR="005D2057" w:rsidRPr="00722279" w14:paraId="2CC6BC19" w14:textId="77777777" w:rsidTr="0031372D">
        <w:trPr>
          <w:cantSplit/>
        </w:trPr>
        <w:tc>
          <w:tcPr>
            <w:tcW w:w="1666" w:type="pct"/>
          </w:tcPr>
          <w:p w14:paraId="7B22CEE3" w14:textId="4C3E92D5" w:rsidR="005D2057" w:rsidRPr="00722279" w:rsidRDefault="005D2057" w:rsidP="00E61F62">
            <w:pPr>
              <w:pStyle w:val="TableText"/>
              <w:keepNext/>
              <w:keepLines/>
            </w:pPr>
            <w:proofErr w:type="spellStart"/>
            <w:r w:rsidRPr="00722279">
              <w:t>Theranostic</w:t>
            </w:r>
            <w:proofErr w:type="spellEnd"/>
            <w:r w:rsidRPr="00722279">
              <w:t xml:space="preserve"> </w:t>
            </w:r>
            <w:r w:rsidR="005D1AB7">
              <w:t>s</w:t>
            </w:r>
            <w:r w:rsidRPr="00722279">
              <w:t>pecialist pre</w:t>
            </w:r>
            <w:r w:rsidR="00213F70">
              <w:t>-</w:t>
            </w:r>
            <w:r w:rsidR="005D1AB7">
              <w:t>t</w:t>
            </w:r>
            <w:r w:rsidRPr="00722279">
              <w:t xml:space="preserve">reatment </w:t>
            </w:r>
            <w:r w:rsidR="005D1AB7">
              <w:t>c</w:t>
            </w:r>
            <w:r w:rsidRPr="00722279">
              <w:t xml:space="preserve">onsult </w:t>
            </w:r>
            <w:r w:rsidR="005D1AB7">
              <w:t>f</w:t>
            </w:r>
            <w:r w:rsidRPr="00722279">
              <w:t>ee</w:t>
            </w:r>
          </w:p>
        </w:tc>
        <w:tc>
          <w:tcPr>
            <w:tcW w:w="846" w:type="pct"/>
          </w:tcPr>
          <w:p w14:paraId="0167E709" w14:textId="77777777" w:rsidR="005D2057" w:rsidRPr="00722279" w:rsidRDefault="005D2057" w:rsidP="00E61F62">
            <w:pPr>
              <w:pStyle w:val="TableText"/>
              <w:keepNext/>
              <w:keepLines/>
            </w:pPr>
            <w:r w:rsidRPr="00722279">
              <w:t>$167.75</w:t>
            </w:r>
          </w:p>
        </w:tc>
        <w:tc>
          <w:tcPr>
            <w:tcW w:w="2487" w:type="pct"/>
          </w:tcPr>
          <w:p w14:paraId="0A16EE75" w14:textId="4A80AE92" w:rsidR="005D2057" w:rsidRPr="00722279" w:rsidRDefault="003F05F5" w:rsidP="00E61F62">
            <w:pPr>
              <w:pStyle w:val="TableText"/>
              <w:keepNext/>
              <w:keepLines/>
            </w:pPr>
            <w:r>
              <w:t>A</w:t>
            </w:r>
            <w:r w:rsidR="005D2057" w:rsidRPr="00722279">
              <w:t xml:space="preserve">ligned with </w:t>
            </w:r>
            <w:r w:rsidR="002A48D2">
              <w:t>i</w:t>
            </w:r>
            <w:r w:rsidR="005D2057" w:rsidRPr="00722279">
              <w:t xml:space="preserve">tem 110 but no wording modification of that </w:t>
            </w:r>
            <w:r w:rsidR="002A48D2">
              <w:t>i</w:t>
            </w:r>
            <w:r w:rsidR="005D2057" w:rsidRPr="00722279">
              <w:t xml:space="preserve">tem number would be required if the </w:t>
            </w:r>
            <w:r w:rsidR="005D2057" w:rsidRPr="00722279">
              <w:rPr>
                <w:vertAlign w:val="superscript"/>
              </w:rPr>
              <w:t>177</w:t>
            </w:r>
            <w:r w:rsidR="005D2057" w:rsidRPr="00722279">
              <w:t>Lu DOTA-</w:t>
            </w:r>
            <w:proofErr w:type="spellStart"/>
            <w:r w:rsidR="00C90151">
              <w:t>o</w:t>
            </w:r>
            <w:r w:rsidR="005D2057" w:rsidRPr="00722279">
              <w:t>ctreotate</w:t>
            </w:r>
            <w:proofErr w:type="spellEnd"/>
            <w:r w:rsidR="005D2057" w:rsidRPr="00722279">
              <w:t xml:space="preserve"> fee bundled </w:t>
            </w:r>
            <w:proofErr w:type="gramStart"/>
            <w:r w:rsidR="005D2057" w:rsidRPr="00722279">
              <w:t>a number of</w:t>
            </w:r>
            <w:proofErr w:type="gramEnd"/>
            <w:r w:rsidR="005D2057" w:rsidRPr="00722279">
              <w:t xml:space="preserve"> essential service elements. Higher fee than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 reflects differences in clinical complexity of patients. A lower fee could be applied if the </w:t>
            </w:r>
            <w:proofErr w:type="spellStart"/>
            <w:r w:rsidR="00997DCB">
              <w:t>t</w:t>
            </w:r>
            <w:r w:rsidR="005D2057" w:rsidRPr="00722279">
              <w:t>heranostic</w:t>
            </w:r>
            <w:proofErr w:type="spellEnd"/>
            <w:r w:rsidR="005D2057" w:rsidRPr="00722279">
              <w:t xml:space="preserve"> </w:t>
            </w:r>
            <w:r w:rsidR="00997DCB">
              <w:t>s</w:t>
            </w:r>
            <w:r w:rsidR="005D2057" w:rsidRPr="00722279">
              <w:t>pecialist is also a member of the MDT recommending treatment and receives a fee for that attendance</w:t>
            </w:r>
          </w:p>
        </w:tc>
      </w:tr>
      <w:tr w:rsidR="005D2057" w:rsidRPr="00722279" w14:paraId="1E19D39F" w14:textId="77777777" w:rsidTr="0031372D">
        <w:trPr>
          <w:cantSplit/>
        </w:trPr>
        <w:tc>
          <w:tcPr>
            <w:tcW w:w="1666" w:type="pct"/>
          </w:tcPr>
          <w:p w14:paraId="5F2AD5E5" w14:textId="455B16C1" w:rsidR="005D2057" w:rsidRPr="00722279" w:rsidRDefault="005D2057" w:rsidP="00E61F62">
            <w:pPr>
              <w:pStyle w:val="TableText"/>
              <w:keepNext/>
              <w:keepLines/>
            </w:pPr>
            <w:proofErr w:type="spellStart"/>
            <w:r w:rsidRPr="00722279">
              <w:t>Theranostic</w:t>
            </w:r>
            <w:proofErr w:type="spellEnd"/>
            <w:r w:rsidRPr="00722279">
              <w:t xml:space="preserve"> </w:t>
            </w:r>
            <w:r w:rsidR="005D1AB7">
              <w:t>s</w:t>
            </w:r>
            <w:r w:rsidRPr="00722279">
              <w:t xml:space="preserve">pecialist </w:t>
            </w:r>
            <w:r w:rsidR="005D1AB7">
              <w:t>t</w:t>
            </w:r>
            <w:r w:rsidRPr="00722279">
              <w:t xml:space="preserve">reatment </w:t>
            </w:r>
            <w:r w:rsidR="005D1AB7">
              <w:t>s</w:t>
            </w:r>
            <w:r w:rsidRPr="00722279">
              <w:t xml:space="preserve">upervision and </w:t>
            </w:r>
            <w:r w:rsidR="005D1AB7">
              <w:t>f</w:t>
            </w:r>
            <w:r w:rsidRPr="00722279">
              <w:t xml:space="preserve">ollow-up </w:t>
            </w:r>
            <w:r w:rsidR="005D1AB7">
              <w:t>f</w:t>
            </w:r>
            <w:r w:rsidRPr="00722279">
              <w:t>ee</w:t>
            </w:r>
          </w:p>
        </w:tc>
        <w:tc>
          <w:tcPr>
            <w:tcW w:w="846" w:type="pct"/>
          </w:tcPr>
          <w:p w14:paraId="095CAD57" w14:textId="77777777" w:rsidR="005D2057" w:rsidRPr="00722279" w:rsidRDefault="005D2057" w:rsidP="00E61F62">
            <w:pPr>
              <w:pStyle w:val="TableText"/>
              <w:keepNext/>
              <w:keepLines/>
            </w:pPr>
            <w:r w:rsidRPr="00722279">
              <w:t>$118.30</w:t>
            </w:r>
          </w:p>
        </w:tc>
        <w:tc>
          <w:tcPr>
            <w:tcW w:w="2487" w:type="pct"/>
          </w:tcPr>
          <w:p w14:paraId="4372970E" w14:textId="62D9A052" w:rsidR="005D2057" w:rsidRPr="00722279" w:rsidRDefault="009C4FBD" w:rsidP="00E61F62">
            <w:pPr>
              <w:pStyle w:val="TableText"/>
              <w:keepNext/>
              <w:keepLines/>
            </w:pPr>
            <w:r>
              <w:t>A</w:t>
            </w:r>
            <w:r w:rsidR="005D2057" w:rsidRPr="00722279">
              <w:t xml:space="preserve">ligned with </w:t>
            </w:r>
            <w:r w:rsidR="002A48D2">
              <w:t>i</w:t>
            </w:r>
            <w:r w:rsidR="005D2057" w:rsidRPr="00722279">
              <w:t xml:space="preserve">tem 13950 but no wording modification of that </w:t>
            </w:r>
            <w:r w:rsidR="002A48D2">
              <w:t>i</w:t>
            </w:r>
            <w:r w:rsidR="005D2057" w:rsidRPr="00722279">
              <w:t xml:space="preserve">tem number would be required if the </w:t>
            </w:r>
            <w:r w:rsidR="005D2057" w:rsidRPr="00722279">
              <w:rPr>
                <w:vertAlign w:val="superscript"/>
              </w:rPr>
              <w:t>177</w:t>
            </w:r>
            <w:r w:rsidR="005D2057" w:rsidRPr="00722279">
              <w:t>Lu DOTA-</w:t>
            </w:r>
            <w:proofErr w:type="spellStart"/>
            <w:r w:rsidR="00AF53BB">
              <w:t>o</w:t>
            </w:r>
            <w:r w:rsidR="005D2057" w:rsidRPr="00722279">
              <w:t>ctreotate</w:t>
            </w:r>
            <w:proofErr w:type="spellEnd"/>
            <w:r w:rsidR="005D2057" w:rsidRPr="00722279">
              <w:t xml:space="preserve"> fee bundled </w:t>
            </w:r>
            <w:proofErr w:type="gramStart"/>
            <w:r w:rsidR="005D2057" w:rsidRPr="00722279">
              <w:t>a number of</w:t>
            </w:r>
            <w:proofErr w:type="gramEnd"/>
            <w:r w:rsidR="005D2057" w:rsidRPr="00722279">
              <w:t xml:space="preserve"> essential service elements</w:t>
            </w:r>
          </w:p>
        </w:tc>
      </w:tr>
      <w:tr w:rsidR="005D2057" w:rsidRPr="00722279" w14:paraId="791FB83A" w14:textId="77777777" w:rsidTr="0031372D">
        <w:trPr>
          <w:cantSplit/>
        </w:trPr>
        <w:tc>
          <w:tcPr>
            <w:tcW w:w="1666" w:type="pct"/>
          </w:tcPr>
          <w:p w14:paraId="5FD844F0" w14:textId="1C195CFA" w:rsidR="005D2057" w:rsidRPr="00722279" w:rsidRDefault="005D2057" w:rsidP="00E61F62">
            <w:pPr>
              <w:pStyle w:val="TableText"/>
              <w:keepNext/>
              <w:keepLines/>
            </w:pPr>
            <w:r w:rsidRPr="00722279">
              <w:t>Non</w:t>
            </w:r>
            <w:r w:rsidR="00213F70">
              <w:t>-</w:t>
            </w:r>
            <w:r w:rsidRPr="00722279">
              <w:t>admitted patient facility fee (</w:t>
            </w:r>
            <w:r w:rsidR="005D1AB7">
              <w:t>f</w:t>
            </w:r>
            <w:r w:rsidRPr="00722279">
              <w:t>acility cost)</w:t>
            </w:r>
          </w:p>
        </w:tc>
        <w:tc>
          <w:tcPr>
            <w:tcW w:w="846" w:type="pct"/>
          </w:tcPr>
          <w:p w14:paraId="06D9A4A6" w14:textId="0539ABF4" w:rsidR="005D2057" w:rsidRPr="00722279" w:rsidRDefault="005D2057" w:rsidP="00E61F62">
            <w:pPr>
              <w:pStyle w:val="TableText"/>
              <w:keepNext/>
              <w:keepLines/>
            </w:pPr>
            <w:r w:rsidRPr="00722279">
              <w:t>$900</w:t>
            </w:r>
            <w:r w:rsidR="005D1AB7">
              <w:t>.00</w:t>
            </w:r>
          </w:p>
        </w:tc>
        <w:tc>
          <w:tcPr>
            <w:tcW w:w="2487" w:type="pct"/>
          </w:tcPr>
          <w:p w14:paraId="668E38A3" w14:textId="14109613" w:rsidR="005D2057" w:rsidRPr="00722279" w:rsidRDefault="00AF53BB" w:rsidP="00E61F62">
            <w:pPr>
              <w:pStyle w:val="TableText"/>
              <w:keepNext/>
              <w:keepLines/>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w:t>
            </w:r>
          </w:p>
        </w:tc>
      </w:tr>
      <w:tr w:rsidR="005D2057" w:rsidRPr="00722279" w14:paraId="048B4B0C" w14:textId="77777777" w:rsidTr="0031372D">
        <w:trPr>
          <w:cantSplit/>
        </w:trPr>
        <w:tc>
          <w:tcPr>
            <w:tcW w:w="1666" w:type="pct"/>
          </w:tcPr>
          <w:p w14:paraId="50EB824E" w14:textId="72664143" w:rsidR="005D2057" w:rsidRPr="00722279" w:rsidRDefault="005D2057" w:rsidP="00E61F62">
            <w:pPr>
              <w:pStyle w:val="TableText"/>
              <w:keepNext/>
              <w:keepLines/>
            </w:pPr>
            <w:r w:rsidRPr="00722279">
              <w:t xml:space="preserve">Nuclear </w:t>
            </w:r>
            <w:r w:rsidR="005D1AB7">
              <w:t>m</w:t>
            </w:r>
            <w:r w:rsidRPr="00722279">
              <w:t xml:space="preserve">edicine </w:t>
            </w:r>
            <w:r w:rsidR="005D1AB7">
              <w:t>t</w:t>
            </w:r>
            <w:r w:rsidRPr="00722279">
              <w:t>echnologist</w:t>
            </w:r>
          </w:p>
        </w:tc>
        <w:tc>
          <w:tcPr>
            <w:tcW w:w="846" w:type="pct"/>
          </w:tcPr>
          <w:p w14:paraId="75F2C047" w14:textId="6588DCD5" w:rsidR="005D2057" w:rsidRPr="00722279" w:rsidRDefault="005D2057" w:rsidP="00E61F62">
            <w:pPr>
              <w:pStyle w:val="TableText"/>
              <w:keepNext/>
              <w:keepLines/>
            </w:pPr>
            <w:r w:rsidRPr="00722279">
              <w:t>$200</w:t>
            </w:r>
            <w:r w:rsidR="005D1AB7">
              <w:t>.00</w:t>
            </w:r>
          </w:p>
        </w:tc>
        <w:tc>
          <w:tcPr>
            <w:tcW w:w="2487" w:type="pct"/>
          </w:tcPr>
          <w:p w14:paraId="7CC74ABE" w14:textId="5E30ACC3" w:rsidR="005D2057" w:rsidRPr="00722279" w:rsidRDefault="007E149F" w:rsidP="00E61F62">
            <w:pPr>
              <w:pStyle w:val="TableText"/>
              <w:keepNext/>
              <w:keepLines/>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w:t>
            </w:r>
          </w:p>
        </w:tc>
      </w:tr>
      <w:tr w:rsidR="005D2057" w:rsidRPr="00722279" w14:paraId="47AA775D" w14:textId="77777777" w:rsidTr="0031372D">
        <w:trPr>
          <w:cantSplit/>
        </w:trPr>
        <w:tc>
          <w:tcPr>
            <w:tcW w:w="1666" w:type="pct"/>
          </w:tcPr>
          <w:p w14:paraId="6ECAADC0" w14:textId="16B2A695" w:rsidR="005D2057" w:rsidRPr="00722279" w:rsidRDefault="005D2057" w:rsidP="00E61F62">
            <w:pPr>
              <w:pStyle w:val="TableText"/>
              <w:keepNext/>
              <w:keepLines/>
              <w:spacing w:after="0"/>
            </w:pPr>
            <w:r w:rsidRPr="00722279">
              <w:t xml:space="preserve">Amino </w:t>
            </w:r>
            <w:r w:rsidR="005D1AB7">
              <w:t>a</w:t>
            </w:r>
            <w:r w:rsidRPr="00722279">
              <w:t xml:space="preserve">cid </w:t>
            </w:r>
            <w:r w:rsidR="005D1AB7">
              <w:t>i</w:t>
            </w:r>
            <w:r w:rsidRPr="00722279">
              <w:t>nfusion</w:t>
            </w:r>
          </w:p>
        </w:tc>
        <w:tc>
          <w:tcPr>
            <w:tcW w:w="846" w:type="pct"/>
          </w:tcPr>
          <w:p w14:paraId="707886E6" w14:textId="7D8A9430" w:rsidR="005D2057" w:rsidRPr="00722279" w:rsidRDefault="005D2057" w:rsidP="00E61F62">
            <w:pPr>
              <w:pStyle w:val="TableText"/>
              <w:keepNext/>
              <w:keepLines/>
              <w:spacing w:after="0"/>
            </w:pPr>
            <w:r w:rsidRPr="00722279">
              <w:t>$120</w:t>
            </w:r>
            <w:r w:rsidR="005D1AB7">
              <w:t>.00</w:t>
            </w:r>
          </w:p>
        </w:tc>
        <w:tc>
          <w:tcPr>
            <w:tcW w:w="2487" w:type="pct"/>
          </w:tcPr>
          <w:p w14:paraId="5ADC11FA" w14:textId="3CB60C4D" w:rsidR="005D2057" w:rsidRPr="00722279" w:rsidRDefault="007E149F" w:rsidP="00E61F62">
            <w:pPr>
              <w:pStyle w:val="TableText"/>
              <w:keepNext/>
              <w:keepLines/>
              <w:spacing w:after="0"/>
            </w:pPr>
            <w:r>
              <w:t>C</w:t>
            </w:r>
            <w:r w:rsidR="005D2057" w:rsidRPr="00722279">
              <w:t>ost to Peter MacCallum Cancer Centre from one commercial provider</w:t>
            </w:r>
          </w:p>
        </w:tc>
      </w:tr>
      <w:tr w:rsidR="005D2057" w:rsidRPr="00722279" w14:paraId="6FF0198B" w14:textId="77777777" w:rsidTr="0031372D">
        <w:trPr>
          <w:cantSplit/>
        </w:trPr>
        <w:tc>
          <w:tcPr>
            <w:tcW w:w="1666" w:type="pct"/>
          </w:tcPr>
          <w:p w14:paraId="71B218ED" w14:textId="77777777" w:rsidR="005D2057" w:rsidRPr="00722279" w:rsidRDefault="005D2057" w:rsidP="00E61F62">
            <w:pPr>
              <w:pStyle w:val="TableText"/>
              <w:keepNext/>
              <w:keepLines/>
            </w:pPr>
            <w:r w:rsidRPr="00722279">
              <w:t>Post-administration SPECT/CT scan</w:t>
            </w:r>
          </w:p>
        </w:tc>
        <w:tc>
          <w:tcPr>
            <w:tcW w:w="846" w:type="pct"/>
          </w:tcPr>
          <w:p w14:paraId="58733CC0" w14:textId="2A69B31D" w:rsidR="005D2057" w:rsidRPr="00722279" w:rsidRDefault="005D2057" w:rsidP="00E61F62">
            <w:pPr>
              <w:pStyle w:val="TableText"/>
              <w:keepNext/>
              <w:keepLines/>
            </w:pPr>
            <w:r w:rsidRPr="00722279">
              <w:t>$400</w:t>
            </w:r>
            <w:r w:rsidR="005D1AB7">
              <w:t>.00</w:t>
            </w:r>
          </w:p>
        </w:tc>
        <w:tc>
          <w:tcPr>
            <w:tcW w:w="2487" w:type="pct"/>
          </w:tcPr>
          <w:p w14:paraId="57EE66F1" w14:textId="20A2D0CF" w:rsidR="005D2057" w:rsidRPr="00722279" w:rsidRDefault="007E149F" w:rsidP="00E61F62">
            <w:pPr>
              <w:pStyle w:val="TableText"/>
              <w:keepNext/>
              <w:keepLines/>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w:t>
            </w:r>
          </w:p>
        </w:tc>
      </w:tr>
      <w:tr w:rsidR="005D2057" w:rsidRPr="00722279" w14:paraId="393CA97D" w14:textId="77777777" w:rsidTr="0031372D">
        <w:trPr>
          <w:cantSplit/>
        </w:trPr>
        <w:tc>
          <w:tcPr>
            <w:tcW w:w="1666" w:type="pct"/>
          </w:tcPr>
          <w:p w14:paraId="6910DC36" w14:textId="1BEA3306" w:rsidR="005D2057" w:rsidRPr="00722279" w:rsidRDefault="005D2057" w:rsidP="00E61F62">
            <w:pPr>
              <w:pStyle w:val="TableText"/>
              <w:keepNext/>
              <w:keepLines/>
            </w:pPr>
            <w:r w:rsidRPr="00722279">
              <w:t xml:space="preserve">Radiation </w:t>
            </w:r>
            <w:r w:rsidR="005D1AB7">
              <w:t>s</w:t>
            </w:r>
            <w:r w:rsidRPr="00722279">
              <w:t xml:space="preserve">afety </w:t>
            </w:r>
            <w:r w:rsidR="005D1AB7">
              <w:t>o</w:t>
            </w:r>
            <w:r w:rsidRPr="00722279">
              <w:t>fficer/</w:t>
            </w:r>
            <w:r w:rsidR="005D1AB7">
              <w:t>p</w:t>
            </w:r>
            <w:r w:rsidRPr="00722279">
              <w:t>hysicist</w:t>
            </w:r>
          </w:p>
        </w:tc>
        <w:tc>
          <w:tcPr>
            <w:tcW w:w="846" w:type="pct"/>
          </w:tcPr>
          <w:p w14:paraId="46DCE10D" w14:textId="7CD551AC" w:rsidR="005D2057" w:rsidRPr="00722279" w:rsidRDefault="005D2057" w:rsidP="00E61F62">
            <w:pPr>
              <w:pStyle w:val="TableText"/>
              <w:keepNext/>
              <w:keepLines/>
            </w:pPr>
            <w:r w:rsidRPr="00722279">
              <w:t>$75</w:t>
            </w:r>
            <w:r w:rsidR="005D1AB7">
              <w:t>.00</w:t>
            </w:r>
          </w:p>
        </w:tc>
        <w:tc>
          <w:tcPr>
            <w:tcW w:w="2487" w:type="pct"/>
          </w:tcPr>
          <w:p w14:paraId="22B29CF8" w14:textId="0A64111B" w:rsidR="005D2057" w:rsidRPr="00722279" w:rsidRDefault="00490CC7" w:rsidP="00E61F62">
            <w:pPr>
              <w:pStyle w:val="TableText"/>
              <w:keepNext/>
              <w:keepLines/>
            </w:pPr>
            <w:r>
              <w:t>D</w:t>
            </w:r>
            <w:r w:rsidR="005D2057" w:rsidRPr="00722279">
              <w:t xml:space="preserve">erived directly from fee suggested by AANMS for </w:t>
            </w:r>
            <w:r w:rsidR="005D2057" w:rsidRPr="00722279">
              <w:rPr>
                <w:vertAlign w:val="superscript"/>
              </w:rPr>
              <w:t>177</w:t>
            </w:r>
            <w:r w:rsidR="005D2057" w:rsidRPr="00722279">
              <w:t xml:space="preserve">Lu DOTA PSMA </w:t>
            </w:r>
            <w:proofErr w:type="spellStart"/>
            <w:r w:rsidR="005D2057" w:rsidRPr="00722279">
              <w:t>i&amp;t</w:t>
            </w:r>
            <w:proofErr w:type="spellEnd"/>
            <w:r w:rsidR="005D2057" w:rsidRPr="00722279">
              <w:t xml:space="preserve"> therapy. Probabl</w:t>
            </w:r>
            <w:r>
              <w:t>e</w:t>
            </w:r>
            <w:r w:rsidR="005D2057" w:rsidRPr="00722279">
              <w:t xml:space="preserve"> this function could be supplied without additional cost by the </w:t>
            </w:r>
            <w:r w:rsidR="00877036">
              <w:t>n</w:t>
            </w:r>
            <w:r w:rsidR="005D2057" w:rsidRPr="00722279">
              <w:t xml:space="preserve">uclear </w:t>
            </w:r>
            <w:r w:rsidR="00877036">
              <w:t>m</w:t>
            </w:r>
            <w:r w:rsidR="005D2057" w:rsidRPr="00722279">
              <w:t xml:space="preserve">edicine </w:t>
            </w:r>
            <w:r w:rsidR="00877036">
              <w:t>t</w:t>
            </w:r>
            <w:r w:rsidR="005D2057" w:rsidRPr="00722279">
              <w:t>echnologist</w:t>
            </w:r>
          </w:p>
        </w:tc>
      </w:tr>
      <w:tr w:rsidR="005D2057" w:rsidRPr="00722279" w14:paraId="5CDB9F21" w14:textId="77777777" w:rsidTr="0031372D">
        <w:trPr>
          <w:cantSplit/>
        </w:trPr>
        <w:tc>
          <w:tcPr>
            <w:tcW w:w="1666" w:type="pct"/>
          </w:tcPr>
          <w:p w14:paraId="673F009E" w14:textId="77777777" w:rsidR="005D2057" w:rsidRPr="00722279" w:rsidRDefault="005D2057" w:rsidP="00E61F62">
            <w:pPr>
              <w:pStyle w:val="TableText"/>
              <w:keepNext/>
              <w:keepLines/>
              <w:rPr>
                <w:rFonts w:eastAsia="Calibri" w:cs="Times New Roman"/>
                <w:b/>
                <w:bCs/>
                <w:szCs w:val="20"/>
              </w:rPr>
            </w:pPr>
            <w:r w:rsidRPr="00722279">
              <w:t xml:space="preserve">Total </w:t>
            </w:r>
          </w:p>
          <w:p w14:paraId="77078FED" w14:textId="5E05EB3A" w:rsidR="005D2057" w:rsidRPr="00722279" w:rsidRDefault="005D2057" w:rsidP="00E61F62">
            <w:pPr>
              <w:pStyle w:val="TableText"/>
              <w:keepNext/>
              <w:keepLines/>
            </w:pPr>
            <w:r w:rsidRPr="00722279">
              <w:t xml:space="preserve">GMP </w:t>
            </w:r>
            <w:r w:rsidRPr="00722279">
              <w:rPr>
                <w:vertAlign w:val="superscript"/>
              </w:rPr>
              <w:t>177</w:t>
            </w:r>
            <w:r w:rsidRPr="00722279">
              <w:t>Lu (</w:t>
            </w:r>
            <w:proofErr w:type="spellStart"/>
            <w:r w:rsidRPr="00722279">
              <w:t>nca</w:t>
            </w:r>
            <w:proofErr w:type="spellEnd"/>
            <w:r w:rsidRPr="00722279">
              <w:t>)</w:t>
            </w:r>
            <w:r w:rsidR="003D1506">
              <w:t>-</w:t>
            </w:r>
            <w:r w:rsidRPr="00722279">
              <w:t>DOTA-</w:t>
            </w:r>
            <w:proofErr w:type="spellStart"/>
            <w:r w:rsidR="005D1AB7">
              <w:t>o</w:t>
            </w:r>
            <w:r w:rsidRPr="00722279">
              <w:t>ctreotate</w:t>
            </w:r>
            <w:proofErr w:type="spellEnd"/>
          </w:p>
        </w:tc>
        <w:tc>
          <w:tcPr>
            <w:tcW w:w="846" w:type="pct"/>
          </w:tcPr>
          <w:p w14:paraId="782971D4" w14:textId="77777777" w:rsidR="005D2057" w:rsidRPr="00722279" w:rsidRDefault="005D2057" w:rsidP="00E61F62">
            <w:pPr>
              <w:pStyle w:val="TableText"/>
              <w:keepNext/>
              <w:keepLines/>
            </w:pPr>
            <w:r w:rsidRPr="00722279">
              <w:t>$10,431.05</w:t>
            </w:r>
          </w:p>
        </w:tc>
        <w:tc>
          <w:tcPr>
            <w:tcW w:w="2487" w:type="pct"/>
          </w:tcPr>
          <w:p w14:paraId="6900C03C" w14:textId="77777777" w:rsidR="005D2057" w:rsidRPr="00722279" w:rsidRDefault="005D2057" w:rsidP="00E61F62">
            <w:pPr>
              <w:pStyle w:val="TableText"/>
              <w:keepNext/>
              <w:keepLines/>
            </w:pPr>
          </w:p>
        </w:tc>
      </w:tr>
      <w:tr w:rsidR="005D2057" w:rsidRPr="00722279" w14:paraId="42059771" w14:textId="77777777" w:rsidTr="0031372D">
        <w:trPr>
          <w:cantSplit/>
        </w:trPr>
        <w:tc>
          <w:tcPr>
            <w:tcW w:w="1666" w:type="pct"/>
          </w:tcPr>
          <w:p w14:paraId="70748CF4" w14:textId="77777777" w:rsidR="005D2057" w:rsidRPr="00722279" w:rsidRDefault="005D2057" w:rsidP="00E61F62">
            <w:pPr>
              <w:pStyle w:val="TableText"/>
              <w:keepNext/>
              <w:keepLines/>
              <w:rPr>
                <w:rFonts w:eastAsia="Calibri" w:cs="Times New Roman"/>
                <w:b/>
                <w:bCs/>
                <w:szCs w:val="20"/>
              </w:rPr>
            </w:pPr>
            <w:r w:rsidRPr="00722279">
              <w:t xml:space="preserve">Total </w:t>
            </w:r>
          </w:p>
          <w:p w14:paraId="42504FEC" w14:textId="4CC2B6F3" w:rsidR="005D2057" w:rsidRPr="00722279" w:rsidRDefault="005D2057" w:rsidP="00E61F62">
            <w:pPr>
              <w:pStyle w:val="TableText"/>
              <w:keepNext/>
              <w:keepLines/>
            </w:pPr>
            <w:r w:rsidRPr="00722279">
              <w:t xml:space="preserve">GMP </w:t>
            </w:r>
            <w:r w:rsidRPr="00722279">
              <w:rPr>
                <w:vertAlign w:val="superscript"/>
              </w:rPr>
              <w:t>177</w:t>
            </w:r>
            <w:r w:rsidRPr="00722279">
              <w:t>Lu (ca)</w:t>
            </w:r>
            <w:r w:rsidR="003D1506">
              <w:t>-</w:t>
            </w:r>
            <w:r w:rsidRPr="00722279">
              <w:t>DOTA-</w:t>
            </w:r>
            <w:proofErr w:type="spellStart"/>
            <w:r w:rsidR="005D1AB7">
              <w:t>o</w:t>
            </w:r>
            <w:r w:rsidRPr="00722279">
              <w:t>ctreotate</w:t>
            </w:r>
            <w:proofErr w:type="spellEnd"/>
          </w:p>
        </w:tc>
        <w:tc>
          <w:tcPr>
            <w:tcW w:w="846" w:type="pct"/>
          </w:tcPr>
          <w:p w14:paraId="1E16DE23" w14:textId="77777777" w:rsidR="005D2057" w:rsidRPr="00722279" w:rsidRDefault="005D2057" w:rsidP="00E61F62">
            <w:pPr>
              <w:pStyle w:val="TableText"/>
              <w:keepNext/>
              <w:keepLines/>
            </w:pPr>
            <w:r w:rsidRPr="00722279">
              <w:t>$10,031.05</w:t>
            </w:r>
          </w:p>
        </w:tc>
        <w:tc>
          <w:tcPr>
            <w:tcW w:w="2487" w:type="pct"/>
          </w:tcPr>
          <w:p w14:paraId="6E54B08A" w14:textId="77777777" w:rsidR="005D2057" w:rsidRPr="00722279" w:rsidRDefault="005D2057" w:rsidP="00E61F62">
            <w:pPr>
              <w:pStyle w:val="TableText"/>
              <w:keepNext/>
              <w:keepLines/>
            </w:pPr>
          </w:p>
        </w:tc>
      </w:tr>
    </w:tbl>
    <w:p w14:paraId="41F00F54" w14:textId="231F93CE" w:rsidR="00DA38E6" w:rsidRDefault="00DA38E6" w:rsidP="00E61F62">
      <w:pPr>
        <w:pStyle w:val="Tablenotes0"/>
        <w:keepNext/>
        <w:keepLines/>
        <w:rPr>
          <w:rFonts w:eastAsia="Times New Roman"/>
          <w:snapToGrid w:val="0"/>
          <w:szCs w:val="20"/>
        </w:rPr>
      </w:pPr>
      <w:r>
        <w:rPr>
          <w:snapToGrid w:val="0"/>
        </w:rPr>
        <w:t>Abbreviations:</w:t>
      </w:r>
      <w:r>
        <w:rPr>
          <w:rFonts w:eastAsia="Times New Roman"/>
          <w:snapToGrid w:val="0"/>
          <w:szCs w:val="20"/>
        </w:rPr>
        <w:t xml:space="preserve"> </w:t>
      </w:r>
      <w:r w:rsidR="005B4011">
        <w:rPr>
          <w:rFonts w:eastAsia="Times New Roman"/>
          <w:snapToGrid w:val="0"/>
          <w:szCs w:val="20"/>
        </w:rPr>
        <w:t xml:space="preserve">AANMS = Australasian Association of Nuclear Medicine Specialists; </w:t>
      </w:r>
      <w:r w:rsidR="00AC34F6">
        <w:rPr>
          <w:rFonts w:eastAsia="Times New Roman"/>
          <w:snapToGrid w:val="0"/>
          <w:szCs w:val="20"/>
        </w:rPr>
        <w:t>AMT = Applied Molecular</w:t>
      </w:r>
      <w:r w:rsidR="005E12F3">
        <w:rPr>
          <w:rFonts w:eastAsia="Times New Roman"/>
          <w:snapToGrid w:val="0"/>
          <w:szCs w:val="20"/>
        </w:rPr>
        <w:t xml:space="preserve"> Therapies; </w:t>
      </w:r>
      <w:r w:rsidR="00FE644B">
        <w:rPr>
          <w:rFonts w:eastAsia="Times New Roman"/>
          <w:snapToGrid w:val="0"/>
          <w:szCs w:val="20"/>
        </w:rPr>
        <w:t xml:space="preserve">ca = carrier added; CT = computed tomography; </w:t>
      </w:r>
      <w:r w:rsidR="00990EB7">
        <w:rPr>
          <w:rFonts w:eastAsia="Times New Roman"/>
          <w:snapToGrid w:val="0"/>
          <w:szCs w:val="20"/>
        </w:rPr>
        <w:t xml:space="preserve">GMP = Good Manufacturing Practice; </w:t>
      </w:r>
      <w:proofErr w:type="spellStart"/>
      <w:r w:rsidR="00D87E56">
        <w:rPr>
          <w:rFonts w:eastAsia="Times New Roman"/>
          <w:snapToGrid w:val="0"/>
          <w:szCs w:val="20"/>
        </w:rPr>
        <w:t>i&amp;t</w:t>
      </w:r>
      <w:proofErr w:type="spellEnd"/>
      <w:r w:rsidR="00D87E56">
        <w:rPr>
          <w:rFonts w:eastAsia="Times New Roman"/>
          <w:snapToGrid w:val="0"/>
          <w:szCs w:val="20"/>
        </w:rPr>
        <w:t xml:space="preserve"> = imaging and therapy; </w:t>
      </w:r>
      <w:r w:rsidR="00FE644B">
        <w:rPr>
          <w:rFonts w:eastAsia="Times New Roman"/>
          <w:snapToGrid w:val="0"/>
          <w:szCs w:val="20"/>
        </w:rPr>
        <w:t xml:space="preserve">Lu = Lutetium; </w:t>
      </w:r>
      <w:r w:rsidR="0094782F">
        <w:rPr>
          <w:rFonts w:eastAsia="Times New Roman"/>
          <w:snapToGrid w:val="0"/>
          <w:szCs w:val="20"/>
        </w:rPr>
        <w:t>MDT = multidisciplinary team</w:t>
      </w:r>
      <w:r w:rsidR="00FE644B">
        <w:rPr>
          <w:rFonts w:eastAsia="Times New Roman"/>
          <w:snapToGrid w:val="0"/>
          <w:szCs w:val="20"/>
        </w:rPr>
        <w:t xml:space="preserve">; </w:t>
      </w:r>
      <w:proofErr w:type="spellStart"/>
      <w:r w:rsidR="00990EB7">
        <w:rPr>
          <w:rFonts w:eastAsia="Times New Roman"/>
          <w:snapToGrid w:val="0"/>
          <w:szCs w:val="20"/>
        </w:rPr>
        <w:t>nca</w:t>
      </w:r>
      <w:proofErr w:type="spellEnd"/>
      <w:r w:rsidR="00990EB7">
        <w:rPr>
          <w:rFonts w:eastAsia="Times New Roman"/>
          <w:snapToGrid w:val="0"/>
          <w:szCs w:val="20"/>
        </w:rPr>
        <w:t xml:space="preserve"> = no carrier added; </w:t>
      </w:r>
      <w:r w:rsidR="00FE644B">
        <w:rPr>
          <w:rFonts w:eastAsia="Times New Roman"/>
          <w:snapToGrid w:val="0"/>
          <w:szCs w:val="20"/>
        </w:rPr>
        <w:t xml:space="preserve">PSMA = prostate-specific membrane antigen; </w:t>
      </w:r>
      <w:r w:rsidR="00A7438B">
        <w:rPr>
          <w:rFonts w:eastAsia="Times New Roman"/>
          <w:snapToGrid w:val="0"/>
          <w:szCs w:val="20"/>
        </w:rPr>
        <w:t>SPECT = single photon emission tomography</w:t>
      </w:r>
      <w:r w:rsidR="00FE644B">
        <w:rPr>
          <w:rFonts w:eastAsia="Times New Roman"/>
          <w:snapToGrid w:val="0"/>
          <w:szCs w:val="20"/>
        </w:rPr>
        <w:t>.</w:t>
      </w:r>
    </w:p>
    <w:p w14:paraId="7CC79D74" w14:textId="69989BC6" w:rsidR="00DA38E6" w:rsidRPr="00AA3FA7" w:rsidRDefault="005D1AB7" w:rsidP="00AA3FA7">
      <w:pPr>
        <w:pStyle w:val="Tablenotes0"/>
        <w:rPr>
          <w:snapToGrid w:val="0"/>
        </w:rPr>
      </w:pPr>
      <w:r w:rsidRPr="009218EC">
        <w:rPr>
          <w:snapToGrid w:val="0"/>
        </w:rPr>
        <w:t>Source</w:t>
      </w:r>
      <w:r w:rsidRPr="00B07952">
        <w:rPr>
          <w:snapToGrid w:val="0"/>
        </w:rPr>
        <w:t xml:space="preserve">: </w:t>
      </w:r>
      <w:r>
        <w:rPr>
          <w:snapToGrid w:val="0"/>
        </w:rPr>
        <w:t>Ratified PICO: Attachment 1</w:t>
      </w:r>
    </w:p>
    <w:p w14:paraId="34E0B08F" w14:textId="3DC39932" w:rsidR="00772829" w:rsidRPr="00CE28E3" w:rsidRDefault="000B228E" w:rsidP="002A18BE">
      <w:pPr>
        <w:pStyle w:val="Heading2"/>
        <w:numPr>
          <w:ilvl w:val="0"/>
          <w:numId w:val="0"/>
        </w:numPr>
      </w:pPr>
      <w:bookmarkStart w:id="31" w:name="_Toc161841934"/>
      <w:bookmarkStart w:id="32" w:name="_Toc165275519"/>
      <w:r>
        <w:t>7</w:t>
      </w:r>
      <w:r w:rsidR="00C36633">
        <w:t>.</w:t>
      </w:r>
      <w:r w:rsidR="00C36633">
        <w:tab/>
      </w:r>
      <w:r w:rsidR="00772829" w:rsidRPr="00CE28E3">
        <w:t>Population</w:t>
      </w:r>
      <w:bookmarkEnd w:id="31"/>
      <w:bookmarkEnd w:id="32"/>
      <w:r w:rsidR="00772829" w:rsidRPr="00CE28E3">
        <w:t xml:space="preserve"> </w:t>
      </w:r>
    </w:p>
    <w:p w14:paraId="03566420" w14:textId="56126B02" w:rsidR="00CA558A" w:rsidRDefault="00EB6E1B" w:rsidP="00294495">
      <w:r w:rsidRPr="00562758">
        <w:rPr>
          <w:color w:val="000000" w:themeColor="text1"/>
        </w:rPr>
        <w:t xml:space="preserve">The proposed population for </w:t>
      </w:r>
      <w:r w:rsidRPr="00562758">
        <w:rPr>
          <w:color w:val="000000" w:themeColor="text1"/>
          <w:vertAlign w:val="superscript"/>
        </w:rPr>
        <w:t>68</w:t>
      </w:r>
      <w:r w:rsidRPr="00562758">
        <w:rPr>
          <w:color w:val="000000" w:themeColor="text1"/>
        </w:rPr>
        <w:t xml:space="preserve">Ga-DOTA-octreotate PET/CT testing to assess eligibility for </w:t>
      </w:r>
      <w:r w:rsidRPr="00562758">
        <w:rPr>
          <w:color w:val="000000" w:themeColor="text1"/>
          <w:vertAlign w:val="superscript"/>
        </w:rPr>
        <w:t>177</w:t>
      </w:r>
      <w:r w:rsidRPr="00562758">
        <w:rPr>
          <w:color w:val="000000" w:themeColor="text1"/>
        </w:rPr>
        <w:t xml:space="preserve">Lu-DOTA-octreotate therapy is patients </w:t>
      </w:r>
      <w:r w:rsidR="00097244">
        <w:t xml:space="preserve">referred by a </w:t>
      </w:r>
      <w:r w:rsidR="00097244" w:rsidRPr="009866A9">
        <w:t>specialist or consultant physician</w:t>
      </w:r>
      <w:r w:rsidR="003F2422" w:rsidRPr="00AF31DC">
        <w:t xml:space="preserve">, with histologically confirmed, locally advanced or metastatic, inoperable NENs with documented disease progression or uncontrolled </w:t>
      </w:r>
      <w:r w:rsidR="009A30D3" w:rsidRPr="00AF31DC">
        <w:t>NEN</w:t>
      </w:r>
      <w:r w:rsidR="009A30D3">
        <w:t>-</w:t>
      </w:r>
      <w:r w:rsidR="009A30D3" w:rsidRPr="00AF31DC">
        <w:t xml:space="preserve">related </w:t>
      </w:r>
      <w:r w:rsidR="003F2422" w:rsidRPr="00AF31DC">
        <w:t>symptoms despite standard therapy</w:t>
      </w:r>
      <w:r w:rsidR="009A30D3">
        <w:t>,</w:t>
      </w:r>
      <w:r w:rsidR="003F2422" w:rsidRPr="00AF31DC">
        <w:t xml:space="preserve"> who have </w:t>
      </w:r>
      <w:r w:rsidR="005C6727">
        <w:t>suspected</w:t>
      </w:r>
      <w:r w:rsidR="005C6727" w:rsidRPr="00AF31DC">
        <w:t xml:space="preserve"> </w:t>
      </w:r>
      <w:r w:rsidR="003F2422" w:rsidRPr="00AF31DC">
        <w:t>H-SSTR</w:t>
      </w:r>
      <w:r w:rsidR="005C6727">
        <w:t xml:space="preserve"> expression</w:t>
      </w:r>
      <w:r w:rsidR="003F2422" w:rsidRPr="00AF31DC">
        <w:t xml:space="preserve">. </w:t>
      </w:r>
      <w:r w:rsidR="0021635F">
        <w:t>A</w:t>
      </w:r>
      <w:r w:rsidR="0021635F" w:rsidRPr="00E35BCA">
        <w:t xml:space="preserve"> proportion of patients who have received </w:t>
      </w:r>
      <w:r w:rsidR="0021635F" w:rsidRPr="00E35BCA">
        <w:rPr>
          <w:vertAlign w:val="superscript"/>
        </w:rPr>
        <w:t>68</w:t>
      </w:r>
      <w:r w:rsidR="0021635F" w:rsidRPr="00E35BCA">
        <w:t xml:space="preserve">Ga-DOTA-octreotate PET/CT revealing H-SSTR may also require FDG PET/CT </w:t>
      </w:r>
      <w:r w:rsidR="00CA558A">
        <w:t>to assess for</w:t>
      </w:r>
      <w:r w:rsidR="0021635F" w:rsidRPr="00E35BCA">
        <w:t xml:space="preserve"> high intra- and inter-tumour heterogeneity that may not be revealed on receptor</w:t>
      </w:r>
      <w:r w:rsidR="0021635F">
        <w:t>-</w:t>
      </w:r>
      <w:r w:rsidR="0021635F" w:rsidRPr="00E35BCA">
        <w:t>based imaging</w:t>
      </w:r>
      <w:r w:rsidR="00EB00C0">
        <w:t xml:space="preserve"> alone</w:t>
      </w:r>
      <w:r w:rsidR="0021635F">
        <w:t>.</w:t>
      </w:r>
      <w:r w:rsidR="00CA558A">
        <w:t xml:space="preserve"> </w:t>
      </w:r>
    </w:p>
    <w:p w14:paraId="696F7F20" w14:textId="1BA00A5D" w:rsidR="00783E54" w:rsidRDefault="00EA141A" w:rsidP="00294495">
      <w:r w:rsidRPr="002C50D4">
        <w:rPr>
          <w:color w:val="000000" w:themeColor="text1"/>
        </w:rPr>
        <w:lastRenderedPageBreak/>
        <w:t>Patients who have demonstrated H-SSTR expression</w:t>
      </w:r>
      <w:r w:rsidR="00CA558A">
        <w:rPr>
          <w:color w:val="000000" w:themeColor="text1"/>
        </w:rPr>
        <w:t xml:space="preserve"> following imaging</w:t>
      </w:r>
      <w:r w:rsidRPr="00381895">
        <w:rPr>
          <w:color w:val="000000" w:themeColor="text1"/>
        </w:rPr>
        <w:t xml:space="preserve"> </w:t>
      </w:r>
      <w:r>
        <w:rPr>
          <w:color w:val="000000" w:themeColor="text1"/>
        </w:rPr>
        <w:t xml:space="preserve">are then eligible for treatment. </w:t>
      </w:r>
      <w:r w:rsidR="003F2422" w:rsidRPr="00AF31DC">
        <w:t>This population is aligned with the TGA</w:t>
      </w:r>
      <w:r w:rsidR="009A30D3">
        <w:t>-</w:t>
      </w:r>
      <w:r w:rsidR="003F2422" w:rsidRPr="00AF31DC">
        <w:t xml:space="preserve">registered use of </w:t>
      </w:r>
      <w:r w:rsidR="003F2422" w:rsidRPr="00AF31DC">
        <w:rPr>
          <w:vertAlign w:val="superscript"/>
        </w:rPr>
        <w:t>177</w:t>
      </w:r>
      <w:r w:rsidR="003F2422" w:rsidRPr="00AF31DC">
        <w:t xml:space="preserve">Lu chloride as a radiopharmaceutical precursor </w:t>
      </w:r>
      <w:r w:rsidR="00607D95">
        <w:t>‘</w:t>
      </w:r>
      <w:r w:rsidR="003F2422" w:rsidRPr="00AF31DC">
        <w:t>for the treatment of non</w:t>
      </w:r>
      <w:r w:rsidR="00213F70">
        <w:t>-</w:t>
      </w:r>
      <w:proofErr w:type="spellStart"/>
      <w:r w:rsidR="003F2422" w:rsidRPr="00AF31DC">
        <w:t>resectable</w:t>
      </w:r>
      <w:proofErr w:type="spellEnd"/>
      <w:r w:rsidR="003F2422" w:rsidRPr="00AF31DC">
        <w:t xml:space="preserve"> or metastatic NET</w:t>
      </w:r>
      <w:r w:rsidR="00607D95">
        <w:t>s</w:t>
      </w:r>
      <w:r w:rsidR="003F2422" w:rsidRPr="00AF31DC">
        <w:t xml:space="preserve"> expressing somatostatin </w:t>
      </w:r>
      <w:r w:rsidR="003F2422" w:rsidRPr="003D711B">
        <w:t>subtype 2 receptors when coupled with a suitable carrier molecule</w:t>
      </w:r>
      <w:r w:rsidR="00607D95" w:rsidRPr="00163248">
        <w:t>’</w:t>
      </w:r>
      <w:r w:rsidR="00967746">
        <w:t>.</w:t>
      </w:r>
      <w:r w:rsidR="00607D95">
        <w:t xml:space="preserve"> </w:t>
      </w:r>
    </w:p>
    <w:p w14:paraId="6DD2C028" w14:textId="6A90A27F" w:rsidR="00F209A0" w:rsidRDefault="00AF31DC" w:rsidP="0029324A">
      <w:pPr>
        <w:spacing w:before="0" w:after="120" w:line="276" w:lineRule="auto"/>
      </w:pPr>
      <w:r w:rsidRPr="000464FE">
        <w:rPr>
          <w:vertAlign w:val="superscript"/>
        </w:rPr>
        <w:t>177</w:t>
      </w:r>
      <w:r w:rsidRPr="000464FE">
        <w:t>Lu-</w:t>
      </w:r>
      <w:r w:rsidR="00607D95">
        <w:t xml:space="preserve">DOTA-octreotate </w:t>
      </w:r>
      <w:r>
        <w:t xml:space="preserve">will be used in addition to existing therapies. </w:t>
      </w:r>
      <w:r w:rsidRPr="000464FE">
        <w:rPr>
          <w:vertAlign w:val="superscript"/>
        </w:rPr>
        <w:t>177</w:t>
      </w:r>
      <w:r w:rsidRPr="000464FE">
        <w:t>Lu-</w:t>
      </w:r>
      <w:r w:rsidR="00607D95">
        <w:t xml:space="preserve">DOTA-octreotate </w:t>
      </w:r>
      <w:r w:rsidRPr="000464FE">
        <w:t>is already in use in multiple locations within Australia</w:t>
      </w:r>
      <w:r>
        <w:t xml:space="preserve"> and t</w:t>
      </w:r>
      <w:r w:rsidRPr="000464FE">
        <w:t xml:space="preserve">he clinical management algorithms in </w:t>
      </w:r>
      <w:r w:rsidR="007E6FC5">
        <w:fldChar w:fldCharType="begin"/>
      </w:r>
      <w:r w:rsidR="007E6FC5">
        <w:instrText xml:space="preserve"> REF _Ref161650913 \h </w:instrText>
      </w:r>
      <w:r w:rsidR="007E6FC5">
        <w:fldChar w:fldCharType="separate"/>
      </w:r>
      <w:r w:rsidR="00674D5E">
        <w:t xml:space="preserve">Figure </w:t>
      </w:r>
      <w:r w:rsidR="00674D5E">
        <w:rPr>
          <w:noProof/>
        </w:rPr>
        <w:t>1</w:t>
      </w:r>
      <w:r w:rsidR="007E6FC5">
        <w:fldChar w:fldCharType="end"/>
      </w:r>
      <w:r w:rsidR="007E6FC5">
        <w:t xml:space="preserve"> </w:t>
      </w:r>
      <w:r w:rsidRPr="006430B1">
        <w:t>a</w:t>
      </w:r>
      <w:r w:rsidRPr="006B1C86">
        <w:t xml:space="preserve">nd </w:t>
      </w:r>
      <w:r w:rsidR="007E6FC5">
        <w:fldChar w:fldCharType="begin"/>
      </w:r>
      <w:r w:rsidR="007E6FC5">
        <w:instrText xml:space="preserve"> REF _Ref161650980 \h </w:instrText>
      </w:r>
      <w:r w:rsidR="007E6FC5">
        <w:fldChar w:fldCharType="separate"/>
      </w:r>
      <w:r w:rsidR="00674D5E">
        <w:t xml:space="preserve">Figure </w:t>
      </w:r>
      <w:r w:rsidR="00674D5E">
        <w:rPr>
          <w:noProof/>
        </w:rPr>
        <w:t>2</w:t>
      </w:r>
      <w:r w:rsidR="007E6FC5">
        <w:fldChar w:fldCharType="end"/>
      </w:r>
      <w:r w:rsidR="007E6FC5">
        <w:t xml:space="preserve"> </w:t>
      </w:r>
      <w:r w:rsidRPr="000464FE">
        <w:t xml:space="preserve">demonstrate how current best practice guidance recommends the integration of </w:t>
      </w:r>
      <w:r w:rsidRPr="009E603E">
        <w:rPr>
          <w:vertAlign w:val="superscript"/>
        </w:rPr>
        <w:t>177</w:t>
      </w:r>
      <w:r w:rsidRPr="000464FE">
        <w:t>Lu-</w:t>
      </w:r>
      <w:r w:rsidR="00607D95">
        <w:t xml:space="preserve">DOTA-octreotate </w:t>
      </w:r>
      <w:r w:rsidRPr="000464FE">
        <w:t xml:space="preserve">treatment </w:t>
      </w:r>
      <w:r w:rsidR="00A01FE4">
        <w:t>(</w:t>
      </w:r>
      <w:r w:rsidR="00D80A61">
        <w:t xml:space="preserve">i.e. </w:t>
      </w:r>
      <w:r w:rsidR="00A01FE4">
        <w:t xml:space="preserve">PRRT) </w:t>
      </w:r>
      <w:r w:rsidRPr="000464FE">
        <w:t>with other potentially effective treatments for patients with advanced NE</w:t>
      </w:r>
      <w:r w:rsidR="006B7A12">
        <w:t>N</w:t>
      </w:r>
      <w:r w:rsidRPr="000464FE">
        <w:t xml:space="preserve"> and H-SSTR malignancies and for patients with carcinoid syndrome</w:t>
      </w:r>
      <w:r w:rsidR="002F3722">
        <w:t>.</w:t>
      </w:r>
      <w:r w:rsidR="002F3722">
        <w:rPr>
          <w:rStyle w:val="FootnoteReference"/>
        </w:rPr>
        <w:footnoteReference w:id="5"/>
      </w:r>
      <w:r>
        <w:t xml:space="preserve"> </w:t>
      </w:r>
      <w:r w:rsidRPr="002A2A56">
        <w:t xml:space="preserve">Given the complexity in patient management due to the heterogeneity of tumour progression, symptoms and response to different tumoricidal or </w:t>
      </w:r>
      <w:proofErr w:type="spellStart"/>
      <w:r w:rsidRPr="002A2A56">
        <w:t>tumourostatic</w:t>
      </w:r>
      <w:proofErr w:type="spellEnd"/>
      <w:r w:rsidRPr="002A2A56">
        <w:t xml:space="preserve"> treatments, treatment with </w:t>
      </w:r>
      <w:r w:rsidRPr="002A2A56">
        <w:rPr>
          <w:vertAlign w:val="superscript"/>
        </w:rPr>
        <w:t>177</w:t>
      </w:r>
      <w:r w:rsidRPr="002A2A56">
        <w:t>Lu-</w:t>
      </w:r>
      <w:r w:rsidR="00607D95">
        <w:t xml:space="preserve">DOTA-octreotate </w:t>
      </w:r>
      <w:r w:rsidRPr="002A2A56">
        <w:t xml:space="preserve">should not be viewed as a fixed line in any patient’s therapy. The most appropriate line of therapy for </w:t>
      </w:r>
      <w:r w:rsidRPr="002A2A56">
        <w:rPr>
          <w:vertAlign w:val="superscript"/>
        </w:rPr>
        <w:t>177</w:t>
      </w:r>
      <w:r w:rsidRPr="002A2A56">
        <w:t>Lu-</w:t>
      </w:r>
      <w:r w:rsidR="00607D95">
        <w:t xml:space="preserve">DOTA-octreotate </w:t>
      </w:r>
      <w:r w:rsidRPr="002A2A56">
        <w:t xml:space="preserve">treatment should be considered on an individual patient basis by an MDT experienced in the management of advanced </w:t>
      </w:r>
      <w:r w:rsidR="006B7A12">
        <w:t>NEN</w:t>
      </w:r>
      <w:r w:rsidRPr="002A2A56">
        <w:t>s and other H-SSTR tumours.</w:t>
      </w:r>
      <w:r w:rsidR="00F209A0">
        <w:t xml:space="preserve"> </w:t>
      </w:r>
    </w:p>
    <w:p w14:paraId="685E6364" w14:textId="08158869" w:rsidR="00AE52F2" w:rsidRDefault="00AE52F2" w:rsidP="00AE52F2">
      <w:pPr>
        <w:pStyle w:val="Caption"/>
      </w:pPr>
      <w:bookmarkStart w:id="33" w:name="_Ref161650913"/>
      <w:r>
        <w:lastRenderedPageBreak/>
        <w:t xml:space="preserve">Figure </w:t>
      </w:r>
      <w:r w:rsidR="009C6F88">
        <w:fldChar w:fldCharType="begin"/>
      </w:r>
      <w:r w:rsidR="009C6F88">
        <w:instrText xml:space="preserve"> SEQ Figure \* ARABIC </w:instrText>
      </w:r>
      <w:r w:rsidR="009C6F88">
        <w:fldChar w:fldCharType="separate"/>
      </w:r>
      <w:r w:rsidR="009C6F88">
        <w:rPr>
          <w:noProof/>
        </w:rPr>
        <w:t>1</w:t>
      </w:r>
      <w:r w:rsidR="009C6F88">
        <w:rPr>
          <w:noProof/>
        </w:rPr>
        <w:fldChar w:fldCharType="end"/>
      </w:r>
      <w:bookmarkEnd w:id="33"/>
      <w:r>
        <w:tab/>
      </w:r>
      <w:r w:rsidRPr="008657CF">
        <w:t xml:space="preserve">ESMO </w:t>
      </w:r>
      <w:r>
        <w:t>c</w:t>
      </w:r>
      <w:r w:rsidRPr="008657CF">
        <w:t xml:space="preserve">linical management algorithm for advanced/metastatic </w:t>
      </w:r>
      <w:proofErr w:type="spellStart"/>
      <w:r w:rsidRPr="00604E42">
        <w:t>gastroenteropancreatic</w:t>
      </w:r>
      <w:proofErr w:type="spellEnd"/>
      <w:r w:rsidRPr="008657CF">
        <w:t xml:space="preserve"> </w:t>
      </w:r>
      <w:r w:rsidR="006B7A12">
        <w:t>NEN</w:t>
      </w:r>
      <w:r w:rsidRPr="008657CF">
        <w:t>s</w:t>
      </w:r>
    </w:p>
    <w:p w14:paraId="2195DBC0" w14:textId="77777777" w:rsidR="00DC0B4A" w:rsidRDefault="00783E54" w:rsidP="00DC0B4A">
      <w:pPr>
        <w:keepNext/>
        <w:spacing w:before="0" w:after="0" w:line="276" w:lineRule="auto"/>
      </w:pPr>
      <w:r w:rsidRPr="004D2854">
        <w:rPr>
          <w:rFonts w:ascii="Calibri" w:eastAsia="Calibri" w:hAnsi="Calibri" w:cs="Times New Roman"/>
          <w:b/>
          <w:noProof/>
          <w:szCs w:val="20"/>
        </w:rPr>
        <w:drawing>
          <wp:inline distT="0" distB="0" distL="0" distR="0" wp14:anchorId="6589532D" wp14:editId="28EC7CB1">
            <wp:extent cx="5731510" cy="5871845"/>
            <wp:effectExtent l="0" t="0" r="0" b="0"/>
            <wp:docPr id="353739792" name="Picture 353739792" descr="Figure 7 ESMO Clinical management algorithm for advanced/metastatic GEP-NETs&#10;Source: Figure 4, p854 from ESMO guidelines (Pavel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ESMO Clinical management algorithm for advanced/metastatic GEP-NETs&#10;Source: Figure 4, p854 from ESMO guidelines (Pavel 2020)&#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871845"/>
                    </a:xfrm>
                    <a:prstGeom prst="rect">
                      <a:avLst/>
                    </a:prstGeom>
                  </pic:spPr>
                </pic:pic>
              </a:graphicData>
            </a:graphic>
          </wp:inline>
        </w:drawing>
      </w:r>
    </w:p>
    <w:p w14:paraId="79755306" w14:textId="3BE1DBCF" w:rsidR="00783E54" w:rsidRPr="007E6FC5" w:rsidRDefault="00DC0B4A" w:rsidP="007E6FC5">
      <w:pPr>
        <w:pStyle w:val="Tablenotes0"/>
        <w:rPr>
          <w:b/>
          <w:bCs/>
        </w:rPr>
      </w:pPr>
      <w:r w:rsidRPr="00DC0B4A">
        <w:t>Source: Figure 4, p854 from E</w:t>
      </w:r>
      <w:r w:rsidR="00F54500">
        <w:t>uropean Society of Medical Oncology (</w:t>
      </w:r>
      <w:r w:rsidRPr="00DC0B4A">
        <w:t>ESMO</w:t>
      </w:r>
      <w:r w:rsidR="00F54500">
        <w:t>)</w:t>
      </w:r>
      <w:r w:rsidRPr="00DC0B4A">
        <w:t xml:space="preserve"> guidelines</w:t>
      </w:r>
      <w:r w:rsidR="008E04B4">
        <w:rPr>
          <w:rStyle w:val="FootnoteReference"/>
        </w:rPr>
        <w:footnoteReference w:id="6"/>
      </w:r>
    </w:p>
    <w:p w14:paraId="44FD2BC7" w14:textId="35759770" w:rsidR="007E6FC5" w:rsidRDefault="007E6FC5" w:rsidP="007E6FC5">
      <w:pPr>
        <w:pStyle w:val="Caption"/>
      </w:pPr>
      <w:bookmarkStart w:id="34" w:name="_Ref161650980"/>
      <w:r>
        <w:lastRenderedPageBreak/>
        <w:t xml:space="preserve">Figure </w:t>
      </w:r>
      <w:r w:rsidR="009C6F88">
        <w:fldChar w:fldCharType="begin"/>
      </w:r>
      <w:r w:rsidR="009C6F88">
        <w:instrText xml:space="preserve"> SEQ Figure \* ARABIC </w:instrText>
      </w:r>
      <w:r w:rsidR="009C6F88">
        <w:fldChar w:fldCharType="separate"/>
      </w:r>
      <w:r w:rsidR="009C6F88">
        <w:rPr>
          <w:noProof/>
        </w:rPr>
        <w:t>2</w:t>
      </w:r>
      <w:r w:rsidR="009C6F88">
        <w:rPr>
          <w:noProof/>
        </w:rPr>
        <w:fldChar w:fldCharType="end"/>
      </w:r>
      <w:bookmarkEnd w:id="34"/>
      <w:r>
        <w:tab/>
      </w:r>
      <w:r w:rsidRPr="00C30345">
        <w:t xml:space="preserve">ESMO </w:t>
      </w:r>
      <w:r>
        <w:t>c</w:t>
      </w:r>
      <w:r w:rsidRPr="00C30345">
        <w:t xml:space="preserve">linical management algorithm for advanced/metastatic </w:t>
      </w:r>
      <w:r w:rsidR="006B7A12">
        <w:t>NEN</w:t>
      </w:r>
      <w:r w:rsidRPr="00C30345">
        <w:t>s with carcinoid syndrome</w:t>
      </w:r>
    </w:p>
    <w:p w14:paraId="7D55EEA6" w14:textId="77777777" w:rsidR="00DC0B4A" w:rsidRDefault="00783E54" w:rsidP="00DC0B4A">
      <w:pPr>
        <w:keepNext/>
        <w:spacing w:before="0" w:after="0" w:line="276" w:lineRule="auto"/>
      </w:pPr>
      <w:r w:rsidRPr="00FE65D2">
        <w:rPr>
          <w:rFonts w:ascii="Calibri" w:eastAsia="Calibri" w:hAnsi="Calibri" w:cs="Times New Roman"/>
          <w:b/>
          <w:noProof/>
          <w:szCs w:val="20"/>
        </w:rPr>
        <w:drawing>
          <wp:inline distT="0" distB="0" distL="0" distR="0" wp14:anchorId="666D5179" wp14:editId="0ADB7311">
            <wp:extent cx="5731510" cy="5356860"/>
            <wp:effectExtent l="0" t="0" r="0" b="2540"/>
            <wp:docPr id="1510702224" name="Picture 1510702224" descr="Figure 8 ESMO Clinical management algorithm for advanced/metastatic NETs with carcinoid syndrome2&#10;Source: Figure 3, p851 from ESMO guidelines (Pavel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8 ESMO Clinical management algorithm for advanced/metastatic NETs with carcinoid syndrome2&#10;Source: Figure 3, p851 from ESMO guidelines (Pavel 2020)&#10;"/>
                    <pic:cNvPicPr/>
                  </pic:nvPicPr>
                  <pic:blipFill>
                    <a:blip r:embed="rId15">
                      <a:extLst>
                        <a:ext uri="{28A0092B-C50C-407E-A947-70E740481C1C}">
                          <a14:useLocalDpi xmlns:a14="http://schemas.microsoft.com/office/drawing/2010/main" val="0"/>
                        </a:ext>
                      </a:extLst>
                    </a:blip>
                    <a:stretch>
                      <a:fillRect/>
                    </a:stretch>
                  </pic:blipFill>
                  <pic:spPr>
                    <a:xfrm>
                      <a:off x="0" y="0"/>
                      <a:ext cx="5731510" cy="5356860"/>
                    </a:xfrm>
                    <a:prstGeom prst="rect">
                      <a:avLst/>
                    </a:prstGeom>
                  </pic:spPr>
                </pic:pic>
              </a:graphicData>
            </a:graphic>
          </wp:inline>
        </w:drawing>
      </w:r>
    </w:p>
    <w:p w14:paraId="3CCF430F" w14:textId="7CCDD81F" w:rsidR="0057064E" w:rsidRDefault="00DC0B4A" w:rsidP="007E6FC5">
      <w:pPr>
        <w:pStyle w:val="Tablenotes0"/>
      </w:pPr>
      <w:r w:rsidRPr="00DC0B4A">
        <w:t>Source: Figure 3, p851 from ESMO guidelines</w:t>
      </w:r>
      <w:r w:rsidR="008E04B4">
        <w:rPr>
          <w:rStyle w:val="FootnoteReference"/>
        </w:rPr>
        <w:footnoteReference w:id="7"/>
      </w:r>
    </w:p>
    <w:p w14:paraId="2FB9708E" w14:textId="1FEFEA29" w:rsidR="008E7853" w:rsidRDefault="008E7853" w:rsidP="008E7853">
      <w:pPr>
        <w:spacing w:before="0" w:after="120" w:line="276" w:lineRule="auto"/>
      </w:pPr>
      <w:r>
        <w:t>PASC suggested a clinical management algorithm that highlights the population likely to be considered for an additional FDG/PET scan, as well as exemplar thresholds for eligibility for PRRT. (</w:t>
      </w:r>
      <w:r>
        <w:fldChar w:fldCharType="begin"/>
      </w:r>
      <w:r>
        <w:instrText xml:space="preserve"> REF _Ref164093947 \h </w:instrText>
      </w:r>
      <w:r>
        <w:fldChar w:fldCharType="separate"/>
      </w:r>
      <w:r w:rsidR="00674D5E">
        <w:t xml:space="preserve">Figure </w:t>
      </w:r>
      <w:r w:rsidR="00674D5E">
        <w:rPr>
          <w:noProof/>
        </w:rPr>
        <w:t>3</w:t>
      </w:r>
      <w:r>
        <w:fldChar w:fldCharType="end"/>
      </w:r>
      <w:r>
        <w:t xml:space="preserve">). This includes a modified Krenning score of </w:t>
      </w:r>
      <w:r w:rsidRPr="00CB7A92">
        <w:rPr>
          <w:rFonts w:cs="Calibri"/>
          <w:iCs/>
        </w:rPr>
        <w:t xml:space="preserve">≥3 and </w:t>
      </w:r>
      <w:r>
        <w:rPr>
          <w:rFonts w:cs="Calibri"/>
          <w:iCs/>
        </w:rPr>
        <w:t xml:space="preserve">a maximum of 3 sites of </w:t>
      </w:r>
      <w:r w:rsidRPr="00CB7A92">
        <w:rPr>
          <w:rFonts w:cs="Calibri"/>
          <w:iCs/>
        </w:rPr>
        <w:t>FDG/SSRI discordance</w:t>
      </w:r>
      <w:r>
        <w:rPr>
          <w:rFonts w:cs="Calibri"/>
          <w:iCs/>
        </w:rPr>
        <w:t xml:space="preserve">. It is important to note that these thresholds </w:t>
      </w:r>
      <w:r w:rsidRPr="0005343D">
        <w:rPr>
          <w:rFonts w:cs="Calibri"/>
          <w:iCs/>
        </w:rPr>
        <w:t>are</w:t>
      </w:r>
      <w:r>
        <w:rPr>
          <w:rFonts w:cs="Calibri"/>
          <w:iCs/>
        </w:rPr>
        <w:t xml:space="preserve"> for guidance only and that i</w:t>
      </w:r>
      <w:r w:rsidRPr="0005343D">
        <w:rPr>
          <w:rFonts w:cs="Calibri"/>
          <w:iCs/>
        </w:rPr>
        <w:t>n clinical practice</w:t>
      </w:r>
      <w:r>
        <w:rPr>
          <w:rFonts w:cs="Calibri"/>
          <w:iCs/>
        </w:rPr>
        <w:t>,</w:t>
      </w:r>
      <w:r w:rsidRPr="0005343D">
        <w:rPr>
          <w:rFonts w:cs="Calibri"/>
          <w:iCs/>
        </w:rPr>
        <w:t xml:space="preserve"> </w:t>
      </w:r>
      <w:r>
        <w:rPr>
          <w:rFonts w:cs="Calibri"/>
          <w:iCs/>
        </w:rPr>
        <w:t xml:space="preserve">decisions regarding eligibility for </w:t>
      </w:r>
      <w:r w:rsidRPr="002D7665">
        <w:rPr>
          <w:vertAlign w:val="superscript"/>
        </w:rPr>
        <w:t>177</w:t>
      </w:r>
      <w:r w:rsidRPr="002D7665">
        <w:t>Lu-</w:t>
      </w:r>
      <w:r>
        <w:t>DOTA-octreotate will be made by an MDT.</w:t>
      </w:r>
    </w:p>
    <w:p w14:paraId="781FB540" w14:textId="77777777" w:rsidR="008E7853" w:rsidRDefault="008E7853" w:rsidP="008E7853">
      <w:r>
        <w:t xml:space="preserve">As most patients will receive both </w:t>
      </w:r>
      <w:r w:rsidRPr="002D7665">
        <w:rPr>
          <w:vertAlign w:val="superscript"/>
        </w:rPr>
        <w:t>177</w:t>
      </w:r>
      <w:r w:rsidRPr="002D7665">
        <w:t>Lu-</w:t>
      </w:r>
      <w:r>
        <w:t xml:space="preserve">DOTA-octreotate and comparator treatments during their advanced incurable malignancy, it is anticipated that there will be little difference in healthcare resource utilisation. </w:t>
      </w:r>
    </w:p>
    <w:p w14:paraId="5DC81F4D" w14:textId="153282C9" w:rsidR="0057064E" w:rsidRDefault="0057064E" w:rsidP="0057064E">
      <w:pPr>
        <w:pStyle w:val="Caption"/>
        <w:rPr>
          <w:rFonts w:cs="Tahoma"/>
          <w:lang w:val="en-GB" w:eastAsia="ja-JP"/>
        </w:rPr>
      </w:pPr>
      <w:bookmarkStart w:id="35" w:name="_Ref164093947"/>
      <w:r>
        <w:lastRenderedPageBreak/>
        <w:t xml:space="preserve">Figure </w:t>
      </w:r>
      <w:r w:rsidR="009C6F88">
        <w:fldChar w:fldCharType="begin"/>
      </w:r>
      <w:r w:rsidR="009C6F88">
        <w:instrText xml:space="preserve"> SEQ Figure \* ARABIC </w:instrText>
      </w:r>
      <w:r w:rsidR="009C6F88">
        <w:fldChar w:fldCharType="separate"/>
      </w:r>
      <w:r w:rsidR="009C6F88">
        <w:rPr>
          <w:noProof/>
        </w:rPr>
        <w:t>3</w:t>
      </w:r>
      <w:r w:rsidR="009C6F88">
        <w:rPr>
          <w:noProof/>
        </w:rPr>
        <w:fldChar w:fldCharType="end"/>
      </w:r>
      <w:bookmarkEnd w:id="35"/>
      <w:r>
        <w:tab/>
      </w:r>
      <w:r w:rsidRPr="00DD41BA" w:rsidDel="00302581">
        <w:rPr>
          <w:rFonts w:cs="Tahoma"/>
          <w:lang w:val="en-GB" w:eastAsia="ja-JP"/>
        </w:rPr>
        <w:t xml:space="preserve">Reduced clinical management algorithm for G1 and G2 carcinoids and G3 pulmonary </w:t>
      </w:r>
      <w:r w:rsidR="005E5414">
        <w:rPr>
          <w:rFonts w:cs="Tahoma"/>
          <w:lang w:val="en-GB" w:eastAsia="ja-JP"/>
        </w:rPr>
        <w:t>neuroendocrine carcinomas</w:t>
      </w:r>
    </w:p>
    <w:p w14:paraId="6165C5D5" w14:textId="77777777" w:rsidR="0057064E" w:rsidRPr="00E3682C" w:rsidRDefault="0057064E" w:rsidP="0057064E">
      <w:pPr>
        <w:pStyle w:val="Tablenotes0"/>
        <w:rPr>
          <w:snapToGrid w:val="0"/>
          <w:lang w:val="en-GB" w:eastAsia="ja-JP"/>
        </w:rPr>
      </w:pPr>
      <w:r w:rsidRPr="00E3682C">
        <w:rPr>
          <w:noProof/>
        </w:rPr>
        <w:drawing>
          <wp:inline distT="0" distB="0" distL="0" distR="0" wp14:anchorId="75B856D5" wp14:editId="6318200D">
            <wp:extent cx="5969479" cy="4003300"/>
            <wp:effectExtent l="0" t="0" r="0" b="0"/>
            <wp:docPr id="86331501" name="Picture 86331501" descr="Reduced clinical management algorithm for G1 and G2 carcinoids and G3 pulmonary neuroendocrine carcin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1501" name="Picture 86331501" descr="Reduced clinical management algorithm for G1 and G2 carcinoids and G3 pulmonary neuroendocrine carcino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8504" cy="4009352"/>
                    </a:xfrm>
                    <a:prstGeom prst="rect">
                      <a:avLst/>
                    </a:prstGeom>
                    <a:noFill/>
                  </pic:spPr>
                </pic:pic>
              </a:graphicData>
            </a:graphic>
          </wp:inline>
        </w:drawing>
      </w:r>
    </w:p>
    <w:p w14:paraId="186355B2" w14:textId="0E1B5ECE" w:rsidR="0057064E" w:rsidRPr="00E3682C" w:rsidRDefault="0057064E" w:rsidP="0057064E">
      <w:pPr>
        <w:pStyle w:val="Tablenotes0"/>
        <w:rPr>
          <w:rFonts w:cs="Tahoma"/>
          <w:lang w:val="en-GB" w:eastAsia="ja-JP"/>
        </w:rPr>
      </w:pPr>
      <w:r w:rsidRPr="003914AA">
        <w:rPr>
          <w:snapToGrid w:val="0"/>
        </w:rPr>
        <w:t>Abbreviations</w:t>
      </w:r>
      <w:r>
        <w:rPr>
          <w:rFonts w:eastAsia="Times New Roman"/>
          <w:snapToGrid w:val="0"/>
          <w:szCs w:val="20"/>
        </w:rPr>
        <w:t xml:space="preserve">: </w:t>
      </w:r>
      <w:r w:rsidRPr="00DD41BA" w:rsidDel="00302581">
        <w:rPr>
          <w:rFonts w:eastAsia="Times New Roman"/>
          <w:snapToGrid w:val="0"/>
          <w:szCs w:val="20"/>
        </w:rPr>
        <w:t xml:space="preserve">CT = computed tomography; G1 = grade 1; G2 = grade 2; G3 = grade 3; FDG = </w:t>
      </w:r>
      <w:r>
        <w:rPr>
          <w:rFonts w:eastAsia="Times New Roman"/>
          <w:snapToGrid w:val="0"/>
          <w:szCs w:val="20"/>
        </w:rPr>
        <w:t>f</w:t>
      </w:r>
      <w:r w:rsidRPr="00DD41BA" w:rsidDel="00302581">
        <w:rPr>
          <w:rFonts w:eastAsia="Times New Roman"/>
          <w:snapToGrid w:val="0"/>
          <w:szCs w:val="20"/>
        </w:rPr>
        <w:t xml:space="preserve">luorodeoxyglucose; </w:t>
      </w:r>
      <w:r w:rsidRPr="00DD41BA">
        <w:rPr>
          <w:rFonts w:eastAsia="Times New Roman"/>
          <w:snapToGrid w:val="0"/>
          <w:szCs w:val="20"/>
        </w:rPr>
        <w:t xml:space="preserve">m-Krenning = modified Krenning score; NEN = neuroendocrine neoplasm; </w:t>
      </w:r>
      <w:r w:rsidRPr="00DD41BA" w:rsidDel="00302581">
        <w:rPr>
          <w:rFonts w:eastAsia="Times New Roman"/>
          <w:snapToGrid w:val="0"/>
          <w:szCs w:val="20"/>
        </w:rPr>
        <w:t>PET = positron emission tomography; PRRT = peptide receptor radionuclide therapy</w:t>
      </w:r>
      <w:r w:rsidRPr="00DD41BA">
        <w:rPr>
          <w:rFonts w:eastAsia="Times New Roman"/>
          <w:snapToGrid w:val="0"/>
          <w:szCs w:val="20"/>
        </w:rPr>
        <w:t xml:space="preserve">; </w:t>
      </w:r>
      <w:r w:rsidRPr="00DD41BA" w:rsidDel="00302581">
        <w:rPr>
          <w:rFonts w:eastAsia="Times New Roman"/>
          <w:snapToGrid w:val="0"/>
          <w:szCs w:val="20"/>
        </w:rPr>
        <w:t>SSTR = somatostatin receptor</w:t>
      </w:r>
      <w:r>
        <w:rPr>
          <w:rFonts w:eastAsia="Times New Roman"/>
          <w:snapToGrid w:val="0"/>
          <w:szCs w:val="20"/>
        </w:rPr>
        <w:t>; SSTRI = somatostatin receptor imaging.</w:t>
      </w:r>
    </w:p>
    <w:p w14:paraId="35DB54EC" w14:textId="77777777" w:rsidR="0057064E" w:rsidRDefault="0057064E" w:rsidP="0057064E">
      <w:pPr>
        <w:pStyle w:val="Tablenotes0"/>
        <w:rPr>
          <w:rFonts w:eastAsia="Times New Roman"/>
          <w:snapToGrid w:val="0"/>
          <w:szCs w:val="20"/>
        </w:rPr>
      </w:pPr>
      <w:r w:rsidRPr="003914AA">
        <w:rPr>
          <w:snapToGrid w:val="0"/>
          <w:vertAlign w:val="superscript"/>
        </w:rPr>
        <w:t xml:space="preserve">a </w:t>
      </w:r>
      <w:r w:rsidRPr="00DD41BA">
        <w:rPr>
          <w:rFonts w:eastAsia="Times New Roman"/>
          <w:snapToGrid w:val="0"/>
          <w:szCs w:val="20"/>
        </w:rPr>
        <w:t xml:space="preserve">Patients with demonstrated high concentration of </w:t>
      </w:r>
      <w:r>
        <w:rPr>
          <w:rFonts w:eastAsia="Times New Roman"/>
          <w:snapToGrid w:val="0"/>
          <w:szCs w:val="20"/>
        </w:rPr>
        <w:t xml:space="preserve">SSTR </w:t>
      </w:r>
      <w:r w:rsidRPr="00DD41BA">
        <w:rPr>
          <w:rFonts w:eastAsia="Times New Roman"/>
          <w:snapToGrid w:val="0"/>
          <w:szCs w:val="20"/>
        </w:rPr>
        <w:t>expression at all, or the majority of, tumour sites</w:t>
      </w:r>
    </w:p>
    <w:p w14:paraId="3A55B19C" w14:textId="77777777" w:rsidR="0057064E" w:rsidRPr="00DD41BA" w:rsidRDefault="0057064E" w:rsidP="0057064E">
      <w:pPr>
        <w:pStyle w:val="Tablenotes0"/>
        <w:rPr>
          <w:rFonts w:eastAsia="Times New Roman"/>
          <w:snapToGrid w:val="0"/>
          <w:szCs w:val="20"/>
          <w:vertAlign w:val="superscript"/>
        </w:rPr>
      </w:pPr>
      <w:r w:rsidRPr="00DD41BA">
        <w:rPr>
          <w:rFonts w:eastAsia="Times New Roman"/>
          <w:snapToGrid w:val="0"/>
          <w:szCs w:val="20"/>
          <w:vertAlign w:val="superscript"/>
        </w:rPr>
        <w:t xml:space="preserve">b </w:t>
      </w:r>
      <w:r w:rsidRPr="00DD41BA">
        <w:rPr>
          <w:rFonts w:eastAsia="Times New Roman"/>
          <w:snapToGrid w:val="0"/>
          <w:szCs w:val="20"/>
        </w:rPr>
        <w:t>No more than</w:t>
      </w:r>
      <w:r>
        <w:rPr>
          <w:rFonts w:eastAsia="Times New Roman"/>
          <w:snapToGrid w:val="0"/>
          <w:szCs w:val="20"/>
        </w:rPr>
        <w:t xml:space="preserve"> </w:t>
      </w:r>
      <w:r w:rsidRPr="00DD41BA">
        <w:rPr>
          <w:rFonts w:eastAsia="Times New Roman"/>
          <w:snapToGrid w:val="0"/>
          <w:szCs w:val="20"/>
        </w:rPr>
        <w:t>3 sites</w:t>
      </w:r>
      <w:r w:rsidRPr="00DD41BA">
        <w:rPr>
          <w:rFonts w:eastAsia="Times New Roman"/>
          <w:i/>
          <w:iCs/>
          <w:snapToGrid w:val="0"/>
          <w:szCs w:val="20"/>
        </w:rPr>
        <w:t xml:space="preserve"> </w:t>
      </w:r>
      <w:r w:rsidRPr="00DD41BA">
        <w:rPr>
          <w:rFonts w:eastAsia="Times New Roman"/>
          <w:snapToGrid w:val="0"/>
          <w:szCs w:val="20"/>
        </w:rPr>
        <w:t xml:space="preserve">of discordance where the tumour is </w:t>
      </w:r>
      <w:r>
        <w:rPr>
          <w:rFonts w:eastAsia="Times New Roman"/>
          <w:snapToGrid w:val="0"/>
          <w:szCs w:val="20"/>
        </w:rPr>
        <w:t>≥</w:t>
      </w:r>
      <w:r w:rsidRPr="00DD41BA">
        <w:rPr>
          <w:rFonts w:eastAsia="Times New Roman"/>
          <w:snapToGrid w:val="0"/>
          <w:szCs w:val="20"/>
        </w:rPr>
        <w:t>2 cm in size</w:t>
      </w:r>
    </w:p>
    <w:p w14:paraId="048B7947" w14:textId="77777777" w:rsidR="0057064E" w:rsidRPr="00DD41BA" w:rsidDel="00302581" w:rsidRDefault="0057064E" w:rsidP="0057064E">
      <w:pPr>
        <w:pStyle w:val="Tablenotes0"/>
        <w:rPr>
          <w:rFonts w:eastAsia="Times New Roman"/>
          <w:snapToGrid w:val="0"/>
          <w:szCs w:val="20"/>
        </w:rPr>
      </w:pPr>
      <w:r w:rsidRPr="003914AA" w:rsidDel="00302581">
        <w:rPr>
          <w:snapToGrid w:val="0"/>
        </w:rPr>
        <w:t>Source</w:t>
      </w:r>
      <w:r w:rsidRPr="00DD41BA" w:rsidDel="00302581">
        <w:rPr>
          <w:rFonts w:eastAsia="Times New Roman"/>
          <w:snapToGrid w:val="0"/>
          <w:szCs w:val="20"/>
        </w:rPr>
        <w:t xml:space="preserve">: </w:t>
      </w:r>
      <w:r w:rsidRPr="00DD41BA">
        <w:rPr>
          <w:rFonts w:eastAsia="Times New Roman"/>
          <w:snapToGrid w:val="0"/>
          <w:szCs w:val="20"/>
        </w:rPr>
        <w:t>Developed by PASC</w:t>
      </w:r>
    </w:p>
    <w:p w14:paraId="782B4709" w14:textId="6DB1A23B" w:rsidR="00733926" w:rsidRPr="00733926" w:rsidRDefault="00733926" w:rsidP="00D14A8D">
      <w:pPr>
        <w:pStyle w:val="Heading3"/>
      </w:pPr>
      <w:bookmarkStart w:id="36" w:name="_Toc161841935"/>
      <w:bookmarkStart w:id="37" w:name="_Toc165239041"/>
      <w:bookmarkStart w:id="38" w:name="_Toc165271871"/>
      <w:bookmarkStart w:id="39" w:name="_Toc165274297"/>
      <w:bookmarkStart w:id="40" w:name="_Toc165275520"/>
      <w:r>
        <w:t>Alignment with PICO confirmation</w:t>
      </w:r>
      <w:bookmarkEnd w:id="36"/>
      <w:bookmarkEnd w:id="37"/>
      <w:bookmarkEnd w:id="38"/>
      <w:bookmarkEnd w:id="39"/>
      <w:bookmarkEnd w:id="40"/>
    </w:p>
    <w:p w14:paraId="49FA480A" w14:textId="254FB57B" w:rsidR="002638FC" w:rsidRDefault="002638FC" w:rsidP="002638FC">
      <w:r w:rsidRPr="00CE28E3">
        <w:t xml:space="preserve">This </w:t>
      </w:r>
      <w:r w:rsidR="0038768E" w:rsidRPr="006F29C8">
        <w:rPr>
          <w:lang w:bidi="en-AU"/>
        </w:rPr>
        <w:t>Department contracted assessment report</w:t>
      </w:r>
      <w:r w:rsidR="00F43D4E" w:rsidRPr="006F29C8">
        <w:t xml:space="preserve"> </w:t>
      </w:r>
      <w:r w:rsidR="00F43D4E">
        <w:rPr>
          <w:lang w:bidi="en-AU"/>
        </w:rPr>
        <w:t>(DCAR)</w:t>
      </w:r>
      <w:r w:rsidR="0038768E" w:rsidRPr="006F29C8">
        <w:t xml:space="preserve"> </w:t>
      </w:r>
      <w:r w:rsidRPr="00CE28E3">
        <w:t>of</w:t>
      </w:r>
      <w:r w:rsidRPr="00526C92">
        <w:t xml:space="preserve"> </w:t>
      </w:r>
      <w:r w:rsidRPr="006B627F">
        <w:rPr>
          <w:vertAlign w:val="superscript"/>
        </w:rPr>
        <w:t>177</w:t>
      </w:r>
      <w:r w:rsidRPr="006B627F">
        <w:t>Lu-</w:t>
      </w:r>
      <w:r w:rsidR="00607D95">
        <w:t xml:space="preserve">DOTA-octreotate </w:t>
      </w:r>
      <w:r w:rsidRPr="00CE28E3">
        <w:t xml:space="preserve">addresses </w:t>
      </w:r>
      <w:r>
        <w:t>some</w:t>
      </w:r>
      <w:r w:rsidRPr="00CE28E3">
        <w:t xml:space="preserve"> of the PICO elements prespecified in the PICO </w:t>
      </w:r>
      <w:r>
        <w:t>c</w:t>
      </w:r>
      <w:r w:rsidRPr="00CE28E3">
        <w:t xml:space="preserve">onfirmation </w:t>
      </w:r>
      <w:r>
        <w:t>ratified by</w:t>
      </w:r>
      <w:r w:rsidRPr="00CE28E3">
        <w:t xml:space="preserve"> PASC.</w:t>
      </w:r>
    </w:p>
    <w:p w14:paraId="21AA8B4A" w14:textId="37CC60C7" w:rsidR="002638FC" w:rsidRPr="00790C25" w:rsidRDefault="002638FC" w:rsidP="002638FC">
      <w:pPr>
        <w:spacing w:after="240"/>
      </w:pPr>
      <w:r>
        <w:t>The original application and ratified PICO confirmation w</w:t>
      </w:r>
      <w:r w:rsidR="00DD7916">
        <w:t>ere</w:t>
      </w:r>
      <w:r>
        <w:t xml:space="preserve"> restricted to the </w:t>
      </w:r>
      <w:proofErr w:type="spellStart"/>
      <w:r>
        <w:t>nca</w:t>
      </w:r>
      <w:proofErr w:type="spellEnd"/>
      <w:r>
        <w:t xml:space="preserve"> product; however, t</w:t>
      </w:r>
      <w:r w:rsidRPr="00B333B7">
        <w:t xml:space="preserve">here is no available evidence </w:t>
      </w:r>
      <w:r w:rsidR="006E7C07">
        <w:t>to support</w:t>
      </w:r>
      <w:r w:rsidRPr="00B333B7">
        <w:t xml:space="preserve"> the superior safety and effectiveness of the </w:t>
      </w:r>
      <w:proofErr w:type="spellStart"/>
      <w:r w:rsidRPr="00B333B7">
        <w:t>nca</w:t>
      </w:r>
      <w:proofErr w:type="spellEnd"/>
      <w:r w:rsidRPr="00B333B7">
        <w:t xml:space="preserve"> product compared to the ‘ca’ product to justify restriction of the benefit to the </w:t>
      </w:r>
      <w:proofErr w:type="spellStart"/>
      <w:r w:rsidRPr="00B333B7">
        <w:t>nca</w:t>
      </w:r>
      <w:proofErr w:type="spellEnd"/>
      <w:r w:rsidRPr="00B333B7">
        <w:t xml:space="preserve"> product</w:t>
      </w:r>
      <w:r>
        <w:t xml:space="preserve">. Therefore, in line with PASC considerations, the intervention described in this assessment report refers to the more generic </w:t>
      </w:r>
      <w:r>
        <w:rPr>
          <w:vertAlign w:val="superscript"/>
        </w:rPr>
        <w:t>177</w:t>
      </w:r>
      <w:r>
        <w:t>Lu-DOTA-</w:t>
      </w:r>
      <w:r w:rsidR="00E2184A">
        <w:t>o</w:t>
      </w:r>
      <w:r>
        <w:t xml:space="preserve">ctreotate. </w:t>
      </w:r>
    </w:p>
    <w:p w14:paraId="26AE5FB0" w14:textId="5FDCE79E" w:rsidR="002638FC" w:rsidRDefault="002638FC" w:rsidP="002638FC">
      <w:pPr>
        <w:spacing w:after="240"/>
      </w:pPr>
      <w:r>
        <w:t xml:space="preserve">Furthermore, the original application included the requirement for an </w:t>
      </w:r>
      <w:r w:rsidR="0075762D">
        <w:t>additional</w:t>
      </w:r>
      <w:r w:rsidR="007005B0">
        <w:t xml:space="preserve"> </w:t>
      </w:r>
      <w:r>
        <w:t>test, FDG</w:t>
      </w:r>
      <w:r w:rsidR="006555FF">
        <w:t xml:space="preserve"> </w:t>
      </w:r>
      <w:r>
        <w:t>PET/CT, to assist in therapeutic decision</w:t>
      </w:r>
      <w:r w:rsidR="00CF48BE">
        <w:t>-</w:t>
      </w:r>
      <w:r>
        <w:t>making for some patients. The application requested the amendment of</w:t>
      </w:r>
      <w:r w:rsidDel="00061CC0">
        <w:t xml:space="preserve"> </w:t>
      </w:r>
      <w:r>
        <w:t>existing MBS item</w:t>
      </w:r>
      <w:r w:rsidR="00061CC0">
        <w:t xml:space="preserve"> 61612</w:t>
      </w:r>
      <w:r>
        <w:t xml:space="preserve"> for whole body FDG</w:t>
      </w:r>
      <w:r w:rsidR="006555FF">
        <w:t xml:space="preserve"> </w:t>
      </w:r>
      <w:r>
        <w:t xml:space="preserve">PET study to assess eligibility for </w:t>
      </w:r>
      <w:r>
        <w:rPr>
          <w:vertAlign w:val="superscript"/>
        </w:rPr>
        <w:t>177</w:t>
      </w:r>
      <w:r>
        <w:t>Lu-</w:t>
      </w:r>
      <w:r w:rsidR="00607D95">
        <w:t xml:space="preserve">DOTA-octreotate </w:t>
      </w:r>
      <w:r>
        <w:t xml:space="preserve">treatment. However, PASC considered that existing MBS </w:t>
      </w:r>
      <w:r w:rsidR="006E1D2B">
        <w:t xml:space="preserve">item </w:t>
      </w:r>
      <w:r>
        <w:t>61612 would not require amendment, as NENs are considered rare or uncommon cancers</w:t>
      </w:r>
      <w:r w:rsidR="00177461">
        <w:t xml:space="preserve"> and would therefore meet the eligibility criteria for item 61612</w:t>
      </w:r>
      <w:r>
        <w:t xml:space="preserve">. </w:t>
      </w:r>
    </w:p>
    <w:p w14:paraId="7F5F816B" w14:textId="7FE910DF" w:rsidR="00721D53" w:rsidRDefault="00721D53" w:rsidP="002638FC">
      <w:pPr>
        <w:spacing w:after="240"/>
      </w:pPr>
      <w:r>
        <w:t xml:space="preserve">The </w:t>
      </w:r>
      <w:r w:rsidRPr="002D1A1B">
        <w:t>ratified PICO</w:t>
      </w:r>
      <w:r>
        <w:t xml:space="preserve"> stated that ‘n</w:t>
      </w:r>
      <w:r w:rsidRPr="00E44DEB">
        <w:t xml:space="preserve">o outcomes for the </w:t>
      </w:r>
      <w:r>
        <w:t>2</w:t>
      </w:r>
      <w:r w:rsidRPr="00E44DEB">
        <w:t xml:space="preserve"> tests (</w:t>
      </w:r>
      <w:r w:rsidRPr="005B224D">
        <w:rPr>
          <w:vertAlign w:val="superscript"/>
        </w:rPr>
        <w:t>68</w:t>
      </w:r>
      <w:r w:rsidRPr="00E44DEB">
        <w:t>Ga-DOTA-octreotate PET/CT or FDG PET/CT) were nominated</w:t>
      </w:r>
      <w:r>
        <w:t>’</w:t>
      </w:r>
      <w:r w:rsidRPr="00E44DEB">
        <w:t>.</w:t>
      </w:r>
      <w:r>
        <w:t xml:space="preserve"> At its </w:t>
      </w:r>
      <w:r w:rsidRPr="00303437">
        <w:t>April 2023 meeting</w:t>
      </w:r>
      <w:r>
        <w:t xml:space="preserve">, PASC agreed that </w:t>
      </w:r>
      <w:r w:rsidRPr="00874BEC">
        <w:t>the relevant outcomes for</w:t>
      </w:r>
      <w:r>
        <w:t xml:space="preserve"> </w:t>
      </w:r>
      <w:r w:rsidRPr="00BD0C6B">
        <w:rPr>
          <w:vertAlign w:val="superscript"/>
        </w:rPr>
        <w:t>68</w:t>
      </w:r>
      <w:r>
        <w:t>Ga-DOTA-octreotate PET/CT and FDG PET/CT</w:t>
      </w:r>
      <w:r w:rsidRPr="009469E2">
        <w:t xml:space="preserve"> were intra-/inter-observer variability</w:t>
      </w:r>
      <w:r>
        <w:t xml:space="preserve">; however, it </w:t>
      </w:r>
      <w:r>
        <w:lastRenderedPageBreak/>
        <w:t xml:space="preserve">was further noted in the ratified PICO that these would be difficult to evaluate and therefore may </w:t>
      </w:r>
      <w:r w:rsidRPr="00DA760F">
        <w:t>not be relevant to determining test outcomes and suitability for PRRT treatment.</w:t>
      </w:r>
      <w:r>
        <w:t xml:space="preserve"> A systematic literature review was performed to assess the diagnostic performance/accuracy and clinical utility of </w:t>
      </w:r>
      <w:r w:rsidRPr="00BD0C6B">
        <w:rPr>
          <w:vertAlign w:val="superscript"/>
        </w:rPr>
        <w:t>68</w:t>
      </w:r>
      <w:r>
        <w:t xml:space="preserve">Ga-DOTA-octreotate PET/CT and FDG PET/CT in the population of interest. </w:t>
      </w:r>
      <w:r w:rsidRPr="0057018D">
        <w:t xml:space="preserve">There were no reviews </w:t>
      </w:r>
      <w:r>
        <w:t>identified which</w:t>
      </w:r>
      <w:r w:rsidRPr="0057018D">
        <w:t xml:space="preserve"> restricted their investigation of the performance and utility of the</w:t>
      </w:r>
      <w:r>
        <w:t xml:space="preserve"> diagnostic</w:t>
      </w:r>
      <w:r w:rsidRPr="0057018D">
        <w:t xml:space="preserve"> tests to the population with progressive, advanced, metastatic, or inoperable NENs with suspected/demonstrated H-SSTR expression. </w:t>
      </w:r>
      <w:r>
        <w:t>Efficacy/effectiveness o</w:t>
      </w:r>
      <w:r w:rsidRPr="0057018D">
        <w:t>utcome results concerning the intra-/inter-observer agreement across SSTR-PET/CT and FDG PET/CT tests</w:t>
      </w:r>
      <w:r>
        <w:t xml:space="preserve">, the </w:t>
      </w:r>
      <w:r w:rsidRPr="004D5BB4">
        <w:t>proportion of patients who meet the nominated thresholds for SSTR</w:t>
      </w:r>
      <w:r>
        <w:t>-</w:t>
      </w:r>
      <w:r w:rsidRPr="004D5BB4">
        <w:t xml:space="preserve">PET/CT imaging and the proportion who also proceed to FDG PET/CT imaging and subsequently receive </w:t>
      </w:r>
      <w:r w:rsidRPr="001053EF">
        <w:rPr>
          <w:vertAlign w:val="superscript"/>
        </w:rPr>
        <w:t>177</w:t>
      </w:r>
      <w:r w:rsidRPr="004D5BB4">
        <w:t>Lu-DOTA-octreotate treatment</w:t>
      </w:r>
      <w:r w:rsidRPr="0057018D">
        <w:t xml:space="preserve"> were </w:t>
      </w:r>
      <w:r>
        <w:t xml:space="preserve">also </w:t>
      </w:r>
      <w:r w:rsidRPr="0057018D">
        <w:t xml:space="preserve">not </w:t>
      </w:r>
      <w:r>
        <w:t xml:space="preserve">retrieved from the studies identified; therefore, this information has not been </w:t>
      </w:r>
      <w:r w:rsidRPr="0057018D">
        <w:t>addressed in this report.</w:t>
      </w:r>
      <w:r>
        <w:t xml:space="preserve"> </w:t>
      </w:r>
    </w:p>
    <w:p w14:paraId="66BDFCC1" w14:textId="0481CB9B" w:rsidR="00772829" w:rsidRPr="00CE28E3" w:rsidRDefault="000B228E" w:rsidP="002A18BE">
      <w:pPr>
        <w:pStyle w:val="Heading2"/>
        <w:numPr>
          <w:ilvl w:val="0"/>
          <w:numId w:val="0"/>
        </w:numPr>
      </w:pPr>
      <w:bookmarkStart w:id="41" w:name="_Toc161841936"/>
      <w:bookmarkStart w:id="42" w:name="_Toc165275521"/>
      <w:r>
        <w:t>8</w:t>
      </w:r>
      <w:r w:rsidR="00C36633">
        <w:t>.</w:t>
      </w:r>
      <w:r w:rsidR="00C36633">
        <w:tab/>
      </w:r>
      <w:r w:rsidR="00772829" w:rsidRPr="00CE28E3">
        <w:t>Comparator</w:t>
      </w:r>
      <w:bookmarkEnd w:id="41"/>
      <w:bookmarkEnd w:id="42"/>
    </w:p>
    <w:p w14:paraId="1A644B6B" w14:textId="72BA7ADD" w:rsidR="00AB000A" w:rsidRDefault="003938EC" w:rsidP="00AB000A">
      <w:pPr>
        <w:pStyle w:val="Instructionaltext"/>
        <w:rPr>
          <w:color w:val="auto"/>
        </w:rPr>
      </w:pPr>
      <w:r w:rsidRPr="006B627F">
        <w:rPr>
          <w:color w:val="auto"/>
          <w:vertAlign w:val="superscript"/>
        </w:rPr>
        <w:t>177</w:t>
      </w:r>
      <w:r w:rsidRPr="006B627F">
        <w:rPr>
          <w:color w:val="auto"/>
        </w:rPr>
        <w:t>Lu-</w:t>
      </w:r>
      <w:r w:rsidR="00607D95">
        <w:rPr>
          <w:color w:val="auto"/>
        </w:rPr>
        <w:t xml:space="preserve">DOTA-octreotate </w:t>
      </w:r>
      <w:r w:rsidRPr="006B627F">
        <w:rPr>
          <w:color w:val="auto"/>
        </w:rPr>
        <w:t xml:space="preserve">is proposed as an add-on therapy rather than a replacement </w:t>
      </w:r>
      <w:r w:rsidR="00177461">
        <w:rPr>
          <w:color w:val="auto"/>
        </w:rPr>
        <w:t>for</w:t>
      </w:r>
      <w:r w:rsidRPr="006B627F">
        <w:rPr>
          <w:color w:val="auto"/>
        </w:rPr>
        <w:t xml:space="preserve"> comparator management strategies</w:t>
      </w:r>
      <w:r w:rsidR="00AA0281">
        <w:rPr>
          <w:color w:val="auto"/>
        </w:rPr>
        <w:t>, t</w:t>
      </w:r>
      <w:r>
        <w:rPr>
          <w:color w:val="auto"/>
        </w:rPr>
        <w:t>h</w:t>
      </w:r>
      <w:r w:rsidR="00E960FD">
        <w:rPr>
          <w:color w:val="auto"/>
        </w:rPr>
        <w:t>us</w:t>
      </w:r>
      <w:r>
        <w:rPr>
          <w:color w:val="auto"/>
        </w:rPr>
        <w:t xml:space="preserve"> i</w:t>
      </w:r>
      <w:r w:rsidRPr="006B627F">
        <w:rPr>
          <w:color w:val="auto"/>
        </w:rPr>
        <w:t>t is considered that best supportive care</w:t>
      </w:r>
      <w:r w:rsidR="00821677">
        <w:rPr>
          <w:color w:val="auto"/>
        </w:rPr>
        <w:t xml:space="preserve"> (BSC)</w:t>
      </w:r>
      <w:r w:rsidRPr="006B627F">
        <w:rPr>
          <w:color w:val="auto"/>
        </w:rPr>
        <w:t xml:space="preserve"> is the most relevant comparator for </w:t>
      </w:r>
      <w:r w:rsidRPr="006B627F">
        <w:rPr>
          <w:color w:val="auto"/>
          <w:vertAlign w:val="superscript"/>
        </w:rPr>
        <w:t>177</w:t>
      </w:r>
      <w:r w:rsidRPr="006B627F">
        <w:rPr>
          <w:color w:val="auto"/>
        </w:rPr>
        <w:t>Lu-</w:t>
      </w:r>
      <w:r w:rsidR="00607D95">
        <w:rPr>
          <w:color w:val="auto"/>
        </w:rPr>
        <w:t>DOTA-octreotate</w:t>
      </w:r>
      <w:r w:rsidRPr="006B627F">
        <w:rPr>
          <w:color w:val="auto"/>
        </w:rPr>
        <w:t xml:space="preserve">. </w:t>
      </w:r>
      <w:r>
        <w:rPr>
          <w:color w:val="auto"/>
        </w:rPr>
        <w:t>This is particularly appropriate g</w:t>
      </w:r>
      <w:r w:rsidRPr="006B627F">
        <w:rPr>
          <w:color w:val="auto"/>
        </w:rPr>
        <w:t xml:space="preserve">iven the complexity of optimal management strategies for patients with advanced </w:t>
      </w:r>
      <w:r w:rsidR="006B7A12">
        <w:rPr>
          <w:color w:val="auto"/>
        </w:rPr>
        <w:t>NEN</w:t>
      </w:r>
      <w:r w:rsidRPr="006B627F">
        <w:rPr>
          <w:color w:val="auto"/>
        </w:rPr>
        <w:t xml:space="preserve"> and H-SSTR malignancies who may exhibit a wide variety of individual and changing clinical </w:t>
      </w:r>
      <w:r w:rsidRPr="00856DC9">
        <w:rPr>
          <w:color w:val="auto"/>
        </w:rPr>
        <w:t>circumstances</w:t>
      </w:r>
      <w:r>
        <w:rPr>
          <w:color w:val="auto"/>
        </w:rPr>
        <w:t>. Furthermore, no guidelines consider</w:t>
      </w:r>
      <w:r w:rsidRPr="00D52CE8">
        <w:rPr>
          <w:i/>
          <w:iCs/>
        </w:rPr>
        <w:t xml:space="preserve"> </w:t>
      </w:r>
      <w:r w:rsidRPr="00D52CE8">
        <w:rPr>
          <w:color w:val="auto"/>
        </w:rPr>
        <w:t>PRRT as first-line treatment (versus alternative first-line treatments such as unlabelled SSA, targeted treatment [everolimus, sunitinib] or chemotherapy)</w:t>
      </w:r>
      <w:r>
        <w:rPr>
          <w:color w:val="auto"/>
        </w:rPr>
        <w:t xml:space="preserve">. Therefore, </w:t>
      </w:r>
      <w:r w:rsidRPr="00930769">
        <w:rPr>
          <w:color w:val="auto"/>
          <w:vertAlign w:val="superscript"/>
        </w:rPr>
        <w:t>177</w:t>
      </w:r>
      <w:r w:rsidRPr="00930769">
        <w:rPr>
          <w:color w:val="auto"/>
        </w:rPr>
        <w:t>Lu-</w:t>
      </w:r>
      <w:r w:rsidR="00607D95">
        <w:rPr>
          <w:color w:val="auto"/>
        </w:rPr>
        <w:t xml:space="preserve">DOTA-octreotate </w:t>
      </w:r>
      <w:r w:rsidRPr="00930769">
        <w:rPr>
          <w:color w:val="auto"/>
        </w:rPr>
        <w:t>therapy would most likely be offered after the failure of any nominated comparator treatments.</w:t>
      </w:r>
    </w:p>
    <w:p w14:paraId="43B12C01" w14:textId="77777777" w:rsidR="000B228E" w:rsidRPr="00CE28E3" w:rsidRDefault="000B228E" w:rsidP="000B228E">
      <w:pPr>
        <w:pStyle w:val="Heading2"/>
        <w:numPr>
          <w:ilvl w:val="0"/>
          <w:numId w:val="0"/>
        </w:numPr>
      </w:pPr>
      <w:bookmarkStart w:id="43" w:name="_Toc69491421"/>
      <w:r>
        <w:t>9.</w:t>
      </w:r>
      <w:r>
        <w:tab/>
      </w:r>
      <w:r w:rsidRPr="00CE28E3">
        <w:t xml:space="preserve">Summary of public consultation </w:t>
      </w:r>
      <w:r>
        <w:t>input</w:t>
      </w:r>
      <w:bookmarkEnd w:id="43"/>
    </w:p>
    <w:p w14:paraId="6024B8AF" w14:textId="77777777" w:rsidR="000B228E" w:rsidRDefault="000B228E" w:rsidP="000B228E">
      <w:pPr>
        <w:tabs>
          <w:tab w:val="left" w:pos="3686"/>
        </w:tabs>
        <w:spacing w:line="256" w:lineRule="auto"/>
      </w:pPr>
      <w:r>
        <w:t>C</w:t>
      </w:r>
      <w:r w:rsidRPr="00374907">
        <w:t>onsultation input</w:t>
      </w:r>
      <w:r>
        <w:t xml:space="preserve"> was welcomed</w:t>
      </w:r>
      <w:r w:rsidRPr="00374907">
        <w:t xml:space="preserve"> from </w:t>
      </w:r>
      <w:r>
        <w:t>8</w:t>
      </w:r>
      <w:r w:rsidRPr="00374907">
        <w:t xml:space="preserve"> professional organisations</w:t>
      </w:r>
      <w:r>
        <w:t xml:space="preserve">, 1 consumer organisation and 2 individuals who are clinical experts and provide </w:t>
      </w:r>
      <w:r w:rsidRPr="00D934CD">
        <w:rPr>
          <w:rFonts w:eastAsia="Calibri" w:cs="Times New Roman"/>
          <w:color w:val="000000"/>
          <w:szCs w:val="20"/>
          <w:lang w:eastAsia="en-AU"/>
        </w:rPr>
        <w:t xml:space="preserve">peptide receptor radionuclide therapy </w:t>
      </w:r>
      <w:r>
        <w:rPr>
          <w:rFonts w:eastAsia="Calibri" w:cs="Times New Roman"/>
          <w:color w:val="000000"/>
          <w:szCs w:val="20"/>
          <w:lang w:eastAsia="en-AU"/>
        </w:rPr>
        <w:t>(</w:t>
      </w:r>
      <w:r>
        <w:t>PRRT) in Australia.</w:t>
      </w:r>
    </w:p>
    <w:p w14:paraId="7BCDE86A" w14:textId="77777777" w:rsidR="000B228E" w:rsidRDefault="000B228E" w:rsidP="000B228E">
      <w:pPr>
        <w:tabs>
          <w:tab w:val="left" w:pos="3686"/>
        </w:tabs>
        <w:spacing w:line="256" w:lineRule="auto"/>
      </w:pPr>
      <w:r>
        <w:t>The organisations who submitted input were:</w:t>
      </w:r>
    </w:p>
    <w:p w14:paraId="255A185B" w14:textId="77777777" w:rsidR="000B228E" w:rsidRPr="00C83520" w:rsidRDefault="000B228E" w:rsidP="00C561D7">
      <w:pPr>
        <w:pStyle w:val="ListParagraph"/>
        <w:numPr>
          <w:ilvl w:val="0"/>
          <w:numId w:val="30"/>
        </w:numPr>
        <w:spacing w:before="0" w:after="120"/>
      </w:pPr>
      <w:r w:rsidRPr="00C83520">
        <w:t>The Urological Society of Australia and New Zealand (USANZ)</w:t>
      </w:r>
    </w:p>
    <w:p w14:paraId="0C6519A1" w14:textId="77777777" w:rsidR="000B228E" w:rsidRPr="00C83520" w:rsidRDefault="000B228E" w:rsidP="00C561D7">
      <w:pPr>
        <w:pStyle w:val="ListParagraph"/>
        <w:numPr>
          <w:ilvl w:val="0"/>
          <w:numId w:val="30"/>
        </w:numPr>
        <w:spacing w:before="0" w:after="120"/>
      </w:pPr>
      <w:r w:rsidRPr="00C83520">
        <w:t>Australian Diagnostic Imaging Association (ADIA)</w:t>
      </w:r>
    </w:p>
    <w:p w14:paraId="1D94DC4E" w14:textId="77777777" w:rsidR="000B228E" w:rsidRPr="00C83520" w:rsidRDefault="000B228E" w:rsidP="00C561D7">
      <w:pPr>
        <w:pStyle w:val="ListParagraph"/>
        <w:numPr>
          <w:ilvl w:val="0"/>
          <w:numId w:val="30"/>
        </w:numPr>
        <w:spacing w:before="0" w:after="120"/>
      </w:pPr>
      <w:r w:rsidRPr="00C83520">
        <w:t>Novartis Pharmaceuticals Australia Pty Ltd (Novartis)</w:t>
      </w:r>
    </w:p>
    <w:p w14:paraId="72D45341" w14:textId="77777777" w:rsidR="000B228E" w:rsidRPr="00C83520" w:rsidRDefault="000B228E" w:rsidP="00C561D7">
      <w:pPr>
        <w:pStyle w:val="ListParagraph"/>
        <w:numPr>
          <w:ilvl w:val="0"/>
          <w:numId w:val="30"/>
        </w:numPr>
        <w:spacing w:before="0" w:after="120"/>
      </w:pPr>
      <w:r w:rsidRPr="00C83520">
        <w:t>The Royal Australian and New Zealand College of Radiologists (RANZCR)</w:t>
      </w:r>
    </w:p>
    <w:p w14:paraId="568AEA49" w14:textId="77777777" w:rsidR="000B228E" w:rsidRPr="00C83520" w:rsidRDefault="000B228E" w:rsidP="00C561D7">
      <w:pPr>
        <w:pStyle w:val="ListParagraph"/>
        <w:numPr>
          <w:ilvl w:val="0"/>
          <w:numId w:val="30"/>
        </w:numPr>
        <w:spacing w:before="0" w:after="120"/>
      </w:pPr>
      <w:r w:rsidRPr="00C83520">
        <w:t>Australian Association of Nuclear Medicine Specialists (AANMS)</w:t>
      </w:r>
    </w:p>
    <w:p w14:paraId="2A4ACE29" w14:textId="77777777" w:rsidR="000B228E" w:rsidRDefault="000B228E" w:rsidP="00C561D7">
      <w:pPr>
        <w:pStyle w:val="ListParagraph"/>
        <w:numPr>
          <w:ilvl w:val="0"/>
          <w:numId w:val="30"/>
        </w:numPr>
        <w:spacing w:before="0" w:after="120"/>
      </w:pPr>
      <w:proofErr w:type="spellStart"/>
      <w:r w:rsidRPr="00C83520">
        <w:t>Telix</w:t>
      </w:r>
      <w:proofErr w:type="spellEnd"/>
      <w:r w:rsidRPr="00C83520">
        <w:t xml:space="preserve"> Pharmaceuticals Limited (</w:t>
      </w:r>
      <w:proofErr w:type="spellStart"/>
      <w:r w:rsidRPr="00C83520">
        <w:t>Telix</w:t>
      </w:r>
      <w:proofErr w:type="spellEnd"/>
      <w:r w:rsidRPr="00C83520">
        <w:t>)</w:t>
      </w:r>
    </w:p>
    <w:p w14:paraId="12D3B3FE" w14:textId="77777777" w:rsidR="000B228E" w:rsidRPr="00CB482C" w:rsidRDefault="000B228E" w:rsidP="00C561D7">
      <w:pPr>
        <w:pStyle w:val="ListParagraph"/>
        <w:numPr>
          <w:ilvl w:val="0"/>
          <w:numId w:val="30"/>
        </w:numPr>
        <w:spacing w:before="0" w:after="120"/>
      </w:pPr>
      <w:r>
        <w:t>Medical Oncology Group of Australia (MOGA) and the Clinical Oncology Society of Australia (COSA)</w:t>
      </w:r>
    </w:p>
    <w:p w14:paraId="5EACDA7C" w14:textId="77777777" w:rsidR="000B228E" w:rsidRDefault="000B228E" w:rsidP="00C561D7">
      <w:pPr>
        <w:pStyle w:val="ListParagraph"/>
        <w:numPr>
          <w:ilvl w:val="0"/>
          <w:numId w:val="30"/>
        </w:numPr>
        <w:spacing w:before="0" w:after="120"/>
      </w:pPr>
      <w:r w:rsidRPr="00CB482C">
        <w:t>Australian and New Zealand Society of Nuclear Medicine (ANZSNM)</w:t>
      </w:r>
    </w:p>
    <w:p w14:paraId="28469E44" w14:textId="77777777" w:rsidR="000B228E" w:rsidRDefault="000B228E" w:rsidP="00C561D7">
      <w:pPr>
        <w:pStyle w:val="ListParagraph"/>
        <w:numPr>
          <w:ilvl w:val="0"/>
          <w:numId w:val="30"/>
        </w:numPr>
        <w:spacing w:before="0" w:after="120"/>
      </w:pPr>
      <w:proofErr w:type="spellStart"/>
      <w:r>
        <w:t>NeuroEndocrine</w:t>
      </w:r>
      <w:proofErr w:type="spellEnd"/>
      <w:r>
        <w:t xml:space="preserve"> Cancer Australia (NECA)</w:t>
      </w:r>
    </w:p>
    <w:p w14:paraId="38325AAA" w14:textId="77777777" w:rsidR="000B228E" w:rsidRPr="00374907" w:rsidRDefault="000B228E" w:rsidP="000B228E">
      <w:pPr>
        <w:tabs>
          <w:tab w:val="left" w:pos="3686"/>
        </w:tabs>
        <w:spacing w:after="240" w:line="257" w:lineRule="auto"/>
      </w:pPr>
      <w:r>
        <w:t>The consultation feedback received was mostly supportive of the application.</w:t>
      </w:r>
    </w:p>
    <w:p w14:paraId="7ECCFBED" w14:textId="77777777" w:rsidR="000B228E" w:rsidRPr="0028462B" w:rsidRDefault="000B228E" w:rsidP="000B228E">
      <w:pPr>
        <w:rPr>
          <w:b/>
          <w:bCs/>
        </w:rPr>
      </w:pPr>
      <w:r w:rsidRPr="0028462B">
        <w:rPr>
          <w:b/>
          <w:bCs/>
        </w:rPr>
        <w:t>Benefits</w:t>
      </w:r>
    </w:p>
    <w:p w14:paraId="18E9C0F1" w14:textId="77777777" w:rsidR="000B228E" w:rsidRPr="00F17567" w:rsidRDefault="000B228E" w:rsidP="00C561D7">
      <w:pPr>
        <w:pStyle w:val="ListParagraph"/>
        <w:numPr>
          <w:ilvl w:val="0"/>
          <w:numId w:val="31"/>
        </w:numPr>
        <w:autoSpaceDE w:val="0"/>
        <w:autoSpaceDN w:val="0"/>
        <w:adjustRightInd w:val="0"/>
        <w:spacing w:before="0" w:after="0" w:line="240" w:lineRule="auto"/>
      </w:pPr>
      <w:r w:rsidRPr="00F17567">
        <w:t>Clinical need, as NETs (neuroendocrine tumours) are rare and an area of need for novel therapies</w:t>
      </w:r>
      <w:r>
        <w:t xml:space="preserve"> such as the proposed medical service</w:t>
      </w:r>
    </w:p>
    <w:p w14:paraId="5A9B8B2E" w14:textId="77777777" w:rsidR="000B228E" w:rsidRPr="00F17567" w:rsidRDefault="000B228E" w:rsidP="00C561D7">
      <w:pPr>
        <w:pStyle w:val="ListParagraph"/>
        <w:numPr>
          <w:ilvl w:val="0"/>
          <w:numId w:val="31"/>
        </w:numPr>
        <w:autoSpaceDE w:val="0"/>
        <w:autoSpaceDN w:val="0"/>
        <w:adjustRightInd w:val="0"/>
        <w:spacing w:before="0" w:after="0" w:line="240" w:lineRule="auto"/>
      </w:pPr>
      <w:r w:rsidRPr="00F17567">
        <w:t>The treatment delivers prolonged disease-free periods with minimal toxicity and good clinical tolerance</w:t>
      </w:r>
      <w:r>
        <w:t xml:space="preserve"> (</w:t>
      </w:r>
      <w:r w:rsidRPr="00F17567">
        <w:t>better tolerated than chemotherapy</w:t>
      </w:r>
      <w:r>
        <w:t>)</w:t>
      </w:r>
    </w:p>
    <w:p w14:paraId="1C37554E" w14:textId="77777777" w:rsidR="000B228E" w:rsidRPr="00F17567" w:rsidRDefault="000B228E" w:rsidP="00C561D7">
      <w:pPr>
        <w:pStyle w:val="ListParagraph"/>
        <w:numPr>
          <w:ilvl w:val="0"/>
          <w:numId w:val="31"/>
        </w:numPr>
        <w:autoSpaceDE w:val="0"/>
        <w:autoSpaceDN w:val="0"/>
        <w:adjustRightInd w:val="0"/>
        <w:spacing w:before="0" w:after="0" w:line="240" w:lineRule="auto"/>
      </w:pPr>
      <w:r w:rsidRPr="00F17567">
        <w:lastRenderedPageBreak/>
        <w:t>It is single day treatment, making it more feasible for patients and requires little travel for patients who live remotely</w:t>
      </w:r>
    </w:p>
    <w:p w14:paraId="11D052E7" w14:textId="77777777" w:rsidR="000B228E" w:rsidRPr="00F17567" w:rsidRDefault="000B228E" w:rsidP="00C561D7">
      <w:pPr>
        <w:pStyle w:val="ListParagraph"/>
        <w:numPr>
          <w:ilvl w:val="0"/>
          <w:numId w:val="31"/>
        </w:numPr>
        <w:autoSpaceDE w:val="0"/>
        <w:autoSpaceDN w:val="0"/>
        <w:adjustRightInd w:val="0"/>
        <w:spacing w:before="0" w:after="0" w:line="240" w:lineRule="auto"/>
      </w:pPr>
      <w:r>
        <w:t xml:space="preserve">It is a </w:t>
      </w:r>
      <w:r w:rsidRPr="00F17567">
        <w:t xml:space="preserve">cost-effective targeted therapy, </w:t>
      </w:r>
      <w:proofErr w:type="gramStart"/>
      <w:r>
        <w:t>in particular when</w:t>
      </w:r>
      <w:proofErr w:type="gramEnd"/>
      <w:r>
        <w:t xml:space="preserve"> </w:t>
      </w:r>
      <w:r w:rsidRPr="00F17567">
        <w:t>compared to</w:t>
      </w:r>
      <w:r>
        <w:t xml:space="preserve"> the cost of</w:t>
      </w:r>
      <w:r w:rsidRPr="00F17567">
        <w:t xml:space="preserve"> other treatments</w:t>
      </w:r>
    </w:p>
    <w:p w14:paraId="000918ED" w14:textId="309606A3" w:rsidR="000B228E" w:rsidRPr="00F17567" w:rsidRDefault="000B228E" w:rsidP="00C561D7">
      <w:pPr>
        <w:pStyle w:val="ListParagraph"/>
        <w:numPr>
          <w:ilvl w:val="0"/>
          <w:numId w:val="31"/>
        </w:numPr>
        <w:autoSpaceDE w:val="0"/>
        <w:autoSpaceDN w:val="0"/>
        <w:adjustRightInd w:val="0"/>
        <w:spacing w:before="0" w:after="0" w:line="240" w:lineRule="auto"/>
      </w:pPr>
      <w:r w:rsidRPr="00F17567">
        <w:t>Equity of access</w:t>
      </w:r>
      <w:r>
        <w:t xml:space="preserve"> (financia</w:t>
      </w:r>
      <w:r w:rsidR="00092051">
        <w:t xml:space="preserve">l) as treatment has been available for 10 years </w:t>
      </w:r>
      <w:proofErr w:type="gramStart"/>
      <w:r w:rsidR="00092051">
        <w:t xml:space="preserve">and </w:t>
      </w:r>
      <w:r w:rsidR="00396A64" w:rsidRPr="00396A64">
        <w:t xml:space="preserve"> is</w:t>
      </w:r>
      <w:proofErr w:type="gramEnd"/>
      <w:r w:rsidR="00396A64" w:rsidRPr="00396A64">
        <w:t xml:space="preserve"> currently funded through the Department of Veterans’ Affairs</w:t>
      </w:r>
      <w:r w:rsidR="009B4DFA">
        <w:t xml:space="preserve"> or State-specific funding models</w:t>
      </w:r>
      <w:r w:rsidR="00396A64" w:rsidRPr="00396A64">
        <w:t xml:space="preserve"> </w:t>
      </w:r>
      <w:r w:rsidR="00092051">
        <w:t>or paid for p</w:t>
      </w:r>
      <w:r w:rsidR="00396A64" w:rsidRPr="00396A64">
        <w:t>rivately</w:t>
      </w:r>
      <w:r w:rsidR="00092051">
        <w:t xml:space="preserve">. </w:t>
      </w:r>
    </w:p>
    <w:p w14:paraId="780DE7A1" w14:textId="77777777" w:rsidR="000B228E" w:rsidRDefault="000B228E" w:rsidP="00C561D7">
      <w:pPr>
        <w:pStyle w:val="ListParagraph"/>
        <w:numPr>
          <w:ilvl w:val="0"/>
          <w:numId w:val="31"/>
        </w:numPr>
        <w:autoSpaceDE w:val="0"/>
        <w:autoSpaceDN w:val="0"/>
        <w:adjustRightInd w:val="0"/>
        <w:spacing w:before="0" w:after="0" w:line="240" w:lineRule="auto"/>
      </w:pPr>
      <w:r w:rsidRPr="00F17567">
        <w:t>Many NET patients suffer from debilitating symptoms such as facial flushing, diarrhea, asthma, nausea, and heart palpitations due to the NETs secreting hormones, and i</w:t>
      </w:r>
      <w:r>
        <w:t>n</w:t>
      </w:r>
      <w:r w:rsidRPr="00F17567">
        <w:t xml:space="preserve"> addition to tumour shrinkage the treatment can be effective in managing these symptoms</w:t>
      </w:r>
    </w:p>
    <w:p w14:paraId="487BF9C9" w14:textId="77777777" w:rsidR="000B228E" w:rsidRDefault="000B228E" w:rsidP="00C561D7">
      <w:pPr>
        <w:pStyle w:val="ListParagraph"/>
        <w:numPr>
          <w:ilvl w:val="0"/>
          <w:numId w:val="31"/>
        </w:numPr>
        <w:autoSpaceDE w:val="0"/>
        <w:autoSpaceDN w:val="0"/>
        <w:adjustRightInd w:val="0"/>
        <w:spacing w:before="0" w:after="0" w:line="240" w:lineRule="auto"/>
      </w:pPr>
      <w:r w:rsidRPr="0078654D">
        <w:t>Successful treatment would reduce reliance on carers</w:t>
      </w:r>
    </w:p>
    <w:p w14:paraId="572A63AB" w14:textId="77777777" w:rsidR="000B228E" w:rsidRPr="00611C71" w:rsidRDefault="000B228E" w:rsidP="00C561D7">
      <w:pPr>
        <w:pStyle w:val="ListParagraph"/>
        <w:numPr>
          <w:ilvl w:val="0"/>
          <w:numId w:val="31"/>
        </w:numPr>
        <w:autoSpaceDE w:val="0"/>
        <w:autoSpaceDN w:val="0"/>
        <w:adjustRightInd w:val="0"/>
        <w:spacing w:before="0" w:after="240" w:line="240" w:lineRule="auto"/>
        <w:ind w:left="1077" w:hanging="357"/>
      </w:pPr>
      <w:r>
        <w:t xml:space="preserve">Economic benefit, including savings from </w:t>
      </w:r>
      <w:r w:rsidRPr="0078654D">
        <w:t>patients coming off somatostatin analogue treatments</w:t>
      </w:r>
      <w:r>
        <w:t xml:space="preserve"> and</w:t>
      </w:r>
      <w:r w:rsidRPr="0078654D">
        <w:t xml:space="preserve"> avoiding costly admissions</w:t>
      </w:r>
      <w:r>
        <w:t>/</w:t>
      </w:r>
      <w:r w:rsidRPr="0078654D">
        <w:t>tumour de-bulking surgeries</w:t>
      </w:r>
      <w:r>
        <w:t>.</w:t>
      </w:r>
    </w:p>
    <w:p w14:paraId="103E742F" w14:textId="77777777" w:rsidR="000B228E" w:rsidRDefault="000B228E" w:rsidP="000B228E">
      <w:pPr>
        <w:keepNext/>
        <w:autoSpaceDE w:val="0"/>
        <w:autoSpaceDN w:val="0"/>
        <w:adjustRightInd w:val="0"/>
        <w:spacing w:line="240" w:lineRule="auto"/>
        <w:rPr>
          <w:b/>
          <w:bCs/>
        </w:rPr>
      </w:pPr>
      <w:r w:rsidRPr="00B238CA">
        <w:rPr>
          <w:b/>
          <w:bCs/>
        </w:rPr>
        <w:t>Disadvantages</w:t>
      </w:r>
    </w:p>
    <w:p w14:paraId="46FBF97A" w14:textId="77777777" w:rsidR="000B228E" w:rsidRDefault="000B228E" w:rsidP="00C561D7">
      <w:pPr>
        <w:pStyle w:val="ListParagraph"/>
        <w:numPr>
          <w:ilvl w:val="0"/>
          <w:numId w:val="31"/>
        </w:numPr>
        <w:autoSpaceDE w:val="0"/>
        <w:autoSpaceDN w:val="0"/>
        <w:adjustRightInd w:val="0"/>
        <w:spacing w:before="0" w:after="0" w:line="240" w:lineRule="auto"/>
      </w:pPr>
      <w:r w:rsidRPr="00290609">
        <w:t>The cost of the treatment</w:t>
      </w:r>
    </w:p>
    <w:p w14:paraId="4B9EA552" w14:textId="77777777" w:rsidR="000B228E" w:rsidRDefault="000B228E" w:rsidP="00C561D7">
      <w:pPr>
        <w:pStyle w:val="ListParagraph"/>
        <w:numPr>
          <w:ilvl w:val="0"/>
          <w:numId w:val="31"/>
        </w:numPr>
        <w:autoSpaceDE w:val="0"/>
        <w:autoSpaceDN w:val="0"/>
        <w:adjustRightInd w:val="0"/>
        <w:spacing w:before="0" w:after="0" w:line="240" w:lineRule="auto"/>
      </w:pPr>
      <w:r>
        <w:t xml:space="preserve">Side effects such as </w:t>
      </w:r>
      <w:r w:rsidRPr="007602E8">
        <w:t>bone marrow suppression and renal injury, although these can be managed and minimised</w:t>
      </w:r>
    </w:p>
    <w:p w14:paraId="20391920" w14:textId="77777777" w:rsidR="000B228E" w:rsidRPr="00611C71" w:rsidRDefault="000B228E" w:rsidP="00C561D7">
      <w:pPr>
        <w:pStyle w:val="ListParagraph"/>
        <w:numPr>
          <w:ilvl w:val="0"/>
          <w:numId w:val="31"/>
        </w:numPr>
        <w:autoSpaceDE w:val="0"/>
        <w:autoSpaceDN w:val="0"/>
        <w:adjustRightInd w:val="0"/>
        <w:spacing w:before="0" w:after="240" w:line="240" w:lineRule="auto"/>
        <w:ind w:left="1077" w:hanging="357"/>
      </w:pPr>
      <w:r>
        <w:t xml:space="preserve">Patient would be disadvantaged if the treatment is ordered without the decision being made by an </w:t>
      </w:r>
      <w:r w:rsidRPr="0078654D">
        <w:t>expert NET Multidisciplinary Team</w:t>
      </w:r>
      <w:r>
        <w:t>.</w:t>
      </w:r>
    </w:p>
    <w:p w14:paraId="4985AE66" w14:textId="77777777" w:rsidR="000B228E" w:rsidRPr="000D3E8E" w:rsidRDefault="000B228E" w:rsidP="000B228E">
      <w:pPr>
        <w:rPr>
          <w:b/>
          <w:bCs/>
        </w:rPr>
      </w:pPr>
      <w:r w:rsidRPr="000D3E8E">
        <w:rPr>
          <w:b/>
          <w:bCs/>
        </w:rPr>
        <w:t>Additional Comments</w:t>
      </w:r>
    </w:p>
    <w:p w14:paraId="3190AFC2" w14:textId="423804BC" w:rsidR="002B6604" w:rsidRDefault="002B6604" w:rsidP="000B228E">
      <w:r>
        <w:t xml:space="preserve">Two </w:t>
      </w:r>
      <w:r w:rsidR="00D430DE">
        <w:t xml:space="preserve">nuclear medicine physicians </w:t>
      </w:r>
      <w:r w:rsidRPr="002B6604">
        <w:t>advised that both non carrier added (</w:t>
      </w:r>
      <w:proofErr w:type="spellStart"/>
      <w:r w:rsidRPr="002B6604">
        <w:t>nca</w:t>
      </w:r>
      <w:proofErr w:type="spellEnd"/>
      <w:r w:rsidRPr="002B6604">
        <w:t>) and carrier added (ca) options are currently being used</w:t>
      </w:r>
      <w:r w:rsidR="00D430DE">
        <w:t xml:space="preserve"> and</w:t>
      </w:r>
      <w:r w:rsidRPr="002B6604">
        <w:t xml:space="preserve"> that having both options subsidised would enable clinicians to manage radiopharmaceutical shortages</w:t>
      </w:r>
      <w:r w:rsidR="00D430DE">
        <w:t>.</w:t>
      </w:r>
    </w:p>
    <w:p w14:paraId="61FE36E9" w14:textId="3ADFAA2F" w:rsidR="000B228E" w:rsidRDefault="000B228E" w:rsidP="000B228E">
      <w:r w:rsidRPr="00904B9E">
        <w:t>NECA provided d</w:t>
      </w:r>
      <w:r>
        <w:t>eidentified cases from multiple patients who had received PRRT highlighting that the therapy is well tolerated without side effects, near complete resolution of flushing and diarrhoea, significant improvement in blood pressure control, significant reduction in prior metastases and improvement in quality of life.</w:t>
      </w:r>
    </w:p>
    <w:p w14:paraId="7BBFF870" w14:textId="245758E5" w:rsidR="000B228E" w:rsidRDefault="000B228E" w:rsidP="000B228E">
      <w:pPr>
        <w:autoSpaceDE w:val="0"/>
        <w:autoSpaceDN w:val="0"/>
        <w:adjustRightInd w:val="0"/>
        <w:spacing w:after="0" w:line="240" w:lineRule="auto"/>
      </w:pPr>
      <w:r w:rsidRPr="009B4511">
        <w:t xml:space="preserve">MOGA and COSA stated the recent NETTER-1 trial has established Peptide Receptor Radionuclide Therapy (PRRT that includes </w:t>
      </w:r>
      <w:r w:rsidRPr="00E15889">
        <w:rPr>
          <w:vertAlign w:val="superscript"/>
        </w:rPr>
        <w:t>177</w:t>
      </w:r>
      <w:r w:rsidRPr="009B4511">
        <w:t>Lutetium Octreotide therapy) as the treatment of choice in this second-line setting for patients with midgut NENs and is supported by the forthcoming COSA NEN guidelines.</w:t>
      </w:r>
      <w:r>
        <w:t xml:space="preserve"> Additionally, it was estimated that approximately 100-150 patients would be eligible for treatment per year.</w:t>
      </w:r>
    </w:p>
    <w:p w14:paraId="4D2ED4D1" w14:textId="45F9FE64" w:rsidR="000B228E" w:rsidRDefault="000B228E" w:rsidP="000B228E">
      <w:pPr>
        <w:autoSpaceDE w:val="0"/>
        <w:autoSpaceDN w:val="0"/>
        <w:adjustRightInd w:val="0"/>
        <w:spacing w:after="0" w:line="240" w:lineRule="auto"/>
      </w:pPr>
      <w:r>
        <w:t xml:space="preserve">USANZ queried whether the </w:t>
      </w:r>
      <w:r w:rsidRPr="00290609">
        <w:t>clinical efficacy of Lu-</w:t>
      </w:r>
      <w:proofErr w:type="spellStart"/>
      <w:r w:rsidRPr="00290609">
        <w:t>Ocreotate</w:t>
      </w:r>
      <w:proofErr w:type="spellEnd"/>
      <w:r w:rsidRPr="00290609">
        <w:t xml:space="preserve"> can be </w:t>
      </w:r>
      <w:r>
        <w:t xml:space="preserve">fully </w:t>
      </w:r>
      <w:r w:rsidRPr="00290609">
        <w:t xml:space="preserve">ascertained using the </w:t>
      </w:r>
      <w:r>
        <w:t>mixture of</w:t>
      </w:r>
      <w:r w:rsidRPr="00290609">
        <w:t xml:space="preserve"> evidence from Lu-</w:t>
      </w:r>
      <w:proofErr w:type="spellStart"/>
      <w:r w:rsidRPr="00290609">
        <w:t>dotate</w:t>
      </w:r>
      <w:proofErr w:type="spellEnd"/>
      <w:r w:rsidRPr="00290609">
        <w:t xml:space="preserve"> and Lu-</w:t>
      </w:r>
      <w:proofErr w:type="spellStart"/>
      <w:r w:rsidRPr="00290609">
        <w:t>ocreotate</w:t>
      </w:r>
      <w:proofErr w:type="spellEnd"/>
      <w:r w:rsidRPr="00290609">
        <w:t xml:space="preserve"> studies</w:t>
      </w:r>
      <w:r>
        <w:t xml:space="preserve"> given that the sensitivities of these two radiotracers are different</w:t>
      </w:r>
      <w:r w:rsidRPr="00290609">
        <w:t>.</w:t>
      </w:r>
    </w:p>
    <w:p w14:paraId="5F4AF61C" w14:textId="22A11AD2" w:rsidR="000B228E" w:rsidRDefault="000B228E" w:rsidP="000B228E">
      <w:pPr>
        <w:autoSpaceDE w:val="0"/>
        <w:autoSpaceDN w:val="0"/>
        <w:adjustRightInd w:val="0"/>
        <w:spacing w:after="0" w:line="240" w:lineRule="auto"/>
      </w:pPr>
      <w:r w:rsidRPr="00AF0CE1">
        <w:t xml:space="preserve">Novartis noted that its </w:t>
      </w:r>
      <w:r w:rsidRPr="00DA391E">
        <w:rPr>
          <w:vertAlign w:val="superscript"/>
        </w:rPr>
        <w:t>177</w:t>
      </w:r>
      <w:r w:rsidRPr="00AF0CE1">
        <w:t>Lu-DOTA</w:t>
      </w:r>
      <w:r>
        <w:t>TA</w:t>
      </w:r>
      <w:r w:rsidRPr="00AF0CE1">
        <w:t>TE</w:t>
      </w:r>
      <w:r>
        <w:t xml:space="preserve"> drug product </w:t>
      </w:r>
      <w:r w:rsidRPr="00AF0CE1">
        <w:t>is protected by a granted patent.</w:t>
      </w:r>
    </w:p>
    <w:p w14:paraId="59D06F2E" w14:textId="25CA1881" w:rsidR="000B228E" w:rsidRPr="00290609" w:rsidRDefault="000B228E" w:rsidP="000B228E">
      <w:pPr>
        <w:autoSpaceDE w:val="0"/>
        <w:autoSpaceDN w:val="0"/>
        <w:adjustRightInd w:val="0"/>
        <w:spacing w:after="0" w:line="240" w:lineRule="auto"/>
      </w:pPr>
      <w:r>
        <w:t xml:space="preserve">Novartis requested that the MSAC refrains from </w:t>
      </w:r>
      <w:proofErr w:type="gramStart"/>
      <w:r>
        <w:t>making a determination</w:t>
      </w:r>
      <w:proofErr w:type="gramEnd"/>
      <w:r>
        <w:t xml:space="preserve"> of </w:t>
      </w:r>
      <w:r w:rsidR="004A7E51">
        <w:t>non-inferior</w:t>
      </w:r>
      <w:r>
        <w:t xml:space="preserve">ity </w:t>
      </w:r>
      <w:r w:rsidRPr="00787F82">
        <w:t xml:space="preserve">based on assumed </w:t>
      </w:r>
      <w:proofErr w:type="spellStart"/>
      <w:r w:rsidRPr="00787F82">
        <w:t>biosimilarity</w:t>
      </w:r>
      <w:proofErr w:type="spellEnd"/>
      <w:r w:rsidRPr="00787F82">
        <w:t xml:space="preserve"> of the two products </w:t>
      </w:r>
      <w:r w:rsidRPr="00DA391E">
        <w:rPr>
          <w:vertAlign w:val="superscript"/>
        </w:rPr>
        <w:t>177</w:t>
      </w:r>
      <w:r w:rsidRPr="00787F82">
        <w:t xml:space="preserve">Lu DOTA </w:t>
      </w:r>
      <w:proofErr w:type="spellStart"/>
      <w:r w:rsidRPr="00787F82">
        <w:t>Octreotate</w:t>
      </w:r>
      <w:proofErr w:type="spellEnd"/>
      <w:r w:rsidRPr="00787F82">
        <w:t xml:space="preserve"> and </w:t>
      </w:r>
      <w:r w:rsidRPr="00DA391E">
        <w:rPr>
          <w:vertAlign w:val="superscript"/>
        </w:rPr>
        <w:t>177</w:t>
      </w:r>
      <w:r w:rsidRPr="00787F82">
        <w:t>Lu-DOTATATE (</w:t>
      </w:r>
      <w:proofErr w:type="spellStart"/>
      <w:r w:rsidRPr="00787F82">
        <w:t>Lutathera</w:t>
      </w:r>
      <w:proofErr w:type="spellEnd"/>
      <w:r w:rsidRPr="00787F82">
        <w:t>®)</w:t>
      </w:r>
      <w:r>
        <w:t xml:space="preserve"> because they may be two different drug products and there is no evidence to support the therapeutic equivalence between the two products. </w:t>
      </w:r>
      <w:r w:rsidRPr="00290609">
        <w:t>Nova</w:t>
      </w:r>
      <w:r>
        <w:t>r</w:t>
      </w:r>
      <w:r w:rsidRPr="00290609">
        <w:t xml:space="preserve">tis </w:t>
      </w:r>
      <w:r>
        <w:t xml:space="preserve">also </w:t>
      </w:r>
      <w:r w:rsidRPr="00290609">
        <w:t>requested that the MSAC Application identify the specific</w:t>
      </w:r>
      <w:r>
        <w:t xml:space="preserve"> </w:t>
      </w:r>
      <w:r w:rsidRPr="00290609">
        <w:t>active ingredient including radionuclide-chelator moiety and linker instead of referring to generic</w:t>
      </w:r>
      <w:r>
        <w:t xml:space="preserve"> </w:t>
      </w:r>
      <w:r w:rsidRPr="00DA391E">
        <w:rPr>
          <w:vertAlign w:val="superscript"/>
        </w:rPr>
        <w:t>177</w:t>
      </w:r>
      <w:r w:rsidRPr="00BF0B17">
        <w:t>Lutetium</w:t>
      </w:r>
      <w:r>
        <w:t xml:space="preserve"> </w:t>
      </w:r>
      <w:r w:rsidRPr="00BF0B17">
        <w:t>(</w:t>
      </w:r>
      <w:proofErr w:type="spellStart"/>
      <w:r w:rsidRPr="00BF0B17">
        <w:t>n.c.a</w:t>
      </w:r>
      <w:proofErr w:type="spellEnd"/>
      <w:r w:rsidRPr="00BF0B17">
        <w:t>)</w:t>
      </w:r>
      <w:r>
        <w:t xml:space="preserve"> </w:t>
      </w:r>
      <w:proofErr w:type="spellStart"/>
      <w:r w:rsidRPr="00BF0B17">
        <w:t>Octreotate</w:t>
      </w:r>
      <w:proofErr w:type="spellEnd"/>
      <w:r w:rsidRPr="00BF0B17">
        <w:t xml:space="preserve">” therapy and commented that the Applicant has not conducted a prospective randomised clinical trial comparing the clinical efficacy and safety of </w:t>
      </w:r>
      <w:r w:rsidRPr="00DA391E">
        <w:rPr>
          <w:vertAlign w:val="superscript"/>
        </w:rPr>
        <w:t>177</w:t>
      </w:r>
      <w:r w:rsidRPr="00BF0B17">
        <w:t xml:space="preserve">Lu- DOTATATE and any </w:t>
      </w:r>
      <w:r w:rsidRPr="00DA391E">
        <w:rPr>
          <w:vertAlign w:val="superscript"/>
        </w:rPr>
        <w:t>177</w:t>
      </w:r>
      <w:r w:rsidRPr="00BF0B17">
        <w:t>Lutetium(</w:t>
      </w:r>
      <w:proofErr w:type="spellStart"/>
      <w:r w:rsidRPr="00BF0B17">
        <w:t>n.c.a</w:t>
      </w:r>
      <w:proofErr w:type="spellEnd"/>
      <w:r w:rsidRPr="00BF0B17">
        <w:t>.)</w:t>
      </w:r>
      <w:r>
        <w:t xml:space="preserve"> </w:t>
      </w:r>
      <w:proofErr w:type="spellStart"/>
      <w:r w:rsidRPr="00BF0B17">
        <w:t>Octreotate</w:t>
      </w:r>
      <w:proofErr w:type="spellEnd"/>
      <w:r w:rsidRPr="00BF0B17">
        <w:t xml:space="preserve"> (with or without a DOTA chelating</w:t>
      </w:r>
      <w:r>
        <w:t xml:space="preserve"> </w:t>
      </w:r>
      <w:r w:rsidRPr="00BF0B17">
        <w:t>agent)</w:t>
      </w:r>
      <w:r>
        <w:t xml:space="preserve">, meaning they could not be described as </w:t>
      </w:r>
      <w:r w:rsidRPr="00290609">
        <w:t xml:space="preserve">therapeutically equivalent. </w:t>
      </w:r>
      <w:r>
        <w:t xml:space="preserve">Novartis also raised questions about whether there were inconsistencies between National Medicines Policy and the proposed </w:t>
      </w:r>
      <w:r w:rsidRPr="00CF75DF">
        <w:t xml:space="preserve">reimbursement of </w:t>
      </w:r>
      <w:r w:rsidRPr="00E15889">
        <w:rPr>
          <w:vertAlign w:val="superscript"/>
        </w:rPr>
        <w:t>177</w:t>
      </w:r>
      <w:r w:rsidRPr="00CF75DF">
        <w:t xml:space="preserve">Lu DOTA </w:t>
      </w:r>
      <w:proofErr w:type="spellStart"/>
      <w:r w:rsidRPr="00CF75DF">
        <w:t>Octreotate</w:t>
      </w:r>
      <w:proofErr w:type="spellEnd"/>
      <w:r w:rsidRPr="00CF75DF">
        <w:t>, prior to its registration on the ARTG</w:t>
      </w:r>
      <w:r>
        <w:t xml:space="preserve"> and what sort of post-market pharmacovigilance would apply to non-ARTG listed products.</w:t>
      </w:r>
    </w:p>
    <w:p w14:paraId="18F38AB0" w14:textId="198EB1A0" w:rsidR="000B228E" w:rsidRDefault="000B228E" w:rsidP="000B228E">
      <w:pPr>
        <w:autoSpaceDE w:val="0"/>
        <w:autoSpaceDN w:val="0"/>
        <w:adjustRightInd w:val="0"/>
        <w:spacing w:after="0" w:line="240" w:lineRule="auto"/>
      </w:pPr>
      <w:r>
        <w:lastRenderedPageBreak/>
        <w:t xml:space="preserve">ADIA stated </w:t>
      </w:r>
      <w:r w:rsidRPr="00921D9F">
        <w:t xml:space="preserve">the proposed requirements in the AANMS Position Statement would severely limit the range of prospective providers of </w:t>
      </w:r>
      <w:proofErr w:type="spellStart"/>
      <w:r w:rsidRPr="00921D9F">
        <w:t>theranostics</w:t>
      </w:r>
      <w:proofErr w:type="spellEnd"/>
      <w:r w:rsidRPr="00921D9F">
        <w:t xml:space="preserve"> services, including </w:t>
      </w:r>
      <w:r>
        <w:t>t</w:t>
      </w:r>
      <w:r w:rsidRPr="00921D9F">
        <w:t>he requirement for therapeutic radiopharmaceuticals to be manufactured by a qualified radiopharmaceutical scientist/radiochemist as well as the accreditation requirements which will be unattainable for many well-qualified nuclear medicine specialists.</w:t>
      </w:r>
      <w:r>
        <w:t xml:space="preserve"> RANZCR also did not support reference to the Position Statement in developing the proposed requirements for </w:t>
      </w:r>
      <w:proofErr w:type="spellStart"/>
      <w:r>
        <w:t>theranostic</w:t>
      </w:r>
      <w:proofErr w:type="spellEnd"/>
      <w:r>
        <w:t xml:space="preserve"> service providers.</w:t>
      </w:r>
    </w:p>
    <w:p w14:paraId="215C1C9C" w14:textId="1240F79B" w:rsidR="000B228E" w:rsidRDefault="000B228E" w:rsidP="000B228E">
      <w:pPr>
        <w:autoSpaceDE w:val="0"/>
        <w:autoSpaceDN w:val="0"/>
        <w:adjustRightInd w:val="0"/>
        <w:spacing w:after="0" w:line="240" w:lineRule="auto"/>
      </w:pPr>
      <w:r>
        <w:t>Feedback noted t</w:t>
      </w:r>
      <w:r w:rsidRPr="00290609">
        <w:t xml:space="preserve">he MBS fee should be set to allow the provider to recover the cost of </w:t>
      </w:r>
      <w:r w:rsidRPr="00E15889">
        <w:rPr>
          <w:vertAlign w:val="superscript"/>
        </w:rPr>
        <w:t>177</w:t>
      </w:r>
      <w:r w:rsidRPr="00290609">
        <w:t>Lutetium(</w:t>
      </w:r>
      <w:proofErr w:type="spellStart"/>
      <w:r w:rsidRPr="00290609">
        <w:t>nca</w:t>
      </w:r>
      <w:proofErr w:type="spellEnd"/>
      <w:r w:rsidRPr="00290609">
        <w:t xml:space="preserve">) </w:t>
      </w:r>
      <w:proofErr w:type="spellStart"/>
      <w:r w:rsidRPr="00290609">
        <w:t>Octreotate</w:t>
      </w:r>
      <w:proofErr w:type="spellEnd"/>
      <w:r w:rsidRPr="00290609">
        <w:t>, otherwise patients are likely to incur substantial out of pocket costs</w:t>
      </w:r>
      <w:r>
        <w:t xml:space="preserve">. There was one comment disagreeing with the proposed fee and stating that the true cost of </w:t>
      </w:r>
      <w:r w:rsidRPr="00E15889">
        <w:rPr>
          <w:vertAlign w:val="superscript"/>
        </w:rPr>
        <w:t>177</w:t>
      </w:r>
      <w:r w:rsidRPr="00290609">
        <w:t>Lutetium(</w:t>
      </w:r>
      <w:proofErr w:type="spellStart"/>
      <w:r w:rsidRPr="00290609">
        <w:t>nca</w:t>
      </w:r>
      <w:proofErr w:type="spellEnd"/>
      <w:r w:rsidRPr="00290609">
        <w:t xml:space="preserve">) </w:t>
      </w:r>
      <w:proofErr w:type="spellStart"/>
      <w:r w:rsidRPr="00290609">
        <w:t>Octreotate</w:t>
      </w:r>
      <w:proofErr w:type="spellEnd"/>
      <w:r>
        <w:t xml:space="preserve"> was closer to the $12,000 to $15,000 range.</w:t>
      </w:r>
    </w:p>
    <w:p w14:paraId="65C25653" w14:textId="77777777" w:rsidR="000B228E" w:rsidRPr="00290609" w:rsidRDefault="000B228E" w:rsidP="000B228E">
      <w:pPr>
        <w:jc w:val="both"/>
      </w:pPr>
      <w:r w:rsidRPr="21328503">
        <w:rPr>
          <w:rFonts w:cs="Calibri"/>
        </w:rPr>
        <w:t xml:space="preserve">The AANMS stated that all patients considered for this treatment must have a whole body DOTA-peptide PET/SPECT scan and suggested a new item number be created for this purpose. They added that a new item for FDG PET in the context of </w:t>
      </w:r>
      <w:proofErr w:type="spellStart"/>
      <w:r w:rsidRPr="21328503">
        <w:rPr>
          <w:rFonts w:cs="Calibri"/>
        </w:rPr>
        <w:t>Lu</w:t>
      </w:r>
      <w:r>
        <w:rPr>
          <w:rFonts w:cs="Calibri"/>
        </w:rPr>
        <w:t>tate</w:t>
      </w:r>
      <w:proofErr w:type="spellEnd"/>
      <w:r w:rsidRPr="21328503">
        <w:rPr>
          <w:rFonts w:cs="Calibri"/>
        </w:rPr>
        <w:t xml:space="preserve"> treatment should be created and that the post-treatment SPECT scan should have its own item number for tracking.</w:t>
      </w:r>
    </w:p>
    <w:p w14:paraId="40796859" w14:textId="6167BCCA" w:rsidR="000B228E" w:rsidRDefault="000B228E" w:rsidP="000B228E">
      <w:pPr>
        <w:autoSpaceDE w:val="0"/>
        <w:autoSpaceDN w:val="0"/>
        <w:adjustRightInd w:val="0"/>
        <w:spacing w:after="0" w:line="240" w:lineRule="auto"/>
      </w:pPr>
      <w:proofErr w:type="spellStart"/>
      <w:r w:rsidRPr="00290609">
        <w:t>LuTATE</w:t>
      </w:r>
      <w:proofErr w:type="spellEnd"/>
      <w:r w:rsidRPr="00290609">
        <w:t xml:space="preserve"> therapy is best provided by a multidisciplinary team with oncologists, nuclear medicine physicians, endocrinologists, surgeons, palliative care specialists, medical physicists and nuclear medicine technologists as well as nursing, social work and dietician support services.</w:t>
      </w:r>
    </w:p>
    <w:p w14:paraId="2D75DCD1" w14:textId="63C27629" w:rsidR="000B228E" w:rsidRDefault="000B228E" w:rsidP="000B228E">
      <w:pPr>
        <w:autoSpaceDE w:val="0"/>
        <w:autoSpaceDN w:val="0"/>
        <w:adjustRightInd w:val="0"/>
        <w:spacing w:after="0" w:line="240" w:lineRule="auto"/>
      </w:pPr>
      <w:r>
        <w:t>T</w:t>
      </w:r>
      <w:r w:rsidRPr="00290609">
        <w:t>here are current restrictions around the use of Rare Cancers FDG PET imaging (61598)</w:t>
      </w:r>
      <w:r>
        <w:t xml:space="preserve"> (i.e. </w:t>
      </w:r>
      <w:r w:rsidRPr="00290609">
        <w:t>limited to one per lifetime</w:t>
      </w:r>
      <w:r>
        <w:t xml:space="preserve">), and it was suggested to </w:t>
      </w:r>
      <w:r w:rsidRPr="00290609">
        <w:t>creat</w:t>
      </w:r>
      <w:r>
        <w:t xml:space="preserve">e </w:t>
      </w:r>
      <w:r w:rsidRPr="00290609">
        <w:t xml:space="preserve">a new item number for FDG PET in the context of providing </w:t>
      </w:r>
      <w:proofErr w:type="spellStart"/>
      <w:r w:rsidRPr="00290609">
        <w:t>LuTATE</w:t>
      </w:r>
      <w:proofErr w:type="spellEnd"/>
      <w:r w:rsidRPr="00290609">
        <w:t xml:space="preserve"> treatment.</w:t>
      </w:r>
    </w:p>
    <w:p w14:paraId="6ACC8903" w14:textId="363BE880" w:rsidR="000B228E" w:rsidRPr="000B228E" w:rsidRDefault="000B228E" w:rsidP="000B228E">
      <w:pPr>
        <w:autoSpaceDE w:val="0"/>
        <w:autoSpaceDN w:val="0"/>
        <w:adjustRightInd w:val="0"/>
        <w:spacing w:after="0" w:line="240" w:lineRule="auto"/>
      </w:pPr>
      <w:r>
        <w:t xml:space="preserve">Additionally, the AANMS noted the findings of the May 2024 Senate inquiry report into </w:t>
      </w:r>
      <w:r w:rsidRPr="0075010C">
        <w:rPr>
          <w:i/>
          <w:iCs/>
        </w:rPr>
        <w:t>Equitable access to diagnosis and treatment for individuals with rare and less common cancers, including neuroendocrine cancer</w:t>
      </w:r>
      <w:r>
        <w:t xml:space="preserve"> should be considered in light of the concern with reducing out-of-pocket (OOP) costs associated with </w:t>
      </w:r>
      <w:r w:rsidRPr="00960A22">
        <w:t xml:space="preserve">68Ga-DOTATATE and 18FDG PET/CT scans and ensuring those with rarer non-gastro-entero-pancreatic (GEP) NET SSTR-avid malignancies also receive access to </w:t>
      </w:r>
      <w:r w:rsidRPr="00E15889">
        <w:rPr>
          <w:vertAlign w:val="superscript"/>
        </w:rPr>
        <w:t>177</w:t>
      </w:r>
      <w:r w:rsidRPr="00960A22">
        <w:t xml:space="preserve">Lu-DOTATATE </w:t>
      </w:r>
      <w:proofErr w:type="spellStart"/>
      <w:r w:rsidRPr="00960A22">
        <w:t>theranostics</w:t>
      </w:r>
      <w:proofErr w:type="spellEnd"/>
      <w:r>
        <w:t>.</w:t>
      </w:r>
    </w:p>
    <w:p w14:paraId="03C7A1F1" w14:textId="6E8C9B1B" w:rsidR="00772829" w:rsidRPr="00CE28E3" w:rsidRDefault="000B228E" w:rsidP="002A18BE">
      <w:pPr>
        <w:pStyle w:val="Heading2"/>
        <w:numPr>
          <w:ilvl w:val="0"/>
          <w:numId w:val="0"/>
        </w:numPr>
      </w:pPr>
      <w:bookmarkStart w:id="44" w:name="_Toc161841940"/>
      <w:bookmarkStart w:id="45" w:name="_Toc165275525"/>
      <w:r>
        <w:t>10</w:t>
      </w:r>
      <w:r w:rsidR="00FF1E21">
        <w:t>.</w:t>
      </w:r>
      <w:r w:rsidR="00C36633">
        <w:tab/>
      </w:r>
      <w:r w:rsidR="00772829" w:rsidRPr="00CE28E3">
        <w:t>Characteristics of the evidence base</w:t>
      </w:r>
      <w:bookmarkEnd w:id="44"/>
      <w:bookmarkEnd w:id="45"/>
    </w:p>
    <w:p w14:paraId="01236DBD" w14:textId="6F6D3DC3" w:rsidR="009120FD" w:rsidRDefault="009120FD" w:rsidP="001053EF">
      <w:r w:rsidRPr="009120FD">
        <w:t>As noted in the ratified PICO, the applicant provide</w:t>
      </w:r>
      <w:r w:rsidR="007A5A80">
        <w:t>d</w:t>
      </w:r>
      <w:r w:rsidRPr="009120FD">
        <w:t xml:space="preserve"> </w:t>
      </w:r>
      <w:r w:rsidR="007A5A80">
        <w:t>no</w:t>
      </w:r>
      <w:r w:rsidRPr="009120FD">
        <w:t xml:space="preserve"> studies assessing the safety and/or efficacy of the proposed intervention</w:t>
      </w:r>
      <w:r w:rsidR="007A5A80">
        <w:t xml:space="preserve"> (</w:t>
      </w:r>
      <w:r w:rsidRPr="009120FD">
        <w:rPr>
          <w:vertAlign w:val="superscript"/>
        </w:rPr>
        <w:t>177</w:t>
      </w:r>
      <w:r w:rsidRPr="009120FD">
        <w:t>Lu-DOTA-</w:t>
      </w:r>
      <w:r w:rsidR="007A5A80">
        <w:t>o</w:t>
      </w:r>
      <w:r w:rsidRPr="009120FD">
        <w:t>ctreotate</w:t>
      </w:r>
      <w:r w:rsidR="007A5A80">
        <w:t>)</w:t>
      </w:r>
      <w:r w:rsidR="008455A6" w:rsidRPr="008455A6">
        <w:rPr>
          <w:rFonts w:cs="Arial"/>
        </w:rPr>
        <w:t xml:space="preserve"> </w:t>
      </w:r>
      <w:r w:rsidR="008455A6" w:rsidRPr="008455A6">
        <w:t xml:space="preserve">and no </w:t>
      </w:r>
      <w:r w:rsidR="00D73148">
        <w:t>randomised controlled trials (</w:t>
      </w:r>
      <w:r w:rsidR="008455A6" w:rsidRPr="008455A6">
        <w:t>RCTs</w:t>
      </w:r>
      <w:r w:rsidR="00D73148">
        <w:t>)</w:t>
      </w:r>
      <w:r w:rsidR="008455A6" w:rsidRPr="008455A6">
        <w:t xml:space="preserve"> were identified in the systematic literature review supporting this </w:t>
      </w:r>
      <w:r w:rsidR="008455A6">
        <w:t>assessment</w:t>
      </w:r>
      <w:r w:rsidRPr="009120FD">
        <w:t xml:space="preserve">. </w:t>
      </w:r>
      <w:r w:rsidR="008C6EC5" w:rsidRPr="009120FD">
        <w:t xml:space="preserve">Instead, the applicant claimed that </w:t>
      </w:r>
      <w:r w:rsidR="008C6EC5" w:rsidRPr="009120FD">
        <w:rPr>
          <w:vertAlign w:val="superscript"/>
        </w:rPr>
        <w:t>177</w:t>
      </w:r>
      <w:r w:rsidR="008C6EC5" w:rsidRPr="009120FD">
        <w:t>Lu-</w:t>
      </w:r>
      <w:r w:rsidR="008C6EC5">
        <w:t xml:space="preserve">DOTA-octreotate </w:t>
      </w:r>
      <w:r w:rsidR="008C6EC5" w:rsidRPr="009120FD">
        <w:t xml:space="preserve">appears to be a very close biosimilar to the </w:t>
      </w:r>
      <w:proofErr w:type="spellStart"/>
      <w:r w:rsidR="008C6EC5" w:rsidRPr="009120FD">
        <w:t>Lutathera</w:t>
      </w:r>
      <w:proofErr w:type="spellEnd"/>
      <w:r w:rsidR="008C6EC5" w:rsidRPr="009120FD">
        <w:t xml:space="preserve">® product (referred to as </w:t>
      </w:r>
      <w:r w:rsidR="008C6EC5" w:rsidRPr="009120FD">
        <w:rPr>
          <w:vertAlign w:val="superscript"/>
        </w:rPr>
        <w:t>177</w:t>
      </w:r>
      <w:r w:rsidR="008C6EC5" w:rsidRPr="009120FD">
        <w:t>Lu-DOTATATE).</w:t>
      </w:r>
      <w:r w:rsidR="00AB0275" w:rsidRPr="00AB0275">
        <w:t xml:space="preserve"> </w:t>
      </w:r>
      <w:r w:rsidR="00AB0275">
        <w:t xml:space="preserve">An evidence-based assessment of </w:t>
      </w:r>
      <w:r w:rsidR="009D3F1A">
        <w:t>non-inferiority</w:t>
      </w:r>
      <w:r w:rsidR="00AB0275">
        <w:t xml:space="preserve"> </w:t>
      </w:r>
      <w:r w:rsidR="00F43F35">
        <w:t xml:space="preserve">efficacy and safety </w:t>
      </w:r>
      <w:r w:rsidR="00AB0275">
        <w:t xml:space="preserve">between </w:t>
      </w:r>
      <w:r w:rsidR="00252567" w:rsidRPr="009120FD">
        <w:rPr>
          <w:vertAlign w:val="superscript"/>
        </w:rPr>
        <w:t>177</w:t>
      </w:r>
      <w:r w:rsidR="00252567" w:rsidRPr="009120FD">
        <w:t>Lu-DOTATATE</w:t>
      </w:r>
      <w:r w:rsidR="00252567">
        <w:t xml:space="preserve"> and </w:t>
      </w:r>
      <w:r w:rsidR="00252567" w:rsidRPr="009120FD">
        <w:rPr>
          <w:vertAlign w:val="superscript"/>
        </w:rPr>
        <w:t>177</w:t>
      </w:r>
      <w:r w:rsidR="00252567" w:rsidRPr="009120FD">
        <w:t>Lu-</w:t>
      </w:r>
      <w:r w:rsidR="00252567">
        <w:t>DOTA-octreotate</w:t>
      </w:r>
      <w:r w:rsidR="00AB0275">
        <w:t xml:space="preserve"> </w:t>
      </w:r>
      <w:r w:rsidR="00A56098">
        <w:t>could</w:t>
      </w:r>
      <w:r w:rsidR="00AB0275">
        <w:t xml:space="preserve"> not </w:t>
      </w:r>
      <w:r w:rsidR="00A56098">
        <w:t>be performed</w:t>
      </w:r>
      <w:r w:rsidR="00AB0275">
        <w:t xml:space="preserve"> due to the current lack of available </w:t>
      </w:r>
      <w:r w:rsidR="00963CD7">
        <w:t>data for the applicant’s intervention</w:t>
      </w:r>
      <w:r w:rsidR="00AB0275">
        <w:t xml:space="preserve">. </w:t>
      </w:r>
      <w:r w:rsidR="00677FC2">
        <w:t>However, a</w:t>
      </w:r>
      <w:r w:rsidR="002626CF">
        <w:t xml:space="preserve"> comparison of the </w:t>
      </w:r>
      <w:r w:rsidR="00793834">
        <w:t xml:space="preserve">pharmaceutical form </w:t>
      </w:r>
      <w:r w:rsidR="00D34DA3">
        <w:t xml:space="preserve">of </w:t>
      </w:r>
      <w:r w:rsidR="00252567" w:rsidRPr="00252567">
        <w:t xml:space="preserve">the </w:t>
      </w:r>
      <w:r w:rsidR="00B0725D">
        <w:t>2</w:t>
      </w:r>
      <w:r w:rsidR="00252567" w:rsidRPr="00252567">
        <w:t xml:space="preserve"> products</w:t>
      </w:r>
      <w:r w:rsidR="00913F00">
        <w:t xml:space="preserve">, based on the </w:t>
      </w:r>
      <w:r w:rsidR="003E63B8">
        <w:t xml:space="preserve">Summary of Product </w:t>
      </w:r>
      <w:r w:rsidR="0024574E">
        <w:t>Characteristics</w:t>
      </w:r>
      <w:r w:rsidR="00252567">
        <w:t xml:space="preserve"> for </w:t>
      </w:r>
      <w:r w:rsidR="00252567" w:rsidRPr="009120FD">
        <w:rPr>
          <w:vertAlign w:val="superscript"/>
        </w:rPr>
        <w:t>177</w:t>
      </w:r>
      <w:r w:rsidR="00252567" w:rsidRPr="009120FD">
        <w:t>Lu-DOTATATE</w:t>
      </w:r>
      <w:r w:rsidR="00AE1135">
        <w:rPr>
          <w:rStyle w:val="FootnoteReference"/>
        </w:rPr>
        <w:footnoteReference w:id="8"/>
      </w:r>
      <w:r w:rsidR="00252567">
        <w:t xml:space="preserve"> and </w:t>
      </w:r>
      <w:r w:rsidR="00913F00">
        <w:t>information provided by the applicant</w:t>
      </w:r>
      <w:r w:rsidR="00252567">
        <w:t xml:space="preserve"> on </w:t>
      </w:r>
      <w:r w:rsidR="00252567" w:rsidRPr="009120FD">
        <w:rPr>
          <w:vertAlign w:val="superscript"/>
        </w:rPr>
        <w:t>177</w:t>
      </w:r>
      <w:r w:rsidR="00252567" w:rsidRPr="009120FD">
        <w:t>Lu-</w:t>
      </w:r>
      <w:r w:rsidR="00252567">
        <w:t>DOTA-octreotate</w:t>
      </w:r>
      <w:r w:rsidR="00913F00">
        <w:t>,</w:t>
      </w:r>
      <w:r w:rsidR="00ED7D5D">
        <w:t xml:space="preserve"> </w:t>
      </w:r>
      <w:r w:rsidR="00E465C5">
        <w:t>is p</w:t>
      </w:r>
      <w:r w:rsidR="0045273E">
        <w:t xml:space="preserve">resented in </w:t>
      </w:r>
      <w:r w:rsidR="0045273E">
        <w:fldChar w:fldCharType="begin"/>
      </w:r>
      <w:r w:rsidR="0045273E">
        <w:instrText xml:space="preserve"> REF _Ref164332720 \h  \* MERGEFORMAT </w:instrText>
      </w:r>
      <w:r w:rsidR="0045273E">
        <w:fldChar w:fldCharType="separate"/>
      </w:r>
      <w:r w:rsidR="00674D5E">
        <w:t>Table 5</w:t>
      </w:r>
      <w:r w:rsidR="0045273E">
        <w:fldChar w:fldCharType="end"/>
      </w:r>
      <w:r w:rsidR="0045273E">
        <w:t>.</w:t>
      </w:r>
      <w:r w:rsidR="00997C38">
        <w:t xml:space="preserve"> </w:t>
      </w:r>
      <w:r w:rsidR="009F093C">
        <w:t>In lieu</w:t>
      </w:r>
      <w:r w:rsidR="00481F9F">
        <w:t xml:space="preserve"> of an alternative approach, and d</w:t>
      </w:r>
      <w:r w:rsidR="00A31FA2">
        <w:t>espite the</w:t>
      </w:r>
      <w:r w:rsidR="00234F84">
        <w:t xml:space="preserve"> apparent differences</w:t>
      </w:r>
      <w:r w:rsidR="00481F9F">
        <w:t xml:space="preserve"> between the </w:t>
      </w:r>
      <w:r w:rsidR="005245E9">
        <w:t>2</w:t>
      </w:r>
      <w:r w:rsidR="00481F9F">
        <w:t xml:space="preserve"> products</w:t>
      </w:r>
      <w:r w:rsidR="00234F84">
        <w:t>, especially in</w:t>
      </w:r>
      <w:r w:rsidR="00661572">
        <w:t xml:space="preserve"> the u</w:t>
      </w:r>
      <w:r w:rsidR="000428C1">
        <w:t xml:space="preserve">se of different excipients for </w:t>
      </w:r>
      <w:r w:rsidR="00181792">
        <w:t xml:space="preserve">the </w:t>
      </w:r>
      <w:r w:rsidR="000428C1">
        <w:t xml:space="preserve">prevention of radiolysis, </w:t>
      </w:r>
      <w:r w:rsidR="00874411">
        <w:t>it is assumed th</w:t>
      </w:r>
      <w:r w:rsidR="0037073F">
        <w:t xml:space="preserve">at the efficacy </w:t>
      </w:r>
      <w:r w:rsidR="002E483C">
        <w:t>and</w:t>
      </w:r>
      <w:r w:rsidR="0037073F">
        <w:t xml:space="preserve"> safety of </w:t>
      </w:r>
      <w:r w:rsidR="007663A9" w:rsidRPr="009120FD">
        <w:rPr>
          <w:vertAlign w:val="superscript"/>
        </w:rPr>
        <w:t>177</w:t>
      </w:r>
      <w:r w:rsidR="007663A9" w:rsidRPr="009120FD">
        <w:t>Lu-</w:t>
      </w:r>
      <w:r w:rsidR="007663A9">
        <w:t xml:space="preserve">DOTA-octreotate is </w:t>
      </w:r>
      <w:r w:rsidR="00EF00D1">
        <w:t>equivalent</w:t>
      </w:r>
      <w:r w:rsidR="007663A9">
        <w:t xml:space="preserve"> to </w:t>
      </w:r>
      <w:r w:rsidR="007663A9" w:rsidRPr="009120FD">
        <w:rPr>
          <w:vertAlign w:val="superscript"/>
        </w:rPr>
        <w:t>177</w:t>
      </w:r>
      <w:r w:rsidR="007663A9" w:rsidRPr="009120FD">
        <w:t>Lu-DOTATATE</w:t>
      </w:r>
      <w:r w:rsidR="007663A9">
        <w:t xml:space="preserve">. </w:t>
      </w:r>
      <w:r w:rsidR="00B465FB">
        <w:t>Therefore, th</w:t>
      </w:r>
      <w:r w:rsidR="00B465FB" w:rsidRPr="009120FD">
        <w:t xml:space="preserve">e clinical claim for </w:t>
      </w:r>
      <w:r w:rsidR="00B465FB" w:rsidRPr="009120FD">
        <w:rPr>
          <w:vertAlign w:val="superscript"/>
        </w:rPr>
        <w:t>177</w:t>
      </w:r>
      <w:r w:rsidR="00B465FB" w:rsidRPr="009120FD">
        <w:t>Lu-</w:t>
      </w:r>
      <w:r w:rsidR="00B465FB">
        <w:t xml:space="preserve">DOTA-octreotate presented in this assessment report </w:t>
      </w:r>
      <w:r w:rsidR="00B465FB" w:rsidRPr="009120FD">
        <w:t xml:space="preserve">is based on the relative effectiveness and safety of </w:t>
      </w:r>
      <w:r w:rsidR="00B465FB" w:rsidRPr="009120FD">
        <w:rPr>
          <w:vertAlign w:val="superscript"/>
        </w:rPr>
        <w:t>177</w:t>
      </w:r>
      <w:r w:rsidR="00B465FB" w:rsidRPr="009120FD">
        <w:t>Lu-DOTATATE</w:t>
      </w:r>
      <w:r w:rsidR="00B465FB">
        <w:t>.</w:t>
      </w:r>
      <w:r w:rsidR="00FB4B0F">
        <w:t xml:space="preserve"> </w:t>
      </w:r>
      <w:r w:rsidR="004A1B10">
        <w:t>As such,</w:t>
      </w:r>
      <w:r w:rsidR="00FB4B0F">
        <w:t xml:space="preserve"> this assumption is a key area of uncertainty in the </w:t>
      </w:r>
      <w:r w:rsidR="00B122E6">
        <w:t>assessment report.</w:t>
      </w:r>
    </w:p>
    <w:p w14:paraId="1486F7F0" w14:textId="3BC93E7B" w:rsidR="002900E1" w:rsidRDefault="009104F8" w:rsidP="009104F8">
      <w:pPr>
        <w:pStyle w:val="Caption"/>
      </w:pPr>
      <w:bookmarkStart w:id="46" w:name="_Ref164332720"/>
      <w:r>
        <w:lastRenderedPageBreak/>
        <w:t xml:space="preserve">Table </w:t>
      </w:r>
      <w:r w:rsidR="006D13BC">
        <w:fldChar w:fldCharType="begin"/>
      </w:r>
      <w:r w:rsidR="006D13BC">
        <w:instrText xml:space="preserve"> SEQ Table \* ARABIC </w:instrText>
      </w:r>
      <w:r w:rsidR="006D13BC">
        <w:fldChar w:fldCharType="separate"/>
      </w:r>
      <w:r w:rsidR="006D13BC">
        <w:rPr>
          <w:noProof/>
        </w:rPr>
        <w:t>5</w:t>
      </w:r>
      <w:r w:rsidR="006D13BC">
        <w:rPr>
          <w:noProof/>
        </w:rPr>
        <w:fldChar w:fldCharType="end"/>
      </w:r>
      <w:bookmarkEnd w:id="46"/>
      <w:r>
        <w:t xml:space="preserve">: Comparison of </w:t>
      </w:r>
      <w:r w:rsidR="006A023B">
        <w:t xml:space="preserve">pharmaceutical form of </w:t>
      </w:r>
      <w:r w:rsidR="00257E6B" w:rsidRPr="006272BB">
        <w:rPr>
          <w:vertAlign w:val="superscript"/>
        </w:rPr>
        <w:t>177</w:t>
      </w:r>
      <w:r w:rsidR="00257E6B" w:rsidRPr="00257E6B">
        <w:t>Lu-DOTATATE (</w:t>
      </w:r>
      <w:proofErr w:type="spellStart"/>
      <w:r w:rsidR="00257E6B" w:rsidRPr="00257E6B">
        <w:t>Lutathera</w:t>
      </w:r>
      <w:proofErr w:type="spellEnd"/>
      <w:r w:rsidR="00257E6B" w:rsidRPr="00257E6B">
        <w:t>®)</w:t>
      </w:r>
      <w:r w:rsidR="006272BB">
        <w:t xml:space="preserve"> and </w:t>
      </w:r>
      <w:r w:rsidR="006272BB" w:rsidRPr="006272BB">
        <w:rPr>
          <w:vertAlign w:val="superscript"/>
        </w:rPr>
        <w:t>177</w:t>
      </w:r>
      <w:r w:rsidR="006272BB" w:rsidRPr="006272BB">
        <w:t>Lu-DOTA-octreotate (applicant’s proposed intervention)</w:t>
      </w:r>
    </w:p>
    <w:tbl>
      <w:tblPr>
        <w:tblStyle w:val="TableGrid"/>
        <w:tblW w:w="5000" w:type="pct"/>
        <w:tblLook w:val="04A0" w:firstRow="1" w:lastRow="0" w:firstColumn="1" w:lastColumn="0" w:noHBand="0" w:noVBand="1"/>
      </w:tblPr>
      <w:tblGrid>
        <w:gridCol w:w="3005"/>
        <w:gridCol w:w="3005"/>
        <w:gridCol w:w="3006"/>
      </w:tblGrid>
      <w:tr w:rsidR="002900E1" w14:paraId="7E77BEAE" w14:textId="77777777" w:rsidTr="00EF2D54">
        <w:trPr>
          <w:tblHeader/>
        </w:trPr>
        <w:tc>
          <w:tcPr>
            <w:tcW w:w="1666" w:type="pct"/>
          </w:tcPr>
          <w:p w14:paraId="5DFC69E2" w14:textId="77777777" w:rsidR="002900E1" w:rsidRDefault="002900E1" w:rsidP="001717A7">
            <w:pPr>
              <w:pStyle w:val="TableText"/>
            </w:pPr>
          </w:p>
        </w:tc>
        <w:tc>
          <w:tcPr>
            <w:tcW w:w="1666" w:type="pct"/>
          </w:tcPr>
          <w:p w14:paraId="3776EC4D" w14:textId="7B28D2B3" w:rsidR="002900E1" w:rsidRPr="00F745AE" w:rsidRDefault="001717A7" w:rsidP="001717A7">
            <w:pPr>
              <w:pStyle w:val="TableText"/>
              <w:rPr>
                <w:b/>
              </w:rPr>
            </w:pPr>
            <w:r w:rsidRPr="00F745AE">
              <w:rPr>
                <w:b/>
                <w:vertAlign w:val="superscript"/>
              </w:rPr>
              <w:t>177</w:t>
            </w:r>
            <w:r w:rsidRPr="00F745AE">
              <w:rPr>
                <w:b/>
              </w:rPr>
              <w:t>Lu-DOTATATE (</w:t>
            </w:r>
            <w:proofErr w:type="spellStart"/>
            <w:r w:rsidRPr="00F745AE">
              <w:rPr>
                <w:b/>
              </w:rPr>
              <w:t>Lutathera</w:t>
            </w:r>
            <w:proofErr w:type="spellEnd"/>
            <w:r w:rsidRPr="00F745AE">
              <w:rPr>
                <w:b/>
                <w:bCs/>
              </w:rPr>
              <w:t>®)</w:t>
            </w:r>
            <w:r w:rsidR="00123C5E">
              <w:rPr>
                <w:b/>
                <w:bCs/>
              </w:rPr>
              <w:t xml:space="preserve"> </w:t>
            </w:r>
            <w:r w:rsidR="006C684C">
              <w:rPr>
                <w:b/>
                <w:bCs/>
              </w:rPr>
              <w:fldChar w:fldCharType="begin"/>
            </w:r>
            <w:r w:rsidR="008F43A8">
              <w:rPr>
                <w:b/>
                <w:bCs/>
              </w:rPr>
              <w:instrText xml:space="preserve"> ADDIN EN.CITE &lt;EndNote&gt;&lt;Cite&gt;&lt;Author&gt;European Medicines Agency&lt;/Author&gt;&lt;Year&gt;2024&lt;/Year&gt;&lt;RecNum&gt;1&lt;/RecNum&gt;&lt;DisplayText&gt;(European Medicines Agency 2024)&lt;/DisplayText&gt;&lt;record&gt;&lt;rec-number&gt;1&lt;/rec-number&gt;&lt;foreign-keys&gt;&lt;key app="EN" db-id="serfsw5zfedv0leetdnpxzasfd92vr5ree0d" timestamp="1713528714"&gt;1&lt;/key&gt;&lt;/foreign-keys&gt;&lt;ref-type name="Electronic Article"&gt;43&lt;/ref-type&gt;&lt;contributors&gt;&lt;authors&gt;&lt;author&gt;European Medicines Agency,&lt;/author&gt;&lt;/authors&gt;&lt;/contributors&gt;&lt;titles&gt;&lt;title&gt;Lutathera: EPAR - Product Information&lt;/title&gt;&lt;/titles&gt;&lt;dates&gt;&lt;year&gt;2024&lt;/year&gt;&lt;pub-dates&gt;&lt;date&gt;20/03/2024&lt;/date&gt;&lt;/pub-dates&gt;&lt;/dates&gt;&lt;urls&gt;&lt;related-urls&gt;&lt;url&gt;https://www.ema.europa.eu/en/medicines/human/EPAR/lutathera&lt;/url&gt;&lt;/related-urls&gt;&lt;/urls&gt;&lt;/record&gt;&lt;/Cite&gt;&lt;/EndNote&gt;</w:instrText>
            </w:r>
            <w:r w:rsidR="006C684C">
              <w:rPr>
                <w:b/>
                <w:bCs/>
              </w:rPr>
              <w:fldChar w:fldCharType="separate"/>
            </w:r>
            <w:r w:rsidR="006C684C">
              <w:rPr>
                <w:b/>
                <w:bCs/>
                <w:noProof/>
              </w:rPr>
              <w:t>(European Medicines Agency 2024)</w:t>
            </w:r>
            <w:r w:rsidR="006C684C">
              <w:rPr>
                <w:b/>
                <w:bCs/>
              </w:rPr>
              <w:fldChar w:fldCharType="end"/>
            </w:r>
          </w:p>
        </w:tc>
        <w:tc>
          <w:tcPr>
            <w:tcW w:w="1667" w:type="pct"/>
          </w:tcPr>
          <w:p w14:paraId="685420B5" w14:textId="0D0F1F86" w:rsidR="002900E1" w:rsidRPr="00F745AE" w:rsidRDefault="001717A7" w:rsidP="001717A7">
            <w:pPr>
              <w:pStyle w:val="TableText"/>
              <w:rPr>
                <w:b/>
              </w:rPr>
            </w:pPr>
            <w:r w:rsidRPr="00F745AE">
              <w:rPr>
                <w:b/>
                <w:vertAlign w:val="superscript"/>
              </w:rPr>
              <w:t>177</w:t>
            </w:r>
            <w:r w:rsidRPr="00F745AE">
              <w:rPr>
                <w:b/>
              </w:rPr>
              <w:t>Lu-DOTA-octreotate (applicant’s proposed intervention)</w:t>
            </w:r>
          </w:p>
        </w:tc>
      </w:tr>
      <w:tr w:rsidR="002900E1" w14:paraId="7D0BB555" w14:textId="77777777" w:rsidTr="001053EF">
        <w:tc>
          <w:tcPr>
            <w:tcW w:w="1666" w:type="pct"/>
          </w:tcPr>
          <w:p w14:paraId="52DB0DE0" w14:textId="26A3B351" w:rsidR="002900E1" w:rsidRDefault="00F745AE" w:rsidP="001717A7">
            <w:pPr>
              <w:pStyle w:val="TableText"/>
            </w:pPr>
            <w:r>
              <w:t>Radioactivity c</w:t>
            </w:r>
            <w:r w:rsidR="00AC3C18">
              <w:t>oncentration</w:t>
            </w:r>
          </w:p>
        </w:tc>
        <w:tc>
          <w:tcPr>
            <w:tcW w:w="1666" w:type="pct"/>
          </w:tcPr>
          <w:p w14:paraId="38B01D2C" w14:textId="08FC6AA0" w:rsidR="002900E1" w:rsidRDefault="00F1334A" w:rsidP="001717A7">
            <w:pPr>
              <w:pStyle w:val="TableText"/>
            </w:pPr>
            <w:r>
              <w:t>370</w:t>
            </w:r>
            <w:r w:rsidR="00123C5E">
              <w:t xml:space="preserve"> </w:t>
            </w:r>
            <w:r>
              <w:t>MBq</w:t>
            </w:r>
            <w:r w:rsidR="005A4A2C">
              <w:t>/mL at time of calibration</w:t>
            </w:r>
            <w:r w:rsidR="00C80AA3">
              <w:t xml:space="preserve">; </w:t>
            </w:r>
            <w:r w:rsidR="005C31A3">
              <w:t>7,400 MBq</w:t>
            </w:r>
            <w:r w:rsidR="0048016A">
              <w:t xml:space="preserve"> at time of infusion (</w:t>
            </w:r>
            <w:r w:rsidR="008F37AA">
              <w:t>in 20.5</w:t>
            </w:r>
            <w:r w:rsidR="00123C5E">
              <w:t>–</w:t>
            </w:r>
            <w:r w:rsidR="008F37AA">
              <w:t>25.0mL)</w:t>
            </w:r>
          </w:p>
        </w:tc>
        <w:tc>
          <w:tcPr>
            <w:tcW w:w="1667" w:type="pct"/>
          </w:tcPr>
          <w:p w14:paraId="575BEFCF" w14:textId="166A400C" w:rsidR="002900E1" w:rsidRDefault="00F745AE" w:rsidP="001717A7">
            <w:pPr>
              <w:pStyle w:val="TableText"/>
            </w:pPr>
            <w:r>
              <w:t>≤1</w:t>
            </w:r>
            <w:r w:rsidR="00123C5E">
              <w:t>,</w:t>
            </w:r>
            <w:r>
              <w:t>768 MBq/mL</w:t>
            </w:r>
            <w:r w:rsidR="00EA6786">
              <w:t xml:space="preserve"> at </w:t>
            </w:r>
            <w:r w:rsidR="00E06EF2">
              <w:t>time of</w:t>
            </w:r>
            <w:r w:rsidR="00EA6786">
              <w:t xml:space="preserve"> synthesis</w:t>
            </w:r>
          </w:p>
        </w:tc>
      </w:tr>
      <w:tr w:rsidR="002900E1" w14:paraId="21F486E2" w14:textId="77777777" w:rsidTr="001053EF">
        <w:tc>
          <w:tcPr>
            <w:tcW w:w="1666" w:type="pct"/>
          </w:tcPr>
          <w:p w14:paraId="4538759D" w14:textId="75C44692" w:rsidR="002900E1" w:rsidRDefault="00125A3D" w:rsidP="001717A7">
            <w:pPr>
              <w:pStyle w:val="TableText"/>
            </w:pPr>
            <w:r>
              <w:t>Form</w:t>
            </w:r>
          </w:p>
        </w:tc>
        <w:tc>
          <w:tcPr>
            <w:tcW w:w="1666" w:type="pct"/>
          </w:tcPr>
          <w:p w14:paraId="2204EC11" w14:textId="7A497032" w:rsidR="002900E1" w:rsidRDefault="00DB54A0" w:rsidP="001717A7">
            <w:pPr>
              <w:pStyle w:val="TableText"/>
            </w:pPr>
            <w:r>
              <w:t>Clear, colourless to slightly yellow solution</w:t>
            </w:r>
          </w:p>
        </w:tc>
        <w:tc>
          <w:tcPr>
            <w:tcW w:w="1667" w:type="pct"/>
          </w:tcPr>
          <w:p w14:paraId="31E10E76" w14:textId="66990F7F" w:rsidR="002900E1" w:rsidRDefault="00DB54A0" w:rsidP="001717A7">
            <w:pPr>
              <w:pStyle w:val="TableText"/>
            </w:pPr>
            <w:r>
              <w:t>Clear, colourless</w:t>
            </w:r>
            <w:r w:rsidR="00123C5E">
              <w:t>-</w:t>
            </w:r>
            <w:r>
              <w:t>to</w:t>
            </w:r>
            <w:r w:rsidR="00123C5E">
              <w:t>-</w:t>
            </w:r>
            <w:r>
              <w:t>slightly yellow solution</w:t>
            </w:r>
          </w:p>
        </w:tc>
      </w:tr>
      <w:tr w:rsidR="002900E1" w14:paraId="32392C21" w14:textId="77777777" w:rsidTr="001053EF">
        <w:tc>
          <w:tcPr>
            <w:tcW w:w="1666" w:type="pct"/>
          </w:tcPr>
          <w:p w14:paraId="3CE7408D" w14:textId="4341F2A2" w:rsidR="002900E1" w:rsidRDefault="00125A3D" w:rsidP="001717A7">
            <w:pPr>
              <w:pStyle w:val="TableText"/>
            </w:pPr>
            <w:r>
              <w:t>Excipients</w:t>
            </w:r>
          </w:p>
        </w:tc>
        <w:tc>
          <w:tcPr>
            <w:tcW w:w="1666" w:type="pct"/>
          </w:tcPr>
          <w:p w14:paraId="7E7DEBDA" w14:textId="77777777" w:rsidR="006E081F" w:rsidRDefault="006E081F" w:rsidP="006E081F">
            <w:pPr>
              <w:pStyle w:val="TableText"/>
            </w:pPr>
            <w:r>
              <w:t>Acetic acid</w:t>
            </w:r>
          </w:p>
          <w:p w14:paraId="3FCDF39F" w14:textId="77777777" w:rsidR="006E081F" w:rsidRDefault="006E081F" w:rsidP="006E081F">
            <w:pPr>
              <w:pStyle w:val="TableText"/>
            </w:pPr>
            <w:r>
              <w:t>Sodium acetate</w:t>
            </w:r>
          </w:p>
          <w:p w14:paraId="5B07E41D" w14:textId="77777777" w:rsidR="006E081F" w:rsidRDefault="006E081F" w:rsidP="006E081F">
            <w:pPr>
              <w:pStyle w:val="TableText"/>
            </w:pPr>
            <w:proofErr w:type="spellStart"/>
            <w:r>
              <w:t>Gentisic</w:t>
            </w:r>
            <w:proofErr w:type="spellEnd"/>
            <w:r>
              <w:t xml:space="preserve"> acid</w:t>
            </w:r>
          </w:p>
          <w:p w14:paraId="58C72611" w14:textId="77777777" w:rsidR="006E081F" w:rsidRDefault="006E081F" w:rsidP="006E081F">
            <w:pPr>
              <w:pStyle w:val="TableText"/>
            </w:pPr>
            <w:r>
              <w:t>Ascorbic acid</w:t>
            </w:r>
          </w:p>
          <w:p w14:paraId="6B0C4BD7" w14:textId="77777777" w:rsidR="006E081F" w:rsidRDefault="006E081F" w:rsidP="006E081F">
            <w:pPr>
              <w:pStyle w:val="TableText"/>
            </w:pPr>
            <w:proofErr w:type="spellStart"/>
            <w:r>
              <w:t>Pentetic</w:t>
            </w:r>
            <w:proofErr w:type="spellEnd"/>
            <w:r>
              <w:t xml:space="preserve"> acid</w:t>
            </w:r>
          </w:p>
          <w:p w14:paraId="51C66600" w14:textId="0AC3AAA4" w:rsidR="006E081F" w:rsidRDefault="006E081F" w:rsidP="006E081F">
            <w:pPr>
              <w:pStyle w:val="TableText"/>
            </w:pPr>
            <w:r>
              <w:t xml:space="preserve">Sodium chloride </w:t>
            </w:r>
          </w:p>
          <w:p w14:paraId="4343E13F" w14:textId="77777777" w:rsidR="006E081F" w:rsidRDefault="006E081F" w:rsidP="006E081F">
            <w:pPr>
              <w:pStyle w:val="TableText"/>
            </w:pPr>
            <w:r>
              <w:t>Sodium hydroxide</w:t>
            </w:r>
          </w:p>
          <w:p w14:paraId="0EA440C2" w14:textId="1E250029" w:rsidR="002900E1" w:rsidRDefault="006E081F" w:rsidP="001717A7">
            <w:pPr>
              <w:pStyle w:val="TableText"/>
            </w:pPr>
            <w:r>
              <w:t>Water for injections</w:t>
            </w:r>
          </w:p>
        </w:tc>
        <w:tc>
          <w:tcPr>
            <w:tcW w:w="1667" w:type="pct"/>
          </w:tcPr>
          <w:p w14:paraId="4E92AE43" w14:textId="77777777" w:rsidR="002900E1" w:rsidRDefault="006E081F" w:rsidP="001717A7">
            <w:pPr>
              <w:pStyle w:val="TableText"/>
            </w:pPr>
            <w:r>
              <w:t>Sodium ascorbate</w:t>
            </w:r>
          </w:p>
          <w:p w14:paraId="065AA19E" w14:textId="77777777" w:rsidR="006E081F" w:rsidRDefault="006E081F" w:rsidP="001717A7">
            <w:pPr>
              <w:pStyle w:val="TableText"/>
            </w:pPr>
            <w:r>
              <w:t>Ascorbic acid</w:t>
            </w:r>
          </w:p>
          <w:p w14:paraId="4E551CA8" w14:textId="5340C28A" w:rsidR="002900E1" w:rsidRDefault="00DB54A0" w:rsidP="001717A7">
            <w:pPr>
              <w:pStyle w:val="TableText"/>
            </w:pPr>
            <w:r>
              <w:t>Sodium chloride</w:t>
            </w:r>
            <w:r w:rsidR="009B1B9C">
              <w:t xml:space="preserve"> (</w:t>
            </w:r>
            <w:r w:rsidR="00BD0D98">
              <w:t>saline solution)</w:t>
            </w:r>
          </w:p>
        </w:tc>
      </w:tr>
      <w:tr w:rsidR="002900E1" w14:paraId="0352D88D" w14:textId="77777777" w:rsidTr="001053EF">
        <w:tc>
          <w:tcPr>
            <w:tcW w:w="1666" w:type="pct"/>
          </w:tcPr>
          <w:p w14:paraId="565EB252" w14:textId="7E447608" w:rsidR="002900E1" w:rsidRDefault="00125A3D" w:rsidP="001717A7">
            <w:pPr>
              <w:pStyle w:val="TableText"/>
            </w:pPr>
            <w:r>
              <w:t>Shelf-life</w:t>
            </w:r>
          </w:p>
        </w:tc>
        <w:tc>
          <w:tcPr>
            <w:tcW w:w="1666" w:type="pct"/>
          </w:tcPr>
          <w:p w14:paraId="09EBE6CF" w14:textId="53370FEC" w:rsidR="002900E1" w:rsidRDefault="000E76EA" w:rsidP="001717A7">
            <w:pPr>
              <w:pStyle w:val="TableText"/>
            </w:pPr>
            <w:r>
              <w:t>72 hours from date and time of calibration</w:t>
            </w:r>
          </w:p>
        </w:tc>
        <w:tc>
          <w:tcPr>
            <w:tcW w:w="1667" w:type="pct"/>
          </w:tcPr>
          <w:p w14:paraId="3A023FB5" w14:textId="2BDA9966" w:rsidR="002900E1" w:rsidRDefault="000E76EA" w:rsidP="001717A7">
            <w:pPr>
              <w:pStyle w:val="TableText"/>
            </w:pPr>
            <w:r>
              <w:t>Up to 96 hours post synthesis</w:t>
            </w:r>
          </w:p>
        </w:tc>
      </w:tr>
    </w:tbl>
    <w:p w14:paraId="146800EF" w14:textId="7170EED3" w:rsidR="007B36D2" w:rsidRDefault="00622E1E" w:rsidP="00932151">
      <w:pPr>
        <w:pStyle w:val="Instructionaltext"/>
        <w:spacing w:before="240"/>
        <w:rPr>
          <w:color w:val="auto"/>
        </w:rPr>
      </w:pPr>
      <w:r>
        <w:rPr>
          <w:color w:val="auto"/>
        </w:rPr>
        <w:t>Separate</w:t>
      </w:r>
      <w:r w:rsidR="007B36D2">
        <w:rPr>
          <w:color w:val="auto"/>
        </w:rPr>
        <w:t xml:space="preserve"> systematic literature reviews were conducted to </w:t>
      </w:r>
      <w:r w:rsidR="00D871B1">
        <w:rPr>
          <w:color w:val="auto"/>
        </w:rPr>
        <w:t>investigate</w:t>
      </w:r>
      <w:r w:rsidR="007B36D2">
        <w:rPr>
          <w:color w:val="auto"/>
        </w:rPr>
        <w:t xml:space="preserve"> evidence for the diagnostic tests</w:t>
      </w:r>
      <w:r w:rsidR="00D871B1">
        <w:rPr>
          <w:color w:val="auto"/>
        </w:rPr>
        <w:t xml:space="preserve"> (</w:t>
      </w:r>
      <w:r w:rsidR="007B36D2" w:rsidRPr="00BB7665">
        <w:rPr>
          <w:color w:val="auto"/>
          <w:vertAlign w:val="superscript"/>
        </w:rPr>
        <w:t>68</w:t>
      </w:r>
      <w:r w:rsidR="007B36D2" w:rsidRPr="009B048D">
        <w:rPr>
          <w:color w:val="auto"/>
        </w:rPr>
        <w:t>Ga-DOTA-octreotate PET/CT and FDG PET/</w:t>
      </w:r>
      <w:r w:rsidR="007B36D2">
        <w:rPr>
          <w:color w:val="auto"/>
        </w:rPr>
        <w:t>CT</w:t>
      </w:r>
      <w:r w:rsidR="00D871B1">
        <w:rPr>
          <w:color w:val="auto"/>
        </w:rPr>
        <w:t>)</w:t>
      </w:r>
      <w:r w:rsidR="00BF0B65">
        <w:rPr>
          <w:color w:val="auto"/>
        </w:rPr>
        <w:t xml:space="preserve"> and </w:t>
      </w:r>
      <w:r w:rsidR="00D871B1">
        <w:rPr>
          <w:color w:val="auto"/>
        </w:rPr>
        <w:t>for</w:t>
      </w:r>
      <w:r w:rsidR="00BF0B65">
        <w:rPr>
          <w:color w:val="auto"/>
        </w:rPr>
        <w:t xml:space="preserve"> the therapeutic intervention</w:t>
      </w:r>
      <w:r w:rsidR="007B36D2" w:rsidRPr="00E2100B">
        <w:rPr>
          <w:color w:val="auto"/>
        </w:rPr>
        <w:t xml:space="preserve"> </w:t>
      </w:r>
      <w:r w:rsidR="00BF0B65">
        <w:rPr>
          <w:color w:val="auto"/>
        </w:rPr>
        <w:t>(</w:t>
      </w:r>
      <w:r w:rsidR="007B36D2" w:rsidRPr="009120FD">
        <w:rPr>
          <w:color w:val="auto"/>
          <w:vertAlign w:val="superscript"/>
        </w:rPr>
        <w:t>177</w:t>
      </w:r>
      <w:r w:rsidR="007B36D2" w:rsidRPr="009120FD">
        <w:rPr>
          <w:color w:val="auto"/>
        </w:rPr>
        <w:t>Lu-DOTATATE</w:t>
      </w:r>
      <w:r w:rsidR="00BF0B65">
        <w:rPr>
          <w:color w:val="auto"/>
        </w:rPr>
        <w:t>)</w:t>
      </w:r>
      <w:r w:rsidR="007B36D2">
        <w:rPr>
          <w:color w:val="auto"/>
        </w:rPr>
        <w:t xml:space="preserve">. </w:t>
      </w:r>
    </w:p>
    <w:p w14:paraId="4A104716" w14:textId="586A80A1" w:rsidR="002304A6" w:rsidRDefault="00665F66" w:rsidP="007D4138">
      <w:pPr>
        <w:pStyle w:val="Heading3"/>
      </w:pPr>
      <w:bookmarkStart w:id="47" w:name="_Toc161841941"/>
      <w:bookmarkStart w:id="48" w:name="_Toc165239047"/>
      <w:bookmarkStart w:id="49" w:name="_Toc165271877"/>
      <w:bookmarkStart w:id="50" w:name="_Toc165274303"/>
      <w:bookmarkStart w:id="51" w:name="_Toc165275526"/>
      <w:r>
        <w:t>Investigative technologies</w:t>
      </w:r>
      <w:bookmarkEnd w:id="47"/>
      <w:bookmarkEnd w:id="48"/>
      <w:bookmarkEnd w:id="49"/>
      <w:bookmarkEnd w:id="50"/>
      <w:bookmarkEnd w:id="51"/>
    </w:p>
    <w:p w14:paraId="77660053" w14:textId="18F47486" w:rsidR="008F0AB0" w:rsidRDefault="008F0AB0" w:rsidP="008F0AB0">
      <w:pPr>
        <w:pStyle w:val="Instructionaltext"/>
        <w:rPr>
          <w:color w:val="auto"/>
        </w:rPr>
      </w:pPr>
      <w:r>
        <w:rPr>
          <w:color w:val="auto"/>
        </w:rPr>
        <w:t>A</w:t>
      </w:r>
      <w:r w:rsidR="009B2BA2">
        <w:rPr>
          <w:color w:val="auto"/>
        </w:rPr>
        <w:t>n additional</w:t>
      </w:r>
      <w:r>
        <w:rPr>
          <w:color w:val="auto"/>
        </w:rPr>
        <w:t xml:space="preserve"> systematic literature review investigated </w:t>
      </w:r>
      <w:r w:rsidR="00123C5E">
        <w:rPr>
          <w:color w:val="auto"/>
        </w:rPr>
        <w:t xml:space="preserve">2 </w:t>
      </w:r>
      <w:r>
        <w:rPr>
          <w:color w:val="auto"/>
        </w:rPr>
        <w:t>research questions including:</w:t>
      </w:r>
    </w:p>
    <w:p w14:paraId="45F8FE79" w14:textId="7526F60B" w:rsidR="008F0AB0" w:rsidRDefault="007A6CAE" w:rsidP="00D83E90">
      <w:pPr>
        <w:pStyle w:val="Instructionaltext"/>
        <w:numPr>
          <w:ilvl w:val="0"/>
          <w:numId w:val="24"/>
        </w:numPr>
        <w:rPr>
          <w:color w:val="auto"/>
        </w:rPr>
      </w:pPr>
      <w:r w:rsidRPr="007A6CAE">
        <w:rPr>
          <w:color w:val="auto"/>
        </w:rPr>
        <w:t xml:space="preserve">What is the clinical utility of </w:t>
      </w:r>
      <w:r w:rsidRPr="00D871B1">
        <w:rPr>
          <w:color w:val="auto"/>
          <w:vertAlign w:val="superscript"/>
        </w:rPr>
        <w:t>68</w:t>
      </w:r>
      <w:r w:rsidRPr="007A6CAE">
        <w:rPr>
          <w:color w:val="auto"/>
        </w:rPr>
        <w:t xml:space="preserve">Ga-DOTA-octreotate PET/CT for the selection of patients with progressive, advanced, metastatic or inoperable </w:t>
      </w:r>
      <w:r w:rsidR="006B7A12">
        <w:rPr>
          <w:color w:val="auto"/>
        </w:rPr>
        <w:t>NE</w:t>
      </w:r>
      <w:r w:rsidR="00C4786C">
        <w:rPr>
          <w:color w:val="auto"/>
        </w:rPr>
        <w:t>N</w:t>
      </w:r>
      <w:r w:rsidRPr="007A6CAE">
        <w:rPr>
          <w:color w:val="auto"/>
        </w:rPr>
        <w:t xml:space="preserve">s with suspected H-SSTR expression for </w:t>
      </w:r>
      <w:r w:rsidRPr="00D871B1">
        <w:rPr>
          <w:color w:val="auto"/>
          <w:vertAlign w:val="superscript"/>
        </w:rPr>
        <w:t>177</w:t>
      </w:r>
      <w:r w:rsidRPr="007A6CAE">
        <w:rPr>
          <w:color w:val="auto"/>
        </w:rPr>
        <w:t>Lu-DOTA-octreotate therapy?</w:t>
      </w:r>
    </w:p>
    <w:p w14:paraId="2E0828F0" w14:textId="72B9FB21" w:rsidR="007A6CAE" w:rsidRDefault="007A6CAE" w:rsidP="00D83E90">
      <w:pPr>
        <w:pStyle w:val="Instructionaltext"/>
        <w:numPr>
          <w:ilvl w:val="0"/>
          <w:numId w:val="24"/>
        </w:numPr>
        <w:rPr>
          <w:color w:val="auto"/>
        </w:rPr>
      </w:pPr>
      <w:r w:rsidRPr="007A6CAE">
        <w:rPr>
          <w:color w:val="auto"/>
        </w:rPr>
        <w:t xml:space="preserve">What is the clinical utility of FDG PET-CT in addition to </w:t>
      </w:r>
      <w:r w:rsidRPr="00987438">
        <w:rPr>
          <w:color w:val="auto"/>
          <w:vertAlign w:val="superscript"/>
        </w:rPr>
        <w:t>68</w:t>
      </w:r>
      <w:r w:rsidRPr="007A6CAE">
        <w:rPr>
          <w:color w:val="auto"/>
        </w:rPr>
        <w:t xml:space="preserve">Ga-DOTA-octreotate PET/CT for the selection of patients with progressive, advanced, metastatic or inoperable </w:t>
      </w:r>
      <w:r w:rsidR="00C4786C">
        <w:rPr>
          <w:color w:val="auto"/>
        </w:rPr>
        <w:t>NEN</w:t>
      </w:r>
      <w:r w:rsidRPr="007A6CAE">
        <w:rPr>
          <w:color w:val="auto"/>
        </w:rPr>
        <w:t xml:space="preserve">s with known H-SSTR expression for </w:t>
      </w:r>
      <w:r w:rsidRPr="00987438">
        <w:rPr>
          <w:color w:val="auto"/>
          <w:vertAlign w:val="superscript"/>
        </w:rPr>
        <w:t>177</w:t>
      </w:r>
      <w:r w:rsidRPr="007A6CAE">
        <w:rPr>
          <w:color w:val="auto"/>
        </w:rPr>
        <w:t>Lu-DOTA-octreotate therapy?</w:t>
      </w:r>
    </w:p>
    <w:p w14:paraId="18DE1C41" w14:textId="0E9DF3B8" w:rsidR="006E6597" w:rsidRDefault="006E6597" w:rsidP="006E6597">
      <w:pPr>
        <w:pStyle w:val="Instructionaltext"/>
        <w:rPr>
          <w:color w:val="auto"/>
        </w:rPr>
      </w:pPr>
      <w:r>
        <w:rPr>
          <w:color w:val="auto"/>
        </w:rPr>
        <w:t xml:space="preserve">Four systematic reviews/meta-analyses including </w:t>
      </w:r>
      <w:proofErr w:type="spellStart"/>
      <w:r w:rsidRPr="001121FF">
        <w:rPr>
          <w:color w:val="auto"/>
        </w:rPr>
        <w:t>Bauckneht</w:t>
      </w:r>
      <w:proofErr w:type="spellEnd"/>
      <w:r w:rsidRPr="001121FF">
        <w:rPr>
          <w:color w:val="auto"/>
        </w:rPr>
        <w:t xml:space="preserve"> et. al (2020)</w:t>
      </w:r>
      <w:r>
        <w:rPr>
          <w:color w:val="auto"/>
        </w:rPr>
        <w:t>,</w:t>
      </w:r>
      <w:r w:rsidR="00C00015">
        <w:rPr>
          <w:rStyle w:val="FootnoteReference"/>
          <w:color w:val="auto"/>
        </w:rPr>
        <w:footnoteReference w:id="9"/>
      </w:r>
      <w:r>
        <w:rPr>
          <w:color w:val="auto"/>
        </w:rPr>
        <w:t xml:space="preserve"> </w:t>
      </w:r>
      <w:r w:rsidRPr="001121FF">
        <w:rPr>
          <w:color w:val="auto"/>
        </w:rPr>
        <w:t>Carideo et. al (2019),</w:t>
      </w:r>
      <w:r w:rsidR="00C00015">
        <w:rPr>
          <w:rStyle w:val="FootnoteReference"/>
          <w:color w:val="auto"/>
        </w:rPr>
        <w:footnoteReference w:id="10"/>
      </w:r>
      <w:r w:rsidRPr="001121FF">
        <w:t xml:space="preserve"> </w:t>
      </w:r>
      <w:r w:rsidRPr="001121FF">
        <w:rPr>
          <w:color w:val="auto"/>
        </w:rPr>
        <w:t xml:space="preserve">Treglia et al </w:t>
      </w:r>
      <w:r w:rsidR="004242B1">
        <w:rPr>
          <w:color w:val="auto"/>
        </w:rPr>
        <w:t>(</w:t>
      </w:r>
      <w:r w:rsidRPr="001121FF">
        <w:rPr>
          <w:color w:val="auto"/>
        </w:rPr>
        <w:t>2012</w:t>
      </w:r>
      <w:r w:rsidR="004242B1">
        <w:rPr>
          <w:color w:val="auto"/>
        </w:rPr>
        <w:t>)</w:t>
      </w:r>
      <w:r w:rsidR="004242B1">
        <w:rPr>
          <w:rStyle w:val="FootnoteReference"/>
          <w:color w:val="auto"/>
        </w:rPr>
        <w:footnoteReference w:id="11"/>
      </w:r>
      <w:r>
        <w:rPr>
          <w:color w:val="auto"/>
        </w:rPr>
        <w:t xml:space="preserve"> and </w:t>
      </w:r>
      <w:proofErr w:type="spellStart"/>
      <w:r w:rsidRPr="001121FF">
        <w:rPr>
          <w:color w:val="auto"/>
        </w:rPr>
        <w:t>Alevroudis</w:t>
      </w:r>
      <w:proofErr w:type="spellEnd"/>
      <w:r w:rsidRPr="001121FF">
        <w:rPr>
          <w:color w:val="auto"/>
        </w:rPr>
        <w:t xml:space="preserve"> et al</w:t>
      </w:r>
      <w:r w:rsidR="00023C3F">
        <w:rPr>
          <w:color w:val="auto"/>
        </w:rPr>
        <w:t xml:space="preserve"> (</w:t>
      </w:r>
      <w:r w:rsidRPr="001121FF">
        <w:rPr>
          <w:color w:val="auto"/>
        </w:rPr>
        <w:t>2021</w:t>
      </w:r>
      <w:r w:rsidR="00023C3F">
        <w:rPr>
          <w:color w:val="auto"/>
        </w:rPr>
        <w:t>)</w:t>
      </w:r>
      <w:r w:rsidR="00023C3F">
        <w:rPr>
          <w:rStyle w:val="FootnoteReference"/>
          <w:color w:val="auto"/>
        </w:rPr>
        <w:footnoteReference w:id="12"/>
      </w:r>
      <w:r>
        <w:rPr>
          <w:color w:val="auto"/>
        </w:rPr>
        <w:t xml:space="preserve"> met the inclusion criteria to provide information on the diagnostic performance and clinical usefulness of </w:t>
      </w:r>
      <w:r w:rsidRPr="00B9169C">
        <w:rPr>
          <w:color w:val="auto"/>
          <w:vertAlign w:val="superscript"/>
        </w:rPr>
        <w:t>68</w:t>
      </w:r>
      <w:r w:rsidRPr="00416BE2">
        <w:rPr>
          <w:color w:val="auto"/>
        </w:rPr>
        <w:t>Ga-DOTA-octreotate PET/CT</w:t>
      </w:r>
      <w:r>
        <w:rPr>
          <w:color w:val="auto"/>
        </w:rPr>
        <w:t xml:space="preserve"> and </w:t>
      </w:r>
      <w:r w:rsidRPr="00416BE2">
        <w:rPr>
          <w:color w:val="auto"/>
        </w:rPr>
        <w:t xml:space="preserve">FDG PET/CT </w:t>
      </w:r>
      <w:r>
        <w:rPr>
          <w:color w:val="auto"/>
        </w:rPr>
        <w:t>in addition to</w:t>
      </w:r>
      <w:r w:rsidRPr="00416BE2">
        <w:rPr>
          <w:color w:val="auto"/>
        </w:rPr>
        <w:t xml:space="preserve"> </w:t>
      </w:r>
      <w:r w:rsidRPr="00B9169C">
        <w:rPr>
          <w:color w:val="auto"/>
          <w:vertAlign w:val="superscript"/>
        </w:rPr>
        <w:t>68</w:t>
      </w:r>
      <w:r w:rsidRPr="00416BE2">
        <w:rPr>
          <w:color w:val="auto"/>
        </w:rPr>
        <w:t>Ga-DOTA-octreotate PET/CT</w:t>
      </w:r>
      <w:r>
        <w:rPr>
          <w:color w:val="auto"/>
        </w:rPr>
        <w:t xml:space="preserve"> in selecting patients with </w:t>
      </w:r>
      <w:r>
        <w:rPr>
          <w:color w:val="auto"/>
        </w:rPr>
        <w:lastRenderedPageBreak/>
        <w:t>NE</w:t>
      </w:r>
      <w:r w:rsidR="00EB1C5E">
        <w:rPr>
          <w:color w:val="auto"/>
        </w:rPr>
        <w:t>N</w:t>
      </w:r>
      <w:r>
        <w:rPr>
          <w:color w:val="auto"/>
        </w:rPr>
        <w:t xml:space="preserve">s. Most of these reviews (except </w:t>
      </w:r>
      <w:r w:rsidRPr="00712949">
        <w:rPr>
          <w:color w:val="auto"/>
        </w:rPr>
        <w:t>Carideo et. al (2019)</w:t>
      </w:r>
      <w:r>
        <w:rPr>
          <w:color w:val="auto"/>
        </w:rPr>
        <w:t xml:space="preserve">) were judged to be </w:t>
      </w:r>
      <w:r w:rsidR="00123C5E">
        <w:rPr>
          <w:color w:val="auto"/>
        </w:rPr>
        <w:t>at</w:t>
      </w:r>
      <w:r>
        <w:rPr>
          <w:color w:val="auto"/>
        </w:rPr>
        <w:t xml:space="preserve"> a low risk of bias </w:t>
      </w:r>
      <w:r w:rsidR="00D62092">
        <w:rPr>
          <w:color w:val="auto"/>
        </w:rPr>
        <w:t>(</w:t>
      </w:r>
      <w:proofErr w:type="spellStart"/>
      <w:r w:rsidR="00D62092">
        <w:rPr>
          <w:color w:val="auto"/>
        </w:rPr>
        <w:t>RoB</w:t>
      </w:r>
      <w:proofErr w:type="spellEnd"/>
      <w:r w:rsidR="00D62092">
        <w:rPr>
          <w:color w:val="auto"/>
        </w:rPr>
        <w:t xml:space="preserve">) </w:t>
      </w:r>
      <w:r w:rsidRPr="00712949">
        <w:rPr>
          <w:color w:val="auto"/>
        </w:rPr>
        <w:t>using the ROBIS tool.</w:t>
      </w:r>
      <w:r w:rsidR="00B9169C">
        <w:rPr>
          <w:rStyle w:val="FootnoteReference"/>
          <w:color w:val="auto"/>
        </w:rPr>
        <w:footnoteReference w:id="13"/>
      </w:r>
    </w:p>
    <w:p w14:paraId="5BF966C0" w14:textId="5C9B7FFB" w:rsidR="0053501B" w:rsidRDefault="0053501B" w:rsidP="006E6597">
      <w:pPr>
        <w:pStyle w:val="Instructionaltext"/>
        <w:rPr>
          <w:color w:val="auto"/>
        </w:rPr>
      </w:pPr>
      <w:r>
        <w:rPr>
          <w:color w:val="auto"/>
        </w:rPr>
        <w:t>The clinical utility</w:t>
      </w:r>
      <w:r w:rsidR="009B2BA2">
        <w:rPr>
          <w:color w:val="auto"/>
        </w:rPr>
        <w:t xml:space="preserve"> standard for </w:t>
      </w:r>
      <w:r w:rsidR="00267182">
        <w:rPr>
          <w:color w:val="auto"/>
        </w:rPr>
        <w:t xml:space="preserve">the proposed tests </w:t>
      </w:r>
      <w:r w:rsidR="00123C5E">
        <w:rPr>
          <w:color w:val="auto"/>
        </w:rPr>
        <w:t xml:space="preserve">is </w:t>
      </w:r>
      <w:r w:rsidR="00267182">
        <w:rPr>
          <w:color w:val="auto"/>
        </w:rPr>
        <w:t>discussed in the next section.</w:t>
      </w:r>
    </w:p>
    <w:p w14:paraId="288FAF1A" w14:textId="74A0343E" w:rsidR="00665F66" w:rsidRDefault="00665F66" w:rsidP="007D4138">
      <w:pPr>
        <w:pStyle w:val="Heading3"/>
      </w:pPr>
      <w:bookmarkStart w:id="52" w:name="_Toc161841942"/>
      <w:bookmarkStart w:id="53" w:name="_Toc165239048"/>
      <w:bookmarkStart w:id="54" w:name="_Toc165271878"/>
      <w:bookmarkStart w:id="55" w:name="_Toc165274304"/>
      <w:bookmarkStart w:id="56" w:name="_Toc165275527"/>
      <w:r>
        <w:t>Therapeutic intervention</w:t>
      </w:r>
      <w:bookmarkEnd w:id="52"/>
      <w:bookmarkEnd w:id="53"/>
      <w:bookmarkEnd w:id="54"/>
      <w:bookmarkEnd w:id="55"/>
      <w:bookmarkEnd w:id="56"/>
    </w:p>
    <w:p w14:paraId="399566FD" w14:textId="1150F67B" w:rsidR="00665F66" w:rsidRDefault="00665F66" w:rsidP="00665F66">
      <w:pPr>
        <w:pStyle w:val="Instructionaltext"/>
        <w:rPr>
          <w:color w:val="auto"/>
        </w:rPr>
      </w:pPr>
      <w:r>
        <w:rPr>
          <w:color w:val="auto"/>
        </w:rPr>
        <w:t xml:space="preserve">A </w:t>
      </w:r>
      <w:r w:rsidR="007B36D2">
        <w:rPr>
          <w:color w:val="auto"/>
        </w:rPr>
        <w:t>second systematic literature review</w:t>
      </w:r>
      <w:r>
        <w:rPr>
          <w:color w:val="auto"/>
        </w:rPr>
        <w:t xml:space="preserve"> investigated the research question:</w:t>
      </w:r>
    </w:p>
    <w:p w14:paraId="7C789913" w14:textId="5489AB7B" w:rsidR="00665F66" w:rsidRDefault="002F5F9F" w:rsidP="00D83E90">
      <w:pPr>
        <w:pStyle w:val="Instructionaltext"/>
        <w:numPr>
          <w:ilvl w:val="0"/>
          <w:numId w:val="25"/>
        </w:numPr>
        <w:rPr>
          <w:color w:val="auto"/>
        </w:rPr>
      </w:pPr>
      <w:r w:rsidRPr="002F5F9F">
        <w:rPr>
          <w:color w:val="auto"/>
        </w:rPr>
        <w:t xml:space="preserve">What is the safety, effectiveness and cost effectiveness of </w:t>
      </w:r>
      <w:r w:rsidRPr="00C4246F">
        <w:rPr>
          <w:color w:val="auto"/>
          <w:vertAlign w:val="superscript"/>
        </w:rPr>
        <w:t>177</w:t>
      </w:r>
      <w:r w:rsidRPr="002F5F9F">
        <w:rPr>
          <w:color w:val="auto"/>
        </w:rPr>
        <w:t xml:space="preserve">Lu-DOTA-octreotate versus alternative active and supportive care in patients with advanced </w:t>
      </w:r>
      <w:r w:rsidR="00EB1C5E">
        <w:rPr>
          <w:color w:val="auto"/>
        </w:rPr>
        <w:t>NEN</w:t>
      </w:r>
      <w:r w:rsidRPr="002F5F9F">
        <w:rPr>
          <w:color w:val="auto"/>
        </w:rPr>
        <w:t>s?</w:t>
      </w:r>
    </w:p>
    <w:p w14:paraId="55FE0645" w14:textId="3898ECF6" w:rsidR="00236FDA" w:rsidRPr="00921E74" w:rsidRDefault="00921E74" w:rsidP="00236FDA">
      <w:pPr>
        <w:pStyle w:val="Instructionaltext"/>
        <w:rPr>
          <w:color w:val="auto"/>
        </w:rPr>
      </w:pPr>
      <w:r w:rsidRPr="00921E74">
        <w:rPr>
          <w:color w:val="auto"/>
        </w:rPr>
        <w:t>A total of 16</w:t>
      </w:r>
      <w:r w:rsidR="00DD17A7">
        <w:rPr>
          <w:color w:val="auto"/>
        </w:rPr>
        <w:t xml:space="preserve"> clinical</w:t>
      </w:r>
      <w:r w:rsidRPr="00921E74">
        <w:rPr>
          <w:color w:val="auto"/>
        </w:rPr>
        <w:t xml:space="preserve"> </w:t>
      </w:r>
      <w:r w:rsidR="000020B3">
        <w:rPr>
          <w:color w:val="auto"/>
        </w:rPr>
        <w:t>randomised controlled trials</w:t>
      </w:r>
      <w:r w:rsidRPr="00921E74">
        <w:rPr>
          <w:color w:val="auto"/>
        </w:rPr>
        <w:t xml:space="preserve"> </w:t>
      </w:r>
      <w:r w:rsidR="00DD17A7">
        <w:rPr>
          <w:color w:val="auto"/>
        </w:rPr>
        <w:t xml:space="preserve">(RCTs) </w:t>
      </w:r>
      <w:r w:rsidRPr="00921E74">
        <w:rPr>
          <w:color w:val="auto"/>
        </w:rPr>
        <w:t xml:space="preserve">met the inclusion criteria for assessing the safety and effectiveness of </w:t>
      </w:r>
      <w:r w:rsidRPr="009464B6">
        <w:rPr>
          <w:color w:val="auto"/>
          <w:vertAlign w:val="superscript"/>
        </w:rPr>
        <w:t>177</w:t>
      </w:r>
      <w:r w:rsidRPr="00921E74">
        <w:rPr>
          <w:color w:val="auto"/>
        </w:rPr>
        <w:t>Lu</w:t>
      </w:r>
      <w:r w:rsidR="008D5197">
        <w:rPr>
          <w:color w:val="auto"/>
        </w:rPr>
        <w:t>-DOTATATE</w:t>
      </w:r>
      <w:r w:rsidR="003A761A">
        <w:rPr>
          <w:color w:val="auto"/>
        </w:rPr>
        <w:t xml:space="preserve"> (via network meta-analysis [NMA])</w:t>
      </w:r>
      <w:r w:rsidR="0028504C">
        <w:rPr>
          <w:color w:val="auto"/>
        </w:rPr>
        <w:t xml:space="preserve">. </w:t>
      </w:r>
      <w:r w:rsidR="00236FDA" w:rsidRPr="000020B3">
        <w:rPr>
          <w:color w:val="auto"/>
        </w:rPr>
        <w:t xml:space="preserve">Following data extraction, </w:t>
      </w:r>
      <w:r w:rsidR="007361FA">
        <w:rPr>
          <w:color w:val="auto"/>
        </w:rPr>
        <w:t>2</w:t>
      </w:r>
      <w:r w:rsidR="00236FDA" w:rsidRPr="000020B3">
        <w:rPr>
          <w:color w:val="auto"/>
        </w:rPr>
        <w:t xml:space="preserve"> studies</w:t>
      </w:r>
      <w:r w:rsidR="001414A9">
        <w:rPr>
          <w:color w:val="auto"/>
        </w:rPr>
        <w:t>—</w:t>
      </w:r>
      <w:r w:rsidR="00CD4909">
        <w:rPr>
          <w:color w:val="auto"/>
        </w:rPr>
        <w:t>v</w:t>
      </w:r>
      <w:r w:rsidR="00236FDA" w:rsidRPr="000020B3">
        <w:rPr>
          <w:color w:val="auto"/>
        </w:rPr>
        <w:t xml:space="preserve">an </w:t>
      </w:r>
      <w:r w:rsidR="00CD4909">
        <w:rPr>
          <w:color w:val="auto"/>
        </w:rPr>
        <w:t>d</w:t>
      </w:r>
      <w:r w:rsidR="00236FDA" w:rsidRPr="000020B3">
        <w:rPr>
          <w:color w:val="auto"/>
        </w:rPr>
        <w:t xml:space="preserve">er </w:t>
      </w:r>
      <w:proofErr w:type="spellStart"/>
      <w:r w:rsidR="00236FDA" w:rsidRPr="000020B3">
        <w:rPr>
          <w:color w:val="auto"/>
        </w:rPr>
        <w:t>Zwan</w:t>
      </w:r>
      <w:proofErr w:type="spellEnd"/>
      <w:r w:rsidR="00236FDA" w:rsidRPr="000020B3">
        <w:rPr>
          <w:color w:val="auto"/>
        </w:rPr>
        <w:t xml:space="preserve"> </w:t>
      </w:r>
      <w:r w:rsidR="00C4246F">
        <w:rPr>
          <w:color w:val="auto"/>
        </w:rPr>
        <w:t>(</w:t>
      </w:r>
      <w:r w:rsidR="00236FDA" w:rsidRPr="000020B3">
        <w:rPr>
          <w:color w:val="auto"/>
        </w:rPr>
        <w:t>2018</w:t>
      </w:r>
      <w:r w:rsidR="00C4246F">
        <w:rPr>
          <w:color w:val="auto"/>
        </w:rPr>
        <w:t>)</w:t>
      </w:r>
      <w:r w:rsidR="00C4246F">
        <w:rPr>
          <w:rStyle w:val="FootnoteReference"/>
          <w:color w:val="auto"/>
        </w:rPr>
        <w:footnoteReference w:id="14"/>
      </w:r>
      <w:r w:rsidR="00236FDA" w:rsidRPr="000020B3">
        <w:rPr>
          <w:color w:val="auto"/>
        </w:rPr>
        <w:t xml:space="preserve"> and Sood</w:t>
      </w:r>
      <w:r w:rsidR="001F7E92">
        <w:rPr>
          <w:color w:val="auto"/>
        </w:rPr>
        <w:t xml:space="preserve"> et al</w:t>
      </w:r>
      <w:r w:rsidR="00236FDA" w:rsidRPr="000020B3">
        <w:rPr>
          <w:color w:val="auto"/>
        </w:rPr>
        <w:t xml:space="preserve"> </w:t>
      </w:r>
      <w:r w:rsidR="001F7E92">
        <w:rPr>
          <w:color w:val="auto"/>
        </w:rPr>
        <w:t>(</w:t>
      </w:r>
      <w:r w:rsidR="00236FDA" w:rsidRPr="000020B3">
        <w:rPr>
          <w:color w:val="auto"/>
        </w:rPr>
        <w:t>2023</w:t>
      </w:r>
      <w:r w:rsidR="001F7E92">
        <w:rPr>
          <w:color w:val="auto"/>
        </w:rPr>
        <w:t>)</w:t>
      </w:r>
      <w:r w:rsidR="001F7E92">
        <w:rPr>
          <w:rStyle w:val="FootnoteReference"/>
          <w:color w:val="auto"/>
        </w:rPr>
        <w:footnoteReference w:id="15"/>
      </w:r>
      <w:r w:rsidR="00BC1057">
        <w:rPr>
          <w:color w:val="auto"/>
        </w:rPr>
        <w:t>—</w:t>
      </w:r>
      <w:r w:rsidR="00236FDA" w:rsidRPr="000020B3">
        <w:rPr>
          <w:color w:val="auto"/>
        </w:rPr>
        <w:t xml:space="preserve">were excluded due to </w:t>
      </w:r>
      <w:r w:rsidR="00E12A70" w:rsidRPr="000020B3">
        <w:rPr>
          <w:color w:val="auto"/>
        </w:rPr>
        <w:t>una</w:t>
      </w:r>
      <w:r w:rsidR="00E12A70">
        <w:rPr>
          <w:color w:val="auto"/>
        </w:rPr>
        <w:t>vailability</w:t>
      </w:r>
      <w:r w:rsidR="00236FDA" w:rsidRPr="000020B3">
        <w:rPr>
          <w:color w:val="auto"/>
        </w:rPr>
        <w:t xml:space="preserve"> of the full-text article (abstract only </w:t>
      </w:r>
      <w:r w:rsidR="00E12A70">
        <w:rPr>
          <w:color w:val="auto"/>
        </w:rPr>
        <w:t>publications</w:t>
      </w:r>
      <w:r w:rsidR="00236FDA" w:rsidRPr="000020B3">
        <w:rPr>
          <w:color w:val="auto"/>
        </w:rPr>
        <w:t>)</w:t>
      </w:r>
      <w:r w:rsidR="00236FDA">
        <w:rPr>
          <w:color w:val="auto"/>
        </w:rPr>
        <w:t xml:space="preserve">, </w:t>
      </w:r>
      <w:r w:rsidR="00487BEC" w:rsidRPr="000020B3">
        <w:rPr>
          <w:color w:val="auto"/>
        </w:rPr>
        <w:t>as well as clinical trial records detailing study design characteristics, inclusion/exclusion criteria, and participant baseline characteristics.</w:t>
      </w:r>
      <w:r w:rsidR="00487BEC">
        <w:rPr>
          <w:color w:val="auto"/>
        </w:rPr>
        <w:t xml:space="preserve"> </w:t>
      </w:r>
      <w:r w:rsidR="00236FDA">
        <w:rPr>
          <w:color w:val="auto"/>
        </w:rPr>
        <w:t xml:space="preserve"> In total, 14 studies formed the evidence base </w:t>
      </w:r>
      <w:r w:rsidR="00286D93">
        <w:rPr>
          <w:color w:val="auto"/>
        </w:rPr>
        <w:t>for</w:t>
      </w:r>
      <w:r w:rsidR="00236FDA">
        <w:rPr>
          <w:color w:val="auto"/>
        </w:rPr>
        <w:t xml:space="preserve"> this submission.</w:t>
      </w:r>
    </w:p>
    <w:p w14:paraId="5999F63C" w14:textId="1343D96D" w:rsidR="00A33C4D" w:rsidRDefault="00A33C4D" w:rsidP="004066B9">
      <w:r>
        <w:t xml:space="preserve">Of the 14 studies identified in the </w:t>
      </w:r>
      <w:r w:rsidRPr="00314E85">
        <w:t>systematic literature review</w:t>
      </w:r>
      <w:r>
        <w:t xml:space="preserve">, only 2 provided direct estimates of treatment efficacy for </w:t>
      </w:r>
      <w:r w:rsidRPr="00C905BB">
        <w:rPr>
          <w:vertAlign w:val="superscript"/>
        </w:rPr>
        <w:t>177</w:t>
      </w:r>
      <w:r w:rsidRPr="00961C59">
        <w:t>Lu</w:t>
      </w:r>
      <w:r>
        <w:t xml:space="preserve">-DOTATATE versus a relevant comparator. </w:t>
      </w:r>
      <w:r w:rsidRPr="00062A3D">
        <w:t>These</w:t>
      </w:r>
      <w:r>
        <w:t xml:space="preserve"> were </w:t>
      </w:r>
      <w:r w:rsidRPr="00372FF5">
        <w:t>NETTER -1</w:t>
      </w:r>
      <w:r w:rsidRPr="00062A3D">
        <w:t xml:space="preserve"> </w:t>
      </w:r>
      <w:r>
        <w:t xml:space="preserve">and </w:t>
      </w:r>
      <w:r w:rsidRPr="00AC2EEA">
        <w:t>OCLURANDOM</w:t>
      </w:r>
      <w:r>
        <w:t xml:space="preserve">, comparing </w:t>
      </w:r>
      <w:r w:rsidRPr="00C905BB">
        <w:rPr>
          <w:vertAlign w:val="superscript"/>
        </w:rPr>
        <w:t>177</w:t>
      </w:r>
      <w:r w:rsidRPr="00961C59">
        <w:t>Lu</w:t>
      </w:r>
      <w:r>
        <w:t xml:space="preserve">-DOTATATE </w:t>
      </w:r>
      <w:r w:rsidRPr="00062A3D">
        <w:t>to octreotide and sunitinib, respectively</w:t>
      </w:r>
      <w:r w:rsidR="002F46B9">
        <w:t>.</w:t>
      </w:r>
      <w:r w:rsidR="00B348CA">
        <w:t xml:space="preserve"> </w:t>
      </w:r>
      <w:r w:rsidR="00ED7EBB">
        <w:t>In the NETTER-1</w:t>
      </w:r>
      <w:r w:rsidR="005F54BF">
        <w:t xml:space="preserve"> </w:t>
      </w:r>
      <w:r w:rsidR="00A54D6F">
        <w:t>trial</w:t>
      </w:r>
      <w:r w:rsidR="00ED7EBB">
        <w:t xml:space="preserve">, </w:t>
      </w:r>
      <w:r w:rsidR="002F2A0F">
        <w:t>H-SSTR</w:t>
      </w:r>
      <w:r w:rsidR="00A54D6F">
        <w:t xml:space="preserve"> </w:t>
      </w:r>
      <w:r w:rsidR="00572AE9">
        <w:t xml:space="preserve">and </w:t>
      </w:r>
      <w:r w:rsidR="008217CB">
        <w:t>PRRT therapy</w:t>
      </w:r>
      <w:r w:rsidR="00572AE9">
        <w:t xml:space="preserve"> </w:t>
      </w:r>
      <w:r w:rsidR="00ED7EBB">
        <w:t xml:space="preserve">eligibility </w:t>
      </w:r>
      <w:r w:rsidR="00A54D6F">
        <w:t xml:space="preserve">was based </w:t>
      </w:r>
      <w:r w:rsidR="00315433">
        <w:t>on</w:t>
      </w:r>
      <w:r w:rsidR="00D829CA" w:rsidRPr="00D829CA">
        <w:t xml:space="preserve"> </w:t>
      </w:r>
      <w:proofErr w:type="spellStart"/>
      <w:r w:rsidR="00D829CA">
        <w:t>Octreoscan</w:t>
      </w:r>
      <w:proofErr w:type="spellEnd"/>
      <w:r w:rsidR="0035138C" w:rsidRPr="00942339">
        <w:t>®</w:t>
      </w:r>
      <w:r w:rsidR="00D829CA">
        <w:t xml:space="preserve"> SPECT/CT (</w:t>
      </w:r>
      <w:r w:rsidR="00CB0504">
        <w:t xml:space="preserve">uptake </w:t>
      </w:r>
      <w:r w:rsidR="00CB0504" w:rsidRPr="00CB0504">
        <w:t>≥normal liver uptake</w:t>
      </w:r>
      <w:r w:rsidR="00123C5E">
        <w:t>,</w:t>
      </w:r>
      <w:r w:rsidR="00E0775D">
        <w:t xml:space="preserve"> which is </w:t>
      </w:r>
      <w:r w:rsidR="00A26E8E">
        <w:t>equivalent</w:t>
      </w:r>
      <w:r w:rsidR="00E0775D">
        <w:t xml:space="preserve"> to a </w:t>
      </w:r>
      <w:r w:rsidR="000B77A1">
        <w:t xml:space="preserve">Krenning score </w:t>
      </w:r>
      <w:r w:rsidR="000B77A1" w:rsidRPr="00CB0504">
        <w:t>≥</w:t>
      </w:r>
      <w:r w:rsidR="000B77A1">
        <w:t>2</w:t>
      </w:r>
      <w:r w:rsidR="00CB0504">
        <w:t>)</w:t>
      </w:r>
      <w:r w:rsidR="00ED7EBB">
        <w:t xml:space="preserve">. Conversely, in </w:t>
      </w:r>
      <w:r w:rsidR="00ED7EBB" w:rsidRPr="00AC2EEA">
        <w:t>OCLURANDOM</w:t>
      </w:r>
      <w:r w:rsidR="00ED7EBB">
        <w:t>,</w:t>
      </w:r>
      <w:r w:rsidR="00315433">
        <w:t xml:space="preserve"> </w:t>
      </w:r>
      <w:r w:rsidR="00E65251">
        <w:t xml:space="preserve">eligibility was determined by </w:t>
      </w:r>
      <w:r w:rsidR="003A2107" w:rsidRPr="00922B1C">
        <w:t>somatostatin receptor scintigraphy</w:t>
      </w:r>
      <w:r w:rsidR="003A2107">
        <w:t xml:space="preserve"> (SRS</w:t>
      </w:r>
      <w:r w:rsidR="007907D0">
        <w:t>)</w:t>
      </w:r>
      <w:r w:rsidR="00D829CA">
        <w:t xml:space="preserve"> </w:t>
      </w:r>
      <w:r w:rsidR="00D829CA" w:rsidRPr="003F4580">
        <w:rPr>
          <w:szCs w:val="20"/>
        </w:rPr>
        <w:t>(grade of uptake at SRS</w:t>
      </w:r>
      <w:r w:rsidR="00D829CA">
        <w:t> </w:t>
      </w:r>
      <w:r w:rsidR="00D829CA" w:rsidRPr="003F4580">
        <w:rPr>
          <w:szCs w:val="20"/>
        </w:rPr>
        <w:t>≥2, equal to the physiologic liver uptake)</w:t>
      </w:r>
      <w:r w:rsidR="007907D0">
        <w:t xml:space="preserve"> </w:t>
      </w:r>
      <w:r w:rsidR="00FF21FD">
        <w:t>(i.e</w:t>
      </w:r>
      <w:r w:rsidR="00E65251">
        <w:t>.</w:t>
      </w:r>
      <w:r w:rsidR="005755D7">
        <w:t xml:space="preserve"> </w:t>
      </w:r>
      <w:r w:rsidR="00BB369A">
        <w:t xml:space="preserve">the </w:t>
      </w:r>
      <w:r w:rsidR="007C41C5">
        <w:t xml:space="preserve">clinical utility standard for </w:t>
      </w:r>
      <w:r w:rsidR="00216549" w:rsidRPr="00216549">
        <w:t>SSTR-PET/CT</w:t>
      </w:r>
      <w:r w:rsidR="00FD4A8A">
        <w:t xml:space="preserve">). </w:t>
      </w:r>
      <w:r w:rsidR="00B31EFE">
        <w:t xml:space="preserve">The proposed tests of </w:t>
      </w:r>
      <w:r w:rsidR="00B31EFE" w:rsidRPr="00E92651">
        <w:rPr>
          <w:vertAlign w:val="superscript"/>
        </w:rPr>
        <w:t>68</w:t>
      </w:r>
      <w:r w:rsidR="00B31EFE" w:rsidRPr="00B31EFE">
        <w:t xml:space="preserve">Ga-DOTA-octreotate PET/CT </w:t>
      </w:r>
      <w:r w:rsidR="00B31EFE">
        <w:t xml:space="preserve">or </w:t>
      </w:r>
      <w:r w:rsidR="00FD4A8A">
        <w:t>FDG PET/CT w</w:t>
      </w:r>
      <w:r w:rsidR="00B31EFE">
        <w:t>ere</w:t>
      </w:r>
      <w:r w:rsidR="00FD4A8A">
        <w:t xml:space="preserve"> not used to select patients for PRRT therapy in these trials.</w:t>
      </w:r>
      <w:r w:rsidR="00216549" w:rsidRPr="00216549">
        <w:t xml:space="preserve"> </w:t>
      </w:r>
    </w:p>
    <w:p w14:paraId="45E230A3" w14:textId="6B99ED0A" w:rsidR="00921E74" w:rsidRPr="00921E74" w:rsidRDefault="0028504C" w:rsidP="004066B9">
      <w:r w:rsidRPr="004066B9">
        <w:t>Seven studies</w:t>
      </w:r>
      <w:r w:rsidR="00F42562" w:rsidRPr="004066B9">
        <w:t xml:space="preserve"> </w:t>
      </w:r>
      <w:r w:rsidRPr="004066B9">
        <w:t xml:space="preserve">were judged to be </w:t>
      </w:r>
      <w:r w:rsidR="00194A36" w:rsidRPr="004066B9">
        <w:t>at</w:t>
      </w:r>
      <w:r w:rsidRPr="004066B9">
        <w:t xml:space="preserve"> low </w:t>
      </w:r>
      <w:proofErr w:type="spellStart"/>
      <w:r w:rsidR="009E34E9" w:rsidRPr="004066B9">
        <w:t>RoB</w:t>
      </w:r>
      <w:proofErr w:type="spellEnd"/>
      <w:r w:rsidR="009E34E9" w:rsidRPr="004066B9">
        <w:t xml:space="preserve"> </w:t>
      </w:r>
      <w:r w:rsidRPr="004066B9">
        <w:t>using the Cochrane RoB-2 tool</w:t>
      </w:r>
      <w:r w:rsidR="004066B9" w:rsidRPr="004066B9">
        <w:t xml:space="preserve"> (</w:t>
      </w:r>
      <w:r w:rsidR="004066B9" w:rsidRPr="004066B9">
        <w:fldChar w:fldCharType="begin"/>
      </w:r>
      <w:r w:rsidR="004066B9" w:rsidRPr="004066B9">
        <w:instrText xml:space="preserve"> REF _Ref69725651 \h  \* MERGEFORMAT </w:instrText>
      </w:r>
      <w:r w:rsidR="004066B9" w:rsidRPr="004066B9">
        <w:fldChar w:fldCharType="separate"/>
      </w:r>
      <w:r w:rsidR="00674D5E" w:rsidRPr="0095653C">
        <w:t>Table </w:t>
      </w:r>
      <w:r w:rsidR="00674D5E">
        <w:t>6</w:t>
      </w:r>
      <w:r w:rsidR="004066B9" w:rsidRPr="004066B9">
        <w:fldChar w:fldCharType="end"/>
      </w:r>
      <w:r w:rsidR="004066B9" w:rsidRPr="004066B9">
        <w:t>)</w:t>
      </w:r>
      <w:r w:rsidRPr="004066B9">
        <w:t>.</w:t>
      </w:r>
      <w:r w:rsidR="00F42562" w:rsidRPr="001053EF">
        <w:rPr>
          <w:vertAlign w:val="superscript"/>
        </w:rPr>
        <w:footnoteReference w:id="16"/>
      </w:r>
      <w:r w:rsidRPr="004066B9">
        <w:t xml:space="preserve"> These studies were well reported, with high levels of confidence </w:t>
      </w:r>
      <w:r w:rsidR="00C93FC2" w:rsidRPr="004066B9">
        <w:t xml:space="preserve">for </w:t>
      </w:r>
      <w:r w:rsidRPr="004066B9">
        <w:t xml:space="preserve">all </w:t>
      </w:r>
      <w:proofErr w:type="spellStart"/>
      <w:r w:rsidRPr="004066B9">
        <w:t>RoB</w:t>
      </w:r>
      <w:proofErr w:type="spellEnd"/>
      <w:r w:rsidRPr="004066B9">
        <w:t xml:space="preserve"> domains. </w:t>
      </w:r>
      <w:r w:rsidR="00C93FC2" w:rsidRPr="004066B9">
        <w:t xml:space="preserve">The studies </w:t>
      </w:r>
      <w:r w:rsidRPr="004066B9">
        <w:t>NCT00428597 and NET-01</w:t>
      </w:r>
      <w:r w:rsidR="00F42562" w:rsidRPr="004066B9">
        <w:t xml:space="preserve"> </w:t>
      </w:r>
      <w:r w:rsidRPr="004066B9">
        <w:t xml:space="preserve">were judged to be of unclear </w:t>
      </w:r>
      <w:proofErr w:type="spellStart"/>
      <w:r w:rsidR="00C93FC2" w:rsidRPr="004066B9">
        <w:t>RoB</w:t>
      </w:r>
      <w:proofErr w:type="spellEnd"/>
      <w:r w:rsidRPr="004066B9">
        <w:t xml:space="preserve"> due to uncertainties concerning the generation of allocation sequences and masking of the outcome assessor. The methods and interim analysis results for the ECOG-ACRIN EA2142 study were published in an</w:t>
      </w:r>
      <w:r w:rsidRPr="0028504C">
        <w:t xml:space="preserve"> abstract, and ECOG-ACRIN E2211, NETTER-1</w:t>
      </w:r>
      <w:r w:rsidR="00F42562">
        <w:t xml:space="preserve">, </w:t>
      </w:r>
      <w:r w:rsidRPr="0028504C">
        <w:t xml:space="preserve">OCLURANDOM </w:t>
      </w:r>
      <w:r w:rsidR="00236FDA">
        <w:t xml:space="preserve">and </w:t>
      </w:r>
      <w:r w:rsidRPr="0028504C">
        <w:t xml:space="preserve">TOPIC-NEC were open-label studies where both investigators and patients were </w:t>
      </w:r>
      <w:r w:rsidR="00C93FC2">
        <w:t>un</w:t>
      </w:r>
      <w:r w:rsidRPr="0028504C">
        <w:t xml:space="preserve">masked to the treatment assignment and outcome assessors remained unblinded. The methodological quality of these studies </w:t>
      </w:r>
      <w:r w:rsidR="000020B3" w:rsidRPr="0028504C">
        <w:t>was</w:t>
      </w:r>
      <w:r w:rsidRPr="0028504C">
        <w:t xml:space="preserve"> th</w:t>
      </w:r>
      <w:r w:rsidR="004E4CB3">
        <w:t>us</w:t>
      </w:r>
      <w:r w:rsidRPr="0028504C">
        <w:t xml:space="preserve"> judged to be </w:t>
      </w:r>
      <w:r w:rsidR="004E4CB3">
        <w:t>at</w:t>
      </w:r>
      <w:r w:rsidRPr="0028504C">
        <w:t xml:space="preserve"> high </w:t>
      </w:r>
      <w:proofErr w:type="spellStart"/>
      <w:r w:rsidR="004E4CB3">
        <w:t>RoB</w:t>
      </w:r>
      <w:proofErr w:type="spellEnd"/>
      <w:r w:rsidR="006B1C86">
        <w:t xml:space="preserve"> (</w:t>
      </w:r>
      <w:r w:rsidR="006B1C86">
        <w:fldChar w:fldCharType="begin"/>
      </w:r>
      <w:r w:rsidR="006B1C86">
        <w:instrText xml:space="preserve"> REF _Ref69725651 \h  \* MERGEFORMAT </w:instrText>
      </w:r>
      <w:r w:rsidR="006B1C86">
        <w:fldChar w:fldCharType="separate"/>
      </w:r>
      <w:r w:rsidR="00674D5E" w:rsidRPr="0095653C">
        <w:t>Table </w:t>
      </w:r>
      <w:r w:rsidR="00674D5E">
        <w:t>6</w:t>
      </w:r>
      <w:r w:rsidR="006B1C86">
        <w:fldChar w:fldCharType="end"/>
      </w:r>
      <w:r w:rsidR="006B1C86">
        <w:t>)</w:t>
      </w:r>
      <w:r w:rsidRPr="0028504C">
        <w:t>.</w:t>
      </w:r>
      <w:r w:rsidR="000020B3">
        <w:t xml:space="preserve"> </w:t>
      </w:r>
    </w:p>
    <w:p w14:paraId="78EBD0BA" w14:textId="23273D1E" w:rsidR="000509B9" w:rsidRPr="000B228E" w:rsidRDefault="00956ACE" w:rsidP="000B228E">
      <w:pPr>
        <w:pStyle w:val="Caption"/>
        <w:rPr>
          <w:sz w:val="16"/>
          <w:szCs w:val="16"/>
        </w:rPr>
      </w:pPr>
      <w:bookmarkStart w:id="57" w:name="_Ref69725651"/>
      <w:bookmarkStart w:id="58" w:name="_Toc161842042"/>
      <w:r w:rsidRPr="0095653C">
        <w:lastRenderedPageBreak/>
        <w:t>Table</w:t>
      </w:r>
      <w:r w:rsidR="004A4FDF" w:rsidRPr="0095653C">
        <w:t> </w:t>
      </w:r>
      <w:r w:rsidR="006D13BC">
        <w:fldChar w:fldCharType="begin"/>
      </w:r>
      <w:r w:rsidR="006D13BC">
        <w:instrText xml:space="preserve"> SEQ Table \* ARABIC </w:instrText>
      </w:r>
      <w:r w:rsidR="006D13BC">
        <w:fldChar w:fldCharType="separate"/>
      </w:r>
      <w:r w:rsidR="006D13BC">
        <w:rPr>
          <w:noProof/>
        </w:rPr>
        <w:t>6</w:t>
      </w:r>
      <w:r w:rsidR="006D13BC">
        <w:rPr>
          <w:noProof/>
        </w:rPr>
        <w:fldChar w:fldCharType="end"/>
      </w:r>
      <w:bookmarkEnd w:id="57"/>
      <w:r w:rsidR="00CE01C0" w:rsidRPr="0095653C">
        <w:rPr>
          <w:noProof/>
        </w:rPr>
        <w:t>:</w:t>
      </w:r>
      <w:r w:rsidR="00CB3D7F" w:rsidRPr="0095653C">
        <w:t xml:space="preserve"> </w:t>
      </w:r>
      <w:r w:rsidRPr="0095653C">
        <w:t xml:space="preserve">Key features of the included evidence </w:t>
      </w:r>
      <w:bookmarkStart w:id="59" w:name="ColumnTitle_Table3"/>
      <w:bookmarkStart w:id="60" w:name="_Hlk68276176"/>
      <w:bookmarkEnd w:id="58"/>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0"/>
        <w:gridCol w:w="1002"/>
        <w:gridCol w:w="1003"/>
        <w:gridCol w:w="1003"/>
        <w:gridCol w:w="1233"/>
        <w:gridCol w:w="774"/>
        <w:gridCol w:w="1003"/>
        <w:gridCol w:w="1003"/>
        <w:gridCol w:w="995"/>
      </w:tblGrid>
      <w:tr w:rsidR="000509B9" w14:paraId="1800921E" w14:textId="77777777" w:rsidTr="00F46222">
        <w:trPr>
          <w:cantSplit/>
          <w:tblHeader/>
        </w:trPr>
        <w:tc>
          <w:tcPr>
            <w:tcW w:w="555" w:type="pct"/>
            <w:shd w:val="clear" w:color="auto" w:fill="auto"/>
          </w:tcPr>
          <w:p w14:paraId="72E0485A" w14:textId="77777777" w:rsidR="000509B9" w:rsidRPr="002537CB" w:rsidRDefault="000509B9" w:rsidP="00F46222">
            <w:pPr>
              <w:pStyle w:val="TableHeading0"/>
            </w:pPr>
            <w:r>
              <w:t>Study</w:t>
            </w:r>
          </w:p>
        </w:tc>
        <w:tc>
          <w:tcPr>
            <w:tcW w:w="556" w:type="pct"/>
          </w:tcPr>
          <w:p w14:paraId="21449311" w14:textId="77777777" w:rsidR="000509B9" w:rsidRPr="002537CB" w:rsidRDefault="000509B9" w:rsidP="00F46222">
            <w:pPr>
              <w:pStyle w:val="TableHeading0"/>
            </w:pPr>
            <w:r>
              <w:t>Intervention</w:t>
            </w:r>
          </w:p>
        </w:tc>
        <w:tc>
          <w:tcPr>
            <w:tcW w:w="556" w:type="pct"/>
          </w:tcPr>
          <w:p w14:paraId="5ECABC14" w14:textId="77777777" w:rsidR="000509B9" w:rsidRPr="002537CB" w:rsidRDefault="000509B9" w:rsidP="00F46222">
            <w:pPr>
              <w:pStyle w:val="TableHeading0"/>
            </w:pPr>
            <w:r>
              <w:t>Comparator</w:t>
            </w:r>
          </w:p>
        </w:tc>
        <w:tc>
          <w:tcPr>
            <w:tcW w:w="556" w:type="pct"/>
            <w:shd w:val="clear" w:color="auto" w:fill="auto"/>
          </w:tcPr>
          <w:p w14:paraId="229E415B" w14:textId="77777777" w:rsidR="000509B9" w:rsidRPr="002537CB" w:rsidRDefault="000509B9" w:rsidP="00F46222">
            <w:pPr>
              <w:pStyle w:val="TableHeading0"/>
            </w:pPr>
            <w:r w:rsidRPr="002537CB">
              <w:t>N</w:t>
            </w:r>
            <w:r>
              <w:t>umber of patients</w:t>
            </w:r>
          </w:p>
        </w:tc>
        <w:tc>
          <w:tcPr>
            <w:tcW w:w="684" w:type="pct"/>
            <w:shd w:val="clear" w:color="auto" w:fill="auto"/>
          </w:tcPr>
          <w:p w14:paraId="2C3DFDBA" w14:textId="77777777" w:rsidR="000509B9" w:rsidRPr="002537CB" w:rsidRDefault="000509B9" w:rsidP="00F46222">
            <w:pPr>
              <w:pStyle w:val="TableHeading0"/>
            </w:pPr>
            <w:r w:rsidRPr="002537CB">
              <w:t>Design/</w:t>
            </w:r>
            <w:r>
              <w:t xml:space="preserve"> </w:t>
            </w:r>
            <w:r w:rsidRPr="002537CB">
              <w:t>duration</w:t>
            </w:r>
          </w:p>
        </w:tc>
        <w:tc>
          <w:tcPr>
            <w:tcW w:w="429" w:type="pct"/>
            <w:shd w:val="clear" w:color="auto" w:fill="auto"/>
          </w:tcPr>
          <w:p w14:paraId="613B8EDA" w14:textId="77777777" w:rsidR="000509B9" w:rsidRPr="002537CB" w:rsidRDefault="000509B9" w:rsidP="00F46222">
            <w:pPr>
              <w:pStyle w:val="TableHeading0"/>
            </w:pPr>
            <w:r w:rsidRPr="002537CB">
              <w:t>Risk of bias</w:t>
            </w:r>
          </w:p>
        </w:tc>
        <w:tc>
          <w:tcPr>
            <w:tcW w:w="556" w:type="pct"/>
            <w:shd w:val="clear" w:color="auto" w:fill="auto"/>
          </w:tcPr>
          <w:p w14:paraId="44E42992" w14:textId="77777777" w:rsidR="000509B9" w:rsidRPr="002537CB" w:rsidRDefault="000509B9" w:rsidP="00F46222">
            <w:pPr>
              <w:pStyle w:val="TableHeading0"/>
            </w:pPr>
            <w:r w:rsidRPr="002537CB">
              <w:t>Patient population</w:t>
            </w:r>
          </w:p>
        </w:tc>
        <w:tc>
          <w:tcPr>
            <w:tcW w:w="556" w:type="pct"/>
            <w:shd w:val="clear" w:color="auto" w:fill="auto"/>
          </w:tcPr>
          <w:p w14:paraId="001BA0DB" w14:textId="77777777" w:rsidR="000509B9" w:rsidRPr="002537CB" w:rsidRDefault="000509B9" w:rsidP="00F46222">
            <w:pPr>
              <w:pStyle w:val="TableHeading0"/>
            </w:pPr>
            <w:r w:rsidRPr="002537CB">
              <w:t>Outcome(s)</w:t>
            </w:r>
          </w:p>
        </w:tc>
        <w:tc>
          <w:tcPr>
            <w:tcW w:w="552" w:type="pct"/>
          </w:tcPr>
          <w:p w14:paraId="3EF6AABB" w14:textId="77777777" w:rsidR="000509B9" w:rsidRDefault="000509B9" w:rsidP="00F46222">
            <w:pPr>
              <w:pStyle w:val="TableHeading0"/>
            </w:pPr>
            <w:r>
              <w:t>Used in economic evaluation</w:t>
            </w:r>
          </w:p>
        </w:tc>
      </w:tr>
      <w:tr w:rsidR="000509B9" w:rsidRPr="00E941D2" w14:paraId="3128335B" w14:textId="77777777" w:rsidTr="00F46222">
        <w:trPr>
          <w:cantSplit/>
        </w:trPr>
        <w:tc>
          <w:tcPr>
            <w:tcW w:w="5000" w:type="pct"/>
            <w:gridSpan w:val="9"/>
            <w:shd w:val="clear" w:color="auto" w:fill="auto"/>
          </w:tcPr>
          <w:p w14:paraId="68F24404" w14:textId="77777777" w:rsidR="000509B9" w:rsidRPr="00E941D2" w:rsidRDefault="000509B9" w:rsidP="00F46222">
            <w:pPr>
              <w:pStyle w:val="TableText"/>
              <w:rPr>
                <w:lang w:val="en-US"/>
              </w:rPr>
            </w:pPr>
            <w:r w:rsidRPr="00E941D2">
              <w:rPr>
                <w:lang w:val="en-US"/>
              </w:rPr>
              <w:t>177Lu-DOTATATE</w:t>
            </w:r>
            <w:r>
              <w:rPr>
                <w:lang w:val="en-US"/>
              </w:rPr>
              <w:t xml:space="preserve"> vs comparator(s)</w:t>
            </w:r>
          </w:p>
        </w:tc>
      </w:tr>
      <w:tr w:rsidR="000509B9" w:rsidRPr="00125E51" w14:paraId="193A18EE" w14:textId="77777777" w:rsidTr="00F46222">
        <w:trPr>
          <w:cantSplit/>
        </w:trPr>
        <w:tc>
          <w:tcPr>
            <w:tcW w:w="555" w:type="pct"/>
            <w:shd w:val="clear" w:color="auto" w:fill="auto"/>
          </w:tcPr>
          <w:p w14:paraId="6E470518" w14:textId="77777777" w:rsidR="000509B9" w:rsidRPr="000020B3" w:rsidRDefault="000509B9" w:rsidP="00F46222">
            <w:pPr>
              <w:pStyle w:val="TableText"/>
              <w:rPr>
                <w:lang w:val="en-US"/>
              </w:rPr>
            </w:pPr>
            <w:r w:rsidRPr="008E7ECD">
              <w:rPr>
                <w:lang w:val="en-US"/>
              </w:rPr>
              <w:t>NETTER-1</w:t>
            </w:r>
            <w:r>
              <w:rPr>
                <w:rStyle w:val="FootnoteReference"/>
                <w:lang w:val="en-US"/>
              </w:rPr>
              <w:footnoteReference w:id="17"/>
            </w:r>
            <w:r w:rsidRPr="008E7ECD">
              <w:rPr>
                <w:lang w:val="en-US"/>
              </w:rPr>
              <w:t xml:space="preserve"> </w:t>
            </w:r>
          </w:p>
        </w:tc>
        <w:tc>
          <w:tcPr>
            <w:tcW w:w="556" w:type="pct"/>
          </w:tcPr>
          <w:p w14:paraId="359B5E29" w14:textId="77777777" w:rsidR="000509B9" w:rsidRPr="00831AD6" w:rsidRDefault="000509B9" w:rsidP="00F46222">
            <w:pPr>
              <w:pStyle w:val="TableText"/>
            </w:pPr>
            <w:r w:rsidRPr="001F7E92">
              <w:rPr>
                <w:vertAlign w:val="superscript"/>
              </w:rPr>
              <w:t>177</w:t>
            </w:r>
            <w:r w:rsidRPr="00831AD6">
              <w:t>Lu-DOTATA</w:t>
            </w:r>
            <w:r>
              <w:t>TE</w:t>
            </w:r>
          </w:p>
        </w:tc>
        <w:tc>
          <w:tcPr>
            <w:tcW w:w="556" w:type="pct"/>
          </w:tcPr>
          <w:p w14:paraId="247808DD" w14:textId="77777777" w:rsidR="000509B9" w:rsidRPr="00831AD6" w:rsidRDefault="000509B9" w:rsidP="00F46222">
            <w:pPr>
              <w:pStyle w:val="TableText"/>
            </w:pPr>
            <w:r w:rsidRPr="00831AD6">
              <w:t>OCT</w:t>
            </w:r>
          </w:p>
        </w:tc>
        <w:tc>
          <w:tcPr>
            <w:tcW w:w="556" w:type="pct"/>
            <w:shd w:val="clear" w:color="auto" w:fill="auto"/>
          </w:tcPr>
          <w:p w14:paraId="2BF8C214" w14:textId="77777777" w:rsidR="000509B9" w:rsidRPr="00CE28E3" w:rsidRDefault="000509B9" w:rsidP="00F46222">
            <w:pPr>
              <w:pStyle w:val="TableText"/>
              <w:rPr>
                <w:lang w:val="en-US"/>
              </w:rPr>
            </w:pPr>
            <w:r>
              <w:rPr>
                <w:lang w:val="en-US"/>
              </w:rPr>
              <w:t>231</w:t>
            </w:r>
          </w:p>
        </w:tc>
        <w:tc>
          <w:tcPr>
            <w:tcW w:w="684" w:type="pct"/>
            <w:shd w:val="clear" w:color="auto" w:fill="auto"/>
          </w:tcPr>
          <w:p w14:paraId="013A5129" w14:textId="77777777" w:rsidR="000509B9" w:rsidRPr="00860032" w:rsidRDefault="000509B9" w:rsidP="00F46222">
            <w:pPr>
              <w:pStyle w:val="TableText"/>
              <w:rPr>
                <w:lang w:val="en-US"/>
              </w:rPr>
            </w:pPr>
            <w:r w:rsidRPr="008E7ECD">
              <w:rPr>
                <w:lang w:val="en-US"/>
              </w:rPr>
              <w:t xml:space="preserve">Multicentric, </w:t>
            </w:r>
            <w:proofErr w:type="spellStart"/>
            <w:r w:rsidRPr="008E7ECD">
              <w:rPr>
                <w:lang w:val="en-US"/>
              </w:rPr>
              <w:t>randomi</w:t>
            </w:r>
            <w:r>
              <w:rPr>
                <w:lang w:val="en-US"/>
              </w:rPr>
              <w:t>s</w:t>
            </w:r>
            <w:r w:rsidRPr="008E7ECD">
              <w:rPr>
                <w:lang w:val="en-US"/>
              </w:rPr>
              <w:t>ed</w:t>
            </w:r>
            <w:proofErr w:type="spellEnd"/>
            <w:r w:rsidRPr="008E7ECD">
              <w:rPr>
                <w:lang w:val="en-US"/>
              </w:rPr>
              <w:t>, controlled trial</w:t>
            </w:r>
          </w:p>
        </w:tc>
        <w:tc>
          <w:tcPr>
            <w:tcW w:w="429" w:type="pct"/>
            <w:shd w:val="clear" w:color="auto" w:fill="auto"/>
          </w:tcPr>
          <w:p w14:paraId="354847D8" w14:textId="77777777" w:rsidR="000509B9" w:rsidRPr="0095653C" w:rsidRDefault="000509B9" w:rsidP="00F46222">
            <w:pPr>
              <w:pStyle w:val="TableText"/>
              <w:rPr>
                <w:iCs/>
                <w:lang w:val="en-US"/>
              </w:rPr>
            </w:pPr>
            <w:r w:rsidRPr="0095653C">
              <w:rPr>
                <w:iCs/>
                <w:lang w:val="en-US"/>
              </w:rPr>
              <w:t>High</w:t>
            </w:r>
          </w:p>
        </w:tc>
        <w:tc>
          <w:tcPr>
            <w:tcW w:w="556" w:type="pct"/>
            <w:shd w:val="clear" w:color="auto" w:fill="auto"/>
          </w:tcPr>
          <w:p w14:paraId="30F8FAEB" w14:textId="77777777" w:rsidR="000509B9" w:rsidRDefault="000509B9" w:rsidP="00F46222">
            <w:pPr>
              <w:pStyle w:val="TableText"/>
            </w:pPr>
            <w:r w:rsidRPr="00277827">
              <w:t>Midgut NET</w:t>
            </w:r>
          </w:p>
          <w:p w14:paraId="5ABED95B" w14:textId="77777777" w:rsidR="000509B9" w:rsidRPr="00E92651" w:rsidRDefault="000509B9" w:rsidP="00F46222">
            <w:pPr>
              <w:pStyle w:val="TableText"/>
            </w:pPr>
          </w:p>
        </w:tc>
        <w:tc>
          <w:tcPr>
            <w:tcW w:w="556" w:type="pct"/>
            <w:shd w:val="clear" w:color="auto" w:fill="auto"/>
          </w:tcPr>
          <w:p w14:paraId="66A5614B" w14:textId="77777777" w:rsidR="000509B9" w:rsidRDefault="000509B9" w:rsidP="00F46222">
            <w:pPr>
              <w:pStyle w:val="TableText"/>
              <w:rPr>
                <w:lang w:val="en-US"/>
              </w:rPr>
            </w:pPr>
            <w:r w:rsidRPr="00125E51">
              <w:t>PFS</w:t>
            </w:r>
          </w:p>
        </w:tc>
        <w:tc>
          <w:tcPr>
            <w:tcW w:w="552" w:type="pct"/>
          </w:tcPr>
          <w:p w14:paraId="71926BAF" w14:textId="77777777" w:rsidR="000509B9" w:rsidRPr="00125E51" w:rsidRDefault="000509B9" w:rsidP="00F46222">
            <w:pPr>
              <w:pStyle w:val="TableText"/>
            </w:pPr>
            <w:r>
              <w:t>Yes</w:t>
            </w:r>
          </w:p>
        </w:tc>
      </w:tr>
      <w:tr w:rsidR="000509B9" w:rsidRPr="00125E51" w14:paraId="55335DC2" w14:textId="77777777" w:rsidTr="00F46222">
        <w:trPr>
          <w:cantSplit/>
        </w:trPr>
        <w:tc>
          <w:tcPr>
            <w:tcW w:w="555" w:type="pct"/>
            <w:shd w:val="clear" w:color="auto" w:fill="auto"/>
          </w:tcPr>
          <w:p w14:paraId="64DB1BC7" w14:textId="77777777" w:rsidR="000509B9" w:rsidRPr="000020B3" w:rsidRDefault="000509B9" w:rsidP="00F46222">
            <w:pPr>
              <w:pStyle w:val="TableText"/>
              <w:rPr>
                <w:lang w:val="en-US"/>
              </w:rPr>
            </w:pPr>
            <w:r w:rsidRPr="008E7ECD">
              <w:rPr>
                <w:lang w:val="en-US"/>
              </w:rPr>
              <w:t>OCLURANDOM</w:t>
            </w:r>
            <w:r>
              <w:rPr>
                <w:rStyle w:val="FootnoteReference"/>
                <w:lang w:val="en-US"/>
              </w:rPr>
              <w:footnoteReference w:id="18"/>
            </w:r>
          </w:p>
        </w:tc>
        <w:tc>
          <w:tcPr>
            <w:tcW w:w="556" w:type="pct"/>
          </w:tcPr>
          <w:p w14:paraId="44C59FC6" w14:textId="77777777" w:rsidR="000509B9" w:rsidRPr="00831AD6" w:rsidRDefault="000509B9" w:rsidP="00F46222">
            <w:pPr>
              <w:pStyle w:val="TableText"/>
            </w:pPr>
            <w:r w:rsidRPr="001F7E92">
              <w:rPr>
                <w:vertAlign w:val="superscript"/>
              </w:rPr>
              <w:t>177</w:t>
            </w:r>
            <w:r w:rsidRPr="00831AD6">
              <w:t>Lu-DOTATATE</w:t>
            </w:r>
          </w:p>
        </w:tc>
        <w:tc>
          <w:tcPr>
            <w:tcW w:w="556" w:type="pct"/>
          </w:tcPr>
          <w:p w14:paraId="6C8F39C8" w14:textId="77777777" w:rsidR="000509B9" w:rsidRPr="00831AD6" w:rsidRDefault="000509B9" w:rsidP="00F46222">
            <w:pPr>
              <w:pStyle w:val="TableText"/>
            </w:pPr>
            <w:r w:rsidRPr="00831AD6">
              <w:t>SUN</w:t>
            </w:r>
          </w:p>
        </w:tc>
        <w:tc>
          <w:tcPr>
            <w:tcW w:w="556" w:type="pct"/>
            <w:shd w:val="clear" w:color="auto" w:fill="auto"/>
          </w:tcPr>
          <w:p w14:paraId="4DA8991A" w14:textId="77777777" w:rsidR="000509B9" w:rsidRPr="00CE28E3" w:rsidRDefault="000509B9" w:rsidP="00F46222">
            <w:pPr>
              <w:pStyle w:val="TableText"/>
              <w:rPr>
                <w:lang w:val="en-US"/>
              </w:rPr>
            </w:pPr>
            <w:r>
              <w:rPr>
                <w:lang w:val="en-US"/>
              </w:rPr>
              <w:t>84</w:t>
            </w:r>
          </w:p>
        </w:tc>
        <w:tc>
          <w:tcPr>
            <w:tcW w:w="684" w:type="pct"/>
            <w:shd w:val="clear" w:color="auto" w:fill="auto"/>
          </w:tcPr>
          <w:p w14:paraId="58066691" w14:textId="77777777" w:rsidR="000509B9" w:rsidRPr="00860032" w:rsidRDefault="000509B9" w:rsidP="00F46222">
            <w:pPr>
              <w:pStyle w:val="TableText"/>
              <w:rPr>
                <w:lang w:val="en-US"/>
              </w:rPr>
            </w:pPr>
            <w:r w:rsidRPr="008E7ECD">
              <w:rPr>
                <w:lang w:val="en-US"/>
              </w:rPr>
              <w:t xml:space="preserve">Multicentric, </w:t>
            </w:r>
            <w:proofErr w:type="spellStart"/>
            <w:r w:rsidRPr="008E7ECD">
              <w:rPr>
                <w:lang w:val="en-US"/>
              </w:rPr>
              <w:t>randomi</w:t>
            </w:r>
            <w:r>
              <w:rPr>
                <w:lang w:val="en-US"/>
              </w:rPr>
              <w:t>s</w:t>
            </w:r>
            <w:r w:rsidRPr="008E7ECD">
              <w:rPr>
                <w:lang w:val="en-US"/>
              </w:rPr>
              <w:t>ed</w:t>
            </w:r>
            <w:proofErr w:type="spellEnd"/>
            <w:r w:rsidRPr="008E7ECD">
              <w:rPr>
                <w:lang w:val="en-US"/>
              </w:rPr>
              <w:t>, open-label study</w:t>
            </w:r>
          </w:p>
        </w:tc>
        <w:tc>
          <w:tcPr>
            <w:tcW w:w="429" w:type="pct"/>
            <w:shd w:val="clear" w:color="auto" w:fill="auto"/>
          </w:tcPr>
          <w:p w14:paraId="0899A6A4" w14:textId="77777777" w:rsidR="000509B9" w:rsidRPr="0095653C" w:rsidRDefault="000509B9" w:rsidP="00F46222">
            <w:pPr>
              <w:pStyle w:val="TableText"/>
              <w:rPr>
                <w:iCs/>
                <w:lang w:val="en-US"/>
              </w:rPr>
            </w:pPr>
            <w:r w:rsidRPr="0095653C">
              <w:rPr>
                <w:iCs/>
                <w:lang w:val="en-US"/>
              </w:rPr>
              <w:t>High</w:t>
            </w:r>
          </w:p>
        </w:tc>
        <w:tc>
          <w:tcPr>
            <w:tcW w:w="556" w:type="pct"/>
            <w:shd w:val="clear" w:color="auto" w:fill="auto"/>
          </w:tcPr>
          <w:p w14:paraId="099A8C84" w14:textId="77777777" w:rsidR="000509B9" w:rsidRPr="00860032" w:rsidRDefault="000509B9" w:rsidP="00F46222">
            <w:pPr>
              <w:pStyle w:val="TableText"/>
              <w:rPr>
                <w:lang w:val="en-US"/>
              </w:rPr>
            </w:pPr>
            <w:proofErr w:type="spellStart"/>
            <w:r w:rsidRPr="00277827">
              <w:t>pNET</w:t>
            </w:r>
            <w:proofErr w:type="spellEnd"/>
          </w:p>
        </w:tc>
        <w:tc>
          <w:tcPr>
            <w:tcW w:w="556" w:type="pct"/>
            <w:shd w:val="clear" w:color="auto" w:fill="auto"/>
          </w:tcPr>
          <w:p w14:paraId="090D5A81" w14:textId="77777777" w:rsidR="000509B9" w:rsidRDefault="000509B9" w:rsidP="00F46222">
            <w:pPr>
              <w:pStyle w:val="TableText"/>
              <w:rPr>
                <w:lang w:val="en-US"/>
              </w:rPr>
            </w:pPr>
            <w:r w:rsidRPr="00125E51">
              <w:t>PFS</w:t>
            </w:r>
          </w:p>
        </w:tc>
        <w:tc>
          <w:tcPr>
            <w:tcW w:w="552" w:type="pct"/>
          </w:tcPr>
          <w:p w14:paraId="6055C354" w14:textId="77777777" w:rsidR="000509B9" w:rsidRPr="00125E51" w:rsidRDefault="000509B9" w:rsidP="00F46222">
            <w:pPr>
              <w:pStyle w:val="TableText"/>
            </w:pPr>
            <w:r>
              <w:t>No</w:t>
            </w:r>
          </w:p>
        </w:tc>
      </w:tr>
      <w:tr w:rsidR="000509B9" w14:paraId="66E86FA1" w14:textId="77777777" w:rsidTr="00F46222">
        <w:trPr>
          <w:cantSplit/>
        </w:trPr>
        <w:tc>
          <w:tcPr>
            <w:tcW w:w="5000" w:type="pct"/>
            <w:gridSpan w:val="9"/>
            <w:shd w:val="clear" w:color="auto" w:fill="auto"/>
          </w:tcPr>
          <w:p w14:paraId="2EA0B910" w14:textId="77777777" w:rsidR="000509B9" w:rsidRDefault="000509B9" w:rsidP="00F46222">
            <w:pPr>
              <w:pStyle w:val="TableText"/>
              <w:keepNext/>
              <w:rPr>
                <w:lang w:val="en-US"/>
              </w:rPr>
            </w:pPr>
            <w:r>
              <w:rPr>
                <w:lang w:val="en-US"/>
              </w:rPr>
              <w:t>Comparator therapies studies</w:t>
            </w:r>
          </w:p>
        </w:tc>
      </w:tr>
      <w:tr w:rsidR="000509B9" w14:paraId="3A79F558" w14:textId="77777777" w:rsidTr="00F46222">
        <w:trPr>
          <w:cantSplit/>
        </w:trPr>
        <w:tc>
          <w:tcPr>
            <w:tcW w:w="555" w:type="pct"/>
            <w:shd w:val="clear" w:color="auto" w:fill="auto"/>
          </w:tcPr>
          <w:p w14:paraId="7E0F6500" w14:textId="77777777" w:rsidR="000509B9" w:rsidRPr="00CE28E3" w:rsidRDefault="000509B9" w:rsidP="00F46222">
            <w:pPr>
              <w:pStyle w:val="TableText"/>
              <w:rPr>
                <w:lang w:val="en-US"/>
              </w:rPr>
            </w:pPr>
            <w:r w:rsidRPr="000020B3">
              <w:rPr>
                <w:lang w:val="en-US"/>
              </w:rPr>
              <w:t>CLARINET</w:t>
            </w:r>
            <w:r>
              <w:rPr>
                <w:rStyle w:val="FootnoteReference"/>
                <w:lang w:val="en-US"/>
              </w:rPr>
              <w:footnoteReference w:id="19"/>
            </w:r>
          </w:p>
        </w:tc>
        <w:tc>
          <w:tcPr>
            <w:tcW w:w="556" w:type="pct"/>
          </w:tcPr>
          <w:p w14:paraId="2FA2B852" w14:textId="77777777" w:rsidR="000509B9" w:rsidRPr="00CE28E3" w:rsidRDefault="000509B9" w:rsidP="00F46222">
            <w:pPr>
              <w:pStyle w:val="TableText"/>
              <w:rPr>
                <w:lang w:val="en-US"/>
              </w:rPr>
            </w:pPr>
            <w:r w:rsidRPr="00831AD6">
              <w:t>LAN</w:t>
            </w:r>
          </w:p>
        </w:tc>
        <w:tc>
          <w:tcPr>
            <w:tcW w:w="556" w:type="pct"/>
          </w:tcPr>
          <w:p w14:paraId="1085FD6E" w14:textId="77777777" w:rsidR="000509B9" w:rsidRPr="00CE28E3" w:rsidRDefault="000509B9" w:rsidP="00F46222">
            <w:pPr>
              <w:pStyle w:val="TableText"/>
              <w:rPr>
                <w:lang w:val="en-US"/>
              </w:rPr>
            </w:pPr>
            <w:r w:rsidRPr="00831AD6">
              <w:t>PBO</w:t>
            </w:r>
          </w:p>
        </w:tc>
        <w:tc>
          <w:tcPr>
            <w:tcW w:w="556" w:type="pct"/>
            <w:shd w:val="clear" w:color="auto" w:fill="auto"/>
          </w:tcPr>
          <w:p w14:paraId="7F581E0E" w14:textId="77777777" w:rsidR="000509B9" w:rsidRPr="00CE28E3" w:rsidRDefault="000509B9" w:rsidP="00F46222">
            <w:pPr>
              <w:pStyle w:val="TableText"/>
              <w:rPr>
                <w:lang w:val="en-US"/>
              </w:rPr>
            </w:pPr>
            <w:r w:rsidRPr="00CE28E3">
              <w:rPr>
                <w:lang w:val="en-US"/>
              </w:rPr>
              <w:t>2</w:t>
            </w:r>
            <w:r>
              <w:rPr>
                <w:lang w:val="en-US"/>
              </w:rPr>
              <w:t>04</w:t>
            </w:r>
          </w:p>
        </w:tc>
        <w:tc>
          <w:tcPr>
            <w:tcW w:w="684" w:type="pct"/>
            <w:shd w:val="clear" w:color="auto" w:fill="auto"/>
          </w:tcPr>
          <w:p w14:paraId="7285E8A8" w14:textId="77777777" w:rsidR="000509B9" w:rsidRPr="00CE28E3" w:rsidRDefault="000509B9" w:rsidP="00F46222">
            <w:pPr>
              <w:pStyle w:val="TableText"/>
              <w:rPr>
                <w:lang w:val="en-US"/>
              </w:rPr>
            </w:pPr>
            <w:proofErr w:type="spellStart"/>
            <w:r w:rsidRPr="00860032">
              <w:rPr>
                <w:lang w:val="en-US"/>
              </w:rPr>
              <w:t>Randomised</w:t>
            </w:r>
            <w:proofErr w:type="spellEnd"/>
            <w:r w:rsidRPr="00860032">
              <w:rPr>
                <w:lang w:val="en-US"/>
              </w:rPr>
              <w:t>, double</w:t>
            </w:r>
            <w:r>
              <w:rPr>
                <w:lang w:val="en-US"/>
              </w:rPr>
              <w:t>-</w:t>
            </w:r>
            <w:r w:rsidRPr="00860032">
              <w:rPr>
                <w:lang w:val="en-US"/>
              </w:rPr>
              <w:t>blind, placebo</w:t>
            </w:r>
            <w:r>
              <w:rPr>
                <w:lang w:val="en-US"/>
              </w:rPr>
              <w:t>-</w:t>
            </w:r>
            <w:r w:rsidRPr="00860032">
              <w:rPr>
                <w:lang w:val="en-US"/>
              </w:rPr>
              <w:t>controlled trial</w:t>
            </w:r>
          </w:p>
        </w:tc>
        <w:tc>
          <w:tcPr>
            <w:tcW w:w="429" w:type="pct"/>
            <w:shd w:val="clear" w:color="auto" w:fill="auto"/>
          </w:tcPr>
          <w:p w14:paraId="163B72B0"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01AB94F2" w14:textId="77777777" w:rsidR="000509B9" w:rsidRPr="00CE28E3" w:rsidRDefault="000509B9" w:rsidP="00F46222">
            <w:pPr>
              <w:pStyle w:val="TableText"/>
              <w:rPr>
                <w:lang w:val="en-US"/>
              </w:rPr>
            </w:pPr>
            <w:r w:rsidRPr="00860032">
              <w:rPr>
                <w:lang w:val="en-US"/>
              </w:rPr>
              <w:t>NEEPT</w:t>
            </w:r>
          </w:p>
        </w:tc>
        <w:tc>
          <w:tcPr>
            <w:tcW w:w="556" w:type="pct"/>
            <w:shd w:val="clear" w:color="auto" w:fill="auto"/>
          </w:tcPr>
          <w:p w14:paraId="2E7DB493" w14:textId="77777777" w:rsidR="000509B9" w:rsidRPr="00CE28E3" w:rsidRDefault="000509B9" w:rsidP="00F46222">
            <w:pPr>
              <w:pStyle w:val="TableText"/>
              <w:rPr>
                <w:lang w:val="en-US"/>
              </w:rPr>
            </w:pPr>
            <w:r>
              <w:rPr>
                <w:lang w:val="en-US"/>
              </w:rPr>
              <w:t>PFS</w:t>
            </w:r>
          </w:p>
        </w:tc>
        <w:tc>
          <w:tcPr>
            <w:tcW w:w="552" w:type="pct"/>
          </w:tcPr>
          <w:p w14:paraId="278528C6" w14:textId="77777777" w:rsidR="000509B9" w:rsidRDefault="000509B9" w:rsidP="00F46222">
            <w:pPr>
              <w:pStyle w:val="TableText"/>
              <w:rPr>
                <w:lang w:val="en-US"/>
              </w:rPr>
            </w:pPr>
            <w:r>
              <w:rPr>
                <w:lang w:val="en-US"/>
              </w:rPr>
              <w:t>Yes</w:t>
            </w:r>
          </w:p>
        </w:tc>
      </w:tr>
      <w:tr w:rsidR="000509B9" w14:paraId="01AFAE74" w14:textId="77777777" w:rsidTr="00F46222">
        <w:trPr>
          <w:cantSplit/>
        </w:trPr>
        <w:tc>
          <w:tcPr>
            <w:tcW w:w="555" w:type="pct"/>
            <w:shd w:val="clear" w:color="auto" w:fill="auto"/>
          </w:tcPr>
          <w:p w14:paraId="73C5FA65" w14:textId="77777777" w:rsidR="000509B9" w:rsidRPr="00CE28E3" w:rsidRDefault="000509B9" w:rsidP="00F46222">
            <w:pPr>
              <w:pStyle w:val="TableText"/>
              <w:rPr>
                <w:lang w:val="en-US"/>
              </w:rPr>
            </w:pPr>
            <w:r w:rsidRPr="00A647CE">
              <w:rPr>
                <w:rFonts w:cs="Arial"/>
                <w:bCs/>
                <w:snapToGrid w:val="0"/>
                <w:szCs w:val="20"/>
              </w:rPr>
              <w:t>PROMID</w:t>
            </w:r>
            <w:r>
              <w:rPr>
                <w:rStyle w:val="FootnoteReference"/>
                <w:rFonts w:cs="Arial"/>
                <w:bCs/>
                <w:snapToGrid w:val="0"/>
                <w:szCs w:val="20"/>
              </w:rPr>
              <w:footnoteReference w:id="20"/>
            </w:r>
          </w:p>
        </w:tc>
        <w:tc>
          <w:tcPr>
            <w:tcW w:w="556" w:type="pct"/>
          </w:tcPr>
          <w:p w14:paraId="0D23F532" w14:textId="77777777" w:rsidR="000509B9" w:rsidRDefault="000509B9" w:rsidP="00F46222">
            <w:pPr>
              <w:pStyle w:val="TableText"/>
              <w:rPr>
                <w:lang w:val="en-US"/>
              </w:rPr>
            </w:pPr>
            <w:r w:rsidRPr="00831AD6">
              <w:t>OCT</w:t>
            </w:r>
          </w:p>
        </w:tc>
        <w:tc>
          <w:tcPr>
            <w:tcW w:w="556" w:type="pct"/>
          </w:tcPr>
          <w:p w14:paraId="3782466C" w14:textId="77777777" w:rsidR="000509B9" w:rsidRDefault="000509B9" w:rsidP="00F46222">
            <w:pPr>
              <w:pStyle w:val="TableText"/>
              <w:rPr>
                <w:lang w:val="en-US"/>
              </w:rPr>
            </w:pPr>
            <w:r w:rsidRPr="00831AD6">
              <w:t>PBO</w:t>
            </w:r>
          </w:p>
        </w:tc>
        <w:tc>
          <w:tcPr>
            <w:tcW w:w="556" w:type="pct"/>
            <w:shd w:val="clear" w:color="auto" w:fill="auto"/>
          </w:tcPr>
          <w:p w14:paraId="1BD46D1C" w14:textId="77777777" w:rsidR="000509B9" w:rsidRPr="00CE28E3" w:rsidRDefault="000509B9" w:rsidP="00F46222">
            <w:pPr>
              <w:pStyle w:val="TableText"/>
              <w:rPr>
                <w:lang w:val="en-US"/>
              </w:rPr>
            </w:pPr>
            <w:r>
              <w:rPr>
                <w:lang w:val="en-US"/>
              </w:rPr>
              <w:t>85</w:t>
            </w:r>
          </w:p>
        </w:tc>
        <w:tc>
          <w:tcPr>
            <w:tcW w:w="684" w:type="pct"/>
            <w:shd w:val="clear" w:color="auto" w:fill="auto"/>
          </w:tcPr>
          <w:p w14:paraId="3F6A96C6" w14:textId="77777777" w:rsidR="000509B9" w:rsidRPr="00CE28E3" w:rsidRDefault="000509B9" w:rsidP="00F46222">
            <w:pPr>
              <w:pStyle w:val="TableText"/>
              <w:rPr>
                <w:lang w:val="en-US"/>
              </w:rPr>
            </w:pPr>
            <w:proofErr w:type="spellStart"/>
            <w:r w:rsidRPr="00B807EA">
              <w:rPr>
                <w:lang w:val="en-US"/>
              </w:rPr>
              <w:t>Randomi</w:t>
            </w:r>
            <w:r>
              <w:rPr>
                <w:lang w:val="en-US"/>
              </w:rPr>
              <w:t>s</w:t>
            </w:r>
            <w:r w:rsidRPr="00B807EA">
              <w:rPr>
                <w:lang w:val="en-US"/>
              </w:rPr>
              <w:t>ed</w:t>
            </w:r>
            <w:proofErr w:type="spellEnd"/>
            <w:r w:rsidRPr="00B807EA">
              <w:rPr>
                <w:lang w:val="en-US"/>
              </w:rPr>
              <w:t>, double-blind, placebo-controlled trial</w:t>
            </w:r>
          </w:p>
        </w:tc>
        <w:tc>
          <w:tcPr>
            <w:tcW w:w="429" w:type="pct"/>
            <w:shd w:val="clear" w:color="auto" w:fill="auto"/>
          </w:tcPr>
          <w:p w14:paraId="77270E55"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305DBC01" w14:textId="77777777" w:rsidR="000509B9" w:rsidRPr="00CE28E3" w:rsidRDefault="000509B9" w:rsidP="00F46222">
            <w:pPr>
              <w:pStyle w:val="TableText"/>
              <w:rPr>
                <w:lang w:val="en-US"/>
              </w:rPr>
            </w:pPr>
            <w:r>
              <w:rPr>
                <w:lang w:val="en-US"/>
              </w:rPr>
              <w:t>M</w:t>
            </w:r>
            <w:r w:rsidRPr="00B807EA">
              <w:rPr>
                <w:lang w:val="en-US"/>
              </w:rPr>
              <w:t>idgut NET</w:t>
            </w:r>
          </w:p>
        </w:tc>
        <w:tc>
          <w:tcPr>
            <w:tcW w:w="556" w:type="pct"/>
            <w:shd w:val="clear" w:color="auto" w:fill="auto"/>
          </w:tcPr>
          <w:p w14:paraId="17024636" w14:textId="77777777" w:rsidR="000509B9" w:rsidRPr="00CE28E3" w:rsidRDefault="000509B9" w:rsidP="00F46222">
            <w:pPr>
              <w:pStyle w:val="TableText"/>
              <w:rPr>
                <w:lang w:val="en-US"/>
              </w:rPr>
            </w:pPr>
            <w:r>
              <w:rPr>
                <w:lang w:val="en-US"/>
              </w:rPr>
              <w:t>TTP</w:t>
            </w:r>
          </w:p>
        </w:tc>
        <w:tc>
          <w:tcPr>
            <w:tcW w:w="552" w:type="pct"/>
          </w:tcPr>
          <w:p w14:paraId="4D4C42E8" w14:textId="77777777" w:rsidR="000509B9" w:rsidRDefault="000509B9" w:rsidP="00F46222">
            <w:pPr>
              <w:pStyle w:val="TableText"/>
              <w:rPr>
                <w:lang w:val="en-US"/>
              </w:rPr>
            </w:pPr>
            <w:r>
              <w:rPr>
                <w:lang w:val="en-US"/>
              </w:rPr>
              <w:t>Yes</w:t>
            </w:r>
          </w:p>
        </w:tc>
      </w:tr>
      <w:tr w:rsidR="000509B9" w:rsidRPr="00FD2E7E" w14:paraId="4A4E81AA" w14:textId="77777777" w:rsidTr="00F46222">
        <w:trPr>
          <w:cantSplit/>
        </w:trPr>
        <w:tc>
          <w:tcPr>
            <w:tcW w:w="555" w:type="pct"/>
            <w:shd w:val="clear" w:color="auto" w:fill="auto"/>
          </w:tcPr>
          <w:p w14:paraId="4BC44865" w14:textId="77777777" w:rsidR="000509B9" w:rsidRPr="00CE28E3" w:rsidRDefault="000509B9" w:rsidP="00F46222">
            <w:pPr>
              <w:pStyle w:val="TableText"/>
              <w:rPr>
                <w:lang w:val="en-US"/>
              </w:rPr>
            </w:pPr>
            <w:r w:rsidRPr="00B807EA">
              <w:rPr>
                <w:lang w:val="en-US"/>
              </w:rPr>
              <w:t>ECOG-ACRIN E2211</w:t>
            </w:r>
            <w:r>
              <w:rPr>
                <w:rStyle w:val="FootnoteReference"/>
                <w:lang w:val="en-US"/>
              </w:rPr>
              <w:footnoteReference w:id="21"/>
            </w:r>
          </w:p>
        </w:tc>
        <w:tc>
          <w:tcPr>
            <w:tcW w:w="556" w:type="pct"/>
          </w:tcPr>
          <w:p w14:paraId="441A23A2" w14:textId="77777777" w:rsidR="000509B9" w:rsidRDefault="000509B9" w:rsidP="00F46222">
            <w:pPr>
              <w:pStyle w:val="TableText"/>
              <w:rPr>
                <w:lang w:val="en-US"/>
              </w:rPr>
            </w:pPr>
            <w:r w:rsidRPr="00831AD6">
              <w:t>TEM</w:t>
            </w:r>
          </w:p>
        </w:tc>
        <w:tc>
          <w:tcPr>
            <w:tcW w:w="556" w:type="pct"/>
          </w:tcPr>
          <w:p w14:paraId="39D5DFA2" w14:textId="77777777" w:rsidR="000509B9" w:rsidRDefault="000509B9" w:rsidP="00F46222">
            <w:pPr>
              <w:pStyle w:val="TableText"/>
              <w:rPr>
                <w:lang w:val="en-US"/>
              </w:rPr>
            </w:pPr>
            <w:r w:rsidRPr="00831AD6">
              <w:t>CAPTEM</w:t>
            </w:r>
          </w:p>
        </w:tc>
        <w:tc>
          <w:tcPr>
            <w:tcW w:w="556" w:type="pct"/>
            <w:shd w:val="clear" w:color="auto" w:fill="auto"/>
          </w:tcPr>
          <w:p w14:paraId="5CF12543" w14:textId="77777777" w:rsidR="000509B9" w:rsidRPr="00CE28E3" w:rsidRDefault="000509B9" w:rsidP="00F46222">
            <w:pPr>
              <w:pStyle w:val="TableText"/>
              <w:rPr>
                <w:lang w:val="en-US"/>
              </w:rPr>
            </w:pPr>
            <w:r>
              <w:rPr>
                <w:lang w:val="en-US"/>
              </w:rPr>
              <w:t>144</w:t>
            </w:r>
          </w:p>
        </w:tc>
        <w:tc>
          <w:tcPr>
            <w:tcW w:w="684" w:type="pct"/>
            <w:shd w:val="clear" w:color="auto" w:fill="auto"/>
          </w:tcPr>
          <w:p w14:paraId="2A2F6C42" w14:textId="77777777" w:rsidR="000509B9" w:rsidRPr="00CE28E3" w:rsidRDefault="000509B9" w:rsidP="00F46222">
            <w:pPr>
              <w:pStyle w:val="TableText"/>
              <w:rPr>
                <w:lang w:val="en-US"/>
              </w:rPr>
            </w:pPr>
            <w:r w:rsidRPr="00BD6F9F">
              <w:rPr>
                <w:lang w:val="en-US"/>
              </w:rPr>
              <w:t xml:space="preserve">Open-label, </w:t>
            </w:r>
            <w:proofErr w:type="spellStart"/>
            <w:r w:rsidRPr="00BD6F9F">
              <w:rPr>
                <w:lang w:val="en-US"/>
              </w:rPr>
              <w:t>multicent</w:t>
            </w:r>
            <w:r>
              <w:rPr>
                <w:lang w:val="en-US"/>
              </w:rPr>
              <w:t>re</w:t>
            </w:r>
            <w:proofErr w:type="spellEnd"/>
            <w:r w:rsidRPr="00BD6F9F">
              <w:rPr>
                <w:lang w:val="en-US"/>
              </w:rPr>
              <w:t xml:space="preserve"> </w:t>
            </w:r>
            <w:proofErr w:type="spellStart"/>
            <w:r w:rsidRPr="00BD6F9F">
              <w:rPr>
                <w:lang w:val="en-US"/>
              </w:rPr>
              <w:t>randomised</w:t>
            </w:r>
            <w:proofErr w:type="spellEnd"/>
            <w:r w:rsidRPr="00BD6F9F">
              <w:rPr>
                <w:lang w:val="en-US"/>
              </w:rPr>
              <w:t xml:space="preserve"> controlled trial</w:t>
            </w:r>
          </w:p>
        </w:tc>
        <w:tc>
          <w:tcPr>
            <w:tcW w:w="429" w:type="pct"/>
            <w:shd w:val="clear" w:color="auto" w:fill="auto"/>
          </w:tcPr>
          <w:p w14:paraId="7858EF8C"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06EACA52" w14:textId="77777777" w:rsidR="000509B9" w:rsidRPr="00CE28E3" w:rsidRDefault="000509B9" w:rsidP="00F46222">
            <w:pPr>
              <w:pStyle w:val="TableText"/>
              <w:rPr>
                <w:lang w:val="en-US"/>
              </w:rPr>
            </w:pPr>
            <w:proofErr w:type="spellStart"/>
            <w:r w:rsidRPr="00A647CE">
              <w:rPr>
                <w:rFonts w:cs="Arial"/>
                <w:bCs/>
                <w:snapToGrid w:val="0"/>
                <w:szCs w:val="20"/>
              </w:rPr>
              <w:t>pNET</w:t>
            </w:r>
            <w:proofErr w:type="spellEnd"/>
          </w:p>
        </w:tc>
        <w:tc>
          <w:tcPr>
            <w:tcW w:w="556" w:type="pct"/>
            <w:shd w:val="clear" w:color="auto" w:fill="auto"/>
          </w:tcPr>
          <w:p w14:paraId="78605406" w14:textId="77777777" w:rsidR="000509B9" w:rsidRPr="00CE28E3" w:rsidRDefault="000509B9" w:rsidP="00F46222">
            <w:pPr>
              <w:pStyle w:val="TableText"/>
              <w:rPr>
                <w:lang w:val="en-US"/>
              </w:rPr>
            </w:pPr>
            <w:r w:rsidRPr="00FD2E7E">
              <w:t>PFS</w:t>
            </w:r>
          </w:p>
        </w:tc>
        <w:tc>
          <w:tcPr>
            <w:tcW w:w="552" w:type="pct"/>
          </w:tcPr>
          <w:p w14:paraId="228458C7" w14:textId="77777777" w:rsidR="000509B9" w:rsidRPr="00FD2E7E" w:rsidRDefault="000509B9" w:rsidP="00F46222">
            <w:pPr>
              <w:pStyle w:val="TableText"/>
            </w:pPr>
            <w:r>
              <w:t>No</w:t>
            </w:r>
          </w:p>
        </w:tc>
      </w:tr>
      <w:tr w:rsidR="000509B9" w:rsidRPr="00FD2E7E" w14:paraId="7F440F46" w14:textId="77777777" w:rsidTr="00F46222">
        <w:trPr>
          <w:cantSplit/>
        </w:trPr>
        <w:tc>
          <w:tcPr>
            <w:tcW w:w="555" w:type="pct"/>
            <w:shd w:val="clear" w:color="auto" w:fill="auto"/>
          </w:tcPr>
          <w:p w14:paraId="40D13983" w14:textId="77777777" w:rsidR="000509B9" w:rsidRPr="00CE28E3" w:rsidRDefault="000509B9" w:rsidP="00F46222">
            <w:pPr>
              <w:pStyle w:val="TableText"/>
              <w:rPr>
                <w:lang w:val="en-US"/>
              </w:rPr>
            </w:pPr>
            <w:r w:rsidRPr="00B807EA">
              <w:rPr>
                <w:lang w:val="en-US"/>
              </w:rPr>
              <w:t>TOPIC-NEC</w:t>
            </w:r>
            <w:r>
              <w:rPr>
                <w:rStyle w:val="FootnoteReference"/>
                <w:lang w:val="en-US"/>
              </w:rPr>
              <w:footnoteReference w:id="22"/>
            </w:r>
          </w:p>
        </w:tc>
        <w:tc>
          <w:tcPr>
            <w:tcW w:w="556" w:type="pct"/>
          </w:tcPr>
          <w:p w14:paraId="35983FDD" w14:textId="77777777" w:rsidR="000509B9" w:rsidRDefault="000509B9" w:rsidP="00F46222">
            <w:pPr>
              <w:pStyle w:val="TableText"/>
              <w:rPr>
                <w:lang w:val="en-US"/>
              </w:rPr>
            </w:pPr>
            <w:r w:rsidRPr="00831AD6">
              <w:t xml:space="preserve">Etoposide + </w:t>
            </w:r>
            <w:r>
              <w:t>c</w:t>
            </w:r>
            <w:r w:rsidRPr="00831AD6">
              <w:t>isplatin</w:t>
            </w:r>
          </w:p>
        </w:tc>
        <w:tc>
          <w:tcPr>
            <w:tcW w:w="556" w:type="pct"/>
          </w:tcPr>
          <w:p w14:paraId="2CD6E2FE" w14:textId="77777777" w:rsidR="000509B9" w:rsidRDefault="000509B9" w:rsidP="00F46222">
            <w:pPr>
              <w:pStyle w:val="TableText"/>
              <w:rPr>
                <w:lang w:val="en-US"/>
              </w:rPr>
            </w:pPr>
            <w:r w:rsidRPr="00831AD6">
              <w:t>Irinotecan + cisplatin</w:t>
            </w:r>
          </w:p>
        </w:tc>
        <w:tc>
          <w:tcPr>
            <w:tcW w:w="556" w:type="pct"/>
            <w:shd w:val="clear" w:color="auto" w:fill="auto"/>
          </w:tcPr>
          <w:p w14:paraId="4ACEFEB8" w14:textId="77777777" w:rsidR="000509B9" w:rsidRPr="00CE28E3" w:rsidRDefault="000509B9" w:rsidP="00F46222">
            <w:pPr>
              <w:pStyle w:val="TableText"/>
              <w:rPr>
                <w:lang w:val="en-US"/>
              </w:rPr>
            </w:pPr>
            <w:r>
              <w:rPr>
                <w:lang w:val="en-US"/>
              </w:rPr>
              <w:t>170</w:t>
            </w:r>
          </w:p>
        </w:tc>
        <w:tc>
          <w:tcPr>
            <w:tcW w:w="684" w:type="pct"/>
            <w:shd w:val="clear" w:color="auto" w:fill="auto"/>
          </w:tcPr>
          <w:p w14:paraId="020EA786" w14:textId="77777777" w:rsidR="000509B9" w:rsidRPr="00CE28E3" w:rsidRDefault="000509B9" w:rsidP="00F46222">
            <w:pPr>
              <w:pStyle w:val="TableText"/>
              <w:rPr>
                <w:lang w:val="en-US"/>
              </w:rPr>
            </w:pPr>
            <w:proofErr w:type="spellStart"/>
            <w:r w:rsidRPr="00BD6F9F">
              <w:rPr>
                <w:lang w:val="en-US"/>
              </w:rPr>
              <w:t>Randomised</w:t>
            </w:r>
            <w:proofErr w:type="spellEnd"/>
            <w:r w:rsidRPr="00BD6F9F">
              <w:rPr>
                <w:lang w:val="en-US"/>
              </w:rPr>
              <w:t xml:space="preserve">, open-label, </w:t>
            </w:r>
            <w:proofErr w:type="spellStart"/>
            <w:r w:rsidRPr="00BD6F9F">
              <w:rPr>
                <w:lang w:val="en-US"/>
              </w:rPr>
              <w:t>multicent</w:t>
            </w:r>
            <w:r>
              <w:rPr>
                <w:lang w:val="en-US"/>
              </w:rPr>
              <w:t>re</w:t>
            </w:r>
            <w:proofErr w:type="spellEnd"/>
            <w:r w:rsidRPr="00BD6F9F">
              <w:rPr>
                <w:lang w:val="en-US"/>
              </w:rPr>
              <w:t xml:space="preserve"> clinical trial</w:t>
            </w:r>
          </w:p>
        </w:tc>
        <w:tc>
          <w:tcPr>
            <w:tcW w:w="429" w:type="pct"/>
            <w:shd w:val="clear" w:color="auto" w:fill="auto"/>
          </w:tcPr>
          <w:p w14:paraId="073D6885" w14:textId="77777777" w:rsidR="000509B9" w:rsidRPr="0095653C" w:rsidRDefault="000509B9" w:rsidP="00F46222">
            <w:pPr>
              <w:pStyle w:val="TableText"/>
              <w:rPr>
                <w:iCs/>
                <w:lang w:val="en-US"/>
              </w:rPr>
            </w:pPr>
            <w:r w:rsidRPr="0095653C">
              <w:rPr>
                <w:iCs/>
                <w:lang w:val="en-US"/>
              </w:rPr>
              <w:t>High</w:t>
            </w:r>
          </w:p>
        </w:tc>
        <w:tc>
          <w:tcPr>
            <w:tcW w:w="556" w:type="pct"/>
            <w:shd w:val="clear" w:color="auto" w:fill="auto"/>
          </w:tcPr>
          <w:p w14:paraId="59DF6992" w14:textId="77777777" w:rsidR="000509B9" w:rsidRPr="00CE28E3" w:rsidRDefault="000509B9" w:rsidP="00F46222">
            <w:pPr>
              <w:pStyle w:val="TableText"/>
              <w:rPr>
                <w:lang w:val="en-US"/>
              </w:rPr>
            </w:pPr>
            <w:r w:rsidRPr="00A647CE">
              <w:rPr>
                <w:rFonts w:cs="Arial"/>
                <w:bCs/>
                <w:snapToGrid w:val="0"/>
                <w:szCs w:val="20"/>
              </w:rPr>
              <w:t>Gastro-hepato-</w:t>
            </w:r>
            <w:proofErr w:type="spellStart"/>
            <w:r w:rsidRPr="00A647CE">
              <w:rPr>
                <w:rFonts w:cs="Arial"/>
                <w:bCs/>
                <w:snapToGrid w:val="0"/>
                <w:szCs w:val="20"/>
              </w:rPr>
              <w:t>pNET</w:t>
            </w:r>
            <w:proofErr w:type="spellEnd"/>
          </w:p>
        </w:tc>
        <w:tc>
          <w:tcPr>
            <w:tcW w:w="556" w:type="pct"/>
            <w:shd w:val="clear" w:color="auto" w:fill="auto"/>
          </w:tcPr>
          <w:p w14:paraId="6AE1D9CC" w14:textId="77777777" w:rsidR="000509B9" w:rsidRPr="00CE28E3" w:rsidRDefault="000509B9" w:rsidP="00F46222">
            <w:pPr>
              <w:pStyle w:val="TableText"/>
              <w:rPr>
                <w:lang w:val="en-US"/>
              </w:rPr>
            </w:pPr>
            <w:r w:rsidRPr="00FD2E7E">
              <w:t>OS</w:t>
            </w:r>
          </w:p>
        </w:tc>
        <w:tc>
          <w:tcPr>
            <w:tcW w:w="552" w:type="pct"/>
          </w:tcPr>
          <w:p w14:paraId="756D5ADF" w14:textId="77777777" w:rsidR="000509B9" w:rsidRPr="00FD2E7E" w:rsidRDefault="000509B9" w:rsidP="00F46222">
            <w:pPr>
              <w:pStyle w:val="TableText"/>
            </w:pPr>
            <w:r>
              <w:t>No</w:t>
            </w:r>
          </w:p>
        </w:tc>
      </w:tr>
      <w:tr w:rsidR="000509B9" w:rsidRPr="00FD2E7E" w14:paraId="7393E6B0" w14:textId="77777777" w:rsidTr="00F46222">
        <w:trPr>
          <w:cantSplit/>
        </w:trPr>
        <w:tc>
          <w:tcPr>
            <w:tcW w:w="555" w:type="pct"/>
            <w:shd w:val="clear" w:color="auto" w:fill="auto"/>
          </w:tcPr>
          <w:p w14:paraId="710AF0C7" w14:textId="77777777" w:rsidR="000509B9" w:rsidRPr="00CE28E3" w:rsidRDefault="000509B9" w:rsidP="00F46222">
            <w:pPr>
              <w:pStyle w:val="TableText"/>
              <w:rPr>
                <w:lang w:val="en-US"/>
              </w:rPr>
            </w:pPr>
            <w:r w:rsidRPr="00B807EA">
              <w:rPr>
                <w:lang w:val="en-US"/>
              </w:rPr>
              <w:t>RADIANT-2</w:t>
            </w:r>
            <w:r>
              <w:rPr>
                <w:rStyle w:val="FootnoteReference"/>
                <w:lang w:val="en-US"/>
              </w:rPr>
              <w:footnoteReference w:id="23"/>
            </w:r>
          </w:p>
        </w:tc>
        <w:tc>
          <w:tcPr>
            <w:tcW w:w="556" w:type="pct"/>
          </w:tcPr>
          <w:p w14:paraId="4BC40857" w14:textId="77777777" w:rsidR="000509B9" w:rsidRDefault="000509B9" w:rsidP="00F46222">
            <w:pPr>
              <w:pStyle w:val="TableText"/>
              <w:rPr>
                <w:lang w:val="en-US"/>
              </w:rPr>
            </w:pPr>
            <w:r w:rsidRPr="00831AD6">
              <w:t>OCT + EVO</w:t>
            </w:r>
          </w:p>
        </w:tc>
        <w:tc>
          <w:tcPr>
            <w:tcW w:w="556" w:type="pct"/>
          </w:tcPr>
          <w:p w14:paraId="3A80C9CC" w14:textId="77777777" w:rsidR="000509B9" w:rsidRDefault="000509B9" w:rsidP="00F46222">
            <w:pPr>
              <w:pStyle w:val="TableText"/>
              <w:rPr>
                <w:lang w:val="en-US"/>
              </w:rPr>
            </w:pPr>
            <w:r w:rsidRPr="00831AD6">
              <w:t>OCT+ PBO</w:t>
            </w:r>
          </w:p>
        </w:tc>
        <w:tc>
          <w:tcPr>
            <w:tcW w:w="556" w:type="pct"/>
            <w:shd w:val="clear" w:color="auto" w:fill="auto"/>
          </w:tcPr>
          <w:p w14:paraId="79CA68EE" w14:textId="77777777" w:rsidR="000509B9" w:rsidRPr="00CE28E3" w:rsidRDefault="000509B9" w:rsidP="00F46222">
            <w:pPr>
              <w:pStyle w:val="TableText"/>
              <w:rPr>
                <w:lang w:val="en-US"/>
              </w:rPr>
            </w:pPr>
            <w:r>
              <w:rPr>
                <w:lang w:val="en-US"/>
              </w:rPr>
              <w:t>429</w:t>
            </w:r>
          </w:p>
        </w:tc>
        <w:tc>
          <w:tcPr>
            <w:tcW w:w="684" w:type="pct"/>
            <w:shd w:val="clear" w:color="auto" w:fill="auto"/>
          </w:tcPr>
          <w:p w14:paraId="652859C9" w14:textId="77777777" w:rsidR="000509B9" w:rsidRPr="00CE28E3" w:rsidRDefault="000509B9" w:rsidP="00F46222">
            <w:pPr>
              <w:pStyle w:val="TableText"/>
              <w:rPr>
                <w:lang w:val="en-US"/>
              </w:rPr>
            </w:pPr>
            <w:proofErr w:type="spellStart"/>
            <w:r w:rsidRPr="00BD6F9F">
              <w:rPr>
                <w:lang w:val="en-US"/>
              </w:rPr>
              <w:t>Multicentre</w:t>
            </w:r>
            <w:proofErr w:type="spellEnd"/>
            <w:r w:rsidRPr="00BD6F9F">
              <w:rPr>
                <w:lang w:val="en-US"/>
              </w:rPr>
              <w:t xml:space="preserve">, double-blind, </w:t>
            </w:r>
            <w:proofErr w:type="spellStart"/>
            <w:r>
              <w:rPr>
                <w:lang w:val="en-US"/>
              </w:rPr>
              <w:t>randomised</w:t>
            </w:r>
            <w:proofErr w:type="spellEnd"/>
            <w:r>
              <w:rPr>
                <w:lang w:val="en-US"/>
              </w:rPr>
              <w:t xml:space="preserve"> trial</w:t>
            </w:r>
          </w:p>
        </w:tc>
        <w:tc>
          <w:tcPr>
            <w:tcW w:w="429" w:type="pct"/>
            <w:shd w:val="clear" w:color="auto" w:fill="auto"/>
          </w:tcPr>
          <w:p w14:paraId="58096071" w14:textId="77777777" w:rsidR="000509B9" w:rsidRPr="0095653C" w:rsidRDefault="000509B9" w:rsidP="00F46222">
            <w:pPr>
              <w:pStyle w:val="TableText"/>
              <w:rPr>
                <w:iCs/>
                <w:lang w:val="en-US"/>
              </w:rPr>
            </w:pPr>
            <w:r w:rsidRPr="0095653C">
              <w:rPr>
                <w:iCs/>
                <w:lang w:val="en-US"/>
              </w:rPr>
              <w:t>High</w:t>
            </w:r>
          </w:p>
        </w:tc>
        <w:tc>
          <w:tcPr>
            <w:tcW w:w="556" w:type="pct"/>
            <w:shd w:val="clear" w:color="auto" w:fill="auto"/>
          </w:tcPr>
          <w:p w14:paraId="7AC5A285" w14:textId="77777777" w:rsidR="000509B9" w:rsidRPr="00CE28E3" w:rsidRDefault="000509B9" w:rsidP="00F46222">
            <w:pPr>
              <w:pStyle w:val="TableText"/>
              <w:rPr>
                <w:lang w:val="en-US"/>
              </w:rPr>
            </w:pPr>
            <w:r w:rsidRPr="00A647CE">
              <w:rPr>
                <w:rFonts w:cs="Arial"/>
                <w:bCs/>
                <w:snapToGrid w:val="0"/>
                <w:szCs w:val="20"/>
              </w:rPr>
              <w:t>NET with carcinoid syndrome</w:t>
            </w:r>
          </w:p>
        </w:tc>
        <w:tc>
          <w:tcPr>
            <w:tcW w:w="556" w:type="pct"/>
            <w:shd w:val="clear" w:color="auto" w:fill="auto"/>
          </w:tcPr>
          <w:p w14:paraId="0AF8AF7F" w14:textId="77777777" w:rsidR="000509B9" w:rsidRPr="00CE28E3" w:rsidRDefault="000509B9" w:rsidP="00F46222">
            <w:pPr>
              <w:pStyle w:val="TableText"/>
              <w:rPr>
                <w:lang w:val="en-US"/>
              </w:rPr>
            </w:pPr>
            <w:r w:rsidRPr="00FD2E7E">
              <w:t>PFS</w:t>
            </w:r>
          </w:p>
        </w:tc>
        <w:tc>
          <w:tcPr>
            <w:tcW w:w="552" w:type="pct"/>
          </w:tcPr>
          <w:p w14:paraId="01715343" w14:textId="77777777" w:rsidR="000509B9" w:rsidRPr="00FD2E7E" w:rsidRDefault="000509B9" w:rsidP="00F46222">
            <w:pPr>
              <w:pStyle w:val="TableText"/>
            </w:pPr>
            <w:r>
              <w:t>Yes</w:t>
            </w:r>
          </w:p>
        </w:tc>
      </w:tr>
      <w:tr w:rsidR="000509B9" w:rsidRPr="00FD2E7E" w14:paraId="725D899F" w14:textId="77777777" w:rsidTr="00F46222">
        <w:trPr>
          <w:cantSplit/>
        </w:trPr>
        <w:tc>
          <w:tcPr>
            <w:tcW w:w="555" w:type="pct"/>
            <w:shd w:val="clear" w:color="auto" w:fill="auto"/>
          </w:tcPr>
          <w:p w14:paraId="0C05D45F" w14:textId="77777777" w:rsidR="000509B9" w:rsidRPr="00CE28E3" w:rsidRDefault="000509B9" w:rsidP="00F46222">
            <w:pPr>
              <w:pStyle w:val="TableText"/>
              <w:rPr>
                <w:lang w:val="en-US"/>
              </w:rPr>
            </w:pPr>
            <w:r w:rsidRPr="00B807EA">
              <w:rPr>
                <w:lang w:val="en-US"/>
              </w:rPr>
              <w:lastRenderedPageBreak/>
              <w:t>ECOG-ACRIN EA2142</w:t>
            </w:r>
            <w:r>
              <w:rPr>
                <w:rStyle w:val="FootnoteReference"/>
                <w:lang w:val="en-US"/>
              </w:rPr>
              <w:footnoteReference w:id="24"/>
            </w:r>
          </w:p>
        </w:tc>
        <w:tc>
          <w:tcPr>
            <w:tcW w:w="556" w:type="pct"/>
          </w:tcPr>
          <w:p w14:paraId="56B0E4DA" w14:textId="77777777" w:rsidR="000509B9" w:rsidRDefault="000509B9" w:rsidP="00F46222">
            <w:pPr>
              <w:pStyle w:val="TableText"/>
              <w:rPr>
                <w:lang w:val="en-US"/>
              </w:rPr>
            </w:pPr>
            <w:r w:rsidRPr="00831AD6">
              <w:t>CAPTEM</w:t>
            </w:r>
          </w:p>
        </w:tc>
        <w:tc>
          <w:tcPr>
            <w:tcW w:w="556" w:type="pct"/>
          </w:tcPr>
          <w:p w14:paraId="5B485CB4" w14:textId="77777777" w:rsidR="000509B9" w:rsidRDefault="000509B9" w:rsidP="00F46222">
            <w:pPr>
              <w:pStyle w:val="TableText"/>
              <w:rPr>
                <w:lang w:val="en-US"/>
              </w:rPr>
            </w:pPr>
            <w:r w:rsidRPr="00831AD6">
              <w:t>Etoposide</w:t>
            </w:r>
            <w:r>
              <w:t xml:space="preserve"> </w:t>
            </w:r>
            <w:r w:rsidRPr="00831AD6">
              <w:t>+ cisplatin</w:t>
            </w:r>
            <w:r>
              <w:t xml:space="preserve"> </w:t>
            </w:r>
            <w:r w:rsidRPr="00831AD6">
              <w:t>/</w:t>
            </w:r>
            <w:r>
              <w:t xml:space="preserve"> </w:t>
            </w:r>
            <w:r w:rsidRPr="00831AD6">
              <w:t>carboplatin</w:t>
            </w:r>
          </w:p>
        </w:tc>
        <w:tc>
          <w:tcPr>
            <w:tcW w:w="556" w:type="pct"/>
            <w:shd w:val="clear" w:color="auto" w:fill="auto"/>
          </w:tcPr>
          <w:p w14:paraId="0219599C" w14:textId="77777777" w:rsidR="000509B9" w:rsidRPr="00CE28E3" w:rsidRDefault="000509B9" w:rsidP="00F46222">
            <w:pPr>
              <w:pStyle w:val="TableText"/>
              <w:rPr>
                <w:lang w:val="en-US"/>
              </w:rPr>
            </w:pPr>
            <w:r>
              <w:rPr>
                <w:lang w:val="en-US"/>
              </w:rPr>
              <w:t>67</w:t>
            </w:r>
          </w:p>
        </w:tc>
        <w:tc>
          <w:tcPr>
            <w:tcW w:w="684" w:type="pct"/>
            <w:shd w:val="clear" w:color="auto" w:fill="auto"/>
          </w:tcPr>
          <w:p w14:paraId="218F5E96" w14:textId="77777777" w:rsidR="000509B9" w:rsidRPr="00CE28E3" w:rsidRDefault="000509B9" w:rsidP="00F46222">
            <w:pPr>
              <w:pStyle w:val="TableText"/>
              <w:rPr>
                <w:lang w:val="en-US"/>
              </w:rPr>
            </w:pPr>
            <w:proofErr w:type="spellStart"/>
            <w:r w:rsidRPr="00BD6F9F">
              <w:rPr>
                <w:lang w:val="en-US"/>
              </w:rPr>
              <w:t>Multicentre</w:t>
            </w:r>
            <w:proofErr w:type="spellEnd"/>
            <w:r w:rsidRPr="00BD6F9F">
              <w:rPr>
                <w:lang w:val="en-US"/>
              </w:rPr>
              <w:t xml:space="preserve">, </w:t>
            </w:r>
            <w:proofErr w:type="spellStart"/>
            <w:r w:rsidRPr="00BD6F9F">
              <w:rPr>
                <w:lang w:val="en-US"/>
              </w:rPr>
              <w:t>randomised</w:t>
            </w:r>
            <w:proofErr w:type="spellEnd"/>
            <w:r w:rsidRPr="00BD6F9F">
              <w:rPr>
                <w:lang w:val="en-US"/>
              </w:rPr>
              <w:t xml:space="preserve"> controlled trial</w:t>
            </w:r>
          </w:p>
        </w:tc>
        <w:tc>
          <w:tcPr>
            <w:tcW w:w="429" w:type="pct"/>
            <w:shd w:val="clear" w:color="auto" w:fill="auto"/>
          </w:tcPr>
          <w:p w14:paraId="142C5AB8"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04A0EE22" w14:textId="77777777" w:rsidR="000509B9" w:rsidRPr="00CE28E3" w:rsidRDefault="000509B9" w:rsidP="00F46222">
            <w:pPr>
              <w:pStyle w:val="TableText"/>
              <w:rPr>
                <w:lang w:val="en-US"/>
              </w:rPr>
            </w:pPr>
            <w:r w:rsidRPr="00A647CE">
              <w:rPr>
                <w:rFonts w:cs="Arial"/>
                <w:bCs/>
                <w:snapToGrid w:val="0"/>
                <w:szCs w:val="20"/>
              </w:rPr>
              <w:t>GEP</w:t>
            </w:r>
            <w:r>
              <w:rPr>
                <w:rFonts w:cs="Arial"/>
                <w:bCs/>
                <w:snapToGrid w:val="0"/>
                <w:szCs w:val="20"/>
              </w:rPr>
              <w:t>-</w:t>
            </w:r>
            <w:r w:rsidRPr="00A647CE">
              <w:rPr>
                <w:rFonts w:cs="Arial"/>
                <w:bCs/>
                <w:snapToGrid w:val="0"/>
                <w:szCs w:val="20"/>
              </w:rPr>
              <w:t>NET</w:t>
            </w:r>
          </w:p>
        </w:tc>
        <w:tc>
          <w:tcPr>
            <w:tcW w:w="556" w:type="pct"/>
            <w:shd w:val="clear" w:color="auto" w:fill="auto"/>
          </w:tcPr>
          <w:p w14:paraId="2CDC450D" w14:textId="77777777" w:rsidR="000509B9" w:rsidRPr="00CE28E3" w:rsidRDefault="000509B9" w:rsidP="00F46222">
            <w:pPr>
              <w:pStyle w:val="TableText"/>
              <w:rPr>
                <w:lang w:val="en-US"/>
              </w:rPr>
            </w:pPr>
            <w:r w:rsidRPr="00FD2E7E">
              <w:t>PFS</w:t>
            </w:r>
          </w:p>
        </w:tc>
        <w:tc>
          <w:tcPr>
            <w:tcW w:w="552" w:type="pct"/>
          </w:tcPr>
          <w:p w14:paraId="1951CE21" w14:textId="77777777" w:rsidR="000509B9" w:rsidRPr="00FD2E7E" w:rsidRDefault="000509B9" w:rsidP="00F46222">
            <w:pPr>
              <w:pStyle w:val="TableText"/>
            </w:pPr>
            <w:r>
              <w:t>No</w:t>
            </w:r>
          </w:p>
        </w:tc>
      </w:tr>
      <w:tr w:rsidR="000509B9" w:rsidRPr="00125E51" w14:paraId="3A18FDD8" w14:textId="77777777" w:rsidTr="00F46222">
        <w:trPr>
          <w:cantSplit/>
        </w:trPr>
        <w:tc>
          <w:tcPr>
            <w:tcW w:w="555" w:type="pct"/>
            <w:shd w:val="clear" w:color="auto" w:fill="auto"/>
          </w:tcPr>
          <w:p w14:paraId="09759D77" w14:textId="77777777" w:rsidR="000509B9" w:rsidRPr="00CE28E3" w:rsidRDefault="000509B9" w:rsidP="00F46222">
            <w:pPr>
              <w:pStyle w:val="TableText"/>
              <w:rPr>
                <w:lang w:val="en-US"/>
              </w:rPr>
            </w:pPr>
            <w:r w:rsidRPr="008E7ECD">
              <w:rPr>
                <w:lang w:val="en-US"/>
              </w:rPr>
              <w:t>REMINET</w:t>
            </w:r>
            <w:r>
              <w:rPr>
                <w:rStyle w:val="FootnoteReference"/>
                <w:lang w:val="en-US"/>
              </w:rPr>
              <w:footnoteReference w:id="25"/>
            </w:r>
          </w:p>
        </w:tc>
        <w:tc>
          <w:tcPr>
            <w:tcW w:w="556" w:type="pct"/>
          </w:tcPr>
          <w:p w14:paraId="002685B9" w14:textId="77777777" w:rsidR="000509B9" w:rsidRDefault="000509B9" w:rsidP="00F46222">
            <w:pPr>
              <w:pStyle w:val="TableText"/>
              <w:rPr>
                <w:lang w:val="en-US"/>
              </w:rPr>
            </w:pPr>
            <w:r w:rsidRPr="00831AD6">
              <w:t>LAN</w:t>
            </w:r>
          </w:p>
        </w:tc>
        <w:tc>
          <w:tcPr>
            <w:tcW w:w="556" w:type="pct"/>
          </w:tcPr>
          <w:p w14:paraId="60E4B31E" w14:textId="77777777" w:rsidR="000509B9" w:rsidRDefault="000509B9" w:rsidP="00F46222">
            <w:pPr>
              <w:pStyle w:val="TableText"/>
              <w:rPr>
                <w:lang w:val="en-US"/>
              </w:rPr>
            </w:pPr>
            <w:r w:rsidRPr="00831AD6">
              <w:t>PBO</w:t>
            </w:r>
          </w:p>
        </w:tc>
        <w:tc>
          <w:tcPr>
            <w:tcW w:w="556" w:type="pct"/>
            <w:shd w:val="clear" w:color="auto" w:fill="auto"/>
          </w:tcPr>
          <w:p w14:paraId="40B8667C" w14:textId="77777777" w:rsidR="000509B9" w:rsidRPr="00CE28E3" w:rsidRDefault="000509B9" w:rsidP="00F46222">
            <w:pPr>
              <w:pStyle w:val="TableText"/>
              <w:rPr>
                <w:lang w:val="en-US"/>
              </w:rPr>
            </w:pPr>
            <w:r>
              <w:rPr>
                <w:lang w:val="en-US"/>
              </w:rPr>
              <w:t>53</w:t>
            </w:r>
          </w:p>
        </w:tc>
        <w:tc>
          <w:tcPr>
            <w:tcW w:w="684" w:type="pct"/>
            <w:shd w:val="clear" w:color="auto" w:fill="auto"/>
          </w:tcPr>
          <w:p w14:paraId="7D406A13" w14:textId="77777777" w:rsidR="000509B9" w:rsidRPr="00CE28E3" w:rsidRDefault="000509B9" w:rsidP="00F46222">
            <w:pPr>
              <w:pStyle w:val="TableText"/>
              <w:rPr>
                <w:lang w:val="en-US"/>
              </w:rPr>
            </w:pPr>
            <w:proofErr w:type="spellStart"/>
            <w:r w:rsidRPr="004543B4">
              <w:rPr>
                <w:lang w:val="en-US"/>
              </w:rPr>
              <w:t>Multicentre</w:t>
            </w:r>
            <w:proofErr w:type="spellEnd"/>
            <w:r w:rsidRPr="004543B4">
              <w:rPr>
                <w:lang w:val="en-US"/>
              </w:rPr>
              <w:t xml:space="preserve">, </w:t>
            </w:r>
            <w:proofErr w:type="spellStart"/>
            <w:r w:rsidRPr="004543B4">
              <w:rPr>
                <w:lang w:val="en-US"/>
              </w:rPr>
              <w:t>randomised</w:t>
            </w:r>
            <w:proofErr w:type="spellEnd"/>
            <w:r w:rsidRPr="004543B4">
              <w:rPr>
                <w:lang w:val="en-US"/>
              </w:rPr>
              <w:t>, controlled trial</w:t>
            </w:r>
          </w:p>
        </w:tc>
        <w:tc>
          <w:tcPr>
            <w:tcW w:w="429" w:type="pct"/>
            <w:shd w:val="clear" w:color="auto" w:fill="auto"/>
          </w:tcPr>
          <w:p w14:paraId="2B326299"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46FD5F9F" w14:textId="77777777" w:rsidR="000509B9" w:rsidRPr="00CE28E3" w:rsidRDefault="000509B9" w:rsidP="00F46222">
            <w:pPr>
              <w:pStyle w:val="TableText"/>
              <w:rPr>
                <w:lang w:val="en-US"/>
              </w:rPr>
            </w:pPr>
            <w:proofErr w:type="spellStart"/>
            <w:r w:rsidRPr="004543B4">
              <w:rPr>
                <w:lang w:val="en-US"/>
              </w:rPr>
              <w:t>Duodeno-pNET</w:t>
            </w:r>
            <w:proofErr w:type="spellEnd"/>
          </w:p>
        </w:tc>
        <w:tc>
          <w:tcPr>
            <w:tcW w:w="556" w:type="pct"/>
            <w:shd w:val="clear" w:color="auto" w:fill="auto"/>
          </w:tcPr>
          <w:p w14:paraId="014A4104" w14:textId="77777777" w:rsidR="000509B9" w:rsidRPr="00CE28E3" w:rsidRDefault="000509B9" w:rsidP="00F46222">
            <w:pPr>
              <w:pStyle w:val="TableText"/>
              <w:rPr>
                <w:lang w:val="en-US"/>
              </w:rPr>
            </w:pPr>
            <w:r w:rsidRPr="00125E51">
              <w:t>PFS</w:t>
            </w:r>
          </w:p>
        </w:tc>
        <w:tc>
          <w:tcPr>
            <w:tcW w:w="552" w:type="pct"/>
          </w:tcPr>
          <w:p w14:paraId="18ACD94C" w14:textId="77777777" w:rsidR="000509B9" w:rsidRPr="00125E51" w:rsidRDefault="000509B9" w:rsidP="00F46222">
            <w:pPr>
              <w:pStyle w:val="TableText"/>
            </w:pPr>
            <w:r>
              <w:t>Yes</w:t>
            </w:r>
          </w:p>
        </w:tc>
      </w:tr>
      <w:tr w:rsidR="000509B9" w:rsidRPr="00125E51" w14:paraId="6D275009" w14:textId="77777777" w:rsidTr="00F46222">
        <w:trPr>
          <w:cantSplit/>
        </w:trPr>
        <w:tc>
          <w:tcPr>
            <w:tcW w:w="555" w:type="pct"/>
            <w:shd w:val="clear" w:color="auto" w:fill="auto"/>
          </w:tcPr>
          <w:p w14:paraId="6BCF2683" w14:textId="77777777" w:rsidR="000509B9" w:rsidRPr="00CE28E3" w:rsidRDefault="000509B9" w:rsidP="00F46222">
            <w:pPr>
              <w:pStyle w:val="TableText"/>
              <w:rPr>
                <w:lang w:val="en-US"/>
              </w:rPr>
            </w:pPr>
            <w:r w:rsidRPr="008E7ECD">
              <w:rPr>
                <w:lang w:val="en-US"/>
              </w:rPr>
              <w:t>RADIANT-3</w:t>
            </w:r>
            <w:r>
              <w:rPr>
                <w:rStyle w:val="FootnoteReference"/>
                <w:lang w:val="en-US"/>
              </w:rPr>
              <w:footnoteReference w:id="26"/>
            </w:r>
          </w:p>
        </w:tc>
        <w:tc>
          <w:tcPr>
            <w:tcW w:w="556" w:type="pct"/>
          </w:tcPr>
          <w:p w14:paraId="05056C6D" w14:textId="77777777" w:rsidR="000509B9" w:rsidRDefault="000509B9" w:rsidP="00F46222">
            <w:pPr>
              <w:pStyle w:val="TableText"/>
              <w:rPr>
                <w:lang w:val="en-US"/>
              </w:rPr>
            </w:pPr>
            <w:r w:rsidRPr="00831AD6">
              <w:t>EV</w:t>
            </w:r>
            <w:r>
              <w:t>O</w:t>
            </w:r>
            <w:r w:rsidRPr="00831AD6">
              <w:t xml:space="preserve"> +</w:t>
            </w:r>
            <w:r>
              <w:t xml:space="preserve"> </w:t>
            </w:r>
            <w:r w:rsidRPr="00831AD6">
              <w:t>BSC</w:t>
            </w:r>
          </w:p>
        </w:tc>
        <w:tc>
          <w:tcPr>
            <w:tcW w:w="556" w:type="pct"/>
          </w:tcPr>
          <w:p w14:paraId="3C1D3663" w14:textId="77777777" w:rsidR="000509B9" w:rsidRDefault="000509B9" w:rsidP="00F46222">
            <w:pPr>
              <w:pStyle w:val="TableText"/>
              <w:rPr>
                <w:lang w:val="en-US"/>
              </w:rPr>
            </w:pPr>
            <w:r w:rsidRPr="00831AD6">
              <w:t>PBO</w:t>
            </w:r>
            <w:r>
              <w:t xml:space="preserve"> </w:t>
            </w:r>
            <w:r w:rsidRPr="00831AD6">
              <w:t>+</w:t>
            </w:r>
            <w:r>
              <w:t xml:space="preserve"> </w:t>
            </w:r>
            <w:r w:rsidRPr="00831AD6">
              <w:t>BSC</w:t>
            </w:r>
          </w:p>
        </w:tc>
        <w:tc>
          <w:tcPr>
            <w:tcW w:w="556" w:type="pct"/>
            <w:shd w:val="clear" w:color="auto" w:fill="auto"/>
          </w:tcPr>
          <w:p w14:paraId="47BC54EC" w14:textId="77777777" w:rsidR="000509B9" w:rsidRPr="00CE28E3" w:rsidRDefault="000509B9" w:rsidP="00F46222">
            <w:pPr>
              <w:pStyle w:val="TableText"/>
              <w:rPr>
                <w:lang w:val="en-US"/>
              </w:rPr>
            </w:pPr>
            <w:r>
              <w:rPr>
                <w:lang w:val="en-US"/>
              </w:rPr>
              <w:t>410</w:t>
            </w:r>
          </w:p>
        </w:tc>
        <w:tc>
          <w:tcPr>
            <w:tcW w:w="684" w:type="pct"/>
            <w:shd w:val="clear" w:color="auto" w:fill="auto"/>
          </w:tcPr>
          <w:p w14:paraId="1F12BD39" w14:textId="77777777" w:rsidR="000509B9" w:rsidRPr="00CE28E3" w:rsidRDefault="000509B9" w:rsidP="00F46222">
            <w:pPr>
              <w:pStyle w:val="TableText"/>
              <w:rPr>
                <w:lang w:val="en-US"/>
              </w:rPr>
            </w:pPr>
            <w:r w:rsidRPr="004543B4">
              <w:rPr>
                <w:lang w:val="en-US"/>
              </w:rPr>
              <w:t xml:space="preserve">International, </w:t>
            </w:r>
            <w:proofErr w:type="spellStart"/>
            <w:r w:rsidRPr="004543B4">
              <w:rPr>
                <w:lang w:val="en-US"/>
              </w:rPr>
              <w:t>multicent</w:t>
            </w:r>
            <w:r>
              <w:rPr>
                <w:lang w:val="en-US"/>
              </w:rPr>
              <w:t>re</w:t>
            </w:r>
            <w:proofErr w:type="spellEnd"/>
            <w:r w:rsidRPr="004543B4">
              <w:rPr>
                <w:lang w:val="en-US"/>
              </w:rPr>
              <w:t>, quadruple masking, parallel study</w:t>
            </w:r>
          </w:p>
        </w:tc>
        <w:tc>
          <w:tcPr>
            <w:tcW w:w="429" w:type="pct"/>
            <w:shd w:val="clear" w:color="auto" w:fill="auto"/>
          </w:tcPr>
          <w:p w14:paraId="2CF2053B"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5BBF73E3" w14:textId="77777777" w:rsidR="000509B9" w:rsidRPr="00CE28E3" w:rsidRDefault="000509B9" w:rsidP="00F46222">
            <w:pPr>
              <w:pStyle w:val="TableText"/>
              <w:rPr>
                <w:lang w:val="en-US"/>
              </w:rPr>
            </w:pPr>
            <w:proofErr w:type="spellStart"/>
            <w:r w:rsidRPr="008E510C">
              <w:t>pNET</w:t>
            </w:r>
            <w:proofErr w:type="spellEnd"/>
          </w:p>
        </w:tc>
        <w:tc>
          <w:tcPr>
            <w:tcW w:w="556" w:type="pct"/>
            <w:shd w:val="clear" w:color="auto" w:fill="auto"/>
          </w:tcPr>
          <w:p w14:paraId="5ACDA1EE" w14:textId="77777777" w:rsidR="000509B9" w:rsidRPr="00CE28E3" w:rsidRDefault="000509B9" w:rsidP="00F46222">
            <w:pPr>
              <w:pStyle w:val="TableText"/>
              <w:rPr>
                <w:lang w:val="en-US"/>
              </w:rPr>
            </w:pPr>
            <w:r w:rsidRPr="00125E51">
              <w:t>PFS</w:t>
            </w:r>
          </w:p>
        </w:tc>
        <w:tc>
          <w:tcPr>
            <w:tcW w:w="552" w:type="pct"/>
          </w:tcPr>
          <w:p w14:paraId="1DCA18D4" w14:textId="77777777" w:rsidR="000509B9" w:rsidRPr="00125E51" w:rsidRDefault="000509B9" w:rsidP="00F46222">
            <w:pPr>
              <w:pStyle w:val="TableText"/>
            </w:pPr>
            <w:r>
              <w:t>Yes</w:t>
            </w:r>
          </w:p>
        </w:tc>
      </w:tr>
      <w:tr w:rsidR="000509B9" w:rsidRPr="00125E51" w14:paraId="44C73CF2" w14:textId="77777777" w:rsidTr="00F46222">
        <w:trPr>
          <w:cantSplit/>
          <w:trHeight w:val="73"/>
        </w:trPr>
        <w:tc>
          <w:tcPr>
            <w:tcW w:w="555" w:type="pct"/>
            <w:shd w:val="clear" w:color="auto" w:fill="auto"/>
          </w:tcPr>
          <w:p w14:paraId="18364D00" w14:textId="77777777" w:rsidR="000509B9" w:rsidRPr="00CE28E3" w:rsidRDefault="000509B9" w:rsidP="00F46222">
            <w:pPr>
              <w:pStyle w:val="TableText"/>
              <w:rPr>
                <w:lang w:val="en-US"/>
              </w:rPr>
            </w:pPr>
            <w:r w:rsidRPr="008E7ECD">
              <w:rPr>
                <w:lang w:val="en-US"/>
              </w:rPr>
              <w:t>RADIANT-4</w:t>
            </w:r>
            <w:r>
              <w:rPr>
                <w:rStyle w:val="FootnoteReference"/>
                <w:lang w:val="en-US"/>
              </w:rPr>
              <w:footnoteReference w:id="27"/>
            </w:r>
          </w:p>
        </w:tc>
        <w:tc>
          <w:tcPr>
            <w:tcW w:w="556" w:type="pct"/>
          </w:tcPr>
          <w:p w14:paraId="7634C9D8" w14:textId="77777777" w:rsidR="000509B9" w:rsidRDefault="000509B9" w:rsidP="00F46222">
            <w:pPr>
              <w:pStyle w:val="TableText"/>
              <w:rPr>
                <w:lang w:val="en-US"/>
              </w:rPr>
            </w:pPr>
            <w:r w:rsidRPr="00831AD6">
              <w:t>EV</w:t>
            </w:r>
            <w:r>
              <w:t xml:space="preserve">O </w:t>
            </w:r>
            <w:r w:rsidRPr="00831AD6">
              <w:t>+</w:t>
            </w:r>
            <w:r>
              <w:t xml:space="preserve"> </w:t>
            </w:r>
            <w:r w:rsidRPr="00831AD6">
              <w:t>BSC</w:t>
            </w:r>
          </w:p>
        </w:tc>
        <w:tc>
          <w:tcPr>
            <w:tcW w:w="556" w:type="pct"/>
          </w:tcPr>
          <w:p w14:paraId="6230634B" w14:textId="77777777" w:rsidR="000509B9" w:rsidRDefault="000509B9" w:rsidP="00F46222">
            <w:pPr>
              <w:pStyle w:val="TableText"/>
              <w:rPr>
                <w:lang w:val="en-US"/>
              </w:rPr>
            </w:pPr>
            <w:r w:rsidRPr="00831AD6">
              <w:t>PBO</w:t>
            </w:r>
            <w:r>
              <w:t xml:space="preserve"> </w:t>
            </w:r>
            <w:r w:rsidRPr="00831AD6">
              <w:t>+</w:t>
            </w:r>
            <w:r>
              <w:t xml:space="preserve"> </w:t>
            </w:r>
            <w:r w:rsidRPr="00831AD6">
              <w:t>BSC</w:t>
            </w:r>
          </w:p>
        </w:tc>
        <w:tc>
          <w:tcPr>
            <w:tcW w:w="556" w:type="pct"/>
            <w:shd w:val="clear" w:color="auto" w:fill="auto"/>
          </w:tcPr>
          <w:p w14:paraId="755E2FF3" w14:textId="77777777" w:rsidR="000509B9" w:rsidRPr="00CE28E3" w:rsidRDefault="000509B9" w:rsidP="00F46222">
            <w:pPr>
              <w:pStyle w:val="TableText"/>
              <w:rPr>
                <w:lang w:val="en-US"/>
              </w:rPr>
            </w:pPr>
            <w:r>
              <w:rPr>
                <w:lang w:val="en-US"/>
              </w:rPr>
              <w:t>302</w:t>
            </w:r>
          </w:p>
        </w:tc>
        <w:tc>
          <w:tcPr>
            <w:tcW w:w="684" w:type="pct"/>
            <w:shd w:val="clear" w:color="auto" w:fill="auto"/>
          </w:tcPr>
          <w:p w14:paraId="39627936" w14:textId="77777777" w:rsidR="000509B9" w:rsidRPr="00CE28E3" w:rsidRDefault="000509B9" w:rsidP="00F46222">
            <w:pPr>
              <w:pStyle w:val="TableText"/>
              <w:rPr>
                <w:lang w:val="en-US"/>
              </w:rPr>
            </w:pPr>
            <w:r w:rsidRPr="004543B4">
              <w:rPr>
                <w:lang w:val="en-US"/>
              </w:rPr>
              <w:t xml:space="preserve">International, </w:t>
            </w:r>
            <w:proofErr w:type="spellStart"/>
            <w:r w:rsidRPr="004543B4">
              <w:rPr>
                <w:lang w:val="en-US"/>
              </w:rPr>
              <w:t>multicentre</w:t>
            </w:r>
            <w:proofErr w:type="spellEnd"/>
            <w:r w:rsidRPr="004543B4">
              <w:rPr>
                <w:lang w:val="en-US"/>
              </w:rPr>
              <w:t>, double-blind, phase 3 study</w:t>
            </w:r>
          </w:p>
        </w:tc>
        <w:tc>
          <w:tcPr>
            <w:tcW w:w="429" w:type="pct"/>
            <w:shd w:val="clear" w:color="auto" w:fill="auto"/>
          </w:tcPr>
          <w:p w14:paraId="11D0D0E1"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12EA0D6D" w14:textId="77777777" w:rsidR="000509B9" w:rsidRPr="00CE28E3" w:rsidRDefault="000509B9" w:rsidP="00F46222">
            <w:pPr>
              <w:pStyle w:val="TableText"/>
              <w:rPr>
                <w:lang w:val="en-US"/>
              </w:rPr>
            </w:pPr>
            <w:r w:rsidRPr="008E510C">
              <w:t xml:space="preserve">GI and </w:t>
            </w:r>
            <w:r>
              <w:t>l</w:t>
            </w:r>
            <w:r w:rsidRPr="008E510C">
              <w:t>ung NET</w:t>
            </w:r>
          </w:p>
        </w:tc>
        <w:tc>
          <w:tcPr>
            <w:tcW w:w="556" w:type="pct"/>
            <w:shd w:val="clear" w:color="auto" w:fill="auto"/>
          </w:tcPr>
          <w:p w14:paraId="3811BF3A" w14:textId="77777777" w:rsidR="000509B9" w:rsidRPr="00CE28E3" w:rsidRDefault="000509B9" w:rsidP="00F46222">
            <w:pPr>
              <w:pStyle w:val="TableText"/>
              <w:rPr>
                <w:lang w:val="en-US"/>
              </w:rPr>
            </w:pPr>
            <w:r w:rsidRPr="00125E51">
              <w:t xml:space="preserve"> ORR</w:t>
            </w:r>
          </w:p>
        </w:tc>
        <w:tc>
          <w:tcPr>
            <w:tcW w:w="552" w:type="pct"/>
          </w:tcPr>
          <w:p w14:paraId="1BE1E97E" w14:textId="77777777" w:rsidR="000509B9" w:rsidRPr="00125E51" w:rsidRDefault="000509B9" w:rsidP="00F46222">
            <w:pPr>
              <w:pStyle w:val="TableText"/>
            </w:pPr>
            <w:r>
              <w:t>Yes</w:t>
            </w:r>
          </w:p>
        </w:tc>
      </w:tr>
      <w:tr w:rsidR="000509B9" w:rsidRPr="00125E51" w14:paraId="07DD7350" w14:textId="77777777" w:rsidTr="00F46222">
        <w:trPr>
          <w:cantSplit/>
        </w:trPr>
        <w:tc>
          <w:tcPr>
            <w:tcW w:w="555" w:type="pct"/>
            <w:shd w:val="clear" w:color="auto" w:fill="auto"/>
          </w:tcPr>
          <w:p w14:paraId="2A79F645" w14:textId="77777777" w:rsidR="000509B9" w:rsidRPr="00CE28E3" w:rsidRDefault="000509B9" w:rsidP="00F46222">
            <w:pPr>
              <w:pStyle w:val="TableText"/>
              <w:rPr>
                <w:lang w:val="en-US"/>
              </w:rPr>
            </w:pPr>
            <w:r w:rsidRPr="008E7ECD">
              <w:rPr>
                <w:lang w:val="en-US"/>
              </w:rPr>
              <w:t>NET-01</w:t>
            </w:r>
            <w:r>
              <w:rPr>
                <w:rStyle w:val="FootnoteReference"/>
                <w:lang w:val="en-US"/>
              </w:rPr>
              <w:footnoteReference w:id="28"/>
            </w:r>
          </w:p>
        </w:tc>
        <w:tc>
          <w:tcPr>
            <w:tcW w:w="556" w:type="pct"/>
          </w:tcPr>
          <w:p w14:paraId="23E96D31" w14:textId="77777777" w:rsidR="000509B9" w:rsidRDefault="000509B9" w:rsidP="00F46222">
            <w:pPr>
              <w:pStyle w:val="TableText"/>
              <w:rPr>
                <w:lang w:val="en-US"/>
              </w:rPr>
            </w:pPr>
            <w:r w:rsidRPr="00831AD6">
              <w:t xml:space="preserve">CAP + </w:t>
            </w:r>
            <w:proofErr w:type="spellStart"/>
            <w:r w:rsidRPr="00831AD6">
              <w:t>streptozocin</w:t>
            </w:r>
            <w:proofErr w:type="spellEnd"/>
          </w:p>
        </w:tc>
        <w:tc>
          <w:tcPr>
            <w:tcW w:w="556" w:type="pct"/>
          </w:tcPr>
          <w:p w14:paraId="4D0EA626" w14:textId="77777777" w:rsidR="000509B9" w:rsidRDefault="000509B9" w:rsidP="00F46222">
            <w:pPr>
              <w:pStyle w:val="TableText"/>
              <w:rPr>
                <w:lang w:val="en-US"/>
              </w:rPr>
            </w:pPr>
            <w:r w:rsidRPr="00831AD6">
              <w:t xml:space="preserve">CAP + </w:t>
            </w:r>
            <w:proofErr w:type="spellStart"/>
            <w:r w:rsidRPr="00831AD6">
              <w:t>streptozocin</w:t>
            </w:r>
            <w:proofErr w:type="spellEnd"/>
            <w:r w:rsidRPr="00831AD6">
              <w:t xml:space="preserve"> + cisplatin</w:t>
            </w:r>
          </w:p>
        </w:tc>
        <w:tc>
          <w:tcPr>
            <w:tcW w:w="556" w:type="pct"/>
            <w:shd w:val="clear" w:color="auto" w:fill="auto"/>
          </w:tcPr>
          <w:p w14:paraId="4608E63B" w14:textId="77777777" w:rsidR="000509B9" w:rsidRPr="00CE28E3" w:rsidRDefault="000509B9" w:rsidP="00F46222">
            <w:pPr>
              <w:pStyle w:val="TableText"/>
              <w:rPr>
                <w:lang w:val="en-US"/>
              </w:rPr>
            </w:pPr>
            <w:r>
              <w:rPr>
                <w:lang w:val="en-US"/>
              </w:rPr>
              <w:t>86</w:t>
            </w:r>
          </w:p>
        </w:tc>
        <w:tc>
          <w:tcPr>
            <w:tcW w:w="684" w:type="pct"/>
            <w:shd w:val="clear" w:color="auto" w:fill="auto"/>
          </w:tcPr>
          <w:p w14:paraId="5E754AE3" w14:textId="77777777" w:rsidR="000509B9" w:rsidRPr="00CE28E3" w:rsidRDefault="000509B9" w:rsidP="00F46222">
            <w:pPr>
              <w:pStyle w:val="TableText"/>
              <w:rPr>
                <w:lang w:val="en-US"/>
              </w:rPr>
            </w:pPr>
            <w:proofErr w:type="spellStart"/>
            <w:r w:rsidRPr="008E7ECD">
              <w:rPr>
                <w:lang w:val="en-US"/>
              </w:rPr>
              <w:t>Randomised</w:t>
            </w:r>
            <w:proofErr w:type="spellEnd"/>
            <w:r w:rsidRPr="008E7ECD">
              <w:rPr>
                <w:lang w:val="en-US"/>
              </w:rPr>
              <w:t xml:space="preserve"> controlled trial</w:t>
            </w:r>
          </w:p>
        </w:tc>
        <w:tc>
          <w:tcPr>
            <w:tcW w:w="429" w:type="pct"/>
            <w:shd w:val="clear" w:color="auto" w:fill="auto"/>
          </w:tcPr>
          <w:p w14:paraId="54C6BE0E" w14:textId="77777777" w:rsidR="000509B9" w:rsidRPr="0095653C" w:rsidRDefault="000509B9" w:rsidP="00F46222">
            <w:pPr>
              <w:pStyle w:val="TableText"/>
              <w:rPr>
                <w:iCs/>
                <w:lang w:val="en-US"/>
              </w:rPr>
            </w:pPr>
            <w:r w:rsidRPr="0095653C">
              <w:rPr>
                <w:iCs/>
                <w:lang w:val="en-US"/>
              </w:rPr>
              <w:t>Unclear</w:t>
            </w:r>
          </w:p>
        </w:tc>
        <w:tc>
          <w:tcPr>
            <w:tcW w:w="556" w:type="pct"/>
            <w:shd w:val="clear" w:color="auto" w:fill="auto"/>
          </w:tcPr>
          <w:p w14:paraId="677605E3" w14:textId="77777777" w:rsidR="000509B9" w:rsidRPr="00CE28E3" w:rsidRDefault="000509B9" w:rsidP="00F46222">
            <w:pPr>
              <w:pStyle w:val="TableText"/>
              <w:rPr>
                <w:lang w:val="en-US"/>
              </w:rPr>
            </w:pPr>
            <w:r w:rsidRPr="00277827">
              <w:t>GEP</w:t>
            </w:r>
            <w:r>
              <w:t>-</w:t>
            </w:r>
            <w:r w:rsidRPr="00277827">
              <w:t>NET</w:t>
            </w:r>
          </w:p>
        </w:tc>
        <w:tc>
          <w:tcPr>
            <w:tcW w:w="556" w:type="pct"/>
            <w:shd w:val="clear" w:color="auto" w:fill="auto"/>
          </w:tcPr>
          <w:p w14:paraId="35CCB766" w14:textId="77777777" w:rsidR="000509B9" w:rsidRPr="00CE28E3" w:rsidRDefault="000509B9" w:rsidP="00F46222">
            <w:pPr>
              <w:pStyle w:val="TableText"/>
              <w:rPr>
                <w:lang w:val="en-US"/>
              </w:rPr>
            </w:pPr>
            <w:r w:rsidRPr="00125E51">
              <w:t>PFS</w:t>
            </w:r>
          </w:p>
        </w:tc>
        <w:tc>
          <w:tcPr>
            <w:tcW w:w="552" w:type="pct"/>
          </w:tcPr>
          <w:p w14:paraId="09A4870B" w14:textId="77777777" w:rsidR="000509B9" w:rsidRPr="00125E51" w:rsidRDefault="000509B9" w:rsidP="00F46222">
            <w:pPr>
              <w:pStyle w:val="TableText"/>
            </w:pPr>
            <w:r>
              <w:t>No</w:t>
            </w:r>
          </w:p>
        </w:tc>
      </w:tr>
      <w:tr w:rsidR="000509B9" w:rsidRPr="00125E51" w14:paraId="7DCB3553" w14:textId="77777777" w:rsidTr="00F46222">
        <w:trPr>
          <w:cantSplit/>
        </w:trPr>
        <w:tc>
          <w:tcPr>
            <w:tcW w:w="555" w:type="pct"/>
            <w:shd w:val="clear" w:color="auto" w:fill="auto"/>
          </w:tcPr>
          <w:p w14:paraId="559D6E05" w14:textId="77777777" w:rsidR="000509B9" w:rsidRPr="00CE28E3" w:rsidRDefault="000509B9" w:rsidP="00F46222">
            <w:pPr>
              <w:pStyle w:val="TableText"/>
              <w:rPr>
                <w:lang w:val="en-US"/>
              </w:rPr>
            </w:pPr>
            <w:r w:rsidRPr="008E7ECD">
              <w:rPr>
                <w:lang w:val="en-US"/>
              </w:rPr>
              <w:t>SPINET</w:t>
            </w:r>
            <w:r>
              <w:rPr>
                <w:rStyle w:val="FootnoteReference"/>
                <w:lang w:val="en-US"/>
              </w:rPr>
              <w:footnoteReference w:id="29"/>
            </w:r>
          </w:p>
        </w:tc>
        <w:tc>
          <w:tcPr>
            <w:tcW w:w="556" w:type="pct"/>
          </w:tcPr>
          <w:p w14:paraId="1392AB3B" w14:textId="77777777" w:rsidR="000509B9" w:rsidRDefault="000509B9" w:rsidP="00F46222">
            <w:pPr>
              <w:pStyle w:val="TableText"/>
              <w:rPr>
                <w:lang w:val="en-US"/>
              </w:rPr>
            </w:pPr>
            <w:r w:rsidRPr="00831AD6">
              <w:t>LAN + BSC</w:t>
            </w:r>
          </w:p>
        </w:tc>
        <w:tc>
          <w:tcPr>
            <w:tcW w:w="556" w:type="pct"/>
          </w:tcPr>
          <w:p w14:paraId="7CBFC21C" w14:textId="77777777" w:rsidR="000509B9" w:rsidRDefault="000509B9" w:rsidP="00F46222">
            <w:pPr>
              <w:pStyle w:val="TableText"/>
              <w:rPr>
                <w:lang w:val="en-US"/>
              </w:rPr>
            </w:pPr>
            <w:r w:rsidRPr="00831AD6">
              <w:t>PBO + BSC</w:t>
            </w:r>
          </w:p>
        </w:tc>
        <w:tc>
          <w:tcPr>
            <w:tcW w:w="556" w:type="pct"/>
            <w:shd w:val="clear" w:color="auto" w:fill="auto"/>
          </w:tcPr>
          <w:p w14:paraId="6386978B" w14:textId="77777777" w:rsidR="000509B9" w:rsidRPr="00CE28E3" w:rsidRDefault="000509B9" w:rsidP="00F46222">
            <w:pPr>
              <w:pStyle w:val="TableText"/>
              <w:rPr>
                <w:lang w:val="en-US"/>
              </w:rPr>
            </w:pPr>
            <w:r>
              <w:rPr>
                <w:lang w:val="en-US"/>
              </w:rPr>
              <w:t>77</w:t>
            </w:r>
          </w:p>
        </w:tc>
        <w:tc>
          <w:tcPr>
            <w:tcW w:w="684" w:type="pct"/>
            <w:shd w:val="clear" w:color="auto" w:fill="auto"/>
          </w:tcPr>
          <w:p w14:paraId="3D709493" w14:textId="77777777" w:rsidR="000509B9" w:rsidRPr="00CE28E3" w:rsidRDefault="000509B9" w:rsidP="00F46222">
            <w:pPr>
              <w:pStyle w:val="TableText"/>
              <w:rPr>
                <w:lang w:val="en-US"/>
              </w:rPr>
            </w:pPr>
            <w:r w:rsidRPr="008E7ECD">
              <w:rPr>
                <w:lang w:val="en-US"/>
              </w:rPr>
              <w:t xml:space="preserve">Prospective, </w:t>
            </w:r>
            <w:proofErr w:type="spellStart"/>
            <w:r w:rsidRPr="008E7ECD">
              <w:rPr>
                <w:lang w:val="en-US"/>
              </w:rPr>
              <w:t>multicent</w:t>
            </w:r>
            <w:r>
              <w:rPr>
                <w:lang w:val="en-US"/>
              </w:rPr>
              <w:t>re</w:t>
            </w:r>
            <w:proofErr w:type="spellEnd"/>
            <w:r w:rsidRPr="008E7ECD">
              <w:rPr>
                <w:lang w:val="en-US"/>
              </w:rPr>
              <w:t xml:space="preserve">, </w:t>
            </w:r>
            <w:proofErr w:type="spellStart"/>
            <w:r w:rsidRPr="008E7ECD">
              <w:rPr>
                <w:lang w:val="en-US"/>
              </w:rPr>
              <w:t>randomi</w:t>
            </w:r>
            <w:r>
              <w:rPr>
                <w:lang w:val="en-US"/>
              </w:rPr>
              <w:t>s</w:t>
            </w:r>
            <w:r w:rsidRPr="008E7ECD">
              <w:rPr>
                <w:lang w:val="en-US"/>
              </w:rPr>
              <w:t>ed</w:t>
            </w:r>
            <w:proofErr w:type="spellEnd"/>
            <w:r w:rsidRPr="008E7ECD">
              <w:rPr>
                <w:lang w:val="en-US"/>
              </w:rPr>
              <w:t>, double-blind (participant, investigator), parallel study</w:t>
            </w:r>
          </w:p>
        </w:tc>
        <w:tc>
          <w:tcPr>
            <w:tcW w:w="429" w:type="pct"/>
            <w:shd w:val="clear" w:color="auto" w:fill="auto"/>
          </w:tcPr>
          <w:p w14:paraId="2300A684" w14:textId="77777777" w:rsidR="000509B9" w:rsidRPr="0095653C" w:rsidRDefault="000509B9" w:rsidP="00F46222">
            <w:pPr>
              <w:pStyle w:val="TableText"/>
              <w:rPr>
                <w:iCs/>
                <w:lang w:val="en-US"/>
              </w:rPr>
            </w:pPr>
            <w:r w:rsidRPr="0095653C">
              <w:rPr>
                <w:iCs/>
                <w:lang w:val="en-US"/>
              </w:rPr>
              <w:t>Low</w:t>
            </w:r>
          </w:p>
        </w:tc>
        <w:tc>
          <w:tcPr>
            <w:tcW w:w="556" w:type="pct"/>
            <w:shd w:val="clear" w:color="auto" w:fill="auto"/>
          </w:tcPr>
          <w:p w14:paraId="6B00EAFF" w14:textId="77777777" w:rsidR="000509B9" w:rsidRPr="00CE28E3" w:rsidRDefault="000509B9" w:rsidP="00F46222">
            <w:pPr>
              <w:pStyle w:val="TableText"/>
              <w:rPr>
                <w:lang w:val="en-US"/>
              </w:rPr>
            </w:pPr>
            <w:r w:rsidRPr="00277827">
              <w:t>BP-NET</w:t>
            </w:r>
          </w:p>
        </w:tc>
        <w:tc>
          <w:tcPr>
            <w:tcW w:w="556" w:type="pct"/>
            <w:shd w:val="clear" w:color="auto" w:fill="auto"/>
          </w:tcPr>
          <w:p w14:paraId="1D4418B2" w14:textId="77777777" w:rsidR="000509B9" w:rsidRPr="00CE28E3" w:rsidRDefault="000509B9" w:rsidP="00F46222">
            <w:pPr>
              <w:pStyle w:val="TableText"/>
              <w:rPr>
                <w:lang w:val="en-US"/>
              </w:rPr>
            </w:pPr>
            <w:r w:rsidRPr="00125E51">
              <w:t>PFS</w:t>
            </w:r>
          </w:p>
        </w:tc>
        <w:tc>
          <w:tcPr>
            <w:tcW w:w="552" w:type="pct"/>
          </w:tcPr>
          <w:p w14:paraId="58743968" w14:textId="77777777" w:rsidR="000509B9" w:rsidRPr="00125E51" w:rsidRDefault="000509B9" w:rsidP="00F46222">
            <w:pPr>
              <w:pStyle w:val="TableText"/>
            </w:pPr>
            <w:r>
              <w:t>Yes</w:t>
            </w:r>
          </w:p>
        </w:tc>
      </w:tr>
      <w:tr w:rsidR="000509B9" w:rsidRPr="00125E51" w14:paraId="2C299E6D" w14:textId="77777777" w:rsidTr="00F46222">
        <w:trPr>
          <w:cantSplit/>
          <w:trHeight w:val="670"/>
        </w:trPr>
        <w:tc>
          <w:tcPr>
            <w:tcW w:w="555" w:type="pct"/>
            <w:shd w:val="clear" w:color="auto" w:fill="auto"/>
          </w:tcPr>
          <w:p w14:paraId="77C9BC97" w14:textId="77777777" w:rsidR="000509B9" w:rsidRPr="00CE28E3" w:rsidRDefault="000509B9" w:rsidP="00F46222">
            <w:pPr>
              <w:pStyle w:val="TableText"/>
              <w:rPr>
                <w:lang w:val="en-US"/>
              </w:rPr>
            </w:pPr>
            <w:r w:rsidRPr="008E7ECD">
              <w:rPr>
                <w:lang w:val="en-US"/>
              </w:rPr>
              <w:t>NCT00428597</w:t>
            </w:r>
            <w:r>
              <w:rPr>
                <w:rStyle w:val="FootnoteReference"/>
                <w:lang w:val="en-US"/>
              </w:rPr>
              <w:footnoteReference w:id="30"/>
            </w:r>
            <w:r w:rsidRPr="008E7ECD">
              <w:rPr>
                <w:lang w:val="en-US"/>
              </w:rPr>
              <w:t xml:space="preserve"> </w:t>
            </w:r>
          </w:p>
        </w:tc>
        <w:tc>
          <w:tcPr>
            <w:tcW w:w="556" w:type="pct"/>
          </w:tcPr>
          <w:p w14:paraId="1154EE69" w14:textId="77777777" w:rsidR="000509B9" w:rsidRDefault="000509B9" w:rsidP="00F46222">
            <w:pPr>
              <w:pStyle w:val="TableText"/>
              <w:rPr>
                <w:lang w:val="en-US"/>
              </w:rPr>
            </w:pPr>
            <w:r w:rsidRPr="00831AD6">
              <w:t>SUN</w:t>
            </w:r>
          </w:p>
        </w:tc>
        <w:tc>
          <w:tcPr>
            <w:tcW w:w="556" w:type="pct"/>
          </w:tcPr>
          <w:p w14:paraId="024AE7DF" w14:textId="77777777" w:rsidR="000509B9" w:rsidRDefault="000509B9" w:rsidP="00F46222">
            <w:pPr>
              <w:pStyle w:val="TableText"/>
              <w:rPr>
                <w:lang w:val="en-US"/>
              </w:rPr>
            </w:pPr>
            <w:r w:rsidRPr="00831AD6">
              <w:t>PBO</w:t>
            </w:r>
          </w:p>
        </w:tc>
        <w:tc>
          <w:tcPr>
            <w:tcW w:w="556" w:type="pct"/>
            <w:shd w:val="clear" w:color="auto" w:fill="auto"/>
          </w:tcPr>
          <w:p w14:paraId="0EAE128F" w14:textId="77777777" w:rsidR="000509B9" w:rsidRPr="00CE28E3" w:rsidRDefault="000509B9" w:rsidP="00F46222">
            <w:pPr>
              <w:pStyle w:val="TableText"/>
              <w:rPr>
                <w:lang w:val="en-US"/>
              </w:rPr>
            </w:pPr>
            <w:r>
              <w:rPr>
                <w:lang w:val="en-US"/>
              </w:rPr>
              <w:t>171</w:t>
            </w:r>
          </w:p>
        </w:tc>
        <w:tc>
          <w:tcPr>
            <w:tcW w:w="684" w:type="pct"/>
            <w:shd w:val="clear" w:color="auto" w:fill="auto"/>
          </w:tcPr>
          <w:p w14:paraId="470AA270" w14:textId="77777777" w:rsidR="000509B9" w:rsidRPr="00CE28E3" w:rsidRDefault="000509B9" w:rsidP="00F46222">
            <w:pPr>
              <w:pStyle w:val="TableText"/>
              <w:rPr>
                <w:lang w:val="en-US"/>
              </w:rPr>
            </w:pPr>
            <w:r w:rsidRPr="008E7ECD">
              <w:rPr>
                <w:lang w:val="en-US"/>
              </w:rPr>
              <w:t xml:space="preserve">Multinational, </w:t>
            </w:r>
            <w:proofErr w:type="spellStart"/>
            <w:r w:rsidRPr="008E7ECD">
              <w:rPr>
                <w:lang w:val="en-US"/>
              </w:rPr>
              <w:t>randomised</w:t>
            </w:r>
            <w:proofErr w:type="spellEnd"/>
            <w:r w:rsidRPr="008E7ECD">
              <w:rPr>
                <w:lang w:val="en-US"/>
              </w:rPr>
              <w:t>, double-blind, placebo-controlled</w:t>
            </w:r>
            <w:r>
              <w:rPr>
                <w:lang w:val="en-US"/>
              </w:rPr>
              <w:t xml:space="preserve"> trial</w:t>
            </w:r>
          </w:p>
        </w:tc>
        <w:tc>
          <w:tcPr>
            <w:tcW w:w="429" w:type="pct"/>
            <w:shd w:val="clear" w:color="auto" w:fill="auto"/>
          </w:tcPr>
          <w:p w14:paraId="7E066CCA" w14:textId="77777777" w:rsidR="000509B9" w:rsidRPr="0095653C" w:rsidRDefault="000509B9" w:rsidP="00F46222">
            <w:pPr>
              <w:pStyle w:val="TableText"/>
              <w:rPr>
                <w:iCs/>
                <w:lang w:val="en-US"/>
              </w:rPr>
            </w:pPr>
            <w:r w:rsidRPr="0095653C">
              <w:rPr>
                <w:iCs/>
                <w:lang w:val="en-US"/>
              </w:rPr>
              <w:t>Unclear</w:t>
            </w:r>
          </w:p>
        </w:tc>
        <w:tc>
          <w:tcPr>
            <w:tcW w:w="556" w:type="pct"/>
            <w:shd w:val="clear" w:color="auto" w:fill="auto"/>
          </w:tcPr>
          <w:p w14:paraId="578873DF" w14:textId="77777777" w:rsidR="000509B9" w:rsidRPr="00CE28E3" w:rsidRDefault="000509B9" w:rsidP="00F46222">
            <w:pPr>
              <w:pStyle w:val="TableText"/>
              <w:rPr>
                <w:lang w:val="en-US"/>
              </w:rPr>
            </w:pPr>
            <w:proofErr w:type="spellStart"/>
            <w:r w:rsidRPr="00277827">
              <w:t>pNET</w:t>
            </w:r>
            <w:proofErr w:type="spellEnd"/>
          </w:p>
        </w:tc>
        <w:tc>
          <w:tcPr>
            <w:tcW w:w="556" w:type="pct"/>
            <w:shd w:val="clear" w:color="auto" w:fill="auto"/>
          </w:tcPr>
          <w:p w14:paraId="28D220D5" w14:textId="77777777" w:rsidR="000509B9" w:rsidRPr="00CE28E3" w:rsidRDefault="000509B9" w:rsidP="00F46222">
            <w:pPr>
              <w:pStyle w:val="TableText"/>
              <w:rPr>
                <w:lang w:val="en-US"/>
              </w:rPr>
            </w:pPr>
            <w:r w:rsidRPr="00125E51">
              <w:t>PFS</w:t>
            </w:r>
          </w:p>
        </w:tc>
        <w:tc>
          <w:tcPr>
            <w:tcW w:w="552" w:type="pct"/>
          </w:tcPr>
          <w:p w14:paraId="204257A8" w14:textId="77777777" w:rsidR="000509B9" w:rsidRPr="00125E51" w:rsidRDefault="000509B9" w:rsidP="00F46222">
            <w:pPr>
              <w:pStyle w:val="TableText"/>
            </w:pPr>
          </w:p>
        </w:tc>
      </w:tr>
      <w:tr w:rsidR="000509B9" w14:paraId="0EC040FF" w14:textId="77777777" w:rsidTr="00F46222">
        <w:trPr>
          <w:cantSplit/>
        </w:trPr>
        <w:tc>
          <w:tcPr>
            <w:tcW w:w="5000" w:type="pct"/>
            <w:gridSpan w:val="9"/>
            <w:shd w:val="clear" w:color="auto" w:fill="auto"/>
            <w:vAlign w:val="center"/>
          </w:tcPr>
          <w:p w14:paraId="53AF7FA2" w14:textId="77777777" w:rsidR="000509B9" w:rsidRDefault="000509B9" w:rsidP="00F46222">
            <w:pPr>
              <w:pStyle w:val="TableText"/>
            </w:pPr>
            <w:r>
              <w:t>Indirect treatment comparisons</w:t>
            </w:r>
          </w:p>
        </w:tc>
      </w:tr>
      <w:tr w:rsidR="000509B9" w14:paraId="17167F3D" w14:textId="77777777" w:rsidTr="00F46222">
        <w:trPr>
          <w:cantSplit/>
        </w:trPr>
        <w:tc>
          <w:tcPr>
            <w:tcW w:w="555" w:type="pct"/>
            <w:vMerge w:val="restart"/>
            <w:shd w:val="clear" w:color="auto" w:fill="auto"/>
            <w:vAlign w:val="center"/>
          </w:tcPr>
          <w:p w14:paraId="008A33A2" w14:textId="77777777" w:rsidR="000509B9" w:rsidRPr="008E7ECD" w:rsidRDefault="000509B9" w:rsidP="00F46222">
            <w:pPr>
              <w:pStyle w:val="TableText"/>
              <w:rPr>
                <w:lang w:val="en-US"/>
              </w:rPr>
            </w:pPr>
            <w:r>
              <w:rPr>
                <w:lang w:val="en-US"/>
              </w:rPr>
              <w:lastRenderedPageBreak/>
              <w:t>NMA</w:t>
            </w:r>
          </w:p>
        </w:tc>
        <w:tc>
          <w:tcPr>
            <w:tcW w:w="556" w:type="pct"/>
            <w:vMerge w:val="restart"/>
          </w:tcPr>
          <w:p w14:paraId="50EB7BC8" w14:textId="77777777" w:rsidR="000509B9" w:rsidRPr="00831AD6" w:rsidRDefault="000509B9" w:rsidP="00F46222">
            <w:pPr>
              <w:pStyle w:val="TableText"/>
            </w:pPr>
            <w:r w:rsidRPr="001F7E92">
              <w:rPr>
                <w:vertAlign w:val="superscript"/>
              </w:rPr>
              <w:t>177</w:t>
            </w:r>
            <w:r w:rsidRPr="00831AD6">
              <w:t>Lu-DOTATA</w:t>
            </w:r>
            <w:r>
              <w:t>TE</w:t>
            </w:r>
          </w:p>
        </w:tc>
        <w:tc>
          <w:tcPr>
            <w:tcW w:w="556" w:type="pct"/>
          </w:tcPr>
          <w:p w14:paraId="74F88EC1" w14:textId="77777777" w:rsidR="000509B9" w:rsidRPr="00831AD6" w:rsidRDefault="000509B9" w:rsidP="00F46222">
            <w:pPr>
              <w:pStyle w:val="TableText"/>
            </w:pPr>
            <w:r>
              <w:t>OCT, EVR, OCT+ EVR, SUN, LAN, PBO/BSC</w:t>
            </w:r>
          </w:p>
        </w:tc>
        <w:tc>
          <w:tcPr>
            <w:tcW w:w="556" w:type="pct"/>
            <w:shd w:val="clear" w:color="auto" w:fill="auto"/>
            <w:vAlign w:val="center"/>
          </w:tcPr>
          <w:p w14:paraId="7E898B61" w14:textId="77777777" w:rsidR="000509B9" w:rsidRDefault="000509B9" w:rsidP="00F46222">
            <w:pPr>
              <w:pStyle w:val="TableText"/>
              <w:rPr>
                <w:lang w:val="en-US"/>
              </w:rPr>
            </w:pPr>
            <w:r>
              <w:rPr>
                <w:lang w:val="en-US"/>
              </w:rPr>
              <w:t>k=8</w:t>
            </w:r>
          </w:p>
          <w:p w14:paraId="7DB4FF72" w14:textId="77777777" w:rsidR="000509B9" w:rsidRDefault="000509B9" w:rsidP="00F46222">
            <w:pPr>
              <w:pStyle w:val="TableText"/>
              <w:rPr>
                <w:lang w:val="en-US"/>
              </w:rPr>
            </w:pPr>
            <w:r>
              <w:rPr>
                <w:lang w:val="en-US"/>
              </w:rPr>
              <w:t>N=1524</w:t>
            </w:r>
          </w:p>
        </w:tc>
        <w:tc>
          <w:tcPr>
            <w:tcW w:w="684" w:type="pct"/>
            <w:shd w:val="clear" w:color="auto" w:fill="auto"/>
            <w:vAlign w:val="center"/>
          </w:tcPr>
          <w:p w14:paraId="23B8B852" w14:textId="77777777" w:rsidR="000509B9" w:rsidRPr="008E7ECD" w:rsidRDefault="000509B9" w:rsidP="00F46222">
            <w:pPr>
              <w:pStyle w:val="TableText"/>
              <w:rPr>
                <w:lang w:val="en-US"/>
              </w:rPr>
            </w:pPr>
            <w:r>
              <w:rPr>
                <w:lang w:val="en-US"/>
              </w:rPr>
              <w:t>-</w:t>
            </w:r>
          </w:p>
        </w:tc>
        <w:tc>
          <w:tcPr>
            <w:tcW w:w="429" w:type="pct"/>
            <w:shd w:val="clear" w:color="auto" w:fill="auto"/>
            <w:vAlign w:val="center"/>
          </w:tcPr>
          <w:p w14:paraId="0083D7AB" w14:textId="77777777" w:rsidR="000509B9" w:rsidRPr="0095653C" w:rsidRDefault="000509B9" w:rsidP="00F46222">
            <w:pPr>
              <w:pStyle w:val="TableText"/>
              <w:rPr>
                <w:iCs/>
                <w:lang w:val="en-US"/>
              </w:rPr>
            </w:pPr>
            <w:r>
              <w:rPr>
                <w:iCs/>
                <w:lang w:val="en-US"/>
              </w:rPr>
              <w:t>-</w:t>
            </w:r>
          </w:p>
        </w:tc>
        <w:tc>
          <w:tcPr>
            <w:tcW w:w="556" w:type="pct"/>
            <w:vMerge w:val="restart"/>
            <w:shd w:val="clear" w:color="auto" w:fill="auto"/>
          </w:tcPr>
          <w:p w14:paraId="5CF55F3C" w14:textId="77777777" w:rsidR="000509B9" w:rsidRPr="00277827" w:rsidRDefault="000509B9" w:rsidP="00F46222">
            <w:pPr>
              <w:pStyle w:val="TableText"/>
            </w:pPr>
            <w:r>
              <w:t>NETs</w:t>
            </w:r>
          </w:p>
        </w:tc>
        <w:tc>
          <w:tcPr>
            <w:tcW w:w="556" w:type="pct"/>
            <w:shd w:val="clear" w:color="auto" w:fill="auto"/>
          </w:tcPr>
          <w:p w14:paraId="4C536FC4" w14:textId="77777777" w:rsidR="000509B9" w:rsidRPr="00125E51" w:rsidRDefault="000509B9" w:rsidP="00F46222">
            <w:pPr>
              <w:pStyle w:val="TableText"/>
            </w:pPr>
            <w:r>
              <w:t>PFS</w:t>
            </w:r>
          </w:p>
        </w:tc>
        <w:tc>
          <w:tcPr>
            <w:tcW w:w="552" w:type="pct"/>
          </w:tcPr>
          <w:p w14:paraId="37F397E2" w14:textId="77777777" w:rsidR="000509B9" w:rsidRDefault="000509B9" w:rsidP="00F46222">
            <w:pPr>
              <w:pStyle w:val="TableText"/>
            </w:pPr>
            <w:r>
              <w:t>Yes</w:t>
            </w:r>
          </w:p>
        </w:tc>
      </w:tr>
      <w:tr w:rsidR="000509B9" w14:paraId="1DAC1FCE" w14:textId="77777777" w:rsidTr="00F46222">
        <w:trPr>
          <w:cantSplit/>
        </w:trPr>
        <w:tc>
          <w:tcPr>
            <w:tcW w:w="555" w:type="pct"/>
            <w:vMerge/>
            <w:shd w:val="clear" w:color="auto" w:fill="auto"/>
            <w:vAlign w:val="center"/>
          </w:tcPr>
          <w:p w14:paraId="551BFB3C" w14:textId="77777777" w:rsidR="000509B9" w:rsidRDefault="000509B9" w:rsidP="00F46222">
            <w:pPr>
              <w:pStyle w:val="TableText"/>
              <w:rPr>
                <w:lang w:val="en-US"/>
              </w:rPr>
            </w:pPr>
          </w:p>
        </w:tc>
        <w:tc>
          <w:tcPr>
            <w:tcW w:w="556" w:type="pct"/>
            <w:vMerge/>
          </w:tcPr>
          <w:p w14:paraId="2D820FDB" w14:textId="77777777" w:rsidR="000509B9" w:rsidRDefault="000509B9" w:rsidP="00F46222">
            <w:pPr>
              <w:pStyle w:val="TableText"/>
            </w:pPr>
          </w:p>
        </w:tc>
        <w:tc>
          <w:tcPr>
            <w:tcW w:w="556" w:type="pct"/>
          </w:tcPr>
          <w:p w14:paraId="71A6FCFA" w14:textId="77777777" w:rsidR="000509B9" w:rsidRDefault="000509B9" w:rsidP="00F46222">
            <w:pPr>
              <w:pStyle w:val="TableText"/>
            </w:pPr>
            <w:r>
              <w:t>OCT, EVR, OCT+ EVR, SUN, PBO/BSC</w:t>
            </w:r>
          </w:p>
        </w:tc>
        <w:tc>
          <w:tcPr>
            <w:tcW w:w="556" w:type="pct"/>
            <w:shd w:val="clear" w:color="auto" w:fill="auto"/>
            <w:vAlign w:val="center"/>
          </w:tcPr>
          <w:p w14:paraId="2E43FA68" w14:textId="77777777" w:rsidR="000509B9" w:rsidRDefault="000509B9" w:rsidP="00F46222">
            <w:pPr>
              <w:pStyle w:val="TableText"/>
              <w:rPr>
                <w:lang w:val="en-US"/>
              </w:rPr>
            </w:pPr>
            <w:r>
              <w:rPr>
                <w:lang w:val="en-US"/>
              </w:rPr>
              <w:t>K=6</w:t>
            </w:r>
          </w:p>
          <w:p w14:paraId="00EA3DBA" w14:textId="77777777" w:rsidR="000509B9" w:rsidRDefault="000509B9" w:rsidP="00F46222">
            <w:pPr>
              <w:pStyle w:val="TableText"/>
              <w:rPr>
                <w:lang w:val="en-US"/>
              </w:rPr>
            </w:pPr>
            <w:r>
              <w:rPr>
                <w:lang w:val="en-US"/>
              </w:rPr>
              <w:t>N=1423</w:t>
            </w:r>
          </w:p>
        </w:tc>
        <w:tc>
          <w:tcPr>
            <w:tcW w:w="684" w:type="pct"/>
            <w:shd w:val="clear" w:color="auto" w:fill="auto"/>
            <w:vAlign w:val="center"/>
          </w:tcPr>
          <w:p w14:paraId="354EC929" w14:textId="77777777" w:rsidR="000509B9" w:rsidRPr="008E7ECD" w:rsidRDefault="000509B9" w:rsidP="00F46222">
            <w:pPr>
              <w:pStyle w:val="TableText"/>
              <w:rPr>
                <w:lang w:val="en-US"/>
              </w:rPr>
            </w:pPr>
            <w:r>
              <w:rPr>
                <w:lang w:val="en-US"/>
              </w:rPr>
              <w:t>-</w:t>
            </w:r>
          </w:p>
        </w:tc>
        <w:tc>
          <w:tcPr>
            <w:tcW w:w="429" w:type="pct"/>
            <w:shd w:val="clear" w:color="auto" w:fill="auto"/>
            <w:vAlign w:val="center"/>
          </w:tcPr>
          <w:p w14:paraId="2A87F367" w14:textId="77777777" w:rsidR="000509B9" w:rsidRDefault="000509B9" w:rsidP="00F46222">
            <w:pPr>
              <w:pStyle w:val="TableText"/>
              <w:rPr>
                <w:iCs/>
                <w:lang w:val="en-US"/>
              </w:rPr>
            </w:pPr>
            <w:r>
              <w:rPr>
                <w:iCs/>
                <w:lang w:val="en-US"/>
              </w:rPr>
              <w:t>-</w:t>
            </w:r>
          </w:p>
        </w:tc>
        <w:tc>
          <w:tcPr>
            <w:tcW w:w="556" w:type="pct"/>
            <w:vMerge/>
            <w:shd w:val="clear" w:color="auto" w:fill="auto"/>
          </w:tcPr>
          <w:p w14:paraId="3C917CAA" w14:textId="77777777" w:rsidR="000509B9" w:rsidRPr="00277827" w:rsidRDefault="000509B9" w:rsidP="00F46222">
            <w:pPr>
              <w:pStyle w:val="TableText"/>
            </w:pPr>
          </w:p>
        </w:tc>
        <w:tc>
          <w:tcPr>
            <w:tcW w:w="556" w:type="pct"/>
            <w:shd w:val="clear" w:color="auto" w:fill="auto"/>
          </w:tcPr>
          <w:p w14:paraId="34685778" w14:textId="77777777" w:rsidR="000509B9" w:rsidRDefault="000509B9" w:rsidP="00F46222">
            <w:pPr>
              <w:pStyle w:val="TableText"/>
            </w:pPr>
            <w:r>
              <w:t>OS</w:t>
            </w:r>
          </w:p>
        </w:tc>
        <w:tc>
          <w:tcPr>
            <w:tcW w:w="552" w:type="pct"/>
          </w:tcPr>
          <w:p w14:paraId="21F06053" w14:textId="77777777" w:rsidR="000509B9" w:rsidRDefault="000509B9" w:rsidP="00F46222">
            <w:pPr>
              <w:pStyle w:val="TableText"/>
            </w:pPr>
            <w:r>
              <w:t>Yes</w:t>
            </w:r>
          </w:p>
        </w:tc>
      </w:tr>
    </w:tbl>
    <w:p w14:paraId="1546079B" w14:textId="084DF6AB" w:rsidR="00E0507A" w:rsidRPr="001053EF" w:rsidRDefault="00604E42" w:rsidP="0095653C">
      <w:pPr>
        <w:pStyle w:val="Tablenotes0"/>
      </w:pPr>
      <w:r w:rsidRPr="0095653C">
        <w:t>Abbreviations</w:t>
      </w:r>
      <w:r w:rsidRPr="00604E42">
        <w:t>: BP-NET = bronchopulmonary neuroendocrine tumo</w:t>
      </w:r>
      <w:r w:rsidR="004A015A">
        <w:t>ur</w:t>
      </w:r>
      <w:r w:rsidRPr="00604E42">
        <w:t>;</w:t>
      </w:r>
      <w:r w:rsidR="000E2EF9">
        <w:t xml:space="preserve"> CAPTEM = capecitabine and temozolomide;</w:t>
      </w:r>
      <w:r w:rsidRPr="00604E42">
        <w:t xml:space="preserve"> EV</w:t>
      </w:r>
      <w:r w:rsidR="004D5C60">
        <w:t>O</w:t>
      </w:r>
      <w:r w:rsidRPr="00604E42">
        <w:t xml:space="preserve"> = everolimus; GEP</w:t>
      </w:r>
      <w:r w:rsidR="00C4601E">
        <w:t>-</w:t>
      </w:r>
      <w:r w:rsidRPr="00604E42">
        <w:t xml:space="preserve">NET = </w:t>
      </w:r>
      <w:proofErr w:type="spellStart"/>
      <w:r w:rsidRPr="00604E42">
        <w:t>gastroenteropancreatic</w:t>
      </w:r>
      <w:proofErr w:type="spellEnd"/>
      <w:r w:rsidRPr="00604E42">
        <w:t xml:space="preserve"> neuroendocrine tumo</w:t>
      </w:r>
      <w:r w:rsidR="004A015A">
        <w:t>ur</w:t>
      </w:r>
      <w:r w:rsidRPr="00604E42">
        <w:t>;</w:t>
      </w:r>
      <w:r w:rsidR="00663741">
        <w:t xml:space="preserve"> </w:t>
      </w:r>
      <w:r w:rsidR="000272C6" w:rsidRPr="000272C6">
        <w:t>H-SSTR = high somatostatin receptor</w:t>
      </w:r>
      <w:r w:rsidR="000272C6">
        <w:t>;</w:t>
      </w:r>
      <w:r w:rsidR="000272C6" w:rsidRPr="000272C6">
        <w:t xml:space="preserve"> </w:t>
      </w:r>
      <w:r w:rsidR="00663741">
        <w:t>GI = gastrointestinal;</w:t>
      </w:r>
      <w:r w:rsidRPr="00604E42">
        <w:t xml:space="preserve"> LAN = lanreotide; NEEPT = </w:t>
      </w:r>
      <w:proofErr w:type="spellStart"/>
      <w:r w:rsidRPr="00604E42">
        <w:t>enteropancreatic</w:t>
      </w:r>
      <w:proofErr w:type="spellEnd"/>
      <w:r w:rsidRPr="00604E42">
        <w:t xml:space="preserve"> neuroendocrine tumo</w:t>
      </w:r>
      <w:r w:rsidR="004A015A">
        <w:t>urs</w:t>
      </w:r>
      <w:r w:rsidRPr="00604E42">
        <w:t>; NET = neuroendocrine tumo</w:t>
      </w:r>
      <w:r w:rsidR="004A015A">
        <w:t>ur</w:t>
      </w:r>
      <w:r w:rsidRPr="00604E42">
        <w:t xml:space="preserve">; </w:t>
      </w:r>
      <w:r w:rsidR="00062888">
        <w:t>NMA = network meta-analysis;</w:t>
      </w:r>
      <w:r w:rsidRPr="00604E42">
        <w:t xml:space="preserve"> OCT = octreotide; ORR = objective response rate; </w:t>
      </w:r>
      <w:r w:rsidR="00C07A6E">
        <w:t>OS = overall survival;</w:t>
      </w:r>
      <w:r w:rsidRPr="00604E42">
        <w:t xml:space="preserve"> PBO = placebo; </w:t>
      </w:r>
      <w:proofErr w:type="spellStart"/>
      <w:r w:rsidRPr="00604E42">
        <w:t>pNET</w:t>
      </w:r>
      <w:proofErr w:type="spellEnd"/>
      <w:r w:rsidRPr="00604E42">
        <w:t xml:space="preserve"> = pancreatic neuroendocrine tumo</w:t>
      </w:r>
      <w:r w:rsidR="004A015A">
        <w:t>ur</w:t>
      </w:r>
      <w:r w:rsidRPr="00604E42">
        <w:t>; PFS = progression-free survival; SUN = sunitinib</w:t>
      </w:r>
      <w:r w:rsidR="00AA0C96">
        <w:t>;</w:t>
      </w:r>
      <w:r w:rsidR="000E2EF9">
        <w:t xml:space="preserve"> TEM = t</w:t>
      </w:r>
      <w:r w:rsidR="000E2EF9" w:rsidRPr="00BB3FFE">
        <w:t>emozolomide</w:t>
      </w:r>
      <w:r w:rsidR="000E2EF9">
        <w:t>;</w:t>
      </w:r>
      <w:r w:rsidR="00AA0C96">
        <w:t xml:space="preserve"> TTP = time to treatment</w:t>
      </w:r>
      <w:r w:rsidR="00956ACE" w:rsidRPr="00CE28E3">
        <w:t xml:space="preserve"> progression</w:t>
      </w:r>
      <w:r w:rsidR="00AA0C96">
        <w:t>.</w:t>
      </w:r>
    </w:p>
    <w:p w14:paraId="01669153" w14:textId="489459C1" w:rsidR="00130153" w:rsidRPr="00CE28E3" w:rsidRDefault="000B228E" w:rsidP="00130153">
      <w:pPr>
        <w:pStyle w:val="Heading2"/>
        <w:numPr>
          <w:ilvl w:val="0"/>
          <w:numId w:val="0"/>
        </w:numPr>
      </w:pPr>
      <w:bookmarkStart w:id="61" w:name="_Toc165275528"/>
      <w:r>
        <w:t>11</w:t>
      </w:r>
      <w:r w:rsidR="00130153">
        <w:t>.</w:t>
      </w:r>
      <w:r w:rsidR="00130153">
        <w:tab/>
      </w:r>
      <w:r w:rsidR="00130153" w:rsidRPr="00CE28E3">
        <w:t>Comparative safety</w:t>
      </w:r>
      <w:bookmarkEnd w:id="61"/>
    </w:p>
    <w:p w14:paraId="56E1D69F" w14:textId="77777777" w:rsidR="00130153" w:rsidRDefault="00130153" w:rsidP="00130153">
      <w:pPr>
        <w:pStyle w:val="3-BodyText"/>
        <w:numPr>
          <w:ilvl w:val="0"/>
          <w:numId w:val="0"/>
        </w:numPr>
        <w:rPr>
          <w:rFonts w:ascii="Franklin Gothic Book" w:eastAsiaTheme="minorHAnsi" w:hAnsi="Franklin Gothic Book" w:cstheme="minorBidi"/>
          <w:snapToGrid/>
          <w:sz w:val="22"/>
          <w:szCs w:val="22"/>
          <w:lang w:eastAsia="en-US"/>
        </w:rPr>
      </w:pPr>
      <w:r>
        <w:rPr>
          <w:rFonts w:ascii="Franklin Gothic Book" w:eastAsiaTheme="minorHAnsi" w:hAnsi="Franklin Gothic Book" w:cstheme="minorBidi"/>
          <w:snapToGrid/>
          <w:sz w:val="22"/>
          <w:szCs w:val="22"/>
          <w:lang w:eastAsia="en-US"/>
        </w:rPr>
        <w:t xml:space="preserve">The comparative </w:t>
      </w:r>
      <w:r w:rsidRPr="00514BF9">
        <w:rPr>
          <w:rFonts w:ascii="Franklin Gothic Book" w:eastAsiaTheme="minorHAnsi" w:hAnsi="Franklin Gothic Book" w:cstheme="minorBidi"/>
          <w:snapToGrid/>
          <w:sz w:val="22"/>
          <w:szCs w:val="22"/>
          <w:lang w:eastAsia="en-US"/>
        </w:rPr>
        <w:t xml:space="preserve">safety </w:t>
      </w:r>
      <w:r>
        <w:rPr>
          <w:rFonts w:ascii="Franklin Gothic Book" w:eastAsiaTheme="minorHAnsi" w:hAnsi="Franklin Gothic Book" w:cstheme="minorBidi"/>
          <w:snapToGrid/>
          <w:sz w:val="22"/>
          <w:szCs w:val="22"/>
          <w:lang w:eastAsia="en-US"/>
        </w:rPr>
        <w:t xml:space="preserve">of the diagnostic test </w:t>
      </w:r>
      <w:r w:rsidRPr="00514BF9">
        <w:rPr>
          <w:rFonts w:ascii="Franklin Gothic Book" w:eastAsiaTheme="minorHAnsi" w:hAnsi="Franklin Gothic Book" w:cstheme="minorBidi"/>
          <w:snapToGrid/>
          <w:sz w:val="22"/>
          <w:szCs w:val="22"/>
          <w:lang w:eastAsia="en-US"/>
        </w:rPr>
        <w:t>was not within the scope of systematic review</w:t>
      </w:r>
      <w:r>
        <w:rPr>
          <w:rFonts w:ascii="Franklin Gothic Book" w:eastAsiaTheme="minorHAnsi" w:hAnsi="Franklin Gothic Book" w:cstheme="minorBidi"/>
          <w:snapToGrid/>
          <w:sz w:val="22"/>
          <w:szCs w:val="22"/>
          <w:lang w:eastAsia="en-US"/>
        </w:rPr>
        <w:t>, nor outlined in the included studies within the review.</w:t>
      </w:r>
    </w:p>
    <w:p w14:paraId="30F38350" w14:textId="75CB10B9" w:rsidR="00130153" w:rsidRDefault="00130153" w:rsidP="00130153">
      <w:pPr>
        <w:pStyle w:val="3-BodyText"/>
        <w:numPr>
          <w:ilvl w:val="0"/>
          <w:numId w:val="0"/>
        </w:numPr>
        <w:rPr>
          <w:rFonts w:ascii="Franklin Gothic Book" w:eastAsiaTheme="minorHAnsi" w:hAnsi="Franklin Gothic Book" w:cstheme="minorBidi"/>
          <w:snapToGrid/>
          <w:sz w:val="22"/>
          <w:szCs w:val="22"/>
          <w:lang w:eastAsia="en-US"/>
        </w:rPr>
      </w:pPr>
      <w:r>
        <w:rPr>
          <w:rFonts w:ascii="Franklin Gothic Book" w:eastAsiaTheme="minorHAnsi" w:hAnsi="Franklin Gothic Book" w:cstheme="minorBidi"/>
          <w:snapToGrid/>
          <w:sz w:val="22"/>
          <w:szCs w:val="22"/>
          <w:lang w:eastAsia="en-US"/>
        </w:rPr>
        <w:t xml:space="preserve">The pooled proportions of patients experiencing adverse events (AEs) were similar when comparing </w:t>
      </w:r>
      <w:r w:rsidRPr="00EC620A">
        <w:rPr>
          <w:rFonts w:ascii="Franklin Gothic Book" w:eastAsiaTheme="minorHAnsi" w:hAnsi="Franklin Gothic Book"/>
          <w:sz w:val="22"/>
          <w:szCs w:val="22"/>
          <w:vertAlign w:val="superscript"/>
        </w:rPr>
        <w:t>177</w:t>
      </w:r>
      <w:r w:rsidRPr="00EC620A">
        <w:rPr>
          <w:rFonts w:ascii="Franklin Gothic Book" w:eastAsiaTheme="minorHAnsi" w:hAnsi="Franklin Gothic Book"/>
          <w:sz w:val="22"/>
          <w:szCs w:val="22"/>
        </w:rPr>
        <w:t>Lu</w:t>
      </w:r>
      <w:r w:rsidRPr="00AC4AB7">
        <w:rPr>
          <w:rFonts w:ascii="Franklin Gothic Book" w:eastAsiaTheme="minorHAnsi" w:hAnsi="Franklin Gothic Book" w:cstheme="minorBidi"/>
          <w:snapToGrid/>
          <w:sz w:val="22"/>
          <w:szCs w:val="22"/>
          <w:lang w:eastAsia="en-US"/>
        </w:rPr>
        <w:t>-</w:t>
      </w:r>
      <w:r>
        <w:rPr>
          <w:rFonts w:ascii="Franklin Gothic Book" w:eastAsiaTheme="minorHAnsi" w:hAnsi="Franklin Gothic Book" w:cstheme="minorBidi"/>
          <w:snapToGrid/>
          <w:sz w:val="22"/>
          <w:szCs w:val="22"/>
          <w:lang w:eastAsia="en-US"/>
        </w:rPr>
        <w:t>DOTATATE</w:t>
      </w:r>
      <w:r w:rsidRPr="00EC620A">
        <w:rPr>
          <w:rFonts w:ascii="Franklin Gothic Book" w:eastAsiaTheme="minorHAnsi" w:hAnsi="Franklin Gothic Book" w:cstheme="minorBidi"/>
          <w:snapToGrid/>
          <w:lang w:eastAsia="en-US"/>
        </w:rPr>
        <w:t xml:space="preserve"> </w:t>
      </w:r>
      <w:r>
        <w:rPr>
          <w:rFonts w:ascii="Franklin Gothic Book" w:eastAsiaTheme="minorHAnsi" w:hAnsi="Franklin Gothic Book" w:cstheme="minorBidi"/>
          <w:snapToGrid/>
          <w:sz w:val="22"/>
          <w:szCs w:val="22"/>
          <w:lang w:eastAsia="en-US"/>
        </w:rPr>
        <w:t>to each of the comparator therapies (</w:t>
      </w:r>
      <w:r w:rsidRPr="006B1C86">
        <w:rPr>
          <w:rFonts w:ascii="Franklin Gothic Book" w:eastAsiaTheme="minorHAnsi" w:hAnsi="Franklin Gothic Book" w:cstheme="minorBidi"/>
          <w:snapToGrid/>
          <w:sz w:val="22"/>
          <w:szCs w:val="22"/>
          <w:lang w:eastAsia="en-US"/>
        </w:rPr>
        <w:fldChar w:fldCharType="begin"/>
      </w:r>
      <w:r w:rsidRPr="006B1C86">
        <w:rPr>
          <w:rFonts w:ascii="Franklin Gothic Book" w:eastAsiaTheme="minorHAnsi" w:hAnsi="Franklin Gothic Book" w:cstheme="minorBidi"/>
          <w:snapToGrid/>
          <w:sz w:val="22"/>
          <w:szCs w:val="22"/>
          <w:lang w:eastAsia="en-US"/>
        </w:rPr>
        <w:instrText xml:space="preserve"> REF _Ref160477175 \h  \* MERGEFORMAT </w:instrText>
      </w:r>
      <w:r w:rsidRPr="006B1C86">
        <w:rPr>
          <w:rFonts w:ascii="Franklin Gothic Book" w:eastAsiaTheme="minorHAnsi" w:hAnsi="Franklin Gothic Book" w:cstheme="minorBidi"/>
          <w:snapToGrid/>
          <w:sz w:val="22"/>
          <w:szCs w:val="22"/>
          <w:lang w:eastAsia="en-US"/>
        </w:rPr>
      </w:r>
      <w:r w:rsidRPr="006B1C86">
        <w:rPr>
          <w:rFonts w:ascii="Franklin Gothic Book" w:eastAsiaTheme="minorHAnsi" w:hAnsi="Franklin Gothic Book" w:cstheme="minorBidi"/>
          <w:snapToGrid/>
          <w:sz w:val="22"/>
          <w:szCs w:val="22"/>
          <w:lang w:eastAsia="en-US"/>
        </w:rPr>
        <w:fldChar w:fldCharType="separate"/>
      </w:r>
      <w:r w:rsidR="00674D5E" w:rsidRPr="00EF2D54">
        <w:rPr>
          <w:rFonts w:ascii="Franklin Gothic Book" w:hAnsi="Franklin Gothic Book"/>
        </w:rPr>
        <w:t xml:space="preserve">Table </w:t>
      </w:r>
      <w:r w:rsidR="00674D5E">
        <w:rPr>
          <w:noProof/>
        </w:rPr>
        <w:t>7</w:t>
      </w:r>
      <w:r w:rsidRPr="006B1C86">
        <w:rPr>
          <w:rFonts w:ascii="Franklin Gothic Book" w:eastAsiaTheme="minorHAnsi" w:hAnsi="Franklin Gothic Book" w:cstheme="minorBidi"/>
          <w:snapToGrid/>
          <w:sz w:val="22"/>
          <w:szCs w:val="22"/>
          <w:lang w:eastAsia="en-US"/>
        </w:rPr>
        <w:fldChar w:fldCharType="end"/>
      </w:r>
      <w:r w:rsidRPr="006B1C86">
        <w:rPr>
          <w:rFonts w:ascii="Franklin Gothic Book" w:eastAsiaTheme="minorHAnsi" w:hAnsi="Franklin Gothic Book" w:cstheme="minorBidi"/>
          <w:snapToGrid/>
          <w:sz w:val="22"/>
          <w:szCs w:val="22"/>
          <w:lang w:eastAsia="en-US"/>
        </w:rPr>
        <w:t>).</w:t>
      </w:r>
      <w:r>
        <w:rPr>
          <w:rFonts w:ascii="Franklin Gothic Book" w:eastAsiaTheme="minorHAnsi" w:hAnsi="Franklin Gothic Book" w:cstheme="minorBidi"/>
          <w:snapToGrid/>
          <w:sz w:val="22"/>
          <w:szCs w:val="22"/>
          <w:lang w:eastAsia="en-US"/>
        </w:rPr>
        <w:t xml:space="preserve"> However, differences in the rates of serious AEs (SAEs) varied across treatments. Most notably, the rates of SAEs for o</w:t>
      </w:r>
      <w:r w:rsidRPr="00DC3B9C">
        <w:rPr>
          <w:rFonts w:ascii="Franklin Gothic Book" w:eastAsiaTheme="minorHAnsi" w:hAnsi="Franklin Gothic Book" w:cstheme="minorBidi"/>
          <w:snapToGrid/>
          <w:sz w:val="22"/>
          <w:szCs w:val="22"/>
          <w:lang w:eastAsia="en-US"/>
        </w:rPr>
        <w:t xml:space="preserve">ctreotide </w:t>
      </w:r>
      <w:r>
        <w:rPr>
          <w:rFonts w:ascii="Franklin Gothic Book" w:eastAsiaTheme="minorHAnsi" w:hAnsi="Franklin Gothic Book" w:cstheme="minorBidi"/>
          <w:snapToGrid/>
          <w:sz w:val="22"/>
          <w:szCs w:val="22"/>
          <w:lang w:eastAsia="en-US"/>
        </w:rPr>
        <w:t>plus</w:t>
      </w:r>
      <w:r w:rsidRPr="00DC3B9C">
        <w:rPr>
          <w:rFonts w:ascii="Franklin Gothic Book" w:eastAsiaTheme="minorHAnsi" w:hAnsi="Franklin Gothic Book" w:cstheme="minorBidi"/>
          <w:snapToGrid/>
          <w:sz w:val="22"/>
          <w:szCs w:val="22"/>
          <w:lang w:eastAsia="en-US"/>
        </w:rPr>
        <w:t xml:space="preserve"> everolimus</w:t>
      </w:r>
      <w:r>
        <w:rPr>
          <w:rFonts w:ascii="Franklin Gothic Book" w:eastAsiaTheme="minorHAnsi" w:hAnsi="Franklin Gothic Book" w:cstheme="minorBidi"/>
          <w:snapToGrid/>
          <w:sz w:val="22"/>
          <w:szCs w:val="22"/>
          <w:lang w:eastAsia="en-US"/>
        </w:rPr>
        <w:t xml:space="preserve"> (59%)</w:t>
      </w:r>
      <w:r w:rsidRPr="00DC3B9C">
        <w:rPr>
          <w:rFonts w:ascii="Franklin Gothic Book" w:eastAsiaTheme="minorHAnsi" w:hAnsi="Franklin Gothic Book" w:cstheme="minorBidi"/>
          <w:snapToGrid/>
          <w:sz w:val="22"/>
          <w:szCs w:val="22"/>
          <w:lang w:eastAsia="en-US"/>
        </w:rPr>
        <w:t xml:space="preserve"> were more than double th</w:t>
      </w:r>
      <w:r>
        <w:rPr>
          <w:rFonts w:ascii="Franklin Gothic Book" w:eastAsiaTheme="minorHAnsi" w:hAnsi="Franklin Gothic Book" w:cstheme="minorBidi"/>
          <w:snapToGrid/>
          <w:sz w:val="22"/>
          <w:szCs w:val="22"/>
          <w:lang w:eastAsia="en-US"/>
        </w:rPr>
        <w:t>ose</w:t>
      </w:r>
      <w:r w:rsidRPr="00DC3B9C">
        <w:rPr>
          <w:rFonts w:ascii="Franklin Gothic Book" w:eastAsiaTheme="minorHAnsi" w:hAnsi="Franklin Gothic Book" w:cstheme="minorBidi"/>
          <w:snapToGrid/>
          <w:sz w:val="22"/>
          <w:szCs w:val="22"/>
          <w:lang w:eastAsia="en-US"/>
        </w:rPr>
        <w:t xml:space="preserve"> for </w:t>
      </w:r>
      <w:r w:rsidRPr="001345FE">
        <w:rPr>
          <w:rFonts w:ascii="Franklin Gothic Book" w:eastAsiaTheme="minorHAnsi" w:hAnsi="Franklin Gothic Book"/>
          <w:sz w:val="22"/>
          <w:szCs w:val="22"/>
          <w:vertAlign w:val="superscript"/>
        </w:rPr>
        <w:t>177</w:t>
      </w:r>
      <w:r w:rsidRPr="001345FE">
        <w:rPr>
          <w:rFonts w:ascii="Franklin Gothic Book" w:eastAsiaTheme="minorHAnsi" w:hAnsi="Franklin Gothic Book"/>
          <w:sz w:val="22"/>
          <w:szCs w:val="22"/>
        </w:rPr>
        <w:t>Lu-DOTATATE</w:t>
      </w:r>
      <w:r w:rsidRPr="00050981">
        <w:rPr>
          <w:rFonts w:ascii="Arial Narrow" w:eastAsiaTheme="minorHAnsi" w:hAnsi="Arial Narrow"/>
        </w:rPr>
        <w:t xml:space="preserve"> </w:t>
      </w:r>
      <w:r w:rsidRPr="00DC3B9C">
        <w:rPr>
          <w:rFonts w:ascii="Franklin Gothic Book" w:eastAsiaTheme="minorHAnsi" w:hAnsi="Franklin Gothic Book" w:cstheme="minorBidi"/>
          <w:snapToGrid/>
          <w:sz w:val="22"/>
          <w:szCs w:val="22"/>
          <w:lang w:eastAsia="en-US"/>
        </w:rPr>
        <w:t>(26%). High rate</w:t>
      </w:r>
      <w:r>
        <w:rPr>
          <w:rFonts w:ascii="Franklin Gothic Book" w:eastAsiaTheme="minorHAnsi" w:hAnsi="Franklin Gothic Book" w:cstheme="minorBidi"/>
          <w:snapToGrid/>
          <w:sz w:val="22"/>
          <w:szCs w:val="22"/>
          <w:lang w:eastAsia="en-US"/>
        </w:rPr>
        <w:t>s</w:t>
      </w:r>
      <w:r w:rsidRPr="00DC3B9C">
        <w:rPr>
          <w:rFonts w:ascii="Franklin Gothic Book" w:eastAsiaTheme="minorHAnsi" w:hAnsi="Franklin Gothic Book" w:cstheme="minorBidi"/>
          <w:snapToGrid/>
          <w:sz w:val="22"/>
          <w:szCs w:val="22"/>
          <w:lang w:eastAsia="en-US"/>
        </w:rPr>
        <w:t xml:space="preserve"> of SAEs were also observed for </w:t>
      </w:r>
      <w:r>
        <w:rPr>
          <w:rFonts w:ascii="Franklin Gothic Book" w:eastAsiaTheme="minorHAnsi" w:hAnsi="Franklin Gothic Book" w:cstheme="minorBidi"/>
          <w:snapToGrid/>
          <w:sz w:val="22"/>
          <w:szCs w:val="22"/>
          <w:lang w:eastAsia="en-US"/>
        </w:rPr>
        <w:t>e</w:t>
      </w:r>
      <w:r w:rsidRPr="005209D1">
        <w:rPr>
          <w:rFonts w:ascii="Franklin Gothic Book" w:eastAsiaTheme="minorHAnsi" w:hAnsi="Franklin Gothic Book" w:cstheme="minorBidi"/>
          <w:snapToGrid/>
          <w:sz w:val="22"/>
          <w:szCs w:val="22"/>
          <w:lang w:eastAsia="en-US"/>
        </w:rPr>
        <w:t xml:space="preserve">verolimus </w:t>
      </w:r>
      <w:r w:rsidRPr="00DC3B9C">
        <w:rPr>
          <w:rFonts w:ascii="Franklin Gothic Book" w:eastAsiaTheme="minorHAnsi" w:hAnsi="Franklin Gothic Book" w:cstheme="minorBidi"/>
          <w:snapToGrid/>
          <w:sz w:val="22"/>
          <w:szCs w:val="22"/>
          <w:lang w:eastAsia="en-US"/>
        </w:rPr>
        <w:t>monotherapy (44%).</w:t>
      </w:r>
    </w:p>
    <w:p w14:paraId="090174B9" w14:textId="5B7F3F07" w:rsidR="00130153" w:rsidRDefault="00130153" w:rsidP="00130153">
      <w:pPr>
        <w:pStyle w:val="Caption"/>
      </w:pPr>
      <w:bookmarkStart w:id="62" w:name="_Ref160477175"/>
      <w:bookmarkStart w:id="63" w:name="_Toc161842043"/>
      <w:r>
        <w:t xml:space="preserve">Table </w:t>
      </w:r>
      <w:r w:rsidR="006D13BC">
        <w:fldChar w:fldCharType="begin"/>
      </w:r>
      <w:r w:rsidR="006D13BC">
        <w:instrText xml:space="preserve"> SEQ Table \* ARABIC </w:instrText>
      </w:r>
      <w:r w:rsidR="006D13BC">
        <w:fldChar w:fldCharType="separate"/>
      </w:r>
      <w:r w:rsidR="006D13BC">
        <w:rPr>
          <w:noProof/>
        </w:rPr>
        <w:t>7</w:t>
      </w:r>
      <w:r w:rsidR="006D13BC">
        <w:rPr>
          <w:noProof/>
        </w:rPr>
        <w:fldChar w:fldCharType="end"/>
      </w:r>
      <w:bookmarkEnd w:id="62"/>
      <w:r>
        <w:t>: Pooled analysis of the proportions of patients experiencing AEs and SAEs for each treatment</w:t>
      </w:r>
      <w:bookmarkEnd w:id="63"/>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007"/>
        <w:gridCol w:w="3008"/>
        <w:gridCol w:w="3001"/>
      </w:tblGrid>
      <w:tr w:rsidR="00130153" w:rsidRPr="00A95AD2" w14:paraId="414387DE" w14:textId="77777777" w:rsidTr="00B431D6">
        <w:trPr>
          <w:trHeight w:val="323"/>
          <w:tblHeader/>
        </w:trPr>
        <w:tc>
          <w:tcPr>
            <w:tcW w:w="1668" w:type="pct"/>
          </w:tcPr>
          <w:p w14:paraId="17E79CD3" w14:textId="77777777" w:rsidR="00130153" w:rsidRPr="000E518A" w:rsidRDefault="00130153" w:rsidP="00B431D6">
            <w:pPr>
              <w:pStyle w:val="TableHeading0"/>
              <w:rPr>
                <w:snapToGrid w:val="0"/>
              </w:rPr>
            </w:pPr>
            <w:r w:rsidRPr="000E518A">
              <w:rPr>
                <w:snapToGrid w:val="0"/>
              </w:rPr>
              <w:t>Treatment</w:t>
            </w:r>
          </w:p>
        </w:tc>
        <w:tc>
          <w:tcPr>
            <w:tcW w:w="1668" w:type="pct"/>
            <w:shd w:val="clear" w:color="auto" w:fill="auto"/>
            <w:vAlign w:val="center"/>
          </w:tcPr>
          <w:p w14:paraId="2B78064C" w14:textId="77777777" w:rsidR="00130153" w:rsidRPr="000E518A" w:rsidRDefault="00130153" w:rsidP="00B431D6">
            <w:pPr>
              <w:pStyle w:val="TableHeading0"/>
              <w:rPr>
                <w:snapToGrid w:val="0"/>
              </w:rPr>
            </w:pPr>
            <w:r w:rsidRPr="000E518A">
              <w:rPr>
                <w:snapToGrid w:val="0"/>
              </w:rPr>
              <w:t>AE</w:t>
            </w:r>
          </w:p>
        </w:tc>
        <w:tc>
          <w:tcPr>
            <w:tcW w:w="1664" w:type="pct"/>
            <w:shd w:val="clear" w:color="auto" w:fill="auto"/>
            <w:vAlign w:val="center"/>
          </w:tcPr>
          <w:p w14:paraId="36965B91" w14:textId="77777777" w:rsidR="00130153" w:rsidRPr="000E518A" w:rsidRDefault="00130153" w:rsidP="00B431D6">
            <w:pPr>
              <w:pStyle w:val="TableHeading0"/>
              <w:rPr>
                <w:snapToGrid w:val="0"/>
              </w:rPr>
            </w:pPr>
            <w:r w:rsidRPr="000E518A">
              <w:rPr>
                <w:snapToGrid w:val="0"/>
              </w:rPr>
              <w:t>SAE</w:t>
            </w:r>
          </w:p>
        </w:tc>
      </w:tr>
      <w:tr w:rsidR="00130153" w:rsidRPr="00A95AD2" w14:paraId="24007A4E" w14:textId="77777777" w:rsidTr="00B431D6">
        <w:trPr>
          <w:trHeight w:val="231"/>
          <w:tblHeader/>
        </w:trPr>
        <w:tc>
          <w:tcPr>
            <w:tcW w:w="1668" w:type="pct"/>
            <w:vAlign w:val="center"/>
          </w:tcPr>
          <w:p w14:paraId="56C02058" w14:textId="77777777" w:rsidR="00130153" w:rsidRPr="000E518A" w:rsidRDefault="00130153" w:rsidP="00B431D6">
            <w:pPr>
              <w:pStyle w:val="TableText"/>
              <w:rPr>
                <w:lang w:val="en-GB"/>
              </w:rPr>
            </w:pPr>
            <w:r w:rsidRPr="001345FE">
              <w:rPr>
                <w:vertAlign w:val="superscript"/>
                <w:lang w:val="en-GB"/>
              </w:rPr>
              <w:t>177</w:t>
            </w:r>
            <w:r w:rsidRPr="000E518A">
              <w:rPr>
                <w:lang w:val="en-GB"/>
              </w:rPr>
              <w:t>Lu-</w:t>
            </w:r>
            <w:r>
              <w:rPr>
                <w:lang w:val="en-GB"/>
              </w:rPr>
              <w:t>DOTATATE</w:t>
            </w:r>
          </w:p>
        </w:tc>
        <w:tc>
          <w:tcPr>
            <w:tcW w:w="1668" w:type="pct"/>
            <w:shd w:val="clear" w:color="auto" w:fill="auto"/>
            <w:vAlign w:val="center"/>
          </w:tcPr>
          <w:p w14:paraId="23A5C1DD" w14:textId="77777777" w:rsidR="00130153" w:rsidRPr="000E518A" w:rsidRDefault="00130153" w:rsidP="00B431D6">
            <w:pPr>
              <w:pStyle w:val="TableText"/>
              <w:rPr>
                <w:lang w:val="en-GB"/>
              </w:rPr>
            </w:pPr>
            <w:r w:rsidRPr="000E518A">
              <w:rPr>
                <w:lang w:val="en-GB"/>
              </w:rPr>
              <w:t>95%</w:t>
            </w:r>
          </w:p>
        </w:tc>
        <w:tc>
          <w:tcPr>
            <w:tcW w:w="1664" w:type="pct"/>
            <w:shd w:val="clear" w:color="auto" w:fill="auto"/>
            <w:vAlign w:val="center"/>
          </w:tcPr>
          <w:p w14:paraId="290AF25C" w14:textId="77777777" w:rsidR="00130153" w:rsidRPr="000E518A" w:rsidRDefault="00130153" w:rsidP="00B431D6">
            <w:pPr>
              <w:pStyle w:val="TableText"/>
              <w:rPr>
                <w:b/>
                <w:lang w:val="en-GB"/>
              </w:rPr>
            </w:pPr>
            <w:r w:rsidRPr="000E518A">
              <w:rPr>
                <w:lang w:val="en-GB"/>
              </w:rPr>
              <w:t>26%</w:t>
            </w:r>
          </w:p>
        </w:tc>
      </w:tr>
      <w:tr w:rsidR="00130153" w:rsidRPr="00A95AD2" w14:paraId="4288BF0B" w14:textId="77777777" w:rsidTr="00B431D6">
        <w:trPr>
          <w:trHeight w:val="84"/>
        </w:trPr>
        <w:tc>
          <w:tcPr>
            <w:tcW w:w="1668" w:type="pct"/>
            <w:vAlign w:val="center"/>
          </w:tcPr>
          <w:p w14:paraId="4160D5BB" w14:textId="77777777" w:rsidR="00130153" w:rsidRPr="000E518A" w:rsidRDefault="00130153" w:rsidP="00B431D6">
            <w:pPr>
              <w:pStyle w:val="TableText"/>
              <w:rPr>
                <w:b/>
                <w:lang w:val="en-GB"/>
              </w:rPr>
            </w:pPr>
            <w:r w:rsidRPr="000E518A">
              <w:rPr>
                <w:lang w:val="en-GB"/>
              </w:rPr>
              <w:t>Octreotide + everolimus</w:t>
            </w:r>
          </w:p>
        </w:tc>
        <w:tc>
          <w:tcPr>
            <w:tcW w:w="1668" w:type="pct"/>
            <w:shd w:val="clear" w:color="auto" w:fill="auto"/>
            <w:vAlign w:val="center"/>
          </w:tcPr>
          <w:p w14:paraId="3AF44724" w14:textId="77777777" w:rsidR="00130153" w:rsidRPr="000E518A" w:rsidRDefault="00130153" w:rsidP="00B431D6">
            <w:pPr>
              <w:pStyle w:val="TableText"/>
              <w:rPr>
                <w:b/>
                <w:lang w:val="en-GB"/>
              </w:rPr>
            </w:pPr>
            <w:r w:rsidRPr="000E518A">
              <w:rPr>
                <w:lang w:val="en-GB"/>
              </w:rPr>
              <w:t>100%</w:t>
            </w:r>
          </w:p>
        </w:tc>
        <w:tc>
          <w:tcPr>
            <w:tcW w:w="1664" w:type="pct"/>
            <w:shd w:val="clear" w:color="auto" w:fill="auto"/>
            <w:vAlign w:val="center"/>
          </w:tcPr>
          <w:p w14:paraId="485A129C" w14:textId="77777777" w:rsidR="00130153" w:rsidRPr="000E518A" w:rsidRDefault="00130153" w:rsidP="00B431D6">
            <w:pPr>
              <w:pStyle w:val="TableText"/>
              <w:rPr>
                <w:b/>
                <w:lang w:val="en-GB"/>
              </w:rPr>
            </w:pPr>
            <w:r w:rsidRPr="000E518A">
              <w:rPr>
                <w:lang w:val="en-GB"/>
              </w:rPr>
              <w:t>59%</w:t>
            </w:r>
          </w:p>
        </w:tc>
      </w:tr>
      <w:tr w:rsidR="00130153" w:rsidRPr="00A95AD2" w14:paraId="2F1008B6" w14:textId="77777777" w:rsidTr="00B431D6">
        <w:trPr>
          <w:trHeight w:val="347"/>
        </w:trPr>
        <w:tc>
          <w:tcPr>
            <w:tcW w:w="1668" w:type="pct"/>
            <w:vAlign w:val="center"/>
          </w:tcPr>
          <w:p w14:paraId="1315D0B5" w14:textId="77777777" w:rsidR="00130153" w:rsidRPr="000E518A" w:rsidRDefault="00130153" w:rsidP="00B431D6">
            <w:pPr>
              <w:pStyle w:val="TableText"/>
              <w:rPr>
                <w:lang w:val="en-GB"/>
              </w:rPr>
            </w:pPr>
            <w:r w:rsidRPr="000E518A">
              <w:rPr>
                <w:lang w:val="en-GB"/>
              </w:rPr>
              <w:t>Octreotide</w:t>
            </w:r>
          </w:p>
        </w:tc>
        <w:tc>
          <w:tcPr>
            <w:tcW w:w="1668" w:type="pct"/>
            <w:shd w:val="clear" w:color="auto" w:fill="auto"/>
            <w:vAlign w:val="center"/>
          </w:tcPr>
          <w:p w14:paraId="46F45CB6" w14:textId="77777777" w:rsidR="00130153" w:rsidRPr="000E518A" w:rsidRDefault="00130153" w:rsidP="00B431D6">
            <w:pPr>
              <w:pStyle w:val="TableText"/>
              <w:rPr>
                <w:lang w:val="en-GB"/>
              </w:rPr>
            </w:pPr>
            <w:r w:rsidRPr="000E518A">
              <w:rPr>
                <w:lang w:val="en-GB"/>
              </w:rPr>
              <w:t>85%</w:t>
            </w:r>
          </w:p>
        </w:tc>
        <w:tc>
          <w:tcPr>
            <w:tcW w:w="1664" w:type="pct"/>
            <w:shd w:val="clear" w:color="auto" w:fill="auto"/>
            <w:vAlign w:val="center"/>
          </w:tcPr>
          <w:p w14:paraId="27958B5C" w14:textId="77777777" w:rsidR="00130153" w:rsidRPr="000E518A" w:rsidRDefault="00130153" w:rsidP="00B431D6">
            <w:pPr>
              <w:pStyle w:val="TableText"/>
              <w:rPr>
                <w:lang w:val="en-GB"/>
              </w:rPr>
            </w:pPr>
            <w:r w:rsidRPr="000E518A">
              <w:rPr>
                <w:lang w:val="en-GB"/>
              </w:rPr>
              <w:t>31%</w:t>
            </w:r>
          </w:p>
        </w:tc>
      </w:tr>
      <w:tr w:rsidR="00130153" w:rsidRPr="00A95AD2" w14:paraId="67EA5B91" w14:textId="77777777" w:rsidTr="00B431D6">
        <w:trPr>
          <w:trHeight w:val="273"/>
        </w:trPr>
        <w:tc>
          <w:tcPr>
            <w:tcW w:w="1668" w:type="pct"/>
            <w:vAlign w:val="center"/>
          </w:tcPr>
          <w:p w14:paraId="152B021D" w14:textId="77777777" w:rsidR="00130153" w:rsidRPr="000E518A" w:rsidRDefault="00130153" w:rsidP="00B431D6">
            <w:pPr>
              <w:pStyle w:val="TableText"/>
              <w:rPr>
                <w:lang w:val="en-GB"/>
              </w:rPr>
            </w:pPr>
            <w:r w:rsidRPr="000E518A">
              <w:rPr>
                <w:lang w:val="en-GB"/>
              </w:rPr>
              <w:t>Everolimus</w:t>
            </w:r>
          </w:p>
        </w:tc>
        <w:tc>
          <w:tcPr>
            <w:tcW w:w="1668" w:type="pct"/>
            <w:shd w:val="clear" w:color="auto" w:fill="auto"/>
            <w:vAlign w:val="center"/>
          </w:tcPr>
          <w:p w14:paraId="2DFCDDC4" w14:textId="77777777" w:rsidR="00130153" w:rsidRPr="000E518A" w:rsidRDefault="00130153" w:rsidP="00B431D6">
            <w:pPr>
              <w:pStyle w:val="TableText"/>
              <w:rPr>
                <w:lang w:val="en-GB"/>
              </w:rPr>
            </w:pPr>
            <w:r w:rsidRPr="000E518A">
              <w:rPr>
                <w:lang w:val="en-GB"/>
              </w:rPr>
              <w:t>98%</w:t>
            </w:r>
          </w:p>
        </w:tc>
        <w:tc>
          <w:tcPr>
            <w:tcW w:w="1664" w:type="pct"/>
            <w:shd w:val="clear" w:color="auto" w:fill="auto"/>
            <w:vAlign w:val="center"/>
          </w:tcPr>
          <w:p w14:paraId="58D469C4" w14:textId="77777777" w:rsidR="00130153" w:rsidRPr="000E518A" w:rsidRDefault="00130153" w:rsidP="00B431D6">
            <w:pPr>
              <w:pStyle w:val="TableText"/>
              <w:rPr>
                <w:lang w:val="en-GB"/>
              </w:rPr>
            </w:pPr>
            <w:r w:rsidRPr="000E518A">
              <w:rPr>
                <w:lang w:val="en-GB"/>
              </w:rPr>
              <w:t>44%</w:t>
            </w:r>
          </w:p>
        </w:tc>
      </w:tr>
      <w:tr w:rsidR="00130153" w:rsidRPr="00A95AD2" w14:paraId="36A5BF81" w14:textId="77777777" w:rsidTr="00B431D6">
        <w:trPr>
          <w:trHeight w:val="273"/>
        </w:trPr>
        <w:tc>
          <w:tcPr>
            <w:tcW w:w="1668" w:type="pct"/>
            <w:vAlign w:val="center"/>
          </w:tcPr>
          <w:p w14:paraId="24C7C1F0" w14:textId="77777777" w:rsidR="00130153" w:rsidRPr="000E518A" w:rsidRDefault="00130153" w:rsidP="00B431D6">
            <w:pPr>
              <w:pStyle w:val="TableText"/>
              <w:rPr>
                <w:lang w:val="en-GB"/>
              </w:rPr>
            </w:pPr>
            <w:r w:rsidRPr="000E518A">
              <w:rPr>
                <w:lang w:val="en-GB"/>
              </w:rPr>
              <w:t>Sunitinib</w:t>
            </w:r>
          </w:p>
        </w:tc>
        <w:tc>
          <w:tcPr>
            <w:tcW w:w="1668" w:type="pct"/>
            <w:shd w:val="clear" w:color="auto" w:fill="auto"/>
            <w:vAlign w:val="center"/>
          </w:tcPr>
          <w:p w14:paraId="1E67DC1F" w14:textId="77777777" w:rsidR="00130153" w:rsidRPr="000E518A" w:rsidRDefault="00130153" w:rsidP="00B431D6">
            <w:pPr>
              <w:pStyle w:val="TableText"/>
              <w:rPr>
                <w:lang w:val="en-GB"/>
              </w:rPr>
            </w:pPr>
            <w:r w:rsidRPr="000E518A">
              <w:rPr>
                <w:lang w:val="en-GB"/>
              </w:rPr>
              <w:t>96%</w:t>
            </w:r>
          </w:p>
        </w:tc>
        <w:tc>
          <w:tcPr>
            <w:tcW w:w="1664" w:type="pct"/>
            <w:shd w:val="clear" w:color="auto" w:fill="auto"/>
            <w:vAlign w:val="center"/>
          </w:tcPr>
          <w:p w14:paraId="11745320" w14:textId="77777777" w:rsidR="00130153" w:rsidRPr="000E518A" w:rsidRDefault="00130153" w:rsidP="00B431D6">
            <w:pPr>
              <w:pStyle w:val="TableText"/>
              <w:rPr>
                <w:lang w:val="en-GB"/>
              </w:rPr>
            </w:pPr>
            <w:r w:rsidRPr="000E518A">
              <w:rPr>
                <w:lang w:val="en-GB"/>
              </w:rPr>
              <w:t>27%</w:t>
            </w:r>
          </w:p>
        </w:tc>
      </w:tr>
      <w:tr w:rsidR="00130153" w:rsidRPr="00A95AD2" w14:paraId="6AA29203" w14:textId="77777777" w:rsidTr="00B431D6">
        <w:trPr>
          <w:trHeight w:val="273"/>
        </w:trPr>
        <w:tc>
          <w:tcPr>
            <w:tcW w:w="1668" w:type="pct"/>
            <w:vAlign w:val="center"/>
          </w:tcPr>
          <w:p w14:paraId="0FB07947" w14:textId="77777777" w:rsidR="00130153" w:rsidRPr="000E518A" w:rsidRDefault="00130153" w:rsidP="00B431D6">
            <w:pPr>
              <w:pStyle w:val="TableText"/>
              <w:rPr>
                <w:lang w:val="en-GB"/>
              </w:rPr>
            </w:pPr>
            <w:r w:rsidRPr="000E518A">
              <w:rPr>
                <w:lang w:val="en-GB"/>
              </w:rPr>
              <w:t>Lanreotide</w:t>
            </w:r>
          </w:p>
        </w:tc>
        <w:tc>
          <w:tcPr>
            <w:tcW w:w="1668" w:type="pct"/>
            <w:shd w:val="clear" w:color="auto" w:fill="auto"/>
            <w:vAlign w:val="center"/>
          </w:tcPr>
          <w:p w14:paraId="0029623A" w14:textId="77777777" w:rsidR="00130153" w:rsidRPr="000E518A" w:rsidRDefault="00130153" w:rsidP="00B431D6">
            <w:pPr>
              <w:pStyle w:val="TableText"/>
              <w:rPr>
                <w:lang w:val="en-GB"/>
              </w:rPr>
            </w:pPr>
            <w:r w:rsidRPr="000E518A">
              <w:rPr>
                <w:lang w:val="en-GB"/>
              </w:rPr>
              <w:t>91%</w:t>
            </w:r>
          </w:p>
        </w:tc>
        <w:tc>
          <w:tcPr>
            <w:tcW w:w="1664" w:type="pct"/>
            <w:shd w:val="clear" w:color="auto" w:fill="auto"/>
            <w:vAlign w:val="center"/>
          </w:tcPr>
          <w:p w14:paraId="4EA9FED8" w14:textId="77777777" w:rsidR="00130153" w:rsidRPr="000E518A" w:rsidRDefault="00130153" w:rsidP="00B431D6">
            <w:pPr>
              <w:pStyle w:val="TableText"/>
              <w:rPr>
                <w:lang w:val="en-GB"/>
              </w:rPr>
            </w:pPr>
            <w:r w:rsidRPr="000E518A">
              <w:rPr>
                <w:lang w:val="en-GB"/>
              </w:rPr>
              <w:t>22%</w:t>
            </w:r>
          </w:p>
        </w:tc>
      </w:tr>
      <w:tr w:rsidR="00130153" w:rsidRPr="00A95AD2" w14:paraId="31A89F2C" w14:textId="77777777" w:rsidTr="00B431D6">
        <w:trPr>
          <w:trHeight w:val="95"/>
        </w:trPr>
        <w:tc>
          <w:tcPr>
            <w:tcW w:w="1668" w:type="pct"/>
            <w:vAlign w:val="center"/>
          </w:tcPr>
          <w:p w14:paraId="79C87ABE" w14:textId="77777777" w:rsidR="00130153" w:rsidRPr="000E518A" w:rsidRDefault="00130153" w:rsidP="00B431D6">
            <w:pPr>
              <w:pStyle w:val="TableText"/>
              <w:rPr>
                <w:lang w:val="en-GB"/>
              </w:rPr>
            </w:pPr>
            <w:r w:rsidRPr="000E518A">
              <w:rPr>
                <w:lang w:val="en-GB"/>
              </w:rPr>
              <w:t>Placebo/</w:t>
            </w:r>
            <w:r>
              <w:rPr>
                <w:lang w:val="en-GB"/>
              </w:rPr>
              <w:t>best supportive care</w:t>
            </w:r>
          </w:p>
        </w:tc>
        <w:tc>
          <w:tcPr>
            <w:tcW w:w="1668" w:type="pct"/>
            <w:shd w:val="clear" w:color="auto" w:fill="auto"/>
            <w:vAlign w:val="center"/>
          </w:tcPr>
          <w:p w14:paraId="1B19BC51" w14:textId="77777777" w:rsidR="00130153" w:rsidRPr="000E518A" w:rsidRDefault="00130153" w:rsidP="00B431D6">
            <w:pPr>
              <w:pStyle w:val="TableText"/>
              <w:rPr>
                <w:lang w:val="en-GB"/>
              </w:rPr>
            </w:pPr>
            <w:r w:rsidRPr="000E518A">
              <w:rPr>
                <w:lang w:val="en-GB"/>
              </w:rPr>
              <w:t>89%</w:t>
            </w:r>
          </w:p>
        </w:tc>
        <w:tc>
          <w:tcPr>
            <w:tcW w:w="1664" w:type="pct"/>
            <w:shd w:val="clear" w:color="auto" w:fill="auto"/>
            <w:vAlign w:val="center"/>
          </w:tcPr>
          <w:p w14:paraId="455A3B7A" w14:textId="77777777" w:rsidR="00130153" w:rsidRPr="000E518A" w:rsidRDefault="00130153" w:rsidP="00B431D6">
            <w:pPr>
              <w:pStyle w:val="TableText"/>
              <w:rPr>
                <w:lang w:val="en-GB"/>
              </w:rPr>
            </w:pPr>
            <w:r w:rsidRPr="000E518A">
              <w:rPr>
                <w:lang w:val="en-GB"/>
              </w:rPr>
              <w:t>34%</w:t>
            </w:r>
          </w:p>
        </w:tc>
      </w:tr>
    </w:tbl>
    <w:p w14:paraId="278D9ABC" w14:textId="7E4424EA" w:rsidR="00E0507A" w:rsidRPr="000B228E" w:rsidRDefault="00130153" w:rsidP="0095653C">
      <w:pPr>
        <w:pStyle w:val="Tablenotes0"/>
        <w:rPr>
          <w:snapToGrid w:val="0"/>
          <w:lang w:eastAsia="en-AU"/>
        </w:rPr>
      </w:pPr>
      <w:r w:rsidRPr="00881D30">
        <w:rPr>
          <w:snapToGrid w:val="0"/>
          <w:lang w:eastAsia="en-AU"/>
        </w:rPr>
        <w:t>Abbreviations</w:t>
      </w:r>
      <w:r w:rsidRPr="00E96692">
        <w:rPr>
          <w:snapToGrid w:val="0"/>
          <w:lang w:eastAsia="en-AU"/>
        </w:rPr>
        <w:t>: AE = adverse events; SAE = serious adverse events.</w:t>
      </w:r>
    </w:p>
    <w:p w14:paraId="44616E01" w14:textId="6054ED34" w:rsidR="00B21CC6" w:rsidRPr="00CE28E3" w:rsidRDefault="000B228E" w:rsidP="00B21CC6">
      <w:pPr>
        <w:pStyle w:val="Heading2"/>
        <w:numPr>
          <w:ilvl w:val="0"/>
          <w:numId w:val="0"/>
        </w:numPr>
      </w:pPr>
      <w:bookmarkStart w:id="64" w:name="_Toc165275529"/>
      <w:r>
        <w:t>12</w:t>
      </w:r>
      <w:r w:rsidR="00B21CC6">
        <w:t>.</w:t>
      </w:r>
      <w:r w:rsidR="00B21CC6">
        <w:tab/>
      </w:r>
      <w:r w:rsidR="00B21CC6" w:rsidRPr="00CE28E3">
        <w:t xml:space="preserve">Comparative </w:t>
      </w:r>
      <w:r w:rsidR="00B21CC6">
        <w:t>effectiveness</w:t>
      </w:r>
      <w:bookmarkEnd w:id="64"/>
    </w:p>
    <w:bookmarkEnd w:id="60"/>
    <w:p w14:paraId="629063C4" w14:textId="145102F1" w:rsidR="00897216" w:rsidRDefault="000210FD" w:rsidP="001053EF">
      <w:pPr>
        <w:pStyle w:val="Heading3"/>
      </w:pPr>
      <w:r>
        <w:t>Test</w:t>
      </w:r>
      <w:r w:rsidR="00897216" w:rsidRPr="006604C1">
        <w:t xml:space="preserve"> outcomes</w:t>
      </w:r>
    </w:p>
    <w:p w14:paraId="2036E092" w14:textId="53184C73" w:rsidR="00164B1F" w:rsidRDefault="00996A4C" w:rsidP="00164B1F">
      <w:r>
        <w:t xml:space="preserve">In general, the pooled results for </w:t>
      </w:r>
      <w:r w:rsidR="002F7698" w:rsidRPr="00345758">
        <w:rPr>
          <w:vertAlign w:val="superscript"/>
        </w:rPr>
        <w:t>68</w:t>
      </w:r>
      <w:r w:rsidR="002F7698" w:rsidRPr="002F7698">
        <w:t xml:space="preserve">Ga-DOTA-octreotate </w:t>
      </w:r>
      <w:r w:rsidRPr="00DE15A7">
        <w:t>PET/CT</w:t>
      </w:r>
      <w:r>
        <w:t xml:space="preserve"> tests demonstrated </w:t>
      </w:r>
      <w:r w:rsidRPr="00FE7363">
        <w:t xml:space="preserve">high </w:t>
      </w:r>
      <w:r>
        <w:t>accuracy</w:t>
      </w:r>
      <w:r w:rsidR="00601D88">
        <w:t xml:space="preserve"> in the detection and diagnosis of </w:t>
      </w:r>
      <w:r w:rsidR="00EB1C5E">
        <w:t>NEN</w:t>
      </w:r>
      <w:r w:rsidR="00601D88">
        <w:t>s</w:t>
      </w:r>
      <w:r>
        <w:t xml:space="preserve"> (pooled </w:t>
      </w:r>
      <w:r w:rsidRPr="00FE7363">
        <w:t>sensitivity and specificity</w:t>
      </w:r>
      <w:r w:rsidRPr="00F8081F">
        <w:t xml:space="preserve"> for assessment of primary p</w:t>
      </w:r>
      <w:r w:rsidR="004E5440">
        <w:t xml:space="preserve">ancreatic </w:t>
      </w:r>
      <w:r w:rsidR="00EB1C5E">
        <w:t>NEN</w:t>
      </w:r>
      <w:r w:rsidR="004E5440">
        <w:t>s</w:t>
      </w:r>
      <w:r w:rsidRPr="00F8081F">
        <w:t>: 79.6% (95%</w:t>
      </w:r>
      <w:r w:rsidR="00D62092">
        <w:t xml:space="preserve"> </w:t>
      </w:r>
      <w:r w:rsidRPr="00F8081F">
        <w:t>CI: 70.5</w:t>
      </w:r>
      <w:r w:rsidR="004E5440">
        <w:t xml:space="preserve"> to </w:t>
      </w:r>
      <w:r w:rsidRPr="00F8081F">
        <w:t>87) and 95% (</w:t>
      </w:r>
      <w:r w:rsidR="004E5440">
        <w:t xml:space="preserve">95% CI: </w:t>
      </w:r>
      <w:r w:rsidRPr="00F8081F">
        <w:t>75</w:t>
      </w:r>
      <w:r w:rsidR="004E5440">
        <w:t xml:space="preserve"> to </w:t>
      </w:r>
      <w:r w:rsidRPr="00F8081F">
        <w:t>100)</w:t>
      </w:r>
      <w:r>
        <w:t xml:space="preserve">; </w:t>
      </w:r>
      <w:r w:rsidRPr="00AD732A">
        <w:t xml:space="preserve">pooled sensitivity and specificity </w:t>
      </w:r>
      <w:r w:rsidR="00601D88">
        <w:t>for</w:t>
      </w:r>
      <w:r w:rsidRPr="00AD732A">
        <w:t xml:space="preserve"> thoracic and GEP-</w:t>
      </w:r>
      <w:r w:rsidR="00EB1C5E">
        <w:t>NEN</w:t>
      </w:r>
      <w:r w:rsidRPr="00AD732A">
        <w:t>s</w:t>
      </w:r>
      <w:r>
        <w:t xml:space="preserve">: </w:t>
      </w:r>
      <w:r w:rsidRPr="00AD732A">
        <w:t>93% (95% CI: 91</w:t>
      </w:r>
      <w:r w:rsidR="00601D88">
        <w:t xml:space="preserve"> to </w:t>
      </w:r>
      <w:r w:rsidRPr="00AD732A">
        <w:t>95) and 91% (95% CI: 82</w:t>
      </w:r>
      <w:r w:rsidR="00601D88">
        <w:t xml:space="preserve"> to </w:t>
      </w:r>
      <w:r w:rsidRPr="00AD732A">
        <w:t>97)</w:t>
      </w:r>
      <w:r>
        <w:t xml:space="preserve">). </w:t>
      </w:r>
      <w:r w:rsidR="001F2C0A" w:rsidRPr="001F2C0A">
        <w:t>These tests also have prognostic implication</w:t>
      </w:r>
      <w:r w:rsidR="00D62092">
        <w:t>s</w:t>
      </w:r>
      <w:r w:rsidR="001F2C0A" w:rsidRPr="001F2C0A">
        <w:t xml:space="preserve"> because </w:t>
      </w:r>
      <w:r w:rsidR="0018718C">
        <w:t xml:space="preserve">they </w:t>
      </w:r>
      <w:r w:rsidR="00670888">
        <w:t xml:space="preserve">have </w:t>
      </w:r>
      <w:r w:rsidR="0018718C" w:rsidRPr="0018718C">
        <w:t>a relevant advantage in the detection rate of most metastatic sites</w:t>
      </w:r>
      <w:r w:rsidR="00D62092">
        <w:t>,</w:t>
      </w:r>
      <w:r w:rsidR="00C40877">
        <w:t xml:space="preserve"> as </w:t>
      </w:r>
      <w:r w:rsidR="001F2C0A" w:rsidRPr="001F2C0A">
        <w:t xml:space="preserve">unknown distant bone metastases are considered a negative prognostic factor in NEN management that may possibly require more </w:t>
      </w:r>
      <w:r w:rsidR="001F2C0A" w:rsidRPr="001F2C0A">
        <w:lastRenderedPageBreak/>
        <w:t>aggressive treatment regimens.</w:t>
      </w:r>
      <w:r w:rsidR="00C40877">
        <w:t xml:space="preserve"> </w:t>
      </w:r>
      <w:r w:rsidR="009E4D44">
        <w:t xml:space="preserve">In addition, </w:t>
      </w:r>
      <w:r w:rsidR="009E4D44" w:rsidRPr="009E4D44">
        <w:t xml:space="preserve">there is solid scientific evidence confirming the clinical role of the combined use of SSTR-PET/CT and 18F-FDG PET/CT in exploring </w:t>
      </w:r>
      <w:r w:rsidR="00D62092">
        <w:t>2</w:t>
      </w:r>
      <w:r w:rsidR="009E4D44" w:rsidRPr="009E4D44">
        <w:t xml:space="preserve"> different aspects of tumour biology: SSTR expression and glucose metabolism</w:t>
      </w:r>
      <w:r w:rsidR="009E4D44">
        <w:t xml:space="preserve">. </w:t>
      </w:r>
      <w:r w:rsidR="00D12DA9">
        <w:t xml:space="preserve">Their combined use may help </w:t>
      </w:r>
      <w:r w:rsidR="00D12DA9" w:rsidRPr="00D12DA9">
        <w:t>to better identify patients that can benefit from PRRT and other treatment options (where there is no consensus for surgical therapy)</w:t>
      </w:r>
      <w:r w:rsidR="009F3427">
        <w:t xml:space="preserve">. </w:t>
      </w:r>
      <w:r w:rsidR="00164B1F">
        <w:t>Furthermore, they should be considered in the following clinical scenarios:</w:t>
      </w:r>
    </w:p>
    <w:p w14:paraId="0ABE79CE" w14:textId="6639B2BD" w:rsidR="00702DC0" w:rsidRDefault="00164B1F" w:rsidP="00D83E90">
      <w:pPr>
        <w:pStyle w:val="ListParagraph"/>
        <w:numPr>
          <w:ilvl w:val="0"/>
          <w:numId w:val="26"/>
        </w:numPr>
      </w:pPr>
      <w:r>
        <w:t>At the time of initial diagnosis</w:t>
      </w:r>
      <w:r w:rsidR="00D62092">
        <w:t xml:space="preserve">, </w:t>
      </w:r>
      <w:r>
        <w:t>in those patients with intermediate tumour proliferative activity (i.e. G2 tumours); if there is heterogeneous SSTR expression among different tumour lesions; and in non-functioning tumours when patients have tumour-related symptoms (i.e. pain and weight loss).</w:t>
      </w:r>
    </w:p>
    <w:p w14:paraId="235FC612" w14:textId="4244DC4A" w:rsidR="00B7331D" w:rsidRDefault="00164B1F" w:rsidP="00D83E90">
      <w:pPr>
        <w:pStyle w:val="ListParagraph"/>
        <w:numPr>
          <w:ilvl w:val="0"/>
          <w:numId w:val="26"/>
        </w:numPr>
      </w:pPr>
      <w:r>
        <w:t>During follow-up</w:t>
      </w:r>
      <w:r w:rsidR="00D62092">
        <w:t xml:space="preserve">, </w:t>
      </w:r>
      <w:r>
        <w:t>in addition to conventional radiological imaging at the time of first disease re-staging after changing antiproliferative medical treatment; at the time of disease progression after prolonged stable disease; and in case of a discrepancy between conventional radiological evaluation and clinical/biochemical assessment.</w:t>
      </w:r>
    </w:p>
    <w:p w14:paraId="401A60BA" w14:textId="31F3E342" w:rsidR="00CC3AD9" w:rsidRDefault="001A3023" w:rsidP="00976E73">
      <w:r w:rsidRPr="00592E9A">
        <w:t xml:space="preserve">In the main trial used to </w:t>
      </w:r>
      <w:r w:rsidR="000278C8" w:rsidRPr="00592E9A">
        <w:t xml:space="preserve">inform the efficacy of </w:t>
      </w:r>
      <w:r w:rsidR="00592E9A" w:rsidRPr="001053EF">
        <w:rPr>
          <w:vertAlign w:val="superscript"/>
        </w:rPr>
        <w:t>177</w:t>
      </w:r>
      <w:r w:rsidR="000278C8" w:rsidRPr="00C02578">
        <w:t>Lu-D</w:t>
      </w:r>
      <w:r w:rsidR="00B75EAC" w:rsidRPr="00DC4512">
        <w:t>OTATATE</w:t>
      </w:r>
      <w:r w:rsidR="000278C8" w:rsidRPr="00976E73">
        <w:t xml:space="preserve"> in the submission (NETTER-1), </w:t>
      </w:r>
      <w:r w:rsidR="006752D8" w:rsidRPr="0029324A">
        <w:t>the</w:t>
      </w:r>
      <w:r w:rsidR="006752D8">
        <w:t xml:space="preserve"> detection and d</w:t>
      </w:r>
      <w:r w:rsidR="004D4A22">
        <w:t>iagnosis of NE</w:t>
      </w:r>
      <w:r w:rsidR="00EB1C5E">
        <w:t>N</w:t>
      </w:r>
      <w:r w:rsidR="004D4A22">
        <w:t>s was</w:t>
      </w:r>
      <w:r w:rsidR="00CA32EC">
        <w:t xml:space="preserve"> determined by</w:t>
      </w:r>
      <w:r w:rsidR="00942339">
        <w:t xml:space="preserve"> </w:t>
      </w:r>
      <w:proofErr w:type="spellStart"/>
      <w:r w:rsidR="00942339" w:rsidRPr="00942339">
        <w:t>Octreoscan</w:t>
      </w:r>
      <w:proofErr w:type="spellEnd"/>
      <w:r w:rsidR="00942339" w:rsidRPr="00942339">
        <w:t xml:space="preserve">® uptake </w:t>
      </w:r>
      <w:r w:rsidR="00942339">
        <w:t xml:space="preserve">and evaluated using the </w:t>
      </w:r>
      <w:r w:rsidR="00942339" w:rsidRPr="00942339">
        <w:t>Krenning scor</w:t>
      </w:r>
      <w:r w:rsidR="00942339">
        <w:t xml:space="preserve">e. </w:t>
      </w:r>
      <w:proofErr w:type="gramStart"/>
      <w:r w:rsidR="00A9791F">
        <w:t>In an effort to</w:t>
      </w:r>
      <w:proofErr w:type="gramEnd"/>
      <w:r w:rsidR="00A9791F">
        <w:t xml:space="preserve"> translate the </w:t>
      </w:r>
      <w:r w:rsidR="00B7331D">
        <w:t xml:space="preserve">clinical utility of </w:t>
      </w:r>
      <w:proofErr w:type="spellStart"/>
      <w:r w:rsidR="00B7331D">
        <w:t>OctreoScan</w:t>
      </w:r>
      <w:proofErr w:type="spellEnd"/>
      <w:r w:rsidR="0093495B" w:rsidRPr="00942339">
        <w:t>®</w:t>
      </w:r>
      <w:r w:rsidR="00F82FDC">
        <w:t xml:space="preserve"> uptake</w:t>
      </w:r>
      <w:r w:rsidR="00B7331D">
        <w:t xml:space="preserve"> </w:t>
      </w:r>
      <w:r w:rsidR="00A9791F">
        <w:t xml:space="preserve">to </w:t>
      </w:r>
      <w:r w:rsidR="00F64D4B" w:rsidRPr="001053EF">
        <w:rPr>
          <w:vertAlign w:val="superscript"/>
        </w:rPr>
        <w:t>68</w:t>
      </w:r>
      <w:r w:rsidR="00F64D4B" w:rsidRPr="00F64D4B">
        <w:t>Ga-DOTA-ocreotate</w:t>
      </w:r>
      <w:r w:rsidR="00F64D4B">
        <w:t xml:space="preserve"> uptake, the results of </w:t>
      </w:r>
      <w:r w:rsidR="00B01DEB">
        <w:t xml:space="preserve">the NETTER-1 </w:t>
      </w:r>
      <w:r w:rsidR="00F64D4B">
        <w:t>trial</w:t>
      </w:r>
      <w:r w:rsidR="000848F1">
        <w:rPr>
          <w:rStyle w:val="FootnoteReference"/>
        </w:rPr>
        <w:footnoteReference w:id="31"/>
      </w:r>
      <w:r w:rsidR="00B01DEB" w:rsidRPr="001053EF">
        <w:rPr>
          <w:rStyle w:val="FootnoteReference"/>
        </w:rPr>
        <w:t xml:space="preserve"> </w:t>
      </w:r>
      <w:r w:rsidR="00B01DEB">
        <w:t>w</w:t>
      </w:r>
      <w:r w:rsidR="00733A7D">
        <w:t>ere</w:t>
      </w:r>
      <w:r w:rsidR="00B01DEB">
        <w:t xml:space="preserve"> compared to </w:t>
      </w:r>
      <w:r w:rsidR="00D77784">
        <w:t>th</w:t>
      </w:r>
      <w:r w:rsidR="00CE321F">
        <w:t xml:space="preserve">ose </w:t>
      </w:r>
      <w:r w:rsidR="004673DE">
        <w:t>published in the abstract by</w:t>
      </w:r>
      <w:r w:rsidR="00CE321F">
        <w:t xml:space="preserve"> Sood et al. 2023</w:t>
      </w:r>
      <w:r w:rsidR="00B61C9A">
        <w:rPr>
          <w:rStyle w:val="FootnoteReference"/>
        </w:rPr>
        <w:footnoteReference w:id="32"/>
      </w:r>
      <w:r w:rsidR="00CE321F">
        <w:t xml:space="preserve">, where </w:t>
      </w:r>
      <w:r w:rsidR="00CF0B00" w:rsidRPr="001053EF">
        <w:rPr>
          <w:vertAlign w:val="superscript"/>
        </w:rPr>
        <w:t>68</w:t>
      </w:r>
      <w:r w:rsidR="00CF0B00" w:rsidRPr="00F64D4B">
        <w:t>Ga-DOTA-ocreotate</w:t>
      </w:r>
      <w:r w:rsidR="00CF0B00">
        <w:t xml:space="preserve"> PET/CT was used to confirm SS</w:t>
      </w:r>
      <w:r w:rsidR="000021BF">
        <w:t>T</w:t>
      </w:r>
      <w:r w:rsidR="00CF0B00">
        <w:t>R presence in patients</w:t>
      </w:r>
      <w:r w:rsidR="006B4ECC">
        <w:t xml:space="preserve"> </w:t>
      </w:r>
      <w:r w:rsidR="00F64D4B">
        <w:t xml:space="preserve">(Table 8). </w:t>
      </w:r>
    </w:p>
    <w:p w14:paraId="236B423F" w14:textId="39059801" w:rsidR="00B7331D" w:rsidRDefault="005B0C81" w:rsidP="00B7331D">
      <w:r>
        <w:t>At the</w:t>
      </w:r>
      <w:r w:rsidR="00370A16">
        <w:t xml:space="preserve"> data</w:t>
      </w:r>
      <w:r w:rsidR="00D62092">
        <w:t xml:space="preserve"> </w:t>
      </w:r>
      <w:r w:rsidR="00370A16">
        <w:t>cut</w:t>
      </w:r>
      <w:r w:rsidR="00D62092">
        <w:t>-</w:t>
      </w:r>
      <w:r w:rsidR="00370A16">
        <w:t xml:space="preserve">off date for the primary analysis of the NETTER-1 trial (median follow-up: </w:t>
      </w:r>
      <w:r w:rsidR="00AE354B">
        <w:t>14 months)</w:t>
      </w:r>
      <w:r w:rsidR="00686437">
        <w:t xml:space="preserve">, </w:t>
      </w:r>
      <w:r>
        <w:t xml:space="preserve">median </w:t>
      </w:r>
      <w:r w:rsidR="00D62092" w:rsidRPr="00D62092">
        <w:t xml:space="preserve">progression-free survival </w:t>
      </w:r>
      <w:r w:rsidR="00D62092">
        <w:t>(</w:t>
      </w:r>
      <w:r w:rsidR="00B97917">
        <w:t>PF</w:t>
      </w:r>
      <w:r w:rsidR="0016611A">
        <w:t>S</w:t>
      </w:r>
      <w:r w:rsidR="00D62092">
        <w:t>)</w:t>
      </w:r>
      <w:r w:rsidR="00B97917">
        <w:t xml:space="preserve"> and </w:t>
      </w:r>
      <w:r w:rsidR="00D62092">
        <w:t>overall survival (</w:t>
      </w:r>
      <w:r w:rsidR="00B97917">
        <w:t>OS</w:t>
      </w:r>
      <w:r w:rsidR="00D62092">
        <w:t>)</w:t>
      </w:r>
      <w:r>
        <w:t xml:space="preserve"> of </w:t>
      </w:r>
      <w:r w:rsidR="008E309A">
        <w:t>patient</w:t>
      </w:r>
      <w:r w:rsidR="00D62092">
        <w:t>s</w:t>
      </w:r>
      <w:r>
        <w:t xml:space="preserve"> </w:t>
      </w:r>
      <w:r w:rsidR="008E309A">
        <w:t>treated</w:t>
      </w:r>
      <w:r>
        <w:t xml:space="preserve"> with </w:t>
      </w:r>
      <w:r w:rsidR="00043355" w:rsidRPr="00043355">
        <w:rPr>
          <w:vertAlign w:val="superscript"/>
        </w:rPr>
        <w:t>177</w:t>
      </w:r>
      <w:r w:rsidR="00043355" w:rsidRPr="00043355">
        <w:t>Lu-DOTATATE</w:t>
      </w:r>
      <w:r>
        <w:t xml:space="preserve"> in the</w:t>
      </w:r>
      <w:r w:rsidR="008E309A">
        <w:t xml:space="preserve"> N</w:t>
      </w:r>
      <w:r>
        <w:t xml:space="preserve">ETTER-1 trial was not reached. </w:t>
      </w:r>
      <w:r w:rsidR="004D1E21" w:rsidRPr="004D1E21">
        <w:t xml:space="preserve">The estimated </w:t>
      </w:r>
      <w:r w:rsidR="00D62092">
        <w:t xml:space="preserve">PFS </w:t>
      </w:r>
      <w:r w:rsidR="004D1E21" w:rsidRPr="004D1E21">
        <w:t>rate at month 20 was 65.2% (95% CI</w:t>
      </w:r>
      <w:r w:rsidR="00FC1FCD">
        <w:t>:</w:t>
      </w:r>
      <w:r w:rsidR="004D1E21" w:rsidRPr="004D1E21">
        <w:t xml:space="preserve"> 50.0 to 76.8) in the </w:t>
      </w:r>
      <w:r w:rsidR="004D1E21" w:rsidRPr="001053EF">
        <w:rPr>
          <w:vertAlign w:val="superscript"/>
        </w:rPr>
        <w:t>177</w:t>
      </w:r>
      <w:r w:rsidR="004D1E21" w:rsidRPr="004D1E21">
        <w:t>Lu-</w:t>
      </w:r>
      <w:r w:rsidR="00BF78EB">
        <w:t>DOTATATE</w:t>
      </w:r>
      <w:r w:rsidR="004D1E21" w:rsidRPr="004D1E21">
        <w:t xml:space="preserve"> group</w:t>
      </w:r>
      <w:r w:rsidR="004D1E21">
        <w:t xml:space="preserve">. </w:t>
      </w:r>
      <w:r w:rsidR="00F712F6" w:rsidRPr="00F712F6">
        <w:t xml:space="preserve">Within the population of patients who could be evaluated for </w:t>
      </w:r>
      <w:r w:rsidR="00A466CB" w:rsidRPr="00F712F6">
        <w:t>tumour</w:t>
      </w:r>
      <w:r w:rsidR="00F712F6" w:rsidRPr="00F712F6">
        <w:t xml:space="preserve"> response (</w:t>
      </w:r>
      <w:r w:rsidR="00722050">
        <w:t>1</w:t>
      </w:r>
      <w:r w:rsidR="00F712F6" w:rsidRPr="00F712F6">
        <w:t>01 patients), the total number of complete and partial responses was 1</w:t>
      </w:r>
      <w:r w:rsidR="00722050">
        <w:t xml:space="preserve"> and 17, respectively,</w:t>
      </w:r>
      <w:r w:rsidR="00F712F6" w:rsidRPr="00F712F6">
        <w:t xml:space="preserve"> which corresponded to </w:t>
      </w:r>
      <w:r w:rsidR="00722050">
        <w:t xml:space="preserve">an </w:t>
      </w:r>
      <w:r w:rsidR="00BF78EB">
        <w:t>objective response rate (</w:t>
      </w:r>
      <w:r w:rsidR="00722050">
        <w:t>ORR</w:t>
      </w:r>
      <w:r w:rsidR="00BF78EB">
        <w:t>)</w:t>
      </w:r>
      <w:r w:rsidR="00722050">
        <w:t xml:space="preserve"> </w:t>
      </w:r>
      <w:r w:rsidR="00F712F6" w:rsidRPr="00F712F6">
        <w:t>of 18%</w:t>
      </w:r>
      <w:r w:rsidR="00052882">
        <w:t>.</w:t>
      </w:r>
    </w:p>
    <w:p w14:paraId="630090CB" w14:textId="1BDCA279" w:rsidR="00F712F6" w:rsidRDefault="00636AF4" w:rsidP="00B7331D">
      <w:r>
        <w:t xml:space="preserve">Similar outcomes were observed for patients in the </w:t>
      </w:r>
      <w:r w:rsidR="00ED6691">
        <w:t xml:space="preserve">Sood et al (2023) </w:t>
      </w:r>
      <w:r>
        <w:t xml:space="preserve">trial. </w:t>
      </w:r>
      <w:r w:rsidR="00043355">
        <w:t>PFS at</w:t>
      </w:r>
      <w:r w:rsidR="00ED6691">
        <w:t xml:space="preserve"> 24 months </w:t>
      </w:r>
      <w:r>
        <w:t xml:space="preserve">was reported </w:t>
      </w:r>
      <w:r w:rsidR="00360856">
        <w:t xml:space="preserve">to be 96.4% </w:t>
      </w:r>
      <w:r w:rsidR="00EC729B">
        <w:t>(</w:t>
      </w:r>
      <w:r w:rsidR="00360856">
        <w:t>95% CI: 89.4</w:t>
      </w:r>
      <w:r w:rsidR="00EC729B">
        <w:t xml:space="preserve"> to</w:t>
      </w:r>
      <w:r w:rsidR="00360856">
        <w:t xml:space="preserve"> 100</w:t>
      </w:r>
      <w:r w:rsidR="00EC729B">
        <w:t>)</w:t>
      </w:r>
      <w:r w:rsidR="00360856">
        <w:t xml:space="preserve"> in the </w:t>
      </w:r>
      <w:r w:rsidR="00360856" w:rsidRPr="00043355">
        <w:rPr>
          <w:vertAlign w:val="superscript"/>
        </w:rPr>
        <w:t>177</w:t>
      </w:r>
      <w:r w:rsidR="00360856">
        <w:t xml:space="preserve">Lu-DOTATATE + </w:t>
      </w:r>
      <w:r w:rsidR="00DA613B" w:rsidRPr="00DA613B">
        <w:t>capecitabine</w:t>
      </w:r>
      <w:r w:rsidR="00360856">
        <w:t xml:space="preserve"> group and 67.3</w:t>
      </w:r>
      <w:r>
        <w:t>% (</w:t>
      </w:r>
      <w:r w:rsidR="00360856">
        <w:t>95% CI 47.3</w:t>
      </w:r>
      <w:r w:rsidR="00EC729B">
        <w:t xml:space="preserve"> to</w:t>
      </w:r>
      <w:r w:rsidR="00360856">
        <w:t xml:space="preserve"> 87.3</w:t>
      </w:r>
      <w:r>
        <w:t>)</w:t>
      </w:r>
      <w:r w:rsidR="00360856">
        <w:t xml:space="preserve"> in the </w:t>
      </w:r>
      <w:r w:rsidR="00360856" w:rsidRPr="00043355">
        <w:rPr>
          <w:vertAlign w:val="superscript"/>
        </w:rPr>
        <w:t>177</w:t>
      </w:r>
      <w:r w:rsidR="00360856">
        <w:t>Lu-DOTATATE</w:t>
      </w:r>
      <w:r w:rsidR="00E46227">
        <w:t>-</w:t>
      </w:r>
      <w:r w:rsidR="00360856">
        <w:t xml:space="preserve">only group. </w:t>
      </w:r>
      <w:r w:rsidR="00D170E6">
        <w:t>After a median follow-up of 23.6 months</w:t>
      </w:r>
      <w:r w:rsidR="005E56D1">
        <w:t xml:space="preserve">, ORR in the </w:t>
      </w:r>
      <w:r w:rsidR="005E56D1" w:rsidRPr="00043355">
        <w:rPr>
          <w:vertAlign w:val="superscript"/>
        </w:rPr>
        <w:t>177</w:t>
      </w:r>
      <w:r w:rsidR="005E56D1">
        <w:t xml:space="preserve">Lu-DOTATATE + </w:t>
      </w:r>
      <w:r w:rsidR="00DA613B" w:rsidRPr="00DA613B">
        <w:t>capecitabine</w:t>
      </w:r>
      <w:r w:rsidR="005E56D1">
        <w:t xml:space="preserve"> </w:t>
      </w:r>
      <w:r w:rsidR="00E46227">
        <w:t xml:space="preserve">group </w:t>
      </w:r>
      <w:r w:rsidR="005E56D1">
        <w:t>was 21.4% and</w:t>
      </w:r>
      <w:r w:rsidR="00D170E6">
        <w:t xml:space="preserve"> </w:t>
      </w:r>
      <w:r w:rsidR="004355EE">
        <w:t xml:space="preserve">11% in the </w:t>
      </w:r>
      <w:r w:rsidR="004355EE" w:rsidRPr="00043355">
        <w:rPr>
          <w:vertAlign w:val="superscript"/>
        </w:rPr>
        <w:t>177</w:t>
      </w:r>
      <w:r w:rsidR="004355EE" w:rsidRPr="00043355">
        <w:t xml:space="preserve">Lu-DOTATATE </w:t>
      </w:r>
      <w:r w:rsidR="004355EE">
        <w:t>only group.</w:t>
      </w:r>
      <w:r w:rsidR="00A42F85">
        <w:t xml:space="preserve"> The results of this </w:t>
      </w:r>
      <w:r w:rsidR="001D7759">
        <w:t xml:space="preserve">naïve indirect comparison </w:t>
      </w:r>
      <w:r w:rsidR="00A13D70">
        <w:t>of trials based on</w:t>
      </w:r>
      <w:r w:rsidR="00826CB8">
        <w:t xml:space="preserve"> their</w:t>
      </w:r>
      <w:r w:rsidR="00A13D70">
        <w:t xml:space="preserve"> clinical utility standard </w:t>
      </w:r>
      <w:r w:rsidR="001D7759">
        <w:t>are to be interpreted with caution due to</w:t>
      </w:r>
      <w:r w:rsidR="00D35599">
        <w:t xml:space="preserve"> </w:t>
      </w:r>
      <w:r w:rsidR="001F7F2E">
        <w:t xml:space="preserve">the </w:t>
      </w:r>
      <w:r w:rsidR="00D35599">
        <w:t xml:space="preserve">inherent limitation of </w:t>
      </w:r>
      <w:bookmarkStart w:id="65" w:name="_Hlk169878760"/>
      <w:r w:rsidR="00D35599">
        <w:t xml:space="preserve">comparing </w:t>
      </w:r>
      <w:r w:rsidR="003E7FB3">
        <w:t>health outcomes across differen</w:t>
      </w:r>
      <w:r w:rsidR="00FF25D0">
        <w:t>t cohorts</w:t>
      </w:r>
      <w:r w:rsidR="001F7F2E">
        <w:t xml:space="preserve"> of patients.</w:t>
      </w:r>
      <w:bookmarkEnd w:id="65"/>
    </w:p>
    <w:p w14:paraId="09CEBD0C" w14:textId="02153B50" w:rsidR="00FC2C0D" w:rsidRDefault="00FC2C0D" w:rsidP="00932151">
      <w:pPr>
        <w:pStyle w:val="Caption"/>
        <w:keepLines/>
      </w:pPr>
      <w:r>
        <w:lastRenderedPageBreak/>
        <w:t xml:space="preserve">Table </w:t>
      </w:r>
      <w:r w:rsidR="006D13BC">
        <w:fldChar w:fldCharType="begin"/>
      </w:r>
      <w:r w:rsidR="006D13BC">
        <w:instrText xml:space="preserve"> SEQ Table \* ARABIC </w:instrText>
      </w:r>
      <w:r w:rsidR="006D13BC">
        <w:fldChar w:fldCharType="separate"/>
      </w:r>
      <w:r w:rsidR="006D13BC">
        <w:rPr>
          <w:noProof/>
        </w:rPr>
        <w:t>8</w:t>
      </w:r>
      <w:r w:rsidR="006D13BC">
        <w:rPr>
          <w:noProof/>
        </w:rPr>
        <w:fldChar w:fldCharType="end"/>
      </w:r>
      <w:r w:rsidR="007263F5">
        <w:tab/>
        <w:t xml:space="preserve">Summary of outcomes for patients treated with </w:t>
      </w:r>
      <w:r w:rsidR="007263F5" w:rsidRPr="009120FD">
        <w:rPr>
          <w:vertAlign w:val="superscript"/>
        </w:rPr>
        <w:t>177</w:t>
      </w:r>
      <w:r w:rsidR="007263F5" w:rsidRPr="009120FD">
        <w:t>Lu-DOTATATE</w:t>
      </w:r>
      <w:r w:rsidR="007263F5">
        <w:t>, by te</w:t>
      </w:r>
      <w:r w:rsidR="00280270">
        <w:t xml:space="preserve">st threshold </w:t>
      </w:r>
      <w:r w:rsidR="001D676F">
        <w:t xml:space="preserve">adopted </w:t>
      </w:r>
      <w:r w:rsidR="00280270">
        <w:t>for H-SSTR</w:t>
      </w:r>
    </w:p>
    <w:tbl>
      <w:tblPr>
        <w:tblStyle w:val="TableGrid"/>
        <w:tblW w:w="9067" w:type="dxa"/>
        <w:tblLayout w:type="fixed"/>
        <w:tblCellMar>
          <w:left w:w="28" w:type="dxa"/>
          <w:right w:w="28" w:type="dxa"/>
        </w:tblCellMar>
        <w:tblLook w:val="04A0" w:firstRow="1" w:lastRow="0" w:firstColumn="1" w:lastColumn="0" w:noHBand="0" w:noVBand="1"/>
      </w:tblPr>
      <w:tblGrid>
        <w:gridCol w:w="1133"/>
        <w:gridCol w:w="1133"/>
        <w:gridCol w:w="1134"/>
        <w:gridCol w:w="1133"/>
        <w:gridCol w:w="1133"/>
        <w:gridCol w:w="992"/>
        <w:gridCol w:w="1417"/>
        <w:gridCol w:w="992"/>
      </w:tblGrid>
      <w:tr w:rsidR="00E56001" w:rsidRPr="00257FBA" w14:paraId="71270A4A" w14:textId="77777777" w:rsidTr="001053EF">
        <w:tc>
          <w:tcPr>
            <w:tcW w:w="1133" w:type="dxa"/>
          </w:tcPr>
          <w:p w14:paraId="04BCC5E2" w14:textId="3B5663F4"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Trial/study</w:t>
            </w:r>
          </w:p>
        </w:tc>
        <w:tc>
          <w:tcPr>
            <w:tcW w:w="1133" w:type="dxa"/>
          </w:tcPr>
          <w:p w14:paraId="6EFCEDA7" w14:textId="4B7B6387"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Treatments</w:t>
            </w:r>
          </w:p>
        </w:tc>
        <w:tc>
          <w:tcPr>
            <w:tcW w:w="1134" w:type="dxa"/>
          </w:tcPr>
          <w:p w14:paraId="59003190" w14:textId="57A60FB4"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H-SSTR positive</w:t>
            </w:r>
          </w:p>
        </w:tc>
        <w:tc>
          <w:tcPr>
            <w:tcW w:w="1133" w:type="dxa"/>
          </w:tcPr>
          <w:p w14:paraId="777A3F92" w14:textId="7D9ED3BD" w:rsidR="00F87C04" w:rsidRPr="00257FBA" w:rsidRDefault="00F87C04" w:rsidP="00932151">
            <w:pPr>
              <w:keepNext/>
              <w:keepLines/>
              <w:spacing w:before="0"/>
              <w:rPr>
                <w:rFonts w:ascii="Arial Narrow" w:hAnsi="Arial Narrow" w:cs="Arial"/>
                <w:b/>
                <w:sz w:val="20"/>
                <w:szCs w:val="20"/>
              </w:rPr>
            </w:pPr>
            <w:r w:rsidRPr="001053EF">
              <w:rPr>
                <w:rFonts w:ascii="Arial Narrow" w:hAnsi="Arial Narrow"/>
                <w:b/>
                <w:sz w:val="20"/>
              </w:rPr>
              <w:t>FDG PET/CT</w:t>
            </w:r>
          </w:p>
        </w:tc>
        <w:tc>
          <w:tcPr>
            <w:tcW w:w="1133" w:type="dxa"/>
          </w:tcPr>
          <w:p w14:paraId="27E5B136" w14:textId="512E015B"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Median follow-up, months</w:t>
            </w:r>
          </w:p>
        </w:tc>
        <w:tc>
          <w:tcPr>
            <w:tcW w:w="992" w:type="dxa"/>
          </w:tcPr>
          <w:p w14:paraId="01853733" w14:textId="059A5DFD"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ORR</w:t>
            </w:r>
          </w:p>
        </w:tc>
        <w:tc>
          <w:tcPr>
            <w:tcW w:w="1417" w:type="dxa"/>
          </w:tcPr>
          <w:p w14:paraId="6EA35732" w14:textId="6CF6D819"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PFS</w:t>
            </w:r>
          </w:p>
        </w:tc>
        <w:tc>
          <w:tcPr>
            <w:tcW w:w="992" w:type="dxa"/>
          </w:tcPr>
          <w:p w14:paraId="0B5517CC" w14:textId="54CD2154" w:rsidR="00F87C04" w:rsidRPr="00257FBA" w:rsidRDefault="00F87C04" w:rsidP="00932151">
            <w:pPr>
              <w:keepNext/>
              <w:keepLines/>
              <w:spacing w:before="0"/>
              <w:rPr>
                <w:rFonts w:ascii="Arial Narrow" w:hAnsi="Arial Narrow" w:cs="Arial"/>
                <w:b/>
                <w:sz w:val="20"/>
                <w:szCs w:val="20"/>
              </w:rPr>
            </w:pPr>
            <w:r w:rsidRPr="00257FBA">
              <w:rPr>
                <w:rFonts w:ascii="Arial Narrow" w:hAnsi="Arial Narrow" w:cs="Arial"/>
                <w:b/>
                <w:sz w:val="20"/>
                <w:szCs w:val="20"/>
              </w:rPr>
              <w:t>OS</w:t>
            </w:r>
          </w:p>
        </w:tc>
      </w:tr>
      <w:tr w:rsidR="00E56001" w:rsidRPr="00257FBA" w14:paraId="7E4C1A00" w14:textId="77777777" w:rsidTr="001053EF">
        <w:tc>
          <w:tcPr>
            <w:tcW w:w="1133" w:type="dxa"/>
          </w:tcPr>
          <w:p w14:paraId="6F5E91F5" w14:textId="5C84833B" w:rsidR="00F87C04" w:rsidRPr="001053EF" w:rsidRDefault="00F87C04" w:rsidP="00932151">
            <w:pPr>
              <w:keepNext/>
              <w:keepLines/>
              <w:spacing w:before="0"/>
              <w:rPr>
                <w:rFonts w:ascii="Arial Narrow" w:hAnsi="Arial Narrow"/>
                <w:sz w:val="20"/>
                <w:lang w:val="de-DE"/>
              </w:rPr>
            </w:pPr>
            <w:r w:rsidRPr="004A331C">
              <w:rPr>
                <w:rFonts w:ascii="Arial Narrow" w:hAnsi="Arial Narrow" w:cs="Arial"/>
                <w:sz w:val="20"/>
                <w:szCs w:val="20"/>
                <w:lang w:val="de-DE"/>
              </w:rPr>
              <w:t>NETTER-1</w:t>
            </w:r>
          </w:p>
        </w:tc>
        <w:tc>
          <w:tcPr>
            <w:tcW w:w="1133" w:type="dxa"/>
          </w:tcPr>
          <w:p w14:paraId="1E232591" w14:textId="62AB67F7" w:rsidR="00F87C04" w:rsidRPr="00257FBA" w:rsidRDefault="00A421C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Intervention: </w:t>
            </w:r>
            <w:r w:rsidR="00850630" w:rsidRPr="00257FBA">
              <w:rPr>
                <w:rFonts w:ascii="Arial Narrow" w:hAnsi="Arial Narrow" w:cs="Arial"/>
                <w:sz w:val="20"/>
                <w:szCs w:val="20"/>
                <w:vertAlign w:val="superscript"/>
              </w:rPr>
              <w:t>177</w:t>
            </w:r>
            <w:r w:rsidR="00850630" w:rsidRPr="00257FBA">
              <w:rPr>
                <w:rFonts w:ascii="Arial Narrow" w:hAnsi="Arial Narrow" w:cs="Arial"/>
                <w:sz w:val="20"/>
                <w:szCs w:val="20"/>
              </w:rPr>
              <w:t>Lu-DOTATATE</w:t>
            </w:r>
          </w:p>
        </w:tc>
        <w:tc>
          <w:tcPr>
            <w:tcW w:w="1134" w:type="dxa"/>
          </w:tcPr>
          <w:p w14:paraId="1A124723" w14:textId="433EF196"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Positive </w:t>
            </w:r>
            <w:proofErr w:type="spellStart"/>
            <w:r w:rsidRPr="00257FBA">
              <w:rPr>
                <w:rFonts w:ascii="Arial Narrow" w:hAnsi="Arial Narrow" w:cs="Arial"/>
                <w:sz w:val="20"/>
                <w:szCs w:val="20"/>
              </w:rPr>
              <w:t>OctreoScan</w:t>
            </w:r>
            <w:proofErr w:type="spellEnd"/>
            <w:r w:rsidRPr="00257FBA">
              <w:rPr>
                <w:rFonts w:ascii="Arial Narrow" w:hAnsi="Arial Narrow" w:cs="Arial"/>
                <w:sz w:val="20"/>
                <w:szCs w:val="20"/>
                <w:vertAlign w:val="superscript"/>
              </w:rPr>
              <w:t>®</w:t>
            </w:r>
            <w:r w:rsidRPr="00257FBA">
              <w:rPr>
                <w:rFonts w:ascii="Arial Narrow" w:hAnsi="Arial Narrow" w:cs="Arial"/>
                <w:sz w:val="20"/>
                <w:szCs w:val="20"/>
              </w:rPr>
              <w:t xml:space="preserve"> imaging; uptake</w:t>
            </w:r>
            <w:r w:rsidRPr="001053EF">
              <w:rPr>
                <w:rFonts w:ascii="Arial Narrow" w:hAnsi="Arial Narrow"/>
                <w:sz w:val="20"/>
              </w:rPr>
              <w:t xml:space="preserve"> </w:t>
            </w:r>
            <w:r w:rsidRPr="00257FBA">
              <w:rPr>
                <w:rFonts w:ascii="Arial Narrow" w:hAnsi="Arial Narrow" w:cs="Arial"/>
                <w:sz w:val="20"/>
                <w:szCs w:val="20"/>
              </w:rPr>
              <w:t>≥normal liver uptake</w:t>
            </w:r>
          </w:p>
        </w:tc>
        <w:tc>
          <w:tcPr>
            <w:tcW w:w="1133" w:type="dxa"/>
          </w:tcPr>
          <w:p w14:paraId="4A3FC92E" w14:textId="157FD370"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No</w:t>
            </w:r>
          </w:p>
        </w:tc>
        <w:tc>
          <w:tcPr>
            <w:tcW w:w="1133" w:type="dxa"/>
          </w:tcPr>
          <w:p w14:paraId="0C15BDC9" w14:textId="78F6A5E6"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Primary analysis: 14 </w:t>
            </w:r>
          </w:p>
        </w:tc>
        <w:tc>
          <w:tcPr>
            <w:tcW w:w="992" w:type="dxa"/>
          </w:tcPr>
          <w:p w14:paraId="604F5600" w14:textId="60C6DABC" w:rsidR="00F87C04" w:rsidRPr="00257FBA" w:rsidRDefault="008B03F1"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Lu-DOTATATE:</w:t>
            </w:r>
            <w:r w:rsidR="00E46227">
              <w:rPr>
                <w:rFonts w:ascii="Arial Narrow" w:hAnsi="Arial Narrow" w:cs="Arial"/>
                <w:sz w:val="20"/>
                <w:szCs w:val="20"/>
              </w:rPr>
              <w:t xml:space="preserve"> </w:t>
            </w:r>
            <w:r w:rsidR="00F87C04" w:rsidRPr="00257FBA">
              <w:rPr>
                <w:rFonts w:ascii="Arial Narrow" w:hAnsi="Arial Narrow" w:cs="Arial"/>
                <w:sz w:val="20"/>
                <w:szCs w:val="20"/>
              </w:rPr>
              <w:t>18</w:t>
            </w:r>
            <w:r w:rsidR="00052882" w:rsidRPr="00257FBA">
              <w:rPr>
                <w:rFonts w:ascii="Arial Narrow" w:hAnsi="Arial Narrow" w:cs="Arial"/>
                <w:sz w:val="20"/>
                <w:szCs w:val="20"/>
              </w:rPr>
              <w:t>%</w:t>
            </w:r>
            <w:r w:rsidR="00F87C04" w:rsidRPr="00257FBA">
              <w:rPr>
                <w:rFonts w:ascii="Arial Narrow" w:hAnsi="Arial Narrow" w:cs="Arial"/>
                <w:sz w:val="20"/>
                <w:szCs w:val="20"/>
              </w:rPr>
              <w:t xml:space="preserve"> </w:t>
            </w:r>
          </w:p>
        </w:tc>
        <w:tc>
          <w:tcPr>
            <w:tcW w:w="1417" w:type="dxa"/>
          </w:tcPr>
          <w:p w14:paraId="2AD11670" w14:textId="15ED229C"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Median:  NR</w:t>
            </w:r>
          </w:p>
          <w:p w14:paraId="5EA315BD" w14:textId="07DE43E8" w:rsidR="00F87C04" w:rsidRPr="00257FBA" w:rsidRDefault="00E4455D" w:rsidP="00932151">
            <w:pPr>
              <w:keepNext/>
              <w:keepLines/>
              <w:spacing w:before="0"/>
              <w:rPr>
                <w:rFonts w:ascii="Arial Narrow" w:hAnsi="Arial Narrow" w:cs="Arial"/>
                <w:sz w:val="20"/>
                <w:szCs w:val="20"/>
              </w:rPr>
            </w:pPr>
            <w:r w:rsidRPr="00257FBA">
              <w:rPr>
                <w:rFonts w:ascii="Arial Narrow" w:hAnsi="Arial Narrow" w:cs="Arial"/>
                <w:sz w:val="20"/>
                <w:szCs w:val="20"/>
              </w:rPr>
              <w:t>PFS at month</w:t>
            </w:r>
            <w:r w:rsidR="00A56BC8" w:rsidRPr="00257FBA">
              <w:rPr>
                <w:rFonts w:ascii="Arial Narrow" w:hAnsi="Arial Narrow" w:cs="Arial"/>
                <w:sz w:val="20"/>
                <w:szCs w:val="20"/>
              </w:rPr>
              <w:t xml:space="preserve"> 20</w:t>
            </w:r>
            <w:r w:rsidRPr="00257FBA">
              <w:rPr>
                <w:rFonts w:ascii="Arial Narrow" w:hAnsi="Arial Narrow" w:cs="Arial"/>
                <w:sz w:val="20"/>
                <w:szCs w:val="20"/>
              </w:rPr>
              <w:t xml:space="preserve">: </w:t>
            </w:r>
            <w:r w:rsidR="00A56BC8" w:rsidRPr="00257FBA">
              <w:rPr>
                <w:rFonts w:ascii="Arial Narrow" w:hAnsi="Arial Narrow" w:cs="Arial"/>
                <w:sz w:val="20"/>
                <w:szCs w:val="20"/>
              </w:rPr>
              <w:t>65.2% (95% CI: 50.0 to 76.8)</w:t>
            </w:r>
          </w:p>
        </w:tc>
        <w:tc>
          <w:tcPr>
            <w:tcW w:w="992" w:type="dxa"/>
          </w:tcPr>
          <w:p w14:paraId="3185E866" w14:textId="4AE3D09A"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Median: NR</w:t>
            </w:r>
          </w:p>
        </w:tc>
      </w:tr>
      <w:tr w:rsidR="00E56001" w:rsidRPr="00257FBA" w14:paraId="6B8EB2CC" w14:textId="77777777" w:rsidTr="001053EF">
        <w:tc>
          <w:tcPr>
            <w:tcW w:w="1133" w:type="dxa"/>
          </w:tcPr>
          <w:p w14:paraId="30C8235F" w14:textId="60CEA186"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Sood et al (2023)</w:t>
            </w:r>
          </w:p>
        </w:tc>
        <w:tc>
          <w:tcPr>
            <w:tcW w:w="1133" w:type="dxa"/>
          </w:tcPr>
          <w:p w14:paraId="32BF3F8C" w14:textId="14EF6577" w:rsidR="009B5039"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Intervention:</w:t>
            </w:r>
            <w:r w:rsidR="004933AE" w:rsidRPr="00257FBA">
              <w:rPr>
                <w:rFonts w:ascii="Arial Narrow" w:hAnsi="Arial Narrow" w:cs="Arial"/>
                <w:sz w:val="20"/>
                <w:szCs w:val="20"/>
              </w:rPr>
              <w:t xml:space="preserve"> </w:t>
            </w:r>
            <w:r w:rsidR="00850630" w:rsidRPr="00257FBA">
              <w:rPr>
                <w:rFonts w:ascii="Arial Narrow" w:hAnsi="Arial Narrow" w:cs="Arial"/>
                <w:sz w:val="20"/>
                <w:szCs w:val="20"/>
                <w:vertAlign w:val="superscript"/>
              </w:rPr>
              <w:t>177</w:t>
            </w:r>
            <w:r w:rsidR="00850630" w:rsidRPr="00257FBA">
              <w:rPr>
                <w:rFonts w:ascii="Arial Narrow" w:hAnsi="Arial Narrow" w:cs="Arial"/>
                <w:sz w:val="20"/>
                <w:szCs w:val="20"/>
              </w:rPr>
              <w:t xml:space="preserve">Lu-DOTATATE </w:t>
            </w:r>
          </w:p>
          <w:p w14:paraId="7FAF00CF" w14:textId="5F008A1C" w:rsidR="00F87C04" w:rsidRPr="00257FBA" w:rsidRDefault="00672142"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plus </w:t>
            </w:r>
            <w:r w:rsidR="004933AE" w:rsidRPr="00257FBA">
              <w:rPr>
                <w:rFonts w:ascii="Arial Narrow" w:hAnsi="Arial Narrow" w:cs="Arial"/>
                <w:sz w:val="20"/>
                <w:szCs w:val="20"/>
              </w:rPr>
              <w:t>CAP.</w:t>
            </w:r>
          </w:p>
          <w:p w14:paraId="245FCAC5" w14:textId="72178D15"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Comparator: </w:t>
            </w:r>
            <w:r w:rsidR="00672142" w:rsidRPr="00257FBA">
              <w:rPr>
                <w:rFonts w:ascii="Arial Narrow" w:hAnsi="Arial Narrow" w:cs="Arial"/>
                <w:sz w:val="20"/>
                <w:szCs w:val="20"/>
                <w:vertAlign w:val="superscript"/>
              </w:rPr>
              <w:t>177</w:t>
            </w:r>
            <w:r w:rsidR="00672142" w:rsidRPr="00257FBA">
              <w:rPr>
                <w:rFonts w:ascii="Arial Narrow" w:hAnsi="Arial Narrow" w:cs="Arial"/>
                <w:sz w:val="20"/>
                <w:szCs w:val="20"/>
              </w:rPr>
              <w:t>Lu-DOTATATE</w:t>
            </w:r>
          </w:p>
        </w:tc>
        <w:tc>
          <w:tcPr>
            <w:tcW w:w="1134" w:type="dxa"/>
          </w:tcPr>
          <w:p w14:paraId="0901CD34" w14:textId="010D7879"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SRS positive; </w:t>
            </w:r>
            <w:r w:rsidR="00E46227" w:rsidRPr="001053EF">
              <w:rPr>
                <w:rFonts w:ascii="Arial Narrow" w:hAnsi="Arial Narrow" w:cs="Arial"/>
                <w:sz w:val="20"/>
                <w:szCs w:val="20"/>
                <w:vertAlign w:val="superscript"/>
              </w:rPr>
              <w:t>68</w:t>
            </w:r>
            <w:r w:rsidRPr="00257FBA">
              <w:rPr>
                <w:rFonts w:ascii="Arial Narrow" w:hAnsi="Arial Narrow" w:cs="Arial"/>
                <w:sz w:val="20"/>
                <w:szCs w:val="20"/>
              </w:rPr>
              <w:t xml:space="preserve">Ga DOTANOC </w:t>
            </w:r>
          </w:p>
        </w:tc>
        <w:tc>
          <w:tcPr>
            <w:tcW w:w="1133" w:type="dxa"/>
          </w:tcPr>
          <w:p w14:paraId="252A07A1" w14:textId="42F3ED3D"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Yes, </w:t>
            </w:r>
            <w:r w:rsidR="00E46227" w:rsidRPr="001053EF">
              <w:rPr>
                <w:rFonts w:ascii="Arial Narrow" w:hAnsi="Arial Narrow" w:cs="Arial"/>
                <w:sz w:val="20"/>
                <w:szCs w:val="20"/>
                <w:vertAlign w:val="superscript"/>
              </w:rPr>
              <w:t>18</w:t>
            </w:r>
            <w:r w:rsidRPr="00257FBA">
              <w:rPr>
                <w:rFonts w:ascii="Arial Narrow" w:hAnsi="Arial Narrow" w:cs="Arial"/>
                <w:sz w:val="20"/>
                <w:szCs w:val="20"/>
              </w:rPr>
              <w:t>F</w:t>
            </w:r>
            <w:r w:rsidR="00E46227">
              <w:rPr>
                <w:rFonts w:ascii="Arial Narrow" w:hAnsi="Arial Narrow" w:cs="Arial"/>
                <w:sz w:val="20"/>
                <w:szCs w:val="20"/>
              </w:rPr>
              <w:t>-</w:t>
            </w:r>
            <w:r w:rsidRPr="00257FBA">
              <w:rPr>
                <w:rFonts w:ascii="Arial Narrow" w:hAnsi="Arial Narrow" w:cs="Arial"/>
                <w:sz w:val="20"/>
                <w:szCs w:val="20"/>
              </w:rPr>
              <w:t>FDG PET/CT</w:t>
            </w:r>
          </w:p>
        </w:tc>
        <w:tc>
          <w:tcPr>
            <w:tcW w:w="1133" w:type="dxa"/>
          </w:tcPr>
          <w:p w14:paraId="587366C1" w14:textId="48622A1E"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23.6 [95% CI: 21.1, 26.0]</w:t>
            </w:r>
          </w:p>
        </w:tc>
        <w:tc>
          <w:tcPr>
            <w:tcW w:w="992" w:type="dxa"/>
          </w:tcPr>
          <w:p w14:paraId="25C8717B" w14:textId="22E11820"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 xml:space="preserve">Lu-DOTATATE + </w:t>
            </w:r>
            <w:r w:rsidR="00E06302">
              <w:rPr>
                <w:rFonts w:ascii="Arial Narrow" w:hAnsi="Arial Narrow" w:cs="Arial"/>
                <w:sz w:val="20"/>
                <w:szCs w:val="20"/>
              </w:rPr>
              <w:t>CAP</w:t>
            </w:r>
            <w:r w:rsidRPr="00257FBA">
              <w:rPr>
                <w:rFonts w:ascii="Arial Narrow" w:hAnsi="Arial Narrow" w:cs="Arial"/>
                <w:sz w:val="20"/>
                <w:szCs w:val="20"/>
              </w:rPr>
              <w:t>: 21.4%</w:t>
            </w:r>
          </w:p>
          <w:p w14:paraId="6E79449E" w14:textId="77777777" w:rsidR="00F87C04" w:rsidRPr="00257FBA" w:rsidRDefault="00F87C04" w:rsidP="00932151">
            <w:pPr>
              <w:keepNext/>
              <w:keepLines/>
              <w:spacing w:before="0"/>
              <w:rPr>
                <w:rFonts w:ascii="Arial Narrow" w:hAnsi="Arial Narrow" w:cs="Arial"/>
                <w:sz w:val="20"/>
                <w:szCs w:val="20"/>
                <w:vertAlign w:val="superscript"/>
              </w:rPr>
            </w:pPr>
          </w:p>
          <w:p w14:paraId="6F6A7C6F" w14:textId="04CAADC6"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Lu-DOTATATE: 11%</w:t>
            </w:r>
          </w:p>
        </w:tc>
        <w:tc>
          <w:tcPr>
            <w:tcW w:w="1417" w:type="dxa"/>
          </w:tcPr>
          <w:p w14:paraId="34116E2F" w14:textId="54A02B9A"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rPr>
              <w:t>Median</w:t>
            </w:r>
            <w:r w:rsidR="008A16E3" w:rsidRPr="00257FBA">
              <w:rPr>
                <w:rFonts w:ascii="Arial Narrow" w:hAnsi="Arial Narrow" w:cs="Arial"/>
                <w:sz w:val="20"/>
                <w:szCs w:val="20"/>
              </w:rPr>
              <w:t xml:space="preserve">: NR for either group </w:t>
            </w:r>
          </w:p>
          <w:p w14:paraId="7812CD24" w14:textId="69E00F55" w:rsidR="00AA5BC9" w:rsidRPr="00257FBA" w:rsidRDefault="00AA5BC9" w:rsidP="00932151">
            <w:pPr>
              <w:keepNext/>
              <w:keepLines/>
              <w:spacing w:before="0"/>
              <w:rPr>
                <w:rFonts w:ascii="Arial Narrow" w:hAnsi="Arial Narrow" w:cs="Arial"/>
                <w:sz w:val="20"/>
                <w:szCs w:val="20"/>
              </w:rPr>
            </w:pPr>
            <w:r w:rsidRPr="00257FBA">
              <w:rPr>
                <w:rFonts w:ascii="Arial Narrow" w:hAnsi="Arial Narrow" w:cs="Arial"/>
                <w:sz w:val="20"/>
                <w:szCs w:val="20"/>
              </w:rPr>
              <w:t xml:space="preserve">PFS at 24 months: </w:t>
            </w:r>
          </w:p>
          <w:p w14:paraId="6C6FDCF5" w14:textId="1FB589A4" w:rsidR="00F87C04" w:rsidRPr="00257FBA" w:rsidRDefault="00AC0A4A"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Lu-DOTATATE</w:t>
            </w:r>
            <w:r w:rsidR="00F87C04" w:rsidRPr="00257FBA">
              <w:rPr>
                <w:rFonts w:ascii="Arial Narrow" w:hAnsi="Arial Narrow" w:cs="Arial"/>
                <w:sz w:val="20"/>
                <w:szCs w:val="20"/>
              </w:rPr>
              <w:t xml:space="preserve"> + </w:t>
            </w:r>
            <w:r w:rsidR="00A0155A">
              <w:rPr>
                <w:rFonts w:ascii="Arial Narrow" w:hAnsi="Arial Narrow" w:cs="Arial"/>
                <w:sz w:val="20"/>
                <w:szCs w:val="20"/>
              </w:rPr>
              <w:t>CAP</w:t>
            </w:r>
            <w:r w:rsidR="00F87C04" w:rsidRPr="00257FBA">
              <w:rPr>
                <w:rFonts w:ascii="Arial Narrow" w:hAnsi="Arial Narrow" w:cs="Arial"/>
                <w:sz w:val="20"/>
                <w:szCs w:val="20"/>
              </w:rPr>
              <w:t>: 96.4% [95% CI: 89.4, 100]</w:t>
            </w:r>
          </w:p>
          <w:p w14:paraId="6334A383" w14:textId="22E95508" w:rsidR="00F87C04" w:rsidRPr="00257FBA" w:rsidRDefault="00F87C04" w:rsidP="00932151">
            <w:pPr>
              <w:keepNext/>
              <w:keepLines/>
              <w:spacing w:before="0"/>
              <w:rPr>
                <w:rFonts w:ascii="Arial Narrow" w:hAnsi="Arial Narrow" w:cs="Arial"/>
                <w:sz w:val="20"/>
                <w:szCs w:val="20"/>
              </w:rPr>
            </w:pPr>
            <w:r w:rsidRPr="00257FBA">
              <w:rPr>
                <w:rFonts w:ascii="Arial Narrow" w:hAnsi="Arial Narrow" w:cs="Arial"/>
                <w:sz w:val="20"/>
                <w:szCs w:val="20"/>
                <w:vertAlign w:val="superscript"/>
              </w:rPr>
              <w:t>177</w:t>
            </w:r>
            <w:r w:rsidRPr="00257FBA">
              <w:rPr>
                <w:rFonts w:ascii="Arial Narrow" w:hAnsi="Arial Narrow" w:cs="Arial"/>
                <w:sz w:val="20"/>
                <w:szCs w:val="20"/>
              </w:rPr>
              <w:t>Lu-DOTATATE: 67.3 [95% CI 47.3, 87.3]</w:t>
            </w:r>
          </w:p>
        </w:tc>
        <w:tc>
          <w:tcPr>
            <w:tcW w:w="992" w:type="dxa"/>
          </w:tcPr>
          <w:p w14:paraId="7571B5B9" w14:textId="35DBDB03" w:rsidR="00F87C04" w:rsidRPr="00257FBA" w:rsidRDefault="00A15735" w:rsidP="00932151">
            <w:pPr>
              <w:keepNext/>
              <w:keepLines/>
              <w:spacing w:before="0"/>
              <w:rPr>
                <w:rFonts w:ascii="Arial Narrow" w:hAnsi="Arial Narrow" w:cs="Arial"/>
                <w:sz w:val="20"/>
                <w:szCs w:val="20"/>
              </w:rPr>
            </w:pPr>
            <w:r>
              <w:rPr>
                <w:rFonts w:ascii="Arial Narrow" w:hAnsi="Arial Narrow" w:cs="Arial"/>
                <w:sz w:val="20"/>
                <w:szCs w:val="20"/>
              </w:rPr>
              <w:t>NA</w:t>
            </w:r>
          </w:p>
        </w:tc>
      </w:tr>
    </w:tbl>
    <w:p w14:paraId="4F25C232" w14:textId="674C3BAD" w:rsidR="006604C1" w:rsidRPr="006305D3" w:rsidRDefault="00E959D0" w:rsidP="00932151">
      <w:pPr>
        <w:pStyle w:val="Tablenotes"/>
        <w:keepNext/>
        <w:keepLines/>
      </w:pPr>
      <w:r w:rsidRPr="006408BA">
        <w:t>Abbreviations</w:t>
      </w:r>
      <w:r w:rsidR="003609B7">
        <w:t xml:space="preserve">: </w:t>
      </w:r>
      <w:r w:rsidR="00DD339A">
        <w:t>CAP</w:t>
      </w:r>
      <w:r w:rsidR="00532922">
        <w:t xml:space="preserve"> = </w:t>
      </w:r>
      <w:r w:rsidR="00532922" w:rsidRPr="00532922">
        <w:t>capecitabine</w:t>
      </w:r>
      <w:r w:rsidR="00532922">
        <w:t xml:space="preserve">; </w:t>
      </w:r>
      <w:r w:rsidR="00884E4C">
        <w:t>FDG =</w:t>
      </w:r>
      <w:r w:rsidR="00884E4C" w:rsidRPr="007A3FAD">
        <w:t xml:space="preserve"> fluorodeoxyglucose</w:t>
      </w:r>
      <w:r w:rsidR="00884E4C">
        <w:t xml:space="preserve">, </w:t>
      </w:r>
      <w:r w:rsidR="00532922" w:rsidRPr="00FC5267">
        <w:t>H-SSTR = high somatostatin</w:t>
      </w:r>
      <w:r w:rsidR="0082040D">
        <w:t xml:space="preserve"> receptor</w:t>
      </w:r>
      <w:r w:rsidR="00BE23EC" w:rsidRPr="00FC5267">
        <w:t xml:space="preserve">; </w:t>
      </w:r>
      <w:r w:rsidR="00A15735">
        <w:t xml:space="preserve">NA = not applicable; </w:t>
      </w:r>
      <w:r w:rsidR="00FC5267" w:rsidRPr="00FC5267">
        <w:t xml:space="preserve">NR = not reached; </w:t>
      </w:r>
      <w:r w:rsidR="00BE23EC" w:rsidRPr="00FC5267">
        <w:t>ORR = objective response rate;</w:t>
      </w:r>
      <w:r w:rsidR="00532922" w:rsidRPr="00FC5267">
        <w:t xml:space="preserve"> </w:t>
      </w:r>
      <w:r w:rsidR="00532922">
        <w:t>PFS = progression-free survival</w:t>
      </w:r>
      <w:r w:rsidR="00913CCA">
        <w:t xml:space="preserve">, </w:t>
      </w:r>
      <w:r w:rsidR="00884E4C" w:rsidRPr="00884E4C">
        <w:t xml:space="preserve">PET/CT = positron emission tomography/computed tomography, </w:t>
      </w:r>
      <w:r w:rsidR="00913CCA">
        <w:t>SRS = somatostatin receptor scintigraphy.</w:t>
      </w:r>
    </w:p>
    <w:p w14:paraId="5A13ED3F" w14:textId="6F714D32" w:rsidR="005F448D" w:rsidRPr="006305D3" w:rsidRDefault="005F448D" w:rsidP="006305D3">
      <w:pPr>
        <w:pStyle w:val="Tablenotes"/>
      </w:pPr>
      <w:r>
        <w:t>Source: Constructed during evaluation.</w:t>
      </w:r>
    </w:p>
    <w:p w14:paraId="3FAC9081" w14:textId="3A444BE4" w:rsidR="006604C1" w:rsidRDefault="006604C1" w:rsidP="001053EF">
      <w:pPr>
        <w:pStyle w:val="Heading3"/>
      </w:pPr>
      <w:bookmarkStart w:id="66" w:name="_Toc165239052"/>
      <w:bookmarkStart w:id="67" w:name="_Toc165271882"/>
      <w:bookmarkStart w:id="68" w:name="_Toc165274308"/>
      <w:bookmarkStart w:id="69" w:name="_Toc165275531"/>
      <w:r>
        <w:t>Clinical efficacy</w:t>
      </w:r>
      <w:r w:rsidRPr="006604C1">
        <w:t xml:space="preserve"> outcomes</w:t>
      </w:r>
      <w:bookmarkEnd w:id="66"/>
      <w:bookmarkEnd w:id="67"/>
      <w:bookmarkEnd w:id="68"/>
      <w:bookmarkEnd w:id="69"/>
    </w:p>
    <w:p w14:paraId="4605601C" w14:textId="73EE70B2" w:rsidR="00500026" w:rsidRDefault="003A5E72" w:rsidP="003A5E72">
      <w:pPr>
        <w:pStyle w:val="Heading4"/>
      </w:pPr>
      <w:bookmarkStart w:id="70" w:name="_Ref170324519"/>
      <w:r>
        <w:t>Direct evidence</w:t>
      </w:r>
      <w:r w:rsidR="00427068">
        <w:t xml:space="preserve">: </w:t>
      </w:r>
      <w:r w:rsidR="00F63E9D" w:rsidRPr="00C905BB">
        <w:rPr>
          <w:vertAlign w:val="superscript"/>
        </w:rPr>
        <w:t>177</w:t>
      </w:r>
      <w:r w:rsidR="00F63E9D" w:rsidRPr="00961C59">
        <w:t>Lu</w:t>
      </w:r>
      <w:r w:rsidR="00F63E9D">
        <w:t>-DOTATATE trials</w:t>
      </w:r>
      <w:bookmarkEnd w:id="70"/>
    </w:p>
    <w:p w14:paraId="4DA703F8" w14:textId="01398F4E" w:rsidR="005D6D33" w:rsidRDefault="0098118E" w:rsidP="00F63E9D">
      <w:pPr>
        <w:rPr>
          <w:bCs/>
        </w:rPr>
      </w:pPr>
      <w:r>
        <w:rPr>
          <w:bCs/>
        </w:rPr>
        <w:t xml:space="preserve">NETTER-1 and </w:t>
      </w:r>
      <w:r w:rsidR="00B15B4E">
        <w:rPr>
          <w:bCs/>
        </w:rPr>
        <w:t>OCLURANDOM</w:t>
      </w:r>
      <w:r w:rsidR="005C754C">
        <w:rPr>
          <w:bCs/>
        </w:rPr>
        <w:t xml:space="preserve"> were</w:t>
      </w:r>
      <w:r w:rsidR="00392F61">
        <w:rPr>
          <w:bCs/>
        </w:rPr>
        <w:t xml:space="preserve"> </w:t>
      </w:r>
      <w:r w:rsidR="00392F61" w:rsidRPr="00392F61">
        <w:rPr>
          <w:bCs/>
        </w:rPr>
        <w:t xml:space="preserve">open-label studies where both investigators and patients were unmasked to the treatment assignment and outcome assessors remained unblinded. The methodological quality of these studies was therefore judged to be at high </w:t>
      </w:r>
      <w:proofErr w:type="spellStart"/>
      <w:r w:rsidR="00392F61" w:rsidRPr="00392F61">
        <w:rPr>
          <w:bCs/>
        </w:rPr>
        <w:t>RoB</w:t>
      </w:r>
      <w:proofErr w:type="spellEnd"/>
      <w:r w:rsidR="007B56C8">
        <w:rPr>
          <w:bCs/>
        </w:rPr>
        <w:t>.</w:t>
      </w:r>
    </w:p>
    <w:p w14:paraId="6B0E9E76" w14:textId="1781B3DA" w:rsidR="006D13BC" w:rsidRDefault="006D13BC" w:rsidP="00994611">
      <w:pPr>
        <w:pStyle w:val="Caption"/>
      </w:pPr>
      <w:r>
        <w:t xml:space="preserve">Table </w:t>
      </w:r>
      <w:r>
        <w:fldChar w:fldCharType="begin"/>
      </w:r>
      <w:r>
        <w:instrText xml:space="preserve"> SEQ Table \* ARABIC </w:instrText>
      </w:r>
      <w:r>
        <w:fldChar w:fldCharType="separate"/>
      </w:r>
      <w:r>
        <w:rPr>
          <w:noProof/>
        </w:rPr>
        <w:t>9</w:t>
      </w:r>
      <w:r>
        <w:rPr>
          <w:noProof/>
        </w:rPr>
        <w:fldChar w:fldCharType="end"/>
      </w:r>
      <w:r>
        <w:tab/>
      </w:r>
      <w:r w:rsidR="00C42EE6">
        <w:t xml:space="preserve">Assessment of risk of bias of individual studies- </w:t>
      </w:r>
      <w:r w:rsidR="00E9631F">
        <w:t>direct RCTs</w:t>
      </w:r>
      <w:r w:rsidR="00F3797D">
        <w:t>: NETTER</w:t>
      </w:r>
      <w:r w:rsidR="00FE3BD3">
        <w:t>-1 and OCLURANDOM</w:t>
      </w:r>
    </w:p>
    <w:tbl>
      <w:tblPr>
        <w:tblStyle w:val="TableGrid"/>
        <w:tblW w:w="0" w:type="auto"/>
        <w:tblLayout w:type="fixed"/>
        <w:tblLook w:val="04A0" w:firstRow="1" w:lastRow="0" w:firstColumn="1" w:lastColumn="0" w:noHBand="0" w:noVBand="1"/>
      </w:tblPr>
      <w:tblGrid>
        <w:gridCol w:w="2263"/>
        <w:gridCol w:w="1134"/>
        <w:gridCol w:w="1276"/>
        <w:gridCol w:w="1134"/>
        <w:gridCol w:w="1276"/>
        <w:gridCol w:w="992"/>
        <w:gridCol w:w="941"/>
      </w:tblGrid>
      <w:tr w:rsidR="0054577D" w:rsidRPr="00DE4837" w14:paraId="4069B1C9" w14:textId="77777777">
        <w:trPr>
          <w:trHeight w:val="288"/>
        </w:trPr>
        <w:tc>
          <w:tcPr>
            <w:tcW w:w="2263" w:type="dxa"/>
            <w:shd w:val="clear" w:color="auto" w:fill="F2F2F2" w:themeFill="background1" w:themeFillShade="F2"/>
            <w:noWrap/>
            <w:hideMark/>
          </w:tcPr>
          <w:p w14:paraId="074E7370" w14:textId="77777777" w:rsidR="0054577D" w:rsidRPr="00DE4837" w:rsidRDefault="0054577D">
            <w:pPr>
              <w:rPr>
                <w:rFonts w:ascii="Arial Narrow" w:hAnsi="Arial Narrow"/>
                <w:b/>
                <w:sz w:val="20"/>
                <w:szCs w:val="20"/>
              </w:rPr>
            </w:pPr>
            <w:r w:rsidRPr="00DE4837">
              <w:rPr>
                <w:rFonts w:ascii="Arial Narrow" w:hAnsi="Arial Narrow"/>
                <w:b/>
                <w:sz w:val="20"/>
                <w:szCs w:val="20"/>
              </w:rPr>
              <w:t>Study reference</w:t>
            </w:r>
          </w:p>
        </w:tc>
        <w:tc>
          <w:tcPr>
            <w:tcW w:w="1134" w:type="dxa"/>
            <w:shd w:val="clear" w:color="auto" w:fill="F2F2F2" w:themeFill="background1" w:themeFillShade="F2"/>
            <w:noWrap/>
            <w:hideMark/>
          </w:tcPr>
          <w:p w14:paraId="67AF4077" w14:textId="77777777" w:rsidR="0054577D" w:rsidRPr="00DE4837" w:rsidRDefault="0054577D">
            <w:pPr>
              <w:rPr>
                <w:rFonts w:ascii="Arial Narrow" w:hAnsi="Arial Narrow"/>
                <w:b/>
                <w:sz w:val="20"/>
                <w:szCs w:val="20"/>
              </w:rPr>
            </w:pPr>
            <w:r w:rsidRPr="00DE4837">
              <w:rPr>
                <w:rFonts w:ascii="Arial Narrow" w:hAnsi="Arial Narrow"/>
                <w:b/>
                <w:sz w:val="20"/>
                <w:szCs w:val="20"/>
              </w:rPr>
              <w:t>Random sequence generation</w:t>
            </w:r>
          </w:p>
        </w:tc>
        <w:tc>
          <w:tcPr>
            <w:tcW w:w="1276" w:type="dxa"/>
            <w:shd w:val="clear" w:color="auto" w:fill="F2F2F2" w:themeFill="background1" w:themeFillShade="F2"/>
            <w:noWrap/>
            <w:hideMark/>
          </w:tcPr>
          <w:p w14:paraId="4948F896" w14:textId="77777777" w:rsidR="0054577D" w:rsidRPr="00DE4837" w:rsidRDefault="0054577D">
            <w:pPr>
              <w:rPr>
                <w:rFonts w:ascii="Arial Narrow" w:hAnsi="Arial Narrow"/>
                <w:b/>
                <w:sz w:val="20"/>
                <w:szCs w:val="20"/>
              </w:rPr>
            </w:pPr>
            <w:r w:rsidRPr="00DE4837">
              <w:rPr>
                <w:rFonts w:ascii="Arial Narrow" w:hAnsi="Arial Narrow"/>
                <w:b/>
                <w:sz w:val="20"/>
                <w:szCs w:val="20"/>
              </w:rPr>
              <w:t>Assignment to intervention</w:t>
            </w:r>
          </w:p>
        </w:tc>
        <w:tc>
          <w:tcPr>
            <w:tcW w:w="1134" w:type="dxa"/>
            <w:shd w:val="clear" w:color="auto" w:fill="F2F2F2" w:themeFill="background1" w:themeFillShade="F2"/>
            <w:noWrap/>
            <w:hideMark/>
          </w:tcPr>
          <w:p w14:paraId="0F7566CA" w14:textId="77777777" w:rsidR="0054577D" w:rsidRPr="00DE4837" w:rsidRDefault="0054577D">
            <w:pPr>
              <w:rPr>
                <w:rFonts w:ascii="Arial Narrow" w:hAnsi="Arial Narrow"/>
                <w:b/>
                <w:sz w:val="20"/>
                <w:szCs w:val="20"/>
              </w:rPr>
            </w:pPr>
            <w:r w:rsidRPr="00DE4837">
              <w:rPr>
                <w:rFonts w:ascii="Arial Narrow" w:hAnsi="Arial Narrow"/>
                <w:b/>
                <w:sz w:val="20"/>
                <w:szCs w:val="20"/>
              </w:rPr>
              <w:t>Incomplete outcome data</w:t>
            </w:r>
          </w:p>
        </w:tc>
        <w:tc>
          <w:tcPr>
            <w:tcW w:w="1276" w:type="dxa"/>
            <w:shd w:val="clear" w:color="auto" w:fill="F2F2F2" w:themeFill="background1" w:themeFillShade="F2"/>
            <w:noWrap/>
            <w:hideMark/>
          </w:tcPr>
          <w:p w14:paraId="25F5141F" w14:textId="77777777" w:rsidR="0054577D" w:rsidRPr="00DE4837" w:rsidRDefault="0054577D">
            <w:pPr>
              <w:rPr>
                <w:rFonts w:ascii="Arial Narrow" w:hAnsi="Arial Narrow"/>
                <w:b/>
                <w:sz w:val="20"/>
                <w:szCs w:val="20"/>
              </w:rPr>
            </w:pPr>
            <w:r w:rsidRPr="00DE4837">
              <w:rPr>
                <w:rFonts w:ascii="Arial Narrow" w:hAnsi="Arial Narrow"/>
                <w:b/>
                <w:sz w:val="20"/>
                <w:szCs w:val="20"/>
              </w:rPr>
              <w:t>Blinding of outcome assessment</w:t>
            </w:r>
          </w:p>
        </w:tc>
        <w:tc>
          <w:tcPr>
            <w:tcW w:w="992" w:type="dxa"/>
            <w:shd w:val="clear" w:color="auto" w:fill="F2F2F2" w:themeFill="background1" w:themeFillShade="F2"/>
            <w:noWrap/>
            <w:hideMark/>
          </w:tcPr>
          <w:p w14:paraId="4611C0B4" w14:textId="77777777" w:rsidR="0054577D" w:rsidRPr="00DE4837" w:rsidRDefault="0054577D">
            <w:pPr>
              <w:rPr>
                <w:rFonts w:ascii="Arial Narrow" w:hAnsi="Arial Narrow"/>
                <w:b/>
                <w:sz w:val="20"/>
                <w:szCs w:val="20"/>
              </w:rPr>
            </w:pPr>
            <w:r w:rsidRPr="00DE4837">
              <w:rPr>
                <w:rFonts w:ascii="Arial Narrow" w:hAnsi="Arial Narrow"/>
                <w:b/>
                <w:sz w:val="20"/>
                <w:szCs w:val="20"/>
              </w:rPr>
              <w:t>Selective reporting</w:t>
            </w:r>
          </w:p>
        </w:tc>
        <w:tc>
          <w:tcPr>
            <w:tcW w:w="941" w:type="dxa"/>
            <w:shd w:val="clear" w:color="auto" w:fill="F2F2F2" w:themeFill="background1" w:themeFillShade="F2"/>
            <w:noWrap/>
            <w:hideMark/>
          </w:tcPr>
          <w:p w14:paraId="321A9242" w14:textId="77777777" w:rsidR="0054577D" w:rsidRPr="00DE4837" w:rsidRDefault="0054577D">
            <w:pPr>
              <w:rPr>
                <w:rFonts w:ascii="Arial Narrow" w:hAnsi="Arial Narrow"/>
                <w:b/>
                <w:sz w:val="20"/>
                <w:szCs w:val="20"/>
              </w:rPr>
            </w:pPr>
            <w:r w:rsidRPr="00DE4837">
              <w:rPr>
                <w:rFonts w:ascii="Arial Narrow" w:hAnsi="Arial Narrow"/>
                <w:b/>
                <w:sz w:val="20"/>
                <w:szCs w:val="20"/>
              </w:rPr>
              <w:t>Overall bias</w:t>
            </w:r>
          </w:p>
        </w:tc>
      </w:tr>
      <w:tr w:rsidR="0054577D" w:rsidRPr="00DE4837" w14:paraId="00AE57ED" w14:textId="77777777">
        <w:trPr>
          <w:trHeight w:val="288"/>
        </w:trPr>
        <w:tc>
          <w:tcPr>
            <w:tcW w:w="2263" w:type="dxa"/>
            <w:shd w:val="clear" w:color="auto" w:fill="F2F2F2" w:themeFill="background1" w:themeFillShade="F2"/>
            <w:noWrap/>
            <w:hideMark/>
          </w:tcPr>
          <w:p w14:paraId="7CA43F0A" w14:textId="77777777" w:rsidR="0054577D" w:rsidRPr="00DE4837" w:rsidRDefault="0054577D">
            <w:pPr>
              <w:rPr>
                <w:rFonts w:ascii="Arial Narrow" w:hAnsi="Arial Narrow"/>
                <w:sz w:val="20"/>
                <w:szCs w:val="20"/>
              </w:rPr>
            </w:pPr>
            <w:r w:rsidRPr="00DE4837">
              <w:rPr>
                <w:rFonts w:ascii="Arial Narrow" w:hAnsi="Arial Narrow"/>
                <w:sz w:val="20"/>
                <w:szCs w:val="20"/>
              </w:rPr>
              <w:t>NETTER-1</w:t>
            </w:r>
            <w:r>
              <w:rPr>
                <w:rFonts w:ascii="Arial Narrow" w:hAnsi="Arial Narrow"/>
                <w:sz w:val="20"/>
                <w:szCs w:val="20"/>
              </w:rPr>
              <w:t xml:space="preserve"> </w:t>
            </w:r>
            <w:r>
              <w:rPr>
                <w:rFonts w:ascii="Arial Narrow" w:hAnsi="Arial Narrow"/>
                <w:sz w:val="20"/>
                <w:szCs w:val="20"/>
              </w:rPr>
              <w:fldChar w:fldCharType="begin"/>
            </w:r>
            <w:r>
              <w:rPr>
                <w:rFonts w:ascii="Arial Narrow" w:hAnsi="Arial Narrow"/>
                <w:sz w:val="20"/>
                <w:szCs w:val="20"/>
              </w:rPr>
              <w:instrText xml:space="preserve"> ADDIN EN.CITE &lt;EndNote&gt;&lt;Cite&gt;&lt;Author&gt;ClinicalTrials.gov&lt;/Author&gt;&lt;Year&gt;2022&lt;/Year&gt;&lt;RecNum&gt;2&lt;/RecNum&gt;&lt;DisplayText&gt;(ClinicalTrials.gov 2022b)&lt;/DisplayText&gt;&lt;record&gt;&lt;rec-number&gt;2&lt;/rec-number&gt;&lt;foreign-keys&gt;&lt;key app="EN" db-id="serfsw5zfedv0leetdnpxzasfd92vr5ree0d" timestamp="1713528714"&gt;2&lt;/key&gt;&lt;/foreign-keys&gt;&lt;ref-type name="Journal Article"&gt;17&lt;/ref-type&gt;&lt;contributors&gt;&lt;authors&gt;&lt;author&gt;ClinicalTrials.gov,&lt;/author&gt;&lt;/authors&gt;&lt;/contributors&gt;&lt;titles&gt;&lt;title&gt;A Study Comparing Treatment With 177Lu-DOTA0-Tyr3-Octreotate to Octreotide LAR in Patients With Inoperable, Progressive, Somatostatin Receptor Positive Midgut Carcinoid Tumours&lt;/title&gt;&lt;/titles&gt;&lt;keywords&gt;&lt;keyword&gt;Carcinoid Tumor of the Small Bowel|Neuroendocrine Tumour&lt;/keyword&gt;&lt;/keywords&gt;&lt;dates&gt;&lt;year&gt;2022&lt;/year&gt;&lt;/dates&gt;&lt;publisher&gt;https://classic.clinicaltrials.gov/show/NCT01578239&lt;/publisher&gt;&lt;urls&gt;&lt;/urls&gt;&lt;/record&gt;&lt;/Cite&gt;&lt;/EndNote&gt;</w:instrText>
            </w:r>
            <w:r>
              <w:rPr>
                <w:rFonts w:ascii="Arial Narrow" w:hAnsi="Arial Narrow"/>
                <w:sz w:val="20"/>
                <w:szCs w:val="20"/>
              </w:rPr>
              <w:fldChar w:fldCharType="separate"/>
            </w:r>
            <w:r>
              <w:rPr>
                <w:rFonts w:ascii="Arial Narrow" w:hAnsi="Arial Narrow"/>
                <w:noProof/>
                <w:sz w:val="20"/>
                <w:szCs w:val="20"/>
              </w:rPr>
              <w:t>(ClinicalTrials.gov 2022b)</w:t>
            </w:r>
            <w:r>
              <w:rPr>
                <w:rFonts w:ascii="Arial Narrow" w:hAnsi="Arial Narrow"/>
                <w:sz w:val="20"/>
                <w:szCs w:val="20"/>
              </w:rPr>
              <w:fldChar w:fldCharType="end"/>
            </w:r>
          </w:p>
        </w:tc>
        <w:tc>
          <w:tcPr>
            <w:tcW w:w="1134" w:type="dxa"/>
            <w:shd w:val="clear" w:color="auto" w:fill="C5E0B3" w:themeFill="accent6" w:themeFillTint="66"/>
            <w:noWrap/>
            <w:hideMark/>
          </w:tcPr>
          <w:p w14:paraId="441365AF" w14:textId="77777777" w:rsidR="0054577D" w:rsidRPr="00DE4837" w:rsidRDefault="0054577D">
            <w:pPr>
              <w:rPr>
                <w:rFonts w:ascii="Arial Narrow" w:hAnsi="Arial Narrow"/>
                <w:sz w:val="20"/>
                <w:szCs w:val="20"/>
              </w:rPr>
            </w:pPr>
            <w:r w:rsidRPr="00DE4837">
              <w:rPr>
                <w:rFonts w:ascii="Arial Narrow" w:hAnsi="Arial Narrow"/>
                <w:sz w:val="20"/>
                <w:szCs w:val="20"/>
              </w:rPr>
              <w:t>Low</w:t>
            </w:r>
          </w:p>
        </w:tc>
        <w:tc>
          <w:tcPr>
            <w:tcW w:w="1276" w:type="dxa"/>
            <w:shd w:val="clear" w:color="auto" w:fill="FF9966"/>
            <w:noWrap/>
            <w:hideMark/>
          </w:tcPr>
          <w:p w14:paraId="3730B893" w14:textId="77777777" w:rsidR="0054577D" w:rsidRPr="00DE4837" w:rsidRDefault="0054577D">
            <w:pPr>
              <w:rPr>
                <w:rFonts w:ascii="Arial Narrow" w:hAnsi="Arial Narrow"/>
                <w:sz w:val="20"/>
                <w:szCs w:val="20"/>
              </w:rPr>
            </w:pPr>
            <w:r w:rsidRPr="00DE4837">
              <w:rPr>
                <w:rFonts w:ascii="Arial Narrow" w:hAnsi="Arial Narrow"/>
                <w:sz w:val="20"/>
                <w:szCs w:val="20"/>
              </w:rPr>
              <w:t>High</w:t>
            </w:r>
          </w:p>
        </w:tc>
        <w:tc>
          <w:tcPr>
            <w:tcW w:w="1134" w:type="dxa"/>
            <w:shd w:val="clear" w:color="auto" w:fill="C5E0B3" w:themeFill="accent6" w:themeFillTint="66"/>
            <w:noWrap/>
            <w:hideMark/>
          </w:tcPr>
          <w:p w14:paraId="6325BC9C" w14:textId="77777777" w:rsidR="0054577D" w:rsidRPr="00DE4837" w:rsidRDefault="0054577D">
            <w:pPr>
              <w:rPr>
                <w:rFonts w:ascii="Arial Narrow" w:hAnsi="Arial Narrow"/>
                <w:sz w:val="20"/>
                <w:szCs w:val="20"/>
              </w:rPr>
            </w:pPr>
            <w:r w:rsidRPr="00DE4837">
              <w:rPr>
                <w:rFonts w:ascii="Arial Narrow" w:hAnsi="Arial Narrow"/>
                <w:sz w:val="20"/>
                <w:szCs w:val="20"/>
              </w:rPr>
              <w:t>Low</w:t>
            </w:r>
          </w:p>
        </w:tc>
        <w:tc>
          <w:tcPr>
            <w:tcW w:w="1276" w:type="dxa"/>
            <w:shd w:val="clear" w:color="auto" w:fill="FF9966"/>
            <w:noWrap/>
            <w:hideMark/>
          </w:tcPr>
          <w:p w14:paraId="39C1AB60" w14:textId="77777777" w:rsidR="0054577D" w:rsidRPr="00DE4837" w:rsidRDefault="0054577D">
            <w:pPr>
              <w:rPr>
                <w:rFonts w:ascii="Arial Narrow" w:hAnsi="Arial Narrow"/>
                <w:sz w:val="20"/>
                <w:szCs w:val="20"/>
              </w:rPr>
            </w:pPr>
            <w:r w:rsidRPr="00DE4837">
              <w:rPr>
                <w:rFonts w:ascii="Arial Narrow" w:hAnsi="Arial Narrow"/>
                <w:sz w:val="20"/>
                <w:szCs w:val="20"/>
              </w:rPr>
              <w:t>High</w:t>
            </w:r>
          </w:p>
        </w:tc>
        <w:tc>
          <w:tcPr>
            <w:tcW w:w="992" w:type="dxa"/>
            <w:shd w:val="clear" w:color="auto" w:fill="C5E0B3" w:themeFill="accent6" w:themeFillTint="66"/>
            <w:noWrap/>
            <w:hideMark/>
          </w:tcPr>
          <w:p w14:paraId="55D861A2" w14:textId="77777777" w:rsidR="0054577D" w:rsidRPr="00DE4837" w:rsidRDefault="0054577D">
            <w:pPr>
              <w:rPr>
                <w:rFonts w:ascii="Arial Narrow" w:hAnsi="Arial Narrow"/>
                <w:sz w:val="20"/>
                <w:szCs w:val="20"/>
              </w:rPr>
            </w:pPr>
            <w:r w:rsidRPr="00DE4837">
              <w:rPr>
                <w:rFonts w:ascii="Arial Narrow" w:hAnsi="Arial Narrow"/>
                <w:sz w:val="20"/>
                <w:szCs w:val="20"/>
              </w:rPr>
              <w:t>Low</w:t>
            </w:r>
          </w:p>
        </w:tc>
        <w:tc>
          <w:tcPr>
            <w:tcW w:w="941" w:type="dxa"/>
            <w:shd w:val="clear" w:color="auto" w:fill="FF9966"/>
            <w:noWrap/>
            <w:hideMark/>
          </w:tcPr>
          <w:p w14:paraId="692662EF" w14:textId="77777777" w:rsidR="0054577D" w:rsidRPr="00DE4837" w:rsidRDefault="0054577D">
            <w:pPr>
              <w:rPr>
                <w:rFonts w:ascii="Arial Narrow" w:hAnsi="Arial Narrow"/>
                <w:b/>
                <w:sz w:val="20"/>
                <w:szCs w:val="20"/>
              </w:rPr>
            </w:pPr>
            <w:r w:rsidRPr="00DE4837">
              <w:rPr>
                <w:rFonts w:ascii="Arial Narrow" w:hAnsi="Arial Narrow"/>
                <w:b/>
                <w:sz w:val="20"/>
                <w:szCs w:val="20"/>
              </w:rPr>
              <w:t>High</w:t>
            </w:r>
          </w:p>
        </w:tc>
      </w:tr>
      <w:tr w:rsidR="0054577D" w:rsidRPr="00DE4837" w14:paraId="150E1212" w14:textId="77777777">
        <w:trPr>
          <w:trHeight w:val="288"/>
        </w:trPr>
        <w:tc>
          <w:tcPr>
            <w:tcW w:w="2263" w:type="dxa"/>
            <w:shd w:val="clear" w:color="auto" w:fill="F2F2F2" w:themeFill="background1" w:themeFillShade="F2"/>
            <w:noWrap/>
            <w:hideMark/>
          </w:tcPr>
          <w:p w14:paraId="3B6FBE32" w14:textId="77777777" w:rsidR="0054577D" w:rsidRPr="00DE4837" w:rsidRDefault="0054577D">
            <w:pPr>
              <w:rPr>
                <w:rFonts w:ascii="Arial Narrow" w:hAnsi="Arial Narrow"/>
                <w:sz w:val="20"/>
                <w:szCs w:val="20"/>
              </w:rPr>
            </w:pPr>
            <w:r w:rsidRPr="00DE4837">
              <w:rPr>
                <w:rFonts w:ascii="Arial Narrow" w:hAnsi="Arial Narrow"/>
                <w:sz w:val="20"/>
                <w:szCs w:val="20"/>
              </w:rPr>
              <w:t xml:space="preserve">OCLURANDOM </w:t>
            </w:r>
            <w:r>
              <w:rPr>
                <w:rFonts w:ascii="Arial Narrow" w:hAnsi="Arial Narrow"/>
                <w:sz w:val="20"/>
                <w:szCs w:val="20"/>
              </w:rPr>
              <w:fldChar w:fldCharType="begin">
                <w:fldData xml:space="preserve">PEVuZE5vdGU+PENpdGU+PEF1dGhvcj5CYXVkaW48L0F1dGhvcj48WWVhcj4yMDIyPC9ZZWFyPjxS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</w:fldData>
              </w:fldChar>
            </w:r>
            <w:r>
              <w:rPr>
                <w:rFonts w:ascii="Arial Narrow" w:hAnsi="Arial Narrow"/>
                <w:sz w:val="20"/>
                <w:szCs w:val="20"/>
              </w:rPr>
              <w:instrText xml:space="preserve"> ADDIN EN.CITE </w:instrText>
            </w:r>
            <w:r>
              <w:rPr>
                <w:rFonts w:ascii="Arial Narrow" w:hAnsi="Arial Narrow"/>
                <w:sz w:val="20"/>
                <w:szCs w:val="20"/>
              </w:rPr>
              <w:fldChar w:fldCharType="begin">
                <w:fldData xml:space="preserve">PEVuZE5vdGU+PENpdGU+PEF1dGhvcj5CYXVkaW48L0F1dGhvcj48WWVhcj4yMDIyPC9ZZWFyPjxS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</w:fldData>
              </w:fldChar>
            </w:r>
            <w:r>
              <w:rPr>
                <w:rFonts w:ascii="Arial Narrow" w:hAnsi="Arial Narrow"/>
                <w:sz w:val="20"/>
                <w:szCs w:val="20"/>
              </w:rPr>
              <w:instrText xml:space="preserve"> ADDIN EN.CITE.DATA </w:instrText>
            </w:r>
            <w:r>
              <w:rPr>
                <w:rFonts w:ascii="Arial Narrow" w:hAnsi="Arial Narrow"/>
                <w:sz w:val="20"/>
                <w:szCs w:val="20"/>
              </w:rPr>
            </w:r>
            <w:r>
              <w:rPr>
                <w:rFonts w:ascii="Arial Narrow" w:hAnsi="Arial Narrow"/>
                <w:sz w:val="20"/>
                <w:szCs w:val="20"/>
              </w:rPr>
              <w:fldChar w:fldCharType="end"/>
            </w:r>
            <w:r>
              <w:rPr>
                <w:rFonts w:ascii="Arial Narrow" w:hAnsi="Arial Narrow"/>
                <w:sz w:val="20"/>
                <w:szCs w:val="20"/>
              </w:rPr>
            </w:r>
            <w:r>
              <w:rPr>
                <w:rFonts w:ascii="Arial Narrow" w:hAnsi="Arial Narrow"/>
                <w:sz w:val="20"/>
                <w:szCs w:val="20"/>
              </w:rPr>
              <w:fldChar w:fldCharType="separate"/>
            </w:r>
            <w:r>
              <w:rPr>
                <w:rFonts w:ascii="Arial Narrow" w:hAnsi="Arial Narrow"/>
                <w:noProof/>
                <w:sz w:val="20"/>
                <w:szCs w:val="20"/>
              </w:rPr>
              <w:t>(Baudin et al. 2022)</w:t>
            </w:r>
            <w:r>
              <w:rPr>
                <w:rFonts w:ascii="Arial Narrow" w:hAnsi="Arial Narrow"/>
                <w:sz w:val="20"/>
                <w:szCs w:val="20"/>
              </w:rPr>
              <w:fldChar w:fldCharType="end"/>
            </w:r>
          </w:p>
        </w:tc>
        <w:tc>
          <w:tcPr>
            <w:tcW w:w="1134" w:type="dxa"/>
            <w:shd w:val="clear" w:color="auto" w:fill="FFE599" w:themeFill="accent4" w:themeFillTint="66"/>
            <w:noWrap/>
            <w:hideMark/>
          </w:tcPr>
          <w:p w14:paraId="48E04640" w14:textId="77777777" w:rsidR="0054577D" w:rsidRPr="00DE4837" w:rsidRDefault="0054577D">
            <w:pPr>
              <w:rPr>
                <w:rFonts w:ascii="Arial Narrow" w:hAnsi="Arial Narrow"/>
                <w:sz w:val="20"/>
                <w:szCs w:val="20"/>
              </w:rPr>
            </w:pPr>
            <w:r w:rsidRPr="00DE4837">
              <w:rPr>
                <w:rFonts w:ascii="Arial Narrow" w:hAnsi="Arial Narrow"/>
                <w:sz w:val="20"/>
                <w:szCs w:val="20"/>
              </w:rPr>
              <w:t>Unclear</w:t>
            </w:r>
          </w:p>
        </w:tc>
        <w:tc>
          <w:tcPr>
            <w:tcW w:w="1276" w:type="dxa"/>
            <w:shd w:val="clear" w:color="auto" w:fill="FFE599" w:themeFill="accent4" w:themeFillTint="66"/>
            <w:noWrap/>
            <w:hideMark/>
          </w:tcPr>
          <w:p w14:paraId="5EF3F27E" w14:textId="77777777" w:rsidR="0054577D" w:rsidRPr="00DE4837" w:rsidRDefault="0054577D">
            <w:pPr>
              <w:rPr>
                <w:rFonts w:ascii="Arial Narrow" w:hAnsi="Arial Narrow"/>
                <w:sz w:val="20"/>
                <w:szCs w:val="20"/>
              </w:rPr>
            </w:pPr>
            <w:r w:rsidRPr="00DE4837">
              <w:rPr>
                <w:rFonts w:ascii="Arial Narrow" w:hAnsi="Arial Narrow"/>
                <w:sz w:val="20"/>
                <w:szCs w:val="20"/>
              </w:rPr>
              <w:t>Unclear</w:t>
            </w:r>
          </w:p>
        </w:tc>
        <w:tc>
          <w:tcPr>
            <w:tcW w:w="1134" w:type="dxa"/>
            <w:shd w:val="clear" w:color="auto" w:fill="C5E0B3" w:themeFill="accent6" w:themeFillTint="66"/>
            <w:noWrap/>
            <w:hideMark/>
          </w:tcPr>
          <w:p w14:paraId="4FAAC588" w14:textId="77777777" w:rsidR="0054577D" w:rsidRPr="00DE4837" w:rsidRDefault="0054577D">
            <w:pPr>
              <w:rPr>
                <w:rFonts w:ascii="Arial Narrow" w:hAnsi="Arial Narrow"/>
                <w:sz w:val="20"/>
                <w:szCs w:val="20"/>
              </w:rPr>
            </w:pPr>
            <w:r w:rsidRPr="00DE4837">
              <w:rPr>
                <w:rFonts w:ascii="Arial Narrow" w:hAnsi="Arial Narrow"/>
                <w:sz w:val="20"/>
                <w:szCs w:val="20"/>
              </w:rPr>
              <w:t>Low</w:t>
            </w:r>
          </w:p>
        </w:tc>
        <w:tc>
          <w:tcPr>
            <w:tcW w:w="1276" w:type="dxa"/>
            <w:shd w:val="clear" w:color="auto" w:fill="FFE599" w:themeFill="accent4" w:themeFillTint="66"/>
            <w:noWrap/>
            <w:hideMark/>
          </w:tcPr>
          <w:p w14:paraId="6568D29D" w14:textId="77777777" w:rsidR="0054577D" w:rsidRPr="00DE4837" w:rsidRDefault="0054577D">
            <w:pPr>
              <w:rPr>
                <w:rFonts w:ascii="Arial Narrow" w:hAnsi="Arial Narrow"/>
                <w:sz w:val="20"/>
                <w:szCs w:val="20"/>
              </w:rPr>
            </w:pPr>
            <w:r w:rsidRPr="00DE4837">
              <w:rPr>
                <w:rFonts w:ascii="Arial Narrow" w:hAnsi="Arial Narrow"/>
                <w:sz w:val="20"/>
                <w:szCs w:val="20"/>
              </w:rPr>
              <w:t>Unclear</w:t>
            </w:r>
          </w:p>
        </w:tc>
        <w:tc>
          <w:tcPr>
            <w:tcW w:w="992" w:type="dxa"/>
            <w:shd w:val="clear" w:color="auto" w:fill="FFE599" w:themeFill="accent4" w:themeFillTint="66"/>
            <w:noWrap/>
            <w:hideMark/>
          </w:tcPr>
          <w:p w14:paraId="0164B392" w14:textId="77777777" w:rsidR="0054577D" w:rsidRPr="00DE4837" w:rsidRDefault="0054577D">
            <w:pPr>
              <w:rPr>
                <w:rFonts w:ascii="Arial Narrow" w:hAnsi="Arial Narrow"/>
                <w:sz w:val="20"/>
                <w:szCs w:val="20"/>
              </w:rPr>
            </w:pPr>
            <w:r w:rsidRPr="00DE4837">
              <w:rPr>
                <w:rFonts w:ascii="Arial Narrow" w:hAnsi="Arial Narrow"/>
                <w:sz w:val="20"/>
                <w:szCs w:val="20"/>
              </w:rPr>
              <w:t>Unclear</w:t>
            </w:r>
          </w:p>
        </w:tc>
        <w:tc>
          <w:tcPr>
            <w:tcW w:w="941" w:type="dxa"/>
            <w:shd w:val="clear" w:color="auto" w:fill="FF9966"/>
            <w:noWrap/>
            <w:hideMark/>
          </w:tcPr>
          <w:p w14:paraId="0F49960C" w14:textId="77777777" w:rsidR="0054577D" w:rsidRPr="00DE4837" w:rsidRDefault="0054577D">
            <w:pPr>
              <w:rPr>
                <w:rFonts w:ascii="Arial Narrow" w:hAnsi="Arial Narrow"/>
                <w:b/>
                <w:sz w:val="20"/>
                <w:szCs w:val="20"/>
              </w:rPr>
            </w:pPr>
            <w:r w:rsidRPr="00DE4837">
              <w:rPr>
                <w:rFonts w:ascii="Arial Narrow" w:hAnsi="Arial Narrow"/>
                <w:b/>
                <w:sz w:val="20"/>
                <w:szCs w:val="20"/>
              </w:rPr>
              <w:t>High</w:t>
            </w:r>
          </w:p>
        </w:tc>
      </w:tr>
    </w:tbl>
    <w:p w14:paraId="675FA2C0" w14:textId="6B2F05E2" w:rsidR="007B56C8" w:rsidRDefault="0054577D" w:rsidP="00994611">
      <w:pPr>
        <w:pStyle w:val="Tablenotes0"/>
      </w:pPr>
      <w:r>
        <w:t xml:space="preserve">Source: </w:t>
      </w:r>
      <w:r w:rsidR="00586B6E">
        <w:t>Co</w:t>
      </w:r>
      <w:r w:rsidR="002E79EC">
        <w:t xml:space="preserve">mpiled by </w:t>
      </w:r>
      <w:r w:rsidR="0033479C">
        <w:t xml:space="preserve">department from </w:t>
      </w:r>
      <w:r>
        <w:t xml:space="preserve">Table 81, </w:t>
      </w:r>
      <w:r w:rsidR="008F6F26">
        <w:t>p211 of the DCAR</w:t>
      </w:r>
    </w:p>
    <w:p w14:paraId="1415A789" w14:textId="29497D2F" w:rsidR="00E207A4" w:rsidRDefault="00E207A4" w:rsidP="00F63E9D">
      <w:pPr>
        <w:rPr>
          <w:bCs/>
        </w:rPr>
      </w:pPr>
      <w:r w:rsidRPr="00575C3C">
        <w:rPr>
          <w:bCs/>
        </w:rPr>
        <w:t>In NETTER-1 the median</w:t>
      </w:r>
      <w:r>
        <w:rPr>
          <w:bCs/>
        </w:rPr>
        <w:t xml:space="preserve"> OS</w:t>
      </w:r>
      <w:r w:rsidRPr="00575C3C">
        <w:rPr>
          <w:bCs/>
        </w:rPr>
        <w:t xml:space="preserve"> was </w:t>
      </w:r>
      <w:r>
        <w:rPr>
          <w:bCs/>
        </w:rPr>
        <w:t>48.0 months (95% CI: 37.4 to 55.2)</w:t>
      </w:r>
      <w:r w:rsidRPr="00575C3C">
        <w:rPr>
          <w:bCs/>
        </w:rPr>
        <w:t xml:space="preserve"> </w:t>
      </w:r>
      <w:r w:rsidR="0014524C">
        <w:rPr>
          <w:bCs/>
        </w:rPr>
        <w:t>for the</w:t>
      </w:r>
      <w:r w:rsidRPr="00575C3C">
        <w:rPr>
          <w:bCs/>
        </w:rPr>
        <w:t xml:space="preserve"> </w:t>
      </w:r>
      <w:r w:rsidRPr="001345FE">
        <w:rPr>
          <w:vertAlign w:val="superscript"/>
        </w:rPr>
        <w:t>177</w:t>
      </w:r>
      <w:r w:rsidRPr="001345FE">
        <w:t>Lu-DOTATATE</w:t>
      </w:r>
      <w:r w:rsidRPr="00575C3C">
        <w:rPr>
          <w:bCs/>
        </w:rPr>
        <w:t xml:space="preserve"> </w:t>
      </w:r>
      <w:r w:rsidR="0014524C">
        <w:t>group</w:t>
      </w:r>
      <w:r w:rsidRPr="00575C3C">
        <w:rPr>
          <w:bCs/>
        </w:rPr>
        <w:t xml:space="preserve"> </w:t>
      </w:r>
      <w:r>
        <w:rPr>
          <w:bCs/>
        </w:rPr>
        <w:t xml:space="preserve">and 36.3 </w:t>
      </w:r>
      <w:r w:rsidRPr="00575C3C">
        <w:rPr>
          <w:bCs/>
        </w:rPr>
        <w:t>months (</w:t>
      </w:r>
      <w:r>
        <w:rPr>
          <w:bCs/>
        </w:rPr>
        <w:t>95% CI</w:t>
      </w:r>
      <w:r w:rsidRPr="00575C3C">
        <w:rPr>
          <w:bCs/>
        </w:rPr>
        <w:t xml:space="preserve">: </w:t>
      </w:r>
      <w:r>
        <w:rPr>
          <w:bCs/>
        </w:rPr>
        <w:t>25.9</w:t>
      </w:r>
      <w:r w:rsidRPr="00575C3C">
        <w:rPr>
          <w:bCs/>
        </w:rPr>
        <w:t xml:space="preserve"> to </w:t>
      </w:r>
      <w:r>
        <w:rPr>
          <w:bCs/>
        </w:rPr>
        <w:t>51.7</w:t>
      </w:r>
      <w:r w:rsidRPr="00575C3C">
        <w:rPr>
          <w:bCs/>
        </w:rPr>
        <w:t>)</w:t>
      </w:r>
      <w:r>
        <w:rPr>
          <w:bCs/>
        </w:rPr>
        <w:t xml:space="preserve"> </w:t>
      </w:r>
      <w:r w:rsidR="0014524C">
        <w:rPr>
          <w:bCs/>
        </w:rPr>
        <w:t>for the</w:t>
      </w:r>
      <w:r>
        <w:rPr>
          <w:bCs/>
        </w:rPr>
        <w:t xml:space="preserve"> octreotide</w:t>
      </w:r>
      <w:r w:rsidR="0014524C">
        <w:rPr>
          <w:bCs/>
        </w:rPr>
        <w:t xml:space="preserve"> group</w:t>
      </w:r>
      <w:r w:rsidR="0028775D">
        <w:rPr>
          <w:bCs/>
        </w:rPr>
        <w:t xml:space="preserve"> (control group)</w:t>
      </w:r>
      <w:r>
        <w:rPr>
          <w:bCs/>
        </w:rPr>
        <w:t>, with an HR of</w:t>
      </w:r>
      <w:r w:rsidRPr="00575C3C">
        <w:rPr>
          <w:bCs/>
        </w:rPr>
        <w:t xml:space="preserve"> 0.</w:t>
      </w:r>
      <w:r>
        <w:rPr>
          <w:bCs/>
        </w:rPr>
        <w:t>84</w:t>
      </w:r>
      <w:r w:rsidRPr="00575C3C">
        <w:rPr>
          <w:bCs/>
        </w:rPr>
        <w:t xml:space="preserve"> (95% CI: 0.</w:t>
      </w:r>
      <w:r>
        <w:rPr>
          <w:bCs/>
        </w:rPr>
        <w:t>60 to</w:t>
      </w:r>
      <w:r w:rsidRPr="00575C3C">
        <w:rPr>
          <w:bCs/>
        </w:rPr>
        <w:t xml:space="preserve"> </w:t>
      </w:r>
      <w:r>
        <w:rPr>
          <w:bCs/>
        </w:rPr>
        <w:t>1.17</w:t>
      </w:r>
      <w:r w:rsidRPr="00575C3C">
        <w:rPr>
          <w:bCs/>
        </w:rPr>
        <w:t>)</w:t>
      </w:r>
      <w:r>
        <w:rPr>
          <w:bCs/>
        </w:rPr>
        <w:t>, indicating a numerical but non-significant benefit</w:t>
      </w:r>
      <w:r w:rsidR="00044730">
        <w:rPr>
          <w:bCs/>
        </w:rPr>
        <w:t xml:space="preserve"> (</w:t>
      </w:r>
      <w:r w:rsidR="00044730">
        <w:rPr>
          <w:bCs/>
        </w:rPr>
        <w:fldChar w:fldCharType="begin"/>
      </w:r>
      <w:r w:rsidR="00044730">
        <w:rPr>
          <w:bCs/>
        </w:rPr>
        <w:instrText xml:space="preserve"> REF _Ref170134149 \h </w:instrText>
      </w:r>
      <w:r w:rsidR="00044730">
        <w:rPr>
          <w:bCs/>
        </w:rPr>
      </w:r>
      <w:r w:rsidR="00044730">
        <w:rPr>
          <w:bCs/>
        </w:rPr>
        <w:fldChar w:fldCharType="separate"/>
      </w:r>
      <w:r w:rsidR="00044730">
        <w:t xml:space="preserve">Figure </w:t>
      </w:r>
      <w:r w:rsidR="00044730">
        <w:rPr>
          <w:noProof/>
        </w:rPr>
        <w:t>4</w:t>
      </w:r>
      <w:r w:rsidR="00044730">
        <w:rPr>
          <w:bCs/>
        </w:rPr>
        <w:fldChar w:fldCharType="end"/>
      </w:r>
      <w:r w:rsidR="00044730">
        <w:rPr>
          <w:bCs/>
        </w:rPr>
        <w:t>).</w:t>
      </w:r>
    </w:p>
    <w:p w14:paraId="5D1B6FAB" w14:textId="42FD40C5" w:rsidR="003834B9" w:rsidRDefault="003834B9" w:rsidP="003834B9">
      <w:pPr>
        <w:pStyle w:val="Caption"/>
      </w:pPr>
      <w:bookmarkStart w:id="71" w:name="_Ref170134149"/>
      <w:r>
        <w:lastRenderedPageBreak/>
        <w:t xml:space="preserve">Figure </w:t>
      </w:r>
      <w:r w:rsidR="009C6F88">
        <w:fldChar w:fldCharType="begin"/>
      </w:r>
      <w:r w:rsidR="009C6F88">
        <w:instrText xml:space="preserve"> SEQ Figure \* ARABIC </w:instrText>
      </w:r>
      <w:r w:rsidR="009C6F88">
        <w:fldChar w:fldCharType="separate"/>
      </w:r>
      <w:r w:rsidR="009C6F88">
        <w:rPr>
          <w:noProof/>
        </w:rPr>
        <w:t>4</w:t>
      </w:r>
      <w:r w:rsidR="009C6F88">
        <w:rPr>
          <w:noProof/>
        </w:rPr>
        <w:fldChar w:fldCharType="end"/>
      </w:r>
      <w:bookmarkEnd w:id="71"/>
      <w:r>
        <w:tab/>
        <w:t>Overall survival</w:t>
      </w:r>
      <w:r w:rsidR="008B3415">
        <w:t xml:space="preserve"> </w:t>
      </w:r>
      <w:r w:rsidR="00F3797D">
        <w:t>–</w:t>
      </w:r>
      <w:r>
        <w:t xml:space="preserve"> NETTER-1</w:t>
      </w:r>
    </w:p>
    <w:p w14:paraId="3FD77105" w14:textId="57919567" w:rsidR="008109D3" w:rsidRPr="00994611" w:rsidRDefault="00FB59FA" w:rsidP="00994611">
      <w:pPr>
        <w:pStyle w:val="Tablenotes"/>
        <w:keepNext/>
        <w:rPr>
          <w:rStyle w:val="TablenotesChar"/>
          <w:snapToGrid w:val="0"/>
        </w:rPr>
      </w:pPr>
      <w:r>
        <w:rPr>
          <w:noProof/>
        </w:rPr>
        <w:drawing>
          <wp:inline distT="0" distB="0" distL="0" distR="0" wp14:anchorId="0742B0B0" wp14:editId="50178ACF">
            <wp:extent cx="5731510" cy="3320415"/>
            <wp:effectExtent l="0" t="0" r="2540" b="0"/>
            <wp:docPr id="4" name="Picture 4" descr="Overall survival – N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verall survival – NETTER-1"/>
                    <pic:cNvPicPr/>
                  </pic:nvPicPr>
                  <pic:blipFill>
                    <a:blip r:embed="rId17"/>
                    <a:stretch>
                      <a:fillRect/>
                    </a:stretch>
                  </pic:blipFill>
                  <pic:spPr>
                    <a:xfrm>
                      <a:off x="0" y="0"/>
                      <a:ext cx="5731510" cy="3320415"/>
                    </a:xfrm>
                    <a:prstGeom prst="rect">
                      <a:avLst/>
                    </a:prstGeom>
                  </pic:spPr>
                </pic:pic>
              </a:graphicData>
            </a:graphic>
          </wp:inline>
        </w:drawing>
      </w:r>
    </w:p>
    <w:p w14:paraId="39D58A33" w14:textId="18936B75" w:rsidR="009A7A21" w:rsidRPr="00994611" w:rsidRDefault="009A7A21" w:rsidP="0050733E">
      <w:pPr>
        <w:pStyle w:val="Tablenotes"/>
        <w:rPr>
          <w:rStyle w:val="TablenotesChar"/>
          <w:snapToGrid w:val="0"/>
        </w:rPr>
      </w:pPr>
      <w:r w:rsidRPr="00994611">
        <w:rPr>
          <w:rStyle w:val="TablenotesChar"/>
          <w:snapToGrid w:val="0"/>
        </w:rPr>
        <w:t xml:space="preserve">Source: </w:t>
      </w:r>
      <w:r w:rsidR="00D30FFE">
        <w:rPr>
          <w:rStyle w:val="TablenotesChar"/>
          <w:snapToGrid w:val="0"/>
        </w:rPr>
        <w:t xml:space="preserve">Compiled by department from </w:t>
      </w:r>
      <w:r w:rsidRPr="00994611">
        <w:rPr>
          <w:rStyle w:val="TablenotesChar"/>
          <w:snapToGrid w:val="0"/>
        </w:rPr>
        <w:t xml:space="preserve">Figure 2, p1757 of </w:t>
      </w:r>
      <w:proofErr w:type="spellStart"/>
      <w:r w:rsidRPr="00994611">
        <w:rPr>
          <w:rStyle w:val="TablenotesChar"/>
          <w:snapToGrid w:val="0"/>
        </w:rPr>
        <w:t>Str</w:t>
      </w:r>
      <w:r w:rsidR="0037251E" w:rsidRPr="00994611">
        <w:rPr>
          <w:rStyle w:val="TablenotesChar"/>
          <w:snapToGrid w:val="0"/>
        </w:rPr>
        <w:t>osberg</w:t>
      </w:r>
      <w:proofErr w:type="spellEnd"/>
      <w:r w:rsidR="0037251E" w:rsidRPr="00994611">
        <w:rPr>
          <w:rStyle w:val="TablenotesChar"/>
          <w:snapToGrid w:val="0"/>
        </w:rPr>
        <w:t xml:space="preserve"> 2021</w:t>
      </w:r>
    </w:p>
    <w:p w14:paraId="4911ED9D" w14:textId="3FD8BC6D" w:rsidR="00E46A01" w:rsidRPr="0050733E" w:rsidRDefault="00E46A01" w:rsidP="0050733E">
      <w:pPr>
        <w:pStyle w:val="Tablenotes"/>
      </w:pPr>
      <w:r w:rsidRPr="0050733E">
        <w:t>Abbreviations:</w:t>
      </w:r>
      <w:r w:rsidR="00D13842" w:rsidRPr="0050733E">
        <w:t xml:space="preserve"> HR = hazard ratio</w:t>
      </w:r>
    </w:p>
    <w:p w14:paraId="09A58D77" w14:textId="351CCA05" w:rsidR="001F3BE8" w:rsidRPr="000B228E" w:rsidRDefault="00514B71" w:rsidP="0050733E">
      <w:pPr>
        <w:pStyle w:val="Tablenotes"/>
        <w:spacing w:after="240"/>
      </w:pPr>
      <w:r w:rsidRPr="0050733E">
        <w:t>Note Kaplan-Meier analysis of overall survival in intention-to-treat population. Crosses and circles represent patients who are censored</w:t>
      </w:r>
    </w:p>
    <w:p w14:paraId="46F596ED" w14:textId="0545115D" w:rsidR="00B93599" w:rsidRDefault="003A4047" w:rsidP="00994611">
      <w:pPr>
        <w:pStyle w:val="NormalBeforeBullet"/>
      </w:pPr>
      <w:r>
        <w:rPr>
          <w:rFonts w:ascii="Franklin Gothic Book" w:hAnsi="Franklin Gothic Book"/>
        </w:rPr>
        <w:t>The authors of NETTER-1</w:t>
      </w:r>
      <w:r w:rsidR="00637378">
        <w:rPr>
          <w:rFonts w:ascii="Franklin Gothic Book" w:hAnsi="Franklin Gothic Book"/>
        </w:rPr>
        <w:t xml:space="preserve"> noted that d</w:t>
      </w:r>
      <w:r w:rsidRPr="00994611">
        <w:rPr>
          <w:rFonts w:ascii="Franklin Gothic Book" w:hAnsi="Franklin Gothic Book"/>
        </w:rPr>
        <w:t>uring long</w:t>
      </w:r>
      <w:r w:rsidR="002C6816">
        <w:rPr>
          <w:rFonts w:ascii="Franklin Gothic Book" w:hAnsi="Franklin Gothic Book"/>
        </w:rPr>
        <w:t>-</w:t>
      </w:r>
      <w:r w:rsidRPr="00994611">
        <w:rPr>
          <w:rFonts w:ascii="Franklin Gothic Book" w:hAnsi="Franklin Gothic Book"/>
        </w:rPr>
        <w:t>term follow</w:t>
      </w:r>
      <w:r w:rsidR="002C6816">
        <w:rPr>
          <w:rFonts w:ascii="Franklin Gothic Book" w:hAnsi="Franklin Gothic Book"/>
        </w:rPr>
        <w:t>-</w:t>
      </w:r>
      <w:r w:rsidRPr="00994611">
        <w:rPr>
          <w:rFonts w:ascii="Franklin Gothic Book" w:hAnsi="Franklin Gothic Book"/>
        </w:rPr>
        <w:t xml:space="preserve">up, 14 (12%) of 117 patients in the </w:t>
      </w:r>
      <w:r w:rsidR="00211E85">
        <w:rPr>
          <w:rFonts w:ascii="Franklin Gothic Book" w:hAnsi="Franklin Gothic Book"/>
          <w:vertAlign w:val="superscript"/>
        </w:rPr>
        <w:t>177</w:t>
      </w:r>
      <w:r w:rsidRPr="00994611">
        <w:rPr>
          <w:rFonts w:ascii="Franklin Gothic Book" w:hAnsi="Franklin Gothic Book"/>
        </w:rPr>
        <w:t>Lu</w:t>
      </w:r>
      <w:r w:rsidR="00211E85">
        <w:rPr>
          <w:rFonts w:ascii="Franklin Gothic Book" w:hAnsi="Franklin Gothic Book"/>
        </w:rPr>
        <w:t> </w:t>
      </w:r>
      <w:proofErr w:type="spellStart"/>
      <w:r w:rsidRPr="00994611">
        <w:rPr>
          <w:rFonts w:ascii="Franklin Gothic Book" w:hAnsi="Franklin Gothic Book"/>
        </w:rPr>
        <w:t>Dotatate</w:t>
      </w:r>
      <w:proofErr w:type="spellEnd"/>
      <w:r w:rsidRPr="00994611">
        <w:rPr>
          <w:rFonts w:ascii="Franklin Gothic Book" w:hAnsi="Franklin Gothic Book"/>
        </w:rPr>
        <w:t xml:space="preserve"> group received further treatment with PRRT. Among these 14 patients, eight were treated further with additional cycles of </w:t>
      </w:r>
      <w:r w:rsidR="00457EFA">
        <w:rPr>
          <w:rFonts w:ascii="Franklin Gothic Book" w:hAnsi="Franklin Gothic Book"/>
          <w:vertAlign w:val="superscript"/>
        </w:rPr>
        <w:t>177</w:t>
      </w:r>
      <w:r w:rsidRPr="00994611">
        <w:rPr>
          <w:rFonts w:ascii="Franklin Gothic Book" w:hAnsi="Franklin Gothic Book"/>
        </w:rPr>
        <w:t xml:space="preserve">LuDotatate (the other six patients received </w:t>
      </w:r>
      <w:r w:rsidR="00457EFA">
        <w:rPr>
          <w:rFonts w:ascii="Franklin Gothic Book" w:hAnsi="Franklin Gothic Book"/>
          <w:vertAlign w:val="superscript"/>
        </w:rPr>
        <w:t>17</w:t>
      </w:r>
      <w:r w:rsidRPr="00994611">
        <w:rPr>
          <w:rFonts w:ascii="Franklin Gothic Book" w:hAnsi="Franklin Gothic Book"/>
        </w:rPr>
        <w:t xml:space="preserve">LuDotatoc or </w:t>
      </w:r>
      <w:r w:rsidRPr="003A4047">
        <w:rPr>
          <w:rFonts w:ascii="Arial" w:hAnsi="Arial" w:cs="Arial"/>
        </w:rPr>
        <w:t>⁹⁰</w:t>
      </w:r>
      <w:proofErr w:type="spellStart"/>
      <w:r w:rsidRPr="00994611">
        <w:rPr>
          <w:rFonts w:ascii="Franklin Gothic Book" w:hAnsi="Franklin Gothic Book"/>
        </w:rPr>
        <w:t>YDotatoc</w:t>
      </w:r>
      <w:proofErr w:type="spellEnd"/>
      <w:r w:rsidRPr="00994611">
        <w:rPr>
          <w:rFonts w:ascii="Franklin Gothic Book" w:hAnsi="Franklin Gothic Book"/>
        </w:rPr>
        <w:t xml:space="preserve">). In the </w:t>
      </w:r>
      <w:r w:rsidR="001732EE">
        <w:rPr>
          <w:rFonts w:ascii="Franklin Gothic Book" w:hAnsi="Franklin Gothic Book"/>
        </w:rPr>
        <w:t>octreotide</w:t>
      </w:r>
      <w:r w:rsidRPr="00994611">
        <w:rPr>
          <w:rFonts w:ascii="Franklin Gothic Book" w:hAnsi="Franklin Gothic Book"/>
        </w:rPr>
        <w:t xml:space="preserve"> group, 41 (36%) of 114 patients had documented crossover to PRRT. Around a quarter of patients in the control group (26 [23%] of 114 patients) crossed over within 24 months of randomisation. </w:t>
      </w:r>
      <w:r w:rsidR="00E61139">
        <w:rPr>
          <w:rFonts w:ascii="Franklin Gothic Book" w:hAnsi="Franklin Gothic Book"/>
        </w:rPr>
        <w:t xml:space="preserve">A total of </w:t>
      </w:r>
      <w:r w:rsidRPr="00994611">
        <w:rPr>
          <w:rFonts w:ascii="Franklin Gothic Book" w:hAnsi="Franklin Gothic Book"/>
        </w:rPr>
        <w:t>36 (32%) of 114 patients specifically received ¹</w:t>
      </w:r>
      <w:r w:rsidRPr="003A4047">
        <w:rPr>
          <w:rFonts w:ascii="Arial" w:hAnsi="Arial" w:cs="Arial"/>
        </w:rPr>
        <w:t>⁷⁷</w:t>
      </w:r>
      <w:proofErr w:type="spellStart"/>
      <w:r w:rsidRPr="00994611">
        <w:rPr>
          <w:rFonts w:ascii="Franklin Gothic Book" w:hAnsi="Franklin Gothic Book"/>
        </w:rPr>
        <w:t>LuDotatate</w:t>
      </w:r>
      <w:proofErr w:type="spellEnd"/>
      <w:r w:rsidRPr="00994611">
        <w:rPr>
          <w:rFonts w:ascii="Franklin Gothic Book" w:hAnsi="Franklin Gothic Book"/>
        </w:rPr>
        <w:t xml:space="preserve"> (the other five patients received ¹</w:t>
      </w:r>
      <w:r w:rsidRPr="003A4047">
        <w:rPr>
          <w:rFonts w:ascii="Arial" w:hAnsi="Arial" w:cs="Arial"/>
        </w:rPr>
        <w:t>⁷⁷</w:t>
      </w:r>
      <w:proofErr w:type="spellStart"/>
      <w:r w:rsidRPr="00994611">
        <w:rPr>
          <w:rFonts w:ascii="Franklin Gothic Book" w:hAnsi="Franklin Gothic Book"/>
        </w:rPr>
        <w:t>LuDotanoc</w:t>
      </w:r>
      <w:proofErr w:type="spellEnd"/>
      <w:r w:rsidRPr="00994611">
        <w:rPr>
          <w:rFonts w:ascii="Franklin Gothic Book" w:hAnsi="Franklin Gothic Book"/>
        </w:rPr>
        <w:t xml:space="preserve">, </w:t>
      </w:r>
      <w:r w:rsidRPr="003A4047">
        <w:rPr>
          <w:rFonts w:ascii="Arial" w:hAnsi="Arial" w:cs="Arial"/>
        </w:rPr>
        <w:t>⁹⁰</w:t>
      </w:r>
      <w:proofErr w:type="spellStart"/>
      <w:r w:rsidRPr="00994611">
        <w:rPr>
          <w:rFonts w:ascii="Franklin Gothic Book" w:hAnsi="Franklin Gothic Book"/>
        </w:rPr>
        <w:t>YDotanoc</w:t>
      </w:r>
      <w:proofErr w:type="spellEnd"/>
      <w:r w:rsidRPr="00994611">
        <w:rPr>
          <w:rFonts w:ascii="Franklin Gothic Book" w:hAnsi="Franklin Gothic Book"/>
        </w:rPr>
        <w:t xml:space="preserve">, </w:t>
      </w:r>
      <w:r w:rsidRPr="003A4047">
        <w:rPr>
          <w:rFonts w:ascii="Arial" w:hAnsi="Arial" w:cs="Arial"/>
        </w:rPr>
        <w:t>⁹⁰</w:t>
      </w:r>
      <w:proofErr w:type="spellStart"/>
      <w:r w:rsidRPr="00994611">
        <w:rPr>
          <w:rFonts w:ascii="Franklin Gothic Book" w:hAnsi="Franklin Gothic Book"/>
        </w:rPr>
        <w:t>YDotatoc</w:t>
      </w:r>
      <w:proofErr w:type="spellEnd"/>
      <w:r w:rsidRPr="00994611">
        <w:rPr>
          <w:rFonts w:ascii="Franklin Gothic Book" w:hAnsi="Franklin Gothic Book"/>
        </w:rPr>
        <w:t xml:space="preserve">, or </w:t>
      </w:r>
      <w:r w:rsidRPr="003A4047">
        <w:rPr>
          <w:rFonts w:ascii="Arial" w:hAnsi="Arial" w:cs="Arial"/>
        </w:rPr>
        <w:t>⁹⁰</w:t>
      </w:r>
      <w:proofErr w:type="spellStart"/>
      <w:r w:rsidRPr="00994611">
        <w:rPr>
          <w:rFonts w:ascii="Franklin Gothic Book" w:hAnsi="Franklin Gothic Book"/>
        </w:rPr>
        <w:t>YDotatate</w:t>
      </w:r>
      <w:proofErr w:type="spellEnd"/>
      <w:r w:rsidRPr="00994611">
        <w:rPr>
          <w:rFonts w:ascii="Franklin Gothic Book" w:hAnsi="Franklin Gothic Book"/>
        </w:rPr>
        <w:t>). During long</w:t>
      </w:r>
      <w:r w:rsidR="00BF4D20">
        <w:rPr>
          <w:rFonts w:ascii="Franklin Gothic Book" w:hAnsi="Franklin Gothic Book"/>
        </w:rPr>
        <w:t>-</w:t>
      </w:r>
      <w:r w:rsidRPr="00994611">
        <w:rPr>
          <w:rFonts w:ascii="Franklin Gothic Book" w:hAnsi="Franklin Gothic Book"/>
        </w:rPr>
        <w:t xml:space="preserve">term follow up, 55 (24%) of 231 patients in both groups were documented as receiving other antineoplastic agents, including everolimus in 17 (15%) of 117 patients in the </w:t>
      </w:r>
      <w:r w:rsidR="00BF4D20">
        <w:rPr>
          <w:rFonts w:ascii="Franklin Gothic Book" w:hAnsi="Franklin Gothic Book"/>
          <w:vertAlign w:val="superscript"/>
        </w:rPr>
        <w:t>177</w:t>
      </w:r>
      <w:r w:rsidRPr="00994611">
        <w:rPr>
          <w:rFonts w:ascii="Franklin Gothic Book" w:hAnsi="Franklin Gothic Book"/>
        </w:rPr>
        <w:t>Lu</w:t>
      </w:r>
      <w:r w:rsidR="00BF4D20">
        <w:rPr>
          <w:rFonts w:ascii="Franklin Gothic Book" w:hAnsi="Franklin Gothic Book"/>
        </w:rPr>
        <w:t> </w:t>
      </w:r>
      <w:proofErr w:type="spellStart"/>
      <w:r w:rsidRPr="00994611">
        <w:rPr>
          <w:rFonts w:ascii="Franklin Gothic Book" w:hAnsi="Franklin Gothic Book"/>
        </w:rPr>
        <w:t>Dotatate</w:t>
      </w:r>
      <w:proofErr w:type="spellEnd"/>
      <w:r w:rsidRPr="00994611">
        <w:rPr>
          <w:rFonts w:ascii="Franklin Gothic Book" w:hAnsi="Franklin Gothic Book"/>
        </w:rPr>
        <w:t xml:space="preserve"> group and 20 (18%) of 114 patients in the control group</w:t>
      </w:r>
      <w:r w:rsidR="009204F3">
        <w:rPr>
          <w:rFonts w:ascii="Franklin Gothic Book" w:hAnsi="Franklin Gothic Book"/>
        </w:rPr>
        <w:t>.</w:t>
      </w:r>
      <w:r w:rsidR="00F274EA">
        <w:rPr>
          <w:rFonts w:ascii="Franklin Gothic Book" w:hAnsi="Franklin Gothic Book"/>
        </w:rPr>
        <w:t xml:space="preserve"> The results</w:t>
      </w:r>
      <w:r w:rsidR="00ED6880">
        <w:rPr>
          <w:rFonts w:ascii="Franklin Gothic Book" w:hAnsi="Franklin Gothic Book"/>
        </w:rPr>
        <w:t xml:space="preserve"> of a sensitivity </w:t>
      </w:r>
      <w:r w:rsidR="00793059" w:rsidRPr="00793059">
        <w:rPr>
          <w:rFonts w:ascii="Franklin Gothic Book" w:hAnsi="Franklin Gothic Book"/>
        </w:rPr>
        <w:t>analysis using the rank-preserving</w:t>
      </w:r>
      <w:r w:rsidR="00793059">
        <w:rPr>
          <w:rFonts w:ascii="Franklin Gothic Book" w:hAnsi="Franklin Gothic Book"/>
        </w:rPr>
        <w:t xml:space="preserve"> </w:t>
      </w:r>
      <w:r w:rsidR="00793059" w:rsidRPr="00793059">
        <w:rPr>
          <w:rFonts w:ascii="Franklin Gothic Book" w:hAnsi="Franklin Gothic Book"/>
        </w:rPr>
        <w:t>structural failure time method, which adjusted survival</w:t>
      </w:r>
      <w:r w:rsidR="00793059">
        <w:rPr>
          <w:rFonts w:ascii="Franklin Gothic Book" w:hAnsi="Franklin Gothic Book"/>
        </w:rPr>
        <w:t xml:space="preserve"> </w:t>
      </w:r>
      <w:r w:rsidR="00793059" w:rsidRPr="00793059">
        <w:rPr>
          <w:rFonts w:ascii="Franklin Gothic Book" w:hAnsi="Franklin Gothic Book"/>
        </w:rPr>
        <w:t>of those patients in the control group who crossed over to</w:t>
      </w:r>
      <w:r w:rsidR="006F5F0D">
        <w:rPr>
          <w:rFonts w:ascii="Franklin Gothic Book" w:hAnsi="Franklin Gothic Book"/>
        </w:rPr>
        <w:t xml:space="preserve"> PRRT</w:t>
      </w:r>
      <w:r w:rsidR="005757A9">
        <w:rPr>
          <w:rFonts w:ascii="Franklin Gothic Book" w:hAnsi="Franklin Gothic Book"/>
        </w:rPr>
        <w:t xml:space="preserve"> is presented in </w:t>
      </w:r>
      <w:r w:rsidR="00A61A43" w:rsidRPr="00A61A43">
        <w:lastRenderedPageBreak/>
        <w:fldChar w:fldCharType="begin"/>
      </w:r>
      <w:r w:rsidR="00A61A43" w:rsidRPr="00A61A43">
        <w:rPr>
          <w:rFonts w:ascii="Franklin Gothic Book" w:hAnsi="Franklin Gothic Book"/>
        </w:rPr>
        <w:instrText xml:space="preserve"> REF _Ref170135235 \h </w:instrText>
      </w:r>
      <w:r w:rsidR="00A61A43">
        <w:rPr>
          <w:rFonts w:ascii="Franklin Gothic Book" w:hAnsi="Franklin Gothic Book"/>
        </w:rPr>
        <w:instrText xml:space="preserve"> \* MERGEFORMAT </w:instrText>
      </w:r>
      <w:r w:rsidR="00A61A43" w:rsidRPr="00A61A43">
        <w:fldChar w:fldCharType="separate"/>
      </w:r>
      <w:r w:rsidR="00A61A43" w:rsidRPr="00994611">
        <w:rPr>
          <w:rFonts w:ascii="Franklin Gothic Book" w:hAnsi="Franklin Gothic Book"/>
        </w:rPr>
        <w:t xml:space="preserve">Figure </w:t>
      </w:r>
      <w:r w:rsidR="00A61A43" w:rsidRPr="00994611">
        <w:rPr>
          <w:rFonts w:ascii="Franklin Gothic Book" w:hAnsi="Franklin Gothic Book"/>
          <w:noProof/>
        </w:rPr>
        <w:t>5</w:t>
      </w:r>
      <w:r w:rsidR="00A61A43" w:rsidRPr="00A61A43">
        <w:fldChar w:fldCharType="end"/>
      </w:r>
      <w:r w:rsidR="00A61A43">
        <w:rPr>
          <w:rFonts w:ascii="Franklin Gothic Book" w:hAnsi="Franklin Gothic Book"/>
        </w:rPr>
        <w:t>.</w:t>
      </w:r>
      <w:r w:rsidR="00F85C5E">
        <w:rPr>
          <w:rFonts w:ascii="Franklin Gothic Book" w:hAnsi="Franklin Gothic Book"/>
        </w:rPr>
        <w:t xml:space="preserve"> Consi</w:t>
      </w:r>
      <w:r w:rsidR="009701E7">
        <w:rPr>
          <w:rFonts w:ascii="Franklin Gothic Book" w:hAnsi="Franklin Gothic Book"/>
        </w:rPr>
        <w:t xml:space="preserve">stent with the </w:t>
      </w:r>
      <w:r w:rsidR="00E32DF1">
        <w:rPr>
          <w:rFonts w:ascii="Franklin Gothic Book" w:hAnsi="Franklin Gothic Book"/>
        </w:rPr>
        <w:t>unadjusted OS results,</w:t>
      </w:r>
      <w:r w:rsidR="009C43ED">
        <w:rPr>
          <w:rFonts w:ascii="Franklin Gothic Book" w:hAnsi="Franklin Gothic Book"/>
        </w:rPr>
        <w:t xml:space="preserve"> </w:t>
      </w:r>
      <w:r w:rsidR="00040422">
        <w:rPr>
          <w:rFonts w:ascii="Franklin Gothic Book" w:hAnsi="Franklin Gothic Book"/>
        </w:rPr>
        <w:t xml:space="preserve">the adjusted </w:t>
      </w:r>
      <w:r w:rsidR="009C43ED">
        <w:rPr>
          <w:rFonts w:ascii="Franklin Gothic Book" w:hAnsi="Franklin Gothic Book"/>
        </w:rPr>
        <w:t>O</w:t>
      </w:r>
      <w:r w:rsidR="00040422">
        <w:rPr>
          <w:rFonts w:ascii="Franklin Gothic Book" w:hAnsi="Franklin Gothic Book"/>
        </w:rPr>
        <w:t xml:space="preserve">S results showed a </w:t>
      </w:r>
      <w:r w:rsidR="00040422" w:rsidRPr="00040422">
        <w:rPr>
          <w:rFonts w:ascii="Franklin Gothic Book" w:hAnsi="Franklin Gothic Book"/>
        </w:rPr>
        <w:t>numerical but non-</w:t>
      </w:r>
      <w:r w:rsidR="00550860">
        <w:rPr>
          <w:rFonts w:ascii="Franklin Gothic Book" w:hAnsi="Franklin Gothic Book"/>
        </w:rPr>
        <w:t xml:space="preserve">statistically </w:t>
      </w:r>
      <w:r w:rsidR="00040422" w:rsidRPr="00040422">
        <w:rPr>
          <w:rFonts w:ascii="Franklin Gothic Book" w:hAnsi="Franklin Gothic Book"/>
        </w:rPr>
        <w:t>significant benefit</w:t>
      </w:r>
      <w:r w:rsidR="00040422">
        <w:rPr>
          <w:rFonts w:ascii="Franklin Gothic Book" w:hAnsi="Franklin Gothic Book"/>
        </w:rPr>
        <w:t>.</w:t>
      </w:r>
    </w:p>
    <w:p w14:paraId="1B52DAD2" w14:textId="65277593" w:rsidR="00391D1F" w:rsidRDefault="00391D1F" w:rsidP="00391D1F">
      <w:pPr>
        <w:pStyle w:val="Caption"/>
      </w:pPr>
      <w:bookmarkStart w:id="72" w:name="_Ref170135235"/>
      <w:r>
        <w:t xml:space="preserve">Figure </w:t>
      </w:r>
      <w:r w:rsidR="009C6F88">
        <w:fldChar w:fldCharType="begin"/>
      </w:r>
      <w:r w:rsidR="009C6F88">
        <w:instrText xml:space="preserve"> SEQ Figure \* ARABIC </w:instrText>
      </w:r>
      <w:r w:rsidR="009C6F88">
        <w:fldChar w:fldCharType="separate"/>
      </w:r>
      <w:r w:rsidR="009C6F88">
        <w:rPr>
          <w:noProof/>
        </w:rPr>
        <w:t>5</w:t>
      </w:r>
      <w:r w:rsidR="009C6F88">
        <w:rPr>
          <w:noProof/>
        </w:rPr>
        <w:fldChar w:fldCharType="end"/>
      </w:r>
      <w:bookmarkEnd w:id="72"/>
      <w:r>
        <w:tab/>
      </w:r>
      <w:r w:rsidR="0058778D">
        <w:t>R</w:t>
      </w:r>
      <w:r w:rsidR="00E9313C">
        <w:t>ank -prese</w:t>
      </w:r>
      <w:r w:rsidR="00CA3406">
        <w:t>rving structured failure time ana</w:t>
      </w:r>
      <w:r w:rsidR="0058778D">
        <w:t>lysis</w:t>
      </w:r>
      <w:r w:rsidR="006B7629">
        <w:t xml:space="preserve"> of overall survival accounting for crossover to any PRRT in control group during long-term follow-up</w:t>
      </w:r>
      <w:r w:rsidR="008B3415">
        <w:t xml:space="preserve"> </w:t>
      </w:r>
      <w:r w:rsidR="00F3797D">
        <w:t>–</w:t>
      </w:r>
      <w:r w:rsidR="00F8193E">
        <w:t xml:space="preserve"> NETTER 1</w:t>
      </w:r>
    </w:p>
    <w:p w14:paraId="6DB5FA66" w14:textId="3331412D" w:rsidR="00391D1F" w:rsidRDefault="00391D1F" w:rsidP="00F63E9D">
      <w:r>
        <w:rPr>
          <w:noProof/>
        </w:rPr>
        <w:drawing>
          <wp:inline distT="0" distB="0" distL="0" distR="0" wp14:anchorId="039E2AED" wp14:editId="6A3D0E61">
            <wp:extent cx="5731510" cy="3282950"/>
            <wp:effectExtent l="0" t="0" r="2540" b="0"/>
            <wp:docPr id="5" name="Picture 5" descr="Rank -preserving structured failure time analysis of overall survival accounting for crossover to any PRRT in control group during long-term follow-up – NET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nk -preserving structured failure time analysis of overall survival accounting for crossover to any PRRT in control group during long-term follow-up – NETTER 1"/>
                    <pic:cNvPicPr/>
                  </pic:nvPicPr>
                  <pic:blipFill>
                    <a:blip r:embed="rId18"/>
                    <a:stretch>
                      <a:fillRect/>
                    </a:stretch>
                  </pic:blipFill>
                  <pic:spPr>
                    <a:xfrm>
                      <a:off x="0" y="0"/>
                      <a:ext cx="5731510" cy="3282950"/>
                    </a:xfrm>
                    <a:prstGeom prst="rect">
                      <a:avLst/>
                    </a:prstGeom>
                  </pic:spPr>
                </pic:pic>
              </a:graphicData>
            </a:graphic>
          </wp:inline>
        </w:drawing>
      </w:r>
    </w:p>
    <w:p w14:paraId="42693035" w14:textId="3AD9A793" w:rsidR="00613136" w:rsidRDefault="00613136" w:rsidP="00613136">
      <w:pPr>
        <w:pStyle w:val="Tablenotes"/>
        <w:rPr>
          <w:rStyle w:val="TablenotesChar"/>
        </w:rPr>
      </w:pPr>
      <w:r>
        <w:rPr>
          <w:rStyle w:val="TablenotesChar"/>
        </w:rPr>
        <w:t xml:space="preserve">Source: </w:t>
      </w:r>
      <w:r w:rsidR="00591E28">
        <w:rPr>
          <w:rStyle w:val="TablenotesChar"/>
          <w:snapToGrid w:val="0"/>
        </w:rPr>
        <w:t xml:space="preserve">Compiled by department from </w:t>
      </w:r>
      <w:r>
        <w:rPr>
          <w:rStyle w:val="TablenotesChar"/>
        </w:rPr>
        <w:t xml:space="preserve">Figure 2, p1757 of </w:t>
      </w:r>
      <w:proofErr w:type="spellStart"/>
      <w:r>
        <w:rPr>
          <w:rStyle w:val="TablenotesChar"/>
        </w:rPr>
        <w:t>Strosberg</w:t>
      </w:r>
      <w:proofErr w:type="spellEnd"/>
      <w:r>
        <w:rPr>
          <w:rStyle w:val="TablenotesChar"/>
        </w:rPr>
        <w:t xml:space="preserve"> 2021</w:t>
      </w:r>
    </w:p>
    <w:p w14:paraId="586B3672" w14:textId="77777777" w:rsidR="00613136" w:rsidRDefault="00613136" w:rsidP="00994611">
      <w:pPr>
        <w:pStyle w:val="Tablenotes"/>
        <w:spacing w:after="240"/>
      </w:pPr>
      <w:r w:rsidRPr="006408BA">
        <w:t>Abbreviations</w:t>
      </w:r>
      <w:r>
        <w:t>: HR = hazard ratio</w:t>
      </w:r>
    </w:p>
    <w:p w14:paraId="081EC21C" w14:textId="35D67845" w:rsidR="00135357" w:rsidRDefault="00135357" w:rsidP="00135357">
      <w:r>
        <w:t xml:space="preserve">In </w:t>
      </w:r>
      <w:r w:rsidRPr="000C6E2D">
        <w:t>NETTER -1</w:t>
      </w:r>
      <w:r>
        <w:t xml:space="preserve"> the median PFS was not reached in the </w:t>
      </w:r>
      <w:r w:rsidRPr="00C905BB">
        <w:rPr>
          <w:vertAlign w:val="superscript"/>
        </w:rPr>
        <w:t>177</w:t>
      </w:r>
      <w:r w:rsidRPr="00961C59">
        <w:t>Lu</w:t>
      </w:r>
      <w:r>
        <w:t xml:space="preserve">-DOTATATE arm, while for patients on octreotide it was </w:t>
      </w:r>
      <w:r w:rsidRPr="00124B9D">
        <w:t>8.</w:t>
      </w:r>
      <w:r>
        <w:t>4</w:t>
      </w:r>
      <w:r w:rsidRPr="00124B9D">
        <w:t xml:space="preserve"> months (</w:t>
      </w:r>
      <w:r>
        <w:t>95% CI</w:t>
      </w:r>
      <w:r w:rsidRPr="00124B9D">
        <w:t xml:space="preserve">: </w:t>
      </w:r>
      <w:r>
        <w:t>5.8</w:t>
      </w:r>
      <w:r w:rsidRPr="00124B9D">
        <w:t xml:space="preserve"> to </w:t>
      </w:r>
      <w:r>
        <w:t>9.1</w:t>
      </w:r>
      <w:r w:rsidRPr="00124B9D">
        <w:t>)</w:t>
      </w:r>
      <w:r>
        <w:t xml:space="preserve">. </w:t>
      </w:r>
      <w:r w:rsidRPr="009D524A">
        <w:t xml:space="preserve">The HR for PFS was 0.21 (95% CI: 0.13 to 0.33), indicating superiority of </w:t>
      </w:r>
      <w:r w:rsidRPr="00994611">
        <w:rPr>
          <w:vertAlign w:val="superscript"/>
        </w:rPr>
        <w:t>177</w:t>
      </w:r>
      <w:r w:rsidRPr="009D524A">
        <w:t xml:space="preserve">Lu-DOTATATE over octreotide. Treatment with </w:t>
      </w:r>
      <w:r w:rsidRPr="00994611">
        <w:rPr>
          <w:vertAlign w:val="superscript"/>
        </w:rPr>
        <w:t>177</w:t>
      </w:r>
      <w:r w:rsidRPr="009D524A">
        <w:t xml:space="preserve">Lu-DOTATATE was also associated with more favourable PFS outcomes than sunitinib. In OCLURANDOM, median PFS was longer in patients treated with </w:t>
      </w:r>
      <w:r w:rsidRPr="00994611">
        <w:rPr>
          <w:vertAlign w:val="superscript"/>
        </w:rPr>
        <w:t>177</w:t>
      </w:r>
      <w:r w:rsidRPr="009D524A">
        <w:t>Lu-DOTATATE (20.7 months; 95% CI: 17.2 to 23.7) compared to sunitinib (11.0 months; 95% CI: 8.8 to 12.4</w:t>
      </w:r>
      <w:r>
        <w:t>).</w:t>
      </w:r>
    </w:p>
    <w:p w14:paraId="5E3B6D3B" w14:textId="6F411CA8" w:rsidR="009C6F88" w:rsidRDefault="009C6F88" w:rsidP="009C6F88">
      <w:pPr>
        <w:pStyle w:val="Caption"/>
      </w:pPr>
      <w:r>
        <w:lastRenderedPageBreak/>
        <w:t xml:space="preserve">Figure </w:t>
      </w:r>
      <w:r>
        <w:fldChar w:fldCharType="begin"/>
      </w:r>
      <w:r>
        <w:instrText xml:space="preserve"> SEQ Figure \* ARABIC </w:instrText>
      </w:r>
      <w:r>
        <w:fldChar w:fldCharType="separate"/>
      </w:r>
      <w:r>
        <w:rPr>
          <w:noProof/>
        </w:rPr>
        <w:t>6</w:t>
      </w:r>
      <w:r>
        <w:rPr>
          <w:noProof/>
        </w:rPr>
        <w:fldChar w:fldCharType="end"/>
      </w:r>
      <w:r>
        <w:tab/>
      </w:r>
      <w:r w:rsidR="004D73A5">
        <w:t>P</w:t>
      </w:r>
      <w:r w:rsidR="00427229">
        <w:t>rogression free survival</w:t>
      </w:r>
      <w:r w:rsidR="004D73A5">
        <w:t xml:space="preserve"> </w:t>
      </w:r>
      <w:r w:rsidR="00C1233A">
        <w:t>–</w:t>
      </w:r>
      <w:r w:rsidR="004D73A5">
        <w:t xml:space="preserve"> </w:t>
      </w:r>
      <w:r w:rsidR="00C1233A">
        <w:t>NETTER-1</w:t>
      </w:r>
    </w:p>
    <w:p w14:paraId="0FCBC7AD" w14:textId="77777777" w:rsidR="00E66546" w:rsidRDefault="00E66546" w:rsidP="00F63E9D">
      <w:r>
        <w:rPr>
          <w:noProof/>
        </w:rPr>
        <w:drawing>
          <wp:inline distT="0" distB="0" distL="0" distR="0" wp14:anchorId="0771EAB7" wp14:editId="17B59B14">
            <wp:extent cx="4421428" cy="3790950"/>
            <wp:effectExtent l="0" t="0" r="0" b="0"/>
            <wp:docPr id="2" name="Picture 2" descr="Progression free survival – NET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gression free survival – NETTER-1"/>
                    <pic:cNvPicPr/>
                  </pic:nvPicPr>
                  <pic:blipFill>
                    <a:blip r:embed="rId19"/>
                    <a:stretch>
                      <a:fillRect/>
                    </a:stretch>
                  </pic:blipFill>
                  <pic:spPr>
                    <a:xfrm>
                      <a:off x="0" y="0"/>
                      <a:ext cx="4430390" cy="3798634"/>
                    </a:xfrm>
                    <a:prstGeom prst="rect">
                      <a:avLst/>
                    </a:prstGeom>
                  </pic:spPr>
                </pic:pic>
              </a:graphicData>
            </a:graphic>
          </wp:inline>
        </w:drawing>
      </w:r>
    </w:p>
    <w:p w14:paraId="53024C19" w14:textId="59830C0B" w:rsidR="00912439" w:rsidRDefault="00912439" w:rsidP="00994611">
      <w:pPr>
        <w:pStyle w:val="Tablenotes"/>
      </w:pPr>
      <w:r>
        <w:rPr>
          <w:rStyle w:val="TablenotesChar"/>
        </w:rPr>
        <w:t xml:space="preserve">Source: Figure 1A, p130 of </w:t>
      </w:r>
      <w:proofErr w:type="spellStart"/>
      <w:r>
        <w:rPr>
          <w:rStyle w:val="TablenotesChar"/>
        </w:rPr>
        <w:t>Strosberg</w:t>
      </w:r>
      <w:proofErr w:type="spellEnd"/>
      <w:r>
        <w:rPr>
          <w:rStyle w:val="TablenotesChar"/>
        </w:rPr>
        <w:t xml:space="preserve"> 2017</w:t>
      </w:r>
    </w:p>
    <w:p w14:paraId="5F547CA4" w14:textId="5377A956" w:rsidR="002E6C7F" w:rsidRPr="00F63E9D" w:rsidRDefault="002E6C7F" w:rsidP="00994611">
      <w:pPr>
        <w:pStyle w:val="Heading4"/>
      </w:pPr>
      <w:r>
        <w:t xml:space="preserve">Indirect evidence: </w:t>
      </w:r>
      <w:r w:rsidR="00FA394D">
        <w:t>NMA</w:t>
      </w:r>
    </w:p>
    <w:p w14:paraId="66D8E8A3" w14:textId="4224B7A6" w:rsidR="00B21636" w:rsidRDefault="00B21636" w:rsidP="006408BA">
      <w:pPr>
        <w:rPr>
          <w:b/>
          <w:bCs/>
        </w:rPr>
      </w:pPr>
      <w:r>
        <w:rPr>
          <w:b/>
          <w:bCs/>
        </w:rPr>
        <w:fldChar w:fldCharType="begin"/>
      </w:r>
      <w:r>
        <w:instrText xml:space="preserve"> REF _Ref160203497 \h  \* MERGEFORMAT </w:instrText>
      </w:r>
      <w:r>
        <w:rPr>
          <w:b/>
          <w:bCs/>
        </w:rPr>
      </w:r>
      <w:r>
        <w:rPr>
          <w:b/>
          <w:bCs/>
        </w:rPr>
        <w:fldChar w:fldCharType="separate"/>
      </w:r>
      <w:r w:rsidR="0084549C">
        <w:t>Table 10</w:t>
      </w:r>
      <w:r>
        <w:rPr>
          <w:b/>
          <w:bCs/>
        </w:rPr>
        <w:fldChar w:fldCharType="end"/>
      </w:r>
      <w:r>
        <w:t xml:space="preserve"> </w:t>
      </w:r>
      <w:r w:rsidRPr="00D0475F">
        <w:t xml:space="preserve">presents a summary of the results from the comparative effectiveness analyses. Based on the results of the NMA, </w:t>
      </w:r>
      <w:bookmarkStart w:id="73" w:name="_Hlk160453197"/>
      <w:r w:rsidR="001345FE" w:rsidRPr="001345FE">
        <w:rPr>
          <w:vertAlign w:val="superscript"/>
        </w:rPr>
        <w:t>177</w:t>
      </w:r>
      <w:r w:rsidR="001345FE" w:rsidRPr="001345FE">
        <w:t>Lu-DOTATATE</w:t>
      </w:r>
      <w:r w:rsidRPr="00050981">
        <w:t xml:space="preserve"> </w:t>
      </w:r>
      <w:bookmarkEnd w:id="73"/>
      <w:r w:rsidRPr="00D0475F">
        <w:t xml:space="preserve">was associated with statistically significant improvements in PFS </w:t>
      </w:r>
      <w:r w:rsidR="009D1B01">
        <w:t>over</w:t>
      </w:r>
      <w:r w:rsidR="009D1B01" w:rsidRPr="00D0475F">
        <w:t xml:space="preserve"> </w:t>
      </w:r>
      <w:r w:rsidRPr="00D0475F">
        <w:t xml:space="preserve">all examined comparators. For OS, </w:t>
      </w:r>
      <w:r w:rsidR="001345FE" w:rsidRPr="001345FE">
        <w:rPr>
          <w:vertAlign w:val="superscript"/>
        </w:rPr>
        <w:t>177</w:t>
      </w:r>
      <w:r w:rsidR="001345FE" w:rsidRPr="001345FE">
        <w:t>Lu-DOTATATE</w:t>
      </w:r>
      <w:r w:rsidRPr="00050981">
        <w:t xml:space="preserve"> </w:t>
      </w:r>
      <w:r w:rsidRPr="00D0475F">
        <w:t>was shown to be comparable in efficacy to all examine</w:t>
      </w:r>
      <w:r w:rsidR="007616BE">
        <w:t>d</w:t>
      </w:r>
      <w:r w:rsidRPr="00D0475F">
        <w:t xml:space="preserve"> comparators. Nominally favourable OS outcomes were observed </w:t>
      </w:r>
      <w:r w:rsidR="008E5947">
        <w:t>compared with</w:t>
      </w:r>
      <w:r w:rsidR="008E5947" w:rsidRPr="00D0475F">
        <w:t xml:space="preserve"> </w:t>
      </w:r>
      <w:r w:rsidRPr="00D0475F">
        <w:t xml:space="preserve">octreotide </w:t>
      </w:r>
      <w:r>
        <w:t xml:space="preserve">plus </w:t>
      </w:r>
      <w:r w:rsidRPr="00D0475F">
        <w:t>everolimus combination therapy, everolimus monotherapy, octreotide monotherapy and placebo/BSC</w:t>
      </w:r>
      <w:r>
        <w:t>,</w:t>
      </w:r>
      <w:r w:rsidRPr="00D0475F">
        <w:t xml:space="preserve"> and </w:t>
      </w:r>
      <w:r>
        <w:t>nominally</w:t>
      </w:r>
      <w:r w:rsidRPr="00D0475F">
        <w:t xml:space="preserve"> less favourable outcomes </w:t>
      </w:r>
      <w:r w:rsidR="00821677">
        <w:t>compared with</w:t>
      </w:r>
      <w:r w:rsidR="00821677" w:rsidRPr="00D0475F">
        <w:t xml:space="preserve"> </w:t>
      </w:r>
      <w:r w:rsidRPr="00D0475F">
        <w:t>sunitinib.</w:t>
      </w:r>
    </w:p>
    <w:p w14:paraId="556821AD" w14:textId="35FB9269" w:rsidR="00B21636" w:rsidRDefault="00B21636" w:rsidP="00B21636">
      <w:pPr>
        <w:pStyle w:val="Caption"/>
      </w:pPr>
      <w:bookmarkStart w:id="74" w:name="_Ref160203497"/>
      <w:bookmarkStart w:id="75" w:name="_Toc161842044"/>
      <w:r>
        <w:t xml:space="preserve">Table </w:t>
      </w:r>
      <w:r w:rsidR="006D13BC">
        <w:fldChar w:fldCharType="begin"/>
      </w:r>
      <w:r w:rsidR="006D13BC">
        <w:instrText xml:space="preserve"> SEQ Table \* ARABIC </w:instrText>
      </w:r>
      <w:r w:rsidR="006D13BC">
        <w:fldChar w:fldCharType="separate"/>
      </w:r>
      <w:r w:rsidR="006D13BC">
        <w:rPr>
          <w:noProof/>
        </w:rPr>
        <w:t>10</w:t>
      </w:r>
      <w:r w:rsidR="006D13BC">
        <w:rPr>
          <w:noProof/>
        </w:rPr>
        <w:fldChar w:fldCharType="end"/>
      </w:r>
      <w:bookmarkEnd w:id="74"/>
      <w:r>
        <w:t xml:space="preserve">: </w:t>
      </w:r>
      <w:r w:rsidRPr="00A13E5F">
        <w:t>Summary of NMA results for PFS and OS (</w:t>
      </w:r>
      <w:r w:rsidR="001345FE" w:rsidRPr="001345FE">
        <w:rPr>
          <w:vertAlign w:val="superscript"/>
        </w:rPr>
        <w:t>177</w:t>
      </w:r>
      <w:r w:rsidR="001345FE" w:rsidRPr="001345FE">
        <w:t>Lu-DOTATATE</w:t>
      </w:r>
      <w:r w:rsidRPr="00A13E5F">
        <w:t xml:space="preserve"> reference)</w:t>
      </w:r>
      <w:bookmarkEnd w:id="75"/>
    </w:p>
    <w:tbl>
      <w:tblPr>
        <w:tblStyle w:val="TableGrid"/>
        <w:tblW w:w="5000" w:type="pct"/>
        <w:tblLook w:val="04A0" w:firstRow="1" w:lastRow="0" w:firstColumn="1" w:lastColumn="0" w:noHBand="0" w:noVBand="1"/>
      </w:tblPr>
      <w:tblGrid>
        <w:gridCol w:w="2490"/>
        <w:gridCol w:w="3520"/>
        <w:gridCol w:w="3006"/>
      </w:tblGrid>
      <w:tr w:rsidR="00B21636" w14:paraId="69A119AD" w14:textId="77777777" w:rsidTr="002537CB">
        <w:trPr>
          <w:trHeight w:val="316"/>
        </w:trPr>
        <w:tc>
          <w:tcPr>
            <w:tcW w:w="1381" w:type="pct"/>
            <w:vAlign w:val="bottom"/>
          </w:tcPr>
          <w:p w14:paraId="3043E492" w14:textId="77777777" w:rsidR="00B21636" w:rsidRPr="002537CB" w:rsidRDefault="00B21636" w:rsidP="002537CB">
            <w:pPr>
              <w:pStyle w:val="TableHeading0"/>
            </w:pPr>
            <w:r w:rsidRPr="002537CB">
              <w:t xml:space="preserve">Comparator </w:t>
            </w:r>
          </w:p>
        </w:tc>
        <w:tc>
          <w:tcPr>
            <w:tcW w:w="1952" w:type="pct"/>
          </w:tcPr>
          <w:p w14:paraId="3E80259E" w14:textId="4FAF58AF" w:rsidR="00B21636" w:rsidRPr="002537CB" w:rsidRDefault="00B21636" w:rsidP="002537CB">
            <w:pPr>
              <w:pStyle w:val="TableHeading0"/>
            </w:pPr>
            <w:r w:rsidRPr="002537CB">
              <w:t>P</w:t>
            </w:r>
            <w:r w:rsidRPr="00AA3FA7">
              <w:t>FS</w:t>
            </w:r>
            <w:r w:rsidR="006408BA">
              <w:t xml:space="preserve">; </w:t>
            </w:r>
            <w:r w:rsidRPr="002537CB">
              <w:t xml:space="preserve">HR </w:t>
            </w:r>
            <w:r w:rsidR="00013CB6">
              <w:t>(</w:t>
            </w:r>
            <w:r w:rsidRPr="002537CB">
              <w:t xml:space="preserve">95% </w:t>
            </w:r>
            <w:proofErr w:type="spellStart"/>
            <w:r w:rsidRPr="002537CB">
              <w:t>CrI</w:t>
            </w:r>
            <w:proofErr w:type="spellEnd"/>
            <w:r w:rsidR="00013CB6">
              <w:t>)</w:t>
            </w:r>
          </w:p>
        </w:tc>
        <w:tc>
          <w:tcPr>
            <w:tcW w:w="1667" w:type="pct"/>
          </w:tcPr>
          <w:p w14:paraId="2D27C443" w14:textId="1BB3DC5B" w:rsidR="00B21636" w:rsidRPr="002537CB" w:rsidRDefault="00B21636" w:rsidP="002537CB">
            <w:pPr>
              <w:pStyle w:val="TableHeading0"/>
            </w:pPr>
            <w:r w:rsidRPr="002537CB">
              <w:t>O</w:t>
            </w:r>
            <w:r w:rsidRPr="00AA3FA7">
              <w:t>S</w:t>
            </w:r>
            <w:r w:rsidR="006408BA">
              <w:t>;</w:t>
            </w:r>
            <w:r w:rsidR="00013CB6">
              <w:t xml:space="preserve"> </w:t>
            </w:r>
            <w:r w:rsidRPr="002537CB">
              <w:t xml:space="preserve">HR </w:t>
            </w:r>
            <w:r w:rsidR="006408BA">
              <w:t>(</w:t>
            </w:r>
            <w:r w:rsidRPr="002537CB">
              <w:t xml:space="preserve">95% </w:t>
            </w:r>
            <w:proofErr w:type="spellStart"/>
            <w:r w:rsidRPr="002537CB">
              <w:t>CrI</w:t>
            </w:r>
            <w:proofErr w:type="spellEnd"/>
            <w:r w:rsidR="00013CB6">
              <w:t>)</w:t>
            </w:r>
          </w:p>
        </w:tc>
      </w:tr>
      <w:tr w:rsidR="00B21636" w14:paraId="1EE461A2" w14:textId="77777777" w:rsidTr="002537CB">
        <w:trPr>
          <w:trHeight w:val="367"/>
        </w:trPr>
        <w:tc>
          <w:tcPr>
            <w:tcW w:w="1381" w:type="pct"/>
            <w:vAlign w:val="center"/>
          </w:tcPr>
          <w:p w14:paraId="6462EBCB" w14:textId="4ABC0248" w:rsidR="00B21636" w:rsidRPr="007F469B" w:rsidRDefault="00B21636" w:rsidP="006408BA">
            <w:pPr>
              <w:pStyle w:val="TableText"/>
            </w:pPr>
            <w:r w:rsidRPr="005F4D29">
              <w:rPr>
                <w:vertAlign w:val="superscript"/>
              </w:rPr>
              <w:t>177</w:t>
            </w:r>
            <w:r w:rsidRPr="007F469B">
              <w:t>Lu-</w:t>
            </w:r>
            <w:r w:rsidR="001345FE">
              <w:t>DOTATATE</w:t>
            </w:r>
          </w:p>
        </w:tc>
        <w:tc>
          <w:tcPr>
            <w:tcW w:w="1952" w:type="pct"/>
          </w:tcPr>
          <w:p w14:paraId="41FCC4CE" w14:textId="77777777" w:rsidR="00B21636" w:rsidRPr="007F469B" w:rsidRDefault="00B21636" w:rsidP="006408BA">
            <w:pPr>
              <w:pStyle w:val="TableText"/>
            </w:pPr>
            <w:r w:rsidRPr="007F469B">
              <w:t>1.00</w:t>
            </w:r>
            <w:r>
              <w:t xml:space="preserve"> </w:t>
            </w:r>
          </w:p>
        </w:tc>
        <w:tc>
          <w:tcPr>
            <w:tcW w:w="1667" w:type="pct"/>
          </w:tcPr>
          <w:p w14:paraId="1916E88E" w14:textId="77777777" w:rsidR="00B21636" w:rsidRPr="007F469B" w:rsidRDefault="00B21636" w:rsidP="006408BA">
            <w:pPr>
              <w:pStyle w:val="TableText"/>
            </w:pPr>
            <w:r w:rsidRPr="007F469B">
              <w:t>1.</w:t>
            </w:r>
            <w:r w:rsidRPr="001345FE">
              <w:t>00</w:t>
            </w:r>
            <w:r>
              <w:t xml:space="preserve"> </w:t>
            </w:r>
          </w:p>
        </w:tc>
      </w:tr>
      <w:tr w:rsidR="00B21636" w14:paraId="2A01BD50" w14:textId="77777777" w:rsidTr="002537CB">
        <w:trPr>
          <w:trHeight w:val="367"/>
        </w:trPr>
        <w:tc>
          <w:tcPr>
            <w:tcW w:w="1381" w:type="pct"/>
            <w:vAlign w:val="center"/>
          </w:tcPr>
          <w:p w14:paraId="3A8259B8" w14:textId="77777777" w:rsidR="00B21636" w:rsidRPr="007F469B" w:rsidRDefault="00B21636" w:rsidP="006408BA">
            <w:pPr>
              <w:pStyle w:val="TableText"/>
            </w:pPr>
            <w:r w:rsidRPr="007F469B">
              <w:t>Octreotide + Everolimus</w:t>
            </w:r>
          </w:p>
        </w:tc>
        <w:tc>
          <w:tcPr>
            <w:tcW w:w="1952" w:type="pct"/>
          </w:tcPr>
          <w:p w14:paraId="35B8C7D4" w14:textId="411BE387" w:rsidR="00B21636" w:rsidRPr="007F469B" w:rsidRDefault="00B21636" w:rsidP="006408BA">
            <w:pPr>
              <w:pStyle w:val="TableText"/>
            </w:pPr>
            <w:r>
              <w:t xml:space="preserve">3.8 (95% </w:t>
            </w:r>
            <w:proofErr w:type="spellStart"/>
            <w:r>
              <w:t>Crl</w:t>
            </w:r>
            <w:proofErr w:type="spellEnd"/>
            <w:r>
              <w:t>: 2.1, 6.3)</w:t>
            </w:r>
          </w:p>
        </w:tc>
        <w:tc>
          <w:tcPr>
            <w:tcW w:w="1667" w:type="pct"/>
          </w:tcPr>
          <w:p w14:paraId="0CD6DDA5" w14:textId="77777777" w:rsidR="00B21636" w:rsidRPr="007F469B" w:rsidRDefault="00B21636" w:rsidP="006408BA">
            <w:pPr>
              <w:pStyle w:val="TableText"/>
            </w:pPr>
            <w:r>
              <w:t xml:space="preserve">1.5 (95% </w:t>
            </w:r>
            <w:proofErr w:type="spellStart"/>
            <w:r>
              <w:t>Crl</w:t>
            </w:r>
            <w:proofErr w:type="spellEnd"/>
            <w:r>
              <w:t>:  0.9, 2.3)</w:t>
            </w:r>
          </w:p>
        </w:tc>
      </w:tr>
      <w:tr w:rsidR="00B21636" w14:paraId="08CCAF01" w14:textId="77777777" w:rsidTr="002537CB">
        <w:trPr>
          <w:trHeight w:val="367"/>
        </w:trPr>
        <w:tc>
          <w:tcPr>
            <w:tcW w:w="1381" w:type="pct"/>
            <w:vAlign w:val="center"/>
          </w:tcPr>
          <w:p w14:paraId="1FC86CA6" w14:textId="77777777" w:rsidR="00B21636" w:rsidRPr="007F469B" w:rsidRDefault="00B21636" w:rsidP="006408BA">
            <w:pPr>
              <w:pStyle w:val="TableText"/>
            </w:pPr>
            <w:r w:rsidRPr="007F469B">
              <w:t xml:space="preserve">Octreotide </w:t>
            </w:r>
          </w:p>
        </w:tc>
        <w:tc>
          <w:tcPr>
            <w:tcW w:w="1952" w:type="pct"/>
          </w:tcPr>
          <w:p w14:paraId="66FCD3D3" w14:textId="65F49146" w:rsidR="00B21636" w:rsidRPr="007F469B" w:rsidRDefault="00B21636" w:rsidP="006408BA">
            <w:pPr>
              <w:pStyle w:val="TableText"/>
            </w:pPr>
            <w:r>
              <w:t xml:space="preserve">4.9 (95% </w:t>
            </w:r>
            <w:proofErr w:type="spellStart"/>
            <w:r>
              <w:t>Crl</w:t>
            </w:r>
            <w:proofErr w:type="spellEnd"/>
            <w:r>
              <w:t>: 3.0, 5.6)</w:t>
            </w:r>
          </w:p>
        </w:tc>
        <w:tc>
          <w:tcPr>
            <w:tcW w:w="1667" w:type="pct"/>
          </w:tcPr>
          <w:p w14:paraId="0C573659" w14:textId="77777777" w:rsidR="00B21636" w:rsidRPr="007F469B" w:rsidRDefault="00B21636" w:rsidP="006408BA">
            <w:pPr>
              <w:pStyle w:val="TableText"/>
            </w:pPr>
            <w:r>
              <w:t xml:space="preserve">1.2 (95% </w:t>
            </w:r>
            <w:proofErr w:type="spellStart"/>
            <w:r>
              <w:t>Crl</w:t>
            </w:r>
            <w:proofErr w:type="spellEnd"/>
            <w:r>
              <w:t>:  0.9, 1.7)</w:t>
            </w:r>
          </w:p>
        </w:tc>
      </w:tr>
      <w:tr w:rsidR="00B21636" w14:paraId="6C9E5B1D" w14:textId="77777777" w:rsidTr="002537CB">
        <w:trPr>
          <w:trHeight w:val="367"/>
        </w:trPr>
        <w:tc>
          <w:tcPr>
            <w:tcW w:w="1381" w:type="pct"/>
            <w:vAlign w:val="center"/>
          </w:tcPr>
          <w:p w14:paraId="2F627575" w14:textId="77777777" w:rsidR="00B21636" w:rsidRPr="007F469B" w:rsidRDefault="00B21636" w:rsidP="006408BA">
            <w:pPr>
              <w:pStyle w:val="TableText"/>
            </w:pPr>
            <w:r w:rsidRPr="007F469B">
              <w:t>Everolimus</w:t>
            </w:r>
          </w:p>
        </w:tc>
        <w:tc>
          <w:tcPr>
            <w:tcW w:w="1952" w:type="pct"/>
          </w:tcPr>
          <w:p w14:paraId="6F40D6E7" w14:textId="72762576" w:rsidR="00B21636" w:rsidRPr="007F469B" w:rsidRDefault="00B21636" w:rsidP="006408BA">
            <w:pPr>
              <w:pStyle w:val="TableText"/>
            </w:pPr>
            <w:r>
              <w:t xml:space="preserve">5.9 (95% </w:t>
            </w:r>
            <w:proofErr w:type="spellStart"/>
            <w:r>
              <w:t>Crl</w:t>
            </w:r>
            <w:proofErr w:type="spellEnd"/>
            <w:r>
              <w:t>: 2.6, 11.5)</w:t>
            </w:r>
          </w:p>
        </w:tc>
        <w:tc>
          <w:tcPr>
            <w:tcW w:w="1667" w:type="pct"/>
          </w:tcPr>
          <w:p w14:paraId="25814E1C" w14:textId="77777777" w:rsidR="00B21636" w:rsidRPr="007F469B" w:rsidRDefault="00B21636" w:rsidP="006408BA">
            <w:pPr>
              <w:pStyle w:val="TableText"/>
            </w:pPr>
            <w:r>
              <w:t xml:space="preserve">1.5 (95% </w:t>
            </w:r>
            <w:proofErr w:type="spellStart"/>
            <w:r>
              <w:t>Crl</w:t>
            </w:r>
            <w:proofErr w:type="spellEnd"/>
            <w:r>
              <w:t>:  0.4, 3.7)</w:t>
            </w:r>
          </w:p>
        </w:tc>
      </w:tr>
      <w:tr w:rsidR="00B21636" w14:paraId="0BB0F5FC" w14:textId="77777777" w:rsidTr="002537CB">
        <w:trPr>
          <w:trHeight w:val="367"/>
        </w:trPr>
        <w:tc>
          <w:tcPr>
            <w:tcW w:w="1381" w:type="pct"/>
            <w:vAlign w:val="center"/>
          </w:tcPr>
          <w:p w14:paraId="121A6AAA" w14:textId="77777777" w:rsidR="00B21636" w:rsidRPr="007F469B" w:rsidRDefault="00B21636" w:rsidP="006408BA">
            <w:pPr>
              <w:pStyle w:val="TableText"/>
            </w:pPr>
            <w:r w:rsidRPr="007F469B">
              <w:t>Sunitinib</w:t>
            </w:r>
          </w:p>
        </w:tc>
        <w:tc>
          <w:tcPr>
            <w:tcW w:w="1952" w:type="pct"/>
          </w:tcPr>
          <w:p w14:paraId="1A7AAA71" w14:textId="39880373" w:rsidR="00B21636" w:rsidRPr="007F469B" w:rsidRDefault="00B21636" w:rsidP="006408BA">
            <w:pPr>
              <w:pStyle w:val="TableText"/>
            </w:pPr>
            <w:r>
              <w:t xml:space="preserve">6.5 (95% </w:t>
            </w:r>
            <w:proofErr w:type="spellStart"/>
            <w:r>
              <w:t>Crl</w:t>
            </w:r>
            <w:proofErr w:type="spellEnd"/>
            <w:r>
              <w:t>: 2.5, 13.8)</w:t>
            </w:r>
          </w:p>
        </w:tc>
        <w:tc>
          <w:tcPr>
            <w:tcW w:w="1667" w:type="pct"/>
          </w:tcPr>
          <w:p w14:paraId="6EE96ABE" w14:textId="77777777" w:rsidR="00B21636" w:rsidRPr="007F469B" w:rsidRDefault="00B21636" w:rsidP="006408BA">
            <w:pPr>
              <w:pStyle w:val="TableText"/>
            </w:pPr>
            <w:r>
              <w:t xml:space="preserve">0.7 (95% </w:t>
            </w:r>
            <w:proofErr w:type="spellStart"/>
            <w:r>
              <w:t>Crl</w:t>
            </w:r>
            <w:proofErr w:type="spellEnd"/>
            <w:r>
              <w:t>:  0.2, 2.2)</w:t>
            </w:r>
          </w:p>
        </w:tc>
      </w:tr>
      <w:tr w:rsidR="00B21636" w14:paraId="08772B6D" w14:textId="77777777" w:rsidTr="002537CB">
        <w:trPr>
          <w:trHeight w:val="367"/>
        </w:trPr>
        <w:tc>
          <w:tcPr>
            <w:tcW w:w="1381" w:type="pct"/>
            <w:vAlign w:val="center"/>
          </w:tcPr>
          <w:p w14:paraId="1ED97ADF" w14:textId="77777777" w:rsidR="00B21636" w:rsidRPr="007F469B" w:rsidRDefault="00B21636" w:rsidP="006408BA">
            <w:pPr>
              <w:pStyle w:val="TableText"/>
            </w:pPr>
            <w:r w:rsidRPr="007F469B">
              <w:t>Lanreotide</w:t>
            </w:r>
          </w:p>
        </w:tc>
        <w:tc>
          <w:tcPr>
            <w:tcW w:w="1952" w:type="pct"/>
          </w:tcPr>
          <w:p w14:paraId="184B8AF1" w14:textId="31F915B1" w:rsidR="00B21636" w:rsidRPr="007F469B" w:rsidRDefault="00B21636" w:rsidP="006408BA">
            <w:pPr>
              <w:pStyle w:val="TableText"/>
            </w:pPr>
            <w:r>
              <w:t xml:space="preserve">8.6 (95% </w:t>
            </w:r>
            <w:proofErr w:type="spellStart"/>
            <w:r>
              <w:t>Crl</w:t>
            </w:r>
            <w:proofErr w:type="spellEnd"/>
            <w:r>
              <w:t>: 3.5, 17.8)</w:t>
            </w:r>
          </w:p>
        </w:tc>
        <w:tc>
          <w:tcPr>
            <w:tcW w:w="1667" w:type="pct"/>
          </w:tcPr>
          <w:p w14:paraId="251DEF6F" w14:textId="77777777" w:rsidR="00B21636" w:rsidRPr="007F469B" w:rsidRDefault="00B21636" w:rsidP="006408BA">
            <w:pPr>
              <w:pStyle w:val="TableText"/>
            </w:pPr>
            <w:r>
              <w:t>NE</w:t>
            </w:r>
          </w:p>
        </w:tc>
      </w:tr>
      <w:tr w:rsidR="00B21636" w14:paraId="1B248B0E" w14:textId="77777777" w:rsidTr="002537CB">
        <w:trPr>
          <w:trHeight w:val="367"/>
        </w:trPr>
        <w:tc>
          <w:tcPr>
            <w:tcW w:w="1381" w:type="pct"/>
            <w:vAlign w:val="center"/>
          </w:tcPr>
          <w:p w14:paraId="5EC9AD9E" w14:textId="77777777" w:rsidR="00B21636" w:rsidRPr="007F469B" w:rsidRDefault="00B21636" w:rsidP="006408BA">
            <w:pPr>
              <w:pStyle w:val="TableText"/>
            </w:pPr>
            <w:r w:rsidRPr="007F469B">
              <w:t>Placebo</w:t>
            </w:r>
            <w:r>
              <w:t>/BSC</w:t>
            </w:r>
          </w:p>
        </w:tc>
        <w:tc>
          <w:tcPr>
            <w:tcW w:w="1952" w:type="pct"/>
          </w:tcPr>
          <w:p w14:paraId="7A166900" w14:textId="3BC1E2A5" w:rsidR="00B21636" w:rsidRPr="007F469B" w:rsidRDefault="00B21636" w:rsidP="006408BA">
            <w:pPr>
              <w:pStyle w:val="TableText"/>
            </w:pPr>
            <w:r>
              <w:t xml:space="preserve">14.9 (95% </w:t>
            </w:r>
            <w:proofErr w:type="spellStart"/>
            <w:r>
              <w:t>Crl</w:t>
            </w:r>
            <w:proofErr w:type="spellEnd"/>
            <w:r>
              <w:t>: 6.8, 28.6)</w:t>
            </w:r>
          </w:p>
        </w:tc>
        <w:tc>
          <w:tcPr>
            <w:tcW w:w="1667" w:type="pct"/>
          </w:tcPr>
          <w:p w14:paraId="48C726B3" w14:textId="77777777" w:rsidR="00B21636" w:rsidRPr="007F469B" w:rsidRDefault="00B21636" w:rsidP="006408BA">
            <w:pPr>
              <w:pStyle w:val="TableText"/>
            </w:pPr>
            <w:r>
              <w:t xml:space="preserve">1.7 (95% </w:t>
            </w:r>
            <w:proofErr w:type="spellStart"/>
            <w:r>
              <w:t>Crl</w:t>
            </w:r>
            <w:proofErr w:type="spellEnd"/>
            <w:r>
              <w:t>:  0.5, 4.1)</w:t>
            </w:r>
          </w:p>
        </w:tc>
      </w:tr>
    </w:tbl>
    <w:p w14:paraId="40C1D064" w14:textId="326506A6" w:rsidR="00277824" w:rsidRDefault="00B21636" w:rsidP="00AF25E1">
      <w:pPr>
        <w:pStyle w:val="Tablenotes0"/>
      </w:pPr>
      <w:r w:rsidRPr="006408BA">
        <w:t>Abbreviations</w:t>
      </w:r>
      <w:r>
        <w:t xml:space="preserve">: </w:t>
      </w:r>
      <w:proofErr w:type="spellStart"/>
      <w:r w:rsidRPr="0087277A">
        <w:t>C</w:t>
      </w:r>
      <w:r>
        <w:t>r</w:t>
      </w:r>
      <w:r w:rsidRPr="0087277A">
        <w:t>I</w:t>
      </w:r>
      <w:proofErr w:type="spellEnd"/>
      <w:r w:rsidRPr="0087277A">
        <w:t>=</w:t>
      </w:r>
      <w:r>
        <w:t>credible</w:t>
      </w:r>
      <w:r w:rsidRPr="0087277A">
        <w:t xml:space="preserve"> interval; </w:t>
      </w:r>
      <w:r w:rsidRPr="004F6AD3">
        <w:t>HR</w:t>
      </w:r>
      <w:r>
        <w:t xml:space="preserve"> </w:t>
      </w:r>
      <w:r w:rsidRPr="004F6AD3">
        <w:t>=</w:t>
      </w:r>
      <w:r>
        <w:t xml:space="preserve"> </w:t>
      </w:r>
      <w:r w:rsidRPr="004F6AD3">
        <w:t>hazard ratio;</w:t>
      </w:r>
      <w:r>
        <w:t xml:space="preserve"> OS = </w:t>
      </w:r>
      <w:r w:rsidRPr="00101490">
        <w:t>overall survival</w:t>
      </w:r>
      <w:r>
        <w:t>,</w:t>
      </w:r>
      <w:r w:rsidRPr="004F6AD3">
        <w:t xml:space="preserve"> </w:t>
      </w:r>
      <w:r>
        <w:t xml:space="preserve">PFS = </w:t>
      </w:r>
      <w:r w:rsidR="004C7A34">
        <w:t>p</w:t>
      </w:r>
      <w:r>
        <w:t>rogression</w:t>
      </w:r>
      <w:r w:rsidR="0076014A">
        <w:t>-</w:t>
      </w:r>
      <w:r>
        <w:t>free survival, NE = not estimable</w:t>
      </w:r>
      <w:r w:rsidR="005F53A6">
        <w:t>, NMA</w:t>
      </w:r>
      <w:r w:rsidR="005E7D91">
        <w:t xml:space="preserve"> = network meta-analysis</w:t>
      </w:r>
    </w:p>
    <w:p w14:paraId="156DCA4C" w14:textId="24D9759C" w:rsidR="006408BA" w:rsidRDefault="003D658D" w:rsidP="00195F3A">
      <w:pPr>
        <w:pStyle w:val="Heading3"/>
      </w:pPr>
      <w:bookmarkStart w:id="76" w:name="_Toc161841945"/>
      <w:bookmarkStart w:id="77" w:name="_Toc165239053"/>
      <w:bookmarkStart w:id="78" w:name="_Toc165271883"/>
      <w:bookmarkStart w:id="79" w:name="_Toc165274309"/>
      <w:bookmarkStart w:id="80" w:name="_Toc165275532"/>
      <w:r>
        <w:lastRenderedPageBreak/>
        <w:t>Clinical claim</w:t>
      </w:r>
      <w:bookmarkEnd w:id="76"/>
      <w:bookmarkEnd w:id="77"/>
      <w:bookmarkEnd w:id="78"/>
      <w:bookmarkEnd w:id="79"/>
      <w:bookmarkEnd w:id="80"/>
    </w:p>
    <w:p w14:paraId="58D15C7D" w14:textId="23A10D83" w:rsidR="00BC4E80" w:rsidRDefault="00D5380D" w:rsidP="00D5380D">
      <w:pPr>
        <w:tabs>
          <w:tab w:val="left" w:pos="720"/>
          <w:tab w:val="left" w:pos="1140"/>
        </w:tabs>
        <w:spacing w:before="240" w:after="120"/>
      </w:pPr>
      <w:r>
        <w:t xml:space="preserve">Considering the evidence presented for the diagnostic performance of </w:t>
      </w:r>
      <w:r w:rsidRPr="00C54155">
        <w:t>SS</w:t>
      </w:r>
      <w:r w:rsidR="00745574">
        <w:t>T</w:t>
      </w:r>
      <w:r w:rsidRPr="00C54155">
        <w:t>R-PET/CT tests</w:t>
      </w:r>
      <w:r>
        <w:t xml:space="preserve"> including </w:t>
      </w:r>
      <w:r w:rsidRPr="00745574">
        <w:rPr>
          <w:vertAlign w:val="superscript"/>
        </w:rPr>
        <w:t>68</w:t>
      </w:r>
      <w:r w:rsidRPr="00C54155">
        <w:t>Ga-DOTA-octreotate PET/CT</w:t>
      </w:r>
      <w:r>
        <w:t xml:space="preserve">, they </w:t>
      </w:r>
      <w:r w:rsidRPr="00C54155">
        <w:t>should be considered as a</w:t>
      </w:r>
      <w:r w:rsidR="00213662">
        <w:t>n</w:t>
      </w:r>
      <w:r w:rsidRPr="00C54155">
        <w:t xml:space="preserve"> </w:t>
      </w:r>
      <w:r w:rsidR="00213662">
        <w:t>accurate imag</w:t>
      </w:r>
      <w:r w:rsidR="000C6BDD">
        <w:t>ing</w:t>
      </w:r>
      <w:r w:rsidR="00213662">
        <w:t xml:space="preserve"> </w:t>
      </w:r>
      <w:r w:rsidR="000C6BDD">
        <w:t>prognostic tool</w:t>
      </w:r>
      <w:r w:rsidRPr="00C54155">
        <w:t xml:space="preserve"> in patients with </w:t>
      </w:r>
      <w:r w:rsidR="00C309C1">
        <w:t>NEN</w:t>
      </w:r>
      <w:r w:rsidRPr="00C54155">
        <w:t>s.</w:t>
      </w:r>
      <w:r w:rsidRPr="00BD1C4E">
        <w:t xml:space="preserve"> The use of dual imaging (</w:t>
      </w:r>
      <w:r w:rsidRPr="00745574">
        <w:rPr>
          <w:vertAlign w:val="superscript"/>
        </w:rPr>
        <w:t>68</w:t>
      </w:r>
      <w:r w:rsidRPr="00BD1C4E">
        <w:t xml:space="preserve">Ga-DOTA-peptides and </w:t>
      </w:r>
      <w:r w:rsidRPr="001053EF">
        <w:rPr>
          <w:vertAlign w:val="superscript"/>
        </w:rPr>
        <w:t>1</w:t>
      </w:r>
      <w:r w:rsidRPr="00745574">
        <w:rPr>
          <w:vertAlign w:val="superscript"/>
        </w:rPr>
        <w:t>8</w:t>
      </w:r>
      <w:r w:rsidRPr="00BD1C4E">
        <w:t xml:space="preserve">F-FDG) was demonstrated as a useful tool in </w:t>
      </w:r>
      <w:r w:rsidR="00C309C1">
        <w:t>NEN</w:t>
      </w:r>
      <w:r w:rsidRPr="00BD1C4E">
        <w:t xml:space="preserve"> management by delineating tumour </w:t>
      </w:r>
      <w:r w:rsidR="00745574">
        <w:t xml:space="preserve">SSTR </w:t>
      </w:r>
      <w:r w:rsidRPr="00BD1C4E">
        <w:t>expression and glycolytic metabolic activity and predicting tumour response and survival outcomes.</w:t>
      </w:r>
      <w:r w:rsidR="00EF5DD1">
        <w:t xml:space="preserve"> </w:t>
      </w:r>
      <w:r w:rsidR="006708CE">
        <w:t>There was limited evidence available to translate</w:t>
      </w:r>
      <w:r w:rsidR="00BC4E80">
        <w:t xml:space="preserve"> </w:t>
      </w:r>
      <w:proofErr w:type="spellStart"/>
      <w:r w:rsidR="00BE22FD" w:rsidRPr="00BE22FD">
        <w:t>Octreoscan</w:t>
      </w:r>
      <w:proofErr w:type="spellEnd"/>
      <w:r w:rsidR="00BE22FD" w:rsidRPr="00BE22FD">
        <w:t xml:space="preserve">® uptake (Krenning score) to </w:t>
      </w:r>
      <w:r w:rsidR="00BE22FD" w:rsidRPr="001053EF">
        <w:rPr>
          <w:vertAlign w:val="superscript"/>
        </w:rPr>
        <w:t>68</w:t>
      </w:r>
      <w:r w:rsidR="00BE22FD" w:rsidRPr="00BE22FD">
        <w:t>Ga-DOTA-ocreotate uptake (modified Krenning score)</w:t>
      </w:r>
      <w:r w:rsidR="00860FB3">
        <w:t xml:space="preserve">. However, </w:t>
      </w:r>
      <w:r w:rsidR="00072557">
        <w:t xml:space="preserve">patient outcomes from </w:t>
      </w:r>
      <w:r w:rsidR="00E46227">
        <w:t>2</w:t>
      </w:r>
      <w:r w:rsidR="00072557">
        <w:t xml:space="preserve"> trials</w:t>
      </w:r>
      <w:r w:rsidR="00E46227">
        <w:t>—</w:t>
      </w:r>
      <w:r w:rsidR="00072557">
        <w:t>NETTER-1</w:t>
      </w:r>
      <w:r w:rsidR="00E46227">
        <w:t>,</w:t>
      </w:r>
      <w:r w:rsidR="00072557">
        <w:t xml:space="preserve"> </w:t>
      </w:r>
      <w:r w:rsidR="00FA3DE2">
        <w:t xml:space="preserve">which employed </w:t>
      </w:r>
      <w:proofErr w:type="spellStart"/>
      <w:r w:rsidR="00FA3DE2" w:rsidRPr="00BE22FD">
        <w:t>Octreoscan</w:t>
      </w:r>
      <w:proofErr w:type="spellEnd"/>
      <w:r w:rsidR="00FA3DE2" w:rsidRPr="00BE22FD">
        <w:t xml:space="preserve">® </w:t>
      </w:r>
      <w:r w:rsidR="00FA3DE2">
        <w:t xml:space="preserve">to identify patients </w:t>
      </w:r>
      <w:r w:rsidR="008D2BE2">
        <w:t>for PRRT therapy</w:t>
      </w:r>
      <w:r w:rsidR="00FA3DE2">
        <w:t xml:space="preserve"> </w:t>
      </w:r>
      <w:r w:rsidR="00072557">
        <w:t>and Sood et al. 2023</w:t>
      </w:r>
      <w:r w:rsidR="008D2BE2">
        <w:t xml:space="preserve">, which employed </w:t>
      </w:r>
      <w:r w:rsidR="008D2BE2" w:rsidRPr="00E248B1">
        <w:rPr>
          <w:vertAlign w:val="superscript"/>
        </w:rPr>
        <w:t>68</w:t>
      </w:r>
      <w:r w:rsidR="008D2BE2" w:rsidRPr="00BE22FD">
        <w:t>Ga-DOTA-ocreotate</w:t>
      </w:r>
      <w:r w:rsidR="00E46227">
        <w:t>—</w:t>
      </w:r>
      <w:r w:rsidR="008D2BE2">
        <w:t xml:space="preserve">appeared consistent. </w:t>
      </w:r>
      <w:r w:rsidR="00E248B1">
        <w:t xml:space="preserve">In addition, </w:t>
      </w:r>
      <w:r w:rsidR="00E248B1" w:rsidRPr="00E248B1">
        <w:t xml:space="preserve">the decision regarding eligibility for </w:t>
      </w:r>
      <w:r w:rsidR="00E248B1" w:rsidRPr="00E248B1">
        <w:rPr>
          <w:vertAlign w:val="superscript"/>
        </w:rPr>
        <w:t>177</w:t>
      </w:r>
      <w:r w:rsidR="00E248B1" w:rsidRPr="00E248B1">
        <w:t xml:space="preserve">Lu-DOTA-octreotate treatment based on SSTR status is proposed to be left to the judgement of the MDT treating the patient, rather than as </w:t>
      </w:r>
      <w:r w:rsidR="00E46227">
        <w:t xml:space="preserve">a </w:t>
      </w:r>
      <w:r w:rsidR="00E248B1" w:rsidRPr="00E248B1">
        <w:t>trial selection criter</w:t>
      </w:r>
      <w:r w:rsidR="00E46227">
        <w:t>ion</w:t>
      </w:r>
      <w:r w:rsidR="00E248B1" w:rsidRPr="00E248B1">
        <w:t xml:space="preserve"> </w:t>
      </w:r>
      <w:r w:rsidR="00E248B1">
        <w:t>as seen in pivot</w:t>
      </w:r>
      <w:r w:rsidR="008637B1">
        <w:t>al trials.</w:t>
      </w:r>
    </w:p>
    <w:p w14:paraId="697791DA" w14:textId="77777777" w:rsidR="00745574" w:rsidRDefault="00745574" w:rsidP="00745574">
      <w:r>
        <w:t xml:space="preserve">Considering the evidence presented in this assessment report for the relative efficacy and safety of </w:t>
      </w:r>
      <w:r w:rsidRPr="007377F5">
        <w:rPr>
          <w:vertAlign w:val="superscript"/>
        </w:rPr>
        <w:t>177</w:t>
      </w:r>
      <w:r w:rsidRPr="00437CC3">
        <w:t>Lu-DOTATATE</w:t>
      </w:r>
      <w:r>
        <w:t xml:space="preserve"> against its comparators, the following conclusions are made:</w:t>
      </w:r>
    </w:p>
    <w:p w14:paraId="68CC7DF1" w14:textId="5BDB605E" w:rsidR="00745574" w:rsidRDefault="00745574" w:rsidP="00D83E90">
      <w:pPr>
        <w:pStyle w:val="ListParagraph"/>
        <w:numPr>
          <w:ilvl w:val="0"/>
          <w:numId w:val="16"/>
        </w:numPr>
      </w:pPr>
      <w:r>
        <w:t>U</w:t>
      </w:r>
      <w:r w:rsidRPr="00CE28E3">
        <w:t xml:space="preserve">se of </w:t>
      </w:r>
      <w:r w:rsidRPr="00F60483">
        <w:rPr>
          <w:vertAlign w:val="superscript"/>
        </w:rPr>
        <w:t>177</w:t>
      </w:r>
      <w:r w:rsidRPr="00F60483">
        <w:t>Lu-</w:t>
      </w:r>
      <w:r>
        <w:t xml:space="preserve">DOTA-octreotate </w:t>
      </w:r>
      <w:r w:rsidRPr="00EC620A">
        <w:t>is estimated to result</w:t>
      </w:r>
      <w:r w:rsidRPr="00CE28E3">
        <w:t xml:space="preserve"> in </w:t>
      </w:r>
      <w:r w:rsidRPr="0063391D">
        <w:t>superior</w:t>
      </w:r>
      <w:r w:rsidRPr="00CE28E3">
        <w:t xml:space="preserve"> effectiveness compared with </w:t>
      </w:r>
      <w:r>
        <w:t>o</w:t>
      </w:r>
      <w:r w:rsidRPr="000E518A">
        <w:t xml:space="preserve">ctreotide </w:t>
      </w:r>
      <w:r>
        <w:t>plus</w:t>
      </w:r>
      <w:r w:rsidRPr="000E518A">
        <w:t xml:space="preserve"> everolimus combination therapy, </w:t>
      </w:r>
      <w:r>
        <w:t>o</w:t>
      </w:r>
      <w:r w:rsidRPr="000E518A">
        <w:t xml:space="preserve">ctreotide monotherapy, everolimus monotherapy, </w:t>
      </w:r>
      <w:r>
        <w:t>l</w:t>
      </w:r>
      <w:r w:rsidRPr="000E518A">
        <w:t xml:space="preserve">anreotide and </w:t>
      </w:r>
      <w:r>
        <w:t>p</w:t>
      </w:r>
      <w:r w:rsidRPr="000E518A">
        <w:t>lacebo/BSC</w:t>
      </w:r>
      <w:r w:rsidR="00E46227">
        <w:t>;</w:t>
      </w:r>
      <w:r>
        <w:t xml:space="preserve"> and </w:t>
      </w:r>
      <w:r w:rsidR="004A7E51">
        <w:t>non-inferior</w:t>
      </w:r>
      <w:r>
        <w:t xml:space="preserve"> effectiveness compared with s</w:t>
      </w:r>
      <w:r w:rsidRPr="000E518A">
        <w:t>unitinib</w:t>
      </w:r>
      <w:r>
        <w:t xml:space="preserve">. </w:t>
      </w:r>
    </w:p>
    <w:p w14:paraId="4581A4E2" w14:textId="5FDAB21E" w:rsidR="006408BA" w:rsidRPr="00745574" w:rsidRDefault="00745574" w:rsidP="00D83E90">
      <w:pPr>
        <w:pStyle w:val="ListParagraph"/>
        <w:numPr>
          <w:ilvl w:val="0"/>
          <w:numId w:val="16"/>
        </w:numPr>
      </w:pPr>
      <w:r>
        <w:t>U</w:t>
      </w:r>
      <w:r w:rsidRPr="00CE28E3">
        <w:t xml:space="preserve">se of </w:t>
      </w:r>
      <w:r w:rsidRPr="00745574">
        <w:rPr>
          <w:vertAlign w:val="superscript"/>
        </w:rPr>
        <w:t>177</w:t>
      </w:r>
      <w:r w:rsidRPr="00F60483">
        <w:t>Lu-</w:t>
      </w:r>
      <w:r>
        <w:t xml:space="preserve">DOTA-octreotate </w:t>
      </w:r>
      <w:r w:rsidRPr="00EC620A">
        <w:t>is estimated to result</w:t>
      </w:r>
      <w:r w:rsidRPr="00CE28E3">
        <w:t xml:space="preserve"> in </w:t>
      </w:r>
      <w:r w:rsidR="004A7E51">
        <w:t>non-inferior</w:t>
      </w:r>
      <w:r w:rsidRPr="00CE28E3">
        <w:t xml:space="preserve"> safety compared with </w:t>
      </w:r>
      <w:r>
        <w:t>o</w:t>
      </w:r>
      <w:r w:rsidRPr="000E518A">
        <w:t xml:space="preserve">ctreotide monotherapy, everolimus monotherapy, </w:t>
      </w:r>
      <w:r>
        <w:t>s</w:t>
      </w:r>
      <w:r w:rsidRPr="000E518A">
        <w:t xml:space="preserve">unitinib, </w:t>
      </w:r>
      <w:r>
        <w:t>l</w:t>
      </w:r>
      <w:r w:rsidRPr="000E518A">
        <w:t xml:space="preserve">anreotide and </w:t>
      </w:r>
      <w:r>
        <w:t>p</w:t>
      </w:r>
      <w:r w:rsidRPr="000E518A">
        <w:t>lacebo/BSC</w:t>
      </w:r>
      <w:r w:rsidR="00E46227">
        <w:t>;</w:t>
      </w:r>
      <w:r>
        <w:t xml:space="preserve"> and superior safety compared to o</w:t>
      </w:r>
      <w:r w:rsidRPr="000E518A">
        <w:t xml:space="preserve">ctreotide </w:t>
      </w:r>
      <w:r>
        <w:t>plus</w:t>
      </w:r>
      <w:r w:rsidRPr="000E518A">
        <w:t xml:space="preserve"> everolimus combination therapy</w:t>
      </w:r>
      <w:r>
        <w:t>.</w:t>
      </w:r>
    </w:p>
    <w:p w14:paraId="0D09C9E4" w14:textId="1C1969C5" w:rsidR="00772829" w:rsidRDefault="00C36633" w:rsidP="002A18BE">
      <w:pPr>
        <w:pStyle w:val="Heading2"/>
        <w:numPr>
          <w:ilvl w:val="0"/>
          <w:numId w:val="0"/>
        </w:numPr>
      </w:pPr>
      <w:bookmarkStart w:id="81" w:name="_Toc161841946"/>
      <w:bookmarkStart w:id="82" w:name="_Toc165275533"/>
      <w:r>
        <w:t>1</w:t>
      </w:r>
      <w:r w:rsidR="000B228E">
        <w:t>3</w:t>
      </w:r>
      <w:r>
        <w:t>.</w:t>
      </w:r>
      <w:r>
        <w:tab/>
      </w:r>
      <w:r w:rsidR="00772829" w:rsidRPr="00CE28E3">
        <w:t>Economic evaluation</w:t>
      </w:r>
      <w:bookmarkEnd w:id="81"/>
      <w:bookmarkEnd w:id="82"/>
    </w:p>
    <w:p w14:paraId="395007C9" w14:textId="72BCB8A5" w:rsidR="00D7789F" w:rsidRDefault="00D7789F" w:rsidP="00D7789F">
      <w:r w:rsidRPr="00D7789F">
        <w:t xml:space="preserve">The objective of </w:t>
      </w:r>
      <w:r>
        <w:t>the</w:t>
      </w:r>
      <w:r w:rsidRPr="00D7789F">
        <w:t xml:space="preserve"> analysis is to determine the cost-effectiveness of </w:t>
      </w:r>
      <w:r w:rsidRPr="006408BA">
        <w:rPr>
          <w:vertAlign w:val="superscript"/>
        </w:rPr>
        <w:t>177</w:t>
      </w:r>
      <w:r w:rsidRPr="00D7789F">
        <w:t>Lu-</w:t>
      </w:r>
      <w:r w:rsidR="00607D95">
        <w:t xml:space="preserve">DOTA-octreotate </w:t>
      </w:r>
      <w:r w:rsidR="00664C7B">
        <w:t>plus</w:t>
      </w:r>
      <w:r w:rsidR="00664C7B" w:rsidRPr="00D7789F">
        <w:t xml:space="preserve"> </w:t>
      </w:r>
      <w:r w:rsidR="00664C7B">
        <w:t>BSC</w:t>
      </w:r>
      <w:r w:rsidRPr="00D7789F">
        <w:t xml:space="preserve"> for the treatment of advanced NENs with H-SSTR expression compared with current care</w:t>
      </w:r>
      <w:r w:rsidR="00522DA3">
        <w:t xml:space="preserve">. </w:t>
      </w:r>
      <w:r w:rsidRPr="00D7789F">
        <w:t xml:space="preserve">Six comparator therapies against which the effectiveness of </w:t>
      </w:r>
      <w:r w:rsidRPr="006408BA">
        <w:rPr>
          <w:vertAlign w:val="superscript"/>
        </w:rPr>
        <w:t>177</w:t>
      </w:r>
      <w:r w:rsidRPr="00D7789F">
        <w:t>Lu-</w:t>
      </w:r>
      <w:r w:rsidR="00607D95">
        <w:t xml:space="preserve">DOTA-octreotate </w:t>
      </w:r>
      <w:r w:rsidRPr="00D7789F">
        <w:t>c</w:t>
      </w:r>
      <w:r w:rsidR="00A96DE4">
        <w:t>ould</w:t>
      </w:r>
      <w:r w:rsidRPr="00D7789F">
        <w:t xml:space="preserve"> be compared were identified: octreotide, everolimus, octreotide plus everolimus combination therapy, lanreotide, sunitinib, and placebo/</w:t>
      </w:r>
      <w:r w:rsidR="00C539F5">
        <w:t>BSC</w:t>
      </w:r>
      <w:r w:rsidRPr="00D7789F">
        <w:t>.</w:t>
      </w:r>
    </w:p>
    <w:p w14:paraId="68A97711" w14:textId="18B4BA50" w:rsidR="00522DA3" w:rsidRDefault="00522DA3" w:rsidP="00D7789F">
      <w:r w:rsidRPr="00522DA3">
        <w:t xml:space="preserve">The target population considers patients with histologically confirmed, locally advanced or metastatic, inoperable NENs with documented disease progression or uncontrolled </w:t>
      </w:r>
      <w:r w:rsidR="00C539F5">
        <w:t>NEN-</w:t>
      </w:r>
      <w:r w:rsidR="00C539F5" w:rsidRPr="00522DA3">
        <w:t xml:space="preserve">related </w:t>
      </w:r>
      <w:r w:rsidRPr="00522DA3">
        <w:t>symptoms despite standard therapy</w:t>
      </w:r>
      <w:r w:rsidR="00C539F5">
        <w:t>,</w:t>
      </w:r>
      <w:r w:rsidRPr="00522DA3">
        <w:t xml:space="preserve"> who have demonstrated H-SSTR.</w:t>
      </w:r>
      <w:r w:rsidR="000127E0">
        <w:t xml:space="preserve"> </w:t>
      </w:r>
      <w:r w:rsidR="000127E0" w:rsidRPr="00FF3DE3">
        <w:t xml:space="preserve">As there was no information that could be identified to inform the </w:t>
      </w:r>
      <w:r w:rsidR="000127E0" w:rsidRPr="00265060">
        <w:t xml:space="preserve">proportion </w:t>
      </w:r>
      <w:r w:rsidR="000127E0" w:rsidRPr="00FF3DE3">
        <w:t xml:space="preserve">of the </w:t>
      </w:r>
      <w:r w:rsidR="000127E0" w:rsidRPr="00265060">
        <w:t xml:space="preserve">incident </w:t>
      </w:r>
      <w:r w:rsidR="00C309C1">
        <w:t>NEN</w:t>
      </w:r>
      <w:r w:rsidR="000127E0" w:rsidRPr="00265060">
        <w:t xml:space="preserve"> population that would be eligible for </w:t>
      </w:r>
      <w:r w:rsidR="000127E0" w:rsidRPr="00A15A95">
        <w:rPr>
          <w:vertAlign w:val="superscript"/>
        </w:rPr>
        <w:t>177</w:t>
      </w:r>
      <w:r w:rsidR="000127E0" w:rsidRPr="00265060">
        <w:t>Lu-DOTA-octreotate (i.e. suspected H-SSTR)</w:t>
      </w:r>
      <w:r w:rsidR="000127E0" w:rsidRPr="00FF3DE3">
        <w:t xml:space="preserve">, only the </w:t>
      </w:r>
      <w:r w:rsidR="000127E0">
        <w:t>diagnosed and</w:t>
      </w:r>
      <w:r w:rsidR="000127E0" w:rsidRPr="00FF3DE3">
        <w:t xml:space="preserve"> treated population </w:t>
      </w:r>
      <w:r w:rsidR="000127E0" w:rsidRPr="00265060">
        <w:t>(i.e. d</w:t>
      </w:r>
      <w:r w:rsidR="000127E0">
        <w:t>emonstrated</w:t>
      </w:r>
      <w:r w:rsidR="000127E0" w:rsidRPr="00265060">
        <w:t xml:space="preserve"> H-SSTR</w:t>
      </w:r>
      <w:r w:rsidR="000127E0">
        <w:t>)</w:t>
      </w:r>
      <w:r w:rsidR="000127E0" w:rsidRPr="00FF3DE3">
        <w:t xml:space="preserve"> has been included</w:t>
      </w:r>
      <w:r w:rsidR="000127E0">
        <w:t xml:space="preserve"> in this analysis</w:t>
      </w:r>
      <w:r w:rsidR="000127E0" w:rsidRPr="00FF3DE3">
        <w:t>.</w:t>
      </w:r>
      <w:r w:rsidR="00DA34BF">
        <w:t xml:space="preserve"> </w:t>
      </w:r>
      <w:r w:rsidR="002474FB">
        <w:t xml:space="preserve">The impact of </w:t>
      </w:r>
      <w:r w:rsidR="00020711">
        <w:t>this assumption on the ICER was explored in scenario analysis</w:t>
      </w:r>
      <w:r w:rsidR="00DB7665">
        <w:t>.</w:t>
      </w:r>
    </w:p>
    <w:p w14:paraId="4CC9BB94" w14:textId="5A2AC7B5" w:rsidR="00522DA3" w:rsidRPr="00D7789F" w:rsidRDefault="001C26CF" w:rsidP="00D7789F">
      <w:r w:rsidRPr="001C26CF">
        <w:t xml:space="preserve">In accordance with the PICO confirmation ratified by </w:t>
      </w:r>
      <w:r w:rsidR="00DA2B3C">
        <w:t>PASC</w:t>
      </w:r>
      <w:r w:rsidRPr="001C26CF">
        <w:t xml:space="preserve">, a cost-utility analysis </w:t>
      </w:r>
      <w:r w:rsidR="00395FD8" w:rsidRPr="001C26CF">
        <w:t xml:space="preserve">was undertaken </w:t>
      </w:r>
      <w:r w:rsidRPr="001C26CF">
        <w:t xml:space="preserve">considering lifetime quality-adjusted life years (QALYs) and healthcare costs. The model considers the cost-effectiveness of </w:t>
      </w:r>
      <w:r w:rsidRPr="00052200">
        <w:rPr>
          <w:vertAlign w:val="superscript"/>
        </w:rPr>
        <w:t>177</w:t>
      </w:r>
      <w:r w:rsidRPr="001C26CF">
        <w:t>Lu-</w:t>
      </w:r>
      <w:r w:rsidR="00607D95">
        <w:t xml:space="preserve">DOTA-octreotate </w:t>
      </w:r>
      <w:r w:rsidRPr="001C26CF">
        <w:t xml:space="preserve">compared with all </w:t>
      </w:r>
      <w:r w:rsidR="007361FA">
        <w:t>6</w:t>
      </w:r>
      <w:r w:rsidRPr="001C26CF">
        <w:t xml:space="preserve"> comparator therapies independently, with </w:t>
      </w:r>
      <w:r w:rsidR="00461E46">
        <w:t xml:space="preserve">the </w:t>
      </w:r>
      <w:r w:rsidRPr="001C26CF">
        <w:t>results expressed in terms of incremental cost per QALY gained.</w:t>
      </w:r>
      <w:r>
        <w:t xml:space="preserve"> A summary of the key features of the analysis is presented in </w:t>
      </w:r>
      <w:r>
        <w:fldChar w:fldCharType="begin"/>
      </w:r>
      <w:r>
        <w:instrText xml:space="preserve"> REF _Ref69725820 \h </w:instrText>
      </w:r>
      <w:r>
        <w:fldChar w:fldCharType="separate"/>
      </w:r>
      <w:r w:rsidR="0084549C" w:rsidRPr="00CE28E3">
        <w:t>Table</w:t>
      </w:r>
      <w:r w:rsidR="0084549C">
        <w:t> </w:t>
      </w:r>
      <w:r w:rsidR="0084549C">
        <w:rPr>
          <w:noProof/>
        </w:rPr>
        <w:t>11</w:t>
      </w:r>
      <w:r>
        <w:fldChar w:fldCharType="end"/>
      </w:r>
      <w:r>
        <w:t>.</w:t>
      </w:r>
      <w:r w:rsidR="00DB13A0" w:rsidRPr="00D7789F">
        <w:t xml:space="preserve"> </w:t>
      </w:r>
    </w:p>
    <w:p w14:paraId="7832FEBA" w14:textId="363C5E85" w:rsidR="00C107C3" w:rsidRPr="00CE28E3" w:rsidRDefault="00C107C3" w:rsidP="00B54B18">
      <w:pPr>
        <w:pStyle w:val="Caption"/>
        <w:keepLines/>
        <w:tabs>
          <w:tab w:val="left" w:pos="1134"/>
        </w:tabs>
        <w:ind w:left="1134" w:hanging="1134"/>
      </w:pPr>
      <w:bookmarkStart w:id="83" w:name="_Ref69725820"/>
      <w:bookmarkStart w:id="84" w:name="_Ref160458835"/>
      <w:bookmarkStart w:id="85" w:name="_Toc161842045"/>
      <w:r w:rsidRPr="00CE28E3">
        <w:lastRenderedPageBreak/>
        <w:t>Table</w:t>
      </w:r>
      <w:r w:rsidR="004A4FDF">
        <w:t> </w:t>
      </w:r>
      <w:r w:rsidRPr="00CE28E3">
        <w:rPr>
          <w:noProof/>
        </w:rPr>
        <w:fldChar w:fldCharType="begin"/>
      </w:r>
      <w:r w:rsidRPr="00CE28E3">
        <w:rPr>
          <w:noProof/>
        </w:rPr>
        <w:instrText xml:space="preserve"> SEQ Table \* ARABIC </w:instrText>
      </w:r>
      <w:r w:rsidRPr="00CE28E3">
        <w:rPr>
          <w:noProof/>
        </w:rPr>
        <w:fldChar w:fldCharType="separate"/>
      </w:r>
      <w:r w:rsidR="006D13BC">
        <w:rPr>
          <w:noProof/>
        </w:rPr>
        <w:t>11</w:t>
      </w:r>
      <w:r w:rsidRPr="00CE28E3">
        <w:rPr>
          <w:noProof/>
        </w:rPr>
        <w:fldChar w:fldCharType="end"/>
      </w:r>
      <w:bookmarkEnd w:id="83"/>
      <w:r w:rsidR="007C059C">
        <w:rPr>
          <w:noProof/>
        </w:rPr>
        <w:t xml:space="preserve">: </w:t>
      </w:r>
      <w:r w:rsidRPr="00CE28E3">
        <w:t>Summary of the economic evaluation</w:t>
      </w:r>
      <w:bookmarkEnd w:id="84"/>
      <w:r w:rsidR="0031493D">
        <w:t xml:space="preserve"> of </w:t>
      </w:r>
      <w:r w:rsidR="0031493D" w:rsidRPr="0031493D">
        <w:rPr>
          <w:vertAlign w:val="superscript"/>
        </w:rPr>
        <w:t>177</w:t>
      </w:r>
      <w:r w:rsidR="0031493D">
        <w:t>Lu-DOTA-octreotate treatment</w:t>
      </w:r>
      <w:r w:rsidRPr="00CE28E3">
        <w:t xml:space="preserve"> </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the economic evaluation "/>
        <w:tblDescription w:val="This table describes the key constructs of the economic evaluation that is provided in the assessment report."/>
      </w:tblPr>
      <w:tblGrid>
        <w:gridCol w:w="2319"/>
        <w:gridCol w:w="6697"/>
      </w:tblGrid>
      <w:tr w:rsidR="00C05700" w:rsidRPr="00CE28E3" w14:paraId="3C0DF1BD" w14:textId="2726922C" w:rsidTr="001053EF">
        <w:trPr>
          <w:cantSplit/>
          <w:tblHeader/>
        </w:trPr>
        <w:tc>
          <w:tcPr>
            <w:tcW w:w="1286" w:type="pct"/>
          </w:tcPr>
          <w:p w14:paraId="57632985" w14:textId="77777777" w:rsidR="00C05700" w:rsidRPr="000449D1" w:rsidRDefault="00C05700" w:rsidP="00B54B18">
            <w:pPr>
              <w:pStyle w:val="TableHeading0"/>
              <w:keepNext/>
              <w:keepLines/>
            </w:pPr>
            <w:bookmarkStart w:id="86" w:name="Title_Table5"/>
            <w:bookmarkStart w:id="87" w:name="_Hlk68276446"/>
            <w:bookmarkEnd w:id="86"/>
            <w:r w:rsidRPr="000449D1">
              <w:t>Component</w:t>
            </w:r>
          </w:p>
        </w:tc>
        <w:tc>
          <w:tcPr>
            <w:tcW w:w="3714" w:type="pct"/>
          </w:tcPr>
          <w:p w14:paraId="123CA837" w14:textId="77777777" w:rsidR="00C05700" w:rsidRPr="000449D1" w:rsidRDefault="00C05700" w:rsidP="00B54B18">
            <w:pPr>
              <w:pStyle w:val="TableHeading0"/>
              <w:keepNext/>
              <w:keepLines/>
            </w:pPr>
            <w:r w:rsidRPr="000449D1">
              <w:t>Description</w:t>
            </w:r>
          </w:p>
        </w:tc>
      </w:tr>
      <w:tr w:rsidR="006F79C8" w:rsidRPr="000449D1" w14:paraId="31113E27" w14:textId="755DAA21" w:rsidTr="001053EF">
        <w:trPr>
          <w:cantSplit/>
        </w:trPr>
        <w:tc>
          <w:tcPr>
            <w:tcW w:w="1286" w:type="pct"/>
          </w:tcPr>
          <w:p w14:paraId="7DFFBC7E" w14:textId="77777777" w:rsidR="006F79C8" w:rsidRPr="000449D1" w:rsidRDefault="006F79C8" w:rsidP="00B54B18">
            <w:pPr>
              <w:pStyle w:val="TableText"/>
              <w:keepNext/>
              <w:keepLines/>
            </w:pPr>
            <w:r w:rsidRPr="000449D1">
              <w:t>Perspective</w:t>
            </w:r>
          </w:p>
        </w:tc>
        <w:tc>
          <w:tcPr>
            <w:tcW w:w="3714" w:type="pct"/>
          </w:tcPr>
          <w:p w14:paraId="56EF2FFF" w14:textId="6FBB0A62" w:rsidR="006F79C8" w:rsidRPr="000449D1" w:rsidRDefault="00461E46" w:rsidP="00B54B18">
            <w:pPr>
              <w:pStyle w:val="TableText"/>
              <w:keepNext/>
              <w:keepLines/>
            </w:pPr>
            <w:r>
              <w:rPr>
                <w:rFonts w:eastAsia="Calibri" w:cs="Helvetica"/>
                <w:lang w:val="en-GB"/>
              </w:rPr>
              <w:t>Healthcare</w:t>
            </w:r>
            <w:r w:rsidR="006F79C8" w:rsidRPr="005F6E9A">
              <w:rPr>
                <w:rFonts w:eastAsia="Calibri" w:cs="Helvetica"/>
                <w:lang w:val="en-GB"/>
              </w:rPr>
              <w:t xml:space="preserve"> system perspective</w:t>
            </w:r>
          </w:p>
        </w:tc>
      </w:tr>
      <w:tr w:rsidR="006F79C8" w:rsidRPr="000449D1" w14:paraId="3AE7C53E" w14:textId="3AF3CBC2" w:rsidTr="001053EF">
        <w:trPr>
          <w:cantSplit/>
          <w:tblHeader/>
        </w:trPr>
        <w:tc>
          <w:tcPr>
            <w:tcW w:w="1286" w:type="pct"/>
          </w:tcPr>
          <w:p w14:paraId="7D8A22F3" w14:textId="77777777" w:rsidR="006F79C8" w:rsidRPr="000449D1" w:rsidRDefault="006F79C8" w:rsidP="00B54B18">
            <w:pPr>
              <w:pStyle w:val="TableText"/>
              <w:keepNext/>
              <w:keepLines/>
            </w:pPr>
            <w:r w:rsidRPr="000449D1">
              <w:t>Population</w:t>
            </w:r>
          </w:p>
        </w:tc>
        <w:tc>
          <w:tcPr>
            <w:tcW w:w="3714" w:type="pct"/>
          </w:tcPr>
          <w:p w14:paraId="376BBABD" w14:textId="75B827FB" w:rsidR="006F79C8" w:rsidRPr="000449D1" w:rsidRDefault="006F79C8" w:rsidP="00B54B18">
            <w:pPr>
              <w:pStyle w:val="TableText"/>
              <w:keepNext/>
              <w:keepLines/>
            </w:pPr>
            <w:r w:rsidRPr="005F6E9A">
              <w:rPr>
                <w:color w:val="000000" w:themeColor="text1"/>
              </w:rPr>
              <w:t xml:space="preserve">Patients referred by an MDT, with histologically confirmed, locally advanced or metastatic, inoperable NENs with documented disease progression or uncontrolled </w:t>
            </w:r>
            <w:r w:rsidR="00461E46">
              <w:rPr>
                <w:color w:val="000000" w:themeColor="text1"/>
              </w:rPr>
              <w:t xml:space="preserve">NEN-related </w:t>
            </w:r>
            <w:r w:rsidRPr="005F6E9A">
              <w:rPr>
                <w:color w:val="000000" w:themeColor="text1"/>
              </w:rPr>
              <w:t>symptoms despite standard therapy who have demonstrated H-SSTR.</w:t>
            </w:r>
          </w:p>
        </w:tc>
      </w:tr>
      <w:tr w:rsidR="006F79C8" w:rsidRPr="000449D1" w14:paraId="35DC265A" w14:textId="6A15DD17" w:rsidTr="001053EF">
        <w:trPr>
          <w:cantSplit/>
        </w:trPr>
        <w:tc>
          <w:tcPr>
            <w:tcW w:w="1286" w:type="pct"/>
          </w:tcPr>
          <w:p w14:paraId="6886BA88" w14:textId="0714597D" w:rsidR="006F79C8" w:rsidRPr="000449D1" w:rsidRDefault="006F79C8" w:rsidP="00B54B18">
            <w:pPr>
              <w:pStyle w:val="TableText"/>
              <w:keepNext/>
              <w:keepLines/>
            </w:pPr>
            <w:r w:rsidRPr="000449D1">
              <w:t>Prior testing</w:t>
            </w:r>
          </w:p>
        </w:tc>
        <w:tc>
          <w:tcPr>
            <w:tcW w:w="3714" w:type="pct"/>
          </w:tcPr>
          <w:p w14:paraId="2E916D8F" w14:textId="4E34FE58" w:rsidR="006F79C8" w:rsidRPr="006F79C8" w:rsidRDefault="00461E46" w:rsidP="00B54B18">
            <w:pPr>
              <w:pStyle w:val="TableText"/>
              <w:keepNext/>
              <w:keepLines/>
              <w:rPr>
                <w:rFonts w:eastAsia="Calibri" w:cs="Helvetica"/>
                <w:szCs w:val="20"/>
              </w:rPr>
            </w:pPr>
            <w:r w:rsidRPr="006F79C8">
              <w:rPr>
                <w:rFonts w:eastAsia="Calibri" w:cs="Helvetica"/>
              </w:rPr>
              <w:t xml:space="preserve">The economic model considers </w:t>
            </w:r>
            <w:r>
              <w:rPr>
                <w:rFonts w:eastAsia="Calibri" w:cs="Helvetica"/>
                <w:szCs w:val="20"/>
              </w:rPr>
              <w:t>2</w:t>
            </w:r>
            <w:r w:rsidRPr="006F79C8">
              <w:rPr>
                <w:rFonts w:eastAsia="Calibri" w:cs="Helvetica"/>
                <w:szCs w:val="20"/>
              </w:rPr>
              <w:t xml:space="preserve"> </w:t>
            </w:r>
            <w:r w:rsidR="006F79C8" w:rsidRPr="006F79C8">
              <w:rPr>
                <w:rFonts w:eastAsia="Calibri" w:cs="Helvetica"/>
                <w:szCs w:val="20"/>
              </w:rPr>
              <w:t>diagnostic tests:</w:t>
            </w:r>
          </w:p>
          <w:p w14:paraId="5CA3623E" w14:textId="326D41FC" w:rsidR="00940EC3" w:rsidRPr="006F79C8" w:rsidRDefault="001C5E09" w:rsidP="00B54B18">
            <w:pPr>
              <w:pStyle w:val="TableText"/>
              <w:keepNext/>
              <w:keepLines/>
              <w:numPr>
                <w:ilvl w:val="0"/>
                <w:numId w:val="20"/>
              </w:numPr>
              <w:rPr>
                <w:rFonts w:eastAsia="Calibri" w:cs="Helvetica"/>
                <w:szCs w:val="20"/>
                <w:lang w:val="sv-SE"/>
              </w:rPr>
            </w:pPr>
            <w:r w:rsidRPr="001053EF">
              <w:rPr>
                <w:rFonts w:eastAsia="Calibri" w:cs="Helvetica"/>
                <w:vertAlign w:val="superscript"/>
                <w:lang w:val="sv-SE"/>
              </w:rPr>
              <w:t>68</w:t>
            </w:r>
            <w:r w:rsidR="006F79C8" w:rsidRPr="006F79C8">
              <w:rPr>
                <w:rFonts w:eastAsia="Calibri" w:cs="Helvetica"/>
                <w:lang w:val="sv-SE"/>
              </w:rPr>
              <w:t>Ga-</w:t>
            </w:r>
            <w:r w:rsidR="00607D95">
              <w:rPr>
                <w:rFonts w:eastAsia="Calibri" w:cs="Helvetica"/>
                <w:szCs w:val="20"/>
                <w:lang w:val="sv-SE"/>
              </w:rPr>
              <w:t xml:space="preserve">DOTA-octreotate </w:t>
            </w:r>
            <w:r w:rsidR="006F79C8" w:rsidRPr="006F79C8">
              <w:rPr>
                <w:rFonts w:eastAsia="Calibri" w:cs="Helvetica"/>
                <w:szCs w:val="20"/>
                <w:lang w:val="sv-SE"/>
              </w:rPr>
              <w:t>SSTR-PET/CT</w:t>
            </w:r>
          </w:p>
          <w:p w14:paraId="4DFB951D" w14:textId="0E988870" w:rsidR="006F79C8" w:rsidRPr="006F79C8" w:rsidRDefault="001C5E09" w:rsidP="00B54B18">
            <w:pPr>
              <w:pStyle w:val="TableText"/>
              <w:keepNext/>
              <w:keepLines/>
              <w:numPr>
                <w:ilvl w:val="0"/>
                <w:numId w:val="20"/>
              </w:numPr>
              <w:rPr>
                <w:rFonts w:eastAsia="Calibri" w:cs="Helvetica"/>
                <w:szCs w:val="20"/>
              </w:rPr>
            </w:pPr>
            <w:r w:rsidRPr="001053EF">
              <w:rPr>
                <w:rFonts w:eastAsia="Calibri" w:cs="Helvetica"/>
                <w:vertAlign w:val="superscript"/>
              </w:rPr>
              <w:t>18</w:t>
            </w:r>
            <w:r>
              <w:rPr>
                <w:rFonts w:eastAsia="Calibri" w:cs="Helvetica"/>
              </w:rPr>
              <w:t>F-</w:t>
            </w:r>
            <w:r w:rsidR="006F79C8" w:rsidRPr="006F79C8">
              <w:rPr>
                <w:rFonts w:eastAsia="Calibri" w:cs="Helvetica"/>
              </w:rPr>
              <w:t>FDG PET/CT</w:t>
            </w:r>
          </w:p>
          <w:p w14:paraId="13AED989" w14:textId="27D56958" w:rsidR="006F79C8" w:rsidRPr="006F79C8" w:rsidRDefault="006F79C8" w:rsidP="00B54B18">
            <w:pPr>
              <w:pStyle w:val="TableText"/>
              <w:keepNext/>
              <w:keepLines/>
            </w:pPr>
            <w:r w:rsidRPr="006F79C8">
              <w:rPr>
                <w:rFonts w:eastAsia="Calibri" w:cs="Helvetica"/>
              </w:rPr>
              <w:t xml:space="preserve">As there </w:t>
            </w:r>
            <w:r w:rsidR="00461E46">
              <w:rPr>
                <w:rFonts w:eastAsia="Calibri" w:cs="Helvetica"/>
              </w:rPr>
              <w:t>are</w:t>
            </w:r>
            <w:r w:rsidRPr="006F79C8">
              <w:rPr>
                <w:rFonts w:eastAsia="Calibri" w:cs="Helvetica"/>
              </w:rPr>
              <w:t xml:space="preserve"> no data on the impact of the diagnostic testing on disease outcomes, diagnostic testing is considered only as an additional cost.</w:t>
            </w:r>
          </w:p>
        </w:tc>
      </w:tr>
      <w:tr w:rsidR="009E7ADB" w:rsidRPr="000449D1" w14:paraId="17920982" w14:textId="77777777" w:rsidTr="001053EF">
        <w:trPr>
          <w:cantSplit/>
        </w:trPr>
        <w:tc>
          <w:tcPr>
            <w:tcW w:w="1286" w:type="pct"/>
          </w:tcPr>
          <w:p w14:paraId="443F1A35" w14:textId="65CE9858" w:rsidR="009E7ADB" w:rsidRPr="000449D1" w:rsidRDefault="009E7ADB" w:rsidP="002537CB">
            <w:pPr>
              <w:pStyle w:val="TableText"/>
            </w:pPr>
            <w:r>
              <w:t>Intervention</w:t>
            </w:r>
          </w:p>
        </w:tc>
        <w:tc>
          <w:tcPr>
            <w:tcW w:w="3714" w:type="pct"/>
          </w:tcPr>
          <w:p w14:paraId="43DD3048" w14:textId="2EC06FBC" w:rsidR="009E7ADB" w:rsidRPr="009E7ADB" w:rsidRDefault="009E7ADB" w:rsidP="002537CB">
            <w:pPr>
              <w:pStyle w:val="TableText"/>
              <w:rPr>
                <w:rFonts w:eastAsia="Calibri" w:cs="Helvetica"/>
              </w:rPr>
            </w:pPr>
            <w:r w:rsidRPr="009E7ADB">
              <w:rPr>
                <w:vertAlign w:val="superscript"/>
              </w:rPr>
              <w:t>177</w:t>
            </w:r>
            <w:r w:rsidRPr="009E7ADB">
              <w:t>Lu-DOTA-octreotate</w:t>
            </w:r>
          </w:p>
        </w:tc>
      </w:tr>
      <w:tr w:rsidR="00C05700" w:rsidRPr="000449D1" w14:paraId="750830A5" w14:textId="33978BE8" w:rsidTr="001053EF">
        <w:trPr>
          <w:cantSplit/>
        </w:trPr>
        <w:tc>
          <w:tcPr>
            <w:tcW w:w="1286" w:type="pct"/>
          </w:tcPr>
          <w:p w14:paraId="59B80C68" w14:textId="77777777" w:rsidR="00C05700" w:rsidRPr="000449D1" w:rsidRDefault="00C05700" w:rsidP="002537CB">
            <w:pPr>
              <w:pStyle w:val="TableText"/>
            </w:pPr>
            <w:r w:rsidRPr="000449D1">
              <w:t>Comparator</w:t>
            </w:r>
          </w:p>
        </w:tc>
        <w:tc>
          <w:tcPr>
            <w:tcW w:w="3714" w:type="pct"/>
          </w:tcPr>
          <w:p w14:paraId="22C19F9D" w14:textId="106367B1" w:rsidR="006F79C8" w:rsidRPr="006F79C8" w:rsidRDefault="006F79C8" w:rsidP="002537CB">
            <w:pPr>
              <w:pStyle w:val="TableText"/>
              <w:rPr>
                <w:rFonts w:eastAsia="Calibri" w:cs="Helvetica"/>
                <w:szCs w:val="20"/>
              </w:rPr>
            </w:pPr>
            <w:r w:rsidRPr="006F79C8">
              <w:rPr>
                <w:rFonts w:eastAsia="Calibri" w:cs="Helvetica"/>
              </w:rPr>
              <w:t xml:space="preserve">The economic model considers </w:t>
            </w:r>
            <w:r w:rsidR="007361FA">
              <w:rPr>
                <w:rFonts w:eastAsia="Calibri" w:cs="Helvetica"/>
                <w:szCs w:val="20"/>
              </w:rPr>
              <w:t>6</w:t>
            </w:r>
            <w:r w:rsidRPr="006F79C8">
              <w:rPr>
                <w:rFonts w:eastAsia="Calibri" w:cs="Helvetica"/>
                <w:szCs w:val="20"/>
              </w:rPr>
              <w:t xml:space="preserve"> comparator therapies:</w:t>
            </w:r>
          </w:p>
          <w:p w14:paraId="5F07292E" w14:textId="0F301DCA" w:rsidR="00940EC3" w:rsidRPr="006F79C8" w:rsidRDefault="006F79C8" w:rsidP="00D83E90">
            <w:pPr>
              <w:pStyle w:val="TableText"/>
              <w:numPr>
                <w:ilvl w:val="0"/>
                <w:numId w:val="21"/>
              </w:numPr>
              <w:rPr>
                <w:rFonts w:eastAsia="Calibri" w:cs="Helvetica"/>
                <w:szCs w:val="20"/>
              </w:rPr>
            </w:pPr>
            <w:r w:rsidRPr="006F79C8">
              <w:rPr>
                <w:rFonts w:eastAsia="Calibri" w:cs="Helvetica"/>
              </w:rPr>
              <w:t>octreotide</w:t>
            </w:r>
          </w:p>
          <w:p w14:paraId="109B9275" w14:textId="73E4F8D2" w:rsidR="00940EC3" w:rsidRPr="00940EC3" w:rsidRDefault="006F79C8" w:rsidP="00D83E90">
            <w:pPr>
              <w:pStyle w:val="TableText"/>
              <w:numPr>
                <w:ilvl w:val="0"/>
                <w:numId w:val="21"/>
              </w:numPr>
              <w:rPr>
                <w:rFonts w:eastAsia="Calibri" w:cs="Helvetica"/>
                <w:szCs w:val="20"/>
              </w:rPr>
            </w:pPr>
            <w:r w:rsidRPr="006F79C8">
              <w:rPr>
                <w:rFonts w:eastAsia="Calibri" w:cs="Helvetica"/>
              </w:rPr>
              <w:t>everolimus</w:t>
            </w:r>
          </w:p>
          <w:p w14:paraId="41EC0D99" w14:textId="20015F55" w:rsidR="00940EC3" w:rsidRPr="0031493D" w:rsidRDefault="0031493D" w:rsidP="00D83E90">
            <w:pPr>
              <w:pStyle w:val="TableText"/>
              <w:numPr>
                <w:ilvl w:val="0"/>
                <w:numId w:val="21"/>
              </w:numPr>
              <w:rPr>
                <w:rFonts w:eastAsia="Calibri" w:cs="Helvetica"/>
                <w:szCs w:val="20"/>
              </w:rPr>
            </w:pPr>
            <w:r w:rsidRPr="006F79C8">
              <w:rPr>
                <w:rFonts w:eastAsia="Calibri" w:cs="Helvetica"/>
              </w:rPr>
              <w:t>octreotide</w:t>
            </w:r>
            <w:r>
              <w:rPr>
                <w:rFonts w:eastAsia="Calibri" w:cs="Helvetica"/>
              </w:rPr>
              <w:t xml:space="preserve"> </w:t>
            </w:r>
            <w:r w:rsidR="006F79C8" w:rsidRPr="0031493D">
              <w:rPr>
                <w:rFonts w:eastAsia="Calibri" w:cs="Helvetica"/>
                <w:szCs w:val="20"/>
              </w:rPr>
              <w:t>+</w:t>
            </w:r>
            <w:r>
              <w:rPr>
                <w:rFonts w:eastAsia="Calibri" w:cs="Helvetica"/>
                <w:szCs w:val="20"/>
              </w:rPr>
              <w:t xml:space="preserve"> everolimus</w:t>
            </w:r>
            <w:r w:rsidRPr="0031493D">
              <w:rPr>
                <w:rFonts w:eastAsia="Calibri" w:cs="Helvetica"/>
                <w:szCs w:val="20"/>
              </w:rPr>
              <w:t xml:space="preserve"> combination therapy</w:t>
            </w:r>
          </w:p>
          <w:p w14:paraId="44A491F6" w14:textId="3C3A2A1C" w:rsidR="00940EC3" w:rsidRPr="00940EC3" w:rsidRDefault="006F79C8" w:rsidP="00D83E90">
            <w:pPr>
              <w:pStyle w:val="TableText"/>
              <w:numPr>
                <w:ilvl w:val="0"/>
                <w:numId w:val="21"/>
              </w:numPr>
              <w:rPr>
                <w:rFonts w:eastAsia="Calibri" w:cs="Helvetica"/>
                <w:szCs w:val="20"/>
              </w:rPr>
            </w:pPr>
            <w:r w:rsidRPr="006F79C8">
              <w:rPr>
                <w:rFonts w:eastAsia="Calibri" w:cs="Helvetica"/>
              </w:rPr>
              <w:t>lanreotide</w:t>
            </w:r>
          </w:p>
          <w:p w14:paraId="41022AFC" w14:textId="77777777" w:rsidR="0031493D" w:rsidRPr="0031493D" w:rsidRDefault="006F79C8" w:rsidP="00D83E90">
            <w:pPr>
              <w:pStyle w:val="TableText"/>
              <w:numPr>
                <w:ilvl w:val="0"/>
                <w:numId w:val="21"/>
              </w:numPr>
            </w:pPr>
            <w:r w:rsidRPr="006F79C8">
              <w:rPr>
                <w:rFonts w:eastAsia="Calibri" w:cs="Helvetica"/>
              </w:rPr>
              <w:t>sunitinib</w:t>
            </w:r>
          </w:p>
          <w:p w14:paraId="04C0D717" w14:textId="4A935219" w:rsidR="00C05700" w:rsidRPr="006F79C8" w:rsidRDefault="006F79C8" w:rsidP="00D83E90">
            <w:pPr>
              <w:pStyle w:val="TableText"/>
              <w:numPr>
                <w:ilvl w:val="0"/>
                <w:numId w:val="21"/>
              </w:numPr>
            </w:pPr>
            <w:r w:rsidRPr="006F79C8">
              <w:rPr>
                <w:rFonts w:eastAsia="Calibri" w:cs="Helvetica"/>
              </w:rPr>
              <w:t>placebo, considered as best supportive care alone</w:t>
            </w:r>
            <w:r w:rsidR="00E4747E">
              <w:rPr>
                <w:rFonts w:eastAsia="Calibri" w:cs="Helvetica"/>
              </w:rPr>
              <w:t xml:space="preserve"> (most relevant comparator)</w:t>
            </w:r>
          </w:p>
        </w:tc>
      </w:tr>
      <w:tr w:rsidR="00C05700" w:rsidRPr="000449D1" w14:paraId="352DFBB5" w14:textId="23E331A7" w:rsidTr="001053EF">
        <w:trPr>
          <w:cantSplit/>
        </w:trPr>
        <w:tc>
          <w:tcPr>
            <w:tcW w:w="1286" w:type="pct"/>
          </w:tcPr>
          <w:p w14:paraId="563F18FC" w14:textId="77777777" w:rsidR="00C05700" w:rsidRPr="000449D1" w:rsidRDefault="00C05700" w:rsidP="002537CB">
            <w:pPr>
              <w:pStyle w:val="TableText"/>
            </w:pPr>
            <w:r w:rsidRPr="000449D1">
              <w:t>Type(s) of analysis</w:t>
            </w:r>
          </w:p>
        </w:tc>
        <w:tc>
          <w:tcPr>
            <w:tcW w:w="3714" w:type="pct"/>
          </w:tcPr>
          <w:p w14:paraId="4DAE5CE1" w14:textId="654CC899" w:rsidR="00C05700" w:rsidRPr="000449D1" w:rsidRDefault="006F79C8" w:rsidP="002537CB">
            <w:pPr>
              <w:pStyle w:val="TableText"/>
            </w:pPr>
            <w:r w:rsidRPr="006F79C8">
              <w:t>Cost</w:t>
            </w:r>
            <w:r w:rsidR="0083196A">
              <w:t>-</w:t>
            </w:r>
            <w:r w:rsidRPr="006F79C8">
              <w:t>utility analysis</w:t>
            </w:r>
          </w:p>
        </w:tc>
      </w:tr>
      <w:tr w:rsidR="00C05700" w:rsidRPr="000449D1" w14:paraId="6CB6FA6B" w14:textId="0CFF196E" w:rsidTr="001053EF">
        <w:trPr>
          <w:cantSplit/>
        </w:trPr>
        <w:tc>
          <w:tcPr>
            <w:tcW w:w="1286" w:type="pct"/>
          </w:tcPr>
          <w:p w14:paraId="401E0BAC" w14:textId="77777777" w:rsidR="00C05700" w:rsidRPr="000449D1" w:rsidRDefault="00C05700" w:rsidP="002537CB">
            <w:pPr>
              <w:pStyle w:val="TableText"/>
            </w:pPr>
            <w:r w:rsidRPr="000449D1">
              <w:t>Outcomes</w:t>
            </w:r>
          </w:p>
        </w:tc>
        <w:tc>
          <w:tcPr>
            <w:tcW w:w="3714" w:type="pct"/>
          </w:tcPr>
          <w:p w14:paraId="28FA40AE" w14:textId="407C46D6" w:rsidR="006F79C8" w:rsidRPr="006F79C8" w:rsidRDefault="00DA3C42" w:rsidP="002537CB">
            <w:pPr>
              <w:pStyle w:val="TableText"/>
            </w:pPr>
            <w:r>
              <w:t>O</w:t>
            </w:r>
            <w:r w:rsidR="006F79C8" w:rsidRPr="006F79C8">
              <w:t>utcome measures to be considered:</w:t>
            </w:r>
          </w:p>
          <w:p w14:paraId="24CBEAB6" w14:textId="1BDB06C2" w:rsidR="004B3A85" w:rsidRPr="006F79C8" w:rsidRDefault="00DA3C42" w:rsidP="00D83E90">
            <w:pPr>
              <w:pStyle w:val="TableText"/>
              <w:numPr>
                <w:ilvl w:val="0"/>
                <w:numId w:val="22"/>
              </w:numPr>
            </w:pPr>
            <w:r>
              <w:t>t</w:t>
            </w:r>
            <w:r w:rsidR="006F79C8" w:rsidRPr="006F79C8">
              <w:t>reatment</w:t>
            </w:r>
            <w:r>
              <w:t>-</w:t>
            </w:r>
            <w:r w:rsidR="006F79C8" w:rsidRPr="006F79C8">
              <w:t>specific efficacy; oncological and patient-relevant quality of life</w:t>
            </w:r>
            <w:r>
              <w:t xml:space="preserve"> and</w:t>
            </w:r>
            <w:r w:rsidR="006F79C8" w:rsidRPr="006F79C8">
              <w:t xml:space="preserve"> disease response (</w:t>
            </w:r>
            <w:r w:rsidR="00766C79">
              <w:t>objective response rate</w:t>
            </w:r>
            <w:r w:rsidR="006F79C8" w:rsidRPr="006F79C8">
              <w:t xml:space="preserve">, disease control rate, biomarkers relevant to patient outcomes, </w:t>
            </w:r>
            <w:r w:rsidR="00B6111C">
              <w:t xml:space="preserve">OS </w:t>
            </w:r>
            <w:r w:rsidR="00F2507F">
              <w:t xml:space="preserve">and PFS </w:t>
            </w:r>
            <w:r w:rsidR="006F79C8" w:rsidRPr="006F79C8">
              <w:t>duration)</w:t>
            </w:r>
          </w:p>
          <w:p w14:paraId="4D9A54A3" w14:textId="25269D07" w:rsidR="004B3A85" w:rsidRPr="006F79C8" w:rsidRDefault="00F2507F" w:rsidP="00D83E90">
            <w:pPr>
              <w:pStyle w:val="TableText"/>
              <w:numPr>
                <w:ilvl w:val="0"/>
                <w:numId w:val="22"/>
              </w:numPr>
            </w:pPr>
            <w:r>
              <w:t>s</w:t>
            </w:r>
            <w:r w:rsidR="006F79C8" w:rsidRPr="006F79C8">
              <w:t>afety</w:t>
            </w:r>
          </w:p>
          <w:p w14:paraId="303B9FCD" w14:textId="3AB631F8" w:rsidR="004B3A85" w:rsidRPr="006F79C8" w:rsidRDefault="00F2507F" w:rsidP="00D83E90">
            <w:pPr>
              <w:pStyle w:val="TableText"/>
              <w:numPr>
                <w:ilvl w:val="0"/>
                <w:numId w:val="22"/>
              </w:numPr>
            </w:pPr>
            <w:r>
              <w:t>h</w:t>
            </w:r>
            <w:r w:rsidR="00461E46">
              <w:t>ealthcare</w:t>
            </w:r>
            <w:r w:rsidR="006F79C8" w:rsidRPr="006F79C8">
              <w:t xml:space="preserve"> resource use</w:t>
            </w:r>
          </w:p>
          <w:p w14:paraId="79635A40" w14:textId="79BBC832" w:rsidR="004B3A85" w:rsidRPr="006F79C8" w:rsidRDefault="006F79C8" w:rsidP="00D83E90">
            <w:pPr>
              <w:pStyle w:val="TableText"/>
              <w:numPr>
                <w:ilvl w:val="0"/>
                <w:numId w:val="22"/>
              </w:numPr>
            </w:pPr>
            <w:r w:rsidRPr="006F79C8">
              <w:t>QALYs</w:t>
            </w:r>
          </w:p>
          <w:p w14:paraId="5BB292CF" w14:textId="40F3D7BE" w:rsidR="00C05700" w:rsidRPr="000449D1" w:rsidRDefault="00F2507F" w:rsidP="00D83E90">
            <w:pPr>
              <w:pStyle w:val="TableText"/>
              <w:numPr>
                <w:ilvl w:val="0"/>
                <w:numId w:val="22"/>
              </w:numPr>
            </w:pPr>
            <w:r>
              <w:t>t</w:t>
            </w:r>
            <w:r w:rsidR="006F79C8" w:rsidRPr="006F79C8">
              <w:t xml:space="preserve">otal Australian Government </w:t>
            </w:r>
            <w:r w:rsidR="00461E46">
              <w:t>healthcare</w:t>
            </w:r>
            <w:r w:rsidR="006F79C8" w:rsidRPr="006F79C8">
              <w:t xml:space="preserve"> costs</w:t>
            </w:r>
          </w:p>
        </w:tc>
      </w:tr>
      <w:tr w:rsidR="00C05700" w:rsidRPr="000449D1" w14:paraId="643C0794" w14:textId="7BA4E085" w:rsidTr="001053EF">
        <w:trPr>
          <w:cantSplit/>
        </w:trPr>
        <w:tc>
          <w:tcPr>
            <w:tcW w:w="1286" w:type="pct"/>
          </w:tcPr>
          <w:p w14:paraId="42B1D84D" w14:textId="77777777" w:rsidR="00C05700" w:rsidRPr="000449D1" w:rsidRDefault="00C05700" w:rsidP="002537CB">
            <w:pPr>
              <w:pStyle w:val="TableText"/>
            </w:pPr>
            <w:r w:rsidRPr="000449D1">
              <w:t>Time horizon</w:t>
            </w:r>
          </w:p>
        </w:tc>
        <w:tc>
          <w:tcPr>
            <w:tcW w:w="3714" w:type="pct"/>
          </w:tcPr>
          <w:p w14:paraId="3BC3DE82" w14:textId="6268D70D" w:rsidR="00C05700" w:rsidRPr="000449D1" w:rsidRDefault="006F79C8" w:rsidP="002537CB">
            <w:pPr>
              <w:pStyle w:val="TableText"/>
            </w:pPr>
            <w:r w:rsidRPr="006F79C8">
              <w:t>Lifetime</w:t>
            </w:r>
          </w:p>
        </w:tc>
      </w:tr>
      <w:tr w:rsidR="00C05700" w:rsidRPr="000449D1" w14:paraId="0949BCCC" w14:textId="4456977C" w:rsidTr="001053EF">
        <w:trPr>
          <w:cantSplit/>
        </w:trPr>
        <w:tc>
          <w:tcPr>
            <w:tcW w:w="1286" w:type="pct"/>
          </w:tcPr>
          <w:p w14:paraId="6DFB973F" w14:textId="77777777" w:rsidR="00C05700" w:rsidRPr="000449D1" w:rsidRDefault="00C05700" w:rsidP="002537CB">
            <w:pPr>
              <w:pStyle w:val="TableText"/>
            </w:pPr>
            <w:r w:rsidRPr="000449D1">
              <w:t>Computational method</w:t>
            </w:r>
          </w:p>
        </w:tc>
        <w:tc>
          <w:tcPr>
            <w:tcW w:w="3714" w:type="pct"/>
          </w:tcPr>
          <w:p w14:paraId="67E64DF6" w14:textId="47C97559" w:rsidR="00C05700" w:rsidRPr="000449D1" w:rsidRDefault="006F79C8" w:rsidP="002537CB">
            <w:pPr>
              <w:pStyle w:val="TableText"/>
            </w:pPr>
            <w:r>
              <w:t>Cohort p</w:t>
            </w:r>
            <w:r w:rsidRPr="006F79C8">
              <w:t>artitioned survival model</w:t>
            </w:r>
          </w:p>
        </w:tc>
      </w:tr>
      <w:tr w:rsidR="00C05700" w:rsidRPr="000449D1" w14:paraId="780AB6C6" w14:textId="5D51678D" w:rsidTr="001053EF">
        <w:trPr>
          <w:cantSplit/>
        </w:trPr>
        <w:tc>
          <w:tcPr>
            <w:tcW w:w="1286" w:type="pct"/>
          </w:tcPr>
          <w:p w14:paraId="6CDC9D32" w14:textId="77777777" w:rsidR="00C05700" w:rsidRPr="000449D1" w:rsidRDefault="00C05700" w:rsidP="002537CB">
            <w:pPr>
              <w:pStyle w:val="TableText"/>
            </w:pPr>
            <w:r w:rsidRPr="000449D1">
              <w:t>Generation of the base case</w:t>
            </w:r>
          </w:p>
        </w:tc>
        <w:tc>
          <w:tcPr>
            <w:tcW w:w="3714" w:type="pct"/>
          </w:tcPr>
          <w:p w14:paraId="6687851E" w14:textId="0553E82D" w:rsidR="00C05700" w:rsidRPr="000449D1" w:rsidRDefault="00F2507F" w:rsidP="002537CB">
            <w:pPr>
              <w:pStyle w:val="TableText"/>
            </w:pPr>
            <w:r>
              <w:t>T</w:t>
            </w:r>
            <w:r w:rsidR="006F79C8" w:rsidRPr="006F79C8">
              <w:t>rial-based evaluation</w:t>
            </w:r>
            <w:r>
              <w:t xml:space="preserve"> </w:t>
            </w:r>
            <w:r w:rsidRPr="006F79C8">
              <w:t>model</w:t>
            </w:r>
          </w:p>
        </w:tc>
      </w:tr>
      <w:tr w:rsidR="00C05700" w:rsidRPr="000449D1" w14:paraId="03A3B794" w14:textId="3A58F192" w:rsidTr="001053EF">
        <w:trPr>
          <w:cantSplit/>
        </w:trPr>
        <w:tc>
          <w:tcPr>
            <w:tcW w:w="1286" w:type="pct"/>
          </w:tcPr>
          <w:p w14:paraId="4E12B2D4" w14:textId="77777777" w:rsidR="00C05700" w:rsidRPr="000449D1" w:rsidRDefault="00C05700" w:rsidP="002537CB">
            <w:pPr>
              <w:pStyle w:val="TableText"/>
            </w:pPr>
            <w:r w:rsidRPr="000449D1">
              <w:t>Health states</w:t>
            </w:r>
          </w:p>
        </w:tc>
        <w:tc>
          <w:tcPr>
            <w:tcW w:w="3714" w:type="pct"/>
          </w:tcPr>
          <w:p w14:paraId="583CF84F" w14:textId="77777777" w:rsidR="006F79C8" w:rsidRPr="006F79C8" w:rsidRDefault="006F79C8" w:rsidP="002537CB">
            <w:pPr>
              <w:pStyle w:val="TableText"/>
            </w:pPr>
            <w:r w:rsidRPr="006F79C8">
              <w:t>Partitioned survival model with the following health states:</w:t>
            </w:r>
          </w:p>
          <w:p w14:paraId="360ECCCF" w14:textId="332BBCBD" w:rsidR="006F79C8" w:rsidRPr="006F79C8" w:rsidRDefault="00F2507F" w:rsidP="00D83E90">
            <w:pPr>
              <w:pStyle w:val="TableText"/>
              <w:numPr>
                <w:ilvl w:val="0"/>
                <w:numId w:val="23"/>
              </w:numPr>
            </w:pPr>
            <w:r>
              <w:t>p</w:t>
            </w:r>
            <w:r w:rsidR="006F79C8" w:rsidRPr="006F79C8">
              <w:t>re-progression</w:t>
            </w:r>
          </w:p>
          <w:p w14:paraId="70D4006E" w14:textId="53CE4FD2" w:rsidR="006F79C8" w:rsidRPr="006F79C8" w:rsidRDefault="00F2507F" w:rsidP="00D83E90">
            <w:pPr>
              <w:pStyle w:val="TableText"/>
              <w:numPr>
                <w:ilvl w:val="0"/>
                <w:numId w:val="23"/>
              </w:numPr>
            </w:pPr>
            <w:r>
              <w:t>p</w:t>
            </w:r>
            <w:r w:rsidR="006F79C8" w:rsidRPr="006F79C8">
              <w:t>ost-progression</w:t>
            </w:r>
          </w:p>
          <w:p w14:paraId="3E63543F" w14:textId="2CD9002F" w:rsidR="00C05700" w:rsidRPr="000449D1" w:rsidRDefault="00F2507F" w:rsidP="00D83E90">
            <w:pPr>
              <w:pStyle w:val="TableText"/>
              <w:numPr>
                <w:ilvl w:val="0"/>
                <w:numId w:val="23"/>
              </w:numPr>
            </w:pPr>
            <w:r>
              <w:t>d</w:t>
            </w:r>
            <w:r w:rsidR="006F79C8" w:rsidRPr="006F79C8">
              <w:t>eath</w:t>
            </w:r>
          </w:p>
        </w:tc>
      </w:tr>
      <w:tr w:rsidR="00C05700" w:rsidRPr="000449D1" w14:paraId="0212C695" w14:textId="63F9F923" w:rsidTr="001053EF">
        <w:trPr>
          <w:cantSplit/>
        </w:trPr>
        <w:tc>
          <w:tcPr>
            <w:tcW w:w="1286" w:type="pct"/>
          </w:tcPr>
          <w:p w14:paraId="3AC64F34" w14:textId="77777777" w:rsidR="00C05700" w:rsidRPr="000449D1" w:rsidRDefault="00C05700" w:rsidP="002537CB">
            <w:pPr>
              <w:pStyle w:val="TableText"/>
            </w:pPr>
            <w:r w:rsidRPr="000449D1">
              <w:t>Cycle length</w:t>
            </w:r>
          </w:p>
        </w:tc>
        <w:tc>
          <w:tcPr>
            <w:tcW w:w="3714" w:type="pct"/>
          </w:tcPr>
          <w:p w14:paraId="64D95EB2" w14:textId="2DB2CD8B" w:rsidR="00C05700" w:rsidRPr="000449D1" w:rsidRDefault="006F79C8" w:rsidP="002537CB">
            <w:pPr>
              <w:pStyle w:val="TableText"/>
            </w:pPr>
            <w:r>
              <w:t>Monthly</w:t>
            </w:r>
          </w:p>
        </w:tc>
      </w:tr>
      <w:tr w:rsidR="00C05700" w:rsidRPr="000449D1" w14:paraId="2976544F" w14:textId="76387CDF" w:rsidTr="001053EF">
        <w:trPr>
          <w:cantSplit/>
        </w:trPr>
        <w:tc>
          <w:tcPr>
            <w:tcW w:w="1286" w:type="pct"/>
          </w:tcPr>
          <w:p w14:paraId="2558F588" w14:textId="77777777" w:rsidR="00C05700" w:rsidRPr="000449D1" w:rsidRDefault="00C05700" w:rsidP="002537CB">
            <w:pPr>
              <w:pStyle w:val="TableText"/>
            </w:pPr>
            <w:r w:rsidRPr="000449D1">
              <w:t>Transition probabilities</w:t>
            </w:r>
          </w:p>
        </w:tc>
        <w:tc>
          <w:tcPr>
            <w:tcW w:w="3714" w:type="pct"/>
          </w:tcPr>
          <w:p w14:paraId="43B247B9" w14:textId="0DED4AD6" w:rsidR="00C05700" w:rsidRPr="006F79C8" w:rsidRDefault="00327F59" w:rsidP="002537CB">
            <w:pPr>
              <w:pStyle w:val="TableText"/>
              <w:rPr>
                <w:rFonts w:eastAsia="Calibri" w:cs="Helvetica"/>
              </w:rPr>
            </w:pPr>
            <w:r>
              <w:rPr>
                <w:rFonts w:cs="Cambria Math"/>
              </w:rPr>
              <w:t>Health state allocation over time determined by PFS and OS data</w:t>
            </w:r>
            <w:r w:rsidR="007B5EAB">
              <w:rPr>
                <w:rFonts w:cs="Cambria Math"/>
              </w:rPr>
              <w:t xml:space="preserve"> from NETTER-1</w:t>
            </w:r>
            <w:r w:rsidR="0093761F">
              <w:rPr>
                <w:rFonts w:cs="Cambria Math"/>
              </w:rPr>
              <w:t xml:space="preserve"> for intervention arm.</w:t>
            </w:r>
            <w:r w:rsidR="00887820">
              <w:rPr>
                <w:rFonts w:cs="Cambria Math"/>
              </w:rPr>
              <w:t xml:space="preserve"> </w:t>
            </w:r>
            <w:r w:rsidR="007032AC">
              <w:rPr>
                <w:rFonts w:cs="Cambria Math"/>
              </w:rPr>
              <w:t>H</w:t>
            </w:r>
            <w:r w:rsidR="008279DB">
              <w:rPr>
                <w:rFonts w:cs="Cambria Math"/>
              </w:rPr>
              <w:t xml:space="preserve">Rs applied to </w:t>
            </w:r>
            <w:r w:rsidR="00291851">
              <w:rPr>
                <w:rFonts w:cs="Cambria Math"/>
              </w:rPr>
              <w:t>model</w:t>
            </w:r>
            <w:r w:rsidR="00505F23">
              <w:rPr>
                <w:rFonts w:cs="Cambria Math"/>
              </w:rPr>
              <w:t xml:space="preserve"> health state allocation</w:t>
            </w:r>
            <w:r w:rsidR="009820B7">
              <w:rPr>
                <w:rFonts w:cs="Cambria Math"/>
              </w:rPr>
              <w:t xml:space="preserve"> by PFS and OS in comparator ar</w:t>
            </w:r>
            <w:r w:rsidR="00AA56E1">
              <w:rPr>
                <w:rFonts w:cs="Cambria Math"/>
              </w:rPr>
              <w:t>m</w:t>
            </w:r>
            <w:r w:rsidR="008279DB">
              <w:rPr>
                <w:rFonts w:cs="Cambria Math"/>
              </w:rPr>
              <w:t xml:space="preserve"> </w:t>
            </w:r>
          </w:p>
        </w:tc>
      </w:tr>
      <w:tr w:rsidR="003F7B3A" w:rsidRPr="000449D1" w14:paraId="0619B77B" w14:textId="65D0CC25" w:rsidTr="001053EF">
        <w:trPr>
          <w:cantSplit/>
        </w:trPr>
        <w:tc>
          <w:tcPr>
            <w:tcW w:w="1286" w:type="pct"/>
          </w:tcPr>
          <w:p w14:paraId="3B8D14D8" w14:textId="77777777" w:rsidR="003F7B3A" w:rsidRPr="000449D1" w:rsidRDefault="003F7B3A" w:rsidP="002537CB">
            <w:pPr>
              <w:pStyle w:val="TableText"/>
            </w:pPr>
            <w:r w:rsidRPr="000449D1">
              <w:t>Discount rate</w:t>
            </w:r>
          </w:p>
        </w:tc>
        <w:tc>
          <w:tcPr>
            <w:tcW w:w="3714" w:type="pct"/>
          </w:tcPr>
          <w:p w14:paraId="2E657A83" w14:textId="5E1B800E" w:rsidR="003F7B3A" w:rsidRPr="000449D1" w:rsidRDefault="003F7B3A" w:rsidP="002537CB">
            <w:pPr>
              <w:pStyle w:val="TableText"/>
            </w:pPr>
            <w:r w:rsidRPr="005F6E9A">
              <w:rPr>
                <w:rFonts w:eastAsia="Calibri" w:cs="Helvetica"/>
                <w:lang w:val="en-GB"/>
              </w:rPr>
              <w:t>5% for both costs and outcomes</w:t>
            </w:r>
          </w:p>
        </w:tc>
      </w:tr>
      <w:tr w:rsidR="003F7B3A" w:rsidRPr="000449D1" w14:paraId="507E6356" w14:textId="7BFC4306" w:rsidTr="001053EF">
        <w:trPr>
          <w:cantSplit/>
        </w:trPr>
        <w:tc>
          <w:tcPr>
            <w:tcW w:w="1286" w:type="pct"/>
          </w:tcPr>
          <w:p w14:paraId="23A08C87" w14:textId="77777777" w:rsidR="003F7B3A" w:rsidRPr="000449D1" w:rsidRDefault="003F7B3A" w:rsidP="002537CB">
            <w:pPr>
              <w:pStyle w:val="TableText"/>
            </w:pPr>
            <w:r w:rsidRPr="000449D1">
              <w:t>Software</w:t>
            </w:r>
          </w:p>
        </w:tc>
        <w:tc>
          <w:tcPr>
            <w:tcW w:w="3714" w:type="pct"/>
          </w:tcPr>
          <w:p w14:paraId="613BDC46" w14:textId="37A451EC" w:rsidR="003F7B3A" w:rsidRPr="000449D1" w:rsidRDefault="008412EA" w:rsidP="002537CB">
            <w:pPr>
              <w:pStyle w:val="TableText"/>
            </w:pPr>
            <w:r w:rsidRPr="008412EA">
              <w:rPr>
                <w:rFonts w:eastAsia="Calibri" w:cs="Helvetica"/>
              </w:rPr>
              <w:t xml:space="preserve">Microsoft </w:t>
            </w:r>
            <w:r w:rsidR="003F7B3A" w:rsidRPr="005F6E9A">
              <w:rPr>
                <w:rFonts w:eastAsia="Calibri" w:cs="Helvetica"/>
                <w:lang w:val="en-GB"/>
              </w:rPr>
              <w:t>Excel</w:t>
            </w:r>
          </w:p>
        </w:tc>
      </w:tr>
    </w:tbl>
    <w:p w14:paraId="443F1B6C" w14:textId="24F2745E" w:rsidR="000127E0" w:rsidRPr="003F7B3A" w:rsidRDefault="003F7B3A" w:rsidP="00A70C56">
      <w:pPr>
        <w:pStyle w:val="Tablenotes0"/>
      </w:pPr>
      <w:bookmarkStart w:id="88" w:name="_Hlk68276459"/>
      <w:bookmarkEnd w:id="87"/>
      <w:r w:rsidRPr="00A70C56">
        <w:t>Abbreviations:</w:t>
      </w:r>
      <w:r w:rsidR="007A3FAD">
        <w:t xml:space="preserve"> FDG =</w:t>
      </w:r>
      <w:r w:rsidR="007A3FAD" w:rsidRPr="007A3FAD">
        <w:t xml:space="preserve"> fluorodeoxyglucose</w:t>
      </w:r>
      <w:r w:rsidR="007A3FAD">
        <w:t>,</w:t>
      </w:r>
      <w:r w:rsidRPr="003F7B3A">
        <w:t xml:space="preserve"> </w:t>
      </w:r>
      <w:r w:rsidR="00D2750E">
        <w:t>MDT = multidisciplinary team;</w:t>
      </w:r>
      <w:r w:rsidRPr="003F7B3A">
        <w:t xml:space="preserve"> </w:t>
      </w:r>
      <w:r w:rsidR="007A3FAD">
        <w:t xml:space="preserve">ORR = objective response rate, </w:t>
      </w:r>
      <w:r w:rsidRPr="003F7B3A">
        <w:t>OS = overall survival,</w:t>
      </w:r>
      <w:r w:rsidR="007A3FAD">
        <w:t xml:space="preserve"> PET/CT = positron emission tomography/computed tomography, </w:t>
      </w:r>
      <w:r w:rsidR="007A3FAD" w:rsidRPr="003F7B3A">
        <w:t>PFS progression-free survival,</w:t>
      </w:r>
      <w:r w:rsidRPr="003F7B3A">
        <w:t xml:space="preserve"> QALYs = quality-adjusted life year,</w:t>
      </w:r>
      <w:r w:rsidR="0069035C">
        <w:t xml:space="preserve"> SSTR = s</w:t>
      </w:r>
      <w:r w:rsidR="00D24E8E">
        <w:t>omatostatin receptor</w:t>
      </w:r>
      <w:r w:rsidR="0031493D">
        <w:t>.</w:t>
      </w:r>
    </w:p>
    <w:bookmarkEnd w:id="88"/>
    <w:p w14:paraId="0613764B" w14:textId="4E7629B0" w:rsidR="001C26CF" w:rsidRPr="00D23ACD" w:rsidRDefault="001C26CF" w:rsidP="00B54B18">
      <w:pPr>
        <w:keepNext/>
        <w:keepLines/>
        <w:spacing w:before="0" w:after="120" w:line="240" w:lineRule="auto"/>
        <w:jc w:val="both"/>
        <w:rPr>
          <w:rFonts w:cs="Arial"/>
          <w:lang w:val="en-GB"/>
        </w:rPr>
      </w:pPr>
      <w:r>
        <w:lastRenderedPageBreak/>
        <w:t xml:space="preserve">The model was developed in Microsoft Excel using </w:t>
      </w:r>
      <w:r w:rsidR="000912EF">
        <w:t>the</w:t>
      </w:r>
      <w:r>
        <w:t xml:space="preserve"> partitioned survival analysis approach</w:t>
      </w:r>
      <w:r w:rsidR="000912EF">
        <w:t xml:space="preserve"> </w:t>
      </w:r>
      <w:r w:rsidRPr="00D23ACD">
        <w:rPr>
          <w:shd w:val="clear" w:color="auto" w:fill="FFFFFF" w:themeFill="background1"/>
        </w:rPr>
        <w:t>compris</w:t>
      </w:r>
      <w:r w:rsidR="000912EF">
        <w:rPr>
          <w:shd w:val="clear" w:color="auto" w:fill="FFFFFF" w:themeFill="background1"/>
        </w:rPr>
        <w:t>ing</w:t>
      </w:r>
      <w:r w:rsidRPr="00D23ACD">
        <w:rPr>
          <w:shd w:val="clear" w:color="auto" w:fill="FFFFFF" w:themeFill="background1"/>
        </w:rPr>
        <w:t xml:space="preserve"> </w:t>
      </w:r>
      <w:r w:rsidR="005C2D26">
        <w:rPr>
          <w:shd w:val="clear" w:color="auto" w:fill="FFFFFF" w:themeFill="background1"/>
        </w:rPr>
        <w:t>3</w:t>
      </w:r>
      <w:r w:rsidRPr="00D23ACD">
        <w:rPr>
          <w:shd w:val="clear" w:color="auto" w:fill="FFFFFF" w:themeFill="background1"/>
        </w:rPr>
        <w:t xml:space="preserve"> mutually exclusive health states</w:t>
      </w:r>
      <w:r>
        <w:rPr>
          <w:shd w:val="clear" w:color="auto" w:fill="FFFFFF" w:themeFill="background1"/>
        </w:rPr>
        <w:t xml:space="preserve"> (</w:t>
      </w:r>
      <w:r w:rsidR="00E3682C">
        <w:rPr>
          <w:shd w:val="clear" w:color="auto" w:fill="FFFFFF" w:themeFill="background1"/>
        </w:rPr>
        <w:fldChar w:fldCharType="begin"/>
      </w:r>
      <w:r w:rsidR="00E3682C">
        <w:rPr>
          <w:shd w:val="clear" w:color="auto" w:fill="FFFFFF" w:themeFill="background1"/>
        </w:rPr>
        <w:instrText xml:space="preserve"> REF _Ref161651338 \h </w:instrText>
      </w:r>
      <w:r w:rsidR="00E3682C">
        <w:rPr>
          <w:shd w:val="clear" w:color="auto" w:fill="FFFFFF" w:themeFill="background1"/>
        </w:rPr>
      </w:r>
      <w:r w:rsidR="00E3682C">
        <w:rPr>
          <w:shd w:val="clear" w:color="auto" w:fill="FFFFFF" w:themeFill="background1"/>
        </w:rPr>
        <w:fldChar w:fldCharType="separate"/>
      </w:r>
      <w:r w:rsidR="00674D5E">
        <w:t xml:space="preserve">Figure </w:t>
      </w:r>
      <w:r w:rsidR="00674D5E">
        <w:rPr>
          <w:noProof/>
        </w:rPr>
        <w:t>4</w:t>
      </w:r>
      <w:r w:rsidR="00E3682C">
        <w:rPr>
          <w:shd w:val="clear" w:color="auto" w:fill="FFFFFF" w:themeFill="background1"/>
        </w:rPr>
        <w:fldChar w:fldCharType="end"/>
      </w:r>
      <w:r>
        <w:rPr>
          <w:shd w:val="clear" w:color="auto" w:fill="FFFFFF" w:themeFill="background1"/>
        </w:rPr>
        <w:t>)</w:t>
      </w:r>
      <w:r w:rsidRPr="00D23ACD">
        <w:rPr>
          <w:shd w:val="clear" w:color="auto" w:fill="FFFFFF" w:themeFill="background1"/>
        </w:rPr>
        <w:t>:</w:t>
      </w:r>
    </w:p>
    <w:p w14:paraId="33ADC402" w14:textId="6E6BC50F" w:rsidR="001C26CF" w:rsidRPr="00D23ACD" w:rsidRDefault="001C26CF" w:rsidP="00B54B18">
      <w:pPr>
        <w:keepNext/>
        <w:keepLines/>
        <w:numPr>
          <w:ilvl w:val="0"/>
          <w:numId w:val="14"/>
        </w:numPr>
        <w:spacing w:before="0" w:line="240" w:lineRule="auto"/>
        <w:ind w:left="714" w:hanging="357"/>
        <w:contextualSpacing/>
        <w:jc w:val="both"/>
        <w:rPr>
          <w:rFonts w:cs="Arial"/>
        </w:rPr>
      </w:pPr>
      <w:r w:rsidRPr="00D23ACD">
        <w:rPr>
          <w:rFonts w:cs="Arial"/>
        </w:rPr>
        <w:t>Pre-progression or PFS</w:t>
      </w:r>
    </w:p>
    <w:p w14:paraId="2C455360" w14:textId="7961E680" w:rsidR="001C26CF" w:rsidRPr="00D23ACD" w:rsidRDefault="001C26CF" w:rsidP="00B54B18">
      <w:pPr>
        <w:keepNext/>
        <w:keepLines/>
        <w:numPr>
          <w:ilvl w:val="0"/>
          <w:numId w:val="14"/>
        </w:numPr>
        <w:spacing w:before="0" w:line="240" w:lineRule="auto"/>
        <w:contextualSpacing/>
        <w:jc w:val="both"/>
        <w:rPr>
          <w:rFonts w:cs="Arial"/>
        </w:rPr>
      </w:pPr>
      <w:r w:rsidRPr="00D23ACD">
        <w:rPr>
          <w:rFonts w:cs="Arial"/>
        </w:rPr>
        <w:t>Post</w:t>
      </w:r>
      <w:r w:rsidR="0076014A">
        <w:rPr>
          <w:rFonts w:cs="Arial"/>
        </w:rPr>
        <w:t>-</w:t>
      </w:r>
      <w:r w:rsidRPr="00D23ACD">
        <w:rPr>
          <w:rFonts w:cs="Arial"/>
        </w:rPr>
        <w:t>progression survival (PPS)</w:t>
      </w:r>
    </w:p>
    <w:p w14:paraId="7A9C4AC2" w14:textId="36939ABD" w:rsidR="001C26CF" w:rsidRDefault="001C26CF" w:rsidP="00B54B18">
      <w:pPr>
        <w:keepNext/>
        <w:keepLines/>
        <w:numPr>
          <w:ilvl w:val="0"/>
          <w:numId w:val="14"/>
        </w:numPr>
        <w:spacing w:before="0" w:line="240" w:lineRule="auto"/>
        <w:contextualSpacing/>
        <w:jc w:val="both"/>
        <w:rPr>
          <w:rFonts w:cs="Arial"/>
        </w:rPr>
      </w:pPr>
      <w:r w:rsidRPr="00D23ACD">
        <w:rPr>
          <w:rFonts w:cs="Arial"/>
        </w:rPr>
        <w:t>Death</w:t>
      </w:r>
      <w:r w:rsidR="00E46227">
        <w:rPr>
          <w:rFonts w:cs="Arial"/>
        </w:rPr>
        <w:t>.</w:t>
      </w:r>
    </w:p>
    <w:p w14:paraId="7954362E" w14:textId="289E06CA" w:rsidR="009409F9" w:rsidRDefault="009409F9" w:rsidP="009409F9">
      <w:pPr>
        <w:pStyle w:val="Caption"/>
      </w:pPr>
      <w:bookmarkStart w:id="89" w:name="_Ref161651338"/>
      <w:r>
        <w:t xml:space="preserve">Figure </w:t>
      </w:r>
      <w:r w:rsidR="009C6F88">
        <w:fldChar w:fldCharType="begin"/>
      </w:r>
      <w:r w:rsidR="009C6F88">
        <w:instrText xml:space="preserve"> SEQ Figure \* ARABIC </w:instrText>
      </w:r>
      <w:r w:rsidR="009C6F88">
        <w:fldChar w:fldCharType="separate"/>
      </w:r>
      <w:r w:rsidR="009C6F88">
        <w:rPr>
          <w:noProof/>
        </w:rPr>
        <w:t>7</w:t>
      </w:r>
      <w:r w:rsidR="009C6F88">
        <w:rPr>
          <w:noProof/>
        </w:rPr>
        <w:fldChar w:fldCharType="end"/>
      </w:r>
      <w:bookmarkEnd w:id="89"/>
      <w:r>
        <w:tab/>
      </w:r>
      <w:r w:rsidR="001C4566">
        <w:t xml:space="preserve">State transition diagram </w:t>
      </w:r>
      <w:r w:rsidR="00A73DF3">
        <w:t>for the e</w:t>
      </w:r>
      <w:r w:rsidR="00E3682C">
        <w:t xml:space="preserve">conomic model </w:t>
      </w:r>
      <w:r w:rsidR="00A73DF3">
        <w:t xml:space="preserve">used </w:t>
      </w:r>
      <w:r w:rsidR="001C4566">
        <w:t xml:space="preserve">to assess cost-effectiveness of </w:t>
      </w:r>
      <w:r w:rsidR="001C4566" w:rsidRPr="0031493D">
        <w:rPr>
          <w:vertAlign w:val="superscript"/>
        </w:rPr>
        <w:t>177</w:t>
      </w:r>
      <w:r w:rsidR="001C4566">
        <w:t>Lu-DOTA-octreotate treatment</w:t>
      </w:r>
      <w:r w:rsidR="001C4566" w:rsidRPr="00CE28E3">
        <w:t xml:space="preserve"> </w:t>
      </w:r>
    </w:p>
    <w:p w14:paraId="4F087B8A" w14:textId="15FB6982" w:rsidR="00E3682C" w:rsidRPr="000B228E" w:rsidRDefault="001C26CF" w:rsidP="000B228E">
      <w:pPr>
        <w:pStyle w:val="TableText"/>
        <w:spacing w:after="240"/>
        <w:jc w:val="center"/>
      </w:pPr>
      <w:r>
        <w:rPr>
          <w:noProof/>
        </w:rPr>
        <w:drawing>
          <wp:inline distT="0" distB="0" distL="0" distR="0" wp14:anchorId="78F18BC5" wp14:editId="04EC9B5A">
            <wp:extent cx="3804920" cy="1534922"/>
            <wp:effectExtent l="0" t="0" r="5080" b="8255"/>
            <wp:docPr id="1173200289" name="Picture 1173200289" descr="State transition diagram for the economic model used to assess cost-effectiveness of 177Lu-DOTA-octreotate trea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00289" name="Picture 1173200289" descr="State transition diagram for the economic model used to assess cost-effectiveness of 177Lu-DOTA-octreotate treatmen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7526" cy="1540007"/>
                    </a:xfrm>
                    <a:prstGeom prst="rect">
                      <a:avLst/>
                    </a:prstGeom>
                    <a:noFill/>
                  </pic:spPr>
                </pic:pic>
              </a:graphicData>
            </a:graphic>
          </wp:inline>
        </w:drawing>
      </w:r>
    </w:p>
    <w:p w14:paraId="44D35934" w14:textId="3FE700A0" w:rsidR="001C26CF" w:rsidRDefault="001C26CF" w:rsidP="000B228E">
      <w:pPr>
        <w:spacing w:before="0" w:after="240" w:line="240" w:lineRule="auto"/>
        <w:jc w:val="both"/>
      </w:pPr>
      <w:r>
        <w:rPr>
          <w:rFonts w:cs="Arial"/>
        </w:rPr>
        <w:t xml:space="preserve">In the model, </w:t>
      </w:r>
      <w:r w:rsidRPr="00093CD8">
        <w:rPr>
          <w:rFonts w:cs="Arial"/>
        </w:rPr>
        <w:t xml:space="preserve">all patients start in the </w:t>
      </w:r>
      <w:r>
        <w:rPr>
          <w:rFonts w:cs="Arial"/>
        </w:rPr>
        <w:t>PFS</w:t>
      </w:r>
      <w:r w:rsidRPr="00093CD8">
        <w:rPr>
          <w:rFonts w:cs="Arial"/>
        </w:rPr>
        <w:t xml:space="preserve"> state and transition to post</w:t>
      </w:r>
      <w:r>
        <w:rPr>
          <w:rFonts w:cs="Arial"/>
        </w:rPr>
        <w:t>-</w:t>
      </w:r>
      <w:r w:rsidRPr="00093CD8">
        <w:rPr>
          <w:rFonts w:cs="Arial"/>
        </w:rPr>
        <w:t>progression and death states according to PFS and OS estimates.</w:t>
      </w:r>
      <w:r>
        <w:rPr>
          <w:rFonts w:cs="Arial"/>
        </w:rPr>
        <w:t xml:space="preserve"> </w:t>
      </w:r>
      <w:r w:rsidRPr="005C7CF5">
        <w:rPr>
          <w:rFonts w:cs="Arial"/>
        </w:rPr>
        <w:t>At the end of each cycle,</w:t>
      </w:r>
      <w:r>
        <w:rPr>
          <w:rFonts w:cs="Arial"/>
        </w:rPr>
        <w:t xml:space="preserve"> patients</w:t>
      </w:r>
      <w:r w:rsidRPr="005C7CF5">
        <w:rPr>
          <w:rFonts w:cs="Arial"/>
        </w:rPr>
        <w:t xml:space="preserve"> either remain in their current health state or</w:t>
      </w:r>
      <w:r w:rsidRPr="00D931EB">
        <w:t xml:space="preserve"> </w:t>
      </w:r>
      <w:r w:rsidRPr="00D931EB">
        <w:rPr>
          <w:rFonts w:cs="Arial"/>
        </w:rPr>
        <w:t>move to other states</w:t>
      </w:r>
      <w:r>
        <w:rPr>
          <w:rFonts w:cs="Arial"/>
        </w:rPr>
        <w:t xml:space="preserve">. </w:t>
      </w:r>
      <w:r w:rsidRPr="00D931EB">
        <w:rPr>
          <w:rFonts w:cs="Arial"/>
        </w:rPr>
        <w:t>Death is the absorbing state in</w:t>
      </w:r>
      <w:r>
        <w:rPr>
          <w:rFonts w:cs="Arial"/>
        </w:rPr>
        <w:t xml:space="preserve"> the</w:t>
      </w:r>
      <w:r w:rsidRPr="00D931EB">
        <w:rPr>
          <w:rFonts w:cs="Arial"/>
        </w:rPr>
        <w:t xml:space="preserve"> model. Health state membership is defined using </w:t>
      </w:r>
      <w:r w:rsidR="00B9323C">
        <w:rPr>
          <w:rFonts w:cs="Arial"/>
        </w:rPr>
        <w:t xml:space="preserve">the </w:t>
      </w:r>
      <w:r w:rsidRPr="00D931EB">
        <w:rPr>
          <w:rFonts w:cs="Arial"/>
        </w:rPr>
        <w:t>partitioned survival approach</w:t>
      </w:r>
      <w:r w:rsidR="00B9323C">
        <w:rPr>
          <w:rFonts w:cs="Arial"/>
        </w:rPr>
        <w:t>,</w:t>
      </w:r>
      <w:r w:rsidRPr="00D931EB">
        <w:rPr>
          <w:rFonts w:cs="Arial"/>
        </w:rPr>
        <w:t xml:space="preserve"> which</w:t>
      </w:r>
      <w:r>
        <w:rPr>
          <w:rFonts w:cs="Arial"/>
        </w:rPr>
        <w:t xml:space="preserve"> </w:t>
      </w:r>
      <w:r w:rsidRPr="00D931EB">
        <w:rPr>
          <w:rFonts w:cs="Arial"/>
        </w:rPr>
        <w:t>estimates the mean time spent in each health state from the area under the relevant survival</w:t>
      </w:r>
      <w:r>
        <w:rPr>
          <w:rFonts w:cs="Arial"/>
        </w:rPr>
        <w:t xml:space="preserve"> </w:t>
      </w:r>
      <w:r w:rsidRPr="00D931EB">
        <w:rPr>
          <w:rFonts w:cs="Arial"/>
        </w:rPr>
        <w:t>curve.</w:t>
      </w:r>
      <w:r w:rsidRPr="00CB7118">
        <w:t xml:space="preserve"> </w:t>
      </w:r>
      <w:r>
        <w:t>The estimates of OS are compared to age- and sex-specific mortality data for the Australian population</w:t>
      </w:r>
      <w:r w:rsidR="00B9323C">
        <w:t>,</w:t>
      </w:r>
      <w:r>
        <w:t xml:space="preserve"> with the higher of the </w:t>
      </w:r>
      <w:r w:rsidR="005C2D26">
        <w:t>2</w:t>
      </w:r>
      <w:r>
        <w:t xml:space="preserve"> estimates used in the model to ensure </w:t>
      </w:r>
      <w:r w:rsidR="00B9323C">
        <w:t xml:space="preserve">that </w:t>
      </w:r>
      <w:r>
        <w:t xml:space="preserve">the risk of mortality </w:t>
      </w:r>
      <w:r w:rsidR="00B9323C">
        <w:t>for</w:t>
      </w:r>
      <w:r>
        <w:t xml:space="preserve"> the modelled population can never be lower than the age-specific general population mortality.</w:t>
      </w:r>
    </w:p>
    <w:p w14:paraId="7B11E7AB" w14:textId="5174C29D" w:rsidR="001C26CF" w:rsidRDefault="001C26CF" w:rsidP="000B228E">
      <w:pPr>
        <w:spacing w:line="240" w:lineRule="auto"/>
        <w:contextualSpacing/>
        <w:jc w:val="both"/>
        <w:rPr>
          <w:rFonts w:cs="Arial"/>
        </w:rPr>
      </w:pPr>
      <w:r w:rsidRPr="00CB7118">
        <w:rPr>
          <w:rFonts w:cs="Arial"/>
        </w:rPr>
        <w:t>Costs and utilities</w:t>
      </w:r>
      <w:r>
        <w:rPr>
          <w:rFonts w:cs="Arial"/>
        </w:rPr>
        <w:t xml:space="preserve"> </w:t>
      </w:r>
      <w:r w:rsidRPr="00CB7118">
        <w:rPr>
          <w:rFonts w:cs="Arial"/>
        </w:rPr>
        <w:t>are estimated for each health state and model cycle and aggregated over the modelled time</w:t>
      </w:r>
      <w:r>
        <w:rPr>
          <w:rFonts w:cs="Arial"/>
        </w:rPr>
        <w:t xml:space="preserve"> </w:t>
      </w:r>
      <w:r w:rsidRPr="00CB7118">
        <w:rPr>
          <w:rFonts w:cs="Arial"/>
        </w:rPr>
        <w:t>horizon to estimate total per patient costs and QALYs for each treatment. The economic</w:t>
      </w:r>
      <w:r>
        <w:rPr>
          <w:rFonts w:cs="Arial"/>
        </w:rPr>
        <w:t xml:space="preserve"> </w:t>
      </w:r>
      <w:r w:rsidRPr="00CB7118">
        <w:rPr>
          <w:rFonts w:cs="Arial"/>
        </w:rPr>
        <w:t xml:space="preserve">outcome in the model is the </w:t>
      </w:r>
      <w:r w:rsidR="00971823">
        <w:rPr>
          <w:rFonts w:cs="Arial"/>
        </w:rPr>
        <w:t>incremental cost-effectiveness ratio (</w:t>
      </w:r>
      <w:r w:rsidRPr="00CB7118">
        <w:rPr>
          <w:rFonts w:cs="Arial"/>
        </w:rPr>
        <w:t>ICER</w:t>
      </w:r>
      <w:r w:rsidR="00971823">
        <w:rPr>
          <w:rFonts w:cs="Arial"/>
        </w:rPr>
        <w:t>)</w:t>
      </w:r>
      <w:r w:rsidRPr="00CB7118">
        <w:rPr>
          <w:rFonts w:cs="Arial"/>
        </w:rPr>
        <w:t xml:space="preserve">. A model half-cycle correction </w:t>
      </w:r>
      <w:r w:rsidR="00E427BD">
        <w:rPr>
          <w:rFonts w:cs="Arial"/>
        </w:rPr>
        <w:t>was</w:t>
      </w:r>
      <w:r w:rsidRPr="00CB7118">
        <w:rPr>
          <w:rFonts w:cs="Arial"/>
        </w:rPr>
        <w:t xml:space="preserve"> applied.</w:t>
      </w:r>
    </w:p>
    <w:p w14:paraId="3B43CF39" w14:textId="6E5DC6EF" w:rsidR="00DF5D3C" w:rsidRPr="00DF5D3C" w:rsidRDefault="00DF5D3C" w:rsidP="001053EF">
      <w:pPr>
        <w:pStyle w:val="Heading3"/>
      </w:pPr>
      <w:bookmarkStart w:id="90" w:name="_Toc165239055"/>
      <w:bookmarkStart w:id="91" w:name="_Toc165271885"/>
      <w:bookmarkStart w:id="92" w:name="_Toc165274311"/>
      <w:bookmarkStart w:id="93" w:name="_Toc165275534"/>
      <w:r w:rsidRPr="00DF5D3C">
        <w:t>Model parameterisation</w:t>
      </w:r>
      <w:bookmarkEnd w:id="90"/>
      <w:bookmarkEnd w:id="91"/>
      <w:bookmarkEnd w:id="92"/>
      <w:bookmarkEnd w:id="93"/>
    </w:p>
    <w:p w14:paraId="20A455DF" w14:textId="075AEC90" w:rsidR="00DF5D3C" w:rsidRDefault="0033610B" w:rsidP="001053EF">
      <w:r w:rsidRPr="0033610B">
        <w:t xml:space="preserve">An evidence-based assessment of non-inferiority efficacy and safety between </w:t>
      </w:r>
      <w:r w:rsidRPr="0033610B">
        <w:rPr>
          <w:vertAlign w:val="superscript"/>
        </w:rPr>
        <w:t>177</w:t>
      </w:r>
      <w:r w:rsidRPr="0033610B">
        <w:t xml:space="preserve">Lu-DOTATATE and </w:t>
      </w:r>
      <w:r w:rsidRPr="0033610B">
        <w:rPr>
          <w:vertAlign w:val="superscript"/>
        </w:rPr>
        <w:t>177</w:t>
      </w:r>
      <w:r w:rsidRPr="0033610B">
        <w:t>Lu-DOTA-octreotate could not be performed due to the current lack of available data for the applicant’s intervention. In lieu of an alternative approach, and despite the apparent differences between the</w:t>
      </w:r>
      <w:r w:rsidR="002D3002">
        <w:t xml:space="preserve"> pharmaceutical form of the</w:t>
      </w:r>
      <w:r w:rsidRPr="0033610B">
        <w:t xml:space="preserve"> </w:t>
      </w:r>
      <w:r w:rsidR="00124FA6">
        <w:t>2</w:t>
      </w:r>
      <w:r w:rsidRPr="0033610B">
        <w:t xml:space="preserve"> products</w:t>
      </w:r>
      <w:r w:rsidR="00C52318">
        <w:t xml:space="preserve"> (see </w:t>
      </w:r>
      <w:r w:rsidR="00C52318">
        <w:fldChar w:fldCharType="begin"/>
      </w:r>
      <w:r w:rsidR="00C52318">
        <w:instrText xml:space="preserve"> REF _Ref164332720 \h  \* MERGEFORMAT </w:instrText>
      </w:r>
      <w:r w:rsidR="00C52318">
        <w:fldChar w:fldCharType="separate"/>
      </w:r>
      <w:r w:rsidR="00674D5E">
        <w:t xml:space="preserve">Table </w:t>
      </w:r>
      <w:r w:rsidR="00674D5E">
        <w:rPr>
          <w:noProof/>
        </w:rPr>
        <w:t>5</w:t>
      </w:r>
      <w:r w:rsidR="00C52318">
        <w:fldChar w:fldCharType="end"/>
      </w:r>
      <w:r w:rsidR="00C52318">
        <w:t>)</w:t>
      </w:r>
      <w:r w:rsidRPr="0033610B">
        <w:t xml:space="preserve">, especially in the use of different excipients for the prevention of radiolysis, it is assumed that the efficacy and safety of </w:t>
      </w:r>
      <w:r w:rsidRPr="0033610B">
        <w:rPr>
          <w:vertAlign w:val="superscript"/>
        </w:rPr>
        <w:t>177</w:t>
      </w:r>
      <w:r w:rsidRPr="0033610B">
        <w:t xml:space="preserve">Lu-DOTA-octreotate is equivalent to </w:t>
      </w:r>
      <w:r w:rsidRPr="0033610B">
        <w:rPr>
          <w:vertAlign w:val="superscript"/>
        </w:rPr>
        <w:t>177</w:t>
      </w:r>
      <w:r w:rsidRPr="0033610B">
        <w:t xml:space="preserve">Lu-DOTATATE. </w:t>
      </w:r>
      <w:r w:rsidR="00DF5D3C">
        <w:t>As such, this is a significant area of uncertainty in the proposed analysis.</w:t>
      </w:r>
      <w:r w:rsidR="00DF5D3C" w:rsidRPr="00F16E70">
        <w:t xml:space="preserve"> In lieu of an alternative, in this analysis, transitions between health states are based on the time</w:t>
      </w:r>
      <w:r w:rsidR="00323F88">
        <w:t>-</w:t>
      </w:r>
      <w:r w:rsidR="00DF5D3C" w:rsidRPr="00F16E70">
        <w:t>to</w:t>
      </w:r>
      <w:r w:rsidR="00323F88">
        <w:t>-</w:t>
      </w:r>
      <w:r w:rsidR="00DF5D3C" w:rsidRPr="00F16E70">
        <w:t xml:space="preserve">event data reconstructed from published data on the NETTER-1 trial for </w:t>
      </w:r>
      <w:r w:rsidR="00DF5D3C" w:rsidRPr="003602E5">
        <w:rPr>
          <w:vertAlign w:val="superscript"/>
        </w:rPr>
        <w:t>177</w:t>
      </w:r>
      <w:r w:rsidR="00DF5D3C" w:rsidRPr="00F16E70">
        <w:t>Lu-D</w:t>
      </w:r>
      <w:r w:rsidR="001B2D6F">
        <w:t>OTATATE</w:t>
      </w:r>
      <w:r w:rsidR="00DF5D3C" w:rsidRPr="00F16E70">
        <w:t xml:space="preserve"> plus long-acting octreotide.</w:t>
      </w:r>
    </w:p>
    <w:p w14:paraId="0743878B" w14:textId="05CB64F3" w:rsidR="00DF5D3C" w:rsidRPr="00F16E70" w:rsidRDefault="00DF5D3C" w:rsidP="00DF5D3C">
      <w:pPr>
        <w:pStyle w:val="ADARbodytext"/>
        <w:rPr>
          <w:rFonts w:ascii="Franklin Gothic Book" w:hAnsi="Franklin Gothic Book" w:cs="Arial"/>
        </w:rPr>
      </w:pPr>
      <w:r w:rsidRPr="00F16E70">
        <w:rPr>
          <w:rFonts w:ascii="Franklin Gothic Book" w:hAnsi="Franklin Gothic Book" w:cs="Arial"/>
        </w:rPr>
        <w:t xml:space="preserve">An indirect treatment comparison </w:t>
      </w:r>
      <w:r w:rsidR="00323F88">
        <w:rPr>
          <w:rFonts w:ascii="Franklin Gothic Book" w:hAnsi="Franklin Gothic Book" w:cs="Arial"/>
        </w:rPr>
        <w:t>was</w:t>
      </w:r>
      <w:r w:rsidRPr="00F16E70">
        <w:rPr>
          <w:rFonts w:ascii="Franklin Gothic Book" w:hAnsi="Franklin Gothic Book" w:cs="Arial"/>
        </w:rPr>
        <w:t xml:space="preserve"> conducted to assess the comparative effectiveness of</w:t>
      </w:r>
      <w:r>
        <w:t xml:space="preserve"> </w:t>
      </w:r>
      <w:r w:rsidRPr="00F16E70">
        <w:rPr>
          <w:rFonts w:ascii="Franklin Gothic Book" w:hAnsi="Franklin Gothic Book" w:cs="Arial"/>
          <w:vertAlign w:val="superscript"/>
        </w:rPr>
        <w:t>177</w:t>
      </w:r>
      <w:r w:rsidRPr="00F16E70">
        <w:rPr>
          <w:rFonts w:ascii="Franklin Gothic Book" w:hAnsi="Franklin Gothic Book" w:cs="Arial"/>
        </w:rPr>
        <w:t xml:space="preserve">Lu-DOTATATE versus the </w:t>
      </w:r>
      <w:r w:rsidR="005C2D26">
        <w:rPr>
          <w:rFonts w:ascii="Franklin Gothic Book" w:hAnsi="Franklin Gothic Book" w:cs="Arial"/>
        </w:rPr>
        <w:t>6</w:t>
      </w:r>
      <w:r w:rsidRPr="00F16E70">
        <w:rPr>
          <w:rFonts w:ascii="Franklin Gothic Book" w:hAnsi="Franklin Gothic Book" w:cs="Arial"/>
        </w:rPr>
        <w:t xml:space="preserve"> comparators.</w:t>
      </w:r>
      <w:r>
        <w:rPr>
          <w:rFonts w:ascii="Franklin Gothic Book" w:hAnsi="Franklin Gothic Book" w:cs="Arial"/>
        </w:rPr>
        <w:t xml:space="preserve"> As it was </w:t>
      </w:r>
      <w:r w:rsidR="007310E9">
        <w:rPr>
          <w:rFonts w:ascii="Franklin Gothic Book" w:hAnsi="Franklin Gothic Book" w:cs="Arial"/>
        </w:rPr>
        <w:t xml:space="preserve">infeasible </w:t>
      </w:r>
      <w:r>
        <w:rPr>
          <w:rFonts w:ascii="Franklin Gothic Book" w:hAnsi="Franklin Gothic Book" w:cs="Arial"/>
        </w:rPr>
        <w:t xml:space="preserve">to estimate a hazard ratio for OS for lanreotide, in the model base case this was conservatively set </w:t>
      </w:r>
      <w:r w:rsidR="004C6172">
        <w:rPr>
          <w:rFonts w:ascii="Franklin Gothic Book" w:hAnsi="Franklin Gothic Book" w:cs="Arial"/>
        </w:rPr>
        <w:t xml:space="preserve">to </w:t>
      </w:r>
      <w:r>
        <w:rPr>
          <w:rFonts w:ascii="Franklin Gothic Book" w:hAnsi="Franklin Gothic Book" w:cs="Arial"/>
        </w:rPr>
        <w:t>equal the hazard ratio for octreotide.</w:t>
      </w:r>
    </w:p>
    <w:p w14:paraId="20F3B93C" w14:textId="66EC71D3" w:rsidR="00DF5D3C" w:rsidRDefault="00DF5D3C" w:rsidP="00DF5D3C">
      <w:r>
        <w:t xml:space="preserve">Utilities for the PFS and PPS </w:t>
      </w:r>
      <w:r w:rsidR="004124CD">
        <w:t xml:space="preserve">(post-progression survival) </w:t>
      </w:r>
      <w:r>
        <w:t xml:space="preserve">health states </w:t>
      </w:r>
      <w:r w:rsidR="00157858">
        <w:t>were</w:t>
      </w:r>
      <w:r>
        <w:t xml:space="preserve"> included in the model. In lieu of a systematic review of the literature for appropriate sources of</w:t>
      </w:r>
      <w:r w:rsidR="003602E5">
        <w:t xml:space="preserve"> </w:t>
      </w:r>
      <w:r w:rsidR="00157858">
        <w:t>health-related quality of life</w:t>
      </w:r>
      <w:r w:rsidR="003602E5">
        <w:t xml:space="preserve"> (</w:t>
      </w:r>
      <w:proofErr w:type="spellStart"/>
      <w:r w:rsidR="003602E5">
        <w:t>HRQoL</w:t>
      </w:r>
      <w:proofErr w:type="spellEnd"/>
      <w:r w:rsidR="00157858">
        <w:t xml:space="preserve">) </w:t>
      </w:r>
      <w:r w:rsidR="001E66CF">
        <w:t xml:space="preserve">with which </w:t>
      </w:r>
      <w:r>
        <w:t xml:space="preserve">to populate the economic model, data from </w:t>
      </w:r>
      <w:r w:rsidR="001E66CF">
        <w:t>the</w:t>
      </w:r>
      <w:r w:rsidR="003602E5">
        <w:t xml:space="preserve"> National Institute for </w:t>
      </w:r>
      <w:r w:rsidR="003602E5">
        <w:lastRenderedPageBreak/>
        <w:t>Health and Care Excellence</w:t>
      </w:r>
      <w:r w:rsidR="001E66CF">
        <w:t xml:space="preserve"> </w:t>
      </w:r>
      <w:r w:rsidR="003602E5">
        <w:t>(</w:t>
      </w:r>
      <w:r>
        <w:t>NICE</w:t>
      </w:r>
      <w:r w:rsidR="003602E5">
        <w:t>)</w:t>
      </w:r>
      <w:r>
        <w:t xml:space="preserve"> appraisal of </w:t>
      </w:r>
      <w:r w:rsidR="000603BF" w:rsidRPr="000603BF">
        <w:rPr>
          <w:vertAlign w:val="superscript"/>
        </w:rPr>
        <w:t>177</w:t>
      </w:r>
      <w:r w:rsidR="000603BF" w:rsidRPr="000603BF">
        <w:t>Lu-DOTATAT</w:t>
      </w:r>
      <w:r w:rsidR="000603BF">
        <w:t>E</w:t>
      </w:r>
      <w:r>
        <w:t xml:space="preserve"> for treating unresectable or metastatic </w:t>
      </w:r>
      <w:r w:rsidR="00A75400">
        <w:t>NETs</w:t>
      </w:r>
      <w:r>
        <w:t xml:space="preserve"> was used for this analysis</w:t>
      </w:r>
      <w:r w:rsidR="00FB2E7A">
        <w:t>.</w:t>
      </w:r>
      <w:r w:rsidR="00FB2E7A">
        <w:rPr>
          <w:rStyle w:val="FootnoteReference"/>
        </w:rPr>
        <w:footnoteReference w:id="33"/>
      </w:r>
      <w:r>
        <w:t xml:space="preserve"> </w:t>
      </w:r>
    </w:p>
    <w:p w14:paraId="00C53C2D" w14:textId="3043B36F" w:rsidR="00DF5D3C" w:rsidRDefault="00DF5D3C" w:rsidP="00DF5D3C">
      <w:r>
        <w:t xml:space="preserve">Healthcare resource use and costs to the Australian health system are included in the model and are categorised as follows: </w:t>
      </w:r>
    </w:p>
    <w:p w14:paraId="29A246D1" w14:textId="304784F6" w:rsidR="00DF5D3C" w:rsidRDefault="00D1710D" w:rsidP="00D83E90">
      <w:pPr>
        <w:pStyle w:val="ListParagraph"/>
        <w:numPr>
          <w:ilvl w:val="0"/>
          <w:numId w:val="15"/>
        </w:numPr>
      </w:pPr>
      <w:r>
        <w:t>d</w:t>
      </w:r>
      <w:r w:rsidR="00DF5D3C">
        <w:t>iagnostic testing costs</w:t>
      </w:r>
    </w:p>
    <w:p w14:paraId="518389CE" w14:textId="42C4B0D3" w:rsidR="00DF5D3C" w:rsidRDefault="00D1710D" w:rsidP="00D83E90">
      <w:pPr>
        <w:pStyle w:val="ListParagraph"/>
        <w:numPr>
          <w:ilvl w:val="0"/>
          <w:numId w:val="15"/>
        </w:numPr>
      </w:pPr>
      <w:r>
        <w:t>t</w:t>
      </w:r>
      <w:r w:rsidR="00DF5D3C">
        <w:t>reatment acquisition and administration costs</w:t>
      </w:r>
    </w:p>
    <w:p w14:paraId="3E4A8CEC" w14:textId="0EC0783B" w:rsidR="00DF5D3C" w:rsidRDefault="00D1710D" w:rsidP="00D83E90">
      <w:pPr>
        <w:pStyle w:val="ListParagraph"/>
        <w:numPr>
          <w:ilvl w:val="0"/>
          <w:numId w:val="15"/>
        </w:numPr>
      </w:pPr>
      <w:r>
        <w:t>h</w:t>
      </w:r>
      <w:r w:rsidR="00461E46">
        <w:t>ealthcare</w:t>
      </w:r>
      <w:r w:rsidR="00DF5D3C">
        <w:t xml:space="preserve"> resource costs related to monitoring and background treatment costs in PFS and PPS health states</w:t>
      </w:r>
    </w:p>
    <w:p w14:paraId="4D0D1D3D" w14:textId="08D1204A" w:rsidR="00DF5D3C" w:rsidRPr="003E6937" w:rsidRDefault="00D1710D" w:rsidP="00D83E90">
      <w:pPr>
        <w:pStyle w:val="ListParagraph"/>
        <w:numPr>
          <w:ilvl w:val="0"/>
          <w:numId w:val="15"/>
        </w:numPr>
      </w:pPr>
      <w:r>
        <w:t>a</w:t>
      </w:r>
      <w:r w:rsidR="00DF5D3C">
        <w:t>dverse event management costs</w:t>
      </w:r>
      <w:r>
        <w:t>.</w:t>
      </w:r>
    </w:p>
    <w:p w14:paraId="2A59348B" w14:textId="2C54FF57" w:rsidR="00DF5D3C" w:rsidRDefault="00DF5D3C" w:rsidP="001053EF">
      <w:pPr>
        <w:pStyle w:val="Heading3"/>
      </w:pPr>
      <w:bookmarkStart w:id="94" w:name="_Toc165239056"/>
      <w:bookmarkStart w:id="95" w:name="_Toc165271886"/>
      <w:bookmarkStart w:id="96" w:name="_Toc165274312"/>
      <w:bookmarkStart w:id="97" w:name="_Toc165275535"/>
      <w:r>
        <w:t>Model results</w:t>
      </w:r>
      <w:bookmarkEnd w:id="94"/>
      <w:bookmarkEnd w:id="95"/>
      <w:bookmarkEnd w:id="96"/>
      <w:bookmarkEnd w:id="97"/>
    </w:p>
    <w:p w14:paraId="29DFF1FB" w14:textId="17D7AAA9" w:rsidR="00DF5D3C" w:rsidRDefault="00DF5D3C" w:rsidP="00DF5D3C">
      <w:pPr>
        <w:pStyle w:val="ADARbodytext"/>
        <w:rPr>
          <w:rFonts w:ascii="Franklin Gothic Book" w:hAnsi="Franklin Gothic Book" w:cstheme="minorBidi"/>
        </w:rPr>
      </w:pPr>
      <w:r w:rsidRPr="00220FF3">
        <w:rPr>
          <w:rFonts w:ascii="Franklin Gothic Book" w:hAnsi="Franklin Gothic Book" w:cstheme="minorBidi"/>
        </w:rPr>
        <w:t xml:space="preserve">The base case cost-effectiveness analysis results are presented for </w:t>
      </w:r>
      <w:r w:rsidRPr="003602E5">
        <w:rPr>
          <w:rFonts w:ascii="Franklin Gothic Book" w:hAnsi="Franklin Gothic Book" w:cstheme="minorBidi"/>
          <w:vertAlign w:val="superscript"/>
        </w:rPr>
        <w:t>177</w:t>
      </w:r>
      <w:r w:rsidRPr="00AF40EA">
        <w:rPr>
          <w:rFonts w:ascii="Franklin Gothic Book" w:hAnsi="Franklin Gothic Book" w:cstheme="minorBidi"/>
        </w:rPr>
        <w:t>Lu-</w:t>
      </w:r>
      <w:r w:rsidR="00607D95">
        <w:rPr>
          <w:rFonts w:ascii="Franklin Gothic Book" w:hAnsi="Franklin Gothic Book" w:cstheme="minorBidi"/>
        </w:rPr>
        <w:t xml:space="preserve">DOTA-octreotate </w:t>
      </w:r>
      <w:r>
        <w:rPr>
          <w:rFonts w:ascii="Franklin Gothic Book" w:hAnsi="Franklin Gothic Book" w:cstheme="minorBidi"/>
        </w:rPr>
        <w:t>compared wi</w:t>
      </w:r>
      <w:r w:rsidRPr="00AF40EA">
        <w:rPr>
          <w:rFonts w:ascii="Franklin Gothic Book" w:hAnsi="Franklin Gothic Book" w:cstheme="minorBidi"/>
        </w:rPr>
        <w:t>th current care</w:t>
      </w:r>
      <w:r>
        <w:rPr>
          <w:rFonts w:ascii="Franklin Gothic Book" w:hAnsi="Franklin Gothic Book" w:cstheme="minorBidi"/>
        </w:rPr>
        <w:t xml:space="preserve"> (</w:t>
      </w:r>
      <w:r>
        <w:rPr>
          <w:rFonts w:ascii="Franklin Gothic Book" w:hAnsi="Franklin Gothic Book" w:cstheme="minorBidi"/>
        </w:rPr>
        <w:fldChar w:fldCharType="begin"/>
      </w:r>
      <w:r>
        <w:rPr>
          <w:rFonts w:ascii="Franklin Gothic Book" w:hAnsi="Franklin Gothic Book" w:cstheme="minorBidi"/>
        </w:rPr>
        <w:instrText xml:space="preserve"> REF _Ref160459377 \h </w:instrText>
      </w:r>
      <w:r w:rsidR="0008343A">
        <w:rPr>
          <w:rFonts w:ascii="Franklin Gothic Book" w:hAnsi="Franklin Gothic Book" w:cstheme="minorBidi"/>
        </w:rPr>
        <w:instrText xml:space="preserve"> \* MERGEFORMAT </w:instrText>
      </w:r>
      <w:r>
        <w:rPr>
          <w:rFonts w:ascii="Franklin Gothic Book" w:hAnsi="Franklin Gothic Book" w:cstheme="minorBidi"/>
        </w:rPr>
      </w:r>
      <w:r>
        <w:rPr>
          <w:rFonts w:ascii="Franklin Gothic Book" w:hAnsi="Franklin Gothic Book" w:cstheme="minorBidi"/>
        </w:rPr>
        <w:fldChar w:fldCharType="separate"/>
      </w:r>
      <w:r w:rsidR="00674D5E" w:rsidRPr="00EF2D54">
        <w:rPr>
          <w:rFonts w:ascii="Franklin Gothic Book" w:hAnsi="Franklin Gothic Book" w:cstheme="minorBidi"/>
        </w:rPr>
        <w:t>Table 11</w:t>
      </w:r>
      <w:r>
        <w:rPr>
          <w:rFonts w:ascii="Franklin Gothic Book" w:hAnsi="Franklin Gothic Book" w:cstheme="minorBidi"/>
        </w:rPr>
        <w:fldChar w:fldCharType="end"/>
      </w:r>
      <w:r>
        <w:rPr>
          <w:rFonts w:ascii="Franklin Gothic Book" w:hAnsi="Franklin Gothic Book" w:cstheme="minorBidi"/>
        </w:rPr>
        <w:t>)</w:t>
      </w:r>
      <w:r w:rsidRPr="00AF40EA">
        <w:rPr>
          <w:rFonts w:ascii="Franklin Gothic Book" w:hAnsi="Franklin Gothic Book" w:cstheme="minorBidi"/>
        </w:rPr>
        <w:t xml:space="preserve">. As stated previously, </w:t>
      </w:r>
      <w:r w:rsidRPr="003602E5">
        <w:rPr>
          <w:rFonts w:ascii="Franklin Gothic Book" w:hAnsi="Franklin Gothic Book" w:cstheme="minorBidi"/>
          <w:vertAlign w:val="superscript"/>
        </w:rPr>
        <w:t>177</w:t>
      </w:r>
      <w:r w:rsidRPr="00AF40EA">
        <w:rPr>
          <w:rFonts w:ascii="Franklin Gothic Book" w:hAnsi="Franklin Gothic Book" w:cstheme="minorBidi"/>
        </w:rPr>
        <w:t>Lu-</w:t>
      </w:r>
      <w:r w:rsidR="00607D95">
        <w:rPr>
          <w:rFonts w:ascii="Franklin Gothic Book" w:hAnsi="Franklin Gothic Book" w:cstheme="minorBidi"/>
        </w:rPr>
        <w:t xml:space="preserve">DOTA-octreotate </w:t>
      </w:r>
      <w:r w:rsidRPr="00AF40EA">
        <w:rPr>
          <w:rFonts w:ascii="Franklin Gothic Book" w:hAnsi="Franklin Gothic Book" w:cstheme="minorBidi"/>
        </w:rPr>
        <w:t xml:space="preserve">therapy would most likely be offered after the failure of any nominated comparator treatments. </w:t>
      </w:r>
      <w:r w:rsidRPr="00B274F3">
        <w:rPr>
          <w:rFonts w:ascii="Franklin Gothic Book" w:hAnsi="Franklin Gothic Book" w:cstheme="minorBidi"/>
        </w:rPr>
        <w:t>Th</w:t>
      </w:r>
      <w:r w:rsidRPr="00AF40EA">
        <w:rPr>
          <w:rFonts w:ascii="Franklin Gothic Book" w:hAnsi="Franklin Gothic Book" w:cstheme="minorBidi"/>
        </w:rPr>
        <w:t xml:space="preserve">e cost-effectiveness of </w:t>
      </w:r>
      <w:r w:rsidRPr="003602E5">
        <w:rPr>
          <w:rFonts w:ascii="Franklin Gothic Book" w:hAnsi="Franklin Gothic Book" w:cstheme="minorBidi"/>
          <w:vertAlign w:val="superscript"/>
        </w:rPr>
        <w:t>177</w:t>
      </w:r>
      <w:r w:rsidRPr="00AF40EA">
        <w:rPr>
          <w:rFonts w:ascii="Franklin Gothic Book" w:hAnsi="Franklin Gothic Book" w:cstheme="minorBidi"/>
        </w:rPr>
        <w:t>Lu-</w:t>
      </w:r>
      <w:r w:rsidR="00607D95">
        <w:rPr>
          <w:rFonts w:ascii="Franklin Gothic Book" w:hAnsi="Franklin Gothic Book" w:cstheme="minorBidi"/>
        </w:rPr>
        <w:t xml:space="preserve">DOTA-octreotate </w:t>
      </w:r>
      <w:r w:rsidRPr="00AF40EA">
        <w:rPr>
          <w:rFonts w:ascii="Franklin Gothic Book" w:hAnsi="Franklin Gothic Book" w:cstheme="minorBidi"/>
        </w:rPr>
        <w:t xml:space="preserve">compared with all </w:t>
      </w:r>
      <w:r w:rsidR="005C2D26">
        <w:rPr>
          <w:rFonts w:ascii="Franklin Gothic Book" w:hAnsi="Franklin Gothic Book" w:cstheme="minorBidi"/>
        </w:rPr>
        <w:t>6</w:t>
      </w:r>
      <w:r w:rsidRPr="00AF40EA">
        <w:rPr>
          <w:rFonts w:ascii="Franklin Gothic Book" w:hAnsi="Franklin Gothic Book" w:cstheme="minorBidi"/>
        </w:rPr>
        <w:t xml:space="preserve"> comparator therapies independently</w:t>
      </w:r>
      <w:r w:rsidRPr="00B274F3">
        <w:rPr>
          <w:rFonts w:ascii="Franklin Gothic Book" w:hAnsi="Franklin Gothic Book" w:cstheme="minorBidi"/>
        </w:rPr>
        <w:t xml:space="preserve"> </w:t>
      </w:r>
      <w:r w:rsidR="002A7128">
        <w:rPr>
          <w:rFonts w:ascii="Franklin Gothic Book" w:hAnsi="Franklin Gothic Book" w:cstheme="minorBidi"/>
        </w:rPr>
        <w:t>is</w:t>
      </w:r>
      <w:r w:rsidR="002A7128" w:rsidRPr="00B274F3">
        <w:rPr>
          <w:rFonts w:ascii="Franklin Gothic Book" w:hAnsi="Franklin Gothic Book" w:cstheme="minorBidi"/>
        </w:rPr>
        <w:t xml:space="preserve"> </w:t>
      </w:r>
      <w:r w:rsidRPr="00B274F3">
        <w:rPr>
          <w:rFonts w:ascii="Franklin Gothic Book" w:hAnsi="Franklin Gothic Book" w:cstheme="minorBidi"/>
        </w:rPr>
        <w:t>provided below</w:t>
      </w:r>
      <w:r>
        <w:rPr>
          <w:rFonts w:ascii="Franklin Gothic Book" w:hAnsi="Franklin Gothic Book" w:cstheme="minorBidi"/>
        </w:rPr>
        <w:t xml:space="preserve">. All results are presented as a per patient cost or benefit. The presentation of stepped results is not applicable. </w:t>
      </w:r>
    </w:p>
    <w:p w14:paraId="2978906C" w14:textId="07ADFCD3" w:rsidR="00DF5D3C" w:rsidRDefault="00DF5D3C" w:rsidP="00DF5D3C">
      <w:pPr>
        <w:pStyle w:val="Caption"/>
      </w:pPr>
      <w:bookmarkStart w:id="98" w:name="_Ref160459377"/>
      <w:bookmarkStart w:id="99" w:name="_Toc161842046"/>
      <w:r>
        <w:t xml:space="preserve">Table </w:t>
      </w:r>
      <w:r w:rsidR="006D13BC">
        <w:fldChar w:fldCharType="begin"/>
      </w:r>
      <w:r w:rsidR="006D13BC">
        <w:instrText xml:space="preserve"> SEQ Table \* ARABIC </w:instrText>
      </w:r>
      <w:r w:rsidR="006D13BC">
        <w:fldChar w:fldCharType="separate"/>
      </w:r>
      <w:r w:rsidR="006D13BC">
        <w:rPr>
          <w:noProof/>
        </w:rPr>
        <w:t>12</w:t>
      </w:r>
      <w:r w:rsidR="006D13BC">
        <w:rPr>
          <w:noProof/>
        </w:rPr>
        <w:fldChar w:fldCharType="end"/>
      </w:r>
      <w:bookmarkEnd w:id="98"/>
      <w:r>
        <w:t>: Summary base case cost-effectiveness results</w:t>
      </w:r>
      <w:r w:rsidR="003602E5">
        <w:t xml:space="preserve"> for </w:t>
      </w:r>
      <w:r w:rsidR="00C23322" w:rsidRPr="0031493D">
        <w:rPr>
          <w:vertAlign w:val="superscript"/>
        </w:rPr>
        <w:t>177</w:t>
      </w:r>
      <w:r w:rsidR="00C23322">
        <w:t xml:space="preserve">Lu-DOTA-octreotate </w:t>
      </w:r>
      <w:r w:rsidR="003602E5">
        <w:t>versus comparators</w:t>
      </w:r>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44"/>
        <w:gridCol w:w="1038"/>
        <w:gridCol w:w="1039"/>
        <w:gridCol w:w="1039"/>
        <w:gridCol w:w="1039"/>
        <w:gridCol w:w="1039"/>
        <w:gridCol w:w="1039"/>
        <w:gridCol w:w="1039"/>
      </w:tblGrid>
      <w:tr w:rsidR="002554A5" w:rsidRPr="006E2204" w14:paraId="5F4FA795" w14:textId="77777777" w:rsidTr="008E4F12">
        <w:trPr>
          <w:trHeight w:val="315"/>
          <w:tblHeader/>
        </w:trPr>
        <w:tc>
          <w:tcPr>
            <w:tcW w:w="968" w:type="pct"/>
            <w:tcBorders>
              <w:top w:val="single" w:sz="4" w:space="0" w:color="auto"/>
            </w:tcBorders>
            <w:shd w:val="clear" w:color="auto" w:fill="auto"/>
            <w:noWrap/>
            <w:vAlign w:val="center"/>
            <w:hideMark/>
          </w:tcPr>
          <w:p w14:paraId="0AD21508" w14:textId="7BFA565D" w:rsidR="00E57B7C" w:rsidRPr="006E2204" w:rsidRDefault="002554A5" w:rsidP="0074385E">
            <w:pPr>
              <w:pStyle w:val="TableHeading0"/>
              <w:rPr>
                <w:lang w:val="en-GB" w:eastAsia="en-GB"/>
              </w:rPr>
            </w:pPr>
            <w:r>
              <w:rPr>
                <w:lang w:val="en-GB" w:eastAsia="en-GB"/>
              </w:rPr>
              <w:t>T</w:t>
            </w:r>
            <w:r w:rsidR="00E57B7C">
              <w:rPr>
                <w:lang w:val="en-GB" w:eastAsia="en-GB"/>
              </w:rPr>
              <w:t>reatment</w:t>
            </w:r>
          </w:p>
        </w:tc>
        <w:tc>
          <w:tcPr>
            <w:tcW w:w="576" w:type="pct"/>
            <w:tcBorders>
              <w:top w:val="single" w:sz="4" w:space="0" w:color="auto"/>
            </w:tcBorders>
          </w:tcPr>
          <w:p w14:paraId="5313E33F" w14:textId="3C0886B9" w:rsidR="00E57B7C" w:rsidRPr="006E2204" w:rsidRDefault="00E57B7C" w:rsidP="0074385E">
            <w:pPr>
              <w:pStyle w:val="TableHeading0"/>
              <w:rPr>
                <w:lang w:val="en-GB" w:eastAsia="en-GB"/>
              </w:rPr>
            </w:pPr>
            <w:r>
              <w:rPr>
                <w:lang w:val="en-GB" w:eastAsia="en-GB"/>
              </w:rPr>
              <w:t>Total costs</w:t>
            </w:r>
          </w:p>
        </w:tc>
        <w:tc>
          <w:tcPr>
            <w:tcW w:w="576" w:type="pct"/>
            <w:tcBorders>
              <w:top w:val="single" w:sz="4" w:space="0" w:color="auto"/>
            </w:tcBorders>
            <w:shd w:val="clear" w:color="auto" w:fill="auto"/>
            <w:noWrap/>
            <w:vAlign w:val="center"/>
            <w:hideMark/>
          </w:tcPr>
          <w:p w14:paraId="387D7F97" w14:textId="7CB8A80D" w:rsidR="00E57B7C" w:rsidRPr="006E2204" w:rsidRDefault="00E57B7C" w:rsidP="0074385E">
            <w:pPr>
              <w:pStyle w:val="TableHeading0"/>
              <w:rPr>
                <w:lang w:val="en-GB" w:eastAsia="en-GB"/>
              </w:rPr>
            </w:pPr>
            <w:r w:rsidRPr="006E2204">
              <w:rPr>
                <w:lang w:val="en-GB" w:eastAsia="en-GB"/>
              </w:rPr>
              <w:t>Inc</w:t>
            </w:r>
            <w:r>
              <w:rPr>
                <w:lang w:val="en-GB" w:eastAsia="en-GB"/>
              </w:rPr>
              <w:t>remental</w:t>
            </w:r>
            <w:r w:rsidRPr="006E2204">
              <w:rPr>
                <w:lang w:val="en-GB" w:eastAsia="en-GB"/>
              </w:rPr>
              <w:t xml:space="preserve"> Costs</w:t>
            </w:r>
          </w:p>
        </w:tc>
        <w:tc>
          <w:tcPr>
            <w:tcW w:w="576" w:type="pct"/>
            <w:tcBorders>
              <w:top w:val="single" w:sz="4" w:space="0" w:color="auto"/>
            </w:tcBorders>
          </w:tcPr>
          <w:p w14:paraId="2A523708" w14:textId="3FE40007" w:rsidR="00E57B7C" w:rsidRPr="006E2204" w:rsidRDefault="003A732B" w:rsidP="0074385E">
            <w:pPr>
              <w:pStyle w:val="TableHeading0"/>
              <w:rPr>
                <w:lang w:val="en-GB" w:eastAsia="en-GB"/>
              </w:rPr>
            </w:pPr>
            <w:r>
              <w:rPr>
                <w:lang w:val="en-GB" w:eastAsia="en-GB"/>
              </w:rPr>
              <w:t>Total LYs</w:t>
            </w:r>
          </w:p>
        </w:tc>
        <w:tc>
          <w:tcPr>
            <w:tcW w:w="576" w:type="pct"/>
            <w:tcBorders>
              <w:top w:val="single" w:sz="4" w:space="0" w:color="auto"/>
            </w:tcBorders>
            <w:shd w:val="clear" w:color="auto" w:fill="auto"/>
            <w:noWrap/>
            <w:vAlign w:val="center"/>
            <w:hideMark/>
          </w:tcPr>
          <w:p w14:paraId="4194A53A" w14:textId="3220AB23" w:rsidR="00E57B7C" w:rsidRPr="006E2204" w:rsidRDefault="00E57B7C" w:rsidP="0074385E">
            <w:pPr>
              <w:pStyle w:val="TableHeading0"/>
              <w:rPr>
                <w:lang w:val="en-GB" w:eastAsia="en-GB"/>
              </w:rPr>
            </w:pPr>
            <w:r w:rsidRPr="006E2204">
              <w:rPr>
                <w:lang w:val="en-GB" w:eastAsia="en-GB"/>
              </w:rPr>
              <w:t>Inc</w:t>
            </w:r>
            <w:r>
              <w:rPr>
                <w:lang w:val="en-GB" w:eastAsia="en-GB"/>
              </w:rPr>
              <w:t>remental</w:t>
            </w:r>
            <w:r w:rsidRPr="006E2204">
              <w:rPr>
                <w:lang w:val="en-GB" w:eastAsia="en-GB"/>
              </w:rPr>
              <w:t xml:space="preserve"> LYs</w:t>
            </w:r>
          </w:p>
        </w:tc>
        <w:tc>
          <w:tcPr>
            <w:tcW w:w="576" w:type="pct"/>
            <w:tcBorders>
              <w:top w:val="single" w:sz="4" w:space="0" w:color="auto"/>
            </w:tcBorders>
          </w:tcPr>
          <w:p w14:paraId="3C553FD3" w14:textId="49521313" w:rsidR="00E57B7C" w:rsidRPr="006E2204" w:rsidRDefault="00E57B7C" w:rsidP="0074385E">
            <w:pPr>
              <w:pStyle w:val="TableHeading0"/>
              <w:rPr>
                <w:lang w:val="en-GB" w:eastAsia="en-GB"/>
              </w:rPr>
            </w:pPr>
            <w:r>
              <w:rPr>
                <w:lang w:val="en-GB" w:eastAsia="en-GB"/>
              </w:rPr>
              <w:t xml:space="preserve">Total </w:t>
            </w:r>
            <w:r w:rsidR="003A732B">
              <w:rPr>
                <w:lang w:val="en-GB" w:eastAsia="en-GB"/>
              </w:rPr>
              <w:t>QALYs</w:t>
            </w:r>
          </w:p>
        </w:tc>
        <w:tc>
          <w:tcPr>
            <w:tcW w:w="576" w:type="pct"/>
            <w:tcBorders>
              <w:top w:val="single" w:sz="4" w:space="0" w:color="auto"/>
            </w:tcBorders>
            <w:shd w:val="clear" w:color="auto" w:fill="auto"/>
            <w:noWrap/>
            <w:vAlign w:val="center"/>
            <w:hideMark/>
          </w:tcPr>
          <w:p w14:paraId="7E936A4C" w14:textId="4341548B" w:rsidR="00E57B7C" w:rsidRPr="006E2204" w:rsidRDefault="00E57B7C" w:rsidP="0074385E">
            <w:pPr>
              <w:pStyle w:val="TableHeading0"/>
              <w:rPr>
                <w:lang w:val="en-GB" w:eastAsia="en-GB"/>
              </w:rPr>
            </w:pPr>
            <w:r w:rsidRPr="006E2204">
              <w:rPr>
                <w:lang w:val="en-GB" w:eastAsia="en-GB"/>
              </w:rPr>
              <w:t>Inc</w:t>
            </w:r>
            <w:r>
              <w:rPr>
                <w:lang w:val="en-GB" w:eastAsia="en-GB"/>
              </w:rPr>
              <w:t>remental</w:t>
            </w:r>
            <w:r w:rsidRPr="006E2204">
              <w:rPr>
                <w:lang w:val="en-GB" w:eastAsia="en-GB"/>
              </w:rPr>
              <w:t xml:space="preserve"> QALYs</w:t>
            </w:r>
          </w:p>
        </w:tc>
        <w:tc>
          <w:tcPr>
            <w:tcW w:w="576" w:type="pct"/>
            <w:tcBorders>
              <w:top w:val="single" w:sz="4" w:space="0" w:color="auto"/>
            </w:tcBorders>
            <w:shd w:val="clear" w:color="auto" w:fill="auto"/>
            <w:noWrap/>
            <w:vAlign w:val="center"/>
            <w:hideMark/>
          </w:tcPr>
          <w:p w14:paraId="7861E9B4" w14:textId="68E5B780" w:rsidR="00E57B7C" w:rsidRPr="006E2204" w:rsidRDefault="00E57B7C" w:rsidP="0074385E">
            <w:pPr>
              <w:pStyle w:val="TableHeading0"/>
              <w:rPr>
                <w:lang w:val="en-GB" w:eastAsia="en-GB"/>
              </w:rPr>
            </w:pPr>
            <w:r w:rsidRPr="006E2204">
              <w:rPr>
                <w:lang w:val="en-GB" w:eastAsia="en-GB"/>
              </w:rPr>
              <w:t>ICER (</w:t>
            </w:r>
            <w:r>
              <w:rPr>
                <w:lang w:val="en-GB" w:eastAsia="en-GB"/>
              </w:rPr>
              <w:t xml:space="preserve">cost per </w:t>
            </w:r>
            <w:r w:rsidRPr="006E2204">
              <w:rPr>
                <w:lang w:val="en-GB" w:eastAsia="en-GB"/>
              </w:rPr>
              <w:t>QALY)</w:t>
            </w:r>
          </w:p>
        </w:tc>
      </w:tr>
      <w:tr w:rsidR="00006A25" w:rsidRPr="006E2204" w14:paraId="1CC6B479" w14:textId="77777777" w:rsidTr="008E4F12">
        <w:trPr>
          <w:trHeight w:val="315"/>
        </w:trPr>
        <w:tc>
          <w:tcPr>
            <w:tcW w:w="968" w:type="pct"/>
            <w:shd w:val="clear" w:color="000000" w:fill="FFFFFF"/>
            <w:noWrap/>
            <w:vAlign w:val="center"/>
          </w:tcPr>
          <w:p w14:paraId="4B16A5E1" w14:textId="77AAC51A" w:rsidR="00006A25" w:rsidRDefault="00006A25" w:rsidP="00ED0F7E">
            <w:pPr>
              <w:pStyle w:val="TableText"/>
              <w:rPr>
                <w:lang w:val="en-GB" w:eastAsia="en-GB"/>
              </w:rPr>
            </w:pPr>
            <w:r w:rsidRPr="003602E5">
              <w:rPr>
                <w:vertAlign w:val="superscript"/>
              </w:rPr>
              <w:t>177</w:t>
            </w:r>
            <w:r w:rsidRPr="00B86104">
              <w:t>Lu-</w:t>
            </w:r>
            <w:r>
              <w:t>DOTA</w:t>
            </w:r>
            <w:r w:rsidR="002554A5">
              <w:t xml:space="preserve"> </w:t>
            </w:r>
            <w:proofErr w:type="spellStart"/>
            <w:r>
              <w:t>octreotate</w:t>
            </w:r>
            <w:proofErr w:type="spellEnd"/>
          </w:p>
        </w:tc>
        <w:tc>
          <w:tcPr>
            <w:tcW w:w="576" w:type="pct"/>
            <w:shd w:val="clear" w:color="000000" w:fill="FFFFFF"/>
          </w:tcPr>
          <w:p w14:paraId="3EE68979" w14:textId="4697A8BD" w:rsidR="00006A25" w:rsidRPr="001053EF" w:rsidRDefault="002554A5" w:rsidP="00ED0F7E">
            <w:pPr>
              <w:pStyle w:val="TableText"/>
            </w:pPr>
            <w:r>
              <w:t>$79,036</w:t>
            </w:r>
          </w:p>
        </w:tc>
        <w:tc>
          <w:tcPr>
            <w:tcW w:w="576" w:type="pct"/>
            <w:shd w:val="clear" w:color="000000" w:fill="FFFFFF"/>
            <w:noWrap/>
            <w:vAlign w:val="center"/>
          </w:tcPr>
          <w:p w14:paraId="2D34AD8A" w14:textId="4FC25FCD" w:rsidR="00006A25" w:rsidRPr="001053EF" w:rsidRDefault="00551046" w:rsidP="00ED0F7E">
            <w:pPr>
              <w:pStyle w:val="TableText"/>
            </w:pPr>
            <w:r>
              <w:t>reference</w:t>
            </w:r>
          </w:p>
        </w:tc>
        <w:tc>
          <w:tcPr>
            <w:tcW w:w="576" w:type="pct"/>
            <w:shd w:val="clear" w:color="000000" w:fill="FFFFFF"/>
          </w:tcPr>
          <w:p w14:paraId="58F26504" w14:textId="4FA8E6A7" w:rsidR="00006A25" w:rsidRPr="001053EF" w:rsidRDefault="002931F5" w:rsidP="00ED0F7E">
            <w:pPr>
              <w:pStyle w:val="TableText"/>
            </w:pPr>
            <w:r>
              <w:t>4.73</w:t>
            </w:r>
          </w:p>
        </w:tc>
        <w:tc>
          <w:tcPr>
            <w:tcW w:w="576" w:type="pct"/>
            <w:shd w:val="clear" w:color="000000" w:fill="FFFFFF"/>
            <w:noWrap/>
            <w:vAlign w:val="center"/>
          </w:tcPr>
          <w:p w14:paraId="661A3B25" w14:textId="67629D35" w:rsidR="00006A25" w:rsidRPr="001053EF" w:rsidRDefault="00551046" w:rsidP="00ED0F7E">
            <w:pPr>
              <w:pStyle w:val="TableText"/>
            </w:pPr>
            <w:r>
              <w:t>reference</w:t>
            </w:r>
          </w:p>
        </w:tc>
        <w:tc>
          <w:tcPr>
            <w:tcW w:w="576" w:type="pct"/>
            <w:shd w:val="clear" w:color="000000" w:fill="FFFFFF"/>
          </w:tcPr>
          <w:p w14:paraId="175BDB7A" w14:textId="13E1910B" w:rsidR="00006A25" w:rsidRPr="001053EF" w:rsidRDefault="002931F5" w:rsidP="00ED0F7E">
            <w:pPr>
              <w:pStyle w:val="TableText"/>
            </w:pPr>
            <w:r>
              <w:t>3.</w:t>
            </w:r>
            <w:r w:rsidR="008E4F12">
              <w:t>59</w:t>
            </w:r>
          </w:p>
        </w:tc>
        <w:tc>
          <w:tcPr>
            <w:tcW w:w="576" w:type="pct"/>
            <w:shd w:val="clear" w:color="000000" w:fill="FFFFFF"/>
            <w:noWrap/>
            <w:vAlign w:val="center"/>
          </w:tcPr>
          <w:p w14:paraId="39FF936A" w14:textId="6DC497C6" w:rsidR="00006A25" w:rsidRPr="001053EF" w:rsidRDefault="00551046" w:rsidP="00ED0F7E">
            <w:pPr>
              <w:pStyle w:val="TableText"/>
            </w:pPr>
            <w:r>
              <w:t>reference</w:t>
            </w:r>
          </w:p>
        </w:tc>
        <w:tc>
          <w:tcPr>
            <w:tcW w:w="576" w:type="pct"/>
            <w:shd w:val="clear" w:color="000000" w:fill="FFFFFF"/>
            <w:noWrap/>
            <w:vAlign w:val="center"/>
          </w:tcPr>
          <w:p w14:paraId="1CC716E9" w14:textId="084EAAB6" w:rsidR="00006A25" w:rsidRPr="001053EF" w:rsidRDefault="00DC3E67" w:rsidP="00ED0F7E">
            <w:pPr>
              <w:pStyle w:val="TableText"/>
              <w:rPr>
                <w:bCs/>
              </w:rPr>
            </w:pPr>
            <w:r>
              <w:rPr>
                <w:bCs/>
              </w:rPr>
              <w:t>reference</w:t>
            </w:r>
          </w:p>
        </w:tc>
      </w:tr>
      <w:tr w:rsidR="003A732B" w:rsidRPr="006E2204" w14:paraId="18D3C46D" w14:textId="77777777" w:rsidTr="008E4F12">
        <w:trPr>
          <w:trHeight w:val="315"/>
        </w:trPr>
        <w:tc>
          <w:tcPr>
            <w:tcW w:w="968" w:type="pct"/>
            <w:shd w:val="clear" w:color="000000" w:fill="FFFFFF"/>
            <w:noWrap/>
            <w:vAlign w:val="center"/>
            <w:hideMark/>
          </w:tcPr>
          <w:p w14:paraId="0DDCEF73" w14:textId="489376D2" w:rsidR="00E57B7C" w:rsidRPr="006E2204" w:rsidRDefault="00E57B7C" w:rsidP="00ED0F7E">
            <w:pPr>
              <w:pStyle w:val="TableText"/>
              <w:rPr>
                <w:lang w:val="en-GB" w:eastAsia="en-GB"/>
              </w:rPr>
            </w:pPr>
            <w:r>
              <w:rPr>
                <w:lang w:val="en-GB" w:eastAsia="en-GB"/>
              </w:rPr>
              <w:t>PBO</w:t>
            </w:r>
          </w:p>
        </w:tc>
        <w:tc>
          <w:tcPr>
            <w:tcW w:w="576" w:type="pct"/>
            <w:shd w:val="clear" w:color="000000" w:fill="FFFFFF"/>
          </w:tcPr>
          <w:p w14:paraId="5E7BFCC9" w14:textId="46E80C97" w:rsidR="00E57B7C" w:rsidRPr="001053EF" w:rsidRDefault="000662D8" w:rsidP="00ED0F7E">
            <w:pPr>
              <w:pStyle w:val="TableText"/>
            </w:pPr>
            <w:r>
              <w:t>$31,456</w:t>
            </w:r>
          </w:p>
        </w:tc>
        <w:tc>
          <w:tcPr>
            <w:tcW w:w="576" w:type="pct"/>
            <w:shd w:val="clear" w:color="000000" w:fill="FFFFFF"/>
            <w:noWrap/>
            <w:vAlign w:val="center"/>
            <w:hideMark/>
          </w:tcPr>
          <w:p w14:paraId="6FDACCF7" w14:textId="4DD02F69" w:rsidR="00E57B7C" w:rsidRPr="006E2204" w:rsidRDefault="00E57B7C" w:rsidP="00ED0F7E">
            <w:pPr>
              <w:pStyle w:val="TableText"/>
              <w:rPr>
                <w:lang w:val="en-GB" w:eastAsia="en-GB"/>
              </w:rPr>
            </w:pPr>
            <w:r w:rsidRPr="001053EF">
              <w:t>$47,</w:t>
            </w:r>
            <w:r w:rsidRPr="00AF4690">
              <w:rPr>
                <w:rFonts w:cs="Calibri"/>
                <w:szCs w:val="20"/>
              </w:rPr>
              <w:t>580</w:t>
            </w:r>
          </w:p>
        </w:tc>
        <w:tc>
          <w:tcPr>
            <w:tcW w:w="576" w:type="pct"/>
            <w:shd w:val="clear" w:color="000000" w:fill="FFFFFF"/>
          </w:tcPr>
          <w:p w14:paraId="1C27E81F" w14:textId="5878F5B6" w:rsidR="00E57B7C" w:rsidRPr="001053EF" w:rsidRDefault="006E3809" w:rsidP="00ED0F7E">
            <w:pPr>
              <w:pStyle w:val="TableText"/>
            </w:pPr>
            <w:r>
              <w:t>3.26</w:t>
            </w:r>
          </w:p>
        </w:tc>
        <w:tc>
          <w:tcPr>
            <w:tcW w:w="576" w:type="pct"/>
            <w:shd w:val="clear" w:color="000000" w:fill="FFFFFF"/>
            <w:noWrap/>
            <w:vAlign w:val="center"/>
            <w:hideMark/>
          </w:tcPr>
          <w:p w14:paraId="37F616CB" w14:textId="40230FF4" w:rsidR="00E57B7C" w:rsidRPr="006E2204" w:rsidRDefault="00E57B7C" w:rsidP="00ED0F7E">
            <w:pPr>
              <w:pStyle w:val="TableText"/>
              <w:rPr>
                <w:lang w:val="en-GB" w:eastAsia="en-GB"/>
              </w:rPr>
            </w:pPr>
            <w:r w:rsidRPr="001053EF">
              <w:t>1.47</w:t>
            </w:r>
          </w:p>
        </w:tc>
        <w:tc>
          <w:tcPr>
            <w:tcW w:w="576" w:type="pct"/>
            <w:shd w:val="clear" w:color="000000" w:fill="FFFFFF"/>
          </w:tcPr>
          <w:p w14:paraId="57FA6F54" w14:textId="4E42394B" w:rsidR="00E57B7C" w:rsidRPr="001053EF" w:rsidRDefault="00DD212E" w:rsidP="00ED0F7E">
            <w:pPr>
              <w:pStyle w:val="TableText"/>
            </w:pPr>
            <w:r>
              <w:t>2.09</w:t>
            </w:r>
          </w:p>
        </w:tc>
        <w:tc>
          <w:tcPr>
            <w:tcW w:w="576" w:type="pct"/>
            <w:shd w:val="clear" w:color="000000" w:fill="FFFFFF"/>
            <w:noWrap/>
            <w:vAlign w:val="center"/>
            <w:hideMark/>
          </w:tcPr>
          <w:p w14:paraId="76D53559" w14:textId="69B4CBC7" w:rsidR="00E57B7C" w:rsidRPr="006E2204" w:rsidRDefault="00E57B7C" w:rsidP="00ED0F7E">
            <w:pPr>
              <w:pStyle w:val="TableText"/>
              <w:rPr>
                <w:lang w:val="en-GB" w:eastAsia="en-GB"/>
              </w:rPr>
            </w:pPr>
            <w:r w:rsidRPr="001053EF">
              <w:t>1.</w:t>
            </w:r>
            <w:r w:rsidRPr="00AF4690">
              <w:rPr>
                <w:rFonts w:cs="Calibri"/>
                <w:szCs w:val="20"/>
              </w:rPr>
              <w:t>50</w:t>
            </w:r>
          </w:p>
        </w:tc>
        <w:tc>
          <w:tcPr>
            <w:tcW w:w="576" w:type="pct"/>
            <w:shd w:val="clear" w:color="000000" w:fill="FFFFFF"/>
            <w:noWrap/>
            <w:vAlign w:val="center"/>
            <w:hideMark/>
          </w:tcPr>
          <w:p w14:paraId="6C6C7BBC" w14:textId="720642EC" w:rsidR="00E57B7C" w:rsidRPr="00C20795" w:rsidRDefault="00E57B7C" w:rsidP="00ED0F7E">
            <w:pPr>
              <w:pStyle w:val="TableText"/>
              <w:rPr>
                <w:bCs/>
                <w:lang w:val="en-GB" w:eastAsia="en-GB"/>
              </w:rPr>
            </w:pPr>
            <w:r w:rsidRPr="001053EF">
              <w:rPr>
                <w:bCs/>
              </w:rPr>
              <w:t>$31,</w:t>
            </w:r>
            <w:r w:rsidRPr="001053EF">
              <w:rPr>
                <w:rFonts w:cs="Calibri"/>
                <w:bCs/>
                <w:szCs w:val="20"/>
              </w:rPr>
              <w:t>792</w:t>
            </w:r>
          </w:p>
        </w:tc>
      </w:tr>
      <w:tr w:rsidR="003A732B" w:rsidRPr="006E2204" w14:paraId="77CA8B13" w14:textId="77777777" w:rsidTr="008E4F12">
        <w:trPr>
          <w:trHeight w:val="315"/>
        </w:trPr>
        <w:tc>
          <w:tcPr>
            <w:tcW w:w="968" w:type="pct"/>
            <w:shd w:val="clear" w:color="000000" w:fill="FFFFFF"/>
            <w:noWrap/>
            <w:vAlign w:val="center"/>
            <w:hideMark/>
          </w:tcPr>
          <w:p w14:paraId="0F233715" w14:textId="75423ADD" w:rsidR="00E57B7C" w:rsidRPr="006E2204" w:rsidRDefault="00E57B7C" w:rsidP="00ED0F7E">
            <w:pPr>
              <w:pStyle w:val="TableText"/>
              <w:rPr>
                <w:lang w:val="en-GB" w:eastAsia="en-GB"/>
              </w:rPr>
            </w:pPr>
            <w:r>
              <w:rPr>
                <w:lang w:val="en-GB" w:eastAsia="en-GB"/>
              </w:rPr>
              <w:t>OCT</w:t>
            </w:r>
          </w:p>
        </w:tc>
        <w:tc>
          <w:tcPr>
            <w:tcW w:w="576" w:type="pct"/>
            <w:shd w:val="clear" w:color="000000" w:fill="FFFFFF"/>
          </w:tcPr>
          <w:p w14:paraId="311C9049" w14:textId="072FB50F" w:rsidR="00E57B7C" w:rsidRPr="001053EF" w:rsidRDefault="000662D8" w:rsidP="00ED0F7E">
            <w:pPr>
              <w:pStyle w:val="TableText"/>
            </w:pPr>
            <w:r>
              <w:t>$56,160</w:t>
            </w:r>
          </w:p>
        </w:tc>
        <w:tc>
          <w:tcPr>
            <w:tcW w:w="576" w:type="pct"/>
            <w:shd w:val="clear" w:color="000000" w:fill="FFFFFF"/>
            <w:noWrap/>
            <w:vAlign w:val="center"/>
            <w:hideMark/>
          </w:tcPr>
          <w:p w14:paraId="5504DDEB" w14:textId="46B7B246" w:rsidR="00E57B7C" w:rsidRPr="006E2204" w:rsidRDefault="00E57B7C" w:rsidP="00ED0F7E">
            <w:pPr>
              <w:pStyle w:val="TableText"/>
              <w:rPr>
                <w:lang w:val="en-GB" w:eastAsia="en-GB"/>
              </w:rPr>
            </w:pPr>
            <w:r w:rsidRPr="001053EF">
              <w:t>$</w:t>
            </w:r>
            <w:r w:rsidRPr="00AF4690">
              <w:rPr>
                <w:rFonts w:cs="Calibri"/>
                <w:szCs w:val="20"/>
              </w:rPr>
              <w:t>22,876</w:t>
            </w:r>
          </w:p>
        </w:tc>
        <w:tc>
          <w:tcPr>
            <w:tcW w:w="576" w:type="pct"/>
            <w:shd w:val="clear" w:color="000000" w:fill="FFFFFF"/>
          </w:tcPr>
          <w:p w14:paraId="49141383" w14:textId="475A94B5" w:rsidR="00E57B7C" w:rsidRPr="001053EF" w:rsidRDefault="006E3809" w:rsidP="00ED0F7E">
            <w:pPr>
              <w:pStyle w:val="TableText"/>
            </w:pPr>
            <w:r>
              <w:t>4.15</w:t>
            </w:r>
          </w:p>
        </w:tc>
        <w:tc>
          <w:tcPr>
            <w:tcW w:w="576" w:type="pct"/>
            <w:shd w:val="clear" w:color="000000" w:fill="FFFFFF"/>
            <w:noWrap/>
            <w:vAlign w:val="center"/>
            <w:hideMark/>
          </w:tcPr>
          <w:p w14:paraId="36C2708A" w14:textId="2CB223CC" w:rsidR="00E57B7C" w:rsidRPr="006E2204" w:rsidRDefault="00E57B7C" w:rsidP="00ED0F7E">
            <w:pPr>
              <w:pStyle w:val="TableText"/>
              <w:rPr>
                <w:lang w:val="en-GB" w:eastAsia="en-GB"/>
              </w:rPr>
            </w:pPr>
            <w:r w:rsidRPr="001053EF">
              <w:t>0.58</w:t>
            </w:r>
          </w:p>
        </w:tc>
        <w:tc>
          <w:tcPr>
            <w:tcW w:w="576" w:type="pct"/>
            <w:shd w:val="clear" w:color="000000" w:fill="FFFFFF"/>
          </w:tcPr>
          <w:p w14:paraId="4D4F901F" w14:textId="247147C1" w:rsidR="00E57B7C" w:rsidRPr="001053EF" w:rsidRDefault="000F4364" w:rsidP="00ED0F7E">
            <w:pPr>
              <w:pStyle w:val="TableText"/>
            </w:pPr>
            <w:r>
              <w:t>2.7</w:t>
            </w:r>
            <w:r w:rsidR="00BE4354">
              <w:t>8</w:t>
            </w:r>
          </w:p>
        </w:tc>
        <w:tc>
          <w:tcPr>
            <w:tcW w:w="576" w:type="pct"/>
            <w:shd w:val="clear" w:color="000000" w:fill="FFFFFF"/>
            <w:noWrap/>
            <w:vAlign w:val="center"/>
            <w:hideMark/>
          </w:tcPr>
          <w:p w14:paraId="5C6434C0" w14:textId="4F7B6E9E" w:rsidR="00E57B7C" w:rsidRPr="006E2204" w:rsidRDefault="00E57B7C" w:rsidP="00ED0F7E">
            <w:pPr>
              <w:pStyle w:val="TableText"/>
              <w:rPr>
                <w:lang w:val="en-GB" w:eastAsia="en-GB"/>
              </w:rPr>
            </w:pPr>
            <w:r w:rsidRPr="001053EF">
              <w:t>0.</w:t>
            </w:r>
            <w:r w:rsidRPr="00AF4690">
              <w:rPr>
                <w:rFonts w:cs="Calibri"/>
                <w:szCs w:val="20"/>
              </w:rPr>
              <w:t>83</w:t>
            </w:r>
          </w:p>
        </w:tc>
        <w:tc>
          <w:tcPr>
            <w:tcW w:w="576" w:type="pct"/>
            <w:shd w:val="clear" w:color="000000" w:fill="FFFFFF"/>
            <w:noWrap/>
            <w:vAlign w:val="center"/>
            <w:hideMark/>
          </w:tcPr>
          <w:p w14:paraId="0B4882B2" w14:textId="1E9C2E61" w:rsidR="00E57B7C" w:rsidRPr="00C20795" w:rsidRDefault="00E57B7C" w:rsidP="00ED0F7E">
            <w:pPr>
              <w:pStyle w:val="TableText"/>
              <w:rPr>
                <w:bCs/>
                <w:lang w:val="en-GB" w:eastAsia="en-GB"/>
              </w:rPr>
            </w:pPr>
            <w:r w:rsidRPr="001053EF">
              <w:rPr>
                <w:bCs/>
              </w:rPr>
              <w:t>$27</w:t>
            </w:r>
            <w:r w:rsidRPr="001053EF">
              <w:rPr>
                <w:rFonts w:cs="Calibri"/>
                <w:bCs/>
                <w:szCs w:val="20"/>
              </w:rPr>
              <w:t>,676</w:t>
            </w:r>
          </w:p>
        </w:tc>
      </w:tr>
      <w:tr w:rsidR="003A732B" w:rsidRPr="006E2204" w14:paraId="23E34E16" w14:textId="77777777" w:rsidTr="008E4F12">
        <w:trPr>
          <w:trHeight w:val="315"/>
        </w:trPr>
        <w:tc>
          <w:tcPr>
            <w:tcW w:w="968" w:type="pct"/>
            <w:shd w:val="clear" w:color="000000" w:fill="FFFFFF"/>
            <w:noWrap/>
            <w:vAlign w:val="center"/>
            <w:hideMark/>
          </w:tcPr>
          <w:p w14:paraId="304662BF" w14:textId="68ABF88E" w:rsidR="00E57B7C" w:rsidRPr="006E2204" w:rsidRDefault="00E57B7C" w:rsidP="00ED0F7E">
            <w:pPr>
              <w:pStyle w:val="TableText"/>
              <w:rPr>
                <w:lang w:val="en-GB" w:eastAsia="en-GB"/>
              </w:rPr>
            </w:pPr>
            <w:r>
              <w:rPr>
                <w:lang w:val="en-GB" w:eastAsia="en-GB"/>
              </w:rPr>
              <w:t>LAN</w:t>
            </w:r>
          </w:p>
        </w:tc>
        <w:tc>
          <w:tcPr>
            <w:tcW w:w="576" w:type="pct"/>
            <w:shd w:val="clear" w:color="000000" w:fill="FFFFFF"/>
          </w:tcPr>
          <w:p w14:paraId="326E88B0" w14:textId="661D842E" w:rsidR="00E57B7C" w:rsidRPr="001053EF" w:rsidRDefault="000662D8" w:rsidP="00ED0F7E">
            <w:pPr>
              <w:pStyle w:val="TableText"/>
            </w:pPr>
            <w:r>
              <w:t>$58,797</w:t>
            </w:r>
          </w:p>
        </w:tc>
        <w:tc>
          <w:tcPr>
            <w:tcW w:w="576" w:type="pct"/>
            <w:shd w:val="clear" w:color="000000" w:fill="FFFFFF"/>
            <w:noWrap/>
            <w:vAlign w:val="center"/>
            <w:hideMark/>
          </w:tcPr>
          <w:p w14:paraId="17470332" w14:textId="103F0D30" w:rsidR="00E57B7C" w:rsidRPr="006E2204" w:rsidRDefault="00E57B7C" w:rsidP="00ED0F7E">
            <w:pPr>
              <w:pStyle w:val="TableText"/>
              <w:rPr>
                <w:lang w:val="en-GB" w:eastAsia="en-GB"/>
              </w:rPr>
            </w:pPr>
            <w:r w:rsidRPr="001053EF">
              <w:t>$20,</w:t>
            </w:r>
            <w:r w:rsidRPr="00AF4690">
              <w:rPr>
                <w:rFonts w:cs="Calibri"/>
                <w:szCs w:val="20"/>
              </w:rPr>
              <w:t>23</w:t>
            </w:r>
            <w:r w:rsidR="00C152DA">
              <w:rPr>
                <w:rFonts w:cs="Calibri"/>
                <w:szCs w:val="20"/>
              </w:rPr>
              <w:t>9</w:t>
            </w:r>
          </w:p>
        </w:tc>
        <w:tc>
          <w:tcPr>
            <w:tcW w:w="576" w:type="pct"/>
            <w:shd w:val="clear" w:color="000000" w:fill="FFFFFF"/>
          </w:tcPr>
          <w:p w14:paraId="2E474E13" w14:textId="1925B4C5" w:rsidR="00E57B7C" w:rsidRPr="001053EF" w:rsidRDefault="006E3809" w:rsidP="00ED0F7E">
            <w:pPr>
              <w:pStyle w:val="TableText"/>
            </w:pPr>
            <w:r>
              <w:t>4.15</w:t>
            </w:r>
          </w:p>
        </w:tc>
        <w:tc>
          <w:tcPr>
            <w:tcW w:w="576" w:type="pct"/>
            <w:shd w:val="clear" w:color="000000" w:fill="FFFFFF"/>
            <w:noWrap/>
            <w:vAlign w:val="center"/>
            <w:hideMark/>
          </w:tcPr>
          <w:p w14:paraId="1A52456C" w14:textId="09C03894" w:rsidR="00E57B7C" w:rsidRPr="006E2204" w:rsidRDefault="00E57B7C" w:rsidP="00ED0F7E">
            <w:pPr>
              <w:pStyle w:val="TableText"/>
              <w:rPr>
                <w:lang w:val="en-GB" w:eastAsia="en-GB"/>
              </w:rPr>
            </w:pPr>
            <w:r w:rsidRPr="001053EF">
              <w:t>0.58</w:t>
            </w:r>
          </w:p>
        </w:tc>
        <w:tc>
          <w:tcPr>
            <w:tcW w:w="576" w:type="pct"/>
            <w:shd w:val="clear" w:color="000000" w:fill="FFFFFF"/>
          </w:tcPr>
          <w:p w14:paraId="32955632" w14:textId="4E9F1F8A" w:rsidR="00E57B7C" w:rsidRPr="001053EF" w:rsidRDefault="000F4364" w:rsidP="00ED0F7E">
            <w:pPr>
              <w:pStyle w:val="TableText"/>
            </w:pPr>
            <w:r>
              <w:t>2.69</w:t>
            </w:r>
          </w:p>
        </w:tc>
        <w:tc>
          <w:tcPr>
            <w:tcW w:w="576" w:type="pct"/>
            <w:shd w:val="clear" w:color="000000" w:fill="FFFFFF"/>
            <w:noWrap/>
            <w:vAlign w:val="center"/>
            <w:hideMark/>
          </w:tcPr>
          <w:p w14:paraId="613DF2CF" w14:textId="05694554" w:rsidR="00E57B7C" w:rsidRPr="006E2204" w:rsidRDefault="00E57B7C" w:rsidP="00ED0F7E">
            <w:pPr>
              <w:pStyle w:val="TableText"/>
              <w:rPr>
                <w:lang w:val="en-GB" w:eastAsia="en-GB"/>
              </w:rPr>
            </w:pPr>
            <w:r w:rsidRPr="001053EF">
              <w:t>0.89</w:t>
            </w:r>
          </w:p>
        </w:tc>
        <w:tc>
          <w:tcPr>
            <w:tcW w:w="576" w:type="pct"/>
            <w:shd w:val="clear" w:color="000000" w:fill="FFFFFF"/>
            <w:noWrap/>
            <w:vAlign w:val="center"/>
            <w:hideMark/>
          </w:tcPr>
          <w:p w14:paraId="2098E058" w14:textId="3A047D08" w:rsidR="00E57B7C" w:rsidRPr="00C20795" w:rsidRDefault="00E57B7C" w:rsidP="00ED0F7E">
            <w:pPr>
              <w:pStyle w:val="TableText"/>
              <w:rPr>
                <w:bCs/>
                <w:lang w:val="en-GB" w:eastAsia="en-GB"/>
              </w:rPr>
            </w:pPr>
            <w:r w:rsidRPr="001053EF">
              <w:rPr>
                <w:bCs/>
              </w:rPr>
              <w:t>$</w:t>
            </w:r>
            <w:r w:rsidRPr="001053EF">
              <w:rPr>
                <w:rFonts w:cs="Calibri"/>
                <w:bCs/>
                <w:szCs w:val="20"/>
              </w:rPr>
              <w:t>22,621</w:t>
            </w:r>
          </w:p>
        </w:tc>
      </w:tr>
      <w:tr w:rsidR="003A732B" w:rsidRPr="006E2204" w14:paraId="7F004C9B" w14:textId="77777777" w:rsidTr="008E4F12">
        <w:trPr>
          <w:trHeight w:val="315"/>
        </w:trPr>
        <w:tc>
          <w:tcPr>
            <w:tcW w:w="968" w:type="pct"/>
            <w:shd w:val="clear" w:color="000000" w:fill="FFFFFF"/>
            <w:noWrap/>
            <w:vAlign w:val="center"/>
            <w:hideMark/>
          </w:tcPr>
          <w:p w14:paraId="62376BB8" w14:textId="593D60FD" w:rsidR="00E57B7C" w:rsidRPr="006E2204" w:rsidRDefault="00E57B7C" w:rsidP="00ED0F7E">
            <w:pPr>
              <w:pStyle w:val="TableText"/>
              <w:rPr>
                <w:lang w:val="en-GB" w:eastAsia="en-GB"/>
              </w:rPr>
            </w:pPr>
            <w:r>
              <w:rPr>
                <w:lang w:val="en-GB" w:eastAsia="en-GB"/>
              </w:rPr>
              <w:t>EVO</w:t>
            </w:r>
          </w:p>
        </w:tc>
        <w:tc>
          <w:tcPr>
            <w:tcW w:w="576" w:type="pct"/>
            <w:shd w:val="clear" w:color="000000" w:fill="FFFFFF"/>
          </w:tcPr>
          <w:p w14:paraId="09F113A5" w14:textId="499EF7E7" w:rsidR="00E57B7C" w:rsidRPr="001053EF" w:rsidRDefault="000662D8" w:rsidP="00ED0F7E">
            <w:pPr>
              <w:pStyle w:val="TableText"/>
            </w:pPr>
            <w:r>
              <w:t>$43,799</w:t>
            </w:r>
          </w:p>
        </w:tc>
        <w:tc>
          <w:tcPr>
            <w:tcW w:w="576" w:type="pct"/>
            <w:shd w:val="clear" w:color="000000" w:fill="FFFFFF"/>
            <w:noWrap/>
            <w:vAlign w:val="center"/>
            <w:hideMark/>
          </w:tcPr>
          <w:p w14:paraId="032C67DC" w14:textId="5DE9912D" w:rsidR="00E57B7C" w:rsidRPr="006E2204" w:rsidRDefault="00E57B7C" w:rsidP="00ED0F7E">
            <w:pPr>
              <w:pStyle w:val="TableText"/>
              <w:rPr>
                <w:lang w:val="en-GB" w:eastAsia="en-GB"/>
              </w:rPr>
            </w:pPr>
            <w:r w:rsidRPr="001053EF">
              <w:t>$</w:t>
            </w:r>
            <w:r w:rsidRPr="00AF4690">
              <w:rPr>
                <w:rFonts w:cs="Calibri"/>
                <w:szCs w:val="20"/>
              </w:rPr>
              <w:t>35,23</w:t>
            </w:r>
            <w:r w:rsidR="00C152DA">
              <w:rPr>
                <w:rFonts w:cs="Calibri"/>
                <w:szCs w:val="20"/>
              </w:rPr>
              <w:t>7</w:t>
            </w:r>
          </w:p>
        </w:tc>
        <w:tc>
          <w:tcPr>
            <w:tcW w:w="576" w:type="pct"/>
            <w:shd w:val="clear" w:color="000000" w:fill="FFFFFF"/>
          </w:tcPr>
          <w:p w14:paraId="59EBE86F" w14:textId="63DBE433" w:rsidR="00E57B7C" w:rsidRPr="001053EF" w:rsidRDefault="006E3809" w:rsidP="00ED0F7E">
            <w:pPr>
              <w:pStyle w:val="TableText"/>
            </w:pPr>
            <w:r>
              <w:t>3.61</w:t>
            </w:r>
          </w:p>
        </w:tc>
        <w:tc>
          <w:tcPr>
            <w:tcW w:w="576" w:type="pct"/>
            <w:shd w:val="clear" w:color="000000" w:fill="FFFFFF"/>
            <w:noWrap/>
            <w:vAlign w:val="center"/>
            <w:hideMark/>
          </w:tcPr>
          <w:p w14:paraId="5999199E" w14:textId="0D42E22F" w:rsidR="00E57B7C" w:rsidRPr="006E2204" w:rsidRDefault="00E57B7C" w:rsidP="00ED0F7E">
            <w:pPr>
              <w:pStyle w:val="TableText"/>
              <w:rPr>
                <w:lang w:val="en-GB" w:eastAsia="en-GB"/>
              </w:rPr>
            </w:pPr>
            <w:r w:rsidRPr="001053EF">
              <w:t>1.13</w:t>
            </w:r>
          </w:p>
        </w:tc>
        <w:tc>
          <w:tcPr>
            <w:tcW w:w="576" w:type="pct"/>
            <w:shd w:val="clear" w:color="000000" w:fill="FFFFFF"/>
          </w:tcPr>
          <w:p w14:paraId="0A69F274" w14:textId="0C7F2CD8" w:rsidR="00E57B7C" w:rsidRPr="001053EF" w:rsidRDefault="000F4364" w:rsidP="00ED0F7E">
            <w:pPr>
              <w:pStyle w:val="TableText"/>
            </w:pPr>
            <w:r>
              <w:t>2.39</w:t>
            </w:r>
          </w:p>
        </w:tc>
        <w:tc>
          <w:tcPr>
            <w:tcW w:w="576" w:type="pct"/>
            <w:shd w:val="clear" w:color="000000" w:fill="FFFFFF"/>
            <w:noWrap/>
            <w:vAlign w:val="center"/>
            <w:hideMark/>
          </w:tcPr>
          <w:p w14:paraId="6178B32B" w14:textId="16746596" w:rsidR="00E57B7C" w:rsidRPr="006E2204" w:rsidRDefault="00E57B7C" w:rsidP="00ED0F7E">
            <w:pPr>
              <w:pStyle w:val="TableText"/>
              <w:rPr>
                <w:lang w:val="en-GB" w:eastAsia="en-GB"/>
              </w:rPr>
            </w:pPr>
            <w:r w:rsidRPr="001053EF">
              <w:t>1.</w:t>
            </w:r>
            <w:r w:rsidRPr="00AF4690">
              <w:rPr>
                <w:rFonts w:cs="Calibri"/>
                <w:szCs w:val="20"/>
              </w:rPr>
              <w:t>20</w:t>
            </w:r>
          </w:p>
        </w:tc>
        <w:tc>
          <w:tcPr>
            <w:tcW w:w="576" w:type="pct"/>
            <w:shd w:val="clear" w:color="000000" w:fill="FFFFFF"/>
            <w:noWrap/>
            <w:vAlign w:val="center"/>
            <w:hideMark/>
          </w:tcPr>
          <w:p w14:paraId="6E7E5142" w14:textId="0737F82B" w:rsidR="00E57B7C" w:rsidRPr="00C20795" w:rsidRDefault="00E57B7C" w:rsidP="00ED0F7E">
            <w:pPr>
              <w:pStyle w:val="TableText"/>
              <w:rPr>
                <w:bCs/>
                <w:lang w:val="en-GB" w:eastAsia="en-GB"/>
              </w:rPr>
            </w:pPr>
            <w:r w:rsidRPr="001053EF">
              <w:rPr>
                <w:bCs/>
              </w:rPr>
              <w:t>$</w:t>
            </w:r>
            <w:r w:rsidRPr="001053EF">
              <w:rPr>
                <w:rFonts w:cs="Calibri"/>
                <w:bCs/>
                <w:szCs w:val="20"/>
              </w:rPr>
              <w:t>29,439</w:t>
            </w:r>
          </w:p>
        </w:tc>
      </w:tr>
      <w:tr w:rsidR="003A732B" w:rsidRPr="00B86104" w14:paraId="49BEBD47" w14:textId="77777777" w:rsidTr="008E4F12">
        <w:trPr>
          <w:trHeight w:val="315"/>
        </w:trPr>
        <w:tc>
          <w:tcPr>
            <w:tcW w:w="968" w:type="pct"/>
            <w:shd w:val="clear" w:color="000000" w:fill="FFFFFF"/>
            <w:noWrap/>
            <w:vAlign w:val="center"/>
            <w:hideMark/>
          </w:tcPr>
          <w:p w14:paraId="4987CB6C" w14:textId="09383F6C" w:rsidR="00E57B7C" w:rsidRPr="006E2204" w:rsidRDefault="00E57B7C" w:rsidP="00ED0F7E">
            <w:pPr>
              <w:pStyle w:val="TableText"/>
              <w:rPr>
                <w:color w:val="000000" w:themeColor="text1"/>
                <w:lang w:val="en-GB" w:eastAsia="en-GB"/>
              </w:rPr>
            </w:pPr>
            <w:r>
              <w:rPr>
                <w:color w:val="000000" w:themeColor="text1"/>
                <w:lang w:val="en-GB" w:eastAsia="en-GB"/>
              </w:rPr>
              <w:t>SUN</w:t>
            </w:r>
          </w:p>
        </w:tc>
        <w:tc>
          <w:tcPr>
            <w:tcW w:w="576" w:type="pct"/>
            <w:shd w:val="clear" w:color="000000" w:fill="FFFFFF"/>
          </w:tcPr>
          <w:p w14:paraId="53AF0605" w14:textId="4B032C3D" w:rsidR="00E57B7C" w:rsidRPr="001053EF" w:rsidRDefault="000C0EAE" w:rsidP="00ED0F7E">
            <w:pPr>
              <w:pStyle w:val="TableText"/>
            </w:pPr>
            <w:r>
              <w:t>$56,111</w:t>
            </w:r>
          </w:p>
        </w:tc>
        <w:tc>
          <w:tcPr>
            <w:tcW w:w="576" w:type="pct"/>
            <w:shd w:val="clear" w:color="000000" w:fill="FFFFFF"/>
            <w:noWrap/>
            <w:vAlign w:val="center"/>
            <w:hideMark/>
          </w:tcPr>
          <w:p w14:paraId="7993C479" w14:textId="647341AA" w:rsidR="00E57B7C" w:rsidRPr="006E2204" w:rsidRDefault="00E57B7C" w:rsidP="00ED0F7E">
            <w:pPr>
              <w:pStyle w:val="TableText"/>
              <w:rPr>
                <w:color w:val="000000" w:themeColor="text1"/>
                <w:lang w:val="en-GB" w:eastAsia="en-GB"/>
              </w:rPr>
            </w:pPr>
            <w:r w:rsidRPr="001053EF">
              <w:t>$</w:t>
            </w:r>
            <w:r w:rsidRPr="00AF4690">
              <w:rPr>
                <w:rFonts w:cs="Calibri"/>
                <w:szCs w:val="20"/>
              </w:rPr>
              <w:t>22,92</w:t>
            </w:r>
            <w:r w:rsidR="00C152DA">
              <w:rPr>
                <w:rFonts w:cs="Calibri"/>
                <w:szCs w:val="20"/>
              </w:rPr>
              <w:t>5</w:t>
            </w:r>
          </w:p>
        </w:tc>
        <w:tc>
          <w:tcPr>
            <w:tcW w:w="576" w:type="pct"/>
            <w:shd w:val="clear" w:color="000000" w:fill="FFFFFF"/>
          </w:tcPr>
          <w:p w14:paraId="7B532F09" w14:textId="790FCF47" w:rsidR="00E57B7C" w:rsidRPr="001053EF" w:rsidRDefault="00C47F54" w:rsidP="00ED0F7E">
            <w:pPr>
              <w:pStyle w:val="TableText"/>
            </w:pPr>
            <w:r>
              <w:t>5.75</w:t>
            </w:r>
          </w:p>
        </w:tc>
        <w:tc>
          <w:tcPr>
            <w:tcW w:w="576" w:type="pct"/>
            <w:shd w:val="clear" w:color="000000" w:fill="FFFFFF"/>
            <w:noWrap/>
            <w:vAlign w:val="center"/>
            <w:hideMark/>
          </w:tcPr>
          <w:p w14:paraId="34E558C8" w14:textId="2C600958" w:rsidR="00E57B7C" w:rsidRPr="006E2204" w:rsidRDefault="00E57B7C" w:rsidP="00ED0F7E">
            <w:pPr>
              <w:pStyle w:val="TableText"/>
              <w:rPr>
                <w:color w:val="000000" w:themeColor="text1"/>
                <w:lang w:val="en-GB" w:eastAsia="en-GB"/>
              </w:rPr>
            </w:pPr>
            <w:r w:rsidRPr="001053EF">
              <w:t>-1.02</w:t>
            </w:r>
          </w:p>
        </w:tc>
        <w:tc>
          <w:tcPr>
            <w:tcW w:w="576" w:type="pct"/>
            <w:shd w:val="clear" w:color="000000" w:fill="FFFFFF"/>
          </w:tcPr>
          <w:p w14:paraId="0FD3DB1C" w14:textId="50193C2A" w:rsidR="00E57B7C" w:rsidRPr="001053EF" w:rsidRDefault="000F4364" w:rsidP="00ED0F7E">
            <w:pPr>
              <w:pStyle w:val="TableText"/>
            </w:pPr>
            <w:r>
              <w:t>3.75</w:t>
            </w:r>
          </w:p>
        </w:tc>
        <w:tc>
          <w:tcPr>
            <w:tcW w:w="576" w:type="pct"/>
            <w:shd w:val="clear" w:color="000000" w:fill="FFFFFF"/>
            <w:noWrap/>
            <w:vAlign w:val="center"/>
            <w:hideMark/>
          </w:tcPr>
          <w:p w14:paraId="5D8BD030" w14:textId="0059CB2B" w:rsidR="00E57B7C" w:rsidRPr="006E2204" w:rsidRDefault="00E57B7C" w:rsidP="00ED0F7E">
            <w:pPr>
              <w:pStyle w:val="TableText"/>
              <w:rPr>
                <w:color w:val="000000" w:themeColor="text1"/>
                <w:lang w:val="en-GB" w:eastAsia="en-GB"/>
              </w:rPr>
            </w:pPr>
            <w:r w:rsidRPr="001053EF">
              <w:t>-0.</w:t>
            </w:r>
            <w:r w:rsidRPr="00AF4690">
              <w:rPr>
                <w:rFonts w:cs="Calibri"/>
                <w:szCs w:val="20"/>
              </w:rPr>
              <w:t>16</w:t>
            </w:r>
          </w:p>
        </w:tc>
        <w:tc>
          <w:tcPr>
            <w:tcW w:w="576" w:type="pct"/>
            <w:shd w:val="clear" w:color="000000" w:fill="FFFFFF"/>
            <w:noWrap/>
            <w:vAlign w:val="center"/>
            <w:hideMark/>
          </w:tcPr>
          <w:p w14:paraId="57BEB1FB" w14:textId="77777777" w:rsidR="00E57B7C" w:rsidRPr="00C20795" w:rsidRDefault="00E57B7C" w:rsidP="00ED0F7E">
            <w:pPr>
              <w:pStyle w:val="TableText"/>
              <w:rPr>
                <w:bCs/>
                <w:color w:val="000000" w:themeColor="text1"/>
                <w:lang w:val="en-GB" w:eastAsia="en-GB"/>
              </w:rPr>
            </w:pPr>
            <w:r w:rsidRPr="001053EF">
              <w:rPr>
                <w:bCs/>
              </w:rPr>
              <w:t>Lutetium dominated</w:t>
            </w:r>
          </w:p>
        </w:tc>
      </w:tr>
      <w:tr w:rsidR="003A732B" w:rsidRPr="00B86104" w14:paraId="388B8D51" w14:textId="77777777" w:rsidTr="008E4F12">
        <w:trPr>
          <w:trHeight w:val="315"/>
        </w:trPr>
        <w:tc>
          <w:tcPr>
            <w:tcW w:w="968" w:type="pct"/>
            <w:shd w:val="clear" w:color="000000" w:fill="FFFFFF"/>
            <w:noWrap/>
            <w:vAlign w:val="center"/>
            <w:hideMark/>
          </w:tcPr>
          <w:p w14:paraId="3570377E" w14:textId="0C0EACD8" w:rsidR="00E57B7C" w:rsidRPr="006E2204" w:rsidRDefault="00E57B7C" w:rsidP="00ED0F7E">
            <w:pPr>
              <w:pStyle w:val="TableText"/>
              <w:rPr>
                <w:color w:val="000000" w:themeColor="text1"/>
                <w:lang w:val="en-GB" w:eastAsia="en-GB"/>
              </w:rPr>
            </w:pPr>
            <w:r>
              <w:rPr>
                <w:color w:val="000000" w:themeColor="text1"/>
                <w:lang w:val="en-GB" w:eastAsia="en-GB"/>
              </w:rPr>
              <w:t>OCT + EVO</w:t>
            </w:r>
          </w:p>
        </w:tc>
        <w:tc>
          <w:tcPr>
            <w:tcW w:w="576" w:type="pct"/>
            <w:shd w:val="clear" w:color="000000" w:fill="FFFFFF"/>
          </w:tcPr>
          <w:p w14:paraId="3C17E4A6" w14:textId="06FA272C" w:rsidR="00E57B7C" w:rsidRPr="001053EF" w:rsidRDefault="006A64D7" w:rsidP="00ED0F7E">
            <w:pPr>
              <w:pStyle w:val="TableText"/>
            </w:pPr>
            <w:r>
              <w:t>$</w:t>
            </w:r>
            <w:r w:rsidR="007A2158">
              <w:t>57,509</w:t>
            </w:r>
          </w:p>
        </w:tc>
        <w:tc>
          <w:tcPr>
            <w:tcW w:w="576" w:type="pct"/>
            <w:shd w:val="clear" w:color="000000" w:fill="FFFFFF"/>
            <w:noWrap/>
            <w:vAlign w:val="center"/>
            <w:hideMark/>
          </w:tcPr>
          <w:p w14:paraId="2D0DA96D" w14:textId="34AAFA30" w:rsidR="00E57B7C" w:rsidRPr="006E2204" w:rsidRDefault="00E57B7C" w:rsidP="00ED0F7E">
            <w:pPr>
              <w:pStyle w:val="TableText"/>
              <w:rPr>
                <w:color w:val="000000" w:themeColor="text1"/>
                <w:lang w:val="en-GB" w:eastAsia="en-GB"/>
              </w:rPr>
            </w:pPr>
            <w:r w:rsidRPr="001053EF">
              <w:t>$</w:t>
            </w:r>
            <w:r w:rsidRPr="00AF4690">
              <w:rPr>
                <w:rFonts w:cs="Calibri"/>
                <w:szCs w:val="20"/>
              </w:rPr>
              <w:t>21,527</w:t>
            </w:r>
          </w:p>
        </w:tc>
        <w:tc>
          <w:tcPr>
            <w:tcW w:w="576" w:type="pct"/>
            <w:shd w:val="clear" w:color="000000" w:fill="FFFFFF"/>
          </w:tcPr>
          <w:p w14:paraId="5F950E05" w14:textId="5453E1F4" w:rsidR="00E57B7C" w:rsidRPr="001053EF" w:rsidRDefault="00DD212E" w:rsidP="00ED0F7E">
            <w:pPr>
              <w:pStyle w:val="TableText"/>
            </w:pPr>
            <w:r>
              <w:t>3.57</w:t>
            </w:r>
          </w:p>
        </w:tc>
        <w:tc>
          <w:tcPr>
            <w:tcW w:w="576" w:type="pct"/>
            <w:shd w:val="clear" w:color="000000" w:fill="FFFFFF"/>
            <w:noWrap/>
            <w:vAlign w:val="center"/>
            <w:hideMark/>
          </w:tcPr>
          <w:p w14:paraId="00298D79" w14:textId="069D676A" w:rsidR="00E57B7C" w:rsidRPr="006E2204" w:rsidRDefault="00E57B7C" w:rsidP="00ED0F7E">
            <w:pPr>
              <w:pStyle w:val="TableText"/>
              <w:rPr>
                <w:color w:val="000000" w:themeColor="text1"/>
                <w:lang w:val="en-GB" w:eastAsia="en-GB"/>
              </w:rPr>
            </w:pPr>
            <w:r w:rsidRPr="001053EF">
              <w:t>1.17</w:t>
            </w:r>
          </w:p>
        </w:tc>
        <w:tc>
          <w:tcPr>
            <w:tcW w:w="576" w:type="pct"/>
            <w:shd w:val="clear" w:color="000000" w:fill="FFFFFF"/>
          </w:tcPr>
          <w:p w14:paraId="32912A55" w14:textId="52C23C0D" w:rsidR="00E57B7C" w:rsidRPr="001053EF" w:rsidRDefault="00CF0C39" w:rsidP="00ED0F7E">
            <w:pPr>
              <w:pStyle w:val="TableText"/>
            </w:pPr>
            <w:r>
              <w:t>2.43</w:t>
            </w:r>
          </w:p>
        </w:tc>
        <w:tc>
          <w:tcPr>
            <w:tcW w:w="576" w:type="pct"/>
            <w:shd w:val="clear" w:color="000000" w:fill="FFFFFF"/>
            <w:noWrap/>
            <w:vAlign w:val="center"/>
            <w:hideMark/>
          </w:tcPr>
          <w:p w14:paraId="55250A63" w14:textId="5280CEFA" w:rsidR="00E57B7C" w:rsidRPr="006E2204" w:rsidRDefault="00E57B7C" w:rsidP="00ED0F7E">
            <w:pPr>
              <w:pStyle w:val="TableText"/>
              <w:rPr>
                <w:color w:val="000000" w:themeColor="text1"/>
                <w:lang w:val="en-GB" w:eastAsia="en-GB"/>
              </w:rPr>
            </w:pPr>
            <w:r w:rsidRPr="001053EF">
              <w:t>1.</w:t>
            </w:r>
            <w:r w:rsidRPr="00AF4690">
              <w:rPr>
                <w:rFonts w:cs="Calibri"/>
                <w:szCs w:val="20"/>
              </w:rPr>
              <w:t>15</w:t>
            </w:r>
          </w:p>
        </w:tc>
        <w:tc>
          <w:tcPr>
            <w:tcW w:w="576" w:type="pct"/>
            <w:shd w:val="clear" w:color="000000" w:fill="FFFFFF"/>
            <w:noWrap/>
            <w:vAlign w:val="center"/>
            <w:hideMark/>
          </w:tcPr>
          <w:p w14:paraId="090C50FC" w14:textId="57AAFB3F" w:rsidR="00E57B7C" w:rsidRPr="00C20795" w:rsidRDefault="00E57B7C" w:rsidP="00ED0F7E">
            <w:pPr>
              <w:pStyle w:val="TableText"/>
              <w:rPr>
                <w:bCs/>
                <w:color w:val="000000" w:themeColor="text1"/>
                <w:lang w:val="en-GB" w:eastAsia="en-GB"/>
              </w:rPr>
            </w:pPr>
            <w:r w:rsidRPr="001053EF">
              <w:rPr>
                <w:bCs/>
              </w:rPr>
              <w:t>$</w:t>
            </w:r>
            <w:r w:rsidRPr="001053EF">
              <w:rPr>
                <w:rFonts w:cs="Calibri"/>
                <w:bCs/>
                <w:szCs w:val="20"/>
              </w:rPr>
              <w:t>18,643</w:t>
            </w:r>
          </w:p>
        </w:tc>
      </w:tr>
    </w:tbl>
    <w:p w14:paraId="5A189A0E" w14:textId="1E4CDEB4" w:rsidR="0000312B" w:rsidRDefault="00DF5D3C" w:rsidP="00C20795">
      <w:pPr>
        <w:pStyle w:val="Tablenotes0"/>
      </w:pPr>
      <w:r w:rsidRPr="00C20795">
        <w:t>Abbreviations</w:t>
      </w:r>
      <w:r w:rsidRPr="001053EF">
        <w:t xml:space="preserve">: </w:t>
      </w:r>
      <w:r w:rsidR="0000312B" w:rsidRPr="00C20795">
        <w:t>EVO = everolimus</w:t>
      </w:r>
      <w:r w:rsidR="0000312B" w:rsidRPr="009B07CB">
        <w:t>;</w:t>
      </w:r>
      <w:r w:rsidR="0000312B" w:rsidRPr="0000312B">
        <w:t xml:space="preserve"> ICER = incremental cost-effectiveness ratio; LAN = lanreotide, </w:t>
      </w:r>
      <w:r w:rsidR="0000312B" w:rsidRPr="001053EF">
        <w:t>LY = life year;</w:t>
      </w:r>
      <w:r w:rsidR="0000312B" w:rsidRPr="00C20795">
        <w:t xml:space="preserve"> </w:t>
      </w:r>
      <w:r w:rsidR="0000312B" w:rsidRPr="009B07CB">
        <w:t>OCT = octreotide</w:t>
      </w:r>
      <w:r w:rsidR="0000312B" w:rsidRPr="0000312B">
        <w:t xml:space="preserve">; OCT+EVO = octreotide plus everolimus combination therapy; PBO = placebo; </w:t>
      </w:r>
      <w:r w:rsidR="0000312B" w:rsidRPr="001053EF">
        <w:t>QALY = quality-adjusted life year;</w:t>
      </w:r>
      <w:r w:rsidR="0000312B" w:rsidRPr="00C20795">
        <w:t xml:space="preserve"> </w:t>
      </w:r>
      <w:r w:rsidR="0000312B" w:rsidRPr="009B07CB">
        <w:t>SUN =sunitinib</w:t>
      </w:r>
    </w:p>
    <w:p w14:paraId="2F3B26A7" w14:textId="3D9FFF16" w:rsidR="000C0EAE" w:rsidRPr="0000312B" w:rsidRDefault="000C0EAE" w:rsidP="00C20795">
      <w:pPr>
        <w:pStyle w:val="Tablenotes0"/>
      </w:pPr>
      <w:r>
        <w:t>Source: updated by department following ESC advice</w:t>
      </w:r>
    </w:p>
    <w:p w14:paraId="08713698" w14:textId="47BAC44D" w:rsidR="00DF5D3C" w:rsidRDefault="00DF5D3C" w:rsidP="001053EF">
      <w:r w:rsidRPr="00B86104">
        <w:t xml:space="preserve">For all comparator therapies other than </w:t>
      </w:r>
      <w:r>
        <w:t>s</w:t>
      </w:r>
      <w:r w:rsidRPr="00B86104">
        <w:t xml:space="preserve">unitinib, </w:t>
      </w:r>
      <w:r w:rsidRPr="003602E5">
        <w:rPr>
          <w:vertAlign w:val="superscript"/>
        </w:rPr>
        <w:t>177</w:t>
      </w:r>
      <w:r w:rsidRPr="00B86104">
        <w:t>Lu-</w:t>
      </w:r>
      <w:r w:rsidR="00607D95">
        <w:t xml:space="preserve">DOTA-octreotate </w:t>
      </w:r>
      <w:r w:rsidRPr="00B86104">
        <w:t>resulted in additional total cost, leading to an incremental cost range of $20,</w:t>
      </w:r>
      <w:r w:rsidR="00C50F9F">
        <w:t>239</w:t>
      </w:r>
      <w:r w:rsidRPr="00B86104">
        <w:t xml:space="preserve"> to $47,</w:t>
      </w:r>
      <w:r w:rsidR="00C50F9F" w:rsidRPr="00B86104">
        <w:t>5</w:t>
      </w:r>
      <w:r w:rsidR="00C50F9F">
        <w:t>80</w:t>
      </w:r>
      <w:r w:rsidRPr="00B86104">
        <w:t xml:space="preserve">. This additional cost was associated with substantial improvements </w:t>
      </w:r>
      <w:r>
        <w:t>in total life years and QALYs</w:t>
      </w:r>
      <w:r w:rsidR="00EE16F2">
        <w:t>,</w:t>
      </w:r>
      <w:r>
        <w:t xml:space="preserve"> ranging from 0.58 to 1.47 life years and 0.8</w:t>
      </w:r>
      <w:r w:rsidR="007D09AA">
        <w:t>3</w:t>
      </w:r>
      <w:r>
        <w:t xml:space="preserve"> to 1.</w:t>
      </w:r>
      <w:r w:rsidR="007D09AA">
        <w:t>50</w:t>
      </w:r>
      <w:r>
        <w:t xml:space="preserve"> QALYs. </w:t>
      </w:r>
      <w:r w:rsidRPr="00CC0CC2">
        <w:rPr>
          <w:vertAlign w:val="superscript"/>
        </w:rPr>
        <w:t>177</w:t>
      </w:r>
      <w:r w:rsidRPr="00AF40EA">
        <w:t>Lu-</w:t>
      </w:r>
      <w:r w:rsidR="00607D95">
        <w:t xml:space="preserve">DOTA-octreotate </w:t>
      </w:r>
      <w:r>
        <w:t xml:space="preserve">compared with </w:t>
      </w:r>
      <w:r w:rsidR="00997DCB">
        <w:t>s</w:t>
      </w:r>
      <w:r>
        <w:t>unitinib results in additional total costs of $2</w:t>
      </w:r>
      <w:r w:rsidR="00E645A8">
        <w:t>2,</w:t>
      </w:r>
      <w:r w:rsidR="009326BD">
        <w:t>924.60</w:t>
      </w:r>
      <w:r>
        <w:t xml:space="preserve"> with a reduction of 1.02 life years and 0.</w:t>
      </w:r>
      <w:r w:rsidR="00E645A8">
        <w:t>16</w:t>
      </w:r>
      <w:r>
        <w:t xml:space="preserve"> QALYs. In the base case analysis</w:t>
      </w:r>
      <w:r w:rsidR="00EE16F2">
        <w:t>,</w:t>
      </w:r>
      <w:r>
        <w:t xml:space="preserve"> </w:t>
      </w:r>
      <w:r w:rsidRPr="00CC0CC2">
        <w:rPr>
          <w:vertAlign w:val="superscript"/>
        </w:rPr>
        <w:t>177</w:t>
      </w:r>
      <w:r w:rsidRPr="00AF40EA">
        <w:t>Lu-</w:t>
      </w:r>
      <w:r w:rsidR="00607D95">
        <w:t xml:space="preserve">DOTA-octreotate </w:t>
      </w:r>
      <w:r>
        <w:t xml:space="preserve">cannot be considered cost-effective versus sunitinib. </w:t>
      </w:r>
    </w:p>
    <w:p w14:paraId="74B15D04" w14:textId="26D037CE" w:rsidR="00DF5D3C" w:rsidRPr="008D70C2" w:rsidRDefault="00DF5D3C" w:rsidP="001053EF">
      <w:r>
        <w:t xml:space="preserve">These cost-effectiveness results directly align to the results of </w:t>
      </w:r>
      <w:r w:rsidRPr="00B30472">
        <w:t>the NMA</w:t>
      </w:r>
      <w:r>
        <w:t>, which showed that</w:t>
      </w:r>
      <w:r w:rsidRPr="00B30472">
        <w:t xml:space="preserve"> </w:t>
      </w:r>
      <w:r w:rsidRPr="001345FE">
        <w:rPr>
          <w:vertAlign w:val="superscript"/>
        </w:rPr>
        <w:t>177</w:t>
      </w:r>
      <w:r w:rsidRPr="001345FE">
        <w:t>Lu-DOTATATE</w:t>
      </w:r>
      <w:r w:rsidRPr="00050981">
        <w:rPr>
          <w:rFonts w:ascii="Arial Narrow" w:hAnsi="Arial Narrow"/>
        </w:rPr>
        <w:t xml:space="preserve"> </w:t>
      </w:r>
      <w:r w:rsidR="006D095E">
        <w:t>i</w:t>
      </w:r>
      <w:r w:rsidRPr="00B30472">
        <w:t>s associated with statistically significant improvements in PFS</w:t>
      </w:r>
      <w:r>
        <w:t xml:space="preserve"> and</w:t>
      </w:r>
      <w:r w:rsidRPr="00B30472">
        <w:t xml:space="preserve"> comparable </w:t>
      </w:r>
      <w:r>
        <w:t>OS, with n</w:t>
      </w:r>
      <w:r w:rsidRPr="00756E08">
        <w:t>ominally favourable outcomes observed</w:t>
      </w:r>
      <w:r w:rsidR="006D095E">
        <w:t xml:space="preserve"> for</w:t>
      </w:r>
      <w:r w:rsidRPr="00756E08">
        <w:t xml:space="preserve"> </w:t>
      </w:r>
      <w:r w:rsidR="00523D53" w:rsidRPr="001345FE">
        <w:rPr>
          <w:vertAlign w:val="superscript"/>
        </w:rPr>
        <w:t>177</w:t>
      </w:r>
      <w:r w:rsidR="00523D53" w:rsidRPr="001345FE">
        <w:t>Lu-DOTATATE</w:t>
      </w:r>
      <w:r w:rsidR="00523D53" w:rsidRPr="00050981">
        <w:rPr>
          <w:rFonts w:ascii="Arial Narrow" w:hAnsi="Arial Narrow"/>
        </w:rPr>
        <w:t xml:space="preserve"> </w:t>
      </w:r>
      <w:r w:rsidRPr="00756E08">
        <w:t xml:space="preserve">versus </w:t>
      </w:r>
      <w:r w:rsidR="00C23322">
        <w:t xml:space="preserve">octreotide + everolimus </w:t>
      </w:r>
      <w:r w:rsidR="00C23322">
        <w:lastRenderedPageBreak/>
        <w:t>combination therapy,</w:t>
      </w:r>
      <w:r w:rsidRPr="00756E08">
        <w:t xml:space="preserve"> everolimus, octreotid</w:t>
      </w:r>
      <w:r>
        <w:t>e</w:t>
      </w:r>
      <w:r w:rsidRPr="00756E08">
        <w:t xml:space="preserve"> and placebo/BSC</w:t>
      </w:r>
      <w:r w:rsidR="00124FA6">
        <w:t>;</w:t>
      </w:r>
      <w:r w:rsidRPr="00756E08">
        <w:t xml:space="preserve"> and nominally less favourable outcomes versus sunitinib.</w:t>
      </w:r>
    </w:p>
    <w:p w14:paraId="53909F1D" w14:textId="003734D5" w:rsidR="008D70C2" w:rsidRDefault="008D70C2" w:rsidP="00C20795">
      <w:bookmarkStart w:id="100" w:name="_Ref69726321"/>
      <w:r>
        <w:t xml:space="preserve">Scenario analyses were conducted to test the robustness of the model to alternative model inputs and assumptions. As the primary driver of the model relates to the comparative efficacy of alternative treatment strategies, scenarios using the upper and lower range estimates of the hazard ratios </w:t>
      </w:r>
      <w:r w:rsidR="00F243EA">
        <w:t xml:space="preserve">of OS and PFS </w:t>
      </w:r>
      <w:r w:rsidR="009A6C66">
        <w:t>we</w:t>
      </w:r>
      <w:r>
        <w:t xml:space="preserve">re used. </w:t>
      </w:r>
      <w:r w:rsidR="008835AA">
        <w:t xml:space="preserve">The key drivers of the model are discussed in </w:t>
      </w:r>
      <w:r w:rsidR="008835AA">
        <w:fldChar w:fldCharType="begin"/>
      </w:r>
      <w:r w:rsidR="008835AA">
        <w:instrText xml:space="preserve"> REF _Ref160462652 \h </w:instrText>
      </w:r>
      <w:r w:rsidR="0000312B">
        <w:instrText xml:space="preserve"> \* MERGEFORMAT </w:instrText>
      </w:r>
      <w:r w:rsidR="008835AA">
        <w:fldChar w:fldCharType="separate"/>
      </w:r>
      <w:r w:rsidR="0084549C" w:rsidRPr="00CE28E3">
        <w:t>Table</w:t>
      </w:r>
      <w:r w:rsidR="0084549C">
        <w:t xml:space="preserve"> </w:t>
      </w:r>
      <w:r w:rsidR="0084549C">
        <w:rPr>
          <w:noProof/>
        </w:rPr>
        <w:t>13</w:t>
      </w:r>
      <w:r w:rsidR="008835AA">
        <w:fldChar w:fldCharType="end"/>
      </w:r>
      <w:r w:rsidR="008835AA">
        <w:t xml:space="preserve">, and a summary of corresponding one-way sensitivity analyses </w:t>
      </w:r>
      <w:r w:rsidR="009A6C66">
        <w:t xml:space="preserve">is </w:t>
      </w:r>
      <w:r w:rsidR="008835AA">
        <w:t>presented in</w:t>
      </w:r>
      <w:r w:rsidR="0008343A">
        <w:t xml:space="preserve"> </w:t>
      </w:r>
      <w:r w:rsidR="0008343A">
        <w:fldChar w:fldCharType="begin"/>
      </w:r>
      <w:r w:rsidR="0008343A">
        <w:instrText xml:space="preserve"> REF _Ref160472682 \h </w:instrText>
      </w:r>
      <w:r w:rsidR="0000312B">
        <w:instrText xml:space="preserve"> \* MERGEFORMAT </w:instrText>
      </w:r>
      <w:r w:rsidR="0008343A">
        <w:fldChar w:fldCharType="separate"/>
      </w:r>
      <w:r w:rsidR="0084549C">
        <w:t xml:space="preserve">Table </w:t>
      </w:r>
      <w:r w:rsidR="0084549C">
        <w:rPr>
          <w:noProof/>
        </w:rPr>
        <w:t>14</w:t>
      </w:r>
      <w:r w:rsidR="0008343A">
        <w:fldChar w:fldCharType="end"/>
      </w:r>
      <w:r w:rsidR="008835AA">
        <w:t>.</w:t>
      </w:r>
    </w:p>
    <w:p w14:paraId="708EBBC4" w14:textId="60F280D4" w:rsidR="002F32FB" w:rsidRPr="00CE28E3" w:rsidRDefault="002F32FB" w:rsidP="002F32FB">
      <w:pPr>
        <w:pStyle w:val="Caption"/>
      </w:pPr>
      <w:bookmarkStart w:id="101" w:name="_Ref160462652"/>
      <w:bookmarkStart w:id="102" w:name="_Toc161842047"/>
      <w:r w:rsidRPr="00CE28E3">
        <w:t>Table</w:t>
      </w:r>
      <w:r w:rsidR="007C059C">
        <w:t xml:space="preserve"> </w:t>
      </w:r>
      <w:r w:rsidR="006D13BC">
        <w:fldChar w:fldCharType="begin"/>
      </w:r>
      <w:r w:rsidR="006D13BC">
        <w:instrText xml:space="preserve"> SEQ Table \* ARABIC </w:instrText>
      </w:r>
      <w:r w:rsidR="006D13BC">
        <w:fldChar w:fldCharType="separate"/>
      </w:r>
      <w:r w:rsidR="006D13BC">
        <w:rPr>
          <w:noProof/>
        </w:rPr>
        <w:t>13</w:t>
      </w:r>
      <w:r w:rsidR="006D13BC">
        <w:rPr>
          <w:noProof/>
        </w:rPr>
        <w:fldChar w:fldCharType="end"/>
      </w:r>
      <w:bookmarkEnd w:id="100"/>
      <w:bookmarkEnd w:id="101"/>
      <w:r w:rsidR="006B4806">
        <w:rPr>
          <w:noProof/>
        </w:rPr>
        <w:t>:</w:t>
      </w:r>
      <w:r w:rsidR="00A633C5">
        <w:rPr>
          <w:noProof/>
        </w:rPr>
        <w:t xml:space="preserve"> </w:t>
      </w:r>
      <w:r w:rsidRPr="00CE28E3">
        <w:t>Key drivers of the</w:t>
      </w:r>
      <w:r w:rsidR="00C23322">
        <w:t xml:space="preserve"> economic</w:t>
      </w:r>
      <w:r w:rsidRPr="00CE28E3">
        <w:t xml:space="preserve"> model</w:t>
      </w:r>
      <w:r w:rsidR="00C23322">
        <w:t xml:space="preserve"> for </w:t>
      </w:r>
      <w:r w:rsidR="00C23322" w:rsidRPr="0031493D">
        <w:rPr>
          <w:vertAlign w:val="superscript"/>
        </w:rPr>
        <w:t>177</w:t>
      </w:r>
      <w:r w:rsidR="00C23322">
        <w:t>Lu-DOTA-octreotate</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9"/>
        <w:gridCol w:w="5103"/>
        <w:gridCol w:w="2784"/>
      </w:tblGrid>
      <w:tr w:rsidR="002F32FB" w:rsidRPr="00CE28E3" w14:paraId="11B0BC91" w14:textId="77777777" w:rsidTr="00ED0F7E">
        <w:trPr>
          <w:tblHeader/>
        </w:trPr>
        <w:tc>
          <w:tcPr>
            <w:tcW w:w="626" w:type="pct"/>
            <w:shd w:val="clear" w:color="auto" w:fill="auto"/>
            <w:vAlign w:val="center"/>
          </w:tcPr>
          <w:p w14:paraId="2EC6365B" w14:textId="77777777" w:rsidR="002F32FB" w:rsidRPr="00CE28E3" w:rsidRDefault="002F32FB" w:rsidP="00ED0F7E">
            <w:pPr>
              <w:pStyle w:val="TableHeading0"/>
            </w:pPr>
            <w:bookmarkStart w:id="103" w:name="Title_Table10" w:colFirst="0" w:colLast="0"/>
            <w:bookmarkStart w:id="104" w:name="_Hlk68276626"/>
            <w:r w:rsidRPr="00CE28E3">
              <w:t>Description</w:t>
            </w:r>
          </w:p>
        </w:tc>
        <w:tc>
          <w:tcPr>
            <w:tcW w:w="2830" w:type="pct"/>
            <w:shd w:val="clear" w:color="auto" w:fill="auto"/>
            <w:vAlign w:val="center"/>
          </w:tcPr>
          <w:p w14:paraId="0520071F" w14:textId="77777777" w:rsidR="002F32FB" w:rsidRPr="00CE28E3" w:rsidRDefault="002F32FB" w:rsidP="00ED0F7E">
            <w:pPr>
              <w:pStyle w:val="TableHeading0"/>
            </w:pPr>
            <w:r w:rsidRPr="00CE28E3">
              <w:t>Method/Value</w:t>
            </w:r>
          </w:p>
        </w:tc>
        <w:tc>
          <w:tcPr>
            <w:tcW w:w="1544" w:type="pct"/>
            <w:shd w:val="clear" w:color="auto" w:fill="auto"/>
            <w:vAlign w:val="center"/>
          </w:tcPr>
          <w:p w14:paraId="66E24653" w14:textId="134349A0" w:rsidR="002F32FB" w:rsidRPr="00CE28E3" w:rsidRDefault="002F32FB" w:rsidP="00ED0F7E">
            <w:pPr>
              <w:pStyle w:val="TableHeading0"/>
            </w:pPr>
            <w:r w:rsidRPr="00CE28E3">
              <w:t>Impact</w:t>
            </w:r>
          </w:p>
        </w:tc>
      </w:tr>
      <w:bookmarkEnd w:id="103"/>
      <w:tr w:rsidR="002F32FB" w:rsidRPr="00CE28E3" w14:paraId="65F2DB8D" w14:textId="77777777" w:rsidTr="00ED0F7E">
        <w:tc>
          <w:tcPr>
            <w:tcW w:w="626" w:type="pct"/>
            <w:shd w:val="clear" w:color="auto" w:fill="auto"/>
            <w:vAlign w:val="center"/>
          </w:tcPr>
          <w:p w14:paraId="443EB50E" w14:textId="78760619" w:rsidR="002F32FB" w:rsidRPr="00CE28E3" w:rsidRDefault="00F243EA" w:rsidP="00ED0F7E">
            <w:pPr>
              <w:pStyle w:val="TableText"/>
              <w:rPr>
                <w:lang w:val="en-US"/>
              </w:rPr>
            </w:pPr>
            <w:r>
              <w:rPr>
                <w:lang w:val="en-US"/>
              </w:rPr>
              <w:t>Treatment effect</w:t>
            </w:r>
          </w:p>
        </w:tc>
        <w:tc>
          <w:tcPr>
            <w:tcW w:w="2830" w:type="pct"/>
            <w:shd w:val="clear" w:color="auto" w:fill="auto"/>
            <w:vAlign w:val="center"/>
          </w:tcPr>
          <w:p w14:paraId="0EB50894" w14:textId="077DF6DA" w:rsidR="002F32FB" w:rsidRPr="00CE28E3" w:rsidRDefault="001205CF" w:rsidP="003B61B7">
            <w:pPr>
              <w:pStyle w:val="TableText"/>
              <w:rPr>
                <w:lang w:val="en-US"/>
              </w:rPr>
            </w:pPr>
            <w:r>
              <w:rPr>
                <w:lang w:val="en-US"/>
              </w:rPr>
              <w:t>HRs</w:t>
            </w:r>
            <w:r w:rsidR="00F243EA">
              <w:rPr>
                <w:lang w:val="en-US"/>
              </w:rPr>
              <w:t xml:space="preserve"> </w:t>
            </w:r>
            <w:r w:rsidR="000F3D1F">
              <w:rPr>
                <w:lang w:val="en-US"/>
              </w:rPr>
              <w:t xml:space="preserve">associated with treatment </w:t>
            </w:r>
            <w:r w:rsidR="00F243EA">
              <w:rPr>
                <w:lang w:val="en-US"/>
              </w:rPr>
              <w:t xml:space="preserve">for </w:t>
            </w:r>
            <w:r w:rsidR="000F3D1F">
              <w:rPr>
                <w:lang w:val="en-US"/>
              </w:rPr>
              <w:t xml:space="preserve">OS and PFS are the main model drivers in terms of cost-effectiveness. Scenarios exploring the upper and lower 95% </w:t>
            </w:r>
            <w:proofErr w:type="spellStart"/>
            <w:r w:rsidR="000F3D1F">
              <w:rPr>
                <w:lang w:val="en-US"/>
              </w:rPr>
              <w:t>CrI</w:t>
            </w:r>
            <w:proofErr w:type="spellEnd"/>
            <w:r w:rsidR="000F3D1F">
              <w:rPr>
                <w:lang w:val="en-US"/>
              </w:rPr>
              <w:t xml:space="preserve"> of estimated HRs from the conducted </w:t>
            </w:r>
            <w:r w:rsidR="00067845">
              <w:rPr>
                <w:lang w:val="en-US"/>
              </w:rPr>
              <w:t xml:space="preserve">indirect treatment comparison </w:t>
            </w:r>
            <w:r w:rsidR="000F3D1F">
              <w:rPr>
                <w:lang w:val="en-US"/>
              </w:rPr>
              <w:t>are applied in sensitivity analys</w:t>
            </w:r>
            <w:r w:rsidR="009A6C66">
              <w:rPr>
                <w:lang w:val="en-US"/>
              </w:rPr>
              <w:t>e</w:t>
            </w:r>
            <w:r w:rsidR="000F3D1F">
              <w:rPr>
                <w:lang w:val="en-US"/>
              </w:rPr>
              <w:t>s.</w:t>
            </w:r>
          </w:p>
        </w:tc>
        <w:tc>
          <w:tcPr>
            <w:tcW w:w="1544" w:type="pct"/>
            <w:shd w:val="clear" w:color="auto" w:fill="auto"/>
            <w:vAlign w:val="center"/>
          </w:tcPr>
          <w:p w14:paraId="64444265" w14:textId="0673B721" w:rsidR="002F32FB" w:rsidRPr="00CC0CC2" w:rsidRDefault="00757AF7" w:rsidP="00ED0F7E">
            <w:pPr>
              <w:pStyle w:val="TableText"/>
            </w:pPr>
            <w:r w:rsidRPr="00CC0CC2">
              <w:t>Using the lower limits of estimated HRs can significantly increase the estimated ICER</w:t>
            </w:r>
            <w:r w:rsidR="000D0C57" w:rsidRPr="00CC0CC2">
              <w:t xml:space="preserve">, leading </w:t>
            </w:r>
            <w:r w:rsidR="001205CF" w:rsidRPr="00CC0CC2">
              <w:rPr>
                <w:vertAlign w:val="superscript"/>
              </w:rPr>
              <w:t>177</w:t>
            </w:r>
            <w:r w:rsidR="001205CF" w:rsidRPr="00CC0CC2">
              <w:t>Lu-DOTATATE</w:t>
            </w:r>
            <w:r w:rsidR="000D0C57" w:rsidRPr="00CC0CC2">
              <w:t xml:space="preserve"> to be dominated by </w:t>
            </w:r>
            <w:r w:rsidR="00872479" w:rsidRPr="00CC0CC2">
              <w:t>BSC and everolimus monotherapy.</w:t>
            </w:r>
          </w:p>
          <w:p w14:paraId="4E7B2979" w14:textId="20452DBB" w:rsidR="002F32FB" w:rsidRPr="00CE28E3" w:rsidRDefault="003051AF" w:rsidP="00ED0F7E">
            <w:pPr>
              <w:pStyle w:val="TableText"/>
              <w:rPr>
                <w:lang w:val="en-US"/>
              </w:rPr>
            </w:pPr>
            <w:r w:rsidRPr="00CC0CC2">
              <w:t>Using the u</w:t>
            </w:r>
            <w:r w:rsidR="00872479" w:rsidRPr="00CC0CC2">
              <w:t xml:space="preserve">pper limits of HRs </w:t>
            </w:r>
            <w:r w:rsidR="000A2C19" w:rsidRPr="00CC0CC2">
              <w:t xml:space="preserve">resulted in ICERs versus all comparators below </w:t>
            </w:r>
            <w:r w:rsidR="00205DAC" w:rsidRPr="00CC0CC2">
              <w:t>$24,000/QALY</w:t>
            </w:r>
            <w:r w:rsidR="00205DAC">
              <w:rPr>
                <w:lang w:val="en-US"/>
              </w:rPr>
              <w:t>.</w:t>
            </w:r>
          </w:p>
        </w:tc>
      </w:tr>
      <w:tr w:rsidR="002F32FB" w:rsidRPr="00CE28E3" w14:paraId="6395056A" w14:textId="77777777" w:rsidTr="00ED0F7E">
        <w:tc>
          <w:tcPr>
            <w:tcW w:w="626" w:type="pct"/>
            <w:shd w:val="clear" w:color="auto" w:fill="auto"/>
            <w:vAlign w:val="center"/>
          </w:tcPr>
          <w:p w14:paraId="30DD8CD6" w14:textId="77777777" w:rsidR="002F32FB" w:rsidRPr="00CE28E3" w:rsidRDefault="002F32FB" w:rsidP="00ED0F7E">
            <w:pPr>
              <w:pStyle w:val="TableText"/>
              <w:rPr>
                <w:lang w:val="en-US"/>
              </w:rPr>
            </w:pPr>
            <w:r w:rsidRPr="00CE28E3">
              <w:rPr>
                <w:lang w:val="en-US"/>
              </w:rPr>
              <w:t>Utilities</w:t>
            </w:r>
          </w:p>
        </w:tc>
        <w:tc>
          <w:tcPr>
            <w:tcW w:w="2830" w:type="pct"/>
            <w:shd w:val="clear" w:color="auto" w:fill="auto"/>
            <w:vAlign w:val="center"/>
          </w:tcPr>
          <w:p w14:paraId="3E70B4B3" w14:textId="22B81490" w:rsidR="002F32FB" w:rsidRPr="00CE28E3" w:rsidRDefault="001205CF" w:rsidP="003B61B7">
            <w:pPr>
              <w:pStyle w:val="TableText"/>
              <w:rPr>
                <w:lang w:val="en-US"/>
              </w:rPr>
            </w:pPr>
            <w:r>
              <w:rPr>
                <w:lang w:val="en-US"/>
              </w:rPr>
              <w:t>The model is sensitive to the choice of health state utility values.</w:t>
            </w:r>
          </w:p>
        </w:tc>
        <w:tc>
          <w:tcPr>
            <w:tcW w:w="1544" w:type="pct"/>
            <w:shd w:val="clear" w:color="auto" w:fill="auto"/>
            <w:vAlign w:val="center"/>
          </w:tcPr>
          <w:p w14:paraId="04D11165" w14:textId="18F81004" w:rsidR="002F32FB" w:rsidRPr="00CC0CC2" w:rsidRDefault="001205CF" w:rsidP="00ED0F7E">
            <w:pPr>
              <w:pStyle w:val="TableText"/>
            </w:pPr>
            <w:r w:rsidRPr="00CC0CC2">
              <w:t xml:space="preserve">Increased utilities in the pre-progression health state or decreased utilities in the progressed disease health state can significantly improve the cost-effectiveness of </w:t>
            </w:r>
            <w:r w:rsidRPr="00CC0CC2">
              <w:rPr>
                <w:vertAlign w:val="superscript"/>
              </w:rPr>
              <w:t>177</w:t>
            </w:r>
            <w:r w:rsidRPr="00CC0CC2">
              <w:t>Lu-DOTATATE</w:t>
            </w:r>
          </w:p>
        </w:tc>
      </w:tr>
    </w:tbl>
    <w:p w14:paraId="56B372CD" w14:textId="1C7A92AD" w:rsidR="0045093D" w:rsidRPr="00CE28E3" w:rsidRDefault="0007684D" w:rsidP="00CC0CC2">
      <w:pPr>
        <w:pStyle w:val="Tablenotes0"/>
      </w:pPr>
      <w:bookmarkStart w:id="105" w:name="_Hlk68276635"/>
      <w:bookmarkEnd w:id="104"/>
      <w:r>
        <w:t xml:space="preserve">Abbreviations: </w:t>
      </w:r>
      <w:r w:rsidR="00205DAC">
        <w:t xml:space="preserve">BSC = best supportive care; </w:t>
      </w:r>
      <w:proofErr w:type="spellStart"/>
      <w:r w:rsidR="007028D3">
        <w:t>CrI</w:t>
      </w:r>
      <w:proofErr w:type="spellEnd"/>
      <w:r w:rsidR="007028D3">
        <w:t xml:space="preserve"> = credible interval;</w:t>
      </w:r>
      <w:r w:rsidR="00205DAC">
        <w:t xml:space="preserve"> </w:t>
      </w:r>
      <w:r w:rsidR="001205CF">
        <w:t xml:space="preserve">HR = hazard ratio; </w:t>
      </w:r>
      <w:r w:rsidR="0045093D" w:rsidRPr="00CE28E3">
        <w:t xml:space="preserve">ICER = incremental cost-effectiveness ratio; </w:t>
      </w:r>
      <w:r w:rsidR="008835AA">
        <w:t>OS = overall survival; PFS = progression</w:t>
      </w:r>
      <w:r w:rsidR="0076014A">
        <w:t>-</w:t>
      </w:r>
      <w:r w:rsidR="008835AA">
        <w:t xml:space="preserve">free survival; </w:t>
      </w:r>
      <w:r w:rsidR="0045093D" w:rsidRPr="00CE28E3">
        <w:t>QALY = quality-adjusted life year</w:t>
      </w:r>
      <w:r w:rsidR="0045093D">
        <w:t>.</w:t>
      </w:r>
    </w:p>
    <w:p w14:paraId="4AC2BD5B" w14:textId="05B830C3" w:rsidR="00E17E34" w:rsidRPr="00E17E34" w:rsidRDefault="007C059C" w:rsidP="00994611">
      <w:pPr>
        <w:pStyle w:val="Caption"/>
      </w:pPr>
      <w:bookmarkStart w:id="106" w:name="_Ref160472682"/>
      <w:bookmarkStart w:id="107" w:name="_Ref160472676"/>
      <w:bookmarkStart w:id="108" w:name="_Toc161842048"/>
      <w:r>
        <w:t xml:space="preserve">Table </w:t>
      </w:r>
      <w:r w:rsidR="00183F39">
        <w:fldChar w:fldCharType="begin"/>
      </w:r>
      <w:r w:rsidR="00183F39">
        <w:rPr>
          <w:b w:val="0"/>
        </w:rPr>
        <w:instrText xml:space="preserve"> SEQ Table \* ARABIC </w:instrText>
      </w:r>
      <w:r w:rsidR="00183F39">
        <w:fldChar w:fldCharType="separate"/>
      </w:r>
      <w:r w:rsidR="006D13BC">
        <w:rPr>
          <w:noProof/>
        </w:rPr>
        <w:t>14</w:t>
      </w:r>
      <w:r w:rsidR="00183F39">
        <w:fldChar w:fldCharType="end"/>
      </w:r>
      <w:bookmarkEnd w:id="106"/>
      <w:r>
        <w:t>: Sensitivity analyses</w:t>
      </w:r>
      <w:bookmarkEnd w:id="107"/>
      <w:r w:rsidR="00C23322">
        <w:t xml:space="preserve"> for economic evaluation of </w:t>
      </w:r>
      <w:r w:rsidR="00C23322" w:rsidRPr="0031493D">
        <w:rPr>
          <w:vertAlign w:val="superscript"/>
        </w:rPr>
        <w:t>177</w:t>
      </w:r>
      <w:r w:rsidR="00C23322">
        <w:t>Lu-DOTA-octreotate</w:t>
      </w:r>
      <w:bookmarkEnd w:id="108"/>
      <w:r w:rsidR="007C098F">
        <w:t xml:space="preserve">; </w:t>
      </w:r>
      <w:r w:rsidR="00104571">
        <w:t>[</w:t>
      </w:r>
      <w:r w:rsidR="007C098F" w:rsidRPr="00994611">
        <w:rPr>
          <w:i/>
        </w:rPr>
        <w:t>plus ESC indicative sensitivity analyses</w:t>
      </w:r>
      <w:r w:rsidR="00104571">
        <w:rPr>
          <w:i/>
          <w:iCs/>
        </w:rPr>
        <w:t>]</w:t>
      </w:r>
    </w:p>
    <w:tbl>
      <w:tblPr>
        <w:tblStyle w:val="TableGrid"/>
        <w:tblW w:w="5000" w:type="pct"/>
        <w:tblLayout w:type="fixed"/>
        <w:tblLook w:val="04A0" w:firstRow="1" w:lastRow="0" w:firstColumn="1" w:lastColumn="0" w:noHBand="0" w:noVBand="1"/>
      </w:tblPr>
      <w:tblGrid>
        <w:gridCol w:w="1481"/>
        <w:gridCol w:w="1023"/>
        <w:gridCol w:w="1601"/>
        <w:gridCol w:w="851"/>
        <w:gridCol w:w="1702"/>
        <w:gridCol w:w="851"/>
        <w:gridCol w:w="1507"/>
      </w:tblGrid>
      <w:tr w:rsidR="00390F2D" w:rsidRPr="00230861" w14:paraId="52D96721" w14:textId="77777777" w:rsidTr="001053EF">
        <w:trPr>
          <w:cantSplit/>
          <w:tblHeader/>
        </w:trPr>
        <w:tc>
          <w:tcPr>
            <w:tcW w:w="821" w:type="pct"/>
            <w:shd w:val="clear" w:color="auto" w:fill="auto"/>
          </w:tcPr>
          <w:p w14:paraId="715188F4" w14:textId="77777777" w:rsidR="00CE5700" w:rsidRPr="00F76546" w:rsidRDefault="00CE5700" w:rsidP="00ED0F7E">
            <w:pPr>
              <w:pStyle w:val="TableHeading0"/>
            </w:pPr>
            <w:r w:rsidRPr="00F76546">
              <w:t>Scenario</w:t>
            </w:r>
          </w:p>
        </w:tc>
        <w:tc>
          <w:tcPr>
            <w:tcW w:w="567" w:type="pct"/>
            <w:shd w:val="clear" w:color="auto" w:fill="auto"/>
            <w:vAlign w:val="center"/>
          </w:tcPr>
          <w:p w14:paraId="5FFFE104" w14:textId="77777777" w:rsidR="00CE5700" w:rsidRPr="00F76546" w:rsidRDefault="00CE5700" w:rsidP="00ED0F7E">
            <w:pPr>
              <w:pStyle w:val="TableHeading0"/>
            </w:pPr>
            <w:r w:rsidRPr="00F76546">
              <w:t>Base case value</w:t>
            </w:r>
          </w:p>
        </w:tc>
        <w:tc>
          <w:tcPr>
            <w:tcW w:w="888" w:type="pct"/>
            <w:shd w:val="clear" w:color="auto" w:fill="auto"/>
            <w:vAlign w:val="center"/>
          </w:tcPr>
          <w:p w14:paraId="76683157" w14:textId="77777777" w:rsidR="00CE5700" w:rsidRPr="00F76546" w:rsidRDefault="00CE5700" w:rsidP="00ED0F7E">
            <w:pPr>
              <w:pStyle w:val="TableHeading0"/>
            </w:pPr>
            <w:r w:rsidRPr="00F76546">
              <w:t>ICER result</w:t>
            </w:r>
          </w:p>
        </w:tc>
        <w:tc>
          <w:tcPr>
            <w:tcW w:w="472" w:type="pct"/>
            <w:shd w:val="clear" w:color="auto" w:fill="auto"/>
            <w:vAlign w:val="center"/>
          </w:tcPr>
          <w:p w14:paraId="1639BD1C" w14:textId="79FC9452" w:rsidR="00CE5700" w:rsidRPr="00F76546" w:rsidRDefault="00CE5700" w:rsidP="00ED0F7E">
            <w:pPr>
              <w:pStyle w:val="TableHeading0"/>
            </w:pPr>
            <w:r w:rsidRPr="00F76546">
              <w:t>Lower</w:t>
            </w:r>
            <w:r w:rsidR="00390F2D">
              <w:t xml:space="preserve"> </w:t>
            </w:r>
            <w:r w:rsidRPr="00F76546">
              <w:t>value</w:t>
            </w:r>
          </w:p>
        </w:tc>
        <w:tc>
          <w:tcPr>
            <w:tcW w:w="944" w:type="pct"/>
            <w:shd w:val="clear" w:color="auto" w:fill="auto"/>
            <w:vAlign w:val="center"/>
          </w:tcPr>
          <w:p w14:paraId="4018A13B" w14:textId="77777777" w:rsidR="00CE5700" w:rsidRPr="00F76546" w:rsidRDefault="00CE5700" w:rsidP="00ED0F7E">
            <w:pPr>
              <w:pStyle w:val="TableHeading0"/>
            </w:pPr>
            <w:r w:rsidRPr="00F76546">
              <w:t>ICER result</w:t>
            </w:r>
          </w:p>
        </w:tc>
        <w:tc>
          <w:tcPr>
            <w:tcW w:w="472" w:type="pct"/>
            <w:shd w:val="clear" w:color="auto" w:fill="auto"/>
            <w:vAlign w:val="center"/>
          </w:tcPr>
          <w:p w14:paraId="0BEE27E8" w14:textId="77777777" w:rsidR="00CE5700" w:rsidRPr="00F76546" w:rsidRDefault="00CE5700" w:rsidP="00ED0F7E">
            <w:pPr>
              <w:pStyle w:val="TableHeading0"/>
            </w:pPr>
            <w:r w:rsidRPr="00F76546">
              <w:t>Higher value</w:t>
            </w:r>
          </w:p>
        </w:tc>
        <w:tc>
          <w:tcPr>
            <w:tcW w:w="836" w:type="pct"/>
            <w:shd w:val="clear" w:color="auto" w:fill="auto"/>
            <w:vAlign w:val="center"/>
          </w:tcPr>
          <w:p w14:paraId="4A7DB018" w14:textId="77777777" w:rsidR="00CE5700" w:rsidRPr="00F76546" w:rsidRDefault="00CE5700" w:rsidP="00ED0F7E">
            <w:pPr>
              <w:pStyle w:val="TableHeading0"/>
            </w:pPr>
            <w:r w:rsidRPr="00F76546">
              <w:t>ICER result</w:t>
            </w:r>
          </w:p>
        </w:tc>
      </w:tr>
      <w:tr w:rsidR="00CE5700" w:rsidRPr="00ED0F7E" w14:paraId="7ABEBD7A" w14:textId="77777777" w:rsidTr="001053EF">
        <w:trPr>
          <w:cantSplit/>
          <w:trHeight w:val="340"/>
        </w:trPr>
        <w:tc>
          <w:tcPr>
            <w:tcW w:w="5000" w:type="pct"/>
            <w:gridSpan w:val="7"/>
            <w:shd w:val="clear" w:color="auto" w:fill="auto"/>
            <w:vAlign w:val="center"/>
          </w:tcPr>
          <w:p w14:paraId="795631BB" w14:textId="77777777" w:rsidR="00CE5700" w:rsidRPr="00ED0F7E" w:rsidRDefault="00CE5700" w:rsidP="00536B12">
            <w:pPr>
              <w:pStyle w:val="In-tableHeading"/>
            </w:pPr>
            <w:r w:rsidRPr="00ED0F7E">
              <w:t>Discount rate</w:t>
            </w:r>
          </w:p>
        </w:tc>
      </w:tr>
      <w:tr w:rsidR="00390F2D" w:rsidRPr="00230861" w14:paraId="11F74230" w14:textId="77777777" w:rsidTr="001053EF">
        <w:trPr>
          <w:cantSplit/>
        </w:trPr>
        <w:tc>
          <w:tcPr>
            <w:tcW w:w="821" w:type="pct"/>
            <w:shd w:val="clear" w:color="auto" w:fill="auto"/>
            <w:vAlign w:val="center"/>
          </w:tcPr>
          <w:p w14:paraId="0277FCEA" w14:textId="77777777" w:rsidR="00CE5700" w:rsidRPr="00F76546" w:rsidRDefault="00CE5700" w:rsidP="00ED0F7E">
            <w:pPr>
              <w:pStyle w:val="TableText"/>
            </w:pPr>
            <w:r>
              <w:t>Discount rate costs and benefits</w:t>
            </w:r>
          </w:p>
        </w:tc>
        <w:tc>
          <w:tcPr>
            <w:tcW w:w="567" w:type="pct"/>
            <w:shd w:val="clear" w:color="auto" w:fill="auto"/>
            <w:vAlign w:val="center"/>
          </w:tcPr>
          <w:p w14:paraId="502E5FC5" w14:textId="77777777" w:rsidR="00CE5700" w:rsidRPr="00F76546" w:rsidRDefault="00CE5700" w:rsidP="00ED0F7E">
            <w:pPr>
              <w:pStyle w:val="TableText"/>
            </w:pPr>
            <w:r>
              <w:t>5.00%</w:t>
            </w:r>
          </w:p>
        </w:tc>
        <w:tc>
          <w:tcPr>
            <w:tcW w:w="888" w:type="pct"/>
            <w:shd w:val="clear" w:color="auto" w:fill="auto"/>
            <w:vAlign w:val="center"/>
          </w:tcPr>
          <w:p w14:paraId="28E9A527" w14:textId="0BB6F772" w:rsidR="002347CA" w:rsidRPr="00CC0CC2" w:rsidRDefault="002347CA" w:rsidP="002347CA">
            <w:pPr>
              <w:pStyle w:val="TableText"/>
            </w:pPr>
            <w:r w:rsidRPr="00B419E6">
              <w:t>PBO = $31,</w:t>
            </w:r>
            <w:r>
              <w:t>792</w:t>
            </w:r>
          </w:p>
          <w:p w14:paraId="26719B4B" w14:textId="053F8398" w:rsidR="002347CA" w:rsidRPr="00CC0CC2" w:rsidRDefault="002347CA" w:rsidP="002347CA">
            <w:pPr>
              <w:pStyle w:val="TableText"/>
            </w:pPr>
            <w:r w:rsidRPr="00B419E6">
              <w:t>OCT = $2</w:t>
            </w:r>
            <w:r>
              <w:t>7,676</w:t>
            </w:r>
          </w:p>
          <w:p w14:paraId="6F5F42B7" w14:textId="70A81404" w:rsidR="002347CA" w:rsidRPr="00CC0CC2" w:rsidRDefault="002347CA" w:rsidP="002347CA">
            <w:pPr>
              <w:pStyle w:val="TableText"/>
            </w:pPr>
            <w:r w:rsidRPr="00B419E6">
              <w:t xml:space="preserve">LAN = </w:t>
            </w:r>
            <w:r w:rsidRPr="00CC0CC2">
              <w:t>$2</w:t>
            </w:r>
            <w:r>
              <w:t>2,621</w:t>
            </w:r>
          </w:p>
          <w:p w14:paraId="348F68B5" w14:textId="7B14C753" w:rsidR="002347CA" w:rsidRPr="00CC0CC2" w:rsidRDefault="002347CA" w:rsidP="002347CA">
            <w:pPr>
              <w:pStyle w:val="TableText"/>
            </w:pPr>
            <w:r w:rsidRPr="00B419E6">
              <w:t>EVO = $2</w:t>
            </w:r>
            <w:r>
              <w:t>9,439</w:t>
            </w:r>
          </w:p>
          <w:p w14:paraId="71A106F6" w14:textId="77777777" w:rsidR="00CE5700" w:rsidRPr="00CC0CC2" w:rsidRDefault="00CE5700" w:rsidP="00ED0F7E">
            <w:pPr>
              <w:pStyle w:val="TableText"/>
            </w:pPr>
            <w:r w:rsidRPr="00B419E6">
              <w:t>SUN = Lutetium dominated</w:t>
            </w:r>
          </w:p>
          <w:p w14:paraId="49950A25" w14:textId="672FAE51" w:rsidR="00CE5700" w:rsidRPr="00F76546" w:rsidRDefault="00CE5700" w:rsidP="00ED0F7E">
            <w:pPr>
              <w:pStyle w:val="TableText"/>
            </w:pPr>
            <w:r w:rsidRPr="00B419E6">
              <w:t>OCT+EVO = $</w:t>
            </w:r>
            <w:r w:rsidR="002347CA">
              <w:t>18,643</w:t>
            </w:r>
          </w:p>
        </w:tc>
        <w:tc>
          <w:tcPr>
            <w:tcW w:w="472" w:type="pct"/>
            <w:shd w:val="clear" w:color="auto" w:fill="auto"/>
            <w:vAlign w:val="center"/>
          </w:tcPr>
          <w:p w14:paraId="75B3142A" w14:textId="77777777" w:rsidR="00CE5700" w:rsidRPr="00F76546" w:rsidRDefault="00CE5700" w:rsidP="00ED0F7E">
            <w:pPr>
              <w:pStyle w:val="TableText"/>
            </w:pPr>
            <w:r w:rsidRPr="00230861">
              <w:t>0.00%</w:t>
            </w:r>
          </w:p>
        </w:tc>
        <w:tc>
          <w:tcPr>
            <w:tcW w:w="944" w:type="pct"/>
            <w:shd w:val="clear" w:color="auto" w:fill="auto"/>
            <w:vAlign w:val="center"/>
          </w:tcPr>
          <w:p w14:paraId="30C86977" w14:textId="2B3F3A4F" w:rsidR="002347CA" w:rsidRPr="00CC0CC2" w:rsidRDefault="002347CA" w:rsidP="002347CA">
            <w:pPr>
              <w:pStyle w:val="TableText"/>
            </w:pPr>
            <w:r w:rsidRPr="00B419E6">
              <w:t>PBO = $24,</w:t>
            </w:r>
            <w:r>
              <w:t>269</w:t>
            </w:r>
          </w:p>
          <w:p w14:paraId="1382DA84" w14:textId="33ACBD38" w:rsidR="002347CA" w:rsidRPr="00CC0CC2" w:rsidRDefault="002347CA" w:rsidP="002347CA">
            <w:pPr>
              <w:pStyle w:val="TableText"/>
            </w:pPr>
            <w:r w:rsidRPr="00B419E6">
              <w:t>OCT = $</w:t>
            </w:r>
            <w:r>
              <w:t>19,794</w:t>
            </w:r>
          </w:p>
          <w:p w14:paraId="1E05BD17" w14:textId="04E3E2FE" w:rsidR="002347CA" w:rsidRPr="00CC0CC2" w:rsidRDefault="002347CA" w:rsidP="002347CA">
            <w:pPr>
              <w:pStyle w:val="TableText"/>
            </w:pPr>
            <w:r w:rsidRPr="00B419E6">
              <w:t>LAN = $17,</w:t>
            </w:r>
            <w:r>
              <w:t>087</w:t>
            </w:r>
          </w:p>
          <w:p w14:paraId="5D33EB9A" w14:textId="3587CEFD" w:rsidR="002347CA" w:rsidRPr="00CC0CC2" w:rsidRDefault="002347CA" w:rsidP="002347CA">
            <w:pPr>
              <w:pStyle w:val="TableText"/>
            </w:pPr>
            <w:r w:rsidRPr="00B419E6">
              <w:t>EVO = $2</w:t>
            </w:r>
            <w:r>
              <w:t>2,252</w:t>
            </w:r>
          </w:p>
          <w:p w14:paraId="21F690DE" w14:textId="77777777" w:rsidR="00CE5700" w:rsidRPr="00CC0CC2" w:rsidRDefault="00CE5700" w:rsidP="00ED0F7E">
            <w:pPr>
              <w:pStyle w:val="TableText"/>
            </w:pPr>
            <w:r w:rsidRPr="00B419E6">
              <w:t>SUN = Lutetium dominated</w:t>
            </w:r>
          </w:p>
          <w:p w14:paraId="0B2057CA" w14:textId="361C99E6" w:rsidR="00CE5700" w:rsidRPr="00F76546" w:rsidRDefault="00CE5700" w:rsidP="00ED0F7E">
            <w:pPr>
              <w:pStyle w:val="TableText"/>
            </w:pPr>
            <w:r w:rsidRPr="00B419E6">
              <w:t>OCT+EVO = $</w:t>
            </w:r>
            <w:r w:rsidR="002347CA" w:rsidRPr="00B419E6">
              <w:t>1</w:t>
            </w:r>
            <w:r w:rsidR="002347CA">
              <w:t>5,055</w:t>
            </w:r>
          </w:p>
        </w:tc>
        <w:tc>
          <w:tcPr>
            <w:tcW w:w="472" w:type="pct"/>
            <w:shd w:val="clear" w:color="auto" w:fill="auto"/>
            <w:vAlign w:val="center"/>
          </w:tcPr>
          <w:p w14:paraId="72D48A44" w14:textId="50AD492C" w:rsidR="00CE5700" w:rsidRPr="00F76546" w:rsidRDefault="00CE5700" w:rsidP="00ED0F7E">
            <w:pPr>
              <w:pStyle w:val="TableText"/>
            </w:pPr>
            <w:r w:rsidRPr="00230861">
              <w:t>3.5</w:t>
            </w:r>
            <w:r w:rsidR="00390F2D">
              <w:t>0</w:t>
            </w:r>
            <w:r w:rsidRPr="00230861">
              <w:t>%</w:t>
            </w:r>
          </w:p>
        </w:tc>
        <w:tc>
          <w:tcPr>
            <w:tcW w:w="836" w:type="pct"/>
            <w:shd w:val="clear" w:color="auto" w:fill="auto"/>
            <w:vAlign w:val="center"/>
          </w:tcPr>
          <w:p w14:paraId="2DB8865C" w14:textId="0248EC2B" w:rsidR="002347CA" w:rsidRPr="00CC0CC2" w:rsidRDefault="002347CA" w:rsidP="002347CA">
            <w:pPr>
              <w:pStyle w:val="TableText"/>
            </w:pPr>
            <w:r w:rsidRPr="00B419E6">
              <w:t>PBO = $29,</w:t>
            </w:r>
            <w:r>
              <w:t>535</w:t>
            </w:r>
          </w:p>
          <w:p w14:paraId="1B07426D" w14:textId="4298D868" w:rsidR="002347CA" w:rsidRPr="00CC0CC2" w:rsidRDefault="002347CA" w:rsidP="002347CA">
            <w:pPr>
              <w:pStyle w:val="TableText"/>
            </w:pPr>
            <w:r w:rsidRPr="00B419E6">
              <w:t>OCT = $2</w:t>
            </w:r>
            <w:r>
              <w:t>5,234</w:t>
            </w:r>
          </w:p>
          <w:p w14:paraId="008C229F" w14:textId="7CB2DCC1" w:rsidR="002347CA" w:rsidRPr="00CC0CC2" w:rsidRDefault="002347CA" w:rsidP="002347CA">
            <w:pPr>
              <w:pStyle w:val="TableText"/>
            </w:pPr>
            <w:r w:rsidRPr="00B419E6">
              <w:t>LAN = $2</w:t>
            </w:r>
            <w:r>
              <w:t>0,938</w:t>
            </w:r>
          </w:p>
          <w:p w14:paraId="1B18EB21" w14:textId="74CBDA30" w:rsidR="002347CA" w:rsidRPr="00CC0CC2" w:rsidRDefault="002347CA" w:rsidP="002347CA">
            <w:pPr>
              <w:pStyle w:val="TableText"/>
            </w:pPr>
            <w:r w:rsidRPr="00B419E6">
              <w:t>EVO = $2</w:t>
            </w:r>
            <w:r>
              <w:t>7,261</w:t>
            </w:r>
          </w:p>
          <w:p w14:paraId="77BD940E" w14:textId="77777777" w:rsidR="00CE5700" w:rsidRPr="00CC0CC2" w:rsidRDefault="00CE5700" w:rsidP="00ED0F7E">
            <w:pPr>
              <w:pStyle w:val="TableText"/>
            </w:pPr>
            <w:r w:rsidRPr="00B419E6">
              <w:t xml:space="preserve">SUN = Lutetium </w:t>
            </w:r>
            <w:r w:rsidRPr="00CC0CC2">
              <w:t>dominated</w:t>
            </w:r>
          </w:p>
          <w:p w14:paraId="3EE5D3B3" w14:textId="4B7E49DD" w:rsidR="00CE5700" w:rsidRPr="00F76546" w:rsidRDefault="00CE5700" w:rsidP="00ED0F7E">
            <w:pPr>
              <w:pStyle w:val="TableText"/>
            </w:pPr>
            <w:r w:rsidRPr="00B419E6">
              <w:t>OCT+EVO = $</w:t>
            </w:r>
            <w:r w:rsidR="002347CA" w:rsidRPr="00B419E6">
              <w:t>1</w:t>
            </w:r>
            <w:r w:rsidR="002347CA">
              <w:t>7,541</w:t>
            </w:r>
          </w:p>
        </w:tc>
      </w:tr>
      <w:tr w:rsidR="00CE5700" w:rsidRPr="00ED0F7E" w14:paraId="49A8ADFB" w14:textId="77777777" w:rsidTr="001053EF">
        <w:trPr>
          <w:cantSplit/>
          <w:trHeight w:val="340"/>
        </w:trPr>
        <w:tc>
          <w:tcPr>
            <w:tcW w:w="5000" w:type="pct"/>
            <w:gridSpan w:val="7"/>
            <w:shd w:val="clear" w:color="auto" w:fill="auto"/>
            <w:vAlign w:val="center"/>
          </w:tcPr>
          <w:p w14:paraId="55B2DBD7" w14:textId="77777777" w:rsidR="00CE5700" w:rsidRPr="00ED0F7E" w:rsidRDefault="00CE5700" w:rsidP="00CC0CC2">
            <w:pPr>
              <w:pStyle w:val="In-tableHeading"/>
            </w:pPr>
            <w:r w:rsidRPr="00ED0F7E">
              <w:t>Hazard ratios (PFS, OS)</w:t>
            </w:r>
          </w:p>
        </w:tc>
      </w:tr>
      <w:tr w:rsidR="00390F2D" w:rsidRPr="00230861" w14:paraId="676EEC0C" w14:textId="77777777" w:rsidTr="001053EF">
        <w:trPr>
          <w:cantSplit/>
          <w:trHeight w:val="579"/>
        </w:trPr>
        <w:tc>
          <w:tcPr>
            <w:tcW w:w="821" w:type="pct"/>
            <w:shd w:val="clear" w:color="auto" w:fill="auto"/>
            <w:vAlign w:val="center"/>
          </w:tcPr>
          <w:p w14:paraId="67275F15" w14:textId="2F7F9CFC" w:rsidR="00CE5700" w:rsidRPr="00F76546" w:rsidRDefault="00CE5700" w:rsidP="00ED0F7E">
            <w:pPr>
              <w:pStyle w:val="TableText"/>
            </w:pPr>
            <w:r w:rsidRPr="00230861">
              <w:t>PBO</w:t>
            </w:r>
          </w:p>
        </w:tc>
        <w:tc>
          <w:tcPr>
            <w:tcW w:w="567" w:type="pct"/>
            <w:shd w:val="clear" w:color="auto" w:fill="auto"/>
            <w:vAlign w:val="center"/>
          </w:tcPr>
          <w:p w14:paraId="6C778DDB" w14:textId="46E488D0" w:rsidR="00CE5700" w:rsidRPr="00F76546" w:rsidRDefault="00CE5700" w:rsidP="00ED0F7E">
            <w:pPr>
              <w:pStyle w:val="TableText"/>
            </w:pPr>
            <w:r>
              <w:rPr>
                <w:rFonts w:cs="Calibri"/>
                <w:color w:val="000000"/>
              </w:rPr>
              <w:t>14.94,</w:t>
            </w:r>
            <w:r w:rsidR="00124FA6">
              <w:rPr>
                <w:rFonts w:cs="Calibri"/>
                <w:color w:val="000000"/>
              </w:rPr>
              <w:t xml:space="preserve"> </w:t>
            </w:r>
            <w:r>
              <w:rPr>
                <w:rFonts w:cs="Calibri"/>
                <w:color w:val="000000"/>
              </w:rPr>
              <w:t>1.6</w:t>
            </w:r>
            <w:r w:rsidR="00FD26F8">
              <w:rPr>
                <w:rFonts w:cs="Calibri"/>
                <w:color w:val="000000"/>
              </w:rPr>
              <w:t>8</w:t>
            </w:r>
          </w:p>
        </w:tc>
        <w:tc>
          <w:tcPr>
            <w:tcW w:w="888" w:type="pct"/>
            <w:shd w:val="clear" w:color="auto" w:fill="auto"/>
            <w:vAlign w:val="center"/>
          </w:tcPr>
          <w:p w14:paraId="4189F39C" w14:textId="4861721F" w:rsidR="00CE5700" w:rsidRPr="00B419E6" w:rsidRDefault="00CE5700" w:rsidP="00ED0F7E">
            <w:pPr>
              <w:pStyle w:val="TableText"/>
            </w:pPr>
            <w:r w:rsidRPr="00B419E6">
              <w:t>$31,</w:t>
            </w:r>
            <w:r w:rsidR="002347CA" w:rsidRPr="00A643CB">
              <w:rPr>
                <w:rFonts w:cs="Calibri"/>
                <w:szCs w:val="20"/>
              </w:rPr>
              <w:t>792</w:t>
            </w:r>
          </w:p>
        </w:tc>
        <w:tc>
          <w:tcPr>
            <w:tcW w:w="472" w:type="pct"/>
            <w:shd w:val="clear" w:color="auto" w:fill="auto"/>
            <w:vAlign w:val="center"/>
          </w:tcPr>
          <w:p w14:paraId="6453749F" w14:textId="1FDF3761" w:rsidR="00CE5700" w:rsidRPr="00F76546" w:rsidRDefault="00CE5700" w:rsidP="00ED0F7E">
            <w:pPr>
              <w:pStyle w:val="TableText"/>
            </w:pPr>
            <w:r>
              <w:rPr>
                <w:rFonts w:cs="Calibri"/>
                <w:color w:val="000000"/>
              </w:rPr>
              <w:t>6.8</w:t>
            </w:r>
            <w:r w:rsidR="00567FA4">
              <w:rPr>
                <w:rFonts w:cs="Calibri"/>
                <w:color w:val="000000"/>
              </w:rPr>
              <w:t>1</w:t>
            </w:r>
            <w:r>
              <w:rPr>
                <w:rFonts w:cs="Calibri"/>
                <w:color w:val="000000"/>
              </w:rPr>
              <w:t>, 0.5</w:t>
            </w:r>
            <w:r w:rsidR="00FD26F8">
              <w:rPr>
                <w:rFonts w:cs="Calibri"/>
                <w:color w:val="000000"/>
              </w:rPr>
              <w:t>2</w:t>
            </w:r>
          </w:p>
        </w:tc>
        <w:tc>
          <w:tcPr>
            <w:tcW w:w="944" w:type="pct"/>
            <w:shd w:val="clear" w:color="auto" w:fill="auto"/>
            <w:vAlign w:val="center"/>
          </w:tcPr>
          <w:p w14:paraId="70ADE681" w14:textId="77777777" w:rsidR="00CE5700" w:rsidRPr="00B419E6" w:rsidRDefault="00CE5700" w:rsidP="00ED0F7E">
            <w:pPr>
              <w:pStyle w:val="TableText"/>
            </w:pPr>
            <w:r w:rsidRPr="00B419E6">
              <w:t>Lutetium dominated</w:t>
            </w:r>
          </w:p>
        </w:tc>
        <w:tc>
          <w:tcPr>
            <w:tcW w:w="472" w:type="pct"/>
            <w:shd w:val="clear" w:color="auto" w:fill="auto"/>
            <w:vAlign w:val="center"/>
          </w:tcPr>
          <w:p w14:paraId="5A70CE89" w14:textId="42EF8D42" w:rsidR="00CE5700" w:rsidRPr="00F76546" w:rsidRDefault="00CE5700" w:rsidP="00ED0F7E">
            <w:pPr>
              <w:pStyle w:val="TableText"/>
            </w:pPr>
            <w:r w:rsidRPr="00230861">
              <w:rPr>
                <w:rFonts w:cs="Calibri"/>
                <w:color w:val="000000"/>
              </w:rPr>
              <w:t>28.61</w:t>
            </w:r>
            <w:r>
              <w:rPr>
                <w:rFonts w:cs="Calibri"/>
                <w:color w:val="000000"/>
              </w:rPr>
              <w:t>, 4.1</w:t>
            </w:r>
            <w:r w:rsidR="004717C4">
              <w:rPr>
                <w:rFonts w:cs="Calibri"/>
                <w:color w:val="000000"/>
              </w:rPr>
              <w:t>5</w:t>
            </w:r>
          </w:p>
        </w:tc>
        <w:tc>
          <w:tcPr>
            <w:tcW w:w="836" w:type="pct"/>
            <w:shd w:val="clear" w:color="auto" w:fill="auto"/>
            <w:vAlign w:val="center"/>
          </w:tcPr>
          <w:p w14:paraId="34B0385C" w14:textId="5D63F1F1" w:rsidR="00CE5700" w:rsidRPr="00B419E6" w:rsidRDefault="00CE5700" w:rsidP="00ED0F7E">
            <w:pPr>
              <w:pStyle w:val="TableText"/>
            </w:pPr>
            <w:r w:rsidRPr="00B419E6">
              <w:t>$22,</w:t>
            </w:r>
            <w:r w:rsidR="002347CA" w:rsidRPr="00687610">
              <w:rPr>
                <w:rFonts w:cs="Calibri"/>
                <w:szCs w:val="20"/>
              </w:rPr>
              <w:t>506</w:t>
            </w:r>
          </w:p>
        </w:tc>
      </w:tr>
      <w:tr w:rsidR="00390F2D" w:rsidRPr="00230861" w14:paraId="44782411" w14:textId="77777777" w:rsidTr="001053EF">
        <w:trPr>
          <w:cantSplit/>
          <w:trHeight w:val="579"/>
        </w:trPr>
        <w:tc>
          <w:tcPr>
            <w:tcW w:w="821" w:type="pct"/>
            <w:shd w:val="clear" w:color="auto" w:fill="auto"/>
            <w:vAlign w:val="center"/>
          </w:tcPr>
          <w:p w14:paraId="25628544" w14:textId="6EB2E935" w:rsidR="00CE5700" w:rsidRPr="00F76546" w:rsidRDefault="00CE5700" w:rsidP="00ED0F7E">
            <w:pPr>
              <w:pStyle w:val="TableText"/>
            </w:pPr>
            <w:r w:rsidRPr="00230861">
              <w:t>OCT</w:t>
            </w:r>
          </w:p>
        </w:tc>
        <w:tc>
          <w:tcPr>
            <w:tcW w:w="567" w:type="pct"/>
            <w:shd w:val="clear" w:color="auto" w:fill="auto"/>
            <w:vAlign w:val="center"/>
          </w:tcPr>
          <w:p w14:paraId="4F9F53AD" w14:textId="25355EB5" w:rsidR="00CE5700" w:rsidRPr="00F76546" w:rsidRDefault="00CE5700" w:rsidP="00ED0F7E">
            <w:pPr>
              <w:pStyle w:val="TableText"/>
            </w:pPr>
            <w:r>
              <w:rPr>
                <w:rFonts w:cs="Calibri"/>
                <w:color w:val="000000"/>
              </w:rPr>
              <w:t>4.89, 1.2</w:t>
            </w:r>
            <w:r w:rsidR="00FD26F8">
              <w:rPr>
                <w:rFonts w:cs="Calibri"/>
                <w:color w:val="000000"/>
              </w:rPr>
              <w:t>1</w:t>
            </w:r>
          </w:p>
        </w:tc>
        <w:tc>
          <w:tcPr>
            <w:tcW w:w="888" w:type="pct"/>
            <w:shd w:val="clear" w:color="auto" w:fill="auto"/>
            <w:vAlign w:val="center"/>
          </w:tcPr>
          <w:p w14:paraId="2E59E2C0" w14:textId="5E458CDB" w:rsidR="00CE5700" w:rsidRPr="00B419E6" w:rsidRDefault="002347CA" w:rsidP="00ED0F7E">
            <w:pPr>
              <w:pStyle w:val="TableText"/>
            </w:pPr>
            <w:r w:rsidRPr="00A643CB">
              <w:rPr>
                <w:rFonts w:cs="Calibri"/>
                <w:szCs w:val="20"/>
              </w:rPr>
              <w:t>$27,676</w:t>
            </w:r>
          </w:p>
        </w:tc>
        <w:tc>
          <w:tcPr>
            <w:tcW w:w="472" w:type="pct"/>
            <w:shd w:val="clear" w:color="auto" w:fill="auto"/>
            <w:vAlign w:val="center"/>
          </w:tcPr>
          <w:p w14:paraId="495C9D7E" w14:textId="0F673BF8" w:rsidR="00CE5700" w:rsidRPr="00F76546" w:rsidRDefault="00CE5700" w:rsidP="00ED0F7E">
            <w:pPr>
              <w:pStyle w:val="TableText"/>
            </w:pPr>
            <w:r>
              <w:rPr>
                <w:rFonts w:cs="Calibri"/>
                <w:color w:val="000000"/>
              </w:rPr>
              <w:t>2.97, 0.85</w:t>
            </w:r>
          </w:p>
        </w:tc>
        <w:tc>
          <w:tcPr>
            <w:tcW w:w="944" w:type="pct"/>
            <w:shd w:val="clear" w:color="auto" w:fill="auto"/>
            <w:vAlign w:val="center"/>
          </w:tcPr>
          <w:p w14:paraId="0112B807" w14:textId="2D399363" w:rsidR="00CE5700" w:rsidRPr="00B419E6" w:rsidRDefault="002347CA" w:rsidP="00ED0F7E">
            <w:pPr>
              <w:pStyle w:val="TableText"/>
            </w:pPr>
            <w:r w:rsidRPr="00260ED2">
              <w:rPr>
                <w:rFonts w:cs="Calibri"/>
                <w:szCs w:val="20"/>
              </w:rPr>
              <w:t>$467,739</w:t>
            </w:r>
          </w:p>
        </w:tc>
        <w:tc>
          <w:tcPr>
            <w:tcW w:w="472" w:type="pct"/>
            <w:shd w:val="clear" w:color="auto" w:fill="auto"/>
            <w:vAlign w:val="center"/>
          </w:tcPr>
          <w:p w14:paraId="462AA26F" w14:textId="62386CCE" w:rsidR="00CE5700" w:rsidRPr="00F76546" w:rsidRDefault="00CE5700" w:rsidP="00ED0F7E">
            <w:pPr>
              <w:pStyle w:val="TableText"/>
            </w:pPr>
            <w:r>
              <w:rPr>
                <w:rFonts w:cs="Calibri"/>
                <w:color w:val="000000"/>
              </w:rPr>
              <w:t>7.5</w:t>
            </w:r>
            <w:r w:rsidR="00567FA4">
              <w:rPr>
                <w:rFonts w:cs="Calibri"/>
                <w:color w:val="000000"/>
              </w:rPr>
              <w:t>8</w:t>
            </w:r>
            <w:r>
              <w:rPr>
                <w:rFonts w:cs="Calibri"/>
                <w:color w:val="000000"/>
              </w:rPr>
              <w:t>, 1.66</w:t>
            </w:r>
          </w:p>
        </w:tc>
        <w:tc>
          <w:tcPr>
            <w:tcW w:w="836" w:type="pct"/>
            <w:shd w:val="clear" w:color="auto" w:fill="auto"/>
            <w:vAlign w:val="center"/>
          </w:tcPr>
          <w:p w14:paraId="6CA65783" w14:textId="14D8110A" w:rsidR="00CE5700" w:rsidRPr="00B419E6" w:rsidRDefault="00CE5700" w:rsidP="00ED0F7E">
            <w:pPr>
              <w:pStyle w:val="TableText"/>
            </w:pPr>
            <w:r w:rsidRPr="00B419E6">
              <w:t>$23,</w:t>
            </w:r>
            <w:r w:rsidR="002347CA" w:rsidRPr="00687610">
              <w:rPr>
                <w:rFonts w:cs="Calibri"/>
                <w:szCs w:val="20"/>
              </w:rPr>
              <w:t>486</w:t>
            </w:r>
          </w:p>
        </w:tc>
      </w:tr>
      <w:tr w:rsidR="00390F2D" w:rsidRPr="00230861" w14:paraId="0BD6BBBC" w14:textId="77777777" w:rsidTr="001053EF">
        <w:trPr>
          <w:cantSplit/>
          <w:trHeight w:val="579"/>
        </w:trPr>
        <w:tc>
          <w:tcPr>
            <w:tcW w:w="821" w:type="pct"/>
            <w:shd w:val="clear" w:color="auto" w:fill="auto"/>
            <w:vAlign w:val="center"/>
          </w:tcPr>
          <w:p w14:paraId="500C742B" w14:textId="19988FE2" w:rsidR="00CE5700" w:rsidRPr="004D55FF" w:rsidRDefault="00CE5700" w:rsidP="00ED0F7E">
            <w:pPr>
              <w:pStyle w:val="TableText"/>
            </w:pPr>
            <w:r w:rsidRPr="004D55FF">
              <w:t>LAN</w:t>
            </w:r>
          </w:p>
        </w:tc>
        <w:tc>
          <w:tcPr>
            <w:tcW w:w="567" w:type="pct"/>
            <w:shd w:val="clear" w:color="auto" w:fill="auto"/>
            <w:vAlign w:val="center"/>
          </w:tcPr>
          <w:p w14:paraId="08D18737" w14:textId="2213EBCD" w:rsidR="00CE5700" w:rsidRPr="004D55FF" w:rsidRDefault="00CE5700" w:rsidP="00ED0F7E">
            <w:pPr>
              <w:pStyle w:val="TableText"/>
            </w:pPr>
            <w:r w:rsidRPr="004D55FF">
              <w:rPr>
                <w:rFonts w:cs="Calibri"/>
                <w:color w:val="000000"/>
              </w:rPr>
              <w:t>8.6</w:t>
            </w:r>
            <w:r w:rsidR="006554F5" w:rsidRPr="004D55FF">
              <w:rPr>
                <w:rFonts w:cs="Calibri"/>
                <w:color w:val="000000"/>
              </w:rPr>
              <w:t>1</w:t>
            </w:r>
            <w:r w:rsidRPr="004D55FF">
              <w:rPr>
                <w:rFonts w:cs="Calibri"/>
                <w:color w:val="000000"/>
              </w:rPr>
              <w:t>, 1.2</w:t>
            </w:r>
            <w:r w:rsidR="00FD26F8" w:rsidRPr="004D55FF">
              <w:rPr>
                <w:rFonts w:cs="Calibri"/>
                <w:color w:val="000000"/>
              </w:rPr>
              <w:t>1</w:t>
            </w:r>
          </w:p>
        </w:tc>
        <w:tc>
          <w:tcPr>
            <w:tcW w:w="888" w:type="pct"/>
            <w:shd w:val="clear" w:color="auto" w:fill="auto"/>
            <w:vAlign w:val="center"/>
          </w:tcPr>
          <w:p w14:paraId="693D0A8A" w14:textId="40125877" w:rsidR="00CE5700" w:rsidRPr="004D55FF" w:rsidRDefault="002347CA" w:rsidP="00ED0F7E">
            <w:pPr>
              <w:pStyle w:val="TableText"/>
            </w:pPr>
            <w:r w:rsidRPr="00A643CB">
              <w:rPr>
                <w:rFonts w:cs="Calibri"/>
                <w:szCs w:val="20"/>
              </w:rPr>
              <w:t>$22,621</w:t>
            </w:r>
          </w:p>
        </w:tc>
        <w:tc>
          <w:tcPr>
            <w:tcW w:w="472" w:type="pct"/>
            <w:shd w:val="clear" w:color="auto" w:fill="auto"/>
            <w:vAlign w:val="center"/>
          </w:tcPr>
          <w:p w14:paraId="65CA4DDC" w14:textId="004C461B" w:rsidR="00CE5700" w:rsidRPr="004D55FF" w:rsidRDefault="00CE5700" w:rsidP="00ED0F7E">
            <w:pPr>
              <w:pStyle w:val="TableText"/>
            </w:pPr>
            <w:r w:rsidRPr="004D55FF">
              <w:rPr>
                <w:rFonts w:cs="Calibri"/>
                <w:color w:val="000000"/>
              </w:rPr>
              <w:t>3.51, 0.85</w:t>
            </w:r>
          </w:p>
        </w:tc>
        <w:tc>
          <w:tcPr>
            <w:tcW w:w="944" w:type="pct"/>
            <w:shd w:val="clear" w:color="auto" w:fill="auto"/>
            <w:vAlign w:val="center"/>
          </w:tcPr>
          <w:p w14:paraId="1D19E92F" w14:textId="77777777" w:rsidR="00CE5700" w:rsidRPr="004D55FF" w:rsidRDefault="00CE5700" w:rsidP="00ED0F7E">
            <w:pPr>
              <w:pStyle w:val="TableText"/>
            </w:pPr>
            <w:r w:rsidRPr="004D55FF">
              <w:t>Lutetium dominant</w:t>
            </w:r>
          </w:p>
        </w:tc>
        <w:tc>
          <w:tcPr>
            <w:tcW w:w="472" w:type="pct"/>
            <w:shd w:val="clear" w:color="auto" w:fill="auto"/>
            <w:vAlign w:val="center"/>
          </w:tcPr>
          <w:p w14:paraId="06137802" w14:textId="29B2FC78" w:rsidR="00CE5700" w:rsidRPr="004D55FF" w:rsidRDefault="00CE5700" w:rsidP="00ED0F7E">
            <w:pPr>
              <w:pStyle w:val="TableText"/>
            </w:pPr>
            <w:r w:rsidRPr="004D55FF">
              <w:rPr>
                <w:rFonts w:cs="Calibri"/>
                <w:color w:val="000000"/>
              </w:rPr>
              <w:t>17.76, 1.66</w:t>
            </w:r>
          </w:p>
        </w:tc>
        <w:tc>
          <w:tcPr>
            <w:tcW w:w="836" w:type="pct"/>
            <w:shd w:val="clear" w:color="auto" w:fill="auto"/>
            <w:vAlign w:val="center"/>
          </w:tcPr>
          <w:p w14:paraId="33EFA697" w14:textId="1AD8B10A" w:rsidR="00CE5700" w:rsidRPr="004D55FF" w:rsidRDefault="00CE5700" w:rsidP="00ED0F7E">
            <w:pPr>
              <w:pStyle w:val="TableText"/>
            </w:pPr>
            <w:r w:rsidRPr="004D55FF">
              <w:t>$22,</w:t>
            </w:r>
            <w:r w:rsidR="002347CA" w:rsidRPr="00687610">
              <w:rPr>
                <w:rFonts w:cs="Calibri"/>
                <w:szCs w:val="20"/>
              </w:rPr>
              <w:t>640</w:t>
            </w:r>
          </w:p>
        </w:tc>
      </w:tr>
      <w:tr w:rsidR="00B23FB8" w:rsidRPr="00230861" w14:paraId="768FE158" w14:textId="77777777" w:rsidTr="001053EF">
        <w:trPr>
          <w:cantSplit/>
          <w:trHeight w:val="579"/>
        </w:trPr>
        <w:tc>
          <w:tcPr>
            <w:tcW w:w="821" w:type="pct"/>
            <w:shd w:val="clear" w:color="auto" w:fill="auto"/>
            <w:vAlign w:val="center"/>
          </w:tcPr>
          <w:p w14:paraId="47ECDCB6" w14:textId="237A9812" w:rsidR="00B23FB8" w:rsidRPr="004D55FF" w:rsidRDefault="00B23FB8" w:rsidP="00B23FB8">
            <w:pPr>
              <w:pStyle w:val="TableText"/>
            </w:pPr>
            <w:r w:rsidRPr="004D55FF">
              <w:t>EVO</w:t>
            </w:r>
          </w:p>
        </w:tc>
        <w:tc>
          <w:tcPr>
            <w:tcW w:w="567" w:type="pct"/>
            <w:shd w:val="clear" w:color="auto" w:fill="auto"/>
            <w:vAlign w:val="center"/>
          </w:tcPr>
          <w:p w14:paraId="64DBFB8C" w14:textId="060C7E04" w:rsidR="00B23FB8" w:rsidRPr="004D55FF" w:rsidRDefault="00761CAA" w:rsidP="00B23FB8">
            <w:pPr>
              <w:pStyle w:val="TableText"/>
            </w:pPr>
            <w:r>
              <w:rPr>
                <w:rFonts w:cs="Calibri"/>
                <w:color w:val="000000"/>
              </w:rPr>
              <w:t>5.86</w:t>
            </w:r>
            <w:r w:rsidR="00B23FB8">
              <w:rPr>
                <w:rFonts w:cs="Calibri"/>
                <w:color w:val="000000"/>
              </w:rPr>
              <w:t>, 1.47</w:t>
            </w:r>
          </w:p>
        </w:tc>
        <w:tc>
          <w:tcPr>
            <w:tcW w:w="888" w:type="pct"/>
            <w:shd w:val="clear" w:color="auto" w:fill="auto"/>
            <w:vAlign w:val="center"/>
          </w:tcPr>
          <w:p w14:paraId="664E03FF" w14:textId="284B0777" w:rsidR="00B23FB8" w:rsidRPr="004D55FF" w:rsidRDefault="002347CA" w:rsidP="00B23FB8">
            <w:pPr>
              <w:pStyle w:val="TableText"/>
            </w:pPr>
            <w:r w:rsidRPr="00A643CB">
              <w:rPr>
                <w:rFonts w:cs="Calibri"/>
                <w:szCs w:val="20"/>
              </w:rPr>
              <w:t>$29,439</w:t>
            </w:r>
          </w:p>
        </w:tc>
        <w:tc>
          <w:tcPr>
            <w:tcW w:w="472" w:type="pct"/>
            <w:shd w:val="clear" w:color="auto" w:fill="auto"/>
            <w:vAlign w:val="center"/>
          </w:tcPr>
          <w:p w14:paraId="59FC3B2E" w14:textId="616A39EB" w:rsidR="00B23FB8" w:rsidRPr="004D55FF" w:rsidRDefault="00F27522" w:rsidP="00B23FB8">
            <w:pPr>
              <w:pStyle w:val="TableText"/>
            </w:pPr>
            <w:r w:rsidRPr="001053EF">
              <w:rPr>
                <w:color w:val="000000"/>
              </w:rPr>
              <w:t>2.</w:t>
            </w:r>
            <w:r>
              <w:rPr>
                <w:rFonts w:cs="Calibri"/>
                <w:color w:val="000000"/>
              </w:rPr>
              <w:t>58</w:t>
            </w:r>
            <w:r w:rsidR="00B23FB8">
              <w:rPr>
                <w:rFonts w:cs="Calibri"/>
                <w:color w:val="000000"/>
              </w:rPr>
              <w:t>, 0.43</w:t>
            </w:r>
          </w:p>
        </w:tc>
        <w:tc>
          <w:tcPr>
            <w:tcW w:w="944" w:type="pct"/>
            <w:shd w:val="clear" w:color="auto" w:fill="auto"/>
            <w:vAlign w:val="center"/>
          </w:tcPr>
          <w:p w14:paraId="3C7742FB" w14:textId="49901874" w:rsidR="00B23FB8" w:rsidRPr="004D55FF" w:rsidRDefault="00B23FB8" w:rsidP="00B23FB8">
            <w:pPr>
              <w:pStyle w:val="TableText"/>
            </w:pPr>
            <w:r w:rsidRPr="00B419E6">
              <w:t>Lutetium dominated</w:t>
            </w:r>
          </w:p>
        </w:tc>
        <w:tc>
          <w:tcPr>
            <w:tcW w:w="472" w:type="pct"/>
            <w:shd w:val="clear" w:color="auto" w:fill="auto"/>
            <w:vAlign w:val="center"/>
          </w:tcPr>
          <w:p w14:paraId="465166E8" w14:textId="433CD678" w:rsidR="00B23FB8" w:rsidRPr="004D55FF" w:rsidRDefault="002C382D" w:rsidP="00B23FB8">
            <w:pPr>
              <w:pStyle w:val="TableText"/>
            </w:pPr>
            <w:r>
              <w:rPr>
                <w:rFonts w:cs="Calibri"/>
                <w:color w:val="000000"/>
              </w:rPr>
              <w:t>11.49</w:t>
            </w:r>
            <w:r w:rsidR="00B23FB8">
              <w:rPr>
                <w:rFonts w:cs="Calibri"/>
                <w:color w:val="000000"/>
              </w:rPr>
              <w:t>, 3.74</w:t>
            </w:r>
          </w:p>
        </w:tc>
        <w:tc>
          <w:tcPr>
            <w:tcW w:w="836" w:type="pct"/>
            <w:shd w:val="clear" w:color="auto" w:fill="auto"/>
            <w:vAlign w:val="center"/>
          </w:tcPr>
          <w:p w14:paraId="3BE5B650" w14:textId="0FFC9B3B" w:rsidR="00B23FB8" w:rsidRPr="004D55FF" w:rsidRDefault="002347CA" w:rsidP="00B23FB8">
            <w:pPr>
              <w:pStyle w:val="TableText"/>
            </w:pPr>
            <w:r w:rsidRPr="00687610">
              <w:rPr>
                <w:rFonts w:cs="Calibri"/>
                <w:szCs w:val="20"/>
              </w:rPr>
              <w:t>$20,293</w:t>
            </w:r>
          </w:p>
        </w:tc>
      </w:tr>
      <w:tr w:rsidR="00B23FB8" w:rsidRPr="00230861" w14:paraId="2B6856E0" w14:textId="77777777" w:rsidTr="001053EF">
        <w:trPr>
          <w:cantSplit/>
          <w:trHeight w:val="579"/>
        </w:trPr>
        <w:tc>
          <w:tcPr>
            <w:tcW w:w="821" w:type="pct"/>
            <w:shd w:val="clear" w:color="auto" w:fill="auto"/>
            <w:vAlign w:val="center"/>
          </w:tcPr>
          <w:p w14:paraId="08C4D559" w14:textId="6817FAE4" w:rsidR="00B23FB8" w:rsidRPr="004D55FF" w:rsidRDefault="00B23FB8" w:rsidP="00B23FB8">
            <w:pPr>
              <w:pStyle w:val="TableText"/>
            </w:pPr>
            <w:r w:rsidRPr="004D55FF">
              <w:lastRenderedPageBreak/>
              <w:t>SUN</w:t>
            </w:r>
          </w:p>
        </w:tc>
        <w:tc>
          <w:tcPr>
            <w:tcW w:w="567" w:type="pct"/>
            <w:shd w:val="clear" w:color="auto" w:fill="auto"/>
            <w:vAlign w:val="center"/>
          </w:tcPr>
          <w:p w14:paraId="02396BDC" w14:textId="536946A7" w:rsidR="00B23FB8" w:rsidRPr="004D55FF" w:rsidRDefault="00F27522" w:rsidP="00B23FB8">
            <w:pPr>
              <w:pStyle w:val="TableText"/>
            </w:pPr>
            <w:r>
              <w:rPr>
                <w:rFonts w:cs="Calibri"/>
                <w:color w:val="000000"/>
              </w:rPr>
              <w:t>6.45</w:t>
            </w:r>
            <w:r w:rsidR="00B23FB8">
              <w:rPr>
                <w:rFonts w:cs="Calibri"/>
                <w:color w:val="000000"/>
              </w:rPr>
              <w:t>, 0.74</w:t>
            </w:r>
          </w:p>
        </w:tc>
        <w:tc>
          <w:tcPr>
            <w:tcW w:w="888" w:type="pct"/>
            <w:shd w:val="clear" w:color="auto" w:fill="auto"/>
            <w:vAlign w:val="center"/>
          </w:tcPr>
          <w:p w14:paraId="6FEB970F" w14:textId="0A5A0C24" w:rsidR="00B23FB8" w:rsidRPr="004D55FF" w:rsidRDefault="00B23FB8" w:rsidP="00B23FB8">
            <w:pPr>
              <w:pStyle w:val="TableText"/>
            </w:pPr>
            <w:r w:rsidRPr="00B419E6">
              <w:t>Lutetium dominated</w:t>
            </w:r>
          </w:p>
        </w:tc>
        <w:tc>
          <w:tcPr>
            <w:tcW w:w="472" w:type="pct"/>
            <w:shd w:val="clear" w:color="auto" w:fill="auto"/>
            <w:vAlign w:val="center"/>
          </w:tcPr>
          <w:p w14:paraId="3C0F06E0" w14:textId="0B91D3B3" w:rsidR="00B23FB8" w:rsidRPr="004D55FF" w:rsidRDefault="00B23FB8" w:rsidP="00B23FB8">
            <w:pPr>
              <w:pStyle w:val="TableText"/>
            </w:pPr>
            <w:r w:rsidRPr="001053EF">
              <w:rPr>
                <w:color w:val="000000"/>
              </w:rPr>
              <w:t>2.</w:t>
            </w:r>
            <w:r w:rsidR="00F27522" w:rsidRPr="00F27522">
              <w:rPr>
                <w:rFonts w:cs="Calibri"/>
                <w:color w:val="000000"/>
              </w:rPr>
              <w:t>48</w:t>
            </w:r>
            <w:r w:rsidRPr="00F27522">
              <w:rPr>
                <w:rFonts w:cs="Calibri"/>
                <w:color w:val="000000"/>
              </w:rPr>
              <w:t>, 0.16</w:t>
            </w:r>
          </w:p>
        </w:tc>
        <w:tc>
          <w:tcPr>
            <w:tcW w:w="944" w:type="pct"/>
            <w:shd w:val="clear" w:color="auto" w:fill="auto"/>
            <w:vAlign w:val="center"/>
          </w:tcPr>
          <w:p w14:paraId="2787837D" w14:textId="74732509" w:rsidR="00B23FB8" w:rsidRPr="004D55FF" w:rsidRDefault="002347CA" w:rsidP="00B23FB8">
            <w:pPr>
              <w:pStyle w:val="TableText"/>
            </w:pPr>
            <w:r w:rsidRPr="00260ED2">
              <w:rPr>
                <w:rFonts w:cs="Calibri"/>
                <w:szCs w:val="20"/>
              </w:rPr>
              <w:t>$3,762</w:t>
            </w:r>
          </w:p>
        </w:tc>
        <w:tc>
          <w:tcPr>
            <w:tcW w:w="472" w:type="pct"/>
            <w:shd w:val="clear" w:color="auto" w:fill="auto"/>
            <w:vAlign w:val="center"/>
          </w:tcPr>
          <w:p w14:paraId="14CC0A29" w14:textId="0060AE27" w:rsidR="00B23FB8" w:rsidRPr="004D55FF" w:rsidRDefault="002C382D" w:rsidP="00B23FB8">
            <w:pPr>
              <w:pStyle w:val="TableText"/>
            </w:pPr>
            <w:r>
              <w:rPr>
                <w:rFonts w:cs="Calibri"/>
                <w:color w:val="000000"/>
              </w:rPr>
              <w:t>13.78</w:t>
            </w:r>
            <w:r w:rsidR="00B23FB8">
              <w:rPr>
                <w:rFonts w:cs="Calibri"/>
                <w:color w:val="000000"/>
              </w:rPr>
              <w:t>, 2.19</w:t>
            </w:r>
          </w:p>
        </w:tc>
        <w:tc>
          <w:tcPr>
            <w:tcW w:w="836" w:type="pct"/>
            <w:shd w:val="clear" w:color="auto" w:fill="auto"/>
            <w:vAlign w:val="center"/>
          </w:tcPr>
          <w:p w14:paraId="72AE7FC3" w14:textId="1805C697" w:rsidR="00B23FB8" w:rsidRPr="004D55FF" w:rsidRDefault="002347CA" w:rsidP="00B23FB8">
            <w:pPr>
              <w:pStyle w:val="TableText"/>
            </w:pPr>
            <w:r w:rsidRPr="00687610">
              <w:rPr>
                <w:rFonts w:cs="Calibri"/>
                <w:szCs w:val="20"/>
              </w:rPr>
              <w:t>$23,461</w:t>
            </w:r>
          </w:p>
        </w:tc>
      </w:tr>
      <w:tr w:rsidR="00B23FB8" w:rsidRPr="00230861" w14:paraId="223E5924" w14:textId="77777777" w:rsidTr="001053EF">
        <w:trPr>
          <w:cantSplit/>
          <w:trHeight w:val="579"/>
        </w:trPr>
        <w:tc>
          <w:tcPr>
            <w:tcW w:w="821" w:type="pct"/>
            <w:shd w:val="clear" w:color="auto" w:fill="auto"/>
            <w:vAlign w:val="center"/>
          </w:tcPr>
          <w:p w14:paraId="5CD98CBD" w14:textId="77777777" w:rsidR="00B23FB8" w:rsidRPr="004D55FF" w:rsidRDefault="00B23FB8" w:rsidP="00B23FB8">
            <w:pPr>
              <w:pStyle w:val="TableText"/>
            </w:pPr>
            <w:r w:rsidRPr="004D55FF">
              <w:t>OCT+EVO</w:t>
            </w:r>
          </w:p>
        </w:tc>
        <w:tc>
          <w:tcPr>
            <w:tcW w:w="567" w:type="pct"/>
            <w:shd w:val="clear" w:color="auto" w:fill="auto"/>
            <w:vAlign w:val="center"/>
          </w:tcPr>
          <w:p w14:paraId="20F925CC" w14:textId="30A06015" w:rsidR="00B23FB8" w:rsidRPr="004D55FF" w:rsidRDefault="00F27522" w:rsidP="00B23FB8">
            <w:pPr>
              <w:pStyle w:val="TableText"/>
            </w:pPr>
            <w:r>
              <w:rPr>
                <w:rFonts w:cs="Calibri"/>
                <w:color w:val="000000"/>
              </w:rPr>
              <w:t>3.80</w:t>
            </w:r>
            <w:r w:rsidR="00B23FB8">
              <w:rPr>
                <w:rFonts w:cs="Calibri"/>
                <w:color w:val="000000"/>
              </w:rPr>
              <w:t>, 1.49</w:t>
            </w:r>
          </w:p>
        </w:tc>
        <w:tc>
          <w:tcPr>
            <w:tcW w:w="888" w:type="pct"/>
            <w:shd w:val="clear" w:color="auto" w:fill="auto"/>
            <w:vAlign w:val="center"/>
          </w:tcPr>
          <w:p w14:paraId="112BD59C" w14:textId="1392C394" w:rsidR="00B23FB8" w:rsidRPr="004D55FF" w:rsidRDefault="002347CA" w:rsidP="00B23FB8">
            <w:pPr>
              <w:pStyle w:val="TableText"/>
            </w:pPr>
            <w:r w:rsidRPr="00A643CB">
              <w:rPr>
                <w:rFonts w:cs="Calibri"/>
                <w:szCs w:val="20"/>
              </w:rPr>
              <w:t>$18,643</w:t>
            </w:r>
          </w:p>
        </w:tc>
        <w:tc>
          <w:tcPr>
            <w:tcW w:w="472" w:type="pct"/>
            <w:shd w:val="clear" w:color="auto" w:fill="auto"/>
            <w:vAlign w:val="center"/>
          </w:tcPr>
          <w:p w14:paraId="59AE749F" w14:textId="0065C86E" w:rsidR="00B23FB8" w:rsidRPr="004D55FF" w:rsidRDefault="00F27522" w:rsidP="00B23FB8">
            <w:pPr>
              <w:pStyle w:val="TableText"/>
            </w:pPr>
            <w:r w:rsidRPr="001053EF">
              <w:rPr>
                <w:color w:val="000000"/>
              </w:rPr>
              <w:t>2.</w:t>
            </w:r>
            <w:r w:rsidRPr="00F27522">
              <w:rPr>
                <w:rFonts w:cs="Calibri"/>
                <w:color w:val="000000"/>
              </w:rPr>
              <w:t>14</w:t>
            </w:r>
            <w:r w:rsidR="00B23FB8" w:rsidRPr="001053EF">
              <w:rPr>
                <w:color w:val="000000"/>
              </w:rPr>
              <w:t>,</w:t>
            </w:r>
            <w:r w:rsidR="00B23FB8" w:rsidRPr="00F27522">
              <w:rPr>
                <w:rFonts w:cs="Calibri"/>
                <w:color w:val="000000"/>
              </w:rPr>
              <w:t xml:space="preserve"> 0.93</w:t>
            </w:r>
          </w:p>
        </w:tc>
        <w:tc>
          <w:tcPr>
            <w:tcW w:w="944" w:type="pct"/>
            <w:shd w:val="clear" w:color="auto" w:fill="auto"/>
            <w:vAlign w:val="center"/>
          </w:tcPr>
          <w:p w14:paraId="14BCE563" w14:textId="5BC6D842" w:rsidR="00B23FB8" w:rsidRPr="004D55FF" w:rsidRDefault="002347CA" w:rsidP="00B23FB8">
            <w:pPr>
              <w:pStyle w:val="TableText"/>
            </w:pPr>
            <w:r w:rsidRPr="00260ED2">
              <w:rPr>
                <w:rFonts w:cs="Calibri"/>
                <w:szCs w:val="20"/>
              </w:rPr>
              <w:t>$70,643</w:t>
            </w:r>
          </w:p>
        </w:tc>
        <w:tc>
          <w:tcPr>
            <w:tcW w:w="472" w:type="pct"/>
            <w:shd w:val="clear" w:color="auto" w:fill="auto"/>
            <w:vAlign w:val="center"/>
          </w:tcPr>
          <w:p w14:paraId="2DB8B07A" w14:textId="766353EF" w:rsidR="00B23FB8" w:rsidRPr="004D55FF" w:rsidRDefault="002C382D" w:rsidP="00B23FB8">
            <w:pPr>
              <w:pStyle w:val="TableText"/>
            </w:pPr>
            <w:r>
              <w:rPr>
                <w:rFonts w:cs="Calibri"/>
                <w:color w:val="000000"/>
              </w:rPr>
              <w:t>6.26</w:t>
            </w:r>
            <w:r w:rsidR="00B23FB8">
              <w:rPr>
                <w:rFonts w:cs="Calibri"/>
                <w:color w:val="000000"/>
              </w:rPr>
              <w:t>, 2.26</w:t>
            </w:r>
          </w:p>
        </w:tc>
        <w:tc>
          <w:tcPr>
            <w:tcW w:w="836" w:type="pct"/>
            <w:shd w:val="clear" w:color="auto" w:fill="auto"/>
            <w:vAlign w:val="center"/>
          </w:tcPr>
          <w:p w14:paraId="215703ED" w14:textId="5B97FEFE" w:rsidR="00B23FB8" w:rsidRPr="004D55FF" w:rsidRDefault="002347CA" w:rsidP="00B23FB8">
            <w:pPr>
              <w:pStyle w:val="TableText"/>
            </w:pPr>
            <w:r w:rsidRPr="00687610">
              <w:rPr>
                <w:rFonts w:cs="Calibri"/>
                <w:szCs w:val="20"/>
              </w:rPr>
              <w:t>$16,876</w:t>
            </w:r>
          </w:p>
        </w:tc>
      </w:tr>
      <w:tr w:rsidR="006D585A" w:rsidRPr="00230861" w14:paraId="637481B7" w14:textId="77777777" w:rsidTr="001053EF">
        <w:trPr>
          <w:cantSplit/>
          <w:trHeight w:val="340"/>
        </w:trPr>
        <w:tc>
          <w:tcPr>
            <w:tcW w:w="5000" w:type="pct"/>
            <w:gridSpan w:val="7"/>
            <w:shd w:val="clear" w:color="auto" w:fill="auto"/>
            <w:vAlign w:val="center"/>
          </w:tcPr>
          <w:p w14:paraId="49DDF7B4" w14:textId="1A049A55" w:rsidR="006D585A" w:rsidRPr="00687610" w:rsidRDefault="006D585A" w:rsidP="001053EF">
            <w:pPr>
              <w:pStyle w:val="In-tableHeading"/>
              <w:rPr>
                <w:rFonts w:cs="Calibri"/>
                <w:szCs w:val="20"/>
              </w:rPr>
            </w:pPr>
            <w:r w:rsidRPr="00366D31">
              <w:t>Proportion of patients receiving tests</w:t>
            </w:r>
          </w:p>
        </w:tc>
      </w:tr>
      <w:tr w:rsidR="006D585A" w:rsidRPr="00230861" w14:paraId="4737AB81" w14:textId="77777777" w:rsidTr="001053EF">
        <w:trPr>
          <w:cantSplit/>
          <w:trHeight w:val="579"/>
        </w:trPr>
        <w:tc>
          <w:tcPr>
            <w:tcW w:w="821" w:type="pct"/>
            <w:shd w:val="clear" w:color="auto" w:fill="auto"/>
            <w:vAlign w:val="center"/>
          </w:tcPr>
          <w:p w14:paraId="0548D70A" w14:textId="1D0ED202" w:rsidR="006D585A" w:rsidRPr="004D55FF" w:rsidRDefault="006D585A" w:rsidP="006D585A">
            <w:pPr>
              <w:pStyle w:val="TableText"/>
            </w:pPr>
            <w:r w:rsidRPr="00776352">
              <w:rPr>
                <w:vertAlign w:val="superscript"/>
              </w:rPr>
              <w:t>68</w:t>
            </w:r>
            <w:r w:rsidRPr="00FE32FF">
              <w:t>Ga-DOTA-octreotate PET/CT</w:t>
            </w:r>
            <w:r>
              <w:t xml:space="preserve">, </w:t>
            </w:r>
            <w:r w:rsidRPr="00FE32FF">
              <w:t>FDG PET/CT</w:t>
            </w:r>
          </w:p>
        </w:tc>
        <w:tc>
          <w:tcPr>
            <w:tcW w:w="567" w:type="pct"/>
            <w:shd w:val="clear" w:color="auto" w:fill="auto"/>
            <w:vAlign w:val="center"/>
          </w:tcPr>
          <w:p w14:paraId="566E3FDF" w14:textId="5C9B603B" w:rsidR="006D585A" w:rsidRPr="006554F5" w:rsidRDefault="006D585A" w:rsidP="006D585A">
            <w:pPr>
              <w:pStyle w:val="TableText"/>
              <w:rPr>
                <w:rFonts w:cs="Calibri"/>
                <w:color w:val="000000"/>
                <w:highlight w:val="yellow"/>
              </w:rPr>
            </w:pPr>
            <w:r>
              <w:rPr>
                <w:rFonts w:cs="Calibri"/>
                <w:color w:val="000000"/>
              </w:rPr>
              <w:t>100%, 30%</w:t>
            </w:r>
          </w:p>
        </w:tc>
        <w:tc>
          <w:tcPr>
            <w:tcW w:w="888" w:type="pct"/>
            <w:shd w:val="clear" w:color="auto" w:fill="auto"/>
            <w:vAlign w:val="center"/>
          </w:tcPr>
          <w:p w14:paraId="4FC7988A" w14:textId="77777777" w:rsidR="006D585A" w:rsidRPr="00EE65FD" w:rsidRDefault="006D585A" w:rsidP="006D585A">
            <w:pPr>
              <w:pStyle w:val="TableText"/>
              <w:rPr>
                <w:rFonts w:cs="Calibri"/>
                <w:szCs w:val="20"/>
              </w:rPr>
            </w:pPr>
            <w:r w:rsidRPr="00EE65FD">
              <w:rPr>
                <w:rFonts w:cs="Calibri"/>
                <w:szCs w:val="20"/>
              </w:rPr>
              <w:t>PBO = $31,792</w:t>
            </w:r>
          </w:p>
          <w:p w14:paraId="3733CF8F" w14:textId="77777777" w:rsidR="006D585A" w:rsidRPr="00EE65FD" w:rsidRDefault="006D585A" w:rsidP="006D585A">
            <w:pPr>
              <w:pStyle w:val="TableText"/>
              <w:rPr>
                <w:rFonts w:cs="Calibri"/>
                <w:szCs w:val="20"/>
              </w:rPr>
            </w:pPr>
            <w:r w:rsidRPr="00EE65FD">
              <w:rPr>
                <w:rFonts w:cs="Calibri"/>
                <w:szCs w:val="20"/>
              </w:rPr>
              <w:t>OCT = $27,676</w:t>
            </w:r>
          </w:p>
          <w:p w14:paraId="59AE6A3A" w14:textId="77777777" w:rsidR="006D585A" w:rsidRPr="00EE65FD" w:rsidRDefault="006D585A" w:rsidP="006D585A">
            <w:pPr>
              <w:pStyle w:val="TableText"/>
              <w:rPr>
                <w:rFonts w:cs="Calibri"/>
                <w:szCs w:val="20"/>
              </w:rPr>
            </w:pPr>
            <w:r w:rsidRPr="00EE65FD">
              <w:rPr>
                <w:rFonts w:cs="Calibri"/>
                <w:szCs w:val="20"/>
              </w:rPr>
              <w:t>LAN = $22,621</w:t>
            </w:r>
          </w:p>
          <w:p w14:paraId="132E25A4" w14:textId="77777777" w:rsidR="006D585A" w:rsidRPr="00EE65FD" w:rsidRDefault="006D585A" w:rsidP="006D585A">
            <w:pPr>
              <w:pStyle w:val="TableText"/>
              <w:rPr>
                <w:rFonts w:cs="Calibri"/>
                <w:szCs w:val="20"/>
              </w:rPr>
            </w:pPr>
            <w:r w:rsidRPr="00EE65FD">
              <w:rPr>
                <w:rFonts w:cs="Calibri"/>
                <w:szCs w:val="20"/>
              </w:rPr>
              <w:t>EVO = $29,439</w:t>
            </w:r>
          </w:p>
          <w:p w14:paraId="6C66ADA3" w14:textId="77777777" w:rsidR="006D585A" w:rsidRPr="00EE65FD" w:rsidRDefault="006D585A" w:rsidP="006D585A">
            <w:pPr>
              <w:pStyle w:val="TableText"/>
              <w:rPr>
                <w:rFonts w:cs="Calibri"/>
                <w:szCs w:val="20"/>
              </w:rPr>
            </w:pPr>
            <w:r w:rsidRPr="00EE65FD">
              <w:rPr>
                <w:rFonts w:cs="Calibri"/>
                <w:szCs w:val="20"/>
              </w:rPr>
              <w:t>SUN = Lutetium dominated</w:t>
            </w:r>
          </w:p>
          <w:p w14:paraId="5E95326A" w14:textId="3A2034BC" w:rsidR="006D585A" w:rsidRPr="00A643CB" w:rsidRDefault="006D585A" w:rsidP="006D585A">
            <w:pPr>
              <w:pStyle w:val="TableText"/>
              <w:rPr>
                <w:rFonts w:cs="Calibri"/>
                <w:szCs w:val="20"/>
              </w:rPr>
            </w:pPr>
            <w:r w:rsidRPr="00EE65FD">
              <w:rPr>
                <w:rFonts w:cs="Calibri"/>
                <w:szCs w:val="20"/>
              </w:rPr>
              <w:t>OCT+EVO = $18,643</w:t>
            </w:r>
          </w:p>
        </w:tc>
        <w:tc>
          <w:tcPr>
            <w:tcW w:w="472" w:type="pct"/>
            <w:shd w:val="clear" w:color="auto" w:fill="auto"/>
            <w:vAlign w:val="center"/>
          </w:tcPr>
          <w:p w14:paraId="1CBBF5A2" w14:textId="0093E725" w:rsidR="006D585A" w:rsidRPr="000845E3" w:rsidRDefault="006D585A" w:rsidP="006D585A">
            <w:pPr>
              <w:pStyle w:val="TableText"/>
              <w:rPr>
                <w:color w:val="000000"/>
              </w:rPr>
            </w:pPr>
            <w:r>
              <w:rPr>
                <w:rFonts w:cs="Calibri"/>
                <w:color w:val="000000"/>
              </w:rPr>
              <w:t>N/A</w:t>
            </w:r>
          </w:p>
        </w:tc>
        <w:tc>
          <w:tcPr>
            <w:tcW w:w="944" w:type="pct"/>
            <w:shd w:val="clear" w:color="auto" w:fill="auto"/>
            <w:vAlign w:val="center"/>
          </w:tcPr>
          <w:p w14:paraId="71CB1B9E" w14:textId="4517178F" w:rsidR="006D585A" w:rsidRPr="00260ED2" w:rsidRDefault="006D585A" w:rsidP="006D585A">
            <w:pPr>
              <w:pStyle w:val="TableText"/>
              <w:rPr>
                <w:rFonts w:cs="Calibri"/>
                <w:szCs w:val="20"/>
              </w:rPr>
            </w:pPr>
            <w:r>
              <w:rPr>
                <w:rFonts w:cs="Calibri"/>
                <w:szCs w:val="20"/>
              </w:rPr>
              <w:t>N/A</w:t>
            </w:r>
          </w:p>
        </w:tc>
        <w:tc>
          <w:tcPr>
            <w:tcW w:w="472" w:type="pct"/>
            <w:shd w:val="clear" w:color="auto" w:fill="auto"/>
            <w:vAlign w:val="center"/>
          </w:tcPr>
          <w:p w14:paraId="17EF7F73" w14:textId="21EFADBB" w:rsidR="006D585A" w:rsidRPr="00567FA4" w:rsidRDefault="006D585A" w:rsidP="006D585A">
            <w:pPr>
              <w:pStyle w:val="TableText"/>
              <w:rPr>
                <w:rFonts w:cs="Calibri"/>
                <w:color w:val="000000"/>
                <w:highlight w:val="yellow"/>
              </w:rPr>
            </w:pPr>
            <w:r>
              <w:rPr>
                <w:rFonts w:cs="Calibri"/>
                <w:color w:val="000000"/>
              </w:rPr>
              <w:t>150%, 60%</w:t>
            </w:r>
          </w:p>
        </w:tc>
        <w:tc>
          <w:tcPr>
            <w:tcW w:w="836" w:type="pct"/>
            <w:shd w:val="clear" w:color="auto" w:fill="auto"/>
            <w:vAlign w:val="center"/>
          </w:tcPr>
          <w:p w14:paraId="02E8A9A4" w14:textId="77777777" w:rsidR="006D585A" w:rsidRPr="00EE65FD" w:rsidRDefault="006D585A" w:rsidP="006D585A">
            <w:pPr>
              <w:pStyle w:val="TableText"/>
              <w:rPr>
                <w:rFonts w:cs="Calibri"/>
                <w:szCs w:val="20"/>
              </w:rPr>
            </w:pPr>
            <w:r w:rsidRPr="00EE65FD">
              <w:rPr>
                <w:rFonts w:cs="Calibri"/>
                <w:szCs w:val="20"/>
              </w:rPr>
              <w:t>PBO = $31,792</w:t>
            </w:r>
          </w:p>
          <w:p w14:paraId="32C0AFBA" w14:textId="77777777" w:rsidR="006D585A" w:rsidRPr="00EE65FD" w:rsidRDefault="006D585A" w:rsidP="006D585A">
            <w:pPr>
              <w:pStyle w:val="TableText"/>
              <w:rPr>
                <w:rFonts w:cs="Calibri"/>
                <w:szCs w:val="20"/>
              </w:rPr>
            </w:pPr>
            <w:r w:rsidRPr="00EE65FD">
              <w:rPr>
                <w:rFonts w:cs="Calibri"/>
                <w:szCs w:val="20"/>
              </w:rPr>
              <w:t>OCT = $27,676</w:t>
            </w:r>
          </w:p>
          <w:p w14:paraId="2522406D" w14:textId="77777777" w:rsidR="006D585A" w:rsidRPr="00EE65FD" w:rsidRDefault="006D585A" w:rsidP="006D585A">
            <w:pPr>
              <w:pStyle w:val="TableText"/>
              <w:rPr>
                <w:rFonts w:cs="Calibri"/>
                <w:szCs w:val="20"/>
              </w:rPr>
            </w:pPr>
            <w:r w:rsidRPr="00EE65FD">
              <w:rPr>
                <w:rFonts w:cs="Calibri"/>
                <w:szCs w:val="20"/>
              </w:rPr>
              <w:t>LAN = $22,621</w:t>
            </w:r>
          </w:p>
          <w:p w14:paraId="2E0E5583" w14:textId="77777777" w:rsidR="006D585A" w:rsidRPr="00EE65FD" w:rsidRDefault="006D585A" w:rsidP="006D585A">
            <w:pPr>
              <w:pStyle w:val="TableText"/>
              <w:rPr>
                <w:rFonts w:cs="Calibri"/>
                <w:szCs w:val="20"/>
              </w:rPr>
            </w:pPr>
            <w:r w:rsidRPr="00EE65FD">
              <w:rPr>
                <w:rFonts w:cs="Calibri"/>
                <w:szCs w:val="20"/>
              </w:rPr>
              <w:t>EVO = $30,142</w:t>
            </w:r>
          </w:p>
          <w:p w14:paraId="76F35A1A" w14:textId="77777777" w:rsidR="006D585A" w:rsidRPr="00EE65FD" w:rsidRDefault="006D585A" w:rsidP="006D585A">
            <w:pPr>
              <w:pStyle w:val="TableText"/>
              <w:rPr>
                <w:rFonts w:cs="Calibri"/>
                <w:szCs w:val="20"/>
              </w:rPr>
            </w:pPr>
            <w:r w:rsidRPr="00EE65FD">
              <w:rPr>
                <w:rFonts w:cs="Calibri"/>
                <w:szCs w:val="20"/>
              </w:rPr>
              <w:t>SUN = Lutetium dominated</w:t>
            </w:r>
          </w:p>
          <w:p w14:paraId="59F92CC7" w14:textId="70D49DA4" w:rsidR="006D585A" w:rsidRPr="00687610" w:rsidRDefault="006D585A" w:rsidP="006D585A">
            <w:pPr>
              <w:pStyle w:val="TableText"/>
              <w:rPr>
                <w:rFonts w:cs="Calibri"/>
                <w:szCs w:val="20"/>
              </w:rPr>
            </w:pPr>
            <w:r w:rsidRPr="00EE65FD">
              <w:rPr>
                <w:rFonts w:cs="Calibri"/>
                <w:szCs w:val="20"/>
              </w:rPr>
              <w:t>OCT+EVO = $18,643</w:t>
            </w:r>
          </w:p>
        </w:tc>
      </w:tr>
      <w:tr w:rsidR="006D585A" w:rsidRPr="00230861" w14:paraId="743817DF" w14:textId="77777777" w:rsidTr="001053EF">
        <w:trPr>
          <w:cantSplit/>
          <w:trHeight w:val="340"/>
        </w:trPr>
        <w:tc>
          <w:tcPr>
            <w:tcW w:w="5000" w:type="pct"/>
            <w:gridSpan w:val="7"/>
            <w:shd w:val="clear" w:color="auto" w:fill="auto"/>
            <w:vAlign w:val="center"/>
          </w:tcPr>
          <w:p w14:paraId="4CEE7CD7" w14:textId="77777777" w:rsidR="006D585A" w:rsidRPr="004D55FF" w:rsidRDefault="006D585A" w:rsidP="006D585A">
            <w:pPr>
              <w:pStyle w:val="In-tableHeading"/>
            </w:pPr>
            <w:r w:rsidRPr="004D55FF">
              <w:t>Utility (PFS, PPS)</w:t>
            </w:r>
          </w:p>
        </w:tc>
      </w:tr>
      <w:tr w:rsidR="006D585A" w:rsidRPr="00230861" w14:paraId="63946662" w14:textId="77777777" w:rsidTr="001053EF">
        <w:trPr>
          <w:cantSplit/>
          <w:trHeight w:val="1754"/>
        </w:trPr>
        <w:tc>
          <w:tcPr>
            <w:tcW w:w="821" w:type="pct"/>
            <w:shd w:val="clear" w:color="auto" w:fill="auto"/>
            <w:vAlign w:val="center"/>
          </w:tcPr>
          <w:p w14:paraId="26F8C910" w14:textId="6D64C2DA" w:rsidR="006D585A" w:rsidRPr="004D55FF" w:rsidRDefault="006D585A" w:rsidP="006D585A">
            <w:pPr>
              <w:pStyle w:val="TableText"/>
            </w:pPr>
            <w:r w:rsidRPr="004D55FF">
              <w:t xml:space="preserve">Utility from RADIANT-4 </w:t>
            </w:r>
          </w:p>
        </w:tc>
        <w:tc>
          <w:tcPr>
            <w:tcW w:w="567" w:type="pct"/>
            <w:vMerge w:val="restart"/>
            <w:shd w:val="clear" w:color="auto" w:fill="auto"/>
            <w:vAlign w:val="center"/>
          </w:tcPr>
          <w:p w14:paraId="314638D0" w14:textId="79D0795E" w:rsidR="006D585A" w:rsidRPr="004D55FF" w:rsidRDefault="006D585A" w:rsidP="006D585A">
            <w:pPr>
              <w:pStyle w:val="TableText"/>
            </w:pPr>
            <w:r w:rsidRPr="004D55FF">
              <w:t>0.77, 0.61</w:t>
            </w:r>
          </w:p>
        </w:tc>
        <w:tc>
          <w:tcPr>
            <w:tcW w:w="888" w:type="pct"/>
            <w:vMerge w:val="restart"/>
            <w:shd w:val="clear" w:color="auto" w:fill="auto"/>
            <w:vAlign w:val="center"/>
          </w:tcPr>
          <w:p w14:paraId="4A3415D0" w14:textId="711E4A2F" w:rsidR="006D585A" w:rsidRPr="00CC0CC2" w:rsidRDefault="006D585A" w:rsidP="006D585A">
            <w:pPr>
              <w:pStyle w:val="TableText"/>
            </w:pPr>
            <w:r w:rsidRPr="00B419E6">
              <w:t>PBO = $31,</w:t>
            </w:r>
            <w:r>
              <w:t>792</w:t>
            </w:r>
          </w:p>
          <w:p w14:paraId="4B359AA3" w14:textId="3210ED34" w:rsidR="006D585A" w:rsidRPr="00CC0CC2" w:rsidRDefault="006D585A" w:rsidP="006D585A">
            <w:pPr>
              <w:pStyle w:val="TableText"/>
            </w:pPr>
            <w:r w:rsidRPr="00B419E6">
              <w:t>OCT = $2</w:t>
            </w:r>
            <w:r>
              <w:t>7,676</w:t>
            </w:r>
          </w:p>
          <w:p w14:paraId="627A4364" w14:textId="4E68AEBE" w:rsidR="006D585A" w:rsidRPr="00CC0CC2" w:rsidRDefault="006D585A" w:rsidP="006D585A">
            <w:pPr>
              <w:pStyle w:val="TableText"/>
            </w:pPr>
            <w:r w:rsidRPr="00B419E6">
              <w:t xml:space="preserve">LAN = </w:t>
            </w:r>
            <w:r w:rsidRPr="00CC0CC2">
              <w:t>$2</w:t>
            </w:r>
            <w:r>
              <w:t>2,621</w:t>
            </w:r>
          </w:p>
          <w:p w14:paraId="07784DEA" w14:textId="21049A79" w:rsidR="006D585A" w:rsidRPr="00CC0CC2" w:rsidRDefault="006D585A" w:rsidP="006D585A">
            <w:pPr>
              <w:pStyle w:val="TableText"/>
            </w:pPr>
            <w:r w:rsidRPr="00B419E6">
              <w:t>EVO = $2</w:t>
            </w:r>
            <w:r>
              <w:t>9,439</w:t>
            </w:r>
          </w:p>
          <w:p w14:paraId="657F4648" w14:textId="77777777" w:rsidR="006D585A" w:rsidRPr="004D55FF" w:rsidRDefault="006D585A" w:rsidP="006D585A">
            <w:pPr>
              <w:pStyle w:val="TableText"/>
            </w:pPr>
            <w:r w:rsidRPr="004D55FF">
              <w:t>SUN = Lutetium dominated</w:t>
            </w:r>
          </w:p>
          <w:p w14:paraId="5EB8245A" w14:textId="48A6D991" w:rsidR="006D585A" w:rsidRPr="004D55FF" w:rsidRDefault="006D585A" w:rsidP="006D585A">
            <w:pPr>
              <w:pStyle w:val="TableText"/>
            </w:pPr>
            <w:r w:rsidRPr="004D55FF">
              <w:t>OCT+EVO = $</w:t>
            </w:r>
            <w:r>
              <w:t>18,643</w:t>
            </w:r>
          </w:p>
        </w:tc>
        <w:tc>
          <w:tcPr>
            <w:tcW w:w="472" w:type="pct"/>
            <w:shd w:val="clear" w:color="auto" w:fill="auto"/>
            <w:vAlign w:val="center"/>
          </w:tcPr>
          <w:p w14:paraId="5957759F" w14:textId="6590E92A" w:rsidR="006D585A" w:rsidRPr="004D55FF" w:rsidRDefault="006D585A" w:rsidP="006D585A">
            <w:pPr>
              <w:pStyle w:val="TableText"/>
            </w:pPr>
            <w:r w:rsidRPr="004D55FF">
              <w:t>0.78, 0.73</w:t>
            </w:r>
          </w:p>
        </w:tc>
        <w:tc>
          <w:tcPr>
            <w:tcW w:w="944" w:type="pct"/>
            <w:shd w:val="clear" w:color="auto" w:fill="auto"/>
            <w:vAlign w:val="center"/>
          </w:tcPr>
          <w:p w14:paraId="0B48484E" w14:textId="77777777" w:rsidR="006D585A" w:rsidRPr="004D55FF" w:rsidRDefault="006D585A" w:rsidP="006D585A">
            <w:pPr>
              <w:pStyle w:val="TableText"/>
            </w:pPr>
            <w:r w:rsidRPr="004D55FF">
              <w:t>PBO = $36,719</w:t>
            </w:r>
          </w:p>
          <w:p w14:paraId="26FE5655" w14:textId="43F55FB3" w:rsidR="006D585A" w:rsidRPr="00504E6A" w:rsidRDefault="006D585A" w:rsidP="006D585A">
            <w:pPr>
              <w:pStyle w:val="TableText"/>
            </w:pPr>
            <w:r w:rsidRPr="00504E6A">
              <w:t>OCT = $3</w:t>
            </w:r>
            <w:r>
              <w:t>8,532</w:t>
            </w:r>
          </w:p>
          <w:p w14:paraId="0642BA1F" w14:textId="37652F91" w:rsidR="006D585A" w:rsidRPr="00504E6A" w:rsidRDefault="006D585A" w:rsidP="006D585A">
            <w:pPr>
              <w:pStyle w:val="TableText"/>
            </w:pPr>
            <w:r w:rsidRPr="00504E6A">
              <w:t>LAN = $3</w:t>
            </w:r>
            <w:r>
              <w:t>2,807</w:t>
            </w:r>
          </w:p>
          <w:p w14:paraId="48EAF66D" w14:textId="3FDEA9D7" w:rsidR="006D585A" w:rsidRPr="00504E6A" w:rsidRDefault="006D585A" w:rsidP="006D585A">
            <w:pPr>
              <w:pStyle w:val="TableText"/>
            </w:pPr>
            <w:r w:rsidRPr="00504E6A">
              <w:t>EVO = $3</w:t>
            </w:r>
            <w:r>
              <w:t>4,855</w:t>
            </w:r>
          </w:p>
          <w:p w14:paraId="52C2DFFE" w14:textId="77777777" w:rsidR="006D585A" w:rsidRPr="004D55FF" w:rsidRDefault="006D585A" w:rsidP="006D585A">
            <w:pPr>
              <w:pStyle w:val="TableText"/>
            </w:pPr>
            <w:r w:rsidRPr="004D55FF">
              <w:t>SUN = Lutetium dominated</w:t>
            </w:r>
          </w:p>
          <w:p w14:paraId="1917ED91" w14:textId="5C26609D" w:rsidR="006D585A" w:rsidRPr="004D55FF" w:rsidRDefault="006D585A" w:rsidP="006D585A">
            <w:pPr>
              <w:pStyle w:val="TableText"/>
            </w:pPr>
            <w:r w:rsidRPr="004D55FF">
              <w:t>OCT+EVO = $</w:t>
            </w:r>
            <w:r w:rsidRPr="00504E6A">
              <w:t>2</w:t>
            </w:r>
            <w:r>
              <w:t>1,145</w:t>
            </w:r>
          </w:p>
        </w:tc>
        <w:tc>
          <w:tcPr>
            <w:tcW w:w="472" w:type="pct"/>
            <w:shd w:val="clear" w:color="auto" w:fill="auto"/>
            <w:vAlign w:val="center"/>
          </w:tcPr>
          <w:p w14:paraId="4601826E" w14:textId="77777777" w:rsidR="006D585A" w:rsidRPr="004D55FF" w:rsidRDefault="006D585A" w:rsidP="006D585A">
            <w:pPr>
              <w:pStyle w:val="TableText"/>
            </w:pPr>
            <w:r w:rsidRPr="004D55FF">
              <w:t>N/A</w:t>
            </w:r>
          </w:p>
        </w:tc>
        <w:tc>
          <w:tcPr>
            <w:tcW w:w="836" w:type="pct"/>
            <w:shd w:val="clear" w:color="auto" w:fill="auto"/>
            <w:vAlign w:val="center"/>
          </w:tcPr>
          <w:p w14:paraId="42F59CFD" w14:textId="77777777" w:rsidR="006D585A" w:rsidRPr="004D55FF" w:rsidRDefault="006D585A" w:rsidP="006D585A">
            <w:pPr>
              <w:pStyle w:val="TableText"/>
            </w:pPr>
          </w:p>
        </w:tc>
      </w:tr>
      <w:tr w:rsidR="006D585A" w:rsidRPr="00230861" w14:paraId="61E55156" w14:textId="77777777" w:rsidTr="001053EF">
        <w:trPr>
          <w:cantSplit/>
          <w:trHeight w:val="579"/>
        </w:trPr>
        <w:tc>
          <w:tcPr>
            <w:tcW w:w="821" w:type="pct"/>
            <w:shd w:val="clear" w:color="auto" w:fill="auto"/>
            <w:vAlign w:val="center"/>
          </w:tcPr>
          <w:p w14:paraId="4F289A96" w14:textId="635CAECE" w:rsidR="006D585A" w:rsidRPr="004D55FF" w:rsidRDefault="006D585A" w:rsidP="006D585A">
            <w:pPr>
              <w:pStyle w:val="TableText"/>
            </w:pPr>
            <w:r w:rsidRPr="004D55FF">
              <w:t>Utility from Erasmus study (from NICE appraisal)</w:t>
            </w:r>
          </w:p>
        </w:tc>
        <w:tc>
          <w:tcPr>
            <w:tcW w:w="567" w:type="pct"/>
            <w:vMerge/>
            <w:shd w:val="clear" w:color="auto" w:fill="auto"/>
            <w:vAlign w:val="center"/>
          </w:tcPr>
          <w:p w14:paraId="63BF564A" w14:textId="77777777" w:rsidR="006D585A" w:rsidRPr="004D55FF" w:rsidRDefault="006D585A" w:rsidP="006D585A">
            <w:pPr>
              <w:pStyle w:val="TableText"/>
            </w:pPr>
          </w:p>
        </w:tc>
        <w:tc>
          <w:tcPr>
            <w:tcW w:w="888" w:type="pct"/>
            <w:vMerge/>
            <w:shd w:val="clear" w:color="auto" w:fill="auto"/>
            <w:vAlign w:val="center"/>
          </w:tcPr>
          <w:p w14:paraId="3E5E4101" w14:textId="77777777" w:rsidR="006D585A" w:rsidRPr="004D55FF" w:rsidRDefault="006D585A" w:rsidP="006D585A">
            <w:pPr>
              <w:pStyle w:val="TableText"/>
            </w:pPr>
          </w:p>
        </w:tc>
        <w:tc>
          <w:tcPr>
            <w:tcW w:w="472" w:type="pct"/>
            <w:shd w:val="clear" w:color="auto" w:fill="auto"/>
            <w:vAlign w:val="center"/>
          </w:tcPr>
          <w:p w14:paraId="40F0A153" w14:textId="2D3CF21D" w:rsidR="006D585A" w:rsidRPr="004D55FF" w:rsidRDefault="006D585A" w:rsidP="006D585A">
            <w:pPr>
              <w:pStyle w:val="TableText"/>
            </w:pPr>
            <w:r w:rsidRPr="004D55FF">
              <w:t>0.77, 0.73</w:t>
            </w:r>
          </w:p>
        </w:tc>
        <w:tc>
          <w:tcPr>
            <w:tcW w:w="944" w:type="pct"/>
            <w:shd w:val="clear" w:color="auto" w:fill="auto"/>
            <w:vAlign w:val="center"/>
          </w:tcPr>
          <w:p w14:paraId="6A69BE73" w14:textId="77777777" w:rsidR="006D585A" w:rsidRPr="004D55FF" w:rsidRDefault="006D585A" w:rsidP="006D585A">
            <w:pPr>
              <w:pStyle w:val="TableText"/>
            </w:pPr>
            <w:r w:rsidRPr="004D55FF">
              <w:t>PBO = $37,647</w:t>
            </w:r>
          </w:p>
          <w:p w14:paraId="0C3C19B3" w14:textId="47555A20" w:rsidR="006D585A" w:rsidRPr="00CC0CC2" w:rsidRDefault="006D585A" w:rsidP="006D585A">
            <w:pPr>
              <w:pStyle w:val="TableText"/>
            </w:pPr>
            <w:r w:rsidRPr="00B419E6">
              <w:t>OCT = $</w:t>
            </w:r>
            <w:r w:rsidRPr="00CC0CC2">
              <w:t>4</w:t>
            </w:r>
            <w:r>
              <w:t>0,285</w:t>
            </w:r>
          </w:p>
          <w:p w14:paraId="78B2A9E3" w14:textId="306F5777" w:rsidR="006D585A" w:rsidRPr="00CC0CC2" w:rsidRDefault="006D585A" w:rsidP="006D585A">
            <w:pPr>
              <w:pStyle w:val="TableText"/>
            </w:pPr>
            <w:r w:rsidRPr="00B419E6">
              <w:t>LAN = $</w:t>
            </w:r>
            <w:r w:rsidRPr="00CC0CC2">
              <w:t>3</w:t>
            </w:r>
            <w:r>
              <w:t>4,465</w:t>
            </w:r>
          </w:p>
          <w:p w14:paraId="792C5CB4" w14:textId="3A7B41E7" w:rsidR="006D585A" w:rsidRPr="00CC0CC2" w:rsidRDefault="006D585A" w:rsidP="006D585A">
            <w:pPr>
              <w:pStyle w:val="TableText"/>
            </w:pPr>
            <w:r w:rsidRPr="00B419E6">
              <w:t>EVO = $</w:t>
            </w:r>
            <w:r w:rsidRPr="00CC0CC2">
              <w:t>3</w:t>
            </w:r>
            <w:r>
              <w:t>5,821</w:t>
            </w:r>
          </w:p>
          <w:p w14:paraId="4AE2EDDF" w14:textId="77777777" w:rsidR="006D585A" w:rsidRPr="004D55FF" w:rsidRDefault="006D585A" w:rsidP="006D585A">
            <w:pPr>
              <w:pStyle w:val="TableText"/>
            </w:pPr>
            <w:r w:rsidRPr="004D55FF">
              <w:t>SUN = Lutetium dominated</w:t>
            </w:r>
          </w:p>
          <w:p w14:paraId="7ECC54B5" w14:textId="259C144F" w:rsidR="006D585A" w:rsidRPr="004D55FF" w:rsidRDefault="006D585A" w:rsidP="006D585A">
            <w:pPr>
              <w:pStyle w:val="TableText"/>
            </w:pPr>
            <w:r w:rsidRPr="004D55FF">
              <w:t>OCT+EVO = $</w:t>
            </w:r>
            <w:r>
              <w:t>21,643</w:t>
            </w:r>
          </w:p>
        </w:tc>
        <w:tc>
          <w:tcPr>
            <w:tcW w:w="472" w:type="pct"/>
            <w:shd w:val="clear" w:color="auto" w:fill="auto"/>
            <w:vAlign w:val="center"/>
          </w:tcPr>
          <w:p w14:paraId="7FDAA11B" w14:textId="77777777" w:rsidR="006D585A" w:rsidRPr="004D55FF" w:rsidRDefault="006D585A" w:rsidP="006D585A">
            <w:pPr>
              <w:pStyle w:val="TableText"/>
            </w:pPr>
            <w:r w:rsidRPr="004D55FF">
              <w:t>N/A</w:t>
            </w:r>
          </w:p>
        </w:tc>
        <w:tc>
          <w:tcPr>
            <w:tcW w:w="836" w:type="pct"/>
            <w:shd w:val="clear" w:color="auto" w:fill="auto"/>
            <w:vAlign w:val="center"/>
          </w:tcPr>
          <w:p w14:paraId="016384AB" w14:textId="77777777" w:rsidR="006D585A" w:rsidRPr="004D55FF" w:rsidRDefault="006D585A" w:rsidP="006D585A">
            <w:pPr>
              <w:pStyle w:val="TableText"/>
            </w:pPr>
          </w:p>
        </w:tc>
      </w:tr>
      <w:tr w:rsidR="00503672" w:rsidRPr="00230861" w14:paraId="0AB5CB66" w14:textId="77777777" w:rsidTr="00F46222">
        <w:trPr>
          <w:cantSplit/>
          <w:trHeight w:val="579"/>
        </w:trPr>
        <w:tc>
          <w:tcPr>
            <w:tcW w:w="5000" w:type="pct"/>
            <w:gridSpan w:val="7"/>
            <w:shd w:val="clear" w:color="auto" w:fill="auto"/>
            <w:vAlign w:val="center"/>
          </w:tcPr>
          <w:p w14:paraId="69C376E9" w14:textId="77777777" w:rsidR="00503672" w:rsidRPr="004D55FF" w:rsidRDefault="00503672" w:rsidP="00F46222">
            <w:pPr>
              <w:pStyle w:val="In-tableHeading"/>
            </w:pPr>
            <w:r>
              <w:t>Time horizon</w:t>
            </w:r>
          </w:p>
        </w:tc>
      </w:tr>
      <w:tr w:rsidR="00503672" w:rsidRPr="00230861" w14:paraId="6254E889" w14:textId="77777777" w:rsidTr="00F46222">
        <w:trPr>
          <w:cantSplit/>
          <w:trHeight w:val="579"/>
        </w:trPr>
        <w:tc>
          <w:tcPr>
            <w:tcW w:w="821" w:type="pct"/>
            <w:shd w:val="clear" w:color="auto" w:fill="auto"/>
            <w:vAlign w:val="center"/>
          </w:tcPr>
          <w:p w14:paraId="7B48BA1A" w14:textId="77777777" w:rsidR="00503672" w:rsidRPr="004D55FF" w:rsidRDefault="00503672" w:rsidP="00F46222">
            <w:pPr>
              <w:pStyle w:val="TableText"/>
            </w:pPr>
            <w:r>
              <w:t>Model time horizon</w:t>
            </w:r>
          </w:p>
        </w:tc>
        <w:tc>
          <w:tcPr>
            <w:tcW w:w="567" w:type="pct"/>
            <w:shd w:val="clear" w:color="auto" w:fill="auto"/>
            <w:vAlign w:val="center"/>
          </w:tcPr>
          <w:p w14:paraId="30188489" w14:textId="77777777" w:rsidR="00503672" w:rsidRPr="004D55FF" w:rsidRDefault="00503672" w:rsidP="00F46222">
            <w:pPr>
              <w:pStyle w:val="TableText"/>
            </w:pPr>
            <w:r>
              <w:t>Lifetime</w:t>
            </w:r>
          </w:p>
        </w:tc>
        <w:tc>
          <w:tcPr>
            <w:tcW w:w="888" w:type="pct"/>
            <w:shd w:val="clear" w:color="auto" w:fill="auto"/>
            <w:vAlign w:val="center"/>
          </w:tcPr>
          <w:p w14:paraId="37A156CF" w14:textId="77777777" w:rsidR="00503672" w:rsidRPr="00CC0CC2" w:rsidRDefault="00503672" w:rsidP="00F46222">
            <w:pPr>
              <w:pStyle w:val="TableText"/>
            </w:pPr>
            <w:r w:rsidRPr="00B419E6">
              <w:t>PBO = $31,</w:t>
            </w:r>
            <w:r>
              <w:t>792</w:t>
            </w:r>
          </w:p>
          <w:p w14:paraId="438C1146" w14:textId="77777777" w:rsidR="00503672" w:rsidRPr="00CC0CC2" w:rsidRDefault="00503672" w:rsidP="00F46222">
            <w:pPr>
              <w:pStyle w:val="TableText"/>
            </w:pPr>
            <w:r w:rsidRPr="00B419E6">
              <w:t>OCT = $2</w:t>
            </w:r>
            <w:r>
              <w:t>7,676</w:t>
            </w:r>
          </w:p>
          <w:p w14:paraId="6F7F8E9B" w14:textId="77777777" w:rsidR="00503672" w:rsidRPr="00CC0CC2" w:rsidRDefault="00503672" w:rsidP="00F46222">
            <w:pPr>
              <w:pStyle w:val="TableText"/>
            </w:pPr>
            <w:r w:rsidRPr="00B419E6">
              <w:t xml:space="preserve">LAN = </w:t>
            </w:r>
            <w:r w:rsidRPr="00CC0CC2">
              <w:t>$2</w:t>
            </w:r>
            <w:r>
              <w:t>2,621</w:t>
            </w:r>
          </w:p>
          <w:p w14:paraId="0B8ECAE5" w14:textId="77777777" w:rsidR="00503672" w:rsidRPr="00CC0CC2" w:rsidRDefault="00503672" w:rsidP="00F46222">
            <w:pPr>
              <w:pStyle w:val="TableText"/>
            </w:pPr>
            <w:r w:rsidRPr="00B419E6">
              <w:t xml:space="preserve">EVO = </w:t>
            </w:r>
            <w:r w:rsidRPr="00816EEB">
              <w:t>$29,439</w:t>
            </w:r>
          </w:p>
          <w:p w14:paraId="000A6CF7" w14:textId="77777777" w:rsidR="00503672" w:rsidRPr="004D55FF" w:rsidRDefault="00503672" w:rsidP="00F46222">
            <w:pPr>
              <w:pStyle w:val="TableText"/>
            </w:pPr>
            <w:r w:rsidRPr="004D55FF">
              <w:t>SUN = Lutetium dominated</w:t>
            </w:r>
          </w:p>
          <w:p w14:paraId="2B02F4EE" w14:textId="77777777" w:rsidR="00503672" w:rsidRPr="004D55FF" w:rsidRDefault="00503672" w:rsidP="00F46222">
            <w:pPr>
              <w:pStyle w:val="TableText"/>
            </w:pPr>
            <w:r w:rsidRPr="004D55FF">
              <w:t>OCT+EVO = $</w:t>
            </w:r>
            <w:r>
              <w:t>18,643</w:t>
            </w:r>
          </w:p>
        </w:tc>
        <w:tc>
          <w:tcPr>
            <w:tcW w:w="472" w:type="pct"/>
            <w:shd w:val="clear" w:color="auto" w:fill="auto"/>
            <w:vAlign w:val="center"/>
          </w:tcPr>
          <w:p w14:paraId="2B7B26F4" w14:textId="51D67978" w:rsidR="00503672" w:rsidRPr="00EF2D54" w:rsidRDefault="00503672" w:rsidP="00F46222">
            <w:pPr>
              <w:pStyle w:val="TableText"/>
              <w:rPr>
                <w:vertAlign w:val="superscript"/>
              </w:rPr>
            </w:pPr>
            <w:r>
              <w:t xml:space="preserve">10 </w:t>
            </w:r>
            <w:proofErr w:type="spellStart"/>
            <w:r>
              <w:t>years</w:t>
            </w:r>
            <w:r w:rsidR="0044226D">
              <w:rPr>
                <w:vertAlign w:val="superscript"/>
              </w:rPr>
              <w:t>a</w:t>
            </w:r>
            <w:proofErr w:type="spellEnd"/>
          </w:p>
        </w:tc>
        <w:tc>
          <w:tcPr>
            <w:tcW w:w="944" w:type="pct"/>
            <w:shd w:val="clear" w:color="auto" w:fill="auto"/>
            <w:vAlign w:val="center"/>
          </w:tcPr>
          <w:p w14:paraId="2E92339C" w14:textId="77777777" w:rsidR="00503672" w:rsidRDefault="00503672" w:rsidP="00F46222">
            <w:pPr>
              <w:pStyle w:val="TableText"/>
            </w:pPr>
            <w:r>
              <w:t>PBO = $38,412</w:t>
            </w:r>
          </w:p>
          <w:p w14:paraId="39D2C0C3" w14:textId="77777777" w:rsidR="00503672" w:rsidRDefault="00503672" w:rsidP="00F46222">
            <w:pPr>
              <w:pStyle w:val="TableText"/>
            </w:pPr>
            <w:r>
              <w:t>OCT = $34,282</w:t>
            </w:r>
          </w:p>
          <w:p w14:paraId="6539D18E" w14:textId="77777777" w:rsidR="00503672" w:rsidRDefault="00503672" w:rsidP="00F46222">
            <w:pPr>
              <w:pStyle w:val="TableText"/>
            </w:pPr>
            <w:r>
              <w:t>LAN = $27,281</w:t>
            </w:r>
          </w:p>
          <w:p w14:paraId="762910D2" w14:textId="77777777" w:rsidR="00503672" w:rsidRDefault="00503672" w:rsidP="00F46222">
            <w:pPr>
              <w:pStyle w:val="TableText"/>
            </w:pPr>
            <w:r>
              <w:t>EVO = $36,046</w:t>
            </w:r>
          </w:p>
          <w:p w14:paraId="20773922" w14:textId="77777777" w:rsidR="00503672" w:rsidRDefault="00503672" w:rsidP="00F46222">
            <w:pPr>
              <w:pStyle w:val="TableText"/>
            </w:pPr>
            <w:r>
              <w:t>SUN = Lutetium dominated</w:t>
            </w:r>
          </w:p>
          <w:p w14:paraId="18D7961C" w14:textId="77777777" w:rsidR="00503672" w:rsidRPr="004D55FF" w:rsidRDefault="00503672" w:rsidP="00F46222">
            <w:pPr>
              <w:pStyle w:val="TableText"/>
            </w:pPr>
            <w:r>
              <w:t>OCT+EVO = $21,987</w:t>
            </w:r>
          </w:p>
        </w:tc>
        <w:tc>
          <w:tcPr>
            <w:tcW w:w="472" w:type="pct"/>
            <w:shd w:val="clear" w:color="auto" w:fill="auto"/>
            <w:vAlign w:val="center"/>
          </w:tcPr>
          <w:p w14:paraId="21A671F6" w14:textId="77777777" w:rsidR="00503672" w:rsidRPr="004D55FF" w:rsidRDefault="00503672" w:rsidP="00F46222">
            <w:pPr>
              <w:pStyle w:val="TableText"/>
            </w:pPr>
            <w:r>
              <w:t>20 years</w:t>
            </w:r>
          </w:p>
        </w:tc>
        <w:tc>
          <w:tcPr>
            <w:tcW w:w="836" w:type="pct"/>
            <w:shd w:val="clear" w:color="auto" w:fill="auto"/>
            <w:vAlign w:val="center"/>
          </w:tcPr>
          <w:p w14:paraId="096EB047" w14:textId="77777777" w:rsidR="00503672" w:rsidRDefault="00503672" w:rsidP="00F46222">
            <w:pPr>
              <w:pStyle w:val="TableText"/>
            </w:pPr>
            <w:r>
              <w:t>PBO = $33,206</w:t>
            </w:r>
          </w:p>
          <w:p w14:paraId="766D5953" w14:textId="77777777" w:rsidR="00503672" w:rsidRDefault="00503672" w:rsidP="00F46222">
            <w:pPr>
              <w:pStyle w:val="TableText"/>
            </w:pPr>
            <w:r>
              <w:t>OCT = $29,061</w:t>
            </w:r>
          </w:p>
          <w:p w14:paraId="5C08B492" w14:textId="77777777" w:rsidR="00503672" w:rsidRDefault="00503672" w:rsidP="00F46222">
            <w:pPr>
              <w:pStyle w:val="TableText"/>
            </w:pPr>
            <w:r>
              <w:t>LAN = $23,601</w:t>
            </w:r>
          </w:p>
          <w:p w14:paraId="550422C6" w14:textId="77777777" w:rsidR="00503672" w:rsidRDefault="00503672" w:rsidP="00F46222">
            <w:pPr>
              <w:pStyle w:val="TableText"/>
            </w:pPr>
            <w:r>
              <w:t>EVO = $30,833</w:t>
            </w:r>
          </w:p>
          <w:p w14:paraId="1AB6E8B0" w14:textId="77777777" w:rsidR="00503672" w:rsidRDefault="00503672" w:rsidP="00F46222">
            <w:pPr>
              <w:pStyle w:val="TableText"/>
            </w:pPr>
            <w:r>
              <w:t>SUN = Lutetium dominated</w:t>
            </w:r>
          </w:p>
          <w:p w14:paraId="76096AD8" w14:textId="77777777" w:rsidR="00503672" w:rsidRPr="004D55FF" w:rsidRDefault="00503672" w:rsidP="00F46222">
            <w:pPr>
              <w:pStyle w:val="TableText"/>
            </w:pPr>
            <w:r>
              <w:t>OCT+EVO = $19,349</w:t>
            </w:r>
          </w:p>
        </w:tc>
      </w:tr>
      <w:tr w:rsidR="000968FA" w:rsidRPr="00230861" w14:paraId="0FB777D6" w14:textId="77777777" w:rsidTr="000968FA">
        <w:trPr>
          <w:cantSplit/>
          <w:trHeight w:val="579"/>
        </w:trPr>
        <w:tc>
          <w:tcPr>
            <w:tcW w:w="5000" w:type="pct"/>
            <w:gridSpan w:val="7"/>
            <w:shd w:val="clear" w:color="auto" w:fill="auto"/>
            <w:vAlign w:val="center"/>
          </w:tcPr>
          <w:p w14:paraId="27EB7A16" w14:textId="1DD1326C" w:rsidR="000968FA" w:rsidRPr="00994611" w:rsidRDefault="00A0750F" w:rsidP="00F46222">
            <w:pPr>
              <w:pStyle w:val="TableText"/>
              <w:rPr>
                <w:i/>
                <w:iCs/>
              </w:rPr>
            </w:pPr>
            <w:r w:rsidRPr="00994611">
              <w:rPr>
                <w:i/>
                <w:iCs/>
              </w:rPr>
              <w:t>Number of cycles of</w:t>
            </w:r>
            <w:r w:rsidR="000968FA" w:rsidRPr="00994611">
              <w:rPr>
                <w:i/>
                <w:iCs/>
              </w:rPr>
              <w:t xml:space="preserve"> </w:t>
            </w:r>
            <w:r w:rsidRPr="00994611">
              <w:rPr>
                <w:i/>
                <w:iCs/>
                <w:vertAlign w:val="superscript"/>
              </w:rPr>
              <w:t>177</w:t>
            </w:r>
            <w:r w:rsidRPr="00994611">
              <w:rPr>
                <w:i/>
                <w:iCs/>
              </w:rPr>
              <w:t xml:space="preserve">Lu </w:t>
            </w:r>
            <w:r w:rsidR="000968FA" w:rsidRPr="00994611">
              <w:rPr>
                <w:i/>
                <w:iCs/>
              </w:rPr>
              <w:t>PRRT treatment</w:t>
            </w:r>
          </w:p>
        </w:tc>
      </w:tr>
      <w:tr w:rsidR="000968FA" w:rsidRPr="00230861" w14:paraId="1195D962" w14:textId="77777777" w:rsidTr="00F46222">
        <w:trPr>
          <w:cantSplit/>
          <w:trHeight w:val="579"/>
        </w:trPr>
        <w:tc>
          <w:tcPr>
            <w:tcW w:w="821" w:type="pct"/>
            <w:shd w:val="clear" w:color="auto" w:fill="auto"/>
            <w:vAlign w:val="center"/>
          </w:tcPr>
          <w:p w14:paraId="0C7CF80E" w14:textId="79538BB3" w:rsidR="000968FA" w:rsidRPr="00994611" w:rsidRDefault="005D06E8" w:rsidP="00F46222">
            <w:pPr>
              <w:pStyle w:val="TableText"/>
              <w:rPr>
                <w:i/>
                <w:iCs/>
              </w:rPr>
            </w:pPr>
            <w:r w:rsidRPr="00994611">
              <w:rPr>
                <w:i/>
                <w:iCs/>
              </w:rPr>
              <w:lastRenderedPageBreak/>
              <w:t>Time on treatment</w:t>
            </w:r>
          </w:p>
        </w:tc>
        <w:tc>
          <w:tcPr>
            <w:tcW w:w="567" w:type="pct"/>
            <w:shd w:val="clear" w:color="auto" w:fill="auto"/>
            <w:vAlign w:val="center"/>
          </w:tcPr>
          <w:p w14:paraId="3144E41D" w14:textId="5013FFF5" w:rsidR="000968FA" w:rsidRPr="00994611" w:rsidRDefault="004231DC" w:rsidP="00F46222">
            <w:pPr>
              <w:pStyle w:val="TableText"/>
              <w:rPr>
                <w:i/>
                <w:iCs/>
              </w:rPr>
            </w:pPr>
            <w:r w:rsidRPr="00994611">
              <w:rPr>
                <w:i/>
                <w:iCs/>
              </w:rPr>
              <w:t>6.5 months</w:t>
            </w:r>
            <w:r w:rsidR="00810809" w:rsidRPr="00994611">
              <w:rPr>
                <w:i/>
                <w:iCs/>
              </w:rPr>
              <w:t xml:space="preserve"> (3.5 cycles)</w:t>
            </w:r>
          </w:p>
        </w:tc>
        <w:tc>
          <w:tcPr>
            <w:tcW w:w="888" w:type="pct"/>
            <w:shd w:val="clear" w:color="auto" w:fill="auto"/>
            <w:vAlign w:val="center"/>
          </w:tcPr>
          <w:p w14:paraId="6769108C" w14:textId="77777777" w:rsidR="005D06E8" w:rsidRPr="00994611" w:rsidRDefault="005D06E8" w:rsidP="005D06E8">
            <w:pPr>
              <w:pStyle w:val="TableText"/>
              <w:rPr>
                <w:i/>
                <w:iCs/>
              </w:rPr>
            </w:pPr>
            <w:r w:rsidRPr="00994611">
              <w:rPr>
                <w:i/>
                <w:iCs/>
              </w:rPr>
              <w:t>PBO = $31,792</w:t>
            </w:r>
          </w:p>
          <w:p w14:paraId="44ACA945" w14:textId="77777777" w:rsidR="005D06E8" w:rsidRPr="00994611" w:rsidRDefault="005D06E8" w:rsidP="005D06E8">
            <w:pPr>
              <w:pStyle w:val="TableText"/>
              <w:rPr>
                <w:i/>
                <w:iCs/>
              </w:rPr>
            </w:pPr>
            <w:r w:rsidRPr="00994611">
              <w:rPr>
                <w:i/>
                <w:iCs/>
              </w:rPr>
              <w:t>OCT = $27,676</w:t>
            </w:r>
          </w:p>
          <w:p w14:paraId="2EE690D0" w14:textId="77777777" w:rsidR="005D06E8" w:rsidRPr="00994611" w:rsidRDefault="005D06E8" w:rsidP="005D06E8">
            <w:pPr>
              <w:pStyle w:val="TableText"/>
              <w:rPr>
                <w:i/>
                <w:iCs/>
              </w:rPr>
            </w:pPr>
            <w:r w:rsidRPr="00994611">
              <w:rPr>
                <w:i/>
                <w:iCs/>
              </w:rPr>
              <w:t>LAN = $22,621</w:t>
            </w:r>
          </w:p>
          <w:p w14:paraId="5E4E3FBF" w14:textId="77777777" w:rsidR="005D06E8" w:rsidRPr="00994611" w:rsidRDefault="005D06E8" w:rsidP="005D06E8">
            <w:pPr>
              <w:pStyle w:val="TableText"/>
              <w:rPr>
                <w:i/>
                <w:iCs/>
              </w:rPr>
            </w:pPr>
            <w:r w:rsidRPr="00994611">
              <w:rPr>
                <w:i/>
                <w:iCs/>
              </w:rPr>
              <w:t>EVO = $29,439</w:t>
            </w:r>
          </w:p>
          <w:p w14:paraId="7AF06776" w14:textId="77777777" w:rsidR="005D06E8" w:rsidRPr="00994611" w:rsidRDefault="005D06E8" w:rsidP="005D06E8">
            <w:pPr>
              <w:pStyle w:val="TableText"/>
              <w:rPr>
                <w:i/>
                <w:iCs/>
              </w:rPr>
            </w:pPr>
            <w:r w:rsidRPr="00994611">
              <w:rPr>
                <w:i/>
                <w:iCs/>
              </w:rPr>
              <w:t>SUN = Lutetium dominated</w:t>
            </w:r>
          </w:p>
          <w:p w14:paraId="3AEFFAC3" w14:textId="73BE1B57" w:rsidR="000968FA" w:rsidRPr="00994611" w:rsidRDefault="005D06E8" w:rsidP="005D06E8">
            <w:pPr>
              <w:pStyle w:val="TableText"/>
              <w:rPr>
                <w:i/>
                <w:iCs/>
              </w:rPr>
            </w:pPr>
            <w:r w:rsidRPr="00994611">
              <w:rPr>
                <w:i/>
                <w:iCs/>
              </w:rPr>
              <w:t>OCT+EVO = $18,643</w:t>
            </w:r>
          </w:p>
        </w:tc>
        <w:tc>
          <w:tcPr>
            <w:tcW w:w="472" w:type="pct"/>
            <w:shd w:val="clear" w:color="auto" w:fill="auto"/>
            <w:vAlign w:val="center"/>
          </w:tcPr>
          <w:p w14:paraId="2373D698" w14:textId="29A376DE" w:rsidR="000968FA" w:rsidRPr="00994611" w:rsidRDefault="005D06E8" w:rsidP="00F46222">
            <w:pPr>
              <w:pStyle w:val="TableText"/>
              <w:rPr>
                <w:i/>
                <w:iCs/>
              </w:rPr>
            </w:pPr>
            <w:r w:rsidRPr="00994611">
              <w:rPr>
                <w:i/>
                <w:iCs/>
              </w:rPr>
              <w:t>NA</w:t>
            </w:r>
          </w:p>
        </w:tc>
        <w:tc>
          <w:tcPr>
            <w:tcW w:w="944" w:type="pct"/>
            <w:shd w:val="clear" w:color="auto" w:fill="auto"/>
            <w:vAlign w:val="center"/>
          </w:tcPr>
          <w:p w14:paraId="2DFC5133" w14:textId="5F075FF5" w:rsidR="000968FA" w:rsidRPr="00994611" w:rsidRDefault="005D06E8" w:rsidP="00F46222">
            <w:pPr>
              <w:pStyle w:val="TableText"/>
              <w:rPr>
                <w:i/>
                <w:iCs/>
              </w:rPr>
            </w:pPr>
            <w:r w:rsidRPr="00994611">
              <w:rPr>
                <w:i/>
                <w:iCs/>
              </w:rPr>
              <w:t>NA</w:t>
            </w:r>
          </w:p>
        </w:tc>
        <w:tc>
          <w:tcPr>
            <w:tcW w:w="472" w:type="pct"/>
            <w:shd w:val="clear" w:color="auto" w:fill="auto"/>
            <w:vAlign w:val="center"/>
          </w:tcPr>
          <w:p w14:paraId="43C3CC0C" w14:textId="2AA80FAC" w:rsidR="000968FA" w:rsidRPr="00994611" w:rsidRDefault="00810809" w:rsidP="00F46222">
            <w:pPr>
              <w:pStyle w:val="TableText"/>
              <w:rPr>
                <w:i/>
                <w:iCs/>
              </w:rPr>
            </w:pPr>
            <w:r w:rsidRPr="00994611">
              <w:rPr>
                <w:i/>
                <w:iCs/>
              </w:rPr>
              <w:t>8 months (4 cycles)</w:t>
            </w:r>
          </w:p>
        </w:tc>
        <w:tc>
          <w:tcPr>
            <w:tcW w:w="836" w:type="pct"/>
            <w:shd w:val="clear" w:color="auto" w:fill="auto"/>
            <w:vAlign w:val="center"/>
          </w:tcPr>
          <w:p w14:paraId="7A3E7F22" w14:textId="34DFADD9" w:rsidR="00810809" w:rsidRPr="00994611" w:rsidRDefault="00810809" w:rsidP="00810809">
            <w:pPr>
              <w:pStyle w:val="TableText"/>
              <w:rPr>
                <w:i/>
                <w:iCs/>
              </w:rPr>
            </w:pPr>
            <w:r w:rsidRPr="00994611">
              <w:rPr>
                <w:i/>
                <w:iCs/>
              </w:rPr>
              <w:t>PBO = $38,344</w:t>
            </w:r>
          </w:p>
          <w:p w14:paraId="4AA02A18" w14:textId="297ADABF" w:rsidR="00810809" w:rsidRPr="00994611" w:rsidRDefault="00810809" w:rsidP="00810809">
            <w:pPr>
              <w:pStyle w:val="TableText"/>
              <w:rPr>
                <w:i/>
                <w:iCs/>
              </w:rPr>
            </w:pPr>
            <w:r w:rsidRPr="00994611">
              <w:rPr>
                <w:i/>
                <w:iCs/>
              </w:rPr>
              <w:t>OCT = $39,539</w:t>
            </w:r>
          </w:p>
          <w:p w14:paraId="7D7BC68A" w14:textId="03132F5B" w:rsidR="00810809" w:rsidRPr="00994611" w:rsidRDefault="00810809" w:rsidP="00810809">
            <w:pPr>
              <w:pStyle w:val="TableText"/>
              <w:rPr>
                <w:i/>
                <w:iCs/>
              </w:rPr>
            </w:pPr>
            <w:r w:rsidRPr="00994611">
              <w:rPr>
                <w:i/>
                <w:iCs/>
              </w:rPr>
              <w:t>LAN = $33,581</w:t>
            </w:r>
          </w:p>
          <w:p w14:paraId="107C8496" w14:textId="1998E899" w:rsidR="00810809" w:rsidRPr="00994611" w:rsidRDefault="00810809" w:rsidP="00810809">
            <w:pPr>
              <w:pStyle w:val="TableText"/>
              <w:rPr>
                <w:i/>
                <w:iCs/>
              </w:rPr>
            </w:pPr>
            <w:r w:rsidRPr="00994611">
              <w:rPr>
                <w:i/>
                <w:iCs/>
              </w:rPr>
              <w:t>EVO = $37</w:t>
            </w:r>
            <w:r w:rsidR="007C098F" w:rsidRPr="00994611">
              <w:rPr>
                <w:i/>
                <w:iCs/>
              </w:rPr>
              <w:t>,631</w:t>
            </w:r>
          </w:p>
          <w:p w14:paraId="13F72A10" w14:textId="77777777" w:rsidR="00810809" w:rsidRPr="00994611" w:rsidRDefault="00810809" w:rsidP="00810809">
            <w:pPr>
              <w:pStyle w:val="TableText"/>
              <w:rPr>
                <w:i/>
                <w:iCs/>
              </w:rPr>
            </w:pPr>
            <w:r w:rsidRPr="00994611">
              <w:rPr>
                <w:i/>
                <w:iCs/>
              </w:rPr>
              <w:t>SUN = Lutetium dominated</w:t>
            </w:r>
          </w:p>
          <w:p w14:paraId="4977BCE1" w14:textId="51858C84" w:rsidR="000968FA" w:rsidRPr="00994611" w:rsidRDefault="00810809" w:rsidP="00810809">
            <w:pPr>
              <w:pStyle w:val="TableText"/>
              <w:rPr>
                <w:i/>
                <w:iCs/>
              </w:rPr>
            </w:pPr>
            <w:r w:rsidRPr="00994611">
              <w:rPr>
                <w:i/>
                <w:iCs/>
              </w:rPr>
              <w:t>OCT+EVO = $</w:t>
            </w:r>
            <w:r w:rsidR="007C098F" w:rsidRPr="00994611">
              <w:rPr>
                <w:i/>
                <w:iCs/>
              </w:rPr>
              <w:t>27,136</w:t>
            </w:r>
          </w:p>
        </w:tc>
      </w:tr>
      <w:tr w:rsidR="000C058F" w:rsidRPr="00230861" w14:paraId="2C15867F" w14:textId="77777777" w:rsidTr="00F46222">
        <w:trPr>
          <w:cantSplit/>
          <w:trHeight w:val="579"/>
        </w:trPr>
        <w:tc>
          <w:tcPr>
            <w:tcW w:w="821" w:type="pct"/>
            <w:shd w:val="clear" w:color="auto" w:fill="auto"/>
            <w:vAlign w:val="center"/>
          </w:tcPr>
          <w:p w14:paraId="6846F32C" w14:textId="519968D1" w:rsidR="000C058F" w:rsidRPr="000C058F" w:rsidRDefault="00D42F27" w:rsidP="00F46222">
            <w:pPr>
              <w:pStyle w:val="TableText"/>
              <w:rPr>
                <w:i/>
                <w:iCs/>
              </w:rPr>
            </w:pPr>
            <w:r>
              <w:rPr>
                <w:i/>
                <w:iCs/>
              </w:rPr>
              <w:t>Progression</w:t>
            </w:r>
            <w:r w:rsidR="00F468FF">
              <w:rPr>
                <w:i/>
                <w:iCs/>
              </w:rPr>
              <w:t xml:space="preserve"> / </w:t>
            </w:r>
            <w:r>
              <w:rPr>
                <w:i/>
                <w:iCs/>
              </w:rPr>
              <w:t>c</w:t>
            </w:r>
            <w:r w:rsidR="00F468FF">
              <w:rPr>
                <w:i/>
                <w:iCs/>
              </w:rPr>
              <w:t>onsolidation cycles</w:t>
            </w:r>
          </w:p>
        </w:tc>
        <w:tc>
          <w:tcPr>
            <w:tcW w:w="567" w:type="pct"/>
            <w:shd w:val="clear" w:color="auto" w:fill="auto"/>
            <w:vAlign w:val="center"/>
          </w:tcPr>
          <w:p w14:paraId="04EBD8AC" w14:textId="449A3EFF" w:rsidR="000C058F" w:rsidRPr="000C058F" w:rsidRDefault="00A65271" w:rsidP="00F46222">
            <w:pPr>
              <w:pStyle w:val="TableText"/>
              <w:rPr>
                <w:i/>
                <w:iCs/>
              </w:rPr>
            </w:pPr>
            <w:r>
              <w:rPr>
                <w:i/>
                <w:iCs/>
              </w:rPr>
              <w:t>0</w:t>
            </w:r>
          </w:p>
        </w:tc>
        <w:tc>
          <w:tcPr>
            <w:tcW w:w="888" w:type="pct"/>
            <w:shd w:val="clear" w:color="auto" w:fill="auto"/>
            <w:vAlign w:val="center"/>
          </w:tcPr>
          <w:p w14:paraId="6585780B" w14:textId="77777777" w:rsidR="00A65271" w:rsidRPr="0088514D" w:rsidRDefault="00A65271" w:rsidP="00A65271">
            <w:pPr>
              <w:pStyle w:val="TableText"/>
              <w:rPr>
                <w:i/>
                <w:iCs/>
              </w:rPr>
            </w:pPr>
            <w:r w:rsidRPr="0088514D">
              <w:rPr>
                <w:i/>
                <w:iCs/>
              </w:rPr>
              <w:t>PBO = $31,792</w:t>
            </w:r>
          </w:p>
          <w:p w14:paraId="4C5B3C40" w14:textId="77777777" w:rsidR="00A65271" w:rsidRPr="0088514D" w:rsidRDefault="00A65271" w:rsidP="00A65271">
            <w:pPr>
              <w:pStyle w:val="TableText"/>
              <w:rPr>
                <w:i/>
                <w:iCs/>
              </w:rPr>
            </w:pPr>
            <w:r w:rsidRPr="0088514D">
              <w:rPr>
                <w:i/>
                <w:iCs/>
              </w:rPr>
              <w:t>OCT = $27,676</w:t>
            </w:r>
          </w:p>
          <w:p w14:paraId="63233F8F" w14:textId="77777777" w:rsidR="00A65271" w:rsidRPr="0088514D" w:rsidRDefault="00A65271" w:rsidP="00A65271">
            <w:pPr>
              <w:pStyle w:val="TableText"/>
              <w:rPr>
                <w:i/>
                <w:iCs/>
              </w:rPr>
            </w:pPr>
            <w:r w:rsidRPr="0088514D">
              <w:rPr>
                <w:i/>
                <w:iCs/>
              </w:rPr>
              <w:t>LAN = $22,621</w:t>
            </w:r>
          </w:p>
          <w:p w14:paraId="5A4A48C2" w14:textId="77777777" w:rsidR="00A65271" w:rsidRPr="0088514D" w:rsidRDefault="00A65271" w:rsidP="00A65271">
            <w:pPr>
              <w:pStyle w:val="TableText"/>
              <w:rPr>
                <w:i/>
                <w:iCs/>
              </w:rPr>
            </w:pPr>
            <w:r w:rsidRPr="0088514D">
              <w:rPr>
                <w:i/>
                <w:iCs/>
              </w:rPr>
              <w:t>EVO = $29,439</w:t>
            </w:r>
          </w:p>
          <w:p w14:paraId="6ED62552" w14:textId="77777777" w:rsidR="00A65271" w:rsidRPr="0088514D" w:rsidRDefault="00A65271" w:rsidP="00A65271">
            <w:pPr>
              <w:pStyle w:val="TableText"/>
              <w:rPr>
                <w:i/>
                <w:iCs/>
              </w:rPr>
            </w:pPr>
            <w:r w:rsidRPr="0088514D">
              <w:rPr>
                <w:i/>
                <w:iCs/>
              </w:rPr>
              <w:t>SUN = Lutetium dominated</w:t>
            </w:r>
          </w:p>
          <w:p w14:paraId="66E3F15C" w14:textId="2862BBBE" w:rsidR="000C058F" w:rsidRPr="000C058F" w:rsidRDefault="00A65271" w:rsidP="00A65271">
            <w:pPr>
              <w:pStyle w:val="TableText"/>
              <w:rPr>
                <w:i/>
                <w:iCs/>
              </w:rPr>
            </w:pPr>
            <w:r w:rsidRPr="0088514D">
              <w:rPr>
                <w:i/>
                <w:iCs/>
              </w:rPr>
              <w:t>OCT+EVO = $18,643</w:t>
            </w:r>
          </w:p>
        </w:tc>
        <w:tc>
          <w:tcPr>
            <w:tcW w:w="472" w:type="pct"/>
            <w:shd w:val="clear" w:color="auto" w:fill="auto"/>
            <w:vAlign w:val="center"/>
          </w:tcPr>
          <w:p w14:paraId="51AF3D13" w14:textId="208F43CA" w:rsidR="000C058F" w:rsidRPr="000C058F" w:rsidRDefault="00A65271" w:rsidP="00F46222">
            <w:pPr>
              <w:pStyle w:val="TableText"/>
              <w:rPr>
                <w:i/>
                <w:iCs/>
              </w:rPr>
            </w:pPr>
            <w:r>
              <w:rPr>
                <w:i/>
                <w:iCs/>
              </w:rPr>
              <w:t>NA</w:t>
            </w:r>
          </w:p>
        </w:tc>
        <w:tc>
          <w:tcPr>
            <w:tcW w:w="944" w:type="pct"/>
            <w:shd w:val="clear" w:color="auto" w:fill="auto"/>
            <w:vAlign w:val="center"/>
          </w:tcPr>
          <w:p w14:paraId="4AC6D5E6" w14:textId="6A9541FA" w:rsidR="000C058F" w:rsidRPr="000C058F" w:rsidRDefault="00A65271" w:rsidP="00F46222">
            <w:pPr>
              <w:pStyle w:val="TableText"/>
              <w:rPr>
                <w:i/>
                <w:iCs/>
              </w:rPr>
            </w:pPr>
            <w:r>
              <w:rPr>
                <w:i/>
                <w:iCs/>
              </w:rPr>
              <w:t>NA</w:t>
            </w:r>
          </w:p>
        </w:tc>
        <w:tc>
          <w:tcPr>
            <w:tcW w:w="472" w:type="pct"/>
            <w:shd w:val="clear" w:color="auto" w:fill="auto"/>
            <w:vAlign w:val="center"/>
          </w:tcPr>
          <w:p w14:paraId="4908A3C8" w14:textId="75C11B8C" w:rsidR="000C058F" w:rsidRPr="000C058F" w:rsidRDefault="0084408C" w:rsidP="00F46222">
            <w:pPr>
              <w:pStyle w:val="TableText"/>
              <w:rPr>
                <w:i/>
                <w:iCs/>
              </w:rPr>
            </w:pPr>
            <w:r>
              <w:rPr>
                <w:i/>
                <w:iCs/>
              </w:rPr>
              <w:t>+</w:t>
            </w:r>
            <w:r w:rsidR="00A65271">
              <w:rPr>
                <w:i/>
                <w:iCs/>
              </w:rPr>
              <w:t>2 cycles</w:t>
            </w:r>
          </w:p>
        </w:tc>
        <w:tc>
          <w:tcPr>
            <w:tcW w:w="836" w:type="pct"/>
            <w:shd w:val="clear" w:color="auto" w:fill="auto"/>
            <w:vAlign w:val="center"/>
          </w:tcPr>
          <w:p w14:paraId="0DFA4974" w14:textId="47A39C24" w:rsidR="00DF31F2" w:rsidRPr="0088514D" w:rsidRDefault="00DF31F2" w:rsidP="00DF31F2">
            <w:pPr>
              <w:pStyle w:val="TableText"/>
              <w:rPr>
                <w:i/>
                <w:iCs/>
              </w:rPr>
            </w:pPr>
            <w:r w:rsidRPr="0088514D">
              <w:rPr>
                <w:i/>
                <w:iCs/>
              </w:rPr>
              <w:t>PBO = $</w:t>
            </w:r>
            <w:r>
              <w:rPr>
                <w:i/>
                <w:iCs/>
              </w:rPr>
              <w:t>41,483</w:t>
            </w:r>
          </w:p>
          <w:p w14:paraId="55E09479" w14:textId="115EADE8" w:rsidR="00DF31F2" w:rsidRPr="0088514D" w:rsidRDefault="00DF31F2" w:rsidP="00DF31F2">
            <w:pPr>
              <w:pStyle w:val="TableText"/>
              <w:rPr>
                <w:i/>
                <w:iCs/>
              </w:rPr>
            </w:pPr>
            <w:r w:rsidRPr="0088514D">
              <w:rPr>
                <w:i/>
                <w:iCs/>
              </w:rPr>
              <w:t>OCT = $</w:t>
            </w:r>
            <w:r>
              <w:rPr>
                <w:i/>
                <w:iCs/>
              </w:rPr>
              <w:t>45,222</w:t>
            </w:r>
          </w:p>
          <w:p w14:paraId="23ACBBAD" w14:textId="6F6E94AE" w:rsidR="00DF31F2" w:rsidRPr="0088514D" w:rsidRDefault="00DF31F2" w:rsidP="00DF31F2">
            <w:pPr>
              <w:pStyle w:val="TableText"/>
              <w:rPr>
                <w:i/>
                <w:iCs/>
              </w:rPr>
            </w:pPr>
            <w:r w:rsidRPr="0088514D">
              <w:rPr>
                <w:i/>
                <w:iCs/>
              </w:rPr>
              <w:t>LAN = $</w:t>
            </w:r>
            <w:r w:rsidR="00C444E1">
              <w:rPr>
                <w:i/>
                <w:iCs/>
              </w:rPr>
              <w:t>38,831</w:t>
            </w:r>
          </w:p>
          <w:p w14:paraId="34A8ADE5" w14:textId="1A2475CD" w:rsidR="00DF31F2" w:rsidRPr="0088514D" w:rsidRDefault="00DF31F2" w:rsidP="00DF31F2">
            <w:pPr>
              <w:pStyle w:val="TableText"/>
              <w:rPr>
                <w:i/>
                <w:iCs/>
              </w:rPr>
            </w:pPr>
            <w:r w:rsidRPr="0088514D">
              <w:rPr>
                <w:i/>
                <w:iCs/>
              </w:rPr>
              <w:t>EVO = $</w:t>
            </w:r>
            <w:r w:rsidR="00C444E1">
              <w:rPr>
                <w:i/>
                <w:iCs/>
              </w:rPr>
              <w:t>41,155</w:t>
            </w:r>
          </w:p>
          <w:p w14:paraId="4624000F" w14:textId="77777777" w:rsidR="00DF31F2" w:rsidRPr="0088514D" w:rsidRDefault="00DF31F2" w:rsidP="00DF31F2">
            <w:pPr>
              <w:pStyle w:val="TableText"/>
              <w:rPr>
                <w:i/>
                <w:iCs/>
              </w:rPr>
            </w:pPr>
            <w:r w:rsidRPr="0088514D">
              <w:rPr>
                <w:i/>
                <w:iCs/>
              </w:rPr>
              <w:t>SUN = Lutetium dominated</w:t>
            </w:r>
          </w:p>
          <w:p w14:paraId="6B801794" w14:textId="5BA6121D" w:rsidR="000C058F" w:rsidRPr="000C058F" w:rsidRDefault="00DF31F2" w:rsidP="00DF31F2">
            <w:pPr>
              <w:pStyle w:val="TableText"/>
              <w:rPr>
                <w:i/>
                <w:iCs/>
              </w:rPr>
            </w:pPr>
            <w:r w:rsidRPr="0088514D">
              <w:rPr>
                <w:i/>
                <w:iCs/>
              </w:rPr>
              <w:t>OCT+EVO = $</w:t>
            </w:r>
            <w:r w:rsidR="00C444E1">
              <w:rPr>
                <w:i/>
                <w:iCs/>
              </w:rPr>
              <w:t>31,204</w:t>
            </w:r>
          </w:p>
        </w:tc>
      </w:tr>
    </w:tbl>
    <w:p w14:paraId="2BD19304" w14:textId="231C7AA8" w:rsidR="00CC0CC2" w:rsidRDefault="00E304AA" w:rsidP="00CC0CC2">
      <w:pPr>
        <w:pStyle w:val="Tablenotes0"/>
      </w:pPr>
      <w:r w:rsidRPr="00DD3A71">
        <w:t>Abbreviations: AE = adverse events</w:t>
      </w:r>
      <w:r w:rsidR="00CC3244">
        <w:t>;</w:t>
      </w:r>
      <w:r w:rsidR="00B21CC6">
        <w:t xml:space="preserve"> CT = computed </w:t>
      </w:r>
      <w:proofErr w:type="spellStart"/>
      <w:r w:rsidR="00B21CC6">
        <w:t>tomopgraphy</w:t>
      </w:r>
      <w:proofErr w:type="spellEnd"/>
      <w:r w:rsidR="00B21CC6">
        <w:t>;</w:t>
      </w:r>
      <w:r w:rsidRPr="00DD3A71">
        <w:t xml:space="preserve"> EVO = everolimus</w:t>
      </w:r>
      <w:r w:rsidR="00CC3244">
        <w:t>;</w:t>
      </w:r>
      <w:r w:rsidR="00536B12">
        <w:t xml:space="preserve"> FDG = fluorodeoxyglucose; Ga = gallium;</w:t>
      </w:r>
      <w:r w:rsidRPr="00DD3A71">
        <w:t xml:space="preserve"> </w:t>
      </w:r>
      <w:r>
        <w:t xml:space="preserve">ICER = incremental cost-effectiveness ratio; </w:t>
      </w:r>
      <w:r w:rsidRPr="00DD3A71">
        <w:t>LAN = lanreotide,</w:t>
      </w:r>
      <w:r w:rsidR="00013B2B">
        <w:t xml:space="preserve"> N/A = not applicable;</w:t>
      </w:r>
      <w:r w:rsidRPr="00DD3A71">
        <w:t xml:space="preserve"> OCT = octreotide</w:t>
      </w:r>
      <w:r w:rsidR="00CC3244">
        <w:t>;</w:t>
      </w:r>
      <w:r w:rsidRPr="00DD3A71">
        <w:t xml:space="preserve"> OCT+EVO = octreotide plus everolimus combination therapy</w:t>
      </w:r>
      <w:r w:rsidR="00CC3244">
        <w:t>;</w:t>
      </w:r>
      <w:r>
        <w:t xml:space="preserve"> OS = overall survival; </w:t>
      </w:r>
      <w:r w:rsidR="00CC0CC2">
        <w:t>PBO = placebo;</w:t>
      </w:r>
      <w:r w:rsidR="00B21CC6">
        <w:t xml:space="preserve"> PET = positron emission tomography</w:t>
      </w:r>
      <w:r w:rsidR="00CC0CC2">
        <w:t xml:space="preserve"> </w:t>
      </w:r>
      <w:r>
        <w:t>PFS = progression-free survival;</w:t>
      </w:r>
      <w:r w:rsidR="00013B2B">
        <w:t xml:space="preserve"> PPS = post-progression survival;</w:t>
      </w:r>
      <w:r w:rsidRPr="00DD3A71">
        <w:t xml:space="preserve"> SUN =sunitinib</w:t>
      </w:r>
      <w:r>
        <w:t>.</w:t>
      </w:r>
      <w:bookmarkEnd w:id="105"/>
    </w:p>
    <w:p w14:paraId="7F425490" w14:textId="24EE4BEB" w:rsidR="0044226D" w:rsidRDefault="0044226D" w:rsidP="00CC0CC2">
      <w:pPr>
        <w:pStyle w:val="Tablenotes0"/>
        <w:rPr>
          <w:rStyle w:val="Hyperlink"/>
        </w:rPr>
      </w:pPr>
      <w:r>
        <w:rPr>
          <w:vertAlign w:val="superscript"/>
        </w:rPr>
        <w:t xml:space="preserve">a </w:t>
      </w:r>
      <w:r w:rsidR="00C21112">
        <w:t>10</w:t>
      </w:r>
      <w:r w:rsidR="00047319">
        <w:t>-</w:t>
      </w:r>
      <w:r w:rsidR="00C21112">
        <w:t xml:space="preserve">year lifetime horizon used in </w:t>
      </w:r>
      <w:r w:rsidR="00C13872">
        <w:t>PBAC submission for sunitinib</w:t>
      </w:r>
      <w:r w:rsidR="001D5403">
        <w:t xml:space="preserve"> in the </w:t>
      </w:r>
      <w:r w:rsidR="001D5403" w:rsidRPr="001D5403">
        <w:t>treatment of pancreatic NET (</w:t>
      </w:r>
      <w:proofErr w:type="spellStart"/>
      <w:r w:rsidR="001D5403" w:rsidRPr="001D5403">
        <w:t>p</w:t>
      </w:r>
      <w:r w:rsidR="00E026EB">
        <w:t>NET</w:t>
      </w:r>
      <w:proofErr w:type="spellEnd"/>
      <w:r w:rsidR="00E026EB">
        <w:t xml:space="preserve">); </w:t>
      </w:r>
      <w:hyperlink r:id="rId21" w:history="1">
        <w:r w:rsidR="00E026EB" w:rsidRPr="009252C7">
          <w:rPr>
            <w:rStyle w:val="Hyperlink"/>
          </w:rPr>
          <w:t xml:space="preserve">Sunitinib </w:t>
        </w:r>
        <w:r w:rsidR="00047319" w:rsidRPr="009252C7">
          <w:rPr>
            <w:rStyle w:val="Hyperlink"/>
          </w:rPr>
          <w:t>PSD August 2013</w:t>
        </w:r>
      </w:hyperlink>
    </w:p>
    <w:p w14:paraId="25AE2BAC" w14:textId="24762133" w:rsidR="00772829" w:rsidRPr="00CE28E3" w:rsidRDefault="00C36633" w:rsidP="002A18BE">
      <w:pPr>
        <w:pStyle w:val="Heading2"/>
        <w:numPr>
          <w:ilvl w:val="0"/>
          <w:numId w:val="0"/>
        </w:numPr>
      </w:pPr>
      <w:bookmarkStart w:id="109" w:name="_Toc161841947"/>
      <w:bookmarkStart w:id="110" w:name="_Toc165275536"/>
      <w:r>
        <w:t>1</w:t>
      </w:r>
      <w:r w:rsidR="000B228E">
        <w:t>4</w:t>
      </w:r>
      <w:r>
        <w:t>.</w:t>
      </w:r>
      <w:r>
        <w:tab/>
      </w:r>
      <w:r w:rsidR="00772829" w:rsidRPr="00CE28E3">
        <w:t>Financial/budgetary impacts</w:t>
      </w:r>
      <w:bookmarkEnd w:id="109"/>
      <w:bookmarkEnd w:id="110"/>
    </w:p>
    <w:p w14:paraId="729A79C2" w14:textId="2493BB24" w:rsidR="00873B00" w:rsidRDefault="00873B00" w:rsidP="001515C8">
      <w:r>
        <w:rPr>
          <w:color w:val="000000" w:themeColor="text1"/>
        </w:rPr>
        <w:t xml:space="preserve">The proposed patient population is </w:t>
      </w:r>
      <w:r w:rsidRPr="00F16E70">
        <w:t xml:space="preserve">patients referred by an MDT, with histologically confirmed, locally advanced or metastatic, inoperable NENs with documented disease progression or uncontrolled </w:t>
      </w:r>
      <w:r w:rsidR="00940434">
        <w:t xml:space="preserve">NEN-related </w:t>
      </w:r>
      <w:r w:rsidRPr="00F16E70">
        <w:t>symptoms despite standard therapy</w:t>
      </w:r>
      <w:r w:rsidR="00940434">
        <w:t>,</w:t>
      </w:r>
      <w:r w:rsidRPr="00F16E70">
        <w:t xml:space="preserve"> who have demonstrated H-SSTR.</w:t>
      </w:r>
      <w:r>
        <w:t xml:space="preserve"> The guideline-recommended line of therapy for PRRT </w:t>
      </w:r>
      <w:r w:rsidR="00940434">
        <w:t>varies</w:t>
      </w:r>
      <w:r>
        <w:t xml:space="preserve"> depending on the characteristics of the </w:t>
      </w:r>
      <w:r w:rsidR="00C309C1">
        <w:t>NEN</w:t>
      </w:r>
      <w:r>
        <w:t>,</w:t>
      </w:r>
      <w:r w:rsidRPr="00920569">
        <w:t xml:space="preserve"> </w:t>
      </w:r>
      <w:proofErr w:type="gramStart"/>
      <w:r w:rsidRPr="00281B5B">
        <w:t>in particular the</w:t>
      </w:r>
      <w:proofErr w:type="gramEnd"/>
      <w:r w:rsidRPr="00281B5B">
        <w:t xml:space="preserve"> primary site, grade, and proliferation of the tumour</w:t>
      </w:r>
      <w:r>
        <w:t>. In general, g</w:t>
      </w:r>
      <w:r w:rsidRPr="00281B5B">
        <w:t xml:space="preserve">iven the complexity in patient management due to the heterogeneity of tumour progression, symptoms, and response to different tumoricidal or </w:t>
      </w:r>
      <w:proofErr w:type="spellStart"/>
      <w:r w:rsidRPr="00281B5B">
        <w:t>tumo</w:t>
      </w:r>
      <w:r>
        <w:t>u</w:t>
      </w:r>
      <w:r w:rsidRPr="00281B5B">
        <w:t>r</w:t>
      </w:r>
      <w:r>
        <w:t>o</w:t>
      </w:r>
      <w:r w:rsidRPr="00281B5B">
        <w:t>static</w:t>
      </w:r>
      <w:proofErr w:type="spellEnd"/>
      <w:r w:rsidRPr="00281B5B">
        <w:t xml:space="preserve"> treatments, treatment with </w:t>
      </w:r>
      <w:r w:rsidRPr="00940434">
        <w:rPr>
          <w:vertAlign w:val="superscript"/>
        </w:rPr>
        <w:t>177</w:t>
      </w:r>
      <w:r w:rsidRPr="00281B5B">
        <w:t>Lu-DOTA-octreotate should not be viewed as a ‘fixed’ line in any patient’s therapy. The most appropriate line of therapy for</w:t>
      </w:r>
      <w:r>
        <w:t xml:space="preserve"> </w:t>
      </w:r>
      <w:r w:rsidRPr="00940434">
        <w:rPr>
          <w:vertAlign w:val="superscript"/>
        </w:rPr>
        <w:t>177</w:t>
      </w:r>
      <w:r w:rsidRPr="00281B5B">
        <w:t xml:space="preserve">Lu-DOTA-octreotate treatment should be considered on an individual patient basis by an MDT experienced in the management of advanced </w:t>
      </w:r>
      <w:r w:rsidR="00C309C1">
        <w:t>NEN</w:t>
      </w:r>
      <w:r w:rsidRPr="00281B5B">
        <w:t>s and other H-SSTR tumours.</w:t>
      </w:r>
    </w:p>
    <w:p w14:paraId="2B3E08BB" w14:textId="26AA45C4" w:rsidR="00873B00" w:rsidRPr="00082600" w:rsidRDefault="00873B00" w:rsidP="001515C8">
      <w:pPr>
        <w:rPr>
          <w:color w:val="000000" w:themeColor="text1"/>
        </w:rPr>
      </w:pPr>
      <w:r>
        <w:t xml:space="preserve">As </w:t>
      </w:r>
      <w:r w:rsidRPr="00940434">
        <w:rPr>
          <w:vertAlign w:val="superscript"/>
        </w:rPr>
        <w:t>177</w:t>
      </w:r>
      <w:r w:rsidRPr="006B627F">
        <w:t>Lu-DOTA-octreotate is proposed as an add-on therapy rather than a replacement of comparator management strategies</w:t>
      </w:r>
      <w:r>
        <w:t xml:space="preserve">, an epidemiological approach to deriving the anticipated financial implications of </w:t>
      </w:r>
      <w:r w:rsidRPr="00940434">
        <w:rPr>
          <w:color w:val="000000" w:themeColor="text1"/>
          <w:vertAlign w:val="superscript"/>
        </w:rPr>
        <w:t>177</w:t>
      </w:r>
      <w:r w:rsidRPr="00C2337D">
        <w:rPr>
          <w:color w:val="000000" w:themeColor="text1"/>
        </w:rPr>
        <w:t>Lu-DOTA-octreotate</w:t>
      </w:r>
      <w:r>
        <w:rPr>
          <w:color w:val="000000" w:themeColor="text1"/>
        </w:rPr>
        <w:t xml:space="preserve"> has been adopted.</w:t>
      </w:r>
    </w:p>
    <w:p w14:paraId="05E1AE27" w14:textId="15A636DF" w:rsidR="00873B00" w:rsidRDefault="00873B00" w:rsidP="001515C8">
      <w:r>
        <w:t xml:space="preserve">To estimate the number of patients eligible for treatment with </w:t>
      </w:r>
      <w:r w:rsidRPr="00940434">
        <w:rPr>
          <w:color w:val="000000" w:themeColor="text1"/>
          <w:vertAlign w:val="superscript"/>
        </w:rPr>
        <w:t>177</w:t>
      </w:r>
      <w:r w:rsidRPr="00C2337D">
        <w:rPr>
          <w:color w:val="000000" w:themeColor="text1"/>
        </w:rPr>
        <w:t>Lu-DOTA-octreotate</w:t>
      </w:r>
      <w:r>
        <w:rPr>
          <w:color w:val="000000" w:themeColor="text1"/>
        </w:rPr>
        <w:t xml:space="preserve">, data from the Australian Institute of Health and Welfare were used to identify the number of new </w:t>
      </w:r>
      <w:r w:rsidR="00C309C1">
        <w:rPr>
          <w:color w:val="000000" w:themeColor="text1"/>
        </w:rPr>
        <w:t>NEN</w:t>
      </w:r>
      <w:r>
        <w:rPr>
          <w:color w:val="000000" w:themeColor="text1"/>
        </w:rPr>
        <w:t xml:space="preserve"> cases diagnosed between 1982 and 2018, as noted in the ratified PICO</w:t>
      </w:r>
      <w:r w:rsidR="004E630E">
        <w:rPr>
          <w:color w:val="000000" w:themeColor="text1"/>
        </w:rPr>
        <w:t>.</w:t>
      </w:r>
      <w:r w:rsidR="006C684C">
        <w:rPr>
          <w:color w:val="000000" w:themeColor="text1"/>
        </w:rPr>
        <w:fldChar w:fldCharType="begin"/>
      </w:r>
      <w:r w:rsidR="006C684C">
        <w:rPr>
          <w:color w:val="000000" w:themeColor="text1"/>
        </w:rPr>
        <w:instrText xml:space="preserve"> ADDIN EN.CITE &lt;EndNote&gt;&lt;Cite&gt;&lt;Author&gt;AIHW&lt;/Author&gt;&lt;Year&gt;2022&lt;/Year&gt;&lt;RecNum&gt;6&lt;/RecNum&gt;&lt;DisplayText&gt;(AIHW 2022)&lt;/DisplayText&gt;&lt;record&gt;&lt;rec-number&gt;6&lt;/rec-number&gt;&lt;foreign-keys&gt;&lt;key app="EN" db-id="serfsw5zfedv0leetdnpxzasfd92vr5ree0d" timestamp="1713528714"&gt;6&lt;/key&gt;&lt;/foreign-keys&gt;&lt;ref-type name="Report"&gt;27&lt;/ref-type&gt;&lt;contributors&gt;&lt;authors&gt;&lt;author&gt;AIHW,&lt;/author&gt;&lt;/authors&gt;&lt;/contributors&gt;&lt;titles&gt;&lt;title&gt; Australian Institute of Health and Welfare. Cancer Data in Australia.&lt;/title&gt;&lt;/titles&gt;&lt;dates&gt;&lt;year&gt;2022&lt;/year&gt;&lt;/dates&gt;&lt;urls&gt;&lt;/urls&gt;&lt;/record&gt;&lt;/Cite&gt;&lt;/EndNote&gt;</w:instrText>
      </w:r>
      <w:r w:rsidR="006C684C">
        <w:rPr>
          <w:color w:val="000000" w:themeColor="text1"/>
        </w:rPr>
        <w:fldChar w:fldCharType="separate"/>
      </w:r>
      <w:r w:rsidR="006C684C">
        <w:rPr>
          <w:noProof/>
          <w:color w:val="000000" w:themeColor="text1"/>
        </w:rPr>
        <w:t>(AIHW 2022)</w:t>
      </w:r>
      <w:r w:rsidR="006C684C">
        <w:rPr>
          <w:color w:val="000000" w:themeColor="text1"/>
        </w:rPr>
        <w:fldChar w:fldCharType="end"/>
      </w:r>
      <w:r>
        <w:rPr>
          <w:color w:val="000000" w:themeColor="text1"/>
        </w:rPr>
        <w:t xml:space="preserve"> </w:t>
      </w:r>
      <w:r>
        <w:t xml:space="preserve">Using these data, an average compound annual growth rate (CAGR) was estimated (3.81%) and used to predict the incidence of </w:t>
      </w:r>
      <w:r w:rsidR="00C309C1">
        <w:t>NEN</w:t>
      </w:r>
      <w:r>
        <w:t xml:space="preserve"> diagnoses from years 2018 to 2029.</w:t>
      </w:r>
    </w:p>
    <w:p w14:paraId="3DE2B4D5" w14:textId="7847C7B3" w:rsidR="00873B00" w:rsidRDefault="00F02787" w:rsidP="001515C8">
      <w:r>
        <w:t>T</w:t>
      </w:r>
      <w:r w:rsidR="00873B00">
        <w:t>he applicant advise</w:t>
      </w:r>
      <w:r w:rsidR="00DB7C29">
        <w:t>s</w:t>
      </w:r>
      <w:r w:rsidR="00873B00">
        <w:t xml:space="preserve"> </w:t>
      </w:r>
      <w:r>
        <w:t>(</w:t>
      </w:r>
      <w:r w:rsidR="00DB7C29">
        <w:t>Application</w:t>
      </w:r>
      <w:r w:rsidR="00BD00F8">
        <w:t xml:space="preserve"> form</w:t>
      </w:r>
      <w:r w:rsidR="00DB7C29">
        <w:t xml:space="preserve"> 1744) </w:t>
      </w:r>
      <w:r w:rsidR="00873B00">
        <w:t>that a</w:t>
      </w:r>
      <w:r w:rsidR="00873B00">
        <w:rPr>
          <w:rStyle w:val="normaltextrun"/>
          <w:color w:val="000000"/>
          <w:shd w:val="clear" w:color="auto" w:fill="FFFFFF"/>
        </w:rPr>
        <w:t>pproximately 200 patients per year would undergo PRRT. Independent expert advice obtained by the Department also suggest</w:t>
      </w:r>
      <w:r w:rsidR="00FB5829">
        <w:rPr>
          <w:rStyle w:val="normaltextrun"/>
          <w:color w:val="000000"/>
          <w:shd w:val="clear" w:color="auto" w:fill="FFFFFF"/>
        </w:rPr>
        <w:t>s</w:t>
      </w:r>
      <w:r w:rsidR="00873B00">
        <w:rPr>
          <w:rStyle w:val="normaltextrun"/>
          <w:color w:val="000000"/>
          <w:shd w:val="clear" w:color="auto" w:fill="FFFFFF"/>
        </w:rPr>
        <w:t xml:space="preserve"> that the number of people eligible for this highly specialised treatment </w:t>
      </w:r>
      <w:r w:rsidR="00FB5829">
        <w:rPr>
          <w:rStyle w:val="normaltextrun"/>
          <w:color w:val="000000"/>
          <w:shd w:val="clear" w:color="auto" w:fill="FFFFFF"/>
        </w:rPr>
        <w:t>will</w:t>
      </w:r>
      <w:r w:rsidR="00873B00">
        <w:rPr>
          <w:rStyle w:val="normaltextrun"/>
          <w:color w:val="000000"/>
          <w:shd w:val="clear" w:color="auto" w:fill="FFFFFF"/>
        </w:rPr>
        <w:t xml:space="preserve"> remain small.</w:t>
      </w:r>
      <w:r w:rsidR="00FB5829">
        <w:rPr>
          <w:rStyle w:val="eop"/>
          <w:shd w:val="clear" w:color="auto" w:fill="FFFFFF"/>
        </w:rPr>
        <w:t xml:space="preserve"> </w:t>
      </w:r>
      <w:r w:rsidR="00873B00">
        <w:t>In lieu of an alternative data source</w:t>
      </w:r>
      <w:r w:rsidR="00CD7456">
        <w:rPr>
          <w:rFonts w:cs="Arial"/>
        </w:rPr>
        <w:t>, it was assumed that</w:t>
      </w:r>
      <w:r w:rsidR="00E119BB">
        <w:rPr>
          <w:rFonts w:cs="Arial"/>
        </w:rPr>
        <w:t xml:space="preserve"> </w:t>
      </w:r>
      <w:r w:rsidR="00CD7456">
        <w:rPr>
          <w:rFonts w:cs="Arial"/>
        </w:rPr>
        <w:t xml:space="preserve">of the eligible incident </w:t>
      </w:r>
      <w:r w:rsidR="00C309C1">
        <w:rPr>
          <w:rFonts w:cs="Arial"/>
        </w:rPr>
        <w:t>NEN</w:t>
      </w:r>
      <w:r w:rsidR="00CD7456">
        <w:rPr>
          <w:rFonts w:cs="Arial"/>
        </w:rPr>
        <w:t xml:space="preserve"> cohort, 197 patients would receive treatment with </w:t>
      </w:r>
      <w:r w:rsidR="00CD7456" w:rsidRPr="00F05621">
        <w:rPr>
          <w:vertAlign w:val="superscript"/>
        </w:rPr>
        <w:t>177</w:t>
      </w:r>
      <w:r w:rsidR="00CD7456" w:rsidRPr="006B627F">
        <w:t>Lu-DOTA-octreotate</w:t>
      </w:r>
      <w:r w:rsidR="00CD7456">
        <w:rPr>
          <w:rFonts w:cs="Arial"/>
        </w:rPr>
        <w:t xml:space="preserve"> in 2024</w:t>
      </w:r>
      <w:r w:rsidR="00284DFA">
        <w:rPr>
          <w:rFonts w:cs="Arial"/>
        </w:rPr>
        <w:t>,</w:t>
      </w:r>
      <w:r w:rsidR="00CD7456">
        <w:rPr>
          <w:rFonts w:cs="Arial"/>
        </w:rPr>
        <w:t xml:space="preserve"> which is 3.5% of the estimated </w:t>
      </w:r>
      <w:r w:rsidR="00CD7456">
        <w:rPr>
          <w:rFonts w:cs="Arial"/>
        </w:rPr>
        <w:lastRenderedPageBreak/>
        <w:t>incident population</w:t>
      </w:r>
      <w:r w:rsidR="00284DFA">
        <w:rPr>
          <w:rFonts w:cs="Arial"/>
        </w:rPr>
        <w:t xml:space="preserve"> for 2024</w:t>
      </w:r>
      <w:r w:rsidR="00CD7456">
        <w:rPr>
          <w:rFonts w:cs="Arial"/>
        </w:rPr>
        <w:t xml:space="preserve">. It was further assumed that this proportion of uptake (3.5%) would remain fixed for the following </w:t>
      </w:r>
      <w:r w:rsidR="00284DFA">
        <w:rPr>
          <w:rFonts w:cs="Arial"/>
        </w:rPr>
        <w:t>5</w:t>
      </w:r>
      <w:r w:rsidR="00CD7456">
        <w:rPr>
          <w:rFonts w:cs="Arial"/>
        </w:rPr>
        <w:t xml:space="preserve"> years </w:t>
      </w:r>
      <w:r w:rsidR="00284DFA">
        <w:rPr>
          <w:rFonts w:cs="Arial"/>
        </w:rPr>
        <w:t>until</w:t>
      </w:r>
      <w:r w:rsidR="00CD7456">
        <w:rPr>
          <w:rFonts w:cs="Arial"/>
        </w:rPr>
        <w:t xml:space="preserve"> 2029.</w:t>
      </w:r>
    </w:p>
    <w:p w14:paraId="3D401EBA" w14:textId="76967E10" w:rsidR="00873B00" w:rsidRDefault="00873B00" w:rsidP="001515C8">
      <w:r>
        <w:t>The cost</w:t>
      </w:r>
      <w:r w:rsidR="00FB5829">
        <w:t>s</w:t>
      </w:r>
      <w:r>
        <w:t xml:space="preserve"> of administration, acquisition and diagnosis have been included in the estimate of financial impact and utilise the same costing sources as those provided in the cost-effectiveness model.</w:t>
      </w:r>
    </w:p>
    <w:p w14:paraId="5FE7AD1F" w14:textId="7D59F402" w:rsidR="00873B00" w:rsidRPr="001515C8" w:rsidRDefault="00873B00" w:rsidP="001515C8">
      <w:r w:rsidRPr="001515C8">
        <w:t xml:space="preserve">The net financial impact of </w:t>
      </w:r>
      <w:r w:rsidRPr="001515C8">
        <w:rPr>
          <w:vertAlign w:val="superscript"/>
        </w:rPr>
        <w:t>177</w:t>
      </w:r>
      <w:r w:rsidRPr="001515C8">
        <w:t xml:space="preserve">Lu-DOTA-octreotate to the health budget is presented in </w:t>
      </w:r>
      <w:r w:rsidRPr="001515C8">
        <w:fldChar w:fldCharType="begin"/>
      </w:r>
      <w:r w:rsidRPr="001515C8">
        <w:instrText xml:space="preserve"> REF _Ref160711116 \h </w:instrText>
      </w:r>
      <w:r w:rsidR="001515C8">
        <w:instrText xml:space="preserve"> \* MERGEFORMAT </w:instrText>
      </w:r>
      <w:r w:rsidRPr="001515C8">
        <w:fldChar w:fldCharType="separate"/>
      </w:r>
      <w:r w:rsidR="0084549C">
        <w:t xml:space="preserve">Table </w:t>
      </w:r>
      <w:r w:rsidR="0084549C">
        <w:rPr>
          <w:noProof/>
        </w:rPr>
        <w:t>15</w:t>
      </w:r>
      <w:r w:rsidRPr="001515C8">
        <w:fldChar w:fldCharType="end"/>
      </w:r>
      <w:r w:rsidRPr="001515C8">
        <w:t>. The overall net cost to the health budget is $</w:t>
      </w:r>
      <w:r w:rsidR="008A3C3B">
        <w:t>7</w:t>
      </w:r>
      <w:r w:rsidRPr="001515C8">
        <w:t>.</w:t>
      </w:r>
      <w:r w:rsidR="008A3C3B">
        <w:t>43</w:t>
      </w:r>
      <w:r w:rsidRPr="001515C8">
        <w:t xml:space="preserve">m in </w:t>
      </w:r>
      <w:r w:rsidR="00A010C8">
        <w:t>Y</w:t>
      </w:r>
      <w:r w:rsidRPr="001515C8">
        <w:t>ear 1, increasing to $</w:t>
      </w:r>
      <w:r w:rsidR="00330DEE">
        <w:t>8</w:t>
      </w:r>
      <w:r w:rsidRPr="001515C8">
        <w:t>.</w:t>
      </w:r>
      <w:r w:rsidR="00330DEE">
        <w:t>96</w:t>
      </w:r>
      <w:r w:rsidRPr="001515C8">
        <w:t>m in Year 6.</w:t>
      </w:r>
    </w:p>
    <w:p w14:paraId="3D04A68A" w14:textId="59D0773D" w:rsidR="002A2889" w:rsidRDefault="001515C8" w:rsidP="002A2889">
      <w:r>
        <w:t>I</w:t>
      </w:r>
      <w:r w:rsidR="00873B00" w:rsidRPr="000A0207">
        <w:t xml:space="preserve">t is likely that </w:t>
      </w:r>
      <w:r w:rsidR="00873B00" w:rsidRPr="00940434">
        <w:rPr>
          <w:vertAlign w:val="superscript"/>
        </w:rPr>
        <w:t>177</w:t>
      </w:r>
      <w:r w:rsidR="00873B00" w:rsidRPr="000A0207">
        <w:t>Lu-DOTA-octreotate will result in additional background medication costs given the relative improvement in overall</w:t>
      </w:r>
      <w:r w:rsidR="00873B00">
        <w:t xml:space="preserve"> patient</w:t>
      </w:r>
      <w:r w:rsidR="00873B00" w:rsidRPr="000A0207">
        <w:t xml:space="preserve"> survival. However, as these additional costs are expected to be minimal, and given the uncertainty in the costing estimates, these have not been included in the net financial health impact. </w:t>
      </w:r>
    </w:p>
    <w:p w14:paraId="740DED4E" w14:textId="627039F5" w:rsidR="00873B00" w:rsidRDefault="00873B00" w:rsidP="00873B00">
      <w:pPr>
        <w:pStyle w:val="Caption"/>
      </w:pPr>
      <w:bookmarkStart w:id="111" w:name="_Ref160711116"/>
      <w:bookmarkStart w:id="112" w:name="_Toc160711236"/>
      <w:bookmarkStart w:id="113" w:name="_Toc161842049"/>
      <w:r>
        <w:t xml:space="preserve">Table </w:t>
      </w:r>
      <w:r w:rsidR="006D13BC">
        <w:fldChar w:fldCharType="begin"/>
      </w:r>
      <w:r w:rsidR="006D13BC">
        <w:instrText xml:space="preserve"> SEQ Table \* ARABIC </w:instrText>
      </w:r>
      <w:r w:rsidR="006D13BC">
        <w:fldChar w:fldCharType="separate"/>
      </w:r>
      <w:r w:rsidR="006D13BC">
        <w:rPr>
          <w:noProof/>
        </w:rPr>
        <w:t>15</w:t>
      </w:r>
      <w:r w:rsidR="006D13BC">
        <w:rPr>
          <w:noProof/>
        </w:rPr>
        <w:fldChar w:fldCharType="end"/>
      </w:r>
      <w:bookmarkEnd w:id="111"/>
      <w:r>
        <w:t xml:space="preserve">: Net financial impact of </w:t>
      </w:r>
      <w:r w:rsidRPr="00CF7C77">
        <w:rPr>
          <w:vertAlign w:val="superscript"/>
        </w:rPr>
        <w:t>177</w:t>
      </w:r>
      <w:r w:rsidRPr="00B32F3E">
        <w:t>Lu-DOTA-octreotate</w:t>
      </w:r>
      <w:bookmarkEnd w:id="112"/>
      <w:r w:rsidR="00791F8F">
        <w:t xml:space="preserve"> to the MBS</w:t>
      </w:r>
      <w:bookmarkEnd w:id="113"/>
    </w:p>
    <w:tbl>
      <w:tblPr>
        <w:tblW w:w="5000" w:type="pct"/>
        <w:tblLayout w:type="fixed"/>
        <w:tblLook w:val="04A0" w:firstRow="1" w:lastRow="0" w:firstColumn="1" w:lastColumn="0" w:noHBand="0" w:noVBand="1"/>
      </w:tblPr>
      <w:tblGrid>
        <w:gridCol w:w="2269"/>
        <w:gridCol w:w="1125"/>
        <w:gridCol w:w="1125"/>
        <w:gridCol w:w="1125"/>
        <w:gridCol w:w="1125"/>
        <w:gridCol w:w="1125"/>
        <w:gridCol w:w="1122"/>
      </w:tblGrid>
      <w:tr w:rsidR="00DB7C29" w:rsidRPr="00BD2530" w14:paraId="0B5C8EFD" w14:textId="77777777" w:rsidTr="00696A5F">
        <w:trPr>
          <w:cantSplit/>
          <w:trHeight w:val="315"/>
          <w:tblHeader/>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55A9B" w14:textId="77777777" w:rsidR="002A2889" w:rsidRPr="00BD2530" w:rsidRDefault="002A2889" w:rsidP="00266D54">
            <w:pPr>
              <w:pStyle w:val="TableHeading0"/>
              <w:rPr>
                <w:lang w:val="en-GB" w:eastAsia="en-GB"/>
              </w:rPr>
            </w:pPr>
            <w:r w:rsidRPr="00BD2530">
              <w:rPr>
                <w:lang w:eastAsia="en-GB"/>
              </w:rPr>
              <w:t xml:space="preserve">Parameter </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7461AD6B" w14:textId="4DE3EC35" w:rsidR="002A2889" w:rsidRPr="00BD2530" w:rsidRDefault="002A2889" w:rsidP="00266D54">
            <w:pPr>
              <w:pStyle w:val="TableHeading0"/>
              <w:rPr>
                <w:lang w:val="en-GB" w:eastAsia="en-GB"/>
              </w:rPr>
            </w:pPr>
            <w:r w:rsidRPr="00BD2530">
              <w:rPr>
                <w:lang w:eastAsia="en-GB"/>
              </w:rPr>
              <w:t>2024</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6246DC27" w14:textId="3E7077F9" w:rsidR="002A2889" w:rsidRPr="00BD2530" w:rsidRDefault="002A2889" w:rsidP="00266D54">
            <w:pPr>
              <w:pStyle w:val="TableHeading0"/>
              <w:rPr>
                <w:lang w:val="en-GB" w:eastAsia="en-GB"/>
              </w:rPr>
            </w:pPr>
            <w:r w:rsidRPr="00BD2530">
              <w:rPr>
                <w:lang w:eastAsia="en-GB"/>
              </w:rPr>
              <w:t>2025</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378AECA" w14:textId="2360D681" w:rsidR="002A2889" w:rsidRPr="00BD2530" w:rsidRDefault="002A2889" w:rsidP="00266D54">
            <w:pPr>
              <w:pStyle w:val="TableHeading0"/>
              <w:rPr>
                <w:lang w:val="en-GB" w:eastAsia="en-GB"/>
              </w:rPr>
            </w:pPr>
            <w:r w:rsidRPr="00BD2530">
              <w:rPr>
                <w:lang w:eastAsia="en-GB"/>
              </w:rPr>
              <w:t>2026</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7D6676E" w14:textId="1DFF242A" w:rsidR="002A2889" w:rsidRPr="00BD2530" w:rsidRDefault="002A2889" w:rsidP="00266D54">
            <w:pPr>
              <w:pStyle w:val="TableHeading0"/>
              <w:rPr>
                <w:lang w:val="en-GB" w:eastAsia="en-GB"/>
              </w:rPr>
            </w:pPr>
            <w:r w:rsidRPr="00BD2530">
              <w:rPr>
                <w:lang w:eastAsia="en-GB"/>
              </w:rPr>
              <w:t>2027</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14:paraId="574ABDF4" w14:textId="6725FE89" w:rsidR="002A2889" w:rsidRPr="00BD2530" w:rsidRDefault="002A2889" w:rsidP="00266D54">
            <w:pPr>
              <w:pStyle w:val="TableHeading0"/>
              <w:rPr>
                <w:lang w:val="en-GB" w:eastAsia="en-GB"/>
              </w:rPr>
            </w:pPr>
            <w:r w:rsidRPr="00BD2530">
              <w:rPr>
                <w:lang w:val="en-GB" w:eastAsia="en-GB"/>
              </w:rPr>
              <w:t>2028</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69660F0F" w14:textId="479C4CB0" w:rsidR="002A2889" w:rsidRPr="00BD2530" w:rsidRDefault="002A2889" w:rsidP="00266D54">
            <w:pPr>
              <w:pStyle w:val="TableHeading0"/>
              <w:rPr>
                <w:lang w:val="en-GB" w:eastAsia="en-GB"/>
              </w:rPr>
            </w:pPr>
            <w:r w:rsidRPr="00BD2530">
              <w:rPr>
                <w:lang w:val="en-GB" w:eastAsia="en-GB"/>
              </w:rPr>
              <w:t>2029</w:t>
            </w:r>
          </w:p>
        </w:tc>
      </w:tr>
      <w:tr w:rsidR="002A2889" w:rsidRPr="00BD2530" w14:paraId="342E390A" w14:textId="77777777" w:rsidTr="001053EF">
        <w:trPr>
          <w:cantSplit/>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8E63FE5" w14:textId="77777777" w:rsidR="002A2889" w:rsidRPr="00BD2530" w:rsidRDefault="002A2889" w:rsidP="00266D54">
            <w:pPr>
              <w:pStyle w:val="In-tableHeading"/>
              <w:rPr>
                <w:lang w:val="en-GB"/>
              </w:rPr>
            </w:pPr>
            <w:r w:rsidRPr="00BD2530">
              <w:t>Estimated use and cost of the proposed health technology</w:t>
            </w:r>
          </w:p>
        </w:tc>
      </w:tr>
      <w:tr w:rsidR="00DB7C29" w:rsidRPr="00BD2530" w14:paraId="5EFB4455"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6C4F106B" w14:textId="66BB4346" w:rsidR="002A2889" w:rsidRPr="00BD2530" w:rsidRDefault="002A2889" w:rsidP="002A2889">
            <w:pPr>
              <w:pStyle w:val="TableText"/>
              <w:rPr>
                <w:lang w:val="en-GB" w:eastAsia="en-GB"/>
              </w:rPr>
            </w:pPr>
            <w:r w:rsidRPr="00BD2530">
              <w:rPr>
                <w:lang w:eastAsia="en-GB"/>
              </w:rPr>
              <w:t>Incidence of NE</w:t>
            </w:r>
            <w:r w:rsidR="00A74189">
              <w:rPr>
                <w:lang w:eastAsia="en-GB"/>
              </w:rPr>
              <w:t>N</w:t>
            </w:r>
            <w:r w:rsidRPr="00BD2530">
              <w:rPr>
                <w:lang w:eastAsia="en-GB"/>
              </w:rPr>
              <w:t>s</w:t>
            </w:r>
          </w:p>
        </w:tc>
        <w:tc>
          <w:tcPr>
            <w:tcW w:w="624" w:type="pct"/>
            <w:tcBorders>
              <w:top w:val="nil"/>
              <w:left w:val="nil"/>
              <w:bottom w:val="single" w:sz="4" w:space="0" w:color="auto"/>
              <w:right w:val="single" w:sz="4" w:space="0" w:color="auto"/>
            </w:tcBorders>
            <w:shd w:val="clear" w:color="auto" w:fill="auto"/>
            <w:vAlign w:val="center"/>
            <w:hideMark/>
          </w:tcPr>
          <w:p w14:paraId="3035C645" w14:textId="77777777" w:rsidR="002A2889" w:rsidRPr="00BD2530" w:rsidRDefault="002A2889" w:rsidP="002A2889">
            <w:pPr>
              <w:pStyle w:val="TableText"/>
              <w:rPr>
                <w:lang w:val="en-GB" w:eastAsia="en-GB"/>
              </w:rPr>
            </w:pPr>
            <w:r w:rsidRPr="00BD2530">
              <w:rPr>
                <w:lang w:val="en-GB" w:eastAsia="en-GB"/>
              </w:rPr>
              <w:t>5,642</w:t>
            </w:r>
          </w:p>
        </w:tc>
        <w:tc>
          <w:tcPr>
            <w:tcW w:w="624" w:type="pct"/>
            <w:tcBorders>
              <w:top w:val="nil"/>
              <w:left w:val="nil"/>
              <w:bottom w:val="single" w:sz="4" w:space="0" w:color="auto"/>
              <w:right w:val="single" w:sz="4" w:space="0" w:color="auto"/>
            </w:tcBorders>
            <w:shd w:val="clear" w:color="auto" w:fill="auto"/>
            <w:vAlign w:val="center"/>
            <w:hideMark/>
          </w:tcPr>
          <w:p w14:paraId="1A04000A" w14:textId="77777777" w:rsidR="002A2889" w:rsidRPr="00BD2530" w:rsidRDefault="002A2889" w:rsidP="002A2889">
            <w:pPr>
              <w:pStyle w:val="TableText"/>
              <w:rPr>
                <w:lang w:val="en-GB" w:eastAsia="en-GB"/>
              </w:rPr>
            </w:pPr>
            <w:r w:rsidRPr="00BD2530">
              <w:rPr>
                <w:lang w:eastAsia="en-GB"/>
              </w:rPr>
              <w:t>5,857</w:t>
            </w:r>
          </w:p>
        </w:tc>
        <w:tc>
          <w:tcPr>
            <w:tcW w:w="624" w:type="pct"/>
            <w:tcBorders>
              <w:top w:val="nil"/>
              <w:left w:val="nil"/>
              <w:bottom w:val="single" w:sz="4" w:space="0" w:color="auto"/>
              <w:right w:val="single" w:sz="4" w:space="0" w:color="auto"/>
            </w:tcBorders>
            <w:shd w:val="clear" w:color="auto" w:fill="auto"/>
            <w:vAlign w:val="center"/>
            <w:hideMark/>
          </w:tcPr>
          <w:p w14:paraId="2682313D" w14:textId="77777777" w:rsidR="002A2889" w:rsidRPr="00BD2530" w:rsidRDefault="002A2889" w:rsidP="002A2889">
            <w:pPr>
              <w:pStyle w:val="TableText"/>
              <w:rPr>
                <w:lang w:val="en-GB" w:eastAsia="en-GB"/>
              </w:rPr>
            </w:pPr>
            <w:r w:rsidRPr="00BD2530">
              <w:rPr>
                <w:lang w:eastAsia="en-GB"/>
              </w:rPr>
              <w:t>6,080</w:t>
            </w:r>
          </w:p>
        </w:tc>
        <w:tc>
          <w:tcPr>
            <w:tcW w:w="624" w:type="pct"/>
            <w:tcBorders>
              <w:top w:val="nil"/>
              <w:left w:val="nil"/>
              <w:bottom w:val="single" w:sz="4" w:space="0" w:color="auto"/>
              <w:right w:val="single" w:sz="4" w:space="0" w:color="auto"/>
            </w:tcBorders>
            <w:shd w:val="clear" w:color="auto" w:fill="auto"/>
            <w:vAlign w:val="center"/>
            <w:hideMark/>
          </w:tcPr>
          <w:p w14:paraId="6BA7AE13" w14:textId="77777777" w:rsidR="002A2889" w:rsidRPr="00BD2530" w:rsidRDefault="002A2889" w:rsidP="002A2889">
            <w:pPr>
              <w:pStyle w:val="TableText"/>
              <w:rPr>
                <w:lang w:val="en-GB" w:eastAsia="en-GB"/>
              </w:rPr>
            </w:pPr>
            <w:r w:rsidRPr="00BD2530">
              <w:rPr>
                <w:lang w:eastAsia="en-GB"/>
              </w:rPr>
              <w:t>6,312</w:t>
            </w:r>
          </w:p>
        </w:tc>
        <w:tc>
          <w:tcPr>
            <w:tcW w:w="624" w:type="pct"/>
            <w:tcBorders>
              <w:top w:val="nil"/>
              <w:left w:val="nil"/>
              <w:bottom w:val="single" w:sz="4" w:space="0" w:color="auto"/>
              <w:right w:val="single" w:sz="4" w:space="0" w:color="auto"/>
            </w:tcBorders>
            <w:shd w:val="clear" w:color="auto" w:fill="auto"/>
            <w:vAlign w:val="center"/>
            <w:hideMark/>
          </w:tcPr>
          <w:p w14:paraId="1ACE0298" w14:textId="77777777" w:rsidR="002A2889" w:rsidRPr="00BD2530" w:rsidRDefault="002A2889" w:rsidP="002A2889">
            <w:pPr>
              <w:pStyle w:val="TableText"/>
              <w:rPr>
                <w:lang w:val="en-GB" w:eastAsia="en-GB"/>
              </w:rPr>
            </w:pPr>
            <w:r w:rsidRPr="00BD2530">
              <w:rPr>
                <w:lang w:eastAsia="en-GB"/>
              </w:rPr>
              <w:t>6,552</w:t>
            </w:r>
          </w:p>
        </w:tc>
        <w:tc>
          <w:tcPr>
            <w:tcW w:w="622" w:type="pct"/>
            <w:tcBorders>
              <w:top w:val="nil"/>
              <w:left w:val="nil"/>
              <w:bottom w:val="single" w:sz="4" w:space="0" w:color="auto"/>
              <w:right w:val="single" w:sz="4" w:space="0" w:color="auto"/>
            </w:tcBorders>
            <w:shd w:val="clear" w:color="auto" w:fill="auto"/>
            <w:vAlign w:val="center"/>
            <w:hideMark/>
          </w:tcPr>
          <w:p w14:paraId="6C464613" w14:textId="77777777" w:rsidR="002A2889" w:rsidRPr="00BD2530" w:rsidRDefault="002A2889" w:rsidP="002A2889">
            <w:pPr>
              <w:pStyle w:val="TableText"/>
              <w:rPr>
                <w:lang w:val="en-GB" w:eastAsia="en-GB"/>
              </w:rPr>
            </w:pPr>
            <w:r w:rsidRPr="00BD2530">
              <w:rPr>
                <w:lang w:eastAsia="en-GB"/>
              </w:rPr>
              <w:t>6,802</w:t>
            </w:r>
          </w:p>
        </w:tc>
      </w:tr>
      <w:tr w:rsidR="002A2889" w:rsidRPr="00BD2530" w14:paraId="4268F368" w14:textId="77777777" w:rsidTr="004C302A">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68794D6A" w14:textId="77777777" w:rsidR="002A2889" w:rsidRPr="00BD2530" w:rsidRDefault="002A2889" w:rsidP="002A2889">
            <w:pPr>
              <w:pStyle w:val="TableText"/>
              <w:rPr>
                <w:lang w:val="en-GB" w:eastAsia="en-GB"/>
              </w:rPr>
            </w:pPr>
            <w:r w:rsidRPr="00BD2530">
              <w:rPr>
                <w:lang w:eastAsia="en-GB"/>
              </w:rPr>
              <w:t xml:space="preserve">Number of people eligible for </w:t>
            </w:r>
            <w:r w:rsidRPr="00266D54">
              <w:rPr>
                <w:vertAlign w:val="superscript"/>
                <w:lang w:eastAsia="en-GB"/>
              </w:rPr>
              <w:t>177</w:t>
            </w:r>
            <w:r w:rsidRPr="00BD2530">
              <w:rPr>
                <w:lang w:eastAsia="en-GB"/>
              </w:rPr>
              <w:t xml:space="preserve">Lu-DOTA-octreotate </w:t>
            </w:r>
          </w:p>
        </w:tc>
        <w:tc>
          <w:tcPr>
            <w:tcW w:w="3742" w:type="pct"/>
            <w:gridSpan w:val="6"/>
            <w:tcBorders>
              <w:top w:val="single" w:sz="4" w:space="0" w:color="auto"/>
              <w:left w:val="nil"/>
              <w:bottom w:val="single" w:sz="4" w:space="0" w:color="auto"/>
              <w:right w:val="single" w:sz="4" w:space="0" w:color="000000" w:themeColor="text1"/>
            </w:tcBorders>
            <w:shd w:val="clear" w:color="auto" w:fill="auto"/>
            <w:vAlign w:val="center"/>
            <w:hideMark/>
          </w:tcPr>
          <w:p w14:paraId="109BC1DD" w14:textId="77777777" w:rsidR="002A2889" w:rsidRPr="00BD2530" w:rsidRDefault="002A2889" w:rsidP="002A2889">
            <w:pPr>
              <w:pStyle w:val="TableText"/>
              <w:rPr>
                <w:lang w:val="en-GB" w:eastAsia="en-GB"/>
              </w:rPr>
            </w:pPr>
            <w:r w:rsidRPr="00BD2530">
              <w:rPr>
                <w:lang w:val="en-GB" w:eastAsia="en-GB"/>
              </w:rPr>
              <w:t>Unknown</w:t>
            </w:r>
            <w:r w:rsidRPr="00BD2530">
              <w:rPr>
                <w:lang w:val="en-GB" w:eastAsia="en-GB"/>
              </w:rPr>
              <w:br/>
              <w:t>Assumed 3.5% to match applicant advised treatment population of approximately 200</w:t>
            </w:r>
          </w:p>
        </w:tc>
      </w:tr>
      <w:tr w:rsidR="00DB7C29" w:rsidRPr="00BD2530" w14:paraId="40C81C87"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4F4EB87E" w14:textId="77777777" w:rsidR="002A2889" w:rsidRPr="00BD2530" w:rsidRDefault="002A2889" w:rsidP="002A2889">
            <w:pPr>
              <w:pStyle w:val="TableText"/>
              <w:rPr>
                <w:lang w:val="en-GB" w:eastAsia="en-GB"/>
              </w:rPr>
            </w:pPr>
            <w:r w:rsidRPr="00BD2530">
              <w:rPr>
                <w:lang w:eastAsia="en-GB"/>
              </w:rPr>
              <w:t xml:space="preserve">Number of people who receive </w:t>
            </w:r>
            <w:r w:rsidRPr="00266D54">
              <w:rPr>
                <w:vertAlign w:val="superscript"/>
                <w:lang w:eastAsia="en-GB"/>
              </w:rPr>
              <w:t>177</w:t>
            </w:r>
            <w:r w:rsidRPr="00BD2530">
              <w:rPr>
                <w:lang w:eastAsia="en-GB"/>
              </w:rPr>
              <w:t xml:space="preserve">Lu-DOTA-octreotate </w:t>
            </w:r>
          </w:p>
        </w:tc>
        <w:tc>
          <w:tcPr>
            <w:tcW w:w="624" w:type="pct"/>
            <w:tcBorders>
              <w:top w:val="nil"/>
              <w:left w:val="nil"/>
              <w:bottom w:val="single" w:sz="4" w:space="0" w:color="auto"/>
              <w:right w:val="single" w:sz="4" w:space="0" w:color="auto"/>
            </w:tcBorders>
            <w:shd w:val="clear" w:color="auto" w:fill="auto"/>
            <w:vAlign w:val="center"/>
            <w:hideMark/>
          </w:tcPr>
          <w:p w14:paraId="1A08A034" w14:textId="77777777" w:rsidR="002A2889" w:rsidRPr="00BD2530" w:rsidRDefault="002A2889" w:rsidP="005A2591">
            <w:pPr>
              <w:pStyle w:val="TableText"/>
              <w:rPr>
                <w:lang w:val="en-GB" w:eastAsia="en-GB"/>
              </w:rPr>
            </w:pPr>
            <w:r w:rsidRPr="00BD2530">
              <w:rPr>
                <w:lang w:eastAsia="en-GB"/>
              </w:rPr>
              <w:t>197</w:t>
            </w:r>
          </w:p>
        </w:tc>
        <w:tc>
          <w:tcPr>
            <w:tcW w:w="624" w:type="pct"/>
            <w:tcBorders>
              <w:top w:val="nil"/>
              <w:left w:val="nil"/>
              <w:bottom w:val="single" w:sz="4" w:space="0" w:color="auto"/>
              <w:right w:val="single" w:sz="4" w:space="0" w:color="auto"/>
            </w:tcBorders>
            <w:shd w:val="clear" w:color="auto" w:fill="auto"/>
            <w:vAlign w:val="center"/>
            <w:hideMark/>
          </w:tcPr>
          <w:p w14:paraId="57F6A9FB" w14:textId="77777777" w:rsidR="002A2889" w:rsidRPr="00BD2530" w:rsidRDefault="002A2889" w:rsidP="005A2591">
            <w:pPr>
              <w:pStyle w:val="TableText"/>
              <w:rPr>
                <w:lang w:val="en-GB" w:eastAsia="en-GB"/>
              </w:rPr>
            </w:pPr>
            <w:r w:rsidRPr="00BD2530">
              <w:rPr>
                <w:lang w:eastAsia="en-GB"/>
              </w:rPr>
              <w:t>205</w:t>
            </w:r>
          </w:p>
        </w:tc>
        <w:tc>
          <w:tcPr>
            <w:tcW w:w="624" w:type="pct"/>
            <w:tcBorders>
              <w:top w:val="nil"/>
              <w:left w:val="nil"/>
              <w:bottom w:val="single" w:sz="4" w:space="0" w:color="auto"/>
              <w:right w:val="single" w:sz="4" w:space="0" w:color="auto"/>
            </w:tcBorders>
            <w:shd w:val="clear" w:color="auto" w:fill="auto"/>
            <w:vAlign w:val="center"/>
            <w:hideMark/>
          </w:tcPr>
          <w:p w14:paraId="2CE3D9C7" w14:textId="77777777" w:rsidR="002A2889" w:rsidRPr="00BD2530" w:rsidRDefault="002A2889" w:rsidP="005A2591">
            <w:pPr>
              <w:pStyle w:val="TableText"/>
              <w:rPr>
                <w:lang w:val="en-GB" w:eastAsia="en-GB"/>
              </w:rPr>
            </w:pPr>
            <w:r w:rsidRPr="00BD2530">
              <w:rPr>
                <w:lang w:eastAsia="en-GB"/>
              </w:rPr>
              <w:t>213</w:t>
            </w:r>
          </w:p>
        </w:tc>
        <w:tc>
          <w:tcPr>
            <w:tcW w:w="624" w:type="pct"/>
            <w:tcBorders>
              <w:top w:val="nil"/>
              <w:left w:val="nil"/>
              <w:bottom w:val="single" w:sz="4" w:space="0" w:color="auto"/>
              <w:right w:val="single" w:sz="4" w:space="0" w:color="auto"/>
            </w:tcBorders>
            <w:shd w:val="clear" w:color="auto" w:fill="auto"/>
            <w:vAlign w:val="center"/>
            <w:hideMark/>
          </w:tcPr>
          <w:p w14:paraId="3C2667BB" w14:textId="77777777" w:rsidR="002A2889" w:rsidRPr="00BD2530" w:rsidRDefault="002A2889" w:rsidP="005A2591">
            <w:pPr>
              <w:pStyle w:val="TableText"/>
              <w:rPr>
                <w:lang w:val="en-GB" w:eastAsia="en-GB"/>
              </w:rPr>
            </w:pPr>
            <w:r w:rsidRPr="00BD2530">
              <w:rPr>
                <w:lang w:eastAsia="en-GB"/>
              </w:rPr>
              <w:t>221</w:t>
            </w:r>
          </w:p>
        </w:tc>
        <w:tc>
          <w:tcPr>
            <w:tcW w:w="624" w:type="pct"/>
            <w:tcBorders>
              <w:top w:val="nil"/>
              <w:left w:val="nil"/>
              <w:bottom w:val="single" w:sz="4" w:space="0" w:color="auto"/>
              <w:right w:val="single" w:sz="4" w:space="0" w:color="auto"/>
            </w:tcBorders>
            <w:shd w:val="clear" w:color="auto" w:fill="auto"/>
            <w:vAlign w:val="center"/>
            <w:hideMark/>
          </w:tcPr>
          <w:p w14:paraId="286652DE" w14:textId="77777777" w:rsidR="002A2889" w:rsidRPr="00BD2530" w:rsidRDefault="002A2889" w:rsidP="005A2591">
            <w:pPr>
              <w:pStyle w:val="TableText"/>
              <w:rPr>
                <w:lang w:val="en-GB" w:eastAsia="en-GB"/>
              </w:rPr>
            </w:pPr>
            <w:r w:rsidRPr="00BD2530">
              <w:rPr>
                <w:lang w:eastAsia="en-GB"/>
              </w:rPr>
              <w:t>229</w:t>
            </w:r>
          </w:p>
        </w:tc>
        <w:tc>
          <w:tcPr>
            <w:tcW w:w="622" w:type="pct"/>
            <w:tcBorders>
              <w:top w:val="nil"/>
              <w:left w:val="nil"/>
              <w:bottom w:val="single" w:sz="4" w:space="0" w:color="auto"/>
              <w:right w:val="single" w:sz="4" w:space="0" w:color="auto"/>
            </w:tcBorders>
            <w:shd w:val="clear" w:color="auto" w:fill="auto"/>
            <w:vAlign w:val="center"/>
            <w:hideMark/>
          </w:tcPr>
          <w:p w14:paraId="7885D1A2" w14:textId="77777777" w:rsidR="002A2889" w:rsidRPr="00BD2530" w:rsidRDefault="002A2889" w:rsidP="005A2591">
            <w:pPr>
              <w:pStyle w:val="TableText"/>
              <w:rPr>
                <w:lang w:val="en-GB" w:eastAsia="en-GB"/>
              </w:rPr>
            </w:pPr>
            <w:r w:rsidRPr="00BD2530">
              <w:rPr>
                <w:lang w:eastAsia="en-GB"/>
              </w:rPr>
              <w:t>238</w:t>
            </w:r>
          </w:p>
        </w:tc>
      </w:tr>
      <w:tr w:rsidR="00DB7C29" w:rsidRPr="00BD2530" w14:paraId="5273C20A"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57FB3771" w14:textId="46ED4B06" w:rsidR="00EF467F" w:rsidRPr="00BD2530" w:rsidRDefault="00EF467F" w:rsidP="00EF467F">
            <w:pPr>
              <w:pStyle w:val="TableText"/>
              <w:rPr>
                <w:lang w:eastAsia="en-GB"/>
              </w:rPr>
            </w:pPr>
            <w:r>
              <w:rPr>
                <w:lang w:eastAsia="en-GB"/>
              </w:rPr>
              <w:t xml:space="preserve">Number of </w:t>
            </w:r>
            <w:r w:rsidRPr="0079129E">
              <w:rPr>
                <w:vertAlign w:val="superscript"/>
                <w:lang w:eastAsia="en-GB"/>
              </w:rPr>
              <w:t>177</w:t>
            </w:r>
            <w:r w:rsidRPr="00BD2530">
              <w:rPr>
                <w:lang w:eastAsia="en-GB"/>
              </w:rPr>
              <w:t>Lu-DOTA-octreotate</w:t>
            </w:r>
            <w:r>
              <w:rPr>
                <w:lang w:eastAsia="en-GB"/>
              </w:rPr>
              <w:t xml:space="preserve"> recipients</w:t>
            </w:r>
            <w:r w:rsidRPr="5EF0760D">
              <w:rPr>
                <w:lang w:eastAsia="en-GB"/>
              </w:rPr>
              <w:t xml:space="preserve"> </w:t>
            </w:r>
            <w:r>
              <w:rPr>
                <w:lang w:eastAsia="en-GB"/>
              </w:rPr>
              <w:t>tested</w:t>
            </w:r>
            <w:r w:rsidRPr="5EF0760D">
              <w:rPr>
                <w:lang w:eastAsia="en-GB"/>
              </w:rPr>
              <w:t xml:space="preserve"> with </w:t>
            </w:r>
            <w:r w:rsidRPr="5EF0760D">
              <w:rPr>
                <w:vertAlign w:val="superscript"/>
                <w:lang w:eastAsia="en-GB"/>
              </w:rPr>
              <w:t>68</w:t>
            </w:r>
            <w:r w:rsidRPr="5EF0760D">
              <w:rPr>
                <w:lang w:eastAsia="en-GB"/>
              </w:rPr>
              <w:t>Ga-DOTA-octreotate PET/CT (100</w:t>
            </w:r>
            <w:proofErr w:type="gramStart"/>
            <w:r w:rsidRPr="5EF0760D">
              <w:rPr>
                <w:lang w:eastAsia="en-GB"/>
              </w:rPr>
              <w:t>%)*</w:t>
            </w:r>
            <w:proofErr w:type="gramEnd"/>
          </w:p>
        </w:tc>
        <w:tc>
          <w:tcPr>
            <w:tcW w:w="624" w:type="pct"/>
            <w:tcBorders>
              <w:top w:val="nil"/>
              <w:left w:val="nil"/>
              <w:bottom w:val="single" w:sz="4" w:space="0" w:color="auto"/>
              <w:right w:val="single" w:sz="4" w:space="0" w:color="auto"/>
            </w:tcBorders>
            <w:shd w:val="clear" w:color="auto" w:fill="auto"/>
            <w:vAlign w:val="center"/>
            <w:hideMark/>
          </w:tcPr>
          <w:p w14:paraId="5B8AC011" w14:textId="77777777" w:rsidR="00EF467F" w:rsidRPr="00BD2530" w:rsidRDefault="00EF467F" w:rsidP="00EF467F">
            <w:pPr>
              <w:pStyle w:val="TableText"/>
              <w:rPr>
                <w:lang w:val="en-GB" w:eastAsia="en-GB"/>
              </w:rPr>
            </w:pPr>
            <w:r w:rsidRPr="00BD2530">
              <w:rPr>
                <w:lang w:val="en-GB" w:eastAsia="en-GB"/>
              </w:rPr>
              <w:t>197</w:t>
            </w:r>
          </w:p>
        </w:tc>
        <w:tc>
          <w:tcPr>
            <w:tcW w:w="624" w:type="pct"/>
            <w:tcBorders>
              <w:top w:val="nil"/>
              <w:left w:val="nil"/>
              <w:bottom w:val="single" w:sz="4" w:space="0" w:color="auto"/>
              <w:right w:val="single" w:sz="4" w:space="0" w:color="auto"/>
            </w:tcBorders>
            <w:shd w:val="clear" w:color="auto" w:fill="auto"/>
            <w:vAlign w:val="center"/>
            <w:hideMark/>
          </w:tcPr>
          <w:p w14:paraId="74F73A18" w14:textId="77777777" w:rsidR="00EF467F" w:rsidRPr="00BD2530" w:rsidRDefault="00EF467F" w:rsidP="00EF467F">
            <w:pPr>
              <w:pStyle w:val="TableText"/>
              <w:rPr>
                <w:lang w:val="en-GB" w:eastAsia="en-GB"/>
              </w:rPr>
            </w:pPr>
            <w:r w:rsidRPr="00BD2530">
              <w:rPr>
                <w:lang w:val="en-GB" w:eastAsia="en-GB"/>
              </w:rPr>
              <w:t>205</w:t>
            </w:r>
          </w:p>
        </w:tc>
        <w:tc>
          <w:tcPr>
            <w:tcW w:w="624" w:type="pct"/>
            <w:tcBorders>
              <w:top w:val="nil"/>
              <w:left w:val="nil"/>
              <w:bottom w:val="single" w:sz="4" w:space="0" w:color="auto"/>
              <w:right w:val="single" w:sz="4" w:space="0" w:color="auto"/>
            </w:tcBorders>
            <w:shd w:val="clear" w:color="auto" w:fill="auto"/>
            <w:vAlign w:val="center"/>
            <w:hideMark/>
          </w:tcPr>
          <w:p w14:paraId="4B7C9677" w14:textId="77777777" w:rsidR="00EF467F" w:rsidRPr="00BD2530" w:rsidRDefault="00EF467F" w:rsidP="00EF467F">
            <w:pPr>
              <w:pStyle w:val="TableText"/>
              <w:rPr>
                <w:lang w:val="en-GB" w:eastAsia="en-GB"/>
              </w:rPr>
            </w:pPr>
            <w:r w:rsidRPr="00BD2530">
              <w:rPr>
                <w:lang w:val="en-GB" w:eastAsia="en-GB"/>
              </w:rPr>
              <w:t>213</w:t>
            </w:r>
          </w:p>
        </w:tc>
        <w:tc>
          <w:tcPr>
            <w:tcW w:w="624" w:type="pct"/>
            <w:tcBorders>
              <w:top w:val="nil"/>
              <w:left w:val="nil"/>
              <w:bottom w:val="single" w:sz="4" w:space="0" w:color="auto"/>
              <w:right w:val="single" w:sz="4" w:space="0" w:color="auto"/>
            </w:tcBorders>
            <w:shd w:val="clear" w:color="auto" w:fill="auto"/>
            <w:vAlign w:val="center"/>
            <w:hideMark/>
          </w:tcPr>
          <w:p w14:paraId="05A534DE" w14:textId="77777777" w:rsidR="00EF467F" w:rsidRPr="00BD2530" w:rsidRDefault="00EF467F" w:rsidP="00EF467F">
            <w:pPr>
              <w:pStyle w:val="TableText"/>
              <w:rPr>
                <w:lang w:val="en-GB" w:eastAsia="en-GB"/>
              </w:rPr>
            </w:pPr>
            <w:r w:rsidRPr="00BD2530">
              <w:rPr>
                <w:lang w:val="en-GB" w:eastAsia="en-GB"/>
              </w:rPr>
              <w:t>221</w:t>
            </w:r>
          </w:p>
        </w:tc>
        <w:tc>
          <w:tcPr>
            <w:tcW w:w="624" w:type="pct"/>
            <w:tcBorders>
              <w:top w:val="nil"/>
              <w:left w:val="nil"/>
              <w:bottom w:val="single" w:sz="4" w:space="0" w:color="auto"/>
              <w:right w:val="single" w:sz="4" w:space="0" w:color="auto"/>
            </w:tcBorders>
            <w:shd w:val="clear" w:color="auto" w:fill="auto"/>
            <w:vAlign w:val="center"/>
            <w:hideMark/>
          </w:tcPr>
          <w:p w14:paraId="2DE9CFC3" w14:textId="77777777" w:rsidR="00EF467F" w:rsidRPr="00BD2530" w:rsidRDefault="00EF467F" w:rsidP="00EF467F">
            <w:pPr>
              <w:pStyle w:val="TableText"/>
              <w:rPr>
                <w:lang w:val="en-GB" w:eastAsia="en-GB"/>
              </w:rPr>
            </w:pPr>
            <w:r w:rsidRPr="00BD2530">
              <w:rPr>
                <w:lang w:val="en-GB" w:eastAsia="en-GB"/>
              </w:rPr>
              <w:t>229</w:t>
            </w:r>
          </w:p>
        </w:tc>
        <w:tc>
          <w:tcPr>
            <w:tcW w:w="622" w:type="pct"/>
            <w:tcBorders>
              <w:top w:val="nil"/>
              <w:left w:val="nil"/>
              <w:bottom w:val="single" w:sz="4" w:space="0" w:color="auto"/>
              <w:right w:val="single" w:sz="4" w:space="0" w:color="auto"/>
            </w:tcBorders>
            <w:shd w:val="clear" w:color="auto" w:fill="auto"/>
            <w:vAlign w:val="center"/>
            <w:hideMark/>
          </w:tcPr>
          <w:p w14:paraId="7DD43EA2" w14:textId="77777777" w:rsidR="00EF467F" w:rsidRPr="00BD2530" w:rsidRDefault="00EF467F" w:rsidP="00EF467F">
            <w:pPr>
              <w:pStyle w:val="TableText"/>
              <w:rPr>
                <w:lang w:val="en-GB" w:eastAsia="en-GB"/>
              </w:rPr>
            </w:pPr>
            <w:r w:rsidRPr="00BD2530">
              <w:rPr>
                <w:lang w:val="en-GB" w:eastAsia="en-GB"/>
              </w:rPr>
              <w:t>238</w:t>
            </w:r>
          </w:p>
        </w:tc>
      </w:tr>
      <w:tr w:rsidR="00DB7C29" w:rsidRPr="00BD2530" w14:paraId="70ECC432"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3DE7D6C5" w14:textId="18640E3B" w:rsidR="00EF467F" w:rsidRPr="00BD2530" w:rsidRDefault="00EF467F" w:rsidP="00EF467F">
            <w:pPr>
              <w:pStyle w:val="TableText"/>
              <w:rPr>
                <w:lang w:eastAsia="en-GB"/>
              </w:rPr>
            </w:pPr>
            <w:r>
              <w:rPr>
                <w:lang w:eastAsia="en-GB"/>
              </w:rPr>
              <w:t xml:space="preserve">Number of </w:t>
            </w:r>
            <w:r w:rsidRPr="0079129E">
              <w:rPr>
                <w:vertAlign w:val="superscript"/>
                <w:lang w:eastAsia="en-GB"/>
              </w:rPr>
              <w:t>177</w:t>
            </w:r>
            <w:r w:rsidRPr="00BD2530">
              <w:rPr>
                <w:lang w:eastAsia="en-GB"/>
              </w:rPr>
              <w:t>Lu-DOTA-octreotate</w:t>
            </w:r>
            <w:r>
              <w:rPr>
                <w:lang w:eastAsia="en-GB"/>
              </w:rPr>
              <w:t xml:space="preserve"> recipients</w:t>
            </w:r>
            <w:r w:rsidRPr="5EF0760D">
              <w:rPr>
                <w:lang w:eastAsia="en-GB"/>
              </w:rPr>
              <w:t xml:space="preserve"> </w:t>
            </w:r>
            <w:r>
              <w:rPr>
                <w:lang w:eastAsia="en-GB"/>
              </w:rPr>
              <w:t>tested</w:t>
            </w:r>
            <w:r w:rsidRPr="5EF0760D">
              <w:rPr>
                <w:lang w:eastAsia="en-GB"/>
              </w:rPr>
              <w:t xml:space="preserve"> with </w:t>
            </w:r>
            <w:r w:rsidRPr="00931C1C">
              <w:rPr>
                <w:vertAlign w:val="superscript"/>
                <w:lang w:eastAsia="en-GB"/>
              </w:rPr>
              <w:t>18</w:t>
            </w:r>
            <w:r>
              <w:rPr>
                <w:lang w:eastAsia="en-GB"/>
              </w:rPr>
              <w:t>F-</w:t>
            </w:r>
            <w:r w:rsidRPr="5EF0760D">
              <w:rPr>
                <w:lang w:eastAsia="en-GB"/>
              </w:rPr>
              <w:t>FDG PET/CT (30</w:t>
            </w:r>
            <w:proofErr w:type="gramStart"/>
            <w:r w:rsidRPr="5EF0760D">
              <w:rPr>
                <w:lang w:eastAsia="en-GB"/>
              </w:rPr>
              <w:t>%)†</w:t>
            </w:r>
            <w:proofErr w:type="gramEnd"/>
          </w:p>
        </w:tc>
        <w:tc>
          <w:tcPr>
            <w:tcW w:w="624" w:type="pct"/>
            <w:tcBorders>
              <w:top w:val="nil"/>
              <w:left w:val="nil"/>
              <w:bottom w:val="single" w:sz="4" w:space="0" w:color="auto"/>
              <w:right w:val="single" w:sz="4" w:space="0" w:color="auto"/>
            </w:tcBorders>
            <w:shd w:val="clear" w:color="auto" w:fill="auto"/>
            <w:vAlign w:val="center"/>
            <w:hideMark/>
          </w:tcPr>
          <w:p w14:paraId="022714F1" w14:textId="77777777" w:rsidR="00EF467F" w:rsidRPr="00BD2530" w:rsidRDefault="00EF467F" w:rsidP="00EF467F">
            <w:pPr>
              <w:pStyle w:val="TableText"/>
              <w:rPr>
                <w:lang w:val="en-GB" w:eastAsia="en-GB"/>
              </w:rPr>
            </w:pPr>
            <w:r w:rsidRPr="00BD2530">
              <w:rPr>
                <w:lang w:val="en-GB" w:eastAsia="en-GB"/>
              </w:rPr>
              <w:t>59</w:t>
            </w:r>
          </w:p>
        </w:tc>
        <w:tc>
          <w:tcPr>
            <w:tcW w:w="624" w:type="pct"/>
            <w:tcBorders>
              <w:top w:val="nil"/>
              <w:left w:val="nil"/>
              <w:bottom w:val="single" w:sz="4" w:space="0" w:color="auto"/>
              <w:right w:val="single" w:sz="4" w:space="0" w:color="auto"/>
            </w:tcBorders>
            <w:shd w:val="clear" w:color="auto" w:fill="auto"/>
            <w:vAlign w:val="center"/>
            <w:hideMark/>
          </w:tcPr>
          <w:p w14:paraId="305B1F11" w14:textId="77777777" w:rsidR="00EF467F" w:rsidRPr="00BD2530" w:rsidRDefault="00EF467F" w:rsidP="00EF467F">
            <w:pPr>
              <w:pStyle w:val="TableText"/>
              <w:rPr>
                <w:lang w:val="en-GB" w:eastAsia="en-GB"/>
              </w:rPr>
            </w:pPr>
            <w:r w:rsidRPr="00BD2530">
              <w:rPr>
                <w:lang w:val="en-GB" w:eastAsia="en-GB"/>
              </w:rPr>
              <w:t>61</w:t>
            </w:r>
          </w:p>
        </w:tc>
        <w:tc>
          <w:tcPr>
            <w:tcW w:w="624" w:type="pct"/>
            <w:tcBorders>
              <w:top w:val="nil"/>
              <w:left w:val="nil"/>
              <w:bottom w:val="single" w:sz="4" w:space="0" w:color="auto"/>
              <w:right w:val="single" w:sz="4" w:space="0" w:color="auto"/>
            </w:tcBorders>
            <w:shd w:val="clear" w:color="auto" w:fill="auto"/>
            <w:vAlign w:val="center"/>
            <w:hideMark/>
          </w:tcPr>
          <w:p w14:paraId="32C3ADE3" w14:textId="77777777" w:rsidR="00EF467F" w:rsidRPr="00BD2530" w:rsidRDefault="00EF467F" w:rsidP="00EF467F">
            <w:pPr>
              <w:pStyle w:val="TableText"/>
              <w:rPr>
                <w:lang w:val="en-GB" w:eastAsia="en-GB"/>
              </w:rPr>
            </w:pPr>
            <w:r w:rsidRPr="00BD2530">
              <w:rPr>
                <w:lang w:val="en-GB" w:eastAsia="en-GB"/>
              </w:rPr>
              <w:t>64</w:t>
            </w:r>
          </w:p>
        </w:tc>
        <w:tc>
          <w:tcPr>
            <w:tcW w:w="624" w:type="pct"/>
            <w:tcBorders>
              <w:top w:val="nil"/>
              <w:left w:val="nil"/>
              <w:bottom w:val="single" w:sz="4" w:space="0" w:color="auto"/>
              <w:right w:val="single" w:sz="4" w:space="0" w:color="auto"/>
            </w:tcBorders>
            <w:shd w:val="clear" w:color="auto" w:fill="auto"/>
            <w:vAlign w:val="center"/>
            <w:hideMark/>
          </w:tcPr>
          <w:p w14:paraId="17F2BEB9" w14:textId="77777777" w:rsidR="00EF467F" w:rsidRPr="00BD2530" w:rsidRDefault="00EF467F" w:rsidP="00EF467F">
            <w:pPr>
              <w:pStyle w:val="TableText"/>
              <w:rPr>
                <w:lang w:val="en-GB" w:eastAsia="en-GB"/>
              </w:rPr>
            </w:pPr>
            <w:r w:rsidRPr="00BD2530">
              <w:rPr>
                <w:lang w:val="en-GB" w:eastAsia="en-GB"/>
              </w:rPr>
              <w:t>66</w:t>
            </w:r>
          </w:p>
        </w:tc>
        <w:tc>
          <w:tcPr>
            <w:tcW w:w="624" w:type="pct"/>
            <w:tcBorders>
              <w:top w:val="nil"/>
              <w:left w:val="nil"/>
              <w:bottom w:val="single" w:sz="4" w:space="0" w:color="auto"/>
              <w:right w:val="single" w:sz="4" w:space="0" w:color="auto"/>
            </w:tcBorders>
            <w:shd w:val="clear" w:color="auto" w:fill="auto"/>
            <w:vAlign w:val="center"/>
            <w:hideMark/>
          </w:tcPr>
          <w:p w14:paraId="568B9034" w14:textId="77777777" w:rsidR="00EF467F" w:rsidRPr="00BD2530" w:rsidRDefault="00EF467F" w:rsidP="00EF467F">
            <w:pPr>
              <w:pStyle w:val="TableText"/>
              <w:rPr>
                <w:lang w:val="en-GB" w:eastAsia="en-GB"/>
              </w:rPr>
            </w:pPr>
            <w:r w:rsidRPr="00BD2530">
              <w:rPr>
                <w:lang w:val="en-GB" w:eastAsia="en-GB"/>
              </w:rPr>
              <w:t>69</w:t>
            </w:r>
          </w:p>
        </w:tc>
        <w:tc>
          <w:tcPr>
            <w:tcW w:w="622" w:type="pct"/>
            <w:tcBorders>
              <w:top w:val="nil"/>
              <w:left w:val="nil"/>
              <w:bottom w:val="single" w:sz="4" w:space="0" w:color="auto"/>
              <w:right w:val="single" w:sz="4" w:space="0" w:color="auto"/>
            </w:tcBorders>
            <w:shd w:val="clear" w:color="auto" w:fill="auto"/>
            <w:vAlign w:val="center"/>
            <w:hideMark/>
          </w:tcPr>
          <w:p w14:paraId="4328024B" w14:textId="77777777" w:rsidR="00EF467F" w:rsidRPr="00BD2530" w:rsidRDefault="00EF467F" w:rsidP="00EF467F">
            <w:pPr>
              <w:pStyle w:val="TableText"/>
              <w:rPr>
                <w:lang w:val="en-GB" w:eastAsia="en-GB"/>
              </w:rPr>
            </w:pPr>
            <w:r w:rsidRPr="00BD2530">
              <w:rPr>
                <w:lang w:val="en-GB" w:eastAsia="en-GB"/>
              </w:rPr>
              <w:t>71</w:t>
            </w:r>
          </w:p>
        </w:tc>
      </w:tr>
      <w:tr w:rsidR="004C302A" w:rsidRPr="00BD2530" w14:paraId="57298AFF"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1EC9747F" w14:textId="77777777" w:rsidR="004C302A" w:rsidRPr="00BD2530" w:rsidRDefault="004C302A" w:rsidP="004C302A">
            <w:pPr>
              <w:pStyle w:val="TableText"/>
              <w:rPr>
                <w:lang w:val="en-GB" w:eastAsia="en-GB"/>
              </w:rPr>
            </w:pPr>
            <w:r w:rsidRPr="00BD2530">
              <w:rPr>
                <w:lang w:val="en-GB" w:eastAsia="en-GB"/>
              </w:rPr>
              <w:t>Cost to the MBS; treatment drug cost</w:t>
            </w:r>
          </w:p>
        </w:tc>
        <w:tc>
          <w:tcPr>
            <w:tcW w:w="624" w:type="pct"/>
            <w:tcBorders>
              <w:top w:val="nil"/>
              <w:left w:val="nil"/>
              <w:bottom w:val="single" w:sz="4" w:space="0" w:color="auto"/>
              <w:right w:val="single" w:sz="4" w:space="0" w:color="auto"/>
            </w:tcBorders>
            <w:shd w:val="clear" w:color="auto" w:fill="auto"/>
            <w:vAlign w:val="center"/>
            <w:hideMark/>
          </w:tcPr>
          <w:p w14:paraId="3186ED67" w14:textId="29847188" w:rsidR="004C302A" w:rsidRPr="00BD2530" w:rsidRDefault="004C302A" w:rsidP="004C302A">
            <w:pPr>
              <w:pStyle w:val="TableText"/>
              <w:rPr>
                <w:lang w:val="en-GB" w:eastAsia="en-GB"/>
              </w:rPr>
            </w:pPr>
            <w:r w:rsidRPr="00810ADB">
              <w:rPr>
                <w:color w:val="000000"/>
              </w:rPr>
              <w:t>$</w:t>
            </w:r>
            <w:r>
              <w:rPr>
                <w:rFonts w:cs="Calibri"/>
                <w:color w:val="000000"/>
                <w:szCs w:val="20"/>
              </w:rPr>
              <w:t>7,190,649</w:t>
            </w:r>
          </w:p>
        </w:tc>
        <w:tc>
          <w:tcPr>
            <w:tcW w:w="624" w:type="pct"/>
            <w:tcBorders>
              <w:top w:val="nil"/>
              <w:left w:val="nil"/>
              <w:bottom w:val="single" w:sz="4" w:space="0" w:color="auto"/>
              <w:right w:val="single" w:sz="4" w:space="0" w:color="auto"/>
            </w:tcBorders>
            <w:shd w:val="clear" w:color="auto" w:fill="auto"/>
            <w:vAlign w:val="center"/>
            <w:hideMark/>
          </w:tcPr>
          <w:p w14:paraId="204E43EA" w14:textId="128E3EFF" w:rsidR="004C302A" w:rsidRPr="00BD2530" w:rsidRDefault="004C302A" w:rsidP="004C302A">
            <w:pPr>
              <w:pStyle w:val="TableText"/>
              <w:rPr>
                <w:lang w:val="en-GB" w:eastAsia="en-GB"/>
              </w:rPr>
            </w:pPr>
            <w:r w:rsidRPr="00810ADB">
              <w:rPr>
                <w:color w:val="000000"/>
              </w:rPr>
              <w:t>$</w:t>
            </w:r>
            <w:r>
              <w:rPr>
                <w:rFonts w:cs="Calibri"/>
                <w:color w:val="000000"/>
                <w:szCs w:val="20"/>
              </w:rPr>
              <w:t>7,464,649</w:t>
            </w:r>
          </w:p>
        </w:tc>
        <w:tc>
          <w:tcPr>
            <w:tcW w:w="624" w:type="pct"/>
            <w:tcBorders>
              <w:top w:val="nil"/>
              <w:left w:val="nil"/>
              <w:bottom w:val="single" w:sz="4" w:space="0" w:color="auto"/>
              <w:right w:val="single" w:sz="4" w:space="0" w:color="auto"/>
            </w:tcBorders>
            <w:shd w:val="clear" w:color="auto" w:fill="auto"/>
            <w:vAlign w:val="center"/>
            <w:hideMark/>
          </w:tcPr>
          <w:p w14:paraId="75902406" w14:textId="62875CCB" w:rsidR="004C302A" w:rsidRPr="00BD2530" w:rsidRDefault="004C302A" w:rsidP="004C302A">
            <w:pPr>
              <w:pStyle w:val="TableText"/>
              <w:rPr>
                <w:lang w:val="en-GB" w:eastAsia="en-GB"/>
              </w:rPr>
            </w:pPr>
            <w:r w:rsidRPr="00810ADB">
              <w:rPr>
                <w:color w:val="000000"/>
              </w:rPr>
              <w:t>$</w:t>
            </w:r>
            <w:r>
              <w:rPr>
                <w:rFonts w:cs="Calibri"/>
                <w:color w:val="000000"/>
                <w:szCs w:val="20"/>
              </w:rPr>
              <w:t>7,749,089</w:t>
            </w:r>
          </w:p>
        </w:tc>
        <w:tc>
          <w:tcPr>
            <w:tcW w:w="624" w:type="pct"/>
            <w:tcBorders>
              <w:top w:val="nil"/>
              <w:left w:val="nil"/>
              <w:bottom w:val="single" w:sz="4" w:space="0" w:color="auto"/>
              <w:right w:val="single" w:sz="4" w:space="0" w:color="auto"/>
            </w:tcBorders>
            <w:shd w:val="clear" w:color="auto" w:fill="auto"/>
            <w:vAlign w:val="center"/>
            <w:hideMark/>
          </w:tcPr>
          <w:p w14:paraId="35C2E6FA" w14:textId="561B8FDA" w:rsidR="004C302A" w:rsidRPr="00BD2530" w:rsidRDefault="004C302A" w:rsidP="004C302A">
            <w:pPr>
              <w:pStyle w:val="TableText"/>
              <w:rPr>
                <w:lang w:val="en-GB" w:eastAsia="en-GB"/>
              </w:rPr>
            </w:pPr>
            <w:r w:rsidRPr="00810ADB">
              <w:rPr>
                <w:color w:val="000000"/>
              </w:rPr>
              <w:t>$</w:t>
            </w:r>
            <w:r>
              <w:rPr>
                <w:rFonts w:cs="Calibri"/>
                <w:color w:val="000000"/>
                <w:szCs w:val="20"/>
              </w:rPr>
              <w:t>8,044,368</w:t>
            </w:r>
          </w:p>
        </w:tc>
        <w:tc>
          <w:tcPr>
            <w:tcW w:w="624" w:type="pct"/>
            <w:tcBorders>
              <w:top w:val="nil"/>
              <w:left w:val="nil"/>
              <w:bottom w:val="single" w:sz="4" w:space="0" w:color="auto"/>
              <w:right w:val="single" w:sz="4" w:space="0" w:color="auto"/>
            </w:tcBorders>
            <w:shd w:val="clear" w:color="auto" w:fill="auto"/>
            <w:vAlign w:val="center"/>
            <w:hideMark/>
          </w:tcPr>
          <w:p w14:paraId="1123D4C6" w14:textId="630731DE" w:rsidR="004C302A" w:rsidRPr="00BD2530" w:rsidRDefault="004C302A" w:rsidP="004C302A">
            <w:pPr>
              <w:pStyle w:val="TableText"/>
              <w:rPr>
                <w:lang w:val="en-GB" w:eastAsia="en-GB"/>
              </w:rPr>
            </w:pPr>
            <w:r w:rsidRPr="00810ADB">
              <w:rPr>
                <w:color w:val="000000"/>
              </w:rPr>
              <w:t>$</w:t>
            </w:r>
            <w:r>
              <w:rPr>
                <w:rFonts w:cs="Calibri"/>
                <w:color w:val="000000"/>
                <w:szCs w:val="20"/>
              </w:rPr>
              <w:t>8,350,899</w:t>
            </w:r>
          </w:p>
        </w:tc>
        <w:tc>
          <w:tcPr>
            <w:tcW w:w="622" w:type="pct"/>
            <w:tcBorders>
              <w:top w:val="nil"/>
              <w:left w:val="nil"/>
              <w:bottom w:val="single" w:sz="4" w:space="0" w:color="auto"/>
              <w:right w:val="single" w:sz="4" w:space="0" w:color="auto"/>
            </w:tcBorders>
            <w:shd w:val="clear" w:color="auto" w:fill="auto"/>
            <w:vAlign w:val="center"/>
            <w:hideMark/>
          </w:tcPr>
          <w:p w14:paraId="26A65C24" w14:textId="76D2B648" w:rsidR="004C302A" w:rsidRPr="00BD2530" w:rsidRDefault="004C302A" w:rsidP="004C302A">
            <w:pPr>
              <w:pStyle w:val="TableText"/>
              <w:rPr>
                <w:lang w:val="en-GB" w:eastAsia="en-GB"/>
              </w:rPr>
            </w:pPr>
            <w:r w:rsidRPr="00810ADB">
              <w:rPr>
                <w:color w:val="000000"/>
              </w:rPr>
              <w:t>$</w:t>
            </w:r>
            <w:r>
              <w:rPr>
                <w:rFonts w:cs="Calibri"/>
                <w:color w:val="000000"/>
                <w:szCs w:val="20"/>
              </w:rPr>
              <w:t>8,669,109</w:t>
            </w:r>
          </w:p>
        </w:tc>
      </w:tr>
      <w:tr w:rsidR="00DB7C29" w:rsidRPr="00BD2530" w14:paraId="0C96C766"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6FC64222" w14:textId="77777777" w:rsidR="00AC7333" w:rsidRPr="00BD2530" w:rsidRDefault="00AC7333" w:rsidP="00AC7333">
            <w:pPr>
              <w:pStyle w:val="TableText"/>
              <w:rPr>
                <w:lang w:val="en-GB" w:eastAsia="en-GB"/>
              </w:rPr>
            </w:pPr>
            <w:r w:rsidRPr="00BD2530">
              <w:rPr>
                <w:lang w:val="en-GB" w:eastAsia="en-GB"/>
              </w:rPr>
              <w:t>Cost to the MBS; diagnostic test cost</w:t>
            </w:r>
          </w:p>
        </w:tc>
        <w:tc>
          <w:tcPr>
            <w:tcW w:w="624" w:type="pct"/>
            <w:tcBorders>
              <w:top w:val="nil"/>
              <w:left w:val="nil"/>
              <w:bottom w:val="single" w:sz="4" w:space="0" w:color="auto"/>
              <w:right w:val="single" w:sz="4" w:space="0" w:color="auto"/>
            </w:tcBorders>
            <w:shd w:val="clear" w:color="auto" w:fill="auto"/>
            <w:vAlign w:val="center"/>
            <w:hideMark/>
          </w:tcPr>
          <w:p w14:paraId="23E408F7" w14:textId="675196FC" w:rsidR="00AC7333" w:rsidRPr="00BD2530" w:rsidRDefault="00AC7333" w:rsidP="00AC7333">
            <w:pPr>
              <w:pStyle w:val="TableText"/>
              <w:rPr>
                <w:lang w:val="en-GB" w:eastAsia="en-GB"/>
              </w:rPr>
            </w:pPr>
            <w:r w:rsidRPr="001053EF">
              <w:t>$</w:t>
            </w:r>
            <w:r w:rsidRPr="00CB0EF7">
              <w:t>240,037</w:t>
            </w:r>
          </w:p>
        </w:tc>
        <w:tc>
          <w:tcPr>
            <w:tcW w:w="624" w:type="pct"/>
            <w:tcBorders>
              <w:top w:val="nil"/>
              <w:left w:val="nil"/>
              <w:bottom w:val="single" w:sz="4" w:space="0" w:color="auto"/>
              <w:right w:val="single" w:sz="4" w:space="0" w:color="auto"/>
            </w:tcBorders>
            <w:shd w:val="clear" w:color="auto" w:fill="auto"/>
            <w:vAlign w:val="center"/>
            <w:hideMark/>
          </w:tcPr>
          <w:p w14:paraId="7E38B3E2" w14:textId="401A37EF" w:rsidR="00AC7333" w:rsidRPr="00BD2530" w:rsidRDefault="00AC7333" w:rsidP="00AC7333">
            <w:pPr>
              <w:pStyle w:val="TableText"/>
              <w:rPr>
                <w:lang w:val="en-GB" w:eastAsia="en-GB"/>
              </w:rPr>
            </w:pPr>
            <w:r w:rsidRPr="001053EF">
              <w:t>$</w:t>
            </w:r>
            <w:r w:rsidRPr="00CB0EF7">
              <w:t>249,183</w:t>
            </w:r>
          </w:p>
        </w:tc>
        <w:tc>
          <w:tcPr>
            <w:tcW w:w="624" w:type="pct"/>
            <w:tcBorders>
              <w:top w:val="nil"/>
              <w:left w:val="nil"/>
              <w:bottom w:val="single" w:sz="4" w:space="0" w:color="auto"/>
              <w:right w:val="single" w:sz="4" w:space="0" w:color="auto"/>
            </w:tcBorders>
            <w:shd w:val="clear" w:color="auto" w:fill="auto"/>
            <w:vAlign w:val="center"/>
            <w:hideMark/>
          </w:tcPr>
          <w:p w14:paraId="6059E23B" w14:textId="48E0A55D" w:rsidR="00AC7333" w:rsidRPr="00BD2530" w:rsidRDefault="00AC7333" w:rsidP="00AC7333">
            <w:pPr>
              <w:pStyle w:val="TableText"/>
              <w:rPr>
                <w:lang w:val="en-GB" w:eastAsia="en-GB"/>
              </w:rPr>
            </w:pPr>
            <w:r w:rsidRPr="001053EF">
              <w:t>$</w:t>
            </w:r>
            <w:r w:rsidRPr="00CB0EF7">
              <w:t>258,679</w:t>
            </w:r>
          </w:p>
        </w:tc>
        <w:tc>
          <w:tcPr>
            <w:tcW w:w="624" w:type="pct"/>
            <w:tcBorders>
              <w:top w:val="nil"/>
              <w:left w:val="nil"/>
              <w:bottom w:val="single" w:sz="4" w:space="0" w:color="auto"/>
              <w:right w:val="single" w:sz="4" w:space="0" w:color="auto"/>
            </w:tcBorders>
            <w:shd w:val="clear" w:color="auto" w:fill="auto"/>
            <w:vAlign w:val="center"/>
            <w:hideMark/>
          </w:tcPr>
          <w:p w14:paraId="7348D875" w14:textId="6D34BCF2" w:rsidR="00AC7333" w:rsidRPr="00BD2530" w:rsidRDefault="00AC7333" w:rsidP="00AC7333">
            <w:pPr>
              <w:pStyle w:val="TableText"/>
              <w:rPr>
                <w:lang w:val="en-GB" w:eastAsia="en-GB"/>
              </w:rPr>
            </w:pPr>
            <w:r w:rsidRPr="001053EF">
              <w:t>$</w:t>
            </w:r>
            <w:r w:rsidRPr="00CB0EF7">
              <w:t>268,535</w:t>
            </w:r>
          </w:p>
        </w:tc>
        <w:tc>
          <w:tcPr>
            <w:tcW w:w="624" w:type="pct"/>
            <w:tcBorders>
              <w:top w:val="nil"/>
              <w:left w:val="nil"/>
              <w:bottom w:val="single" w:sz="4" w:space="0" w:color="auto"/>
              <w:right w:val="single" w:sz="4" w:space="0" w:color="auto"/>
            </w:tcBorders>
            <w:shd w:val="clear" w:color="auto" w:fill="auto"/>
            <w:vAlign w:val="center"/>
            <w:hideMark/>
          </w:tcPr>
          <w:p w14:paraId="4CA4F757" w14:textId="1B4179CA" w:rsidR="00AC7333" w:rsidRPr="00BD2530" w:rsidRDefault="00AC7333" w:rsidP="00AC7333">
            <w:pPr>
              <w:pStyle w:val="TableText"/>
              <w:rPr>
                <w:lang w:val="en-GB" w:eastAsia="en-GB"/>
              </w:rPr>
            </w:pPr>
            <w:r w:rsidRPr="001053EF">
              <w:t>$</w:t>
            </w:r>
            <w:r w:rsidRPr="00CB0EF7">
              <w:t>278,768</w:t>
            </w:r>
          </w:p>
        </w:tc>
        <w:tc>
          <w:tcPr>
            <w:tcW w:w="622" w:type="pct"/>
            <w:tcBorders>
              <w:top w:val="nil"/>
              <w:left w:val="nil"/>
              <w:bottom w:val="single" w:sz="4" w:space="0" w:color="auto"/>
              <w:right w:val="single" w:sz="4" w:space="0" w:color="auto"/>
            </w:tcBorders>
            <w:shd w:val="clear" w:color="auto" w:fill="auto"/>
            <w:vAlign w:val="center"/>
            <w:hideMark/>
          </w:tcPr>
          <w:p w14:paraId="6FB1A1BD" w14:textId="39EA072F" w:rsidR="00AC7333" w:rsidRPr="00BD2530" w:rsidRDefault="00AC7333" w:rsidP="00AC7333">
            <w:pPr>
              <w:pStyle w:val="TableText"/>
              <w:rPr>
                <w:lang w:val="en-GB" w:eastAsia="en-GB"/>
              </w:rPr>
            </w:pPr>
            <w:r w:rsidRPr="001053EF">
              <w:t>$</w:t>
            </w:r>
            <w:r w:rsidRPr="00CB0EF7">
              <w:t>289,390</w:t>
            </w:r>
          </w:p>
        </w:tc>
      </w:tr>
      <w:tr w:rsidR="002A2889" w:rsidRPr="00BD2530" w14:paraId="4987EC7D" w14:textId="77777777" w:rsidTr="001053EF">
        <w:trPr>
          <w:cantSplit/>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6C51B9" w14:textId="77777777" w:rsidR="002A2889" w:rsidRPr="00BD2530" w:rsidRDefault="002A2889" w:rsidP="00266D54">
            <w:pPr>
              <w:pStyle w:val="In-tableHeading"/>
              <w:rPr>
                <w:lang w:val="en-GB"/>
              </w:rPr>
            </w:pPr>
            <w:r w:rsidRPr="00BD2530">
              <w:t>Change in use and cost of other health technologies</w:t>
            </w:r>
          </w:p>
        </w:tc>
      </w:tr>
      <w:tr w:rsidR="002A2889" w:rsidRPr="00BD2530" w14:paraId="42F4D6EA" w14:textId="77777777" w:rsidTr="004C302A">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7E885FC8" w14:textId="77777777" w:rsidR="002A2889" w:rsidRPr="00BD2530" w:rsidRDefault="002A2889" w:rsidP="002A2889">
            <w:pPr>
              <w:pStyle w:val="TableText"/>
              <w:rPr>
                <w:lang w:val="en-GB" w:eastAsia="en-GB"/>
              </w:rPr>
            </w:pPr>
            <w:r w:rsidRPr="00BD2530">
              <w:rPr>
                <w:lang w:eastAsia="en-GB"/>
              </w:rPr>
              <w:t>Change in use of comparator and other.</w:t>
            </w:r>
          </w:p>
        </w:tc>
        <w:tc>
          <w:tcPr>
            <w:tcW w:w="3742" w:type="pct"/>
            <w:gridSpan w:val="6"/>
            <w:tcBorders>
              <w:top w:val="single" w:sz="4" w:space="0" w:color="auto"/>
              <w:left w:val="nil"/>
              <w:bottom w:val="single" w:sz="4" w:space="0" w:color="auto"/>
              <w:right w:val="single" w:sz="4" w:space="0" w:color="000000" w:themeColor="text1"/>
            </w:tcBorders>
            <w:shd w:val="clear" w:color="auto" w:fill="auto"/>
            <w:vAlign w:val="center"/>
            <w:hideMark/>
          </w:tcPr>
          <w:p w14:paraId="50CF7CD5" w14:textId="77777777" w:rsidR="002A2889" w:rsidRPr="00BD2530" w:rsidRDefault="002A2889" w:rsidP="002A2889">
            <w:pPr>
              <w:pStyle w:val="TableText"/>
              <w:rPr>
                <w:lang w:val="en-GB" w:eastAsia="en-GB"/>
              </w:rPr>
            </w:pPr>
            <w:r w:rsidRPr="00BD2530">
              <w:rPr>
                <w:lang w:eastAsia="en-GB"/>
              </w:rPr>
              <w:t>N/A</w:t>
            </w:r>
            <w:r w:rsidRPr="00BD2530">
              <w:rPr>
                <w:lang w:eastAsia="en-GB"/>
              </w:rPr>
              <w:br/>
            </w:r>
            <w:r w:rsidRPr="00733D33">
              <w:rPr>
                <w:vertAlign w:val="superscript"/>
                <w:lang w:eastAsia="en-GB"/>
              </w:rPr>
              <w:t>177</w:t>
            </w:r>
            <w:r w:rsidRPr="00BD2530">
              <w:rPr>
                <w:lang w:eastAsia="en-GB"/>
              </w:rPr>
              <w:t xml:space="preserve">Lu-DOTA-octreotate is proposed as an add-on therapy </w:t>
            </w:r>
          </w:p>
        </w:tc>
      </w:tr>
      <w:tr w:rsidR="00696A5F" w:rsidRPr="00BD2530" w14:paraId="5DE2218E" w14:textId="77777777" w:rsidTr="00696A5F">
        <w:trPr>
          <w:cantSplit/>
          <w:trHeight w:val="525"/>
        </w:trPr>
        <w:tc>
          <w:tcPr>
            <w:tcW w:w="1258" w:type="pct"/>
            <w:tcBorders>
              <w:top w:val="nil"/>
              <w:left w:val="single" w:sz="4" w:space="0" w:color="auto"/>
              <w:bottom w:val="single" w:sz="4" w:space="0" w:color="auto"/>
              <w:right w:val="single" w:sz="4" w:space="0" w:color="auto"/>
            </w:tcBorders>
            <w:shd w:val="clear" w:color="auto" w:fill="auto"/>
            <w:vAlign w:val="center"/>
            <w:hideMark/>
          </w:tcPr>
          <w:p w14:paraId="45E59930" w14:textId="77777777" w:rsidR="00696A5F" w:rsidRPr="001053EF" w:rsidRDefault="00696A5F" w:rsidP="00696A5F">
            <w:pPr>
              <w:pStyle w:val="TableText"/>
              <w:rPr>
                <w:b/>
                <w:lang w:val="en-GB"/>
              </w:rPr>
            </w:pPr>
            <w:r w:rsidRPr="001053EF">
              <w:rPr>
                <w:b/>
              </w:rPr>
              <w:t>Net financial impact to the MBS</w:t>
            </w:r>
          </w:p>
        </w:tc>
        <w:tc>
          <w:tcPr>
            <w:tcW w:w="624" w:type="pct"/>
            <w:tcBorders>
              <w:top w:val="nil"/>
              <w:left w:val="nil"/>
              <w:bottom w:val="single" w:sz="4" w:space="0" w:color="auto"/>
              <w:right w:val="single" w:sz="4" w:space="0" w:color="auto"/>
            </w:tcBorders>
            <w:shd w:val="clear" w:color="auto" w:fill="auto"/>
            <w:vAlign w:val="center"/>
            <w:hideMark/>
          </w:tcPr>
          <w:p w14:paraId="14329989" w14:textId="1C84D178" w:rsidR="00696A5F" w:rsidRPr="001053EF" w:rsidRDefault="00696A5F" w:rsidP="00696A5F">
            <w:pPr>
              <w:pStyle w:val="TableText"/>
              <w:rPr>
                <w:b/>
                <w:lang w:val="en-GB"/>
              </w:rPr>
            </w:pPr>
            <w:r w:rsidRPr="00810ADB">
              <w:rPr>
                <w:b/>
                <w:color w:val="000000"/>
              </w:rPr>
              <w:t>$</w:t>
            </w:r>
            <w:r>
              <w:rPr>
                <w:rFonts w:cs="Calibri"/>
                <w:b/>
                <w:bCs/>
                <w:color w:val="000000"/>
                <w:szCs w:val="20"/>
              </w:rPr>
              <w:t>7,430,686</w:t>
            </w:r>
          </w:p>
        </w:tc>
        <w:tc>
          <w:tcPr>
            <w:tcW w:w="624" w:type="pct"/>
            <w:tcBorders>
              <w:top w:val="nil"/>
              <w:left w:val="nil"/>
              <w:bottom w:val="single" w:sz="4" w:space="0" w:color="auto"/>
              <w:right w:val="single" w:sz="4" w:space="0" w:color="auto"/>
            </w:tcBorders>
            <w:shd w:val="clear" w:color="auto" w:fill="auto"/>
            <w:vAlign w:val="center"/>
            <w:hideMark/>
          </w:tcPr>
          <w:p w14:paraId="7438E11A" w14:textId="685EE6B2" w:rsidR="00696A5F" w:rsidRPr="001053EF" w:rsidRDefault="00696A5F" w:rsidP="00696A5F">
            <w:pPr>
              <w:pStyle w:val="TableText"/>
              <w:rPr>
                <w:b/>
                <w:lang w:val="en-GB"/>
              </w:rPr>
            </w:pPr>
            <w:r w:rsidRPr="00810ADB">
              <w:rPr>
                <w:b/>
                <w:color w:val="000000"/>
              </w:rPr>
              <w:t>$</w:t>
            </w:r>
            <w:r>
              <w:rPr>
                <w:rFonts w:cs="Calibri"/>
                <w:b/>
                <w:bCs/>
                <w:color w:val="000000"/>
                <w:szCs w:val="20"/>
              </w:rPr>
              <w:t>7,713,832</w:t>
            </w:r>
          </w:p>
        </w:tc>
        <w:tc>
          <w:tcPr>
            <w:tcW w:w="624" w:type="pct"/>
            <w:tcBorders>
              <w:top w:val="nil"/>
              <w:left w:val="nil"/>
              <w:bottom w:val="single" w:sz="4" w:space="0" w:color="auto"/>
              <w:right w:val="single" w:sz="4" w:space="0" w:color="auto"/>
            </w:tcBorders>
            <w:shd w:val="clear" w:color="auto" w:fill="auto"/>
            <w:vAlign w:val="center"/>
            <w:hideMark/>
          </w:tcPr>
          <w:p w14:paraId="45209576" w14:textId="7598E909" w:rsidR="00696A5F" w:rsidRPr="001053EF" w:rsidRDefault="00696A5F" w:rsidP="00696A5F">
            <w:pPr>
              <w:pStyle w:val="TableText"/>
              <w:rPr>
                <w:b/>
                <w:lang w:val="en-GB"/>
              </w:rPr>
            </w:pPr>
            <w:r w:rsidRPr="00810ADB">
              <w:rPr>
                <w:b/>
                <w:color w:val="000000"/>
              </w:rPr>
              <w:t>$</w:t>
            </w:r>
            <w:r>
              <w:rPr>
                <w:rFonts w:cs="Calibri"/>
                <w:b/>
                <w:bCs/>
                <w:color w:val="000000"/>
                <w:szCs w:val="20"/>
              </w:rPr>
              <w:t>8,007,768</w:t>
            </w:r>
          </w:p>
        </w:tc>
        <w:tc>
          <w:tcPr>
            <w:tcW w:w="624" w:type="pct"/>
            <w:tcBorders>
              <w:top w:val="nil"/>
              <w:left w:val="nil"/>
              <w:bottom w:val="single" w:sz="4" w:space="0" w:color="auto"/>
              <w:right w:val="single" w:sz="4" w:space="0" w:color="auto"/>
            </w:tcBorders>
            <w:shd w:val="clear" w:color="auto" w:fill="auto"/>
            <w:vAlign w:val="center"/>
            <w:hideMark/>
          </w:tcPr>
          <w:p w14:paraId="0E12A2D1" w14:textId="21938EA3" w:rsidR="00696A5F" w:rsidRPr="001053EF" w:rsidRDefault="00696A5F" w:rsidP="00696A5F">
            <w:pPr>
              <w:pStyle w:val="TableText"/>
              <w:rPr>
                <w:b/>
                <w:lang w:val="en-GB"/>
              </w:rPr>
            </w:pPr>
            <w:r w:rsidRPr="00810ADB">
              <w:rPr>
                <w:b/>
                <w:color w:val="000000"/>
              </w:rPr>
              <w:t>$</w:t>
            </w:r>
            <w:r>
              <w:rPr>
                <w:rFonts w:cs="Calibri"/>
                <w:b/>
                <w:bCs/>
                <w:color w:val="000000"/>
                <w:szCs w:val="20"/>
              </w:rPr>
              <w:t>8,312,904</w:t>
            </w:r>
          </w:p>
        </w:tc>
        <w:tc>
          <w:tcPr>
            <w:tcW w:w="624" w:type="pct"/>
            <w:tcBorders>
              <w:top w:val="nil"/>
              <w:left w:val="nil"/>
              <w:bottom w:val="single" w:sz="4" w:space="0" w:color="auto"/>
              <w:right w:val="single" w:sz="4" w:space="0" w:color="auto"/>
            </w:tcBorders>
            <w:shd w:val="clear" w:color="auto" w:fill="auto"/>
            <w:vAlign w:val="center"/>
            <w:hideMark/>
          </w:tcPr>
          <w:p w14:paraId="7BFCE252" w14:textId="3E025D33" w:rsidR="00696A5F" w:rsidRPr="001053EF" w:rsidRDefault="00696A5F" w:rsidP="00696A5F">
            <w:pPr>
              <w:pStyle w:val="TableText"/>
              <w:rPr>
                <w:b/>
                <w:lang w:val="en-GB"/>
              </w:rPr>
            </w:pPr>
            <w:r w:rsidRPr="00810ADB">
              <w:rPr>
                <w:b/>
                <w:color w:val="000000"/>
              </w:rPr>
              <w:t>$</w:t>
            </w:r>
            <w:r>
              <w:rPr>
                <w:rFonts w:cs="Calibri"/>
                <w:b/>
                <w:bCs/>
                <w:color w:val="000000"/>
                <w:szCs w:val="20"/>
              </w:rPr>
              <w:t>8,629,667</w:t>
            </w:r>
          </w:p>
        </w:tc>
        <w:tc>
          <w:tcPr>
            <w:tcW w:w="622" w:type="pct"/>
            <w:tcBorders>
              <w:top w:val="nil"/>
              <w:left w:val="nil"/>
              <w:bottom w:val="single" w:sz="4" w:space="0" w:color="auto"/>
              <w:right w:val="single" w:sz="4" w:space="0" w:color="auto"/>
            </w:tcBorders>
            <w:shd w:val="clear" w:color="auto" w:fill="auto"/>
            <w:vAlign w:val="center"/>
            <w:hideMark/>
          </w:tcPr>
          <w:p w14:paraId="2F835F0C" w14:textId="4CCA9E12" w:rsidR="00696A5F" w:rsidRPr="001053EF" w:rsidRDefault="00696A5F" w:rsidP="00696A5F">
            <w:pPr>
              <w:pStyle w:val="TableText"/>
              <w:rPr>
                <w:b/>
                <w:lang w:val="en-GB"/>
              </w:rPr>
            </w:pPr>
            <w:r w:rsidRPr="00810ADB">
              <w:rPr>
                <w:b/>
                <w:color w:val="000000"/>
              </w:rPr>
              <w:t>$</w:t>
            </w:r>
            <w:r>
              <w:rPr>
                <w:rFonts w:cs="Calibri"/>
                <w:b/>
                <w:bCs/>
                <w:color w:val="000000"/>
                <w:szCs w:val="20"/>
              </w:rPr>
              <w:t>8,958,500</w:t>
            </w:r>
          </w:p>
        </w:tc>
      </w:tr>
    </w:tbl>
    <w:p w14:paraId="59403A21" w14:textId="3E4AB3A7" w:rsidR="00873B00" w:rsidRDefault="00266D54" w:rsidP="0071127B">
      <w:pPr>
        <w:pStyle w:val="Tablenotes0"/>
      </w:pPr>
      <w:r>
        <w:t>Abbreviations:</w:t>
      </w:r>
      <w:r w:rsidR="0071127B">
        <w:t xml:space="preserve"> </w:t>
      </w:r>
      <w:r w:rsidR="00CF7C77">
        <w:t>CT = computed tomography; FDG =</w:t>
      </w:r>
      <w:r w:rsidR="00CF7C77" w:rsidRPr="00CF7C77">
        <w:t xml:space="preserve"> </w:t>
      </w:r>
      <w:r w:rsidR="00CF7C77">
        <w:t>f</w:t>
      </w:r>
      <w:r w:rsidR="00CF7C77" w:rsidRPr="00CF7C77">
        <w:t>luorodeoxyglucose</w:t>
      </w:r>
      <w:r w:rsidR="00CF7C77">
        <w:t xml:space="preserve">; </w:t>
      </w:r>
      <w:r>
        <w:t>MBS = Medicare Benefits Schedul</w:t>
      </w:r>
      <w:r w:rsidR="0071127B">
        <w:t>e;</w:t>
      </w:r>
      <w:r w:rsidR="00733D33">
        <w:t xml:space="preserve"> N/A = not applicable; NE</w:t>
      </w:r>
      <w:r w:rsidR="00093805">
        <w:t>N</w:t>
      </w:r>
      <w:r w:rsidR="00733D33">
        <w:t xml:space="preserve"> = neuroendocrine </w:t>
      </w:r>
      <w:r w:rsidR="00093805">
        <w:t>neoplasm</w:t>
      </w:r>
      <w:r w:rsidR="00733D33">
        <w:t>;</w:t>
      </w:r>
      <w:r w:rsidR="0071127B">
        <w:t xml:space="preserve"> PET = positron emission tomography.</w:t>
      </w:r>
    </w:p>
    <w:p w14:paraId="7CA7F1B0" w14:textId="77777777" w:rsidR="00C5090F" w:rsidRDefault="00C5090F" w:rsidP="00C5090F">
      <w:pPr>
        <w:pStyle w:val="Tablenotes0"/>
      </w:pPr>
      <w:r>
        <w:t xml:space="preserve">* </w:t>
      </w:r>
      <w:r w:rsidRPr="00A83558">
        <w:t xml:space="preserve">Confirmation of H-SSTR status is a prerequisite for treatment with </w:t>
      </w:r>
      <w:r w:rsidRPr="00067F38">
        <w:rPr>
          <w:vertAlign w:val="superscript"/>
        </w:rPr>
        <w:t>177</w:t>
      </w:r>
      <w:r w:rsidRPr="00A83558">
        <w:t xml:space="preserve">Lu-DOTA-octreotate, so all patients receiving </w:t>
      </w:r>
      <w:r w:rsidRPr="00067F38">
        <w:rPr>
          <w:vertAlign w:val="superscript"/>
        </w:rPr>
        <w:t>177</w:t>
      </w:r>
      <w:r w:rsidRPr="00A83558">
        <w:t xml:space="preserve">Lu-DOTA-octreotate </w:t>
      </w:r>
      <w:r>
        <w:t>treatment incur</w:t>
      </w:r>
      <w:r w:rsidRPr="00A83558">
        <w:t xml:space="preserve"> the cost of </w:t>
      </w:r>
      <w:r w:rsidRPr="00067F38">
        <w:rPr>
          <w:vertAlign w:val="superscript"/>
        </w:rPr>
        <w:t>68</w:t>
      </w:r>
      <w:r w:rsidRPr="00A83558">
        <w:t>Ga-DOTA-octreotate PET/CT testing</w:t>
      </w:r>
      <w:r>
        <w:t>.</w:t>
      </w:r>
    </w:p>
    <w:p w14:paraId="1C8351FF" w14:textId="62E4614A" w:rsidR="004221AF" w:rsidRDefault="00C5090F" w:rsidP="0071127B">
      <w:pPr>
        <w:pStyle w:val="Tablenotes0"/>
      </w:pPr>
      <w:r>
        <w:t xml:space="preserve">† It was assumed that </w:t>
      </w:r>
      <w:r w:rsidRPr="009F5F10">
        <w:t>approximately 30% of patients would proceed to FDG PET/CT, based on the estimate provided in the ratified PICO</w:t>
      </w:r>
      <w:r>
        <w:t>.</w:t>
      </w:r>
    </w:p>
    <w:p w14:paraId="2C3DEDD2" w14:textId="4F3CFDD9" w:rsidR="004221AF" w:rsidRDefault="004221AF" w:rsidP="004221AF">
      <w:r w:rsidRPr="004221AF">
        <w:t xml:space="preserve">As there was no information that could be identified to inform the proportion of the incident NEN population that would be potentially eligible for </w:t>
      </w:r>
      <w:r w:rsidRPr="004221AF">
        <w:rPr>
          <w:vertAlign w:val="superscript"/>
        </w:rPr>
        <w:t>177</w:t>
      </w:r>
      <w:r w:rsidRPr="004221AF">
        <w:t>Lu-DOTA-octreotate (i.e. suspected high SSTR expression), only the cost of diagnosing the treated population was included</w:t>
      </w:r>
      <w:r>
        <w:t xml:space="preserve">, which is likely to underestimate the budget impact of </w:t>
      </w:r>
      <w:r w:rsidRPr="004221AF">
        <w:rPr>
          <w:vertAlign w:val="superscript"/>
        </w:rPr>
        <w:t>177</w:t>
      </w:r>
      <w:r w:rsidRPr="004221AF">
        <w:t xml:space="preserve">Lu-DOTA-octreotate. To test this uncertainty, 4 scenarios </w:t>
      </w:r>
      <w:r w:rsidRPr="004221AF">
        <w:lastRenderedPageBreak/>
        <w:t>were considered in which 25%, 50%, 75% and 100% of the incident NEN population incur</w:t>
      </w:r>
      <w:r w:rsidR="00C92C8D">
        <w:t>s</w:t>
      </w:r>
      <w:r w:rsidRPr="004221AF">
        <w:t xml:space="preserve"> diagnostic test costs</w:t>
      </w:r>
      <w:r>
        <w:t xml:space="preserve">, the results of which are presented in </w:t>
      </w:r>
      <w:r>
        <w:fldChar w:fldCharType="begin"/>
      </w:r>
      <w:r>
        <w:instrText xml:space="preserve"> REF _Ref164584103 \h </w:instrText>
      </w:r>
      <w:r>
        <w:fldChar w:fldCharType="separate"/>
      </w:r>
      <w:r w:rsidR="0084549C">
        <w:t xml:space="preserve">Table </w:t>
      </w:r>
      <w:r w:rsidR="0084549C">
        <w:rPr>
          <w:noProof/>
        </w:rPr>
        <w:t>16</w:t>
      </w:r>
      <w:r>
        <w:fldChar w:fldCharType="end"/>
      </w:r>
      <w:r>
        <w:t>.</w:t>
      </w:r>
    </w:p>
    <w:p w14:paraId="362547F8" w14:textId="71E358FA" w:rsidR="004221AF" w:rsidRDefault="004221AF" w:rsidP="004221AF">
      <w:pPr>
        <w:pStyle w:val="Caption"/>
      </w:pPr>
      <w:bookmarkStart w:id="114" w:name="_Ref164584103"/>
      <w:r>
        <w:t xml:space="preserve">Table </w:t>
      </w:r>
      <w:r w:rsidR="006D13BC">
        <w:fldChar w:fldCharType="begin"/>
      </w:r>
      <w:r w:rsidR="006D13BC">
        <w:instrText xml:space="preserve"> SEQ Table \* ARABIC </w:instrText>
      </w:r>
      <w:r w:rsidR="006D13BC">
        <w:fldChar w:fldCharType="separate"/>
      </w:r>
      <w:r w:rsidR="006D13BC">
        <w:rPr>
          <w:noProof/>
        </w:rPr>
        <w:t>16</w:t>
      </w:r>
      <w:r w:rsidR="006D13BC">
        <w:rPr>
          <w:noProof/>
        </w:rPr>
        <w:fldChar w:fldCharType="end"/>
      </w:r>
      <w:bookmarkEnd w:id="114"/>
      <w:r>
        <w:t xml:space="preserve">: Impact of uncertainty in the size of the diagnostic testing population on net financial impact to the MBS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
        <w:gridCol w:w="1333"/>
        <w:gridCol w:w="1333"/>
        <w:gridCol w:w="1333"/>
        <w:gridCol w:w="1333"/>
        <w:gridCol w:w="1333"/>
        <w:gridCol w:w="1332"/>
      </w:tblGrid>
      <w:tr w:rsidR="004221AF" w:rsidRPr="00AE013A" w14:paraId="7A4239B9" w14:textId="77777777" w:rsidTr="00CB74B9">
        <w:trPr>
          <w:trHeight w:val="315"/>
          <w:tblHeader/>
        </w:trPr>
        <w:tc>
          <w:tcPr>
            <w:tcW w:w="405" w:type="pct"/>
            <w:shd w:val="clear" w:color="auto" w:fill="auto"/>
            <w:vAlign w:val="center"/>
            <w:hideMark/>
          </w:tcPr>
          <w:p w14:paraId="4F46CA36" w14:textId="77777777" w:rsidR="004221AF" w:rsidRPr="00AE013A" w:rsidRDefault="004221AF">
            <w:pPr>
              <w:pStyle w:val="TableHeading0"/>
              <w:rPr>
                <w:lang w:val="en-GB" w:eastAsia="en-GB"/>
              </w:rPr>
            </w:pPr>
            <w:r w:rsidRPr="00AE013A">
              <w:rPr>
                <w:lang w:eastAsia="en-GB"/>
              </w:rPr>
              <w:t xml:space="preserve">Parameter </w:t>
            </w:r>
          </w:p>
        </w:tc>
        <w:tc>
          <w:tcPr>
            <w:tcW w:w="766" w:type="pct"/>
            <w:shd w:val="clear" w:color="auto" w:fill="auto"/>
            <w:noWrap/>
            <w:vAlign w:val="center"/>
            <w:hideMark/>
          </w:tcPr>
          <w:p w14:paraId="69C860A4" w14:textId="77777777" w:rsidR="004221AF" w:rsidRPr="00AE013A" w:rsidRDefault="004221AF">
            <w:pPr>
              <w:pStyle w:val="TableHeading0"/>
              <w:rPr>
                <w:lang w:val="en-GB" w:eastAsia="en-GB"/>
              </w:rPr>
            </w:pPr>
            <w:r w:rsidRPr="00AE013A">
              <w:rPr>
                <w:lang w:eastAsia="en-GB"/>
              </w:rPr>
              <w:t>2024</w:t>
            </w:r>
          </w:p>
        </w:tc>
        <w:tc>
          <w:tcPr>
            <w:tcW w:w="766" w:type="pct"/>
            <w:shd w:val="clear" w:color="auto" w:fill="auto"/>
            <w:noWrap/>
            <w:vAlign w:val="center"/>
            <w:hideMark/>
          </w:tcPr>
          <w:p w14:paraId="47306A6A" w14:textId="77777777" w:rsidR="004221AF" w:rsidRPr="00AE013A" w:rsidRDefault="004221AF">
            <w:pPr>
              <w:pStyle w:val="TableHeading0"/>
              <w:rPr>
                <w:lang w:val="en-GB" w:eastAsia="en-GB"/>
              </w:rPr>
            </w:pPr>
            <w:r w:rsidRPr="00AE013A">
              <w:rPr>
                <w:lang w:eastAsia="en-GB"/>
              </w:rPr>
              <w:t>2025</w:t>
            </w:r>
          </w:p>
        </w:tc>
        <w:tc>
          <w:tcPr>
            <w:tcW w:w="766" w:type="pct"/>
            <w:shd w:val="clear" w:color="auto" w:fill="auto"/>
            <w:noWrap/>
            <w:vAlign w:val="center"/>
            <w:hideMark/>
          </w:tcPr>
          <w:p w14:paraId="276F417F" w14:textId="77777777" w:rsidR="004221AF" w:rsidRPr="00AE013A" w:rsidRDefault="004221AF">
            <w:pPr>
              <w:pStyle w:val="TableHeading0"/>
              <w:rPr>
                <w:lang w:val="en-GB" w:eastAsia="en-GB"/>
              </w:rPr>
            </w:pPr>
            <w:r w:rsidRPr="00AE013A">
              <w:rPr>
                <w:lang w:eastAsia="en-GB"/>
              </w:rPr>
              <w:t>2026</w:t>
            </w:r>
          </w:p>
        </w:tc>
        <w:tc>
          <w:tcPr>
            <w:tcW w:w="766" w:type="pct"/>
            <w:shd w:val="clear" w:color="auto" w:fill="auto"/>
            <w:noWrap/>
            <w:vAlign w:val="center"/>
            <w:hideMark/>
          </w:tcPr>
          <w:p w14:paraId="72306892" w14:textId="77777777" w:rsidR="004221AF" w:rsidRPr="00AE013A" w:rsidRDefault="004221AF">
            <w:pPr>
              <w:pStyle w:val="TableHeading0"/>
              <w:rPr>
                <w:lang w:val="en-GB" w:eastAsia="en-GB"/>
              </w:rPr>
            </w:pPr>
            <w:r w:rsidRPr="00AE013A">
              <w:rPr>
                <w:lang w:eastAsia="en-GB"/>
              </w:rPr>
              <w:t>2027</w:t>
            </w:r>
          </w:p>
        </w:tc>
        <w:tc>
          <w:tcPr>
            <w:tcW w:w="766" w:type="pct"/>
            <w:shd w:val="clear" w:color="auto" w:fill="auto"/>
            <w:noWrap/>
            <w:vAlign w:val="center"/>
            <w:hideMark/>
          </w:tcPr>
          <w:p w14:paraId="46289529" w14:textId="77777777" w:rsidR="004221AF" w:rsidRPr="00AE013A" w:rsidRDefault="004221AF">
            <w:pPr>
              <w:pStyle w:val="TableHeading0"/>
              <w:rPr>
                <w:lang w:val="en-GB" w:eastAsia="en-GB"/>
              </w:rPr>
            </w:pPr>
            <w:r w:rsidRPr="00AE013A">
              <w:rPr>
                <w:lang w:val="en-GB" w:eastAsia="en-GB"/>
              </w:rPr>
              <w:t>2028</w:t>
            </w:r>
          </w:p>
        </w:tc>
        <w:tc>
          <w:tcPr>
            <w:tcW w:w="766" w:type="pct"/>
            <w:shd w:val="clear" w:color="auto" w:fill="auto"/>
            <w:noWrap/>
            <w:vAlign w:val="center"/>
            <w:hideMark/>
          </w:tcPr>
          <w:p w14:paraId="1DEF23EF" w14:textId="77777777" w:rsidR="004221AF" w:rsidRPr="00AE013A" w:rsidRDefault="004221AF">
            <w:pPr>
              <w:pStyle w:val="TableHeading0"/>
              <w:rPr>
                <w:lang w:val="en-GB" w:eastAsia="en-GB"/>
              </w:rPr>
            </w:pPr>
            <w:r w:rsidRPr="00AE013A">
              <w:rPr>
                <w:lang w:val="en-GB" w:eastAsia="en-GB"/>
              </w:rPr>
              <w:t>2029</w:t>
            </w:r>
          </w:p>
        </w:tc>
      </w:tr>
      <w:tr w:rsidR="00D41BA6" w:rsidRPr="00AE013A" w14:paraId="1FF5EE41" w14:textId="77777777" w:rsidTr="00CB74B9">
        <w:trPr>
          <w:trHeight w:val="315"/>
        </w:trPr>
        <w:tc>
          <w:tcPr>
            <w:tcW w:w="405" w:type="pct"/>
            <w:shd w:val="clear" w:color="auto" w:fill="auto"/>
            <w:vAlign w:val="center"/>
            <w:hideMark/>
          </w:tcPr>
          <w:p w14:paraId="59AD6D5C" w14:textId="7CC7716F" w:rsidR="00D41BA6" w:rsidRPr="00AE013A" w:rsidRDefault="00D41BA6" w:rsidP="00D41BA6">
            <w:pPr>
              <w:pStyle w:val="TableText"/>
              <w:rPr>
                <w:lang w:val="en-GB" w:eastAsia="en-GB"/>
              </w:rPr>
            </w:pPr>
            <w:r w:rsidRPr="00AE013A">
              <w:rPr>
                <w:lang w:val="en-GB" w:eastAsia="en-GB"/>
              </w:rPr>
              <w:t>Base</w:t>
            </w:r>
            <w:r>
              <w:rPr>
                <w:lang w:val="en-GB" w:eastAsia="en-GB"/>
              </w:rPr>
              <w:t xml:space="preserve"> </w:t>
            </w:r>
            <w:r w:rsidRPr="00AE013A">
              <w:rPr>
                <w:lang w:val="en-GB" w:eastAsia="en-GB"/>
              </w:rPr>
              <w:t>case: 3.5%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6D4945B3" w14:textId="141EFF45" w:rsidR="00D41BA6" w:rsidRPr="00AE013A" w:rsidRDefault="00D41BA6" w:rsidP="00D41BA6">
            <w:pPr>
              <w:pStyle w:val="TableText"/>
              <w:rPr>
                <w:lang w:val="en-GB" w:eastAsia="en-GB"/>
              </w:rPr>
            </w:pPr>
            <w:r w:rsidRPr="00810ADB">
              <w:rPr>
                <w:color w:val="000000"/>
              </w:rPr>
              <w:t>$</w:t>
            </w:r>
            <w:r>
              <w:rPr>
                <w:rFonts w:cs="Calibri"/>
                <w:color w:val="000000"/>
                <w:szCs w:val="20"/>
              </w:rPr>
              <w:t>7,430,686</w:t>
            </w:r>
          </w:p>
        </w:tc>
        <w:tc>
          <w:tcPr>
            <w:tcW w:w="766" w:type="pct"/>
            <w:shd w:val="clear" w:color="auto" w:fill="auto"/>
            <w:vAlign w:val="center"/>
            <w:hideMark/>
          </w:tcPr>
          <w:p w14:paraId="2F03D7B8" w14:textId="0433AEAC" w:rsidR="00D41BA6" w:rsidRPr="00AE013A" w:rsidRDefault="00D41BA6" w:rsidP="00D41BA6">
            <w:pPr>
              <w:pStyle w:val="TableText"/>
              <w:rPr>
                <w:lang w:val="en-GB" w:eastAsia="en-GB"/>
              </w:rPr>
            </w:pPr>
            <w:r w:rsidRPr="00810ADB">
              <w:rPr>
                <w:color w:val="000000"/>
              </w:rPr>
              <w:t>$</w:t>
            </w:r>
            <w:r>
              <w:rPr>
                <w:rFonts w:cs="Calibri"/>
                <w:color w:val="000000"/>
                <w:szCs w:val="20"/>
              </w:rPr>
              <w:t>7,713,832</w:t>
            </w:r>
          </w:p>
        </w:tc>
        <w:tc>
          <w:tcPr>
            <w:tcW w:w="766" w:type="pct"/>
            <w:shd w:val="clear" w:color="auto" w:fill="auto"/>
            <w:vAlign w:val="center"/>
            <w:hideMark/>
          </w:tcPr>
          <w:p w14:paraId="417772B4" w14:textId="4DC09D3A" w:rsidR="00D41BA6" w:rsidRPr="00AE013A" w:rsidRDefault="00D41BA6" w:rsidP="00D41BA6">
            <w:pPr>
              <w:pStyle w:val="TableText"/>
              <w:rPr>
                <w:lang w:val="en-GB" w:eastAsia="en-GB"/>
              </w:rPr>
            </w:pPr>
            <w:r w:rsidRPr="00810ADB">
              <w:rPr>
                <w:color w:val="000000"/>
              </w:rPr>
              <w:t>$</w:t>
            </w:r>
            <w:r>
              <w:rPr>
                <w:rFonts w:cs="Calibri"/>
                <w:color w:val="000000"/>
                <w:szCs w:val="20"/>
              </w:rPr>
              <w:t>8,007,768</w:t>
            </w:r>
          </w:p>
        </w:tc>
        <w:tc>
          <w:tcPr>
            <w:tcW w:w="766" w:type="pct"/>
            <w:shd w:val="clear" w:color="auto" w:fill="auto"/>
            <w:vAlign w:val="center"/>
            <w:hideMark/>
          </w:tcPr>
          <w:p w14:paraId="1E783A76" w14:textId="715CA25E" w:rsidR="00D41BA6" w:rsidRPr="00AE013A" w:rsidRDefault="00D41BA6" w:rsidP="00D41BA6">
            <w:pPr>
              <w:pStyle w:val="TableText"/>
              <w:rPr>
                <w:lang w:val="en-GB" w:eastAsia="en-GB"/>
              </w:rPr>
            </w:pPr>
            <w:r w:rsidRPr="00810ADB">
              <w:rPr>
                <w:color w:val="000000"/>
              </w:rPr>
              <w:t>$</w:t>
            </w:r>
            <w:r>
              <w:rPr>
                <w:rFonts w:cs="Calibri"/>
                <w:color w:val="000000"/>
                <w:szCs w:val="20"/>
              </w:rPr>
              <w:t>8,312,904</w:t>
            </w:r>
          </w:p>
        </w:tc>
        <w:tc>
          <w:tcPr>
            <w:tcW w:w="766" w:type="pct"/>
            <w:shd w:val="clear" w:color="auto" w:fill="auto"/>
            <w:vAlign w:val="center"/>
            <w:hideMark/>
          </w:tcPr>
          <w:p w14:paraId="056776E5" w14:textId="09CDEA5C" w:rsidR="00D41BA6" w:rsidRPr="00AE013A" w:rsidRDefault="00D41BA6" w:rsidP="00D41BA6">
            <w:pPr>
              <w:pStyle w:val="TableText"/>
              <w:rPr>
                <w:lang w:val="en-GB" w:eastAsia="en-GB"/>
              </w:rPr>
            </w:pPr>
            <w:r w:rsidRPr="00810ADB">
              <w:rPr>
                <w:color w:val="000000"/>
              </w:rPr>
              <w:t>$</w:t>
            </w:r>
            <w:r>
              <w:rPr>
                <w:rFonts w:cs="Calibri"/>
                <w:color w:val="000000"/>
                <w:szCs w:val="20"/>
              </w:rPr>
              <w:t>8,629,667</w:t>
            </w:r>
          </w:p>
        </w:tc>
        <w:tc>
          <w:tcPr>
            <w:tcW w:w="766" w:type="pct"/>
            <w:shd w:val="clear" w:color="auto" w:fill="auto"/>
            <w:vAlign w:val="center"/>
            <w:hideMark/>
          </w:tcPr>
          <w:p w14:paraId="6D48E13E" w14:textId="3BA488CA" w:rsidR="00D41BA6" w:rsidRPr="00AE013A" w:rsidRDefault="00D41BA6" w:rsidP="00D41BA6">
            <w:pPr>
              <w:pStyle w:val="TableText"/>
              <w:rPr>
                <w:lang w:val="en-GB" w:eastAsia="en-GB"/>
              </w:rPr>
            </w:pPr>
            <w:r w:rsidRPr="00810ADB">
              <w:rPr>
                <w:color w:val="000000"/>
              </w:rPr>
              <w:t>$</w:t>
            </w:r>
            <w:r>
              <w:rPr>
                <w:rFonts w:cs="Calibri"/>
                <w:color w:val="000000"/>
                <w:szCs w:val="20"/>
              </w:rPr>
              <w:t>8,958,500</w:t>
            </w:r>
          </w:p>
        </w:tc>
      </w:tr>
      <w:tr w:rsidR="007915D3" w:rsidRPr="00AE013A" w14:paraId="382A182F" w14:textId="77777777" w:rsidTr="00CB74B9">
        <w:trPr>
          <w:trHeight w:val="315"/>
        </w:trPr>
        <w:tc>
          <w:tcPr>
            <w:tcW w:w="405" w:type="pct"/>
            <w:shd w:val="clear" w:color="auto" w:fill="auto"/>
            <w:vAlign w:val="center"/>
            <w:hideMark/>
          </w:tcPr>
          <w:p w14:paraId="38C1E84A" w14:textId="70E97CEC" w:rsidR="007915D3" w:rsidRPr="00AE013A" w:rsidRDefault="007915D3" w:rsidP="007915D3">
            <w:pPr>
              <w:pStyle w:val="TableText"/>
              <w:rPr>
                <w:lang w:val="en-GB" w:eastAsia="en-GB"/>
              </w:rPr>
            </w:pPr>
            <w:r w:rsidRPr="00AE013A">
              <w:rPr>
                <w:lang w:val="en-GB" w:eastAsia="en-GB"/>
              </w:rPr>
              <w:t>Scenario 1</w:t>
            </w:r>
            <w:r>
              <w:rPr>
                <w:lang w:val="en-GB" w:eastAsia="en-GB"/>
              </w:rPr>
              <w:t>:</w:t>
            </w:r>
            <w:r w:rsidRPr="00AE013A">
              <w:rPr>
                <w:lang w:val="en-GB" w:eastAsia="en-GB"/>
              </w:rPr>
              <w:t xml:space="preserve"> 25%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01F92CF6" w14:textId="32207E28" w:rsidR="007915D3" w:rsidRPr="00AE013A" w:rsidRDefault="007915D3" w:rsidP="007915D3">
            <w:pPr>
              <w:pStyle w:val="TableText"/>
              <w:rPr>
                <w:lang w:val="en-GB" w:eastAsia="en-GB"/>
              </w:rPr>
            </w:pPr>
            <w:r w:rsidRPr="00810ADB">
              <w:rPr>
                <w:color w:val="000000"/>
              </w:rPr>
              <w:t>$</w:t>
            </w:r>
            <w:r>
              <w:rPr>
                <w:rFonts w:cs="Calibri"/>
                <w:color w:val="000000"/>
                <w:szCs w:val="20"/>
              </w:rPr>
              <w:t>8,905,198</w:t>
            </w:r>
          </w:p>
        </w:tc>
        <w:tc>
          <w:tcPr>
            <w:tcW w:w="766" w:type="pct"/>
            <w:shd w:val="clear" w:color="auto" w:fill="auto"/>
            <w:vAlign w:val="center"/>
            <w:hideMark/>
          </w:tcPr>
          <w:p w14:paraId="4F3E972F" w14:textId="23949708" w:rsidR="007915D3" w:rsidRPr="00AE013A" w:rsidRDefault="007915D3" w:rsidP="007915D3">
            <w:pPr>
              <w:pStyle w:val="TableText"/>
              <w:rPr>
                <w:lang w:val="en-GB" w:eastAsia="en-GB"/>
              </w:rPr>
            </w:pPr>
            <w:r w:rsidRPr="00810ADB">
              <w:rPr>
                <w:color w:val="000000"/>
              </w:rPr>
              <w:t>$</w:t>
            </w:r>
            <w:r>
              <w:rPr>
                <w:rFonts w:cs="Calibri"/>
                <w:color w:val="000000"/>
                <w:szCs w:val="20"/>
              </w:rPr>
              <w:t>9,244,530</w:t>
            </w:r>
          </w:p>
        </w:tc>
        <w:tc>
          <w:tcPr>
            <w:tcW w:w="766" w:type="pct"/>
            <w:shd w:val="clear" w:color="auto" w:fill="auto"/>
            <w:vAlign w:val="center"/>
            <w:hideMark/>
          </w:tcPr>
          <w:p w14:paraId="2F3ABA4C" w14:textId="1672C0DC" w:rsidR="007915D3" w:rsidRPr="00AE013A" w:rsidRDefault="007915D3" w:rsidP="007915D3">
            <w:pPr>
              <w:pStyle w:val="TableText"/>
              <w:rPr>
                <w:lang w:val="en-GB" w:eastAsia="en-GB"/>
              </w:rPr>
            </w:pPr>
            <w:r w:rsidRPr="00810ADB">
              <w:rPr>
                <w:color w:val="000000"/>
              </w:rPr>
              <w:t>$</w:t>
            </w:r>
            <w:r>
              <w:rPr>
                <w:rFonts w:cs="Calibri"/>
                <w:color w:val="000000"/>
                <w:szCs w:val="20"/>
              </w:rPr>
              <w:t>9,596,793</w:t>
            </w:r>
          </w:p>
        </w:tc>
        <w:tc>
          <w:tcPr>
            <w:tcW w:w="766" w:type="pct"/>
            <w:shd w:val="clear" w:color="auto" w:fill="auto"/>
            <w:vAlign w:val="center"/>
            <w:hideMark/>
          </w:tcPr>
          <w:p w14:paraId="7B09C661" w14:textId="4B5D7F2E" w:rsidR="007915D3" w:rsidRPr="00AE013A" w:rsidRDefault="007915D3" w:rsidP="007915D3">
            <w:pPr>
              <w:pStyle w:val="TableText"/>
              <w:rPr>
                <w:lang w:val="en-GB" w:eastAsia="en-GB"/>
              </w:rPr>
            </w:pPr>
            <w:r w:rsidRPr="00810ADB">
              <w:rPr>
                <w:color w:val="000000"/>
              </w:rPr>
              <w:t>$</w:t>
            </w:r>
            <w:r>
              <w:rPr>
                <w:rFonts w:cs="Calibri"/>
                <w:color w:val="000000"/>
                <w:szCs w:val="20"/>
              </w:rPr>
              <w:t>9,962,478</w:t>
            </w:r>
          </w:p>
        </w:tc>
        <w:tc>
          <w:tcPr>
            <w:tcW w:w="766" w:type="pct"/>
            <w:shd w:val="clear" w:color="auto" w:fill="auto"/>
            <w:vAlign w:val="center"/>
            <w:hideMark/>
          </w:tcPr>
          <w:p w14:paraId="410C7019" w14:textId="5CE4D795" w:rsidR="007915D3" w:rsidRPr="00AE013A" w:rsidRDefault="007915D3" w:rsidP="007915D3">
            <w:pPr>
              <w:pStyle w:val="TableText"/>
              <w:rPr>
                <w:lang w:val="en-GB" w:eastAsia="en-GB"/>
              </w:rPr>
            </w:pPr>
            <w:r w:rsidRPr="00810ADB">
              <w:rPr>
                <w:color w:val="000000"/>
              </w:rPr>
              <w:t>$</w:t>
            </w:r>
            <w:r>
              <w:rPr>
                <w:rFonts w:cs="Calibri"/>
                <w:color w:val="000000"/>
                <w:szCs w:val="20"/>
              </w:rPr>
              <w:t>10,342,098</w:t>
            </w:r>
          </w:p>
        </w:tc>
        <w:tc>
          <w:tcPr>
            <w:tcW w:w="766" w:type="pct"/>
            <w:shd w:val="clear" w:color="auto" w:fill="auto"/>
            <w:vAlign w:val="center"/>
            <w:hideMark/>
          </w:tcPr>
          <w:p w14:paraId="15354879" w14:textId="522F6118" w:rsidR="007915D3" w:rsidRPr="00AE013A" w:rsidRDefault="007915D3" w:rsidP="007915D3">
            <w:pPr>
              <w:pStyle w:val="TableText"/>
              <w:rPr>
                <w:lang w:val="en-GB" w:eastAsia="en-GB"/>
              </w:rPr>
            </w:pPr>
            <w:r w:rsidRPr="00810ADB">
              <w:rPr>
                <w:color w:val="000000"/>
              </w:rPr>
              <w:t>$</w:t>
            </w:r>
            <w:r>
              <w:rPr>
                <w:rFonts w:cs="Calibri"/>
                <w:color w:val="000000"/>
                <w:szCs w:val="20"/>
              </w:rPr>
              <w:t>10,736,184</w:t>
            </w:r>
          </w:p>
        </w:tc>
      </w:tr>
      <w:tr w:rsidR="002B749E" w:rsidRPr="00AE013A" w14:paraId="2C9FD686" w14:textId="77777777" w:rsidTr="00CB74B9">
        <w:trPr>
          <w:trHeight w:val="315"/>
        </w:trPr>
        <w:tc>
          <w:tcPr>
            <w:tcW w:w="405" w:type="pct"/>
            <w:shd w:val="clear" w:color="auto" w:fill="auto"/>
            <w:vAlign w:val="center"/>
            <w:hideMark/>
          </w:tcPr>
          <w:p w14:paraId="41EE8ED4" w14:textId="78008556" w:rsidR="002B749E" w:rsidRPr="00AE013A" w:rsidRDefault="002B749E" w:rsidP="002B749E">
            <w:pPr>
              <w:pStyle w:val="TableText"/>
              <w:rPr>
                <w:lang w:val="en-GB" w:eastAsia="en-GB"/>
              </w:rPr>
            </w:pPr>
            <w:r w:rsidRPr="00AE013A">
              <w:rPr>
                <w:lang w:val="en-GB" w:eastAsia="en-GB"/>
              </w:rPr>
              <w:t>Scenario 2</w:t>
            </w:r>
            <w:r>
              <w:rPr>
                <w:lang w:val="en-GB" w:eastAsia="en-GB"/>
              </w:rPr>
              <w:t>:</w:t>
            </w:r>
            <w:r w:rsidRPr="00AE013A">
              <w:rPr>
                <w:lang w:val="en-GB" w:eastAsia="en-GB"/>
              </w:rPr>
              <w:t xml:space="preserve"> 50%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77EA26FD" w14:textId="436D2063" w:rsidR="002B749E" w:rsidRPr="00AE013A" w:rsidRDefault="002B749E" w:rsidP="002B749E">
            <w:pPr>
              <w:pStyle w:val="TableText"/>
              <w:rPr>
                <w:lang w:val="en-GB" w:eastAsia="en-GB"/>
              </w:rPr>
            </w:pPr>
            <w:r w:rsidRPr="00810ADB">
              <w:rPr>
                <w:color w:val="000000"/>
              </w:rPr>
              <w:t>$</w:t>
            </w:r>
            <w:r>
              <w:rPr>
                <w:rFonts w:cs="Calibri"/>
                <w:color w:val="000000"/>
                <w:szCs w:val="20"/>
              </w:rPr>
              <w:t>10,619,746</w:t>
            </w:r>
          </w:p>
        </w:tc>
        <w:tc>
          <w:tcPr>
            <w:tcW w:w="766" w:type="pct"/>
            <w:shd w:val="clear" w:color="auto" w:fill="auto"/>
            <w:vAlign w:val="center"/>
            <w:hideMark/>
          </w:tcPr>
          <w:p w14:paraId="6CE6BF27" w14:textId="4C8049CF" w:rsidR="002B749E" w:rsidRPr="00AE013A" w:rsidRDefault="002B749E" w:rsidP="002B749E">
            <w:pPr>
              <w:pStyle w:val="TableText"/>
              <w:rPr>
                <w:lang w:val="en-GB" w:eastAsia="en-GB"/>
              </w:rPr>
            </w:pPr>
            <w:r w:rsidRPr="00810ADB">
              <w:rPr>
                <w:color w:val="000000"/>
              </w:rPr>
              <w:t>$</w:t>
            </w:r>
            <w:r>
              <w:rPr>
                <w:rFonts w:cs="Calibri"/>
                <w:color w:val="000000"/>
                <w:szCs w:val="20"/>
              </w:rPr>
              <w:t>11,024,411</w:t>
            </w:r>
          </w:p>
        </w:tc>
        <w:tc>
          <w:tcPr>
            <w:tcW w:w="766" w:type="pct"/>
            <w:shd w:val="clear" w:color="auto" w:fill="auto"/>
            <w:vAlign w:val="center"/>
            <w:hideMark/>
          </w:tcPr>
          <w:p w14:paraId="6B40361F" w14:textId="709C6DDA" w:rsidR="002B749E" w:rsidRPr="00AE013A" w:rsidRDefault="002B749E" w:rsidP="002B749E">
            <w:pPr>
              <w:pStyle w:val="TableText"/>
              <w:rPr>
                <w:lang w:val="en-GB" w:eastAsia="en-GB"/>
              </w:rPr>
            </w:pPr>
            <w:r w:rsidRPr="00810ADB">
              <w:rPr>
                <w:color w:val="000000"/>
              </w:rPr>
              <w:t>$</w:t>
            </w:r>
            <w:r>
              <w:rPr>
                <w:rFonts w:cs="Calibri"/>
                <w:color w:val="000000"/>
                <w:szCs w:val="20"/>
              </w:rPr>
              <w:t>11,444,496</w:t>
            </w:r>
          </w:p>
        </w:tc>
        <w:tc>
          <w:tcPr>
            <w:tcW w:w="766" w:type="pct"/>
            <w:shd w:val="clear" w:color="auto" w:fill="auto"/>
            <w:vAlign w:val="center"/>
            <w:hideMark/>
          </w:tcPr>
          <w:p w14:paraId="19694650" w14:textId="3C2F345D" w:rsidR="002B749E" w:rsidRPr="00AE013A" w:rsidRDefault="002B749E" w:rsidP="002B749E">
            <w:pPr>
              <w:pStyle w:val="TableText"/>
              <w:rPr>
                <w:lang w:val="en-GB" w:eastAsia="en-GB"/>
              </w:rPr>
            </w:pPr>
            <w:r w:rsidRPr="00810ADB">
              <w:rPr>
                <w:color w:val="000000"/>
              </w:rPr>
              <w:t>$</w:t>
            </w:r>
            <w:r>
              <w:rPr>
                <w:rFonts w:cs="Calibri"/>
                <w:color w:val="000000"/>
                <w:szCs w:val="20"/>
              </w:rPr>
              <w:t>11,880,589</w:t>
            </w:r>
          </w:p>
        </w:tc>
        <w:tc>
          <w:tcPr>
            <w:tcW w:w="766" w:type="pct"/>
            <w:shd w:val="clear" w:color="auto" w:fill="auto"/>
            <w:vAlign w:val="center"/>
            <w:hideMark/>
          </w:tcPr>
          <w:p w14:paraId="76BB390F" w14:textId="79F8AA79" w:rsidR="002B749E" w:rsidRPr="00AE013A" w:rsidRDefault="002B749E" w:rsidP="002B749E">
            <w:pPr>
              <w:pStyle w:val="TableText"/>
              <w:rPr>
                <w:lang w:val="en-GB" w:eastAsia="en-GB"/>
              </w:rPr>
            </w:pPr>
            <w:r w:rsidRPr="00810ADB">
              <w:rPr>
                <w:color w:val="000000"/>
              </w:rPr>
              <w:t>$</w:t>
            </w:r>
            <w:r>
              <w:rPr>
                <w:rFonts w:cs="Calibri"/>
                <w:color w:val="000000"/>
                <w:szCs w:val="20"/>
              </w:rPr>
              <w:t>12,333,298</w:t>
            </w:r>
          </w:p>
        </w:tc>
        <w:tc>
          <w:tcPr>
            <w:tcW w:w="766" w:type="pct"/>
            <w:shd w:val="clear" w:color="auto" w:fill="auto"/>
            <w:vAlign w:val="center"/>
            <w:hideMark/>
          </w:tcPr>
          <w:p w14:paraId="0788F807" w14:textId="53B0EA3A" w:rsidR="002B749E" w:rsidRPr="00AE013A" w:rsidRDefault="002B749E" w:rsidP="002B749E">
            <w:pPr>
              <w:pStyle w:val="TableText"/>
              <w:rPr>
                <w:lang w:val="en-GB" w:eastAsia="en-GB"/>
              </w:rPr>
            </w:pPr>
            <w:r w:rsidRPr="00810ADB">
              <w:rPr>
                <w:color w:val="000000"/>
              </w:rPr>
              <w:t>$</w:t>
            </w:r>
            <w:r>
              <w:rPr>
                <w:rFonts w:cs="Calibri"/>
                <w:color w:val="000000"/>
                <w:szCs w:val="20"/>
              </w:rPr>
              <w:t>12,803,258</w:t>
            </w:r>
          </w:p>
        </w:tc>
      </w:tr>
      <w:tr w:rsidR="00CB74B9" w:rsidRPr="00AE013A" w14:paraId="558962AB" w14:textId="77777777" w:rsidTr="00CB74B9">
        <w:trPr>
          <w:trHeight w:val="315"/>
        </w:trPr>
        <w:tc>
          <w:tcPr>
            <w:tcW w:w="405" w:type="pct"/>
            <w:shd w:val="clear" w:color="auto" w:fill="auto"/>
            <w:vAlign w:val="center"/>
          </w:tcPr>
          <w:p w14:paraId="10D9171E" w14:textId="3F2ABEC7" w:rsidR="00CB74B9" w:rsidRPr="00AE013A" w:rsidRDefault="00CB74B9" w:rsidP="00CB74B9">
            <w:pPr>
              <w:pStyle w:val="TableText"/>
              <w:rPr>
                <w:lang w:val="en-GB" w:eastAsia="en-GB"/>
              </w:rPr>
            </w:pPr>
            <w:r w:rsidRPr="00AE013A">
              <w:rPr>
                <w:lang w:val="en-GB" w:eastAsia="en-GB"/>
              </w:rPr>
              <w:t>Scenario 3</w:t>
            </w:r>
            <w:r>
              <w:rPr>
                <w:lang w:val="en-GB" w:eastAsia="en-GB"/>
              </w:rPr>
              <w:t>:</w:t>
            </w:r>
            <w:r w:rsidRPr="00AE013A">
              <w:rPr>
                <w:lang w:val="en-GB" w:eastAsia="en-GB"/>
              </w:rPr>
              <w:t xml:space="preserve"> </w:t>
            </w:r>
            <w:r>
              <w:rPr>
                <w:lang w:val="en-GB" w:eastAsia="en-GB"/>
              </w:rPr>
              <w:t>6</w:t>
            </w:r>
            <w:r w:rsidRPr="00AE013A">
              <w:rPr>
                <w:lang w:val="en-GB" w:eastAsia="en-GB"/>
              </w:rPr>
              <w:t>5%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tcPr>
          <w:p w14:paraId="73589337" w14:textId="65E5B5CD" w:rsidR="00CB74B9" w:rsidRPr="00810ADB" w:rsidRDefault="00CB74B9" w:rsidP="00CB74B9">
            <w:pPr>
              <w:pStyle w:val="TableText"/>
              <w:rPr>
                <w:color w:val="000000"/>
              </w:rPr>
            </w:pPr>
            <w:r w:rsidRPr="00015C6B">
              <w:t>$11,648,475</w:t>
            </w:r>
          </w:p>
        </w:tc>
        <w:tc>
          <w:tcPr>
            <w:tcW w:w="766" w:type="pct"/>
            <w:shd w:val="clear" w:color="auto" w:fill="auto"/>
            <w:vAlign w:val="center"/>
          </w:tcPr>
          <w:p w14:paraId="2814A376" w14:textId="387C6DB0" w:rsidR="00CB74B9" w:rsidRPr="00810ADB" w:rsidRDefault="00CB74B9" w:rsidP="00CB74B9">
            <w:pPr>
              <w:pStyle w:val="TableText"/>
              <w:rPr>
                <w:color w:val="000000"/>
              </w:rPr>
            </w:pPr>
            <w:r w:rsidRPr="00015C6B">
              <w:t>$12,092,340</w:t>
            </w:r>
          </w:p>
        </w:tc>
        <w:tc>
          <w:tcPr>
            <w:tcW w:w="766" w:type="pct"/>
            <w:shd w:val="clear" w:color="auto" w:fill="auto"/>
            <w:vAlign w:val="center"/>
          </w:tcPr>
          <w:p w14:paraId="3ACFB0B9" w14:textId="1888C837" w:rsidR="00CB74B9" w:rsidRPr="00810ADB" w:rsidRDefault="00CB74B9" w:rsidP="00CB74B9">
            <w:pPr>
              <w:pStyle w:val="TableText"/>
              <w:rPr>
                <w:color w:val="000000"/>
              </w:rPr>
            </w:pPr>
            <w:r w:rsidRPr="00015C6B">
              <w:t>$12,553,119</w:t>
            </w:r>
          </w:p>
        </w:tc>
        <w:tc>
          <w:tcPr>
            <w:tcW w:w="766" w:type="pct"/>
            <w:shd w:val="clear" w:color="auto" w:fill="auto"/>
            <w:vAlign w:val="center"/>
          </w:tcPr>
          <w:p w14:paraId="4CBB6E4A" w14:textId="5275A033" w:rsidR="00CB74B9" w:rsidRPr="00810ADB" w:rsidRDefault="00CB74B9" w:rsidP="00CB74B9">
            <w:pPr>
              <w:pStyle w:val="TableText"/>
              <w:rPr>
                <w:color w:val="000000"/>
              </w:rPr>
            </w:pPr>
            <w:r w:rsidRPr="00015C6B">
              <w:t>$13,031,455</w:t>
            </w:r>
          </w:p>
        </w:tc>
        <w:tc>
          <w:tcPr>
            <w:tcW w:w="766" w:type="pct"/>
            <w:shd w:val="clear" w:color="auto" w:fill="auto"/>
            <w:vAlign w:val="center"/>
          </w:tcPr>
          <w:p w14:paraId="4D82F8DB" w14:textId="058FA38A" w:rsidR="00CB74B9" w:rsidRPr="00810ADB" w:rsidRDefault="00CB74B9" w:rsidP="00CB74B9">
            <w:pPr>
              <w:pStyle w:val="TableText"/>
              <w:rPr>
                <w:color w:val="000000"/>
              </w:rPr>
            </w:pPr>
            <w:r w:rsidRPr="00015C6B">
              <w:t>$13,528,018</w:t>
            </w:r>
          </w:p>
        </w:tc>
        <w:tc>
          <w:tcPr>
            <w:tcW w:w="766" w:type="pct"/>
            <w:shd w:val="clear" w:color="auto" w:fill="auto"/>
            <w:vAlign w:val="center"/>
          </w:tcPr>
          <w:p w14:paraId="3491B995" w14:textId="7281A4E5" w:rsidR="00CB74B9" w:rsidRPr="00810ADB" w:rsidRDefault="00CB74B9" w:rsidP="00CB74B9">
            <w:pPr>
              <w:pStyle w:val="TableText"/>
              <w:rPr>
                <w:color w:val="000000"/>
              </w:rPr>
            </w:pPr>
            <w:r w:rsidRPr="00015C6B">
              <w:t>$14,043,503</w:t>
            </w:r>
          </w:p>
        </w:tc>
      </w:tr>
      <w:tr w:rsidR="00CB74B9" w:rsidRPr="00AE013A" w14:paraId="2A50F200" w14:textId="77777777" w:rsidTr="00CB74B9">
        <w:trPr>
          <w:trHeight w:val="315"/>
        </w:trPr>
        <w:tc>
          <w:tcPr>
            <w:tcW w:w="405" w:type="pct"/>
            <w:shd w:val="clear" w:color="auto" w:fill="auto"/>
            <w:vAlign w:val="center"/>
            <w:hideMark/>
          </w:tcPr>
          <w:p w14:paraId="0AF58C14" w14:textId="10087736" w:rsidR="00CB74B9" w:rsidRPr="00AE013A" w:rsidRDefault="00CB74B9" w:rsidP="00CB74B9">
            <w:pPr>
              <w:pStyle w:val="TableText"/>
              <w:rPr>
                <w:lang w:val="en-GB" w:eastAsia="en-GB"/>
              </w:rPr>
            </w:pPr>
            <w:r w:rsidRPr="00AE013A">
              <w:rPr>
                <w:lang w:val="en-GB" w:eastAsia="en-GB"/>
              </w:rPr>
              <w:t xml:space="preserve">Scenario </w:t>
            </w:r>
            <w:r>
              <w:rPr>
                <w:lang w:val="en-GB" w:eastAsia="en-GB"/>
              </w:rPr>
              <w:t>4</w:t>
            </w:r>
            <w:r w:rsidRPr="00AE013A">
              <w:rPr>
                <w:lang w:val="en-GB" w:eastAsia="en-GB"/>
              </w:rPr>
              <w:t xml:space="preserve"> 75%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090B93FD" w14:textId="2FD218D4" w:rsidR="00CB74B9" w:rsidRPr="00AE013A" w:rsidRDefault="00CB74B9" w:rsidP="00CB74B9">
            <w:pPr>
              <w:pStyle w:val="TableText"/>
              <w:rPr>
                <w:lang w:val="en-GB" w:eastAsia="en-GB"/>
              </w:rPr>
            </w:pPr>
            <w:r w:rsidRPr="00810ADB">
              <w:rPr>
                <w:color w:val="000000"/>
              </w:rPr>
              <w:t>$</w:t>
            </w:r>
            <w:r>
              <w:rPr>
                <w:rFonts w:cs="Calibri"/>
                <w:color w:val="000000"/>
                <w:szCs w:val="20"/>
              </w:rPr>
              <w:t>12,334,295</w:t>
            </w:r>
          </w:p>
        </w:tc>
        <w:tc>
          <w:tcPr>
            <w:tcW w:w="766" w:type="pct"/>
            <w:shd w:val="clear" w:color="auto" w:fill="auto"/>
            <w:vAlign w:val="center"/>
            <w:hideMark/>
          </w:tcPr>
          <w:p w14:paraId="1C3917A5" w14:textId="2A0F3810" w:rsidR="00CB74B9" w:rsidRPr="00AE013A" w:rsidRDefault="00CB74B9" w:rsidP="00CB74B9">
            <w:pPr>
              <w:pStyle w:val="TableText"/>
              <w:rPr>
                <w:lang w:val="en-GB" w:eastAsia="en-GB"/>
              </w:rPr>
            </w:pPr>
            <w:r w:rsidRPr="00810ADB">
              <w:rPr>
                <w:color w:val="000000"/>
              </w:rPr>
              <w:t>$</w:t>
            </w:r>
            <w:r>
              <w:rPr>
                <w:rFonts w:cs="Calibri"/>
                <w:color w:val="000000"/>
                <w:szCs w:val="20"/>
              </w:rPr>
              <w:t>12,804,293</w:t>
            </w:r>
          </w:p>
        </w:tc>
        <w:tc>
          <w:tcPr>
            <w:tcW w:w="766" w:type="pct"/>
            <w:shd w:val="clear" w:color="auto" w:fill="auto"/>
            <w:vAlign w:val="center"/>
            <w:hideMark/>
          </w:tcPr>
          <w:p w14:paraId="554CDA66" w14:textId="24E67663" w:rsidR="00CB74B9" w:rsidRPr="00AE013A" w:rsidRDefault="00CB74B9" w:rsidP="00CB74B9">
            <w:pPr>
              <w:pStyle w:val="TableText"/>
              <w:rPr>
                <w:lang w:val="en-GB" w:eastAsia="en-GB"/>
              </w:rPr>
            </w:pPr>
            <w:r w:rsidRPr="00810ADB">
              <w:rPr>
                <w:color w:val="000000"/>
              </w:rPr>
              <w:t>$</w:t>
            </w:r>
            <w:r>
              <w:rPr>
                <w:rFonts w:cs="Calibri"/>
                <w:color w:val="000000"/>
                <w:szCs w:val="20"/>
              </w:rPr>
              <w:t>13,292,200</w:t>
            </w:r>
          </w:p>
        </w:tc>
        <w:tc>
          <w:tcPr>
            <w:tcW w:w="766" w:type="pct"/>
            <w:shd w:val="clear" w:color="auto" w:fill="auto"/>
            <w:vAlign w:val="center"/>
            <w:hideMark/>
          </w:tcPr>
          <w:p w14:paraId="00636382" w14:textId="38586CC3" w:rsidR="00CB74B9" w:rsidRPr="00AE013A" w:rsidRDefault="00CB74B9" w:rsidP="00CB74B9">
            <w:pPr>
              <w:pStyle w:val="TableText"/>
              <w:rPr>
                <w:lang w:val="en-GB" w:eastAsia="en-GB"/>
              </w:rPr>
            </w:pPr>
            <w:r w:rsidRPr="00810ADB">
              <w:rPr>
                <w:color w:val="000000"/>
              </w:rPr>
              <w:t>$</w:t>
            </w:r>
            <w:r>
              <w:rPr>
                <w:rFonts w:cs="Calibri"/>
                <w:color w:val="000000"/>
                <w:szCs w:val="20"/>
              </w:rPr>
              <w:t>13,798,699</w:t>
            </w:r>
          </w:p>
        </w:tc>
        <w:tc>
          <w:tcPr>
            <w:tcW w:w="766" w:type="pct"/>
            <w:shd w:val="clear" w:color="auto" w:fill="auto"/>
            <w:vAlign w:val="center"/>
            <w:hideMark/>
          </w:tcPr>
          <w:p w14:paraId="7FED2DA4" w14:textId="3351428B" w:rsidR="00CB74B9" w:rsidRPr="00AE013A" w:rsidRDefault="00CB74B9" w:rsidP="00CB74B9">
            <w:pPr>
              <w:pStyle w:val="TableText"/>
              <w:rPr>
                <w:lang w:val="en-GB" w:eastAsia="en-GB"/>
              </w:rPr>
            </w:pPr>
            <w:r w:rsidRPr="00810ADB">
              <w:rPr>
                <w:color w:val="000000"/>
              </w:rPr>
              <w:t>$</w:t>
            </w:r>
            <w:r>
              <w:rPr>
                <w:rFonts w:cs="Calibri"/>
                <w:color w:val="000000"/>
                <w:szCs w:val="20"/>
              </w:rPr>
              <w:t>14,324,498</w:t>
            </w:r>
          </w:p>
        </w:tc>
        <w:tc>
          <w:tcPr>
            <w:tcW w:w="766" w:type="pct"/>
            <w:shd w:val="clear" w:color="auto" w:fill="auto"/>
            <w:vAlign w:val="center"/>
            <w:hideMark/>
          </w:tcPr>
          <w:p w14:paraId="48FCEE5B" w14:textId="4F728FD5" w:rsidR="00CB74B9" w:rsidRPr="00AE013A" w:rsidRDefault="00CB74B9" w:rsidP="00CB74B9">
            <w:pPr>
              <w:pStyle w:val="TableText"/>
              <w:rPr>
                <w:lang w:val="en-GB" w:eastAsia="en-GB"/>
              </w:rPr>
            </w:pPr>
            <w:r w:rsidRPr="00810ADB">
              <w:rPr>
                <w:color w:val="000000"/>
              </w:rPr>
              <w:t>$</w:t>
            </w:r>
            <w:r>
              <w:rPr>
                <w:rFonts w:cs="Calibri"/>
                <w:color w:val="000000"/>
                <w:szCs w:val="20"/>
              </w:rPr>
              <w:t>14,870,333</w:t>
            </w:r>
          </w:p>
        </w:tc>
      </w:tr>
      <w:tr w:rsidR="00876EFE" w:rsidRPr="00AE013A" w14:paraId="47E71468" w14:textId="77777777" w:rsidTr="00CB74B9">
        <w:trPr>
          <w:trHeight w:val="315"/>
        </w:trPr>
        <w:tc>
          <w:tcPr>
            <w:tcW w:w="405" w:type="pct"/>
            <w:shd w:val="clear" w:color="auto" w:fill="auto"/>
            <w:vAlign w:val="center"/>
            <w:hideMark/>
          </w:tcPr>
          <w:p w14:paraId="7E60B4C6" w14:textId="7904C733" w:rsidR="00876EFE" w:rsidRPr="00AE013A" w:rsidRDefault="00876EFE" w:rsidP="00876EFE">
            <w:pPr>
              <w:pStyle w:val="TableText"/>
              <w:rPr>
                <w:lang w:val="en-GB" w:eastAsia="en-GB"/>
              </w:rPr>
            </w:pPr>
            <w:r w:rsidRPr="00AE013A">
              <w:rPr>
                <w:lang w:val="en-GB" w:eastAsia="en-GB"/>
              </w:rPr>
              <w:t xml:space="preserve">Scenario </w:t>
            </w:r>
            <w:r>
              <w:rPr>
                <w:lang w:val="en-GB" w:eastAsia="en-GB"/>
              </w:rPr>
              <w:t>5:</w:t>
            </w:r>
            <w:r w:rsidRPr="00AE013A">
              <w:rPr>
                <w:lang w:val="en-GB" w:eastAsia="en-GB"/>
              </w:rPr>
              <w:t xml:space="preserve"> 100% of incident population incur</w:t>
            </w:r>
            <w:r>
              <w:rPr>
                <w:lang w:val="en-GB" w:eastAsia="en-GB"/>
              </w:rPr>
              <w:t>s</w:t>
            </w:r>
            <w:r w:rsidRPr="00AE013A">
              <w:rPr>
                <w:lang w:val="en-GB" w:eastAsia="en-GB"/>
              </w:rPr>
              <w:t xml:space="preserve"> diagnostic test cost</w:t>
            </w:r>
          </w:p>
        </w:tc>
        <w:tc>
          <w:tcPr>
            <w:tcW w:w="766" w:type="pct"/>
            <w:shd w:val="clear" w:color="auto" w:fill="auto"/>
            <w:vAlign w:val="center"/>
            <w:hideMark/>
          </w:tcPr>
          <w:p w14:paraId="5F041AC5" w14:textId="475AF426" w:rsidR="00876EFE" w:rsidRPr="00AE013A" w:rsidRDefault="00876EFE" w:rsidP="00876EFE">
            <w:pPr>
              <w:pStyle w:val="TableText"/>
              <w:rPr>
                <w:lang w:val="en-GB" w:eastAsia="en-GB"/>
              </w:rPr>
            </w:pPr>
            <w:r w:rsidRPr="00810ADB">
              <w:rPr>
                <w:color w:val="000000"/>
              </w:rPr>
              <w:t>$</w:t>
            </w:r>
            <w:r>
              <w:rPr>
                <w:rFonts w:cs="Calibri"/>
                <w:color w:val="000000"/>
                <w:szCs w:val="20"/>
              </w:rPr>
              <w:t>14,048,843</w:t>
            </w:r>
          </w:p>
        </w:tc>
        <w:tc>
          <w:tcPr>
            <w:tcW w:w="766" w:type="pct"/>
            <w:shd w:val="clear" w:color="auto" w:fill="auto"/>
            <w:vAlign w:val="center"/>
            <w:hideMark/>
          </w:tcPr>
          <w:p w14:paraId="3B83E7BC" w14:textId="07554321" w:rsidR="00876EFE" w:rsidRPr="00AE013A" w:rsidRDefault="00876EFE" w:rsidP="00876EFE">
            <w:pPr>
              <w:pStyle w:val="TableText"/>
              <w:rPr>
                <w:lang w:val="en-GB" w:eastAsia="en-GB"/>
              </w:rPr>
            </w:pPr>
            <w:r w:rsidRPr="00810ADB">
              <w:rPr>
                <w:color w:val="000000"/>
              </w:rPr>
              <w:t>$</w:t>
            </w:r>
            <w:r>
              <w:rPr>
                <w:rFonts w:cs="Calibri"/>
                <w:color w:val="000000"/>
                <w:szCs w:val="20"/>
              </w:rPr>
              <w:t>14,584,174</w:t>
            </w:r>
          </w:p>
        </w:tc>
        <w:tc>
          <w:tcPr>
            <w:tcW w:w="766" w:type="pct"/>
            <w:shd w:val="clear" w:color="auto" w:fill="auto"/>
            <w:vAlign w:val="center"/>
            <w:hideMark/>
          </w:tcPr>
          <w:p w14:paraId="4E5DEDEA" w14:textId="6CFCFCFC" w:rsidR="00876EFE" w:rsidRPr="00AE013A" w:rsidRDefault="00876EFE" w:rsidP="00876EFE">
            <w:pPr>
              <w:pStyle w:val="TableText"/>
              <w:rPr>
                <w:lang w:val="en-GB" w:eastAsia="en-GB"/>
              </w:rPr>
            </w:pPr>
            <w:r w:rsidRPr="00810ADB">
              <w:rPr>
                <w:color w:val="000000"/>
              </w:rPr>
              <w:t>$</w:t>
            </w:r>
            <w:r>
              <w:rPr>
                <w:rFonts w:cs="Calibri"/>
                <w:color w:val="000000"/>
                <w:szCs w:val="20"/>
              </w:rPr>
              <w:t>15,139,904</w:t>
            </w:r>
          </w:p>
        </w:tc>
        <w:tc>
          <w:tcPr>
            <w:tcW w:w="766" w:type="pct"/>
            <w:shd w:val="clear" w:color="auto" w:fill="auto"/>
            <w:vAlign w:val="center"/>
            <w:hideMark/>
          </w:tcPr>
          <w:p w14:paraId="047D02F4" w14:textId="408251FF" w:rsidR="00876EFE" w:rsidRPr="00AE013A" w:rsidRDefault="00876EFE" w:rsidP="00876EFE">
            <w:pPr>
              <w:pStyle w:val="TableText"/>
              <w:rPr>
                <w:lang w:val="en-GB" w:eastAsia="en-GB"/>
              </w:rPr>
            </w:pPr>
            <w:r w:rsidRPr="00810ADB">
              <w:rPr>
                <w:color w:val="000000"/>
              </w:rPr>
              <w:t>$</w:t>
            </w:r>
            <w:r>
              <w:rPr>
                <w:rFonts w:cs="Calibri"/>
                <w:color w:val="000000"/>
                <w:szCs w:val="20"/>
              </w:rPr>
              <w:t>15,716,809</w:t>
            </w:r>
          </w:p>
        </w:tc>
        <w:tc>
          <w:tcPr>
            <w:tcW w:w="766" w:type="pct"/>
            <w:shd w:val="clear" w:color="auto" w:fill="auto"/>
            <w:vAlign w:val="center"/>
            <w:hideMark/>
          </w:tcPr>
          <w:p w14:paraId="4AE6EF0E" w14:textId="6290869D" w:rsidR="00876EFE" w:rsidRPr="00AE013A" w:rsidRDefault="00876EFE" w:rsidP="00876EFE">
            <w:pPr>
              <w:pStyle w:val="TableText"/>
              <w:rPr>
                <w:lang w:val="en-GB" w:eastAsia="en-GB"/>
              </w:rPr>
            </w:pPr>
            <w:r w:rsidRPr="00810ADB">
              <w:rPr>
                <w:color w:val="000000"/>
              </w:rPr>
              <w:t>$</w:t>
            </w:r>
            <w:r>
              <w:rPr>
                <w:rFonts w:cs="Calibri"/>
                <w:color w:val="000000"/>
                <w:szCs w:val="20"/>
              </w:rPr>
              <w:t>16,315,698</w:t>
            </w:r>
          </w:p>
        </w:tc>
        <w:tc>
          <w:tcPr>
            <w:tcW w:w="766" w:type="pct"/>
            <w:shd w:val="clear" w:color="auto" w:fill="auto"/>
            <w:vAlign w:val="center"/>
            <w:hideMark/>
          </w:tcPr>
          <w:p w14:paraId="186DD091" w14:textId="5D893337" w:rsidR="00876EFE" w:rsidRPr="00AE013A" w:rsidRDefault="00876EFE" w:rsidP="00876EFE">
            <w:pPr>
              <w:pStyle w:val="TableText"/>
              <w:rPr>
                <w:lang w:val="en-GB" w:eastAsia="en-GB"/>
              </w:rPr>
            </w:pPr>
            <w:r w:rsidRPr="00810ADB">
              <w:rPr>
                <w:color w:val="000000"/>
              </w:rPr>
              <w:t>$</w:t>
            </w:r>
            <w:r>
              <w:rPr>
                <w:rFonts w:cs="Calibri"/>
                <w:color w:val="000000"/>
                <w:szCs w:val="20"/>
              </w:rPr>
              <w:t>16,937,407</w:t>
            </w:r>
          </w:p>
        </w:tc>
      </w:tr>
    </w:tbl>
    <w:p w14:paraId="0706A96F" w14:textId="77777777" w:rsidR="004221AF" w:rsidRDefault="004221AF" w:rsidP="004221AF">
      <w:pPr>
        <w:pStyle w:val="Tablenotes0"/>
      </w:pPr>
      <w:r>
        <w:t>Abbreviations: MBS = Medicare Benefits Schedule.</w:t>
      </w:r>
    </w:p>
    <w:p w14:paraId="4BCA3BCB" w14:textId="7EF2EC94" w:rsidR="001921B1" w:rsidRDefault="001921B1" w:rsidP="001921B1">
      <w:r>
        <w:fldChar w:fldCharType="begin"/>
      </w:r>
      <w:r>
        <w:instrText xml:space="preserve"> REF _Ref170204677 \h </w:instrText>
      </w:r>
      <w:r>
        <w:fldChar w:fldCharType="separate"/>
      </w:r>
      <w:r>
        <w:t xml:space="preserve">Table </w:t>
      </w:r>
      <w:r>
        <w:rPr>
          <w:noProof/>
        </w:rPr>
        <w:t>17</w:t>
      </w:r>
      <w:r>
        <w:fldChar w:fldCharType="end"/>
      </w:r>
      <w:r>
        <w:t xml:space="preserve"> shows the net financial impact to the MBS for a scenario in which the proportion of patients expected to receive </w:t>
      </w:r>
      <w:r w:rsidRPr="00A15A95">
        <w:rPr>
          <w:vertAlign w:val="superscript"/>
        </w:rPr>
        <w:t>177</w:t>
      </w:r>
      <w:r w:rsidRPr="00152D93">
        <w:t>Lu-DOTA-octreotate</w:t>
      </w:r>
      <w:r>
        <w:t xml:space="preserve"> is doubled (i.e. approximately 400 patients expected to receive treatment in Year 1).</w:t>
      </w:r>
    </w:p>
    <w:p w14:paraId="0445467A" w14:textId="1E085B88" w:rsidR="001921B1" w:rsidRDefault="001921B1" w:rsidP="00994611">
      <w:pPr>
        <w:pStyle w:val="Caption"/>
      </w:pPr>
      <w:bookmarkStart w:id="115" w:name="_Ref170204677"/>
      <w:r>
        <w:lastRenderedPageBreak/>
        <w:t xml:space="preserve">Table </w:t>
      </w:r>
      <w:r>
        <w:fldChar w:fldCharType="begin"/>
      </w:r>
      <w:r>
        <w:instrText xml:space="preserve"> SEQ Table \* ARABIC </w:instrText>
      </w:r>
      <w:r>
        <w:fldChar w:fldCharType="separate"/>
      </w:r>
      <w:r>
        <w:rPr>
          <w:noProof/>
        </w:rPr>
        <w:t>17</w:t>
      </w:r>
      <w:r>
        <w:rPr>
          <w:noProof/>
        </w:rPr>
        <w:fldChar w:fldCharType="end"/>
      </w:r>
      <w:bookmarkEnd w:id="115"/>
      <w:r>
        <w:t>:</w:t>
      </w:r>
      <w:r>
        <w:tab/>
        <w:t xml:space="preserve">Net financial impact of </w:t>
      </w:r>
      <w:r w:rsidRPr="002E3BD9">
        <w:rPr>
          <w:vertAlign w:val="superscript"/>
        </w:rPr>
        <w:t>177</w:t>
      </w:r>
      <w:r>
        <w:t>Lu-DOTA-octreotate to the MBS, scenario with twice the expected treated population</w:t>
      </w:r>
      <w:r w:rsidR="005B6ED2">
        <w:t xml:space="preserve">; </w:t>
      </w:r>
      <w:r w:rsidR="005B6ED2" w:rsidRPr="00381878">
        <w:rPr>
          <w:i/>
          <w:iCs/>
        </w:rPr>
        <w:t>and ESC indicative sensitivity analyses</w:t>
      </w:r>
    </w:p>
    <w:tbl>
      <w:tblPr>
        <w:tblStyle w:val="TableGrid"/>
        <w:tblW w:w="0" w:type="auto"/>
        <w:tblLayout w:type="fixed"/>
        <w:tblLook w:val="04A0" w:firstRow="1" w:lastRow="0" w:firstColumn="1" w:lastColumn="0" w:noHBand="0" w:noVBand="1"/>
      </w:tblPr>
      <w:tblGrid>
        <w:gridCol w:w="1520"/>
        <w:gridCol w:w="1249"/>
        <w:gridCol w:w="1249"/>
        <w:gridCol w:w="1250"/>
        <w:gridCol w:w="1249"/>
        <w:gridCol w:w="1249"/>
        <w:gridCol w:w="1250"/>
      </w:tblGrid>
      <w:tr w:rsidR="00932FA7" w14:paraId="6A10E8F8" w14:textId="77777777" w:rsidTr="00AF0759">
        <w:trPr>
          <w:cantSplit/>
          <w:tblHeader/>
        </w:trPr>
        <w:tc>
          <w:tcPr>
            <w:tcW w:w="1520" w:type="dxa"/>
          </w:tcPr>
          <w:p w14:paraId="3AC12C8B" w14:textId="77777777" w:rsidR="001921B1" w:rsidRDefault="001921B1">
            <w:pPr>
              <w:pStyle w:val="TableHeading0"/>
            </w:pPr>
            <w:r w:rsidRPr="00333DDD">
              <w:t xml:space="preserve">Parameter </w:t>
            </w:r>
          </w:p>
        </w:tc>
        <w:tc>
          <w:tcPr>
            <w:tcW w:w="1249" w:type="dxa"/>
          </w:tcPr>
          <w:p w14:paraId="1FD6A997" w14:textId="77777777" w:rsidR="001921B1" w:rsidRDefault="001921B1">
            <w:pPr>
              <w:pStyle w:val="TableHeading0"/>
            </w:pPr>
            <w:r w:rsidRPr="00333DDD">
              <w:t>2024</w:t>
            </w:r>
          </w:p>
        </w:tc>
        <w:tc>
          <w:tcPr>
            <w:tcW w:w="1249" w:type="dxa"/>
          </w:tcPr>
          <w:p w14:paraId="0934B836" w14:textId="77777777" w:rsidR="001921B1" w:rsidRDefault="001921B1">
            <w:pPr>
              <w:pStyle w:val="TableHeading0"/>
            </w:pPr>
            <w:r w:rsidRPr="00333DDD">
              <w:t>2025</w:t>
            </w:r>
          </w:p>
        </w:tc>
        <w:tc>
          <w:tcPr>
            <w:tcW w:w="1250" w:type="dxa"/>
          </w:tcPr>
          <w:p w14:paraId="468BA57E" w14:textId="77777777" w:rsidR="001921B1" w:rsidRDefault="001921B1">
            <w:pPr>
              <w:pStyle w:val="TableHeading0"/>
            </w:pPr>
            <w:r w:rsidRPr="00333DDD">
              <w:t>2026</w:t>
            </w:r>
          </w:p>
        </w:tc>
        <w:tc>
          <w:tcPr>
            <w:tcW w:w="1249" w:type="dxa"/>
          </w:tcPr>
          <w:p w14:paraId="76589D40" w14:textId="77777777" w:rsidR="001921B1" w:rsidRDefault="001921B1">
            <w:pPr>
              <w:pStyle w:val="TableHeading0"/>
            </w:pPr>
            <w:r w:rsidRPr="00333DDD">
              <w:t>2027</w:t>
            </w:r>
          </w:p>
        </w:tc>
        <w:tc>
          <w:tcPr>
            <w:tcW w:w="1249" w:type="dxa"/>
          </w:tcPr>
          <w:p w14:paraId="40958F38" w14:textId="77777777" w:rsidR="001921B1" w:rsidRDefault="001921B1">
            <w:pPr>
              <w:pStyle w:val="TableHeading0"/>
            </w:pPr>
            <w:r w:rsidRPr="00333DDD">
              <w:t>2028</w:t>
            </w:r>
          </w:p>
        </w:tc>
        <w:tc>
          <w:tcPr>
            <w:tcW w:w="1250" w:type="dxa"/>
          </w:tcPr>
          <w:p w14:paraId="44A431A2" w14:textId="77777777" w:rsidR="001921B1" w:rsidRDefault="001921B1">
            <w:pPr>
              <w:pStyle w:val="TableHeading0"/>
            </w:pPr>
            <w:r w:rsidRPr="00333DDD">
              <w:t>2029</w:t>
            </w:r>
          </w:p>
        </w:tc>
      </w:tr>
      <w:tr w:rsidR="001921B1" w14:paraId="4555CABC" w14:textId="77777777" w:rsidTr="00AF0759">
        <w:trPr>
          <w:cantSplit/>
        </w:trPr>
        <w:tc>
          <w:tcPr>
            <w:tcW w:w="9016" w:type="dxa"/>
            <w:gridSpan w:val="7"/>
          </w:tcPr>
          <w:p w14:paraId="25C6591F" w14:textId="77777777" w:rsidR="001921B1" w:rsidRDefault="001921B1">
            <w:pPr>
              <w:pStyle w:val="In-tableHeading"/>
            </w:pPr>
            <w:r w:rsidRPr="009B07CB">
              <w:t>Estimated use and cost of the proposed health technology</w:t>
            </w:r>
          </w:p>
        </w:tc>
      </w:tr>
      <w:tr w:rsidR="00932FA7" w14:paraId="71A8E41F" w14:textId="77777777" w:rsidTr="00AF0759">
        <w:trPr>
          <w:cantSplit/>
        </w:trPr>
        <w:tc>
          <w:tcPr>
            <w:tcW w:w="1520" w:type="dxa"/>
          </w:tcPr>
          <w:p w14:paraId="074F6B49" w14:textId="77777777" w:rsidR="001921B1" w:rsidRDefault="001921B1">
            <w:pPr>
              <w:pStyle w:val="TableText"/>
            </w:pPr>
            <w:r w:rsidRPr="000D7B3D">
              <w:t>Incidence of NENs</w:t>
            </w:r>
          </w:p>
        </w:tc>
        <w:tc>
          <w:tcPr>
            <w:tcW w:w="1249" w:type="dxa"/>
          </w:tcPr>
          <w:p w14:paraId="0CD392F5" w14:textId="77777777" w:rsidR="001921B1" w:rsidRDefault="001921B1">
            <w:pPr>
              <w:pStyle w:val="TableText"/>
            </w:pPr>
            <w:r w:rsidRPr="000D7B3D">
              <w:t>5,642</w:t>
            </w:r>
          </w:p>
        </w:tc>
        <w:tc>
          <w:tcPr>
            <w:tcW w:w="1249" w:type="dxa"/>
          </w:tcPr>
          <w:p w14:paraId="2BB986C4" w14:textId="77777777" w:rsidR="001921B1" w:rsidRDefault="001921B1">
            <w:pPr>
              <w:pStyle w:val="TableText"/>
            </w:pPr>
            <w:r w:rsidRPr="000D7B3D">
              <w:t>5,857</w:t>
            </w:r>
          </w:p>
        </w:tc>
        <w:tc>
          <w:tcPr>
            <w:tcW w:w="1250" w:type="dxa"/>
          </w:tcPr>
          <w:p w14:paraId="0773C4CE" w14:textId="77777777" w:rsidR="001921B1" w:rsidRDefault="001921B1">
            <w:pPr>
              <w:pStyle w:val="TableText"/>
            </w:pPr>
            <w:r w:rsidRPr="000D7B3D">
              <w:t>6,080</w:t>
            </w:r>
          </w:p>
        </w:tc>
        <w:tc>
          <w:tcPr>
            <w:tcW w:w="1249" w:type="dxa"/>
          </w:tcPr>
          <w:p w14:paraId="7F51BDC4" w14:textId="77777777" w:rsidR="001921B1" w:rsidRDefault="001921B1">
            <w:pPr>
              <w:pStyle w:val="TableText"/>
            </w:pPr>
            <w:r w:rsidRPr="000D7B3D">
              <w:t>6,312</w:t>
            </w:r>
          </w:p>
        </w:tc>
        <w:tc>
          <w:tcPr>
            <w:tcW w:w="1249" w:type="dxa"/>
          </w:tcPr>
          <w:p w14:paraId="7DEA0B79" w14:textId="77777777" w:rsidR="001921B1" w:rsidRDefault="001921B1">
            <w:pPr>
              <w:pStyle w:val="TableText"/>
            </w:pPr>
            <w:r w:rsidRPr="000D7B3D">
              <w:t>6,552</w:t>
            </w:r>
          </w:p>
        </w:tc>
        <w:tc>
          <w:tcPr>
            <w:tcW w:w="1250" w:type="dxa"/>
          </w:tcPr>
          <w:p w14:paraId="16C72A27" w14:textId="77777777" w:rsidR="001921B1" w:rsidRDefault="001921B1">
            <w:pPr>
              <w:pStyle w:val="TableText"/>
            </w:pPr>
            <w:r w:rsidRPr="000D7B3D">
              <w:t>6,802</w:t>
            </w:r>
          </w:p>
        </w:tc>
      </w:tr>
      <w:tr w:rsidR="0086762D" w14:paraId="0794E479" w14:textId="77777777" w:rsidTr="00AF0759">
        <w:trPr>
          <w:cantSplit/>
        </w:trPr>
        <w:tc>
          <w:tcPr>
            <w:tcW w:w="1520" w:type="dxa"/>
          </w:tcPr>
          <w:p w14:paraId="77445DD0" w14:textId="77777777" w:rsidR="001921B1" w:rsidRDefault="001921B1">
            <w:pPr>
              <w:pStyle w:val="TableText"/>
            </w:pPr>
            <w:r w:rsidRPr="003727CE">
              <w:rPr>
                <w:lang w:eastAsia="en-GB"/>
              </w:rPr>
              <w:t xml:space="preserve">Number of people eligible for </w:t>
            </w:r>
            <w:r w:rsidRPr="00931C1C">
              <w:rPr>
                <w:vertAlign w:val="superscript"/>
                <w:lang w:eastAsia="en-GB"/>
              </w:rPr>
              <w:t>177</w:t>
            </w:r>
            <w:r w:rsidRPr="003727CE">
              <w:rPr>
                <w:lang w:eastAsia="en-GB"/>
              </w:rPr>
              <w:t>Lu-DOTA-octreotate</w:t>
            </w:r>
          </w:p>
        </w:tc>
        <w:tc>
          <w:tcPr>
            <w:tcW w:w="7496" w:type="dxa"/>
            <w:gridSpan w:val="6"/>
          </w:tcPr>
          <w:p w14:paraId="14CFEBC7" w14:textId="77777777" w:rsidR="001921B1" w:rsidRDefault="001921B1">
            <w:pPr>
              <w:pStyle w:val="TableText"/>
            </w:pPr>
            <w:r w:rsidRPr="003727CE">
              <w:rPr>
                <w:lang w:val="en-GB" w:eastAsia="en-GB"/>
              </w:rPr>
              <w:t>Unknown</w:t>
            </w:r>
            <w:r w:rsidRPr="003727CE">
              <w:rPr>
                <w:lang w:val="en-GB" w:eastAsia="en-GB"/>
              </w:rPr>
              <w:br/>
              <w:t xml:space="preserve">Assumed </w:t>
            </w:r>
            <w:r>
              <w:rPr>
                <w:lang w:val="en-GB" w:eastAsia="en-GB"/>
              </w:rPr>
              <w:t>7</w:t>
            </w:r>
            <w:r w:rsidRPr="003727CE">
              <w:rPr>
                <w:lang w:val="en-GB" w:eastAsia="en-GB"/>
              </w:rPr>
              <w:t>% to match applicant</w:t>
            </w:r>
            <w:r>
              <w:rPr>
                <w:lang w:val="en-GB" w:eastAsia="en-GB"/>
              </w:rPr>
              <w:t>-</w:t>
            </w:r>
            <w:r w:rsidRPr="003727CE">
              <w:rPr>
                <w:lang w:val="en-GB" w:eastAsia="en-GB"/>
              </w:rPr>
              <w:t xml:space="preserve">advised treatment population of approximately </w:t>
            </w:r>
            <w:r>
              <w:rPr>
                <w:lang w:val="en-GB" w:eastAsia="en-GB"/>
              </w:rPr>
              <w:t>4</w:t>
            </w:r>
            <w:r w:rsidRPr="003727CE">
              <w:rPr>
                <w:lang w:val="en-GB" w:eastAsia="en-GB"/>
              </w:rPr>
              <w:t>00</w:t>
            </w:r>
          </w:p>
        </w:tc>
      </w:tr>
      <w:tr w:rsidR="00932FA7" w14:paraId="1E248809" w14:textId="77777777" w:rsidTr="00AF0759">
        <w:trPr>
          <w:cantSplit/>
        </w:trPr>
        <w:tc>
          <w:tcPr>
            <w:tcW w:w="1520" w:type="dxa"/>
          </w:tcPr>
          <w:p w14:paraId="760DABC1" w14:textId="77777777" w:rsidR="001921B1" w:rsidRPr="003727CE" w:rsidRDefault="001921B1">
            <w:pPr>
              <w:pStyle w:val="TableText"/>
              <w:rPr>
                <w:lang w:eastAsia="en-GB"/>
              </w:rPr>
            </w:pPr>
            <w:r w:rsidRPr="00234329">
              <w:t xml:space="preserve">Number of people who receive 177Lu-DOTA-octreotate </w:t>
            </w:r>
          </w:p>
        </w:tc>
        <w:tc>
          <w:tcPr>
            <w:tcW w:w="1249" w:type="dxa"/>
          </w:tcPr>
          <w:p w14:paraId="0582F4FE" w14:textId="77777777" w:rsidR="001921B1" w:rsidRPr="003727CE" w:rsidRDefault="001921B1">
            <w:pPr>
              <w:pStyle w:val="TableText"/>
              <w:rPr>
                <w:lang w:val="en-GB" w:eastAsia="en-GB"/>
              </w:rPr>
            </w:pPr>
            <w:r w:rsidRPr="00234329">
              <w:t>395</w:t>
            </w:r>
          </w:p>
        </w:tc>
        <w:tc>
          <w:tcPr>
            <w:tcW w:w="1249" w:type="dxa"/>
          </w:tcPr>
          <w:p w14:paraId="0BFD5AB7" w14:textId="77777777" w:rsidR="001921B1" w:rsidRDefault="001921B1">
            <w:pPr>
              <w:pStyle w:val="TableText"/>
            </w:pPr>
            <w:r w:rsidRPr="00234329">
              <w:t>410</w:t>
            </w:r>
          </w:p>
        </w:tc>
        <w:tc>
          <w:tcPr>
            <w:tcW w:w="1250" w:type="dxa"/>
          </w:tcPr>
          <w:p w14:paraId="118DD8ED" w14:textId="77777777" w:rsidR="001921B1" w:rsidRDefault="001921B1">
            <w:pPr>
              <w:pStyle w:val="TableText"/>
            </w:pPr>
            <w:r w:rsidRPr="00234329">
              <w:t>426</w:t>
            </w:r>
          </w:p>
        </w:tc>
        <w:tc>
          <w:tcPr>
            <w:tcW w:w="1249" w:type="dxa"/>
          </w:tcPr>
          <w:p w14:paraId="09C7C9A7" w14:textId="77777777" w:rsidR="001921B1" w:rsidRDefault="001921B1">
            <w:pPr>
              <w:pStyle w:val="TableText"/>
            </w:pPr>
            <w:r w:rsidRPr="00234329">
              <w:t>442</w:t>
            </w:r>
          </w:p>
        </w:tc>
        <w:tc>
          <w:tcPr>
            <w:tcW w:w="1249" w:type="dxa"/>
          </w:tcPr>
          <w:p w14:paraId="508FBF11" w14:textId="77777777" w:rsidR="001921B1" w:rsidRDefault="001921B1">
            <w:pPr>
              <w:pStyle w:val="TableText"/>
            </w:pPr>
            <w:r w:rsidRPr="00234329">
              <w:t>459</w:t>
            </w:r>
          </w:p>
        </w:tc>
        <w:tc>
          <w:tcPr>
            <w:tcW w:w="1250" w:type="dxa"/>
          </w:tcPr>
          <w:p w14:paraId="35A1E03E" w14:textId="77777777" w:rsidR="001921B1" w:rsidRDefault="001921B1">
            <w:pPr>
              <w:pStyle w:val="TableText"/>
            </w:pPr>
            <w:r w:rsidRPr="00234329">
              <w:t>476</w:t>
            </w:r>
          </w:p>
        </w:tc>
      </w:tr>
      <w:tr w:rsidR="00932FA7" w14:paraId="3499FCD2" w14:textId="77777777" w:rsidTr="00AF0759">
        <w:trPr>
          <w:cantSplit/>
        </w:trPr>
        <w:tc>
          <w:tcPr>
            <w:tcW w:w="1520" w:type="dxa"/>
          </w:tcPr>
          <w:p w14:paraId="7A838F1E" w14:textId="77777777" w:rsidR="001921B1" w:rsidRPr="003727CE" w:rsidRDefault="001921B1">
            <w:pPr>
              <w:pStyle w:val="TableText"/>
              <w:rPr>
                <w:lang w:eastAsia="en-GB"/>
              </w:rPr>
            </w:pPr>
            <w:r w:rsidRPr="0004446E">
              <w:t>Number of 177Lu-DOTA-octreotate recipients tested with 68Ga-DOTA-octreotate PET/CT (100%)</w:t>
            </w:r>
          </w:p>
        </w:tc>
        <w:tc>
          <w:tcPr>
            <w:tcW w:w="1249" w:type="dxa"/>
          </w:tcPr>
          <w:p w14:paraId="2416678A" w14:textId="77777777" w:rsidR="001921B1" w:rsidRPr="003727CE" w:rsidRDefault="001921B1">
            <w:pPr>
              <w:pStyle w:val="TableText"/>
              <w:rPr>
                <w:lang w:val="en-GB" w:eastAsia="en-GB"/>
              </w:rPr>
            </w:pPr>
            <w:r w:rsidRPr="0004446E">
              <w:t>395</w:t>
            </w:r>
          </w:p>
        </w:tc>
        <w:tc>
          <w:tcPr>
            <w:tcW w:w="1249" w:type="dxa"/>
          </w:tcPr>
          <w:p w14:paraId="0A8ED381" w14:textId="77777777" w:rsidR="001921B1" w:rsidRDefault="001921B1">
            <w:pPr>
              <w:pStyle w:val="TableText"/>
            </w:pPr>
            <w:r w:rsidRPr="0004446E">
              <w:t>410</w:t>
            </w:r>
          </w:p>
        </w:tc>
        <w:tc>
          <w:tcPr>
            <w:tcW w:w="1250" w:type="dxa"/>
          </w:tcPr>
          <w:p w14:paraId="2454C273" w14:textId="77777777" w:rsidR="001921B1" w:rsidRDefault="001921B1">
            <w:pPr>
              <w:pStyle w:val="TableText"/>
            </w:pPr>
            <w:r w:rsidRPr="0004446E">
              <w:t>426</w:t>
            </w:r>
          </w:p>
        </w:tc>
        <w:tc>
          <w:tcPr>
            <w:tcW w:w="1249" w:type="dxa"/>
          </w:tcPr>
          <w:p w14:paraId="62B46D4C" w14:textId="77777777" w:rsidR="001921B1" w:rsidRDefault="001921B1">
            <w:pPr>
              <w:pStyle w:val="TableText"/>
            </w:pPr>
            <w:r w:rsidRPr="0004446E">
              <w:t>442</w:t>
            </w:r>
          </w:p>
        </w:tc>
        <w:tc>
          <w:tcPr>
            <w:tcW w:w="1249" w:type="dxa"/>
          </w:tcPr>
          <w:p w14:paraId="3ED1ED4D" w14:textId="77777777" w:rsidR="001921B1" w:rsidRDefault="001921B1">
            <w:pPr>
              <w:pStyle w:val="TableText"/>
            </w:pPr>
            <w:r w:rsidRPr="0004446E">
              <w:t>459</w:t>
            </w:r>
          </w:p>
        </w:tc>
        <w:tc>
          <w:tcPr>
            <w:tcW w:w="1250" w:type="dxa"/>
          </w:tcPr>
          <w:p w14:paraId="16898402" w14:textId="77777777" w:rsidR="001921B1" w:rsidRDefault="001921B1">
            <w:pPr>
              <w:pStyle w:val="TableText"/>
            </w:pPr>
            <w:r w:rsidRPr="0004446E">
              <w:t>476</w:t>
            </w:r>
          </w:p>
        </w:tc>
      </w:tr>
      <w:tr w:rsidR="00932FA7" w14:paraId="7AFEDDC4" w14:textId="77777777" w:rsidTr="00AF0759">
        <w:trPr>
          <w:cantSplit/>
        </w:trPr>
        <w:tc>
          <w:tcPr>
            <w:tcW w:w="1520" w:type="dxa"/>
          </w:tcPr>
          <w:p w14:paraId="1284D1B1" w14:textId="77777777" w:rsidR="001921B1" w:rsidRPr="003727CE" w:rsidRDefault="001921B1">
            <w:pPr>
              <w:pStyle w:val="TableText"/>
              <w:rPr>
                <w:lang w:eastAsia="en-GB"/>
              </w:rPr>
            </w:pPr>
            <w:r w:rsidRPr="0004446E">
              <w:t>Number of 177Lu-DOTA-octreotate recipients tested with 18F-FDG PET/CT (30%)</w:t>
            </w:r>
          </w:p>
        </w:tc>
        <w:tc>
          <w:tcPr>
            <w:tcW w:w="1249" w:type="dxa"/>
          </w:tcPr>
          <w:p w14:paraId="0C6D3F22" w14:textId="77777777" w:rsidR="001921B1" w:rsidRPr="003727CE" w:rsidRDefault="001921B1">
            <w:pPr>
              <w:pStyle w:val="TableText"/>
              <w:rPr>
                <w:lang w:val="en-GB" w:eastAsia="en-GB"/>
              </w:rPr>
            </w:pPr>
            <w:r w:rsidRPr="0004446E">
              <w:t>118</w:t>
            </w:r>
          </w:p>
        </w:tc>
        <w:tc>
          <w:tcPr>
            <w:tcW w:w="1249" w:type="dxa"/>
          </w:tcPr>
          <w:p w14:paraId="561BA7EF" w14:textId="77777777" w:rsidR="001921B1" w:rsidRDefault="001921B1">
            <w:pPr>
              <w:pStyle w:val="TableText"/>
            </w:pPr>
            <w:r w:rsidRPr="0004446E">
              <w:t>123</w:t>
            </w:r>
          </w:p>
        </w:tc>
        <w:tc>
          <w:tcPr>
            <w:tcW w:w="1250" w:type="dxa"/>
          </w:tcPr>
          <w:p w14:paraId="7E065895" w14:textId="77777777" w:rsidR="001921B1" w:rsidRDefault="001921B1">
            <w:pPr>
              <w:pStyle w:val="TableText"/>
            </w:pPr>
            <w:r w:rsidRPr="0004446E">
              <w:t>128</w:t>
            </w:r>
          </w:p>
        </w:tc>
        <w:tc>
          <w:tcPr>
            <w:tcW w:w="1249" w:type="dxa"/>
          </w:tcPr>
          <w:p w14:paraId="54814763" w14:textId="77777777" w:rsidR="001921B1" w:rsidRDefault="001921B1">
            <w:pPr>
              <w:pStyle w:val="TableText"/>
            </w:pPr>
            <w:r w:rsidRPr="0004446E">
              <w:t>133</w:t>
            </w:r>
          </w:p>
        </w:tc>
        <w:tc>
          <w:tcPr>
            <w:tcW w:w="1249" w:type="dxa"/>
          </w:tcPr>
          <w:p w14:paraId="7E9C7328" w14:textId="77777777" w:rsidR="001921B1" w:rsidRDefault="001921B1">
            <w:pPr>
              <w:pStyle w:val="TableText"/>
            </w:pPr>
            <w:r w:rsidRPr="0004446E">
              <w:t>138</w:t>
            </w:r>
          </w:p>
        </w:tc>
        <w:tc>
          <w:tcPr>
            <w:tcW w:w="1250" w:type="dxa"/>
          </w:tcPr>
          <w:p w14:paraId="52FACFB3" w14:textId="77777777" w:rsidR="001921B1" w:rsidRDefault="001921B1">
            <w:pPr>
              <w:pStyle w:val="TableText"/>
            </w:pPr>
            <w:r w:rsidRPr="0004446E">
              <w:t>143</w:t>
            </w:r>
          </w:p>
        </w:tc>
      </w:tr>
      <w:tr w:rsidR="00932FA7" w14:paraId="48F9F71B" w14:textId="77777777" w:rsidTr="00AF0759">
        <w:trPr>
          <w:cantSplit/>
        </w:trPr>
        <w:tc>
          <w:tcPr>
            <w:tcW w:w="1520" w:type="dxa"/>
          </w:tcPr>
          <w:p w14:paraId="1E8E9CF2" w14:textId="77777777" w:rsidR="001921B1" w:rsidRPr="003727CE" w:rsidRDefault="001921B1">
            <w:pPr>
              <w:pStyle w:val="TableText"/>
              <w:rPr>
                <w:lang w:eastAsia="en-GB"/>
              </w:rPr>
            </w:pPr>
            <w:r w:rsidRPr="0004446E">
              <w:t>Cost to the MBS; treatment drug cost</w:t>
            </w:r>
          </w:p>
        </w:tc>
        <w:tc>
          <w:tcPr>
            <w:tcW w:w="1249" w:type="dxa"/>
            <w:vAlign w:val="center"/>
          </w:tcPr>
          <w:p w14:paraId="6027A363" w14:textId="77777777" w:rsidR="001921B1" w:rsidRPr="003727CE" w:rsidRDefault="001921B1">
            <w:pPr>
              <w:pStyle w:val="TableText"/>
              <w:rPr>
                <w:lang w:val="en-GB" w:eastAsia="en-GB"/>
              </w:rPr>
            </w:pPr>
            <w:r w:rsidRPr="00810ADB">
              <w:rPr>
                <w:color w:val="000000"/>
              </w:rPr>
              <w:t>$</w:t>
            </w:r>
            <w:r>
              <w:rPr>
                <w:rFonts w:cs="Calibri"/>
                <w:color w:val="000000"/>
                <w:szCs w:val="20"/>
              </w:rPr>
              <w:t>14,381,299</w:t>
            </w:r>
          </w:p>
        </w:tc>
        <w:tc>
          <w:tcPr>
            <w:tcW w:w="1249" w:type="dxa"/>
            <w:vAlign w:val="center"/>
          </w:tcPr>
          <w:p w14:paraId="6BB404FF" w14:textId="77777777" w:rsidR="001921B1" w:rsidRDefault="001921B1">
            <w:pPr>
              <w:pStyle w:val="TableText"/>
            </w:pPr>
            <w:r w:rsidRPr="00810ADB">
              <w:rPr>
                <w:color w:val="000000"/>
              </w:rPr>
              <w:t>$</w:t>
            </w:r>
            <w:r>
              <w:rPr>
                <w:rFonts w:cs="Calibri"/>
                <w:color w:val="000000"/>
                <w:szCs w:val="20"/>
              </w:rPr>
              <w:t>14,929,298</w:t>
            </w:r>
          </w:p>
        </w:tc>
        <w:tc>
          <w:tcPr>
            <w:tcW w:w="1250" w:type="dxa"/>
            <w:vAlign w:val="center"/>
          </w:tcPr>
          <w:p w14:paraId="7430AA63" w14:textId="77777777" w:rsidR="001921B1" w:rsidRDefault="001921B1">
            <w:pPr>
              <w:pStyle w:val="TableText"/>
            </w:pPr>
            <w:r w:rsidRPr="00810ADB">
              <w:rPr>
                <w:color w:val="000000"/>
              </w:rPr>
              <w:t>$</w:t>
            </w:r>
            <w:r>
              <w:rPr>
                <w:rFonts w:cs="Calibri"/>
                <w:color w:val="000000"/>
                <w:szCs w:val="20"/>
              </w:rPr>
              <w:t>15,498,178</w:t>
            </w:r>
          </w:p>
        </w:tc>
        <w:tc>
          <w:tcPr>
            <w:tcW w:w="1249" w:type="dxa"/>
            <w:vAlign w:val="center"/>
          </w:tcPr>
          <w:p w14:paraId="0A058CA2" w14:textId="77777777" w:rsidR="001921B1" w:rsidRDefault="001921B1">
            <w:pPr>
              <w:pStyle w:val="TableText"/>
            </w:pPr>
            <w:r w:rsidRPr="00810ADB">
              <w:rPr>
                <w:color w:val="000000"/>
              </w:rPr>
              <w:t>$</w:t>
            </w:r>
            <w:r>
              <w:rPr>
                <w:rFonts w:cs="Calibri"/>
                <w:color w:val="000000"/>
                <w:szCs w:val="20"/>
              </w:rPr>
              <w:t>16,088,736</w:t>
            </w:r>
          </w:p>
        </w:tc>
        <w:tc>
          <w:tcPr>
            <w:tcW w:w="1249" w:type="dxa"/>
            <w:vAlign w:val="center"/>
          </w:tcPr>
          <w:p w14:paraId="11F0CF4A" w14:textId="77777777" w:rsidR="001921B1" w:rsidRDefault="001921B1">
            <w:pPr>
              <w:pStyle w:val="TableText"/>
            </w:pPr>
            <w:r w:rsidRPr="00810ADB">
              <w:rPr>
                <w:color w:val="000000"/>
              </w:rPr>
              <w:t>$</w:t>
            </w:r>
            <w:r>
              <w:rPr>
                <w:rFonts w:cs="Calibri"/>
                <w:color w:val="000000"/>
                <w:szCs w:val="20"/>
              </w:rPr>
              <w:t>16,701,797</w:t>
            </w:r>
          </w:p>
        </w:tc>
        <w:tc>
          <w:tcPr>
            <w:tcW w:w="1250" w:type="dxa"/>
            <w:vAlign w:val="center"/>
          </w:tcPr>
          <w:p w14:paraId="5E4CF258" w14:textId="77777777" w:rsidR="001921B1" w:rsidRDefault="001921B1">
            <w:pPr>
              <w:pStyle w:val="TableText"/>
            </w:pPr>
            <w:r w:rsidRPr="00810ADB">
              <w:rPr>
                <w:color w:val="000000"/>
              </w:rPr>
              <w:t>$</w:t>
            </w:r>
            <w:r>
              <w:rPr>
                <w:rFonts w:cs="Calibri"/>
                <w:color w:val="000000"/>
                <w:szCs w:val="20"/>
              </w:rPr>
              <w:t>17,338,219</w:t>
            </w:r>
          </w:p>
        </w:tc>
      </w:tr>
      <w:tr w:rsidR="00932FA7" w14:paraId="3CE240B6" w14:textId="77777777" w:rsidTr="00AF0759">
        <w:trPr>
          <w:cantSplit/>
        </w:trPr>
        <w:tc>
          <w:tcPr>
            <w:tcW w:w="1520" w:type="dxa"/>
          </w:tcPr>
          <w:p w14:paraId="3889982E" w14:textId="77777777" w:rsidR="001921B1" w:rsidRPr="003727CE" w:rsidRDefault="001921B1">
            <w:pPr>
              <w:pStyle w:val="TableText"/>
              <w:rPr>
                <w:lang w:eastAsia="en-GB"/>
              </w:rPr>
            </w:pPr>
            <w:r w:rsidRPr="0004446E">
              <w:t>Cost to the MBS; diagnostic test cost</w:t>
            </w:r>
          </w:p>
        </w:tc>
        <w:tc>
          <w:tcPr>
            <w:tcW w:w="1249" w:type="dxa"/>
          </w:tcPr>
          <w:p w14:paraId="11A00098" w14:textId="77777777" w:rsidR="001921B1" w:rsidRPr="003727CE" w:rsidRDefault="001921B1">
            <w:pPr>
              <w:pStyle w:val="TableText"/>
              <w:rPr>
                <w:lang w:val="en-GB" w:eastAsia="en-GB"/>
              </w:rPr>
            </w:pPr>
            <w:r w:rsidRPr="0004446E">
              <w:t>$480,074</w:t>
            </w:r>
          </w:p>
        </w:tc>
        <w:tc>
          <w:tcPr>
            <w:tcW w:w="1249" w:type="dxa"/>
          </w:tcPr>
          <w:p w14:paraId="42437F91" w14:textId="77777777" w:rsidR="001921B1" w:rsidRDefault="001921B1">
            <w:pPr>
              <w:pStyle w:val="TableText"/>
            </w:pPr>
            <w:r w:rsidRPr="0004446E">
              <w:t>$498,367</w:t>
            </w:r>
          </w:p>
        </w:tc>
        <w:tc>
          <w:tcPr>
            <w:tcW w:w="1250" w:type="dxa"/>
          </w:tcPr>
          <w:p w14:paraId="3281A7EE" w14:textId="77777777" w:rsidR="001921B1" w:rsidRDefault="001921B1">
            <w:pPr>
              <w:pStyle w:val="TableText"/>
            </w:pPr>
            <w:r w:rsidRPr="0004446E">
              <w:t>$517,357</w:t>
            </w:r>
          </w:p>
        </w:tc>
        <w:tc>
          <w:tcPr>
            <w:tcW w:w="1249" w:type="dxa"/>
          </w:tcPr>
          <w:p w14:paraId="33142F87" w14:textId="77777777" w:rsidR="001921B1" w:rsidRDefault="001921B1">
            <w:pPr>
              <w:pStyle w:val="TableText"/>
            </w:pPr>
            <w:r w:rsidRPr="0004446E">
              <w:t>$537,071</w:t>
            </w:r>
          </w:p>
        </w:tc>
        <w:tc>
          <w:tcPr>
            <w:tcW w:w="1249" w:type="dxa"/>
          </w:tcPr>
          <w:p w14:paraId="28700E42" w14:textId="77777777" w:rsidR="001921B1" w:rsidRDefault="001921B1">
            <w:pPr>
              <w:pStyle w:val="TableText"/>
            </w:pPr>
            <w:r w:rsidRPr="0004446E">
              <w:t>$557,536</w:t>
            </w:r>
          </w:p>
        </w:tc>
        <w:tc>
          <w:tcPr>
            <w:tcW w:w="1250" w:type="dxa"/>
          </w:tcPr>
          <w:p w14:paraId="6DDFC700" w14:textId="77777777" w:rsidR="001921B1" w:rsidRDefault="001921B1">
            <w:pPr>
              <w:pStyle w:val="TableText"/>
            </w:pPr>
            <w:r w:rsidRPr="0004446E">
              <w:t>$578,781</w:t>
            </w:r>
          </w:p>
        </w:tc>
      </w:tr>
      <w:tr w:rsidR="001921B1" w14:paraId="0653F3E2" w14:textId="77777777" w:rsidTr="00AF0759">
        <w:trPr>
          <w:cantSplit/>
        </w:trPr>
        <w:tc>
          <w:tcPr>
            <w:tcW w:w="9016" w:type="dxa"/>
            <w:gridSpan w:val="7"/>
          </w:tcPr>
          <w:p w14:paraId="4ED96DBE" w14:textId="77777777" w:rsidR="001921B1" w:rsidRPr="0004446E" w:rsidRDefault="001921B1">
            <w:pPr>
              <w:pStyle w:val="In-tableHeading"/>
            </w:pPr>
            <w:r w:rsidRPr="009B07CB">
              <w:t>Change in use and cost of other health technologies</w:t>
            </w:r>
          </w:p>
        </w:tc>
      </w:tr>
      <w:tr w:rsidR="0086762D" w14:paraId="7617CD9A" w14:textId="77777777" w:rsidTr="00AF0759">
        <w:trPr>
          <w:cantSplit/>
        </w:trPr>
        <w:tc>
          <w:tcPr>
            <w:tcW w:w="1520" w:type="dxa"/>
          </w:tcPr>
          <w:p w14:paraId="5DBFE11E" w14:textId="77777777" w:rsidR="001921B1" w:rsidRPr="009B07CB" w:rsidRDefault="001921B1">
            <w:pPr>
              <w:pStyle w:val="TableText"/>
            </w:pPr>
            <w:r w:rsidRPr="006057CA">
              <w:t>Change in use of comparator and other</w:t>
            </w:r>
          </w:p>
        </w:tc>
        <w:tc>
          <w:tcPr>
            <w:tcW w:w="7496" w:type="dxa"/>
            <w:gridSpan w:val="6"/>
          </w:tcPr>
          <w:p w14:paraId="252C28B2" w14:textId="77777777" w:rsidR="001921B1" w:rsidRDefault="001921B1">
            <w:pPr>
              <w:pStyle w:val="TableText"/>
            </w:pPr>
            <w:r>
              <w:t>N/A</w:t>
            </w:r>
          </w:p>
          <w:p w14:paraId="2A22049D" w14:textId="77777777" w:rsidR="001921B1" w:rsidRPr="0004446E" w:rsidRDefault="001921B1">
            <w:pPr>
              <w:pStyle w:val="TableText"/>
            </w:pPr>
            <w:r>
              <w:t>177Lu-DOTA-octreotate proposed as an add-on therapy</w:t>
            </w:r>
          </w:p>
        </w:tc>
      </w:tr>
      <w:tr w:rsidR="00932FA7" w14:paraId="33B2A345" w14:textId="77777777" w:rsidTr="00AF0759">
        <w:trPr>
          <w:cantSplit/>
        </w:trPr>
        <w:tc>
          <w:tcPr>
            <w:tcW w:w="1520" w:type="dxa"/>
          </w:tcPr>
          <w:p w14:paraId="0A379398" w14:textId="77777777" w:rsidR="001921B1" w:rsidRPr="001053EF" w:rsidRDefault="001921B1">
            <w:pPr>
              <w:pStyle w:val="TableText"/>
              <w:rPr>
                <w:b/>
                <w:bCs/>
              </w:rPr>
            </w:pPr>
            <w:r w:rsidRPr="001053EF">
              <w:rPr>
                <w:b/>
                <w:bCs/>
              </w:rPr>
              <w:t>Net financial impact to the MBS</w:t>
            </w:r>
          </w:p>
        </w:tc>
        <w:tc>
          <w:tcPr>
            <w:tcW w:w="1249" w:type="dxa"/>
            <w:vAlign w:val="center"/>
          </w:tcPr>
          <w:p w14:paraId="1125F16F" w14:textId="77777777" w:rsidR="001921B1" w:rsidRPr="0004446E" w:rsidRDefault="001921B1">
            <w:pPr>
              <w:pStyle w:val="TableText"/>
            </w:pPr>
            <w:r>
              <w:rPr>
                <w:rFonts w:cs="Calibri"/>
                <w:b/>
                <w:bCs/>
                <w:color w:val="000000"/>
                <w:szCs w:val="20"/>
              </w:rPr>
              <w:t>$14,861,372</w:t>
            </w:r>
          </w:p>
        </w:tc>
        <w:tc>
          <w:tcPr>
            <w:tcW w:w="1249" w:type="dxa"/>
            <w:vAlign w:val="center"/>
          </w:tcPr>
          <w:p w14:paraId="77ABE02D" w14:textId="77777777" w:rsidR="001921B1" w:rsidRPr="0004446E" w:rsidRDefault="001921B1">
            <w:pPr>
              <w:pStyle w:val="TableText"/>
            </w:pPr>
            <w:r>
              <w:rPr>
                <w:rFonts w:cs="Calibri"/>
                <w:b/>
                <w:bCs/>
                <w:color w:val="000000"/>
                <w:szCs w:val="20"/>
              </w:rPr>
              <w:t>$15,427,665</w:t>
            </w:r>
          </w:p>
        </w:tc>
        <w:tc>
          <w:tcPr>
            <w:tcW w:w="1250" w:type="dxa"/>
            <w:vAlign w:val="center"/>
          </w:tcPr>
          <w:p w14:paraId="17C408AC" w14:textId="77777777" w:rsidR="001921B1" w:rsidRPr="0004446E" w:rsidRDefault="001921B1">
            <w:pPr>
              <w:pStyle w:val="TableText"/>
            </w:pPr>
            <w:r>
              <w:rPr>
                <w:rFonts w:cs="Calibri"/>
                <w:b/>
                <w:bCs/>
                <w:color w:val="000000"/>
                <w:szCs w:val="20"/>
              </w:rPr>
              <w:t>$16,015,535</w:t>
            </w:r>
          </w:p>
        </w:tc>
        <w:tc>
          <w:tcPr>
            <w:tcW w:w="1249" w:type="dxa"/>
            <w:vAlign w:val="center"/>
          </w:tcPr>
          <w:p w14:paraId="568D7EBB" w14:textId="77777777" w:rsidR="001921B1" w:rsidRPr="0004446E" w:rsidRDefault="001921B1">
            <w:pPr>
              <w:pStyle w:val="TableText"/>
            </w:pPr>
            <w:r>
              <w:rPr>
                <w:rFonts w:cs="Calibri"/>
                <w:b/>
                <w:bCs/>
                <w:color w:val="000000"/>
                <w:szCs w:val="20"/>
              </w:rPr>
              <w:t>$16,625,807</w:t>
            </w:r>
          </w:p>
        </w:tc>
        <w:tc>
          <w:tcPr>
            <w:tcW w:w="1249" w:type="dxa"/>
            <w:vAlign w:val="center"/>
          </w:tcPr>
          <w:p w14:paraId="0D43BA62" w14:textId="77777777" w:rsidR="001921B1" w:rsidRPr="0004446E" w:rsidRDefault="001921B1">
            <w:pPr>
              <w:pStyle w:val="TableText"/>
            </w:pPr>
            <w:r>
              <w:rPr>
                <w:rFonts w:cs="Calibri"/>
                <w:b/>
                <w:bCs/>
                <w:color w:val="000000"/>
                <w:szCs w:val="20"/>
              </w:rPr>
              <w:t>$17,259,333</w:t>
            </w:r>
          </w:p>
        </w:tc>
        <w:tc>
          <w:tcPr>
            <w:tcW w:w="1250" w:type="dxa"/>
            <w:vAlign w:val="center"/>
          </w:tcPr>
          <w:p w14:paraId="7A51EB09" w14:textId="77777777" w:rsidR="001921B1" w:rsidRPr="0004446E" w:rsidRDefault="001921B1">
            <w:pPr>
              <w:pStyle w:val="TableText"/>
            </w:pPr>
            <w:r>
              <w:rPr>
                <w:rFonts w:cs="Calibri"/>
                <w:b/>
                <w:bCs/>
                <w:color w:val="000000"/>
                <w:szCs w:val="20"/>
              </w:rPr>
              <w:t>$17,917,000</w:t>
            </w:r>
          </w:p>
        </w:tc>
      </w:tr>
      <w:tr w:rsidR="00F363D2" w14:paraId="27E0580B" w14:textId="77777777" w:rsidTr="00AF0759">
        <w:trPr>
          <w:cantSplit/>
        </w:trPr>
        <w:tc>
          <w:tcPr>
            <w:tcW w:w="9016" w:type="dxa"/>
            <w:gridSpan w:val="7"/>
          </w:tcPr>
          <w:p w14:paraId="5BBAC9E6" w14:textId="38C6C95F" w:rsidR="00F363D2" w:rsidRPr="00381878" w:rsidRDefault="00F363D2" w:rsidP="00F363D2">
            <w:pPr>
              <w:pStyle w:val="TableText"/>
              <w:rPr>
                <w:rFonts w:cs="Calibri"/>
                <w:b/>
                <w:bCs/>
                <w:i/>
                <w:iCs/>
                <w:color w:val="000000"/>
                <w:szCs w:val="20"/>
              </w:rPr>
            </w:pPr>
            <w:r w:rsidRPr="00381878">
              <w:rPr>
                <w:rFonts w:cs="Calibri"/>
                <w:b/>
                <w:bCs/>
                <w:i/>
                <w:iCs/>
                <w:color w:val="000000"/>
                <w:szCs w:val="20"/>
              </w:rPr>
              <w:t>ESC additional sensitivity analyses: net financial impact to MBS</w:t>
            </w:r>
          </w:p>
        </w:tc>
      </w:tr>
      <w:tr w:rsidR="00F363D2" w14:paraId="71C54722" w14:textId="77777777" w:rsidTr="00AF0759">
        <w:trPr>
          <w:cantSplit/>
        </w:trPr>
        <w:tc>
          <w:tcPr>
            <w:tcW w:w="1520" w:type="dxa"/>
          </w:tcPr>
          <w:p w14:paraId="29E1D6E7" w14:textId="43FC3C68" w:rsidR="00F363D2" w:rsidRPr="00381878" w:rsidRDefault="00F363D2" w:rsidP="00C561D7">
            <w:pPr>
              <w:pStyle w:val="TableText"/>
              <w:numPr>
                <w:ilvl w:val="0"/>
                <w:numId w:val="29"/>
              </w:numPr>
              <w:ind w:left="0" w:firstLine="0"/>
              <w:rPr>
                <w:i/>
                <w:iCs/>
              </w:rPr>
            </w:pPr>
            <w:r w:rsidRPr="00381878">
              <w:rPr>
                <w:i/>
                <w:iCs/>
                <w:lang w:val="en-GB" w:eastAsia="en-GB"/>
              </w:rPr>
              <w:t xml:space="preserve"> 80% of incident population incurs diagnostic test cost</w:t>
            </w:r>
          </w:p>
        </w:tc>
        <w:tc>
          <w:tcPr>
            <w:tcW w:w="1249" w:type="dxa"/>
            <w:vAlign w:val="center"/>
          </w:tcPr>
          <w:p w14:paraId="57FE25B9" w14:textId="08F6E3B3" w:rsidR="00F363D2" w:rsidRPr="00381878" w:rsidRDefault="00F363D2" w:rsidP="00F363D2">
            <w:pPr>
              <w:pStyle w:val="TableText"/>
              <w:rPr>
                <w:rFonts w:cs="Calibri"/>
                <w:i/>
                <w:iCs/>
                <w:color w:val="000000"/>
                <w:szCs w:val="20"/>
              </w:rPr>
            </w:pPr>
            <w:r>
              <w:rPr>
                <w:rFonts w:cs="Calibri"/>
                <w:i/>
                <w:iCs/>
                <w:color w:val="000000"/>
                <w:szCs w:val="20"/>
              </w:rPr>
              <w:t>$12,677,204</w:t>
            </w:r>
          </w:p>
        </w:tc>
        <w:tc>
          <w:tcPr>
            <w:tcW w:w="1249" w:type="dxa"/>
            <w:vAlign w:val="center"/>
          </w:tcPr>
          <w:p w14:paraId="4BFA00D3" w14:textId="0289F09F" w:rsidR="00F363D2" w:rsidRPr="00381878" w:rsidRDefault="00F363D2" w:rsidP="00F363D2">
            <w:pPr>
              <w:pStyle w:val="TableText"/>
              <w:rPr>
                <w:rFonts w:cs="Calibri"/>
                <w:i/>
                <w:iCs/>
                <w:color w:val="000000"/>
                <w:szCs w:val="20"/>
              </w:rPr>
            </w:pPr>
            <w:r>
              <w:rPr>
                <w:rFonts w:cs="Calibri"/>
                <w:i/>
                <w:iCs/>
                <w:color w:val="000000"/>
                <w:szCs w:val="20"/>
              </w:rPr>
              <w:t>$13,160,269</w:t>
            </w:r>
          </w:p>
        </w:tc>
        <w:tc>
          <w:tcPr>
            <w:tcW w:w="1250" w:type="dxa"/>
            <w:vAlign w:val="center"/>
          </w:tcPr>
          <w:p w14:paraId="50FE7797" w14:textId="00E0A5C9" w:rsidR="00F363D2" w:rsidRPr="00381878" w:rsidRDefault="00F363D2" w:rsidP="00F363D2">
            <w:pPr>
              <w:pStyle w:val="TableText"/>
              <w:rPr>
                <w:rFonts w:cs="Calibri"/>
                <w:i/>
                <w:iCs/>
                <w:color w:val="000000"/>
                <w:szCs w:val="20"/>
              </w:rPr>
            </w:pPr>
            <w:r>
              <w:rPr>
                <w:rFonts w:cs="Calibri"/>
                <w:i/>
                <w:iCs/>
                <w:color w:val="000000"/>
                <w:szCs w:val="20"/>
              </w:rPr>
              <w:t>$13,661,741</w:t>
            </w:r>
          </w:p>
        </w:tc>
        <w:tc>
          <w:tcPr>
            <w:tcW w:w="1249" w:type="dxa"/>
            <w:vAlign w:val="center"/>
          </w:tcPr>
          <w:p w14:paraId="4D3ECCFF" w14:textId="4544AEF8" w:rsidR="00F363D2" w:rsidRPr="00381878" w:rsidRDefault="00F363D2" w:rsidP="00F363D2">
            <w:pPr>
              <w:pStyle w:val="TableText"/>
              <w:rPr>
                <w:rFonts w:cs="Calibri"/>
                <w:i/>
                <w:iCs/>
                <w:color w:val="000000"/>
                <w:szCs w:val="20"/>
              </w:rPr>
            </w:pPr>
            <w:r>
              <w:rPr>
                <w:rFonts w:cs="Calibri"/>
                <w:i/>
                <w:iCs/>
                <w:color w:val="000000"/>
                <w:szCs w:val="20"/>
              </w:rPr>
              <w:t>$14,182,321</w:t>
            </w:r>
          </w:p>
        </w:tc>
        <w:tc>
          <w:tcPr>
            <w:tcW w:w="1249" w:type="dxa"/>
            <w:vAlign w:val="center"/>
          </w:tcPr>
          <w:p w14:paraId="7D4B371D" w14:textId="76F92B3D" w:rsidR="00F363D2" w:rsidRPr="00381878" w:rsidRDefault="00F363D2" w:rsidP="00F363D2">
            <w:pPr>
              <w:pStyle w:val="TableText"/>
              <w:rPr>
                <w:rFonts w:cs="Calibri"/>
                <w:i/>
                <w:iCs/>
                <w:color w:val="000000"/>
                <w:szCs w:val="20"/>
              </w:rPr>
            </w:pPr>
            <w:r>
              <w:rPr>
                <w:rFonts w:cs="Calibri"/>
                <w:i/>
                <w:iCs/>
                <w:color w:val="000000"/>
                <w:szCs w:val="20"/>
              </w:rPr>
              <w:t>$14,722,738</w:t>
            </w:r>
          </w:p>
        </w:tc>
        <w:tc>
          <w:tcPr>
            <w:tcW w:w="1250" w:type="dxa"/>
            <w:vAlign w:val="center"/>
          </w:tcPr>
          <w:p w14:paraId="498E43A1" w14:textId="4FFCB760" w:rsidR="00F363D2" w:rsidRPr="00381878" w:rsidRDefault="00F363D2" w:rsidP="00F363D2">
            <w:pPr>
              <w:pStyle w:val="TableText"/>
              <w:rPr>
                <w:rFonts w:cs="Calibri"/>
                <w:i/>
                <w:iCs/>
                <w:color w:val="000000"/>
                <w:szCs w:val="20"/>
              </w:rPr>
            </w:pPr>
            <w:r>
              <w:rPr>
                <w:rFonts w:cs="Calibri"/>
                <w:i/>
                <w:iCs/>
                <w:color w:val="000000"/>
                <w:szCs w:val="20"/>
              </w:rPr>
              <w:t>$15,283,748</w:t>
            </w:r>
          </w:p>
        </w:tc>
      </w:tr>
      <w:tr w:rsidR="00F363D2" w14:paraId="71BFD450" w14:textId="77777777" w:rsidTr="00AF0759">
        <w:trPr>
          <w:cantSplit/>
        </w:trPr>
        <w:tc>
          <w:tcPr>
            <w:tcW w:w="1520" w:type="dxa"/>
          </w:tcPr>
          <w:p w14:paraId="3A2C369A" w14:textId="2D13AD3A" w:rsidR="00F363D2" w:rsidRPr="00381878" w:rsidRDefault="00F363D2" w:rsidP="00C561D7">
            <w:pPr>
              <w:pStyle w:val="TableText"/>
              <w:numPr>
                <w:ilvl w:val="0"/>
                <w:numId w:val="29"/>
              </w:numPr>
              <w:ind w:left="0" w:firstLine="0"/>
              <w:rPr>
                <w:i/>
                <w:iCs/>
              </w:rPr>
            </w:pPr>
            <w:r w:rsidRPr="00381878">
              <w:rPr>
                <w:i/>
                <w:iCs/>
              </w:rPr>
              <w:t xml:space="preserve">Number of 177Lu-DOTA-octreotate = 4.0 (3.5 base case) </w:t>
            </w:r>
          </w:p>
        </w:tc>
        <w:tc>
          <w:tcPr>
            <w:tcW w:w="1249" w:type="dxa"/>
            <w:vAlign w:val="center"/>
          </w:tcPr>
          <w:p w14:paraId="4D3786B0" w14:textId="1EF8FDDE" w:rsidR="00F363D2" w:rsidRPr="00381878" w:rsidRDefault="00F363D2" w:rsidP="00F363D2">
            <w:pPr>
              <w:pStyle w:val="TableText"/>
              <w:rPr>
                <w:rFonts w:cs="Calibri"/>
                <w:i/>
                <w:iCs/>
                <w:color w:val="000000"/>
                <w:szCs w:val="20"/>
              </w:rPr>
            </w:pPr>
            <w:r>
              <w:rPr>
                <w:rFonts w:cs="Calibri"/>
                <w:i/>
                <w:iCs/>
                <w:color w:val="000000"/>
                <w:szCs w:val="20"/>
              </w:rPr>
              <w:t>$8,401,325</w:t>
            </w:r>
          </w:p>
        </w:tc>
        <w:tc>
          <w:tcPr>
            <w:tcW w:w="1249" w:type="dxa"/>
            <w:vAlign w:val="center"/>
          </w:tcPr>
          <w:p w14:paraId="6636F87C" w14:textId="512FEDC9" w:rsidR="00F363D2" w:rsidRPr="00381878" w:rsidRDefault="00F363D2" w:rsidP="00F363D2">
            <w:pPr>
              <w:pStyle w:val="TableText"/>
              <w:rPr>
                <w:rFonts w:cs="Calibri"/>
                <w:i/>
                <w:iCs/>
                <w:color w:val="000000"/>
                <w:szCs w:val="20"/>
              </w:rPr>
            </w:pPr>
            <w:r>
              <w:rPr>
                <w:rFonts w:cs="Calibri"/>
                <w:i/>
                <w:iCs/>
                <w:color w:val="000000"/>
                <w:szCs w:val="20"/>
              </w:rPr>
              <w:t>$8,721,457</w:t>
            </w:r>
          </w:p>
        </w:tc>
        <w:tc>
          <w:tcPr>
            <w:tcW w:w="1250" w:type="dxa"/>
            <w:vAlign w:val="center"/>
          </w:tcPr>
          <w:p w14:paraId="65E79220" w14:textId="36C22471" w:rsidR="00F363D2" w:rsidRPr="00381878" w:rsidRDefault="00F363D2" w:rsidP="00F363D2">
            <w:pPr>
              <w:pStyle w:val="TableText"/>
              <w:rPr>
                <w:rFonts w:cs="Calibri"/>
                <w:i/>
                <w:iCs/>
                <w:color w:val="000000"/>
                <w:szCs w:val="20"/>
              </w:rPr>
            </w:pPr>
            <w:r>
              <w:rPr>
                <w:rFonts w:cs="Calibri"/>
                <w:i/>
                <w:iCs/>
                <w:color w:val="000000"/>
                <w:szCs w:val="20"/>
              </w:rPr>
              <w:t>$9,053,788</w:t>
            </w:r>
          </w:p>
        </w:tc>
        <w:tc>
          <w:tcPr>
            <w:tcW w:w="1249" w:type="dxa"/>
            <w:vAlign w:val="center"/>
          </w:tcPr>
          <w:p w14:paraId="7FDDB0BC" w14:textId="50FCD685" w:rsidR="00F363D2" w:rsidRPr="00381878" w:rsidRDefault="00F363D2" w:rsidP="00F363D2">
            <w:pPr>
              <w:pStyle w:val="TableText"/>
              <w:rPr>
                <w:rFonts w:cs="Calibri"/>
                <w:i/>
                <w:iCs/>
                <w:color w:val="000000"/>
                <w:szCs w:val="20"/>
              </w:rPr>
            </w:pPr>
            <w:r>
              <w:rPr>
                <w:rFonts w:cs="Calibri"/>
                <w:i/>
                <w:iCs/>
                <w:color w:val="000000"/>
                <w:szCs w:val="20"/>
              </w:rPr>
              <w:t>$9,398,782</w:t>
            </w:r>
          </w:p>
        </w:tc>
        <w:tc>
          <w:tcPr>
            <w:tcW w:w="1249" w:type="dxa"/>
            <w:vAlign w:val="center"/>
          </w:tcPr>
          <w:p w14:paraId="76D217B3" w14:textId="0EBE937F" w:rsidR="00F363D2" w:rsidRPr="00381878" w:rsidRDefault="00F363D2" w:rsidP="00F363D2">
            <w:pPr>
              <w:pStyle w:val="TableText"/>
              <w:rPr>
                <w:rFonts w:cs="Calibri"/>
                <w:i/>
                <w:iCs/>
                <w:color w:val="000000"/>
                <w:szCs w:val="20"/>
              </w:rPr>
            </w:pPr>
            <w:r>
              <w:rPr>
                <w:rFonts w:cs="Calibri"/>
                <w:i/>
                <w:iCs/>
                <w:color w:val="000000"/>
                <w:szCs w:val="20"/>
              </w:rPr>
              <w:t>$9,756,923</w:t>
            </w:r>
          </w:p>
        </w:tc>
        <w:tc>
          <w:tcPr>
            <w:tcW w:w="1250" w:type="dxa"/>
            <w:vAlign w:val="center"/>
          </w:tcPr>
          <w:p w14:paraId="74E43485" w14:textId="402D272F" w:rsidR="00F363D2" w:rsidRPr="00381878" w:rsidRDefault="00F363D2" w:rsidP="00F363D2">
            <w:pPr>
              <w:pStyle w:val="TableText"/>
              <w:rPr>
                <w:rFonts w:cs="Calibri"/>
                <w:i/>
                <w:iCs/>
                <w:color w:val="000000"/>
                <w:szCs w:val="20"/>
              </w:rPr>
            </w:pPr>
            <w:r>
              <w:rPr>
                <w:rFonts w:cs="Calibri"/>
                <w:i/>
                <w:iCs/>
                <w:color w:val="000000"/>
                <w:szCs w:val="20"/>
              </w:rPr>
              <w:t>$10,128,710</w:t>
            </w:r>
          </w:p>
        </w:tc>
      </w:tr>
      <w:tr w:rsidR="00F363D2" w14:paraId="03B016A0" w14:textId="77777777" w:rsidTr="00AF0759">
        <w:trPr>
          <w:cantSplit/>
        </w:trPr>
        <w:tc>
          <w:tcPr>
            <w:tcW w:w="1520" w:type="dxa"/>
          </w:tcPr>
          <w:p w14:paraId="34C026A8" w14:textId="1F450AD2" w:rsidR="00F363D2" w:rsidRPr="00381878" w:rsidRDefault="00F363D2" w:rsidP="00C561D7">
            <w:pPr>
              <w:pStyle w:val="TableText"/>
              <w:numPr>
                <w:ilvl w:val="0"/>
                <w:numId w:val="29"/>
              </w:numPr>
              <w:ind w:left="0" w:firstLine="0"/>
              <w:rPr>
                <w:i/>
                <w:iCs/>
              </w:rPr>
            </w:pPr>
            <w:r w:rsidRPr="00381878">
              <w:rPr>
                <w:i/>
                <w:iCs/>
              </w:rPr>
              <w:t xml:space="preserve">#1 and uptake of </w:t>
            </w:r>
            <w:r w:rsidRPr="00381878">
              <w:rPr>
                <w:i/>
                <w:iCs/>
                <w:vertAlign w:val="superscript"/>
              </w:rPr>
              <w:t>177</w:t>
            </w:r>
            <w:r w:rsidRPr="00381878">
              <w:rPr>
                <w:i/>
                <w:iCs/>
              </w:rPr>
              <w:t>Lu-DOTA-octreotate is doubled</w:t>
            </w:r>
          </w:p>
        </w:tc>
        <w:tc>
          <w:tcPr>
            <w:tcW w:w="1249" w:type="dxa"/>
            <w:vAlign w:val="center"/>
          </w:tcPr>
          <w:p w14:paraId="4A97BFD1" w14:textId="06AFAD0A" w:rsidR="00F363D2" w:rsidRPr="00381878" w:rsidRDefault="00F363D2" w:rsidP="00F363D2">
            <w:pPr>
              <w:pStyle w:val="TableText"/>
              <w:rPr>
                <w:rFonts w:cs="Calibri"/>
                <w:i/>
                <w:iCs/>
                <w:color w:val="000000"/>
                <w:szCs w:val="20"/>
              </w:rPr>
            </w:pPr>
            <w:r>
              <w:rPr>
                <w:rFonts w:cs="Calibri"/>
                <w:i/>
                <w:iCs/>
                <w:color w:val="000000"/>
                <w:szCs w:val="20"/>
              </w:rPr>
              <w:t>$19,867,854</w:t>
            </w:r>
          </w:p>
        </w:tc>
        <w:tc>
          <w:tcPr>
            <w:tcW w:w="1249" w:type="dxa"/>
            <w:vAlign w:val="center"/>
          </w:tcPr>
          <w:p w14:paraId="3AA68506" w14:textId="1C8E0D63" w:rsidR="00F363D2" w:rsidRPr="00381878" w:rsidRDefault="00F363D2" w:rsidP="00F363D2">
            <w:pPr>
              <w:pStyle w:val="TableText"/>
              <w:rPr>
                <w:rFonts w:cs="Calibri"/>
                <w:i/>
                <w:iCs/>
                <w:color w:val="000000"/>
                <w:szCs w:val="20"/>
              </w:rPr>
            </w:pPr>
            <w:r>
              <w:rPr>
                <w:rFonts w:cs="Calibri"/>
                <w:i/>
                <w:iCs/>
                <w:color w:val="000000"/>
                <w:szCs w:val="20"/>
              </w:rPr>
              <w:t>$20,624,918</w:t>
            </w:r>
          </w:p>
        </w:tc>
        <w:tc>
          <w:tcPr>
            <w:tcW w:w="1250" w:type="dxa"/>
            <w:vAlign w:val="center"/>
          </w:tcPr>
          <w:p w14:paraId="214A17B1" w14:textId="10A43DA6" w:rsidR="00F363D2" w:rsidRPr="00381878" w:rsidRDefault="00F363D2" w:rsidP="00F363D2">
            <w:pPr>
              <w:pStyle w:val="TableText"/>
              <w:rPr>
                <w:rFonts w:cs="Calibri"/>
                <w:i/>
                <w:iCs/>
                <w:color w:val="000000"/>
                <w:szCs w:val="20"/>
              </w:rPr>
            </w:pPr>
            <w:r>
              <w:rPr>
                <w:rFonts w:cs="Calibri"/>
                <w:i/>
                <w:iCs/>
                <w:color w:val="000000"/>
                <w:szCs w:val="20"/>
              </w:rPr>
              <w:t>$21,410,830</w:t>
            </w:r>
          </w:p>
        </w:tc>
        <w:tc>
          <w:tcPr>
            <w:tcW w:w="1249" w:type="dxa"/>
            <w:vAlign w:val="center"/>
          </w:tcPr>
          <w:p w14:paraId="327B92FB" w14:textId="07DDC301" w:rsidR="00F363D2" w:rsidRPr="00381878" w:rsidRDefault="00F363D2" w:rsidP="00F363D2">
            <w:pPr>
              <w:pStyle w:val="TableText"/>
              <w:rPr>
                <w:rFonts w:cs="Calibri"/>
                <w:i/>
                <w:iCs/>
                <w:color w:val="000000"/>
                <w:szCs w:val="20"/>
              </w:rPr>
            </w:pPr>
            <w:r>
              <w:rPr>
                <w:rFonts w:cs="Calibri"/>
                <w:i/>
                <w:iCs/>
                <w:color w:val="000000"/>
                <w:szCs w:val="20"/>
              </w:rPr>
              <w:t>$22,226,689</w:t>
            </w:r>
          </w:p>
        </w:tc>
        <w:tc>
          <w:tcPr>
            <w:tcW w:w="1249" w:type="dxa"/>
            <w:vAlign w:val="center"/>
          </w:tcPr>
          <w:p w14:paraId="49C26B11" w14:textId="618EAB98" w:rsidR="00F363D2" w:rsidRPr="00381878" w:rsidRDefault="00F363D2" w:rsidP="00F363D2">
            <w:pPr>
              <w:pStyle w:val="TableText"/>
              <w:rPr>
                <w:rFonts w:cs="Calibri"/>
                <w:i/>
                <w:iCs/>
                <w:color w:val="000000"/>
                <w:szCs w:val="20"/>
              </w:rPr>
            </w:pPr>
            <w:r>
              <w:rPr>
                <w:rFonts w:cs="Calibri"/>
                <w:i/>
                <w:iCs/>
                <w:color w:val="000000"/>
                <w:szCs w:val="20"/>
              </w:rPr>
              <w:t>$23,073,637</w:t>
            </w:r>
          </w:p>
        </w:tc>
        <w:tc>
          <w:tcPr>
            <w:tcW w:w="1250" w:type="dxa"/>
            <w:vAlign w:val="center"/>
          </w:tcPr>
          <w:p w14:paraId="42925ABF" w14:textId="3959C2D5" w:rsidR="00F363D2" w:rsidRPr="00381878" w:rsidRDefault="00F363D2" w:rsidP="00F363D2">
            <w:pPr>
              <w:pStyle w:val="TableText"/>
              <w:rPr>
                <w:rFonts w:cs="Calibri"/>
                <w:i/>
                <w:iCs/>
                <w:color w:val="000000"/>
                <w:szCs w:val="20"/>
              </w:rPr>
            </w:pPr>
            <w:r w:rsidRPr="00235B06">
              <w:rPr>
                <w:i/>
                <w:color w:val="000000" w:themeColor="text1"/>
              </w:rPr>
              <w:t>$23,952,857</w:t>
            </w:r>
          </w:p>
        </w:tc>
      </w:tr>
    </w:tbl>
    <w:p w14:paraId="5FC20DF2" w14:textId="77370A5A" w:rsidR="000B228E" w:rsidRDefault="001921B1" w:rsidP="00C866EB">
      <w:pPr>
        <w:pStyle w:val="Tablenotes0"/>
      </w:pPr>
      <w:r>
        <w:t>Abbreviations: CT = computed tomography; FDG =</w:t>
      </w:r>
      <w:r w:rsidRPr="00CF7C77">
        <w:t xml:space="preserve"> </w:t>
      </w:r>
      <w:r>
        <w:t>f</w:t>
      </w:r>
      <w:r w:rsidRPr="00CF7C77">
        <w:t>luorodeoxyglucose</w:t>
      </w:r>
      <w:r>
        <w:t>; MBS = Medicare Benefits Schedule; N/A = not applicable; NEN = neuroendocrine neoplasm; PET = positron emission tomography.</w:t>
      </w:r>
    </w:p>
    <w:p w14:paraId="33121466" w14:textId="77777777" w:rsidR="000B228E" w:rsidRDefault="000B228E" w:rsidP="000D4ABE">
      <w:pPr>
        <w:pStyle w:val="Heading2"/>
        <w:numPr>
          <w:ilvl w:val="0"/>
          <w:numId w:val="0"/>
        </w:numPr>
        <w:spacing w:after="120"/>
      </w:pPr>
      <w:bookmarkStart w:id="116" w:name="_Toc69491427"/>
      <w:r>
        <w:lastRenderedPageBreak/>
        <w:t>15.</w:t>
      </w:r>
      <w:r>
        <w:tab/>
      </w:r>
      <w:r w:rsidRPr="00CE28E3">
        <w:t xml:space="preserve">Other relevant </w:t>
      </w:r>
      <w:bookmarkEnd w:id="116"/>
      <w:r>
        <w:t>information</w:t>
      </w:r>
    </w:p>
    <w:p w14:paraId="7F6611FC" w14:textId="652EA14B" w:rsidR="001B421A" w:rsidRPr="001B421A" w:rsidRDefault="000B228E" w:rsidP="000D4ABE">
      <w:pPr>
        <w:pStyle w:val="Tablenotes0"/>
        <w:spacing w:after="120"/>
        <w:contextualSpacing w:val="0"/>
        <w:rPr>
          <w:rFonts w:ascii="Franklin Gothic Book" w:hAnsi="Franklin Gothic Book"/>
          <w:sz w:val="22"/>
        </w:rPr>
      </w:pPr>
      <w:r w:rsidRPr="001B421A">
        <w:rPr>
          <w:rFonts w:ascii="Franklin Gothic Book" w:hAnsi="Franklin Gothic Book"/>
          <w:sz w:val="22"/>
        </w:rPr>
        <w:t xml:space="preserve">Nil. </w:t>
      </w:r>
    </w:p>
    <w:p w14:paraId="32991538" w14:textId="77777777" w:rsidR="001B421A" w:rsidRDefault="001B421A" w:rsidP="000D4ABE">
      <w:pPr>
        <w:pStyle w:val="Heading2"/>
        <w:numPr>
          <w:ilvl w:val="0"/>
          <w:numId w:val="0"/>
        </w:numPr>
        <w:spacing w:before="120" w:after="120"/>
      </w:pPr>
      <w:bookmarkStart w:id="117" w:name="_Toc145678765"/>
      <w:bookmarkStart w:id="118" w:name="_Toc150172410"/>
      <w:bookmarkStart w:id="119" w:name="_Toc153462785"/>
      <w:r>
        <w:t>16.</w:t>
      </w:r>
      <w:r>
        <w:tab/>
        <w:t>Key issues from ESC to MSAC</w:t>
      </w:r>
    </w:p>
    <w:bookmarkEnd w:id="117"/>
    <w:bookmarkEnd w:id="118"/>
    <w:bookmarkEnd w:id="119"/>
    <w:p w14:paraId="3E4D8EC8" w14:textId="77777777" w:rsidR="000B228E" w:rsidRPr="00D934CD" w:rsidRDefault="000B228E" w:rsidP="000D4ABE">
      <w:pPr>
        <w:keepNext/>
        <w:pBdr>
          <w:top w:val="single" w:sz="4" w:space="4" w:color="000000"/>
          <w:left w:val="single" w:sz="4" w:space="4" w:color="000000"/>
          <w:bottom w:val="single" w:sz="4" w:space="4" w:color="000000"/>
          <w:right w:val="single" w:sz="4" w:space="4" w:color="000000"/>
        </w:pBdr>
        <w:spacing w:before="240" w:after="120" w:line="240" w:lineRule="auto"/>
        <w:ind w:left="1077" w:hanging="1077"/>
        <w:rPr>
          <w:rFonts w:eastAsia="Times New Roman" w:cs="Times New Roman"/>
          <w:b/>
          <w:bCs/>
          <w:color w:val="000000"/>
          <w:sz w:val="24"/>
          <w:szCs w:val="20"/>
          <w:lang w:eastAsia="en-AU"/>
        </w:rPr>
      </w:pPr>
      <w:r w:rsidRPr="00D934CD">
        <w:rPr>
          <w:rFonts w:eastAsia="Times New Roman" w:cs="Times New Roman"/>
          <w:b/>
          <w:bCs/>
          <w:color w:val="000000"/>
          <w:sz w:val="24"/>
          <w:szCs w:val="20"/>
          <w:lang w:eastAsia="en-AU"/>
        </w:rPr>
        <w:t>Main issues for MSAC consideration</w:t>
      </w:r>
    </w:p>
    <w:p w14:paraId="406B54A4" w14:textId="77777777" w:rsidR="000B228E" w:rsidRPr="00D934CD" w:rsidRDefault="000B228E" w:rsidP="000D4ABE">
      <w:pPr>
        <w:keepNext/>
        <w:pBdr>
          <w:top w:val="single" w:sz="4" w:space="4" w:color="000000"/>
          <w:left w:val="single" w:sz="4" w:space="4" w:color="000000"/>
          <w:bottom w:val="single" w:sz="4" w:space="4" w:color="000000"/>
          <w:right w:val="single" w:sz="4" w:space="4" w:color="000000"/>
        </w:pBdr>
        <w:spacing w:after="120" w:line="240" w:lineRule="auto"/>
        <w:ind w:left="1077" w:hanging="1077"/>
        <w:rPr>
          <w:rFonts w:eastAsia="Times New Roman" w:cs="Times New Roman"/>
          <w:b/>
          <w:bCs/>
          <w:color w:val="000000"/>
          <w:sz w:val="24"/>
          <w:szCs w:val="20"/>
          <w:lang w:eastAsia="en-AU"/>
        </w:rPr>
      </w:pPr>
      <w:r w:rsidRPr="00D934CD">
        <w:rPr>
          <w:rFonts w:eastAsia="Times New Roman" w:cs="Times New Roman"/>
          <w:b/>
          <w:bCs/>
          <w:color w:val="000000"/>
          <w:sz w:val="24"/>
          <w:szCs w:val="20"/>
          <w:lang w:eastAsia="en-AU"/>
        </w:rPr>
        <w:t>Clinical issues:</w:t>
      </w:r>
    </w:p>
    <w:p w14:paraId="709AE414"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eastAsia="en-AU"/>
        </w:rPr>
        <w:t xml:space="preserve">There is limited direct evidence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w:t>
      </w:r>
      <w:r>
        <w:rPr>
          <w:rFonts w:eastAsia="Times New Roman" w:cs="Times New Roman"/>
          <w:color w:val="000000"/>
          <w:szCs w:val="20"/>
          <w:lang w:eastAsia="en-AU"/>
        </w:rPr>
        <w:t xml:space="preserve">PRRT </w:t>
      </w:r>
      <w:r w:rsidRPr="00D934CD">
        <w:rPr>
          <w:rFonts w:eastAsia="Times New Roman" w:cs="Times New Roman"/>
          <w:color w:val="000000"/>
          <w:szCs w:val="20"/>
          <w:lang w:eastAsia="en-AU"/>
        </w:rPr>
        <w:t xml:space="preserve">treatment therapy across different NENs, indicating a need for further RCT-based evidence. </w:t>
      </w:r>
      <w:r>
        <w:rPr>
          <w:rFonts w:eastAsia="Times New Roman" w:cs="Times New Roman"/>
          <w:color w:val="000000"/>
          <w:szCs w:val="20"/>
          <w:lang w:eastAsia="en-AU"/>
        </w:rPr>
        <w:t>W</w:t>
      </w:r>
      <w:r w:rsidRPr="006207E1">
        <w:rPr>
          <w:rFonts w:eastAsia="Times New Roman" w:cs="Times New Roman"/>
          <w:color w:val="000000"/>
          <w:szCs w:val="20"/>
          <w:lang w:eastAsia="en-AU"/>
        </w:rPr>
        <w:t>hilst clinical trials are underway, results will not be available for some years to com</w:t>
      </w:r>
      <w:r>
        <w:rPr>
          <w:rFonts w:eastAsia="Times New Roman" w:cs="Times New Roman"/>
          <w:color w:val="000000"/>
          <w:szCs w:val="20"/>
          <w:lang w:eastAsia="en-AU"/>
        </w:rPr>
        <w:t>e.</w:t>
      </w:r>
    </w:p>
    <w:p w14:paraId="012CBE91"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eastAsia="en-AU"/>
        </w:rPr>
        <w:t xml:space="preserve">There is a lack of evidence for diagnostic accuracy, test reliability and change in </w:t>
      </w:r>
      <w:r>
        <w:rPr>
          <w:rFonts w:eastAsia="Times New Roman" w:cs="Times New Roman"/>
          <w:color w:val="000000"/>
          <w:szCs w:val="20"/>
          <w:lang w:eastAsia="en-AU"/>
        </w:rPr>
        <w:t xml:space="preserve">clinical </w:t>
      </w:r>
      <w:r w:rsidRPr="00D934CD">
        <w:rPr>
          <w:rFonts w:eastAsia="Times New Roman" w:cs="Times New Roman"/>
          <w:color w:val="000000"/>
          <w:szCs w:val="20"/>
          <w:lang w:eastAsia="en-AU"/>
        </w:rPr>
        <w:t xml:space="preserve">outcomes for the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and FDG PET/CT</w:t>
      </w:r>
      <w:r w:rsidRPr="00D934CD">
        <w:rPr>
          <w:rFonts w:eastAsia="Times New Roman" w:cs="Times New Roman"/>
          <w:color w:val="000000"/>
          <w:szCs w:val="20"/>
          <w:lang w:eastAsia="en-AU"/>
        </w:rPr>
        <w:t>, and the</w:t>
      </w:r>
      <w:r>
        <w:rPr>
          <w:rFonts w:eastAsia="Times New Roman" w:cs="Times New Roman"/>
          <w:color w:val="000000"/>
          <w:szCs w:val="20"/>
          <w:lang w:eastAsia="en-AU"/>
        </w:rPr>
        <w:t xml:space="preserve"> tests</w:t>
      </w:r>
      <w:r w:rsidRPr="00D934CD">
        <w:rPr>
          <w:rFonts w:eastAsia="Times New Roman" w:cs="Times New Roman"/>
          <w:color w:val="000000"/>
          <w:szCs w:val="20"/>
          <w:lang w:eastAsia="en-AU"/>
        </w:rPr>
        <w:t xml:space="preserve"> h</w:t>
      </w:r>
      <w:r>
        <w:rPr>
          <w:rFonts w:eastAsia="Times New Roman" w:cs="Times New Roman"/>
          <w:color w:val="000000"/>
          <w:szCs w:val="20"/>
          <w:lang w:eastAsia="en-AU"/>
        </w:rPr>
        <w:t>ave</w:t>
      </w:r>
      <w:r w:rsidRPr="00D934CD">
        <w:rPr>
          <w:rFonts w:eastAsia="Times New Roman" w:cs="Times New Roman"/>
          <w:color w:val="000000"/>
          <w:szCs w:val="20"/>
          <w:lang w:eastAsia="en-AU"/>
        </w:rPr>
        <w:t xml:space="preserve"> not been studied with respect to these outcomes</w:t>
      </w:r>
      <w:r>
        <w:rPr>
          <w:rFonts w:eastAsia="Times New Roman" w:cs="Times New Roman"/>
          <w:color w:val="000000"/>
          <w:szCs w:val="20"/>
          <w:lang w:eastAsia="en-AU"/>
        </w:rPr>
        <w:t>.</w:t>
      </w:r>
    </w:p>
    <w:p w14:paraId="2C977859" w14:textId="6814D4D4" w:rsidR="000B228E" w:rsidRDefault="004A7E51"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Pr>
          <w:rFonts w:eastAsia="Times New Roman" w:cs="Times New Roman"/>
          <w:color w:val="000000"/>
          <w:szCs w:val="20"/>
          <w:lang w:eastAsia="en-AU"/>
        </w:rPr>
        <w:t>Non-inferior</w:t>
      </w:r>
      <w:r w:rsidR="000B228E" w:rsidRPr="00D934CD">
        <w:rPr>
          <w:rFonts w:eastAsia="Times New Roman" w:cs="Times New Roman"/>
          <w:color w:val="000000"/>
          <w:szCs w:val="20"/>
          <w:lang w:eastAsia="en-AU"/>
        </w:rPr>
        <w:t xml:space="preserve">ity </w:t>
      </w:r>
      <w:r w:rsidR="000B228E">
        <w:rPr>
          <w:rFonts w:eastAsia="Times New Roman" w:cs="Times New Roman"/>
          <w:color w:val="000000"/>
          <w:szCs w:val="20"/>
          <w:lang w:eastAsia="en-AU"/>
        </w:rPr>
        <w:t xml:space="preserve">of </w:t>
      </w:r>
      <w:r w:rsidR="000B228E" w:rsidRPr="00D934CD">
        <w:rPr>
          <w:rFonts w:eastAsia="Calibri" w:cs="Times New Roman"/>
          <w:color w:val="000000"/>
          <w:szCs w:val="20"/>
          <w:vertAlign w:val="superscript"/>
        </w:rPr>
        <w:t>177</w:t>
      </w:r>
      <w:r w:rsidR="000B228E" w:rsidRPr="00D934CD">
        <w:rPr>
          <w:rFonts w:eastAsia="Calibri" w:cs="Times New Roman"/>
          <w:color w:val="000000"/>
          <w:szCs w:val="20"/>
        </w:rPr>
        <w:t xml:space="preserve">Lu-DOTA-octreotate and </w:t>
      </w:r>
      <w:proofErr w:type="spellStart"/>
      <w:r w:rsidR="000B228E" w:rsidRPr="00D934CD">
        <w:rPr>
          <w:rFonts w:eastAsia="Calibri" w:cs="Times New Roman"/>
          <w:color w:val="000000"/>
          <w:szCs w:val="20"/>
        </w:rPr>
        <w:t>Lutathera</w:t>
      </w:r>
      <w:proofErr w:type="spellEnd"/>
      <w:r w:rsidR="000B228E" w:rsidRPr="00D934CD">
        <w:rPr>
          <w:rFonts w:eastAsia="Calibri" w:cs="Times New Roman"/>
          <w:color w:val="000000"/>
          <w:szCs w:val="20"/>
        </w:rPr>
        <w:t>® (</w:t>
      </w:r>
      <w:r w:rsidR="000B228E" w:rsidRPr="00D934CD">
        <w:rPr>
          <w:rFonts w:eastAsia="Calibri" w:cs="Times New Roman"/>
          <w:color w:val="000000"/>
          <w:szCs w:val="20"/>
          <w:vertAlign w:val="superscript"/>
        </w:rPr>
        <w:t>177</w:t>
      </w:r>
      <w:r w:rsidR="000B228E" w:rsidRPr="00D934CD">
        <w:rPr>
          <w:rFonts w:eastAsia="Calibri" w:cs="Times New Roman"/>
          <w:color w:val="000000"/>
          <w:szCs w:val="20"/>
        </w:rPr>
        <w:t>Lu-DOTATATE)</w:t>
      </w:r>
      <w:r w:rsidR="000B228E">
        <w:rPr>
          <w:rFonts w:eastAsia="Calibri" w:cs="Times New Roman"/>
          <w:color w:val="000000"/>
          <w:szCs w:val="20"/>
        </w:rPr>
        <w:t xml:space="preserve"> </w:t>
      </w:r>
      <w:r w:rsidR="000B228E" w:rsidRPr="00D934CD">
        <w:rPr>
          <w:rFonts w:eastAsia="Times New Roman" w:cs="Times New Roman"/>
          <w:color w:val="000000"/>
          <w:szCs w:val="20"/>
          <w:lang w:eastAsia="en-AU"/>
        </w:rPr>
        <w:t>is assumed</w:t>
      </w:r>
      <w:r w:rsidR="000B228E">
        <w:rPr>
          <w:rFonts w:eastAsia="Times New Roman" w:cs="Times New Roman"/>
          <w:color w:val="000000"/>
          <w:szCs w:val="20"/>
          <w:lang w:eastAsia="en-AU"/>
        </w:rPr>
        <w:t xml:space="preserve"> based on a comparison of pharmaceutical forms only </w:t>
      </w:r>
      <w:r w:rsidR="000B228E" w:rsidRPr="00D934CD">
        <w:rPr>
          <w:rFonts w:eastAsia="Times New Roman" w:cs="Times New Roman"/>
          <w:color w:val="000000"/>
          <w:szCs w:val="20"/>
          <w:lang w:eastAsia="en-AU"/>
        </w:rPr>
        <w:t xml:space="preserve">and is therefore a key area of uncertainty. </w:t>
      </w:r>
    </w:p>
    <w:p w14:paraId="49F0C699"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eastAsia="en-AU"/>
        </w:rPr>
        <w:t xml:space="preserve">Multiple assumptions in </w:t>
      </w:r>
      <w:r>
        <w:rPr>
          <w:rFonts w:eastAsia="Times New Roman" w:cs="Times New Roman"/>
          <w:color w:val="000000"/>
          <w:szCs w:val="20"/>
          <w:lang w:eastAsia="en-AU"/>
        </w:rPr>
        <w:t xml:space="preserve">the </w:t>
      </w:r>
      <w:r w:rsidRPr="00D934CD">
        <w:rPr>
          <w:rFonts w:eastAsia="Times New Roman" w:cs="Times New Roman"/>
          <w:color w:val="000000"/>
          <w:szCs w:val="20"/>
          <w:lang w:eastAsia="en-AU"/>
        </w:rPr>
        <w:t xml:space="preserve">production of </w:t>
      </w:r>
      <w:r>
        <w:rPr>
          <w:rFonts w:eastAsia="Times New Roman" w:cs="Times New Roman"/>
          <w:color w:val="000000"/>
          <w:szCs w:val="20"/>
          <w:lang w:eastAsia="en-AU"/>
        </w:rPr>
        <w:t>the network meta-analysis (NMA)</w:t>
      </w:r>
      <w:r w:rsidRPr="00D934CD">
        <w:rPr>
          <w:rFonts w:eastAsia="Times New Roman" w:cs="Times New Roman"/>
          <w:color w:val="000000"/>
          <w:szCs w:val="20"/>
          <w:lang w:eastAsia="en-AU"/>
        </w:rPr>
        <w:t xml:space="preserve"> and transitivity</w:t>
      </w:r>
      <w:r>
        <w:rPr>
          <w:rFonts w:eastAsia="Times New Roman" w:cs="Times New Roman"/>
          <w:color w:val="000000"/>
          <w:szCs w:val="20"/>
          <w:lang w:eastAsia="en-AU"/>
        </w:rPr>
        <w:t xml:space="preserve"> issues that may bias the results of the NMA</w:t>
      </w:r>
      <w:r w:rsidRPr="00D934CD">
        <w:rPr>
          <w:rFonts w:eastAsia="Times New Roman" w:cs="Times New Roman"/>
          <w:color w:val="000000"/>
          <w:szCs w:val="20"/>
          <w:lang w:eastAsia="en-AU"/>
        </w:rPr>
        <w:t xml:space="preserve"> have resulted in </w:t>
      </w:r>
      <w:r>
        <w:rPr>
          <w:rFonts w:eastAsia="Times New Roman" w:cs="Times New Roman"/>
          <w:color w:val="000000"/>
          <w:szCs w:val="20"/>
          <w:lang w:eastAsia="en-AU"/>
        </w:rPr>
        <w:t xml:space="preserve">significant </w:t>
      </w:r>
      <w:r w:rsidRPr="00D934CD">
        <w:rPr>
          <w:rFonts w:eastAsia="Times New Roman" w:cs="Times New Roman"/>
          <w:color w:val="000000"/>
          <w:szCs w:val="20"/>
          <w:lang w:eastAsia="en-AU"/>
        </w:rPr>
        <w:t>uncertainty in the</w:t>
      </w:r>
      <w:r>
        <w:rPr>
          <w:rFonts w:eastAsia="Times New Roman" w:cs="Times New Roman"/>
          <w:color w:val="000000"/>
          <w:szCs w:val="20"/>
          <w:lang w:eastAsia="en-AU"/>
        </w:rPr>
        <w:t xml:space="preserve"> indirect estimates of comparative effectiveness. This has flow on effects to the reliability of the inputs used to model comparative effectiveness in the economic model.</w:t>
      </w:r>
    </w:p>
    <w:p w14:paraId="34FFBFE0" w14:textId="77777777" w:rsidR="000B228E" w:rsidRPr="00D934CD" w:rsidRDefault="000B228E" w:rsidP="000B228E">
      <w:pPr>
        <w:keepNext/>
        <w:pBdr>
          <w:top w:val="single" w:sz="4" w:space="4" w:color="000000"/>
          <w:left w:val="single" w:sz="4" w:space="4" w:color="000000"/>
          <w:bottom w:val="single" w:sz="4" w:space="4" w:color="000000"/>
          <w:right w:val="single" w:sz="4" w:space="4" w:color="000000"/>
        </w:pBdr>
        <w:spacing w:after="60" w:line="240" w:lineRule="auto"/>
        <w:rPr>
          <w:rFonts w:eastAsia="Times New Roman" w:cs="Times New Roman"/>
          <w:b/>
          <w:bCs/>
          <w:color w:val="000000"/>
          <w:szCs w:val="20"/>
          <w:lang w:eastAsia="en-AU"/>
        </w:rPr>
      </w:pPr>
      <w:r w:rsidRPr="00D934CD">
        <w:rPr>
          <w:rFonts w:eastAsia="Times New Roman" w:cs="Times New Roman"/>
          <w:b/>
          <w:bCs/>
          <w:color w:val="000000"/>
          <w:szCs w:val="20"/>
          <w:lang w:eastAsia="en-AU"/>
        </w:rPr>
        <w:t>Economic issues:</w:t>
      </w:r>
    </w:p>
    <w:p w14:paraId="5270BFE7"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4A3B1B">
        <w:rPr>
          <w:rFonts w:eastAsia="Times New Roman" w:cs="Times New Roman"/>
          <w:color w:val="000000"/>
          <w:szCs w:val="20"/>
          <w:lang w:eastAsia="en-AU"/>
        </w:rPr>
        <w:t xml:space="preserve">The cost-effectiveness of </w:t>
      </w:r>
      <w:r w:rsidRPr="00DB00CF">
        <w:rPr>
          <w:rFonts w:eastAsia="Times New Roman" w:cs="Times New Roman"/>
          <w:color w:val="000000"/>
          <w:szCs w:val="20"/>
          <w:vertAlign w:val="superscript"/>
          <w:lang w:eastAsia="en-AU"/>
        </w:rPr>
        <w:t>177</w:t>
      </w:r>
      <w:r w:rsidRPr="004A3B1B">
        <w:rPr>
          <w:rFonts w:eastAsia="Times New Roman" w:cs="Times New Roman"/>
          <w:color w:val="000000"/>
          <w:szCs w:val="20"/>
          <w:lang w:eastAsia="en-AU"/>
        </w:rPr>
        <w:t xml:space="preserve">Lu-DOTA-octreotate is highly sensitive to changes in </w:t>
      </w:r>
      <w:r>
        <w:rPr>
          <w:rFonts w:eastAsia="Times New Roman" w:cs="Times New Roman"/>
          <w:color w:val="000000"/>
          <w:szCs w:val="20"/>
          <w:lang w:eastAsia="en-AU"/>
        </w:rPr>
        <w:t>plausible variation in the hazard ratios for overall survival and progression free survival</w:t>
      </w:r>
      <w:r w:rsidRPr="004A3B1B">
        <w:rPr>
          <w:rFonts w:eastAsia="Times New Roman" w:cs="Times New Roman"/>
          <w:color w:val="000000"/>
          <w:szCs w:val="20"/>
          <w:lang w:eastAsia="en-AU"/>
        </w:rPr>
        <w:t xml:space="preserve"> versus all 6 comparators</w:t>
      </w:r>
      <w:r>
        <w:rPr>
          <w:rFonts w:eastAsia="Times New Roman" w:cs="Times New Roman"/>
          <w:color w:val="000000"/>
          <w:szCs w:val="20"/>
          <w:lang w:eastAsia="en-AU"/>
        </w:rPr>
        <w:t xml:space="preserve"> (including best supportive care), switching from the incremental cost-effectiveness ratio (ICER) being dominant, the ICER &lt; ~$70,000 per QALY for most modelled scenarios, or dominated. T</w:t>
      </w:r>
      <w:r w:rsidRPr="00D934CD">
        <w:rPr>
          <w:rFonts w:eastAsia="Times New Roman" w:cs="Times New Roman"/>
          <w:color w:val="000000"/>
          <w:szCs w:val="20"/>
          <w:lang w:eastAsia="en-AU"/>
        </w:rPr>
        <w:t>he ICER is highly volatile against pharmaceutical comparators.</w:t>
      </w:r>
    </w:p>
    <w:p w14:paraId="4A7EDE5A" w14:textId="77777777" w:rsidR="000B228E" w:rsidRPr="00AC305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Pr>
          <w:rFonts w:eastAsia="Times New Roman" w:cs="Times New Roman"/>
          <w:color w:val="000000"/>
          <w:szCs w:val="20"/>
          <w:lang w:eastAsia="en-AU"/>
        </w:rPr>
        <w:t>Additional one-way sensitivity analyses should be undertaken incorporating the number of cycles and choice of parametric curves.</w:t>
      </w:r>
      <w:r w:rsidRPr="00B5058E">
        <w:t xml:space="preserve"> </w:t>
      </w:r>
      <w:r>
        <w:rPr>
          <w:rFonts w:eastAsia="Times New Roman" w:cs="Times New Roman"/>
          <w:color w:val="000000"/>
          <w:szCs w:val="20"/>
          <w:lang w:eastAsia="en-AU"/>
        </w:rPr>
        <w:t>Two-</w:t>
      </w:r>
      <w:r w:rsidRPr="00B5058E">
        <w:rPr>
          <w:rFonts w:eastAsia="Times New Roman" w:cs="Times New Roman"/>
          <w:color w:val="000000"/>
          <w:szCs w:val="20"/>
          <w:lang w:eastAsia="en-AU"/>
        </w:rPr>
        <w:t>way analyse</w:t>
      </w:r>
      <w:r>
        <w:rPr>
          <w:rFonts w:eastAsia="Times New Roman" w:cs="Times New Roman"/>
          <w:color w:val="000000"/>
          <w:szCs w:val="20"/>
          <w:lang w:eastAsia="en-AU"/>
        </w:rPr>
        <w:t>s</w:t>
      </w:r>
      <w:r w:rsidRPr="00B5058E">
        <w:rPr>
          <w:rFonts w:eastAsia="Times New Roman" w:cs="Times New Roman"/>
          <w:color w:val="000000"/>
          <w:szCs w:val="20"/>
          <w:lang w:eastAsia="en-AU"/>
        </w:rPr>
        <w:t xml:space="preserve"> incorporating </w:t>
      </w:r>
      <w:r>
        <w:rPr>
          <w:rFonts w:eastAsia="Times New Roman" w:cs="Times New Roman"/>
          <w:color w:val="000000"/>
          <w:szCs w:val="20"/>
          <w:lang w:eastAsia="en-AU"/>
        </w:rPr>
        <w:t>variation</w:t>
      </w:r>
      <w:r w:rsidRPr="00B5058E">
        <w:rPr>
          <w:rFonts w:eastAsia="Times New Roman" w:cs="Times New Roman"/>
          <w:color w:val="000000"/>
          <w:szCs w:val="20"/>
          <w:lang w:eastAsia="en-AU"/>
        </w:rPr>
        <w:t xml:space="preserve"> </w:t>
      </w:r>
      <w:r>
        <w:rPr>
          <w:rFonts w:eastAsia="Times New Roman" w:cs="Times New Roman"/>
          <w:color w:val="000000"/>
          <w:szCs w:val="20"/>
          <w:lang w:eastAsia="en-AU"/>
        </w:rPr>
        <w:t>in</w:t>
      </w:r>
      <w:r w:rsidRPr="00B5058E">
        <w:rPr>
          <w:rFonts w:eastAsia="Times New Roman" w:cs="Times New Roman"/>
          <w:color w:val="000000"/>
          <w:szCs w:val="20"/>
          <w:lang w:eastAsia="en-AU"/>
        </w:rPr>
        <w:t xml:space="preserve"> treatment costs (n</w:t>
      </w:r>
      <w:r>
        <w:rPr>
          <w:rFonts w:eastAsia="Times New Roman" w:cs="Times New Roman"/>
          <w:color w:val="000000"/>
          <w:szCs w:val="20"/>
          <w:lang w:eastAsia="en-AU"/>
        </w:rPr>
        <w:t>umber</w:t>
      </w:r>
      <w:r w:rsidRPr="00B5058E">
        <w:rPr>
          <w:rFonts w:eastAsia="Times New Roman" w:cs="Times New Roman"/>
          <w:color w:val="000000"/>
          <w:szCs w:val="20"/>
          <w:lang w:eastAsia="en-AU"/>
        </w:rPr>
        <w:t xml:space="preserve"> of cycles)</w:t>
      </w:r>
      <w:r>
        <w:rPr>
          <w:rFonts w:eastAsia="Times New Roman" w:cs="Times New Roman"/>
          <w:color w:val="000000"/>
          <w:szCs w:val="20"/>
          <w:lang w:eastAsia="en-AU"/>
        </w:rPr>
        <w:t xml:space="preserve"> and use of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imaging for monitoring treatment response</w:t>
      </w:r>
      <w:r w:rsidRPr="00B5058E">
        <w:rPr>
          <w:rFonts w:eastAsia="Times New Roman" w:cs="Times New Roman"/>
          <w:color w:val="000000"/>
          <w:szCs w:val="20"/>
          <w:lang w:eastAsia="en-AU"/>
        </w:rPr>
        <w:t xml:space="preserve"> </w:t>
      </w:r>
      <w:r>
        <w:rPr>
          <w:rFonts w:eastAsia="Times New Roman" w:cs="Times New Roman"/>
          <w:color w:val="000000"/>
          <w:szCs w:val="20"/>
          <w:lang w:eastAsia="en-AU"/>
        </w:rPr>
        <w:t>would</w:t>
      </w:r>
      <w:r w:rsidRPr="00B5058E">
        <w:rPr>
          <w:rFonts w:eastAsia="Times New Roman" w:cs="Times New Roman"/>
          <w:color w:val="000000"/>
          <w:szCs w:val="20"/>
          <w:lang w:eastAsia="en-AU"/>
        </w:rPr>
        <w:t xml:space="preserve"> </w:t>
      </w:r>
      <w:r>
        <w:rPr>
          <w:rFonts w:eastAsia="Times New Roman" w:cs="Times New Roman"/>
          <w:color w:val="000000"/>
          <w:szCs w:val="20"/>
          <w:lang w:eastAsia="en-AU"/>
        </w:rPr>
        <w:t xml:space="preserve">also be informative. Subsequently, the assessment group produced an Addendum (see </w:t>
      </w:r>
      <w:r w:rsidRPr="003503BC">
        <w:rPr>
          <w:rFonts w:eastAsia="Times New Roman" w:cs="Times New Roman"/>
          <w:b/>
          <w:color w:val="000000"/>
          <w:szCs w:val="20"/>
          <w:lang w:eastAsia="en-AU"/>
        </w:rPr>
        <w:t>Attachment</w:t>
      </w:r>
      <w:r>
        <w:rPr>
          <w:rFonts w:eastAsia="Times New Roman" w:cs="Times New Roman"/>
          <w:color w:val="000000"/>
          <w:szCs w:val="20"/>
          <w:lang w:eastAsia="en-AU"/>
        </w:rPr>
        <w:t xml:space="preserve">) which included the requested additional sensitivity analyses. </w:t>
      </w:r>
      <w:r w:rsidRPr="00054934">
        <w:rPr>
          <w:rFonts w:eastAsia="Times New Roman" w:cs="Times New Roman"/>
          <w:color w:val="000000"/>
          <w:szCs w:val="20"/>
          <w:lang w:eastAsia="en-AU"/>
        </w:rPr>
        <w:t>The choice of parametric distribution for progression-free survival (PFS) and overall survival (OS)</w:t>
      </w:r>
      <w:r>
        <w:rPr>
          <w:rFonts w:eastAsia="Times New Roman" w:cs="Times New Roman"/>
          <w:color w:val="000000"/>
          <w:szCs w:val="20"/>
          <w:lang w:eastAsia="en-AU"/>
        </w:rPr>
        <w:t xml:space="preserve"> and scenarios </w:t>
      </w:r>
      <w:r w:rsidRPr="00023154">
        <w:rPr>
          <w:rFonts w:eastAsia="Times New Roman" w:cs="Times New Roman"/>
          <w:color w:val="000000"/>
          <w:szCs w:val="20"/>
          <w:lang w:eastAsia="en-AU"/>
        </w:rPr>
        <w:t xml:space="preserve">using different estimated time on treatment for </w:t>
      </w:r>
      <w:r w:rsidRPr="00184F94">
        <w:rPr>
          <w:rFonts w:eastAsia="Times New Roman" w:cs="Times New Roman"/>
          <w:color w:val="000000"/>
          <w:szCs w:val="20"/>
          <w:vertAlign w:val="superscript"/>
          <w:lang w:eastAsia="en-AU"/>
        </w:rPr>
        <w:t>177</w:t>
      </w:r>
      <w:r w:rsidRPr="00023154">
        <w:rPr>
          <w:rFonts w:eastAsia="Times New Roman" w:cs="Times New Roman"/>
          <w:color w:val="000000"/>
          <w:szCs w:val="20"/>
          <w:lang w:eastAsia="en-AU"/>
        </w:rPr>
        <w:t>Lu-DOTA-octreotate</w:t>
      </w:r>
      <w:r>
        <w:rPr>
          <w:rFonts w:eastAsia="Times New Roman" w:cs="Times New Roman"/>
          <w:color w:val="000000"/>
          <w:szCs w:val="20"/>
          <w:lang w:eastAsia="en-AU"/>
        </w:rPr>
        <w:t xml:space="preserve"> </w:t>
      </w:r>
      <w:r w:rsidRPr="00054934">
        <w:rPr>
          <w:rFonts w:eastAsia="Times New Roman" w:cs="Times New Roman"/>
          <w:color w:val="000000"/>
          <w:szCs w:val="20"/>
          <w:lang w:eastAsia="en-AU"/>
        </w:rPr>
        <w:t xml:space="preserve">had a moderate impact on the </w:t>
      </w:r>
      <w:r>
        <w:rPr>
          <w:rFonts w:eastAsia="Times New Roman" w:cs="Times New Roman"/>
          <w:color w:val="000000"/>
          <w:szCs w:val="20"/>
          <w:lang w:eastAsia="en-AU"/>
        </w:rPr>
        <w:t>ICER</w:t>
      </w:r>
      <w:r w:rsidRPr="00054934">
        <w:rPr>
          <w:rFonts w:eastAsia="Times New Roman" w:cs="Times New Roman"/>
          <w:color w:val="000000"/>
          <w:szCs w:val="20"/>
          <w:lang w:eastAsia="en-AU"/>
        </w:rPr>
        <w:t>.</w:t>
      </w:r>
      <w:r>
        <w:rPr>
          <w:rFonts w:eastAsia="Times New Roman" w:cs="Times New Roman"/>
          <w:color w:val="000000"/>
          <w:szCs w:val="20"/>
          <w:lang w:eastAsia="en-AU"/>
        </w:rPr>
        <w:t xml:space="preserve"> The scenario which assumed an additional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scan as part of monitoring resulted in a small increase in the ICER.</w:t>
      </w:r>
    </w:p>
    <w:p w14:paraId="00250FF2" w14:textId="77777777" w:rsidR="000B228E" w:rsidRPr="00D934CD" w:rsidRDefault="000B228E" w:rsidP="000B228E">
      <w:pPr>
        <w:keepNext/>
        <w:pBdr>
          <w:top w:val="single" w:sz="4" w:space="4" w:color="000000"/>
          <w:left w:val="single" w:sz="4" w:space="4" w:color="000000"/>
          <w:bottom w:val="single" w:sz="4" w:space="4" w:color="000000"/>
          <w:right w:val="single" w:sz="4" w:space="4" w:color="000000"/>
        </w:pBdr>
        <w:spacing w:after="60" w:line="240" w:lineRule="auto"/>
        <w:rPr>
          <w:rFonts w:eastAsia="Times New Roman" w:cs="Times New Roman"/>
          <w:b/>
          <w:bCs/>
          <w:color w:val="000000"/>
          <w:szCs w:val="20"/>
          <w:lang w:eastAsia="en-AU"/>
        </w:rPr>
      </w:pPr>
      <w:r w:rsidRPr="00D934CD">
        <w:rPr>
          <w:rFonts w:eastAsia="Times New Roman" w:cs="Times New Roman"/>
          <w:b/>
          <w:bCs/>
          <w:color w:val="000000"/>
          <w:szCs w:val="20"/>
          <w:lang w:eastAsia="en-AU"/>
        </w:rPr>
        <w:t>Financial issues:</w:t>
      </w:r>
    </w:p>
    <w:p w14:paraId="28E163F3" w14:textId="77777777" w:rsidR="000B228E" w:rsidRPr="008C0EDA"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D934CD">
        <w:rPr>
          <w:rFonts w:eastAsia="Times New Roman" w:cs="Times New Roman"/>
          <w:color w:val="000000"/>
          <w:szCs w:val="20"/>
          <w:lang w:val="en-US" w:eastAsia="en-AU"/>
        </w:rPr>
        <w:t>There is insufficient evidence to support estimations of both pre-intervention tests resulting in high uncertainty in the financial estimates.</w:t>
      </w:r>
    </w:p>
    <w:p w14:paraId="69C41B1F" w14:textId="77777777" w:rsidR="000B228E" w:rsidRPr="00D934CD"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rFonts w:eastAsia="Times New Roman" w:cs="Times New Roman"/>
          <w:color w:val="000000"/>
          <w:szCs w:val="20"/>
          <w:lang w:eastAsia="en-AU"/>
        </w:rPr>
      </w:pPr>
      <w:r w:rsidRPr="00235B06">
        <w:rPr>
          <w:color w:val="000000" w:themeColor="text1"/>
        </w:rPr>
        <w:t xml:space="preserve">Additional advice from the applicant on the extent of current use of </w:t>
      </w:r>
      <w:r w:rsidRPr="00235B06">
        <w:rPr>
          <w:color w:val="000000" w:themeColor="text1"/>
          <w:vertAlign w:val="superscript"/>
        </w:rPr>
        <w:t>177</w:t>
      </w:r>
      <w:r w:rsidRPr="00235B06">
        <w:rPr>
          <w:color w:val="000000" w:themeColor="text1"/>
        </w:rPr>
        <w:t xml:space="preserve">Lu PRRT therapy, such as from Department of Veterans’ Affairs (DVA) claiming data </w:t>
      </w:r>
      <w:r>
        <w:rPr>
          <w:rFonts w:eastAsia="Times New Roman" w:cs="Times New Roman"/>
          <w:color w:val="000000" w:themeColor="text1"/>
          <w:lang w:eastAsia="en-AU"/>
        </w:rPr>
        <w:t>may</w:t>
      </w:r>
      <w:r w:rsidRPr="757E8DDF">
        <w:rPr>
          <w:rFonts w:eastAsia="Times New Roman" w:cs="Times New Roman"/>
          <w:color w:val="000000" w:themeColor="text1"/>
          <w:lang w:eastAsia="en-AU"/>
        </w:rPr>
        <w:t xml:space="preserve"> </w:t>
      </w:r>
      <w:r w:rsidRPr="00235B06">
        <w:rPr>
          <w:color w:val="000000" w:themeColor="text1"/>
        </w:rPr>
        <w:t>be informative.</w:t>
      </w:r>
    </w:p>
    <w:p w14:paraId="2351652E" w14:textId="77777777" w:rsidR="000B228E" w:rsidRPr="00DB00CF" w:rsidRDefault="000B228E" w:rsidP="000B228E">
      <w:pPr>
        <w:numPr>
          <w:ilvl w:val="0"/>
          <w:numId w:val="27"/>
        </w:numPr>
        <w:pBdr>
          <w:top w:val="single" w:sz="4" w:space="4" w:color="000000"/>
          <w:left w:val="single" w:sz="4" w:space="4" w:color="000000"/>
          <w:bottom w:val="single" w:sz="4" w:space="4" w:color="000000"/>
          <w:right w:val="single" w:sz="4" w:space="4" w:color="000000"/>
        </w:pBdr>
        <w:tabs>
          <w:tab w:val="num" w:pos="357"/>
        </w:tabs>
        <w:spacing w:before="0" w:after="120" w:line="240" w:lineRule="auto"/>
        <w:ind w:left="357" w:hanging="357"/>
        <w:rPr>
          <w:szCs w:val="20"/>
        </w:rPr>
      </w:pPr>
      <w:r w:rsidRPr="00DB00CF">
        <w:rPr>
          <w:rFonts w:eastAsia="Times New Roman" w:cs="Times New Roman"/>
          <w:color w:val="000000"/>
          <w:szCs w:val="20"/>
          <w:lang w:eastAsia="en-AU"/>
        </w:rPr>
        <w:t xml:space="preserve">The uptake rate and number of cycles of </w:t>
      </w:r>
      <w:r w:rsidRPr="00DB00CF">
        <w:rPr>
          <w:rFonts w:eastAsia="Times New Roman" w:cs="Times New Roman"/>
          <w:color w:val="000000"/>
          <w:szCs w:val="20"/>
          <w:vertAlign w:val="superscript"/>
          <w:lang w:eastAsia="en-AU"/>
        </w:rPr>
        <w:t>177</w:t>
      </w:r>
      <w:r w:rsidRPr="00DB00CF">
        <w:rPr>
          <w:rFonts w:eastAsia="Times New Roman" w:cs="Times New Roman"/>
          <w:color w:val="000000"/>
          <w:szCs w:val="20"/>
          <w:lang w:eastAsia="en-AU"/>
        </w:rPr>
        <w:t xml:space="preserve">Lu-DOTA-octreotate are uncertain and small changes will affect financial estimates. </w:t>
      </w:r>
      <w:r>
        <w:rPr>
          <w:rFonts w:eastAsia="Times New Roman" w:cs="Times New Roman"/>
          <w:color w:val="000000"/>
          <w:szCs w:val="20"/>
          <w:lang w:eastAsia="en-AU"/>
        </w:rPr>
        <w:t xml:space="preserve">The </w:t>
      </w:r>
      <w:r w:rsidRPr="00823171">
        <w:rPr>
          <w:rFonts w:eastAsia="Times New Roman" w:cs="Times New Roman"/>
          <w:color w:val="000000"/>
          <w:szCs w:val="20"/>
          <w:lang w:eastAsia="en-AU"/>
        </w:rPr>
        <w:t xml:space="preserve">financial estimates </w:t>
      </w:r>
      <w:r>
        <w:rPr>
          <w:rFonts w:eastAsia="Times New Roman" w:cs="Times New Roman"/>
          <w:color w:val="000000"/>
          <w:szCs w:val="20"/>
          <w:lang w:eastAsia="en-AU"/>
        </w:rPr>
        <w:t>sh</w:t>
      </w:r>
      <w:r w:rsidRPr="00823171">
        <w:rPr>
          <w:rFonts w:eastAsia="Times New Roman" w:cs="Times New Roman"/>
          <w:color w:val="000000"/>
          <w:szCs w:val="20"/>
          <w:lang w:eastAsia="en-AU"/>
        </w:rPr>
        <w:t>ould be refined to better estimate the incident testing population based on published estimates</w:t>
      </w:r>
      <w:r>
        <w:rPr>
          <w:rFonts w:eastAsia="Times New Roman" w:cs="Times New Roman"/>
          <w:color w:val="000000"/>
          <w:szCs w:val="20"/>
          <w:lang w:eastAsia="en-AU"/>
        </w:rPr>
        <w:t xml:space="preserve">, account for </w:t>
      </w:r>
      <w:r w:rsidRPr="00823171">
        <w:rPr>
          <w:rFonts w:eastAsia="Times New Roman" w:cs="Times New Roman"/>
          <w:color w:val="000000"/>
          <w:szCs w:val="20"/>
          <w:lang w:eastAsia="en-AU"/>
        </w:rPr>
        <w:t xml:space="preserve">repeat 68Ga-DOTA-octreotate PET/CT imaging for monitoring treatment response </w:t>
      </w:r>
      <w:r>
        <w:rPr>
          <w:rFonts w:eastAsia="Times New Roman" w:cs="Times New Roman"/>
          <w:color w:val="000000"/>
          <w:szCs w:val="20"/>
          <w:lang w:eastAsia="en-AU"/>
        </w:rPr>
        <w:t xml:space="preserve">and </w:t>
      </w:r>
      <w:r w:rsidRPr="00823171">
        <w:rPr>
          <w:rFonts w:eastAsia="Times New Roman" w:cs="Times New Roman"/>
          <w:color w:val="000000"/>
          <w:szCs w:val="20"/>
          <w:lang w:eastAsia="en-AU"/>
        </w:rPr>
        <w:t xml:space="preserve">use the amended fee of $10,000 fee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w:t>
      </w:r>
      <w:r>
        <w:rPr>
          <w:rFonts w:eastAsia="Times New Roman" w:cs="Times New Roman"/>
          <w:color w:val="000000"/>
          <w:szCs w:val="20"/>
          <w:lang w:eastAsia="en-AU"/>
        </w:rPr>
        <w:t xml:space="preserve">PRRT. Subsequently, the assessment group produced an Addendum (see </w:t>
      </w:r>
      <w:r w:rsidRPr="005D1C24">
        <w:rPr>
          <w:rFonts w:eastAsia="Times New Roman" w:cs="Times New Roman"/>
          <w:b/>
          <w:color w:val="000000"/>
          <w:szCs w:val="20"/>
          <w:lang w:eastAsia="en-AU"/>
        </w:rPr>
        <w:t>Attachment</w:t>
      </w:r>
      <w:r>
        <w:rPr>
          <w:rFonts w:eastAsia="Times New Roman" w:cs="Times New Roman"/>
          <w:color w:val="000000"/>
          <w:szCs w:val="20"/>
          <w:lang w:eastAsia="en-AU"/>
        </w:rPr>
        <w:t xml:space="preserve">) which included the requested additional analyses. </w:t>
      </w:r>
      <w:r>
        <w:rPr>
          <w:iCs/>
        </w:rPr>
        <w:t xml:space="preserve">The financial impact under this ESC scenario (80% of eligible population tested; additional </w:t>
      </w:r>
      <w:r w:rsidRPr="00C06124">
        <w:rPr>
          <w:vertAlign w:val="superscript"/>
        </w:rPr>
        <w:t>68</w:t>
      </w:r>
      <w:r w:rsidRPr="00C06124">
        <w:t>Ga-</w:t>
      </w:r>
      <w:r>
        <w:t>DOTA-octreotate PET study for treated patients) resulted in a much higher net cost of $82.93 million by 2029. However, these estimates were still considered uncertain due to the limitations in the clinical data and assumptions informing these estimates.</w:t>
      </w:r>
    </w:p>
    <w:p w14:paraId="04A3654A" w14:textId="77777777" w:rsidR="000B228E" w:rsidRPr="00D934CD" w:rsidRDefault="000B228E" w:rsidP="000B228E">
      <w:pPr>
        <w:keepNext/>
        <w:spacing w:before="0" w:after="240" w:line="240" w:lineRule="auto"/>
        <w:rPr>
          <w:rFonts w:eastAsia="Times New Roman" w:cs="Times New Roman"/>
          <w:b/>
          <w:bCs/>
          <w:color w:val="000000"/>
          <w:szCs w:val="20"/>
          <w:lang w:eastAsia="en-AU"/>
        </w:rPr>
      </w:pPr>
      <w:r w:rsidRPr="00D934CD">
        <w:rPr>
          <w:rFonts w:eastAsia="Times New Roman" w:cs="Times New Roman"/>
          <w:b/>
          <w:bCs/>
          <w:color w:val="000000"/>
          <w:szCs w:val="20"/>
          <w:lang w:eastAsia="en-AU"/>
        </w:rPr>
        <w:lastRenderedPageBreak/>
        <w:t>ESC discussion</w:t>
      </w:r>
    </w:p>
    <w:p w14:paraId="0B71779E" w14:textId="77777777" w:rsidR="000B228E" w:rsidRPr="00D934CD"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 xml:space="preserve">ESC noted that this application </w:t>
      </w:r>
      <w:r>
        <w:rPr>
          <w:rFonts w:eastAsia="Times New Roman" w:cs="Times New Roman"/>
          <w:color w:val="000000"/>
          <w:szCs w:val="20"/>
          <w:lang w:eastAsia="en-AU"/>
        </w:rPr>
        <w:t>is</w:t>
      </w:r>
      <w:r w:rsidRPr="00D934CD">
        <w:rPr>
          <w:rFonts w:eastAsia="Times New Roman" w:cs="Times New Roman"/>
          <w:color w:val="000000"/>
          <w:szCs w:val="20"/>
          <w:lang w:eastAsia="en-AU"/>
        </w:rPr>
        <w:t xml:space="preserve"> requesting Medicare Benefits Schedule (MBS) listing of </w:t>
      </w:r>
      <w:r w:rsidRPr="00D934CD">
        <w:rPr>
          <w:rFonts w:eastAsia="Times New Roman" w:cs="Times New Roman"/>
          <w:color w:val="000000"/>
          <w:szCs w:val="20"/>
          <w:vertAlign w:val="superscript"/>
          <w:lang w:eastAsia="en-AU"/>
        </w:rPr>
        <w:t>177</w:t>
      </w:r>
      <w:r>
        <w:rPr>
          <w:rFonts w:eastAsia="Times New Roman" w:cs="Times New Roman"/>
          <w:color w:val="000000"/>
          <w:szCs w:val="20"/>
          <w:lang w:eastAsia="en-AU"/>
        </w:rPr>
        <w:t>L</w:t>
      </w:r>
      <w:r w:rsidRPr="00D934CD">
        <w:rPr>
          <w:rFonts w:eastAsia="Times New Roman" w:cs="Times New Roman"/>
          <w:color w:val="000000"/>
          <w:szCs w:val="20"/>
          <w:lang w:eastAsia="en-AU"/>
        </w:rPr>
        <w:t>utetium (no carrier added)-DOTA-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xml:space="preserve">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 (</w:t>
      </w:r>
      <w:proofErr w:type="spellStart"/>
      <w:r w:rsidRPr="00D934CD">
        <w:rPr>
          <w:rFonts w:eastAsia="Times New Roman" w:cs="Times New Roman"/>
          <w:color w:val="000000"/>
          <w:szCs w:val="20"/>
          <w:lang w:eastAsia="en-AU"/>
        </w:rPr>
        <w:t>nca</w:t>
      </w:r>
      <w:proofErr w:type="spellEnd"/>
      <w:r w:rsidRPr="00D934CD">
        <w:rPr>
          <w:rFonts w:eastAsia="Times New Roman" w:cs="Times New Roman"/>
          <w:color w:val="000000"/>
          <w:szCs w:val="20"/>
          <w:lang w:eastAsia="en-AU"/>
        </w:rPr>
        <w:t>)-DOTA-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for the treatment of advanced neuroendocrine neoplasms (NE</w:t>
      </w:r>
      <w:r>
        <w:rPr>
          <w:rFonts w:eastAsia="Times New Roman" w:cs="Times New Roman"/>
          <w:color w:val="000000"/>
          <w:szCs w:val="20"/>
          <w:lang w:eastAsia="en-AU"/>
        </w:rPr>
        <w:t>N</w:t>
      </w:r>
      <w:r w:rsidRPr="00D934CD">
        <w:rPr>
          <w:rFonts w:eastAsia="Times New Roman" w:cs="Times New Roman"/>
          <w:color w:val="000000"/>
          <w:szCs w:val="20"/>
          <w:lang w:eastAsia="en-AU"/>
        </w:rPr>
        <w:t xml:space="preserve">s) with high somatostatin receptor (H-SSTR) expression. The application </w:t>
      </w:r>
      <w:r>
        <w:rPr>
          <w:rFonts w:eastAsia="Times New Roman" w:cs="Times New Roman"/>
          <w:color w:val="000000"/>
          <w:szCs w:val="20"/>
          <w:lang w:eastAsia="en-AU"/>
        </w:rPr>
        <w:t xml:space="preserve">is </w:t>
      </w:r>
      <w:r w:rsidRPr="00D934CD">
        <w:rPr>
          <w:rFonts w:eastAsia="Times New Roman" w:cs="Times New Roman"/>
          <w:color w:val="000000"/>
          <w:szCs w:val="20"/>
          <w:lang w:eastAsia="en-AU"/>
        </w:rPr>
        <w:t>also request</w:t>
      </w:r>
      <w:r>
        <w:rPr>
          <w:rFonts w:eastAsia="Times New Roman" w:cs="Times New Roman"/>
          <w:color w:val="000000"/>
          <w:szCs w:val="20"/>
          <w:lang w:eastAsia="en-AU"/>
        </w:rPr>
        <w:t>ing</w:t>
      </w:r>
      <w:r w:rsidRPr="00D934CD">
        <w:rPr>
          <w:rFonts w:eastAsia="Times New Roman" w:cs="Times New Roman"/>
          <w:color w:val="000000"/>
          <w:szCs w:val="20"/>
          <w:lang w:eastAsia="en-AU"/>
        </w:rPr>
        <w:t xml:space="preserve"> a new MBS listing for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Gallium (Ga)-DOTA-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xml:space="preserve"> SSTR-positron emission tomography (PET)/computed tomography (CT) —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 xml:space="preserve">Ga-DOTA-octreotate PET/CT — to determine eligibility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 (</w:t>
      </w:r>
      <w:proofErr w:type="spellStart"/>
      <w:r w:rsidRPr="00D934CD">
        <w:rPr>
          <w:rFonts w:eastAsia="Times New Roman" w:cs="Times New Roman"/>
          <w:color w:val="000000"/>
          <w:szCs w:val="20"/>
          <w:lang w:eastAsia="en-AU"/>
        </w:rPr>
        <w:t>nca</w:t>
      </w:r>
      <w:proofErr w:type="spellEnd"/>
      <w:r w:rsidRPr="00D934CD">
        <w:rPr>
          <w:rFonts w:eastAsia="Times New Roman" w:cs="Times New Roman"/>
          <w:color w:val="000000"/>
          <w:szCs w:val="20"/>
          <w:lang w:eastAsia="en-AU"/>
        </w:rPr>
        <w:t>)-DOTA-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xml:space="preserve"> treatment, as well as for monitoring the post-treatment effect</w:t>
      </w:r>
      <w:r>
        <w:rPr>
          <w:rFonts w:eastAsia="Times New Roman" w:cs="Times New Roman"/>
          <w:color w:val="000000"/>
          <w:szCs w:val="20"/>
          <w:lang w:eastAsia="en-AU"/>
        </w:rPr>
        <w:t xml:space="preserve"> (i.e. treatment response)</w:t>
      </w:r>
      <w:r w:rsidRPr="00D934CD">
        <w:rPr>
          <w:rFonts w:eastAsia="Times New Roman" w:cs="Times New Roman"/>
          <w:color w:val="000000"/>
          <w:szCs w:val="20"/>
          <w:lang w:eastAsia="en-AU"/>
        </w:rPr>
        <w:t xml:space="preserve"> of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 (</w:t>
      </w:r>
      <w:proofErr w:type="spellStart"/>
      <w:r w:rsidRPr="00D934CD">
        <w:rPr>
          <w:rFonts w:eastAsia="Times New Roman" w:cs="Times New Roman"/>
          <w:color w:val="000000"/>
          <w:szCs w:val="20"/>
          <w:lang w:eastAsia="en-AU"/>
        </w:rPr>
        <w:t>nca</w:t>
      </w:r>
      <w:proofErr w:type="spellEnd"/>
      <w:r w:rsidRPr="00D934CD">
        <w:rPr>
          <w:rFonts w:eastAsia="Times New Roman" w:cs="Times New Roman"/>
          <w:color w:val="000000"/>
          <w:szCs w:val="20"/>
          <w:lang w:eastAsia="en-AU"/>
        </w:rPr>
        <w:t>)-DOTA-</w:t>
      </w:r>
      <w:proofErr w:type="spellStart"/>
      <w:r w:rsidRPr="00D934CD">
        <w:rPr>
          <w:rFonts w:eastAsia="Times New Roman" w:cs="Times New Roman"/>
          <w:color w:val="000000"/>
          <w:szCs w:val="20"/>
          <w:lang w:eastAsia="en-AU"/>
        </w:rPr>
        <w:t>octreotate</w:t>
      </w:r>
      <w:proofErr w:type="spellEnd"/>
      <w:r w:rsidRPr="00D934CD">
        <w:rPr>
          <w:rFonts w:eastAsia="Times New Roman" w:cs="Times New Roman"/>
          <w:color w:val="000000"/>
          <w:szCs w:val="20"/>
          <w:lang w:eastAsia="en-AU"/>
        </w:rPr>
        <w:t>. This</w:t>
      </w:r>
      <w:r>
        <w:rPr>
          <w:rFonts w:eastAsia="Times New Roman" w:cs="Times New Roman"/>
          <w:color w:val="000000"/>
          <w:szCs w:val="20"/>
          <w:lang w:eastAsia="en-AU"/>
        </w:rPr>
        <w:t xml:space="preserve"> treatment</w:t>
      </w:r>
      <w:r w:rsidRPr="00D934CD">
        <w:rPr>
          <w:rFonts w:eastAsia="Times New Roman" w:cs="Times New Roman"/>
          <w:color w:val="000000"/>
          <w:szCs w:val="20"/>
          <w:lang w:eastAsia="en-AU"/>
        </w:rPr>
        <w:t xml:space="preserve"> is </w:t>
      </w:r>
      <w:r>
        <w:rPr>
          <w:rFonts w:eastAsia="Times New Roman" w:cs="Times New Roman"/>
          <w:color w:val="000000"/>
          <w:szCs w:val="20"/>
          <w:lang w:eastAsia="en-AU"/>
        </w:rPr>
        <w:t xml:space="preserve">a type of </w:t>
      </w:r>
      <w:r w:rsidRPr="00D934CD">
        <w:rPr>
          <w:rFonts w:eastAsia="Calibri" w:cs="Times New Roman"/>
          <w:color w:val="000000"/>
          <w:szCs w:val="20"/>
          <w:lang w:eastAsia="en-AU"/>
        </w:rPr>
        <w:t>peptide receptor radionuclide therapy (PRRT).</w:t>
      </w:r>
      <w:r w:rsidRPr="000531B8">
        <w:t xml:space="preserve"> </w:t>
      </w:r>
      <w:r>
        <w:t xml:space="preserve">The applicant’s </w:t>
      </w:r>
      <w:r>
        <w:rPr>
          <w:rFonts w:eastAsia="Calibri" w:cs="Times New Roman"/>
          <w:color w:val="000000"/>
          <w:szCs w:val="20"/>
          <w:lang w:eastAsia="en-AU"/>
        </w:rPr>
        <w:t>c</w:t>
      </w:r>
      <w:r w:rsidRPr="000531B8">
        <w:rPr>
          <w:rFonts w:eastAsia="Calibri" w:cs="Times New Roman"/>
          <w:color w:val="000000"/>
          <w:szCs w:val="20"/>
          <w:lang w:eastAsia="en-AU"/>
        </w:rPr>
        <w:t xml:space="preserve">linical claim implied that </w:t>
      </w:r>
      <w:r w:rsidRPr="00994611">
        <w:rPr>
          <w:rFonts w:eastAsia="Calibri" w:cs="Times New Roman"/>
          <w:color w:val="000000"/>
          <w:szCs w:val="20"/>
          <w:vertAlign w:val="superscript"/>
          <w:lang w:eastAsia="en-AU"/>
        </w:rPr>
        <w:t>177</w:t>
      </w:r>
      <w:r w:rsidRPr="000531B8">
        <w:rPr>
          <w:rFonts w:eastAsia="Calibri" w:cs="Times New Roman"/>
          <w:color w:val="000000"/>
          <w:szCs w:val="20"/>
          <w:lang w:eastAsia="en-AU"/>
        </w:rPr>
        <w:t>Lu(</w:t>
      </w:r>
      <w:proofErr w:type="spellStart"/>
      <w:r w:rsidRPr="000531B8">
        <w:rPr>
          <w:rFonts w:eastAsia="Calibri" w:cs="Times New Roman"/>
          <w:color w:val="000000"/>
          <w:szCs w:val="20"/>
          <w:lang w:eastAsia="en-AU"/>
        </w:rPr>
        <w:t>nca</w:t>
      </w:r>
      <w:proofErr w:type="spellEnd"/>
      <w:r w:rsidRPr="000531B8">
        <w:rPr>
          <w:rFonts w:eastAsia="Calibri" w:cs="Times New Roman"/>
          <w:color w:val="000000"/>
          <w:szCs w:val="20"/>
          <w:lang w:eastAsia="en-AU"/>
        </w:rPr>
        <w:t>)-DOTA-</w:t>
      </w:r>
      <w:proofErr w:type="spellStart"/>
      <w:r w:rsidRPr="000531B8">
        <w:rPr>
          <w:rFonts w:eastAsia="Calibri" w:cs="Times New Roman"/>
          <w:color w:val="000000"/>
          <w:szCs w:val="20"/>
          <w:lang w:eastAsia="en-AU"/>
        </w:rPr>
        <w:t>octreotate</w:t>
      </w:r>
      <w:proofErr w:type="spellEnd"/>
      <w:r w:rsidRPr="000531B8">
        <w:rPr>
          <w:rFonts w:eastAsia="Calibri" w:cs="Times New Roman"/>
          <w:color w:val="000000"/>
          <w:szCs w:val="20"/>
          <w:lang w:eastAsia="en-AU"/>
        </w:rPr>
        <w:t xml:space="preserve"> results in superior health outcomes and non</w:t>
      </w:r>
      <w:r>
        <w:rPr>
          <w:rFonts w:eastAsia="Calibri" w:cs="Times New Roman"/>
          <w:color w:val="000000"/>
          <w:szCs w:val="20"/>
          <w:lang w:eastAsia="en-AU"/>
        </w:rPr>
        <w:t>-</w:t>
      </w:r>
      <w:r w:rsidRPr="000531B8">
        <w:rPr>
          <w:rFonts w:eastAsia="Calibri" w:cs="Times New Roman"/>
          <w:color w:val="000000"/>
          <w:szCs w:val="20"/>
          <w:lang w:eastAsia="en-AU"/>
        </w:rPr>
        <w:t>inferior safety.</w:t>
      </w:r>
    </w:p>
    <w:p w14:paraId="1B069090" w14:textId="77777777" w:rsidR="000B228E" w:rsidRPr="00D934CD" w:rsidRDefault="000B228E" w:rsidP="000B228E">
      <w:pPr>
        <w:spacing w:before="0" w:after="240" w:line="240" w:lineRule="auto"/>
        <w:rPr>
          <w:rFonts w:eastAsia="Times New Roman" w:cs="Times New Roman"/>
          <w:color w:val="000000"/>
          <w:szCs w:val="20"/>
          <w:lang w:eastAsia="en-AU"/>
        </w:rPr>
      </w:pPr>
      <w:r w:rsidRPr="0003434B">
        <w:rPr>
          <w:rFonts w:eastAsia="Times New Roman" w:cs="Times New Roman"/>
          <w:color w:val="000000"/>
          <w:szCs w:val="20"/>
          <w:lang w:eastAsia="en-AU"/>
        </w:rPr>
        <w:t xml:space="preserve">The </w:t>
      </w:r>
      <w:r w:rsidRPr="00610875">
        <w:rPr>
          <w:rFonts w:eastAsia="Times New Roman" w:cs="Times New Roman"/>
          <w:color w:val="000000"/>
          <w:szCs w:val="20"/>
          <w:vertAlign w:val="superscript"/>
          <w:lang w:eastAsia="en-AU"/>
        </w:rPr>
        <w:t>177</w:t>
      </w:r>
      <w:r w:rsidRPr="0003434B">
        <w:rPr>
          <w:rFonts w:eastAsia="Times New Roman" w:cs="Times New Roman"/>
          <w:color w:val="000000"/>
          <w:szCs w:val="20"/>
          <w:lang w:eastAsia="en-AU"/>
        </w:rPr>
        <w:t xml:space="preserve">Lu-DOTA-octreotate product is supplied as an extemporaneously manufactured medicine for individual patient use as prescribed by a medical practitioner. </w:t>
      </w:r>
      <w:r w:rsidRPr="00D934CD">
        <w:rPr>
          <w:rFonts w:eastAsia="Times New Roman" w:cs="Times New Roman"/>
          <w:color w:val="000000"/>
          <w:szCs w:val="20"/>
          <w:lang w:eastAsia="en-AU"/>
        </w:rPr>
        <w:t xml:space="preserve">ESC noted that the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 xml:space="preserve">Lu-DOTA-octreotate product is exempt from ARTG entry. </w:t>
      </w:r>
      <w:r>
        <w:rPr>
          <w:rFonts w:eastAsia="Times New Roman" w:cs="Times New Roman"/>
          <w:color w:val="000000"/>
          <w:szCs w:val="20"/>
          <w:lang w:eastAsia="en-AU"/>
        </w:rPr>
        <w:t xml:space="preserve">ESC noted that the applicant’s proposed product </w:t>
      </w:r>
      <w:r w:rsidRPr="00D934CD">
        <w:rPr>
          <w:rFonts w:eastAsia="Times New Roman" w:cs="Times New Roman"/>
          <w:color w:val="000000"/>
          <w:szCs w:val="20"/>
          <w:lang w:eastAsia="en-AU"/>
        </w:rPr>
        <w:t xml:space="preserve">is produced by a TGA-licensed manufacturer following </w:t>
      </w:r>
      <w:r>
        <w:rPr>
          <w:rFonts w:eastAsia="Times New Roman" w:cs="Times New Roman"/>
          <w:color w:val="000000"/>
          <w:szCs w:val="20"/>
          <w:lang w:eastAsia="en-AU"/>
        </w:rPr>
        <w:t>G</w:t>
      </w:r>
      <w:r w:rsidRPr="00D934CD">
        <w:rPr>
          <w:rFonts w:eastAsia="Times New Roman" w:cs="Times New Roman"/>
          <w:color w:val="000000"/>
          <w:szCs w:val="20"/>
          <w:lang w:eastAsia="en-AU"/>
        </w:rPr>
        <w:t xml:space="preserve">ood </w:t>
      </w:r>
      <w:r>
        <w:rPr>
          <w:rFonts w:eastAsia="Times New Roman" w:cs="Times New Roman"/>
          <w:color w:val="000000"/>
          <w:szCs w:val="20"/>
          <w:lang w:eastAsia="en-AU"/>
        </w:rPr>
        <w:t>M</w:t>
      </w:r>
      <w:r w:rsidRPr="00D934CD">
        <w:rPr>
          <w:rFonts w:eastAsia="Times New Roman" w:cs="Times New Roman"/>
          <w:color w:val="000000"/>
          <w:szCs w:val="20"/>
          <w:lang w:eastAsia="en-AU"/>
        </w:rPr>
        <w:t xml:space="preserve">anufacturing </w:t>
      </w:r>
      <w:r>
        <w:rPr>
          <w:rFonts w:eastAsia="Times New Roman" w:cs="Times New Roman"/>
          <w:color w:val="000000"/>
          <w:szCs w:val="20"/>
          <w:lang w:eastAsia="en-AU"/>
        </w:rPr>
        <w:t>P</w:t>
      </w:r>
      <w:r w:rsidRPr="00D934CD">
        <w:rPr>
          <w:rFonts w:eastAsia="Times New Roman" w:cs="Times New Roman"/>
          <w:color w:val="000000"/>
          <w:szCs w:val="20"/>
          <w:lang w:eastAsia="en-AU"/>
        </w:rPr>
        <w:t>ractice (GMP).</w:t>
      </w:r>
    </w:p>
    <w:p w14:paraId="65E4A593" w14:textId="77777777" w:rsidR="000B228E" w:rsidRPr="00D934CD"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ESC noted that the application and ratified PICO confirmation was restricted to the ‘no carrier added’ product</w:t>
      </w:r>
      <w:r>
        <w:rPr>
          <w:rFonts w:eastAsia="Times New Roman" w:cs="Times New Roman"/>
          <w:color w:val="000000"/>
          <w:szCs w:val="20"/>
          <w:lang w:eastAsia="en-AU"/>
        </w:rPr>
        <w:t xml:space="preserve">. </w:t>
      </w:r>
      <w:r w:rsidRPr="00BD5FCF">
        <w:rPr>
          <w:rFonts w:eastAsia="Times New Roman" w:cs="Times New Roman"/>
          <w:color w:val="000000"/>
          <w:szCs w:val="20"/>
          <w:lang w:eastAsia="en-AU"/>
        </w:rPr>
        <w:t xml:space="preserve">Other similar medical isotopes are ‘carrier-added’ including a commercial product called </w:t>
      </w:r>
      <w:proofErr w:type="spellStart"/>
      <w:r w:rsidRPr="00BD5FCF">
        <w:rPr>
          <w:rFonts w:eastAsia="Times New Roman" w:cs="Times New Roman"/>
          <w:color w:val="000000"/>
          <w:szCs w:val="20"/>
          <w:lang w:eastAsia="en-AU"/>
        </w:rPr>
        <w:t>Lutathera</w:t>
      </w:r>
      <w:proofErr w:type="spellEnd"/>
      <w:r w:rsidRPr="00BD5FCF">
        <w:rPr>
          <w:rFonts w:eastAsia="Times New Roman" w:cs="Times New Roman"/>
          <w:color w:val="000000"/>
          <w:szCs w:val="20"/>
          <w:lang w:eastAsia="en-AU"/>
        </w:rPr>
        <w:t xml:space="preserve">® </w:t>
      </w:r>
      <w:r>
        <w:rPr>
          <w:rFonts w:eastAsia="Times New Roman" w:cs="Times New Roman"/>
          <w:color w:val="000000"/>
          <w:szCs w:val="20"/>
          <w:lang w:eastAsia="en-AU"/>
        </w:rPr>
        <w:t xml:space="preserve">which is not currently </w:t>
      </w:r>
      <w:r w:rsidRPr="00BD5FCF">
        <w:rPr>
          <w:rFonts w:eastAsia="Times New Roman" w:cs="Times New Roman"/>
          <w:color w:val="000000"/>
          <w:szCs w:val="20"/>
          <w:lang w:eastAsia="en-AU"/>
        </w:rPr>
        <w:t xml:space="preserve">registered </w:t>
      </w:r>
      <w:r>
        <w:rPr>
          <w:rFonts w:eastAsia="Times New Roman" w:cs="Times New Roman"/>
          <w:color w:val="000000"/>
          <w:szCs w:val="20"/>
          <w:lang w:eastAsia="en-AU"/>
        </w:rPr>
        <w:t xml:space="preserve">in Australia. ESC noted that the applicant advised that </w:t>
      </w:r>
      <w:r w:rsidRPr="00994611">
        <w:rPr>
          <w:rFonts w:eastAsia="Times New Roman" w:cs="Times New Roman"/>
          <w:color w:val="000000"/>
          <w:szCs w:val="20"/>
          <w:vertAlign w:val="superscript"/>
          <w:lang w:eastAsia="en-AU"/>
        </w:rPr>
        <w:t>177</w:t>
      </w:r>
      <w:r w:rsidRPr="008A48E5">
        <w:rPr>
          <w:rFonts w:eastAsia="Times New Roman" w:cs="Times New Roman"/>
          <w:color w:val="000000"/>
          <w:szCs w:val="20"/>
          <w:lang w:eastAsia="en-AU"/>
        </w:rPr>
        <w:t>Lu(</w:t>
      </w:r>
      <w:proofErr w:type="spellStart"/>
      <w:r w:rsidRPr="008A48E5">
        <w:rPr>
          <w:rFonts w:eastAsia="Times New Roman" w:cs="Times New Roman"/>
          <w:color w:val="000000"/>
          <w:szCs w:val="20"/>
          <w:lang w:eastAsia="en-AU"/>
        </w:rPr>
        <w:t>nca</w:t>
      </w:r>
      <w:proofErr w:type="spellEnd"/>
      <w:r w:rsidRPr="008A48E5">
        <w:rPr>
          <w:rFonts w:eastAsia="Times New Roman" w:cs="Times New Roman"/>
          <w:color w:val="000000"/>
          <w:szCs w:val="20"/>
          <w:lang w:eastAsia="en-AU"/>
        </w:rPr>
        <w:t>)-DOTA-</w:t>
      </w:r>
      <w:proofErr w:type="spellStart"/>
      <w:r w:rsidRPr="008A48E5">
        <w:rPr>
          <w:rFonts w:eastAsia="Times New Roman" w:cs="Times New Roman"/>
          <w:color w:val="000000"/>
          <w:szCs w:val="20"/>
          <w:lang w:eastAsia="en-AU"/>
        </w:rPr>
        <w:t>octreotate</w:t>
      </w:r>
      <w:proofErr w:type="spellEnd"/>
      <w:r w:rsidRPr="008A48E5">
        <w:rPr>
          <w:rFonts w:eastAsia="Times New Roman" w:cs="Times New Roman"/>
          <w:color w:val="000000"/>
          <w:szCs w:val="20"/>
          <w:lang w:eastAsia="en-AU"/>
        </w:rPr>
        <w:t xml:space="preserve"> is recommended in Europe and USA due to environmental considerations</w:t>
      </w:r>
      <w:r>
        <w:rPr>
          <w:rFonts w:eastAsia="Times New Roman" w:cs="Times New Roman"/>
          <w:color w:val="000000"/>
          <w:szCs w:val="20"/>
          <w:lang w:eastAsia="en-AU"/>
        </w:rPr>
        <w:t xml:space="preserve"> </w:t>
      </w:r>
      <w:r w:rsidRPr="006A1872">
        <w:rPr>
          <w:rFonts w:eastAsia="Times New Roman" w:cs="Times New Roman"/>
          <w:color w:val="000000"/>
          <w:szCs w:val="20"/>
          <w:lang w:eastAsia="en-AU"/>
        </w:rPr>
        <w:t xml:space="preserve">because the “ca” product contains </w:t>
      </w:r>
      <w:r w:rsidRPr="00994611">
        <w:rPr>
          <w:rFonts w:eastAsia="Times New Roman" w:cs="Times New Roman"/>
          <w:color w:val="000000"/>
          <w:szCs w:val="20"/>
          <w:vertAlign w:val="superscript"/>
          <w:lang w:eastAsia="en-AU"/>
        </w:rPr>
        <w:t>177m</w:t>
      </w:r>
      <w:r w:rsidRPr="006A1872">
        <w:rPr>
          <w:rFonts w:eastAsia="Times New Roman" w:cs="Times New Roman"/>
          <w:color w:val="000000"/>
          <w:szCs w:val="20"/>
          <w:lang w:eastAsia="en-AU"/>
        </w:rPr>
        <w:t xml:space="preserve">Lu, with a half-life of 160 days, whereas </w:t>
      </w:r>
      <w:proofErr w:type="spellStart"/>
      <w:r w:rsidRPr="006A1872">
        <w:rPr>
          <w:rFonts w:eastAsia="Times New Roman" w:cs="Times New Roman"/>
          <w:color w:val="000000"/>
          <w:szCs w:val="20"/>
          <w:lang w:eastAsia="en-AU"/>
        </w:rPr>
        <w:t>nca</w:t>
      </w:r>
      <w:proofErr w:type="spellEnd"/>
      <w:r w:rsidRPr="006A1872">
        <w:rPr>
          <w:rFonts w:eastAsia="Times New Roman" w:cs="Times New Roman"/>
          <w:color w:val="000000"/>
          <w:szCs w:val="20"/>
          <w:lang w:eastAsia="en-AU"/>
        </w:rPr>
        <w:t xml:space="preserve"> </w:t>
      </w:r>
      <w:r w:rsidRPr="00994611">
        <w:rPr>
          <w:rFonts w:eastAsia="Times New Roman" w:cs="Times New Roman"/>
          <w:color w:val="000000"/>
          <w:szCs w:val="20"/>
          <w:vertAlign w:val="superscript"/>
          <w:lang w:eastAsia="en-AU"/>
        </w:rPr>
        <w:t>177</w:t>
      </w:r>
      <w:r w:rsidRPr="006A1872">
        <w:rPr>
          <w:rFonts w:eastAsia="Times New Roman" w:cs="Times New Roman"/>
          <w:color w:val="000000"/>
          <w:szCs w:val="20"/>
          <w:lang w:eastAsia="en-AU"/>
        </w:rPr>
        <w:t>Lu does not</w:t>
      </w:r>
      <w:r>
        <w:rPr>
          <w:rFonts w:eastAsia="Times New Roman" w:cs="Times New Roman"/>
          <w:color w:val="000000"/>
          <w:szCs w:val="20"/>
          <w:lang w:eastAsia="en-AU"/>
        </w:rPr>
        <w:t xml:space="preserve">, which may have implications for radioactive waste storage and disposal. </w:t>
      </w:r>
      <w:r w:rsidRPr="00D934CD">
        <w:rPr>
          <w:rFonts w:eastAsia="Times New Roman" w:cs="Times New Roman"/>
          <w:color w:val="000000"/>
          <w:szCs w:val="20"/>
          <w:lang w:eastAsia="en-AU"/>
        </w:rPr>
        <w:t>ESC noted</w:t>
      </w:r>
      <w:r>
        <w:rPr>
          <w:rFonts w:eastAsia="Times New Roman" w:cs="Times New Roman"/>
          <w:color w:val="000000"/>
          <w:szCs w:val="20"/>
          <w:lang w:eastAsia="en-AU"/>
        </w:rPr>
        <w:t xml:space="preserve"> </w:t>
      </w:r>
      <w:r w:rsidRPr="00D934CD">
        <w:rPr>
          <w:rFonts w:eastAsia="Times New Roman" w:cs="Times New Roman"/>
          <w:color w:val="000000"/>
          <w:szCs w:val="20"/>
          <w:lang w:eastAsia="en-AU"/>
        </w:rPr>
        <w:t xml:space="preserve">in line with PASC considerations, the intervention described in the </w:t>
      </w:r>
      <w:r>
        <w:rPr>
          <w:rFonts w:eastAsia="Times New Roman" w:cs="Times New Roman"/>
          <w:color w:val="000000"/>
          <w:szCs w:val="20"/>
          <w:lang w:eastAsia="en-AU"/>
        </w:rPr>
        <w:t xml:space="preserve">department contracted </w:t>
      </w:r>
      <w:r w:rsidRPr="00D934CD">
        <w:rPr>
          <w:rFonts w:eastAsia="Times New Roman" w:cs="Times New Roman"/>
          <w:color w:val="000000"/>
          <w:szCs w:val="20"/>
          <w:lang w:eastAsia="en-AU"/>
        </w:rPr>
        <w:t>assessment report</w:t>
      </w:r>
      <w:r>
        <w:rPr>
          <w:rFonts w:eastAsia="Times New Roman" w:cs="Times New Roman"/>
          <w:color w:val="000000"/>
          <w:szCs w:val="20"/>
          <w:lang w:eastAsia="en-AU"/>
        </w:rPr>
        <w:t xml:space="preserve"> (DCAR)</w:t>
      </w:r>
      <w:r w:rsidRPr="00D934CD">
        <w:rPr>
          <w:rFonts w:eastAsia="Times New Roman" w:cs="Times New Roman"/>
          <w:color w:val="000000"/>
          <w:szCs w:val="20"/>
          <w:lang w:eastAsia="en-AU"/>
        </w:rPr>
        <w:t xml:space="preserve"> refers to the more generic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p>
    <w:p w14:paraId="0FB0DA43" w14:textId="77777777" w:rsidR="000B228E" w:rsidRDefault="000B228E" w:rsidP="000B228E">
      <w:pPr>
        <w:shd w:val="clear" w:color="auto" w:fill="FFFFFF"/>
        <w:spacing w:before="0" w:after="240" w:line="240" w:lineRule="auto"/>
        <w:rPr>
          <w:rFonts w:eastAsia="Times New Roman" w:cs="Times New Roman"/>
          <w:color w:val="000000"/>
          <w:szCs w:val="24"/>
          <w:lang w:eastAsia="en-AU"/>
        </w:rPr>
      </w:pPr>
      <w:r w:rsidRPr="005623E4">
        <w:rPr>
          <w:rFonts w:cs="Calibri"/>
        </w:rPr>
        <w:t xml:space="preserve">ESC noted and welcomed consultation input from </w:t>
      </w:r>
      <w:r>
        <w:rPr>
          <w:rFonts w:cs="Calibri"/>
        </w:rPr>
        <w:t>eight (8)</w:t>
      </w:r>
      <w:r w:rsidRPr="005623E4">
        <w:rPr>
          <w:rFonts w:cs="Calibri"/>
        </w:rPr>
        <w:t xml:space="preserve"> professional organisations, </w:t>
      </w:r>
      <w:r>
        <w:rPr>
          <w:rFonts w:cs="Calibri"/>
        </w:rPr>
        <w:t>and one (1)</w:t>
      </w:r>
      <w:r w:rsidRPr="005623E4">
        <w:rPr>
          <w:rFonts w:cs="Calibri"/>
        </w:rPr>
        <w:t xml:space="preserve"> consumer organisation</w:t>
      </w:r>
      <w:r>
        <w:rPr>
          <w:rFonts w:cs="Calibri"/>
        </w:rPr>
        <w:t xml:space="preserve">. </w:t>
      </w:r>
      <w:r w:rsidRPr="00D934CD">
        <w:rPr>
          <w:rFonts w:eastAsia="Times New Roman" w:cs="Times New Roman"/>
          <w:color w:val="000000"/>
          <w:szCs w:val="20"/>
          <w:lang w:eastAsia="en-AU"/>
        </w:rPr>
        <w:t xml:space="preserve">ESC noted the consumer feedback that there is a strong clinical need for this therapy because the condition is rare and </w:t>
      </w:r>
      <w:r>
        <w:rPr>
          <w:rFonts w:eastAsia="Times New Roman" w:cs="Times New Roman"/>
          <w:color w:val="000000"/>
          <w:szCs w:val="20"/>
          <w:lang w:eastAsia="en-AU"/>
        </w:rPr>
        <w:t xml:space="preserve">often </w:t>
      </w:r>
      <w:r w:rsidRPr="00D934CD">
        <w:rPr>
          <w:rFonts w:eastAsia="Times New Roman" w:cs="Times New Roman"/>
          <w:color w:val="000000"/>
          <w:szCs w:val="20"/>
          <w:lang w:eastAsia="en-AU"/>
        </w:rPr>
        <w:t>diagnosed</w:t>
      </w:r>
      <w:r>
        <w:rPr>
          <w:rFonts w:eastAsia="Times New Roman" w:cs="Times New Roman"/>
          <w:color w:val="000000"/>
          <w:szCs w:val="20"/>
          <w:lang w:eastAsia="en-AU"/>
        </w:rPr>
        <w:t xml:space="preserve"> late</w:t>
      </w:r>
      <w:r w:rsidRPr="00D934CD">
        <w:rPr>
          <w:rFonts w:eastAsia="Times New Roman" w:cs="Times New Roman"/>
          <w:color w:val="000000"/>
          <w:szCs w:val="20"/>
          <w:lang w:eastAsia="en-AU"/>
        </w:rPr>
        <w:t xml:space="preserve">. ESC also noted that although this therapy is novel to the MBS, it has been successfully conducted in Australia for the past 10 years and is currently funded through the Department of Veterans' Affairs (DVA) on a case-by-case basis. </w:t>
      </w:r>
      <w:r w:rsidRPr="00D934CD">
        <w:rPr>
          <w:rFonts w:eastAsia="Times New Roman" w:cs="Times New Roman"/>
          <w:color w:val="000000"/>
          <w:szCs w:val="24"/>
          <w:lang w:eastAsia="en-AU"/>
        </w:rPr>
        <w:t xml:space="preserve">ESC noted that access to PET services is limited based on the location of PET machines. </w:t>
      </w:r>
      <w:r>
        <w:rPr>
          <w:rFonts w:eastAsia="Times New Roman" w:cs="Times New Roman"/>
          <w:color w:val="000000"/>
          <w:szCs w:val="24"/>
          <w:lang w:eastAsia="en-AU"/>
        </w:rPr>
        <w:t xml:space="preserve">ESC noted that </w:t>
      </w:r>
      <w:r w:rsidRPr="00D934CD">
        <w:rPr>
          <w:rFonts w:eastAsia="Times New Roman" w:cs="Times New Roman"/>
          <w:color w:val="000000"/>
          <w:szCs w:val="24"/>
          <w:lang w:eastAsia="en-AU"/>
        </w:rPr>
        <w:t>all states and territories of Australia</w:t>
      </w:r>
      <w:r>
        <w:rPr>
          <w:rFonts w:eastAsia="Times New Roman" w:cs="Times New Roman"/>
          <w:color w:val="000000"/>
          <w:szCs w:val="24"/>
          <w:lang w:eastAsia="en-AU"/>
        </w:rPr>
        <w:t xml:space="preserve"> (</w:t>
      </w:r>
      <w:r w:rsidRPr="00D934CD">
        <w:rPr>
          <w:rFonts w:eastAsia="Times New Roman" w:cs="Times New Roman"/>
          <w:color w:val="000000"/>
          <w:szCs w:val="24"/>
          <w:lang w:eastAsia="en-AU"/>
        </w:rPr>
        <w:t>except for the Northern Territory</w:t>
      </w:r>
      <w:r>
        <w:rPr>
          <w:rFonts w:eastAsia="Times New Roman" w:cs="Times New Roman"/>
          <w:color w:val="000000"/>
          <w:szCs w:val="24"/>
          <w:lang w:eastAsia="en-AU"/>
        </w:rPr>
        <w:t>) can provide PRRT to patients with NENs, although these centres</w:t>
      </w:r>
      <w:r w:rsidRPr="00D934CD">
        <w:rPr>
          <w:rFonts w:eastAsia="Times New Roman" w:cs="Times New Roman"/>
          <w:color w:val="000000"/>
          <w:szCs w:val="24"/>
          <w:lang w:eastAsia="en-AU"/>
        </w:rPr>
        <w:t xml:space="preserve"> </w:t>
      </w:r>
      <w:r>
        <w:rPr>
          <w:rFonts w:eastAsia="Times New Roman" w:cs="Times New Roman"/>
          <w:color w:val="000000"/>
          <w:szCs w:val="24"/>
          <w:lang w:eastAsia="en-AU"/>
        </w:rPr>
        <w:t>are limited</w:t>
      </w:r>
      <w:r w:rsidRPr="00D934CD">
        <w:rPr>
          <w:rFonts w:eastAsia="Times New Roman" w:cs="Times New Roman"/>
          <w:color w:val="000000"/>
          <w:szCs w:val="24"/>
          <w:lang w:eastAsia="en-AU"/>
        </w:rPr>
        <w:t>.</w:t>
      </w:r>
      <w:r>
        <w:rPr>
          <w:rFonts w:eastAsia="Times New Roman" w:cs="Times New Roman"/>
          <w:color w:val="000000"/>
          <w:szCs w:val="24"/>
          <w:lang w:eastAsia="en-AU"/>
        </w:rPr>
        <w:t xml:space="preserve"> Most, if not all PRRT is administered in public hospitals.</w:t>
      </w:r>
      <w:r w:rsidRPr="00D934CD">
        <w:rPr>
          <w:rFonts w:eastAsia="Times New Roman" w:cs="Times New Roman"/>
          <w:color w:val="000000"/>
          <w:szCs w:val="24"/>
          <w:lang w:eastAsia="en-AU"/>
        </w:rPr>
        <w:t xml:space="preserve"> ESC also noted the clinical expert feedback that both no carrier </w:t>
      </w:r>
      <w:proofErr w:type="gramStart"/>
      <w:r w:rsidRPr="00D934CD">
        <w:rPr>
          <w:rFonts w:eastAsia="Times New Roman" w:cs="Times New Roman"/>
          <w:color w:val="000000"/>
          <w:szCs w:val="24"/>
          <w:lang w:eastAsia="en-AU"/>
        </w:rPr>
        <w:t>added</w:t>
      </w:r>
      <w:proofErr w:type="gramEnd"/>
      <w:r w:rsidRPr="00D934CD">
        <w:rPr>
          <w:rFonts w:eastAsia="Times New Roman" w:cs="Times New Roman"/>
          <w:color w:val="000000"/>
          <w:szCs w:val="24"/>
          <w:lang w:eastAsia="en-AU"/>
        </w:rPr>
        <w:t xml:space="preserve"> and carrier added </w:t>
      </w:r>
      <w:r>
        <w:rPr>
          <w:rFonts w:eastAsia="Times New Roman" w:cs="Times New Roman"/>
          <w:color w:val="000000"/>
          <w:szCs w:val="24"/>
          <w:lang w:eastAsia="en-AU"/>
        </w:rPr>
        <w:t xml:space="preserve">treatment </w:t>
      </w:r>
      <w:r w:rsidRPr="00D934CD">
        <w:rPr>
          <w:rFonts w:eastAsia="Times New Roman" w:cs="Times New Roman"/>
          <w:color w:val="000000"/>
          <w:szCs w:val="24"/>
          <w:lang w:eastAsia="en-AU"/>
        </w:rPr>
        <w:t>options are currently being used and that having both options subsidised would enable clinicians to manage radiopharmaceutical shortages.</w:t>
      </w:r>
    </w:p>
    <w:p w14:paraId="0EB1F85C" w14:textId="77777777" w:rsidR="000B228E" w:rsidRPr="00D934CD" w:rsidRDefault="000B228E" w:rsidP="000B228E">
      <w:pPr>
        <w:shd w:val="clear" w:color="auto" w:fill="FFFFFF"/>
        <w:spacing w:before="0" w:after="240" w:line="240" w:lineRule="auto"/>
        <w:rPr>
          <w:rFonts w:eastAsia="Times New Roman" w:cs="Times New Roman"/>
          <w:color w:val="000000"/>
          <w:szCs w:val="24"/>
          <w:lang w:eastAsia="en-AU"/>
        </w:rPr>
      </w:pPr>
      <w:r>
        <w:rPr>
          <w:rFonts w:eastAsia="Times New Roman" w:cs="Times New Roman"/>
          <w:color w:val="000000"/>
          <w:szCs w:val="24"/>
          <w:lang w:eastAsia="en-AU"/>
        </w:rPr>
        <w:t xml:space="preserve">ESC noted that the proposed population is patients </w:t>
      </w:r>
      <w:r w:rsidRPr="007153AB">
        <w:rPr>
          <w:rFonts w:eastAsia="Times New Roman" w:cs="Times New Roman"/>
          <w:color w:val="000000"/>
          <w:szCs w:val="24"/>
          <w:lang w:eastAsia="en-AU"/>
        </w:rPr>
        <w:t>with histologically confirmed, locally advanced or metastatic, inoperable NENs with documented disease progression or uncontrolled NEN-related symptoms despite standard therapy, who have suspected H-SSTR expression.</w:t>
      </w:r>
      <w:r>
        <w:rPr>
          <w:rFonts w:eastAsia="Times New Roman" w:cs="Times New Roman"/>
          <w:color w:val="000000"/>
          <w:szCs w:val="24"/>
          <w:lang w:eastAsia="en-AU"/>
        </w:rPr>
        <w:t xml:space="preserve"> ESC noted that </w:t>
      </w:r>
      <w:r w:rsidRPr="006F2A6B">
        <w:rPr>
          <w:rFonts w:eastAsia="Times New Roman" w:cs="Times New Roman"/>
          <w:color w:val="000000"/>
          <w:szCs w:val="24"/>
          <w:lang w:eastAsia="en-AU"/>
        </w:rPr>
        <w:t>NENs are highly heterogeneous cancers and that patients are managed by a multidisciplinary team</w:t>
      </w:r>
      <w:r>
        <w:rPr>
          <w:rFonts w:eastAsia="Times New Roman" w:cs="Times New Roman"/>
          <w:color w:val="000000"/>
          <w:szCs w:val="24"/>
          <w:lang w:eastAsia="en-AU"/>
        </w:rPr>
        <w:t xml:space="preserve"> due to the complexity and rarity of individual cases. ESC noted that due to complexities in patient management, the PICO proposed pancreatic NETs and midgut NETs as exemplars.</w:t>
      </w:r>
      <w:r w:rsidRPr="006F2A6B">
        <w:rPr>
          <w:rFonts w:eastAsia="Times New Roman" w:cs="Times New Roman"/>
          <w:color w:val="000000"/>
          <w:szCs w:val="24"/>
          <w:lang w:eastAsia="en-AU"/>
        </w:rPr>
        <w:t xml:space="preserve"> </w:t>
      </w:r>
      <w:r>
        <w:rPr>
          <w:rFonts w:eastAsia="Times New Roman" w:cs="Times New Roman"/>
          <w:color w:val="000000"/>
          <w:szCs w:val="24"/>
          <w:lang w:eastAsia="en-AU"/>
        </w:rPr>
        <w:t>ESC acknowledged the high clinical need of this population.</w:t>
      </w:r>
    </w:p>
    <w:p w14:paraId="5C91A7DA" w14:textId="77777777" w:rsidR="000B228E" w:rsidRDefault="000B228E" w:rsidP="000B228E">
      <w:pPr>
        <w:spacing w:before="0" w:after="240"/>
        <w:rPr>
          <w:rFonts w:eastAsia="Times New Roman" w:cs="Times New Roman"/>
          <w:color w:val="000000"/>
          <w:szCs w:val="20"/>
          <w:lang w:eastAsia="en-AU"/>
        </w:rPr>
      </w:pPr>
      <w:r w:rsidRPr="00235B06">
        <w:rPr>
          <w:color w:val="000000" w:themeColor="text1"/>
        </w:rPr>
        <w:t>ESC noted that there were multiple comparators nominated in the ratified PICO, namely long-acting somatostatin analogues (SSA) comprising octreotide depot and lanreotide; targeted therapies – everolimus and sunitinib; chemotherapy and best supportive care (BSC). Adding to the assessment report’s complexity of multiple comparators, patients with advanced disease, due to their poor prognosis, are typically cycled through multiple treatments.</w:t>
      </w:r>
      <w:r w:rsidRPr="00235B06">
        <w:rPr>
          <w:color w:val="000000" w:themeColor="text1"/>
          <w:vertAlign w:val="superscript"/>
        </w:rPr>
        <w:t>177</w:t>
      </w:r>
      <w:r w:rsidRPr="00235B06">
        <w:rPr>
          <w:color w:val="000000" w:themeColor="text1"/>
        </w:rPr>
        <w:t xml:space="preserve">Lu-DOTA-octreotate </w:t>
      </w:r>
      <w:r w:rsidRPr="00235B06">
        <w:rPr>
          <w:color w:val="000000" w:themeColor="text1"/>
          <w:lang w:val="en-US"/>
        </w:rPr>
        <w:t xml:space="preserve">is not intended to replace chemotherapy and is often administered concurrently to chemotherapy. Similarly, SSAs are not replaced by </w:t>
      </w:r>
      <w:r w:rsidRPr="00235B06">
        <w:rPr>
          <w:color w:val="000000" w:themeColor="text1"/>
          <w:vertAlign w:val="superscript"/>
        </w:rPr>
        <w:t>177</w:t>
      </w:r>
      <w:r w:rsidRPr="00235B06">
        <w:rPr>
          <w:color w:val="000000" w:themeColor="text1"/>
        </w:rPr>
        <w:t xml:space="preserve">Lu-DOTA-octreotate but continued alongside it. ESC noted that consistent with PASC, the DCAR considered BSC the most relevant </w:t>
      </w:r>
      <w:r w:rsidRPr="00235B06">
        <w:rPr>
          <w:color w:val="000000" w:themeColor="text1"/>
        </w:rPr>
        <w:lastRenderedPageBreak/>
        <w:t xml:space="preserve">comparator as </w:t>
      </w:r>
      <w:r w:rsidRPr="00235B06">
        <w:rPr>
          <w:color w:val="000000" w:themeColor="text1"/>
          <w:vertAlign w:val="superscript"/>
        </w:rPr>
        <w:t>177</w:t>
      </w:r>
      <w:r w:rsidRPr="00235B06">
        <w:rPr>
          <w:color w:val="000000" w:themeColor="text1"/>
        </w:rPr>
        <w:t>Lu-DOTA-octreotate is proposed as an add-on therapy rather than a replacement for comparator management strategies.</w:t>
      </w:r>
    </w:p>
    <w:p w14:paraId="5AE14C81" w14:textId="77777777" w:rsidR="000B228E"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ESC noted that the department-contracted assessment report (DCAR) included the European Society of Medical Oncology guideline</w:t>
      </w:r>
      <w:r>
        <w:rPr>
          <w:rStyle w:val="FootnoteReference"/>
          <w:rFonts w:eastAsia="Times New Roman" w:cs="Times New Roman"/>
          <w:color w:val="000000"/>
          <w:szCs w:val="20"/>
          <w:lang w:eastAsia="en-AU"/>
        </w:rPr>
        <w:footnoteReference w:id="34"/>
      </w:r>
      <w:r w:rsidRPr="00D934CD">
        <w:rPr>
          <w:rFonts w:eastAsia="Times New Roman" w:cs="Times New Roman"/>
          <w:color w:val="000000"/>
          <w:szCs w:val="20"/>
          <w:lang w:eastAsia="en-AU"/>
        </w:rPr>
        <w:t xml:space="preserve"> for treatment, which illustrates the complexity of treatment and that PRRT may be used in different lines of treatment. ESC also noted the amended clinical management algorithm suggested by PASC, which highlights </w:t>
      </w:r>
      <w:r>
        <w:rPr>
          <w:rFonts w:eastAsia="Times New Roman" w:cs="Times New Roman"/>
          <w:color w:val="000000"/>
          <w:szCs w:val="20"/>
          <w:lang w:eastAsia="en-AU"/>
        </w:rPr>
        <w:t xml:space="preserve">the </w:t>
      </w:r>
      <w:r w:rsidRPr="00D934CD">
        <w:rPr>
          <w:rFonts w:eastAsia="Times New Roman" w:cs="Times New Roman"/>
          <w:color w:val="000000"/>
          <w:szCs w:val="20"/>
          <w:lang w:eastAsia="en-AU"/>
        </w:rPr>
        <w:t>thresholds for eligibility for PRRT</w:t>
      </w:r>
      <w:r>
        <w:rPr>
          <w:rFonts w:eastAsia="Times New Roman" w:cs="Times New Roman"/>
          <w:color w:val="000000"/>
          <w:szCs w:val="20"/>
          <w:lang w:eastAsia="en-AU"/>
        </w:rPr>
        <w:t xml:space="preserve"> Patients with</w:t>
      </w:r>
      <w:r w:rsidRPr="00D934CD">
        <w:rPr>
          <w:rFonts w:eastAsia="Times New Roman" w:cs="Times New Roman"/>
          <w:color w:val="000000"/>
          <w:szCs w:val="20"/>
          <w:lang w:eastAsia="en-AU"/>
        </w:rPr>
        <w:t xml:space="preserve"> a modified Krenning score of ≥3</w:t>
      </w:r>
      <w:r>
        <w:rPr>
          <w:rFonts w:eastAsia="Times New Roman" w:cs="Times New Roman"/>
          <w:color w:val="000000"/>
          <w:szCs w:val="20"/>
          <w:lang w:eastAsia="en-AU"/>
        </w:rPr>
        <w:t xml:space="preserve"> with slowly progressing grade 1 and grade 2 (Ki67 &lt;10%) NENs are eligible for PRRT. Patients with tumours with a modified Krenning score of </w:t>
      </w:r>
      <w:r w:rsidRPr="00D934CD">
        <w:rPr>
          <w:rFonts w:eastAsia="Times New Roman" w:cs="Times New Roman"/>
          <w:color w:val="000000"/>
          <w:szCs w:val="20"/>
          <w:lang w:eastAsia="en-AU"/>
        </w:rPr>
        <w:t>≥3</w:t>
      </w:r>
      <w:r>
        <w:rPr>
          <w:rFonts w:eastAsia="Times New Roman" w:cs="Times New Roman"/>
          <w:color w:val="000000"/>
          <w:szCs w:val="20"/>
          <w:lang w:eastAsia="en-AU"/>
        </w:rPr>
        <w:t xml:space="preserve"> who have a grade 2 NEN (Ki67 &gt;10%), grade 3 NEN (Ki67 ≤ 55%) or rapidly progressing grade 1 NEN will require further assessment with FDG PET/CT. Patients in the latter group with disease that shows low </w:t>
      </w:r>
      <w:r w:rsidRPr="00D934CD">
        <w:rPr>
          <w:rFonts w:eastAsia="Times New Roman" w:cs="Times New Roman"/>
          <w:color w:val="000000"/>
          <w:szCs w:val="20"/>
          <w:lang w:eastAsia="en-AU"/>
        </w:rPr>
        <w:t xml:space="preserve">FDG/SSRI discordance </w:t>
      </w:r>
      <w:r>
        <w:rPr>
          <w:rFonts w:eastAsia="Times New Roman" w:cs="Times New Roman"/>
          <w:color w:val="000000"/>
          <w:szCs w:val="20"/>
          <w:lang w:eastAsia="en-AU"/>
        </w:rPr>
        <w:t>(≤3</w:t>
      </w:r>
      <w:r w:rsidRPr="00D934CD">
        <w:rPr>
          <w:rFonts w:eastAsia="Times New Roman" w:cs="Times New Roman"/>
          <w:color w:val="000000"/>
          <w:szCs w:val="20"/>
          <w:lang w:eastAsia="en-AU"/>
        </w:rPr>
        <w:t xml:space="preserve"> lesions</w:t>
      </w:r>
      <w:r>
        <w:rPr>
          <w:rFonts w:eastAsia="Times New Roman" w:cs="Times New Roman"/>
          <w:color w:val="000000"/>
          <w:szCs w:val="20"/>
          <w:lang w:eastAsia="en-AU"/>
        </w:rPr>
        <w:t xml:space="preserve"> discordant) are eligible for PRRT</w:t>
      </w:r>
      <w:r w:rsidRPr="00D934CD">
        <w:rPr>
          <w:rFonts w:eastAsia="Times New Roman" w:cs="Times New Roman"/>
          <w:color w:val="000000"/>
          <w:szCs w:val="20"/>
          <w:lang w:eastAsia="en-AU"/>
        </w:rPr>
        <w:t xml:space="preserve">. However, ESC noted that these thresholds are for the purposes of the assessment report and that in clinical practice, </w:t>
      </w:r>
      <w:r>
        <w:rPr>
          <w:rFonts w:eastAsia="Times New Roman" w:cs="Times New Roman"/>
          <w:color w:val="000000"/>
          <w:szCs w:val="20"/>
          <w:lang w:eastAsia="en-AU"/>
        </w:rPr>
        <w:t xml:space="preserve">it has been proposed that </w:t>
      </w:r>
      <w:r w:rsidRPr="00D934CD">
        <w:rPr>
          <w:rFonts w:eastAsia="Times New Roman" w:cs="Times New Roman"/>
          <w:color w:val="000000"/>
          <w:szCs w:val="20"/>
          <w:lang w:eastAsia="en-AU"/>
        </w:rPr>
        <w:t xml:space="preserve">a multidisciplinary team </w:t>
      </w:r>
      <w:r>
        <w:rPr>
          <w:rFonts w:eastAsia="Times New Roman" w:cs="Times New Roman"/>
          <w:color w:val="000000"/>
          <w:szCs w:val="20"/>
          <w:lang w:eastAsia="en-AU"/>
        </w:rPr>
        <w:t>(MDT)</w:t>
      </w:r>
      <w:r w:rsidRPr="00D934CD">
        <w:rPr>
          <w:rFonts w:eastAsia="Times New Roman" w:cs="Times New Roman"/>
          <w:color w:val="000000"/>
          <w:szCs w:val="20"/>
          <w:lang w:eastAsia="en-AU"/>
        </w:rPr>
        <w:t xml:space="preserve"> will provide the guidance for individual patient management</w:t>
      </w:r>
      <w:r>
        <w:rPr>
          <w:rFonts w:eastAsia="Times New Roman" w:cs="Times New Roman"/>
          <w:color w:val="000000"/>
          <w:szCs w:val="20"/>
          <w:lang w:eastAsia="en-AU"/>
        </w:rPr>
        <w:t xml:space="preserve"> on a case-by-case basis</w:t>
      </w:r>
      <w:r w:rsidRPr="00D934CD">
        <w:rPr>
          <w:rFonts w:eastAsia="Times New Roman" w:cs="Times New Roman"/>
          <w:color w:val="000000"/>
          <w:szCs w:val="20"/>
          <w:lang w:eastAsia="en-AU"/>
        </w:rPr>
        <w:t>.</w:t>
      </w:r>
      <w:r>
        <w:rPr>
          <w:rFonts w:eastAsia="Times New Roman" w:cs="Times New Roman"/>
          <w:color w:val="000000"/>
          <w:szCs w:val="20"/>
          <w:lang w:eastAsia="en-AU"/>
        </w:rPr>
        <w:t xml:space="preserve"> ESC noted that this case-by-case approach is consistent with clinical guidelines and that a nuclear medicine specialist would likely to be the main specialist guiding </w:t>
      </w:r>
      <w:proofErr w:type="gramStart"/>
      <w:r>
        <w:rPr>
          <w:rFonts w:eastAsia="Times New Roman" w:cs="Times New Roman"/>
          <w:color w:val="000000"/>
          <w:szCs w:val="20"/>
          <w:lang w:eastAsia="en-AU"/>
        </w:rPr>
        <w:t>a</w:t>
      </w:r>
      <w:proofErr w:type="gramEnd"/>
      <w:r>
        <w:rPr>
          <w:rFonts w:eastAsia="Times New Roman" w:cs="Times New Roman"/>
          <w:color w:val="000000"/>
          <w:szCs w:val="20"/>
          <w:lang w:eastAsia="en-AU"/>
        </w:rPr>
        <w:t xml:space="preserve"> MDT. </w:t>
      </w:r>
      <w:r w:rsidRPr="00D934CD">
        <w:rPr>
          <w:rFonts w:eastAsia="Times New Roman" w:cs="Times New Roman"/>
          <w:color w:val="000000"/>
          <w:szCs w:val="20"/>
          <w:lang w:eastAsia="en-AU"/>
        </w:rPr>
        <w:t xml:space="preserve"> ESC noted that the algorithm does not include repeat </w:t>
      </w:r>
      <w:r w:rsidRPr="00D934CD">
        <w:rPr>
          <w:rFonts w:eastAsia="Calibri" w:cs="Times New Roman"/>
          <w:color w:val="000000"/>
          <w:szCs w:val="20"/>
          <w:vertAlign w:val="superscript"/>
        </w:rPr>
        <w:t>68</w:t>
      </w:r>
      <w:r w:rsidRPr="00D934CD">
        <w:rPr>
          <w:rFonts w:eastAsia="Calibri" w:cs="Times New Roman"/>
          <w:color w:val="000000"/>
          <w:szCs w:val="20"/>
        </w:rPr>
        <w:t xml:space="preserve">Ga-DOTA-octreotate PET/CT </w:t>
      </w:r>
      <w:r w:rsidRPr="00D934CD">
        <w:rPr>
          <w:rFonts w:eastAsia="Times New Roman" w:cs="Times New Roman"/>
          <w:color w:val="000000"/>
          <w:szCs w:val="20"/>
          <w:lang w:eastAsia="en-AU"/>
        </w:rPr>
        <w:t>imaging</w:t>
      </w:r>
      <w:r>
        <w:rPr>
          <w:rFonts w:eastAsia="Times New Roman" w:cs="Times New Roman"/>
          <w:color w:val="000000"/>
          <w:szCs w:val="20"/>
          <w:lang w:eastAsia="en-AU"/>
        </w:rPr>
        <w:t xml:space="preserve"> for monitoring </w:t>
      </w:r>
      <w:proofErr w:type="gramStart"/>
      <w:r>
        <w:rPr>
          <w:rFonts w:eastAsia="Times New Roman" w:cs="Times New Roman"/>
          <w:color w:val="000000"/>
          <w:szCs w:val="20"/>
          <w:lang w:eastAsia="en-AU"/>
        </w:rPr>
        <w:t>purposes</w:t>
      </w:r>
      <w:proofErr w:type="gramEnd"/>
      <w:r w:rsidRPr="00D934CD">
        <w:rPr>
          <w:rFonts w:eastAsia="Times New Roman" w:cs="Times New Roman"/>
          <w:color w:val="000000"/>
          <w:szCs w:val="20"/>
          <w:lang w:eastAsia="en-AU"/>
        </w:rPr>
        <w:t xml:space="preserve"> but th</w:t>
      </w:r>
      <w:r>
        <w:rPr>
          <w:rFonts w:eastAsia="Times New Roman" w:cs="Times New Roman"/>
          <w:color w:val="000000"/>
          <w:szCs w:val="20"/>
          <w:lang w:eastAsia="en-AU"/>
        </w:rPr>
        <w:t>is</w:t>
      </w:r>
      <w:r w:rsidRPr="00D934CD">
        <w:rPr>
          <w:rFonts w:eastAsia="Times New Roman" w:cs="Times New Roman"/>
          <w:color w:val="000000"/>
          <w:szCs w:val="20"/>
          <w:lang w:eastAsia="en-AU"/>
        </w:rPr>
        <w:t xml:space="preserve"> should</w:t>
      </w:r>
      <w:r>
        <w:rPr>
          <w:rFonts w:eastAsia="Times New Roman" w:cs="Times New Roman"/>
          <w:color w:val="000000"/>
          <w:szCs w:val="20"/>
          <w:lang w:eastAsia="en-AU"/>
        </w:rPr>
        <w:t xml:space="preserve"> have been included</w:t>
      </w:r>
      <w:r w:rsidRPr="00D934CD">
        <w:rPr>
          <w:rFonts w:eastAsia="Times New Roman" w:cs="Times New Roman"/>
          <w:color w:val="000000"/>
          <w:szCs w:val="20"/>
          <w:lang w:eastAsia="en-AU"/>
        </w:rPr>
        <w:t>.</w:t>
      </w:r>
    </w:p>
    <w:p w14:paraId="1040E9CD" w14:textId="77777777"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a new MBS listing for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was proposed in the DCAR, based on a r</w:t>
      </w:r>
      <w:r w:rsidRPr="00991F23">
        <w:rPr>
          <w:rFonts w:eastAsia="Times New Roman" w:cs="Times New Roman"/>
          <w:color w:val="000000"/>
          <w:szCs w:val="20"/>
          <w:lang w:eastAsia="en-AU"/>
        </w:rPr>
        <w:t>evision of current</w:t>
      </w:r>
      <w:r>
        <w:rPr>
          <w:rFonts w:eastAsia="Times New Roman" w:cs="Times New Roman"/>
          <w:color w:val="000000"/>
          <w:szCs w:val="20"/>
          <w:lang w:eastAsia="en-AU"/>
        </w:rPr>
        <w:t xml:space="preserve"> MBS item</w:t>
      </w:r>
      <w:r w:rsidRPr="00991F23">
        <w:rPr>
          <w:rFonts w:eastAsia="Times New Roman" w:cs="Times New Roman"/>
          <w:color w:val="000000"/>
          <w:szCs w:val="20"/>
          <w:lang w:eastAsia="en-AU"/>
        </w:rPr>
        <w:t xml:space="preserve"> 61647 which is an initial gallium study for diagnosis and for determining surgical therapy</w:t>
      </w:r>
      <w:r>
        <w:rPr>
          <w:rFonts w:eastAsia="Times New Roman" w:cs="Times New Roman"/>
          <w:color w:val="000000"/>
          <w:szCs w:val="20"/>
          <w:lang w:eastAsia="en-AU"/>
        </w:rPr>
        <w:t xml:space="preserve"> and includes the </w:t>
      </w:r>
      <w:r w:rsidRPr="00991F23">
        <w:rPr>
          <w:rFonts w:eastAsia="Times New Roman" w:cs="Times New Roman"/>
          <w:color w:val="000000"/>
          <w:szCs w:val="20"/>
          <w:lang w:eastAsia="en-AU"/>
        </w:rPr>
        <w:t>same fee</w:t>
      </w:r>
      <w:r>
        <w:rPr>
          <w:rFonts w:eastAsia="Times New Roman" w:cs="Times New Roman"/>
          <w:color w:val="000000"/>
          <w:szCs w:val="20"/>
          <w:lang w:eastAsia="en-AU"/>
        </w:rPr>
        <w:t xml:space="preserve">. The new listing was proposed for imaging </w:t>
      </w:r>
      <w:r w:rsidRPr="00B965E6">
        <w:rPr>
          <w:rFonts w:eastAsia="Times New Roman" w:cs="Times New Roman"/>
          <w:color w:val="000000"/>
          <w:szCs w:val="20"/>
          <w:lang w:eastAsia="en-AU"/>
        </w:rPr>
        <w:t xml:space="preserve">pre therapy </w:t>
      </w:r>
      <w:r>
        <w:rPr>
          <w:rFonts w:eastAsia="Times New Roman" w:cs="Times New Roman"/>
          <w:color w:val="000000"/>
          <w:szCs w:val="20"/>
          <w:lang w:eastAsia="en-AU"/>
        </w:rPr>
        <w:t>through evaluation of somatostatin analogue (SSA) avidity of NEN</w:t>
      </w:r>
      <w:r w:rsidRPr="00B965E6">
        <w:rPr>
          <w:rFonts w:eastAsia="Times New Roman" w:cs="Times New Roman"/>
          <w:color w:val="000000"/>
          <w:szCs w:val="20"/>
          <w:lang w:eastAsia="en-AU"/>
        </w:rPr>
        <w:t xml:space="preserve"> </w:t>
      </w:r>
      <w:proofErr w:type="gramStart"/>
      <w:r w:rsidRPr="00B965E6">
        <w:rPr>
          <w:rFonts w:eastAsia="Times New Roman" w:cs="Times New Roman"/>
          <w:color w:val="000000"/>
          <w:szCs w:val="20"/>
          <w:lang w:eastAsia="en-AU"/>
        </w:rPr>
        <w:t>and also</w:t>
      </w:r>
      <w:proofErr w:type="gramEnd"/>
      <w:r w:rsidRPr="00B965E6">
        <w:rPr>
          <w:rFonts w:eastAsia="Times New Roman" w:cs="Times New Roman"/>
          <w:color w:val="000000"/>
          <w:szCs w:val="20"/>
          <w:lang w:eastAsia="en-AU"/>
        </w:rPr>
        <w:t xml:space="preserve"> to monitor </w:t>
      </w:r>
      <w:r>
        <w:rPr>
          <w:rFonts w:eastAsia="Times New Roman" w:cs="Times New Roman"/>
          <w:color w:val="000000"/>
          <w:szCs w:val="20"/>
          <w:lang w:eastAsia="en-AU"/>
        </w:rPr>
        <w:t xml:space="preserve">response to PRRT </w:t>
      </w:r>
      <w:r w:rsidRPr="00B965E6">
        <w:rPr>
          <w:rFonts w:eastAsia="Times New Roman" w:cs="Times New Roman"/>
          <w:color w:val="000000"/>
          <w:szCs w:val="20"/>
          <w:lang w:eastAsia="en-AU"/>
        </w:rPr>
        <w:t>therapy</w:t>
      </w:r>
      <w:r>
        <w:rPr>
          <w:rFonts w:eastAsia="Times New Roman" w:cs="Times New Roman"/>
          <w:color w:val="000000"/>
          <w:szCs w:val="20"/>
          <w:lang w:eastAsia="en-AU"/>
        </w:rPr>
        <w:t>.</w:t>
      </w:r>
    </w:p>
    <w:p w14:paraId="25561765" w14:textId="77777777"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In addition</w:t>
      </w:r>
      <w:r w:rsidRPr="00D934CD">
        <w:rPr>
          <w:rFonts w:eastAsia="Times New Roman" w:cs="Times New Roman"/>
          <w:color w:val="000000"/>
          <w:szCs w:val="20"/>
          <w:lang w:eastAsia="en-AU"/>
        </w:rPr>
        <w:t>, ESC noted that the application originally requested the amendment of existing MBS item 61612 for whole body FDG PET study to include assessing</w:t>
      </w:r>
      <w:r>
        <w:rPr>
          <w:rFonts w:eastAsia="Times New Roman" w:cs="Times New Roman"/>
          <w:color w:val="000000"/>
          <w:szCs w:val="20"/>
          <w:lang w:eastAsia="en-AU"/>
        </w:rPr>
        <w:t xml:space="preserve"> patient</w:t>
      </w:r>
      <w:r w:rsidRPr="00D934CD">
        <w:rPr>
          <w:rFonts w:eastAsia="Times New Roman" w:cs="Times New Roman"/>
          <w:color w:val="000000"/>
          <w:szCs w:val="20"/>
          <w:lang w:eastAsia="en-AU"/>
        </w:rPr>
        <w:t xml:space="preserve"> eligibility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 xml:space="preserve">Lu-DOTA-octreotate treatment. ESC noted that this item is used for initial staging of rare or uncommon cancers for a patient considered suitable for active therapy. PASC therefore considered that existing MBS </w:t>
      </w:r>
      <w:r>
        <w:rPr>
          <w:rFonts w:eastAsia="Times New Roman" w:cs="Times New Roman"/>
          <w:color w:val="000000"/>
          <w:szCs w:val="20"/>
          <w:lang w:eastAsia="en-AU"/>
        </w:rPr>
        <w:t xml:space="preserve">item </w:t>
      </w:r>
      <w:r w:rsidRPr="00D934CD">
        <w:rPr>
          <w:rFonts w:eastAsia="Times New Roman" w:cs="Times New Roman"/>
          <w:color w:val="000000"/>
          <w:szCs w:val="20"/>
          <w:lang w:eastAsia="en-AU"/>
        </w:rPr>
        <w:t xml:space="preserve">61612 would not require amendment, as </w:t>
      </w:r>
      <w:r w:rsidRPr="002A7D0B">
        <w:rPr>
          <w:rFonts w:eastAsia="Times New Roman" w:cs="Times New Roman"/>
          <w:color w:val="000000"/>
          <w:szCs w:val="20"/>
          <w:lang w:eastAsia="en-AU"/>
        </w:rPr>
        <w:t xml:space="preserve">neuroendocrine neoplasms </w:t>
      </w:r>
      <w:r>
        <w:rPr>
          <w:rFonts w:eastAsia="Times New Roman" w:cs="Times New Roman"/>
          <w:color w:val="000000"/>
          <w:szCs w:val="20"/>
          <w:lang w:eastAsia="en-AU"/>
        </w:rPr>
        <w:t>(</w:t>
      </w:r>
      <w:r w:rsidRPr="00D934CD">
        <w:rPr>
          <w:rFonts w:eastAsia="Times New Roman" w:cs="Times New Roman"/>
          <w:color w:val="000000"/>
          <w:szCs w:val="20"/>
          <w:lang w:eastAsia="en-AU"/>
        </w:rPr>
        <w:t>NENs</w:t>
      </w:r>
      <w:r>
        <w:rPr>
          <w:rFonts w:eastAsia="Times New Roman" w:cs="Times New Roman"/>
          <w:color w:val="000000"/>
          <w:szCs w:val="20"/>
          <w:lang w:eastAsia="en-AU"/>
        </w:rPr>
        <w:t>)</w:t>
      </w:r>
      <w:r w:rsidRPr="00D934CD">
        <w:rPr>
          <w:rFonts w:eastAsia="Times New Roman" w:cs="Times New Roman"/>
          <w:color w:val="000000"/>
          <w:szCs w:val="20"/>
          <w:lang w:eastAsia="en-AU"/>
        </w:rPr>
        <w:t xml:space="preserve"> are considered rare or uncommon cancers.</w:t>
      </w:r>
    </w:p>
    <w:p w14:paraId="72CC40D3" w14:textId="465B07DA" w:rsidR="000B228E"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For the proposed MBS item for </w:t>
      </w:r>
      <w:r w:rsidRPr="00994611">
        <w:rPr>
          <w:rFonts w:eastAsia="Times New Roman" w:cs="Times New Roman"/>
          <w:color w:val="000000"/>
          <w:szCs w:val="20"/>
          <w:vertAlign w:val="superscript"/>
          <w:lang w:eastAsia="en-AU"/>
        </w:rPr>
        <w:t>177</w:t>
      </w:r>
      <w:r w:rsidRPr="00524301">
        <w:rPr>
          <w:rFonts w:eastAsia="Times New Roman" w:cs="Times New Roman"/>
          <w:color w:val="000000"/>
          <w:szCs w:val="20"/>
          <w:lang w:eastAsia="en-AU"/>
        </w:rPr>
        <w:t>Lu-DOTA-octreotate treatment</w:t>
      </w:r>
      <w:r>
        <w:rPr>
          <w:rFonts w:eastAsia="Times New Roman" w:cs="Times New Roman"/>
          <w:color w:val="000000"/>
          <w:szCs w:val="20"/>
          <w:lang w:eastAsia="en-AU"/>
        </w:rPr>
        <w:t xml:space="preserve">, </w:t>
      </w:r>
      <w:r w:rsidRPr="00D934CD">
        <w:rPr>
          <w:rFonts w:eastAsia="Times New Roman" w:cs="Times New Roman"/>
          <w:color w:val="000000"/>
          <w:szCs w:val="20"/>
          <w:lang w:eastAsia="en-AU"/>
        </w:rPr>
        <w:t xml:space="preserve">ESC </w:t>
      </w:r>
      <w:r>
        <w:rPr>
          <w:rFonts w:eastAsia="Times New Roman" w:cs="Times New Roman"/>
          <w:color w:val="000000"/>
          <w:szCs w:val="20"/>
          <w:lang w:eastAsia="en-AU"/>
        </w:rPr>
        <w:t xml:space="preserve">noted that a standard course of treatment consists of four </w:t>
      </w:r>
      <w:proofErr w:type="gramStart"/>
      <w:r>
        <w:rPr>
          <w:rFonts w:eastAsia="Times New Roman" w:cs="Times New Roman"/>
          <w:color w:val="000000"/>
          <w:szCs w:val="20"/>
          <w:lang w:eastAsia="en-AU"/>
        </w:rPr>
        <w:t>cycles, but</w:t>
      </w:r>
      <w:proofErr w:type="gramEnd"/>
      <w:r>
        <w:rPr>
          <w:rFonts w:eastAsia="Times New Roman" w:cs="Times New Roman"/>
          <w:color w:val="000000"/>
          <w:szCs w:val="20"/>
          <w:lang w:eastAsia="en-AU"/>
        </w:rPr>
        <w:t xml:space="preserve"> proposed that the number of cycles should be unrestricted to accommodate </w:t>
      </w:r>
      <w:r w:rsidRPr="00D934CD">
        <w:rPr>
          <w:rFonts w:eastAsia="Times New Roman" w:cs="Times New Roman"/>
          <w:color w:val="000000"/>
          <w:szCs w:val="20"/>
          <w:lang w:eastAsia="en-AU"/>
        </w:rPr>
        <w:t>varying case</w:t>
      </w:r>
      <w:r>
        <w:rPr>
          <w:rFonts w:eastAsia="Times New Roman" w:cs="Times New Roman"/>
          <w:color w:val="000000"/>
          <w:szCs w:val="20"/>
          <w:lang w:eastAsia="en-AU"/>
        </w:rPr>
        <w:t>-</w:t>
      </w:r>
      <w:r w:rsidRPr="00D934CD">
        <w:rPr>
          <w:rFonts w:eastAsia="Times New Roman" w:cs="Times New Roman"/>
          <w:color w:val="000000"/>
          <w:szCs w:val="20"/>
          <w:lang w:eastAsia="en-AU"/>
        </w:rPr>
        <w:t>by</w:t>
      </w:r>
      <w:r>
        <w:rPr>
          <w:rFonts w:eastAsia="Times New Roman" w:cs="Times New Roman"/>
          <w:color w:val="000000"/>
          <w:szCs w:val="20"/>
          <w:lang w:eastAsia="en-AU"/>
        </w:rPr>
        <w:t>-</w:t>
      </w:r>
      <w:r w:rsidRPr="00D934CD">
        <w:rPr>
          <w:rFonts w:eastAsia="Times New Roman" w:cs="Times New Roman"/>
          <w:color w:val="000000"/>
          <w:szCs w:val="20"/>
          <w:lang w:eastAsia="en-AU"/>
        </w:rPr>
        <w:t>case need</w:t>
      </w:r>
      <w:r>
        <w:rPr>
          <w:rFonts w:eastAsia="Times New Roman" w:cs="Times New Roman"/>
          <w:color w:val="000000"/>
          <w:szCs w:val="20"/>
          <w:lang w:eastAsia="en-AU"/>
        </w:rPr>
        <w:t>s</w:t>
      </w:r>
      <w:r w:rsidRPr="00D934CD">
        <w:rPr>
          <w:rFonts w:eastAsia="Times New Roman" w:cs="Times New Roman"/>
          <w:color w:val="000000"/>
          <w:szCs w:val="20"/>
          <w:lang w:eastAsia="en-AU"/>
        </w:rPr>
        <w:t xml:space="preserve"> of patients, taking into account that treatment cycles will be determined by the grade of tumour and patient response to treatment</w:t>
      </w:r>
      <w:r>
        <w:rPr>
          <w:rFonts w:eastAsia="Times New Roman" w:cs="Times New Roman"/>
          <w:color w:val="000000"/>
          <w:szCs w:val="20"/>
          <w:lang w:eastAsia="en-AU"/>
        </w:rPr>
        <w:t xml:space="preserve">. ESC also noted that in some patients, an extra </w:t>
      </w:r>
      <w:r w:rsidRPr="00524301">
        <w:rPr>
          <w:rFonts w:eastAsia="Times New Roman" w:cs="Times New Roman"/>
          <w:color w:val="000000"/>
          <w:szCs w:val="20"/>
          <w:lang w:eastAsia="en-AU"/>
        </w:rPr>
        <w:t>two</w:t>
      </w:r>
      <w:r>
        <w:rPr>
          <w:rFonts w:eastAsia="Times New Roman" w:cs="Times New Roman"/>
          <w:color w:val="000000"/>
          <w:szCs w:val="20"/>
          <w:lang w:eastAsia="en-AU"/>
        </w:rPr>
        <w:t xml:space="preserve"> </w:t>
      </w:r>
      <w:r w:rsidRPr="00524301">
        <w:rPr>
          <w:rFonts w:eastAsia="Times New Roman" w:cs="Times New Roman"/>
          <w:color w:val="000000"/>
          <w:szCs w:val="20"/>
          <w:lang w:eastAsia="en-AU"/>
        </w:rPr>
        <w:t xml:space="preserve">consolidation </w:t>
      </w:r>
      <w:r>
        <w:rPr>
          <w:rFonts w:eastAsia="Times New Roman" w:cs="Times New Roman"/>
          <w:color w:val="000000"/>
          <w:szCs w:val="20"/>
          <w:lang w:eastAsia="en-AU"/>
        </w:rPr>
        <w:t xml:space="preserve">cycles </w:t>
      </w:r>
      <w:r w:rsidRPr="00524301">
        <w:rPr>
          <w:rFonts w:eastAsia="Times New Roman" w:cs="Times New Roman"/>
          <w:color w:val="000000"/>
          <w:szCs w:val="20"/>
          <w:lang w:eastAsia="en-AU"/>
        </w:rPr>
        <w:t xml:space="preserve">of </w:t>
      </w:r>
      <w:r w:rsidRPr="00994611">
        <w:rPr>
          <w:rFonts w:eastAsia="Times New Roman" w:cs="Times New Roman"/>
          <w:color w:val="000000"/>
          <w:szCs w:val="20"/>
          <w:vertAlign w:val="superscript"/>
          <w:lang w:eastAsia="en-AU"/>
        </w:rPr>
        <w:t>177</w:t>
      </w:r>
      <w:r w:rsidRPr="00524301">
        <w:rPr>
          <w:rFonts w:eastAsia="Times New Roman" w:cs="Times New Roman"/>
          <w:color w:val="000000"/>
          <w:szCs w:val="20"/>
          <w:lang w:eastAsia="en-AU"/>
        </w:rPr>
        <w:t>Lu-DOTA-octreotate treatment may be instituted in patients where no progression is evident but re-treatment is likely to delay progression, for example in higher grade (G3) NE</w:t>
      </w:r>
      <w:r>
        <w:rPr>
          <w:rFonts w:eastAsia="Times New Roman" w:cs="Times New Roman"/>
          <w:color w:val="000000"/>
          <w:szCs w:val="20"/>
          <w:lang w:eastAsia="en-AU"/>
        </w:rPr>
        <w:t>N</w:t>
      </w:r>
      <w:r w:rsidRPr="00524301">
        <w:rPr>
          <w:rFonts w:eastAsia="Times New Roman" w:cs="Times New Roman"/>
          <w:color w:val="000000"/>
          <w:szCs w:val="20"/>
          <w:lang w:eastAsia="en-AU"/>
        </w:rPr>
        <w:t>s with rising tumour marker</w:t>
      </w:r>
      <w:r>
        <w:rPr>
          <w:rFonts w:eastAsia="Times New Roman" w:cs="Times New Roman"/>
          <w:color w:val="000000"/>
          <w:szCs w:val="20"/>
          <w:lang w:eastAsia="en-AU"/>
        </w:rPr>
        <w:t xml:space="preserve"> levels</w:t>
      </w:r>
      <w:r w:rsidRPr="00524301">
        <w:rPr>
          <w:rFonts w:eastAsia="Times New Roman" w:cs="Times New Roman"/>
          <w:color w:val="000000"/>
          <w:szCs w:val="20"/>
          <w:lang w:eastAsia="en-AU"/>
        </w:rPr>
        <w:t xml:space="preserve">. </w:t>
      </w:r>
      <w:r w:rsidRPr="00734590">
        <w:rPr>
          <w:rFonts w:eastAsia="Times New Roman" w:cs="Times New Roman"/>
          <w:color w:val="000000"/>
          <w:szCs w:val="20"/>
          <w:lang w:eastAsia="en-AU"/>
        </w:rPr>
        <w:t>ESC noted</w:t>
      </w:r>
      <w:r>
        <w:rPr>
          <w:rFonts w:eastAsia="Times New Roman" w:cs="Times New Roman"/>
          <w:color w:val="000000"/>
          <w:szCs w:val="20"/>
          <w:lang w:eastAsia="en-AU"/>
        </w:rPr>
        <w:t xml:space="preserve"> the item referred to the </w:t>
      </w:r>
      <w:r w:rsidRPr="00734590">
        <w:rPr>
          <w:rFonts w:eastAsia="Times New Roman" w:cs="Times New Roman"/>
          <w:color w:val="000000"/>
          <w:szCs w:val="20"/>
          <w:lang w:eastAsia="en-AU"/>
        </w:rPr>
        <w:t xml:space="preserve">more generic </w:t>
      </w:r>
      <w:r>
        <w:rPr>
          <w:rFonts w:eastAsia="Times New Roman" w:cs="Times New Roman"/>
          <w:color w:val="000000"/>
          <w:szCs w:val="20"/>
          <w:lang w:eastAsia="en-AU"/>
        </w:rPr>
        <w:t>‘</w:t>
      </w:r>
      <w:r w:rsidRPr="00994611">
        <w:rPr>
          <w:rFonts w:eastAsia="Times New Roman" w:cs="Times New Roman"/>
          <w:color w:val="000000"/>
          <w:szCs w:val="20"/>
          <w:vertAlign w:val="superscript"/>
          <w:lang w:eastAsia="en-AU"/>
        </w:rPr>
        <w:t>177</w:t>
      </w:r>
      <w:r w:rsidRPr="003407F1">
        <w:rPr>
          <w:rFonts w:eastAsia="Times New Roman" w:cs="Times New Roman"/>
          <w:color w:val="000000"/>
          <w:szCs w:val="20"/>
          <w:lang w:eastAsia="en-AU"/>
        </w:rPr>
        <w:t>Lutetium-somatostatin agonist</w:t>
      </w:r>
      <w:r>
        <w:rPr>
          <w:rFonts w:eastAsia="Times New Roman" w:cs="Times New Roman"/>
          <w:color w:val="000000"/>
          <w:szCs w:val="20"/>
          <w:lang w:eastAsia="en-AU"/>
        </w:rPr>
        <w:t>’</w:t>
      </w:r>
      <w:r w:rsidRPr="003407F1">
        <w:rPr>
          <w:rFonts w:eastAsia="Times New Roman" w:cs="Times New Roman"/>
          <w:color w:val="000000"/>
          <w:szCs w:val="20"/>
          <w:lang w:eastAsia="en-AU"/>
        </w:rPr>
        <w:t xml:space="preserve"> </w:t>
      </w:r>
      <w:r>
        <w:rPr>
          <w:rFonts w:eastAsia="Times New Roman" w:cs="Times New Roman"/>
          <w:color w:val="000000"/>
          <w:szCs w:val="20"/>
          <w:lang w:eastAsia="en-AU"/>
        </w:rPr>
        <w:t>without specifying ‘carrier added’ or ‘no carrier added’</w:t>
      </w:r>
      <w:r w:rsidRPr="00802299">
        <w:t xml:space="preserve"> </w:t>
      </w:r>
      <w:r>
        <w:rPr>
          <w:rFonts w:eastAsia="Times New Roman" w:cs="Times New Roman"/>
          <w:color w:val="000000"/>
          <w:szCs w:val="20"/>
          <w:lang w:eastAsia="en-AU"/>
        </w:rPr>
        <w:t xml:space="preserve">which ESC considered would provide the broadest access to patients. ESC also considered that an amended uniform fee of $10,000 for </w:t>
      </w:r>
      <w:r w:rsidRPr="00994611">
        <w:rPr>
          <w:rFonts w:eastAsia="Times New Roman" w:cs="Times New Roman"/>
          <w:color w:val="000000"/>
          <w:szCs w:val="20"/>
          <w:vertAlign w:val="superscript"/>
          <w:lang w:eastAsia="en-AU"/>
        </w:rPr>
        <w:t>177</w:t>
      </w:r>
      <w:r w:rsidRPr="00705061">
        <w:rPr>
          <w:rFonts w:eastAsia="Times New Roman" w:cs="Times New Roman"/>
          <w:color w:val="000000"/>
          <w:szCs w:val="20"/>
          <w:lang w:eastAsia="en-AU"/>
        </w:rPr>
        <w:t>Lutetium-somastatin receptor agonist treatment</w:t>
      </w:r>
      <w:r>
        <w:rPr>
          <w:rFonts w:eastAsia="Times New Roman" w:cs="Times New Roman"/>
          <w:color w:val="000000"/>
          <w:szCs w:val="20"/>
          <w:lang w:eastAsia="en-AU"/>
        </w:rPr>
        <w:t xml:space="preserve"> was appropriate rather than fee differentiation between carrier added and non-carrier added products.</w:t>
      </w:r>
    </w:p>
    <w:p w14:paraId="20DFD544" w14:textId="77777777"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w:t>
      </w:r>
      <w:r w:rsidRPr="00D934CD">
        <w:rPr>
          <w:rFonts w:eastAsia="Times New Roman" w:cs="Times New Roman"/>
          <w:color w:val="000000"/>
          <w:szCs w:val="20"/>
          <w:lang w:eastAsia="en-AU"/>
        </w:rPr>
        <w:t xml:space="preserve">there </w:t>
      </w:r>
      <w:r>
        <w:rPr>
          <w:rFonts w:eastAsia="Times New Roman" w:cs="Times New Roman"/>
          <w:color w:val="000000"/>
          <w:szCs w:val="20"/>
          <w:lang w:eastAsia="en-AU"/>
        </w:rPr>
        <w:t>was</w:t>
      </w:r>
      <w:r w:rsidRPr="00D934CD">
        <w:rPr>
          <w:rFonts w:eastAsia="Times New Roman" w:cs="Times New Roman"/>
          <w:color w:val="000000"/>
          <w:szCs w:val="20"/>
          <w:lang w:eastAsia="en-AU"/>
        </w:rPr>
        <w:t xml:space="preserve"> no available evidence</w:t>
      </w:r>
      <w:r>
        <w:rPr>
          <w:rFonts w:eastAsia="Times New Roman" w:cs="Times New Roman"/>
          <w:color w:val="000000"/>
          <w:szCs w:val="20"/>
          <w:lang w:eastAsia="en-AU"/>
        </w:rPr>
        <w:t xml:space="preserve"> presented in the DCAR</w:t>
      </w:r>
      <w:r w:rsidRPr="00D934CD">
        <w:rPr>
          <w:rFonts w:eastAsia="Times New Roman" w:cs="Times New Roman"/>
          <w:color w:val="000000"/>
          <w:szCs w:val="20"/>
          <w:lang w:eastAsia="en-AU"/>
        </w:rPr>
        <w:t xml:space="preserve"> to support the superior safety and effectiveness of the ‘no carrier added’ product compared to the ‘carrier added’ product</w:t>
      </w:r>
      <w:r>
        <w:rPr>
          <w:rFonts w:eastAsia="Times New Roman" w:cs="Times New Roman"/>
          <w:color w:val="000000"/>
          <w:szCs w:val="20"/>
          <w:lang w:eastAsia="en-AU"/>
        </w:rPr>
        <w:t xml:space="preserve"> in terms of health outcomes</w:t>
      </w:r>
      <w:r w:rsidRPr="00D934CD">
        <w:rPr>
          <w:rFonts w:eastAsia="Times New Roman" w:cs="Times New Roman"/>
          <w:color w:val="000000"/>
          <w:szCs w:val="20"/>
          <w:lang w:eastAsia="en-AU"/>
        </w:rPr>
        <w:t xml:space="preserve"> to justify restriction of the benefit to the ‘no carrier added’ product</w:t>
      </w:r>
      <w:r>
        <w:rPr>
          <w:rFonts w:eastAsia="Times New Roman" w:cs="Times New Roman"/>
          <w:color w:val="000000"/>
          <w:szCs w:val="20"/>
          <w:lang w:eastAsia="en-AU"/>
        </w:rPr>
        <w:t xml:space="preserve"> only</w:t>
      </w:r>
      <w:r w:rsidRPr="00D934CD">
        <w:rPr>
          <w:rFonts w:eastAsia="Times New Roman" w:cs="Times New Roman"/>
          <w:color w:val="000000"/>
          <w:szCs w:val="20"/>
          <w:lang w:eastAsia="en-AU"/>
        </w:rPr>
        <w:t>.</w:t>
      </w:r>
    </w:p>
    <w:p w14:paraId="460559DC" w14:textId="77777777" w:rsidR="000B228E" w:rsidRPr="00D934CD" w:rsidRDefault="000B228E" w:rsidP="000B228E">
      <w:pPr>
        <w:spacing w:before="0" w:after="240" w:line="240" w:lineRule="auto"/>
        <w:rPr>
          <w:rFonts w:eastAsia="Calibri" w:cs="Times New Roman"/>
          <w:color w:val="000000"/>
          <w:szCs w:val="20"/>
        </w:rPr>
      </w:pPr>
      <w:r w:rsidRPr="00D934CD">
        <w:rPr>
          <w:rFonts w:eastAsia="Calibri" w:cs="Times New Roman"/>
          <w:color w:val="000000"/>
          <w:szCs w:val="20"/>
        </w:rPr>
        <w:t xml:space="preserve">ESC noted that when examining the </w:t>
      </w:r>
      <w:r>
        <w:rPr>
          <w:rFonts w:eastAsia="Calibri" w:cs="Times New Roman"/>
          <w:color w:val="000000"/>
          <w:szCs w:val="20"/>
        </w:rPr>
        <w:t>evidence for</w:t>
      </w:r>
      <w:r w:rsidRPr="00D934CD">
        <w:rPr>
          <w:rFonts w:eastAsia="Calibri" w:cs="Times New Roman"/>
          <w:color w:val="000000"/>
          <w:szCs w:val="20"/>
        </w:rPr>
        <w:t xml:space="preserve"> clinical utility of </w:t>
      </w:r>
      <w:r w:rsidRPr="00D934CD">
        <w:rPr>
          <w:rFonts w:eastAsia="Calibri" w:cs="Times New Roman"/>
          <w:color w:val="000000"/>
          <w:szCs w:val="20"/>
          <w:vertAlign w:val="superscript"/>
        </w:rPr>
        <w:t>68</w:t>
      </w:r>
      <w:r w:rsidRPr="00D934CD">
        <w:rPr>
          <w:rFonts w:eastAsia="Calibri" w:cs="Times New Roman"/>
          <w:color w:val="000000"/>
          <w:szCs w:val="20"/>
        </w:rPr>
        <w:t xml:space="preserve">Ga-DOTA-octreotate PET/CT </w:t>
      </w:r>
      <w:r>
        <w:rPr>
          <w:rFonts w:eastAsia="Calibri" w:cs="Times New Roman"/>
          <w:color w:val="000000"/>
          <w:szCs w:val="20"/>
        </w:rPr>
        <w:t>or</w:t>
      </w:r>
      <w:r w:rsidRPr="00D934CD">
        <w:rPr>
          <w:rFonts w:eastAsia="Calibri" w:cs="Times New Roman"/>
          <w:color w:val="000000"/>
          <w:szCs w:val="20"/>
        </w:rPr>
        <w:t xml:space="preserve"> FDG PET-CT for the selection of patients with progressive, advanced, metastatic or inoperable </w:t>
      </w:r>
      <w:r w:rsidRPr="00D934CD">
        <w:rPr>
          <w:rFonts w:eastAsia="Calibri" w:cs="Times New Roman"/>
          <w:color w:val="000000"/>
          <w:szCs w:val="20"/>
        </w:rPr>
        <w:lastRenderedPageBreak/>
        <w:t xml:space="preserve">NETs with suspected H-SSTR expression for </w:t>
      </w:r>
      <w:r w:rsidRPr="00D934CD">
        <w:rPr>
          <w:rFonts w:eastAsia="Calibri" w:cs="Times New Roman"/>
          <w:color w:val="000000"/>
          <w:szCs w:val="20"/>
          <w:vertAlign w:val="superscript"/>
        </w:rPr>
        <w:t>177</w:t>
      </w:r>
      <w:r w:rsidRPr="00D934CD">
        <w:rPr>
          <w:rFonts w:eastAsia="Calibri" w:cs="Times New Roman"/>
          <w:color w:val="000000"/>
          <w:szCs w:val="20"/>
        </w:rPr>
        <w:t>Lu-DOTA-octreotate therapy, four studies were identified. However, there were a number of limitations: none of the studies looked at the population relevant to this application (advanced/inoperable NENs), the studies used different radionuclides and were not limited to Ga-DOTA-</w:t>
      </w:r>
      <w:proofErr w:type="spellStart"/>
      <w:r w:rsidRPr="00D934CD">
        <w:rPr>
          <w:rFonts w:eastAsia="Calibri" w:cs="Times New Roman"/>
          <w:color w:val="000000"/>
          <w:szCs w:val="20"/>
        </w:rPr>
        <w:t>octreotate</w:t>
      </w:r>
      <w:proofErr w:type="spellEnd"/>
      <w:r w:rsidRPr="00D934CD">
        <w:rPr>
          <w:rFonts w:eastAsia="Calibri" w:cs="Times New Roman"/>
          <w:color w:val="000000"/>
          <w:szCs w:val="20"/>
        </w:rPr>
        <w:t>, there were no data on sensitivity and specificity using an appropriate reference standard (</w:t>
      </w:r>
      <w:r>
        <w:rPr>
          <w:rFonts w:eastAsia="Calibri" w:cs="Times New Roman"/>
          <w:color w:val="000000"/>
          <w:szCs w:val="20"/>
        </w:rPr>
        <w:t xml:space="preserve">e.g. </w:t>
      </w:r>
      <w:r w:rsidRPr="00D934CD">
        <w:rPr>
          <w:rFonts w:eastAsia="Calibri" w:cs="Times New Roman"/>
          <w:color w:val="000000"/>
          <w:szCs w:val="20"/>
        </w:rPr>
        <w:t>histology), there were no data on intra- or inter-observer variability, there were no quantitative data on the change in clinical outcomes and there were no safety data</w:t>
      </w:r>
      <w:r>
        <w:rPr>
          <w:rFonts w:eastAsia="Calibri" w:cs="Times New Roman"/>
          <w:color w:val="000000"/>
          <w:szCs w:val="20"/>
        </w:rPr>
        <w:t xml:space="preserve"> presented</w:t>
      </w:r>
      <w:r w:rsidRPr="00D934CD">
        <w:rPr>
          <w:rFonts w:eastAsia="Calibri" w:cs="Times New Roman"/>
          <w:color w:val="000000"/>
          <w:szCs w:val="20"/>
        </w:rPr>
        <w:t>.</w:t>
      </w:r>
    </w:p>
    <w:p w14:paraId="565523B0" w14:textId="77777777" w:rsidR="000B228E" w:rsidRPr="00D934CD" w:rsidRDefault="000B228E" w:rsidP="000B228E">
      <w:pPr>
        <w:spacing w:before="0" w:after="240" w:line="240" w:lineRule="auto"/>
        <w:rPr>
          <w:rFonts w:eastAsia="Calibri" w:cs="Times New Roman"/>
          <w:color w:val="000000"/>
          <w:szCs w:val="20"/>
        </w:rPr>
      </w:pPr>
      <w:r>
        <w:rPr>
          <w:rFonts w:eastAsia="Calibri" w:cs="Times New Roman"/>
          <w:color w:val="000000"/>
          <w:szCs w:val="20"/>
        </w:rPr>
        <w:t xml:space="preserve">ESC noted that the pre-ESC response claimed that the DCAR should have included four additional studies of diagnostic performance.  </w:t>
      </w:r>
      <w:r>
        <w:rPr>
          <w:rFonts w:eastAsia="Times New Roman" w:cs="Times New Roman"/>
          <w:color w:val="000000"/>
          <w:szCs w:val="20"/>
          <w:lang w:eastAsia="en-AU"/>
        </w:rPr>
        <w:t>ESC noted that of the additional references provided in the pre-ESC response as further evidence, two were very small studies but there were two larger studies which supported good effectiveness outcomes.</w:t>
      </w:r>
      <w:r>
        <w:rPr>
          <w:rStyle w:val="FootnoteReference"/>
          <w:rFonts w:eastAsia="Times New Roman" w:cs="Times New Roman"/>
          <w:color w:val="000000"/>
          <w:szCs w:val="20"/>
          <w:lang w:eastAsia="en-AU"/>
        </w:rPr>
        <w:footnoteReference w:id="35"/>
      </w:r>
      <w:r>
        <w:rPr>
          <w:rFonts w:eastAsia="Times New Roman" w:cs="Times New Roman"/>
          <w:color w:val="000000"/>
          <w:szCs w:val="20"/>
          <w:lang w:eastAsia="en-AU"/>
        </w:rPr>
        <w:t xml:space="preserve"> </w:t>
      </w:r>
      <w:r>
        <w:rPr>
          <w:rStyle w:val="FootnoteReference"/>
          <w:rFonts w:eastAsia="Times New Roman" w:cs="Times New Roman"/>
          <w:color w:val="000000"/>
          <w:szCs w:val="20"/>
          <w:lang w:eastAsia="en-AU"/>
        </w:rPr>
        <w:footnoteReference w:id="36"/>
      </w:r>
      <w:r>
        <w:rPr>
          <w:rFonts w:eastAsia="Times New Roman" w:cs="Times New Roman"/>
          <w:color w:val="000000"/>
          <w:szCs w:val="20"/>
          <w:lang w:eastAsia="en-AU"/>
        </w:rPr>
        <w:t xml:space="preserve"> </w:t>
      </w:r>
      <w:r>
        <w:rPr>
          <w:rFonts w:eastAsia="Calibri" w:cs="Times New Roman"/>
          <w:color w:val="000000"/>
          <w:szCs w:val="20"/>
        </w:rPr>
        <w:t xml:space="preserve">ESC noted the evidence examining the equivalence of </w:t>
      </w:r>
      <w:r w:rsidRPr="00D934CD">
        <w:rPr>
          <w:rFonts w:eastAsia="Calibri" w:cs="Times New Roman"/>
          <w:color w:val="000000"/>
          <w:szCs w:val="20"/>
          <w:vertAlign w:val="superscript"/>
        </w:rPr>
        <w:t>68</w:t>
      </w:r>
      <w:r w:rsidRPr="00D934CD">
        <w:rPr>
          <w:rFonts w:eastAsia="Calibri" w:cs="Times New Roman"/>
          <w:color w:val="000000"/>
          <w:szCs w:val="20"/>
        </w:rPr>
        <w:t>Ga-DOTA-octreotate</w:t>
      </w:r>
      <w:r>
        <w:rPr>
          <w:rFonts w:eastAsia="Calibri" w:cs="Times New Roman"/>
          <w:color w:val="000000"/>
          <w:szCs w:val="20"/>
        </w:rPr>
        <w:t xml:space="preserve">PET/CT to </w:t>
      </w:r>
      <w:proofErr w:type="spellStart"/>
      <w:r>
        <w:rPr>
          <w:rFonts w:eastAsia="Calibri" w:cs="Times New Roman"/>
          <w:color w:val="000000"/>
          <w:szCs w:val="20"/>
        </w:rPr>
        <w:t>Octreoscan</w:t>
      </w:r>
      <w:proofErr w:type="spellEnd"/>
      <w:r>
        <w:rPr>
          <w:rFonts w:eastAsia="Calibri" w:cs="Times New Roman"/>
          <w:color w:val="000000"/>
          <w:szCs w:val="20"/>
        </w:rPr>
        <w:t xml:space="preserve">®. PASC noted that </w:t>
      </w:r>
      <w:proofErr w:type="spellStart"/>
      <w:r>
        <w:rPr>
          <w:rFonts w:eastAsia="Calibri" w:cs="Times New Roman"/>
          <w:color w:val="000000"/>
          <w:szCs w:val="20"/>
        </w:rPr>
        <w:t>Octreoscan</w:t>
      </w:r>
      <w:proofErr w:type="spellEnd"/>
      <w:r>
        <w:rPr>
          <w:rFonts w:eastAsia="Calibri" w:cs="Times New Roman"/>
          <w:color w:val="000000"/>
          <w:szCs w:val="20"/>
        </w:rPr>
        <w:t xml:space="preserve">® is a valid clinical </w:t>
      </w:r>
      <w:proofErr w:type="gramStart"/>
      <w:r>
        <w:rPr>
          <w:rFonts w:eastAsia="Calibri" w:cs="Times New Roman"/>
          <w:color w:val="000000"/>
          <w:szCs w:val="20"/>
        </w:rPr>
        <w:t>standard</w:t>
      </w:r>
      <w:proofErr w:type="gramEnd"/>
      <w:r>
        <w:rPr>
          <w:rFonts w:eastAsia="Calibri" w:cs="Times New Roman"/>
          <w:color w:val="000000"/>
          <w:szCs w:val="20"/>
        </w:rPr>
        <w:t xml:space="preserve"> and the results of studies based on </w:t>
      </w:r>
      <w:proofErr w:type="spellStart"/>
      <w:r>
        <w:rPr>
          <w:rFonts w:eastAsia="Calibri" w:cs="Times New Roman"/>
          <w:color w:val="000000"/>
          <w:szCs w:val="20"/>
        </w:rPr>
        <w:t>Octreoscan</w:t>
      </w:r>
      <w:proofErr w:type="spellEnd"/>
      <w:r>
        <w:rPr>
          <w:rFonts w:eastAsia="Calibri" w:cs="Times New Roman"/>
          <w:color w:val="000000"/>
          <w:szCs w:val="20"/>
        </w:rPr>
        <w:t xml:space="preserve">® (using the Krenning score) needed to be translated to </w:t>
      </w:r>
      <w:r w:rsidRPr="00D934CD">
        <w:rPr>
          <w:rFonts w:eastAsia="Calibri" w:cs="Times New Roman"/>
          <w:color w:val="000000"/>
          <w:szCs w:val="20"/>
          <w:vertAlign w:val="superscript"/>
        </w:rPr>
        <w:t>68</w:t>
      </w:r>
      <w:r w:rsidRPr="00D934CD">
        <w:rPr>
          <w:rFonts w:eastAsia="Calibri" w:cs="Times New Roman"/>
          <w:color w:val="000000"/>
          <w:szCs w:val="20"/>
        </w:rPr>
        <w:t>Ga-DOTA-octreotate</w:t>
      </w:r>
      <w:r>
        <w:rPr>
          <w:rFonts w:eastAsia="Calibri" w:cs="Times New Roman"/>
          <w:color w:val="000000"/>
          <w:szCs w:val="20"/>
        </w:rPr>
        <w:t xml:space="preserve"> (using the modified Krenning score) for the DCAR. This was done by comparing the results of the NETTER-1 trial</w:t>
      </w:r>
      <w:r>
        <w:rPr>
          <w:rStyle w:val="FootnoteReference"/>
          <w:rFonts w:eastAsia="Calibri" w:cs="Times New Roman"/>
          <w:color w:val="000000"/>
          <w:szCs w:val="20"/>
        </w:rPr>
        <w:footnoteReference w:id="37"/>
      </w:r>
      <w:r>
        <w:rPr>
          <w:rFonts w:eastAsia="Calibri" w:cs="Times New Roman"/>
          <w:color w:val="000000"/>
          <w:szCs w:val="20"/>
        </w:rPr>
        <w:t xml:space="preserve"> (which used </w:t>
      </w:r>
      <w:proofErr w:type="spellStart"/>
      <w:r>
        <w:rPr>
          <w:rFonts w:eastAsia="Calibri" w:cs="Times New Roman"/>
          <w:color w:val="000000"/>
          <w:szCs w:val="20"/>
        </w:rPr>
        <w:t>Octreoscan</w:t>
      </w:r>
      <w:proofErr w:type="spellEnd"/>
      <w:r>
        <w:rPr>
          <w:rFonts w:eastAsia="Calibri" w:cs="Times New Roman"/>
          <w:color w:val="000000"/>
          <w:szCs w:val="20"/>
        </w:rPr>
        <w:t>® for the diagnosis of midgut NENs based on the Krenning score) and the results reported in the abstract by Sood et al.</w:t>
      </w:r>
      <w:r>
        <w:rPr>
          <w:rStyle w:val="FootnoteReference"/>
          <w:rFonts w:eastAsia="Calibri" w:cs="Times New Roman"/>
          <w:color w:val="000000"/>
          <w:szCs w:val="20"/>
        </w:rPr>
        <w:footnoteReference w:id="38"/>
      </w:r>
      <w:r>
        <w:rPr>
          <w:rFonts w:eastAsia="Calibri" w:cs="Times New Roman"/>
          <w:color w:val="000000"/>
          <w:szCs w:val="20"/>
        </w:rPr>
        <w:t xml:space="preserve"> (which used </w:t>
      </w:r>
      <w:r w:rsidRPr="00D934CD">
        <w:rPr>
          <w:rFonts w:eastAsia="Calibri" w:cs="Times New Roman"/>
          <w:color w:val="000000"/>
          <w:szCs w:val="20"/>
          <w:vertAlign w:val="superscript"/>
        </w:rPr>
        <w:t>68</w:t>
      </w:r>
      <w:r w:rsidRPr="00D934CD">
        <w:rPr>
          <w:rFonts w:eastAsia="Calibri" w:cs="Times New Roman"/>
          <w:color w:val="000000"/>
          <w:szCs w:val="20"/>
        </w:rPr>
        <w:t>Ga-DOTA-octreotate</w:t>
      </w:r>
      <w:r>
        <w:rPr>
          <w:rFonts w:eastAsia="Calibri" w:cs="Times New Roman"/>
          <w:color w:val="000000"/>
          <w:szCs w:val="20"/>
        </w:rPr>
        <w:t xml:space="preserve"> PET/CT to determine somatostatin receptor presence based on the modified Krenning score). The DCAR concluded that the two imaging techniques were concordant due to the progression free survival and the objective response rate being similar across both studies. However, ESC considered that the results of this naïve comparison comparing longitudinal health outcomes across different cohorts of patients based on their respective clinical utility standards used in the trials should be interpreted with caution due to the very low level of evidence presented.</w:t>
      </w:r>
    </w:p>
    <w:p w14:paraId="1B46FDD1" w14:textId="70F45630" w:rsidR="000B228E" w:rsidRPr="00D934CD" w:rsidRDefault="000B228E" w:rsidP="000B228E">
      <w:pPr>
        <w:spacing w:before="0" w:after="240" w:line="240" w:lineRule="auto"/>
        <w:rPr>
          <w:rFonts w:eastAsia="Calibri" w:cs="Times New Roman"/>
          <w:color w:val="000000"/>
          <w:szCs w:val="20"/>
        </w:rPr>
      </w:pPr>
      <w:r w:rsidRPr="00D934CD">
        <w:rPr>
          <w:rFonts w:eastAsia="Calibri" w:cs="Times New Roman"/>
          <w:color w:val="000000"/>
          <w:szCs w:val="20"/>
        </w:rPr>
        <w:t xml:space="preserve">ESC noted that the applicant only provided a comparison of the pharmaceutical forms to support the claim of similarity or </w:t>
      </w:r>
      <w:r w:rsidR="004A7E51">
        <w:rPr>
          <w:rFonts w:eastAsia="Calibri" w:cs="Times New Roman"/>
          <w:color w:val="000000"/>
          <w:szCs w:val="20"/>
        </w:rPr>
        <w:t>non-inferior</w:t>
      </w:r>
      <w:r w:rsidRPr="00D934CD">
        <w:rPr>
          <w:rFonts w:eastAsia="Calibri" w:cs="Times New Roman"/>
          <w:color w:val="000000"/>
          <w:szCs w:val="20"/>
        </w:rPr>
        <w:t xml:space="preserve">ity in efficacy between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Lu-DOTA-octreotate and </w:t>
      </w:r>
      <w:proofErr w:type="spellStart"/>
      <w:r w:rsidRPr="00D934CD">
        <w:rPr>
          <w:rFonts w:eastAsia="Calibri" w:cs="Times New Roman"/>
          <w:color w:val="000000"/>
          <w:szCs w:val="20"/>
        </w:rPr>
        <w:t>Lutathera</w:t>
      </w:r>
      <w:proofErr w:type="spellEnd"/>
      <w:r w:rsidRPr="00D934CD">
        <w:rPr>
          <w:rFonts w:eastAsia="Calibri" w:cs="Times New Roman"/>
          <w:color w:val="000000"/>
          <w:szCs w:val="20"/>
        </w:rPr>
        <w:t>®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w:t>
      </w:r>
      <w:r>
        <w:rPr>
          <w:rFonts w:eastAsia="Calibri" w:cs="Times New Roman"/>
          <w:color w:val="000000"/>
          <w:szCs w:val="20"/>
        </w:rPr>
        <w:t xml:space="preserve"> The DCAR concluded that based on this information the pharmaceutical composition of the two </w:t>
      </w:r>
      <w:proofErr w:type="gramStart"/>
      <w:r>
        <w:rPr>
          <w:rFonts w:eastAsia="Calibri" w:cs="Times New Roman"/>
          <w:color w:val="000000"/>
          <w:szCs w:val="20"/>
        </w:rPr>
        <w:t>radio-isotopes</w:t>
      </w:r>
      <w:proofErr w:type="gramEnd"/>
      <w:r>
        <w:rPr>
          <w:rFonts w:eastAsia="Calibri" w:cs="Times New Roman"/>
          <w:color w:val="000000"/>
          <w:szCs w:val="20"/>
        </w:rPr>
        <w:t xml:space="preserve"> were similar although their excipients were different. </w:t>
      </w:r>
      <w:r w:rsidRPr="00D934CD">
        <w:rPr>
          <w:rFonts w:eastAsia="Calibri" w:cs="Times New Roman"/>
          <w:color w:val="000000"/>
          <w:szCs w:val="20"/>
        </w:rPr>
        <w:t xml:space="preserve">ESC also noted </w:t>
      </w:r>
      <w:r>
        <w:rPr>
          <w:rFonts w:eastAsia="Calibri" w:cs="Times New Roman"/>
          <w:color w:val="000000"/>
          <w:szCs w:val="20"/>
        </w:rPr>
        <w:t>consultation input</w:t>
      </w:r>
      <w:r w:rsidRPr="00D934CD">
        <w:rPr>
          <w:rFonts w:eastAsia="Calibri" w:cs="Times New Roman"/>
          <w:color w:val="000000"/>
          <w:szCs w:val="20"/>
        </w:rPr>
        <w:t xml:space="preserve"> received from Novartis, wh</w:t>
      </w:r>
      <w:r>
        <w:rPr>
          <w:rFonts w:eastAsia="Calibri" w:cs="Times New Roman"/>
          <w:color w:val="000000"/>
          <w:szCs w:val="20"/>
        </w:rPr>
        <w:t>ich</w:t>
      </w:r>
      <w:r w:rsidRPr="00D934CD">
        <w:rPr>
          <w:rFonts w:eastAsia="Calibri" w:cs="Times New Roman"/>
          <w:color w:val="000000"/>
          <w:szCs w:val="20"/>
        </w:rPr>
        <w:t xml:space="preserve"> has a patent for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stating that there is no evidence to support the therapeutic equivalence of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and </w:t>
      </w:r>
      <w:r w:rsidRPr="00D934CD">
        <w:rPr>
          <w:rFonts w:eastAsia="Calibri" w:cs="Times New Roman"/>
          <w:color w:val="000000"/>
          <w:szCs w:val="20"/>
          <w:vertAlign w:val="superscript"/>
        </w:rPr>
        <w:t>177</w:t>
      </w:r>
      <w:r w:rsidRPr="00D934CD">
        <w:rPr>
          <w:rFonts w:eastAsia="Calibri" w:cs="Times New Roman"/>
          <w:color w:val="000000"/>
          <w:szCs w:val="20"/>
        </w:rPr>
        <w:t>Lutetium(</w:t>
      </w:r>
      <w:proofErr w:type="spellStart"/>
      <w:r w:rsidRPr="00D934CD">
        <w:rPr>
          <w:rFonts w:eastAsia="Calibri" w:cs="Times New Roman"/>
          <w:color w:val="000000"/>
          <w:szCs w:val="20"/>
        </w:rPr>
        <w:t>nca</w:t>
      </w:r>
      <w:proofErr w:type="spellEnd"/>
      <w:r w:rsidRPr="00D934CD">
        <w:rPr>
          <w:rFonts w:eastAsia="Calibri" w:cs="Times New Roman"/>
          <w:color w:val="000000"/>
          <w:szCs w:val="20"/>
        </w:rPr>
        <w:t>)</w:t>
      </w:r>
      <w:proofErr w:type="spellStart"/>
      <w:r w:rsidRPr="00D934CD">
        <w:rPr>
          <w:rFonts w:eastAsia="Calibri" w:cs="Times New Roman"/>
          <w:color w:val="000000"/>
          <w:szCs w:val="20"/>
        </w:rPr>
        <w:t>octreotate</w:t>
      </w:r>
      <w:proofErr w:type="spellEnd"/>
      <w:r w:rsidRPr="00D934CD">
        <w:rPr>
          <w:rFonts w:eastAsia="Calibri" w:cs="Times New Roman"/>
          <w:color w:val="000000"/>
          <w:szCs w:val="20"/>
        </w:rPr>
        <w:t>.</w:t>
      </w:r>
    </w:p>
    <w:p w14:paraId="0D83FD77" w14:textId="726D0AC9" w:rsidR="000B228E" w:rsidRDefault="000B228E" w:rsidP="000B228E">
      <w:pPr>
        <w:spacing w:before="0" w:after="240" w:line="240" w:lineRule="auto"/>
        <w:rPr>
          <w:rFonts w:eastAsia="Calibri" w:cs="Times New Roman"/>
          <w:color w:val="000000"/>
          <w:szCs w:val="20"/>
        </w:rPr>
      </w:pPr>
      <w:r w:rsidRPr="00D934CD">
        <w:rPr>
          <w:rFonts w:eastAsia="Calibri" w:cs="Times New Roman"/>
          <w:color w:val="000000"/>
          <w:szCs w:val="20"/>
        </w:rPr>
        <w:t xml:space="preserve">ESC noted the absence of safety and efficacy studies for the proposed treatment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Lu-DOTA-octreotate. Therefore, the DCAR’s assessment of the safety and efficacy of the proposed treatment has been based on studies of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based on a claim of </w:t>
      </w:r>
      <w:r w:rsidR="004A7E51">
        <w:rPr>
          <w:rFonts w:eastAsia="Calibri" w:cs="Times New Roman"/>
          <w:color w:val="000000"/>
          <w:szCs w:val="20"/>
        </w:rPr>
        <w:t>non-inferior</w:t>
      </w:r>
      <w:r w:rsidRPr="00D934CD">
        <w:rPr>
          <w:rFonts w:eastAsia="Calibri" w:cs="Times New Roman"/>
          <w:color w:val="000000"/>
          <w:szCs w:val="20"/>
        </w:rPr>
        <w:t xml:space="preserve">ity between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Lu-DOTA-octreotate and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for which there is also a lack of evidence. As such, this is a significant area of uncertainty in the proposed analysis, as the evidence for the application’s clinical claims is based on indirect evidence (from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w:t>
      </w:r>
      <w:r>
        <w:rPr>
          <w:rFonts w:eastAsia="Calibri" w:cs="Times New Roman"/>
          <w:color w:val="000000"/>
          <w:szCs w:val="20"/>
        </w:rPr>
        <w:t xml:space="preserve">ESC noted the pre-ESC response which the applicant contended that, separate to </w:t>
      </w:r>
      <w:proofErr w:type="spellStart"/>
      <w:r w:rsidRPr="00D934CD">
        <w:rPr>
          <w:rFonts w:eastAsia="Calibri" w:cs="Times New Roman"/>
          <w:color w:val="000000"/>
          <w:szCs w:val="20"/>
        </w:rPr>
        <w:t>Lutathera</w:t>
      </w:r>
      <w:proofErr w:type="spellEnd"/>
      <w:r w:rsidRPr="00D934CD">
        <w:rPr>
          <w:rFonts w:eastAsia="Calibri" w:cs="Times New Roman"/>
          <w:color w:val="000000"/>
          <w:szCs w:val="20"/>
        </w:rPr>
        <w:t>®</w:t>
      </w:r>
      <w:r>
        <w:rPr>
          <w:rFonts w:eastAsia="Calibri" w:cs="Times New Roman"/>
          <w:color w:val="000000"/>
          <w:szCs w:val="20"/>
        </w:rPr>
        <w:t xml:space="preserve">, other </w:t>
      </w:r>
      <w:r>
        <w:rPr>
          <w:rFonts w:eastAsia="Calibri" w:cs="Times New Roman"/>
          <w:color w:val="000000"/>
          <w:szCs w:val="20"/>
          <w:vertAlign w:val="superscript"/>
        </w:rPr>
        <w:t xml:space="preserve">177 </w:t>
      </w:r>
      <w:r>
        <w:rPr>
          <w:rFonts w:eastAsia="Calibri" w:cs="Times New Roman"/>
          <w:color w:val="000000"/>
          <w:szCs w:val="20"/>
        </w:rPr>
        <w:t xml:space="preserve">Lu therapeutic products should have been included in the assessment. In addition, the applicant contended that due to GMP, these two products are close biosimilars and highlighted that the </w:t>
      </w:r>
      <w:r>
        <w:rPr>
          <w:rFonts w:eastAsia="Calibri" w:cs="Times New Roman"/>
          <w:color w:val="000000"/>
          <w:szCs w:val="20"/>
        </w:rPr>
        <w:lastRenderedPageBreak/>
        <w:t>European Medicines Agency (EMA) accepted the evidence using different formulations of the active substance in Erasmus Phase I/II study and NETTER-I trial.</w:t>
      </w:r>
    </w:p>
    <w:p w14:paraId="1B9F7D19" w14:textId="77777777" w:rsidR="000B228E" w:rsidRDefault="000B228E" w:rsidP="000B228E">
      <w:pPr>
        <w:spacing w:before="0" w:after="240" w:line="240" w:lineRule="auto"/>
        <w:rPr>
          <w:rFonts w:eastAsia="Times New Roman" w:cs="Times New Roman"/>
          <w:color w:val="000000"/>
          <w:szCs w:val="20"/>
          <w:lang w:eastAsia="en-AU"/>
        </w:rPr>
      </w:pPr>
      <w:r>
        <w:rPr>
          <w:rFonts w:eastAsia="Calibri" w:cs="Times New Roman"/>
          <w:color w:val="000000"/>
          <w:szCs w:val="20"/>
        </w:rPr>
        <w:t xml:space="preserve">ESC noted that the evidence </w:t>
      </w:r>
      <w:proofErr w:type="gramStart"/>
      <w:r>
        <w:rPr>
          <w:rFonts w:eastAsia="Calibri" w:cs="Times New Roman"/>
          <w:color w:val="000000"/>
          <w:szCs w:val="20"/>
        </w:rPr>
        <w:t>base</w:t>
      </w:r>
      <w:proofErr w:type="gramEnd"/>
      <w:r>
        <w:rPr>
          <w:rFonts w:eastAsia="Calibri" w:cs="Times New Roman"/>
          <w:color w:val="000000"/>
          <w:szCs w:val="20"/>
        </w:rPr>
        <w:t xml:space="preserve"> for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(which as noted previously was used for assessment purposes to evaluate the safety and efficacy of </w:t>
      </w:r>
      <w:r w:rsidRPr="00D934CD">
        <w:rPr>
          <w:rFonts w:eastAsia="Calibri" w:cs="Times New Roman"/>
          <w:color w:val="000000"/>
          <w:szCs w:val="20"/>
          <w:vertAlign w:val="superscript"/>
        </w:rPr>
        <w:t>177</w:t>
      </w:r>
      <w:r w:rsidRPr="00D934CD">
        <w:rPr>
          <w:rFonts w:eastAsia="Calibri" w:cs="Times New Roman"/>
          <w:color w:val="000000"/>
          <w:szCs w:val="20"/>
        </w:rPr>
        <w:t>Lu-DOTA-octreotate</w:t>
      </w:r>
      <w:r>
        <w:rPr>
          <w:rFonts w:eastAsia="Calibri" w:cs="Times New Roman"/>
          <w:color w:val="000000"/>
          <w:szCs w:val="20"/>
        </w:rPr>
        <w:t xml:space="preserve">) comprised </w:t>
      </w:r>
      <w:r w:rsidRPr="009C3944">
        <w:rPr>
          <w:rFonts w:eastAsia="Calibri" w:cs="Times New Roman"/>
          <w:color w:val="000000"/>
          <w:szCs w:val="20"/>
        </w:rPr>
        <w:t>14 RCTs of varying treatments for exemplar NENs</w:t>
      </w:r>
      <w:r>
        <w:rPr>
          <w:rFonts w:eastAsia="Calibri" w:cs="Times New Roman"/>
          <w:color w:val="000000"/>
          <w:szCs w:val="20"/>
        </w:rPr>
        <w:t xml:space="preserve">. </w:t>
      </w:r>
      <w:r w:rsidRPr="00D934CD">
        <w:rPr>
          <w:rFonts w:eastAsia="Times New Roman" w:cs="Times New Roman"/>
          <w:color w:val="000000"/>
          <w:szCs w:val="20"/>
          <w:lang w:eastAsia="en-AU"/>
        </w:rPr>
        <w:t xml:space="preserve">ESC noted the applicant’s concerns in its pre-ESC response that the systematic review </w:t>
      </w:r>
      <w:r>
        <w:rPr>
          <w:rFonts w:eastAsia="Times New Roman" w:cs="Times New Roman"/>
          <w:color w:val="000000"/>
          <w:szCs w:val="20"/>
          <w:lang w:eastAsia="en-AU"/>
        </w:rPr>
        <w:t>wa</w:t>
      </w:r>
      <w:r w:rsidRPr="00D934CD">
        <w:rPr>
          <w:rFonts w:eastAsia="Times New Roman" w:cs="Times New Roman"/>
          <w:color w:val="000000"/>
          <w:szCs w:val="20"/>
          <w:lang w:eastAsia="en-AU"/>
        </w:rPr>
        <w:t xml:space="preserve">s reliant on evidence from randomised controlled trials (RCT) </w:t>
      </w:r>
      <w:r>
        <w:rPr>
          <w:rFonts w:eastAsia="Times New Roman" w:cs="Times New Roman"/>
          <w:color w:val="000000"/>
          <w:szCs w:val="20"/>
          <w:lang w:eastAsia="en-AU"/>
        </w:rPr>
        <w:t>to</w:t>
      </w:r>
      <w:r w:rsidRPr="00D934CD">
        <w:rPr>
          <w:rFonts w:eastAsia="Times New Roman" w:cs="Times New Roman"/>
          <w:color w:val="000000"/>
          <w:szCs w:val="20"/>
          <w:lang w:eastAsia="en-AU"/>
        </w:rPr>
        <w:t xml:space="preserve"> the virtual exclusion of highly relevant real-world evidence. ESC noted that the </w:t>
      </w:r>
      <w:r>
        <w:rPr>
          <w:rFonts w:eastAsia="Times New Roman" w:cs="Times New Roman"/>
          <w:color w:val="000000"/>
          <w:szCs w:val="20"/>
          <w:lang w:eastAsia="en-AU"/>
        </w:rPr>
        <w:t xml:space="preserve">rejoinder provided by the </w:t>
      </w:r>
      <w:r w:rsidRPr="00D934CD">
        <w:rPr>
          <w:rFonts w:eastAsia="Times New Roman" w:cs="Times New Roman"/>
          <w:color w:val="000000"/>
          <w:szCs w:val="20"/>
          <w:lang w:eastAsia="en-AU"/>
        </w:rPr>
        <w:t>assessment group responded that single-arm, non-randomised studies are of limited utility in assessing the cost-effectiveness of treatment. Consequently, the</w:t>
      </w:r>
      <w:r>
        <w:rPr>
          <w:rFonts w:eastAsia="Times New Roman" w:cs="Times New Roman"/>
          <w:color w:val="000000"/>
          <w:szCs w:val="20"/>
          <w:lang w:eastAsia="en-AU"/>
        </w:rPr>
        <w:t xml:space="preserve"> systematic literature</w:t>
      </w:r>
      <w:r w:rsidRPr="00D934CD">
        <w:rPr>
          <w:rFonts w:eastAsia="Times New Roman" w:cs="Times New Roman"/>
          <w:color w:val="000000"/>
          <w:szCs w:val="20"/>
          <w:lang w:eastAsia="en-AU"/>
        </w:rPr>
        <w:t xml:space="preserve"> review focused primarily on RCTs that provide the most robust and least biased estimates of the comparative efficacy between interventions</w:t>
      </w:r>
      <w:r>
        <w:rPr>
          <w:rFonts w:eastAsia="Times New Roman" w:cs="Times New Roman"/>
          <w:color w:val="000000"/>
          <w:szCs w:val="20"/>
          <w:lang w:eastAsia="en-AU"/>
        </w:rPr>
        <w:t xml:space="preserve"> </w:t>
      </w:r>
      <w:r w:rsidRPr="00D934CD">
        <w:rPr>
          <w:rFonts w:eastAsia="Times New Roman" w:cs="Times New Roman"/>
          <w:color w:val="000000"/>
          <w:szCs w:val="20"/>
          <w:lang w:eastAsia="en-AU"/>
        </w:rPr>
        <w:t>by controlling for confounding variables, minimising biases, and ensuring consistency in treatment administration and outcome measurement</w:t>
      </w:r>
      <w:r>
        <w:rPr>
          <w:rFonts w:eastAsia="Times New Roman" w:cs="Times New Roman"/>
          <w:color w:val="000000"/>
          <w:szCs w:val="20"/>
          <w:lang w:eastAsia="en-AU"/>
        </w:rPr>
        <w:t>.</w:t>
      </w:r>
    </w:p>
    <w:p w14:paraId="508EEAC4" w14:textId="6DDA3361" w:rsidR="000B228E" w:rsidRPr="00994611"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For comparative safety, ESC noted that the rates of adverse events (AEs) and serious AEs (SAEs) were pooled from individual studies. ESC noted the pooled </w:t>
      </w:r>
      <w:r w:rsidRPr="006545E2">
        <w:rPr>
          <w:rFonts w:eastAsia="Times New Roman" w:cs="Times New Roman"/>
          <w:color w:val="000000"/>
          <w:szCs w:val="20"/>
          <w:lang w:eastAsia="en-AU"/>
        </w:rPr>
        <w:t xml:space="preserve">proportions of patients experiencing </w:t>
      </w:r>
      <w:r>
        <w:rPr>
          <w:rFonts w:eastAsia="Times New Roman" w:cs="Times New Roman"/>
          <w:color w:val="000000"/>
          <w:szCs w:val="20"/>
          <w:lang w:eastAsia="en-AU"/>
        </w:rPr>
        <w:t xml:space="preserve">AEs was high across all studies but that the rates of serious AEs varied across treatments. </w:t>
      </w:r>
      <w:r>
        <w:t>The rates of SAEs for o</w:t>
      </w:r>
      <w:r w:rsidRPr="00DC3B9C">
        <w:t xml:space="preserve">ctreotide </w:t>
      </w:r>
      <w:r>
        <w:t>plus</w:t>
      </w:r>
      <w:r w:rsidRPr="00DC3B9C">
        <w:t xml:space="preserve"> everolimus</w:t>
      </w:r>
      <w:r>
        <w:t xml:space="preserve"> (59%)</w:t>
      </w:r>
      <w:r w:rsidRPr="00DC3B9C">
        <w:t xml:space="preserve"> were more than double th</w:t>
      </w:r>
      <w:r>
        <w:t>ose</w:t>
      </w:r>
      <w:r w:rsidRPr="00DC3B9C">
        <w:t xml:space="preserve"> for </w:t>
      </w:r>
      <w:r w:rsidRPr="001345FE">
        <w:rPr>
          <w:vertAlign w:val="superscript"/>
        </w:rPr>
        <w:t>177</w:t>
      </w:r>
      <w:r w:rsidRPr="001345FE">
        <w:t>Lu-DOTATATE</w:t>
      </w:r>
      <w:r w:rsidRPr="00050981">
        <w:rPr>
          <w:rFonts w:ascii="Arial Narrow" w:hAnsi="Arial Narrow"/>
        </w:rPr>
        <w:t xml:space="preserve"> </w:t>
      </w:r>
      <w:r w:rsidRPr="00DC3B9C">
        <w:t xml:space="preserve">(26%). </w:t>
      </w:r>
      <w:r>
        <w:rPr>
          <w:rFonts w:eastAsia="Times New Roman" w:cs="Times New Roman"/>
          <w:color w:val="000000"/>
          <w:szCs w:val="20"/>
          <w:lang w:eastAsia="en-AU"/>
        </w:rPr>
        <w:t xml:space="preserve"> ESC considered that the frequency of serious AEs was no worse with PRRT treatment than other comparator treatments but there was no data on types of AEs reported in the DCAR. ESC noted that long-term side effects of PRRT can include myelodysplastic syndrome, which occurred in 2 (2%) of 111 patients in NETTER-1. Overall, ESC considered there was only limited evidence which demonstrated that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(and thus</w:t>
      </w:r>
      <w:r>
        <w:rPr>
          <w:rFonts w:eastAsia="Times New Roman" w:cs="Times New Roman"/>
          <w:color w:val="000000"/>
          <w:szCs w:val="20"/>
          <w:lang w:eastAsia="en-AU"/>
        </w:rPr>
        <w:t xml:space="preserve"> </w:t>
      </w:r>
      <w:r w:rsidRPr="00994611">
        <w:rPr>
          <w:rFonts w:eastAsia="Times New Roman" w:cs="Times New Roman"/>
          <w:color w:val="000000"/>
          <w:szCs w:val="20"/>
          <w:vertAlign w:val="superscript"/>
          <w:lang w:eastAsia="en-AU"/>
        </w:rPr>
        <w:t>177</w:t>
      </w:r>
      <w:r w:rsidRPr="00F01F46">
        <w:rPr>
          <w:rFonts w:eastAsia="Times New Roman" w:cs="Times New Roman"/>
          <w:color w:val="000000"/>
          <w:szCs w:val="20"/>
          <w:lang w:eastAsia="en-AU"/>
        </w:rPr>
        <w:t>Lu-DOTA-octreotate</w:t>
      </w:r>
      <w:r>
        <w:rPr>
          <w:rFonts w:eastAsia="Times New Roman" w:cs="Times New Roman"/>
          <w:color w:val="000000"/>
          <w:szCs w:val="20"/>
          <w:lang w:eastAsia="en-AU"/>
        </w:rPr>
        <w:t xml:space="preserve"> based on assumed </w:t>
      </w:r>
      <w:r w:rsidR="004A7E51">
        <w:rPr>
          <w:rFonts w:eastAsia="Times New Roman" w:cs="Times New Roman"/>
          <w:color w:val="000000"/>
          <w:szCs w:val="20"/>
          <w:lang w:eastAsia="en-AU"/>
        </w:rPr>
        <w:t>non-inferior</w:t>
      </w:r>
      <w:r>
        <w:rPr>
          <w:rFonts w:eastAsia="Times New Roman" w:cs="Times New Roman"/>
          <w:color w:val="000000"/>
          <w:szCs w:val="20"/>
          <w:lang w:eastAsia="en-AU"/>
        </w:rPr>
        <w:t>ity between the two products) treatment</w:t>
      </w:r>
      <w:r w:rsidRPr="00F01F46">
        <w:rPr>
          <w:rFonts w:eastAsia="Times New Roman" w:cs="Times New Roman"/>
          <w:color w:val="000000"/>
          <w:szCs w:val="20"/>
          <w:lang w:eastAsia="en-AU"/>
        </w:rPr>
        <w:t xml:space="preserve"> </w:t>
      </w:r>
      <w:r>
        <w:rPr>
          <w:rFonts w:eastAsia="Times New Roman" w:cs="Times New Roman"/>
          <w:color w:val="000000"/>
          <w:szCs w:val="20"/>
          <w:lang w:eastAsia="en-AU"/>
        </w:rPr>
        <w:t>had</w:t>
      </w:r>
      <w:r w:rsidRPr="00F01F46">
        <w:rPr>
          <w:rFonts w:eastAsia="Times New Roman" w:cs="Times New Roman"/>
          <w:color w:val="000000"/>
          <w:szCs w:val="20"/>
          <w:lang w:eastAsia="en-AU"/>
        </w:rPr>
        <w:t xml:space="preserve"> </w:t>
      </w:r>
      <w:r w:rsidR="004A7E51">
        <w:rPr>
          <w:rFonts w:eastAsia="Times New Roman" w:cs="Times New Roman"/>
          <w:color w:val="000000"/>
          <w:szCs w:val="20"/>
          <w:lang w:eastAsia="en-AU"/>
        </w:rPr>
        <w:t>non-inferior</w:t>
      </w:r>
      <w:r w:rsidRPr="00F01F46">
        <w:rPr>
          <w:rFonts w:eastAsia="Times New Roman" w:cs="Times New Roman"/>
          <w:color w:val="000000"/>
          <w:szCs w:val="20"/>
          <w:lang w:eastAsia="en-AU"/>
        </w:rPr>
        <w:t xml:space="preserve"> safety compared with octreotide monotherapy, everolimus monotherapy, sunitinib, lanreotide and placebo/BSC; and superior safety compared to octreotide plus everolimus combination therapy</w:t>
      </w:r>
      <w:r>
        <w:rPr>
          <w:rFonts w:eastAsia="Times New Roman" w:cs="Times New Roman"/>
          <w:color w:val="000000"/>
          <w:szCs w:val="20"/>
          <w:lang w:eastAsia="en-AU"/>
        </w:rPr>
        <w:t>.</w:t>
      </w:r>
    </w:p>
    <w:p w14:paraId="15D1545F" w14:textId="77777777"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Notwithstanding that</w:t>
      </w:r>
      <w:r w:rsidRPr="009C3944">
        <w:rPr>
          <w:rFonts w:eastAsia="Calibri" w:cs="Times New Roman"/>
          <w:color w:val="000000"/>
          <w:szCs w:val="20"/>
        </w:rPr>
        <w:t xml:space="preserve"> the </w:t>
      </w:r>
      <w:r w:rsidRPr="005D0186">
        <w:rPr>
          <w:rFonts w:eastAsia="Calibri" w:cs="Times New Roman"/>
          <w:color w:val="000000"/>
          <w:szCs w:val="20"/>
        </w:rPr>
        <w:t xml:space="preserve">DCAR considered </w:t>
      </w:r>
      <w:r>
        <w:rPr>
          <w:rFonts w:eastAsia="Calibri" w:cs="Times New Roman"/>
          <w:color w:val="000000"/>
          <w:szCs w:val="20"/>
        </w:rPr>
        <w:t>BSC</w:t>
      </w:r>
      <w:r w:rsidRPr="005D0186">
        <w:rPr>
          <w:rFonts w:eastAsia="Calibri" w:cs="Times New Roman"/>
          <w:color w:val="000000"/>
          <w:szCs w:val="20"/>
        </w:rPr>
        <w:t xml:space="preserve"> the most relevant comparator</w:t>
      </w:r>
      <w:r>
        <w:rPr>
          <w:rFonts w:eastAsia="Calibri" w:cs="Times New Roman"/>
          <w:color w:val="000000"/>
          <w:szCs w:val="20"/>
        </w:rPr>
        <w:t>, ESC noted that the</w:t>
      </w:r>
      <w:r w:rsidRPr="009C3944">
        <w:rPr>
          <w:rFonts w:eastAsia="Calibri" w:cs="Times New Roman"/>
          <w:color w:val="000000"/>
          <w:szCs w:val="20"/>
        </w:rPr>
        <w:t xml:space="preserve"> comparators </w:t>
      </w:r>
      <w:r>
        <w:rPr>
          <w:rFonts w:eastAsia="Calibri" w:cs="Times New Roman"/>
          <w:color w:val="000000"/>
          <w:szCs w:val="20"/>
        </w:rPr>
        <w:t xml:space="preserve">in this evidence base included all the listed comparators </w:t>
      </w:r>
      <w:r w:rsidRPr="009C3944">
        <w:rPr>
          <w:rFonts w:eastAsia="Calibri" w:cs="Times New Roman"/>
          <w:color w:val="000000"/>
          <w:szCs w:val="20"/>
        </w:rPr>
        <w:t>(SSA, targeted therapies, chemotherapies, BSC</w:t>
      </w:r>
      <w:r>
        <w:rPr>
          <w:rFonts w:eastAsia="Calibri" w:cs="Times New Roman"/>
          <w:color w:val="000000"/>
          <w:szCs w:val="20"/>
        </w:rPr>
        <w:t>). ESC noted that o</w:t>
      </w:r>
      <w:r w:rsidRPr="00D934CD">
        <w:rPr>
          <w:rFonts w:eastAsia="Calibri" w:cs="Times New Roman"/>
          <w:color w:val="000000"/>
          <w:szCs w:val="20"/>
        </w:rPr>
        <w:t xml:space="preserve">f the comparators highlighted in the PICO, comparative evidence against </w:t>
      </w:r>
      <w:r w:rsidRPr="00D934CD">
        <w:rPr>
          <w:rFonts w:eastAsia="Calibri" w:cs="Times New Roman"/>
          <w:color w:val="000000"/>
          <w:szCs w:val="20"/>
          <w:vertAlign w:val="superscript"/>
        </w:rPr>
        <w:t>177</w:t>
      </w:r>
      <w:r w:rsidRPr="0012422E">
        <w:rPr>
          <w:rFonts w:eastAsia="Calibri" w:cs="Times New Roman"/>
          <w:color w:val="000000"/>
          <w:szCs w:val="20"/>
        </w:rPr>
        <w:t xml:space="preserve">Lu-DOTATATE </w:t>
      </w:r>
      <w:r w:rsidRPr="00D934CD">
        <w:rPr>
          <w:rFonts w:eastAsia="Calibri" w:cs="Times New Roman"/>
          <w:color w:val="000000"/>
          <w:szCs w:val="20"/>
        </w:rPr>
        <w:t>was only found for two of these (</w:t>
      </w:r>
      <w:r w:rsidRPr="0012422E">
        <w:rPr>
          <w:rFonts w:eastAsia="Calibri" w:cs="Times New Roman"/>
          <w:color w:val="000000"/>
          <w:szCs w:val="20"/>
        </w:rPr>
        <w:t xml:space="preserve">octreotide </w:t>
      </w:r>
      <w:r w:rsidRPr="00D934CD">
        <w:rPr>
          <w:rFonts w:eastAsia="Calibri" w:cs="Times New Roman"/>
          <w:color w:val="000000"/>
          <w:szCs w:val="20"/>
        </w:rPr>
        <w:t xml:space="preserve">and </w:t>
      </w:r>
      <w:r w:rsidRPr="0012422E">
        <w:rPr>
          <w:rFonts w:eastAsia="Calibri" w:cs="Times New Roman"/>
          <w:color w:val="000000"/>
          <w:szCs w:val="20"/>
        </w:rPr>
        <w:t>sunitinib</w:t>
      </w:r>
      <w:r w:rsidRPr="00D934CD">
        <w:rPr>
          <w:rFonts w:eastAsia="Calibri" w:cs="Times New Roman"/>
          <w:color w:val="000000"/>
          <w:szCs w:val="20"/>
        </w:rPr>
        <w:t>)</w:t>
      </w:r>
      <w:r>
        <w:rPr>
          <w:rFonts w:eastAsia="Calibri" w:cs="Times New Roman"/>
          <w:color w:val="000000"/>
          <w:szCs w:val="20"/>
        </w:rPr>
        <w:t xml:space="preserve"> and the </w:t>
      </w:r>
      <w:r w:rsidRPr="0012422E">
        <w:rPr>
          <w:rFonts w:eastAsia="Calibri" w:cs="Times New Roman"/>
          <w:color w:val="000000"/>
          <w:szCs w:val="20"/>
        </w:rPr>
        <w:t>other 12 trials were</w:t>
      </w:r>
      <w:r>
        <w:rPr>
          <w:rFonts w:eastAsia="Calibri" w:cs="Times New Roman"/>
          <w:color w:val="000000"/>
          <w:szCs w:val="20"/>
        </w:rPr>
        <w:t xml:space="preserve"> of</w:t>
      </w:r>
      <w:r w:rsidRPr="0012422E">
        <w:rPr>
          <w:rFonts w:eastAsia="Calibri" w:cs="Times New Roman"/>
          <w:color w:val="000000"/>
          <w:szCs w:val="20"/>
        </w:rPr>
        <w:t xml:space="preserve"> chemotherapies/targeted therapies vs</w:t>
      </w:r>
      <w:r>
        <w:rPr>
          <w:rFonts w:eastAsia="Calibri" w:cs="Times New Roman"/>
          <w:color w:val="000000"/>
          <w:szCs w:val="20"/>
        </w:rPr>
        <w:t>.</w:t>
      </w:r>
      <w:r w:rsidRPr="0012422E">
        <w:rPr>
          <w:rFonts w:eastAsia="Calibri" w:cs="Times New Roman"/>
          <w:color w:val="000000"/>
          <w:szCs w:val="20"/>
        </w:rPr>
        <w:t xml:space="preserve"> BSC</w:t>
      </w:r>
      <w:r>
        <w:rPr>
          <w:rFonts w:eastAsia="Calibri" w:cs="Times New Roman"/>
          <w:color w:val="000000"/>
          <w:szCs w:val="20"/>
        </w:rPr>
        <w:t xml:space="preserve">. The most common outcomes studied in the RCTs were progression free survival (PFS) and overall survival (OS).   </w:t>
      </w:r>
      <w:r w:rsidRPr="00D934CD">
        <w:rPr>
          <w:rFonts w:eastAsia="Calibri" w:cs="Times New Roman"/>
          <w:color w:val="000000"/>
          <w:szCs w:val="20"/>
        </w:rPr>
        <w:t xml:space="preserve">To generate </w:t>
      </w:r>
      <w:r>
        <w:rPr>
          <w:rFonts w:eastAsia="Calibri" w:cs="Times New Roman"/>
          <w:color w:val="000000"/>
          <w:szCs w:val="20"/>
        </w:rPr>
        <w:t xml:space="preserve">indirect </w:t>
      </w:r>
      <w:r w:rsidRPr="00D934CD">
        <w:rPr>
          <w:rFonts w:eastAsia="Calibri" w:cs="Times New Roman"/>
          <w:color w:val="000000"/>
          <w:szCs w:val="20"/>
        </w:rPr>
        <w:t xml:space="preserve">estimates of the relative effects of </w:t>
      </w:r>
      <w:r w:rsidRPr="00D934CD">
        <w:rPr>
          <w:rFonts w:eastAsia="Calibri" w:cs="Times New Roman"/>
          <w:color w:val="000000"/>
          <w:szCs w:val="20"/>
          <w:vertAlign w:val="superscript"/>
        </w:rPr>
        <w:t>177</w:t>
      </w:r>
      <w:r w:rsidRPr="00D934CD">
        <w:rPr>
          <w:rFonts w:eastAsia="Calibri" w:cs="Times New Roman"/>
          <w:color w:val="000000"/>
          <w:szCs w:val="20"/>
        </w:rPr>
        <w:t>Lu-DOTATATE against the other comparators, a network meta-analysis (NMA) was conducted.</w:t>
      </w:r>
    </w:p>
    <w:p w14:paraId="1A9E7AF5" w14:textId="0748A533"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ESC noted that there were numerous m</w:t>
      </w:r>
      <w:r w:rsidRPr="00A41278">
        <w:rPr>
          <w:rFonts w:eastAsia="Calibri" w:cs="Times New Roman"/>
          <w:color w:val="000000"/>
          <w:szCs w:val="20"/>
        </w:rPr>
        <w:t xml:space="preserve">ethodological issues </w:t>
      </w:r>
      <w:r>
        <w:rPr>
          <w:rFonts w:eastAsia="Calibri" w:cs="Times New Roman"/>
          <w:color w:val="000000"/>
          <w:szCs w:val="20"/>
        </w:rPr>
        <w:t>associated with the</w:t>
      </w:r>
      <w:r w:rsidRPr="00A41278">
        <w:rPr>
          <w:rFonts w:eastAsia="Calibri" w:cs="Times New Roman"/>
          <w:color w:val="000000"/>
          <w:szCs w:val="20"/>
        </w:rPr>
        <w:t xml:space="preserve"> individual studies</w:t>
      </w:r>
      <w:r>
        <w:rPr>
          <w:rFonts w:eastAsia="Calibri" w:cs="Times New Roman"/>
          <w:color w:val="000000"/>
          <w:szCs w:val="20"/>
        </w:rPr>
        <w:t xml:space="preserve"> (in addition to the uncertainty of assuming </w:t>
      </w:r>
      <w:r w:rsidR="004A7E51">
        <w:rPr>
          <w:rFonts w:eastAsia="Calibri" w:cs="Times New Roman"/>
          <w:color w:val="000000"/>
          <w:szCs w:val="20"/>
        </w:rPr>
        <w:t>non-inferior</w:t>
      </w:r>
      <w:r>
        <w:rPr>
          <w:rFonts w:eastAsia="Calibri" w:cs="Times New Roman"/>
          <w:color w:val="000000"/>
          <w:szCs w:val="20"/>
        </w:rPr>
        <w:t xml:space="preserve">ity between </w:t>
      </w:r>
      <w:r w:rsidRPr="00994611">
        <w:rPr>
          <w:rFonts w:eastAsia="Calibri" w:cs="Times New Roman"/>
          <w:color w:val="000000"/>
          <w:szCs w:val="20"/>
          <w:vertAlign w:val="superscript"/>
        </w:rPr>
        <w:t>177</w:t>
      </w:r>
      <w:r w:rsidRPr="000F7FD2">
        <w:rPr>
          <w:rFonts w:eastAsia="Calibri" w:cs="Times New Roman"/>
          <w:color w:val="000000"/>
          <w:szCs w:val="20"/>
        </w:rPr>
        <w:t xml:space="preserve">Lu-DOTA-octreotate and </w:t>
      </w:r>
      <w:r w:rsidRPr="00994611">
        <w:rPr>
          <w:rFonts w:eastAsia="Calibri" w:cs="Times New Roman"/>
          <w:color w:val="000000"/>
          <w:szCs w:val="20"/>
          <w:vertAlign w:val="superscript"/>
        </w:rPr>
        <w:t>177</w:t>
      </w:r>
      <w:r w:rsidRPr="000F7FD2">
        <w:rPr>
          <w:rFonts w:eastAsia="Calibri" w:cs="Times New Roman"/>
          <w:color w:val="000000"/>
          <w:szCs w:val="20"/>
        </w:rPr>
        <w:t>Lu-DOTATATE</w:t>
      </w:r>
      <w:r>
        <w:rPr>
          <w:rFonts w:eastAsia="Calibri" w:cs="Times New Roman"/>
          <w:color w:val="000000"/>
          <w:szCs w:val="20"/>
        </w:rPr>
        <w:t xml:space="preserve"> based solely on a comparison of their pharmaceutical forms):</w:t>
      </w:r>
    </w:p>
    <w:p w14:paraId="4CDFD68E"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sidRPr="00994611">
        <w:rPr>
          <w:rFonts w:eastAsia="Calibri" w:cs="Times New Roman"/>
          <w:color w:val="000000"/>
          <w:szCs w:val="20"/>
        </w:rPr>
        <w:t xml:space="preserve">selection bias because patients were selected </w:t>
      </w:r>
      <w:proofErr w:type="gramStart"/>
      <w:r w:rsidRPr="00994611">
        <w:rPr>
          <w:rFonts w:eastAsia="Calibri" w:cs="Times New Roman"/>
          <w:color w:val="000000"/>
          <w:szCs w:val="20"/>
        </w:rPr>
        <w:t>on the basis of</w:t>
      </w:r>
      <w:proofErr w:type="gramEnd"/>
      <w:r w:rsidRPr="00994611">
        <w:rPr>
          <w:rFonts w:eastAsia="Calibri" w:cs="Times New Roman"/>
          <w:color w:val="000000"/>
          <w:szCs w:val="20"/>
        </w:rPr>
        <w:t xml:space="preserve"> </w:t>
      </w:r>
      <w:proofErr w:type="spellStart"/>
      <w:r w:rsidRPr="00994611">
        <w:rPr>
          <w:rFonts w:eastAsia="Calibri" w:cs="Times New Roman"/>
          <w:color w:val="000000"/>
          <w:szCs w:val="20"/>
        </w:rPr>
        <w:t>Octreoscan</w:t>
      </w:r>
      <w:proofErr w:type="spellEnd"/>
      <w:r w:rsidRPr="00994611">
        <w:rPr>
          <w:rFonts w:eastAsia="Calibri" w:cs="Times New Roman"/>
          <w:color w:val="000000"/>
          <w:szCs w:val="20"/>
        </w:rPr>
        <w:t xml:space="preserve"> </w:t>
      </w:r>
      <w:r>
        <w:rPr>
          <w:rFonts w:eastAsia="Calibri" w:cs="Times New Roman"/>
          <w:color w:val="000000"/>
          <w:szCs w:val="20"/>
        </w:rPr>
        <w:t xml:space="preserve">results (rather than Gallium scans) </w:t>
      </w:r>
      <w:r w:rsidRPr="00994611">
        <w:rPr>
          <w:rFonts w:eastAsia="Calibri" w:cs="Times New Roman"/>
          <w:color w:val="000000"/>
          <w:szCs w:val="20"/>
        </w:rPr>
        <w:t>and because of inadequate allocation concealment</w:t>
      </w:r>
    </w:p>
    <w:p w14:paraId="4236DF5A"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Pr>
          <w:rFonts w:eastAsia="Calibri" w:cs="Times New Roman"/>
          <w:color w:val="000000"/>
          <w:szCs w:val="20"/>
        </w:rPr>
        <w:t>measurement bias because seven of the</w:t>
      </w:r>
      <w:r w:rsidRPr="0009478E">
        <w:rPr>
          <w:rFonts w:eastAsia="Calibri" w:cs="Times New Roman"/>
          <w:color w:val="000000"/>
          <w:szCs w:val="20"/>
        </w:rPr>
        <w:t xml:space="preserve"> studies were open label</w:t>
      </w:r>
      <w:r>
        <w:rPr>
          <w:rFonts w:eastAsia="Calibri" w:cs="Times New Roman"/>
          <w:color w:val="000000"/>
          <w:szCs w:val="20"/>
        </w:rPr>
        <w:t xml:space="preserve"> which may have led to </w:t>
      </w:r>
      <w:r w:rsidRPr="0009478E">
        <w:rPr>
          <w:rFonts w:eastAsia="Calibri" w:cs="Times New Roman"/>
          <w:color w:val="000000"/>
          <w:szCs w:val="20"/>
        </w:rPr>
        <w:t xml:space="preserve">subjective interpretation of PFS and risk of favouring </w:t>
      </w:r>
      <w:r>
        <w:rPr>
          <w:rFonts w:eastAsia="Calibri" w:cs="Times New Roman"/>
          <w:color w:val="000000"/>
          <w:szCs w:val="20"/>
        </w:rPr>
        <w:t xml:space="preserve">the </w:t>
      </w:r>
      <w:r w:rsidRPr="0009478E">
        <w:rPr>
          <w:rFonts w:eastAsia="Calibri" w:cs="Times New Roman"/>
          <w:color w:val="000000"/>
          <w:szCs w:val="20"/>
        </w:rPr>
        <w:t xml:space="preserve">intervention </w:t>
      </w:r>
      <w:r>
        <w:rPr>
          <w:rFonts w:eastAsia="Calibri" w:cs="Times New Roman"/>
          <w:color w:val="000000"/>
          <w:szCs w:val="20"/>
        </w:rPr>
        <w:t xml:space="preserve">(this </w:t>
      </w:r>
      <w:r w:rsidRPr="0009478E">
        <w:rPr>
          <w:rFonts w:eastAsia="Calibri" w:cs="Times New Roman"/>
          <w:color w:val="000000"/>
          <w:szCs w:val="20"/>
        </w:rPr>
        <w:t>incl</w:t>
      </w:r>
      <w:r>
        <w:rPr>
          <w:rFonts w:eastAsia="Calibri" w:cs="Times New Roman"/>
          <w:color w:val="000000"/>
          <w:szCs w:val="20"/>
        </w:rPr>
        <w:t>uded</w:t>
      </w:r>
      <w:r w:rsidRPr="0009478E">
        <w:rPr>
          <w:rFonts w:eastAsia="Calibri" w:cs="Times New Roman"/>
          <w:color w:val="000000"/>
          <w:szCs w:val="20"/>
        </w:rPr>
        <w:t xml:space="preserve"> NETTER-1</w:t>
      </w:r>
      <w:r>
        <w:rPr>
          <w:rFonts w:eastAsia="Calibri" w:cs="Times New Roman"/>
          <w:color w:val="000000"/>
          <w:szCs w:val="20"/>
        </w:rPr>
        <w:t>)</w:t>
      </w:r>
    </w:p>
    <w:p w14:paraId="4E234A66" w14:textId="77777777" w:rsidR="000B228E" w:rsidRPr="00994611" w:rsidRDefault="000B228E" w:rsidP="00C561D7">
      <w:pPr>
        <w:pStyle w:val="ListParagraph"/>
        <w:numPr>
          <w:ilvl w:val="0"/>
          <w:numId w:val="28"/>
        </w:numPr>
        <w:spacing w:before="0" w:after="240" w:line="240" w:lineRule="auto"/>
        <w:rPr>
          <w:rFonts w:eastAsia="Calibri" w:cs="Times New Roman"/>
          <w:color w:val="000000"/>
          <w:szCs w:val="20"/>
        </w:rPr>
      </w:pPr>
      <w:r>
        <w:rPr>
          <w:rFonts w:eastAsia="Calibri" w:cs="Times New Roman"/>
          <w:color w:val="000000"/>
          <w:szCs w:val="20"/>
        </w:rPr>
        <w:t xml:space="preserve">as already discussed above, the therapies in the trials were only for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(meaning that</w:t>
      </w:r>
      <w:r w:rsidRPr="000F7FD2">
        <w:t xml:space="preserve"> </w:t>
      </w:r>
      <w:r w:rsidRPr="000F7FD2">
        <w:rPr>
          <w:rFonts w:eastAsia="Calibri" w:cs="Times New Roman"/>
          <w:color w:val="000000"/>
          <w:szCs w:val="20"/>
        </w:rPr>
        <w:t xml:space="preserve">for assessment purposes, </w:t>
      </w:r>
      <w:r>
        <w:rPr>
          <w:rFonts w:eastAsia="Calibri" w:cs="Times New Roman"/>
          <w:color w:val="000000"/>
          <w:szCs w:val="20"/>
        </w:rPr>
        <w:t>non-inferiority</w:t>
      </w:r>
      <w:r w:rsidRPr="000F7FD2">
        <w:rPr>
          <w:rFonts w:eastAsia="Calibri" w:cs="Times New Roman"/>
          <w:color w:val="000000"/>
          <w:szCs w:val="20"/>
        </w:rPr>
        <w:t xml:space="preserve"> between</w:t>
      </w:r>
      <w:r>
        <w:rPr>
          <w:rFonts w:eastAsia="Calibri" w:cs="Times New Roman"/>
          <w:color w:val="000000"/>
          <w:szCs w:val="20"/>
        </w:rPr>
        <w:t xml:space="preserve">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and </w:t>
      </w:r>
      <w:r w:rsidRPr="00D934CD">
        <w:rPr>
          <w:rFonts w:eastAsia="Calibri" w:cs="Times New Roman"/>
          <w:color w:val="000000"/>
          <w:szCs w:val="20"/>
          <w:vertAlign w:val="superscript"/>
        </w:rPr>
        <w:t>177</w:t>
      </w:r>
      <w:r w:rsidRPr="00D934CD">
        <w:rPr>
          <w:rFonts w:eastAsia="Calibri" w:cs="Times New Roman"/>
          <w:color w:val="000000"/>
          <w:szCs w:val="20"/>
        </w:rPr>
        <w:t>Lu(</w:t>
      </w:r>
      <w:proofErr w:type="spellStart"/>
      <w:r>
        <w:rPr>
          <w:rFonts w:eastAsia="Calibri" w:cs="Times New Roman"/>
          <w:color w:val="000000"/>
          <w:szCs w:val="20"/>
        </w:rPr>
        <w:t>n</w:t>
      </w:r>
      <w:r w:rsidRPr="00D934CD">
        <w:rPr>
          <w:rFonts w:eastAsia="Calibri" w:cs="Times New Roman"/>
          <w:color w:val="000000"/>
          <w:szCs w:val="20"/>
        </w:rPr>
        <w:t>ca</w:t>
      </w:r>
      <w:proofErr w:type="spellEnd"/>
      <w:r w:rsidRPr="00D934CD">
        <w:rPr>
          <w:rFonts w:eastAsia="Calibri" w:cs="Times New Roman"/>
          <w:color w:val="000000"/>
          <w:szCs w:val="20"/>
        </w:rPr>
        <w:t>)-DOTA-</w:t>
      </w:r>
      <w:proofErr w:type="spellStart"/>
      <w:r w:rsidRPr="00D934CD">
        <w:rPr>
          <w:rFonts w:eastAsia="Calibri" w:cs="Times New Roman"/>
          <w:color w:val="000000"/>
          <w:szCs w:val="20"/>
        </w:rPr>
        <w:t>octreotate</w:t>
      </w:r>
      <w:proofErr w:type="spellEnd"/>
      <w:r>
        <w:rPr>
          <w:rFonts w:eastAsia="Calibri" w:cs="Times New Roman"/>
          <w:color w:val="000000"/>
          <w:szCs w:val="20"/>
        </w:rPr>
        <w:t xml:space="preserve"> was assumed). </w:t>
      </w:r>
    </w:p>
    <w:p w14:paraId="3AEA0891" w14:textId="77777777"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ESC also noted the following uncertainties related to the network meta-analysis (NMA):</w:t>
      </w:r>
    </w:p>
    <w:p w14:paraId="3F577087"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t>Only 1 or 2 trials were available to inform each pairwise connection in the network for the assessment of comparative efficacy which introduces statistical imprecision due to results being underpowered</w:t>
      </w:r>
    </w:p>
    <w:p w14:paraId="1884BA52"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sidRPr="001F05B7">
        <w:rPr>
          <w:rFonts w:eastAsia="Calibri" w:cs="Times New Roman"/>
          <w:color w:val="000000"/>
          <w:szCs w:val="20"/>
        </w:rPr>
        <w:t xml:space="preserve">NMA relies on </w:t>
      </w:r>
      <w:r>
        <w:rPr>
          <w:rFonts w:eastAsia="Calibri" w:cs="Times New Roman"/>
          <w:color w:val="000000"/>
          <w:szCs w:val="20"/>
        </w:rPr>
        <w:t xml:space="preserve">the </w:t>
      </w:r>
      <w:r w:rsidRPr="001F05B7">
        <w:rPr>
          <w:rFonts w:eastAsia="Calibri" w:cs="Times New Roman"/>
          <w:color w:val="000000"/>
          <w:szCs w:val="20"/>
        </w:rPr>
        <w:t>key assumption</w:t>
      </w:r>
      <w:r>
        <w:rPr>
          <w:rFonts w:eastAsia="Calibri" w:cs="Times New Roman"/>
          <w:color w:val="000000"/>
          <w:szCs w:val="20"/>
        </w:rPr>
        <w:t>s</w:t>
      </w:r>
      <w:r w:rsidRPr="001F05B7">
        <w:rPr>
          <w:rFonts w:eastAsia="Calibri" w:cs="Times New Roman"/>
          <w:color w:val="000000"/>
          <w:szCs w:val="20"/>
        </w:rPr>
        <w:t xml:space="preserve"> of similarity and transitivity and consistency of results</w:t>
      </w:r>
    </w:p>
    <w:p w14:paraId="36EC9602"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Pr>
          <w:rFonts w:eastAsia="Calibri" w:cs="Times New Roman"/>
          <w:color w:val="000000"/>
          <w:szCs w:val="20"/>
        </w:rPr>
        <w:lastRenderedPageBreak/>
        <w:t>The NENs discussed in the trials comprising the NMA had different origins (</w:t>
      </w:r>
      <w:r w:rsidRPr="00BF6342">
        <w:rPr>
          <w:rFonts w:eastAsia="Calibri" w:cs="Times New Roman"/>
          <w:color w:val="000000"/>
          <w:szCs w:val="20"/>
        </w:rPr>
        <w:t xml:space="preserve">11/14 were pancreatic or GI; </w:t>
      </w:r>
      <w:r>
        <w:rPr>
          <w:rFonts w:eastAsia="Calibri" w:cs="Times New Roman"/>
          <w:color w:val="000000"/>
          <w:szCs w:val="20"/>
        </w:rPr>
        <w:t xml:space="preserve">the </w:t>
      </w:r>
      <w:r w:rsidRPr="00BF6342">
        <w:rPr>
          <w:rFonts w:eastAsia="Calibri" w:cs="Times New Roman"/>
          <w:color w:val="000000"/>
          <w:szCs w:val="20"/>
        </w:rPr>
        <w:t>sensitivity analys</w:t>
      </w:r>
      <w:r>
        <w:rPr>
          <w:rFonts w:eastAsia="Calibri" w:cs="Times New Roman"/>
          <w:color w:val="000000"/>
          <w:szCs w:val="20"/>
        </w:rPr>
        <w:t>es</w:t>
      </w:r>
      <w:r w:rsidRPr="00BF6342">
        <w:rPr>
          <w:rFonts w:eastAsia="Calibri" w:cs="Times New Roman"/>
          <w:color w:val="000000"/>
          <w:szCs w:val="20"/>
        </w:rPr>
        <w:t xml:space="preserve"> excl</w:t>
      </w:r>
      <w:r>
        <w:rPr>
          <w:rFonts w:eastAsia="Calibri" w:cs="Times New Roman"/>
          <w:color w:val="000000"/>
          <w:szCs w:val="20"/>
        </w:rPr>
        <w:t>uded cancers originating in the lung)</w:t>
      </w:r>
    </w:p>
    <w:p w14:paraId="2D43A9BD"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sidRPr="004C71D9">
        <w:rPr>
          <w:rFonts w:eastAsia="Calibri" w:cs="Times New Roman"/>
          <w:color w:val="000000"/>
          <w:szCs w:val="20"/>
        </w:rPr>
        <w:t xml:space="preserve">Not all </w:t>
      </w:r>
      <w:r>
        <w:rPr>
          <w:rFonts w:eastAsia="Calibri" w:cs="Times New Roman"/>
          <w:color w:val="000000"/>
          <w:szCs w:val="20"/>
        </w:rPr>
        <w:t xml:space="preserve">the trials </w:t>
      </w:r>
      <w:r w:rsidRPr="004C71D9">
        <w:rPr>
          <w:rFonts w:eastAsia="Calibri" w:cs="Times New Roman"/>
          <w:color w:val="000000"/>
          <w:szCs w:val="20"/>
        </w:rPr>
        <w:t>required SSTRs on target lesions</w:t>
      </w:r>
    </w:p>
    <w:p w14:paraId="17D3776D" w14:textId="77777777" w:rsidR="000B228E" w:rsidRDefault="000B228E" w:rsidP="00C561D7">
      <w:pPr>
        <w:pStyle w:val="ListParagraph"/>
        <w:numPr>
          <w:ilvl w:val="0"/>
          <w:numId w:val="28"/>
        </w:numPr>
        <w:spacing w:before="0" w:after="240" w:line="240" w:lineRule="auto"/>
        <w:rPr>
          <w:rFonts w:eastAsia="Calibri" w:cs="Times New Roman"/>
          <w:color w:val="000000"/>
          <w:szCs w:val="20"/>
        </w:rPr>
      </w:pPr>
      <w:r>
        <w:rPr>
          <w:rFonts w:eastAsia="Calibri" w:cs="Times New Roman"/>
          <w:color w:val="000000"/>
          <w:szCs w:val="20"/>
        </w:rPr>
        <w:t>The interventions being studied were used in d</w:t>
      </w:r>
      <w:r w:rsidRPr="00B96643">
        <w:rPr>
          <w:rFonts w:eastAsia="Calibri" w:cs="Times New Roman"/>
          <w:color w:val="000000"/>
          <w:szCs w:val="20"/>
        </w:rPr>
        <w:t xml:space="preserve">ifferent lines of treatment and </w:t>
      </w:r>
      <w:r>
        <w:rPr>
          <w:rFonts w:eastAsia="Calibri" w:cs="Times New Roman"/>
          <w:color w:val="000000"/>
          <w:szCs w:val="20"/>
        </w:rPr>
        <w:t xml:space="preserve">in differing </w:t>
      </w:r>
      <w:r w:rsidRPr="00B96643">
        <w:rPr>
          <w:rFonts w:eastAsia="Calibri" w:cs="Times New Roman"/>
          <w:color w:val="000000"/>
          <w:szCs w:val="20"/>
        </w:rPr>
        <w:t>doses</w:t>
      </w:r>
      <w:r>
        <w:rPr>
          <w:rFonts w:eastAsia="Calibri" w:cs="Times New Roman"/>
          <w:color w:val="000000"/>
          <w:szCs w:val="20"/>
        </w:rPr>
        <w:t xml:space="preserve"> across </w:t>
      </w:r>
      <w:proofErr w:type="gramStart"/>
      <w:r>
        <w:rPr>
          <w:rFonts w:eastAsia="Calibri" w:cs="Times New Roman"/>
          <w:color w:val="000000"/>
          <w:szCs w:val="20"/>
        </w:rPr>
        <w:t>trials</w:t>
      </w:r>
      <w:proofErr w:type="gramEnd"/>
      <w:r>
        <w:rPr>
          <w:rFonts w:eastAsia="Calibri" w:cs="Times New Roman"/>
          <w:color w:val="000000"/>
          <w:szCs w:val="20"/>
        </w:rPr>
        <w:t xml:space="preserve"> but these were assumed to be similar for the purpose of the NMA</w:t>
      </w:r>
    </w:p>
    <w:p w14:paraId="26995A2E" w14:textId="77777777" w:rsidR="000B228E" w:rsidRPr="00D934CD" w:rsidRDefault="000B228E" w:rsidP="00C561D7">
      <w:pPr>
        <w:pStyle w:val="ListParagraph"/>
        <w:numPr>
          <w:ilvl w:val="0"/>
          <w:numId w:val="28"/>
        </w:numPr>
        <w:spacing w:before="0" w:after="240" w:line="240" w:lineRule="auto"/>
      </w:pPr>
      <w:r>
        <w:rPr>
          <w:rFonts w:eastAsia="Calibri" w:cs="Times New Roman"/>
          <w:color w:val="000000"/>
          <w:szCs w:val="20"/>
        </w:rPr>
        <w:t>There will be biases associated with the individual studies with the direction and magnitude of the bias unknown.</w:t>
      </w:r>
    </w:p>
    <w:p w14:paraId="6425586C" w14:textId="77777777" w:rsidR="000B228E" w:rsidRDefault="000B228E" w:rsidP="000B228E">
      <w:pPr>
        <w:spacing w:before="0" w:after="240" w:line="240" w:lineRule="auto"/>
        <w:rPr>
          <w:rFonts w:eastAsia="Calibri" w:cs="Times New Roman"/>
          <w:color w:val="000000"/>
          <w:szCs w:val="20"/>
        </w:rPr>
      </w:pPr>
      <w:r>
        <w:t xml:space="preserve">ESC noted that based on the NMA, </w:t>
      </w:r>
      <w:r w:rsidRPr="001345FE">
        <w:rPr>
          <w:vertAlign w:val="superscript"/>
        </w:rPr>
        <w:t>177</w:t>
      </w:r>
      <w:r w:rsidRPr="001345FE">
        <w:t>Lu-DOTATATE</w:t>
      </w:r>
      <w:r w:rsidRPr="00050981">
        <w:t xml:space="preserve"> </w:t>
      </w:r>
      <w:r w:rsidRPr="00D0475F">
        <w:t xml:space="preserve">was associated with statistically significant improvements in PFS </w:t>
      </w:r>
      <w:r>
        <w:t>over</w:t>
      </w:r>
      <w:r w:rsidRPr="00D0475F">
        <w:t xml:space="preserve"> all examined comparators</w:t>
      </w:r>
      <w:r>
        <w:t xml:space="preserve">. </w:t>
      </w:r>
      <w:r>
        <w:rPr>
          <w:rFonts w:eastAsia="Calibri" w:cs="Times New Roman"/>
          <w:color w:val="000000"/>
          <w:szCs w:val="20"/>
        </w:rPr>
        <w:t xml:space="preserve">ESC noted that when </w:t>
      </w:r>
      <w:r w:rsidRPr="00D934CD">
        <w:rPr>
          <w:rFonts w:eastAsia="Calibri" w:cs="Times New Roman"/>
          <w:color w:val="000000"/>
          <w:szCs w:val="20"/>
          <w:vertAlign w:val="superscript"/>
        </w:rPr>
        <w:t>177</w:t>
      </w:r>
      <w:r w:rsidRPr="00D934CD">
        <w:rPr>
          <w:rFonts w:eastAsia="Calibri" w:cs="Times New Roman"/>
          <w:color w:val="000000"/>
          <w:szCs w:val="20"/>
        </w:rPr>
        <w:t xml:space="preserve">Lu-DOTATATE </w:t>
      </w:r>
      <w:r>
        <w:rPr>
          <w:rFonts w:eastAsia="Calibri" w:cs="Times New Roman"/>
          <w:color w:val="000000"/>
          <w:szCs w:val="20"/>
        </w:rPr>
        <w:t xml:space="preserve">is </w:t>
      </w:r>
      <w:r w:rsidRPr="000C6079">
        <w:rPr>
          <w:rFonts w:eastAsia="Calibri" w:cs="Times New Roman"/>
          <w:color w:val="000000"/>
          <w:szCs w:val="20"/>
        </w:rPr>
        <w:t xml:space="preserve">compared against </w:t>
      </w:r>
      <w:r>
        <w:rPr>
          <w:rFonts w:eastAsia="Calibri" w:cs="Times New Roman"/>
          <w:color w:val="000000"/>
          <w:szCs w:val="20"/>
        </w:rPr>
        <w:t xml:space="preserve">all </w:t>
      </w:r>
      <w:r w:rsidRPr="000C6079">
        <w:rPr>
          <w:rFonts w:eastAsia="Calibri" w:cs="Times New Roman"/>
          <w:color w:val="000000"/>
          <w:szCs w:val="20"/>
        </w:rPr>
        <w:t>5 comparators</w:t>
      </w:r>
      <w:r>
        <w:rPr>
          <w:rFonts w:eastAsia="Calibri" w:cs="Times New Roman"/>
          <w:color w:val="000000"/>
          <w:szCs w:val="20"/>
        </w:rPr>
        <w:t xml:space="preserve"> on the outcome of OS</w:t>
      </w:r>
      <w:r w:rsidRPr="000C6079">
        <w:rPr>
          <w:rFonts w:eastAsia="Calibri" w:cs="Times New Roman"/>
          <w:color w:val="000000"/>
          <w:szCs w:val="20"/>
        </w:rPr>
        <w:t xml:space="preserve"> </w:t>
      </w:r>
      <w:r>
        <w:rPr>
          <w:rFonts w:eastAsia="Calibri" w:cs="Times New Roman"/>
          <w:color w:val="000000"/>
          <w:szCs w:val="20"/>
        </w:rPr>
        <w:t>only</w:t>
      </w:r>
      <w:r w:rsidRPr="000C6079">
        <w:rPr>
          <w:rFonts w:eastAsia="Calibri" w:cs="Times New Roman"/>
          <w:color w:val="000000"/>
          <w:szCs w:val="20"/>
        </w:rPr>
        <w:t xml:space="preserve"> non</w:t>
      </w:r>
      <w:r>
        <w:rPr>
          <w:rFonts w:eastAsia="Calibri" w:cs="Times New Roman"/>
          <w:color w:val="000000"/>
          <w:szCs w:val="20"/>
        </w:rPr>
        <w:t>-</w:t>
      </w:r>
      <w:r w:rsidRPr="000C6079">
        <w:rPr>
          <w:rFonts w:eastAsia="Calibri" w:cs="Times New Roman"/>
          <w:color w:val="000000"/>
          <w:szCs w:val="20"/>
        </w:rPr>
        <w:t xml:space="preserve">significant improvement </w:t>
      </w:r>
      <w:r>
        <w:rPr>
          <w:rFonts w:eastAsia="Calibri" w:cs="Times New Roman"/>
          <w:color w:val="000000"/>
          <w:szCs w:val="20"/>
        </w:rPr>
        <w:t xml:space="preserve">was identified for four of these comparators (while </w:t>
      </w:r>
      <w:r w:rsidRPr="000C6079">
        <w:rPr>
          <w:rFonts w:eastAsia="Calibri" w:cs="Times New Roman"/>
          <w:color w:val="000000"/>
          <w:szCs w:val="20"/>
        </w:rPr>
        <w:t xml:space="preserve">sunitinib </w:t>
      </w:r>
      <w:r>
        <w:rPr>
          <w:rFonts w:eastAsia="Calibri" w:cs="Times New Roman"/>
          <w:color w:val="000000"/>
          <w:szCs w:val="20"/>
        </w:rPr>
        <w:t>was</w:t>
      </w:r>
      <w:r w:rsidRPr="000C6079">
        <w:rPr>
          <w:rFonts w:eastAsia="Calibri" w:cs="Times New Roman"/>
          <w:color w:val="000000"/>
          <w:szCs w:val="20"/>
        </w:rPr>
        <w:t xml:space="preserve"> superior to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While the DCAR interpreted this finding as indicating that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was at least non-inferior to sunitinib (as the difference was non-significant), ESC considered that it may be more appropriate to interpret these results with caution, as there was no evidence of comparable effectiveness between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and sunitinib, at least on OS. In addition, there was inconsistency between OS and PFS results across comparators (e.g. sunitinib was ranked as most likely to be best for OS compared with fourth best for PFS).  ESC considered this may reflect the transitivity and potential biases associated with the indirect treatment comparisons.</w:t>
      </w:r>
    </w:p>
    <w:p w14:paraId="07BE0C8B" w14:textId="496DEA53"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While a</w:t>
      </w:r>
      <w:r w:rsidRPr="007E2C25">
        <w:rPr>
          <w:rFonts w:eastAsia="Calibri" w:cs="Times New Roman"/>
          <w:color w:val="000000"/>
          <w:szCs w:val="20"/>
        </w:rPr>
        <w:t>cknowledg</w:t>
      </w:r>
      <w:r>
        <w:rPr>
          <w:rFonts w:eastAsia="Calibri" w:cs="Times New Roman"/>
          <w:color w:val="000000"/>
          <w:szCs w:val="20"/>
        </w:rPr>
        <w:t>ing</w:t>
      </w:r>
      <w:r w:rsidRPr="007E2C25">
        <w:rPr>
          <w:rFonts w:eastAsia="Calibri" w:cs="Times New Roman"/>
          <w:color w:val="000000"/>
          <w:szCs w:val="20"/>
        </w:rPr>
        <w:t xml:space="preserve"> the context of high clinical need and </w:t>
      </w:r>
      <w:r>
        <w:rPr>
          <w:rFonts w:eastAsia="Calibri" w:cs="Times New Roman"/>
          <w:color w:val="000000"/>
          <w:szCs w:val="20"/>
        </w:rPr>
        <w:t xml:space="preserve">that </w:t>
      </w:r>
      <w:r w:rsidRPr="007E2C25">
        <w:rPr>
          <w:rFonts w:eastAsia="Calibri" w:cs="Times New Roman"/>
          <w:color w:val="000000"/>
          <w:szCs w:val="20"/>
        </w:rPr>
        <w:t xml:space="preserve">current practice already includes both the </w:t>
      </w:r>
      <w:r>
        <w:rPr>
          <w:rFonts w:eastAsia="Calibri" w:cs="Times New Roman"/>
          <w:color w:val="000000"/>
          <w:szCs w:val="20"/>
        </w:rPr>
        <w:t xml:space="preserve">proposed </w:t>
      </w:r>
      <w:r w:rsidRPr="007E2C25">
        <w:rPr>
          <w:rFonts w:eastAsia="Calibri" w:cs="Times New Roman"/>
          <w:color w:val="000000"/>
          <w:szCs w:val="20"/>
        </w:rPr>
        <w:t>test</w:t>
      </w:r>
      <w:r>
        <w:rPr>
          <w:rFonts w:eastAsia="Calibri" w:cs="Times New Roman"/>
          <w:color w:val="000000"/>
          <w:szCs w:val="20"/>
        </w:rPr>
        <w:t>s</w:t>
      </w:r>
      <w:r w:rsidRPr="007E2C25">
        <w:rPr>
          <w:rFonts w:eastAsia="Calibri" w:cs="Times New Roman"/>
          <w:color w:val="000000"/>
          <w:szCs w:val="20"/>
        </w:rPr>
        <w:t xml:space="preserve"> and the intervention</w:t>
      </w:r>
      <w:r>
        <w:rPr>
          <w:rFonts w:eastAsia="Calibri" w:cs="Times New Roman"/>
          <w:color w:val="000000"/>
          <w:szCs w:val="20"/>
        </w:rPr>
        <w:t xml:space="preserve">, ESC considered that the indirect </w:t>
      </w:r>
      <w:r w:rsidRPr="00472D80">
        <w:rPr>
          <w:rFonts w:eastAsia="Calibri" w:cs="Times New Roman"/>
          <w:color w:val="000000"/>
          <w:szCs w:val="20"/>
        </w:rPr>
        <w:t>evidence</w:t>
      </w:r>
      <w:r>
        <w:rPr>
          <w:rFonts w:eastAsia="Calibri" w:cs="Times New Roman"/>
          <w:color w:val="000000"/>
          <w:szCs w:val="20"/>
        </w:rPr>
        <w:t xml:space="preserve"> from the NMA</w:t>
      </w:r>
      <w:r w:rsidRPr="00472D80">
        <w:rPr>
          <w:rFonts w:eastAsia="Calibri" w:cs="Times New Roman"/>
          <w:color w:val="000000"/>
          <w:szCs w:val="20"/>
        </w:rPr>
        <w:t xml:space="preserve"> </w:t>
      </w:r>
      <w:r>
        <w:rPr>
          <w:rFonts w:eastAsia="Calibri" w:cs="Times New Roman"/>
          <w:color w:val="000000"/>
          <w:szCs w:val="20"/>
        </w:rPr>
        <w:t xml:space="preserve">provided to support </w:t>
      </w:r>
      <w:r w:rsidRPr="00472D80">
        <w:rPr>
          <w:rFonts w:eastAsia="Calibri" w:cs="Times New Roman"/>
          <w:color w:val="000000"/>
          <w:szCs w:val="20"/>
        </w:rPr>
        <w:t xml:space="preserve">improvement in </w:t>
      </w:r>
      <w:r>
        <w:rPr>
          <w:rFonts w:eastAsia="Calibri" w:cs="Times New Roman"/>
          <w:color w:val="000000"/>
          <w:szCs w:val="20"/>
        </w:rPr>
        <w:t>progression free survival (</w:t>
      </w:r>
      <w:r w:rsidRPr="00472D80">
        <w:rPr>
          <w:rFonts w:eastAsia="Calibri" w:cs="Times New Roman"/>
          <w:color w:val="000000"/>
          <w:szCs w:val="20"/>
        </w:rPr>
        <w:t>PFS</w:t>
      </w:r>
      <w:r>
        <w:rPr>
          <w:rFonts w:eastAsia="Calibri" w:cs="Times New Roman"/>
          <w:color w:val="000000"/>
          <w:szCs w:val="20"/>
        </w:rPr>
        <w:t>) was weak</w:t>
      </w:r>
      <w:r w:rsidRPr="00472D80">
        <w:rPr>
          <w:rFonts w:eastAsia="Calibri" w:cs="Times New Roman"/>
          <w:color w:val="000000"/>
          <w:szCs w:val="20"/>
        </w:rPr>
        <w:t>,</w:t>
      </w:r>
      <w:r>
        <w:rPr>
          <w:rFonts w:eastAsia="Calibri" w:cs="Times New Roman"/>
          <w:color w:val="000000"/>
          <w:szCs w:val="20"/>
        </w:rPr>
        <w:t xml:space="preserve"> there was</w:t>
      </w:r>
      <w:r w:rsidRPr="00472D80">
        <w:rPr>
          <w:rFonts w:eastAsia="Calibri" w:cs="Times New Roman"/>
          <w:color w:val="000000"/>
          <w:szCs w:val="20"/>
        </w:rPr>
        <w:t xml:space="preserve"> no evidence of change in overall survival and extensive assumptions </w:t>
      </w:r>
      <w:r>
        <w:rPr>
          <w:rFonts w:eastAsia="Calibri" w:cs="Times New Roman"/>
          <w:color w:val="000000"/>
          <w:szCs w:val="20"/>
        </w:rPr>
        <w:t xml:space="preserve">were </w:t>
      </w:r>
      <w:r w:rsidRPr="00472D80">
        <w:rPr>
          <w:rFonts w:eastAsia="Calibri" w:cs="Times New Roman"/>
          <w:color w:val="000000"/>
          <w:szCs w:val="20"/>
        </w:rPr>
        <w:t xml:space="preserve">made at each step of the </w:t>
      </w:r>
      <w:r>
        <w:rPr>
          <w:rFonts w:eastAsia="Calibri" w:cs="Times New Roman"/>
          <w:color w:val="000000"/>
          <w:szCs w:val="20"/>
        </w:rPr>
        <w:t xml:space="preserve">clinical </w:t>
      </w:r>
      <w:r w:rsidRPr="00472D80">
        <w:rPr>
          <w:rFonts w:eastAsia="Calibri" w:cs="Times New Roman"/>
          <w:color w:val="000000"/>
          <w:szCs w:val="20"/>
        </w:rPr>
        <w:t>assessment phase due to lack of evidence.</w:t>
      </w:r>
      <w:r>
        <w:rPr>
          <w:rFonts w:eastAsia="Calibri" w:cs="Times New Roman"/>
          <w:color w:val="000000"/>
          <w:szCs w:val="20"/>
        </w:rPr>
        <w:t xml:space="preserve"> </w:t>
      </w:r>
      <w:r w:rsidRPr="00D934CD">
        <w:rPr>
          <w:rFonts w:eastAsia="Calibri" w:cs="Times New Roman"/>
          <w:color w:val="000000"/>
          <w:szCs w:val="20"/>
          <w:vertAlign w:val="superscript"/>
        </w:rPr>
        <w:t>177</w:t>
      </w:r>
      <w:r w:rsidRPr="00D934CD">
        <w:rPr>
          <w:rFonts w:eastAsia="Calibri" w:cs="Times New Roman"/>
          <w:color w:val="000000"/>
          <w:szCs w:val="20"/>
        </w:rPr>
        <w:t>Lu-DOTATATE</w:t>
      </w:r>
      <w:r>
        <w:rPr>
          <w:rFonts w:eastAsia="Calibri" w:cs="Times New Roman"/>
          <w:color w:val="000000"/>
          <w:szCs w:val="20"/>
        </w:rPr>
        <w:t xml:space="preserve"> ESC considered that there was a clear need for further RCT based evidence. </w:t>
      </w:r>
      <w:proofErr w:type="gramStart"/>
      <w:r>
        <w:rPr>
          <w:rFonts w:eastAsia="Calibri" w:cs="Times New Roman"/>
          <w:color w:val="000000"/>
          <w:szCs w:val="20"/>
        </w:rPr>
        <w:t>However</w:t>
      </w:r>
      <w:proofErr w:type="gramEnd"/>
      <w:r w:rsidRPr="006207E1">
        <w:t xml:space="preserve"> </w:t>
      </w:r>
      <w:r>
        <w:rPr>
          <w:rFonts w:eastAsia="Calibri" w:cs="Times New Roman"/>
          <w:color w:val="000000"/>
          <w:szCs w:val="20"/>
        </w:rPr>
        <w:t>w</w:t>
      </w:r>
      <w:r w:rsidRPr="006207E1">
        <w:rPr>
          <w:rFonts w:eastAsia="Calibri" w:cs="Times New Roman"/>
          <w:color w:val="000000"/>
          <w:szCs w:val="20"/>
        </w:rPr>
        <w:t>hilst clinical trials are underway, results will not be available for some years to</w:t>
      </w:r>
      <w:r>
        <w:rPr>
          <w:rFonts w:eastAsia="Calibri" w:cs="Times New Roman"/>
          <w:color w:val="000000"/>
          <w:szCs w:val="20"/>
        </w:rPr>
        <w:t xml:space="preserve"> come.</w:t>
      </w:r>
    </w:p>
    <w:p w14:paraId="20F3D3CA" w14:textId="77777777" w:rsidR="000B228E" w:rsidRDefault="000B228E" w:rsidP="000B228E">
      <w:pPr>
        <w:spacing w:before="0" w:after="240" w:line="240" w:lineRule="auto"/>
        <w:rPr>
          <w:rFonts w:eastAsia="Calibri" w:cs="Times New Roman"/>
          <w:color w:val="000000"/>
          <w:szCs w:val="20"/>
        </w:rPr>
      </w:pPr>
      <w:r>
        <w:rPr>
          <w:rFonts w:eastAsia="Calibri" w:cs="Times New Roman"/>
          <w:color w:val="000000"/>
          <w:szCs w:val="20"/>
        </w:rPr>
        <w:t xml:space="preserve">In addition, ESC considered that due to the high uncertainty in the indirect NMA results that the direct evidence for comparative efficacy from the NETTER-1 and OCULRANDOM were likely most informative for decision making (see </w:t>
      </w:r>
      <w:r>
        <w:rPr>
          <w:rFonts w:eastAsia="Calibri" w:cs="Times New Roman"/>
          <w:color w:val="000000"/>
          <w:szCs w:val="20"/>
        </w:rPr>
        <w:fldChar w:fldCharType="begin"/>
      </w:r>
      <w:r>
        <w:rPr>
          <w:rFonts w:eastAsia="Calibri" w:cs="Times New Roman"/>
          <w:color w:val="000000"/>
          <w:szCs w:val="20"/>
        </w:rPr>
        <w:instrText xml:space="preserve"> REF _Ref170324519 \h </w:instrText>
      </w:r>
      <w:r>
        <w:rPr>
          <w:rFonts w:eastAsia="Calibri" w:cs="Times New Roman"/>
          <w:color w:val="000000"/>
          <w:szCs w:val="20"/>
        </w:rPr>
      </w:r>
      <w:r>
        <w:rPr>
          <w:rFonts w:eastAsia="Calibri" w:cs="Times New Roman"/>
          <w:color w:val="000000"/>
          <w:szCs w:val="20"/>
        </w:rPr>
        <w:fldChar w:fldCharType="separate"/>
      </w:r>
      <w:r>
        <w:t xml:space="preserve">Direct evidence: </w:t>
      </w:r>
      <w:r w:rsidRPr="00C905BB">
        <w:rPr>
          <w:vertAlign w:val="superscript"/>
        </w:rPr>
        <w:t>177</w:t>
      </w:r>
      <w:r w:rsidRPr="00961C59">
        <w:t>Lu</w:t>
      </w:r>
      <w:r>
        <w:t>-DOTATATE trials</w:t>
      </w:r>
      <w:r>
        <w:rPr>
          <w:rFonts w:eastAsia="Calibri" w:cs="Times New Roman"/>
          <w:color w:val="000000"/>
          <w:szCs w:val="20"/>
        </w:rPr>
        <w:fldChar w:fldCharType="end"/>
      </w:r>
      <w:r>
        <w:rPr>
          <w:rFonts w:eastAsia="Calibri" w:cs="Times New Roman"/>
          <w:color w:val="000000"/>
          <w:szCs w:val="20"/>
        </w:rPr>
        <w:t xml:space="preserve"> in Section 9 of this document).</w:t>
      </w:r>
    </w:p>
    <w:p w14:paraId="4510B510" w14:textId="529D06A1" w:rsidR="000B228E" w:rsidRDefault="000B228E" w:rsidP="000B228E">
      <w:pPr>
        <w:spacing w:before="0" w:after="240" w:line="240" w:lineRule="auto"/>
        <w:rPr>
          <w:rFonts w:eastAsia="Times New Roman" w:cs="Times New Roman"/>
          <w:color w:val="000000"/>
          <w:szCs w:val="20"/>
          <w:lang w:eastAsia="en-AU"/>
        </w:rPr>
      </w:pPr>
      <w:r>
        <w:rPr>
          <w:rFonts w:eastAsia="Calibri" w:cs="Times New Roman"/>
          <w:color w:val="000000"/>
          <w:szCs w:val="20"/>
        </w:rPr>
        <w:t>Overall, ESC considered that there was limited direct evidence to support the claim that</w:t>
      </w:r>
      <w:r w:rsidRPr="00C905BB">
        <w:rPr>
          <w:vertAlign w:val="superscript"/>
        </w:rPr>
        <w:t>177</w:t>
      </w:r>
      <w:r w:rsidRPr="00961C59">
        <w:t>Lu</w:t>
      </w:r>
      <w:r>
        <w:t>-DOTATATE (</w:t>
      </w:r>
      <w:r>
        <w:rPr>
          <w:rFonts w:eastAsia="Calibri" w:cs="Times New Roman"/>
          <w:color w:val="000000"/>
          <w:szCs w:val="20"/>
        </w:rPr>
        <w:t>and thus</w:t>
      </w:r>
      <w:r>
        <w:rPr>
          <w:rFonts w:eastAsia="Times New Roman" w:cs="Times New Roman"/>
          <w:color w:val="000000"/>
          <w:szCs w:val="20"/>
          <w:lang w:eastAsia="en-AU"/>
        </w:rPr>
        <w:t xml:space="preserve"> </w:t>
      </w:r>
      <w:r w:rsidRPr="00A87EEF">
        <w:rPr>
          <w:rFonts w:eastAsia="Times New Roman" w:cs="Times New Roman"/>
          <w:color w:val="000000"/>
          <w:szCs w:val="20"/>
          <w:vertAlign w:val="superscript"/>
          <w:lang w:eastAsia="en-AU"/>
        </w:rPr>
        <w:t>177</w:t>
      </w:r>
      <w:r w:rsidRPr="00F01F46">
        <w:rPr>
          <w:rFonts w:eastAsia="Times New Roman" w:cs="Times New Roman"/>
          <w:color w:val="000000"/>
          <w:szCs w:val="20"/>
          <w:lang w:eastAsia="en-AU"/>
        </w:rPr>
        <w:t>Lu-DOTA-octreotate</w:t>
      </w:r>
      <w:r>
        <w:rPr>
          <w:rFonts w:eastAsia="Times New Roman" w:cs="Times New Roman"/>
          <w:color w:val="000000"/>
          <w:szCs w:val="20"/>
          <w:lang w:eastAsia="en-AU"/>
        </w:rPr>
        <w:t xml:space="preserve"> based on assumed </w:t>
      </w:r>
      <w:r w:rsidR="004A7E51">
        <w:rPr>
          <w:rFonts w:eastAsia="Times New Roman" w:cs="Times New Roman"/>
          <w:color w:val="000000"/>
          <w:szCs w:val="20"/>
          <w:lang w:eastAsia="en-AU"/>
        </w:rPr>
        <w:t>non-inferior</w:t>
      </w:r>
      <w:r>
        <w:rPr>
          <w:rFonts w:eastAsia="Times New Roman" w:cs="Times New Roman"/>
          <w:color w:val="000000"/>
          <w:szCs w:val="20"/>
          <w:lang w:eastAsia="en-AU"/>
        </w:rPr>
        <w:t xml:space="preserve">ity between the two products) </w:t>
      </w:r>
      <w:r>
        <w:t>had</w:t>
      </w:r>
      <w:r>
        <w:rPr>
          <w:rFonts w:eastAsia="Calibri" w:cs="Times New Roman"/>
          <w:color w:val="000000"/>
          <w:szCs w:val="20"/>
        </w:rPr>
        <w:t xml:space="preserve"> </w:t>
      </w:r>
      <w:r w:rsidRPr="0063391D">
        <w:t>superior</w:t>
      </w:r>
      <w:r w:rsidRPr="00CE28E3">
        <w:t xml:space="preserve"> effectiveness compared with</w:t>
      </w:r>
      <w:r>
        <w:t xml:space="preserve"> nominated comparators.  ESC also considered that the indirect evidence from NMA was also not convincing to support the superiority claim.</w:t>
      </w:r>
    </w:p>
    <w:p w14:paraId="2CFF07FF" w14:textId="16E9F9DF" w:rsidR="000B228E" w:rsidRPr="00D934CD"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ESC noted that a cost-utility analysis was undertaken considering lifetime quality-adjusted life years (QALYs) and healthcare costs.</w:t>
      </w:r>
      <w:r>
        <w:rPr>
          <w:rFonts w:eastAsia="Times New Roman" w:cs="Times New Roman"/>
          <w:color w:val="000000"/>
          <w:szCs w:val="20"/>
          <w:lang w:eastAsia="en-AU"/>
        </w:rPr>
        <w:t xml:space="preserve"> ESC considered that the modelled economic valuation relied on the subsequent acceptance of the clinical evaluation which</w:t>
      </w:r>
      <w:r w:rsidRPr="00994578">
        <w:rPr>
          <w:rFonts w:eastAsia="Times New Roman" w:cs="Times New Roman"/>
          <w:color w:val="000000"/>
          <w:szCs w:val="20"/>
          <w:lang w:eastAsia="en-AU"/>
        </w:rPr>
        <w:t xml:space="preserve"> assumed that the efficacy and safety of </w:t>
      </w:r>
      <w:r w:rsidRPr="00994611">
        <w:rPr>
          <w:rFonts w:eastAsia="Times New Roman" w:cs="Times New Roman"/>
          <w:color w:val="000000"/>
          <w:szCs w:val="20"/>
          <w:vertAlign w:val="superscript"/>
          <w:lang w:eastAsia="en-AU"/>
        </w:rPr>
        <w:t>177</w:t>
      </w:r>
      <w:r w:rsidRPr="00994578">
        <w:rPr>
          <w:rFonts w:eastAsia="Times New Roman" w:cs="Times New Roman"/>
          <w:color w:val="000000"/>
          <w:szCs w:val="20"/>
          <w:lang w:eastAsia="en-AU"/>
        </w:rPr>
        <w:t xml:space="preserve">Lu-DOTA-octreotate </w:t>
      </w:r>
      <w:r>
        <w:rPr>
          <w:rFonts w:eastAsia="Times New Roman" w:cs="Times New Roman"/>
          <w:color w:val="000000"/>
          <w:szCs w:val="20"/>
          <w:lang w:eastAsia="en-AU"/>
        </w:rPr>
        <w:t>wa</w:t>
      </w:r>
      <w:r w:rsidRPr="00994578">
        <w:rPr>
          <w:rFonts w:eastAsia="Times New Roman" w:cs="Times New Roman"/>
          <w:color w:val="000000"/>
          <w:szCs w:val="20"/>
          <w:lang w:eastAsia="en-AU"/>
        </w:rPr>
        <w:t xml:space="preserve">s </w:t>
      </w:r>
      <w:r w:rsidR="004A7E51">
        <w:rPr>
          <w:rFonts w:eastAsia="Times New Roman" w:cs="Times New Roman"/>
          <w:color w:val="000000"/>
          <w:szCs w:val="20"/>
          <w:lang w:eastAsia="en-AU"/>
        </w:rPr>
        <w:t>non-inferior</w:t>
      </w:r>
      <w:r w:rsidRPr="00994578">
        <w:rPr>
          <w:rFonts w:eastAsia="Times New Roman" w:cs="Times New Roman"/>
          <w:color w:val="000000"/>
          <w:szCs w:val="20"/>
          <w:lang w:eastAsia="en-AU"/>
        </w:rPr>
        <w:t xml:space="preserve"> to </w:t>
      </w:r>
      <w:r w:rsidRPr="00994611">
        <w:rPr>
          <w:rFonts w:eastAsia="Times New Roman" w:cs="Times New Roman"/>
          <w:color w:val="000000"/>
          <w:szCs w:val="20"/>
          <w:vertAlign w:val="superscript"/>
          <w:lang w:eastAsia="en-AU"/>
        </w:rPr>
        <w:t>177</w:t>
      </w:r>
      <w:r w:rsidRPr="00994578">
        <w:rPr>
          <w:rFonts w:eastAsia="Times New Roman" w:cs="Times New Roman"/>
          <w:color w:val="000000"/>
          <w:szCs w:val="20"/>
          <w:lang w:eastAsia="en-AU"/>
        </w:rPr>
        <w:t>Lu-DOTATATE</w:t>
      </w:r>
      <w:r>
        <w:rPr>
          <w:rFonts w:eastAsia="Times New Roman" w:cs="Times New Roman"/>
          <w:color w:val="000000"/>
          <w:szCs w:val="20"/>
          <w:lang w:eastAsia="en-AU"/>
        </w:rPr>
        <w:t>.</w:t>
      </w:r>
      <w:r w:rsidRPr="00D934CD">
        <w:rPr>
          <w:rFonts w:eastAsia="Times New Roman" w:cs="Times New Roman"/>
          <w:color w:val="000000"/>
          <w:szCs w:val="20"/>
          <w:lang w:eastAsia="en-AU"/>
        </w:rPr>
        <w:t xml:space="preserve"> The partitioned survival model considers the cost-effectiveness of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r>
        <w:rPr>
          <w:rFonts w:eastAsia="Times New Roman" w:cs="Times New Roman"/>
          <w:color w:val="000000"/>
          <w:szCs w:val="20"/>
          <w:lang w:eastAsia="en-AU"/>
        </w:rPr>
        <w:t xml:space="preserve"> </w:t>
      </w:r>
      <w:r w:rsidRPr="00D934CD">
        <w:rPr>
          <w:rFonts w:eastAsia="Times New Roman" w:cs="Times New Roman"/>
          <w:color w:val="000000"/>
          <w:szCs w:val="20"/>
          <w:lang w:eastAsia="en-AU"/>
        </w:rPr>
        <w:t>compared with all six comparator therapies independently, with the results expressed in terms of incremental cost per QALY gained. ESC considered this model to be reasonable.</w:t>
      </w:r>
    </w:p>
    <w:p w14:paraId="4EE28BAA" w14:textId="77777777" w:rsidR="000B228E"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while the DCAR’s economic model presented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r>
        <w:rPr>
          <w:rFonts w:eastAsia="Times New Roman" w:cs="Times New Roman"/>
          <w:color w:val="000000"/>
          <w:szCs w:val="20"/>
          <w:lang w:eastAsia="en-AU"/>
        </w:rPr>
        <w:t xml:space="preserve"> as a first-line treatment against the six comparators, it is potentially more likely to be used as a second-line treatment in actual clinical practice. ESC also considered that PRRT treatment may also likely be used in combination with octreotide, everolimus, lanreotide and sunitinib, which was not modelled in the economic evaluation.</w:t>
      </w:r>
    </w:p>
    <w:p w14:paraId="6414E447" w14:textId="77777777" w:rsidR="000B228E"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the validity of the model inputs and their appropriateness to an Australian setting were a potential issue insofar as there were no direct Australian RCTs and the background </w:t>
      </w:r>
      <w:r>
        <w:rPr>
          <w:rFonts w:eastAsia="Times New Roman" w:cs="Times New Roman"/>
          <w:color w:val="000000"/>
          <w:szCs w:val="20"/>
          <w:lang w:eastAsia="en-AU"/>
        </w:rPr>
        <w:lastRenderedPageBreak/>
        <w:t>healthcare resource use was based on UK settings (</w:t>
      </w:r>
      <w:proofErr w:type="gramStart"/>
      <w:r>
        <w:rPr>
          <w:rFonts w:eastAsia="Times New Roman" w:cs="Times New Roman"/>
          <w:color w:val="000000"/>
          <w:szCs w:val="20"/>
          <w:lang w:eastAsia="en-AU"/>
        </w:rPr>
        <w:t>in particular the</w:t>
      </w:r>
      <w:proofErr w:type="gramEnd"/>
      <w:r>
        <w:rPr>
          <w:rFonts w:eastAsia="Times New Roman" w:cs="Times New Roman"/>
          <w:color w:val="000000"/>
          <w:szCs w:val="20"/>
          <w:lang w:eastAsia="en-AU"/>
        </w:rPr>
        <w:t xml:space="preserve"> heavy reliance on the</w:t>
      </w:r>
      <w:r w:rsidRPr="00DF5406">
        <w:t xml:space="preserve"> </w:t>
      </w:r>
      <w:r w:rsidRPr="00DF5406">
        <w:rPr>
          <w:rFonts w:eastAsia="Times New Roman" w:cs="Times New Roman"/>
          <w:color w:val="000000"/>
          <w:szCs w:val="20"/>
          <w:lang w:eastAsia="en-AU"/>
        </w:rPr>
        <w:t>UK NICE TA539</w:t>
      </w:r>
      <w:r>
        <w:rPr>
          <w:rFonts w:eastAsia="Times New Roman" w:cs="Times New Roman"/>
          <w:color w:val="000000"/>
          <w:szCs w:val="20"/>
          <w:lang w:eastAsia="en-AU"/>
        </w:rPr>
        <w:t>).</w:t>
      </w:r>
      <w:r>
        <w:rPr>
          <w:rStyle w:val="FootnoteReference"/>
          <w:rFonts w:eastAsia="Times New Roman" w:cs="Times New Roman"/>
          <w:color w:val="000000"/>
          <w:szCs w:val="20"/>
          <w:lang w:eastAsia="en-AU"/>
        </w:rPr>
        <w:footnoteReference w:id="39"/>
      </w:r>
      <w:r>
        <w:rPr>
          <w:rFonts w:eastAsia="Times New Roman" w:cs="Times New Roman"/>
          <w:color w:val="000000"/>
          <w:szCs w:val="20"/>
          <w:lang w:eastAsia="en-AU"/>
        </w:rPr>
        <w:t xml:space="preserve"> ESC considered that the model validity had been thoroughly undertaken. </w:t>
      </w:r>
    </w:p>
    <w:p w14:paraId="10866ABC" w14:textId="1EC2DC9E" w:rsidR="000B228E" w:rsidRDefault="000B228E" w:rsidP="000B228E">
      <w:pPr>
        <w:spacing w:before="0" w:after="240" w:line="240" w:lineRule="auto"/>
        <w:rPr>
          <w:rFonts w:eastAsia="Times New Roman" w:cs="Times New Roman"/>
          <w:color w:val="000000"/>
          <w:szCs w:val="20"/>
          <w:lang w:eastAsia="en-AU"/>
        </w:rPr>
      </w:pPr>
      <w:r w:rsidRPr="00D934CD">
        <w:rPr>
          <w:rFonts w:eastAsia="Times New Roman" w:cs="Times New Roman"/>
          <w:color w:val="000000"/>
          <w:szCs w:val="20"/>
          <w:lang w:eastAsia="en-AU"/>
        </w:rPr>
        <w:t>ESC noted that the base case incremental cost-effectiveness ratio (ICER) range comparing</w:t>
      </w:r>
      <w:r w:rsidR="002253C0">
        <w:rPr>
          <w:rFonts w:eastAsia="Times New Roman" w:cs="Times New Roman"/>
          <w:color w:val="000000"/>
          <w:szCs w:val="20"/>
          <w:lang w:eastAsia="en-AU"/>
        </w:rPr>
        <w:br/>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 xml:space="preserve">Lu-DOTA-octreotate versus all six identified comparators ranged from $18,643 to $31,792 per QALY gained, with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 being dominated against sunitinib.</w:t>
      </w:r>
      <w:r>
        <w:rPr>
          <w:rFonts w:eastAsia="Times New Roman" w:cs="Times New Roman"/>
          <w:color w:val="000000"/>
          <w:szCs w:val="20"/>
          <w:lang w:eastAsia="en-AU"/>
        </w:rPr>
        <w:t xml:space="preserve"> ESC agreed with the DCAR that the ICER was highly uncertain as it was highly sensitive to changes in the comparative effectiveness of the intervention relative to the six comparators. ESC also noted the significant uncertainty introduced because the ICERs were derived based on a lifetime model even though the mean survival time followed in the NETTER-1 was under 5 years (see </w:t>
      </w:r>
      <w:r>
        <w:rPr>
          <w:rFonts w:eastAsia="Times New Roman" w:cs="Times New Roman"/>
          <w:color w:val="000000"/>
          <w:szCs w:val="20"/>
          <w:lang w:eastAsia="en-AU"/>
        </w:rPr>
        <w:fldChar w:fldCharType="begin"/>
      </w:r>
      <w:r>
        <w:rPr>
          <w:rFonts w:eastAsia="Times New Roman" w:cs="Times New Roman"/>
          <w:color w:val="000000"/>
          <w:szCs w:val="20"/>
          <w:lang w:eastAsia="en-AU"/>
        </w:rPr>
        <w:instrText xml:space="preserve"> REF _Ref170134149 \h </w:instrText>
      </w:r>
      <w:r>
        <w:rPr>
          <w:rFonts w:eastAsia="Times New Roman" w:cs="Times New Roman"/>
          <w:color w:val="000000"/>
          <w:szCs w:val="20"/>
          <w:lang w:eastAsia="en-AU"/>
        </w:rPr>
      </w:r>
      <w:r>
        <w:rPr>
          <w:rFonts w:eastAsia="Times New Roman" w:cs="Times New Roman"/>
          <w:color w:val="000000"/>
          <w:szCs w:val="20"/>
          <w:lang w:eastAsia="en-AU"/>
        </w:rPr>
        <w:fldChar w:fldCharType="separate"/>
      </w:r>
      <w:r>
        <w:t xml:space="preserve">Figure </w:t>
      </w:r>
      <w:r>
        <w:rPr>
          <w:noProof/>
        </w:rPr>
        <w:t>4</w:t>
      </w:r>
      <w:r>
        <w:rPr>
          <w:rFonts w:eastAsia="Times New Roman" w:cs="Times New Roman"/>
          <w:color w:val="000000"/>
          <w:szCs w:val="20"/>
          <w:lang w:eastAsia="en-AU"/>
        </w:rPr>
        <w:fldChar w:fldCharType="end"/>
      </w:r>
      <w:r>
        <w:rPr>
          <w:rFonts w:eastAsia="Times New Roman" w:cs="Times New Roman"/>
          <w:color w:val="000000"/>
          <w:szCs w:val="20"/>
          <w:lang w:eastAsia="en-AU"/>
        </w:rPr>
        <w:t>). However, ESC noted that time horizon was not a driver of the ICER in the model.</w:t>
      </w:r>
    </w:p>
    <w:p w14:paraId="0FB97A34" w14:textId="34964FDF"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the modelled average time on treatment for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r>
        <w:rPr>
          <w:rFonts w:eastAsia="Times New Roman" w:cs="Times New Roman"/>
          <w:color w:val="000000"/>
          <w:szCs w:val="20"/>
          <w:lang w:eastAsia="en-AU"/>
        </w:rPr>
        <w:t xml:space="preserve"> was based on the </w:t>
      </w:r>
      <w:r w:rsidRPr="00A7701D">
        <w:rPr>
          <w:rFonts w:eastAsia="Times New Roman" w:cs="Times New Roman"/>
          <w:color w:val="000000"/>
          <w:szCs w:val="20"/>
          <w:lang w:eastAsia="en-AU"/>
        </w:rPr>
        <w:t xml:space="preserve">weighted average number of administrations that patients received in the </w:t>
      </w:r>
      <w:r w:rsidRPr="00994611">
        <w:rPr>
          <w:rFonts w:eastAsia="Times New Roman" w:cs="Times New Roman"/>
          <w:color w:val="000000"/>
          <w:szCs w:val="20"/>
          <w:vertAlign w:val="superscript"/>
          <w:lang w:eastAsia="en-AU"/>
        </w:rPr>
        <w:t>177</w:t>
      </w:r>
      <w:r w:rsidRPr="00A7701D">
        <w:rPr>
          <w:rFonts w:eastAsia="Times New Roman" w:cs="Times New Roman"/>
          <w:color w:val="000000"/>
          <w:szCs w:val="20"/>
          <w:lang w:eastAsia="en-AU"/>
        </w:rPr>
        <w:t>Lu-DOTATATE arm of the NETTER-1 trial</w:t>
      </w:r>
      <w:r>
        <w:rPr>
          <w:rFonts w:eastAsia="Times New Roman" w:cs="Times New Roman"/>
          <w:color w:val="000000"/>
          <w:szCs w:val="20"/>
          <w:lang w:eastAsia="en-AU"/>
        </w:rPr>
        <w:t xml:space="preserve"> (3.5 administrations converted to time based on dosing regimen in trial: 4 infusions at 1 infusion every 8 weeks; time on treatment = 6.5 months). ESC considered this was appropriate. Given the proposed MBS item for </w:t>
      </w:r>
      <w:r w:rsidRPr="0088514D">
        <w:rPr>
          <w:rFonts w:eastAsia="Times New Roman" w:cs="Times New Roman"/>
          <w:color w:val="000000"/>
          <w:szCs w:val="20"/>
          <w:vertAlign w:val="superscript"/>
          <w:lang w:eastAsia="en-AU"/>
        </w:rPr>
        <w:t>177</w:t>
      </w:r>
      <w:r>
        <w:rPr>
          <w:rFonts w:eastAsia="Times New Roman" w:cs="Times New Roman"/>
          <w:color w:val="000000"/>
          <w:szCs w:val="20"/>
          <w:lang w:eastAsia="en-AU"/>
        </w:rPr>
        <w:t xml:space="preserve">Lu PRRT therapy is unrestricted in terms of treatment cycles, ESC conducted further sensitivity analyses investigating the scenarios whereby patients modelled in the intervention arm received the full induction treatment course of 4 cycles over 8 months of </w:t>
      </w:r>
      <w:r w:rsidRPr="00994611">
        <w:rPr>
          <w:rFonts w:eastAsia="Times New Roman" w:cs="Times New Roman"/>
          <w:color w:val="000000"/>
          <w:szCs w:val="20"/>
          <w:vertAlign w:val="superscript"/>
          <w:lang w:eastAsia="en-AU"/>
        </w:rPr>
        <w:t>177</w:t>
      </w:r>
      <w:r>
        <w:rPr>
          <w:rFonts w:eastAsia="Times New Roman" w:cs="Times New Roman"/>
          <w:color w:val="000000"/>
          <w:szCs w:val="20"/>
          <w:lang w:eastAsia="en-AU"/>
        </w:rPr>
        <w:t xml:space="preserve">Lu PRRT treatment (rather than the average 3.5 cycles over 6.5 months of PRRT treatment in base case); and also when all patients in the intervention arm received an additional two consolidation cycles of </w:t>
      </w:r>
      <w:r w:rsidRPr="0088514D">
        <w:rPr>
          <w:rFonts w:eastAsia="Times New Roman" w:cs="Times New Roman"/>
          <w:color w:val="000000"/>
          <w:szCs w:val="20"/>
          <w:vertAlign w:val="superscript"/>
          <w:lang w:eastAsia="en-AU"/>
        </w:rPr>
        <w:t>177</w:t>
      </w:r>
      <w:r>
        <w:rPr>
          <w:rFonts w:eastAsia="Times New Roman" w:cs="Times New Roman"/>
          <w:color w:val="000000"/>
          <w:szCs w:val="20"/>
          <w:lang w:eastAsia="en-AU"/>
        </w:rPr>
        <w:t xml:space="preserve">Lu PRRT therapy following progression of disease (see </w:t>
      </w:r>
      <w:r>
        <w:rPr>
          <w:rFonts w:eastAsia="Times New Roman" w:cs="Times New Roman"/>
          <w:color w:val="000000"/>
          <w:szCs w:val="20"/>
          <w:lang w:eastAsia="en-AU"/>
        </w:rPr>
        <w:fldChar w:fldCharType="begin"/>
      </w:r>
      <w:r>
        <w:rPr>
          <w:rFonts w:eastAsia="Times New Roman" w:cs="Times New Roman"/>
          <w:color w:val="000000"/>
          <w:szCs w:val="20"/>
          <w:lang w:eastAsia="en-AU"/>
        </w:rPr>
        <w:instrText xml:space="preserve"> REF _Ref160472682 \h </w:instrText>
      </w:r>
      <w:r>
        <w:rPr>
          <w:rFonts w:eastAsia="Times New Roman" w:cs="Times New Roman"/>
          <w:color w:val="000000"/>
          <w:szCs w:val="20"/>
          <w:lang w:eastAsia="en-AU"/>
        </w:rPr>
      </w:r>
      <w:r>
        <w:rPr>
          <w:rFonts w:eastAsia="Times New Roman" w:cs="Times New Roman"/>
          <w:color w:val="000000"/>
          <w:szCs w:val="20"/>
          <w:lang w:eastAsia="en-AU"/>
        </w:rPr>
        <w:fldChar w:fldCharType="separate"/>
      </w:r>
      <w:r>
        <w:t xml:space="preserve">Table </w:t>
      </w:r>
      <w:r>
        <w:rPr>
          <w:noProof/>
        </w:rPr>
        <w:t>14</w:t>
      </w:r>
      <w:r>
        <w:rPr>
          <w:rFonts w:eastAsia="Times New Roman" w:cs="Times New Roman"/>
          <w:color w:val="000000"/>
          <w:szCs w:val="20"/>
          <w:lang w:eastAsia="en-AU"/>
        </w:rPr>
        <w:fldChar w:fldCharType="end"/>
      </w:r>
      <w:r>
        <w:rPr>
          <w:rFonts w:eastAsia="Times New Roman" w:cs="Times New Roman"/>
          <w:color w:val="000000"/>
          <w:szCs w:val="20"/>
          <w:lang w:eastAsia="en-AU"/>
        </w:rPr>
        <w:t xml:space="preserve">). ESC considered that this indicative sensitivity analyses demonstrated that the ICER was sensitive to the time on treatment and number of cycles of </w:t>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Lu-DOTA-octreotate</w:t>
      </w:r>
      <w:r>
        <w:rPr>
          <w:rFonts w:eastAsia="Times New Roman" w:cs="Times New Roman"/>
          <w:color w:val="000000"/>
          <w:szCs w:val="20"/>
          <w:lang w:eastAsia="en-AU"/>
        </w:rPr>
        <w:t xml:space="preserve"> treatment in the model.</w:t>
      </w:r>
      <w:r w:rsidRPr="00ED6644">
        <w:rPr>
          <w:rFonts w:eastAsia="Times New Roman" w:cs="Times New Roman"/>
          <w:color w:val="000000"/>
          <w:szCs w:val="20"/>
          <w:lang w:eastAsia="en-AU"/>
        </w:rPr>
        <w:t xml:space="preserve"> </w:t>
      </w:r>
      <w:r>
        <w:rPr>
          <w:rFonts w:eastAsia="Times New Roman" w:cs="Times New Roman"/>
          <w:color w:val="000000"/>
          <w:szCs w:val="20"/>
          <w:lang w:eastAsia="en-AU"/>
        </w:rPr>
        <w:t xml:space="preserve">ESC further considered that the number of cycles of </w:t>
      </w:r>
      <w:r w:rsidR="002253C0">
        <w:rPr>
          <w:rFonts w:eastAsia="Times New Roman" w:cs="Times New Roman"/>
          <w:color w:val="000000"/>
          <w:szCs w:val="20"/>
          <w:lang w:eastAsia="en-AU"/>
        </w:rPr>
        <w:br/>
      </w:r>
      <w:r w:rsidRPr="00D934CD">
        <w:rPr>
          <w:rFonts w:eastAsia="Times New Roman" w:cs="Times New Roman"/>
          <w:color w:val="000000"/>
          <w:szCs w:val="20"/>
          <w:vertAlign w:val="superscript"/>
          <w:lang w:eastAsia="en-AU"/>
        </w:rPr>
        <w:t>177</w:t>
      </w:r>
      <w:r w:rsidRPr="00D934CD">
        <w:rPr>
          <w:rFonts w:eastAsia="Times New Roman" w:cs="Times New Roman"/>
          <w:color w:val="000000"/>
          <w:szCs w:val="20"/>
          <w:lang w:eastAsia="en-AU"/>
        </w:rPr>
        <w:t>Lu-</w:t>
      </w:r>
      <w:r>
        <w:rPr>
          <w:rFonts w:eastAsia="Times New Roman" w:cs="Times New Roman"/>
          <w:color w:val="000000"/>
          <w:szCs w:val="20"/>
          <w:lang w:eastAsia="en-AU"/>
        </w:rPr>
        <w:t>PRRT as well as the choice of parametric curves should be tested further in sensitivity analyses. Two-</w:t>
      </w:r>
      <w:r w:rsidRPr="00B5058E">
        <w:rPr>
          <w:rFonts w:eastAsia="Times New Roman" w:cs="Times New Roman"/>
          <w:color w:val="000000"/>
          <w:szCs w:val="20"/>
          <w:lang w:eastAsia="en-AU"/>
        </w:rPr>
        <w:t>way analyse</w:t>
      </w:r>
      <w:r>
        <w:rPr>
          <w:rFonts w:eastAsia="Times New Roman" w:cs="Times New Roman"/>
          <w:color w:val="000000"/>
          <w:szCs w:val="20"/>
          <w:lang w:eastAsia="en-AU"/>
        </w:rPr>
        <w:t>s</w:t>
      </w:r>
      <w:r w:rsidRPr="00B5058E">
        <w:rPr>
          <w:rFonts w:eastAsia="Times New Roman" w:cs="Times New Roman"/>
          <w:color w:val="000000"/>
          <w:szCs w:val="20"/>
          <w:lang w:eastAsia="en-AU"/>
        </w:rPr>
        <w:t xml:space="preserve"> incorporating </w:t>
      </w:r>
      <w:r>
        <w:rPr>
          <w:rFonts w:eastAsia="Times New Roman" w:cs="Times New Roman"/>
          <w:color w:val="000000"/>
          <w:szCs w:val="20"/>
          <w:lang w:eastAsia="en-AU"/>
        </w:rPr>
        <w:t>variation in</w:t>
      </w:r>
      <w:r w:rsidRPr="00B5058E">
        <w:rPr>
          <w:rFonts w:eastAsia="Times New Roman" w:cs="Times New Roman"/>
          <w:color w:val="000000"/>
          <w:szCs w:val="20"/>
          <w:lang w:eastAsia="en-AU"/>
        </w:rPr>
        <w:t xml:space="preserve"> treatment costs (n</w:t>
      </w:r>
      <w:r>
        <w:rPr>
          <w:rFonts w:eastAsia="Times New Roman" w:cs="Times New Roman"/>
          <w:color w:val="000000"/>
          <w:szCs w:val="20"/>
          <w:lang w:eastAsia="en-AU"/>
        </w:rPr>
        <w:t>umber</w:t>
      </w:r>
      <w:r w:rsidRPr="00B5058E">
        <w:rPr>
          <w:rFonts w:eastAsia="Times New Roman" w:cs="Times New Roman"/>
          <w:color w:val="000000"/>
          <w:szCs w:val="20"/>
          <w:lang w:eastAsia="en-AU"/>
        </w:rPr>
        <w:t xml:space="preserve"> of cycles)</w:t>
      </w:r>
      <w:r>
        <w:rPr>
          <w:rFonts w:eastAsia="Times New Roman" w:cs="Times New Roman"/>
          <w:color w:val="000000"/>
          <w:szCs w:val="20"/>
          <w:lang w:eastAsia="en-AU"/>
        </w:rPr>
        <w:t xml:space="preserve"> and use of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imaging for monitoring treatment response</w:t>
      </w:r>
      <w:r w:rsidRPr="00B5058E">
        <w:rPr>
          <w:rFonts w:eastAsia="Times New Roman" w:cs="Times New Roman"/>
          <w:color w:val="000000"/>
          <w:szCs w:val="20"/>
          <w:lang w:eastAsia="en-AU"/>
        </w:rPr>
        <w:t xml:space="preserve"> </w:t>
      </w:r>
      <w:r>
        <w:rPr>
          <w:rFonts w:eastAsia="Times New Roman" w:cs="Times New Roman"/>
          <w:color w:val="000000"/>
          <w:szCs w:val="20"/>
          <w:lang w:eastAsia="en-AU"/>
        </w:rPr>
        <w:t>would also be informative.</w:t>
      </w:r>
    </w:p>
    <w:p w14:paraId="5991D071" w14:textId="691299C2"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the pre-ESC response asserted that by failing to identify quality of life (QOL) as </w:t>
      </w:r>
      <w:r w:rsidRPr="00FC5014">
        <w:rPr>
          <w:rFonts w:eastAsia="Times New Roman" w:cs="Times New Roman"/>
          <w:color w:val="000000"/>
          <w:szCs w:val="20"/>
          <w:lang w:eastAsia="en-AU"/>
        </w:rPr>
        <w:t xml:space="preserve">the main patient important outcome measure </w:t>
      </w:r>
      <w:r>
        <w:rPr>
          <w:rFonts w:eastAsia="Times New Roman" w:cs="Times New Roman"/>
          <w:color w:val="000000"/>
          <w:szCs w:val="20"/>
          <w:lang w:eastAsia="en-AU"/>
        </w:rPr>
        <w:t xml:space="preserve">the DCAR had introduced significant potential for </w:t>
      </w:r>
      <w:r w:rsidRPr="00FC5014">
        <w:rPr>
          <w:rFonts w:eastAsia="Times New Roman" w:cs="Times New Roman"/>
          <w:color w:val="000000"/>
          <w:szCs w:val="20"/>
          <w:lang w:eastAsia="en-AU"/>
        </w:rPr>
        <w:t>bias into the economic evaluation</w:t>
      </w:r>
      <w:r>
        <w:rPr>
          <w:rFonts w:eastAsia="Times New Roman" w:cs="Times New Roman"/>
          <w:color w:val="000000"/>
          <w:szCs w:val="20"/>
          <w:lang w:eastAsia="en-AU"/>
        </w:rPr>
        <w:t xml:space="preserve">. However, ESC considered that the DCAR included a comprehensive assessment of AEs included in QALY measurement and healthcare resource use in the economic evaluation. ESC also noted and agreed with the rejoinder’s response that </w:t>
      </w:r>
      <w:r w:rsidRPr="00B2422D">
        <w:rPr>
          <w:rFonts w:eastAsia="Times New Roman" w:cs="Times New Roman"/>
          <w:color w:val="000000"/>
          <w:szCs w:val="20"/>
          <w:lang w:eastAsia="en-AU"/>
        </w:rPr>
        <w:t xml:space="preserve">OS </w:t>
      </w:r>
      <w:r>
        <w:rPr>
          <w:rFonts w:eastAsia="Times New Roman" w:cs="Times New Roman"/>
          <w:color w:val="000000"/>
          <w:szCs w:val="20"/>
          <w:lang w:eastAsia="en-AU"/>
        </w:rPr>
        <w:t>should be regarded as</w:t>
      </w:r>
      <w:r w:rsidRPr="00B2422D">
        <w:rPr>
          <w:rFonts w:eastAsia="Times New Roman" w:cs="Times New Roman"/>
          <w:color w:val="000000"/>
          <w:szCs w:val="20"/>
          <w:lang w:eastAsia="en-AU"/>
        </w:rPr>
        <w:t xml:space="preserve"> the most important patient relevant outcome and that health state utilities are</w:t>
      </w:r>
      <w:r>
        <w:rPr>
          <w:rFonts w:eastAsia="Times New Roman" w:cs="Times New Roman"/>
          <w:color w:val="000000"/>
          <w:szCs w:val="20"/>
          <w:lang w:eastAsia="en-AU"/>
        </w:rPr>
        <w:t xml:space="preserve"> adequately </w:t>
      </w:r>
      <w:r w:rsidRPr="00B2422D">
        <w:rPr>
          <w:rFonts w:eastAsia="Times New Roman" w:cs="Times New Roman"/>
          <w:color w:val="000000"/>
          <w:szCs w:val="20"/>
          <w:lang w:eastAsia="en-AU"/>
        </w:rPr>
        <w:t>captured in the economic assessment.</w:t>
      </w:r>
    </w:p>
    <w:p w14:paraId="53FD1938" w14:textId="3CAE0C62" w:rsidR="0066551E" w:rsidRDefault="000B228E" w:rsidP="0066551E">
      <w:pPr>
        <w:spacing w:before="0" w:after="240" w:line="240" w:lineRule="auto"/>
        <w:rPr>
          <w:rFonts w:eastAsia="Calibri" w:cs="Times New Roman"/>
          <w:color w:val="000000"/>
          <w:szCs w:val="20"/>
        </w:rPr>
      </w:pPr>
      <w:r w:rsidRPr="00D934CD">
        <w:rPr>
          <w:rFonts w:eastAsia="Times New Roman" w:cs="Times New Roman"/>
          <w:color w:val="000000"/>
          <w:szCs w:val="20"/>
          <w:lang w:eastAsia="en-AU"/>
        </w:rPr>
        <w:t xml:space="preserve">ESC noted that diagnostic costs </w:t>
      </w:r>
      <w:r w:rsidRPr="005A31E0">
        <w:rPr>
          <w:rFonts w:eastAsia="Times New Roman" w:cs="Times New Roman"/>
          <w:color w:val="000000"/>
          <w:szCs w:val="20"/>
          <w:lang w:eastAsia="en-AU"/>
        </w:rPr>
        <w:t>accounted for in the economic model only include</w:t>
      </w:r>
      <w:r>
        <w:rPr>
          <w:rFonts w:eastAsia="Times New Roman" w:cs="Times New Roman"/>
          <w:color w:val="000000"/>
          <w:szCs w:val="20"/>
          <w:lang w:eastAsia="en-AU"/>
        </w:rPr>
        <w:t>d</w:t>
      </w:r>
      <w:r w:rsidRPr="005A31E0">
        <w:rPr>
          <w:rFonts w:eastAsia="Times New Roman" w:cs="Times New Roman"/>
          <w:color w:val="000000"/>
          <w:szCs w:val="20"/>
          <w:lang w:eastAsia="en-AU"/>
        </w:rPr>
        <w:t xml:space="preserve"> diagnostic costs associated with patients already deemed eligible for treatment (</w:t>
      </w:r>
      <w:r>
        <w:rPr>
          <w:rFonts w:eastAsia="Times New Roman" w:cs="Times New Roman"/>
          <w:color w:val="000000"/>
          <w:szCs w:val="20"/>
          <w:lang w:eastAsia="en-AU"/>
        </w:rPr>
        <w:t xml:space="preserve">i.e. it was </w:t>
      </w:r>
      <w:r w:rsidRPr="005A31E0">
        <w:rPr>
          <w:rFonts w:eastAsia="Times New Roman" w:cs="Times New Roman"/>
          <w:color w:val="000000"/>
          <w:szCs w:val="20"/>
          <w:lang w:eastAsia="en-AU"/>
        </w:rPr>
        <w:t xml:space="preserve">assumed </w:t>
      </w:r>
      <w:r>
        <w:rPr>
          <w:rFonts w:eastAsia="Times New Roman" w:cs="Times New Roman"/>
          <w:color w:val="000000"/>
          <w:szCs w:val="20"/>
          <w:lang w:eastAsia="en-AU"/>
        </w:rPr>
        <w:t xml:space="preserve">in the base case </w:t>
      </w:r>
      <w:r w:rsidRPr="005A31E0">
        <w:rPr>
          <w:rFonts w:eastAsia="Times New Roman" w:cs="Times New Roman"/>
          <w:color w:val="000000"/>
          <w:szCs w:val="20"/>
          <w:lang w:eastAsia="en-AU"/>
        </w:rPr>
        <w:t>that 100% of people tested will qualify for treatment).</w:t>
      </w:r>
      <w:r w:rsidRPr="00D934CD">
        <w:rPr>
          <w:rFonts w:eastAsia="Times New Roman" w:cs="Times New Roman"/>
          <w:color w:val="000000"/>
          <w:szCs w:val="20"/>
          <w:lang w:eastAsia="en-AU"/>
        </w:rPr>
        <w:t xml:space="preserve"> </w:t>
      </w:r>
      <w:r>
        <w:rPr>
          <w:rFonts w:eastAsia="Times New Roman" w:cs="Times New Roman"/>
          <w:color w:val="000000"/>
          <w:szCs w:val="20"/>
          <w:lang w:eastAsia="en-AU"/>
        </w:rPr>
        <w:t xml:space="preserve">Therefore, the model did not consider the screening-related costs or performance outcomes of testing all patients by PET/CT to select those eligible for </w:t>
      </w:r>
      <w:r w:rsidRPr="00994611">
        <w:rPr>
          <w:rFonts w:eastAsia="Times New Roman" w:cs="Times New Roman"/>
          <w:color w:val="000000"/>
          <w:szCs w:val="20"/>
          <w:vertAlign w:val="superscript"/>
          <w:lang w:eastAsia="en-AU"/>
        </w:rPr>
        <w:t>177</w:t>
      </w:r>
      <w:r>
        <w:rPr>
          <w:rFonts w:eastAsia="Times New Roman" w:cs="Times New Roman"/>
          <w:color w:val="000000"/>
          <w:szCs w:val="20"/>
          <w:lang w:eastAsia="en-AU"/>
        </w:rPr>
        <w:t xml:space="preserve">Lu PRRT treatment. However, ESC considered that because most patients (intervention and comparator groups) would receive </w:t>
      </w:r>
      <w:r>
        <w:rPr>
          <w:rFonts w:eastAsia="Calibri" w:cs="Times New Roman"/>
          <w:color w:val="000000"/>
          <w:szCs w:val="20"/>
        </w:rPr>
        <w:t xml:space="preserve">PET/CT testing regardless of treatment decision, </w:t>
      </w:r>
      <w:r>
        <w:rPr>
          <w:rFonts w:eastAsia="Times New Roman" w:cs="Times New Roman"/>
          <w:color w:val="000000"/>
          <w:szCs w:val="20"/>
          <w:lang w:eastAsia="en-AU"/>
        </w:rPr>
        <w:t>the ICER was not substantially affected by this assumption.</w:t>
      </w:r>
      <w:r w:rsidRPr="00EC2196">
        <w:rPr>
          <w:rFonts w:eastAsia="Calibri" w:cs="Times New Roman"/>
          <w:color w:val="000000"/>
          <w:szCs w:val="20"/>
        </w:rPr>
        <w:t xml:space="preserve"> </w:t>
      </w:r>
      <w:r>
        <w:rPr>
          <w:rFonts w:eastAsia="Calibri" w:cs="Times New Roman"/>
          <w:color w:val="000000"/>
          <w:szCs w:val="20"/>
        </w:rPr>
        <w:t>ESC also considered that the economic model excluded follow-up investigations and associated costs necessary to assess treatment response.</w:t>
      </w:r>
      <w:r w:rsidR="0066551E">
        <w:rPr>
          <w:rFonts w:eastAsia="Calibri" w:cs="Times New Roman"/>
          <w:color w:val="000000"/>
          <w:szCs w:val="20"/>
        </w:rPr>
        <w:br w:type="page"/>
      </w:r>
    </w:p>
    <w:p w14:paraId="0A8EF693" w14:textId="77777777" w:rsidR="000B228E" w:rsidRDefault="000B228E" w:rsidP="000B228E">
      <w:pPr>
        <w:pBdr>
          <w:top w:val="single" w:sz="4" w:space="1" w:color="auto"/>
          <w:left w:val="single" w:sz="4" w:space="4" w:color="auto"/>
          <w:bottom w:val="single" w:sz="4" w:space="1" w:color="auto"/>
          <w:right w:val="single" w:sz="4" w:space="4" w:color="auto"/>
        </w:pBdr>
        <w:spacing w:before="0" w:after="240" w:line="240" w:lineRule="auto"/>
        <w:rPr>
          <w:rFonts w:eastAsia="Times New Roman" w:cs="Times New Roman"/>
          <w:color w:val="000000"/>
          <w:szCs w:val="20"/>
          <w:lang w:eastAsia="en-AU"/>
        </w:rPr>
      </w:pPr>
      <w:r>
        <w:rPr>
          <w:rFonts w:eastAsia="Calibri" w:cs="Times New Roman"/>
          <w:color w:val="000000"/>
          <w:szCs w:val="20"/>
        </w:rPr>
        <w:lastRenderedPageBreak/>
        <w:t xml:space="preserve">Following the ESC meeting, the assessment group produced an Addendum to address the ESC’s information request for the economic model. This resulted in </w:t>
      </w:r>
      <w:r>
        <w:rPr>
          <w:iCs/>
        </w:rPr>
        <w:t xml:space="preserve">additional sensitivity analyses conducted to explore the impact of choice of parametric distribution on the estimated cost-effectiveness of </w:t>
      </w:r>
      <w:r w:rsidRPr="00FA1DA7">
        <w:rPr>
          <w:iCs/>
          <w:vertAlign w:val="superscript"/>
        </w:rPr>
        <w:t>177</w:t>
      </w:r>
      <w:r w:rsidRPr="00FA1DA7">
        <w:rPr>
          <w:iCs/>
        </w:rPr>
        <w:t>Lu</w:t>
      </w:r>
      <w:r>
        <w:rPr>
          <w:iCs/>
        </w:rPr>
        <w:t>tetium (Lu)</w:t>
      </w:r>
      <w:r w:rsidRPr="00FA1DA7">
        <w:rPr>
          <w:iCs/>
        </w:rPr>
        <w:t>-DOTA-</w:t>
      </w:r>
      <w:proofErr w:type="spellStart"/>
      <w:r w:rsidRPr="00FA1DA7">
        <w:rPr>
          <w:iCs/>
        </w:rPr>
        <w:t>octreotate</w:t>
      </w:r>
      <w:proofErr w:type="spellEnd"/>
      <w:r w:rsidRPr="00FA1DA7">
        <w:rPr>
          <w:iCs/>
        </w:rPr>
        <w:t xml:space="preserve"> for the treatment of advanced </w:t>
      </w:r>
      <w:r>
        <w:rPr>
          <w:iCs/>
        </w:rPr>
        <w:t xml:space="preserve">NENs, as well as the mean number of treatment cycles influencing the total cost of treatment. The choice of parametric distribution for progression-free survival (PFS) and overall survival (OS) had a moderate impact on the estimated cost-effectiveness of </w:t>
      </w:r>
      <w:r w:rsidRPr="00FA1DA7">
        <w:rPr>
          <w:iCs/>
          <w:vertAlign w:val="superscript"/>
        </w:rPr>
        <w:t>177</w:t>
      </w:r>
      <w:r w:rsidRPr="00FA1DA7">
        <w:rPr>
          <w:iCs/>
        </w:rPr>
        <w:t>Lu-DOTA-octreotate</w:t>
      </w:r>
      <w:r>
        <w:rPr>
          <w:iCs/>
        </w:rPr>
        <w:t xml:space="preserve">. </w:t>
      </w:r>
      <w:r w:rsidRPr="00CB54B9">
        <w:rPr>
          <w:iCs/>
        </w:rPr>
        <w:t>Another scenario</w:t>
      </w:r>
      <w:r>
        <w:rPr>
          <w:iCs/>
        </w:rPr>
        <w:t xml:space="preserve"> analysis was also conducted which </w:t>
      </w:r>
      <w:r w:rsidRPr="00CB54B9">
        <w:rPr>
          <w:iCs/>
        </w:rPr>
        <w:t xml:space="preserve">assumed </w:t>
      </w:r>
      <w:r>
        <w:rPr>
          <w:iCs/>
        </w:rPr>
        <w:t>an</w:t>
      </w:r>
      <w:r w:rsidRPr="00CB54B9">
        <w:rPr>
          <w:iCs/>
        </w:rPr>
        <w:t xml:space="preserve"> additional 68Gallium (Ga)-DOTA-</w:t>
      </w:r>
      <w:proofErr w:type="spellStart"/>
      <w:r w:rsidRPr="00CB54B9">
        <w:rPr>
          <w:iCs/>
        </w:rPr>
        <w:t>octreotate</w:t>
      </w:r>
      <w:proofErr w:type="spellEnd"/>
      <w:r w:rsidRPr="00CB54B9">
        <w:rPr>
          <w:iCs/>
        </w:rPr>
        <w:t xml:space="preserve"> positron emission tomography (PET)/computed tomography (CT)—68Ga-DOTA-octreotate PET/CT— diagnostic test for patients treated with </w:t>
      </w:r>
      <w:r w:rsidRPr="005D1C24">
        <w:rPr>
          <w:vertAlign w:val="superscript"/>
        </w:rPr>
        <w:t>177</w:t>
      </w:r>
      <w:r w:rsidRPr="00CB54B9">
        <w:rPr>
          <w:iCs/>
        </w:rPr>
        <w:t xml:space="preserve">Lu-DOTA-octreotate </w:t>
      </w:r>
      <w:r>
        <w:rPr>
          <w:iCs/>
        </w:rPr>
        <w:t>was conducted</w:t>
      </w:r>
      <w:r w:rsidRPr="00CB54B9">
        <w:rPr>
          <w:iCs/>
        </w:rPr>
        <w:t xml:space="preserve"> as part of follow-up monitoring, in contrast with the model base case which assumes that additional monitoring costs will be equivalent between the intervention and comparators. This scenario resulted in a small increase in the ICER for treatment with </w:t>
      </w:r>
      <w:r w:rsidRPr="005D1C24">
        <w:rPr>
          <w:vertAlign w:val="superscript"/>
        </w:rPr>
        <w:t>177</w:t>
      </w:r>
      <w:r w:rsidRPr="00CB54B9">
        <w:rPr>
          <w:iCs/>
        </w:rPr>
        <w:t>Lu-DOTA-octreotate</w:t>
      </w:r>
      <w:r>
        <w:rPr>
          <w:iCs/>
        </w:rPr>
        <w:t xml:space="preserve"> (see </w:t>
      </w:r>
      <w:r w:rsidRPr="005D1C24">
        <w:rPr>
          <w:b/>
        </w:rPr>
        <w:t>Attachment</w:t>
      </w:r>
      <w:r>
        <w:rPr>
          <w:iCs/>
        </w:rPr>
        <w:t>)</w:t>
      </w:r>
      <w:r w:rsidRPr="00CB54B9">
        <w:rPr>
          <w:iCs/>
        </w:rPr>
        <w:t>.</w:t>
      </w:r>
    </w:p>
    <w:p w14:paraId="29960DA4" w14:textId="77777777" w:rsidR="000B228E" w:rsidRPr="00D934CD"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ESC noted that the DCAR estimated a net cost to the MBS of approximately $8.96 million by 2029 based on an assumption of a constant 3.5% of the incident population with NENs undergoing the proposed imaging scan and treatment. ESC noted that the DCAR’s sensitivity analysis assuming 75% of the incident population undertook the proposed imaging and a doubling of the population undergoing treatment estimated a net cost of $17.9 million by 2029.</w:t>
      </w:r>
    </w:p>
    <w:p w14:paraId="7C9614CE" w14:textId="77777777" w:rsidR="000B228E" w:rsidRDefault="000B228E" w:rsidP="000B228E">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 xml:space="preserve">ESC noted that </w:t>
      </w:r>
      <w:r w:rsidRPr="000B3381">
        <w:rPr>
          <w:rFonts w:eastAsia="Times New Roman" w:cs="Times New Roman"/>
          <w:color w:val="000000"/>
          <w:szCs w:val="20"/>
          <w:lang w:eastAsia="en-AU"/>
        </w:rPr>
        <w:t xml:space="preserve">the </w:t>
      </w:r>
      <w:r>
        <w:rPr>
          <w:rFonts w:eastAsia="Times New Roman" w:cs="Times New Roman"/>
          <w:color w:val="000000"/>
          <w:szCs w:val="20"/>
          <w:lang w:eastAsia="en-AU"/>
        </w:rPr>
        <w:t>d</w:t>
      </w:r>
      <w:r w:rsidRPr="000B3381">
        <w:rPr>
          <w:rFonts w:eastAsia="Times New Roman" w:cs="Times New Roman"/>
          <w:color w:val="000000"/>
          <w:szCs w:val="20"/>
          <w:lang w:eastAsia="en-AU"/>
        </w:rPr>
        <w:t>epartment has received advice from the applicant that approximately 65% of patients diagnosed with a NENs</w:t>
      </w:r>
      <w:r>
        <w:rPr>
          <w:rFonts w:eastAsia="Times New Roman" w:cs="Times New Roman"/>
          <w:color w:val="000000"/>
          <w:szCs w:val="20"/>
          <w:lang w:eastAsia="en-AU"/>
        </w:rPr>
        <w:t xml:space="preserve"> </w:t>
      </w:r>
      <w:r w:rsidRPr="00DA4FC7">
        <w:rPr>
          <w:rFonts w:eastAsia="Times New Roman" w:cs="Times New Roman"/>
          <w:color w:val="000000"/>
          <w:szCs w:val="20"/>
          <w:lang w:eastAsia="en-AU"/>
        </w:rPr>
        <w:t xml:space="preserve">(i.e. </w:t>
      </w:r>
      <w:r>
        <w:rPr>
          <w:rFonts w:eastAsia="Times New Roman" w:cs="Times New Roman"/>
          <w:color w:val="000000"/>
          <w:szCs w:val="20"/>
          <w:lang w:eastAsia="en-AU"/>
        </w:rPr>
        <w:t xml:space="preserve">those with </w:t>
      </w:r>
      <w:r w:rsidRPr="00DA4FC7">
        <w:rPr>
          <w:rFonts w:eastAsia="Times New Roman" w:cs="Times New Roman"/>
          <w:color w:val="000000"/>
          <w:szCs w:val="20"/>
          <w:lang w:eastAsia="en-AU"/>
        </w:rPr>
        <w:t>suspected high SSTR expression)</w:t>
      </w:r>
      <w:r>
        <w:rPr>
          <w:rFonts w:eastAsia="Times New Roman" w:cs="Times New Roman"/>
          <w:color w:val="000000"/>
          <w:szCs w:val="20"/>
          <w:lang w:eastAsia="en-AU"/>
        </w:rPr>
        <w:t xml:space="preserve"> </w:t>
      </w:r>
      <w:r w:rsidRPr="000B3381">
        <w:rPr>
          <w:rFonts w:eastAsia="Times New Roman" w:cs="Times New Roman"/>
          <w:color w:val="000000"/>
          <w:szCs w:val="20"/>
          <w:lang w:eastAsia="en-AU"/>
        </w:rPr>
        <w:t xml:space="preserve">would receive a </w:t>
      </w:r>
      <w:r>
        <w:rPr>
          <w:rFonts w:eastAsia="Times New Roman" w:cs="Times New Roman"/>
          <w:color w:val="000000"/>
          <w:szCs w:val="20"/>
          <w:lang w:eastAsia="en-AU"/>
        </w:rPr>
        <w:t>w</w:t>
      </w:r>
      <w:r w:rsidRPr="000B3381">
        <w:rPr>
          <w:rFonts w:eastAsia="Times New Roman" w:cs="Times New Roman"/>
          <w:color w:val="000000"/>
          <w:szCs w:val="20"/>
          <w:lang w:eastAsia="en-AU"/>
        </w:rPr>
        <w:t>hole</w:t>
      </w:r>
      <w:r>
        <w:rPr>
          <w:rFonts w:eastAsia="Times New Roman" w:cs="Times New Roman"/>
          <w:color w:val="000000"/>
          <w:szCs w:val="20"/>
          <w:lang w:eastAsia="en-AU"/>
        </w:rPr>
        <w:t>-</w:t>
      </w:r>
      <w:r w:rsidRPr="000B3381">
        <w:rPr>
          <w:rFonts w:eastAsia="Times New Roman" w:cs="Times New Roman"/>
          <w:color w:val="000000"/>
          <w:szCs w:val="20"/>
          <w:lang w:eastAsia="en-AU"/>
        </w:rPr>
        <w:t>body 68Ga-DOTA-octreotate PET study</w:t>
      </w:r>
      <w:r>
        <w:rPr>
          <w:rFonts w:eastAsia="Times New Roman" w:cs="Times New Roman"/>
          <w:color w:val="000000"/>
          <w:szCs w:val="20"/>
          <w:lang w:eastAsia="en-AU"/>
        </w:rPr>
        <w:t xml:space="preserve">, </w:t>
      </w:r>
      <w:r w:rsidRPr="000B3381">
        <w:rPr>
          <w:rFonts w:eastAsia="Times New Roman" w:cs="Times New Roman"/>
          <w:color w:val="000000"/>
          <w:szCs w:val="20"/>
          <w:lang w:eastAsia="en-AU"/>
        </w:rPr>
        <w:t>of these 30% would also undergo a FDG PET</w:t>
      </w:r>
      <w:r>
        <w:rPr>
          <w:rFonts w:eastAsia="Times New Roman" w:cs="Times New Roman"/>
          <w:color w:val="000000"/>
          <w:szCs w:val="20"/>
          <w:lang w:eastAsia="en-AU"/>
        </w:rPr>
        <w:t xml:space="preserve"> and based on this be potentially eligible for</w:t>
      </w:r>
      <w:r w:rsidRPr="001347A2">
        <w:rPr>
          <w:rFonts w:eastAsia="Times New Roman" w:cs="Times New Roman"/>
          <w:color w:val="000000"/>
          <w:szCs w:val="20"/>
          <w:lang w:eastAsia="en-AU"/>
        </w:rPr>
        <w:t xml:space="preserve"> </w:t>
      </w:r>
      <w:r w:rsidRPr="00994611">
        <w:rPr>
          <w:rFonts w:eastAsia="Times New Roman" w:cs="Times New Roman"/>
          <w:color w:val="000000"/>
          <w:szCs w:val="20"/>
          <w:vertAlign w:val="superscript"/>
          <w:lang w:eastAsia="en-AU"/>
        </w:rPr>
        <w:t>177</w:t>
      </w:r>
      <w:r w:rsidRPr="001347A2">
        <w:rPr>
          <w:rFonts w:eastAsia="Times New Roman" w:cs="Times New Roman"/>
          <w:color w:val="000000"/>
          <w:szCs w:val="20"/>
          <w:lang w:eastAsia="en-AU"/>
        </w:rPr>
        <w:t>Lu-DOTA-octreotate</w:t>
      </w:r>
      <w:r>
        <w:rPr>
          <w:rFonts w:eastAsia="Times New Roman" w:cs="Times New Roman"/>
          <w:color w:val="000000"/>
          <w:szCs w:val="20"/>
          <w:lang w:eastAsia="en-AU"/>
        </w:rPr>
        <w:t xml:space="preserve">. However, ESC noted that published estimates indicated that the estimate of those with suspected high SSTR expression and thus eligible for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testing could be as high as 80% in well differentiated NETs</w:t>
      </w:r>
      <w:r>
        <w:rPr>
          <w:rStyle w:val="FootnoteReference"/>
          <w:rFonts w:eastAsia="Times New Roman" w:cs="Times New Roman"/>
          <w:color w:val="000000"/>
          <w:szCs w:val="20"/>
          <w:lang w:eastAsia="en-AU"/>
        </w:rPr>
        <w:footnoteReference w:id="40"/>
      </w:r>
      <w:r>
        <w:rPr>
          <w:rFonts w:eastAsia="Times New Roman" w:cs="Times New Roman"/>
          <w:color w:val="000000"/>
          <w:szCs w:val="20"/>
          <w:lang w:eastAsia="en-AU"/>
        </w:rPr>
        <w:t xml:space="preserve"> and &gt;80% in endocrine tumours of </w:t>
      </w:r>
      <w:proofErr w:type="spellStart"/>
      <w:r>
        <w:rPr>
          <w:rFonts w:eastAsia="Times New Roman" w:cs="Times New Roman"/>
          <w:color w:val="000000"/>
          <w:szCs w:val="20"/>
          <w:lang w:eastAsia="en-AU"/>
        </w:rPr>
        <w:t>gastroenteropancreatic</w:t>
      </w:r>
      <w:proofErr w:type="spellEnd"/>
      <w:r>
        <w:rPr>
          <w:rFonts w:eastAsia="Times New Roman" w:cs="Times New Roman"/>
          <w:color w:val="000000"/>
          <w:szCs w:val="20"/>
          <w:lang w:eastAsia="en-AU"/>
        </w:rPr>
        <w:t>-NETs</w:t>
      </w:r>
      <w:r>
        <w:rPr>
          <w:rStyle w:val="FootnoteReference"/>
          <w:rFonts w:eastAsia="Times New Roman" w:cs="Times New Roman"/>
          <w:color w:val="000000"/>
          <w:szCs w:val="20"/>
          <w:lang w:eastAsia="en-AU"/>
        </w:rPr>
        <w:footnoteReference w:id="41"/>
      </w:r>
      <w:r>
        <w:rPr>
          <w:rFonts w:eastAsia="Times New Roman" w:cs="Times New Roman"/>
          <w:color w:val="000000"/>
          <w:szCs w:val="20"/>
          <w:lang w:eastAsia="en-AU"/>
        </w:rPr>
        <w:t xml:space="preserve"> . ESC conducted additional sensitivity analysis assuming 80% </w:t>
      </w:r>
      <w:r w:rsidRPr="00C12AA1">
        <w:rPr>
          <w:rFonts w:eastAsia="Times New Roman" w:cs="Times New Roman"/>
          <w:color w:val="000000"/>
          <w:szCs w:val="20"/>
          <w:lang w:eastAsia="en-AU"/>
        </w:rPr>
        <w:t>of the incident population undertook the proposed imaging and a doubling of the population undergoing treatment</w:t>
      </w:r>
      <w:r>
        <w:rPr>
          <w:rFonts w:eastAsia="Times New Roman" w:cs="Times New Roman"/>
          <w:color w:val="000000"/>
          <w:szCs w:val="20"/>
          <w:lang w:eastAsia="en-AU"/>
        </w:rPr>
        <w:t xml:space="preserve"> (as uptake of </w:t>
      </w:r>
      <w:r w:rsidRPr="00A87EEF">
        <w:rPr>
          <w:rFonts w:eastAsia="Times New Roman" w:cs="Times New Roman"/>
          <w:color w:val="000000"/>
          <w:szCs w:val="20"/>
          <w:vertAlign w:val="superscript"/>
          <w:lang w:eastAsia="en-AU"/>
        </w:rPr>
        <w:t>177</w:t>
      </w:r>
      <w:r w:rsidRPr="001347A2">
        <w:rPr>
          <w:rFonts w:eastAsia="Times New Roman" w:cs="Times New Roman"/>
          <w:color w:val="000000"/>
          <w:szCs w:val="20"/>
          <w:lang w:eastAsia="en-AU"/>
        </w:rPr>
        <w:t>Lu-DOTA-octreotate</w:t>
      </w:r>
      <w:r>
        <w:rPr>
          <w:rFonts w:eastAsia="Times New Roman" w:cs="Times New Roman"/>
          <w:color w:val="000000"/>
          <w:szCs w:val="20"/>
          <w:lang w:eastAsia="en-AU"/>
        </w:rPr>
        <w:t xml:space="preserve"> also based on assumption)</w:t>
      </w:r>
      <w:r w:rsidRPr="00C12AA1">
        <w:rPr>
          <w:rFonts w:eastAsia="Times New Roman" w:cs="Times New Roman"/>
          <w:color w:val="000000"/>
          <w:szCs w:val="20"/>
          <w:lang w:eastAsia="en-AU"/>
        </w:rPr>
        <w:t xml:space="preserve"> estimated a net cost of $</w:t>
      </w:r>
      <w:r>
        <w:rPr>
          <w:rFonts w:eastAsia="Times New Roman" w:cs="Times New Roman"/>
          <w:color w:val="000000"/>
          <w:szCs w:val="20"/>
          <w:lang w:eastAsia="en-AU"/>
        </w:rPr>
        <w:t>23.95</w:t>
      </w:r>
      <w:r w:rsidRPr="00C12AA1">
        <w:rPr>
          <w:rFonts w:eastAsia="Times New Roman" w:cs="Times New Roman"/>
          <w:color w:val="000000"/>
          <w:szCs w:val="20"/>
          <w:lang w:eastAsia="en-AU"/>
        </w:rPr>
        <w:t xml:space="preserve"> million by</w:t>
      </w:r>
      <w:r>
        <w:rPr>
          <w:rFonts w:eastAsia="Times New Roman" w:cs="Times New Roman"/>
          <w:color w:val="000000"/>
          <w:szCs w:val="20"/>
          <w:lang w:eastAsia="en-AU"/>
        </w:rPr>
        <w:t xml:space="preserve"> 2029 (see </w:t>
      </w:r>
      <w:r>
        <w:rPr>
          <w:rFonts w:eastAsia="Times New Roman" w:cs="Times New Roman"/>
          <w:color w:val="000000"/>
          <w:szCs w:val="20"/>
          <w:lang w:eastAsia="en-AU"/>
        </w:rPr>
        <w:fldChar w:fldCharType="begin"/>
      </w:r>
      <w:r>
        <w:rPr>
          <w:rFonts w:eastAsia="Times New Roman" w:cs="Times New Roman"/>
          <w:color w:val="000000"/>
          <w:szCs w:val="20"/>
          <w:lang w:eastAsia="en-AU"/>
        </w:rPr>
        <w:instrText xml:space="preserve"> REF _Ref170204677 \h </w:instrText>
      </w:r>
      <w:r>
        <w:rPr>
          <w:rFonts w:eastAsia="Times New Roman" w:cs="Times New Roman"/>
          <w:color w:val="000000"/>
          <w:szCs w:val="20"/>
          <w:lang w:eastAsia="en-AU"/>
        </w:rPr>
      </w:r>
      <w:r>
        <w:rPr>
          <w:rFonts w:eastAsia="Times New Roman" w:cs="Times New Roman"/>
          <w:color w:val="000000"/>
          <w:szCs w:val="20"/>
          <w:lang w:eastAsia="en-AU"/>
        </w:rPr>
        <w:fldChar w:fldCharType="separate"/>
      </w:r>
      <w:r>
        <w:t xml:space="preserve">Table </w:t>
      </w:r>
      <w:r>
        <w:rPr>
          <w:noProof/>
        </w:rPr>
        <w:t>17</w:t>
      </w:r>
      <w:r>
        <w:rPr>
          <w:rFonts w:eastAsia="Times New Roman" w:cs="Times New Roman"/>
          <w:color w:val="000000"/>
          <w:szCs w:val="20"/>
          <w:lang w:eastAsia="en-AU"/>
        </w:rPr>
        <w:fldChar w:fldCharType="end"/>
      </w:r>
      <w:r>
        <w:rPr>
          <w:rFonts w:eastAsia="Times New Roman" w:cs="Times New Roman"/>
          <w:color w:val="000000"/>
          <w:szCs w:val="20"/>
          <w:lang w:eastAsia="en-AU"/>
        </w:rPr>
        <w:t>).</w:t>
      </w:r>
    </w:p>
    <w:p w14:paraId="7BF1081C" w14:textId="21967E26" w:rsidR="006E0188" w:rsidRDefault="000B228E" w:rsidP="006E0188">
      <w:pPr>
        <w:spacing w:before="0" w:after="240" w:line="240" w:lineRule="auto"/>
        <w:rPr>
          <w:rFonts w:eastAsia="Times New Roman" w:cs="Times New Roman"/>
          <w:color w:val="000000"/>
          <w:szCs w:val="20"/>
          <w:lang w:eastAsia="en-AU"/>
        </w:rPr>
      </w:pPr>
      <w:r>
        <w:rPr>
          <w:rFonts w:eastAsia="Times New Roman" w:cs="Times New Roman"/>
          <w:color w:val="000000"/>
          <w:szCs w:val="20"/>
          <w:lang w:eastAsia="en-AU"/>
        </w:rPr>
        <w:t>Due to the high uncertainty in the financial estimates which heavily relied on assumption, ESC advised that the assessment group investigate whether the financial estimates could be refined to better estimate the incident testing population based on published estimates</w:t>
      </w:r>
      <w:r>
        <w:rPr>
          <w:rStyle w:val="FootnoteReference"/>
          <w:rFonts w:eastAsia="Times New Roman" w:cs="Times New Roman"/>
          <w:color w:val="000000"/>
          <w:szCs w:val="20"/>
          <w:lang w:eastAsia="en-AU"/>
        </w:rPr>
        <w:footnoteReference w:id="42"/>
      </w:r>
      <w:r>
        <w:rPr>
          <w:rFonts w:eastAsia="Times New Roman" w:cs="Times New Roman"/>
          <w:color w:val="000000"/>
          <w:szCs w:val="20"/>
          <w:lang w:eastAsia="en-AU"/>
        </w:rPr>
        <w:t xml:space="preserve">. In addition, ESC queried whether repeat </w:t>
      </w:r>
      <w:r w:rsidRPr="00D934CD">
        <w:rPr>
          <w:rFonts w:eastAsia="Times New Roman" w:cs="Times New Roman"/>
          <w:color w:val="000000"/>
          <w:szCs w:val="20"/>
          <w:vertAlign w:val="superscript"/>
          <w:lang w:eastAsia="en-AU"/>
        </w:rPr>
        <w:t>68</w:t>
      </w:r>
      <w:r w:rsidRPr="00D934CD">
        <w:rPr>
          <w:rFonts w:eastAsia="Times New Roman" w:cs="Times New Roman"/>
          <w:color w:val="000000"/>
          <w:szCs w:val="20"/>
          <w:lang w:eastAsia="en-AU"/>
        </w:rPr>
        <w:t>Ga-DOTA-octreotate PET/CT</w:t>
      </w:r>
      <w:r>
        <w:rPr>
          <w:rFonts w:eastAsia="Times New Roman" w:cs="Times New Roman"/>
          <w:color w:val="000000"/>
          <w:szCs w:val="20"/>
          <w:lang w:eastAsia="en-AU"/>
        </w:rPr>
        <w:t xml:space="preserve"> imaging for monitoring treatment response (permissible in the proposed MBS item) was adequately captured in the financial analysis. ESC also considered that the </w:t>
      </w:r>
      <w:r w:rsidRPr="00D97574">
        <w:rPr>
          <w:rFonts w:eastAsia="Times New Roman" w:cs="Times New Roman"/>
          <w:color w:val="000000"/>
          <w:szCs w:val="20"/>
          <w:lang w:eastAsia="en-AU"/>
        </w:rPr>
        <w:t xml:space="preserve">financial analysis </w:t>
      </w:r>
      <w:proofErr w:type="gramStart"/>
      <w:r w:rsidRPr="00D97574">
        <w:rPr>
          <w:rFonts w:eastAsia="Times New Roman" w:cs="Times New Roman"/>
          <w:color w:val="000000"/>
          <w:szCs w:val="20"/>
          <w:lang w:eastAsia="en-AU"/>
        </w:rPr>
        <w:t>us</w:t>
      </w:r>
      <w:r>
        <w:rPr>
          <w:rFonts w:eastAsia="Times New Roman" w:cs="Times New Roman"/>
          <w:color w:val="000000"/>
          <w:szCs w:val="20"/>
          <w:lang w:eastAsia="en-AU"/>
        </w:rPr>
        <w:t>e</w:t>
      </w:r>
      <w:proofErr w:type="gramEnd"/>
      <w:r>
        <w:rPr>
          <w:rFonts w:eastAsia="Times New Roman" w:cs="Times New Roman"/>
          <w:color w:val="000000"/>
          <w:szCs w:val="20"/>
          <w:lang w:eastAsia="en-AU"/>
        </w:rPr>
        <w:t xml:space="preserve"> the amended fee of</w:t>
      </w:r>
      <w:r w:rsidRPr="00D97574">
        <w:rPr>
          <w:rFonts w:eastAsia="Times New Roman" w:cs="Times New Roman"/>
          <w:color w:val="000000"/>
          <w:szCs w:val="20"/>
          <w:lang w:eastAsia="en-AU"/>
        </w:rPr>
        <w:t xml:space="preserve"> $10,000 fee for </w:t>
      </w:r>
      <w:r w:rsidRPr="00994611">
        <w:rPr>
          <w:rFonts w:eastAsia="Times New Roman" w:cs="Times New Roman"/>
          <w:color w:val="000000"/>
          <w:szCs w:val="20"/>
          <w:vertAlign w:val="superscript"/>
          <w:lang w:eastAsia="en-AU"/>
        </w:rPr>
        <w:t>177</w:t>
      </w:r>
      <w:r w:rsidRPr="00705061">
        <w:rPr>
          <w:rFonts w:eastAsia="Times New Roman" w:cs="Times New Roman"/>
          <w:color w:val="000000"/>
          <w:szCs w:val="20"/>
          <w:lang w:eastAsia="en-AU"/>
        </w:rPr>
        <w:t>Lutetium-somastatin receptor agonist treatment</w:t>
      </w:r>
      <w:r w:rsidRPr="00896435">
        <w:rPr>
          <w:rFonts w:eastAsia="Times New Roman" w:cs="Times New Roman"/>
          <w:color w:val="000000"/>
          <w:szCs w:val="20"/>
          <w:lang w:eastAsia="en-AU"/>
        </w:rPr>
        <w:t xml:space="preserve"> </w:t>
      </w:r>
      <w:r>
        <w:rPr>
          <w:rFonts w:eastAsia="Times New Roman" w:cs="Times New Roman"/>
          <w:color w:val="000000"/>
          <w:szCs w:val="20"/>
          <w:lang w:eastAsia="en-AU"/>
        </w:rPr>
        <w:t>in the proposed item for PRRT therapy.</w:t>
      </w:r>
      <w:r w:rsidR="006E0188">
        <w:rPr>
          <w:rFonts w:eastAsia="Times New Roman" w:cs="Times New Roman"/>
          <w:color w:val="000000"/>
          <w:szCs w:val="20"/>
          <w:lang w:eastAsia="en-AU"/>
        </w:rPr>
        <w:br w:type="page"/>
      </w:r>
    </w:p>
    <w:p w14:paraId="084781A9" w14:textId="77777777" w:rsidR="000B228E" w:rsidRPr="00B729B9" w:rsidRDefault="000B228E" w:rsidP="000B228E">
      <w:pPr>
        <w:pBdr>
          <w:top w:val="single" w:sz="4" w:space="1" w:color="auto"/>
          <w:left w:val="single" w:sz="4" w:space="4" w:color="auto"/>
          <w:bottom w:val="single" w:sz="4" w:space="1" w:color="auto"/>
          <w:right w:val="single" w:sz="4" w:space="4" w:color="auto"/>
        </w:pBdr>
        <w:spacing w:before="0" w:after="240" w:line="240" w:lineRule="auto"/>
        <w:rPr>
          <w:rFonts w:eastAsia="Times New Roman" w:cs="Times New Roman"/>
          <w:color w:val="000000"/>
          <w:szCs w:val="20"/>
          <w:lang w:eastAsia="en-AU"/>
        </w:rPr>
      </w:pPr>
      <w:r>
        <w:rPr>
          <w:rFonts w:eastAsia="Calibri" w:cs="Times New Roman"/>
          <w:color w:val="000000"/>
          <w:szCs w:val="20"/>
        </w:rPr>
        <w:lastRenderedPageBreak/>
        <w:t xml:space="preserve">Following the ESC meeting, the assessment group produced an Addendum to address the ESC’s information request for the financial model. This resulted in an </w:t>
      </w:r>
      <w:r>
        <w:rPr>
          <w:iCs/>
        </w:rPr>
        <w:t xml:space="preserve">additional sensitivity analysis which updated the financial impact of </w:t>
      </w:r>
      <w:r>
        <w:rPr>
          <w:iCs/>
          <w:vertAlign w:val="superscript"/>
        </w:rPr>
        <w:t>177</w:t>
      </w:r>
      <w:r>
        <w:rPr>
          <w:iCs/>
        </w:rPr>
        <w:t xml:space="preserve">Lu-DOTA-octreotate </w:t>
      </w:r>
      <w:r w:rsidRPr="00743C06">
        <w:t>using the amended MBS fee of $10,000 fo</w:t>
      </w:r>
      <w:r>
        <w:t xml:space="preserve">r each treatment </w:t>
      </w:r>
      <w:r w:rsidRPr="00743C06">
        <w:t>cycle</w:t>
      </w:r>
      <w:r>
        <w:t xml:space="preserve"> (</w:t>
      </w:r>
      <w:r w:rsidRPr="00C64781">
        <w:rPr>
          <w:iCs/>
        </w:rPr>
        <w:t>rebate=</w:t>
      </w:r>
      <w:r w:rsidRPr="002F5BB7">
        <w:rPr>
          <w:rFonts w:cs="Segoe UI"/>
        </w:rPr>
        <w:t>$9,901.30</w:t>
      </w:r>
      <w:r>
        <w:rPr>
          <w:rFonts w:cs="Segoe UI"/>
        </w:rPr>
        <w:t xml:space="preserve"> for each treatment cycle</w:t>
      </w:r>
      <w:r w:rsidRPr="002F5BB7">
        <w:rPr>
          <w:rFonts w:cs="Segoe UI"/>
        </w:rPr>
        <w:t xml:space="preserve"> after </w:t>
      </w:r>
      <w:r>
        <w:rPr>
          <w:rFonts w:cs="Segoe UI"/>
        </w:rPr>
        <w:t>consideration of the</w:t>
      </w:r>
      <w:r w:rsidRPr="002F5BB7">
        <w:rPr>
          <w:rFonts w:cs="Segoe UI"/>
        </w:rPr>
        <w:t xml:space="preserve"> greatest permissible gap)</w:t>
      </w:r>
      <w:r w:rsidRPr="00C64781">
        <w:rPr>
          <w:iCs/>
        </w:rPr>
        <w:t>.</w:t>
      </w:r>
      <w:r>
        <w:rPr>
          <w:iCs/>
        </w:rPr>
        <w:t xml:space="preserve"> The assessment group also conducted additional scenario analyses: where an additional diagnostic test is assumed to be conducted as part of monitoring; and also an additional scenario exploring the impact of 80% of the eligible incident population receiving diagnostic testing was assessed based on published estimates which </w:t>
      </w:r>
      <w:r w:rsidRPr="00742B8A">
        <w:rPr>
          <w:iCs/>
        </w:rPr>
        <w:t>indicat</w:t>
      </w:r>
      <w:r>
        <w:rPr>
          <w:iCs/>
        </w:rPr>
        <w:t xml:space="preserve">ed that </w:t>
      </w:r>
      <w:r w:rsidRPr="00090960">
        <w:rPr>
          <w:color w:val="000000"/>
        </w:rPr>
        <w:t xml:space="preserve">the estimate of those with suspected high SSTR expression and thus eligible for </w:t>
      </w:r>
      <w:r w:rsidRPr="00090960">
        <w:rPr>
          <w:color w:val="000000"/>
          <w:vertAlign w:val="superscript"/>
        </w:rPr>
        <w:t>68</w:t>
      </w:r>
      <w:r w:rsidRPr="00090960">
        <w:rPr>
          <w:color w:val="000000"/>
        </w:rPr>
        <w:t xml:space="preserve">Ga-DOTA-octreotate PET/CT testing could be as high as 80% in well differentiated </w:t>
      </w:r>
      <w:r>
        <w:rPr>
          <w:iCs/>
        </w:rPr>
        <w:t>NENs</w:t>
      </w:r>
      <w:r>
        <w:rPr>
          <w:iCs/>
          <w:vertAlign w:val="superscript"/>
        </w:rPr>
        <w:t>7</w:t>
      </w:r>
      <w:r>
        <w:rPr>
          <w:iCs/>
        </w:rPr>
        <w:t xml:space="preserve">. Sensitivity analyses were also conducted for each additional scenario (see </w:t>
      </w:r>
      <w:r w:rsidRPr="003503BC">
        <w:rPr>
          <w:b/>
        </w:rPr>
        <w:t>Attachment</w:t>
      </w:r>
      <w:r>
        <w:rPr>
          <w:iCs/>
        </w:rPr>
        <w:t xml:space="preserve">). The financial impact under the ESC scenario (80% of eligible population tested; additional </w:t>
      </w:r>
      <w:r w:rsidRPr="00C06124">
        <w:rPr>
          <w:vertAlign w:val="superscript"/>
        </w:rPr>
        <w:t>68</w:t>
      </w:r>
      <w:r w:rsidRPr="00C06124">
        <w:t>Ga-</w:t>
      </w:r>
      <w:r>
        <w:t>DOTA-octreotate PET study for treated patients) resulted in a higher net cost of $82.93 million by 2029.</w:t>
      </w:r>
    </w:p>
    <w:p w14:paraId="23DF6F3B" w14:textId="09A19ACB" w:rsidR="000B228E" w:rsidRPr="001B421A" w:rsidRDefault="000B228E" w:rsidP="000B228E">
      <w:pPr>
        <w:spacing w:before="0" w:after="240" w:line="240" w:lineRule="auto"/>
        <w:contextualSpacing/>
        <w:rPr>
          <w:rFonts w:eastAsia="Times New Roman" w:cs="Times New Roman"/>
          <w:color w:val="000000"/>
          <w:szCs w:val="20"/>
          <w:lang w:eastAsia="en-AU"/>
        </w:rPr>
      </w:pPr>
      <w:r>
        <w:rPr>
          <w:rFonts w:eastAsia="Times New Roman" w:cs="Times New Roman"/>
          <w:color w:val="000000"/>
          <w:szCs w:val="20"/>
          <w:lang w:eastAsia="en-AU"/>
        </w:rPr>
        <w:t xml:space="preserve">In addition, </w:t>
      </w:r>
      <w:r w:rsidRPr="00D934CD">
        <w:rPr>
          <w:rFonts w:eastAsia="Times New Roman" w:cs="Times New Roman"/>
          <w:color w:val="000000"/>
          <w:szCs w:val="20"/>
          <w:lang w:eastAsia="en-AU"/>
        </w:rPr>
        <w:t xml:space="preserve">ESC </w:t>
      </w:r>
      <w:r>
        <w:rPr>
          <w:rFonts w:eastAsia="Times New Roman" w:cs="Times New Roman"/>
          <w:color w:val="000000"/>
          <w:szCs w:val="20"/>
          <w:lang w:eastAsia="en-AU"/>
        </w:rPr>
        <w:t xml:space="preserve">queried whether the applicant could provide </w:t>
      </w:r>
      <w:r w:rsidRPr="00D934CD">
        <w:rPr>
          <w:rFonts w:eastAsia="Times New Roman" w:cs="Times New Roman"/>
          <w:color w:val="000000"/>
          <w:szCs w:val="20"/>
          <w:lang w:eastAsia="en-AU"/>
        </w:rPr>
        <w:t>additional advice on extent of current use</w:t>
      </w:r>
      <w:r>
        <w:rPr>
          <w:rFonts w:eastAsia="Times New Roman" w:cs="Times New Roman"/>
          <w:color w:val="000000"/>
          <w:szCs w:val="20"/>
          <w:lang w:eastAsia="en-AU"/>
        </w:rPr>
        <w:t xml:space="preserve"> of </w:t>
      </w:r>
      <w:r w:rsidRPr="001501CD">
        <w:rPr>
          <w:rFonts w:eastAsia="Times New Roman" w:cs="Times New Roman"/>
          <w:color w:val="000000"/>
          <w:szCs w:val="20"/>
          <w:vertAlign w:val="superscript"/>
          <w:lang w:eastAsia="en-AU"/>
        </w:rPr>
        <w:t>177</w:t>
      </w:r>
      <w:r>
        <w:rPr>
          <w:rFonts w:eastAsia="Times New Roman" w:cs="Times New Roman"/>
          <w:color w:val="000000"/>
          <w:szCs w:val="20"/>
          <w:lang w:eastAsia="en-AU"/>
        </w:rPr>
        <w:t>Lu PRRT therapy, such as</w:t>
      </w:r>
      <w:r w:rsidRPr="00D934CD">
        <w:rPr>
          <w:rFonts w:eastAsia="Times New Roman" w:cs="Times New Roman"/>
          <w:color w:val="000000"/>
          <w:szCs w:val="20"/>
          <w:lang w:eastAsia="en-AU"/>
        </w:rPr>
        <w:t xml:space="preserve"> from DVA claim</w:t>
      </w:r>
      <w:r>
        <w:rPr>
          <w:rFonts w:eastAsia="Times New Roman" w:cs="Times New Roman"/>
          <w:color w:val="000000"/>
          <w:szCs w:val="20"/>
          <w:lang w:eastAsia="en-AU"/>
        </w:rPr>
        <w:t xml:space="preserve">ing data. ESC noted that patients also may be currently paying out-of-pocket for </w:t>
      </w:r>
      <w:r w:rsidRPr="001501CD">
        <w:rPr>
          <w:rFonts w:eastAsia="Times New Roman" w:cs="Times New Roman"/>
          <w:color w:val="000000"/>
          <w:szCs w:val="20"/>
          <w:vertAlign w:val="superscript"/>
          <w:lang w:eastAsia="en-AU"/>
        </w:rPr>
        <w:t>177</w:t>
      </w:r>
      <w:r>
        <w:rPr>
          <w:rFonts w:eastAsia="Times New Roman" w:cs="Times New Roman"/>
          <w:color w:val="000000"/>
          <w:szCs w:val="20"/>
          <w:lang w:eastAsia="en-AU"/>
        </w:rPr>
        <w:t>Lu PRRT therapy.</w:t>
      </w:r>
    </w:p>
    <w:p w14:paraId="4DBAFF40" w14:textId="77777777" w:rsidR="000B228E" w:rsidRPr="00994611" w:rsidRDefault="000B228E" w:rsidP="000B228E">
      <w:pPr>
        <w:spacing w:before="0" w:after="240" w:line="240" w:lineRule="auto"/>
        <w:rPr>
          <w:rFonts w:eastAsia="Calibri" w:cs="Times New Roman"/>
          <w:color w:val="000000"/>
          <w:szCs w:val="20"/>
        </w:rPr>
      </w:pPr>
      <w:r>
        <w:rPr>
          <w:rFonts w:eastAsia="Calibri" w:cs="Times New Roman"/>
          <w:color w:val="000000"/>
          <w:szCs w:val="20"/>
        </w:rPr>
        <w:t xml:space="preserve">ESC also noted that insofar as there were evidence gaps deserving of future areas of research, </w:t>
      </w:r>
      <w:r w:rsidRPr="00D36FB1">
        <w:rPr>
          <w:rFonts w:eastAsia="Calibri" w:cs="Times New Roman"/>
          <w:color w:val="000000"/>
          <w:szCs w:val="20"/>
        </w:rPr>
        <w:t xml:space="preserve">evidence on patient outcomes </w:t>
      </w:r>
      <w:r>
        <w:rPr>
          <w:rFonts w:eastAsia="Calibri" w:cs="Times New Roman"/>
          <w:color w:val="000000"/>
          <w:szCs w:val="20"/>
        </w:rPr>
        <w:t>and significant adverse events</w:t>
      </w:r>
      <w:r w:rsidRPr="00D36FB1">
        <w:rPr>
          <w:rFonts w:eastAsia="Calibri" w:cs="Times New Roman"/>
          <w:color w:val="000000"/>
          <w:szCs w:val="20"/>
        </w:rPr>
        <w:t xml:space="preserve"> should </w:t>
      </w:r>
      <w:r>
        <w:rPr>
          <w:rFonts w:eastAsia="Calibri" w:cs="Times New Roman"/>
          <w:color w:val="000000"/>
          <w:szCs w:val="20"/>
        </w:rPr>
        <w:t xml:space="preserve">already </w:t>
      </w:r>
      <w:r w:rsidRPr="00D36FB1">
        <w:rPr>
          <w:rFonts w:eastAsia="Calibri" w:cs="Times New Roman"/>
          <w:color w:val="000000"/>
          <w:szCs w:val="20"/>
        </w:rPr>
        <w:t xml:space="preserve">be available from major hospitals with </w:t>
      </w:r>
      <w:r>
        <w:rPr>
          <w:rFonts w:eastAsia="Calibri" w:cs="Times New Roman"/>
          <w:color w:val="000000"/>
          <w:szCs w:val="20"/>
        </w:rPr>
        <w:t xml:space="preserve">a </w:t>
      </w:r>
      <w:r w:rsidRPr="00D36FB1">
        <w:rPr>
          <w:rFonts w:eastAsia="Calibri" w:cs="Times New Roman"/>
          <w:color w:val="000000"/>
          <w:szCs w:val="20"/>
        </w:rPr>
        <w:t>nuclear medicine</w:t>
      </w:r>
      <w:r>
        <w:rPr>
          <w:rFonts w:eastAsia="Calibri" w:cs="Times New Roman"/>
          <w:color w:val="000000"/>
          <w:szCs w:val="20"/>
        </w:rPr>
        <w:t xml:space="preserve"> facility.</w:t>
      </w:r>
    </w:p>
    <w:p w14:paraId="08518D8C" w14:textId="77777777" w:rsidR="001B421A" w:rsidRDefault="001B421A" w:rsidP="001B421A">
      <w:pPr>
        <w:pStyle w:val="Heading2"/>
        <w:numPr>
          <w:ilvl w:val="0"/>
          <w:numId w:val="0"/>
        </w:numPr>
      </w:pPr>
      <w:r>
        <w:t>17.</w:t>
      </w:r>
      <w:r>
        <w:tab/>
        <w:t>Applicant comments on MSAC’s Public Summary Document</w:t>
      </w:r>
    </w:p>
    <w:p w14:paraId="51F776FF" w14:textId="7BD25C5D" w:rsidR="004F6F0A" w:rsidRPr="00BA2B75" w:rsidRDefault="007C631D" w:rsidP="001B421A">
      <w:pPr>
        <w:spacing w:after="240"/>
      </w:pPr>
      <w:r w:rsidRPr="00BA2B75">
        <w:t xml:space="preserve">The </w:t>
      </w:r>
      <w:r w:rsidR="00BA2B75" w:rsidRPr="00BA2B75">
        <w:t>applicant had no comment.</w:t>
      </w:r>
    </w:p>
    <w:p w14:paraId="648FFF54" w14:textId="77777777" w:rsidR="001B421A" w:rsidRDefault="001B421A" w:rsidP="001B421A">
      <w:pPr>
        <w:pStyle w:val="Heading2"/>
        <w:numPr>
          <w:ilvl w:val="0"/>
          <w:numId w:val="0"/>
        </w:numPr>
      </w:pPr>
      <w:r>
        <w:t>18.</w:t>
      </w:r>
      <w:r>
        <w:tab/>
        <w:t>Further information on MSAC</w:t>
      </w:r>
    </w:p>
    <w:p w14:paraId="5B0CB18A" w14:textId="74FC392F" w:rsidR="00624BA7" w:rsidRPr="001B421A" w:rsidRDefault="001B421A" w:rsidP="001B421A">
      <w:pPr>
        <w:pStyle w:val="BodyText"/>
        <w:rPr>
          <w:rFonts w:ascii="Franklin Gothic Book" w:hAnsi="Franklin Gothic Book" w:cstheme="minorBidi"/>
          <w:b/>
          <w:bCs/>
          <w:i/>
          <w:iCs/>
          <w:sz w:val="22"/>
        </w:rPr>
      </w:pPr>
      <w:r w:rsidRPr="00F309FA">
        <w:rPr>
          <w:rFonts w:ascii="Franklin Gothic Book" w:hAnsi="Franklin Gothic Book"/>
          <w:bCs/>
          <w:iCs/>
          <w:sz w:val="22"/>
        </w:rPr>
        <w:t xml:space="preserve">MSAC Terms of Reference and other information are available on the MSAC Website: </w:t>
      </w:r>
      <w:hyperlink r:id="rId22" w:tooltip="Link to the MSAC website" w:history="1">
        <w:r w:rsidRPr="00F309FA">
          <w:rPr>
            <w:rStyle w:val="Hyperlink"/>
            <w:rFonts w:ascii="Franklin Gothic Book" w:hAnsi="Franklin Gothic Book"/>
            <w:iCs/>
            <w:sz w:val="22"/>
          </w:rPr>
          <w:t>visit the MSAC website</w:t>
        </w:r>
      </w:hyperlink>
      <w:r w:rsidR="00624BA7">
        <w:br w:type="page"/>
      </w:r>
    </w:p>
    <w:p w14:paraId="22E01F21" w14:textId="7027D889" w:rsidR="00624BA7" w:rsidRDefault="00624BA7" w:rsidP="00624BA7">
      <w:pPr>
        <w:pStyle w:val="Heading1"/>
        <w:numPr>
          <w:ilvl w:val="0"/>
          <w:numId w:val="0"/>
        </w:numPr>
        <w:ind w:left="426"/>
      </w:pPr>
      <w:r>
        <w:lastRenderedPageBreak/>
        <w:t>Attachment</w:t>
      </w:r>
    </w:p>
    <w:p w14:paraId="44FF05FD" w14:textId="7D65201F" w:rsidR="00624BA7" w:rsidRDefault="00624BA7" w:rsidP="00624BA7">
      <w:pPr>
        <w:pStyle w:val="Heading3"/>
      </w:pPr>
      <w:r>
        <w:t>Addendum</w:t>
      </w:r>
    </w:p>
    <w:p w14:paraId="6A90FC89" w14:textId="77777777" w:rsidR="004D7392" w:rsidRPr="00CE28E3" w:rsidRDefault="004D7392" w:rsidP="004D7392">
      <w:pPr>
        <w:pStyle w:val="Heading2"/>
        <w:numPr>
          <w:ilvl w:val="0"/>
          <w:numId w:val="0"/>
        </w:numPr>
      </w:pPr>
      <w:bookmarkStart w:id="120" w:name="_Toc170409072"/>
      <w:r>
        <w:t>1.</w:t>
      </w:r>
      <w:r>
        <w:tab/>
        <w:t>Additional cost-effectiveness sensitivity analysis</w:t>
      </w:r>
      <w:bookmarkEnd w:id="120"/>
    </w:p>
    <w:p w14:paraId="5734F613" w14:textId="77777777" w:rsidR="004D7392" w:rsidRDefault="004D7392" w:rsidP="004D7392">
      <w:pPr>
        <w:spacing w:after="240"/>
        <w:rPr>
          <w:iCs/>
        </w:rPr>
      </w:pPr>
      <w:r>
        <w:rPr>
          <w:iCs/>
        </w:rPr>
        <w:t xml:space="preserve">Additional sensitivity analysis has been conducted to explore the impact of choice of parametric distribution on the estimated cost-effectiveness of </w:t>
      </w:r>
      <w:r w:rsidRPr="00FA1DA7">
        <w:rPr>
          <w:iCs/>
          <w:vertAlign w:val="superscript"/>
        </w:rPr>
        <w:t>177</w:t>
      </w:r>
      <w:r w:rsidRPr="00FA1DA7">
        <w:rPr>
          <w:iCs/>
        </w:rPr>
        <w:t>Lu</w:t>
      </w:r>
      <w:r>
        <w:rPr>
          <w:iCs/>
        </w:rPr>
        <w:t>tetium (Lu)</w:t>
      </w:r>
      <w:r w:rsidRPr="00FA1DA7">
        <w:rPr>
          <w:iCs/>
        </w:rPr>
        <w:t>-DOTA-</w:t>
      </w:r>
      <w:proofErr w:type="spellStart"/>
      <w:r w:rsidRPr="00FA1DA7">
        <w:rPr>
          <w:iCs/>
        </w:rPr>
        <w:t>octreotate</w:t>
      </w:r>
      <w:proofErr w:type="spellEnd"/>
      <w:r w:rsidRPr="00FA1DA7">
        <w:rPr>
          <w:iCs/>
        </w:rPr>
        <w:t xml:space="preserve"> for the treatment of advanced </w:t>
      </w:r>
      <w:r>
        <w:rPr>
          <w:iCs/>
        </w:rPr>
        <w:t xml:space="preserve">neuroendocrine neoplasms (NENs), as well as the mean number of treatment cycles influencing the total cost of treatment. The results of these one- and 2-way sensitivity analyses are presented in </w:t>
      </w:r>
      <w:r>
        <w:rPr>
          <w:iCs/>
        </w:rPr>
        <w:fldChar w:fldCharType="begin"/>
      </w:r>
      <w:r>
        <w:rPr>
          <w:iCs/>
        </w:rPr>
        <w:instrText xml:space="preserve"> REF _Ref170408285 \h </w:instrText>
      </w:r>
      <w:r>
        <w:rPr>
          <w:iCs/>
        </w:rPr>
      </w:r>
      <w:r>
        <w:rPr>
          <w:iCs/>
        </w:rPr>
        <w:fldChar w:fldCharType="separate"/>
      </w:r>
      <w:r>
        <w:t xml:space="preserve">Table </w:t>
      </w:r>
      <w:r>
        <w:rPr>
          <w:noProof/>
        </w:rPr>
        <w:t>1</w:t>
      </w:r>
      <w:r>
        <w:rPr>
          <w:iCs/>
        </w:rPr>
        <w:fldChar w:fldCharType="end"/>
      </w:r>
      <w:r>
        <w:rPr>
          <w:iCs/>
        </w:rPr>
        <w:t>.</w:t>
      </w:r>
    </w:p>
    <w:p w14:paraId="25D11CBB" w14:textId="77777777" w:rsidR="004D7392" w:rsidRDefault="004D7392" w:rsidP="004D7392">
      <w:pPr>
        <w:spacing w:after="240"/>
        <w:rPr>
          <w:iCs/>
        </w:rPr>
      </w:pPr>
      <w:r>
        <w:rPr>
          <w:iCs/>
        </w:rPr>
        <w:t xml:space="preserve">The choice of parametric distribution for progression-free survival (PFS) and overall survival (OS) had a moderate impact on the estimated cost-effectiveness of </w:t>
      </w:r>
      <w:r w:rsidRPr="00FA1DA7">
        <w:rPr>
          <w:iCs/>
          <w:vertAlign w:val="superscript"/>
        </w:rPr>
        <w:t>177</w:t>
      </w:r>
      <w:r w:rsidRPr="00FA1DA7">
        <w:rPr>
          <w:iCs/>
        </w:rPr>
        <w:t>Lu-DOTA-octreotate</w:t>
      </w:r>
      <w:r>
        <w:rPr>
          <w:iCs/>
        </w:rPr>
        <w:t xml:space="preserve">. Incremental cost-effectiveness ratios (ICER) in comparison with placebo ranged between $31,576 per quality-adjusted life year (QALY) and $44,210/QALY for the lognormal and Gompertz distributions, respectively. This trend was consistent across considered comparators. </w:t>
      </w:r>
    </w:p>
    <w:p w14:paraId="62480600" w14:textId="77777777" w:rsidR="004D7392" w:rsidRDefault="004D7392" w:rsidP="004D7392">
      <w:pPr>
        <w:spacing w:after="240"/>
        <w:rPr>
          <w:iCs/>
        </w:rPr>
      </w:pPr>
      <w:r>
        <w:rPr>
          <w:iCs/>
        </w:rPr>
        <w:t xml:space="preserve">Scenarios using different estimated time on treatment for </w:t>
      </w:r>
      <w:r w:rsidRPr="00FA1DA7">
        <w:rPr>
          <w:iCs/>
          <w:vertAlign w:val="superscript"/>
        </w:rPr>
        <w:t>177</w:t>
      </w:r>
      <w:r w:rsidRPr="00FA1DA7">
        <w:rPr>
          <w:iCs/>
        </w:rPr>
        <w:t>Lu-DOTA-octreotate</w:t>
      </w:r>
      <w:r>
        <w:rPr>
          <w:iCs/>
        </w:rPr>
        <w:t xml:space="preserve"> also resulted in moderate changes in the estimated ICER, with an assumed additional 0.5 cycles of treatment increasing the estimated ICER in comparison with placebo from $31,792/QALY in the base case to $35,114/QALY. Similarly, assuming 0.5 fewer cycles of treatment resulted in a reduction in the estimated ICER in comparison with placebo to $28,378/QALY. This trend was repeated across all comparators, and regardless of the choice of parametric distribution. Sunitinib was a dominant treatment option in comparison with </w:t>
      </w:r>
      <w:r w:rsidRPr="00FA1DA7">
        <w:rPr>
          <w:iCs/>
          <w:vertAlign w:val="superscript"/>
        </w:rPr>
        <w:t>177</w:t>
      </w:r>
      <w:r w:rsidRPr="00FA1DA7">
        <w:rPr>
          <w:iCs/>
        </w:rPr>
        <w:t>Lu-DOTA-octreotate</w:t>
      </w:r>
      <w:r>
        <w:rPr>
          <w:iCs/>
        </w:rPr>
        <w:t xml:space="preserve"> in all scenarios.</w:t>
      </w:r>
    </w:p>
    <w:p w14:paraId="001B2690" w14:textId="77777777" w:rsidR="004D7392" w:rsidRDefault="004D7392" w:rsidP="004D7392">
      <w:pPr>
        <w:spacing w:after="240"/>
        <w:rPr>
          <w:iCs/>
        </w:rPr>
      </w:pPr>
      <w:r>
        <w:rPr>
          <w:iCs/>
        </w:rPr>
        <w:t xml:space="preserve">Another scenario considering an assumed additional </w:t>
      </w:r>
      <w:r w:rsidRPr="00024AB4">
        <w:rPr>
          <w:iCs/>
          <w:vertAlign w:val="superscript"/>
        </w:rPr>
        <w:t>68</w:t>
      </w:r>
      <w:r w:rsidRPr="00024AB4">
        <w:rPr>
          <w:iCs/>
        </w:rPr>
        <w:t>Ga</w:t>
      </w:r>
      <w:r>
        <w:rPr>
          <w:iCs/>
        </w:rPr>
        <w:t>llium (Ga)</w:t>
      </w:r>
      <w:r w:rsidRPr="00024AB4">
        <w:rPr>
          <w:iCs/>
        </w:rPr>
        <w:t>-DOTA-</w:t>
      </w:r>
      <w:proofErr w:type="spellStart"/>
      <w:r w:rsidRPr="00024AB4">
        <w:rPr>
          <w:iCs/>
        </w:rPr>
        <w:t>octreotate</w:t>
      </w:r>
      <w:proofErr w:type="spellEnd"/>
      <w:r w:rsidRPr="00024AB4">
        <w:rPr>
          <w:iCs/>
        </w:rPr>
        <w:t xml:space="preserve"> </w:t>
      </w:r>
      <w:r>
        <w:rPr>
          <w:iCs/>
        </w:rPr>
        <w:t>positron emission tomography (</w:t>
      </w:r>
      <w:r w:rsidRPr="00024AB4">
        <w:rPr>
          <w:iCs/>
        </w:rPr>
        <w:t>PET</w:t>
      </w:r>
      <w:r>
        <w:rPr>
          <w:iCs/>
        </w:rPr>
        <w:t>)</w:t>
      </w:r>
      <w:r w:rsidRPr="00024AB4">
        <w:rPr>
          <w:iCs/>
        </w:rPr>
        <w:t>/</w:t>
      </w:r>
      <w:r>
        <w:rPr>
          <w:iCs/>
        </w:rPr>
        <w:t>computed tomography (</w:t>
      </w:r>
      <w:r w:rsidRPr="00024AB4">
        <w:rPr>
          <w:iCs/>
        </w:rPr>
        <w:t>CT</w:t>
      </w:r>
      <w:r>
        <w:rPr>
          <w:iCs/>
        </w:rPr>
        <w:t>)</w:t>
      </w:r>
      <w:r>
        <w:t>—</w:t>
      </w:r>
      <w:r w:rsidRPr="00C06124">
        <w:rPr>
          <w:vertAlign w:val="superscript"/>
        </w:rPr>
        <w:t>68</w:t>
      </w:r>
      <w:r w:rsidRPr="00C06124">
        <w:t>Ga-</w:t>
      </w:r>
      <w:r>
        <w:t>DOTA-octreotate PET/CT—</w:t>
      </w:r>
      <w:r>
        <w:rPr>
          <w:iCs/>
        </w:rPr>
        <w:t xml:space="preserve"> diagnostic test for patients treated with </w:t>
      </w:r>
      <w:r w:rsidRPr="00024AB4">
        <w:rPr>
          <w:iCs/>
          <w:vertAlign w:val="superscript"/>
        </w:rPr>
        <w:t>177</w:t>
      </w:r>
      <w:r w:rsidRPr="00024AB4">
        <w:rPr>
          <w:iCs/>
        </w:rPr>
        <w:t xml:space="preserve">Lu-DOTA-octreotate </w:t>
      </w:r>
      <w:r>
        <w:rPr>
          <w:iCs/>
        </w:rPr>
        <w:t xml:space="preserve">as part of follow-up monitoring was also considered, in contrast with the model base case which assumes that additional monitoring costs will be equivalent between the intervention and comparators. This scenario resulted in a small increase in the ICER for treatment with </w:t>
      </w:r>
      <w:r w:rsidRPr="00024AB4">
        <w:rPr>
          <w:iCs/>
          <w:vertAlign w:val="superscript"/>
        </w:rPr>
        <w:t>177</w:t>
      </w:r>
      <w:r w:rsidRPr="00024AB4">
        <w:rPr>
          <w:iCs/>
        </w:rPr>
        <w:t>Lu-DOTA-octreotate</w:t>
      </w:r>
      <w:r>
        <w:rPr>
          <w:iCs/>
        </w:rPr>
        <w:t>.</w:t>
      </w:r>
      <w:r>
        <w:rPr>
          <w:iCs/>
        </w:rPr>
        <w:br w:type="page"/>
      </w:r>
    </w:p>
    <w:p w14:paraId="2CA31FC1" w14:textId="77777777" w:rsidR="004D7392" w:rsidRDefault="004D7392" w:rsidP="004D7392">
      <w:pPr>
        <w:pStyle w:val="Caption"/>
        <w:sectPr w:rsidR="004D7392" w:rsidSect="00C65DF0">
          <w:headerReference w:type="even" r:id="rId23"/>
          <w:headerReference w:type="default" r:id="rId24"/>
          <w:footerReference w:type="even" r:id="rId25"/>
          <w:footerReference w:type="default" r:id="rId26"/>
          <w:headerReference w:type="first" r:id="rId27"/>
          <w:footerReference w:type="first" r:id="rId28"/>
          <w:pgSz w:w="11906" w:h="16838"/>
          <w:pgMar w:top="1134" w:right="1440" w:bottom="1440" w:left="1440" w:header="708" w:footer="708" w:gutter="0"/>
          <w:cols w:space="708"/>
          <w:docGrid w:linePitch="360"/>
        </w:sectPr>
      </w:pPr>
    </w:p>
    <w:p w14:paraId="090606DC" w14:textId="77777777" w:rsidR="004D7392" w:rsidRDefault="004D7392" w:rsidP="004D7392">
      <w:pPr>
        <w:pStyle w:val="Caption"/>
      </w:pPr>
      <w:bookmarkStart w:id="121" w:name="_Ref170408285"/>
      <w:r>
        <w:lastRenderedPageBreak/>
        <w:t xml:space="preserve">Table </w:t>
      </w:r>
      <w:r>
        <w:fldChar w:fldCharType="begin"/>
      </w:r>
      <w:r>
        <w:instrText xml:space="preserve"> SEQ Table \* ARABIC </w:instrText>
      </w:r>
      <w:r>
        <w:fldChar w:fldCharType="separate"/>
      </w:r>
      <w:r>
        <w:rPr>
          <w:noProof/>
        </w:rPr>
        <w:t>1</w:t>
      </w:r>
      <w:r>
        <w:rPr>
          <w:noProof/>
        </w:rPr>
        <w:fldChar w:fldCharType="end"/>
      </w:r>
      <w:bookmarkEnd w:id="121"/>
      <w:r>
        <w:t>: Additional sensitivity analysis exploring the impact of choice of parametric distribution and assumed treatment duration on the ICER (cost per QALY)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86"/>
        <w:gridCol w:w="1665"/>
        <w:gridCol w:w="1665"/>
        <w:gridCol w:w="1665"/>
        <w:gridCol w:w="1523"/>
        <w:gridCol w:w="1805"/>
        <w:gridCol w:w="1657"/>
      </w:tblGrid>
      <w:tr w:rsidR="004D7392" w:rsidRPr="00F6590F" w14:paraId="727F8FAF" w14:textId="77777777" w:rsidTr="00380727">
        <w:trPr>
          <w:trHeight w:val="315"/>
        </w:trPr>
        <w:tc>
          <w:tcPr>
            <w:tcW w:w="710" w:type="pct"/>
            <w:tcBorders>
              <w:right w:val="nil"/>
            </w:tcBorders>
            <w:shd w:val="clear" w:color="000000" w:fill="FFFFFF"/>
            <w:noWrap/>
            <w:vAlign w:val="center"/>
            <w:hideMark/>
          </w:tcPr>
          <w:p w14:paraId="4741DC52" w14:textId="77777777" w:rsidR="004D7392" w:rsidRPr="00F6590F" w:rsidRDefault="004D7392" w:rsidP="00380727">
            <w:pPr>
              <w:spacing w:before="0" w:after="0" w:line="240" w:lineRule="auto"/>
              <w:rPr>
                <w:rFonts w:ascii="Arial Narrow" w:eastAsia="Times New Roman" w:hAnsi="Arial Narrow" w:cs="Calibri"/>
                <w:color w:val="000000"/>
                <w:sz w:val="20"/>
                <w:szCs w:val="20"/>
                <w:lang w:val="en-US"/>
              </w:rPr>
            </w:pPr>
            <w:r w:rsidRPr="00F6590F">
              <w:rPr>
                <w:rFonts w:ascii="Arial Narrow" w:eastAsia="Times New Roman" w:hAnsi="Arial Narrow" w:cs="Calibri"/>
                <w:color w:val="000000"/>
                <w:sz w:val="20"/>
                <w:szCs w:val="20"/>
                <w:lang w:val="en-US"/>
              </w:rPr>
              <w:t> </w:t>
            </w:r>
          </w:p>
        </w:tc>
        <w:tc>
          <w:tcPr>
            <w:tcW w:w="711" w:type="pct"/>
            <w:tcBorders>
              <w:left w:val="nil"/>
            </w:tcBorders>
            <w:shd w:val="clear" w:color="000000" w:fill="FFFFFF"/>
            <w:noWrap/>
            <w:vAlign w:val="center"/>
            <w:hideMark/>
          </w:tcPr>
          <w:p w14:paraId="44AE0AAF" w14:textId="77777777" w:rsidR="004D7392" w:rsidRPr="00F6590F" w:rsidRDefault="004D7392" w:rsidP="00380727">
            <w:pPr>
              <w:spacing w:before="0" w:after="0" w:line="240" w:lineRule="auto"/>
              <w:rPr>
                <w:rFonts w:ascii="Arial Narrow" w:eastAsia="Times New Roman" w:hAnsi="Arial Narrow" w:cs="Calibri"/>
                <w:color w:val="000000"/>
                <w:sz w:val="20"/>
                <w:szCs w:val="20"/>
                <w:lang w:val="en-US"/>
              </w:rPr>
            </w:pPr>
            <w:r w:rsidRPr="00F6590F">
              <w:rPr>
                <w:rFonts w:ascii="Arial Narrow" w:eastAsia="Times New Roman" w:hAnsi="Arial Narrow" w:cs="Calibri"/>
                <w:color w:val="000000"/>
                <w:sz w:val="20"/>
                <w:szCs w:val="20"/>
                <w:lang w:val="en-US"/>
              </w:rPr>
              <w:t> </w:t>
            </w:r>
          </w:p>
        </w:tc>
        <w:tc>
          <w:tcPr>
            <w:tcW w:w="597" w:type="pct"/>
            <w:shd w:val="clear" w:color="000000" w:fill="FFFFFF"/>
            <w:noWrap/>
            <w:vAlign w:val="center"/>
            <w:hideMark/>
          </w:tcPr>
          <w:p w14:paraId="63DCADB2"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PBO</w:t>
            </w:r>
          </w:p>
        </w:tc>
        <w:tc>
          <w:tcPr>
            <w:tcW w:w="597" w:type="pct"/>
            <w:shd w:val="clear" w:color="000000" w:fill="FFFFFF"/>
            <w:noWrap/>
            <w:vAlign w:val="center"/>
            <w:hideMark/>
          </w:tcPr>
          <w:p w14:paraId="24006281"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OCT</w:t>
            </w:r>
          </w:p>
        </w:tc>
        <w:tc>
          <w:tcPr>
            <w:tcW w:w="597" w:type="pct"/>
            <w:shd w:val="clear" w:color="000000" w:fill="FFFFFF"/>
            <w:noWrap/>
            <w:vAlign w:val="center"/>
            <w:hideMark/>
          </w:tcPr>
          <w:p w14:paraId="3DCFA45D"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LAN</w:t>
            </w:r>
          </w:p>
        </w:tc>
        <w:tc>
          <w:tcPr>
            <w:tcW w:w="546" w:type="pct"/>
            <w:shd w:val="clear" w:color="000000" w:fill="FFFFFF"/>
            <w:noWrap/>
            <w:vAlign w:val="center"/>
            <w:hideMark/>
          </w:tcPr>
          <w:p w14:paraId="61E151C9"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EVO</w:t>
            </w:r>
          </w:p>
        </w:tc>
        <w:tc>
          <w:tcPr>
            <w:tcW w:w="647" w:type="pct"/>
            <w:shd w:val="clear" w:color="000000" w:fill="FFFFFF"/>
            <w:noWrap/>
            <w:vAlign w:val="center"/>
            <w:hideMark/>
          </w:tcPr>
          <w:p w14:paraId="1C0B693C"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SUN</w:t>
            </w:r>
          </w:p>
        </w:tc>
        <w:tc>
          <w:tcPr>
            <w:tcW w:w="594" w:type="pct"/>
            <w:shd w:val="clear" w:color="000000" w:fill="FFFFFF"/>
            <w:noWrap/>
            <w:vAlign w:val="center"/>
            <w:hideMark/>
          </w:tcPr>
          <w:p w14:paraId="7CD0D4C5" w14:textId="77777777" w:rsidR="004D7392" w:rsidRPr="00F6590F"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F6590F">
              <w:rPr>
                <w:rFonts w:ascii="Arial Narrow" w:eastAsia="Times New Roman" w:hAnsi="Arial Narrow" w:cs="Calibri"/>
                <w:b/>
                <w:bCs/>
                <w:color w:val="000000"/>
                <w:sz w:val="20"/>
                <w:szCs w:val="20"/>
                <w:lang w:val="en-US"/>
              </w:rPr>
              <w:t>OCT</w:t>
            </w:r>
            <w:r>
              <w:rPr>
                <w:rFonts w:ascii="Arial Narrow" w:eastAsia="Times New Roman" w:hAnsi="Arial Narrow" w:cs="Calibri"/>
                <w:b/>
                <w:bCs/>
                <w:color w:val="000000"/>
                <w:sz w:val="20"/>
                <w:szCs w:val="20"/>
                <w:lang w:val="en-US"/>
              </w:rPr>
              <w:t xml:space="preserve"> </w:t>
            </w:r>
            <w:r w:rsidRPr="00F6590F">
              <w:rPr>
                <w:rFonts w:ascii="Arial Narrow" w:eastAsia="Times New Roman" w:hAnsi="Arial Narrow" w:cs="Calibri"/>
                <w:b/>
                <w:bCs/>
                <w:color w:val="000000"/>
                <w:sz w:val="20"/>
                <w:szCs w:val="20"/>
                <w:lang w:val="en-US"/>
              </w:rPr>
              <w:t>+</w:t>
            </w:r>
            <w:r>
              <w:rPr>
                <w:rFonts w:ascii="Arial Narrow" w:eastAsia="Times New Roman" w:hAnsi="Arial Narrow" w:cs="Calibri"/>
                <w:b/>
                <w:bCs/>
                <w:color w:val="000000"/>
                <w:sz w:val="20"/>
                <w:szCs w:val="20"/>
                <w:lang w:val="en-US"/>
              </w:rPr>
              <w:t xml:space="preserve"> </w:t>
            </w:r>
            <w:r w:rsidRPr="00F6590F">
              <w:rPr>
                <w:rFonts w:ascii="Arial Narrow" w:eastAsia="Times New Roman" w:hAnsi="Arial Narrow" w:cs="Calibri"/>
                <w:b/>
                <w:bCs/>
                <w:color w:val="000000"/>
                <w:sz w:val="20"/>
                <w:szCs w:val="20"/>
                <w:lang w:val="en-US"/>
              </w:rPr>
              <w:t>EVO</w:t>
            </w:r>
          </w:p>
        </w:tc>
      </w:tr>
      <w:tr w:rsidR="004D7392" w:rsidRPr="00F6590F" w14:paraId="62DAA559" w14:textId="77777777" w:rsidTr="00380727">
        <w:trPr>
          <w:trHeight w:val="315"/>
        </w:trPr>
        <w:tc>
          <w:tcPr>
            <w:tcW w:w="1422" w:type="pct"/>
            <w:gridSpan w:val="2"/>
            <w:shd w:val="clear" w:color="000000" w:fill="FFFFFF"/>
            <w:noWrap/>
            <w:vAlign w:val="center"/>
            <w:hideMark/>
          </w:tcPr>
          <w:p w14:paraId="22B8322C" w14:textId="77777777" w:rsidR="004D7392" w:rsidRPr="00823B19" w:rsidRDefault="004D7392" w:rsidP="00380727">
            <w:pPr>
              <w:spacing w:before="0" w:after="0" w:line="240" w:lineRule="auto"/>
              <w:rPr>
                <w:rFonts w:ascii="Arial Narrow" w:hAnsi="Arial Narrow"/>
                <w:b/>
                <w:color w:val="000000"/>
                <w:sz w:val="18"/>
                <w:lang w:val="en-US"/>
              </w:rPr>
            </w:pPr>
            <w:r w:rsidRPr="00823B19">
              <w:rPr>
                <w:rFonts w:ascii="Arial Narrow" w:hAnsi="Arial Narrow"/>
                <w:b/>
                <w:color w:val="000000"/>
                <w:sz w:val="18"/>
                <w:lang w:val="en-US"/>
              </w:rPr>
              <w:t>Base case</w:t>
            </w:r>
          </w:p>
        </w:tc>
        <w:tc>
          <w:tcPr>
            <w:tcW w:w="597" w:type="pct"/>
            <w:shd w:val="clear" w:color="auto" w:fill="auto"/>
            <w:vAlign w:val="center"/>
            <w:hideMark/>
          </w:tcPr>
          <w:p w14:paraId="0F6996BB"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$31,792</w:t>
            </w:r>
          </w:p>
        </w:tc>
        <w:tc>
          <w:tcPr>
            <w:tcW w:w="597" w:type="pct"/>
            <w:shd w:val="clear" w:color="auto" w:fill="auto"/>
            <w:vAlign w:val="center"/>
            <w:hideMark/>
          </w:tcPr>
          <w:p w14:paraId="60C8481E"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$27,676</w:t>
            </w:r>
          </w:p>
        </w:tc>
        <w:tc>
          <w:tcPr>
            <w:tcW w:w="597" w:type="pct"/>
            <w:shd w:val="clear" w:color="auto" w:fill="auto"/>
            <w:vAlign w:val="center"/>
            <w:hideMark/>
          </w:tcPr>
          <w:p w14:paraId="7E838BF9"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$22,621</w:t>
            </w:r>
          </w:p>
        </w:tc>
        <w:tc>
          <w:tcPr>
            <w:tcW w:w="546" w:type="pct"/>
            <w:shd w:val="clear" w:color="auto" w:fill="auto"/>
            <w:vAlign w:val="center"/>
            <w:hideMark/>
          </w:tcPr>
          <w:p w14:paraId="179DD0F0"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$29,439</w:t>
            </w:r>
          </w:p>
        </w:tc>
        <w:tc>
          <w:tcPr>
            <w:tcW w:w="647" w:type="pct"/>
            <w:shd w:val="clear" w:color="auto" w:fill="auto"/>
            <w:vAlign w:val="center"/>
            <w:hideMark/>
          </w:tcPr>
          <w:p w14:paraId="1C6535DF"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Lutetium dominated</w:t>
            </w:r>
          </w:p>
        </w:tc>
        <w:tc>
          <w:tcPr>
            <w:tcW w:w="594" w:type="pct"/>
            <w:shd w:val="clear" w:color="auto" w:fill="auto"/>
            <w:vAlign w:val="center"/>
            <w:hideMark/>
          </w:tcPr>
          <w:p w14:paraId="71D065B4" w14:textId="77777777" w:rsidR="004D7392" w:rsidRPr="00823B19" w:rsidRDefault="004D7392" w:rsidP="00380727">
            <w:pPr>
              <w:spacing w:before="0" w:after="0" w:line="240" w:lineRule="auto"/>
              <w:jc w:val="center"/>
              <w:rPr>
                <w:rFonts w:ascii="Arial Narrow" w:hAnsi="Arial Narrow"/>
                <w:b/>
                <w:color w:val="000000"/>
                <w:sz w:val="18"/>
                <w:lang w:val="en-US"/>
              </w:rPr>
            </w:pPr>
            <w:r w:rsidRPr="00823B19">
              <w:rPr>
                <w:rFonts w:ascii="Arial Narrow" w:hAnsi="Arial Narrow"/>
                <w:b/>
                <w:color w:val="000000"/>
                <w:sz w:val="18"/>
                <w:lang w:val="en-US"/>
              </w:rPr>
              <w:t>$18,643</w:t>
            </w:r>
          </w:p>
        </w:tc>
      </w:tr>
      <w:tr w:rsidR="004D7392" w:rsidRPr="00F6590F" w14:paraId="795F2051" w14:textId="77777777" w:rsidTr="00380727">
        <w:trPr>
          <w:trHeight w:val="315"/>
        </w:trPr>
        <w:tc>
          <w:tcPr>
            <w:tcW w:w="710" w:type="pct"/>
            <w:vMerge w:val="restart"/>
            <w:shd w:val="clear" w:color="000000" w:fill="FFFFFF"/>
            <w:noWrap/>
            <w:vAlign w:val="center"/>
            <w:hideMark/>
          </w:tcPr>
          <w:p w14:paraId="79062404"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Treatment cycles</w:t>
            </w:r>
          </w:p>
        </w:tc>
        <w:tc>
          <w:tcPr>
            <w:tcW w:w="711" w:type="pct"/>
            <w:shd w:val="clear" w:color="000000" w:fill="FFFFFF"/>
            <w:noWrap/>
            <w:vAlign w:val="center"/>
            <w:hideMark/>
          </w:tcPr>
          <w:p w14:paraId="7BA0A1BD"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0.5 additional treatment cycles (4.02)</w:t>
            </w:r>
          </w:p>
        </w:tc>
        <w:tc>
          <w:tcPr>
            <w:tcW w:w="597" w:type="pct"/>
            <w:shd w:val="clear" w:color="auto" w:fill="auto"/>
            <w:vAlign w:val="center"/>
            <w:hideMark/>
          </w:tcPr>
          <w:p w14:paraId="5C69CC4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$35,114</w:t>
            </w:r>
          </w:p>
        </w:tc>
        <w:tc>
          <w:tcPr>
            <w:tcW w:w="597" w:type="pct"/>
            <w:shd w:val="clear" w:color="auto" w:fill="auto"/>
            <w:vAlign w:val="center"/>
            <w:hideMark/>
          </w:tcPr>
          <w:p w14:paraId="61CE293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$33,691</w:t>
            </w:r>
          </w:p>
        </w:tc>
        <w:tc>
          <w:tcPr>
            <w:tcW w:w="597" w:type="pct"/>
            <w:shd w:val="clear" w:color="auto" w:fill="auto"/>
            <w:vAlign w:val="center"/>
            <w:hideMark/>
          </w:tcPr>
          <w:p w14:paraId="3D10EF8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$28,178</w:t>
            </w:r>
          </w:p>
        </w:tc>
        <w:tc>
          <w:tcPr>
            <w:tcW w:w="546" w:type="pct"/>
            <w:shd w:val="clear" w:color="auto" w:fill="auto"/>
            <w:vAlign w:val="center"/>
            <w:hideMark/>
          </w:tcPr>
          <w:p w14:paraId="4DC1531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w:t>
            </w:r>
            <w:r>
              <w:rPr>
                <w:rFonts w:ascii="Arial Narrow" w:hAnsi="Arial Narrow"/>
                <w:color w:val="000000"/>
                <w:sz w:val="18"/>
                <w:lang w:val="en-US"/>
              </w:rPr>
              <w:t>3,592</w:t>
            </w:r>
          </w:p>
        </w:tc>
        <w:tc>
          <w:tcPr>
            <w:tcW w:w="647" w:type="pct"/>
            <w:shd w:val="clear" w:color="auto" w:fill="auto"/>
            <w:vAlign w:val="center"/>
            <w:hideMark/>
          </w:tcPr>
          <w:p w14:paraId="0C9CDB9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78A1FC76"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$22,949</w:t>
            </w:r>
          </w:p>
        </w:tc>
      </w:tr>
      <w:tr w:rsidR="004D7392" w:rsidRPr="00F6590F" w14:paraId="3E829927" w14:textId="77777777" w:rsidTr="00380727">
        <w:trPr>
          <w:trHeight w:val="315"/>
        </w:trPr>
        <w:tc>
          <w:tcPr>
            <w:tcW w:w="710" w:type="pct"/>
            <w:vMerge/>
            <w:vAlign w:val="center"/>
            <w:hideMark/>
          </w:tcPr>
          <w:p w14:paraId="5167C188"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14784CDC"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0.5 fewer treatment cycle (3.02)</w:t>
            </w:r>
          </w:p>
        </w:tc>
        <w:tc>
          <w:tcPr>
            <w:tcW w:w="597" w:type="pct"/>
            <w:shd w:val="clear" w:color="auto" w:fill="auto"/>
            <w:vAlign w:val="center"/>
            <w:hideMark/>
          </w:tcPr>
          <w:p w14:paraId="66294E3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$28,378</w:t>
            </w:r>
          </w:p>
        </w:tc>
        <w:tc>
          <w:tcPr>
            <w:tcW w:w="597" w:type="pct"/>
            <w:shd w:val="clear" w:color="auto" w:fill="auto"/>
            <w:vAlign w:val="center"/>
            <w:hideMark/>
          </w:tcPr>
          <w:p w14:paraId="59AA79F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$21,494</w:t>
            </w:r>
          </w:p>
        </w:tc>
        <w:tc>
          <w:tcPr>
            <w:tcW w:w="597" w:type="pct"/>
            <w:shd w:val="clear" w:color="auto" w:fill="auto"/>
            <w:vAlign w:val="center"/>
            <w:hideMark/>
          </w:tcPr>
          <w:p w14:paraId="7C158E02"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$16,909</w:t>
            </w:r>
          </w:p>
        </w:tc>
        <w:tc>
          <w:tcPr>
            <w:tcW w:w="546" w:type="pct"/>
            <w:shd w:val="clear" w:color="auto" w:fill="auto"/>
            <w:vAlign w:val="center"/>
            <w:hideMark/>
          </w:tcPr>
          <w:p w14:paraId="61F5D30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w:t>
            </w:r>
            <w:r>
              <w:rPr>
                <w:rFonts w:ascii="Arial Narrow" w:hAnsi="Arial Narrow"/>
                <w:color w:val="000000"/>
                <w:sz w:val="18"/>
                <w:lang w:val="en-US"/>
              </w:rPr>
              <w:t>169</w:t>
            </w:r>
          </w:p>
        </w:tc>
        <w:tc>
          <w:tcPr>
            <w:tcW w:w="647" w:type="pct"/>
            <w:shd w:val="clear" w:color="auto" w:fill="auto"/>
            <w:vAlign w:val="center"/>
            <w:hideMark/>
          </w:tcPr>
          <w:p w14:paraId="2EAE31A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6BB29EC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$14,218</w:t>
            </w:r>
          </w:p>
        </w:tc>
      </w:tr>
      <w:tr w:rsidR="004D7392" w:rsidRPr="00F6590F" w14:paraId="62E595EA" w14:textId="77777777" w:rsidTr="00380727">
        <w:trPr>
          <w:trHeight w:val="315"/>
        </w:trPr>
        <w:tc>
          <w:tcPr>
            <w:tcW w:w="710" w:type="pct"/>
            <w:vMerge w:val="restart"/>
            <w:shd w:val="clear" w:color="000000" w:fill="FFFFFF"/>
            <w:vAlign w:val="center"/>
            <w:hideMark/>
          </w:tcPr>
          <w:p w14:paraId="333A4B0E"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Choice of parametric distribution - OS &amp; PFS</w:t>
            </w:r>
            <w:r w:rsidRPr="00823B19">
              <w:rPr>
                <w:rFonts w:ascii="Arial Narrow" w:hAnsi="Arial Narrow"/>
                <w:color w:val="000000"/>
                <w:sz w:val="18"/>
                <w:lang w:val="en-US"/>
              </w:rPr>
              <w:br/>
              <w:t>Base case number of treatment cycles (3.52)</w:t>
            </w:r>
          </w:p>
        </w:tc>
        <w:tc>
          <w:tcPr>
            <w:tcW w:w="711" w:type="pct"/>
            <w:shd w:val="clear" w:color="000000" w:fill="FFFFFF"/>
            <w:noWrap/>
            <w:vAlign w:val="center"/>
            <w:hideMark/>
          </w:tcPr>
          <w:p w14:paraId="5E5E226A"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Weibull</w:t>
            </w:r>
          </w:p>
        </w:tc>
        <w:tc>
          <w:tcPr>
            <w:tcW w:w="597" w:type="pct"/>
            <w:shd w:val="clear" w:color="auto" w:fill="auto"/>
            <w:vAlign w:val="center"/>
            <w:hideMark/>
          </w:tcPr>
          <w:p w14:paraId="5C5B1D8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$36,986</w:t>
            </w:r>
          </w:p>
        </w:tc>
        <w:tc>
          <w:tcPr>
            <w:tcW w:w="597" w:type="pct"/>
            <w:shd w:val="clear" w:color="auto" w:fill="auto"/>
            <w:vAlign w:val="center"/>
            <w:hideMark/>
          </w:tcPr>
          <w:p w14:paraId="2E89199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$44,886</w:t>
            </w:r>
          </w:p>
        </w:tc>
        <w:tc>
          <w:tcPr>
            <w:tcW w:w="597" w:type="pct"/>
            <w:shd w:val="clear" w:color="auto" w:fill="auto"/>
            <w:vAlign w:val="center"/>
            <w:hideMark/>
          </w:tcPr>
          <w:p w14:paraId="5CA7834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$38,517</w:t>
            </w:r>
          </w:p>
        </w:tc>
        <w:tc>
          <w:tcPr>
            <w:tcW w:w="546" w:type="pct"/>
            <w:shd w:val="clear" w:color="auto" w:fill="auto"/>
            <w:vAlign w:val="center"/>
            <w:hideMark/>
          </w:tcPr>
          <w:p w14:paraId="216346C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$35,727</w:t>
            </w:r>
          </w:p>
        </w:tc>
        <w:tc>
          <w:tcPr>
            <w:tcW w:w="647" w:type="pct"/>
            <w:shd w:val="clear" w:color="auto" w:fill="auto"/>
            <w:vAlign w:val="center"/>
            <w:hideMark/>
          </w:tcPr>
          <w:p w14:paraId="78A01FC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1F0186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$21,506</w:t>
            </w:r>
          </w:p>
        </w:tc>
      </w:tr>
      <w:tr w:rsidR="004D7392" w:rsidRPr="00F6590F" w14:paraId="0975D11F" w14:textId="77777777" w:rsidTr="00380727">
        <w:trPr>
          <w:trHeight w:val="315"/>
        </w:trPr>
        <w:tc>
          <w:tcPr>
            <w:tcW w:w="710" w:type="pct"/>
            <w:vMerge/>
            <w:vAlign w:val="center"/>
            <w:hideMark/>
          </w:tcPr>
          <w:p w14:paraId="1CB51212"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6982EAC5"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Loglogistic</w:t>
            </w:r>
          </w:p>
        </w:tc>
        <w:tc>
          <w:tcPr>
            <w:tcW w:w="597" w:type="pct"/>
            <w:shd w:val="clear" w:color="auto" w:fill="auto"/>
            <w:vAlign w:val="center"/>
            <w:hideMark/>
          </w:tcPr>
          <w:p w14:paraId="5E75642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$33,100</w:t>
            </w:r>
          </w:p>
        </w:tc>
        <w:tc>
          <w:tcPr>
            <w:tcW w:w="597" w:type="pct"/>
            <w:shd w:val="clear" w:color="auto" w:fill="auto"/>
            <w:vAlign w:val="center"/>
            <w:hideMark/>
          </w:tcPr>
          <w:p w14:paraId="5890FFA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$32,029</w:t>
            </w:r>
          </w:p>
        </w:tc>
        <w:tc>
          <w:tcPr>
            <w:tcW w:w="597" w:type="pct"/>
            <w:shd w:val="clear" w:color="auto" w:fill="auto"/>
            <w:vAlign w:val="center"/>
            <w:hideMark/>
          </w:tcPr>
          <w:p w14:paraId="4DAD1D7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$26,626</w:t>
            </w:r>
          </w:p>
        </w:tc>
        <w:tc>
          <w:tcPr>
            <w:tcW w:w="546" w:type="pct"/>
            <w:shd w:val="clear" w:color="auto" w:fill="auto"/>
            <w:vAlign w:val="center"/>
            <w:hideMark/>
          </w:tcPr>
          <w:p w14:paraId="0550FA2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$31,739</w:t>
            </w:r>
          </w:p>
        </w:tc>
        <w:tc>
          <w:tcPr>
            <w:tcW w:w="647" w:type="pct"/>
            <w:shd w:val="clear" w:color="auto" w:fill="auto"/>
            <w:vAlign w:val="center"/>
            <w:hideMark/>
          </w:tcPr>
          <w:p w14:paraId="0E98CD4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17072DD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$19,537</w:t>
            </w:r>
          </w:p>
        </w:tc>
      </w:tr>
      <w:tr w:rsidR="004D7392" w:rsidRPr="00F6590F" w14:paraId="3AA770F9" w14:textId="77777777" w:rsidTr="00380727">
        <w:trPr>
          <w:trHeight w:val="315"/>
        </w:trPr>
        <w:tc>
          <w:tcPr>
            <w:tcW w:w="710" w:type="pct"/>
            <w:vMerge/>
            <w:vAlign w:val="center"/>
            <w:hideMark/>
          </w:tcPr>
          <w:p w14:paraId="07E44118"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5AA1FD59"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Lognormal</w:t>
            </w:r>
          </w:p>
        </w:tc>
        <w:tc>
          <w:tcPr>
            <w:tcW w:w="597" w:type="pct"/>
            <w:shd w:val="clear" w:color="auto" w:fill="auto"/>
            <w:vAlign w:val="center"/>
            <w:hideMark/>
          </w:tcPr>
          <w:p w14:paraId="1381320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$31,576</w:t>
            </w:r>
          </w:p>
        </w:tc>
        <w:tc>
          <w:tcPr>
            <w:tcW w:w="597" w:type="pct"/>
            <w:shd w:val="clear" w:color="auto" w:fill="auto"/>
            <w:vAlign w:val="center"/>
            <w:hideMark/>
          </w:tcPr>
          <w:p w14:paraId="5E69D3B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$27,582</w:t>
            </w:r>
          </w:p>
        </w:tc>
        <w:tc>
          <w:tcPr>
            <w:tcW w:w="597" w:type="pct"/>
            <w:shd w:val="clear" w:color="auto" w:fill="auto"/>
            <w:vAlign w:val="center"/>
            <w:hideMark/>
          </w:tcPr>
          <w:p w14:paraId="1CEC202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$22,558</w:t>
            </w:r>
          </w:p>
        </w:tc>
        <w:tc>
          <w:tcPr>
            <w:tcW w:w="546" w:type="pct"/>
            <w:shd w:val="clear" w:color="auto" w:fill="auto"/>
            <w:vAlign w:val="center"/>
            <w:hideMark/>
          </w:tcPr>
          <w:p w14:paraId="29991CC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$29,968</w:t>
            </w:r>
          </w:p>
        </w:tc>
        <w:tc>
          <w:tcPr>
            <w:tcW w:w="647" w:type="pct"/>
            <w:shd w:val="clear" w:color="auto" w:fill="auto"/>
            <w:vAlign w:val="center"/>
            <w:hideMark/>
          </w:tcPr>
          <w:p w14:paraId="71F1DE2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66E357A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$18,561</w:t>
            </w:r>
          </w:p>
        </w:tc>
      </w:tr>
      <w:tr w:rsidR="004D7392" w:rsidRPr="00F6590F" w14:paraId="6D907898" w14:textId="77777777" w:rsidTr="00380727">
        <w:trPr>
          <w:trHeight w:val="315"/>
        </w:trPr>
        <w:tc>
          <w:tcPr>
            <w:tcW w:w="710" w:type="pct"/>
            <w:vMerge/>
            <w:vAlign w:val="center"/>
            <w:hideMark/>
          </w:tcPr>
          <w:p w14:paraId="44A5D43A"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28CB91C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Gompertz</w:t>
            </w:r>
          </w:p>
        </w:tc>
        <w:tc>
          <w:tcPr>
            <w:tcW w:w="597" w:type="pct"/>
            <w:shd w:val="clear" w:color="auto" w:fill="auto"/>
            <w:vAlign w:val="center"/>
            <w:hideMark/>
          </w:tcPr>
          <w:p w14:paraId="24A38D6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$44,210</w:t>
            </w:r>
          </w:p>
        </w:tc>
        <w:tc>
          <w:tcPr>
            <w:tcW w:w="597" w:type="pct"/>
            <w:shd w:val="clear" w:color="auto" w:fill="auto"/>
            <w:vAlign w:val="center"/>
            <w:hideMark/>
          </w:tcPr>
          <w:p w14:paraId="31747EA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$48,934</w:t>
            </w:r>
          </w:p>
        </w:tc>
        <w:tc>
          <w:tcPr>
            <w:tcW w:w="597" w:type="pct"/>
            <w:shd w:val="clear" w:color="auto" w:fill="auto"/>
            <w:vAlign w:val="center"/>
            <w:hideMark/>
          </w:tcPr>
          <w:p w14:paraId="5D2BF5D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$34,225</w:t>
            </w:r>
          </w:p>
        </w:tc>
        <w:tc>
          <w:tcPr>
            <w:tcW w:w="546" w:type="pct"/>
            <w:shd w:val="clear" w:color="auto" w:fill="auto"/>
            <w:vAlign w:val="center"/>
            <w:hideMark/>
          </w:tcPr>
          <w:p w14:paraId="7A83B1F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$41,898</w:t>
            </w:r>
          </w:p>
        </w:tc>
        <w:tc>
          <w:tcPr>
            <w:tcW w:w="647" w:type="pct"/>
            <w:shd w:val="clear" w:color="auto" w:fill="auto"/>
            <w:vAlign w:val="center"/>
            <w:hideMark/>
          </w:tcPr>
          <w:p w14:paraId="294E4D2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BF2D2D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$23,440</w:t>
            </w:r>
          </w:p>
        </w:tc>
      </w:tr>
      <w:tr w:rsidR="004D7392" w:rsidRPr="00F6590F" w14:paraId="72BC42AE" w14:textId="77777777" w:rsidTr="00380727">
        <w:trPr>
          <w:trHeight w:val="315"/>
        </w:trPr>
        <w:tc>
          <w:tcPr>
            <w:tcW w:w="710" w:type="pct"/>
            <w:vMerge/>
            <w:vAlign w:val="center"/>
            <w:hideMark/>
          </w:tcPr>
          <w:p w14:paraId="5A6F5947"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7CC0CE95"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Exponential</w:t>
            </w:r>
          </w:p>
        </w:tc>
        <w:tc>
          <w:tcPr>
            <w:tcW w:w="597" w:type="pct"/>
            <w:shd w:val="clear" w:color="auto" w:fill="auto"/>
            <w:vAlign w:val="center"/>
            <w:hideMark/>
          </w:tcPr>
          <w:p w14:paraId="0BC2298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$32,217</w:t>
            </w:r>
          </w:p>
        </w:tc>
        <w:tc>
          <w:tcPr>
            <w:tcW w:w="597" w:type="pct"/>
            <w:shd w:val="clear" w:color="auto" w:fill="auto"/>
            <w:vAlign w:val="center"/>
            <w:hideMark/>
          </w:tcPr>
          <w:p w14:paraId="32BF31F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$30,472</w:t>
            </w:r>
          </w:p>
        </w:tc>
        <w:tc>
          <w:tcPr>
            <w:tcW w:w="597" w:type="pct"/>
            <w:shd w:val="clear" w:color="auto" w:fill="auto"/>
            <w:vAlign w:val="center"/>
            <w:hideMark/>
          </w:tcPr>
          <w:p w14:paraId="6BECFDD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$24,312</w:t>
            </w:r>
          </w:p>
        </w:tc>
        <w:tc>
          <w:tcPr>
            <w:tcW w:w="546" w:type="pct"/>
            <w:shd w:val="clear" w:color="auto" w:fill="auto"/>
            <w:vAlign w:val="center"/>
            <w:hideMark/>
          </w:tcPr>
          <w:p w14:paraId="7DD2050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$29,897</w:t>
            </w:r>
          </w:p>
        </w:tc>
        <w:tc>
          <w:tcPr>
            <w:tcW w:w="647" w:type="pct"/>
            <w:shd w:val="clear" w:color="auto" w:fill="auto"/>
            <w:vAlign w:val="center"/>
            <w:hideMark/>
          </w:tcPr>
          <w:p w14:paraId="7D17D01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159791A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$17,892</w:t>
            </w:r>
          </w:p>
        </w:tc>
      </w:tr>
      <w:tr w:rsidR="004D7392" w:rsidRPr="00F6590F" w14:paraId="73CC1A44" w14:textId="77777777" w:rsidTr="00380727">
        <w:trPr>
          <w:trHeight w:val="70"/>
        </w:trPr>
        <w:tc>
          <w:tcPr>
            <w:tcW w:w="710" w:type="pct"/>
            <w:vMerge/>
            <w:vAlign w:val="center"/>
            <w:hideMark/>
          </w:tcPr>
          <w:p w14:paraId="3B570D30"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15A1CD9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Gamma</w:t>
            </w:r>
          </w:p>
        </w:tc>
        <w:tc>
          <w:tcPr>
            <w:tcW w:w="597" w:type="pct"/>
            <w:shd w:val="clear" w:color="auto" w:fill="auto"/>
            <w:vAlign w:val="center"/>
            <w:hideMark/>
          </w:tcPr>
          <w:p w14:paraId="7B58196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$36,325</w:t>
            </w:r>
          </w:p>
        </w:tc>
        <w:tc>
          <w:tcPr>
            <w:tcW w:w="597" w:type="pct"/>
            <w:shd w:val="clear" w:color="auto" w:fill="auto"/>
            <w:vAlign w:val="center"/>
            <w:hideMark/>
          </w:tcPr>
          <w:p w14:paraId="7DD45E0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$42,877</w:t>
            </w:r>
          </w:p>
        </w:tc>
        <w:tc>
          <w:tcPr>
            <w:tcW w:w="597" w:type="pct"/>
            <w:shd w:val="clear" w:color="auto" w:fill="auto"/>
            <w:vAlign w:val="center"/>
            <w:hideMark/>
          </w:tcPr>
          <w:p w14:paraId="5729623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$36,495</w:t>
            </w:r>
          </w:p>
        </w:tc>
        <w:tc>
          <w:tcPr>
            <w:tcW w:w="546" w:type="pct"/>
            <w:shd w:val="clear" w:color="auto" w:fill="auto"/>
            <w:vAlign w:val="center"/>
            <w:hideMark/>
          </w:tcPr>
          <w:p w14:paraId="69A94F5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$34,961</w:t>
            </w:r>
          </w:p>
        </w:tc>
        <w:tc>
          <w:tcPr>
            <w:tcW w:w="647" w:type="pct"/>
            <w:shd w:val="clear" w:color="auto" w:fill="auto"/>
            <w:vAlign w:val="center"/>
            <w:hideMark/>
          </w:tcPr>
          <w:p w14:paraId="1F5680E6"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549BB06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$21,156</w:t>
            </w:r>
          </w:p>
        </w:tc>
      </w:tr>
      <w:tr w:rsidR="004D7392" w:rsidRPr="00F6590F" w14:paraId="652A7EA3" w14:textId="77777777" w:rsidTr="00380727">
        <w:trPr>
          <w:trHeight w:val="315"/>
        </w:trPr>
        <w:tc>
          <w:tcPr>
            <w:tcW w:w="710" w:type="pct"/>
            <w:vMerge w:val="restart"/>
            <w:shd w:val="clear" w:color="000000" w:fill="FFFFFF"/>
            <w:vAlign w:val="center"/>
            <w:hideMark/>
          </w:tcPr>
          <w:p w14:paraId="78188648"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Choice of parametric distribution - OS &amp; PFS</w:t>
            </w:r>
            <w:r w:rsidRPr="00823B19">
              <w:rPr>
                <w:rFonts w:ascii="Arial Narrow" w:hAnsi="Arial Narrow"/>
                <w:color w:val="000000"/>
                <w:sz w:val="18"/>
                <w:lang w:val="en-US"/>
              </w:rPr>
              <w:br/>
              <w:t>Assumed 0.5 additional treatment cycles (4.02)</w:t>
            </w:r>
          </w:p>
        </w:tc>
        <w:tc>
          <w:tcPr>
            <w:tcW w:w="711" w:type="pct"/>
            <w:shd w:val="clear" w:color="000000" w:fill="FFFFFF"/>
            <w:noWrap/>
            <w:vAlign w:val="center"/>
            <w:hideMark/>
          </w:tcPr>
          <w:p w14:paraId="5FE4616E"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Weibull</w:t>
            </w:r>
          </w:p>
        </w:tc>
        <w:tc>
          <w:tcPr>
            <w:tcW w:w="597" w:type="pct"/>
            <w:shd w:val="clear" w:color="auto" w:fill="auto"/>
            <w:vAlign w:val="center"/>
            <w:hideMark/>
          </w:tcPr>
          <w:p w14:paraId="577A9AB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$40,897</w:t>
            </w:r>
          </w:p>
        </w:tc>
        <w:tc>
          <w:tcPr>
            <w:tcW w:w="597" w:type="pct"/>
            <w:shd w:val="clear" w:color="auto" w:fill="auto"/>
            <w:vAlign w:val="center"/>
            <w:hideMark/>
          </w:tcPr>
          <w:p w14:paraId="158F467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$52,262</w:t>
            </w:r>
          </w:p>
        </w:tc>
        <w:tc>
          <w:tcPr>
            <w:tcW w:w="597" w:type="pct"/>
            <w:shd w:val="clear" w:color="auto" w:fill="auto"/>
            <w:vAlign w:val="center"/>
            <w:hideMark/>
          </w:tcPr>
          <w:p w14:paraId="348E013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$45,510</w:t>
            </w:r>
          </w:p>
        </w:tc>
        <w:tc>
          <w:tcPr>
            <w:tcW w:w="546" w:type="pct"/>
            <w:shd w:val="clear" w:color="auto" w:fill="auto"/>
            <w:vAlign w:val="center"/>
            <w:hideMark/>
          </w:tcPr>
          <w:p w14:paraId="46D2771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$40,589</w:t>
            </w:r>
          </w:p>
        </w:tc>
        <w:tc>
          <w:tcPr>
            <w:tcW w:w="647" w:type="pct"/>
            <w:shd w:val="clear" w:color="auto" w:fill="auto"/>
            <w:vAlign w:val="center"/>
            <w:hideMark/>
          </w:tcPr>
          <w:p w14:paraId="132FD02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2C521CE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$26,433</w:t>
            </w:r>
          </w:p>
        </w:tc>
      </w:tr>
      <w:tr w:rsidR="004D7392" w:rsidRPr="00F6590F" w14:paraId="13B1D69A" w14:textId="77777777" w:rsidTr="00380727">
        <w:trPr>
          <w:trHeight w:val="315"/>
        </w:trPr>
        <w:tc>
          <w:tcPr>
            <w:tcW w:w="710" w:type="pct"/>
            <w:vMerge/>
            <w:vAlign w:val="center"/>
            <w:hideMark/>
          </w:tcPr>
          <w:p w14:paraId="2A491513"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50BA35EB"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Loglogistic</w:t>
            </w:r>
          </w:p>
        </w:tc>
        <w:tc>
          <w:tcPr>
            <w:tcW w:w="597" w:type="pct"/>
            <w:shd w:val="clear" w:color="auto" w:fill="auto"/>
            <w:vAlign w:val="center"/>
            <w:hideMark/>
          </w:tcPr>
          <w:p w14:paraId="12B3652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$36,582</w:t>
            </w:r>
          </w:p>
        </w:tc>
        <w:tc>
          <w:tcPr>
            <w:tcW w:w="597" w:type="pct"/>
            <w:shd w:val="clear" w:color="auto" w:fill="auto"/>
            <w:vAlign w:val="center"/>
            <w:hideMark/>
          </w:tcPr>
          <w:p w14:paraId="073CF29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$38,451</w:t>
            </w:r>
          </w:p>
        </w:tc>
        <w:tc>
          <w:tcPr>
            <w:tcW w:w="597" w:type="pct"/>
            <w:shd w:val="clear" w:color="auto" w:fill="auto"/>
            <w:vAlign w:val="center"/>
            <w:hideMark/>
          </w:tcPr>
          <w:p w14:paraId="48329D9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$32,588</w:t>
            </w:r>
          </w:p>
        </w:tc>
        <w:tc>
          <w:tcPr>
            <w:tcW w:w="546" w:type="pct"/>
            <w:shd w:val="clear" w:color="auto" w:fill="auto"/>
            <w:vAlign w:val="center"/>
            <w:hideMark/>
          </w:tcPr>
          <w:p w14:paraId="58D549F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$36,103</w:t>
            </w:r>
          </w:p>
        </w:tc>
        <w:tc>
          <w:tcPr>
            <w:tcW w:w="647" w:type="pct"/>
            <w:shd w:val="clear" w:color="auto" w:fill="auto"/>
            <w:vAlign w:val="center"/>
            <w:hideMark/>
          </w:tcPr>
          <w:p w14:paraId="0982FF2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0182D85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$24,035</w:t>
            </w:r>
          </w:p>
        </w:tc>
      </w:tr>
      <w:tr w:rsidR="004D7392" w:rsidRPr="00F6590F" w14:paraId="03D61FD2" w14:textId="77777777" w:rsidTr="00380727">
        <w:trPr>
          <w:trHeight w:val="315"/>
        </w:trPr>
        <w:tc>
          <w:tcPr>
            <w:tcW w:w="710" w:type="pct"/>
            <w:vMerge/>
            <w:vAlign w:val="center"/>
            <w:hideMark/>
          </w:tcPr>
          <w:p w14:paraId="28827B62"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30C42EBD"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Lognormal</w:t>
            </w:r>
          </w:p>
        </w:tc>
        <w:tc>
          <w:tcPr>
            <w:tcW w:w="597" w:type="pct"/>
            <w:shd w:val="clear" w:color="auto" w:fill="auto"/>
            <w:vAlign w:val="center"/>
            <w:hideMark/>
          </w:tcPr>
          <w:p w14:paraId="7141D97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$34,866</w:t>
            </w:r>
          </w:p>
        </w:tc>
        <w:tc>
          <w:tcPr>
            <w:tcW w:w="597" w:type="pct"/>
            <w:shd w:val="clear" w:color="auto" w:fill="auto"/>
            <w:vAlign w:val="center"/>
            <w:hideMark/>
          </w:tcPr>
          <w:p w14:paraId="0640B9C2"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$33,566</w:t>
            </w:r>
          </w:p>
        </w:tc>
        <w:tc>
          <w:tcPr>
            <w:tcW w:w="597" w:type="pct"/>
            <w:shd w:val="clear" w:color="auto" w:fill="auto"/>
            <w:vAlign w:val="center"/>
            <w:hideMark/>
          </w:tcPr>
          <w:p w14:paraId="7C230B9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$28,089</w:t>
            </w:r>
          </w:p>
        </w:tc>
        <w:tc>
          <w:tcPr>
            <w:tcW w:w="546" w:type="pct"/>
            <w:shd w:val="clear" w:color="auto" w:fill="auto"/>
            <w:vAlign w:val="center"/>
            <w:hideMark/>
          </w:tcPr>
          <w:p w14:paraId="6780579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$34,087</w:t>
            </w:r>
          </w:p>
        </w:tc>
        <w:tc>
          <w:tcPr>
            <w:tcW w:w="647" w:type="pct"/>
            <w:shd w:val="clear" w:color="auto" w:fill="auto"/>
            <w:vAlign w:val="center"/>
            <w:hideMark/>
          </w:tcPr>
          <w:p w14:paraId="41AD8E2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A344F6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$22,827</w:t>
            </w:r>
          </w:p>
        </w:tc>
      </w:tr>
      <w:tr w:rsidR="004D7392" w:rsidRPr="00F6590F" w14:paraId="4E7063B5" w14:textId="77777777" w:rsidTr="00380727">
        <w:trPr>
          <w:trHeight w:val="315"/>
        </w:trPr>
        <w:tc>
          <w:tcPr>
            <w:tcW w:w="710" w:type="pct"/>
            <w:vMerge/>
            <w:vAlign w:val="center"/>
            <w:hideMark/>
          </w:tcPr>
          <w:p w14:paraId="488F7E20"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43E66C5D"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Gompertz</w:t>
            </w:r>
          </w:p>
        </w:tc>
        <w:tc>
          <w:tcPr>
            <w:tcW w:w="597" w:type="pct"/>
            <w:shd w:val="clear" w:color="auto" w:fill="auto"/>
            <w:vAlign w:val="center"/>
            <w:hideMark/>
          </w:tcPr>
          <w:p w14:paraId="79D8045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$49,055</w:t>
            </w:r>
          </w:p>
        </w:tc>
        <w:tc>
          <w:tcPr>
            <w:tcW w:w="597" w:type="pct"/>
            <w:shd w:val="clear" w:color="auto" w:fill="auto"/>
            <w:vAlign w:val="center"/>
            <w:hideMark/>
          </w:tcPr>
          <w:p w14:paraId="6F2BBEF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$58,852</w:t>
            </w:r>
          </w:p>
        </w:tc>
        <w:tc>
          <w:tcPr>
            <w:tcW w:w="597" w:type="pct"/>
            <w:shd w:val="clear" w:color="auto" w:fill="auto"/>
            <w:vAlign w:val="center"/>
            <w:hideMark/>
          </w:tcPr>
          <w:p w14:paraId="7C4B0F6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$43,311</w:t>
            </w:r>
          </w:p>
        </w:tc>
        <w:tc>
          <w:tcPr>
            <w:tcW w:w="546" w:type="pct"/>
            <w:shd w:val="clear" w:color="auto" w:fill="auto"/>
            <w:vAlign w:val="center"/>
            <w:hideMark/>
          </w:tcPr>
          <w:p w14:paraId="669BE43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$48,189</w:t>
            </w:r>
          </w:p>
        </w:tc>
        <w:tc>
          <w:tcPr>
            <w:tcW w:w="647" w:type="pct"/>
            <w:shd w:val="clear" w:color="auto" w:fill="auto"/>
            <w:vAlign w:val="center"/>
            <w:hideMark/>
          </w:tcPr>
          <w:p w14:paraId="058F42E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6405D2A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$29,904</w:t>
            </w:r>
          </w:p>
        </w:tc>
      </w:tr>
      <w:tr w:rsidR="004D7392" w:rsidRPr="00F6590F" w14:paraId="239FF95F" w14:textId="77777777" w:rsidTr="00380727">
        <w:trPr>
          <w:trHeight w:val="315"/>
        </w:trPr>
        <w:tc>
          <w:tcPr>
            <w:tcW w:w="710" w:type="pct"/>
            <w:vMerge/>
            <w:vAlign w:val="center"/>
            <w:hideMark/>
          </w:tcPr>
          <w:p w14:paraId="48ADF251"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5435E5EA"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Exponential</w:t>
            </w:r>
          </w:p>
        </w:tc>
        <w:tc>
          <w:tcPr>
            <w:tcW w:w="597" w:type="pct"/>
            <w:shd w:val="clear" w:color="auto" w:fill="auto"/>
            <w:vAlign w:val="center"/>
            <w:hideMark/>
          </w:tcPr>
          <w:p w14:paraId="32C22FB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$35,558</w:t>
            </w:r>
          </w:p>
        </w:tc>
        <w:tc>
          <w:tcPr>
            <w:tcW w:w="597" w:type="pct"/>
            <w:shd w:val="clear" w:color="auto" w:fill="auto"/>
            <w:vAlign w:val="center"/>
            <w:hideMark/>
          </w:tcPr>
          <w:p w14:paraId="5EACE33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$36,498</w:t>
            </w:r>
          </w:p>
        </w:tc>
        <w:tc>
          <w:tcPr>
            <w:tcW w:w="597" w:type="pct"/>
            <w:shd w:val="clear" w:color="auto" w:fill="auto"/>
            <w:vAlign w:val="center"/>
            <w:hideMark/>
          </w:tcPr>
          <w:p w14:paraId="29963C4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$29,944</w:t>
            </w:r>
          </w:p>
        </w:tc>
        <w:tc>
          <w:tcPr>
            <w:tcW w:w="546" w:type="pct"/>
            <w:shd w:val="clear" w:color="auto" w:fill="auto"/>
            <w:vAlign w:val="center"/>
            <w:hideMark/>
          </w:tcPr>
          <w:p w14:paraId="0393549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$34,040</w:t>
            </w:r>
          </w:p>
        </w:tc>
        <w:tc>
          <w:tcPr>
            <w:tcW w:w="647" w:type="pct"/>
            <w:shd w:val="clear" w:color="auto" w:fill="auto"/>
            <w:vAlign w:val="center"/>
            <w:hideMark/>
          </w:tcPr>
          <w:p w14:paraId="46204AA4"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5FDC5B1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$22,153</w:t>
            </w:r>
          </w:p>
        </w:tc>
      </w:tr>
      <w:tr w:rsidR="004D7392" w:rsidRPr="00F6590F" w14:paraId="5534ABAE" w14:textId="77777777" w:rsidTr="00380727">
        <w:trPr>
          <w:trHeight w:val="315"/>
        </w:trPr>
        <w:tc>
          <w:tcPr>
            <w:tcW w:w="710" w:type="pct"/>
            <w:vMerge/>
            <w:vAlign w:val="center"/>
            <w:hideMark/>
          </w:tcPr>
          <w:p w14:paraId="4B2E6DD4"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4F38405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Gamma</w:t>
            </w:r>
          </w:p>
        </w:tc>
        <w:tc>
          <w:tcPr>
            <w:tcW w:w="597" w:type="pct"/>
            <w:shd w:val="clear" w:color="auto" w:fill="auto"/>
            <w:vAlign w:val="center"/>
            <w:hideMark/>
          </w:tcPr>
          <w:p w14:paraId="3C086F9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$40,158</w:t>
            </w:r>
          </w:p>
        </w:tc>
        <w:tc>
          <w:tcPr>
            <w:tcW w:w="597" w:type="pct"/>
            <w:shd w:val="clear" w:color="auto" w:fill="auto"/>
            <w:vAlign w:val="center"/>
            <w:hideMark/>
          </w:tcPr>
          <w:p w14:paraId="2AAED47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$50,065</w:t>
            </w:r>
          </w:p>
        </w:tc>
        <w:tc>
          <w:tcPr>
            <w:tcW w:w="597" w:type="pct"/>
            <w:shd w:val="clear" w:color="auto" w:fill="auto"/>
            <w:vAlign w:val="center"/>
            <w:hideMark/>
          </w:tcPr>
          <w:p w14:paraId="1019D1C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$43,296</w:t>
            </w:r>
          </w:p>
        </w:tc>
        <w:tc>
          <w:tcPr>
            <w:tcW w:w="546" w:type="pct"/>
            <w:shd w:val="clear" w:color="auto" w:fill="auto"/>
            <w:vAlign w:val="center"/>
            <w:hideMark/>
          </w:tcPr>
          <w:p w14:paraId="4992163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$39,725</w:t>
            </w:r>
          </w:p>
        </w:tc>
        <w:tc>
          <w:tcPr>
            <w:tcW w:w="647" w:type="pct"/>
            <w:shd w:val="clear" w:color="auto" w:fill="auto"/>
            <w:vAlign w:val="center"/>
            <w:hideMark/>
          </w:tcPr>
          <w:p w14:paraId="046A072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72A23E1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$25,994</w:t>
            </w:r>
          </w:p>
        </w:tc>
      </w:tr>
      <w:tr w:rsidR="004D7392" w:rsidRPr="00F6590F" w14:paraId="0E690088" w14:textId="77777777" w:rsidTr="00380727">
        <w:trPr>
          <w:trHeight w:val="315"/>
        </w:trPr>
        <w:tc>
          <w:tcPr>
            <w:tcW w:w="710" w:type="pct"/>
            <w:vMerge w:val="restart"/>
            <w:shd w:val="clear" w:color="000000" w:fill="FFFFFF"/>
            <w:vAlign w:val="center"/>
            <w:hideMark/>
          </w:tcPr>
          <w:p w14:paraId="60AB1C6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Choice of parametric distribution - OS &amp; PFS</w:t>
            </w:r>
            <w:r w:rsidRPr="00823B19">
              <w:rPr>
                <w:rFonts w:ascii="Arial Narrow" w:hAnsi="Arial Narrow"/>
                <w:color w:val="000000"/>
                <w:sz w:val="18"/>
                <w:lang w:val="en-US"/>
              </w:rPr>
              <w:br/>
              <w:t>Assumed 0.5 fewer treatment cycles (3.02)</w:t>
            </w:r>
          </w:p>
        </w:tc>
        <w:tc>
          <w:tcPr>
            <w:tcW w:w="711" w:type="pct"/>
            <w:shd w:val="clear" w:color="000000" w:fill="FFFFFF"/>
            <w:noWrap/>
            <w:vAlign w:val="center"/>
            <w:hideMark/>
          </w:tcPr>
          <w:p w14:paraId="1F6CC434"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Weibull</w:t>
            </w:r>
          </w:p>
        </w:tc>
        <w:tc>
          <w:tcPr>
            <w:tcW w:w="597" w:type="pct"/>
            <w:shd w:val="clear" w:color="auto" w:fill="auto"/>
            <w:vAlign w:val="center"/>
            <w:hideMark/>
          </w:tcPr>
          <w:p w14:paraId="2AAFC83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$32,983</w:t>
            </w:r>
          </w:p>
        </w:tc>
        <w:tc>
          <w:tcPr>
            <w:tcW w:w="597" w:type="pct"/>
            <w:shd w:val="clear" w:color="auto" w:fill="auto"/>
            <w:vAlign w:val="center"/>
            <w:hideMark/>
          </w:tcPr>
          <w:p w14:paraId="34A1EC0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$37,334</w:t>
            </w:r>
          </w:p>
        </w:tc>
        <w:tc>
          <w:tcPr>
            <w:tcW w:w="597" w:type="pct"/>
            <w:shd w:val="clear" w:color="auto" w:fill="auto"/>
            <w:vAlign w:val="center"/>
            <w:hideMark/>
          </w:tcPr>
          <w:p w14:paraId="42E9C6C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$31,357</w:t>
            </w:r>
          </w:p>
        </w:tc>
        <w:tc>
          <w:tcPr>
            <w:tcW w:w="546" w:type="pct"/>
            <w:shd w:val="clear" w:color="auto" w:fill="auto"/>
            <w:vAlign w:val="center"/>
            <w:hideMark/>
          </w:tcPr>
          <w:p w14:paraId="1D7AA2A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$30,750</w:t>
            </w:r>
          </w:p>
        </w:tc>
        <w:tc>
          <w:tcPr>
            <w:tcW w:w="647" w:type="pct"/>
            <w:shd w:val="clear" w:color="auto" w:fill="auto"/>
            <w:vAlign w:val="center"/>
            <w:hideMark/>
          </w:tcPr>
          <w:p w14:paraId="04BE673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17896EB6"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$16,462</w:t>
            </w:r>
          </w:p>
        </w:tc>
      </w:tr>
      <w:tr w:rsidR="004D7392" w:rsidRPr="00F6590F" w14:paraId="019125B3" w14:textId="77777777" w:rsidTr="00380727">
        <w:trPr>
          <w:trHeight w:val="315"/>
        </w:trPr>
        <w:tc>
          <w:tcPr>
            <w:tcW w:w="710" w:type="pct"/>
            <w:vMerge/>
            <w:vAlign w:val="center"/>
            <w:hideMark/>
          </w:tcPr>
          <w:p w14:paraId="6D460EA9"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33AD5E8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Loglogistic</w:t>
            </w:r>
          </w:p>
        </w:tc>
        <w:tc>
          <w:tcPr>
            <w:tcW w:w="597" w:type="pct"/>
            <w:shd w:val="clear" w:color="auto" w:fill="auto"/>
            <w:vAlign w:val="center"/>
            <w:hideMark/>
          </w:tcPr>
          <w:p w14:paraId="1D0F777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$29,530</w:t>
            </w:r>
          </w:p>
        </w:tc>
        <w:tc>
          <w:tcPr>
            <w:tcW w:w="597" w:type="pct"/>
            <w:shd w:val="clear" w:color="auto" w:fill="auto"/>
            <w:vAlign w:val="center"/>
            <w:hideMark/>
          </w:tcPr>
          <w:p w14:paraId="7567130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$25,444</w:t>
            </w:r>
          </w:p>
        </w:tc>
        <w:tc>
          <w:tcPr>
            <w:tcW w:w="597" w:type="pct"/>
            <w:shd w:val="clear" w:color="auto" w:fill="auto"/>
            <w:vAlign w:val="center"/>
            <w:hideMark/>
          </w:tcPr>
          <w:p w14:paraId="0E52DF7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$20,514</w:t>
            </w:r>
          </w:p>
        </w:tc>
        <w:tc>
          <w:tcPr>
            <w:tcW w:w="546" w:type="pct"/>
            <w:shd w:val="clear" w:color="auto" w:fill="auto"/>
            <w:vAlign w:val="center"/>
            <w:hideMark/>
          </w:tcPr>
          <w:p w14:paraId="1C53E14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$27,265</w:t>
            </w:r>
          </w:p>
        </w:tc>
        <w:tc>
          <w:tcPr>
            <w:tcW w:w="647" w:type="pct"/>
            <w:shd w:val="clear" w:color="auto" w:fill="auto"/>
            <w:vAlign w:val="center"/>
            <w:hideMark/>
          </w:tcPr>
          <w:p w14:paraId="58F61CB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74B93E1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$14,926</w:t>
            </w:r>
          </w:p>
        </w:tc>
      </w:tr>
      <w:tr w:rsidR="004D7392" w:rsidRPr="00F6590F" w14:paraId="11305868" w14:textId="77777777" w:rsidTr="00380727">
        <w:trPr>
          <w:trHeight w:val="315"/>
        </w:trPr>
        <w:tc>
          <w:tcPr>
            <w:tcW w:w="710" w:type="pct"/>
            <w:vMerge/>
            <w:vAlign w:val="center"/>
            <w:hideMark/>
          </w:tcPr>
          <w:p w14:paraId="385FF003"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53876E78"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Lognormal</w:t>
            </w:r>
          </w:p>
        </w:tc>
        <w:tc>
          <w:tcPr>
            <w:tcW w:w="597" w:type="pct"/>
            <w:shd w:val="clear" w:color="auto" w:fill="auto"/>
            <w:vAlign w:val="center"/>
            <w:hideMark/>
          </w:tcPr>
          <w:p w14:paraId="0DA5CC8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$28,195</w:t>
            </w:r>
          </w:p>
        </w:tc>
        <w:tc>
          <w:tcPr>
            <w:tcW w:w="597" w:type="pct"/>
            <w:shd w:val="clear" w:color="auto" w:fill="auto"/>
            <w:vAlign w:val="center"/>
            <w:hideMark/>
          </w:tcPr>
          <w:p w14:paraId="2CA5510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$21,432</w:t>
            </w:r>
          </w:p>
        </w:tc>
        <w:tc>
          <w:tcPr>
            <w:tcW w:w="597" w:type="pct"/>
            <w:shd w:val="clear" w:color="auto" w:fill="auto"/>
            <w:vAlign w:val="center"/>
            <w:hideMark/>
          </w:tcPr>
          <w:p w14:paraId="5D236E62"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$16,874</w:t>
            </w:r>
          </w:p>
        </w:tc>
        <w:tc>
          <w:tcPr>
            <w:tcW w:w="546" w:type="pct"/>
            <w:shd w:val="clear" w:color="auto" w:fill="auto"/>
            <w:vAlign w:val="center"/>
            <w:hideMark/>
          </w:tcPr>
          <w:p w14:paraId="334E9FD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$25,735</w:t>
            </w:r>
          </w:p>
        </w:tc>
        <w:tc>
          <w:tcPr>
            <w:tcW w:w="647" w:type="pct"/>
            <w:shd w:val="clear" w:color="auto" w:fill="auto"/>
            <w:vAlign w:val="center"/>
            <w:hideMark/>
          </w:tcPr>
          <w:p w14:paraId="6A55ABD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73AEBA5C"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$14,176</w:t>
            </w:r>
          </w:p>
        </w:tc>
      </w:tr>
      <w:tr w:rsidR="004D7392" w:rsidRPr="00F6590F" w14:paraId="5382BC01" w14:textId="77777777" w:rsidTr="00380727">
        <w:trPr>
          <w:trHeight w:val="315"/>
        </w:trPr>
        <w:tc>
          <w:tcPr>
            <w:tcW w:w="710" w:type="pct"/>
            <w:vMerge/>
            <w:vAlign w:val="center"/>
            <w:hideMark/>
          </w:tcPr>
          <w:p w14:paraId="06BC405D"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7EFDD432"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Gompertz</w:t>
            </w:r>
          </w:p>
        </w:tc>
        <w:tc>
          <w:tcPr>
            <w:tcW w:w="597" w:type="pct"/>
            <w:shd w:val="clear" w:color="auto" w:fill="auto"/>
            <w:vAlign w:val="center"/>
            <w:hideMark/>
          </w:tcPr>
          <w:p w14:paraId="6AC28D0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$39,258</w:t>
            </w:r>
          </w:p>
        </w:tc>
        <w:tc>
          <w:tcPr>
            <w:tcW w:w="597" w:type="pct"/>
            <w:shd w:val="clear" w:color="auto" w:fill="auto"/>
            <w:vAlign w:val="center"/>
            <w:hideMark/>
          </w:tcPr>
          <w:p w14:paraId="44A84F8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$38,797</w:t>
            </w:r>
          </w:p>
        </w:tc>
        <w:tc>
          <w:tcPr>
            <w:tcW w:w="597" w:type="pct"/>
            <w:shd w:val="clear" w:color="auto" w:fill="auto"/>
            <w:vAlign w:val="center"/>
            <w:hideMark/>
          </w:tcPr>
          <w:p w14:paraId="07FFEB07"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$24,938</w:t>
            </w:r>
          </w:p>
        </w:tc>
        <w:tc>
          <w:tcPr>
            <w:tcW w:w="546" w:type="pct"/>
            <w:shd w:val="clear" w:color="auto" w:fill="auto"/>
            <w:vAlign w:val="center"/>
            <w:hideMark/>
          </w:tcPr>
          <w:p w14:paraId="7FE81E1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$35,469</w:t>
            </w:r>
          </w:p>
        </w:tc>
        <w:tc>
          <w:tcPr>
            <w:tcW w:w="647" w:type="pct"/>
            <w:shd w:val="clear" w:color="auto" w:fill="auto"/>
            <w:vAlign w:val="center"/>
            <w:hideMark/>
          </w:tcPr>
          <w:p w14:paraId="06D8560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469A24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$16,833</w:t>
            </w:r>
          </w:p>
        </w:tc>
      </w:tr>
      <w:tr w:rsidR="004D7392" w:rsidRPr="00F6590F" w14:paraId="1274575B" w14:textId="77777777" w:rsidTr="00380727">
        <w:trPr>
          <w:trHeight w:val="315"/>
        </w:trPr>
        <w:tc>
          <w:tcPr>
            <w:tcW w:w="710" w:type="pct"/>
            <w:vMerge/>
            <w:vAlign w:val="center"/>
            <w:hideMark/>
          </w:tcPr>
          <w:p w14:paraId="59736022"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3A3BD62A"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Exponential</w:t>
            </w:r>
          </w:p>
        </w:tc>
        <w:tc>
          <w:tcPr>
            <w:tcW w:w="597" w:type="pct"/>
            <w:shd w:val="clear" w:color="auto" w:fill="auto"/>
            <w:vAlign w:val="center"/>
            <w:hideMark/>
          </w:tcPr>
          <w:p w14:paraId="2493CC9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$28,796</w:t>
            </w:r>
          </w:p>
        </w:tc>
        <w:tc>
          <w:tcPr>
            <w:tcW w:w="597" w:type="pct"/>
            <w:shd w:val="clear" w:color="auto" w:fill="auto"/>
            <w:vAlign w:val="center"/>
            <w:hideMark/>
          </w:tcPr>
          <w:p w14:paraId="551DAE8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$24,303</w:t>
            </w:r>
          </w:p>
        </w:tc>
        <w:tc>
          <w:tcPr>
            <w:tcW w:w="597" w:type="pct"/>
            <w:shd w:val="clear" w:color="auto" w:fill="auto"/>
            <w:vAlign w:val="center"/>
            <w:hideMark/>
          </w:tcPr>
          <w:p w14:paraId="6EBE394D"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$18,547</w:t>
            </w:r>
          </w:p>
        </w:tc>
        <w:tc>
          <w:tcPr>
            <w:tcW w:w="546" w:type="pct"/>
            <w:shd w:val="clear" w:color="auto" w:fill="auto"/>
            <w:vAlign w:val="center"/>
            <w:hideMark/>
          </w:tcPr>
          <w:p w14:paraId="12A93643"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$25,656</w:t>
            </w:r>
          </w:p>
        </w:tc>
        <w:tc>
          <w:tcPr>
            <w:tcW w:w="647" w:type="pct"/>
            <w:shd w:val="clear" w:color="auto" w:fill="auto"/>
            <w:vAlign w:val="center"/>
            <w:hideMark/>
          </w:tcPr>
          <w:p w14:paraId="0093626A"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31332738"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$13,531</w:t>
            </w:r>
          </w:p>
        </w:tc>
      </w:tr>
      <w:tr w:rsidR="004D7392" w:rsidRPr="00F6590F" w14:paraId="32642158" w14:textId="77777777" w:rsidTr="00380727">
        <w:trPr>
          <w:trHeight w:val="70"/>
        </w:trPr>
        <w:tc>
          <w:tcPr>
            <w:tcW w:w="710" w:type="pct"/>
            <w:vMerge/>
            <w:vAlign w:val="center"/>
            <w:hideMark/>
          </w:tcPr>
          <w:p w14:paraId="1447EC08" w14:textId="77777777" w:rsidR="004D7392" w:rsidRPr="00823B19" w:rsidRDefault="004D7392" w:rsidP="00380727">
            <w:pPr>
              <w:spacing w:before="0" w:after="0" w:line="240" w:lineRule="auto"/>
              <w:rPr>
                <w:rFonts w:ascii="Arial Narrow" w:hAnsi="Arial Narrow"/>
                <w:color w:val="000000"/>
                <w:sz w:val="18"/>
                <w:lang w:val="en-US"/>
              </w:rPr>
            </w:pPr>
          </w:p>
        </w:tc>
        <w:tc>
          <w:tcPr>
            <w:tcW w:w="711" w:type="pct"/>
            <w:shd w:val="clear" w:color="000000" w:fill="FFFFFF"/>
            <w:noWrap/>
            <w:vAlign w:val="center"/>
            <w:hideMark/>
          </w:tcPr>
          <w:p w14:paraId="26369FF3" w14:textId="77777777" w:rsidR="004D7392" w:rsidRPr="00823B19" w:rsidRDefault="004D7392" w:rsidP="00380727">
            <w:pPr>
              <w:spacing w:before="0" w:after="0" w:line="240" w:lineRule="auto"/>
              <w:rPr>
                <w:rFonts w:ascii="Arial Narrow" w:hAnsi="Arial Narrow"/>
                <w:color w:val="000000"/>
                <w:sz w:val="18"/>
                <w:lang w:val="en-US"/>
              </w:rPr>
            </w:pPr>
            <w:r w:rsidRPr="00823B19">
              <w:rPr>
                <w:rFonts w:ascii="Arial Narrow" w:hAnsi="Arial Narrow"/>
                <w:color w:val="000000"/>
                <w:sz w:val="18"/>
                <w:lang w:val="en-US"/>
              </w:rPr>
              <w:t>Gamma</w:t>
            </w:r>
          </w:p>
        </w:tc>
        <w:tc>
          <w:tcPr>
            <w:tcW w:w="597" w:type="pct"/>
            <w:shd w:val="clear" w:color="auto" w:fill="auto"/>
            <w:vAlign w:val="center"/>
            <w:hideMark/>
          </w:tcPr>
          <w:p w14:paraId="18A2EF7B"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$32,397</w:t>
            </w:r>
          </w:p>
        </w:tc>
        <w:tc>
          <w:tcPr>
            <w:tcW w:w="597" w:type="pct"/>
            <w:shd w:val="clear" w:color="auto" w:fill="auto"/>
            <w:vAlign w:val="center"/>
            <w:hideMark/>
          </w:tcPr>
          <w:p w14:paraId="3DC9F46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$35,513</w:t>
            </w:r>
          </w:p>
        </w:tc>
        <w:tc>
          <w:tcPr>
            <w:tcW w:w="597" w:type="pct"/>
            <w:shd w:val="clear" w:color="auto" w:fill="auto"/>
            <w:vAlign w:val="center"/>
            <w:hideMark/>
          </w:tcPr>
          <w:p w14:paraId="07B0C8E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$29,527</w:t>
            </w:r>
          </w:p>
        </w:tc>
        <w:tc>
          <w:tcPr>
            <w:tcW w:w="546" w:type="pct"/>
            <w:shd w:val="clear" w:color="auto" w:fill="auto"/>
            <w:vAlign w:val="center"/>
            <w:hideMark/>
          </w:tcPr>
          <w:p w14:paraId="2418F72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$30,080</w:t>
            </w:r>
          </w:p>
        </w:tc>
        <w:tc>
          <w:tcPr>
            <w:tcW w:w="647" w:type="pct"/>
            <w:shd w:val="clear" w:color="auto" w:fill="auto"/>
            <w:vAlign w:val="center"/>
            <w:hideMark/>
          </w:tcPr>
          <w:p w14:paraId="6CCF5356"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hideMark/>
          </w:tcPr>
          <w:p w14:paraId="68BCE9D9"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$16,199</w:t>
            </w:r>
          </w:p>
        </w:tc>
      </w:tr>
      <w:tr w:rsidR="004D7392" w:rsidRPr="00F6590F" w14:paraId="4C89AB89" w14:textId="77777777" w:rsidTr="00380727">
        <w:trPr>
          <w:trHeight w:val="70"/>
        </w:trPr>
        <w:tc>
          <w:tcPr>
            <w:tcW w:w="1422" w:type="pct"/>
            <w:gridSpan w:val="2"/>
            <w:vAlign w:val="center"/>
          </w:tcPr>
          <w:p w14:paraId="465FFBF1" w14:textId="77777777" w:rsidR="004D7392" w:rsidRPr="00823B19" w:rsidRDefault="004D7392" w:rsidP="00380727">
            <w:pPr>
              <w:spacing w:before="0" w:after="0" w:line="240" w:lineRule="auto"/>
              <w:rPr>
                <w:rFonts w:ascii="Arial Narrow" w:hAnsi="Arial Narrow"/>
                <w:color w:val="000000"/>
                <w:sz w:val="18"/>
                <w:lang w:val="en-US"/>
              </w:rPr>
            </w:pPr>
            <w:r>
              <w:rPr>
                <w:rFonts w:ascii="Arial Narrow" w:hAnsi="Arial Narrow"/>
                <w:color w:val="000000"/>
                <w:sz w:val="18"/>
                <w:lang w:val="en-US"/>
              </w:rPr>
              <w:t>Assumed o</w:t>
            </w:r>
            <w:r w:rsidRPr="00823B19">
              <w:rPr>
                <w:rFonts w:ascii="Arial Narrow" w:hAnsi="Arial Narrow"/>
                <w:color w:val="000000"/>
                <w:sz w:val="18"/>
                <w:lang w:val="en-US"/>
              </w:rPr>
              <w:t xml:space="preserve">ne additional </w:t>
            </w:r>
            <w:r w:rsidRPr="00823B19">
              <w:rPr>
                <w:rFonts w:ascii="Arial Narrow" w:hAnsi="Arial Narrow"/>
                <w:color w:val="000000"/>
                <w:sz w:val="18"/>
                <w:vertAlign w:val="superscript"/>
                <w:lang w:val="en-US"/>
              </w:rPr>
              <w:t>68</w:t>
            </w:r>
            <w:r w:rsidRPr="00823B19">
              <w:rPr>
                <w:rFonts w:ascii="Arial Narrow" w:hAnsi="Arial Narrow"/>
                <w:color w:val="000000"/>
                <w:sz w:val="18"/>
                <w:lang w:val="en-US"/>
              </w:rPr>
              <w:t xml:space="preserve">Ga-DOTA-octreotate PET/CT for patients treated with </w:t>
            </w:r>
            <w:r w:rsidRPr="00823B19">
              <w:rPr>
                <w:rFonts w:ascii="Arial Narrow" w:hAnsi="Arial Narrow"/>
                <w:color w:val="000000"/>
                <w:sz w:val="20"/>
                <w:vertAlign w:val="superscript"/>
                <w:lang w:val="en-US"/>
              </w:rPr>
              <w:t>177</w:t>
            </w:r>
            <w:r w:rsidRPr="00823B19">
              <w:rPr>
                <w:rFonts w:ascii="Arial Narrow" w:hAnsi="Arial Narrow"/>
                <w:color w:val="000000"/>
                <w:sz w:val="18"/>
                <w:lang w:val="en-US"/>
              </w:rPr>
              <w:t>Lu-DOTA-octreotate</w:t>
            </w:r>
          </w:p>
        </w:tc>
        <w:tc>
          <w:tcPr>
            <w:tcW w:w="597" w:type="pct"/>
            <w:shd w:val="clear" w:color="auto" w:fill="auto"/>
            <w:vAlign w:val="center"/>
          </w:tcPr>
          <w:p w14:paraId="6B51379F"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$32,496</w:t>
            </w:r>
          </w:p>
        </w:tc>
        <w:tc>
          <w:tcPr>
            <w:tcW w:w="597" w:type="pct"/>
            <w:shd w:val="clear" w:color="auto" w:fill="auto"/>
            <w:vAlign w:val="center"/>
          </w:tcPr>
          <w:p w14:paraId="25CFBE42"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$28,950</w:t>
            </w:r>
          </w:p>
        </w:tc>
        <w:tc>
          <w:tcPr>
            <w:tcW w:w="597" w:type="pct"/>
            <w:shd w:val="clear" w:color="auto" w:fill="auto"/>
            <w:vAlign w:val="center"/>
          </w:tcPr>
          <w:p w14:paraId="2DC2A83E"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$23,798</w:t>
            </w:r>
          </w:p>
        </w:tc>
        <w:tc>
          <w:tcPr>
            <w:tcW w:w="546" w:type="pct"/>
            <w:shd w:val="clear" w:color="auto" w:fill="auto"/>
            <w:vAlign w:val="center"/>
          </w:tcPr>
          <w:p w14:paraId="1FBD2A31"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$3</w:t>
            </w:r>
            <w:r>
              <w:rPr>
                <w:rFonts w:ascii="Arial Narrow" w:hAnsi="Arial Narrow"/>
                <w:color w:val="000000"/>
                <w:sz w:val="18"/>
                <w:lang w:val="en-US"/>
              </w:rPr>
              <w:t>0,318</w:t>
            </w:r>
          </w:p>
        </w:tc>
        <w:tc>
          <w:tcPr>
            <w:tcW w:w="647" w:type="pct"/>
            <w:shd w:val="clear" w:color="auto" w:fill="auto"/>
            <w:vAlign w:val="center"/>
          </w:tcPr>
          <w:p w14:paraId="37086135"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Lutetium dominated</w:t>
            </w:r>
          </w:p>
        </w:tc>
        <w:tc>
          <w:tcPr>
            <w:tcW w:w="594" w:type="pct"/>
            <w:shd w:val="clear" w:color="auto" w:fill="auto"/>
            <w:vAlign w:val="center"/>
          </w:tcPr>
          <w:p w14:paraId="57860C10" w14:textId="77777777" w:rsidR="004D7392" w:rsidRPr="00823B19" w:rsidRDefault="004D7392" w:rsidP="00380727">
            <w:pPr>
              <w:spacing w:before="0" w:after="0" w:line="240" w:lineRule="auto"/>
              <w:jc w:val="center"/>
              <w:rPr>
                <w:rFonts w:ascii="Arial Narrow" w:hAnsi="Arial Narrow"/>
                <w:color w:val="000000"/>
                <w:sz w:val="18"/>
                <w:lang w:val="en-US"/>
              </w:rPr>
            </w:pPr>
            <w:r w:rsidRPr="00823B19">
              <w:rPr>
                <w:rFonts w:ascii="Arial Narrow" w:hAnsi="Arial Narrow"/>
                <w:color w:val="000000"/>
                <w:sz w:val="18"/>
                <w:lang w:val="en-US"/>
              </w:rPr>
              <w:t>$19,555</w:t>
            </w:r>
          </w:p>
        </w:tc>
      </w:tr>
    </w:tbl>
    <w:p w14:paraId="58868BEC" w14:textId="77777777" w:rsidR="004D7392" w:rsidRPr="00901C78" w:rsidRDefault="004D7392" w:rsidP="004D7392">
      <w:pPr>
        <w:pStyle w:val="Tablenotes0"/>
        <w:tabs>
          <w:tab w:val="left" w:pos="7655"/>
        </w:tabs>
      </w:pPr>
      <w:r w:rsidRPr="00C20795">
        <w:t>Abbreviations</w:t>
      </w:r>
      <w:r w:rsidRPr="001053EF">
        <w:t xml:space="preserve">: </w:t>
      </w:r>
      <w:r>
        <w:t xml:space="preserve">CT = computed tomography; </w:t>
      </w:r>
      <w:r w:rsidRPr="00C20795">
        <w:t>EVO = everolimus</w:t>
      </w:r>
      <w:r w:rsidRPr="009B07CB">
        <w:t>;</w:t>
      </w:r>
      <w:r w:rsidRPr="0000312B">
        <w:t xml:space="preserve"> ICER = incremental cost-effectiveness ratio; LAN = lanreotide, </w:t>
      </w:r>
      <w:r w:rsidRPr="009B07CB">
        <w:t>OCT = octreotide</w:t>
      </w:r>
      <w:r w:rsidRPr="0000312B">
        <w:t>; OCT+EVO = octreotide plus everolimus combination therapy;</w:t>
      </w:r>
      <w:r>
        <w:t xml:space="preserve"> OS = overall survival;</w:t>
      </w:r>
      <w:r w:rsidRPr="0000312B">
        <w:t xml:space="preserve"> PBO = placeb</w:t>
      </w:r>
      <w:r>
        <w:t>o; PET = positron emission tomography; PFS = progression-free survival</w:t>
      </w:r>
      <w:r w:rsidRPr="0000312B">
        <w:t xml:space="preserve">; </w:t>
      </w:r>
      <w:r w:rsidRPr="001053EF">
        <w:t>QALY = quality-adjusted life year;</w:t>
      </w:r>
      <w:r w:rsidRPr="00C20795">
        <w:t xml:space="preserve"> </w:t>
      </w:r>
      <w:r w:rsidRPr="009B07CB">
        <w:t>SUN =sunitinib</w:t>
      </w:r>
      <w:r w:rsidRPr="0000312B">
        <w:t>.</w:t>
      </w:r>
    </w:p>
    <w:p w14:paraId="3CB2BED1" w14:textId="77777777" w:rsidR="004D7392" w:rsidRDefault="004D7392" w:rsidP="004D7392">
      <w:pPr>
        <w:spacing w:after="240"/>
        <w:sectPr w:rsidR="004D7392">
          <w:footerReference w:type="default" r:id="rId29"/>
          <w:pgSz w:w="16838" w:h="11906" w:orient="landscape"/>
          <w:pgMar w:top="1440" w:right="1440" w:bottom="1440" w:left="1440" w:header="709" w:footer="709" w:gutter="0"/>
          <w:cols w:space="708"/>
          <w:docGrid w:linePitch="360"/>
        </w:sectPr>
      </w:pPr>
    </w:p>
    <w:p w14:paraId="304F28DA" w14:textId="77777777" w:rsidR="004D7392" w:rsidRDefault="004D7392" w:rsidP="004D7392">
      <w:pPr>
        <w:pStyle w:val="Heading2"/>
        <w:numPr>
          <w:ilvl w:val="0"/>
          <w:numId w:val="0"/>
        </w:numPr>
      </w:pPr>
      <w:bookmarkStart w:id="122" w:name="_Toc170409073"/>
      <w:r>
        <w:lastRenderedPageBreak/>
        <w:t>2.</w:t>
      </w:r>
      <w:r>
        <w:tab/>
        <w:t>Additional financial impact sensitivity analysis</w:t>
      </w:r>
      <w:bookmarkEnd w:id="122"/>
    </w:p>
    <w:p w14:paraId="67DEED43" w14:textId="77777777" w:rsidR="004D7392" w:rsidRDefault="004D7392" w:rsidP="004D7392">
      <w:pPr>
        <w:rPr>
          <w:iCs/>
        </w:rPr>
      </w:pPr>
      <w:bookmarkStart w:id="123" w:name="_Ref170408535"/>
      <w:r>
        <w:t xml:space="preserve">The estimated financial impact of </w:t>
      </w:r>
      <w:r>
        <w:rPr>
          <w:iCs/>
          <w:vertAlign w:val="superscript"/>
        </w:rPr>
        <w:t>177</w:t>
      </w:r>
      <w:r>
        <w:rPr>
          <w:iCs/>
        </w:rPr>
        <w:t xml:space="preserve">Lu-DOTA-octreotate has been updated </w:t>
      </w:r>
      <w:r w:rsidRPr="00743C06">
        <w:t>using the amended MBS fee of $10,000 fo</w:t>
      </w:r>
      <w:r>
        <w:t xml:space="preserve">r each treatment </w:t>
      </w:r>
      <w:r w:rsidRPr="00743C06">
        <w:t>cycle</w:t>
      </w:r>
      <w:r>
        <w:t xml:space="preserve"> (</w:t>
      </w:r>
      <w:r>
        <w:fldChar w:fldCharType="begin"/>
      </w:r>
      <w:r>
        <w:instrText xml:space="preserve"> REF _Ref170981399 \h </w:instrText>
      </w:r>
      <w:r>
        <w:fldChar w:fldCharType="separate"/>
      </w:r>
      <w:r>
        <w:t xml:space="preserve">Table </w:t>
      </w:r>
      <w:r>
        <w:rPr>
          <w:noProof/>
        </w:rPr>
        <w:t>2</w:t>
      </w:r>
      <w:r>
        <w:fldChar w:fldCharType="end"/>
      </w:r>
      <w:r>
        <w:t>).</w:t>
      </w:r>
      <w:r>
        <w:rPr>
          <w:iCs/>
        </w:rPr>
        <w:t xml:space="preserve"> All scenarios presented in the addendum were undertaken using the updated MBS fee </w:t>
      </w:r>
      <w:r w:rsidRPr="00C64781">
        <w:rPr>
          <w:iCs/>
        </w:rPr>
        <w:t>(rebate=</w:t>
      </w:r>
      <w:r w:rsidRPr="002F5BB7">
        <w:rPr>
          <w:rFonts w:cs="Segoe UI"/>
        </w:rPr>
        <w:t>$9,901.30</w:t>
      </w:r>
      <w:r>
        <w:rPr>
          <w:rFonts w:cs="Segoe UI"/>
        </w:rPr>
        <w:t xml:space="preserve"> for each treatment cycle</w:t>
      </w:r>
      <w:r w:rsidRPr="002F5BB7">
        <w:rPr>
          <w:rFonts w:cs="Segoe UI"/>
        </w:rPr>
        <w:t xml:space="preserve"> after </w:t>
      </w:r>
      <w:r>
        <w:rPr>
          <w:rFonts w:cs="Segoe UI"/>
        </w:rPr>
        <w:t>consideration of the</w:t>
      </w:r>
      <w:r w:rsidRPr="002F5BB7">
        <w:rPr>
          <w:rFonts w:cs="Segoe UI"/>
        </w:rPr>
        <w:t xml:space="preserve"> greatest permissible gap)</w:t>
      </w:r>
      <w:r w:rsidRPr="00C64781">
        <w:rPr>
          <w:iCs/>
        </w:rPr>
        <w:t>.</w:t>
      </w:r>
    </w:p>
    <w:p w14:paraId="6E411AC6" w14:textId="77777777" w:rsidR="004D7392" w:rsidRPr="0040101A" w:rsidRDefault="004D7392" w:rsidP="004D7392">
      <w:pPr>
        <w:pStyle w:val="Caption"/>
      </w:pPr>
      <w:bookmarkStart w:id="124" w:name="_Ref170981399"/>
      <w:r>
        <w:t xml:space="preserve">Table </w:t>
      </w:r>
      <w:r>
        <w:fldChar w:fldCharType="begin"/>
      </w:r>
      <w:r>
        <w:instrText xml:space="preserve"> SEQ Table \* ARABIC </w:instrText>
      </w:r>
      <w:r>
        <w:fldChar w:fldCharType="separate"/>
      </w:r>
      <w:r>
        <w:rPr>
          <w:noProof/>
        </w:rPr>
        <w:t>2</w:t>
      </w:r>
      <w:r>
        <w:rPr>
          <w:noProof/>
        </w:rPr>
        <w:fldChar w:fldCharType="end"/>
      </w:r>
      <w:bookmarkEnd w:id="123"/>
      <w:bookmarkEnd w:id="124"/>
      <w:r>
        <w:t>: Financial impact with updated MBS fee</w:t>
      </w:r>
    </w:p>
    <w:tbl>
      <w:tblPr>
        <w:tblW w:w="5000" w:type="pct"/>
        <w:tblLook w:val="04A0" w:firstRow="1" w:lastRow="0" w:firstColumn="1" w:lastColumn="0" w:noHBand="0" w:noVBand="1"/>
      </w:tblPr>
      <w:tblGrid>
        <w:gridCol w:w="1756"/>
        <w:gridCol w:w="1210"/>
        <w:gridCol w:w="1210"/>
        <w:gridCol w:w="1210"/>
        <w:gridCol w:w="1210"/>
        <w:gridCol w:w="1210"/>
        <w:gridCol w:w="1210"/>
      </w:tblGrid>
      <w:tr w:rsidR="004D7392" w:rsidRPr="0040101A" w14:paraId="207EF46F" w14:textId="77777777" w:rsidTr="00380727">
        <w:trPr>
          <w:trHeight w:val="315"/>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AD0C4C" w14:textId="77777777" w:rsidR="004D7392" w:rsidRPr="0040101A" w:rsidRDefault="004D7392" w:rsidP="00380727">
            <w:pPr>
              <w:spacing w:before="0" w:after="0" w:line="240" w:lineRule="auto"/>
              <w:rPr>
                <w:rFonts w:ascii="Arial Narrow" w:eastAsia="Times New Roman" w:hAnsi="Arial Narrow" w:cs="Calibri"/>
                <w:b/>
                <w:bCs/>
                <w:color w:val="000000"/>
                <w:sz w:val="20"/>
                <w:szCs w:val="20"/>
                <w:lang w:val="en-US"/>
              </w:rPr>
            </w:pPr>
            <w:bookmarkStart w:id="125" w:name="RANGE!D45"/>
            <w:r w:rsidRPr="0040101A">
              <w:rPr>
                <w:rFonts w:ascii="Arial Narrow" w:eastAsia="Times New Roman" w:hAnsi="Arial Narrow" w:cs="Calibri"/>
                <w:b/>
                <w:bCs/>
                <w:color w:val="000000"/>
                <w:sz w:val="20"/>
                <w:szCs w:val="20"/>
                <w:lang w:val="en-US"/>
              </w:rPr>
              <w:t xml:space="preserve">Parameter </w:t>
            </w:r>
            <w:bookmarkEnd w:id="125"/>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3BDAEE1"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2024 (year 1)</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2EEABD77"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2025 (year 2)</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7E733BE5"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2026 (year 3)</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25CDACD7"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2027 (year 4)</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E6C7644"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2028 (year 5)</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0201F775"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2029 (year 6)</w:t>
            </w:r>
          </w:p>
        </w:tc>
      </w:tr>
      <w:tr w:rsidR="004D7392" w:rsidRPr="0040101A" w14:paraId="1CC6CDAC" w14:textId="77777777" w:rsidTr="0038072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1741141" w14:textId="77777777" w:rsidR="004D7392" w:rsidRPr="0040101A" w:rsidRDefault="004D7392" w:rsidP="00380727">
            <w:pPr>
              <w:spacing w:before="0" w:after="0" w:line="240" w:lineRule="auto"/>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Estimated use and cost of the proposed health technology</w:t>
            </w:r>
          </w:p>
        </w:tc>
      </w:tr>
      <w:tr w:rsidR="004D7392" w:rsidRPr="0040101A" w14:paraId="2CF245AA"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1CCF7E9"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Incidence of NE</w:t>
            </w:r>
            <w:r>
              <w:rPr>
                <w:rFonts w:ascii="Arial Narrow" w:eastAsia="Times New Roman" w:hAnsi="Arial Narrow" w:cs="Calibri"/>
                <w:color w:val="000000"/>
                <w:sz w:val="20"/>
                <w:szCs w:val="20"/>
                <w:lang w:val="en-US"/>
              </w:rPr>
              <w:t>N</w:t>
            </w:r>
            <w:r w:rsidRPr="0040101A">
              <w:rPr>
                <w:rFonts w:ascii="Arial Narrow" w:eastAsia="Times New Roman" w:hAnsi="Arial Narrow" w:cs="Calibri"/>
                <w:color w:val="000000"/>
                <w:sz w:val="20"/>
                <w:szCs w:val="20"/>
                <w:lang w:val="en-US"/>
              </w:rPr>
              <w:t>s</w:t>
            </w:r>
          </w:p>
        </w:tc>
        <w:tc>
          <w:tcPr>
            <w:tcW w:w="671" w:type="pct"/>
            <w:tcBorders>
              <w:top w:val="nil"/>
              <w:left w:val="nil"/>
              <w:bottom w:val="single" w:sz="4" w:space="0" w:color="auto"/>
              <w:right w:val="single" w:sz="4" w:space="0" w:color="auto"/>
            </w:tcBorders>
            <w:shd w:val="clear" w:color="auto" w:fill="auto"/>
            <w:vAlign w:val="center"/>
            <w:hideMark/>
          </w:tcPr>
          <w:p w14:paraId="7F4F5080"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5,642</w:t>
            </w:r>
          </w:p>
        </w:tc>
        <w:tc>
          <w:tcPr>
            <w:tcW w:w="671" w:type="pct"/>
            <w:tcBorders>
              <w:top w:val="nil"/>
              <w:left w:val="nil"/>
              <w:bottom w:val="single" w:sz="4" w:space="0" w:color="auto"/>
              <w:right w:val="single" w:sz="4" w:space="0" w:color="auto"/>
            </w:tcBorders>
            <w:shd w:val="clear" w:color="auto" w:fill="auto"/>
            <w:vAlign w:val="center"/>
            <w:hideMark/>
          </w:tcPr>
          <w:p w14:paraId="20D03ACF"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5,857</w:t>
            </w:r>
          </w:p>
        </w:tc>
        <w:tc>
          <w:tcPr>
            <w:tcW w:w="671" w:type="pct"/>
            <w:tcBorders>
              <w:top w:val="nil"/>
              <w:left w:val="nil"/>
              <w:bottom w:val="single" w:sz="4" w:space="0" w:color="auto"/>
              <w:right w:val="single" w:sz="4" w:space="0" w:color="auto"/>
            </w:tcBorders>
            <w:shd w:val="clear" w:color="auto" w:fill="auto"/>
            <w:vAlign w:val="center"/>
            <w:hideMark/>
          </w:tcPr>
          <w:p w14:paraId="6F6CD7DC"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6,080</w:t>
            </w:r>
          </w:p>
        </w:tc>
        <w:tc>
          <w:tcPr>
            <w:tcW w:w="671" w:type="pct"/>
            <w:tcBorders>
              <w:top w:val="nil"/>
              <w:left w:val="nil"/>
              <w:bottom w:val="single" w:sz="4" w:space="0" w:color="auto"/>
              <w:right w:val="single" w:sz="4" w:space="0" w:color="auto"/>
            </w:tcBorders>
            <w:shd w:val="clear" w:color="auto" w:fill="auto"/>
            <w:vAlign w:val="center"/>
            <w:hideMark/>
          </w:tcPr>
          <w:p w14:paraId="3DA209C2"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6,312</w:t>
            </w:r>
          </w:p>
        </w:tc>
        <w:tc>
          <w:tcPr>
            <w:tcW w:w="671" w:type="pct"/>
            <w:tcBorders>
              <w:top w:val="nil"/>
              <w:left w:val="nil"/>
              <w:bottom w:val="single" w:sz="4" w:space="0" w:color="auto"/>
              <w:right w:val="single" w:sz="4" w:space="0" w:color="auto"/>
            </w:tcBorders>
            <w:shd w:val="clear" w:color="auto" w:fill="auto"/>
            <w:vAlign w:val="center"/>
            <w:hideMark/>
          </w:tcPr>
          <w:p w14:paraId="0C5D349E"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6,552</w:t>
            </w:r>
          </w:p>
        </w:tc>
        <w:tc>
          <w:tcPr>
            <w:tcW w:w="671" w:type="pct"/>
            <w:tcBorders>
              <w:top w:val="nil"/>
              <w:left w:val="nil"/>
              <w:bottom w:val="single" w:sz="4" w:space="0" w:color="auto"/>
              <w:right w:val="single" w:sz="4" w:space="0" w:color="auto"/>
            </w:tcBorders>
            <w:shd w:val="clear" w:color="auto" w:fill="auto"/>
            <w:vAlign w:val="center"/>
            <w:hideMark/>
          </w:tcPr>
          <w:p w14:paraId="6EB83C68"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6,802</w:t>
            </w:r>
          </w:p>
        </w:tc>
      </w:tr>
      <w:tr w:rsidR="004D7392" w:rsidRPr="0040101A" w14:paraId="35C202C5"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6567432D"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 xml:space="preserve">Number of people eligible for </w:t>
            </w:r>
            <w:r w:rsidRPr="0040101A">
              <w:rPr>
                <w:rFonts w:ascii="Arial Narrow" w:eastAsia="Times New Roman" w:hAnsi="Arial Narrow" w:cs="Calibri"/>
                <w:color w:val="000000"/>
                <w:sz w:val="20"/>
                <w:szCs w:val="20"/>
                <w:vertAlign w:val="superscript"/>
                <w:lang w:val="en-US"/>
              </w:rPr>
              <w:t>177</w:t>
            </w:r>
            <w:r w:rsidRPr="0040101A">
              <w:rPr>
                <w:rFonts w:ascii="Arial Narrow" w:eastAsia="Times New Roman" w:hAnsi="Arial Narrow" w:cs="Calibri"/>
                <w:color w:val="000000"/>
                <w:sz w:val="20"/>
                <w:szCs w:val="20"/>
                <w:lang w:val="en-US"/>
              </w:rPr>
              <w:t>Lu-DOTA-octreotate</w:t>
            </w:r>
          </w:p>
        </w:tc>
        <w:tc>
          <w:tcPr>
            <w:tcW w:w="4026" w:type="pct"/>
            <w:gridSpan w:val="6"/>
            <w:tcBorders>
              <w:top w:val="single" w:sz="4" w:space="0" w:color="auto"/>
              <w:left w:val="nil"/>
              <w:bottom w:val="single" w:sz="4" w:space="0" w:color="auto"/>
              <w:right w:val="single" w:sz="4" w:space="0" w:color="000000"/>
            </w:tcBorders>
            <w:shd w:val="clear" w:color="auto" w:fill="auto"/>
            <w:vAlign w:val="center"/>
            <w:hideMark/>
          </w:tcPr>
          <w:p w14:paraId="45890CEF"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Unknown</w:t>
            </w:r>
            <w:r w:rsidRPr="0040101A">
              <w:rPr>
                <w:rFonts w:ascii="Arial Narrow" w:eastAsia="Times New Roman" w:hAnsi="Arial Narrow" w:cs="Calibri"/>
                <w:color w:val="000000"/>
                <w:sz w:val="20"/>
                <w:szCs w:val="20"/>
                <w:lang w:val="en-US"/>
              </w:rPr>
              <w:br/>
              <w:t>Assumed 3.5% to match applicant advised treatment population of approximately 200</w:t>
            </w:r>
          </w:p>
        </w:tc>
      </w:tr>
      <w:tr w:rsidR="004D7392" w:rsidRPr="0040101A" w14:paraId="2F51FAC3"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6EF10027"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 xml:space="preserve">Number of people who receive </w:t>
            </w:r>
            <w:r w:rsidRPr="0040101A">
              <w:rPr>
                <w:rFonts w:ascii="Arial Narrow" w:eastAsia="Times New Roman" w:hAnsi="Arial Narrow" w:cs="Calibri"/>
                <w:color w:val="000000"/>
                <w:sz w:val="20"/>
                <w:szCs w:val="20"/>
                <w:vertAlign w:val="superscript"/>
                <w:lang w:val="en-US"/>
              </w:rPr>
              <w:t>177</w:t>
            </w:r>
            <w:r w:rsidRPr="0040101A">
              <w:rPr>
                <w:rFonts w:ascii="Arial Narrow" w:eastAsia="Times New Roman" w:hAnsi="Arial Narrow" w:cs="Calibri"/>
                <w:color w:val="000000"/>
                <w:sz w:val="20"/>
                <w:szCs w:val="20"/>
                <w:lang w:val="en-US"/>
              </w:rPr>
              <w:t>Lu-DOTA-octreotate</w:t>
            </w:r>
          </w:p>
        </w:tc>
        <w:tc>
          <w:tcPr>
            <w:tcW w:w="671" w:type="pct"/>
            <w:tcBorders>
              <w:top w:val="nil"/>
              <w:left w:val="nil"/>
              <w:bottom w:val="single" w:sz="4" w:space="0" w:color="auto"/>
              <w:right w:val="single" w:sz="4" w:space="0" w:color="auto"/>
            </w:tcBorders>
            <w:shd w:val="clear" w:color="auto" w:fill="auto"/>
            <w:vAlign w:val="center"/>
            <w:hideMark/>
          </w:tcPr>
          <w:p w14:paraId="2E9FC80A"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197</w:t>
            </w:r>
          </w:p>
        </w:tc>
        <w:tc>
          <w:tcPr>
            <w:tcW w:w="671" w:type="pct"/>
            <w:tcBorders>
              <w:top w:val="nil"/>
              <w:left w:val="nil"/>
              <w:bottom w:val="single" w:sz="4" w:space="0" w:color="auto"/>
              <w:right w:val="single" w:sz="4" w:space="0" w:color="auto"/>
            </w:tcBorders>
            <w:shd w:val="clear" w:color="auto" w:fill="auto"/>
            <w:vAlign w:val="center"/>
            <w:hideMark/>
          </w:tcPr>
          <w:p w14:paraId="42C9E274"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205</w:t>
            </w:r>
          </w:p>
        </w:tc>
        <w:tc>
          <w:tcPr>
            <w:tcW w:w="671" w:type="pct"/>
            <w:tcBorders>
              <w:top w:val="nil"/>
              <w:left w:val="nil"/>
              <w:bottom w:val="single" w:sz="4" w:space="0" w:color="auto"/>
              <w:right w:val="single" w:sz="4" w:space="0" w:color="auto"/>
            </w:tcBorders>
            <w:shd w:val="clear" w:color="auto" w:fill="auto"/>
            <w:vAlign w:val="center"/>
            <w:hideMark/>
          </w:tcPr>
          <w:p w14:paraId="5601462B"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213</w:t>
            </w:r>
          </w:p>
        </w:tc>
        <w:tc>
          <w:tcPr>
            <w:tcW w:w="671" w:type="pct"/>
            <w:tcBorders>
              <w:top w:val="nil"/>
              <w:left w:val="nil"/>
              <w:bottom w:val="single" w:sz="4" w:space="0" w:color="auto"/>
              <w:right w:val="single" w:sz="4" w:space="0" w:color="auto"/>
            </w:tcBorders>
            <w:shd w:val="clear" w:color="auto" w:fill="auto"/>
            <w:vAlign w:val="center"/>
            <w:hideMark/>
          </w:tcPr>
          <w:p w14:paraId="09EDCB26"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221</w:t>
            </w:r>
          </w:p>
        </w:tc>
        <w:tc>
          <w:tcPr>
            <w:tcW w:w="671" w:type="pct"/>
            <w:tcBorders>
              <w:top w:val="nil"/>
              <w:left w:val="nil"/>
              <w:bottom w:val="single" w:sz="4" w:space="0" w:color="auto"/>
              <w:right w:val="single" w:sz="4" w:space="0" w:color="auto"/>
            </w:tcBorders>
            <w:shd w:val="clear" w:color="auto" w:fill="auto"/>
            <w:vAlign w:val="center"/>
            <w:hideMark/>
          </w:tcPr>
          <w:p w14:paraId="02971706"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229</w:t>
            </w:r>
          </w:p>
        </w:tc>
        <w:tc>
          <w:tcPr>
            <w:tcW w:w="671" w:type="pct"/>
            <w:tcBorders>
              <w:top w:val="nil"/>
              <w:left w:val="nil"/>
              <w:bottom w:val="single" w:sz="4" w:space="0" w:color="auto"/>
              <w:right w:val="single" w:sz="4" w:space="0" w:color="auto"/>
            </w:tcBorders>
            <w:shd w:val="clear" w:color="auto" w:fill="auto"/>
            <w:vAlign w:val="center"/>
            <w:hideMark/>
          </w:tcPr>
          <w:p w14:paraId="795AE6B7"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238</w:t>
            </w:r>
          </w:p>
        </w:tc>
      </w:tr>
      <w:tr w:rsidR="004D7392" w:rsidRPr="0040101A" w14:paraId="2BF98C69"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770DD431"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 xml:space="preserve">Of which, diagnosed with </w:t>
            </w:r>
            <w:r w:rsidRPr="00D83BF3">
              <w:rPr>
                <w:rFonts w:ascii="Arial Narrow" w:eastAsia="Times New Roman" w:hAnsi="Arial Narrow" w:cs="Calibri"/>
                <w:color w:val="000000"/>
                <w:sz w:val="20"/>
                <w:szCs w:val="20"/>
                <w:vertAlign w:val="superscript"/>
                <w:lang w:val="en-US"/>
              </w:rPr>
              <w:t>68</w:t>
            </w:r>
            <w:r w:rsidRPr="00D83BF3">
              <w:rPr>
                <w:rFonts w:ascii="Arial Narrow" w:eastAsia="Times New Roman" w:hAnsi="Arial Narrow" w:cs="Calibri"/>
                <w:color w:val="000000"/>
                <w:sz w:val="20"/>
                <w:szCs w:val="20"/>
                <w:lang w:val="en-US"/>
              </w:rPr>
              <w:t>Ga-DOTA-octreotate PET/CT (100%)</w:t>
            </w:r>
          </w:p>
        </w:tc>
        <w:tc>
          <w:tcPr>
            <w:tcW w:w="671" w:type="pct"/>
            <w:tcBorders>
              <w:top w:val="nil"/>
              <w:left w:val="nil"/>
              <w:bottom w:val="single" w:sz="4" w:space="0" w:color="auto"/>
              <w:right w:val="single" w:sz="4" w:space="0" w:color="auto"/>
            </w:tcBorders>
            <w:shd w:val="clear" w:color="auto" w:fill="auto"/>
            <w:vAlign w:val="center"/>
            <w:hideMark/>
          </w:tcPr>
          <w:p w14:paraId="68925555"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197</w:t>
            </w:r>
          </w:p>
        </w:tc>
        <w:tc>
          <w:tcPr>
            <w:tcW w:w="671" w:type="pct"/>
            <w:tcBorders>
              <w:top w:val="nil"/>
              <w:left w:val="nil"/>
              <w:bottom w:val="single" w:sz="4" w:space="0" w:color="auto"/>
              <w:right w:val="single" w:sz="4" w:space="0" w:color="auto"/>
            </w:tcBorders>
            <w:shd w:val="clear" w:color="auto" w:fill="auto"/>
            <w:vAlign w:val="center"/>
            <w:hideMark/>
          </w:tcPr>
          <w:p w14:paraId="50E08FB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205</w:t>
            </w:r>
          </w:p>
        </w:tc>
        <w:tc>
          <w:tcPr>
            <w:tcW w:w="671" w:type="pct"/>
            <w:tcBorders>
              <w:top w:val="nil"/>
              <w:left w:val="nil"/>
              <w:bottom w:val="single" w:sz="4" w:space="0" w:color="auto"/>
              <w:right w:val="single" w:sz="4" w:space="0" w:color="auto"/>
            </w:tcBorders>
            <w:shd w:val="clear" w:color="auto" w:fill="auto"/>
            <w:vAlign w:val="center"/>
            <w:hideMark/>
          </w:tcPr>
          <w:p w14:paraId="51F57621"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213</w:t>
            </w:r>
          </w:p>
        </w:tc>
        <w:tc>
          <w:tcPr>
            <w:tcW w:w="671" w:type="pct"/>
            <w:tcBorders>
              <w:top w:val="nil"/>
              <w:left w:val="nil"/>
              <w:bottom w:val="single" w:sz="4" w:space="0" w:color="auto"/>
              <w:right w:val="single" w:sz="4" w:space="0" w:color="auto"/>
            </w:tcBorders>
            <w:shd w:val="clear" w:color="auto" w:fill="auto"/>
            <w:vAlign w:val="center"/>
            <w:hideMark/>
          </w:tcPr>
          <w:p w14:paraId="50C1C15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221</w:t>
            </w:r>
          </w:p>
        </w:tc>
        <w:tc>
          <w:tcPr>
            <w:tcW w:w="671" w:type="pct"/>
            <w:tcBorders>
              <w:top w:val="nil"/>
              <w:left w:val="nil"/>
              <w:bottom w:val="single" w:sz="4" w:space="0" w:color="auto"/>
              <w:right w:val="single" w:sz="4" w:space="0" w:color="auto"/>
            </w:tcBorders>
            <w:shd w:val="clear" w:color="auto" w:fill="auto"/>
            <w:vAlign w:val="center"/>
            <w:hideMark/>
          </w:tcPr>
          <w:p w14:paraId="34239315"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229</w:t>
            </w:r>
          </w:p>
        </w:tc>
        <w:tc>
          <w:tcPr>
            <w:tcW w:w="671" w:type="pct"/>
            <w:tcBorders>
              <w:top w:val="nil"/>
              <w:left w:val="nil"/>
              <w:bottom w:val="single" w:sz="4" w:space="0" w:color="auto"/>
              <w:right w:val="single" w:sz="4" w:space="0" w:color="auto"/>
            </w:tcBorders>
            <w:shd w:val="clear" w:color="auto" w:fill="auto"/>
            <w:vAlign w:val="center"/>
            <w:hideMark/>
          </w:tcPr>
          <w:p w14:paraId="53CE49FF"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238</w:t>
            </w:r>
          </w:p>
        </w:tc>
      </w:tr>
      <w:tr w:rsidR="004D7392" w:rsidRPr="0040101A" w14:paraId="65A218B0"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F8C6AA5"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 xml:space="preserve">Of which, diagnosed with </w:t>
            </w:r>
            <w:r w:rsidRPr="00D83BF3">
              <w:rPr>
                <w:rFonts w:ascii="Arial Narrow" w:eastAsia="Times New Roman" w:hAnsi="Arial Narrow" w:cs="Calibri"/>
                <w:color w:val="000000"/>
                <w:sz w:val="20"/>
                <w:szCs w:val="20"/>
                <w:vertAlign w:val="superscript"/>
                <w:lang w:val="en-US"/>
              </w:rPr>
              <w:t>18</w:t>
            </w:r>
            <w:r w:rsidRPr="00D83BF3">
              <w:rPr>
                <w:rFonts w:ascii="Arial Narrow" w:eastAsia="Times New Roman" w:hAnsi="Arial Narrow" w:cs="Calibri"/>
                <w:color w:val="000000"/>
                <w:sz w:val="20"/>
                <w:szCs w:val="20"/>
                <w:lang w:val="en-US"/>
              </w:rPr>
              <w:t>FDG PET/CT (30%)</w:t>
            </w:r>
          </w:p>
        </w:tc>
        <w:tc>
          <w:tcPr>
            <w:tcW w:w="671" w:type="pct"/>
            <w:tcBorders>
              <w:top w:val="nil"/>
              <w:left w:val="nil"/>
              <w:bottom w:val="single" w:sz="4" w:space="0" w:color="auto"/>
              <w:right w:val="single" w:sz="4" w:space="0" w:color="auto"/>
            </w:tcBorders>
            <w:shd w:val="clear" w:color="auto" w:fill="auto"/>
            <w:vAlign w:val="center"/>
            <w:hideMark/>
          </w:tcPr>
          <w:p w14:paraId="68E3EEE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59</w:t>
            </w:r>
          </w:p>
        </w:tc>
        <w:tc>
          <w:tcPr>
            <w:tcW w:w="671" w:type="pct"/>
            <w:tcBorders>
              <w:top w:val="nil"/>
              <w:left w:val="nil"/>
              <w:bottom w:val="single" w:sz="4" w:space="0" w:color="auto"/>
              <w:right w:val="single" w:sz="4" w:space="0" w:color="auto"/>
            </w:tcBorders>
            <w:shd w:val="clear" w:color="auto" w:fill="auto"/>
            <w:vAlign w:val="center"/>
            <w:hideMark/>
          </w:tcPr>
          <w:p w14:paraId="0B508E7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61</w:t>
            </w:r>
          </w:p>
        </w:tc>
        <w:tc>
          <w:tcPr>
            <w:tcW w:w="671" w:type="pct"/>
            <w:tcBorders>
              <w:top w:val="nil"/>
              <w:left w:val="nil"/>
              <w:bottom w:val="single" w:sz="4" w:space="0" w:color="auto"/>
              <w:right w:val="single" w:sz="4" w:space="0" w:color="auto"/>
            </w:tcBorders>
            <w:shd w:val="clear" w:color="auto" w:fill="auto"/>
            <w:vAlign w:val="center"/>
            <w:hideMark/>
          </w:tcPr>
          <w:p w14:paraId="2C75A1A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64</w:t>
            </w:r>
          </w:p>
        </w:tc>
        <w:tc>
          <w:tcPr>
            <w:tcW w:w="671" w:type="pct"/>
            <w:tcBorders>
              <w:top w:val="nil"/>
              <w:left w:val="nil"/>
              <w:bottom w:val="single" w:sz="4" w:space="0" w:color="auto"/>
              <w:right w:val="single" w:sz="4" w:space="0" w:color="auto"/>
            </w:tcBorders>
            <w:shd w:val="clear" w:color="auto" w:fill="auto"/>
            <w:vAlign w:val="center"/>
            <w:hideMark/>
          </w:tcPr>
          <w:p w14:paraId="37C74F45"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66</w:t>
            </w:r>
          </w:p>
        </w:tc>
        <w:tc>
          <w:tcPr>
            <w:tcW w:w="671" w:type="pct"/>
            <w:tcBorders>
              <w:top w:val="nil"/>
              <w:left w:val="nil"/>
              <w:bottom w:val="single" w:sz="4" w:space="0" w:color="auto"/>
              <w:right w:val="single" w:sz="4" w:space="0" w:color="auto"/>
            </w:tcBorders>
            <w:shd w:val="clear" w:color="auto" w:fill="auto"/>
            <w:vAlign w:val="center"/>
            <w:hideMark/>
          </w:tcPr>
          <w:p w14:paraId="7438EE78"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69</w:t>
            </w:r>
          </w:p>
        </w:tc>
        <w:tc>
          <w:tcPr>
            <w:tcW w:w="671" w:type="pct"/>
            <w:tcBorders>
              <w:top w:val="nil"/>
              <w:left w:val="nil"/>
              <w:bottom w:val="single" w:sz="4" w:space="0" w:color="auto"/>
              <w:right w:val="single" w:sz="4" w:space="0" w:color="auto"/>
            </w:tcBorders>
            <w:shd w:val="clear" w:color="auto" w:fill="auto"/>
            <w:vAlign w:val="center"/>
            <w:hideMark/>
          </w:tcPr>
          <w:p w14:paraId="47215AB8"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71</w:t>
            </w:r>
          </w:p>
        </w:tc>
      </w:tr>
      <w:tr w:rsidR="004D7392" w:rsidRPr="0040101A" w14:paraId="64FF38DC"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699FB98"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Cost to the MBS; treatment drug cost</w:t>
            </w:r>
          </w:p>
        </w:tc>
        <w:tc>
          <w:tcPr>
            <w:tcW w:w="671" w:type="pct"/>
            <w:tcBorders>
              <w:top w:val="nil"/>
              <w:left w:val="nil"/>
              <w:bottom w:val="single" w:sz="4" w:space="0" w:color="auto"/>
              <w:right w:val="single" w:sz="4" w:space="0" w:color="auto"/>
            </w:tcBorders>
            <w:shd w:val="clear" w:color="auto" w:fill="auto"/>
            <w:vAlign w:val="center"/>
            <w:hideMark/>
          </w:tcPr>
          <w:p w14:paraId="2C55C006"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$6,890,666</w:t>
            </w:r>
          </w:p>
        </w:tc>
        <w:tc>
          <w:tcPr>
            <w:tcW w:w="671" w:type="pct"/>
            <w:tcBorders>
              <w:top w:val="nil"/>
              <w:left w:val="nil"/>
              <w:bottom w:val="single" w:sz="4" w:space="0" w:color="auto"/>
              <w:right w:val="single" w:sz="4" w:space="0" w:color="auto"/>
            </w:tcBorders>
            <w:shd w:val="clear" w:color="auto" w:fill="auto"/>
            <w:vAlign w:val="center"/>
            <w:hideMark/>
          </w:tcPr>
          <w:p w14:paraId="70B47CC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$7,153,235</w:t>
            </w:r>
          </w:p>
        </w:tc>
        <w:tc>
          <w:tcPr>
            <w:tcW w:w="671" w:type="pct"/>
            <w:tcBorders>
              <w:top w:val="nil"/>
              <w:left w:val="nil"/>
              <w:bottom w:val="single" w:sz="4" w:space="0" w:color="auto"/>
              <w:right w:val="single" w:sz="4" w:space="0" w:color="auto"/>
            </w:tcBorders>
            <w:shd w:val="clear" w:color="auto" w:fill="auto"/>
            <w:vAlign w:val="center"/>
            <w:hideMark/>
          </w:tcPr>
          <w:p w14:paraId="5724770C"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$7,425,809</w:t>
            </w:r>
          </w:p>
        </w:tc>
        <w:tc>
          <w:tcPr>
            <w:tcW w:w="671" w:type="pct"/>
            <w:tcBorders>
              <w:top w:val="nil"/>
              <w:left w:val="nil"/>
              <w:bottom w:val="single" w:sz="4" w:space="0" w:color="auto"/>
              <w:right w:val="single" w:sz="4" w:space="0" w:color="auto"/>
            </w:tcBorders>
            <w:shd w:val="clear" w:color="auto" w:fill="auto"/>
            <w:vAlign w:val="center"/>
            <w:hideMark/>
          </w:tcPr>
          <w:p w14:paraId="2CF7F89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$7,708,769</w:t>
            </w:r>
          </w:p>
        </w:tc>
        <w:tc>
          <w:tcPr>
            <w:tcW w:w="671" w:type="pct"/>
            <w:tcBorders>
              <w:top w:val="nil"/>
              <w:left w:val="nil"/>
              <w:bottom w:val="single" w:sz="4" w:space="0" w:color="auto"/>
              <w:right w:val="single" w:sz="4" w:space="0" w:color="auto"/>
            </w:tcBorders>
            <w:shd w:val="clear" w:color="auto" w:fill="auto"/>
            <w:vAlign w:val="center"/>
            <w:hideMark/>
          </w:tcPr>
          <w:p w14:paraId="40080ADA"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$8,002,512</w:t>
            </w:r>
          </w:p>
        </w:tc>
        <w:tc>
          <w:tcPr>
            <w:tcW w:w="671" w:type="pct"/>
            <w:tcBorders>
              <w:top w:val="nil"/>
              <w:left w:val="nil"/>
              <w:bottom w:val="single" w:sz="4" w:space="0" w:color="auto"/>
              <w:right w:val="single" w:sz="4" w:space="0" w:color="auto"/>
            </w:tcBorders>
            <w:shd w:val="clear" w:color="auto" w:fill="auto"/>
            <w:vAlign w:val="center"/>
            <w:hideMark/>
          </w:tcPr>
          <w:p w14:paraId="0F9512CF"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$8,307,447</w:t>
            </w:r>
          </w:p>
        </w:tc>
      </w:tr>
      <w:tr w:rsidR="004D7392" w:rsidRPr="0040101A" w14:paraId="7C7113C8"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2E352976"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Cost to the MBS; diagnostic test cost</w:t>
            </w:r>
          </w:p>
        </w:tc>
        <w:tc>
          <w:tcPr>
            <w:tcW w:w="671" w:type="pct"/>
            <w:tcBorders>
              <w:top w:val="nil"/>
              <w:left w:val="nil"/>
              <w:bottom w:val="single" w:sz="4" w:space="0" w:color="auto"/>
              <w:right w:val="single" w:sz="4" w:space="0" w:color="auto"/>
            </w:tcBorders>
            <w:shd w:val="clear" w:color="auto" w:fill="auto"/>
            <w:vAlign w:val="center"/>
            <w:hideMark/>
          </w:tcPr>
          <w:p w14:paraId="4884700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240,037</w:t>
            </w:r>
          </w:p>
        </w:tc>
        <w:tc>
          <w:tcPr>
            <w:tcW w:w="671" w:type="pct"/>
            <w:tcBorders>
              <w:top w:val="nil"/>
              <w:left w:val="nil"/>
              <w:bottom w:val="single" w:sz="4" w:space="0" w:color="auto"/>
              <w:right w:val="single" w:sz="4" w:space="0" w:color="auto"/>
            </w:tcBorders>
            <w:shd w:val="clear" w:color="auto" w:fill="auto"/>
            <w:vAlign w:val="center"/>
            <w:hideMark/>
          </w:tcPr>
          <w:p w14:paraId="1BCAA66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249,183</w:t>
            </w:r>
          </w:p>
        </w:tc>
        <w:tc>
          <w:tcPr>
            <w:tcW w:w="671" w:type="pct"/>
            <w:tcBorders>
              <w:top w:val="nil"/>
              <w:left w:val="nil"/>
              <w:bottom w:val="single" w:sz="4" w:space="0" w:color="auto"/>
              <w:right w:val="single" w:sz="4" w:space="0" w:color="auto"/>
            </w:tcBorders>
            <w:shd w:val="clear" w:color="auto" w:fill="auto"/>
            <w:vAlign w:val="center"/>
            <w:hideMark/>
          </w:tcPr>
          <w:p w14:paraId="485F239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258,679</w:t>
            </w:r>
          </w:p>
        </w:tc>
        <w:tc>
          <w:tcPr>
            <w:tcW w:w="671" w:type="pct"/>
            <w:tcBorders>
              <w:top w:val="nil"/>
              <w:left w:val="nil"/>
              <w:bottom w:val="single" w:sz="4" w:space="0" w:color="auto"/>
              <w:right w:val="single" w:sz="4" w:space="0" w:color="auto"/>
            </w:tcBorders>
            <w:shd w:val="clear" w:color="auto" w:fill="auto"/>
            <w:vAlign w:val="center"/>
            <w:hideMark/>
          </w:tcPr>
          <w:p w14:paraId="04E57E6D"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268,535</w:t>
            </w:r>
          </w:p>
        </w:tc>
        <w:tc>
          <w:tcPr>
            <w:tcW w:w="671" w:type="pct"/>
            <w:tcBorders>
              <w:top w:val="nil"/>
              <w:left w:val="nil"/>
              <w:bottom w:val="single" w:sz="4" w:space="0" w:color="auto"/>
              <w:right w:val="single" w:sz="4" w:space="0" w:color="auto"/>
            </w:tcBorders>
            <w:shd w:val="clear" w:color="auto" w:fill="auto"/>
            <w:vAlign w:val="center"/>
            <w:hideMark/>
          </w:tcPr>
          <w:p w14:paraId="732FC6E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278,768</w:t>
            </w:r>
          </w:p>
        </w:tc>
        <w:tc>
          <w:tcPr>
            <w:tcW w:w="671" w:type="pct"/>
            <w:tcBorders>
              <w:top w:val="nil"/>
              <w:left w:val="nil"/>
              <w:bottom w:val="single" w:sz="4" w:space="0" w:color="auto"/>
              <w:right w:val="single" w:sz="4" w:space="0" w:color="auto"/>
            </w:tcBorders>
            <w:shd w:val="clear" w:color="auto" w:fill="auto"/>
            <w:vAlign w:val="center"/>
            <w:hideMark/>
          </w:tcPr>
          <w:p w14:paraId="0AEE8BAD"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olor w:val="000000"/>
                <w:sz w:val="20"/>
              </w:rPr>
              <w:t>$</w:t>
            </w:r>
            <w:r w:rsidRPr="00D83BF3">
              <w:rPr>
                <w:rFonts w:ascii="Arial Narrow" w:hAnsi="Arial Narrow" w:cs="Calibri"/>
                <w:color w:val="000000"/>
                <w:sz w:val="20"/>
                <w:szCs w:val="20"/>
              </w:rPr>
              <w:t>289,390</w:t>
            </w:r>
          </w:p>
        </w:tc>
      </w:tr>
      <w:tr w:rsidR="004D7392" w:rsidRPr="0040101A" w14:paraId="3657B8E1" w14:textId="77777777" w:rsidTr="0038072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910D8BE" w14:textId="77777777" w:rsidR="004D7392" w:rsidRPr="00D83BF3" w:rsidRDefault="004D7392" w:rsidP="00380727">
            <w:pPr>
              <w:spacing w:before="0" w:after="0" w:line="240" w:lineRule="auto"/>
              <w:rPr>
                <w:rFonts w:ascii="Arial Narrow" w:eastAsia="Times New Roman" w:hAnsi="Arial Narrow" w:cs="Calibri"/>
                <w:b/>
                <w:bCs/>
                <w:color w:val="000000"/>
                <w:sz w:val="20"/>
                <w:szCs w:val="20"/>
                <w:lang w:val="en-US"/>
              </w:rPr>
            </w:pPr>
            <w:r w:rsidRPr="00D83BF3">
              <w:rPr>
                <w:rFonts w:ascii="Arial Narrow" w:eastAsia="Times New Roman" w:hAnsi="Arial Narrow" w:cs="Calibri"/>
                <w:b/>
                <w:bCs/>
                <w:color w:val="000000"/>
                <w:sz w:val="20"/>
                <w:szCs w:val="20"/>
                <w:lang w:val="en-US"/>
              </w:rPr>
              <w:t>Change in use and cost of other health technologies</w:t>
            </w:r>
          </w:p>
        </w:tc>
      </w:tr>
      <w:tr w:rsidR="004D7392" w:rsidRPr="0040101A" w14:paraId="74FCA940"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5E5C70FE"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Change in use of comparator and other.</w:t>
            </w:r>
          </w:p>
        </w:tc>
        <w:tc>
          <w:tcPr>
            <w:tcW w:w="4026" w:type="pct"/>
            <w:gridSpan w:val="6"/>
            <w:tcBorders>
              <w:top w:val="single" w:sz="4" w:space="0" w:color="auto"/>
              <w:left w:val="nil"/>
              <w:bottom w:val="single" w:sz="4" w:space="0" w:color="auto"/>
              <w:right w:val="single" w:sz="4" w:space="0" w:color="000000"/>
            </w:tcBorders>
            <w:shd w:val="clear" w:color="auto" w:fill="auto"/>
            <w:vAlign w:val="center"/>
            <w:hideMark/>
          </w:tcPr>
          <w:p w14:paraId="1B67B7A3"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N/A</w:t>
            </w:r>
            <w:r w:rsidRPr="00D83BF3">
              <w:rPr>
                <w:rFonts w:ascii="Arial Narrow" w:eastAsia="Times New Roman" w:hAnsi="Arial Narrow" w:cs="Calibri"/>
                <w:color w:val="000000"/>
                <w:sz w:val="20"/>
                <w:szCs w:val="20"/>
                <w:lang w:val="en-US"/>
              </w:rPr>
              <w:br/>
            </w:r>
            <w:r w:rsidRPr="00D83BF3">
              <w:rPr>
                <w:rFonts w:ascii="Arial Narrow" w:eastAsia="Times New Roman" w:hAnsi="Arial Narrow" w:cs="Calibri"/>
                <w:color w:val="000000"/>
                <w:sz w:val="20"/>
                <w:szCs w:val="20"/>
                <w:vertAlign w:val="superscript"/>
                <w:lang w:val="en-US"/>
              </w:rPr>
              <w:t>177</w:t>
            </w:r>
            <w:r w:rsidRPr="00D83BF3">
              <w:rPr>
                <w:rFonts w:ascii="Arial Narrow" w:eastAsia="Times New Roman" w:hAnsi="Arial Narrow" w:cs="Calibri"/>
                <w:color w:val="000000"/>
                <w:sz w:val="20"/>
                <w:szCs w:val="20"/>
                <w:lang w:val="en-US"/>
              </w:rPr>
              <w:t xml:space="preserve">Lu-DOTA-octreotate is proposed as an add-on therapy </w:t>
            </w:r>
          </w:p>
        </w:tc>
      </w:tr>
      <w:tr w:rsidR="004D7392" w:rsidRPr="0040101A" w14:paraId="6BDE9081"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BF5EF91" w14:textId="77777777" w:rsidR="004D7392" w:rsidRPr="00D83BF3" w:rsidRDefault="004D7392" w:rsidP="00380727">
            <w:pPr>
              <w:spacing w:before="0" w:after="0" w:line="240" w:lineRule="auto"/>
              <w:rPr>
                <w:rFonts w:ascii="Arial Narrow" w:eastAsia="Times New Roman" w:hAnsi="Arial Narrow" w:cs="Calibri"/>
                <w:b/>
                <w:bCs/>
                <w:color w:val="000000"/>
                <w:sz w:val="20"/>
                <w:szCs w:val="20"/>
                <w:lang w:val="en-US"/>
              </w:rPr>
            </w:pPr>
            <w:r w:rsidRPr="00D83BF3">
              <w:rPr>
                <w:rFonts w:ascii="Arial Narrow" w:eastAsia="Times New Roman" w:hAnsi="Arial Narrow" w:cs="Calibri"/>
                <w:b/>
                <w:bCs/>
                <w:color w:val="000000"/>
                <w:sz w:val="20"/>
                <w:szCs w:val="20"/>
                <w:lang w:val="en-US"/>
              </w:rPr>
              <w:t>Net financial impact to the MBS</w:t>
            </w:r>
          </w:p>
        </w:tc>
        <w:tc>
          <w:tcPr>
            <w:tcW w:w="671" w:type="pct"/>
            <w:tcBorders>
              <w:top w:val="nil"/>
              <w:left w:val="nil"/>
              <w:bottom w:val="single" w:sz="4" w:space="0" w:color="auto"/>
              <w:right w:val="single" w:sz="4" w:space="0" w:color="auto"/>
            </w:tcBorders>
            <w:shd w:val="clear" w:color="auto" w:fill="auto"/>
            <w:vAlign w:val="center"/>
            <w:hideMark/>
          </w:tcPr>
          <w:p w14:paraId="44F45622"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$7,130,703</w:t>
            </w:r>
          </w:p>
        </w:tc>
        <w:tc>
          <w:tcPr>
            <w:tcW w:w="671" w:type="pct"/>
            <w:tcBorders>
              <w:top w:val="nil"/>
              <w:left w:val="nil"/>
              <w:bottom w:val="single" w:sz="4" w:space="0" w:color="auto"/>
              <w:right w:val="single" w:sz="4" w:space="0" w:color="auto"/>
            </w:tcBorders>
            <w:shd w:val="clear" w:color="auto" w:fill="auto"/>
            <w:vAlign w:val="center"/>
            <w:hideMark/>
          </w:tcPr>
          <w:p w14:paraId="6C9922A0"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$7,402,418</w:t>
            </w:r>
          </w:p>
        </w:tc>
        <w:tc>
          <w:tcPr>
            <w:tcW w:w="671" w:type="pct"/>
            <w:tcBorders>
              <w:top w:val="nil"/>
              <w:left w:val="nil"/>
              <w:bottom w:val="single" w:sz="4" w:space="0" w:color="auto"/>
              <w:right w:val="single" w:sz="4" w:space="0" w:color="auto"/>
            </w:tcBorders>
            <w:shd w:val="clear" w:color="auto" w:fill="auto"/>
            <w:vAlign w:val="center"/>
            <w:hideMark/>
          </w:tcPr>
          <w:p w14:paraId="49D250E1"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$7,684,487</w:t>
            </w:r>
          </w:p>
        </w:tc>
        <w:tc>
          <w:tcPr>
            <w:tcW w:w="671" w:type="pct"/>
            <w:tcBorders>
              <w:top w:val="nil"/>
              <w:left w:val="nil"/>
              <w:bottom w:val="single" w:sz="4" w:space="0" w:color="auto"/>
              <w:right w:val="single" w:sz="4" w:space="0" w:color="auto"/>
            </w:tcBorders>
            <w:shd w:val="clear" w:color="auto" w:fill="auto"/>
            <w:vAlign w:val="center"/>
            <w:hideMark/>
          </w:tcPr>
          <w:p w14:paraId="2475B237"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$7,977,305</w:t>
            </w:r>
          </w:p>
        </w:tc>
        <w:tc>
          <w:tcPr>
            <w:tcW w:w="671" w:type="pct"/>
            <w:tcBorders>
              <w:top w:val="nil"/>
              <w:left w:val="nil"/>
              <w:bottom w:val="single" w:sz="4" w:space="0" w:color="auto"/>
              <w:right w:val="single" w:sz="4" w:space="0" w:color="auto"/>
            </w:tcBorders>
            <w:shd w:val="clear" w:color="auto" w:fill="auto"/>
            <w:vAlign w:val="center"/>
            <w:hideMark/>
          </w:tcPr>
          <w:p w14:paraId="52429FBA"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$8,281,280</w:t>
            </w:r>
          </w:p>
        </w:tc>
        <w:tc>
          <w:tcPr>
            <w:tcW w:w="671" w:type="pct"/>
            <w:tcBorders>
              <w:top w:val="nil"/>
              <w:left w:val="nil"/>
              <w:bottom w:val="single" w:sz="4" w:space="0" w:color="auto"/>
              <w:right w:val="single" w:sz="4" w:space="0" w:color="auto"/>
            </w:tcBorders>
            <w:shd w:val="clear" w:color="auto" w:fill="auto"/>
            <w:vAlign w:val="center"/>
            <w:hideMark/>
          </w:tcPr>
          <w:p w14:paraId="60F681CD"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D83BF3">
              <w:rPr>
                <w:rFonts w:ascii="Arial Narrow" w:hAnsi="Arial Narrow"/>
                <w:b/>
                <w:bCs/>
                <w:sz w:val="20"/>
                <w:szCs w:val="20"/>
              </w:rPr>
              <w:t>$8,596,838</w:t>
            </w:r>
          </w:p>
        </w:tc>
      </w:tr>
    </w:tbl>
    <w:p w14:paraId="545A8871" w14:textId="77777777" w:rsidR="004D7392" w:rsidRDefault="004D7392" w:rsidP="004D7392">
      <w:pPr>
        <w:pStyle w:val="Tablenotes0"/>
      </w:pPr>
      <w:r>
        <w:t>Abbreviations: CT = computed tomography; FDG =</w:t>
      </w:r>
      <w:r w:rsidRPr="00CF7C77">
        <w:t xml:space="preserve"> </w:t>
      </w:r>
      <w:r>
        <w:t>f</w:t>
      </w:r>
      <w:r w:rsidRPr="00CF7C77">
        <w:t>luorodeoxyglucose</w:t>
      </w:r>
      <w:r>
        <w:t>; MBS = Medicare Benefits Schedule; N/A = not applicable; NEN = neuroendocrine neoplasm; PET = positron emission tomography.</w:t>
      </w:r>
    </w:p>
    <w:p w14:paraId="30314054" w14:textId="597CB1B1" w:rsidR="004D7392" w:rsidRDefault="004D7392" w:rsidP="004D7392">
      <w:pPr>
        <w:rPr>
          <w:iCs/>
        </w:rPr>
      </w:pPr>
      <w:r>
        <w:rPr>
          <w:iCs/>
        </w:rPr>
        <w:t>A scenario where an additional diagnostic test is conducted as part of monitoring was conducted (</w:t>
      </w:r>
      <w:r>
        <w:rPr>
          <w:iCs/>
        </w:rPr>
        <w:fldChar w:fldCharType="begin"/>
      </w:r>
      <w:r>
        <w:rPr>
          <w:iCs/>
        </w:rPr>
        <w:instrText xml:space="preserve"> REF _Ref170408912 \h </w:instrText>
      </w:r>
      <w:r>
        <w:rPr>
          <w:iCs/>
        </w:rPr>
      </w:r>
      <w:r>
        <w:rPr>
          <w:iCs/>
        </w:rPr>
        <w:fldChar w:fldCharType="separate"/>
      </w:r>
      <w:r>
        <w:t xml:space="preserve">Table </w:t>
      </w:r>
      <w:r>
        <w:rPr>
          <w:noProof/>
        </w:rPr>
        <w:t>3</w:t>
      </w:r>
      <w:r>
        <w:rPr>
          <w:iCs/>
        </w:rPr>
        <w:fldChar w:fldCharType="end"/>
      </w:r>
      <w:r>
        <w:rPr>
          <w:iCs/>
        </w:rPr>
        <w:t xml:space="preserve">). In this scenario, the estimated net financial impact of </w:t>
      </w:r>
      <w:r>
        <w:rPr>
          <w:iCs/>
          <w:vertAlign w:val="superscript"/>
        </w:rPr>
        <w:t>177</w:t>
      </w:r>
      <w:r>
        <w:rPr>
          <w:iCs/>
        </w:rPr>
        <w:t xml:space="preserve">Lu-DOTA-octreotate to the Medicare Benefits Schedule (MBS) is estimated to be </w:t>
      </w:r>
      <w:r w:rsidRPr="00DD5E04">
        <w:rPr>
          <w:iCs/>
        </w:rPr>
        <w:t>$7,315,347</w:t>
      </w:r>
      <w:r>
        <w:rPr>
          <w:iCs/>
        </w:rPr>
        <w:t xml:space="preserve"> in </w:t>
      </w:r>
      <w:r w:rsidR="00686968">
        <w:rPr>
          <w:iCs/>
        </w:rPr>
        <w:t>Y</w:t>
      </w:r>
      <w:r>
        <w:rPr>
          <w:iCs/>
        </w:rPr>
        <w:t xml:space="preserve">ear 1, increasing to </w:t>
      </w:r>
      <w:r w:rsidRPr="00DD5E04">
        <w:rPr>
          <w:iCs/>
        </w:rPr>
        <w:t>$8,819,446</w:t>
      </w:r>
      <w:r>
        <w:rPr>
          <w:iCs/>
        </w:rPr>
        <w:t xml:space="preserve"> in </w:t>
      </w:r>
      <w:r w:rsidR="00686968">
        <w:rPr>
          <w:iCs/>
        </w:rPr>
        <w:t>Y</w:t>
      </w:r>
      <w:r>
        <w:rPr>
          <w:iCs/>
        </w:rPr>
        <w:t>ear 6. This corresponds to a total net financial impact over 6 years of $48.3 million, in comparison with $49.1 million in the original Department contracted assessment report (DCAR).</w:t>
      </w:r>
    </w:p>
    <w:p w14:paraId="6C7D91DB" w14:textId="77777777" w:rsidR="004D7392" w:rsidRDefault="004D7392" w:rsidP="004D7392">
      <w:pPr>
        <w:rPr>
          <w:iCs/>
        </w:rPr>
      </w:pPr>
      <w:r>
        <w:t xml:space="preserve">Additional sensitivity analyses were also conducted to explore the impact of assumptions around the duration of treatment with </w:t>
      </w:r>
      <w:r w:rsidRPr="00FA1DA7">
        <w:rPr>
          <w:iCs/>
          <w:vertAlign w:val="superscript"/>
        </w:rPr>
        <w:t>177</w:t>
      </w:r>
      <w:r w:rsidRPr="00FA1DA7">
        <w:rPr>
          <w:iCs/>
        </w:rPr>
        <w:t>Lu-DOTA-octreotate</w:t>
      </w:r>
      <w:r>
        <w:rPr>
          <w:iCs/>
        </w:rPr>
        <w:t xml:space="preserve"> (</w:t>
      </w:r>
      <w:r>
        <w:rPr>
          <w:iCs/>
        </w:rPr>
        <w:fldChar w:fldCharType="begin"/>
      </w:r>
      <w:r>
        <w:rPr>
          <w:iCs/>
        </w:rPr>
        <w:instrText xml:space="preserve"> REF _Ref170408912 \h </w:instrText>
      </w:r>
      <w:r>
        <w:rPr>
          <w:iCs/>
        </w:rPr>
      </w:r>
      <w:r>
        <w:rPr>
          <w:iCs/>
        </w:rPr>
        <w:fldChar w:fldCharType="separate"/>
      </w:r>
      <w:r>
        <w:t xml:space="preserve">Table </w:t>
      </w:r>
      <w:r>
        <w:rPr>
          <w:noProof/>
        </w:rPr>
        <w:t>3</w:t>
      </w:r>
      <w:r>
        <w:rPr>
          <w:iCs/>
        </w:rPr>
        <w:fldChar w:fldCharType="end"/>
      </w:r>
      <w:r>
        <w:rPr>
          <w:iCs/>
        </w:rPr>
        <w:t>). Consistent with cost-effectiveness estimates, assuming increased duration of treatment results in increased net financial impact, and a reduced treatment duration results in reduced net financial impact. Scenarios including additional costs of diagnostic testing as part of monitoring resulted in 6-year net budget impacts of $54.7 and $41.8 million for an assumed additional 0.5 cycles of treatment and 0.5 fewer cycles of treatment, respectively.</w:t>
      </w:r>
    </w:p>
    <w:p w14:paraId="2851795E" w14:textId="77777777" w:rsidR="004D7392" w:rsidRDefault="004D7392" w:rsidP="004D7392">
      <w:pPr>
        <w:rPr>
          <w:iCs/>
        </w:rPr>
      </w:pPr>
      <w:r>
        <w:rPr>
          <w:iCs/>
        </w:rPr>
        <w:lastRenderedPageBreak/>
        <w:t xml:space="preserve">An additional scenario exploring the impact of 80% of the eligible incident population receiving diagnostic testing was assessed based on published estimates </w:t>
      </w:r>
      <w:r w:rsidRPr="00742B8A">
        <w:rPr>
          <w:iCs/>
        </w:rPr>
        <w:t>indicat</w:t>
      </w:r>
      <w:r>
        <w:rPr>
          <w:iCs/>
        </w:rPr>
        <w:t xml:space="preserve">ing that </w:t>
      </w:r>
      <w:r w:rsidRPr="00090960">
        <w:rPr>
          <w:color w:val="000000"/>
        </w:rPr>
        <w:t xml:space="preserve">the estimate of those with suspected high SSTR expression and thus eligible for </w:t>
      </w:r>
      <w:r w:rsidRPr="00090960">
        <w:rPr>
          <w:color w:val="000000"/>
          <w:vertAlign w:val="superscript"/>
        </w:rPr>
        <w:t>68</w:t>
      </w:r>
      <w:r w:rsidRPr="00090960">
        <w:rPr>
          <w:color w:val="000000"/>
        </w:rPr>
        <w:t xml:space="preserve">Ga-DOTA-octreotate PET/CT testing could be as high as 80% in well differentiated </w:t>
      </w:r>
      <w:r>
        <w:rPr>
          <w:iCs/>
        </w:rPr>
        <w:t>NENs</w:t>
      </w:r>
      <w:r>
        <w:rPr>
          <w:rStyle w:val="FootnoteReference"/>
          <w:iCs/>
        </w:rPr>
        <w:footnoteReference w:id="43"/>
      </w:r>
      <w:r>
        <w:rPr>
          <w:iCs/>
        </w:rPr>
        <w:t xml:space="preserve">. It is noted that this scenario assumes that none of these patients would receive </w:t>
      </w:r>
      <w:r w:rsidRPr="00742B8A">
        <w:rPr>
          <w:iCs/>
          <w:vertAlign w:val="superscript"/>
        </w:rPr>
        <w:t>68</w:t>
      </w:r>
      <w:r w:rsidRPr="00742B8A">
        <w:rPr>
          <w:iCs/>
        </w:rPr>
        <w:t>Ga-DOTA-octreotate PET/CT testing</w:t>
      </w:r>
      <w:r>
        <w:rPr>
          <w:iCs/>
        </w:rPr>
        <w:t xml:space="preserve"> in the absence of </w:t>
      </w:r>
      <w:r w:rsidRPr="00742B8A">
        <w:rPr>
          <w:iCs/>
          <w:vertAlign w:val="superscript"/>
        </w:rPr>
        <w:t>177</w:t>
      </w:r>
      <w:r w:rsidRPr="00742B8A">
        <w:rPr>
          <w:iCs/>
        </w:rPr>
        <w:t>Lu-DOTA-octreotate</w:t>
      </w:r>
      <w:r>
        <w:rPr>
          <w:iCs/>
        </w:rPr>
        <w:t>.</w:t>
      </w:r>
    </w:p>
    <w:p w14:paraId="58A9D9E6" w14:textId="77777777" w:rsidR="004D7392" w:rsidRDefault="004D7392" w:rsidP="004D7392">
      <w:pPr>
        <w:rPr>
          <w:iCs/>
        </w:rPr>
      </w:pPr>
      <w:r>
        <w:rPr>
          <w:iCs/>
        </w:rPr>
        <w:t xml:space="preserve">In this scenario the 6-year budget impact increased to $81.7 million, with 44.3% of the net budget impact being attributable to increased diagnostic testing. Combined with an additional diagnostic test assumed as part of monitoring, the 6-year net budget impact increased to $82.9 million. The latter scenario (80% of eligible population tested; additional </w:t>
      </w:r>
      <w:r w:rsidRPr="00C06124">
        <w:rPr>
          <w:vertAlign w:val="superscript"/>
        </w:rPr>
        <w:t>68</w:t>
      </w:r>
      <w:r w:rsidRPr="00C06124">
        <w:t>Ga-</w:t>
      </w:r>
      <w:r>
        <w:t>DOTA-octreotate PET study for treated patients) captures the Evaluation Sub-Committee (ESC)-defined scenario (</w:t>
      </w:r>
      <w:r>
        <w:fldChar w:fldCharType="begin"/>
      </w:r>
      <w:r>
        <w:instrText xml:space="preserve"> REF _Ref171007123 \h </w:instrText>
      </w:r>
      <w:r>
        <w:fldChar w:fldCharType="separate"/>
      </w:r>
      <w:r>
        <w:t xml:space="preserve">Table </w:t>
      </w:r>
      <w:r>
        <w:rPr>
          <w:noProof/>
        </w:rPr>
        <w:t>4</w:t>
      </w:r>
      <w:r>
        <w:fldChar w:fldCharType="end"/>
      </w:r>
      <w:r>
        <w:t>).</w:t>
      </w:r>
    </w:p>
    <w:p w14:paraId="071922BA" w14:textId="77777777" w:rsidR="004D7392" w:rsidRPr="00286B3E" w:rsidRDefault="004D7392" w:rsidP="004D7392">
      <w:pPr>
        <w:pStyle w:val="Caption"/>
      </w:pPr>
      <w:bookmarkStart w:id="126" w:name="_Ref170408912"/>
      <w:r>
        <w:t xml:space="preserve">Table </w:t>
      </w:r>
      <w:r>
        <w:fldChar w:fldCharType="begin"/>
      </w:r>
      <w:r>
        <w:instrText xml:space="preserve"> SEQ Table \* ARABIC </w:instrText>
      </w:r>
      <w:r>
        <w:fldChar w:fldCharType="separate"/>
      </w:r>
      <w:r>
        <w:rPr>
          <w:noProof/>
        </w:rPr>
        <w:t>3</w:t>
      </w:r>
      <w:r>
        <w:rPr>
          <w:noProof/>
        </w:rPr>
        <w:fldChar w:fldCharType="end"/>
      </w:r>
      <w:bookmarkEnd w:id="126"/>
      <w:r>
        <w:t>: Financial impact sensitivity analysis varying treatment duration and additional costs of monitoring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210"/>
        <w:gridCol w:w="1210"/>
        <w:gridCol w:w="1210"/>
        <w:gridCol w:w="1210"/>
        <w:gridCol w:w="1210"/>
        <w:gridCol w:w="1210"/>
      </w:tblGrid>
      <w:tr w:rsidR="004D7392" w:rsidRPr="00E81F00" w14:paraId="5F4D89A3" w14:textId="77777777" w:rsidTr="00380727">
        <w:trPr>
          <w:cantSplit/>
          <w:trHeight w:val="510"/>
          <w:tblHeader/>
        </w:trPr>
        <w:tc>
          <w:tcPr>
            <w:tcW w:w="974" w:type="pct"/>
            <w:tcBorders>
              <w:bottom w:val="nil"/>
            </w:tcBorders>
            <w:shd w:val="clear" w:color="auto" w:fill="auto"/>
            <w:noWrap/>
            <w:vAlign w:val="bottom"/>
            <w:hideMark/>
          </w:tcPr>
          <w:p w14:paraId="6A55E8B3" w14:textId="77777777" w:rsidR="004D7392" w:rsidRPr="00E81F00" w:rsidRDefault="004D7392" w:rsidP="00380727">
            <w:pPr>
              <w:spacing w:before="0" w:after="0" w:line="240" w:lineRule="auto"/>
              <w:rPr>
                <w:rFonts w:ascii="Times New Roman" w:eastAsia="Times New Roman" w:hAnsi="Times New Roman" w:cs="Times New Roman"/>
                <w:sz w:val="24"/>
                <w:szCs w:val="24"/>
                <w:lang w:val="en-US"/>
              </w:rPr>
            </w:pPr>
          </w:p>
        </w:tc>
        <w:tc>
          <w:tcPr>
            <w:tcW w:w="4026" w:type="pct"/>
            <w:gridSpan w:val="6"/>
            <w:shd w:val="clear" w:color="auto" w:fill="auto"/>
            <w:vAlign w:val="center"/>
            <w:hideMark/>
          </w:tcPr>
          <w:p w14:paraId="7CCCFE87"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Net financial impact to the MBS</w:t>
            </w:r>
          </w:p>
        </w:tc>
      </w:tr>
      <w:tr w:rsidR="004D7392" w:rsidRPr="00E81F00" w14:paraId="46716B66" w14:textId="77777777" w:rsidTr="00380727">
        <w:trPr>
          <w:cantSplit/>
          <w:trHeight w:val="315"/>
          <w:tblHeader/>
        </w:trPr>
        <w:tc>
          <w:tcPr>
            <w:tcW w:w="974" w:type="pct"/>
            <w:tcBorders>
              <w:top w:val="nil"/>
            </w:tcBorders>
            <w:shd w:val="clear" w:color="auto" w:fill="auto"/>
            <w:vAlign w:val="center"/>
            <w:hideMark/>
          </w:tcPr>
          <w:p w14:paraId="3CA61126" w14:textId="77777777" w:rsidR="004D7392" w:rsidRPr="00E81F00" w:rsidRDefault="004D7392" w:rsidP="00380727">
            <w:pPr>
              <w:spacing w:before="0" w:after="0" w:line="240" w:lineRule="auto"/>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 xml:space="preserve">Parameter </w:t>
            </w:r>
          </w:p>
        </w:tc>
        <w:tc>
          <w:tcPr>
            <w:tcW w:w="671" w:type="pct"/>
            <w:shd w:val="clear" w:color="auto" w:fill="auto"/>
            <w:noWrap/>
            <w:vAlign w:val="center"/>
            <w:hideMark/>
          </w:tcPr>
          <w:p w14:paraId="49ECBDF7"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2024 (year 1)</w:t>
            </w:r>
          </w:p>
        </w:tc>
        <w:tc>
          <w:tcPr>
            <w:tcW w:w="671" w:type="pct"/>
            <w:shd w:val="clear" w:color="auto" w:fill="auto"/>
            <w:noWrap/>
            <w:vAlign w:val="center"/>
            <w:hideMark/>
          </w:tcPr>
          <w:p w14:paraId="1A407A6F"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2025 (year 2)</w:t>
            </w:r>
          </w:p>
        </w:tc>
        <w:tc>
          <w:tcPr>
            <w:tcW w:w="671" w:type="pct"/>
            <w:shd w:val="clear" w:color="auto" w:fill="auto"/>
            <w:noWrap/>
            <w:vAlign w:val="center"/>
            <w:hideMark/>
          </w:tcPr>
          <w:p w14:paraId="36A5B5AA"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2026 (year 3)</w:t>
            </w:r>
          </w:p>
        </w:tc>
        <w:tc>
          <w:tcPr>
            <w:tcW w:w="671" w:type="pct"/>
            <w:shd w:val="clear" w:color="auto" w:fill="auto"/>
            <w:noWrap/>
            <w:vAlign w:val="center"/>
            <w:hideMark/>
          </w:tcPr>
          <w:p w14:paraId="0E36FD39"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2027 (year 4)</w:t>
            </w:r>
          </w:p>
        </w:tc>
        <w:tc>
          <w:tcPr>
            <w:tcW w:w="671" w:type="pct"/>
            <w:shd w:val="clear" w:color="auto" w:fill="auto"/>
            <w:noWrap/>
            <w:vAlign w:val="center"/>
            <w:hideMark/>
          </w:tcPr>
          <w:p w14:paraId="6E9D2B9A"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2028 (year 5)</w:t>
            </w:r>
          </w:p>
        </w:tc>
        <w:tc>
          <w:tcPr>
            <w:tcW w:w="671" w:type="pct"/>
            <w:shd w:val="clear" w:color="auto" w:fill="auto"/>
            <w:noWrap/>
            <w:vAlign w:val="center"/>
            <w:hideMark/>
          </w:tcPr>
          <w:p w14:paraId="1E9EA01E" w14:textId="77777777" w:rsidR="004D7392" w:rsidRPr="00E81F00"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E81F00">
              <w:rPr>
                <w:rFonts w:ascii="Arial Narrow" w:eastAsia="Times New Roman" w:hAnsi="Arial Narrow" w:cs="Calibri"/>
                <w:b/>
                <w:bCs/>
                <w:color w:val="000000"/>
                <w:sz w:val="20"/>
                <w:szCs w:val="20"/>
                <w:lang w:val="en-US"/>
              </w:rPr>
              <w:t>2029 (year 6)</w:t>
            </w:r>
          </w:p>
        </w:tc>
      </w:tr>
      <w:tr w:rsidR="004D7392" w:rsidRPr="00E81F00" w14:paraId="68B0B37A" w14:textId="77777777" w:rsidTr="00380727">
        <w:trPr>
          <w:cantSplit/>
          <w:trHeight w:val="315"/>
        </w:trPr>
        <w:tc>
          <w:tcPr>
            <w:tcW w:w="974" w:type="pct"/>
            <w:shd w:val="clear" w:color="auto" w:fill="auto"/>
            <w:vAlign w:val="center"/>
            <w:hideMark/>
          </w:tcPr>
          <w:p w14:paraId="0832135B" w14:textId="77777777" w:rsidR="004D7392" w:rsidRPr="00F1126C" w:rsidRDefault="004D7392" w:rsidP="00380727">
            <w:pPr>
              <w:spacing w:before="0" w:after="0" w:line="240" w:lineRule="auto"/>
              <w:rPr>
                <w:rFonts w:ascii="Arial Narrow" w:hAnsi="Arial Narrow"/>
                <w:b/>
                <w:color w:val="000000"/>
                <w:sz w:val="20"/>
                <w:lang w:val="en-US"/>
              </w:rPr>
            </w:pPr>
            <w:r w:rsidRPr="00F1126C">
              <w:rPr>
                <w:rFonts w:ascii="Arial Narrow" w:hAnsi="Arial Narrow"/>
                <w:b/>
                <w:color w:val="000000"/>
                <w:sz w:val="20"/>
                <w:lang w:val="en-US"/>
              </w:rPr>
              <w:t>Base case</w:t>
            </w:r>
            <w:r w:rsidRPr="00C1046D">
              <w:rPr>
                <w:rFonts w:ascii="Arial Narrow" w:eastAsia="Times New Roman" w:hAnsi="Arial Narrow" w:cs="Calibri"/>
                <w:b/>
                <w:bCs/>
                <w:color w:val="000000"/>
                <w:sz w:val="20"/>
                <w:szCs w:val="20"/>
                <w:lang w:val="en-US"/>
              </w:rPr>
              <w:t xml:space="preserve"> with revised MBS item cost</w:t>
            </w:r>
          </w:p>
        </w:tc>
        <w:tc>
          <w:tcPr>
            <w:tcW w:w="671" w:type="pct"/>
            <w:shd w:val="clear" w:color="auto" w:fill="auto"/>
            <w:vAlign w:val="center"/>
            <w:hideMark/>
          </w:tcPr>
          <w:p w14:paraId="041D41BC"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$7,130,703</w:t>
            </w:r>
          </w:p>
        </w:tc>
        <w:tc>
          <w:tcPr>
            <w:tcW w:w="671" w:type="pct"/>
            <w:shd w:val="clear" w:color="auto" w:fill="auto"/>
            <w:vAlign w:val="center"/>
            <w:hideMark/>
          </w:tcPr>
          <w:p w14:paraId="716F7B32"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$7,402,418</w:t>
            </w:r>
          </w:p>
        </w:tc>
        <w:tc>
          <w:tcPr>
            <w:tcW w:w="671" w:type="pct"/>
            <w:shd w:val="clear" w:color="auto" w:fill="auto"/>
            <w:vAlign w:val="center"/>
            <w:hideMark/>
          </w:tcPr>
          <w:p w14:paraId="5CD62C51"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$7,684,487</w:t>
            </w:r>
          </w:p>
        </w:tc>
        <w:tc>
          <w:tcPr>
            <w:tcW w:w="671" w:type="pct"/>
            <w:shd w:val="clear" w:color="auto" w:fill="auto"/>
            <w:vAlign w:val="center"/>
            <w:hideMark/>
          </w:tcPr>
          <w:p w14:paraId="1F6F02B5"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$7,977,305</w:t>
            </w:r>
          </w:p>
        </w:tc>
        <w:tc>
          <w:tcPr>
            <w:tcW w:w="671" w:type="pct"/>
            <w:shd w:val="clear" w:color="auto" w:fill="auto"/>
            <w:vAlign w:val="center"/>
            <w:hideMark/>
          </w:tcPr>
          <w:p w14:paraId="00C7A716"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$8,281,280</w:t>
            </w:r>
          </w:p>
        </w:tc>
        <w:tc>
          <w:tcPr>
            <w:tcW w:w="671" w:type="pct"/>
            <w:shd w:val="clear" w:color="auto" w:fill="auto"/>
            <w:vAlign w:val="center"/>
            <w:hideMark/>
          </w:tcPr>
          <w:p w14:paraId="0661957E" w14:textId="77777777" w:rsidR="004D7392" w:rsidRPr="00D83BF3" w:rsidRDefault="004D7392" w:rsidP="00380727">
            <w:pPr>
              <w:spacing w:before="0" w:after="0" w:line="240" w:lineRule="auto"/>
              <w:jc w:val="center"/>
              <w:rPr>
                <w:rFonts w:ascii="Arial Narrow" w:hAnsi="Arial Narrow"/>
                <w:b/>
                <w:bCs/>
                <w:color w:val="000000"/>
                <w:sz w:val="20"/>
                <w:szCs w:val="20"/>
                <w:lang w:val="en-US"/>
              </w:rPr>
            </w:pPr>
            <w:r w:rsidRPr="00D83BF3">
              <w:rPr>
                <w:rFonts w:ascii="Arial Narrow" w:hAnsi="Arial Narrow"/>
                <w:b/>
                <w:bCs/>
                <w:sz w:val="20"/>
                <w:szCs w:val="20"/>
              </w:rPr>
              <w:t>$8,596,838</w:t>
            </w:r>
          </w:p>
        </w:tc>
      </w:tr>
      <w:tr w:rsidR="004D7392" w:rsidRPr="00E81F00" w14:paraId="4171DD18" w14:textId="77777777" w:rsidTr="00380727">
        <w:trPr>
          <w:cantSplit/>
          <w:trHeight w:val="315"/>
        </w:trPr>
        <w:tc>
          <w:tcPr>
            <w:tcW w:w="974" w:type="pct"/>
            <w:shd w:val="clear" w:color="auto" w:fill="auto"/>
            <w:vAlign w:val="center"/>
          </w:tcPr>
          <w:p w14:paraId="5DE23734"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E81F00">
              <w:rPr>
                <w:rFonts w:ascii="Arial Narrow" w:eastAsia="Times New Roman" w:hAnsi="Arial Narrow" w:cs="Calibri"/>
                <w:color w:val="000000"/>
                <w:sz w:val="20"/>
                <w:szCs w:val="20"/>
                <w:lang w:val="en-US"/>
              </w:rPr>
              <w:t>Additional diagnostic test</w:t>
            </w:r>
            <w:r>
              <w:rPr>
                <w:rFonts w:ascii="Arial Narrow" w:eastAsia="Times New Roman" w:hAnsi="Arial Narrow" w:cs="Calibri"/>
                <w:color w:val="000000"/>
                <w:sz w:val="20"/>
                <w:szCs w:val="20"/>
                <w:lang w:val="en-US"/>
              </w:rPr>
              <w:t xml:space="preserve"> (</w:t>
            </w:r>
            <w:r w:rsidRPr="005B0D8F">
              <w:rPr>
                <w:rFonts w:ascii="Arial Narrow" w:eastAsia="Times New Roman" w:hAnsi="Arial Narrow" w:cs="Calibri"/>
                <w:color w:val="000000"/>
                <w:sz w:val="20"/>
                <w:szCs w:val="20"/>
                <w:vertAlign w:val="superscript"/>
                <w:lang w:val="en-US"/>
              </w:rPr>
              <w:t>68</w:t>
            </w:r>
            <w:r w:rsidRPr="005B0D8F">
              <w:rPr>
                <w:rFonts w:ascii="Arial Narrow" w:eastAsia="Times New Roman" w:hAnsi="Arial Narrow" w:cs="Calibri"/>
                <w:color w:val="000000"/>
                <w:sz w:val="20"/>
                <w:szCs w:val="20"/>
                <w:lang w:val="en-US"/>
              </w:rPr>
              <w:t>Ga-DOTA-octreotate PET</w:t>
            </w:r>
            <w:r>
              <w:rPr>
                <w:rFonts w:ascii="Arial Narrow" w:eastAsia="Times New Roman" w:hAnsi="Arial Narrow" w:cs="Calibri"/>
                <w:color w:val="000000"/>
                <w:sz w:val="20"/>
                <w:szCs w:val="20"/>
                <w:lang w:val="en-US"/>
              </w:rPr>
              <w:t>/CT)</w:t>
            </w:r>
            <w:r w:rsidRPr="00E81F00">
              <w:rPr>
                <w:rFonts w:ascii="Arial Narrow" w:eastAsia="Times New Roman" w:hAnsi="Arial Narrow" w:cs="Calibri"/>
                <w:color w:val="000000"/>
                <w:sz w:val="20"/>
                <w:szCs w:val="20"/>
                <w:lang w:val="en-US"/>
              </w:rPr>
              <w:t xml:space="preserve"> as part of monitoring</w:t>
            </w:r>
          </w:p>
        </w:tc>
        <w:tc>
          <w:tcPr>
            <w:tcW w:w="671" w:type="pct"/>
            <w:shd w:val="clear" w:color="auto" w:fill="auto"/>
            <w:vAlign w:val="center"/>
          </w:tcPr>
          <w:p w14:paraId="4A6CA559"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$7,315,347</w:t>
            </w:r>
          </w:p>
        </w:tc>
        <w:tc>
          <w:tcPr>
            <w:tcW w:w="671" w:type="pct"/>
            <w:shd w:val="clear" w:color="auto" w:fill="auto"/>
            <w:vAlign w:val="center"/>
          </w:tcPr>
          <w:p w14:paraId="451030E8"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$7,594,098</w:t>
            </w:r>
          </w:p>
        </w:tc>
        <w:tc>
          <w:tcPr>
            <w:tcW w:w="671" w:type="pct"/>
            <w:shd w:val="clear" w:color="auto" w:fill="auto"/>
            <w:vAlign w:val="center"/>
          </w:tcPr>
          <w:p w14:paraId="19310B80"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$7,883,471</w:t>
            </w:r>
          </w:p>
        </w:tc>
        <w:tc>
          <w:tcPr>
            <w:tcW w:w="671" w:type="pct"/>
            <w:shd w:val="clear" w:color="auto" w:fill="auto"/>
            <w:vAlign w:val="center"/>
          </w:tcPr>
          <w:p w14:paraId="0992F177"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$8,183,870</w:t>
            </w:r>
          </w:p>
        </w:tc>
        <w:tc>
          <w:tcPr>
            <w:tcW w:w="671" w:type="pct"/>
            <w:shd w:val="clear" w:color="auto" w:fill="auto"/>
            <w:vAlign w:val="center"/>
          </w:tcPr>
          <w:p w14:paraId="65460C0A"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$8,495,717</w:t>
            </w:r>
          </w:p>
        </w:tc>
        <w:tc>
          <w:tcPr>
            <w:tcW w:w="671" w:type="pct"/>
            <w:shd w:val="clear" w:color="auto" w:fill="auto"/>
            <w:vAlign w:val="center"/>
          </w:tcPr>
          <w:p w14:paraId="4B48C31C" w14:textId="77777777" w:rsidR="004D7392" w:rsidRPr="00D83BF3" w:rsidRDefault="004D7392" w:rsidP="00380727">
            <w:pPr>
              <w:spacing w:before="0" w:after="0" w:line="240" w:lineRule="auto"/>
              <w:jc w:val="center"/>
              <w:rPr>
                <w:rFonts w:ascii="Arial Narrow" w:hAnsi="Arial Narrow" w:cs="Calibri"/>
                <w:color w:val="000000"/>
                <w:sz w:val="20"/>
                <w:szCs w:val="20"/>
              </w:rPr>
            </w:pPr>
            <w:r w:rsidRPr="00D83BF3">
              <w:rPr>
                <w:rFonts w:ascii="Arial Narrow" w:hAnsi="Arial Narrow" w:cs="Calibri"/>
                <w:color w:val="000000"/>
                <w:sz w:val="20"/>
                <w:szCs w:val="20"/>
              </w:rPr>
              <w:t>$8,819,446</w:t>
            </w:r>
          </w:p>
        </w:tc>
      </w:tr>
      <w:tr w:rsidR="004D7392" w:rsidRPr="00E81F00" w14:paraId="60DB9152" w14:textId="77777777" w:rsidTr="00380727">
        <w:trPr>
          <w:cantSplit/>
          <w:trHeight w:val="315"/>
        </w:trPr>
        <w:tc>
          <w:tcPr>
            <w:tcW w:w="974" w:type="pct"/>
            <w:shd w:val="clear" w:color="auto" w:fill="auto"/>
            <w:vAlign w:val="center"/>
            <w:hideMark/>
          </w:tcPr>
          <w:p w14:paraId="483BA5FA"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E81F00">
              <w:rPr>
                <w:rFonts w:ascii="Arial Narrow" w:eastAsia="Times New Roman" w:hAnsi="Arial Narrow" w:cs="Calibri"/>
                <w:color w:val="000000"/>
                <w:sz w:val="20"/>
                <w:szCs w:val="20"/>
                <w:lang w:val="en-US"/>
              </w:rPr>
              <w:t>0.5 additional treatment cycles (4.02)</w:t>
            </w:r>
          </w:p>
        </w:tc>
        <w:tc>
          <w:tcPr>
            <w:tcW w:w="671" w:type="pct"/>
            <w:shd w:val="clear" w:color="auto" w:fill="auto"/>
            <w:vAlign w:val="center"/>
            <w:hideMark/>
          </w:tcPr>
          <w:p w14:paraId="335B53DE"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$8,108,305</w:t>
            </w:r>
          </w:p>
        </w:tc>
        <w:tc>
          <w:tcPr>
            <w:tcW w:w="671" w:type="pct"/>
            <w:shd w:val="clear" w:color="auto" w:fill="auto"/>
            <w:vAlign w:val="center"/>
            <w:hideMark/>
          </w:tcPr>
          <w:p w14:paraId="51AD42A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$8,417,271</w:t>
            </w:r>
          </w:p>
        </w:tc>
        <w:tc>
          <w:tcPr>
            <w:tcW w:w="671" w:type="pct"/>
            <w:shd w:val="clear" w:color="auto" w:fill="auto"/>
            <w:vAlign w:val="center"/>
            <w:hideMark/>
          </w:tcPr>
          <w:p w14:paraId="7EE262FE"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$8,738,011</w:t>
            </w:r>
          </w:p>
        </w:tc>
        <w:tc>
          <w:tcPr>
            <w:tcW w:w="671" w:type="pct"/>
            <w:shd w:val="clear" w:color="auto" w:fill="auto"/>
            <w:vAlign w:val="center"/>
            <w:hideMark/>
          </w:tcPr>
          <w:p w14:paraId="4DFCAD2C"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$9,070,973</w:t>
            </w:r>
          </w:p>
        </w:tc>
        <w:tc>
          <w:tcPr>
            <w:tcW w:w="671" w:type="pct"/>
            <w:shd w:val="clear" w:color="auto" w:fill="auto"/>
            <w:vAlign w:val="center"/>
            <w:hideMark/>
          </w:tcPr>
          <w:p w14:paraId="718C576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$9,416,622</w:t>
            </w:r>
          </w:p>
        </w:tc>
        <w:tc>
          <w:tcPr>
            <w:tcW w:w="671" w:type="pct"/>
            <w:shd w:val="clear" w:color="auto" w:fill="auto"/>
            <w:vAlign w:val="center"/>
            <w:hideMark/>
          </w:tcPr>
          <w:p w14:paraId="30023C9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$9,775,443</w:t>
            </w:r>
          </w:p>
        </w:tc>
      </w:tr>
      <w:tr w:rsidR="004D7392" w:rsidRPr="00E81F00" w14:paraId="4A3A88F3" w14:textId="77777777" w:rsidTr="00380727">
        <w:trPr>
          <w:cantSplit/>
          <w:trHeight w:val="315"/>
        </w:trPr>
        <w:tc>
          <w:tcPr>
            <w:tcW w:w="974" w:type="pct"/>
            <w:shd w:val="clear" w:color="auto" w:fill="auto"/>
            <w:vAlign w:val="center"/>
            <w:hideMark/>
          </w:tcPr>
          <w:p w14:paraId="6262EB87" w14:textId="77777777" w:rsidR="004D7392" w:rsidRPr="0056547D" w:rsidRDefault="004D7392" w:rsidP="00380727">
            <w:pPr>
              <w:spacing w:before="0" w:after="0" w:line="240" w:lineRule="auto"/>
              <w:rPr>
                <w:rFonts w:ascii="Arial Narrow" w:eastAsia="Times New Roman" w:hAnsi="Arial Narrow" w:cs="Calibri"/>
                <w:sz w:val="20"/>
                <w:szCs w:val="20"/>
                <w:lang w:val="en-US"/>
              </w:rPr>
            </w:pPr>
            <w:r w:rsidRPr="0056547D">
              <w:rPr>
                <w:rFonts w:ascii="Arial Narrow" w:eastAsia="Times New Roman" w:hAnsi="Arial Narrow" w:cs="Calibri"/>
                <w:sz w:val="20"/>
                <w:szCs w:val="20"/>
                <w:lang w:val="en-US"/>
              </w:rPr>
              <w:t>0.5 fewer treatment cycle (3.02)</w:t>
            </w:r>
          </w:p>
        </w:tc>
        <w:tc>
          <w:tcPr>
            <w:tcW w:w="671" w:type="pct"/>
            <w:shd w:val="clear" w:color="auto" w:fill="auto"/>
            <w:vAlign w:val="center"/>
            <w:hideMark/>
          </w:tcPr>
          <w:p w14:paraId="07F273BC"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$6,153,102</w:t>
            </w:r>
          </w:p>
        </w:tc>
        <w:tc>
          <w:tcPr>
            <w:tcW w:w="671" w:type="pct"/>
            <w:shd w:val="clear" w:color="auto" w:fill="auto"/>
            <w:vAlign w:val="center"/>
            <w:hideMark/>
          </w:tcPr>
          <w:p w14:paraId="7B4EB707"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$6,387,566</w:t>
            </w:r>
          </w:p>
        </w:tc>
        <w:tc>
          <w:tcPr>
            <w:tcW w:w="671" w:type="pct"/>
            <w:shd w:val="clear" w:color="auto" w:fill="auto"/>
            <w:vAlign w:val="center"/>
            <w:hideMark/>
          </w:tcPr>
          <w:p w14:paraId="15D08F8A"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$6,630,964</w:t>
            </w:r>
          </w:p>
        </w:tc>
        <w:tc>
          <w:tcPr>
            <w:tcW w:w="671" w:type="pct"/>
            <w:shd w:val="clear" w:color="auto" w:fill="auto"/>
            <w:vAlign w:val="center"/>
            <w:hideMark/>
          </w:tcPr>
          <w:p w14:paraId="7D1F6EAE"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$6,883,636</w:t>
            </w:r>
          </w:p>
        </w:tc>
        <w:tc>
          <w:tcPr>
            <w:tcW w:w="671" w:type="pct"/>
            <w:shd w:val="clear" w:color="auto" w:fill="auto"/>
            <w:vAlign w:val="center"/>
            <w:hideMark/>
          </w:tcPr>
          <w:p w14:paraId="39E60957"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$7,145,937</w:t>
            </w:r>
          </w:p>
        </w:tc>
        <w:tc>
          <w:tcPr>
            <w:tcW w:w="671" w:type="pct"/>
            <w:shd w:val="clear" w:color="auto" w:fill="auto"/>
            <w:vAlign w:val="center"/>
            <w:hideMark/>
          </w:tcPr>
          <w:p w14:paraId="49011975" w14:textId="77777777" w:rsidR="004D7392" w:rsidRPr="00D83BF3" w:rsidRDefault="004D7392" w:rsidP="00380727">
            <w:pPr>
              <w:spacing w:before="0" w:after="0" w:line="240" w:lineRule="auto"/>
              <w:jc w:val="center"/>
              <w:rPr>
                <w:rFonts w:ascii="Arial Narrow" w:eastAsia="Times New Roman" w:hAnsi="Arial Narrow" w:cs="Calibri"/>
                <w:sz w:val="20"/>
                <w:szCs w:val="20"/>
                <w:lang w:val="en-US"/>
              </w:rPr>
            </w:pPr>
            <w:r w:rsidRPr="00D83BF3">
              <w:rPr>
                <w:rFonts w:ascii="Arial Narrow" w:hAnsi="Arial Narrow" w:cs="Calibri"/>
                <w:sz w:val="20"/>
                <w:szCs w:val="20"/>
              </w:rPr>
              <w:t>$7,418,233</w:t>
            </w:r>
          </w:p>
        </w:tc>
      </w:tr>
      <w:tr w:rsidR="004D7392" w:rsidRPr="00E81F00" w14:paraId="7AFF6567" w14:textId="77777777" w:rsidTr="00380727">
        <w:trPr>
          <w:cantSplit/>
          <w:trHeight w:val="315"/>
        </w:trPr>
        <w:tc>
          <w:tcPr>
            <w:tcW w:w="974" w:type="pct"/>
            <w:shd w:val="clear" w:color="auto" w:fill="auto"/>
            <w:vAlign w:val="center"/>
            <w:hideMark/>
          </w:tcPr>
          <w:p w14:paraId="42A4BE40"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E81F00">
              <w:rPr>
                <w:rFonts w:ascii="Arial Narrow" w:eastAsia="Times New Roman" w:hAnsi="Arial Narrow" w:cs="Calibri"/>
                <w:color w:val="000000"/>
                <w:sz w:val="20"/>
                <w:szCs w:val="20"/>
                <w:lang w:val="en-US"/>
              </w:rPr>
              <w:t>0.5 additional treatment cycles (4.02) + additional diagnostic</w:t>
            </w:r>
            <w:r>
              <w:rPr>
                <w:rFonts w:ascii="Arial Narrow" w:eastAsia="Times New Roman" w:hAnsi="Arial Narrow" w:cs="Calibri"/>
                <w:color w:val="000000"/>
                <w:sz w:val="20"/>
                <w:szCs w:val="20"/>
                <w:lang w:val="en-US"/>
              </w:rPr>
              <w:t xml:space="preserve"> test</w:t>
            </w:r>
          </w:p>
        </w:tc>
        <w:tc>
          <w:tcPr>
            <w:tcW w:w="671" w:type="pct"/>
            <w:shd w:val="clear" w:color="auto" w:fill="auto"/>
            <w:vAlign w:val="center"/>
            <w:hideMark/>
          </w:tcPr>
          <w:p w14:paraId="45236D46"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$8,292,948</w:t>
            </w:r>
          </w:p>
        </w:tc>
        <w:tc>
          <w:tcPr>
            <w:tcW w:w="671" w:type="pct"/>
            <w:shd w:val="clear" w:color="auto" w:fill="auto"/>
            <w:vAlign w:val="center"/>
            <w:hideMark/>
          </w:tcPr>
          <w:p w14:paraId="7B23EFF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$8,608,951</w:t>
            </w:r>
          </w:p>
        </w:tc>
        <w:tc>
          <w:tcPr>
            <w:tcW w:w="671" w:type="pct"/>
            <w:shd w:val="clear" w:color="auto" w:fill="auto"/>
            <w:vAlign w:val="center"/>
            <w:hideMark/>
          </w:tcPr>
          <w:p w14:paraId="2CB9D94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$8,936,995</w:t>
            </w:r>
          </w:p>
        </w:tc>
        <w:tc>
          <w:tcPr>
            <w:tcW w:w="671" w:type="pct"/>
            <w:shd w:val="clear" w:color="auto" w:fill="auto"/>
            <w:vAlign w:val="center"/>
            <w:hideMark/>
          </w:tcPr>
          <w:p w14:paraId="70D07CA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$9,277,539</w:t>
            </w:r>
          </w:p>
        </w:tc>
        <w:tc>
          <w:tcPr>
            <w:tcW w:w="671" w:type="pct"/>
            <w:shd w:val="clear" w:color="auto" w:fill="auto"/>
            <w:vAlign w:val="center"/>
            <w:hideMark/>
          </w:tcPr>
          <w:p w14:paraId="094A53E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$9,631,059</w:t>
            </w:r>
          </w:p>
        </w:tc>
        <w:tc>
          <w:tcPr>
            <w:tcW w:w="671" w:type="pct"/>
            <w:shd w:val="clear" w:color="auto" w:fill="auto"/>
            <w:vAlign w:val="center"/>
            <w:hideMark/>
          </w:tcPr>
          <w:p w14:paraId="0380B07D"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$9,998,051</w:t>
            </w:r>
          </w:p>
        </w:tc>
      </w:tr>
      <w:tr w:rsidR="004D7392" w:rsidRPr="00E81F00" w14:paraId="7D46D1C0" w14:textId="77777777" w:rsidTr="00380727">
        <w:trPr>
          <w:cantSplit/>
          <w:trHeight w:val="315"/>
        </w:trPr>
        <w:tc>
          <w:tcPr>
            <w:tcW w:w="974" w:type="pct"/>
            <w:shd w:val="clear" w:color="auto" w:fill="auto"/>
            <w:vAlign w:val="center"/>
            <w:hideMark/>
          </w:tcPr>
          <w:p w14:paraId="32E210E3"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E81F00">
              <w:rPr>
                <w:rFonts w:ascii="Arial Narrow" w:eastAsia="Times New Roman" w:hAnsi="Arial Narrow" w:cs="Calibri"/>
                <w:color w:val="000000"/>
                <w:sz w:val="20"/>
                <w:szCs w:val="20"/>
                <w:lang w:val="en-US"/>
              </w:rPr>
              <w:t>0.5 fewer treatment cycle (3.02) + additional diagnostic</w:t>
            </w:r>
            <w:r>
              <w:rPr>
                <w:rFonts w:ascii="Arial Narrow" w:eastAsia="Times New Roman" w:hAnsi="Arial Narrow" w:cs="Calibri"/>
                <w:color w:val="000000"/>
                <w:sz w:val="20"/>
                <w:szCs w:val="20"/>
                <w:lang w:val="en-US"/>
              </w:rPr>
              <w:t xml:space="preserve"> test</w:t>
            </w:r>
          </w:p>
        </w:tc>
        <w:tc>
          <w:tcPr>
            <w:tcW w:w="671" w:type="pct"/>
            <w:shd w:val="clear" w:color="auto" w:fill="auto"/>
            <w:vAlign w:val="center"/>
            <w:hideMark/>
          </w:tcPr>
          <w:p w14:paraId="25AEA0A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$6,337,745</w:t>
            </w:r>
          </w:p>
        </w:tc>
        <w:tc>
          <w:tcPr>
            <w:tcW w:w="671" w:type="pct"/>
            <w:shd w:val="clear" w:color="auto" w:fill="auto"/>
            <w:vAlign w:val="center"/>
            <w:hideMark/>
          </w:tcPr>
          <w:p w14:paraId="37568F8C"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$6,579,245</w:t>
            </w:r>
          </w:p>
        </w:tc>
        <w:tc>
          <w:tcPr>
            <w:tcW w:w="671" w:type="pct"/>
            <w:shd w:val="clear" w:color="auto" w:fill="auto"/>
            <w:vAlign w:val="center"/>
            <w:hideMark/>
          </w:tcPr>
          <w:p w14:paraId="0ECDB605"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$6,829,947</w:t>
            </w:r>
          </w:p>
        </w:tc>
        <w:tc>
          <w:tcPr>
            <w:tcW w:w="671" w:type="pct"/>
            <w:shd w:val="clear" w:color="auto" w:fill="auto"/>
            <w:vAlign w:val="center"/>
            <w:hideMark/>
          </w:tcPr>
          <w:p w14:paraId="04CC8E3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$7,090,202</w:t>
            </w:r>
          </w:p>
        </w:tc>
        <w:tc>
          <w:tcPr>
            <w:tcW w:w="671" w:type="pct"/>
            <w:shd w:val="clear" w:color="auto" w:fill="auto"/>
            <w:vAlign w:val="center"/>
            <w:hideMark/>
          </w:tcPr>
          <w:p w14:paraId="3678E13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$7,360,374</w:t>
            </w:r>
          </w:p>
        </w:tc>
        <w:tc>
          <w:tcPr>
            <w:tcW w:w="671" w:type="pct"/>
            <w:shd w:val="clear" w:color="auto" w:fill="auto"/>
            <w:vAlign w:val="center"/>
            <w:hideMark/>
          </w:tcPr>
          <w:p w14:paraId="56650A3E"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cs="Calibri"/>
                <w:color w:val="000000"/>
                <w:sz w:val="20"/>
                <w:szCs w:val="20"/>
              </w:rPr>
              <w:t>$7,640,841</w:t>
            </w:r>
          </w:p>
        </w:tc>
      </w:tr>
      <w:tr w:rsidR="004D7392" w:rsidRPr="00E81F00" w14:paraId="1592EE7F" w14:textId="77777777" w:rsidTr="003807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5"/>
        </w:trPr>
        <w:tc>
          <w:tcPr>
            <w:tcW w:w="974" w:type="pct"/>
            <w:tcBorders>
              <w:top w:val="single" w:sz="4" w:space="0" w:color="auto"/>
              <w:left w:val="single" w:sz="4" w:space="0" w:color="auto"/>
              <w:bottom w:val="single" w:sz="4" w:space="0" w:color="auto"/>
              <w:right w:val="single" w:sz="4" w:space="0" w:color="auto"/>
            </w:tcBorders>
            <w:shd w:val="clear" w:color="auto" w:fill="auto"/>
          </w:tcPr>
          <w:p w14:paraId="20E99BCD" w14:textId="77777777" w:rsidR="004D7392" w:rsidRPr="00E81F00" w:rsidRDefault="004D7392" w:rsidP="00380727">
            <w:pPr>
              <w:spacing w:before="0" w:after="0" w:line="240" w:lineRule="auto"/>
              <w:rPr>
                <w:rFonts w:ascii="Arial Narrow" w:eastAsia="Times New Roman" w:hAnsi="Arial Narrow" w:cs="Calibri"/>
                <w:color w:val="000000"/>
                <w:sz w:val="20"/>
                <w:szCs w:val="20"/>
                <w:lang w:val="en-US"/>
              </w:rPr>
            </w:pPr>
            <w:r w:rsidRPr="004E2944">
              <w:rPr>
                <w:rFonts w:ascii="Arial Narrow" w:eastAsia="Times New Roman" w:hAnsi="Arial Narrow" w:cs="Calibri"/>
                <w:color w:val="000000"/>
                <w:sz w:val="20"/>
                <w:szCs w:val="20"/>
                <w:lang w:val="en-US"/>
              </w:rPr>
              <w:t xml:space="preserve">80% of incident population receive </w:t>
            </w:r>
            <w:r>
              <w:rPr>
                <w:rFonts w:ascii="Arial Narrow" w:eastAsia="Times New Roman" w:hAnsi="Arial Narrow" w:cs="Calibri"/>
                <w:color w:val="000000"/>
                <w:sz w:val="20"/>
                <w:szCs w:val="20"/>
                <w:lang w:val="en-US"/>
              </w:rPr>
              <w:t xml:space="preserve">initial </w:t>
            </w:r>
            <w:r w:rsidRPr="004E2944">
              <w:rPr>
                <w:rFonts w:ascii="Arial Narrow" w:eastAsia="Times New Roman" w:hAnsi="Arial Narrow" w:cs="Calibri"/>
                <w:color w:val="000000"/>
                <w:sz w:val="20"/>
                <w:szCs w:val="20"/>
                <w:lang w:val="en-US"/>
              </w:rPr>
              <w:t>diagnostic testing</w:t>
            </w:r>
          </w:p>
        </w:tc>
        <w:tc>
          <w:tcPr>
            <w:tcW w:w="671" w:type="pct"/>
            <w:tcBorders>
              <w:top w:val="single" w:sz="4" w:space="0" w:color="auto"/>
              <w:left w:val="nil"/>
              <w:bottom w:val="single" w:sz="4" w:space="0" w:color="auto"/>
              <w:right w:val="single" w:sz="4" w:space="0" w:color="auto"/>
            </w:tcBorders>
            <w:shd w:val="clear" w:color="auto" w:fill="auto"/>
            <w:vAlign w:val="center"/>
          </w:tcPr>
          <w:p w14:paraId="3D0AD46D"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$12,377,221</w:t>
            </w:r>
          </w:p>
        </w:tc>
        <w:tc>
          <w:tcPr>
            <w:tcW w:w="671" w:type="pct"/>
            <w:tcBorders>
              <w:top w:val="single" w:sz="4" w:space="0" w:color="auto"/>
              <w:left w:val="nil"/>
              <w:bottom w:val="single" w:sz="4" w:space="0" w:color="auto"/>
              <w:right w:val="single" w:sz="4" w:space="0" w:color="auto"/>
            </w:tcBorders>
            <w:shd w:val="clear" w:color="auto" w:fill="auto"/>
            <w:vAlign w:val="center"/>
          </w:tcPr>
          <w:p w14:paraId="638421FA"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$12,848,855</w:t>
            </w:r>
          </w:p>
        </w:tc>
        <w:tc>
          <w:tcPr>
            <w:tcW w:w="671" w:type="pct"/>
            <w:tcBorders>
              <w:top w:val="single" w:sz="4" w:space="0" w:color="auto"/>
              <w:left w:val="nil"/>
              <w:bottom w:val="single" w:sz="4" w:space="0" w:color="auto"/>
              <w:right w:val="single" w:sz="4" w:space="0" w:color="auto"/>
            </w:tcBorders>
            <w:shd w:val="clear" w:color="auto" w:fill="auto"/>
            <w:vAlign w:val="center"/>
          </w:tcPr>
          <w:p w14:paraId="5F185F7E"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$13,338,460</w:t>
            </w:r>
          </w:p>
        </w:tc>
        <w:tc>
          <w:tcPr>
            <w:tcW w:w="671" w:type="pct"/>
            <w:tcBorders>
              <w:top w:val="single" w:sz="4" w:space="0" w:color="auto"/>
              <w:left w:val="nil"/>
              <w:bottom w:val="single" w:sz="4" w:space="0" w:color="auto"/>
              <w:right w:val="single" w:sz="4" w:space="0" w:color="auto"/>
            </w:tcBorders>
            <w:shd w:val="clear" w:color="auto" w:fill="auto"/>
            <w:vAlign w:val="center"/>
          </w:tcPr>
          <w:p w14:paraId="45143F49"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$13,846,722</w:t>
            </w:r>
          </w:p>
        </w:tc>
        <w:tc>
          <w:tcPr>
            <w:tcW w:w="671" w:type="pct"/>
            <w:tcBorders>
              <w:top w:val="single" w:sz="4" w:space="0" w:color="auto"/>
              <w:left w:val="nil"/>
              <w:bottom w:val="single" w:sz="4" w:space="0" w:color="auto"/>
              <w:right w:val="single" w:sz="4" w:space="0" w:color="auto"/>
            </w:tcBorders>
            <w:shd w:val="clear" w:color="auto" w:fill="auto"/>
            <w:vAlign w:val="center"/>
          </w:tcPr>
          <w:p w14:paraId="34CCBD8B"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$14,374,351</w:t>
            </w:r>
          </w:p>
        </w:tc>
        <w:tc>
          <w:tcPr>
            <w:tcW w:w="671" w:type="pct"/>
            <w:tcBorders>
              <w:top w:val="single" w:sz="4" w:space="0" w:color="auto"/>
              <w:left w:val="nil"/>
              <w:bottom w:val="single" w:sz="4" w:space="0" w:color="auto"/>
              <w:right w:val="single" w:sz="4" w:space="0" w:color="auto"/>
            </w:tcBorders>
            <w:shd w:val="clear" w:color="auto" w:fill="auto"/>
            <w:vAlign w:val="center"/>
          </w:tcPr>
          <w:p w14:paraId="2D905829" w14:textId="77777777" w:rsidR="004D7392" w:rsidRPr="00A10389" w:rsidRDefault="004D7392" w:rsidP="00380727">
            <w:pPr>
              <w:spacing w:before="0" w:after="0" w:line="240" w:lineRule="auto"/>
              <w:jc w:val="center"/>
              <w:rPr>
                <w:rFonts w:ascii="Arial Narrow" w:eastAsia="Times New Roman" w:hAnsi="Arial Narrow" w:cs="Calibri"/>
                <w:color w:val="000000"/>
                <w:sz w:val="20"/>
                <w:szCs w:val="20"/>
                <w:lang w:val="en-US"/>
              </w:rPr>
            </w:pPr>
            <w:r w:rsidRPr="00A10389">
              <w:rPr>
                <w:rFonts w:ascii="Arial Narrow" w:hAnsi="Arial Narrow" w:cs="Calibri"/>
                <w:color w:val="000000"/>
                <w:sz w:val="20"/>
                <w:szCs w:val="20"/>
              </w:rPr>
              <w:t>$14,922,086</w:t>
            </w:r>
          </w:p>
        </w:tc>
      </w:tr>
      <w:tr w:rsidR="004D7392" w:rsidRPr="00E81F00" w14:paraId="1317D2E7" w14:textId="77777777" w:rsidTr="00380727">
        <w:trPr>
          <w:cantSplit/>
          <w:trHeight w:val="315"/>
        </w:trPr>
        <w:tc>
          <w:tcPr>
            <w:tcW w:w="974" w:type="pct"/>
            <w:shd w:val="clear" w:color="auto" w:fill="auto"/>
            <w:vAlign w:val="center"/>
          </w:tcPr>
          <w:p w14:paraId="40D42A32" w14:textId="77777777" w:rsidR="004D7392" w:rsidRPr="002F5BB7" w:rsidRDefault="004D7392" w:rsidP="00380727">
            <w:pPr>
              <w:spacing w:before="0" w:after="0" w:line="240" w:lineRule="auto"/>
              <w:rPr>
                <w:rFonts w:ascii="Arial Narrow" w:hAnsi="Arial Narrow"/>
                <w:bCs/>
                <w:color w:val="000000"/>
                <w:sz w:val="20"/>
                <w:lang w:val="en-US"/>
              </w:rPr>
            </w:pPr>
            <w:r w:rsidRPr="002F5BB7">
              <w:rPr>
                <w:rFonts w:ascii="Arial Narrow" w:hAnsi="Arial Narrow"/>
                <w:bCs/>
                <w:color w:val="000000"/>
                <w:sz w:val="20"/>
                <w:lang w:val="en-US"/>
              </w:rPr>
              <w:t xml:space="preserve">80% of incident population receive diagnostic testing </w:t>
            </w:r>
            <w:r w:rsidRPr="002F5BB7">
              <w:rPr>
                <w:rFonts w:ascii="Arial Narrow" w:eastAsia="Times New Roman" w:hAnsi="Arial Narrow" w:cs="Calibri"/>
                <w:bCs/>
                <w:color w:val="000000"/>
                <w:sz w:val="20"/>
                <w:szCs w:val="20"/>
                <w:lang w:val="en-US"/>
              </w:rPr>
              <w:t>+</w:t>
            </w:r>
            <w:r w:rsidRPr="002F5BB7">
              <w:rPr>
                <w:rFonts w:ascii="Arial Narrow" w:hAnsi="Arial Narrow"/>
                <w:bCs/>
                <w:color w:val="000000"/>
                <w:sz w:val="20"/>
                <w:lang w:val="en-US"/>
              </w:rPr>
              <w:t xml:space="preserve"> additional diagnostic test as part of monitoring for patients </w:t>
            </w:r>
            <w:r w:rsidRPr="002F5BB7">
              <w:rPr>
                <w:rFonts w:ascii="Arial Narrow" w:eastAsia="Times New Roman" w:hAnsi="Arial Narrow" w:cs="Calibri"/>
                <w:bCs/>
                <w:color w:val="000000"/>
                <w:sz w:val="20"/>
                <w:szCs w:val="20"/>
                <w:lang w:val="en-US"/>
              </w:rPr>
              <w:t xml:space="preserve">who receive </w:t>
            </w:r>
            <w:r w:rsidRPr="002F5BB7">
              <w:rPr>
                <w:rFonts w:ascii="Arial Narrow" w:eastAsia="Times New Roman" w:hAnsi="Arial Narrow" w:cs="Calibri"/>
                <w:bCs/>
                <w:color w:val="000000"/>
                <w:sz w:val="20"/>
                <w:szCs w:val="20"/>
                <w:vertAlign w:val="superscript"/>
                <w:lang w:val="en-US"/>
              </w:rPr>
              <w:t>177</w:t>
            </w:r>
            <w:r w:rsidRPr="002F5BB7">
              <w:rPr>
                <w:rFonts w:ascii="Arial Narrow" w:eastAsia="Times New Roman" w:hAnsi="Arial Narrow" w:cs="Calibri"/>
                <w:bCs/>
                <w:color w:val="000000"/>
                <w:sz w:val="20"/>
                <w:szCs w:val="20"/>
                <w:lang w:val="en-US"/>
              </w:rPr>
              <w:t>Lu-DOTA-octreotate</w:t>
            </w:r>
          </w:p>
        </w:tc>
        <w:tc>
          <w:tcPr>
            <w:tcW w:w="671" w:type="pct"/>
            <w:shd w:val="clear" w:color="auto" w:fill="auto"/>
            <w:vAlign w:val="center"/>
          </w:tcPr>
          <w:p w14:paraId="26639283"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$12,561,865</w:t>
            </w:r>
          </w:p>
        </w:tc>
        <w:tc>
          <w:tcPr>
            <w:tcW w:w="671" w:type="pct"/>
            <w:shd w:val="clear" w:color="auto" w:fill="auto"/>
            <w:vAlign w:val="center"/>
          </w:tcPr>
          <w:p w14:paraId="54F876F7"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$13,040,535</w:t>
            </w:r>
          </w:p>
        </w:tc>
        <w:tc>
          <w:tcPr>
            <w:tcW w:w="671" w:type="pct"/>
            <w:shd w:val="clear" w:color="auto" w:fill="auto"/>
            <w:vAlign w:val="center"/>
          </w:tcPr>
          <w:p w14:paraId="5AF8D797"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$13,537,444</w:t>
            </w:r>
          </w:p>
        </w:tc>
        <w:tc>
          <w:tcPr>
            <w:tcW w:w="671" w:type="pct"/>
            <w:shd w:val="clear" w:color="auto" w:fill="auto"/>
            <w:vAlign w:val="center"/>
          </w:tcPr>
          <w:p w14:paraId="1773B159"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$14,053,288</w:t>
            </w:r>
          </w:p>
        </w:tc>
        <w:tc>
          <w:tcPr>
            <w:tcW w:w="671" w:type="pct"/>
            <w:shd w:val="clear" w:color="auto" w:fill="auto"/>
            <w:vAlign w:val="center"/>
          </w:tcPr>
          <w:p w14:paraId="4C674F9D"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$14,588,788</w:t>
            </w:r>
          </w:p>
        </w:tc>
        <w:tc>
          <w:tcPr>
            <w:tcW w:w="671" w:type="pct"/>
            <w:shd w:val="clear" w:color="auto" w:fill="auto"/>
            <w:vAlign w:val="center"/>
          </w:tcPr>
          <w:p w14:paraId="3266214A" w14:textId="77777777" w:rsidR="004D7392" w:rsidRPr="002F5BB7" w:rsidRDefault="004D7392" w:rsidP="00380727">
            <w:pPr>
              <w:spacing w:before="0" w:after="0" w:line="240" w:lineRule="auto"/>
              <w:jc w:val="center"/>
              <w:rPr>
                <w:rFonts w:ascii="Arial Narrow" w:hAnsi="Arial Narrow"/>
                <w:bCs/>
                <w:color w:val="000000"/>
                <w:sz w:val="20"/>
                <w:lang w:val="en-US"/>
              </w:rPr>
            </w:pPr>
            <w:r w:rsidRPr="002F5BB7">
              <w:rPr>
                <w:rFonts w:ascii="Arial Narrow" w:hAnsi="Arial Narrow" w:cs="Calibri"/>
                <w:bCs/>
                <w:color w:val="000000"/>
                <w:sz w:val="20"/>
                <w:szCs w:val="20"/>
              </w:rPr>
              <w:t>$15,144,694</w:t>
            </w:r>
          </w:p>
        </w:tc>
      </w:tr>
      <w:tr w:rsidR="004D7392" w:rsidRPr="00E81F00" w14:paraId="1B15E206" w14:textId="77777777" w:rsidTr="00380727">
        <w:trPr>
          <w:cantSplit/>
          <w:trHeight w:val="315"/>
        </w:trPr>
        <w:tc>
          <w:tcPr>
            <w:tcW w:w="974" w:type="pct"/>
            <w:shd w:val="clear" w:color="auto" w:fill="auto"/>
            <w:vAlign w:val="center"/>
          </w:tcPr>
          <w:p w14:paraId="1402922E" w14:textId="77777777" w:rsidR="004D7392" w:rsidRPr="00F1126C" w:rsidRDefault="004D7392" w:rsidP="00380727">
            <w:pPr>
              <w:spacing w:before="0" w:after="0" w:line="240" w:lineRule="auto"/>
              <w:rPr>
                <w:rFonts w:ascii="Arial Narrow" w:hAnsi="Arial Narrow"/>
                <w:b/>
                <w:color w:val="000000"/>
                <w:sz w:val="20"/>
                <w:lang w:val="en-US"/>
              </w:rPr>
            </w:pPr>
            <w:r w:rsidRPr="004E2944">
              <w:rPr>
                <w:rFonts w:ascii="Arial Narrow" w:eastAsia="Times New Roman" w:hAnsi="Arial Narrow" w:cs="Calibri"/>
                <w:color w:val="000000"/>
                <w:sz w:val="20"/>
                <w:szCs w:val="20"/>
                <w:lang w:val="en-US"/>
              </w:rPr>
              <w:lastRenderedPageBreak/>
              <w:t xml:space="preserve">80% of incident population receive </w:t>
            </w:r>
            <w:r>
              <w:rPr>
                <w:rFonts w:ascii="Arial Narrow" w:eastAsia="Times New Roman" w:hAnsi="Arial Narrow" w:cs="Calibri"/>
                <w:color w:val="000000"/>
                <w:sz w:val="20"/>
                <w:szCs w:val="20"/>
                <w:lang w:val="en-US"/>
              </w:rPr>
              <w:t xml:space="preserve">initial </w:t>
            </w:r>
            <w:r w:rsidRPr="004E2944">
              <w:rPr>
                <w:rFonts w:ascii="Arial Narrow" w:eastAsia="Times New Roman" w:hAnsi="Arial Narrow" w:cs="Calibri"/>
                <w:color w:val="000000"/>
                <w:sz w:val="20"/>
                <w:szCs w:val="20"/>
                <w:lang w:val="en-US"/>
              </w:rPr>
              <w:t>diagnostic testing</w:t>
            </w:r>
            <w:r>
              <w:rPr>
                <w:rFonts w:ascii="Arial Narrow" w:eastAsia="Times New Roman" w:hAnsi="Arial Narrow" w:cs="Calibri"/>
                <w:color w:val="000000"/>
                <w:sz w:val="20"/>
                <w:szCs w:val="20"/>
                <w:lang w:val="en-US"/>
              </w:rPr>
              <w:t xml:space="preserve"> + </w:t>
            </w:r>
            <w:r w:rsidRPr="00E81F00">
              <w:rPr>
                <w:rFonts w:ascii="Arial Narrow" w:eastAsia="Times New Roman" w:hAnsi="Arial Narrow" w:cs="Calibri"/>
                <w:color w:val="000000"/>
                <w:sz w:val="20"/>
                <w:szCs w:val="20"/>
                <w:lang w:val="en-US"/>
              </w:rPr>
              <w:t>0.5 additional treatment cycles (4.02)</w:t>
            </w:r>
          </w:p>
        </w:tc>
        <w:tc>
          <w:tcPr>
            <w:tcW w:w="671" w:type="pct"/>
            <w:shd w:val="clear" w:color="auto" w:fill="auto"/>
            <w:vAlign w:val="center"/>
          </w:tcPr>
          <w:p w14:paraId="41AEB345"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$13,354,823</w:t>
            </w:r>
          </w:p>
        </w:tc>
        <w:tc>
          <w:tcPr>
            <w:tcW w:w="671" w:type="pct"/>
            <w:shd w:val="clear" w:color="auto" w:fill="auto"/>
            <w:vAlign w:val="center"/>
          </w:tcPr>
          <w:p w14:paraId="66203F9F"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$13,863,708</w:t>
            </w:r>
          </w:p>
        </w:tc>
        <w:tc>
          <w:tcPr>
            <w:tcW w:w="671" w:type="pct"/>
            <w:shd w:val="clear" w:color="auto" w:fill="auto"/>
            <w:vAlign w:val="center"/>
          </w:tcPr>
          <w:p w14:paraId="7E35A3A1"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$14,391,984</w:t>
            </w:r>
          </w:p>
        </w:tc>
        <w:tc>
          <w:tcPr>
            <w:tcW w:w="671" w:type="pct"/>
            <w:shd w:val="clear" w:color="auto" w:fill="auto"/>
            <w:vAlign w:val="center"/>
          </w:tcPr>
          <w:p w14:paraId="6AD354C4"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$14,940,391</w:t>
            </w:r>
          </w:p>
        </w:tc>
        <w:tc>
          <w:tcPr>
            <w:tcW w:w="671" w:type="pct"/>
            <w:shd w:val="clear" w:color="auto" w:fill="auto"/>
            <w:vAlign w:val="center"/>
          </w:tcPr>
          <w:p w14:paraId="4867D804"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$15,509,694</w:t>
            </w:r>
          </w:p>
        </w:tc>
        <w:tc>
          <w:tcPr>
            <w:tcW w:w="671" w:type="pct"/>
            <w:shd w:val="clear" w:color="auto" w:fill="auto"/>
            <w:vAlign w:val="center"/>
          </w:tcPr>
          <w:p w14:paraId="52D6F22F"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$16,100,690</w:t>
            </w:r>
          </w:p>
        </w:tc>
      </w:tr>
      <w:tr w:rsidR="004D7392" w:rsidRPr="00E81F00" w14:paraId="6DDB1367" w14:textId="77777777" w:rsidTr="00380727">
        <w:trPr>
          <w:cantSplit/>
          <w:trHeight w:val="315"/>
        </w:trPr>
        <w:tc>
          <w:tcPr>
            <w:tcW w:w="974" w:type="pct"/>
            <w:shd w:val="clear" w:color="auto" w:fill="auto"/>
            <w:vAlign w:val="center"/>
          </w:tcPr>
          <w:p w14:paraId="318CB7B4" w14:textId="77777777" w:rsidR="004D7392" w:rsidRPr="00F1126C" w:rsidRDefault="004D7392" w:rsidP="00380727">
            <w:pPr>
              <w:spacing w:before="0" w:after="0" w:line="240" w:lineRule="auto"/>
              <w:rPr>
                <w:rFonts w:ascii="Arial Narrow" w:hAnsi="Arial Narrow"/>
                <w:b/>
                <w:color w:val="000000"/>
                <w:sz w:val="20"/>
                <w:lang w:val="en-US"/>
              </w:rPr>
            </w:pPr>
            <w:r w:rsidRPr="004E2944">
              <w:rPr>
                <w:rFonts w:ascii="Arial Narrow" w:eastAsia="Times New Roman" w:hAnsi="Arial Narrow" w:cs="Calibri"/>
                <w:color w:val="000000"/>
                <w:sz w:val="20"/>
                <w:szCs w:val="20"/>
                <w:lang w:val="en-US"/>
              </w:rPr>
              <w:t xml:space="preserve">80% of incident population receive </w:t>
            </w:r>
            <w:r>
              <w:rPr>
                <w:rFonts w:ascii="Arial Narrow" w:eastAsia="Times New Roman" w:hAnsi="Arial Narrow" w:cs="Calibri"/>
                <w:color w:val="000000"/>
                <w:sz w:val="20"/>
                <w:szCs w:val="20"/>
                <w:lang w:val="en-US"/>
              </w:rPr>
              <w:t xml:space="preserve">initial </w:t>
            </w:r>
            <w:r w:rsidRPr="004E2944">
              <w:rPr>
                <w:rFonts w:ascii="Arial Narrow" w:eastAsia="Times New Roman" w:hAnsi="Arial Narrow" w:cs="Calibri"/>
                <w:color w:val="000000"/>
                <w:sz w:val="20"/>
                <w:szCs w:val="20"/>
                <w:lang w:val="en-US"/>
              </w:rPr>
              <w:t>diagnostic testing</w:t>
            </w:r>
            <w:r>
              <w:rPr>
                <w:rFonts w:ascii="Arial Narrow" w:eastAsia="Times New Roman" w:hAnsi="Arial Narrow" w:cs="Calibri"/>
                <w:color w:val="000000"/>
                <w:sz w:val="20"/>
                <w:szCs w:val="20"/>
                <w:lang w:val="en-US"/>
              </w:rPr>
              <w:t xml:space="preserve"> + </w:t>
            </w:r>
            <w:r w:rsidRPr="00E81F00">
              <w:rPr>
                <w:rFonts w:ascii="Arial Narrow" w:eastAsia="Times New Roman" w:hAnsi="Arial Narrow" w:cs="Calibri"/>
                <w:color w:val="000000"/>
                <w:sz w:val="20"/>
                <w:szCs w:val="20"/>
                <w:lang w:val="en-US"/>
              </w:rPr>
              <w:t xml:space="preserve">0.5 </w:t>
            </w:r>
            <w:r>
              <w:rPr>
                <w:rFonts w:ascii="Arial Narrow" w:eastAsia="Times New Roman" w:hAnsi="Arial Narrow" w:cs="Calibri"/>
                <w:color w:val="000000"/>
                <w:sz w:val="20"/>
                <w:szCs w:val="20"/>
                <w:lang w:val="en-US"/>
              </w:rPr>
              <w:t>fewer</w:t>
            </w:r>
            <w:r w:rsidRPr="00E81F00">
              <w:rPr>
                <w:rFonts w:ascii="Arial Narrow" w:eastAsia="Times New Roman" w:hAnsi="Arial Narrow" w:cs="Calibri"/>
                <w:color w:val="000000"/>
                <w:sz w:val="20"/>
                <w:szCs w:val="20"/>
                <w:lang w:val="en-US"/>
              </w:rPr>
              <w:t xml:space="preserve"> treatment cycles (</w:t>
            </w:r>
            <w:r>
              <w:rPr>
                <w:rFonts w:ascii="Arial Narrow" w:eastAsia="Times New Roman" w:hAnsi="Arial Narrow" w:cs="Calibri"/>
                <w:color w:val="000000"/>
                <w:sz w:val="20"/>
                <w:szCs w:val="20"/>
                <w:lang w:val="en-US"/>
              </w:rPr>
              <w:t>3</w:t>
            </w:r>
            <w:r w:rsidRPr="00E81F00">
              <w:rPr>
                <w:rFonts w:ascii="Arial Narrow" w:eastAsia="Times New Roman" w:hAnsi="Arial Narrow" w:cs="Calibri"/>
                <w:color w:val="000000"/>
                <w:sz w:val="20"/>
                <w:szCs w:val="20"/>
                <w:lang w:val="en-US"/>
              </w:rPr>
              <w:t>.02)</w:t>
            </w:r>
          </w:p>
        </w:tc>
        <w:tc>
          <w:tcPr>
            <w:tcW w:w="671" w:type="pct"/>
            <w:shd w:val="clear" w:color="auto" w:fill="auto"/>
            <w:vAlign w:val="center"/>
          </w:tcPr>
          <w:p w14:paraId="7E703EB7"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$11,399,620</w:t>
            </w:r>
          </w:p>
        </w:tc>
        <w:tc>
          <w:tcPr>
            <w:tcW w:w="671" w:type="pct"/>
            <w:shd w:val="clear" w:color="auto" w:fill="auto"/>
            <w:vAlign w:val="center"/>
          </w:tcPr>
          <w:p w14:paraId="3322F9E1"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$11,834,002</w:t>
            </w:r>
          </w:p>
        </w:tc>
        <w:tc>
          <w:tcPr>
            <w:tcW w:w="671" w:type="pct"/>
            <w:shd w:val="clear" w:color="auto" w:fill="auto"/>
            <w:vAlign w:val="center"/>
          </w:tcPr>
          <w:p w14:paraId="5FD8E8E7"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$12,284,937</w:t>
            </w:r>
          </w:p>
        </w:tc>
        <w:tc>
          <w:tcPr>
            <w:tcW w:w="671" w:type="pct"/>
            <w:shd w:val="clear" w:color="auto" w:fill="auto"/>
            <w:vAlign w:val="center"/>
          </w:tcPr>
          <w:p w14:paraId="1F6BE0A7"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$12,753,054</w:t>
            </w:r>
          </w:p>
        </w:tc>
        <w:tc>
          <w:tcPr>
            <w:tcW w:w="671" w:type="pct"/>
            <w:shd w:val="clear" w:color="auto" w:fill="auto"/>
            <w:vAlign w:val="center"/>
          </w:tcPr>
          <w:p w14:paraId="08962E61"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$13,239,009</w:t>
            </w:r>
          </w:p>
        </w:tc>
        <w:tc>
          <w:tcPr>
            <w:tcW w:w="671" w:type="pct"/>
            <w:shd w:val="clear" w:color="auto" w:fill="auto"/>
            <w:vAlign w:val="center"/>
          </w:tcPr>
          <w:p w14:paraId="047DEC33" w14:textId="77777777" w:rsidR="004D7392" w:rsidRPr="00D83BF3" w:rsidRDefault="004D7392" w:rsidP="00380727">
            <w:pPr>
              <w:spacing w:before="0" w:after="0" w:line="240" w:lineRule="auto"/>
              <w:jc w:val="center"/>
              <w:rPr>
                <w:rFonts w:ascii="Arial Narrow" w:hAnsi="Arial Narrow"/>
                <w:color w:val="000000"/>
                <w:sz w:val="20"/>
                <w:lang w:val="en-US"/>
              </w:rPr>
            </w:pPr>
            <w:r w:rsidRPr="00D83BF3">
              <w:rPr>
                <w:rFonts w:ascii="Arial Narrow" w:hAnsi="Arial Narrow" w:cs="Calibri"/>
                <w:color w:val="000000"/>
                <w:sz w:val="20"/>
                <w:szCs w:val="20"/>
              </w:rPr>
              <w:t>$13,743,481</w:t>
            </w:r>
          </w:p>
        </w:tc>
      </w:tr>
    </w:tbl>
    <w:p w14:paraId="08843D13" w14:textId="77777777" w:rsidR="004D7392" w:rsidRDefault="004D7392" w:rsidP="004D7392">
      <w:pPr>
        <w:pStyle w:val="Tablenotes0"/>
      </w:pPr>
      <w:r>
        <w:t>Abbreviations: CT = computed tomography; MBS = Medicare Benefits Schedule; PET = positron emission tomography.</w:t>
      </w:r>
    </w:p>
    <w:p w14:paraId="5427AFAF" w14:textId="77777777" w:rsidR="004D7392" w:rsidRDefault="004D7392" w:rsidP="004D7392">
      <w:pPr>
        <w:pStyle w:val="Caption"/>
      </w:pPr>
      <w:bookmarkStart w:id="127" w:name="_Ref171007123"/>
      <w:r>
        <w:t xml:space="preserve">Table </w:t>
      </w:r>
      <w:r>
        <w:fldChar w:fldCharType="begin"/>
      </w:r>
      <w:r>
        <w:instrText xml:space="preserve"> SEQ Table \* ARABIC </w:instrText>
      </w:r>
      <w:r>
        <w:fldChar w:fldCharType="separate"/>
      </w:r>
      <w:r>
        <w:rPr>
          <w:noProof/>
        </w:rPr>
        <w:t>4</w:t>
      </w:r>
      <w:r>
        <w:rPr>
          <w:noProof/>
        </w:rPr>
        <w:fldChar w:fldCharType="end"/>
      </w:r>
      <w:bookmarkEnd w:id="127"/>
      <w:r>
        <w:t>:</w:t>
      </w:r>
      <w:r>
        <w:tab/>
        <w:t>Financial impact under ESC-defined scenario (</w:t>
      </w:r>
      <w:r>
        <w:rPr>
          <w:iCs/>
        </w:rPr>
        <w:t xml:space="preserve">80% of eligible population tested; additional </w:t>
      </w:r>
      <w:r w:rsidRPr="00C06124">
        <w:rPr>
          <w:vertAlign w:val="superscript"/>
        </w:rPr>
        <w:t>68</w:t>
      </w:r>
      <w:r w:rsidRPr="00C06124">
        <w:t>Ga-</w:t>
      </w:r>
      <w:r>
        <w:t>DOTA-octreotate PET study for treated patients)</w:t>
      </w:r>
    </w:p>
    <w:tbl>
      <w:tblPr>
        <w:tblW w:w="5000" w:type="pct"/>
        <w:tblLook w:val="04A0" w:firstRow="1" w:lastRow="0" w:firstColumn="1" w:lastColumn="0" w:noHBand="0" w:noVBand="1"/>
      </w:tblPr>
      <w:tblGrid>
        <w:gridCol w:w="1756"/>
        <w:gridCol w:w="1210"/>
        <w:gridCol w:w="1210"/>
        <w:gridCol w:w="1210"/>
        <w:gridCol w:w="1210"/>
        <w:gridCol w:w="1210"/>
        <w:gridCol w:w="1210"/>
      </w:tblGrid>
      <w:tr w:rsidR="004D7392" w:rsidRPr="0040101A" w14:paraId="6E3275CA" w14:textId="77777777" w:rsidTr="00380727">
        <w:trPr>
          <w:trHeight w:val="315"/>
        </w:trPr>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BA5BE" w14:textId="77777777" w:rsidR="004D7392" w:rsidRPr="0040101A" w:rsidRDefault="004D7392" w:rsidP="00380727">
            <w:pPr>
              <w:spacing w:before="0" w:after="0" w:line="240" w:lineRule="auto"/>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 xml:space="preserve">Parameter </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35622358"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2024 (year 1)</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10F2BF16"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2025 (year 2)</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4B9979D8"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2026 (year 3)</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59E43EEA"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2027 (year 4)</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244E82FB"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2028 (year 5)</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14:paraId="7303A734" w14:textId="77777777" w:rsidR="004D7392" w:rsidRPr="0040101A" w:rsidRDefault="004D7392" w:rsidP="00380727">
            <w:pPr>
              <w:spacing w:before="0" w:after="0" w:line="240" w:lineRule="auto"/>
              <w:jc w:val="center"/>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2029 (year 6)</w:t>
            </w:r>
          </w:p>
        </w:tc>
      </w:tr>
      <w:tr w:rsidR="004D7392" w:rsidRPr="0040101A" w14:paraId="77743619" w14:textId="77777777" w:rsidTr="0038072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0DDC8FC" w14:textId="77777777" w:rsidR="004D7392" w:rsidRPr="0040101A" w:rsidRDefault="004D7392" w:rsidP="00380727">
            <w:pPr>
              <w:spacing w:before="0" w:after="0" w:line="240" w:lineRule="auto"/>
              <w:rPr>
                <w:rFonts w:ascii="Arial Narrow" w:eastAsia="Times New Roman" w:hAnsi="Arial Narrow" w:cs="Calibri"/>
                <w:b/>
                <w:bCs/>
                <w:color w:val="000000"/>
                <w:sz w:val="20"/>
                <w:szCs w:val="20"/>
                <w:lang w:val="en-US"/>
              </w:rPr>
            </w:pPr>
            <w:r w:rsidRPr="0040101A">
              <w:rPr>
                <w:rFonts w:ascii="Arial Narrow" w:eastAsia="Times New Roman" w:hAnsi="Arial Narrow" w:cs="Calibri"/>
                <w:b/>
                <w:bCs/>
                <w:color w:val="000000"/>
                <w:sz w:val="20"/>
                <w:szCs w:val="20"/>
                <w:lang w:val="en-US"/>
              </w:rPr>
              <w:t>Estimated use and cost of the proposed health technology</w:t>
            </w:r>
          </w:p>
        </w:tc>
      </w:tr>
      <w:tr w:rsidR="004D7392" w:rsidRPr="0040101A" w14:paraId="5146311C"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404C5305"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Incidence of NE</w:t>
            </w:r>
            <w:r>
              <w:rPr>
                <w:rFonts w:ascii="Arial Narrow" w:eastAsia="Times New Roman" w:hAnsi="Arial Narrow" w:cs="Calibri"/>
                <w:color w:val="000000"/>
                <w:sz w:val="20"/>
                <w:szCs w:val="20"/>
                <w:lang w:val="en-US"/>
              </w:rPr>
              <w:t>N</w:t>
            </w:r>
            <w:r w:rsidRPr="0040101A">
              <w:rPr>
                <w:rFonts w:ascii="Arial Narrow" w:eastAsia="Times New Roman" w:hAnsi="Arial Narrow" w:cs="Calibri"/>
                <w:color w:val="000000"/>
                <w:sz w:val="20"/>
                <w:szCs w:val="20"/>
                <w:lang w:val="en-US"/>
              </w:rPr>
              <w:t>s</w:t>
            </w:r>
          </w:p>
        </w:tc>
        <w:tc>
          <w:tcPr>
            <w:tcW w:w="671" w:type="pct"/>
            <w:tcBorders>
              <w:top w:val="nil"/>
              <w:left w:val="nil"/>
              <w:bottom w:val="single" w:sz="4" w:space="0" w:color="auto"/>
              <w:right w:val="single" w:sz="4" w:space="0" w:color="auto"/>
            </w:tcBorders>
            <w:shd w:val="clear" w:color="auto" w:fill="auto"/>
            <w:vAlign w:val="center"/>
            <w:hideMark/>
          </w:tcPr>
          <w:p w14:paraId="4B19BD0F"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5,642</w:t>
            </w:r>
          </w:p>
        </w:tc>
        <w:tc>
          <w:tcPr>
            <w:tcW w:w="671" w:type="pct"/>
            <w:tcBorders>
              <w:top w:val="nil"/>
              <w:left w:val="nil"/>
              <w:bottom w:val="single" w:sz="4" w:space="0" w:color="auto"/>
              <w:right w:val="single" w:sz="4" w:space="0" w:color="auto"/>
            </w:tcBorders>
            <w:shd w:val="clear" w:color="auto" w:fill="auto"/>
            <w:vAlign w:val="center"/>
            <w:hideMark/>
          </w:tcPr>
          <w:p w14:paraId="3576C4E9"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5,857</w:t>
            </w:r>
          </w:p>
        </w:tc>
        <w:tc>
          <w:tcPr>
            <w:tcW w:w="671" w:type="pct"/>
            <w:tcBorders>
              <w:top w:val="nil"/>
              <w:left w:val="nil"/>
              <w:bottom w:val="single" w:sz="4" w:space="0" w:color="auto"/>
              <w:right w:val="single" w:sz="4" w:space="0" w:color="auto"/>
            </w:tcBorders>
            <w:shd w:val="clear" w:color="auto" w:fill="auto"/>
            <w:vAlign w:val="center"/>
            <w:hideMark/>
          </w:tcPr>
          <w:p w14:paraId="286CFE08"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6,080</w:t>
            </w:r>
          </w:p>
        </w:tc>
        <w:tc>
          <w:tcPr>
            <w:tcW w:w="671" w:type="pct"/>
            <w:tcBorders>
              <w:top w:val="nil"/>
              <w:left w:val="nil"/>
              <w:bottom w:val="single" w:sz="4" w:space="0" w:color="auto"/>
              <w:right w:val="single" w:sz="4" w:space="0" w:color="auto"/>
            </w:tcBorders>
            <w:shd w:val="clear" w:color="auto" w:fill="auto"/>
            <w:vAlign w:val="center"/>
            <w:hideMark/>
          </w:tcPr>
          <w:p w14:paraId="785A3525"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6,312</w:t>
            </w:r>
          </w:p>
        </w:tc>
        <w:tc>
          <w:tcPr>
            <w:tcW w:w="671" w:type="pct"/>
            <w:tcBorders>
              <w:top w:val="nil"/>
              <w:left w:val="nil"/>
              <w:bottom w:val="single" w:sz="4" w:space="0" w:color="auto"/>
              <w:right w:val="single" w:sz="4" w:space="0" w:color="auto"/>
            </w:tcBorders>
            <w:shd w:val="clear" w:color="auto" w:fill="auto"/>
            <w:vAlign w:val="center"/>
            <w:hideMark/>
          </w:tcPr>
          <w:p w14:paraId="37B5CE25"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6,552</w:t>
            </w:r>
          </w:p>
        </w:tc>
        <w:tc>
          <w:tcPr>
            <w:tcW w:w="671" w:type="pct"/>
            <w:tcBorders>
              <w:top w:val="nil"/>
              <w:left w:val="nil"/>
              <w:bottom w:val="single" w:sz="4" w:space="0" w:color="auto"/>
              <w:right w:val="single" w:sz="4" w:space="0" w:color="auto"/>
            </w:tcBorders>
            <w:shd w:val="clear" w:color="auto" w:fill="auto"/>
            <w:vAlign w:val="center"/>
            <w:hideMark/>
          </w:tcPr>
          <w:p w14:paraId="54B2251A"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6,802</w:t>
            </w:r>
          </w:p>
        </w:tc>
      </w:tr>
      <w:tr w:rsidR="004D7392" w:rsidRPr="0040101A" w14:paraId="1EB7A742"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0CD6D0C6"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 xml:space="preserve">Number of people eligible for </w:t>
            </w:r>
            <w:r w:rsidRPr="0040101A">
              <w:rPr>
                <w:rFonts w:ascii="Arial Narrow" w:eastAsia="Times New Roman" w:hAnsi="Arial Narrow" w:cs="Calibri"/>
                <w:color w:val="000000"/>
                <w:sz w:val="20"/>
                <w:szCs w:val="20"/>
                <w:vertAlign w:val="superscript"/>
                <w:lang w:val="en-US"/>
              </w:rPr>
              <w:t>177</w:t>
            </w:r>
            <w:r w:rsidRPr="0040101A">
              <w:rPr>
                <w:rFonts w:ascii="Arial Narrow" w:eastAsia="Times New Roman" w:hAnsi="Arial Narrow" w:cs="Calibri"/>
                <w:color w:val="000000"/>
                <w:sz w:val="20"/>
                <w:szCs w:val="20"/>
                <w:lang w:val="en-US"/>
              </w:rPr>
              <w:t>Lu-DOTA-octreotate</w:t>
            </w:r>
          </w:p>
        </w:tc>
        <w:tc>
          <w:tcPr>
            <w:tcW w:w="4026" w:type="pct"/>
            <w:gridSpan w:val="6"/>
            <w:tcBorders>
              <w:top w:val="single" w:sz="4" w:space="0" w:color="auto"/>
              <w:left w:val="nil"/>
              <w:bottom w:val="single" w:sz="4" w:space="0" w:color="auto"/>
              <w:right w:val="single" w:sz="4" w:space="0" w:color="000000"/>
            </w:tcBorders>
            <w:shd w:val="clear" w:color="auto" w:fill="auto"/>
            <w:vAlign w:val="center"/>
            <w:hideMark/>
          </w:tcPr>
          <w:p w14:paraId="2813E7FD"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Unknown</w:t>
            </w:r>
            <w:r w:rsidRPr="0040101A">
              <w:rPr>
                <w:rFonts w:ascii="Arial Narrow" w:eastAsia="Times New Roman" w:hAnsi="Arial Narrow" w:cs="Calibri"/>
                <w:color w:val="000000"/>
                <w:sz w:val="20"/>
                <w:szCs w:val="20"/>
                <w:lang w:val="en-US"/>
              </w:rPr>
              <w:br/>
              <w:t>Assumed 3.5% to match applicant advised treatment population of approximately 200</w:t>
            </w:r>
          </w:p>
        </w:tc>
      </w:tr>
      <w:tr w:rsidR="004D7392" w:rsidRPr="0040101A" w14:paraId="377AC743"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tcPr>
          <w:p w14:paraId="06985A5C"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Pr>
                <w:rFonts w:ascii="Arial Narrow" w:eastAsia="Times New Roman" w:hAnsi="Arial Narrow" w:cs="Calibri"/>
                <w:color w:val="000000"/>
                <w:sz w:val="20"/>
                <w:szCs w:val="20"/>
                <w:lang w:val="en-US"/>
              </w:rPr>
              <w:t xml:space="preserve">Incident NEN patients who undergo </w:t>
            </w:r>
            <w:r w:rsidRPr="00D83BF3">
              <w:rPr>
                <w:rFonts w:ascii="Arial Narrow" w:eastAsia="Times New Roman" w:hAnsi="Arial Narrow" w:cs="Calibri"/>
                <w:color w:val="000000"/>
                <w:sz w:val="20"/>
                <w:szCs w:val="20"/>
                <w:vertAlign w:val="superscript"/>
                <w:lang w:val="en-US"/>
              </w:rPr>
              <w:t>68</w:t>
            </w:r>
            <w:r w:rsidRPr="00D83BF3">
              <w:rPr>
                <w:rFonts w:ascii="Arial Narrow" w:eastAsia="Times New Roman" w:hAnsi="Arial Narrow" w:cs="Calibri"/>
                <w:color w:val="000000"/>
                <w:sz w:val="20"/>
                <w:szCs w:val="20"/>
                <w:lang w:val="en-US"/>
              </w:rPr>
              <w:t>Ga-DOTA-octreotate PET/CT</w:t>
            </w:r>
            <w:r>
              <w:rPr>
                <w:rFonts w:ascii="Arial Narrow" w:eastAsia="Times New Roman" w:hAnsi="Arial Narrow" w:cs="Calibri"/>
                <w:color w:val="000000"/>
                <w:sz w:val="20"/>
                <w:szCs w:val="20"/>
                <w:lang w:val="en-US"/>
              </w:rPr>
              <w:t xml:space="preserve"> (80% of incident population)</w:t>
            </w:r>
          </w:p>
        </w:tc>
        <w:tc>
          <w:tcPr>
            <w:tcW w:w="671" w:type="pct"/>
            <w:tcBorders>
              <w:top w:val="nil"/>
              <w:left w:val="nil"/>
              <w:bottom w:val="single" w:sz="4" w:space="0" w:color="auto"/>
              <w:right w:val="single" w:sz="4" w:space="0" w:color="auto"/>
            </w:tcBorders>
            <w:shd w:val="clear" w:color="auto" w:fill="auto"/>
            <w:vAlign w:val="center"/>
          </w:tcPr>
          <w:p w14:paraId="1DCF248F"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4,514</w:t>
            </w:r>
          </w:p>
        </w:tc>
        <w:tc>
          <w:tcPr>
            <w:tcW w:w="671" w:type="pct"/>
            <w:tcBorders>
              <w:top w:val="nil"/>
              <w:left w:val="nil"/>
              <w:bottom w:val="single" w:sz="4" w:space="0" w:color="auto"/>
              <w:right w:val="single" w:sz="4" w:space="0" w:color="auto"/>
            </w:tcBorders>
            <w:shd w:val="clear" w:color="auto" w:fill="auto"/>
            <w:vAlign w:val="center"/>
          </w:tcPr>
          <w:p w14:paraId="2EBA5113"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4,686</w:t>
            </w:r>
          </w:p>
        </w:tc>
        <w:tc>
          <w:tcPr>
            <w:tcW w:w="671" w:type="pct"/>
            <w:tcBorders>
              <w:top w:val="nil"/>
              <w:left w:val="nil"/>
              <w:bottom w:val="single" w:sz="4" w:space="0" w:color="auto"/>
              <w:right w:val="single" w:sz="4" w:space="0" w:color="auto"/>
            </w:tcBorders>
            <w:shd w:val="clear" w:color="auto" w:fill="auto"/>
            <w:vAlign w:val="center"/>
          </w:tcPr>
          <w:p w14:paraId="3CC5188C"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4,864</w:t>
            </w:r>
          </w:p>
        </w:tc>
        <w:tc>
          <w:tcPr>
            <w:tcW w:w="671" w:type="pct"/>
            <w:tcBorders>
              <w:top w:val="nil"/>
              <w:left w:val="nil"/>
              <w:bottom w:val="single" w:sz="4" w:space="0" w:color="auto"/>
              <w:right w:val="single" w:sz="4" w:space="0" w:color="auto"/>
            </w:tcBorders>
            <w:shd w:val="clear" w:color="auto" w:fill="auto"/>
            <w:vAlign w:val="center"/>
          </w:tcPr>
          <w:p w14:paraId="704B9A1C"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5,049</w:t>
            </w:r>
          </w:p>
        </w:tc>
        <w:tc>
          <w:tcPr>
            <w:tcW w:w="671" w:type="pct"/>
            <w:tcBorders>
              <w:top w:val="nil"/>
              <w:left w:val="nil"/>
              <w:bottom w:val="single" w:sz="4" w:space="0" w:color="auto"/>
              <w:right w:val="single" w:sz="4" w:space="0" w:color="auto"/>
            </w:tcBorders>
            <w:shd w:val="clear" w:color="auto" w:fill="auto"/>
            <w:vAlign w:val="center"/>
          </w:tcPr>
          <w:p w14:paraId="1F64098D"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5,242</w:t>
            </w:r>
          </w:p>
        </w:tc>
        <w:tc>
          <w:tcPr>
            <w:tcW w:w="671" w:type="pct"/>
            <w:tcBorders>
              <w:top w:val="nil"/>
              <w:left w:val="nil"/>
              <w:bottom w:val="single" w:sz="4" w:space="0" w:color="auto"/>
              <w:right w:val="single" w:sz="4" w:space="0" w:color="auto"/>
            </w:tcBorders>
            <w:shd w:val="clear" w:color="auto" w:fill="auto"/>
            <w:vAlign w:val="center"/>
          </w:tcPr>
          <w:p w14:paraId="5BCF36EB" w14:textId="77777777" w:rsidR="004D7392" w:rsidRPr="000D5E0E" w:rsidRDefault="004D7392" w:rsidP="00380727">
            <w:pPr>
              <w:spacing w:before="0" w:after="0" w:line="240" w:lineRule="auto"/>
              <w:jc w:val="center"/>
              <w:rPr>
                <w:rFonts w:ascii="Arial Narrow" w:eastAsia="Times New Roman" w:hAnsi="Arial Narrow" w:cs="Calibri"/>
                <w:color w:val="000000"/>
                <w:sz w:val="20"/>
                <w:szCs w:val="20"/>
                <w:lang w:val="en-US"/>
              </w:rPr>
            </w:pPr>
            <w:r w:rsidRPr="000D5E0E">
              <w:rPr>
                <w:rFonts w:ascii="Arial Narrow" w:hAnsi="Arial Narrow"/>
                <w:sz w:val="20"/>
                <w:szCs w:val="20"/>
              </w:rPr>
              <w:t>5,442</w:t>
            </w:r>
          </w:p>
        </w:tc>
      </w:tr>
      <w:tr w:rsidR="004D7392" w:rsidRPr="0040101A" w14:paraId="6717304D"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7C3B32C6"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 xml:space="preserve">Of which, diagnosed with </w:t>
            </w:r>
            <w:r w:rsidRPr="00D83BF3">
              <w:rPr>
                <w:rFonts w:ascii="Arial Narrow" w:eastAsia="Times New Roman" w:hAnsi="Arial Narrow" w:cs="Calibri"/>
                <w:color w:val="000000"/>
                <w:sz w:val="20"/>
                <w:szCs w:val="20"/>
                <w:vertAlign w:val="superscript"/>
                <w:lang w:val="en-US"/>
              </w:rPr>
              <w:t>18</w:t>
            </w:r>
            <w:r w:rsidRPr="00D83BF3">
              <w:rPr>
                <w:rFonts w:ascii="Arial Narrow" w:eastAsia="Times New Roman" w:hAnsi="Arial Narrow" w:cs="Calibri"/>
                <w:color w:val="000000"/>
                <w:sz w:val="20"/>
                <w:szCs w:val="20"/>
                <w:lang w:val="en-US"/>
              </w:rPr>
              <w:t>FDG PET/CT (30%)</w:t>
            </w:r>
          </w:p>
        </w:tc>
        <w:tc>
          <w:tcPr>
            <w:tcW w:w="671" w:type="pct"/>
            <w:tcBorders>
              <w:top w:val="nil"/>
              <w:left w:val="nil"/>
              <w:bottom w:val="single" w:sz="4" w:space="0" w:color="auto"/>
              <w:right w:val="single" w:sz="4" w:space="0" w:color="auto"/>
            </w:tcBorders>
            <w:shd w:val="clear" w:color="auto" w:fill="auto"/>
            <w:vAlign w:val="center"/>
            <w:hideMark/>
          </w:tcPr>
          <w:p w14:paraId="0617C32E"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1,354</w:t>
            </w:r>
          </w:p>
        </w:tc>
        <w:tc>
          <w:tcPr>
            <w:tcW w:w="671" w:type="pct"/>
            <w:tcBorders>
              <w:top w:val="nil"/>
              <w:left w:val="nil"/>
              <w:bottom w:val="single" w:sz="4" w:space="0" w:color="auto"/>
              <w:right w:val="single" w:sz="4" w:space="0" w:color="auto"/>
            </w:tcBorders>
            <w:shd w:val="clear" w:color="auto" w:fill="auto"/>
            <w:vAlign w:val="center"/>
            <w:hideMark/>
          </w:tcPr>
          <w:p w14:paraId="58A768E4"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1,406</w:t>
            </w:r>
          </w:p>
        </w:tc>
        <w:tc>
          <w:tcPr>
            <w:tcW w:w="671" w:type="pct"/>
            <w:tcBorders>
              <w:top w:val="nil"/>
              <w:left w:val="nil"/>
              <w:bottom w:val="single" w:sz="4" w:space="0" w:color="auto"/>
              <w:right w:val="single" w:sz="4" w:space="0" w:color="auto"/>
            </w:tcBorders>
            <w:shd w:val="clear" w:color="auto" w:fill="auto"/>
            <w:vAlign w:val="center"/>
            <w:hideMark/>
          </w:tcPr>
          <w:p w14:paraId="296FE0F9"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1,459</w:t>
            </w:r>
          </w:p>
        </w:tc>
        <w:tc>
          <w:tcPr>
            <w:tcW w:w="671" w:type="pct"/>
            <w:tcBorders>
              <w:top w:val="nil"/>
              <w:left w:val="nil"/>
              <w:bottom w:val="single" w:sz="4" w:space="0" w:color="auto"/>
              <w:right w:val="single" w:sz="4" w:space="0" w:color="auto"/>
            </w:tcBorders>
            <w:shd w:val="clear" w:color="auto" w:fill="auto"/>
            <w:vAlign w:val="center"/>
            <w:hideMark/>
          </w:tcPr>
          <w:p w14:paraId="44168ABF"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1,515</w:t>
            </w:r>
          </w:p>
        </w:tc>
        <w:tc>
          <w:tcPr>
            <w:tcW w:w="671" w:type="pct"/>
            <w:tcBorders>
              <w:top w:val="nil"/>
              <w:left w:val="nil"/>
              <w:bottom w:val="single" w:sz="4" w:space="0" w:color="auto"/>
              <w:right w:val="single" w:sz="4" w:space="0" w:color="auto"/>
            </w:tcBorders>
            <w:shd w:val="clear" w:color="auto" w:fill="auto"/>
            <w:vAlign w:val="center"/>
            <w:hideMark/>
          </w:tcPr>
          <w:p w14:paraId="2FD59682"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1,573</w:t>
            </w:r>
          </w:p>
        </w:tc>
        <w:tc>
          <w:tcPr>
            <w:tcW w:w="671" w:type="pct"/>
            <w:tcBorders>
              <w:top w:val="nil"/>
              <w:left w:val="nil"/>
              <w:bottom w:val="single" w:sz="4" w:space="0" w:color="auto"/>
              <w:right w:val="single" w:sz="4" w:space="0" w:color="auto"/>
            </w:tcBorders>
            <w:shd w:val="clear" w:color="auto" w:fill="auto"/>
            <w:vAlign w:val="center"/>
            <w:hideMark/>
          </w:tcPr>
          <w:p w14:paraId="2FFBB9E4" w14:textId="77777777" w:rsidR="004D7392" w:rsidRPr="007E2BC6" w:rsidRDefault="004D7392" w:rsidP="00380727">
            <w:pPr>
              <w:spacing w:before="0" w:after="0" w:line="240" w:lineRule="auto"/>
              <w:jc w:val="center"/>
              <w:rPr>
                <w:rFonts w:ascii="Arial Narrow" w:eastAsia="Times New Roman" w:hAnsi="Arial Narrow" w:cs="Calibri"/>
                <w:color w:val="000000"/>
                <w:sz w:val="20"/>
                <w:szCs w:val="20"/>
                <w:lang w:val="en-US"/>
              </w:rPr>
            </w:pPr>
            <w:r w:rsidRPr="007E2BC6">
              <w:rPr>
                <w:rFonts w:ascii="Arial Narrow" w:hAnsi="Arial Narrow"/>
                <w:sz w:val="20"/>
                <w:szCs w:val="20"/>
              </w:rPr>
              <w:t>1,632</w:t>
            </w:r>
          </w:p>
        </w:tc>
      </w:tr>
      <w:tr w:rsidR="004D7392" w:rsidRPr="0040101A" w14:paraId="3098ADB4"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7FA4D6F5" w14:textId="77777777" w:rsidR="004D7392" w:rsidRPr="0040101A" w:rsidRDefault="004D7392" w:rsidP="00380727">
            <w:pPr>
              <w:spacing w:before="0" w:after="0" w:line="240" w:lineRule="auto"/>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 xml:space="preserve">Number of people who receive </w:t>
            </w:r>
            <w:r w:rsidRPr="0040101A">
              <w:rPr>
                <w:rFonts w:ascii="Arial Narrow" w:eastAsia="Times New Roman" w:hAnsi="Arial Narrow" w:cs="Calibri"/>
                <w:color w:val="000000"/>
                <w:sz w:val="20"/>
                <w:szCs w:val="20"/>
                <w:vertAlign w:val="superscript"/>
                <w:lang w:val="en-US"/>
              </w:rPr>
              <w:t>177</w:t>
            </w:r>
            <w:r w:rsidRPr="0040101A">
              <w:rPr>
                <w:rFonts w:ascii="Arial Narrow" w:eastAsia="Times New Roman" w:hAnsi="Arial Narrow" w:cs="Calibri"/>
                <w:color w:val="000000"/>
                <w:sz w:val="20"/>
                <w:szCs w:val="20"/>
                <w:lang w:val="en-US"/>
              </w:rPr>
              <w:t>Lu-DOTA-octreotate</w:t>
            </w:r>
          </w:p>
        </w:tc>
        <w:tc>
          <w:tcPr>
            <w:tcW w:w="671" w:type="pct"/>
            <w:tcBorders>
              <w:top w:val="nil"/>
              <w:left w:val="nil"/>
              <w:bottom w:val="single" w:sz="4" w:space="0" w:color="auto"/>
              <w:right w:val="single" w:sz="4" w:space="0" w:color="auto"/>
            </w:tcBorders>
            <w:shd w:val="clear" w:color="auto" w:fill="auto"/>
            <w:vAlign w:val="center"/>
            <w:hideMark/>
          </w:tcPr>
          <w:p w14:paraId="71D75ECD"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197</w:t>
            </w:r>
          </w:p>
        </w:tc>
        <w:tc>
          <w:tcPr>
            <w:tcW w:w="671" w:type="pct"/>
            <w:tcBorders>
              <w:top w:val="nil"/>
              <w:left w:val="nil"/>
              <w:bottom w:val="single" w:sz="4" w:space="0" w:color="auto"/>
              <w:right w:val="single" w:sz="4" w:space="0" w:color="auto"/>
            </w:tcBorders>
            <w:shd w:val="clear" w:color="auto" w:fill="auto"/>
            <w:vAlign w:val="center"/>
            <w:hideMark/>
          </w:tcPr>
          <w:p w14:paraId="6E5CCA97"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205</w:t>
            </w:r>
          </w:p>
        </w:tc>
        <w:tc>
          <w:tcPr>
            <w:tcW w:w="671" w:type="pct"/>
            <w:tcBorders>
              <w:top w:val="nil"/>
              <w:left w:val="nil"/>
              <w:bottom w:val="single" w:sz="4" w:space="0" w:color="auto"/>
              <w:right w:val="single" w:sz="4" w:space="0" w:color="auto"/>
            </w:tcBorders>
            <w:shd w:val="clear" w:color="auto" w:fill="auto"/>
            <w:vAlign w:val="center"/>
            <w:hideMark/>
          </w:tcPr>
          <w:p w14:paraId="78D50740"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213</w:t>
            </w:r>
          </w:p>
        </w:tc>
        <w:tc>
          <w:tcPr>
            <w:tcW w:w="671" w:type="pct"/>
            <w:tcBorders>
              <w:top w:val="nil"/>
              <w:left w:val="nil"/>
              <w:bottom w:val="single" w:sz="4" w:space="0" w:color="auto"/>
              <w:right w:val="single" w:sz="4" w:space="0" w:color="auto"/>
            </w:tcBorders>
            <w:shd w:val="clear" w:color="auto" w:fill="auto"/>
            <w:vAlign w:val="center"/>
            <w:hideMark/>
          </w:tcPr>
          <w:p w14:paraId="1F8420F5"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221</w:t>
            </w:r>
          </w:p>
        </w:tc>
        <w:tc>
          <w:tcPr>
            <w:tcW w:w="671" w:type="pct"/>
            <w:tcBorders>
              <w:top w:val="nil"/>
              <w:left w:val="nil"/>
              <w:bottom w:val="single" w:sz="4" w:space="0" w:color="auto"/>
              <w:right w:val="single" w:sz="4" w:space="0" w:color="auto"/>
            </w:tcBorders>
            <w:shd w:val="clear" w:color="auto" w:fill="auto"/>
            <w:vAlign w:val="center"/>
            <w:hideMark/>
          </w:tcPr>
          <w:p w14:paraId="2AF1107A"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229</w:t>
            </w:r>
          </w:p>
        </w:tc>
        <w:tc>
          <w:tcPr>
            <w:tcW w:w="671" w:type="pct"/>
            <w:tcBorders>
              <w:top w:val="nil"/>
              <w:left w:val="nil"/>
              <w:bottom w:val="single" w:sz="4" w:space="0" w:color="auto"/>
              <w:right w:val="single" w:sz="4" w:space="0" w:color="auto"/>
            </w:tcBorders>
            <w:shd w:val="clear" w:color="auto" w:fill="auto"/>
            <w:vAlign w:val="center"/>
            <w:hideMark/>
          </w:tcPr>
          <w:p w14:paraId="7D11D802" w14:textId="77777777" w:rsidR="004D7392" w:rsidRPr="0040101A"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238</w:t>
            </w:r>
          </w:p>
        </w:tc>
      </w:tr>
      <w:tr w:rsidR="004D7392" w:rsidRPr="0040101A" w14:paraId="7796D5B2"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tcPr>
          <w:p w14:paraId="6C4C984C"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344A4A">
              <w:rPr>
                <w:rFonts w:ascii="Arial Narrow" w:eastAsia="Times New Roman" w:hAnsi="Arial Narrow" w:cs="Calibri"/>
                <w:color w:val="000000"/>
                <w:sz w:val="20"/>
                <w:szCs w:val="20"/>
                <w:lang w:val="en-US"/>
              </w:rPr>
              <w:t xml:space="preserve">Additional </w:t>
            </w:r>
            <w:r w:rsidRPr="00344A4A">
              <w:rPr>
                <w:rFonts w:ascii="Arial Narrow" w:eastAsia="Times New Roman" w:hAnsi="Arial Narrow" w:cs="Calibri"/>
                <w:color w:val="000000"/>
                <w:sz w:val="20"/>
                <w:szCs w:val="20"/>
                <w:vertAlign w:val="superscript"/>
                <w:lang w:val="en-US"/>
              </w:rPr>
              <w:t>68</w:t>
            </w:r>
            <w:r w:rsidRPr="00344A4A">
              <w:rPr>
                <w:rFonts w:ascii="Arial Narrow" w:eastAsia="Times New Roman" w:hAnsi="Arial Narrow" w:cs="Calibri"/>
                <w:color w:val="000000"/>
                <w:sz w:val="20"/>
                <w:szCs w:val="20"/>
                <w:lang w:val="en-US"/>
              </w:rPr>
              <w:t xml:space="preserve">Ga-DOTA-octreotate PET study for </w:t>
            </w:r>
            <w:r>
              <w:rPr>
                <w:rFonts w:ascii="Arial Narrow" w:eastAsia="Times New Roman" w:hAnsi="Arial Narrow" w:cs="Calibri"/>
                <w:color w:val="000000"/>
                <w:sz w:val="20"/>
                <w:szCs w:val="20"/>
                <w:lang w:val="en-US"/>
              </w:rPr>
              <w:t>monitoring</w:t>
            </w:r>
          </w:p>
        </w:tc>
        <w:tc>
          <w:tcPr>
            <w:tcW w:w="671" w:type="pct"/>
            <w:tcBorders>
              <w:top w:val="nil"/>
              <w:left w:val="nil"/>
              <w:bottom w:val="single" w:sz="4" w:space="0" w:color="auto"/>
              <w:right w:val="single" w:sz="4" w:space="0" w:color="auto"/>
            </w:tcBorders>
            <w:shd w:val="clear" w:color="auto" w:fill="auto"/>
            <w:vAlign w:val="center"/>
          </w:tcPr>
          <w:p w14:paraId="517B8781"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197</w:t>
            </w:r>
          </w:p>
        </w:tc>
        <w:tc>
          <w:tcPr>
            <w:tcW w:w="671" w:type="pct"/>
            <w:tcBorders>
              <w:top w:val="nil"/>
              <w:left w:val="nil"/>
              <w:bottom w:val="single" w:sz="4" w:space="0" w:color="auto"/>
              <w:right w:val="single" w:sz="4" w:space="0" w:color="auto"/>
            </w:tcBorders>
            <w:shd w:val="clear" w:color="auto" w:fill="auto"/>
            <w:vAlign w:val="center"/>
          </w:tcPr>
          <w:p w14:paraId="0B0A4F4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205</w:t>
            </w:r>
          </w:p>
        </w:tc>
        <w:tc>
          <w:tcPr>
            <w:tcW w:w="671" w:type="pct"/>
            <w:tcBorders>
              <w:top w:val="nil"/>
              <w:left w:val="nil"/>
              <w:bottom w:val="single" w:sz="4" w:space="0" w:color="auto"/>
              <w:right w:val="single" w:sz="4" w:space="0" w:color="auto"/>
            </w:tcBorders>
            <w:shd w:val="clear" w:color="auto" w:fill="auto"/>
            <w:vAlign w:val="center"/>
          </w:tcPr>
          <w:p w14:paraId="25905AD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213</w:t>
            </w:r>
          </w:p>
        </w:tc>
        <w:tc>
          <w:tcPr>
            <w:tcW w:w="671" w:type="pct"/>
            <w:tcBorders>
              <w:top w:val="nil"/>
              <w:left w:val="nil"/>
              <w:bottom w:val="single" w:sz="4" w:space="0" w:color="auto"/>
              <w:right w:val="single" w:sz="4" w:space="0" w:color="auto"/>
            </w:tcBorders>
            <w:shd w:val="clear" w:color="auto" w:fill="auto"/>
            <w:vAlign w:val="center"/>
          </w:tcPr>
          <w:p w14:paraId="2DF8DFB7"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221</w:t>
            </w:r>
          </w:p>
        </w:tc>
        <w:tc>
          <w:tcPr>
            <w:tcW w:w="671" w:type="pct"/>
            <w:tcBorders>
              <w:top w:val="nil"/>
              <w:left w:val="nil"/>
              <w:bottom w:val="single" w:sz="4" w:space="0" w:color="auto"/>
              <w:right w:val="single" w:sz="4" w:space="0" w:color="auto"/>
            </w:tcBorders>
            <w:shd w:val="clear" w:color="auto" w:fill="auto"/>
            <w:vAlign w:val="center"/>
          </w:tcPr>
          <w:p w14:paraId="3FAB3683"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229</w:t>
            </w:r>
          </w:p>
        </w:tc>
        <w:tc>
          <w:tcPr>
            <w:tcW w:w="671" w:type="pct"/>
            <w:tcBorders>
              <w:top w:val="nil"/>
              <w:left w:val="nil"/>
              <w:bottom w:val="single" w:sz="4" w:space="0" w:color="auto"/>
              <w:right w:val="single" w:sz="4" w:space="0" w:color="auto"/>
            </w:tcBorders>
            <w:shd w:val="clear" w:color="auto" w:fill="auto"/>
            <w:vAlign w:val="center"/>
          </w:tcPr>
          <w:p w14:paraId="265720EC"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40101A">
              <w:rPr>
                <w:rFonts w:ascii="Arial Narrow" w:eastAsia="Times New Roman" w:hAnsi="Arial Narrow" w:cs="Calibri"/>
                <w:color w:val="000000"/>
                <w:sz w:val="20"/>
                <w:szCs w:val="20"/>
                <w:lang w:val="en-US"/>
              </w:rPr>
              <w:t>238</w:t>
            </w:r>
          </w:p>
        </w:tc>
      </w:tr>
      <w:tr w:rsidR="004D7392" w:rsidRPr="0040101A" w14:paraId="0B4FF1FE"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7091174E"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Cost to the MBS; treatment drug cost</w:t>
            </w:r>
          </w:p>
        </w:tc>
        <w:tc>
          <w:tcPr>
            <w:tcW w:w="671" w:type="pct"/>
            <w:tcBorders>
              <w:top w:val="nil"/>
              <w:left w:val="nil"/>
              <w:bottom w:val="single" w:sz="4" w:space="0" w:color="auto"/>
              <w:right w:val="single" w:sz="4" w:space="0" w:color="auto"/>
            </w:tcBorders>
            <w:shd w:val="clear" w:color="auto" w:fill="auto"/>
            <w:vAlign w:val="center"/>
            <w:hideMark/>
          </w:tcPr>
          <w:p w14:paraId="0937FF1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$6,890,666</w:t>
            </w:r>
          </w:p>
        </w:tc>
        <w:tc>
          <w:tcPr>
            <w:tcW w:w="671" w:type="pct"/>
            <w:tcBorders>
              <w:top w:val="nil"/>
              <w:left w:val="nil"/>
              <w:bottom w:val="single" w:sz="4" w:space="0" w:color="auto"/>
              <w:right w:val="single" w:sz="4" w:space="0" w:color="auto"/>
            </w:tcBorders>
            <w:shd w:val="clear" w:color="auto" w:fill="auto"/>
            <w:vAlign w:val="center"/>
            <w:hideMark/>
          </w:tcPr>
          <w:p w14:paraId="44425459"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$7,153,235</w:t>
            </w:r>
          </w:p>
        </w:tc>
        <w:tc>
          <w:tcPr>
            <w:tcW w:w="671" w:type="pct"/>
            <w:tcBorders>
              <w:top w:val="nil"/>
              <w:left w:val="nil"/>
              <w:bottom w:val="single" w:sz="4" w:space="0" w:color="auto"/>
              <w:right w:val="single" w:sz="4" w:space="0" w:color="auto"/>
            </w:tcBorders>
            <w:shd w:val="clear" w:color="auto" w:fill="auto"/>
            <w:vAlign w:val="center"/>
            <w:hideMark/>
          </w:tcPr>
          <w:p w14:paraId="3FAAB43F"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$7,425,809</w:t>
            </w:r>
          </w:p>
        </w:tc>
        <w:tc>
          <w:tcPr>
            <w:tcW w:w="671" w:type="pct"/>
            <w:tcBorders>
              <w:top w:val="nil"/>
              <w:left w:val="nil"/>
              <w:bottom w:val="single" w:sz="4" w:space="0" w:color="auto"/>
              <w:right w:val="single" w:sz="4" w:space="0" w:color="auto"/>
            </w:tcBorders>
            <w:shd w:val="clear" w:color="auto" w:fill="auto"/>
            <w:vAlign w:val="center"/>
            <w:hideMark/>
          </w:tcPr>
          <w:p w14:paraId="12D1AD88"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$7,708,769</w:t>
            </w:r>
          </w:p>
        </w:tc>
        <w:tc>
          <w:tcPr>
            <w:tcW w:w="671" w:type="pct"/>
            <w:tcBorders>
              <w:top w:val="nil"/>
              <w:left w:val="nil"/>
              <w:bottom w:val="single" w:sz="4" w:space="0" w:color="auto"/>
              <w:right w:val="single" w:sz="4" w:space="0" w:color="auto"/>
            </w:tcBorders>
            <w:shd w:val="clear" w:color="auto" w:fill="auto"/>
            <w:vAlign w:val="center"/>
            <w:hideMark/>
          </w:tcPr>
          <w:p w14:paraId="10FAE951"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$8,002,512</w:t>
            </w:r>
          </w:p>
        </w:tc>
        <w:tc>
          <w:tcPr>
            <w:tcW w:w="671" w:type="pct"/>
            <w:tcBorders>
              <w:top w:val="nil"/>
              <w:left w:val="nil"/>
              <w:bottom w:val="single" w:sz="4" w:space="0" w:color="auto"/>
              <w:right w:val="single" w:sz="4" w:space="0" w:color="auto"/>
            </w:tcBorders>
            <w:shd w:val="clear" w:color="auto" w:fill="auto"/>
            <w:vAlign w:val="center"/>
            <w:hideMark/>
          </w:tcPr>
          <w:p w14:paraId="04D570AB"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hAnsi="Arial Narrow"/>
                <w:sz w:val="20"/>
                <w:szCs w:val="20"/>
              </w:rPr>
              <w:t>$8,307,447</w:t>
            </w:r>
          </w:p>
        </w:tc>
      </w:tr>
      <w:tr w:rsidR="004D7392" w:rsidRPr="0040101A" w14:paraId="7855ECE5"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150354A6"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Cost to the MBS; diagnostic test cost</w:t>
            </w:r>
          </w:p>
        </w:tc>
        <w:tc>
          <w:tcPr>
            <w:tcW w:w="671" w:type="pct"/>
            <w:tcBorders>
              <w:top w:val="nil"/>
              <w:left w:val="nil"/>
              <w:bottom w:val="single" w:sz="4" w:space="0" w:color="auto"/>
              <w:right w:val="single" w:sz="4" w:space="0" w:color="auto"/>
            </w:tcBorders>
            <w:shd w:val="clear" w:color="auto" w:fill="auto"/>
            <w:vAlign w:val="center"/>
            <w:hideMark/>
          </w:tcPr>
          <w:p w14:paraId="3BD320B3"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$5,671,199</w:t>
            </w:r>
          </w:p>
        </w:tc>
        <w:tc>
          <w:tcPr>
            <w:tcW w:w="671" w:type="pct"/>
            <w:tcBorders>
              <w:top w:val="nil"/>
              <w:left w:val="nil"/>
              <w:bottom w:val="single" w:sz="4" w:space="0" w:color="auto"/>
              <w:right w:val="single" w:sz="4" w:space="0" w:color="auto"/>
            </w:tcBorders>
            <w:shd w:val="clear" w:color="auto" w:fill="auto"/>
            <w:vAlign w:val="center"/>
            <w:hideMark/>
          </w:tcPr>
          <w:p w14:paraId="2D9A35F1"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$5,887,300</w:t>
            </w:r>
          </w:p>
        </w:tc>
        <w:tc>
          <w:tcPr>
            <w:tcW w:w="671" w:type="pct"/>
            <w:tcBorders>
              <w:top w:val="nil"/>
              <w:left w:val="nil"/>
              <w:bottom w:val="single" w:sz="4" w:space="0" w:color="auto"/>
              <w:right w:val="single" w:sz="4" w:space="0" w:color="auto"/>
            </w:tcBorders>
            <w:shd w:val="clear" w:color="auto" w:fill="auto"/>
            <w:vAlign w:val="center"/>
            <w:hideMark/>
          </w:tcPr>
          <w:p w14:paraId="101419E6"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$6,111,635</w:t>
            </w:r>
          </w:p>
        </w:tc>
        <w:tc>
          <w:tcPr>
            <w:tcW w:w="671" w:type="pct"/>
            <w:tcBorders>
              <w:top w:val="nil"/>
              <w:left w:val="nil"/>
              <w:bottom w:val="single" w:sz="4" w:space="0" w:color="auto"/>
              <w:right w:val="single" w:sz="4" w:space="0" w:color="auto"/>
            </w:tcBorders>
            <w:shd w:val="clear" w:color="auto" w:fill="auto"/>
            <w:vAlign w:val="center"/>
            <w:hideMark/>
          </w:tcPr>
          <w:p w14:paraId="6E323AA2"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$6,344,519</w:t>
            </w:r>
          </w:p>
        </w:tc>
        <w:tc>
          <w:tcPr>
            <w:tcW w:w="671" w:type="pct"/>
            <w:tcBorders>
              <w:top w:val="nil"/>
              <w:left w:val="nil"/>
              <w:bottom w:val="single" w:sz="4" w:space="0" w:color="auto"/>
              <w:right w:val="single" w:sz="4" w:space="0" w:color="auto"/>
            </w:tcBorders>
            <w:shd w:val="clear" w:color="auto" w:fill="auto"/>
            <w:vAlign w:val="center"/>
            <w:hideMark/>
          </w:tcPr>
          <w:p w14:paraId="18004DE4"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$6,586,276</w:t>
            </w:r>
          </w:p>
        </w:tc>
        <w:tc>
          <w:tcPr>
            <w:tcW w:w="671" w:type="pct"/>
            <w:tcBorders>
              <w:top w:val="nil"/>
              <w:left w:val="nil"/>
              <w:bottom w:val="single" w:sz="4" w:space="0" w:color="auto"/>
              <w:right w:val="single" w:sz="4" w:space="0" w:color="auto"/>
            </w:tcBorders>
            <w:shd w:val="clear" w:color="auto" w:fill="auto"/>
            <w:vAlign w:val="center"/>
            <w:hideMark/>
          </w:tcPr>
          <w:p w14:paraId="5EB8F32D"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Pr>
                <w:rFonts w:ascii="Arial Narrow" w:hAnsi="Arial Narrow" w:cs="Calibri"/>
                <w:color w:val="000000"/>
                <w:sz w:val="20"/>
                <w:szCs w:val="20"/>
              </w:rPr>
              <w:t>$6,837,246</w:t>
            </w:r>
          </w:p>
        </w:tc>
      </w:tr>
      <w:tr w:rsidR="004D7392" w:rsidRPr="0040101A" w14:paraId="002CEBA2" w14:textId="77777777" w:rsidTr="00380727">
        <w:trPr>
          <w:trHeight w:val="37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6E0E72" w14:textId="77777777" w:rsidR="004D7392" w:rsidRPr="00D83BF3" w:rsidRDefault="004D7392" w:rsidP="00380727">
            <w:pPr>
              <w:spacing w:before="0" w:after="0" w:line="240" w:lineRule="auto"/>
              <w:rPr>
                <w:rFonts w:ascii="Arial Narrow" w:eastAsia="Times New Roman" w:hAnsi="Arial Narrow" w:cs="Calibri"/>
                <w:b/>
                <w:bCs/>
                <w:color w:val="000000"/>
                <w:sz w:val="20"/>
                <w:szCs w:val="20"/>
                <w:lang w:val="en-US"/>
              </w:rPr>
            </w:pPr>
            <w:r w:rsidRPr="00D83BF3">
              <w:rPr>
                <w:rFonts w:ascii="Arial Narrow" w:eastAsia="Times New Roman" w:hAnsi="Arial Narrow" w:cs="Calibri"/>
                <w:b/>
                <w:bCs/>
                <w:color w:val="000000"/>
                <w:sz w:val="20"/>
                <w:szCs w:val="20"/>
                <w:lang w:val="en-US"/>
              </w:rPr>
              <w:t>Change in use and cost of other health technologies</w:t>
            </w:r>
          </w:p>
        </w:tc>
      </w:tr>
      <w:tr w:rsidR="004D7392" w:rsidRPr="0040101A" w14:paraId="7BC906E8"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56584C83" w14:textId="77777777" w:rsidR="004D7392" w:rsidRPr="00D83BF3" w:rsidRDefault="004D7392" w:rsidP="00380727">
            <w:pPr>
              <w:spacing w:before="0" w:after="0" w:line="240" w:lineRule="auto"/>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Change in use of comparator and other.</w:t>
            </w:r>
          </w:p>
        </w:tc>
        <w:tc>
          <w:tcPr>
            <w:tcW w:w="4026" w:type="pct"/>
            <w:gridSpan w:val="6"/>
            <w:tcBorders>
              <w:top w:val="single" w:sz="4" w:space="0" w:color="auto"/>
              <w:left w:val="nil"/>
              <w:bottom w:val="single" w:sz="4" w:space="0" w:color="auto"/>
              <w:right w:val="single" w:sz="4" w:space="0" w:color="000000"/>
            </w:tcBorders>
            <w:shd w:val="clear" w:color="auto" w:fill="auto"/>
            <w:vAlign w:val="center"/>
            <w:hideMark/>
          </w:tcPr>
          <w:p w14:paraId="147C334E" w14:textId="77777777" w:rsidR="004D7392" w:rsidRPr="00D83BF3" w:rsidRDefault="004D7392" w:rsidP="00380727">
            <w:pPr>
              <w:spacing w:before="0" w:after="0" w:line="240" w:lineRule="auto"/>
              <w:jc w:val="center"/>
              <w:rPr>
                <w:rFonts w:ascii="Arial Narrow" w:eastAsia="Times New Roman" w:hAnsi="Arial Narrow" w:cs="Calibri"/>
                <w:color w:val="000000"/>
                <w:sz w:val="20"/>
                <w:szCs w:val="20"/>
                <w:lang w:val="en-US"/>
              </w:rPr>
            </w:pPr>
            <w:r w:rsidRPr="00D83BF3">
              <w:rPr>
                <w:rFonts w:ascii="Arial Narrow" w:eastAsia="Times New Roman" w:hAnsi="Arial Narrow" w:cs="Calibri"/>
                <w:color w:val="000000"/>
                <w:sz w:val="20"/>
                <w:szCs w:val="20"/>
                <w:lang w:val="en-US"/>
              </w:rPr>
              <w:t>N/A</w:t>
            </w:r>
            <w:r w:rsidRPr="00D83BF3">
              <w:rPr>
                <w:rFonts w:ascii="Arial Narrow" w:eastAsia="Times New Roman" w:hAnsi="Arial Narrow" w:cs="Calibri"/>
                <w:color w:val="000000"/>
                <w:sz w:val="20"/>
                <w:szCs w:val="20"/>
                <w:lang w:val="en-US"/>
              </w:rPr>
              <w:br/>
            </w:r>
            <w:r w:rsidRPr="00D83BF3">
              <w:rPr>
                <w:rFonts w:ascii="Arial Narrow" w:eastAsia="Times New Roman" w:hAnsi="Arial Narrow" w:cs="Calibri"/>
                <w:color w:val="000000"/>
                <w:sz w:val="20"/>
                <w:szCs w:val="20"/>
                <w:vertAlign w:val="superscript"/>
                <w:lang w:val="en-US"/>
              </w:rPr>
              <w:t>177</w:t>
            </w:r>
            <w:r w:rsidRPr="00D83BF3">
              <w:rPr>
                <w:rFonts w:ascii="Arial Narrow" w:eastAsia="Times New Roman" w:hAnsi="Arial Narrow" w:cs="Calibri"/>
                <w:color w:val="000000"/>
                <w:sz w:val="20"/>
                <w:szCs w:val="20"/>
                <w:lang w:val="en-US"/>
              </w:rPr>
              <w:t xml:space="preserve">Lu-DOTA-octreotate is proposed as an add-on therapy </w:t>
            </w:r>
          </w:p>
        </w:tc>
      </w:tr>
      <w:tr w:rsidR="004D7392" w:rsidRPr="0040101A" w14:paraId="278F033B" w14:textId="77777777" w:rsidTr="00380727">
        <w:trPr>
          <w:trHeight w:val="525"/>
        </w:trPr>
        <w:tc>
          <w:tcPr>
            <w:tcW w:w="974" w:type="pct"/>
            <w:tcBorders>
              <w:top w:val="nil"/>
              <w:left w:val="single" w:sz="4" w:space="0" w:color="auto"/>
              <w:bottom w:val="single" w:sz="4" w:space="0" w:color="auto"/>
              <w:right w:val="single" w:sz="4" w:space="0" w:color="auto"/>
            </w:tcBorders>
            <w:shd w:val="clear" w:color="auto" w:fill="auto"/>
            <w:vAlign w:val="center"/>
            <w:hideMark/>
          </w:tcPr>
          <w:p w14:paraId="6A1AEEBC" w14:textId="77777777" w:rsidR="004D7392" w:rsidRPr="00D83BF3" w:rsidRDefault="004D7392" w:rsidP="00380727">
            <w:pPr>
              <w:spacing w:before="0" w:after="0" w:line="240" w:lineRule="auto"/>
              <w:rPr>
                <w:rFonts w:ascii="Arial Narrow" w:eastAsia="Times New Roman" w:hAnsi="Arial Narrow" w:cs="Calibri"/>
                <w:b/>
                <w:bCs/>
                <w:color w:val="000000"/>
                <w:sz w:val="20"/>
                <w:szCs w:val="20"/>
                <w:lang w:val="en-US"/>
              </w:rPr>
            </w:pPr>
            <w:r w:rsidRPr="00D83BF3">
              <w:rPr>
                <w:rFonts w:ascii="Arial Narrow" w:eastAsia="Times New Roman" w:hAnsi="Arial Narrow" w:cs="Calibri"/>
                <w:b/>
                <w:bCs/>
                <w:color w:val="000000"/>
                <w:sz w:val="20"/>
                <w:szCs w:val="20"/>
                <w:lang w:val="en-US"/>
              </w:rPr>
              <w:t>Net financial impact to the MBS</w:t>
            </w:r>
          </w:p>
        </w:tc>
        <w:tc>
          <w:tcPr>
            <w:tcW w:w="671" w:type="pct"/>
            <w:tcBorders>
              <w:top w:val="nil"/>
              <w:left w:val="nil"/>
              <w:bottom w:val="single" w:sz="4" w:space="0" w:color="auto"/>
              <w:right w:val="single" w:sz="4" w:space="0" w:color="auto"/>
            </w:tcBorders>
            <w:shd w:val="clear" w:color="auto" w:fill="auto"/>
            <w:vAlign w:val="center"/>
            <w:hideMark/>
          </w:tcPr>
          <w:p w14:paraId="26459743"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$12,561,865</w:t>
            </w:r>
          </w:p>
        </w:tc>
        <w:tc>
          <w:tcPr>
            <w:tcW w:w="671" w:type="pct"/>
            <w:tcBorders>
              <w:top w:val="nil"/>
              <w:left w:val="nil"/>
              <w:bottom w:val="single" w:sz="4" w:space="0" w:color="auto"/>
              <w:right w:val="single" w:sz="4" w:space="0" w:color="auto"/>
            </w:tcBorders>
            <w:shd w:val="clear" w:color="auto" w:fill="auto"/>
            <w:vAlign w:val="center"/>
            <w:hideMark/>
          </w:tcPr>
          <w:p w14:paraId="56C8AD92"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$13,040,535</w:t>
            </w:r>
          </w:p>
        </w:tc>
        <w:tc>
          <w:tcPr>
            <w:tcW w:w="671" w:type="pct"/>
            <w:tcBorders>
              <w:top w:val="nil"/>
              <w:left w:val="nil"/>
              <w:bottom w:val="single" w:sz="4" w:space="0" w:color="auto"/>
              <w:right w:val="single" w:sz="4" w:space="0" w:color="auto"/>
            </w:tcBorders>
            <w:shd w:val="clear" w:color="auto" w:fill="auto"/>
            <w:vAlign w:val="center"/>
            <w:hideMark/>
          </w:tcPr>
          <w:p w14:paraId="6BB797C6"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$13,537,444</w:t>
            </w:r>
          </w:p>
        </w:tc>
        <w:tc>
          <w:tcPr>
            <w:tcW w:w="671" w:type="pct"/>
            <w:tcBorders>
              <w:top w:val="nil"/>
              <w:left w:val="nil"/>
              <w:bottom w:val="single" w:sz="4" w:space="0" w:color="auto"/>
              <w:right w:val="single" w:sz="4" w:space="0" w:color="auto"/>
            </w:tcBorders>
            <w:shd w:val="clear" w:color="auto" w:fill="auto"/>
            <w:vAlign w:val="center"/>
            <w:hideMark/>
          </w:tcPr>
          <w:p w14:paraId="7D4669AF"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$14,053,288</w:t>
            </w:r>
          </w:p>
        </w:tc>
        <w:tc>
          <w:tcPr>
            <w:tcW w:w="671" w:type="pct"/>
            <w:tcBorders>
              <w:top w:val="nil"/>
              <w:left w:val="nil"/>
              <w:bottom w:val="single" w:sz="4" w:space="0" w:color="auto"/>
              <w:right w:val="single" w:sz="4" w:space="0" w:color="auto"/>
            </w:tcBorders>
            <w:shd w:val="clear" w:color="auto" w:fill="auto"/>
            <w:vAlign w:val="center"/>
            <w:hideMark/>
          </w:tcPr>
          <w:p w14:paraId="11514800"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$14,588,788</w:t>
            </w:r>
          </w:p>
        </w:tc>
        <w:tc>
          <w:tcPr>
            <w:tcW w:w="671" w:type="pct"/>
            <w:tcBorders>
              <w:top w:val="nil"/>
              <w:left w:val="nil"/>
              <w:bottom w:val="single" w:sz="4" w:space="0" w:color="auto"/>
              <w:right w:val="single" w:sz="4" w:space="0" w:color="auto"/>
            </w:tcBorders>
            <w:shd w:val="clear" w:color="auto" w:fill="auto"/>
            <w:vAlign w:val="center"/>
            <w:hideMark/>
          </w:tcPr>
          <w:p w14:paraId="7643F15A" w14:textId="77777777" w:rsidR="004D7392" w:rsidRPr="00D83BF3" w:rsidRDefault="004D7392" w:rsidP="00380727">
            <w:pPr>
              <w:spacing w:before="0" w:after="0" w:line="240" w:lineRule="auto"/>
              <w:jc w:val="center"/>
              <w:rPr>
                <w:rFonts w:ascii="Arial Narrow" w:eastAsia="Times New Roman" w:hAnsi="Arial Narrow" w:cs="Calibri"/>
                <w:b/>
                <w:bCs/>
                <w:color w:val="000000"/>
                <w:sz w:val="20"/>
                <w:szCs w:val="20"/>
                <w:lang w:val="en-US"/>
              </w:rPr>
            </w:pPr>
            <w:r>
              <w:rPr>
                <w:rFonts w:ascii="Arial Narrow" w:hAnsi="Arial Narrow" w:cs="Calibri"/>
                <w:b/>
                <w:bCs/>
                <w:color w:val="000000"/>
                <w:sz w:val="20"/>
                <w:szCs w:val="20"/>
              </w:rPr>
              <w:t>$15,144,694</w:t>
            </w:r>
          </w:p>
        </w:tc>
      </w:tr>
    </w:tbl>
    <w:p w14:paraId="305F9F71" w14:textId="037C2EFF" w:rsidR="00624BA7" w:rsidRPr="00624BA7" w:rsidRDefault="004D7392" w:rsidP="000716A1">
      <w:pPr>
        <w:pStyle w:val="Tablenotes0"/>
      </w:pPr>
      <w:r>
        <w:t>Abbreviations: CT = computed tomography; FDG =</w:t>
      </w:r>
      <w:r w:rsidRPr="00CF7C77">
        <w:t xml:space="preserve"> </w:t>
      </w:r>
      <w:r>
        <w:t>f</w:t>
      </w:r>
      <w:r w:rsidRPr="00CF7C77">
        <w:t>luorodeoxyglucose</w:t>
      </w:r>
      <w:r>
        <w:t>; MBS = Medicare Benefits Schedule; N/A = not applicable; NEN = neuroendocrine neoplasm; PET = positron emission tomography.</w:t>
      </w:r>
    </w:p>
    <w:sectPr w:rsidR="00624BA7" w:rsidRPr="00624BA7" w:rsidSect="006F3284">
      <w:headerReference w:type="default" r:id="rId30"/>
      <w:footerReference w:type="even" r:id="rId31"/>
      <w:footerReference w:type="default" r:id="rId32"/>
      <w:pgSz w:w="11906" w:h="16838"/>
      <w:pgMar w:top="568"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5A08F" w14:textId="77777777" w:rsidR="00066A6A" w:rsidRDefault="00066A6A" w:rsidP="00B62DF2">
      <w:pPr>
        <w:spacing w:after="0" w:line="240" w:lineRule="auto"/>
      </w:pPr>
      <w:r>
        <w:separator/>
      </w:r>
    </w:p>
  </w:endnote>
  <w:endnote w:type="continuationSeparator" w:id="0">
    <w:p w14:paraId="2EB025CE" w14:textId="77777777" w:rsidR="00066A6A" w:rsidRDefault="00066A6A" w:rsidP="00B62DF2">
      <w:pPr>
        <w:spacing w:after="0" w:line="240" w:lineRule="auto"/>
      </w:pPr>
      <w:r>
        <w:continuationSeparator/>
      </w:r>
    </w:p>
  </w:endnote>
  <w:endnote w:type="continuationNotice" w:id="1">
    <w:p w14:paraId="468EFCAA" w14:textId="77777777" w:rsidR="00066A6A" w:rsidRDefault="00066A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4D"/>
    <w:family w:val="swiss"/>
    <w:pitch w:val="variable"/>
    <w:sig w:usb0="00000003" w:usb1="00000000" w:usb2="00000000" w:usb3="00000000" w:csb0="00000001" w:csb1="00000000"/>
  </w:font>
  <w:font w:name="Graebenbach">
    <w:altName w:val="Calibri"/>
    <w:charset w:val="00"/>
    <w:family w:val="swiss"/>
    <w:pitch w:val="variable"/>
  </w:font>
  <w:font w:name="Book Antiqua">
    <w:panose1 w:val="02040602050305030304"/>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551816"/>
      <w:docPartObj>
        <w:docPartGallery w:val="Page Numbers (Bottom of Page)"/>
        <w:docPartUnique/>
      </w:docPartObj>
    </w:sdtPr>
    <w:sdtEndPr>
      <w:rPr>
        <w:noProof/>
      </w:rPr>
    </w:sdtEndPr>
    <w:sdtContent>
      <w:p w14:paraId="66E2D1B8" w14:textId="55E7E31A" w:rsidR="004D7392" w:rsidRDefault="004D7392" w:rsidP="000B228E">
        <w:pPr>
          <w:pStyle w:val="Footer"/>
          <w:jc w:val="right"/>
        </w:pPr>
        <w:r>
          <w:fldChar w:fldCharType="begin"/>
        </w:r>
        <w:r>
          <w:instrText xml:space="preserve"> PAGE   \* MERGEFORMAT </w:instrText>
        </w:r>
        <w:r>
          <w:fldChar w:fldCharType="separate"/>
        </w:r>
        <w:r>
          <w:rPr>
            <w:noProof/>
          </w:rPr>
          <w:t>72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8356178"/>
      <w:docPartObj>
        <w:docPartGallery w:val="Page Numbers (Bottom of Page)"/>
        <w:docPartUnique/>
      </w:docPartObj>
    </w:sdtPr>
    <w:sdtEndPr>
      <w:rPr>
        <w:noProof/>
      </w:rPr>
    </w:sdtEndPr>
    <w:sdtContent>
      <w:p w14:paraId="2A0C9D84" w14:textId="75A634A1" w:rsidR="004D7392" w:rsidRDefault="004D7392" w:rsidP="00052DD3">
        <w:pPr>
          <w:pStyle w:val="Footer"/>
          <w:jc w:val="right"/>
        </w:pPr>
        <w:r>
          <w:fldChar w:fldCharType="begin"/>
        </w:r>
        <w:r>
          <w:instrText xml:space="preserve"> PAGE   \* MERGEFORMAT </w:instrText>
        </w:r>
        <w:r>
          <w:fldChar w:fldCharType="separate"/>
        </w:r>
        <w:r>
          <w:rPr>
            <w:noProof/>
          </w:rPr>
          <w:t>73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254876"/>
      <w:docPartObj>
        <w:docPartGallery w:val="Page Numbers (Bottom of Page)"/>
        <w:docPartUnique/>
      </w:docPartObj>
    </w:sdtPr>
    <w:sdtEndPr>
      <w:rPr>
        <w:noProof/>
      </w:rPr>
    </w:sdtEndPr>
    <w:sdtContent>
      <w:p w14:paraId="351053D3" w14:textId="5DB4FB73" w:rsidR="00B34374" w:rsidRDefault="00471FED" w:rsidP="00471F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812985"/>
      <w:docPartObj>
        <w:docPartGallery w:val="Page Numbers (Bottom of Page)"/>
        <w:docPartUnique/>
      </w:docPartObj>
    </w:sdtPr>
    <w:sdtEndPr>
      <w:rPr>
        <w:noProof/>
      </w:rPr>
    </w:sdtEndPr>
    <w:sdtContent>
      <w:p w14:paraId="42325CA5" w14:textId="63DE9FC8" w:rsidR="004D7392" w:rsidRDefault="004D7392" w:rsidP="00052DD3">
        <w:pPr>
          <w:pStyle w:val="Footer"/>
          <w:jc w:val="right"/>
        </w:pPr>
        <w:r>
          <w:fldChar w:fldCharType="begin"/>
        </w:r>
        <w:r>
          <w:instrText xml:space="preserve"> PAGE   \* MERGEFORMAT </w:instrText>
        </w:r>
        <w:r>
          <w:fldChar w:fldCharType="separate"/>
        </w:r>
        <w:r>
          <w:rPr>
            <w:noProof/>
          </w:rPr>
          <w:t>73</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537570"/>
      <w:docPartObj>
        <w:docPartGallery w:val="Page Numbers (Bottom of Page)"/>
        <w:docPartUnique/>
      </w:docPartObj>
    </w:sdtPr>
    <w:sdtEndPr>
      <w:rPr>
        <w:noProof/>
      </w:rPr>
    </w:sdtEndPr>
    <w:sdtContent>
      <w:p w14:paraId="45058F94" w14:textId="788CFA6E" w:rsidR="009404C6" w:rsidRDefault="009404C6" w:rsidP="00471FED">
        <w:pPr>
          <w:pStyle w:val="Footer"/>
          <w:jc w:val="right"/>
        </w:pPr>
        <w:r>
          <w:fldChar w:fldCharType="begin"/>
        </w:r>
        <w:r>
          <w:instrText xml:space="preserve"> PAGE   \* MERGEFORMAT </w:instrText>
        </w:r>
        <w:r>
          <w:fldChar w:fldCharType="separate"/>
        </w:r>
        <w:r>
          <w:rPr>
            <w:noProof/>
          </w:rPr>
          <w:t>72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9463361"/>
      <w:docPartObj>
        <w:docPartGallery w:val="Page Numbers (Bottom of Page)"/>
        <w:docPartUnique/>
      </w:docPartObj>
    </w:sdtPr>
    <w:sdtEndPr>
      <w:rPr>
        <w:noProof/>
      </w:rPr>
    </w:sdtEndPr>
    <w:sdtContent>
      <w:p w14:paraId="747C3A88" w14:textId="78B9A7E6" w:rsidR="009404C6" w:rsidRDefault="009404C6" w:rsidP="00052DD3">
        <w:pPr>
          <w:pStyle w:val="Footer"/>
          <w:jc w:val="right"/>
        </w:pPr>
        <w:r>
          <w:fldChar w:fldCharType="begin"/>
        </w:r>
        <w:r>
          <w:instrText xml:space="preserve"> PAGE   \* MERGEFORMAT </w:instrText>
        </w:r>
        <w:r>
          <w:fldChar w:fldCharType="separate"/>
        </w:r>
        <w:r>
          <w:rPr>
            <w:noProof/>
          </w:rPr>
          <w:t>73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96450" w14:textId="77777777" w:rsidR="00066A6A" w:rsidRDefault="00066A6A" w:rsidP="00B62DF2">
      <w:pPr>
        <w:spacing w:after="0" w:line="240" w:lineRule="auto"/>
      </w:pPr>
      <w:r>
        <w:separator/>
      </w:r>
    </w:p>
  </w:footnote>
  <w:footnote w:type="continuationSeparator" w:id="0">
    <w:p w14:paraId="2E8A49D9" w14:textId="77777777" w:rsidR="00066A6A" w:rsidRDefault="00066A6A" w:rsidP="00B62DF2">
      <w:pPr>
        <w:spacing w:after="0" w:line="240" w:lineRule="auto"/>
      </w:pPr>
      <w:r>
        <w:continuationSeparator/>
      </w:r>
    </w:p>
  </w:footnote>
  <w:footnote w:type="continuationNotice" w:id="1">
    <w:p w14:paraId="4E6D41E8" w14:textId="77777777" w:rsidR="00066A6A" w:rsidRDefault="00066A6A">
      <w:pPr>
        <w:spacing w:before="0" w:after="0" w:line="240" w:lineRule="auto"/>
      </w:pPr>
    </w:p>
  </w:footnote>
  <w:footnote w:id="2">
    <w:p w14:paraId="12F6D7DA" w14:textId="73941A22" w:rsidR="00450847" w:rsidRDefault="00450847">
      <w:pPr>
        <w:pStyle w:val="FootnoteText"/>
      </w:pPr>
      <w:r>
        <w:rPr>
          <w:rStyle w:val="FootnoteReference"/>
        </w:rPr>
        <w:footnoteRef/>
      </w:r>
      <w:r>
        <w:t xml:space="preserve"> </w:t>
      </w:r>
      <w:proofErr w:type="gramStart"/>
      <w:r w:rsidR="003A66D3">
        <w:t>Specifically</w:t>
      </w:r>
      <w:proofErr w:type="gramEnd"/>
      <w:r w:rsidR="003A66D3">
        <w:t xml:space="preserve"> the chemical structure of </w:t>
      </w:r>
      <w:r w:rsidR="003A66D3" w:rsidRPr="00450847">
        <w:rPr>
          <w:vertAlign w:val="superscript"/>
        </w:rPr>
        <w:t>177</w:t>
      </w:r>
      <w:r w:rsidR="003A66D3">
        <w:t xml:space="preserve">Lu-DOTA-octreotate and </w:t>
      </w:r>
      <w:r w:rsidR="003A66D3" w:rsidRPr="00450847">
        <w:rPr>
          <w:vertAlign w:val="superscript"/>
        </w:rPr>
        <w:t>177</w:t>
      </w:r>
      <w:r w:rsidR="003A66D3">
        <w:t>Lu-DOTATATE were identical because the (</w:t>
      </w:r>
      <w:proofErr w:type="spellStart"/>
      <w:r w:rsidR="003A66D3">
        <w:t>i</w:t>
      </w:r>
      <w:proofErr w:type="spellEnd"/>
      <w:r w:rsidR="003A66D3">
        <w:t xml:space="preserve">) targeting moiety (peptides), (ii) chelators binding </w:t>
      </w:r>
      <w:r w:rsidR="003A66D3" w:rsidRPr="00450847">
        <w:rPr>
          <w:vertAlign w:val="superscript"/>
        </w:rPr>
        <w:t>177</w:t>
      </w:r>
      <w:r w:rsidR="003A66D3">
        <w:t>Lu-DOTATATE to the peptides and (iii) the linker which joins the chelator to the targeting part of the peptides were identical.</w:t>
      </w:r>
    </w:p>
  </w:footnote>
  <w:footnote w:id="3">
    <w:p w14:paraId="3028A895" w14:textId="77777777" w:rsidR="009205B2" w:rsidRPr="00F34AE9" w:rsidRDefault="009205B2" w:rsidP="009205B2">
      <w:pPr>
        <w:pStyle w:val="FootnoteText"/>
      </w:pPr>
      <w:r>
        <w:rPr>
          <w:rStyle w:val="FootnoteReference"/>
        </w:rPr>
        <w:footnoteRef/>
      </w:r>
      <w:r>
        <w:t xml:space="preserve"> Nalder M, </w:t>
      </w:r>
      <w:proofErr w:type="spellStart"/>
      <w:r>
        <w:t>Ladwa</w:t>
      </w:r>
      <w:proofErr w:type="spellEnd"/>
      <w:r>
        <w:t xml:space="preserve"> R, Raina A, Burge ME, Love A, Pattison DA et al. (2021). </w:t>
      </w:r>
      <w:hyperlink r:id="rId1" w:history="1">
        <w:r w:rsidRPr="00FE7D9E">
          <w:rPr>
            <w:rStyle w:val="Hyperlink"/>
            <w:vertAlign w:val="superscript"/>
          </w:rPr>
          <w:t>177</w:t>
        </w:r>
        <w:r w:rsidRPr="00FE7D9E">
          <w:rPr>
            <w:rStyle w:val="Hyperlink"/>
          </w:rPr>
          <w:t xml:space="preserve">Lu-DOTATATE peptide receptor radionuclide therapy (PRRT) in patients with somatostatin-expressing neuroendocrine </w:t>
        </w:r>
        <w:proofErr w:type="spellStart"/>
        <w:r w:rsidRPr="00FE7D9E">
          <w:rPr>
            <w:rStyle w:val="Hyperlink"/>
          </w:rPr>
          <w:t>tumors</w:t>
        </w:r>
        <w:proofErr w:type="spellEnd"/>
        <w:r w:rsidRPr="00FE7D9E">
          <w:rPr>
            <w:rStyle w:val="Hyperlink"/>
          </w:rPr>
          <w:t xml:space="preserve">: a real-world retrospective review of efficacy and safety from an Australian tertiary cancer </w:t>
        </w:r>
        <w:proofErr w:type="spellStart"/>
        <w:r w:rsidRPr="00FE7D9E">
          <w:rPr>
            <w:rStyle w:val="Hyperlink"/>
          </w:rPr>
          <w:t>Center</w:t>
        </w:r>
        <w:proofErr w:type="spellEnd"/>
      </w:hyperlink>
      <w:r w:rsidRPr="00F34AE9">
        <w:t xml:space="preserve"> [abstract]</w:t>
      </w:r>
      <w:r w:rsidRPr="00FE7D9E">
        <w:t>.</w:t>
      </w:r>
      <w:r>
        <w:t xml:space="preserve"> </w:t>
      </w:r>
      <w:r>
        <w:rPr>
          <w:i/>
          <w:iCs/>
        </w:rPr>
        <w:t xml:space="preserve">Journal of Clinical Oncology </w:t>
      </w:r>
      <w:r>
        <w:t>39(15_suppl</w:t>
      </w:r>
      <w:proofErr w:type="gramStart"/>
      <w:r>
        <w:t>):e</w:t>
      </w:r>
      <w:proofErr w:type="gramEnd"/>
      <w:r>
        <w:t>16198.</w:t>
      </w:r>
    </w:p>
  </w:footnote>
  <w:footnote w:id="4">
    <w:p w14:paraId="7DE8F957" w14:textId="5D3E59C1" w:rsidR="009404C6" w:rsidRDefault="009404C6" w:rsidP="00E55100">
      <w:pPr>
        <w:pStyle w:val="Tablenotes0"/>
      </w:pPr>
      <w:r>
        <w:rPr>
          <w:rStyle w:val="FootnoteReference"/>
        </w:rPr>
        <w:footnoteRef/>
      </w:r>
      <w:r>
        <w:t xml:space="preserve"> Therapeutic Goods Administration </w:t>
      </w:r>
      <w:r>
        <w:rPr>
          <w:i/>
          <w:iCs/>
        </w:rPr>
        <w:t>GMP information for manufacturers of compounded medicines and DAAs</w:t>
      </w:r>
      <w:r>
        <w:t>, viewed 02/2024, &lt;https://www.tga.gov.au/resources/resource/guidance/gmp-information-manufacturers-compounded-medicines-and-daas&gt;.</w:t>
      </w:r>
    </w:p>
  </w:footnote>
  <w:footnote w:id="5">
    <w:p w14:paraId="5893DECF" w14:textId="4621357D" w:rsidR="009404C6" w:rsidRDefault="009404C6" w:rsidP="003835C7">
      <w:pPr>
        <w:pStyle w:val="Tablenotes0"/>
      </w:pPr>
      <w:r>
        <w:rPr>
          <w:rStyle w:val="FootnoteReference"/>
        </w:rPr>
        <w:footnoteRef/>
      </w:r>
      <w:r>
        <w:t xml:space="preserve"> Pavel, M, Oberg, K, Falconi, M, Krenning, EP, Sundin, A, Perren, A, </w:t>
      </w:r>
      <w:proofErr w:type="spellStart"/>
      <w:r>
        <w:t>Berruti</w:t>
      </w:r>
      <w:proofErr w:type="spellEnd"/>
      <w:r>
        <w:t xml:space="preserve">, A &amp; clinicalguidelines@esmo.org, </w:t>
      </w:r>
      <w:proofErr w:type="spellStart"/>
      <w:r>
        <w:t>EGCEa</w:t>
      </w:r>
      <w:proofErr w:type="spellEnd"/>
      <w:r>
        <w:t xml:space="preserve"> 2020, '</w:t>
      </w:r>
      <w:proofErr w:type="spellStart"/>
      <w:r>
        <w:t>Gastroenteropancreatic</w:t>
      </w:r>
      <w:proofErr w:type="spellEnd"/>
      <w:r>
        <w:t xml:space="preserve"> neuroendocrine neoplasms: ESMO Clinical Practice Guidelines for diagnosis, treatment and follow-up', </w:t>
      </w:r>
      <w:r>
        <w:rPr>
          <w:i/>
          <w:iCs/>
        </w:rPr>
        <w:t>Ann Oncol</w:t>
      </w:r>
      <w:r>
        <w:t>, vol. 31, no. 7, pp. 844-60.</w:t>
      </w:r>
    </w:p>
  </w:footnote>
  <w:footnote w:id="6">
    <w:p w14:paraId="62BA7B00" w14:textId="537C804F" w:rsidR="009404C6" w:rsidRDefault="009404C6" w:rsidP="008E04B4">
      <w:pPr>
        <w:pStyle w:val="Tablenotes0"/>
      </w:pPr>
      <w:r>
        <w:rPr>
          <w:rStyle w:val="FootnoteReference"/>
        </w:rPr>
        <w:footnoteRef/>
      </w:r>
      <w:r>
        <w:t xml:space="preserve"> Pavel, M, Oberg, K, Falconi, M, Krenning, EP, Sundin, A, Perren, A, </w:t>
      </w:r>
      <w:proofErr w:type="spellStart"/>
      <w:r>
        <w:t>Berruti</w:t>
      </w:r>
      <w:proofErr w:type="spellEnd"/>
      <w:r>
        <w:t xml:space="preserve">, A &amp; clinicalguidelines@esmo.org, </w:t>
      </w:r>
      <w:proofErr w:type="spellStart"/>
      <w:r>
        <w:t>EGCEa</w:t>
      </w:r>
      <w:proofErr w:type="spellEnd"/>
      <w:r>
        <w:t xml:space="preserve"> 2020, '</w:t>
      </w:r>
      <w:proofErr w:type="spellStart"/>
      <w:r>
        <w:t>Gastroenteropancreatic</w:t>
      </w:r>
      <w:proofErr w:type="spellEnd"/>
      <w:r>
        <w:t xml:space="preserve"> neuroendocrine neoplasms: ESMO Clinical Practice Guidelines for diagnosis, treatment and follow-up', </w:t>
      </w:r>
      <w:r>
        <w:rPr>
          <w:i/>
          <w:iCs/>
        </w:rPr>
        <w:t>Ann Oncol</w:t>
      </w:r>
      <w:r>
        <w:t>, vol. 31, no. 7, pp. 844-60.</w:t>
      </w:r>
    </w:p>
  </w:footnote>
  <w:footnote w:id="7">
    <w:p w14:paraId="0961CA25" w14:textId="291F8760" w:rsidR="009404C6" w:rsidRDefault="009404C6" w:rsidP="008E04B4">
      <w:pPr>
        <w:pStyle w:val="Tablenotes0"/>
      </w:pPr>
      <w:r>
        <w:rPr>
          <w:rStyle w:val="FootnoteReference"/>
        </w:rPr>
        <w:footnoteRef/>
      </w:r>
      <w:r>
        <w:t xml:space="preserve"> Pavel, M, Oberg, K, Falconi, M, Krenning, EP, Sundin, A, Perren, A, </w:t>
      </w:r>
      <w:proofErr w:type="spellStart"/>
      <w:r>
        <w:t>Berruti</w:t>
      </w:r>
      <w:proofErr w:type="spellEnd"/>
      <w:r>
        <w:t xml:space="preserve">, A &amp; clinicalguidelines@esmo.org, </w:t>
      </w:r>
      <w:proofErr w:type="spellStart"/>
      <w:r>
        <w:t>EGCEa</w:t>
      </w:r>
      <w:proofErr w:type="spellEnd"/>
      <w:r>
        <w:t xml:space="preserve"> 2020, '</w:t>
      </w:r>
      <w:proofErr w:type="spellStart"/>
      <w:r>
        <w:t>Gastroenteropancreatic</w:t>
      </w:r>
      <w:proofErr w:type="spellEnd"/>
      <w:r>
        <w:t xml:space="preserve"> neuroendocrine neoplasms: ESMO Clinical Practice Guidelines for diagnosis, treatment and follow-up', </w:t>
      </w:r>
      <w:r>
        <w:rPr>
          <w:i/>
          <w:iCs/>
        </w:rPr>
        <w:t>Ann Oncol</w:t>
      </w:r>
      <w:r>
        <w:t>, vol. 31, no. 7, pp. 844-60.</w:t>
      </w:r>
    </w:p>
  </w:footnote>
  <w:footnote w:id="8">
    <w:p w14:paraId="7D0A1467" w14:textId="36CCBC97" w:rsidR="009404C6" w:rsidRPr="001053EF" w:rsidRDefault="009404C6">
      <w:pPr>
        <w:pStyle w:val="FootnoteText"/>
        <w:rPr>
          <w:lang w:val="en-US"/>
        </w:rPr>
      </w:pPr>
      <w:r w:rsidRPr="001053EF">
        <w:rPr>
          <w:rFonts w:ascii="Arial Narrow" w:hAnsi="Arial Narrow" w:cs="Arial"/>
          <w:szCs w:val="22"/>
        </w:rPr>
        <w:footnoteRef/>
      </w:r>
      <w:r w:rsidRPr="001053EF">
        <w:rPr>
          <w:rFonts w:ascii="Arial Narrow" w:hAnsi="Arial Narrow" w:cs="Arial"/>
          <w:szCs w:val="22"/>
        </w:rPr>
        <w:t xml:space="preserve"> European Medicines Agency. </w:t>
      </w:r>
      <w:proofErr w:type="spellStart"/>
      <w:r w:rsidRPr="001053EF">
        <w:rPr>
          <w:rFonts w:ascii="Arial Narrow" w:hAnsi="Arial Narrow" w:cs="Arial"/>
          <w:szCs w:val="22"/>
        </w:rPr>
        <w:t>Lutathera</w:t>
      </w:r>
      <w:proofErr w:type="spellEnd"/>
      <w:r w:rsidRPr="001053EF">
        <w:rPr>
          <w:rFonts w:ascii="Arial Narrow" w:hAnsi="Arial Narrow" w:cs="Arial"/>
          <w:szCs w:val="22"/>
        </w:rPr>
        <w:t>: EPAR - Product Information. 2024.</w:t>
      </w:r>
      <w:r>
        <w:rPr>
          <w:rFonts w:ascii="Arial Narrow" w:hAnsi="Arial Narrow" w:cs="Arial"/>
          <w:szCs w:val="22"/>
        </w:rPr>
        <w:t xml:space="preserve"> Available at: </w:t>
      </w:r>
      <w:hyperlink r:id="rId2" w:history="1">
        <w:r w:rsidRPr="001053EF">
          <w:rPr>
            <w:rStyle w:val="Hyperlink"/>
            <w:rFonts w:ascii="Arial Narrow" w:hAnsi="Arial Narrow" w:cs="Arial"/>
            <w:szCs w:val="22"/>
          </w:rPr>
          <w:t>https://www.ema.europa.eu/en/medicines/human/EPAR/lutathera</w:t>
        </w:r>
      </w:hyperlink>
      <w:r>
        <w:rPr>
          <w:rFonts w:ascii="Arial Narrow" w:hAnsi="Arial Narrow" w:cs="Arial"/>
          <w:szCs w:val="22"/>
        </w:rPr>
        <w:t xml:space="preserve"> </w:t>
      </w:r>
    </w:p>
  </w:footnote>
  <w:footnote w:id="9">
    <w:p w14:paraId="15A2D0BC" w14:textId="79C4935D" w:rsidR="009404C6" w:rsidRPr="009F4D49" w:rsidRDefault="009404C6" w:rsidP="00C4246F">
      <w:pPr>
        <w:pStyle w:val="Tablenotes0"/>
      </w:pPr>
      <w:r w:rsidRPr="009F4D49">
        <w:rPr>
          <w:rStyle w:val="FootnoteReference"/>
          <w:vertAlign w:val="baseline"/>
        </w:rPr>
        <w:footnoteRef/>
      </w:r>
      <w:r w:rsidRPr="009F4D49">
        <w:t xml:space="preserve"> </w:t>
      </w:r>
      <w:proofErr w:type="spellStart"/>
      <w:r w:rsidRPr="009F4D49">
        <w:t>Bauckneht</w:t>
      </w:r>
      <w:proofErr w:type="spellEnd"/>
      <w:r w:rsidRPr="009F4D49">
        <w:t xml:space="preserve">, M, Albano, D, Annunziata, S, Santo, G, Guglielmo, P, </w:t>
      </w:r>
      <w:proofErr w:type="spellStart"/>
      <w:r w:rsidRPr="009F4D49">
        <w:t>Frantellizzi</w:t>
      </w:r>
      <w:proofErr w:type="spellEnd"/>
      <w:r w:rsidRPr="009F4D49">
        <w:t xml:space="preserve">, V, Branca, A, Ferrari, C, Vento, A, Mirabile, A, Nappi, AG, Evangelista, L, Alongi, P &amp; </w:t>
      </w:r>
      <w:proofErr w:type="spellStart"/>
      <w:r w:rsidRPr="009F4D49">
        <w:t>Laudicella</w:t>
      </w:r>
      <w:proofErr w:type="spellEnd"/>
      <w:r w:rsidRPr="009F4D49">
        <w:t>, R 2020, 'Somatostatin Receptor PET/CT Imaging for the Detection and Staging of Pancreatic NET: A Systematic Review and Meta-Analysis', Diagnostics, vol. 10, no. 8, p. 598.</w:t>
      </w:r>
    </w:p>
  </w:footnote>
  <w:footnote w:id="10">
    <w:p w14:paraId="494430C7" w14:textId="389BFCDD" w:rsidR="009404C6" w:rsidRPr="009F4D49" w:rsidRDefault="009404C6" w:rsidP="00C4246F">
      <w:pPr>
        <w:pStyle w:val="Tablenotes0"/>
      </w:pPr>
      <w:r w:rsidRPr="009F4D49">
        <w:rPr>
          <w:rStyle w:val="FootnoteReference"/>
          <w:vertAlign w:val="baseline"/>
        </w:rPr>
        <w:footnoteRef/>
      </w:r>
      <w:r w:rsidRPr="009F4D49">
        <w:t xml:space="preserve"> Carideo, L, Prosperi, D, </w:t>
      </w:r>
      <w:proofErr w:type="spellStart"/>
      <w:r w:rsidRPr="009F4D49">
        <w:t>Panzuto</w:t>
      </w:r>
      <w:proofErr w:type="spellEnd"/>
      <w:r w:rsidRPr="009F4D49">
        <w:t xml:space="preserve">, F, Magi, L, Pratesi, MS, </w:t>
      </w:r>
      <w:proofErr w:type="spellStart"/>
      <w:r w:rsidRPr="009F4D49">
        <w:t>Rinzivillo</w:t>
      </w:r>
      <w:proofErr w:type="spellEnd"/>
      <w:r w:rsidRPr="009F4D49">
        <w:t xml:space="preserve">, M, Annibale, B &amp; </w:t>
      </w:r>
      <w:proofErr w:type="spellStart"/>
      <w:r w:rsidRPr="009F4D49">
        <w:t>Signore</w:t>
      </w:r>
      <w:proofErr w:type="spellEnd"/>
      <w:r w:rsidRPr="009F4D49">
        <w:t>, A 2019, 'Role of Combined [(</w:t>
      </w:r>
      <w:proofErr w:type="gramStart"/>
      <w:r w:rsidRPr="009F4D49">
        <w:t>68)Ga</w:t>
      </w:r>
      <w:proofErr w:type="gramEnd"/>
      <w:r w:rsidRPr="009F4D49">
        <w:t>]Ga-DOTA-SST Analogues and [(18)F]FDG PET/CT in the Management of GEP-NENs: A Systematic Review', J Clin Med, vol. 8, no. 7.</w:t>
      </w:r>
    </w:p>
  </w:footnote>
  <w:footnote w:id="11">
    <w:p w14:paraId="6856AD68" w14:textId="70287633" w:rsidR="009404C6" w:rsidRPr="009F4D49" w:rsidRDefault="009404C6" w:rsidP="00C4246F">
      <w:pPr>
        <w:pStyle w:val="Tablenotes0"/>
      </w:pPr>
      <w:r w:rsidRPr="009F4D49">
        <w:rPr>
          <w:rStyle w:val="FootnoteReference"/>
          <w:vertAlign w:val="baseline"/>
        </w:rPr>
        <w:footnoteRef/>
      </w:r>
      <w:r w:rsidRPr="009F4D49">
        <w:t xml:space="preserve"> Treglia, G, Castaldi, P, Rindi, G, Giordano, A &amp; </w:t>
      </w:r>
      <w:proofErr w:type="spellStart"/>
      <w:r w:rsidRPr="009F4D49">
        <w:t>Rufini</w:t>
      </w:r>
      <w:proofErr w:type="spellEnd"/>
      <w:r w:rsidRPr="009F4D49">
        <w:t xml:space="preserve">, V 2012, 'Diagnostic performance of Gallium-68 somatostatin receptor PET and PET/CT in patients with thoracic and </w:t>
      </w:r>
      <w:proofErr w:type="spellStart"/>
      <w:r w:rsidRPr="009F4D49">
        <w:t>gastroenteropancreatic</w:t>
      </w:r>
      <w:proofErr w:type="spellEnd"/>
      <w:r w:rsidRPr="009F4D49">
        <w:t xml:space="preserve"> neuroendocrine tumours: a meta-analysis', Endocrine, vol. 42, pp. 80-7.</w:t>
      </w:r>
    </w:p>
  </w:footnote>
  <w:footnote w:id="12">
    <w:p w14:paraId="08A93003" w14:textId="3CC53010" w:rsidR="009404C6" w:rsidRDefault="009404C6" w:rsidP="00C4246F">
      <w:pPr>
        <w:pStyle w:val="Tablenotes0"/>
      </w:pPr>
      <w:r w:rsidRPr="009F4D49">
        <w:rPr>
          <w:rStyle w:val="FootnoteReference"/>
          <w:vertAlign w:val="baseline"/>
        </w:rPr>
        <w:footnoteRef/>
      </w:r>
      <w:r w:rsidRPr="009F4D49">
        <w:t xml:space="preserve"> </w:t>
      </w:r>
      <w:proofErr w:type="spellStart"/>
      <w:r w:rsidRPr="009F4D49">
        <w:t>Alevroudis</w:t>
      </w:r>
      <w:proofErr w:type="spellEnd"/>
      <w:r w:rsidRPr="009F4D49">
        <w:t xml:space="preserve">, E, </w:t>
      </w:r>
      <w:proofErr w:type="spellStart"/>
      <w:r w:rsidRPr="009F4D49">
        <w:t>Spei</w:t>
      </w:r>
      <w:proofErr w:type="spellEnd"/>
      <w:r w:rsidRPr="009F4D49">
        <w:t xml:space="preserve">, ME, Chatziioannou, SN, </w:t>
      </w:r>
      <w:proofErr w:type="spellStart"/>
      <w:r w:rsidRPr="009F4D49">
        <w:t>Tsoli</w:t>
      </w:r>
      <w:proofErr w:type="spellEnd"/>
      <w:r w:rsidRPr="009F4D49">
        <w:t xml:space="preserve">, M, Wallin, G, Kaltsas, G &amp; Daskalakis, K 2021, 'Clinical Utility of (18)F-FDG PET in Neuroendocrine </w:t>
      </w:r>
      <w:proofErr w:type="spellStart"/>
      <w:r w:rsidRPr="009F4D49">
        <w:t>Tumors</w:t>
      </w:r>
      <w:proofErr w:type="spellEnd"/>
      <w:r w:rsidRPr="009F4D49">
        <w:t xml:space="preserve"> Prior to Peptide Receptor Radionuclide Therapy: A Systematic Review and Meta-Analysis', Cancers (Basel), vol. 13, no. 8.</w:t>
      </w:r>
    </w:p>
  </w:footnote>
  <w:footnote w:id="13">
    <w:p w14:paraId="5D93AA28" w14:textId="63664223" w:rsidR="009404C6" w:rsidRDefault="009404C6" w:rsidP="00C4246F">
      <w:pPr>
        <w:pStyle w:val="Tablenotes0"/>
      </w:pPr>
      <w:r>
        <w:rPr>
          <w:rStyle w:val="FootnoteReference"/>
        </w:rPr>
        <w:footnoteRef/>
      </w:r>
      <w:r>
        <w:t xml:space="preserve"> </w:t>
      </w:r>
      <w:r w:rsidRPr="00C4246F">
        <w:t xml:space="preserve">Whiting, P, Savović, J, Higgins, JP, Caldwell, DM, Reeves, BC, Shea, B, Davies, P, </w:t>
      </w:r>
      <w:proofErr w:type="spellStart"/>
      <w:r w:rsidRPr="00C4246F">
        <w:t>Kleijnen</w:t>
      </w:r>
      <w:proofErr w:type="spellEnd"/>
      <w:r w:rsidRPr="00C4246F">
        <w:t>, J &amp; Churchill, R 2016, 'ROBIS: a new tool to assess risk of bias in systematic reviews was developed', Journal of clinical epidemiology, vol. 69, pp. 225-34.</w:t>
      </w:r>
    </w:p>
  </w:footnote>
  <w:footnote w:id="14">
    <w:p w14:paraId="3F158E30" w14:textId="74242101" w:rsidR="009404C6" w:rsidRPr="004066B9" w:rsidRDefault="009404C6" w:rsidP="004066B9">
      <w:pPr>
        <w:pStyle w:val="Tablenotes0"/>
      </w:pPr>
      <w:r w:rsidRPr="004066B9">
        <w:rPr>
          <w:rStyle w:val="FootnoteReference"/>
          <w:vertAlign w:val="baseline"/>
        </w:rPr>
        <w:footnoteRef/>
      </w:r>
      <w:r w:rsidRPr="004066B9">
        <w:t xml:space="preserve"> van der </w:t>
      </w:r>
      <w:proofErr w:type="spellStart"/>
      <w:r w:rsidRPr="004066B9">
        <w:t>Zwan</w:t>
      </w:r>
      <w:proofErr w:type="spellEnd"/>
      <w:r w:rsidRPr="004066B9">
        <w:t xml:space="preserve">, W, Wyld, D, Brabander, T, Teunissen, J, Kam, B, MacFarlane, D, Krenning, E, </w:t>
      </w:r>
      <w:proofErr w:type="spellStart"/>
      <w:r w:rsidRPr="004066B9">
        <w:t>Kwekkeboom</w:t>
      </w:r>
      <w:proofErr w:type="spellEnd"/>
      <w:r w:rsidRPr="004066B9">
        <w:t xml:space="preserve">, D &amp; De Herder, W 2018, 'A randomized controlled study comparing treatment of gastro-entero-pancreatic neuroendocrine </w:t>
      </w:r>
      <w:proofErr w:type="spellStart"/>
      <w:r w:rsidRPr="004066B9">
        <w:t>tumors</w:t>
      </w:r>
      <w:proofErr w:type="spellEnd"/>
      <w:r w:rsidRPr="004066B9">
        <w:t xml:space="preserve"> (GEPNET) with 177lu-dotatate alone and in combination with capecitabine', Neuroendocrinology, vol. 106, p. 261.</w:t>
      </w:r>
    </w:p>
  </w:footnote>
  <w:footnote w:id="15">
    <w:p w14:paraId="4B8E8AB6" w14:textId="0DBF2619" w:rsidR="009404C6" w:rsidRPr="004066B9" w:rsidRDefault="009404C6" w:rsidP="004066B9">
      <w:pPr>
        <w:pStyle w:val="Tablenotes0"/>
      </w:pPr>
      <w:r w:rsidRPr="004066B9">
        <w:rPr>
          <w:rStyle w:val="FootnoteReference"/>
          <w:vertAlign w:val="baseline"/>
        </w:rPr>
        <w:footnoteRef/>
      </w:r>
      <w:r w:rsidRPr="004066B9">
        <w:t xml:space="preserve"> Sood, A, Satapathy, S &amp; Chandekar, K 2023, 'Concomitant 177Lu-DOTATATE and low-dose capecitabine versus 177Lu-DOTATATE alone in patients with advanced well-differentiated </w:t>
      </w:r>
      <w:proofErr w:type="spellStart"/>
      <w:r w:rsidRPr="004066B9">
        <w:t>gastroenteropancreatic</w:t>
      </w:r>
      <w:proofErr w:type="spellEnd"/>
      <w:r w:rsidRPr="004066B9">
        <w:t xml:space="preserve"> neuroendocrine tumours - preliminary results of a randomized controlled trial', Clinical Nuclear Medicine, vol. 48, no. 5, pp. e261-e2.</w:t>
      </w:r>
    </w:p>
  </w:footnote>
  <w:footnote w:id="16">
    <w:p w14:paraId="59C66627" w14:textId="01ACF9CD" w:rsidR="009404C6" w:rsidRPr="004066B9" w:rsidRDefault="009404C6" w:rsidP="004066B9">
      <w:pPr>
        <w:pStyle w:val="Tablenotes0"/>
      </w:pPr>
      <w:r w:rsidRPr="004066B9">
        <w:rPr>
          <w:rStyle w:val="FootnoteReference"/>
          <w:vertAlign w:val="baseline"/>
        </w:rPr>
        <w:footnoteRef/>
      </w:r>
      <w:r w:rsidRPr="004066B9">
        <w:t xml:space="preserve"> Higgins, JP, Altman, DG, Gotzsche, PC, Juni, P, Moher, D, Oxman, AD, Savovic, J, Schulz, KF, Weeks, L, Sterne, JA, Cochrane Bias Methods, G &amp; Cochrane Statistical Methods, G 2011, 'The Cochrane Collaboration's tool for assessing risk of bias in randomised trials', BMJ, vol. 343, p. d5928.</w:t>
      </w:r>
    </w:p>
  </w:footnote>
  <w:footnote w:id="17">
    <w:p w14:paraId="3B442723" w14:textId="77777777" w:rsidR="009404C6" w:rsidRPr="005E2913" w:rsidRDefault="009404C6" w:rsidP="000509B9">
      <w:pPr>
        <w:pStyle w:val="Tablenotes0"/>
      </w:pPr>
      <w:r w:rsidRPr="005E2913">
        <w:rPr>
          <w:rStyle w:val="FootnoteReference"/>
          <w:vertAlign w:val="baseline"/>
        </w:rPr>
        <w:footnoteRef/>
      </w:r>
      <w:r w:rsidRPr="005E2913">
        <w:t xml:space="preserve"> ClinicalTrials.gov 2022, A Study Comparing Treatment With 177Lu-DOTA0-Tyr3-Octreotate to Octreotide LAR in Patients </w:t>
      </w:r>
      <w:proofErr w:type="gramStart"/>
      <w:r w:rsidRPr="005E2913">
        <w:t>With</w:t>
      </w:r>
      <w:proofErr w:type="gramEnd"/>
      <w:r w:rsidRPr="005E2913">
        <w:t xml:space="preserve"> Inoperable, Progressive, Somatostatin Receptor Positive Midgut Carcinoid Tumours, https://classic.clinicaltrials.gov/show/NCT01578239.</w:t>
      </w:r>
    </w:p>
  </w:footnote>
  <w:footnote w:id="18">
    <w:p w14:paraId="409E4B46" w14:textId="77777777" w:rsidR="009404C6" w:rsidRPr="005E2913" w:rsidRDefault="009404C6" w:rsidP="000509B9">
      <w:pPr>
        <w:pStyle w:val="Tablenotes0"/>
      </w:pPr>
      <w:r w:rsidRPr="005E2913">
        <w:rPr>
          <w:rStyle w:val="FootnoteReference"/>
          <w:vertAlign w:val="baseline"/>
        </w:rPr>
        <w:footnoteRef/>
      </w:r>
      <w:r w:rsidRPr="005E2913">
        <w:t xml:space="preserve"> Baudin, E, Walter, T, Beron, A, Smith, D, </w:t>
      </w:r>
      <w:proofErr w:type="spellStart"/>
      <w:r w:rsidRPr="005E2913">
        <w:t>Hadoux</w:t>
      </w:r>
      <w:proofErr w:type="spellEnd"/>
      <w:r w:rsidRPr="005E2913">
        <w:t>, J, Moreau-</w:t>
      </w:r>
      <w:proofErr w:type="spellStart"/>
      <w:r w:rsidRPr="005E2913">
        <w:t>Triby</w:t>
      </w:r>
      <w:proofErr w:type="spellEnd"/>
      <w:r w:rsidRPr="005E2913">
        <w:t xml:space="preserve">, C, </w:t>
      </w:r>
      <w:proofErr w:type="spellStart"/>
      <w:r w:rsidRPr="005E2913">
        <w:t>Taieb</w:t>
      </w:r>
      <w:proofErr w:type="spellEnd"/>
      <w:r w:rsidRPr="005E2913">
        <w:t xml:space="preserve">, D, </w:t>
      </w:r>
      <w:proofErr w:type="spellStart"/>
      <w:r w:rsidRPr="005E2913">
        <w:t>Ansquer</w:t>
      </w:r>
      <w:proofErr w:type="spellEnd"/>
      <w:r w:rsidRPr="005E2913">
        <w:t xml:space="preserve">, C, Dierickx, L, De </w:t>
      </w:r>
      <w:proofErr w:type="spellStart"/>
      <w:r w:rsidRPr="005E2913">
        <w:t>Mestier</w:t>
      </w:r>
      <w:proofErr w:type="spellEnd"/>
      <w:r w:rsidRPr="005E2913">
        <w:t xml:space="preserve">, L, Deshayes, E, </w:t>
      </w:r>
      <w:proofErr w:type="spellStart"/>
      <w:r w:rsidRPr="005E2913">
        <w:t>Quak</w:t>
      </w:r>
      <w:proofErr w:type="spellEnd"/>
      <w:r w:rsidRPr="005E2913">
        <w:t xml:space="preserve">, E, Dahan, L, </w:t>
      </w:r>
      <w:proofErr w:type="spellStart"/>
      <w:r w:rsidRPr="005E2913">
        <w:t>Guimbaud</w:t>
      </w:r>
      <w:proofErr w:type="spellEnd"/>
      <w:r w:rsidRPr="005E2913">
        <w:t xml:space="preserve">, R, </w:t>
      </w:r>
      <w:proofErr w:type="spellStart"/>
      <w:r w:rsidRPr="005E2913">
        <w:t>Touchefeu</w:t>
      </w:r>
      <w:proofErr w:type="spellEnd"/>
      <w:r w:rsidRPr="005E2913">
        <w:t xml:space="preserve">, Y, </w:t>
      </w:r>
      <w:proofErr w:type="spellStart"/>
      <w:r w:rsidRPr="005E2913">
        <w:t>Haissaguerre</w:t>
      </w:r>
      <w:proofErr w:type="spellEnd"/>
      <w:r w:rsidRPr="005E2913">
        <w:t xml:space="preserve">, M, </w:t>
      </w:r>
      <w:proofErr w:type="spellStart"/>
      <w:r w:rsidRPr="005E2913">
        <w:t>Vuillez</w:t>
      </w:r>
      <w:proofErr w:type="spellEnd"/>
      <w:r w:rsidRPr="005E2913">
        <w:t xml:space="preserve">, J, </w:t>
      </w:r>
      <w:proofErr w:type="spellStart"/>
      <w:r w:rsidRPr="005E2913">
        <w:t>Courbon</w:t>
      </w:r>
      <w:proofErr w:type="spellEnd"/>
      <w:r w:rsidRPr="005E2913">
        <w:t>, F, Hindie, E, Do Cao, C, Lombard-</w:t>
      </w:r>
      <w:proofErr w:type="spellStart"/>
      <w:r w:rsidRPr="005E2913">
        <w:t>Bohas</w:t>
      </w:r>
      <w:proofErr w:type="spellEnd"/>
      <w:r w:rsidRPr="005E2913">
        <w:t xml:space="preserve">, C, Attard, M &amp; Foulon, S 2022, 'Results from OCLURANDOM: the first multicentric randomized phase II trial investigating the antitumor efficacy of peptide receptor radionuclide therapy with lutetium-177 </w:t>
      </w:r>
      <w:proofErr w:type="spellStart"/>
      <w:r w:rsidRPr="005E2913">
        <w:t>octreotate</w:t>
      </w:r>
      <w:proofErr w:type="spellEnd"/>
      <w:r w:rsidRPr="005E2913">
        <w:t xml:space="preserve"> (OCLU) in patients with unresectable progressive neuroendocrine pancreatic </w:t>
      </w:r>
      <w:proofErr w:type="spellStart"/>
      <w:r w:rsidRPr="005E2913">
        <w:t>tumors</w:t>
      </w:r>
      <w:proofErr w:type="spellEnd"/>
      <w:r w:rsidRPr="005E2913">
        <w:t>', European Journal of Nuclear Medicine and Molecular Imaging, vol. 49, p. S52.</w:t>
      </w:r>
    </w:p>
  </w:footnote>
  <w:footnote w:id="19">
    <w:p w14:paraId="13BA82F1" w14:textId="77777777" w:rsidR="009404C6" w:rsidRPr="004066B9" w:rsidRDefault="009404C6" w:rsidP="000509B9">
      <w:pPr>
        <w:pStyle w:val="Tablenotes0"/>
      </w:pPr>
      <w:r w:rsidRPr="004066B9">
        <w:rPr>
          <w:rStyle w:val="FootnoteReference"/>
          <w:vertAlign w:val="baseline"/>
        </w:rPr>
        <w:footnoteRef/>
      </w:r>
      <w:r w:rsidRPr="004066B9">
        <w:t xml:space="preserve"> Caplin, ME, Pavel, M, </w:t>
      </w:r>
      <w:proofErr w:type="spellStart"/>
      <w:r w:rsidRPr="004066B9">
        <w:t>Ćwikła</w:t>
      </w:r>
      <w:proofErr w:type="spellEnd"/>
      <w:r w:rsidRPr="004066B9">
        <w:t xml:space="preserve">, JB, Phan, AT, </w:t>
      </w:r>
      <w:proofErr w:type="spellStart"/>
      <w:r w:rsidRPr="004066B9">
        <w:t>Raderer</w:t>
      </w:r>
      <w:proofErr w:type="spellEnd"/>
      <w:r w:rsidRPr="004066B9">
        <w:t xml:space="preserve">, M, Sedláčková, E, </w:t>
      </w:r>
      <w:proofErr w:type="spellStart"/>
      <w:r w:rsidRPr="004066B9">
        <w:t>Cadiot</w:t>
      </w:r>
      <w:proofErr w:type="spellEnd"/>
      <w:r w:rsidRPr="004066B9">
        <w:t xml:space="preserve">, G, Wolin, EM, Capdevila, J &amp; Wall, L 2014, 'Lanreotide in metastatic </w:t>
      </w:r>
      <w:proofErr w:type="spellStart"/>
      <w:r w:rsidRPr="004066B9">
        <w:t>enteropancreatic</w:t>
      </w:r>
      <w:proofErr w:type="spellEnd"/>
      <w:r w:rsidRPr="004066B9">
        <w:t xml:space="preserve"> neuroendocrine </w:t>
      </w:r>
      <w:proofErr w:type="spellStart"/>
      <w:r w:rsidRPr="004066B9">
        <w:t>tumors</w:t>
      </w:r>
      <w:proofErr w:type="spellEnd"/>
      <w:r w:rsidRPr="004066B9">
        <w:t>', New England Journal of Medicine, vol. 371, no. 3, pp. 224-33.</w:t>
      </w:r>
    </w:p>
  </w:footnote>
  <w:footnote w:id="20">
    <w:p w14:paraId="753E081A" w14:textId="77777777" w:rsidR="009404C6" w:rsidRPr="004066B9" w:rsidRDefault="009404C6" w:rsidP="000509B9">
      <w:pPr>
        <w:pStyle w:val="Tablenotes0"/>
      </w:pPr>
      <w:r w:rsidRPr="004066B9">
        <w:rPr>
          <w:rStyle w:val="FootnoteReference"/>
          <w:vertAlign w:val="baseline"/>
        </w:rPr>
        <w:footnoteRef/>
      </w:r>
      <w:r w:rsidRPr="004066B9">
        <w:t xml:space="preserve"> Rinke, A, Muller, H-H, Schade-</w:t>
      </w:r>
      <w:proofErr w:type="spellStart"/>
      <w:r w:rsidRPr="004066B9">
        <w:t>Brittinger</w:t>
      </w:r>
      <w:proofErr w:type="spellEnd"/>
      <w:r w:rsidRPr="004066B9">
        <w:t xml:space="preserve">, C, Klose, K-J, Barth, P, Wied, M, Mayer, C, </w:t>
      </w:r>
      <w:proofErr w:type="spellStart"/>
      <w:r w:rsidRPr="004066B9">
        <w:t>Aminossadati</w:t>
      </w:r>
      <w:proofErr w:type="spellEnd"/>
      <w:r w:rsidRPr="004066B9">
        <w:t xml:space="preserve">, B, Pape, U-F &amp; Blaker, M 2009, 'Placebo-controlled, double-blind, prospective, randomized study on the effect of octreotide LAR in the control of </w:t>
      </w:r>
      <w:proofErr w:type="spellStart"/>
      <w:r w:rsidRPr="004066B9">
        <w:t>tumor</w:t>
      </w:r>
      <w:proofErr w:type="spellEnd"/>
      <w:r w:rsidRPr="004066B9">
        <w:t xml:space="preserve"> growth in patients with metastatic neuroendocrine midgut </w:t>
      </w:r>
      <w:proofErr w:type="spellStart"/>
      <w:r w:rsidRPr="004066B9">
        <w:t>tumors</w:t>
      </w:r>
      <w:proofErr w:type="spellEnd"/>
      <w:r w:rsidRPr="004066B9">
        <w:t>: a report from the PROMID Study Group', J Clin Oncol, vol. 27, no. 28, pp. 4656-63.</w:t>
      </w:r>
    </w:p>
  </w:footnote>
  <w:footnote w:id="21">
    <w:p w14:paraId="67C9C242" w14:textId="77777777" w:rsidR="009404C6" w:rsidRDefault="009404C6" w:rsidP="000509B9">
      <w:pPr>
        <w:pStyle w:val="Tablenotes0"/>
      </w:pPr>
      <w:r w:rsidRPr="004066B9">
        <w:rPr>
          <w:rStyle w:val="FootnoteReference"/>
          <w:vertAlign w:val="baseline"/>
        </w:rPr>
        <w:footnoteRef/>
      </w:r>
      <w:r w:rsidRPr="004066B9">
        <w:t xml:space="preserve"> Kunz, PL, Catalano, PJ, Nimeiri, H, Fisher, GA, Longacre, TA, Suarez, CJ, Yao, JC, Kulke, MH, </w:t>
      </w:r>
      <w:proofErr w:type="spellStart"/>
      <w:r w:rsidRPr="004066B9">
        <w:t>Hendifar</w:t>
      </w:r>
      <w:proofErr w:type="spellEnd"/>
      <w:r w:rsidRPr="004066B9">
        <w:t xml:space="preserve">, AE, Shanks, JC, Shah, MH, </w:t>
      </w:r>
      <w:proofErr w:type="spellStart"/>
      <w:r w:rsidRPr="004066B9">
        <w:t>Zalupski</w:t>
      </w:r>
      <w:proofErr w:type="spellEnd"/>
      <w:r w:rsidRPr="004066B9">
        <w:t xml:space="preserve">, M, </w:t>
      </w:r>
      <w:proofErr w:type="spellStart"/>
      <w:r w:rsidRPr="004066B9">
        <w:t>Schmulbach</w:t>
      </w:r>
      <w:proofErr w:type="spellEnd"/>
      <w:r w:rsidRPr="004066B9">
        <w:t xml:space="preserve">, EL, Reidy, DL, </w:t>
      </w:r>
      <w:proofErr w:type="spellStart"/>
      <w:r w:rsidRPr="004066B9">
        <w:t>Strosberg</w:t>
      </w:r>
      <w:proofErr w:type="spellEnd"/>
      <w:r w:rsidRPr="004066B9">
        <w:t xml:space="preserve">, JR, O'Dwyer, PJ &amp; Benson, AB 2018, 'A randomized study of temozolomide or temozolomide and capecitabine in patients with advanced pancreatic neuroendocrine </w:t>
      </w:r>
      <w:proofErr w:type="spellStart"/>
      <w:r w:rsidRPr="004066B9">
        <w:t>tumors</w:t>
      </w:r>
      <w:proofErr w:type="spellEnd"/>
      <w:r w:rsidRPr="004066B9">
        <w:t>: A trial of the ECOG-ACRIN Cancer Research Group (E2211)', Journal of Clinical Oncology, vol. 36, no. 15.</w:t>
      </w:r>
    </w:p>
  </w:footnote>
  <w:footnote w:id="22">
    <w:p w14:paraId="422E3EB6" w14:textId="77777777" w:rsidR="009404C6" w:rsidRPr="00517103" w:rsidRDefault="009404C6" w:rsidP="000509B9">
      <w:pPr>
        <w:pStyle w:val="Tablenotes0"/>
      </w:pPr>
      <w:r>
        <w:rPr>
          <w:rStyle w:val="FootnoteReference"/>
        </w:rPr>
        <w:footnoteRef/>
      </w:r>
      <w:r>
        <w:t xml:space="preserve"> </w:t>
      </w:r>
      <w:proofErr w:type="spellStart"/>
      <w:r>
        <w:t>Morizane</w:t>
      </w:r>
      <w:proofErr w:type="spellEnd"/>
      <w:r>
        <w:t xml:space="preserve">, C, Machida, N, Honma, Y, </w:t>
      </w:r>
      <w:proofErr w:type="spellStart"/>
      <w:r>
        <w:t>Okusaka</w:t>
      </w:r>
      <w:proofErr w:type="spellEnd"/>
      <w:r>
        <w:t xml:space="preserve">, T, Boku, N, Kato, K, Nomura, S, Hiraoka, N, Sekine, S, Taniguchi, H, Okano, N, Yamaguchi, K, Sato, T, Ikeda, M, Mizuno, N, </w:t>
      </w:r>
      <w:proofErr w:type="spellStart"/>
      <w:r>
        <w:t>Ozaka</w:t>
      </w:r>
      <w:proofErr w:type="spellEnd"/>
      <w:r>
        <w:t xml:space="preserve">, M, Kataoka, T, Ueno, M, Kitagawa, Y, Terashima, M &amp; Furuse, J 2022, 'Effectiveness of Etoposide and Cisplatin vs Irinotecan and Cisplatin Therapy for Patients with Advanced Neuroendocrine Carcinoma of the Digestive System: The TOPIC-NEC Phase 3 Randomized Clinical Trial', </w:t>
      </w:r>
      <w:r>
        <w:rPr>
          <w:i/>
          <w:iCs/>
        </w:rPr>
        <w:t>JAMA Oncology</w:t>
      </w:r>
      <w:r>
        <w:t>, vol. 8, no. 10, pp. 1447-55.</w:t>
      </w:r>
    </w:p>
  </w:footnote>
  <w:footnote w:id="23">
    <w:p w14:paraId="032892B4" w14:textId="77777777" w:rsidR="009404C6" w:rsidRDefault="009404C6" w:rsidP="000509B9">
      <w:pPr>
        <w:pStyle w:val="Tablenotes0"/>
      </w:pPr>
      <w:r>
        <w:rPr>
          <w:rStyle w:val="FootnoteReference"/>
        </w:rPr>
        <w:footnoteRef/>
      </w:r>
      <w:r>
        <w:t xml:space="preserve"> Pavel, ME, Hainsworth, JD, Baudin, E, Peeters, M, Horsch, D, Winkler, RE, </w:t>
      </w:r>
      <w:proofErr w:type="spellStart"/>
      <w:r>
        <w:t>Klimovsky</w:t>
      </w:r>
      <w:proofErr w:type="spellEnd"/>
      <w:r>
        <w:t xml:space="preserve">, J, Lebwohl, D, Jehl, V, Wolin, EM, Oberg, K, Van </w:t>
      </w:r>
      <w:proofErr w:type="spellStart"/>
      <w:r>
        <w:t>Cutsem</w:t>
      </w:r>
      <w:proofErr w:type="spellEnd"/>
      <w:r>
        <w:t xml:space="preserve">, E &amp; Yao, JC 2011, 'Everolimus plus octreotide long-acting repeatable for the treatment of advanced neuroendocrine tumours associated with carcinoid syndrome (RADIANT-2): A randomised, placebo-controlled, phase 3 study', </w:t>
      </w:r>
      <w:r>
        <w:rPr>
          <w:i/>
          <w:iCs/>
        </w:rPr>
        <w:t>The Lancet</w:t>
      </w:r>
      <w:r>
        <w:t>, vol. 378, no. 9808, pp. 2005-12.</w:t>
      </w:r>
    </w:p>
  </w:footnote>
  <w:footnote w:id="24">
    <w:p w14:paraId="4690BAEA" w14:textId="77777777" w:rsidR="009404C6" w:rsidRDefault="009404C6" w:rsidP="000509B9">
      <w:pPr>
        <w:pStyle w:val="Tablenotes0"/>
      </w:pPr>
      <w:r>
        <w:rPr>
          <w:rStyle w:val="FootnoteReference"/>
        </w:rPr>
        <w:footnoteRef/>
      </w:r>
      <w:r>
        <w:t xml:space="preserve"> Eads, JR, Catalano, PJ, Fisher, GA, Rubin, D, </w:t>
      </w:r>
      <w:proofErr w:type="spellStart"/>
      <w:r>
        <w:t>Iagaru</w:t>
      </w:r>
      <w:proofErr w:type="spellEnd"/>
      <w:r>
        <w:t xml:space="preserve">, A, </w:t>
      </w:r>
      <w:proofErr w:type="spellStart"/>
      <w:r>
        <w:t>Klimstra</w:t>
      </w:r>
      <w:proofErr w:type="spellEnd"/>
      <w:r>
        <w:t xml:space="preserve">, DS, Konda, B, Kwong, MS, Chan, JA, De Jesus-Acosta, A, </w:t>
      </w:r>
      <w:proofErr w:type="spellStart"/>
      <w:r>
        <w:t>Halfdanarson</w:t>
      </w:r>
      <w:proofErr w:type="spellEnd"/>
      <w:r>
        <w:t xml:space="preserve">, TR, Shaib, WL, Soares, HP, Hong, SC, Wong, TZ &amp; O'Dwyer, PJ 2022, 'Randomized phase II study of platinum and etoposide (EP) versus temozolomide and capecitabine (CAPTEM) in patients (pts) with advanced G3 non-small cell </w:t>
      </w:r>
      <w:proofErr w:type="spellStart"/>
      <w:r>
        <w:t>gastroenteropancreatic</w:t>
      </w:r>
      <w:proofErr w:type="spellEnd"/>
      <w:r>
        <w:t xml:space="preserve"> neuroendocrine neoplasms (GEPNENs): ECOG-ACRIN EA2142', </w:t>
      </w:r>
      <w:r>
        <w:rPr>
          <w:i/>
          <w:iCs/>
        </w:rPr>
        <w:t>Journal of Clinical Oncology</w:t>
      </w:r>
      <w:r>
        <w:t>, vol. 40, no. 16.</w:t>
      </w:r>
    </w:p>
  </w:footnote>
  <w:footnote w:id="25">
    <w:p w14:paraId="395F6D57" w14:textId="77777777" w:rsidR="009404C6" w:rsidRDefault="009404C6" w:rsidP="000509B9">
      <w:pPr>
        <w:pStyle w:val="Tablenotes0"/>
      </w:pPr>
      <w:r>
        <w:rPr>
          <w:rStyle w:val="FootnoteReference"/>
        </w:rPr>
        <w:footnoteRef/>
      </w:r>
      <w:r>
        <w:t xml:space="preserve"> Lepage, C, </w:t>
      </w:r>
      <w:proofErr w:type="spellStart"/>
      <w:r>
        <w:t>Phelip</w:t>
      </w:r>
      <w:proofErr w:type="spellEnd"/>
      <w:r>
        <w:t xml:space="preserve">, JM, Lievre, A, Le </w:t>
      </w:r>
      <w:proofErr w:type="spellStart"/>
      <w:r>
        <w:t>Malicot</w:t>
      </w:r>
      <w:proofErr w:type="spellEnd"/>
      <w:r>
        <w:t xml:space="preserve">, K, </w:t>
      </w:r>
      <w:proofErr w:type="spellStart"/>
      <w:r>
        <w:t>Tougeron</w:t>
      </w:r>
      <w:proofErr w:type="spellEnd"/>
      <w:r>
        <w:t xml:space="preserve">, D, Dahan, L, </w:t>
      </w:r>
      <w:proofErr w:type="spellStart"/>
      <w:r>
        <w:t>Toumpanakis</w:t>
      </w:r>
      <w:proofErr w:type="spellEnd"/>
      <w:r>
        <w:t xml:space="preserve">, C, Di Fiore, F, </w:t>
      </w:r>
      <w:proofErr w:type="spellStart"/>
      <w:r>
        <w:t>Bohas</w:t>
      </w:r>
      <w:proofErr w:type="spellEnd"/>
      <w:r>
        <w:t xml:space="preserve">, CL &amp; </w:t>
      </w:r>
      <w:proofErr w:type="spellStart"/>
      <w:r>
        <w:t>Borbath</w:t>
      </w:r>
      <w:proofErr w:type="spellEnd"/>
      <w:r>
        <w:t>, I 'Lanreotide as maintenance therapy after first-line treatment in patients with non-</w:t>
      </w:r>
      <w:proofErr w:type="spellStart"/>
      <w:r>
        <w:t>resectable</w:t>
      </w:r>
      <w:proofErr w:type="spellEnd"/>
      <w:r>
        <w:t xml:space="preserve"> </w:t>
      </w:r>
      <w:proofErr w:type="spellStart"/>
      <w:r>
        <w:t>duodeno</w:t>
      </w:r>
      <w:proofErr w:type="spellEnd"/>
      <w:r>
        <w:t>-pancreatic neuroendocrine tumours (NETs): an international double-blind, placebo-controlled randomized phase II trial', in vol. 31, pp. S774-S.</w:t>
      </w:r>
    </w:p>
  </w:footnote>
  <w:footnote w:id="26">
    <w:p w14:paraId="1CF27448" w14:textId="77777777" w:rsidR="009404C6" w:rsidRDefault="009404C6" w:rsidP="000509B9">
      <w:pPr>
        <w:pStyle w:val="Tablenotes0"/>
      </w:pPr>
      <w:r>
        <w:rPr>
          <w:rStyle w:val="FootnoteReference"/>
        </w:rPr>
        <w:footnoteRef/>
      </w:r>
      <w:r>
        <w:t xml:space="preserve"> Yao, JC, Shah, MH, Ito, T, </w:t>
      </w:r>
      <w:proofErr w:type="spellStart"/>
      <w:r>
        <w:t>Bohas</w:t>
      </w:r>
      <w:proofErr w:type="spellEnd"/>
      <w:r>
        <w:t xml:space="preserve">, CL, Wolin, EM, Van </w:t>
      </w:r>
      <w:proofErr w:type="spellStart"/>
      <w:r>
        <w:t>Cutsem</w:t>
      </w:r>
      <w:proofErr w:type="spellEnd"/>
      <w:r>
        <w:t xml:space="preserve">, E, Hobday, TJ, </w:t>
      </w:r>
      <w:proofErr w:type="spellStart"/>
      <w:r>
        <w:t>Okusaka</w:t>
      </w:r>
      <w:proofErr w:type="spellEnd"/>
      <w:r>
        <w:t xml:space="preserve">, T, Capdevila, J &amp; De Vries, EGE 2011, 'Everolimus for advanced pancreatic neuroendocrine </w:t>
      </w:r>
      <w:proofErr w:type="spellStart"/>
      <w:r>
        <w:t>tumors</w:t>
      </w:r>
      <w:proofErr w:type="spellEnd"/>
      <w:r>
        <w:t xml:space="preserve">', </w:t>
      </w:r>
      <w:r>
        <w:rPr>
          <w:i/>
          <w:iCs/>
        </w:rPr>
        <w:t>New England Journal of Medicine</w:t>
      </w:r>
      <w:r>
        <w:t>, vol. 364, no. 6, pp. 514-23.</w:t>
      </w:r>
    </w:p>
  </w:footnote>
  <w:footnote w:id="27">
    <w:p w14:paraId="1C63A12F" w14:textId="77777777" w:rsidR="009404C6" w:rsidRPr="00092ECB" w:rsidRDefault="009404C6" w:rsidP="000509B9">
      <w:pPr>
        <w:pStyle w:val="Tablenotes0"/>
      </w:pPr>
      <w:r w:rsidRPr="00092ECB">
        <w:rPr>
          <w:rStyle w:val="FootnoteReference"/>
          <w:vertAlign w:val="baseline"/>
        </w:rPr>
        <w:footnoteRef/>
      </w:r>
      <w:r w:rsidRPr="00092ECB">
        <w:t xml:space="preserve"> Yao, JC, Fazio, N, Singh, S, </w:t>
      </w:r>
      <w:proofErr w:type="spellStart"/>
      <w:r w:rsidRPr="00092ECB">
        <w:t>Buzzoni</w:t>
      </w:r>
      <w:proofErr w:type="spellEnd"/>
      <w:r w:rsidRPr="00092ECB">
        <w:t xml:space="preserve">, R, Carnaghi, C, Wolin, E, Tomasek, J, </w:t>
      </w:r>
      <w:proofErr w:type="spellStart"/>
      <w:r w:rsidRPr="00092ECB">
        <w:t>Raderer</w:t>
      </w:r>
      <w:proofErr w:type="spellEnd"/>
      <w:r w:rsidRPr="00092ECB">
        <w:t>, M, Lahner, H &amp; Voi, M 2016, 'Everolimus for the treatment of advanced, non-functional neuroendocrine tumours of the lung or gastrointestinal tract (RADIANT-4): a randomised, placebo-controlled, phase 3 study', The Lancet, vol. 387, no. 10022, pp. 968-77.</w:t>
      </w:r>
    </w:p>
  </w:footnote>
  <w:footnote w:id="28">
    <w:p w14:paraId="352B564D" w14:textId="77777777" w:rsidR="009404C6" w:rsidRPr="00092ECB" w:rsidRDefault="009404C6" w:rsidP="000509B9">
      <w:pPr>
        <w:pStyle w:val="Tablenotes0"/>
      </w:pPr>
      <w:r w:rsidRPr="00092ECB">
        <w:rPr>
          <w:rStyle w:val="FootnoteReference"/>
          <w:vertAlign w:val="baseline"/>
        </w:rPr>
        <w:footnoteRef/>
      </w:r>
      <w:r w:rsidRPr="00092ECB">
        <w:t xml:space="preserve"> Meyer, T, Qian, W, Caplin, ME, Armstrong, G, Lao-Sirieix, SH, Hardy, R, Valle, JW, Talbot, DC, Cunningham, D, Reed, N, Shaw, A, </w:t>
      </w:r>
      <w:proofErr w:type="spellStart"/>
      <w:r w:rsidRPr="00092ECB">
        <w:t>Navalkissoor</w:t>
      </w:r>
      <w:proofErr w:type="spellEnd"/>
      <w:r w:rsidRPr="00092ECB">
        <w:t xml:space="preserve">, S, Luong, TV &amp; Corrie, PG 2014, 'Capecitabine and </w:t>
      </w:r>
      <w:proofErr w:type="spellStart"/>
      <w:r w:rsidRPr="00092ECB">
        <w:t>streptozocin</w:t>
      </w:r>
      <w:proofErr w:type="spellEnd"/>
      <w:r w:rsidRPr="00092ECB">
        <w:t xml:space="preserve"> +/- cisplatin in advanced </w:t>
      </w:r>
      <w:proofErr w:type="spellStart"/>
      <w:r w:rsidRPr="00092ECB">
        <w:t>gastroenteropancreatic</w:t>
      </w:r>
      <w:proofErr w:type="spellEnd"/>
      <w:r w:rsidRPr="00092ECB">
        <w:t xml:space="preserve"> neuroendocrine tumours', European Journal of Cancer, vol. 50, no. 5, pp. 902-11.</w:t>
      </w:r>
    </w:p>
  </w:footnote>
  <w:footnote w:id="29">
    <w:p w14:paraId="5A9A93B9" w14:textId="77777777" w:rsidR="009404C6" w:rsidRPr="005E2913" w:rsidRDefault="009404C6" w:rsidP="000509B9">
      <w:pPr>
        <w:pStyle w:val="Tablenotes0"/>
      </w:pPr>
      <w:r w:rsidRPr="005E2913">
        <w:rPr>
          <w:rStyle w:val="FootnoteReference"/>
          <w:vertAlign w:val="baseline"/>
        </w:rPr>
        <w:footnoteRef/>
      </w:r>
      <w:r w:rsidRPr="005E2913">
        <w:t xml:space="preserve"> ClinicalTrials.gov 2022, Efficacy and Safety of Lanreotide </w:t>
      </w:r>
      <w:proofErr w:type="spellStart"/>
      <w:r w:rsidRPr="005E2913">
        <w:t>Autogel</w:t>
      </w:r>
      <w:proofErr w:type="spellEnd"/>
      <w:r w:rsidRPr="005E2913">
        <w:t xml:space="preserve">/ Depot 120 mg vs. Placebo in Subjects </w:t>
      </w:r>
      <w:proofErr w:type="gramStart"/>
      <w:r w:rsidRPr="005E2913">
        <w:t>With</w:t>
      </w:r>
      <w:proofErr w:type="gramEnd"/>
      <w:r w:rsidRPr="005E2913">
        <w:t xml:space="preserve"> Lung Neuroendocrine Tumours, https://classic.clinicaltrials.gov/show/NCT02683941.</w:t>
      </w:r>
    </w:p>
  </w:footnote>
  <w:footnote w:id="30">
    <w:p w14:paraId="7722128B" w14:textId="77777777" w:rsidR="009404C6" w:rsidRPr="005E2913" w:rsidRDefault="009404C6" w:rsidP="000509B9">
      <w:pPr>
        <w:pStyle w:val="Tablenotes0"/>
      </w:pPr>
      <w:r w:rsidRPr="005E2913">
        <w:rPr>
          <w:rStyle w:val="FootnoteReference"/>
          <w:vertAlign w:val="baseline"/>
        </w:rPr>
        <w:footnoteRef/>
      </w:r>
      <w:r w:rsidRPr="005E2913">
        <w:t xml:space="preserve"> Raymond, E, Dahan, L, Raoul, J-L, Bang, Y-J, </w:t>
      </w:r>
      <w:proofErr w:type="spellStart"/>
      <w:r w:rsidRPr="005E2913">
        <w:t>Borbath</w:t>
      </w:r>
      <w:proofErr w:type="spellEnd"/>
      <w:r w:rsidRPr="005E2913">
        <w:t>, I, Lombard-</w:t>
      </w:r>
      <w:proofErr w:type="spellStart"/>
      <w:r w:rsidRPr="005E2913">
        <w:t>Bohas</w:t>
      </w:r>
      <w:proofErr w:type="spellEnd"/>
      <w:r w:rsidRPr="005E2913">
        <w:t xml:space="preserve">, C, Valle, J, </w:t>
      </w:r>
      <w:proofErr w:type="spellStart"/>
      <w:r w:rsidRPr="005E2913">
        <w:t>Metrakos</w:t>
      </w:r>
      <w:proofErr w:type="spellEnd"/>
      <w:r w:rsidRPr="005E2913">
        <w:t xml:space="preserve">, P, Smith, D &amp; Vinik, A 2011, 'Sunitinib malate for the treatment of pancreatic neuroendocrine </w:t>
      </w:r>
      <w:proofErr w:type="spellStart"/>
      <w:r w:rsidRPr="005E2913">
        <w:t>tumors</w:t>
      </w:r>
      <w:proofErr w:type="spellEnd"/>
      <w:r w:rsidRPr="005E2913">
        <w:t>', New England Journal of Medicine, vol. 364, no. 6, pp. 501-13.</w:t>
      </w:r>
    </w:p>
  </w:footnote>
  <w:footnote w:id="31">
    <w:p w14:paraId="48304C43" w14:textId="73D44FAB" w:rsidR="009404C6" w:rsidRDefault="009404C6">
      <w:pPr>
        <w:pStyle w:val="FootnoteText"/>
      </w:pPr>
      <w:r>
        <w:rPr>
          <w:rStyle w:val="FootnoteReference"/>
        </w:rPr>
        <w:footnoteRef/>
      </w:r>
      <w:r>
        <w:t xml:space="preserve"> </w:t>
      </w:r>
      <w:proofErr w:type="spellStart"/>
      <w:r w:rsidRPr="00EF2D54">
        <w:rPr>
          <w:rFonts w:ascii="Arial Narrow" w:hAnsi="Arial Narrow"/>
        </w:rPr>
        <w:t>Strosberg</w:t>
      </w:r>
      <w:proofErr w:type="spellEnd"/>
      <w:r w:rsidRPr="00EF2D54">
        <w:rPr>
          <w:rFonts w:ascii="Arial Narrow" w:hAnsi="Arial Narrow"/>
        </w:rPr>
        <w:t xml:space="preserve">, J, El-Haddad, G, Wolin, </w:t>
      </w:r>
      <w:r>
        <w:rPr>
          <w:rFonts w:ascii="Arial Narrow" w:hAnsi="Arial Narrow"/>
        </w:rPr>
        <w:t>et al.</w:t>
      </w:r>
      <w:r w:rsidRPr="00EF2D54">
        <w:rPr>
          <w:rFonts w:ascii="Arial Narrow" w:hAnsi="Arial Narrow"/>
        </w:rPr>
        <w:t xml:space="preserve"> N-T 2017, 'Phase 3 Trial of (</w:t>
      </w:r>
      <w:proofErr w:type="gramStart"/>
      <w:r w:rsidRPr="00EF2D54">
        <w:rPr>
          <w:rFonts w:ascii="Arial Narrow" w:hAnsi="Arial Narrow"/>
        </w:rPr>
        <w:t>177)Lu</w:t>
      </w:r>
      <w:proofErr w:type="gramEnd"/>
      <w:r w:rsidRPr="00EF2D54">
        <w:rPr>
          <w:rFonts w:ascii="Arial Narrow" w:hAnsi="Arial Narrow"/>
        </w:rPr>
        <w:t>-</w:t>
      </w:r>
      <w:proofErr w:type="spellStart"/>
      <w:r w:rsidRPr="00EF2D54">
        <w:rPr>
          <w:rFonts w:ascii="Arial Narrow" w:hAnsi="Arial Narrow"/>
        </w:rPr>
        <w:t>Dotatate</w:t>
      </w:r>
      <w:proofErr w:type="spellEnd"/>
      <w:r w:rsidRPr="00EF2D54">
        <w:rPr>
          <w:rFonts w:ascii="Arial Narrow" w:hAnsi="Arial Narrow"/>
        </w:rPr>
        <w:t xml:space="preserve"> for Midgut Neuroendocrine </w:t>
      </w:r>
      <w:proofErr w:type="spellStart"/>
      <w:r w:rsidRPr="00EF2D54">
        <w:rPr>
          <w:rFonts w:ascii="Arial Narrow" w:hAnsi="Arial Narrow"/>
        </w:rPr>
        <w:t>Tumors</w:t>
      </w:r>
      <w:proofErr w:type="spellEnd"/>
      <w:r w:rsidRPr="00EF2D54">
        <w:rPr>
          <w:rFonts w:ascii="Arial Narrow" w:hAnsi="Arial Narrow"/>
        </w:rPr>
        <w:t>', N Engl J Med, vol. 376, no. 2, pp. 125-35.</w:t>
      </w:r>
    </w:p>
  </w:footnote>
  <w:footnote w:id="32">
    <w:p w14:paraId="4B2A1C17" w14:textId="503A12E2" w:rsidR="009404C6" w:rsidRPr="001053EF" w:rsidRDefault="009404C6">
      <w:pPr>
        <w:pStyle w:val="FootnoteText"/>
        <w:rPr>
          <w:lang w:val="en-US"/>
        </w:rPr>
      </w:pPr>
      <w:r w:rsidRPr="001053EF">
        <w:rPr>
          <w:rFonts w:ascii="Arial Narrow" w:hAnsi="Arial Narrow" w:cs="Arial"/>
          <w:szCs w:val="22"/>
        </w:rPr>
        <w:footnoteRef/>
      </w:r>
      <w:r w:rsidRPr="001053EF">
        <w:rPr>
          <w:rFonts w:ascii="Arial Narrow" w:hAnsi="Arial Narrow" w:cs="Arial"/>
          <w:szCs w:val="22"/>
        </w:rPr>
        <w:t xml:space="preserve"> Sood A, Aggarwal P, Satapathy S, et al. PP047 Concomitant 177Lu-DOTATATE and low dose capecitabine versus 177Lu-DOTATATE alone in patients with advanced well-differentiated </w:t>
      </w:r>
      <w:proofErr w:type="spellStart"/>
      <w:r w:rsidRPr="001053EF">
        <w:rPr>
          <w:rFonts w:ascii="Arial Narrow" w:hAnsi="Arial Narrow" w:cs="Arial"/>
          <w:szCs w:val="22"/>
        </w:rPr>
        <w:t>gastroenteropancreatic</w:t>
      </w:r>
      <w:proofErr w:type="spellEnd"/>
      <w:r w:rsidRPr="001053EF">
        <w:rPr>
          <w:rFonts w:ascii="Arial Narrow" w:hAnsi="Arial Narrow" w:cs="Arial"/>
          <w:szCs w:val="22"/>
        </w:rPr>
        <w:t xml:space="preserve"> neuroendocrine tumours–a randomized controlled trial. ESMO Open 2023;8(1)</w:t>
      </w:r>
    </w:p>
  </w:footnote>
  <w:footnote w:id="33">
    <w:p w14:paraId="7168D335" w14:textId="6D46AB09" w:rsidR="009404C6" w:rsidRDefault="009404C6" w:rsidP="00FB2E7A">
      <w:pPr>
        <w:pStyle w:val="Tablenotes0"/>
      </w:pPr>
      <w:r>
        <w:rPr>
          <w:rStyle w:val="FootnoteReference"/>
        </w:rPr>
        <w:footnoteRef/>
      </w:r>
      <w:r>
        <w:t xml:space="preserve"> NICE 2018, National Institute for Health and Care Excellence. Multiple Technology Appraisal. Lutetium (177Lu) </w:t>
      </w:r>
      <w:proofErr w:type="spellStart"/>
      <w:r>
        <w:t>oxodotreotide</w:t>
      </w:r>
      <w:proofErr w:type="spellEnd"/>
      <w:r>
        <w:t xml:space="preserve"> for treating unresectable or metastatic neuroendocrine tumours [ID1224]: Committee Papers.</w:t>
      </w:r>
    </w:p>
  </w:footnote>
  <w:footnote w:id="34">
    <w:p w14:paraId="19DF2BC5" w14:textId="77777777" w:rsidR="000B228E" w:rsidRDefault="000B228E" w:rsidP="000B228E">
      <w:pPr>
        <w:pStyle w:val="FootnoteText"/>
      </w:pPr>
      <w:r>
        <w:rPr>
          <w:rStyle w:val="FootnoteReference"/>
        </w:rPr>
        <w:footnoteRef/>
      </w:r>
      <w:r>
        <w:t xml:space="preserve"> </w:t>
      </w:r>
      <w:r w:rsidRPr="00617224">
        <w:t xml:space="preserve">  Pavel, M, Oberg, K, Falconi, M, Krenning, EP, Sundin, A, Perren, A, </w:t>
      </w:r>
      <w:proofErr w:type="spellStart"/>
      <w:r w:rsidRPr="00617224">
        <w:t>Berruti</w:t>
      </w:r>
      <w:proofErr w:type="spellEnd"/>
      <w:r w:rsidRPr="00617224">
        <w:t xml:space="preserve">, A &amp; clinicalguidelines@esmo.org, </w:t>
      </w:r>
      <w:proofErr w:type="spellStart"/>
      <w:r w:rsidRPr="00617224">
        <w:t>EGCEa</w:t>
      </w:r>
      <w:proofErr w:type="spellEnd"/>
      <w:r w:rsidRPr="00617224">
        <w:t xml:space="preserve"> 2020, '</w:t>
      </w:r>
      <w:proofErr w:type="spellStart"/>
      <w:r w:rsidRPr="00617224">
        <w:t>Gastroenteropancreatic</w:t>
      </w:r>
      <w:proofErr w:type="spellEnd"/>
      <w:r w:rsidRPr="00617224">
        <w:t xml:space="preserve"> neuroendocrine neoplasms: ESMO Clinical Practice Guidelines for diagnosis, treatment and follow-up', Ann Oncol, vol. 31, no. 7, pp. 844-60.</w:t>
      </w:r>
    </w:p>
  </w:footnote>
  <w:footnote w:id="35">
    <w:p w14:paraId="219EDF2A" w14:textId="77777777" w:rsidR="000B228E" w:rsidRDefault="000B228E" w:rsidP="000B228E">
      <w:pPr>
        <w:pStyle w:val="FootnoteText"/>
      </w:pPr>
      <w:r>
        <w:rPr>
          <w:rStyle w:val="FootnoteReference"/>
        </w:rPr>
        <w:footnoteRef/>
      </w:r>
      <w:r>
        <w:t xml:space="preserve"> </w:t>
      </w:r>
      <w:r w:rsidRPr="00160C4C">
        <w:t xml:space="preserve">Zhang J, Liu Q, Singh A, Schuchardt C, Kulkarni HR, Baum RP. Prognostic Value of 18F-FDG PET/CT in a Large Cohort of Patients with Advanced Metastatic Neuroendocrine Neoplasms Treated with Peptide Receptor Radionuclide Therapy. J </w:t>
      </w:r>
      <w:proofErr w:type="spellStart"/>
      <w:r w:rsidRPr="00160C4C">
        <w:t>Nucl</w:t>
      </w:r>
      <w:proofErr w:type="spellEnd"/>
      <w:r w:rsidRPr="00160C4C">
        <w:t xml:space="preserve"> Med. 2020 Nov;61(11):1560-1569. </w:t>
      </w:r>
      <w:proofErr w:type="spellStart"/>
      <w:r w:rsidRPr="00160C4C">
        <w:t>doi</w:t>
      </w:r>
      <w:proofErr w:type="spellEnd"/>
      <w:r w:rsidRPr="00160C4C">
        <w:t xml:space="preserve">: 10.2967/jnumed.119.241414. </w:t>
      </w:r>
      <w:proofErr w:type="spellStart"/>
      <w:r w:rsidRPr="00160C4C">
        <w:t>Epub</w:t>
      </w:r>
      <w:proofErr w:type="spellEnd"/>
      <w:r w:rsidRPr="00160C4C">
        <w:t xml:space="preserve"> 2020 Mar 13. PMID: 32169914</w:t>
      </w:r>
      <w:r>
        <w:t>.</w:t>
      </w:r>
    </w:p>
  </w:footnote>
  <w:footnote w:id="36">
    <w:p w14:paraId="66E40361" w14:textId="77777777" w:rsidR="000B228E" w:rsidRDefault="000B228E" w:rsidP="000B228E">
      <w:pPr>
        <w:pStyle w:val="FootnoteText"/>
      </w:pPr>
      <w:r>
        <w:rPr>
          <w:rStyle w:val="FootnoteReference"/>
        </w:rPr>
        <w:footnoteRef/>
      </w:r>
      <w:r>
        <w:t xml:space="preserve"> </w:t>
      </w:r>
      <w:proofErr w:type="spellStart"/>
      <w:r w:rsidRPr="00A6071D">
        <w:t>Sitani</w:t>
      </w:r>
      <w:proofErr w:type="spellEnd"/>
      <w:r w:rsidRPr="00A6071D">
        <w:t xml:space="preserve"> K, </w:t>
      </w:r>
      <w:proofErr w:type="spellStart"/>
      <w:r w:rsidRPr="00A6071D">
        <w:t>Parghane</w:t>
      </w:r>
      <w:proofErr w:type="spellEnd"/>
      <w:r w:rsidRPr="00A6071D">
        <w:t xml:space="preserve"> RV, </w:t>
      </w:r>
      <w:proofErr w:type="spellStart"/>
      <w:r w:rsidRPr="00A6071D">
        <w:t>Talole</w:t>
      </w:r>
      <w:proofErr w:type="spellEnd"/>
      <w:r w:rsidRPr="00A6071D">
        <w:t xml:space="preserve"> S, Basu S. Long-term outcome of indigenous 177Lu-DOTATATE PRRT in patients with Metastatic Advanced Neuroendocrine Tumours: a single institutional observation in a large tertiary care setting. Br J </w:t>
      </w:r>
      <w:proofErr w:type="spellStart"/>
      <w:r w:rsidRPr="00A6071D">
        <w:t>Radiol</w:t>
      </w:r>
      <w:proofErr w:type="spellEnd"/>
      <w:r w:rsidRPr="00A6071D">
        <w:t xml:space="preserve">. 2021 Jan 1;94(1117):20201041. </w:t>
      </w:r>
      <w:proofErr w:type="spellStart"/>
      <w:r w:rsidRPr="00A6071D">
        <w:t>doi</w:t>
      </w:r>
      <w:proofErr w:type="spellEnd"/>
      <w:r w:rsidRPr="00A6071D">
        <w:t xml:space="preserve">: 10.1259/bjr.20201041. </w:t>
      </w:r>
      <w:proofErr w:type="spellStart"/>
      <w:r w:rsidRPr="00A6071D">
        <w:t>Epub</w:t>
      </w:r>
      <w:proofErr w:type="spellEnd"/>
      <w:r w:rsidRPr="00A6071D">
        <w:t xml:space="preserve"> 2020 Oct 29. PMID: 33095671; PMCID: PMC7774689.</w:t>
      </w:r>
    </w:p>
  </w:footnote>
  <w:footnote w:id="37">
    <w:p w14:paraId="5462981F" w14:textId="77777777" w:rsidR="000B228E" w:rsidRDefault="000B228E" w:rsidP="000B228E">
      <w:pPr>
        <w:pStyle w:val="FootnoteText"/>
      </w:pPr>
      <w:r>
        <w:rPr>
          <w:rStyle w:val="FootnoteReference"/>
        </w:rPr>
        <w:footnoteRef/>
      </w:r>
      <w:r>
        <w:t xml:space="preserve"> </w:t>
      </w:r>
      <w:proofErr w:type="spellStart"/>
      <w:r w:rsidRPr="00994611">
        <w:rPr>
          <w:rFonts w:cstheme="minorHAnsi"/>
          <w:color w:val="333333"/>
          <w:szCs w:val="18"/>
          <w:shd w:val="clear" w:color="auto" w:fill="FFFFFF"/>
        </w:rPr>
        <w:t>Strosberg</w:t>
      </w:r>
      <w:proofErr w:type="spellEnd"/>
      <w:r w:rsidRPr="00994611">
        <w:rPr>
          <w:rFonts w:cstheme="minorHAnsi"/>
          <w:color w:val="333333"/>
          <w:szCs w:val="18"/>
          <w:shd w:val="clear" w:color="auto" w:fill="FFFFFF"/>
        </w:rPr>
        <w:t xml:space="preserve">, J., El-Haddad, G., Wolin, E., </w:t>
      </w:r>
      <w:proofErr w:type="spellStart"/>
      <w:r w:rsidRPr="00994611">
        <w:rPr>
          <w:rFonts w:cstheme="minorHAnsi"/>
          <w:color w:val="333333"/>
          <w:szCs w:val="18"/>
          <w:shd w:val="clear" w:color="auto" w:fill="FFFFFF"/>
        </w:rPr>
        <w:t>Hendifar</w:t>
      </w:r>
      <w:proofErr w:type="spellEnd"/>
      <w:r w:rsidRPr="00994611">
        <w:rPr>
          <w:rFonts w:cstheme="minorHAnsi"/>
          <w:color w:val="333333"/>
          <w:szCs w:val="18"/>
          <w:shd w:val="clear" w:color="auto" w:fill="FFFFFF"/>
        </w:rPr>
        <w:t xml:space="preserve">, A., Yao, J., Chasen, B., Mittra, E., Kunz, P. L., Kulke, M. H., </w:t>
      </w:r>
      <w:proofErr w:type="spellStart"/>
      <w:r w:rsidRPr="00994611">
        <w:rPr>
          <w:rFonts w:cstheme="minorHAnsi"/>
          <w:color w:val="333333"/>
          <w:szCs w:val="18"/>
          <w:shd w:val="clear" w:color="auto" w:fill="FFFFFF"/>
        </w:rPr>
        <w:t>Jacene</w:t>
      </w:r>
      <w:proofErr w:type="spellEnd"/>
      <w:r w:rsidRPr="00994611">
        <w:rPr>
          <w:rFonts w:cstheme="minorHAnsi"/>
          <w:color w:val="333333"/>
          <w:szCs w:val="18"/>
          <w:shd w:val="clear" w:color="auto" w:fill="FFFFFF"/>
        </w:rPr>
        <w:t xml:space="preserve">, H., Bushnell, D., </w:t>
      </w:r>
      <w:proofErr w:type="spellStart"/>
      <w:r w:rsidRPr="00994611">
        <w:rPr>
          <w:rFonts w:cstheme="minorHAnsi"/>
          <w:color w:val="333333"/>
          <w:szCs w:val="18"/>
          <w:shd w:val="clear" w:color="auto" w:fill="FFFFFF"/>
        </w:rPr>
        <w:t>O’Dorisio</w:t>
      </w:r>
      <w:proofErr w:type="spellEnd"/>
      <w:r w:rsidRPr="00994611">
        <w:rPr>
          <w:rFonts w:cstheme="minorHAnsi"/>
          <w:color w:val="333333"/>
          <w:szCs w:val="18"/>
          <w:shd w:val="clear" w:color="auto" w:fill="FFFFFF"/>
        </w:rPr>
        <w:t xml:space="preserve">, T. M., Baum, R. P., Kulkarni, H. R., Caplin, M., Lebtahi, R., Hobday, T., </w:t>
      </w:r>
      <w:proofErr w:type="spellStart"/>
      <w:r w:rsidRPr="00994611">
        <w:rPr>
          <w:rFonts w:cstheme="minorHAnsi"/>
          <w:color w:val="333333"/>
          <w:szCs w:val="18"/>
          <w:shd w:val="clear" w:color="auto" w:fill="FFFFFF"/>
        </w:rPr>
        <w:t>Delpassand</w:t>
      </w:r>
      <w:proofErr w:type="spellEnd"/>
      <w:r w:rsidRPr="00994611">
        <w:rPr>
          <w:rFonts w:cstheme="minorHAnsi"/>
          <w:color w:val="333333"/>
          <w:szCs w:val="18"/>
          <w:shd w:val="clear" w:color="auto" w:fill="FFFFFF"/>
        </w:rPr>
        <w:t xml:space="preserve">, E., Van </w:t>
      </w:r>
      <w:proofErr w:type="spellStart"/>
      <w:r w:rsidRPr="00994611">
        <w:rPr>
          <w:rFonts w:cstheme="minorHAnsi"/>
          <w:color w:val="333333"/>
          <w:szCs w:val="18"/>
          <w:shd w:val="clear" w:color="auto" w:fill="FFFFFF"/>
        </w:rPr>
        <w:t>Cutsem</w:t>
      </w:r>
      <w:proofErr w:type="spellEnd"/>
      <w:r w:rsidRPr="00994611">
        <w:rPr>
          <w:rFonts w:cstheme="minorHAnsi"/>
          <w:color w:val="333333"/>
          <w:szCs w:val="18"/>
          <w:shd w:val="clear" w:color="auto" w:fill="FFFFFF"/>
        </w:rPr>
        <w:t xml:space="preserve">, E., … Krenning, E. (2017). Phase 3 Trial of 177Lu-Dotatate for Midgut Neuroendocrine </w:t>
      </w:r>
      <w:proofErr w:type="spellStart"/>
      <w:r w:rsidRPr="00994611">
        <w:rPr>
          <w:rFonts w:cstheme="minorHAnsi"/>
          <w:color w:val="333333"/>
          <w:szCs w:val="18"/>
          <w:shd w:val="clear" w:color="auto" w:fill="FFFFFF"/>
        </w:rPr>
        <w:t>Tumors</w:t>
      </w:r>
      <w:proofErr w:type="spellEnd"/>
      <w:r w:rsidRPr="00994611">
        <w:rPr>
          <w:rFonts w:cstheme="minorHAnsi"/>
          <w:color w:val="333333"/>
          <w:szCs w:val="18"/>
          <w:shd w:val="clear" w:color="auto" w:fill="FFFFFF"/>
        </w:rPr>
        <w:t>. </w:t>
      </w:r>
      <w:r w:rsidRPr="00994611">
        <w:rPr>
          <w:rFonts w:cstheme="minorHAnsi"/>
          <w:i/>
          <w:iCs/>
          <w:color w:val="333333"/>
          <w:szCs w:val="18"/>
          <w:shd w:val="clear" w:color="auto" w:fill="FFFFFF"/>
        </w:rPr>
        <w:t>The New England Journal of Medicine</w:t>
      </w:r>
      <w:r w:rsidRPr="00994611">
        <w:rPr>
          <w:rFonts w:cstheme="minorHAnsi"/>
          <w:color w:val="333333"/>
          <w:szCs w:val="18"/>
          <w:shd w:val="clear" w:color="auto" w:fill="FFFFFF"/>
        </w:rPr>
        <w:t>, </w:t>
      </w:r>
      <w:r w:rsidRPr="00994611">
        <w:rPr>
          <w:rFonts w:cstheme="minorHAnsi"/>
          <w:i/>
          <w:iCs/>
          <w:color w:val="333333"/>
          <w:szCs w:val="18"/>
          <w:shd w:val="clear" w:color="auto" w:fill="FFFFFF"/>
        </w:rPr>
        <w:t>376</w:t>
      </w:r>
      <w:r w:rsidRPr="00994611">
        <w:rPr>
          <w:rFonts w:cstheme="minorHAnsi"/>
          <w:color w:val="333333"/>
          <w:szCs w:val="18"/>
          <w:shd w:val="clear" w:color="auto" w:fill="FFFFFF"/>
        </w:rPr>
        <w:t>(2), 125–135.</w:t>
      </w:r>
    </w:p>
  </w:footnote>
  <w:footnote w:id="38">
    <w:p w14:paraId="6572CF13" w14:textId="77777777" w:rsidR="000B228E" w:rsidRDefault="000B228E" w:rsidP="000B228E">
      <w:pPr>
        <w:pStyle w:val="FootnoteText"/>
      </w:pPr>
      <w:r>
        <w:rPr>
          <w:rStyle w:val="FootnoteReference"/>
        </w:rPr>
        <w:footnoteRef/>
      </w:r>
      <w:r>
        <w:t xml:space="preserve"> </w:t>
      </w:r>
      <w:r w:rsidRPr="00994611">
        <w:rPr>
          <w:rFonts w:cstheme="minorHAnsi"/>
          <w:color w:val="333333"/>
          <w:szCs w:val="18"/>
          <w:shd w:val="clear" w:color="auto" w:fill="FFFFFF"/>
        </w:rPr>
        <w:t xml:space="preserve">Sood, A., Aggarwal, P., Satapathy, S., Chandekar, K. R., Das, C. K., Kumar, A., Gupta, R., &amp; Mittal, B. R. (2023). PP047 Concomitant 177Lu-DOTATATE and low dose capecitabine versus 177Lu-DOTATATE alone in patients with advanced well-differentiated </w:t>
      </w:r>
      <w:proofErr w:type="spellStart"/>
      <w:r w:rsidRPr="00994611">
        <w:rPr>
          <w:rFonts w:cstheme="minorHAnsi"/>
          <w:color w:val="333333"/>
          <w:szCs w:val="18"/>
          <w:shd w:val="clear" w:color="auto" w:fill="FFFFFF"/>
        </w:rPr>
        <w:t>gastroenteropancreatic</w:t>
      </w:r>
      <w:proofErr w:type="spellEnd"/>
      <w:r w:rsidRPr="00994611">
        <w:rPr>
          <w:rFonts w:cstheme="minorHAnsi"/>
          <w:color w:val="333333"/>
          <w:szCs w:val="18"/>
          <w:shd w:val="clear" w:color="auto" w:fill="FFFFFF"/>
        </w:rPr>
        <w:t xml:space="preserve"> neuroendocrine tumours – a randomized controlled trial. </w:t>
      </w:r>
      <w:r w:rsidRPr="00994611">
        <w:rPr>
          <w:rFonts w:cstheme="minorHAnsi"/>
          <w:i/>
          <w:iCs/>
          <w:color w:val="333333"/>
          <w:szCs w:val="18"/>
          <w:shd w:val="clear" w:color="auto" w:fill="FFFFFF"/>
        </w:rPr>
        <w:t>ESMO Open</w:t>
      </w:r>
      <w:r w:rsidRPr="00994611">
        <w:rPr>
          <w:rFonts w:cstheme="minorHAnsi"/>
          <w:color w:val="333333"/>
          <w:szCs w:val="18"/>
          <w:shd w:val="clear" w:color="auto" w:fill="FFFFFF"/>
        </w:rPr>
        <w:t>, </w:t>
      </w:r>
      <w:r w:rsidRPr="00994611">
        <w:rPr>
          <w:rFonts w:cstheme="minorHAnsi"/>
          <w:i/>
          <w:iCs/>
          <w:color w:val="333333"/>
          <w:szCs w:val="18"/>
          <w:shd w:val="clear" w:color="auto" w:fill="FFFFFF"/>
        </w:rPr>
        <w:t>8</w:t>
      </w:r>
      <w:r w:rsidRPr="00994611">
        <w:rPr>
          <w:rFonts w:cstheme="minorHAnsi"/>
          <w:color w:val="333333"/>
          <w:szCs w:val="18"/>
          <w:shd w:val="clear" w:color="auto" w:fill="FFFFFF"/>
        </w:rPr>
        <w:t>(1), 102138.</w:t>
      </w:r>
    </w:p>
  </w:footnote>
  <w:footnote w:id="39">
    <w:p w14:paraId="007F08BD" w14:textId="77777777" w:rsidR="000B228E" w:rsidRDefault="000B228E" w:rsidP="000B228E">
      <w:pPr>
        <w:pStyle w:val="FootnoteText"/>
      </w:pPr>
      <w:r>
        <w:rPr>
          <w:rStyle w:val="FootnoteReference"/>
        </w:rPr>
        <w:footnoteRef/>
      </w:r>
      <w:r>
        <w:t xml:space="preserve"> </w:t>
      </w:r>
      <w:r w:rsidRPr="00E72279">
        <w:t>https://www.nice.org.uk/guidance/ta539</w:t>
      </w:r>
    </w:p>
  </w:footnote>
  <w:footnote w:id="40">
    <w:p w14:paraId="247EDF4D" w14:textId="77777777" w:rsidR="000B228E" w:rsidRDefault="000B228E" w:rsidP="000B228E">
      <w:pPr>
        <w:pStyle w:val="FootnoteText"/>
      </w:pPr>
      <w:r>
        <w:rPr>
          <w:rStyle w:val="FootnoteReference"/>
        </w:rPr>
        <w:footnoteRef/>
      </w:r>
      <w:r>
        <w:t xml:space="preserve"> </w:t>
      </w:r>
      <w:r w:rsidRPr="00067DDB">
        <w:t xml:space="preserve">Zhang JY, Kunz PL. Making Sense of a Complex Disease: A Practical Approach to Managing Neuroendocrine </w:t>
      </w:r>
      <w:proofErr w:type="spellStart"/>
      <w:r w:rsidRPr="00067DDB">
        <w:t>Tumors</w:t>
      </w:r>
      <w:proofErr w:type="spellEnd"/>
      <w:r w:rsidRPr="00067DDB">
        <w:t xml:space="preserve">. JCO Oncol </w:t>
      </w:r>
      <w:proofErr w:type="spellStart"/>
      <w:r w:rsidRPr="00067DDB">
        <w:t>Pract</w:t>
      </w:r>
      <w:proofErr w:type="spellEnd"/>
      <w:r w:rsidRPr="00067DDB">
        <w:t xml:space="preserve">. 2022 Apr;18(4):258-264. </w:t>
      </w:r>
      <w:proofErr w:type="spellStart"/>
      <w:r w:rsidRPr="00067DDB">
        <w:t>doi</w:t>
      </w:r>
      <w:proofErr w:type="spellEnd"/>
      <w:r w:rsidRPr="00067DDB">
        <w:t xml:space="preserve">: 10.1200/OP.21.00240. </w:t>
      </w:r>
      <w:proofErr w:type="spellStart"/>
      <w:r w:rsidRPr="00067DDB">
        <w:t>Epub</w:t>
      </w:r>
      <w:proofErr w:type="spellEnd"/>
      <w:r w:rsidRPr="00067DDB">
        <w:t xml:space="preserve"> 2021 Oct 15. PMID: 34652954.</w:t>
      </w:r>
    </w:p>
  </w:footnote>
  <w:footnote w:id="41">
    <w:p w14:paraId="32495FFF" w14:textId="77777777" w:rsidR="000B228E" w:rsidRDefault="000B228E" w:rsidP="000B228E">
      <w:pPr>
        <w:pStyle w:val="FootnoteText"/>
      </w:pPr>
      <w:r>
        <w:rPr>
          <w:rStyle w:val="FootnoteReference"/>
        </w:rPr>
        <w:footnoteRef/>
      </w:r>
      <w:r>
        <w:t xml:space="preserve"> </w:t>
      </w:r>
      <w:r w:rsidRPr="0032110F">
        <w:t xml:space="preserve">Oberg K, Kvols L, Caplin M, Delle </w:t>
      </w:r>
      <w:proofErr w:type="spellStart"/>
      <w:r w:rsidRPr="0032110F">
        <w:t>Fave</w:t>
      </w:r>
      <w:proofErr w:type="spellEnd"/>
      <w:r w:rsidRPr="0032110F">
        <w:t xml:space="preserve"> G, de Herder W, Rindi G, </w:t>
      </w:r>
      <w:proofErr w:type="spellStart"/>
      <w:r w:rsidRPr="0032110F">
        <w:t>Ruszniewski</w:t>
      </w:r>
      <w:proofErr w:type="spellEnd"/>
      <w:r w:rsidRPr="0032110F">
        <w:t xml:space="preserve"> P, Woltering EA, Wiedenmann B. Consensus report on the use of somatostatin </w:t>
      </w:r>
      <w:proofErr w:type="spellStart"/>
      <w:r w:rsidRPr="0032110F">
        <w:t>analogs</w:t>
      </w:r>
      <w:proofErr w:type="spellEnd"/>
      <w:r w:rsidRPr="0032110F">
        <w:t xml:space="preserve"> for the management of neuroendocrine </w:t>
      </w:r>
      <w:proofErr w:type="spellStart"/>
      <w:r w:rsidRPr="0032110F">
        <w:t>tumors</w:t>
      </w:r>
      <w:proofErr w:type="spellEnd"/>
      <w:r w:rsidRPr="0032110F">
        <w:t xml:space="preserve"> of the </w:t>
      </w:r>
      <w:proofErr w:type="spellStart"/>
      <w:r w:rsidRPr="0032110F">
        <w:t>gastroenteropancreatic</w:t>
      </w:r>
      <w:proofErr w:type="spellEnd"/>
      <w:r w:rsidRPr="0032110F">
        <w:t xml:space="preserve"> system. Ann Oncol. 2004 Jun;15(6):966-73. </w:t>
      </w:r>
      <w:proofErr w:type="spellStart"/>
      <w:r w:rsidRPr="0032110F">
        <w:t>doi</w:t>
      </w:r>
      <w:proofErr w:type="spellEnd"/>
      <w:r w:rsidRPr="0032110F">
        <w:t>: 10.1093/</w:t>
      </w:r>
      <w:proofErr w:type="spellStart"/>
      <w:r w:rsidRPr="0032110F">
        <w:t>annonc</w:t>
      </w:r>
      <w:proofErr w:type="spellEnd"/>
      <w:r w:rsidRPr="0032110F">
        <w:t>/mdh216. PMID: 15151956.</w:t>
      </w:r>
    </w:p>
  </w:footnote>
  <w:footnote w:id="42">
    <w:p w14:paraId="43F48281" w14:textId="77777777" w:rsidR="000B228E" w:rsidRDefault="000B228E" w:rsidP="000B228E">
      <w:pPr>
        <w:pStyle w:val="FootnoteText"/>
      </w:pPr>
      <w:r>
        <w:rPr>
          <w:rStyle w:val="FootnoteReference"/>
        </w:rPr>
        <w:footnoteRef/>
      </w:r>
      <w:r>
        <w:t xml:space="preserve"> </w:t>
      </w:r>
      <w:r w:rsidRPr="007B363F">
        <w:t xml:space="preserve">Popa, O., Taban, S. M., Pantea, S., </w:t>
      </w:r>
      <w:proofErr w:type="spellStart"/>
      <w:r w:rsidRPr="007B363F">
        <w:t>Plopeanu</w:t>
      </w:r>
      <w:proofErr w:type="spellEnd"/>
      <w:r w:rsidRPr="007B363F">
        <w:t xml:space="preserve">, A. D., Barna, R. A., </w:t>
      </w:r>
      <w:proofErr w:type="spellStart"/>
      <w:r w:rsidRPr="007B363F">
        <w:t>Cornianu</w:t>
      </w:r>
      <w:proofErr w:type="spellEnd"/>
      <w:r w:rsidRPr="007B363F">
        <w:t xml:space="preserve">, M., Pascu, A., Dema, A. </w:t>
      </w:r>
      <w:proofErr w:type="spellStart"/>
      <w:r w:rsidRPr="007B363F">
        <w:t>C."The</w:t>
      </w:r>
      <w:proofErr w:type="spellEnd"/>
      <w:r w:rsidRPr="007B363F">
        <w:t xml:space="preserve"> new WHO classification of gastrointestinal neuroendocrine </w:t>
      </w:r>
      <w:proofErr w:type="spellStart"/>
      <w:r w:rsidRPr="007B363F">
        <w:t>tumors</w:t>
      </w:r>
      <w:proofErr w:type="spellEnd"/>
      <w:r w:rsidRPr="007B363F">
        <w:t xml:space="preserve"> and immunohistochemical expression of somatostatin receptor 2 and 5". Experimental and Therapeutic Medicine 22.4 (2021): 1179.</w:t>
      </w:r>
    </w:p>
  </w:footnote>
  <w:footnote w:id="43">
    <w:p w14:paraId="09970FF0" w14:textId="77777777" w:rsidR="004D7392" w:rsidRPr="000239DE" w:rsidRDefault="004D7392" w:rsidP="004D7392">
      <w:pPr>
        <w:pStyle w:val="FootnoteText"/>
        <w:rPr>
          <w:rFonts w:ascii="Franklin Gothic Book" w:hAnsi="Franklin Gothic Book"/>
          <w:lang w:val="en-GB"/>
        </w:rPr>
      </w:pPr>
      <w:r w:rsidRPr="000239DE">
        <w:rPr>
          <w:rStyle w:val="FootnoteReference"/>
          <w:rFonts w:ascii="Franklin Gothic Book" w:hAnsi="Franklin Gothic Book"/>
        </w:rPr>
        <w:footnoteRef/>
      </w:r>
      <w:r w:rsidRPr="000239DE">
        <w:rPr>
          <w:rFonts w:ascii="Franklin Gothic Book" w:hAnsi="Franklin Gothic Book"/>
        </w:rPr>
        <w:t xml:space="preserve"> Zhang JY, Kunz PL. Making Sense of a Complex Disease: A Practical Approach to Managing Neuroendocrine </w:t>
      </w:r>
      <w:proofErr w:type="spellStart"/>
      <w:r w:rsidRPr="000239DE">
        <w:rPr>
          <w:rFonts w:ascii="Franklin Gothic Book" w:hAnsi="Franklin Gothic Book"/>
        </w:rPr>
        <w:t>Tumors</w:t>
      </w:r>
      <w:proofErr w:type="spellEnd"/>
      <w:r w:rsidRPr="000239DE">
        <w:rPr>
          <w:rFonts w:ascii="Franklin Gothic Book" w:hAnsi="Franklin Gothic Book"/>
        </w:rPr>
        <w:t xml:space="preserve">. JCO Oncol </w:t>
      </w:r>
      <w:proofErr w:type="spellStart"/>
      <w:r w:rsidRPr="000239DE">
        <w:rPr>
          <w:rFonts w:ascii="Franklin Gothic Book" w:hAnsi="Franklin Gothic Book"/>
        </w:rPr>
        <w:t>Pract</w:t>
      </w:r>
      <w:proofErr w:type="spellEnd"/>
      <w:r w:rsidRPr="000239DE">
        <w:rPr>
          <w:rFonts w:ascii="Franklin Gothic Book" w:hAnsi="Franklin Gothic Book"/>
        </w:rPr>
        <w:t xml:space="preserve">. 2022 Apr;18(4):258-264. </w:t>
      </w:r>
      <w:proofErr w:type="spellStart"/>
      <w:r w:rsidRPr="000239DE">
        <w:rPr>
          <w:rFonts w:ascii="Franklin Gothic Book" w:hAnsi="Franklin Gothic Book"/>
        </w:rPr>
        <w:t>doi</w:t>
      </w:r>
      <w:proofErr w:type="spellEnd"/>
      <w:r w:rsidRPr="000239DE">
        <w:rPr>
          <w:rFonts w:ascii="Franklin Gothic Book" w:hAnsi="Franklin Gothic Book"/>
        </w:rPr>
        <w:t xml:space="preserve">: 10.1200/OP.21.00240. </w:t>
      </w:r>
      <w:proofErr w:type="spellStart"/>
      <w:r w:rsidRPr="000239DE">
        <w:rPr>
          <w:rFonts w:ascii="Franklin Gothic Book" w:hAnsi="Franklin Gothic Book"/>
        </w:rPr>
        <w:t>Epub</w:t>
      </w:r>
      <w:proofErr w:type="spellEnd"/>
      <w:r w:rsidRPr="000239DE">
        <w:rPr>
          <w:rFonts w:ascii="Franklin Gothic Book" w:hAnsi="Franklin Gothic Book"/>
        </w:rPr>
        <w:t xml:space="preserve"> 2021 Oct 15. PMID: 34652954.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28CC" w14:textId="77777777" w:rsidR="00873468" w:rsidRDefault="008734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5FC7" w14:textId="77777777" w:rsidR="00873468" w:rsidRDefault="008734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30E81" w14:textId="77777777" w:rsidR="00873468" w:rsidRDefault="008734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64773" w14:textId="77777777" w:rsidR="00E45B08" w:rsidRDefault="00E45B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BD4"/>
    <w:multiLevelType w:val="hybridMultilevel"/>
    <w:tmpl w:val="D2AA4002"/>
    <w:lvl w:ilvl="0" w:tplc="F3F49780">
      <w:start w:val="1"/>
      <w:numFmt w:val="bullet"/>
      <w:lvlText w:val=""/>
      <w:lvlJc w:val="left"/>
      <w:pPr>
        <w:ind w:left="1020" w:hanging="360"/>
      </w:pPr>
      <w:rPr>
        <w:rFonts w:ascii="Symbol" w:hAnsi="Symbol"/>
      </w:rPr>
    </w:lvl>
    <w:lvl w:ilvl="1" w:tplc="927AD6EC">
      <w:start w:val="1"/>
      <w:numFmt w:val="bullet"/>
      <w:lvlText w:val=""/>
      <w:lvlJc w:val="left"/>
      <w:pPr>
        <w:ind w:left="1020" w:hanging="360"/>
      </w:pPr>
      <w:rPr>
        <w:rFonts w:ascii="Symbol" w:hAnsi="Symbol"/>
      </w:rPr>
    </w:lvl>
    <w:lvl w:ilvl="2" w:tplc="D7349D62">
      <w:start w:val="1"/>
      <w:numFmt w:val="bullet"/>
      <w:lvlText w:val=""/>
      <w:lvlJc w:val="left"/>
      <w:pPr>
        <w:ind w:left="1020" w:hanging="360"/>
      </w:pPr>
      <w:rPr>
        <w:rFonts w:ascii="Symbol" w:hAnsi="Symbol"/>
      </w:rPr>
    </w:lvl>
    <w:lvl w:ilvl="3" w:tplc="4D8C7A22">
      <w:start w:val="1"/>
      <w:numFmt w:val="bullet"/>
      <w:lvlText w:val=""/>
      <w:lvlJc w:val="left"/>
      <w:pPr>
        <w:ind w:left="1020" w:hanging="360"/>
      </w:pPr>
      <w:rPr>
        <w:rFonts w:ascii="Symbol" w:hAnsi="Symbol"/>
      </w:rPr>
    </w:lvl>
    <w:lvl w:ilvl="4" w:tplc="FE828D8A">
      <w:start w:val="1"/>
      <w:numFmt w:val="bullet"/>
      <w:lvlText w:val=""/>
      <w:lvlJc w:val="left"/>
      <w:pPr>
        <w:ind w:left="1020" w:hanging="360"/>
      </w:pPr>
      <w:rPr>
        <w:rFonts w:ascii="Symbol" w:hAnsi="Symbol"/>
      </w:rPr>
    </w:lvl>
    <w:lvl w:ilvl="5" w:tplc="54F0FFC0">
      <w:start w:val="1"/>
      <w:numFmt w:val="bullet"/>
      <w:lvlText w:val=""/>
      <w:lvlJc w:val="left"/>
      <w:pPr>
        <w:ind w:left="1020" w:hanging="360"/>
      </w:pPr>
      <w:rPr>
        <w:rFonts w:ascii="Symbol" w:hAnsi="Symbol"/>
      </w:rPr>
    </w:lvl>
    <w:lvl w:ilvl="6" w:tplc="EBA60282">
      <w:start w:val="1"/>
      <w:numFmt w:val="bullet"/>
      <w:lvlText w:val=""/>
      <w:lvlJc w:val="left"/>
      <w:pPr>
        <w:ind w:left="1020" w:hanging="360"/>
      </w:pPr>
      <w:rPr>
        <w:rFonts w:ascii="Symbol" w:hAnsi="Symbol"/>
      </w:rPr>
    </w:lvl>
    <w:lvl w:ilvl="7" w:tplc="77381A0C">
      <w:start w:val="1"/>
      <w:numFmt w:val="bullet"/>
      <w:lvlText w:val=""/>
      <w:lvlJc w:val="left"/>
      <w:pPr>
        <w:ind w:left="1020" w:hanging="360"/>
      </w:pPr>
      <w:rPr>
        <w:rFonts w:ascii="Symbol" w:hAnsi="Symbol"/>
      </w:rPr>
    </w:lvl>
    <w:lvl w:ilvl="8" w:tplc="8FAC38E4">
      <w:start w:val="1"/>
      <w:numFmt w:val="bullet"/>
      <w:lvlText w:val=""/>
      <w:lvlJc w:val="left"/>
      <w:pPr>
        <w:ind w:left="1020" w:hanging="360"/>
      </w:pPr>
      <w:rPr>
        <w:rFonts w:ascii="Symbol" w:hAnsi="Symbol"/>
      </w:rPr>
    </w:lvl>
  </w:abstractNum>
  <w:abstractNum w:abstractNumId="1" w15:restartNumberingAfterBreak="0">
    <w:nsid w:val="03CA7D35"/>
    <w:multiLevelType w:val="hybridMultilevel"/>
    <w:tmpl w:val="66CC1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073C5"/>
    <w:multiLevelType w:val="multilevel"/>
    <w:tmpl w:val="4CDACFD8"/>
    <w:lvl w:ilvl="0">
      <w:start w:val="1"/>
      <w:numFmt w:val="decimal"/>
      <w:pStyle w:val="VAHeading1"/>
      <w:lvlText w:val="%1."/>
      <w:lvlJc w:val="left"/>
      <w:pPr>
        <w:ind w:left="360" w:hanging="360"/>
      </w:pPr>
      <w:rPr>
        <w:rFonts w:hint="default"/>
      </w:rPr>
    </w:lvl>
    <w:lvl w:ilvl="1">
      <w:start w:val="1"/>
      <w:numFmt w:val="decimal"/>
      <w:pStyle w:val="VAHeading2"/>
      <w:lvlText w:val="%1.%2."/>
      <w:lvlJc w:val="left"/>
      <w:pPr>
        <w:ind w:left="720" w:hanging="360"/>
      </w:pPr>
      <w:rPr>
        <w:rFonts w:hint="default"/>
      </w:rPr>
    </w:lvl>
    <w:lvl w:ilvl="2">
      <w:start w:val="1"/>
      <w:numFmt w:val="decimal"/>
      <w:pStyle w:val="VAHeading3"/>
      <w:lvlText w:val="%1.%2.%3."/>
      <w:lvlJc w:val="left"/>
      <w:pPr>
        <w:ind w:left="720" w:firstLine="357"/>
      </w:pPr>
      <w:rPr>
        <w:rFonts w:hint="default"/>
      </w:rPr>
    </w:lvl>
    <w:lvl w:ilvl="3">
      <w:start w:val="1"/>
      <w:numFmt w:val="decimal"/>
      <w:pStyle w:val="VAHeading4"/>
      <w:lvlText w:val="%1.%2.%3.%4."/>
      <w:lvlJc w:val="left"/>
      <w:pPr>
        <w:ind w:left="720" w:firstLine="360"/>
      </w:pPr>
      <w:rPr>
        <w:rFonts w:hint="default"/>
      </w:rPr>
    </w:lvl>
    <w:lvl w:ilvl="4">
      <w:start w:val="1"/>
      <w:numFmt w:val="decimal"/>
      <w:pStyle w:val="VAHeading5"/>
      <w:lvlText w:val="%1.%2.%3.%4.%5."/>
      <w:lvlJc w:val="left"/>
      <w:pPr>
        <w:ind w:left="720" w:firstLine="35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A87C1A"/>
    <w:multiLevelType w:val="hybridMultilevel"/>
    <w:tmpl w:val="744274C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0D4375BF"/>
    <w:multiLevelType w:val="hybridMultilevel"/>
    <w:tmpl w:val="D7D21A1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FF556F"/>
    <w:multiLevelType w:val="hybridMultilevel"/>
    <w:tmpl w:val="6BC035C4"/>
    <w:lvl w:ilvl="0" w:tplc="FB942214">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303F6B"/>
    <w:multiLevelType w:val="hybridMultilevel"/>
    <w:tmpl w:val="56440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CD2930"/>
    <w:multiLevelType w:val="hybridMultilevel"/>
    <w:tmpl w:val="88128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7F2C3A"/>
    <w:multiLevelType w:val="hybridMultilevel"/>
    <w:tmpl w:val="E9DC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BE00CA"/>
    <w:multiLevelType w:val="hybridMultilevel"/>
    <w:tmpl w:val="E3EA46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78633D4"/>
    <w:multiLevelType w:val="hybridMultilevel"/>
    <w:tmpl w:val="035AD18A"/>
    <w:lvl w:ilvl="0" w:tplc="EEDE5FA8">
      <w:numFmt w:val="bullet"/>
      <w:lvlText w:val="-"/>
      <w:lvlJc w:val="left"/>
      <w:pPr>
        <w:ind w:left="720" w:hanging="360"/>
      </w:pPr>
      <w:rPr>
        <w:rFonts w:ascii="Franklin Gothic Book" w:eastAsia="Calibri" w:hAnsi="Franklin Gothic Book"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D51847"/>
    <w:multiLevelType w:val="hybridMultilevel"/>
    <w:tmpl w:val="1B38A62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09F3096"/>
    <w:multiLevelType w:val="hybridMultilevel"/>
    <w:tmpl w:val="54E084D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21CE2746"/>
    <w:multiLevelType w:val="hybridMultilevel"/>
    <w:tmpl w:val="31D6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5" w15:restartNumberingAfterBreak="0">
    <w:nsid w:val="23F1011F"/>
    <w:multiLevelType w:val="hybridMultilevel"/>
    <w:tmpl w:val="7712901E"/>
    <w:lvl w:ilvl="0" w:tplc="53647BE4">
      <w:start w:val="1"/>
      <w:numFmt w:val="lowerLetter"/>
      <w:lvlText w:val="%1)"/>
      <w:lvlJc w:val="left"/>
      <w:pPr>
        <w:tabs>
          <w:tab w:val="num" w:pos="720"/>
        </w:tabs>
        <w:ind w:left="720" w:hanging="360"/>
      </w:pPr>
    </w:lvl>
    <w:lvl w:ilvl="1" w:tplc="45AC66D8">
      <w:start w:val="1"/>
      <w:numFmt w:val="lowerLetter"/>
      <w:lvlText w:val="%2)"/>
      <w:lvlJc w:val="left"/>
      <w:pPr>
        <w:tabs>
          <w:tab w:val="num" w:pos="1440"/>
        </w:tabs>
        <w:ind w:left="1440" w:hanging="360"/>
      </w:pPr>
    </w:lvl>
    <w:lvl w:ilvl="2" w:tplc="DACECB5E">
      <w:start w:val="1"/>
      <w:numFmt w:val="lowerLetter"/>
      <w:lvlText w:val="%3)"/>
      <w:lvlJc w:val="left"/>
      <w:pPr>
        <w:tabs>
          <w:tab w:val="num" w:pos="2160"/>
        </w:tabs>
        <w:ind w:left="2160" w:hanging="360"/>
      </w:pPr>
    </w:lvl>
    <w:lvl w:ilvl="3" w:tplc="51C8FFE0">
      <w:start w:val="1"/>
      <w:numFmt w:val="lowerLetter"/>
      <w:lvlText w:val="%4)"/>
      <w:lvlJc w:val="left"/>
      <w:pPr>
        <w:tabs>
          <w:tab w:val="num" w:pos="2880"/>
        </w:tabs>
        <w:ind w:left="2880" w:hanging="360"/>
      </w:pPr>
    </w:lvl>
    <w:lvl w:ilvl="4" w:tplc="E34A2EA0">
      <w:start w:val="1"/>
      <w:numFmt w:val="lowerLetter"/>
      <w:lvlText w:val="%5)"/>
      <w:lvlJc w:val="left"/>
      <w:pPr>
        <w:tabs>
          <w:tab w:val="num" w:pos="3600"/>
        </w:tabs>
        <w:ind w:left="3600" w:hanging="360"/>
      </w:pPr>
    </w:lvl>
    <w:lvl w:ilvl="5" w:tplc="19D42C36">
      <w:start w:val="1"/>
      <w:numFmt w:val="lowerLetter"/>
      <w:lvlText w:val="%6)"/>
      <w:lvlJc w:val="left"/>
      <w:pPr>
        <w:tabs>
          <w:tab w:val="num" w:pos="4320"/>
        </w:tabs>
        <w:ind w:left="4320" w:hanging="360"/>
      </w:pPr>
    </w:lvl>
    <w:lvl w:ilvl="6" w:tplc="98DE01A0">
      <w:start w:val="1"/>
      <w:numFmt w:val="lowerLetter"/>
      <w:lvlText w:val="%7)"/>
      <w:lvlJc w:val="left"/>
      <w:pPr>
        <w:tabs>
          <w:tab w:val="num" w:pos="5040"/>
        </w:tabs>
        <w:ind w:left="5040" w:hanging="360"/>
      </w:pPr>
    </w:lvl>
    <w:lvl w:ilvl="7" w:tplc="C90EB38E">
      <w:start w:val="1"/>
      <w:numFmt w:val="lowerLetter"/>
      <w:lvlText w:val="%8)"/>
      <w:lvlJc w:val="left"/>
      <w:pPr>
        <w:tabs>
          <w:tab w:val="num" w:pos="5760"/>
        </w:tabs>
        <w:ind w:left="5760" w:hanging="360"/>
      </w:pPr>
    </w:lvl>
    <w:lvl w:ilvl="8" w:tplc="FB3CBA6E">
      <w:start w:val="1"/>
      <w:numFmt w:val="lowerLetter"/>
      <w:lvlText w:val="%9)"/>
      <w:lvlJc w:val="left"/>
      <w:pPr>
        <w:tabs>
          <w:tab w:val="num" w:pos="6480"/>
        </w:tabs>
        <w:ind w:left="6480" w:hanging="360"/>
      </w:pPr>
    </w:lvl>
  </w:abstractNum>
  <w:abstractNum w:abstractNumId="16" w15:restartNumberingAfterBreak="0">
    <w:nsid w:val="27575C58"/>
    <w:multiLevelType w:val="multilevel"/>
    <w:tmpl w:val="BE44A646"/>
    <w:lvl w:ilvl="0">
      <w:start w:val="1"/>
      <w:numFmt w:val="bullet"/>
      <w:pStyle w:val="InstructionBulletpoint"/>
      <w:lvlText w:val=""/>
      <w:lvlJc w:val="left"/>
      <w:pPr>
        <w:ind w:left="720" w:hanging="360"/>
      </w:pPr>
      <w:rPr>
        <w:rFonts w:ascii="Symbol" w:hAnsi="Symbol" w:hint="default"/>
      </w:rPr>
    </w:lvl>
    <w:lvl w:ilvl="1">
      <w:start w:val="1"/>
      <w:numFmt w:val="bullet"/>
      <w:lvlText w:val=""/>
      <w:lvlJc w:val="left"/>
      <w:pPr>
        <w:ind w:left="1440" w:hanging="47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8766A87"/>
    <w:multiLevelType w:val="hybridMultilevel"/>
    <w:tmpl w:val="FADC4F9E"/>
    <w:lvl w:ilvl="0" w:tplc="D0BA17D8">
      <w:start w:val="1"/>
      <w:numFmt w:val="bullet"/>
      <w:lvlText w:val=""/>
      <w:lvlJc w:val="left"/>
      <w:pPr>
        <w:ind w:left="1020" w:hanging="360"/>
      </w:pPr>
      <w:rPr>
        <w:rFonts w:ascii="Symbol" w:hAnsi="Symbol"/>
      </w:rPr>
    </w:lvl>
    <w:lvl w:ilvl="1" w:tplc="256049CC">
      <w:start w:val="1"/>
      <w:numFmt w:val="bullet"/>
      <w:lvlText w:val=""/>
      <w:lvlJc w:val="left"/>
      <w:pPr>
        <w:ind w:left="1020" w:hanging="360"/>
      </w:pPr>
      <w:rPr>
        <w:rFonts w:ascii="Symbol" w:hAnsi="Symbol"/>
      </w:rPr>
    </w:lvl>
    <w:lvl w:ilvl="2" w:tplc="735E5DF2">
      <w:start w:val="1"/>
      <w:numFmt w:val="bullet"/>
      <w:lvlText w:val=""/>
      <w:lvlJc w:val="left"/>
      <w:pPr>
        <w:ind w:left="1020" w:hanging="360"/>
      </w:pPr>
      <w:rPr>
        <w:rFonts w:ascii="Symbol" w:hAnsi="Symbol"/>
      </w:rPr>
    </w:lvl>
    <w:lvl w:ilvl="3" w:tplc="9CE0BE48">
      <w:start w:val="1"/>
      <w:numFmt w:val="bullet"/>
      <w:lvlText w:val=""/>
      <w:lvlJc w:val="left"/>
      <w:pPr>
        <w:ind w:left="1020" w:hanging="360"/>
      </w:pPr>
      <w:rPr>
        <w:rFonts w:ascii="Symbol" w:hAnsi="Symbol"/>
      </w:rPr>
    </w:lvl>
    <w:lvl w:ilvl="4" w:tplc="68982E76">
      <w:start w:val="1"/>
      <w:numFmt w:val="bullet"/>
      <w:lvlText w:val=""/>
      <w:lvlJc w:val="left"/>
      <w:pPr>
        <w:ind w:left="1020" w:hanging="360"/>
      </w:pPr>
      <w:rPr>
        <w:rFonts w:ascii="Symbol" w:hAnsi="Symbol"/>
      </w:rPr>
    </w:lvl>
    <w:lvl w:ilvl="5" w:tplc="CC6A8F2C">
      <w:start w:val="1"/>
      <w:numFmt w:val="bullet"/>
      <w:lvlText w:val=""/>
      <w:lvlJc w:val="left"/>
      <w:pPr>
        <w:ind w:left="1020" w:hanging="360"/>
      </w:pPr>
      <w:rPr>
        <w:rFonts w:ascii="Symbol" w:hAnsi="Symbol"/>
      </w:rPr>
    </w:lvl>
    <w:lvl w:ilvl="6" w:tplc="0DE4685C">
      <w:start w:val="1"/>
      <w:numFmt w:val="bullet"/>
      <w:lvlText w:val=""/>
      <w:lvlJc w:val="left"/>
      <w:pPr>
        <w:ind w:left="1020" w:hanging="360"/>
      </w:pPr>
      <w:rPr>
        <w:rFonts w:ascii="Symbol" w:hAnsi="Symbol"/>
      </w:rPr>
    </w:lvl>
    <w:lvl w:ilvl="7" w:tplc="F4AAE9DC">
      <w:start w:val="1"/>
      <w:numFmt w:val="bullet"/>
      <w:lvlText w:val=""/>
      <w:lvlJc w:val="left"/>
      <w:pPr>
        <w:ind w:left="1020" w:hanging="360"/>
      </w:pPr>
      <w:rPr>
        <w:rFonts w:ascii="Symbol" w:hAnsi="Symbol"/>
      </w:rPr>
    </w:lvl>
    <w:lvl w:ilvl="8" w:tplc="2E20F744">
      <w:start w:val="1"/>
      <w:numFmt w:val="bullet"/>
      <w:lvlText w:val=""/>
      <w:lvlJc w:val="left"/>
      <w:pPr>
        <w:ind w:left="1020" w:hanging="360"/>
      </w:pPr>
      <w:rPr>
        <w:rFonts w:ascii="Symbol" w:hAnsi="Symbol"/>
      </w:rPr>
    </w:lvl>
  </w:abstractNum>
  <w:abstractNum w:abstractNumId="18" w15:restartNumberingAfterBreak="0">
    <w:nsid w:val="29CC3584"/>
    <w:multiLevelType w:val="multilevel"/>
    <w:tmpl w:val="31A00E84"/>
    <w:lvl w:ilvl="0">
      <w:start w:val="1"/>
      <w:numFmt w:val="decimal"/>
      <w:lvlText w:val="%1"/>
      <w:lvlJc w:val="left"/>
      <w:pPr>
        <w:tabs>
          <w:tab w:val="num" w:pos="1134"/>
        </w:tabs>
        <w:ind w:left="1134" w:hanging="1134"/>
      </w:pPr>
      <w:rPr>
        <w:rFonts w:hint="default"/>
      </w:rPr>
    </w:lvl>
    <w:lvl w:ilvl="1">
      <w:start w:val="1"/>
      <w:numFmt w:val="decimal"/>
      <w:pStyle w:val="Numberedlevel2text"/>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pStyle w:val="Numberedheading1"/>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2A320B11"/>
    <w:multiLevelType w:val="hybridMultilevel"/>
    <w:tmpl w:val="6C705D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A583F0D"/>
    <w:multiLevelType w:val="hybridMultilevel"/>
    <w:tmpl w:val="4AE6D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A5E246B"/>
    <w:multiLevelType w:val="hybridMultilevel"/>
    <w:tmpl w:val="C4F2253C"/>
    <w:lvl w:ilvl="0" w:tplc="B0E28340">
      <w:start w:val="1"/>
      <w:numFmt w:val="decimal"/>
      <w:pStyle w:val="ESHeading1"/>
      <w:lvlText w:val="%1."/>
      <w:lvlJc w:val="left"/>
      <w:pPr>
        <w:ind w:left="216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2DF67021"/>
    <w:multiLevelType w:val="hybridMultilevel"/>
    <w:tmpl w:val="4FE2FF32"/>
    <w:lvl w:ilvl="0" w:tplc="BACA5EE0">
      <w:numFmt w:val="bullet"/>
      <w:lvlText w:val="-"/>
      <w:lvlJc w:val="left"/>
      <w:pPr>
        <w:ind w:left="720" w:hanging="360"/>
      </w:pPr>
      <w:rPr>
        <w:rFonts w:ascii="Franklin Gothic Book" w:eastAsiaTheme="minorHAnsi" w:hAnsi="Franklin Gothic Book"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2D5244"/>
    <w:multiLevelType w:val="hybridMultilevel"/>
    <w:tmpl w:val="00E250B2"/>
    <w:lvl w:ilvl="0" w:tplc="32AE89D0">
      <w:start w:val="1"/>
      <w:numFmt w:val="bullet"/>
      <w:pStyle w:val="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4371DC"/>
    <w:multiLevelType w:val="multilevel"/>
    <w:tmpl w:val="4A02812C"/>
    <w:lvl w:ilvl="0">
      <w:start w:val="1"/>
      <w:numFmt w:val="decimal"/>
      <w:pStyle w:val="Heading1"/>
      <w:lvlText w:val="Section %1"/>
      <w:lvlJc w:val="left"/>
      <w:pPr>
        <w:ind w:left="786" w:hanging="360"/>
      </w:pPr>
      <w:rPr>
        <w:rFonts w:hint="default"/>
      </w:rPr>
    </w:lvl>
    <w:lvl w:ilvl="1">
      <w:start w:val="1"/>
      <w:numFmt w:val="decimal"/>
      <w:pStyle w:val="Heading2"/>
      <w:lvlText w:val="%1.%2"/>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49C7CF8"/>
    <w:multiLevelType w:val="hybridMultilevel"/>
    <w:tmpl w:val="F968B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B9277D"/>
    <w:multiLevelType w:val="hybridMultilevel"/>
    <w:tmpl w:val="374E1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AD4198"/>
    <w:multiLevelType w:val="hybridMultilevel"/>
    <w:tmpl w:val="3A346686"/>
    <w:lvl w:ilvl="0" w:tplc="838C22C8">
      <w:start w:val="1"/>
      <w:numFmt w:val="bullet"/>
      <w:lvlText w:val=""/>
      <w:lvlJc w:val="left"/>
      <w:pPr>
        <w:ind w:left="1020" w:hanging="360"/>
      </w:pPr>
      <w:rPr>
        <w:rFonts w:ascii="Symbol" w:hAnsi="Symbol"/>
      </w:rPr>
    </w:lvl>
    <w:lvl w:ilvl="1" w:tplc="ACEC47BE">
      <w:start w:val="1"/>
      <w:numFmt w:val="bullet"/>
      <w:lvlText w:val=""/>
      <w:lvlJc w:val="left"/>
      <w:pPr>
        <w:ind w:left="1020" w:hanging="360"/>
      </w:pPr>
      <w:rPr>
        <w:rFonts w:ascii="Symbol" w:hAnsi="Symbol"/>
      </w:rPr>
    </w:lvl>
    <w:lvl w:ilvl="2" w:tplc="9E662DFC">
      <w:start w:val="1"/>
      <w:numFmt w:val="bullet"/>
      <w:lvlText w:val=""/>
      <w:lvlJc w:val="left"/>
      <w:pPr>
        <w:ind w:left="1020" w:hanging="360"/>
      </w:pPr>
      <w:rPr>
        <w:rFonts w:ascii="Symbol" w:hAnsi="Symbol"/>
      </w:rPr>
    </w:lvl>
    <w:lvl w:ilvl="3" w:tplc="86AE37AE">
      <w:start w:val="1"/>
      <w:numFmt w:val="bullet"/>
      <w:lvlText w:val=""/>
      <w:lvlJc w:val="left"/>
      <w:pPr>
        <w:ind w:left="1020" w:hanging="360"/>
      </w:pPr>
      <w:rPr>
        <w:rFonts w:ascii="Symbol" w:hAnsi="Symbol"/>
      </w:rPr>
    </w:lvl>
    <w:lvl w:ilvl="4" w:tplc="5A42F3DE">
      <w:start w:val="1"/>
      <w:numFmt w:val="bullet"/>
      <w:lvlText w:val=""/>
      <w:lvlJc w:val="left"/>
      <w:pPr>
        <w:ind w:left="1020" w:hanging="360"/>
      </w:pPr>
      <w:rPr>
        <w:rFonts w:ascii="Symbol" w:hAnsi="Symbol"/>
      </w:rPr>
    </w:lvl>
    <w:lvl w:ilvl="5" w:tplc="2CEA5CA6">
      <w:start w:val="1"/>
      <w:numFmt w:val="bullet"/>
      <w:lvlText w:val=""/>
      <w:lvlJc w:val="left"/>
      <w:pPr>
        <w:ind w:left="1020" w:hanging="360"/>
      </w:pPr>
      <w:rPr>
        <w:rFonts w:ascii="Symbol" w:hAnsi="Symbol"/>
      </w:rPr>
    </w:lvl>
    <w:lvl w:ilvl="6" w:tplc="E6F606E4">
      <w:start w:val="1"/>
      <w:numFmt w:val="bullet"/>
      <w:lvlText w:val=""/>
      <w:lvlJc w:val="left"/>
      <w:pPr>
        <w:ind w:left="1020" w:hanging="360"/>
      </w:pPr>
      <w:rPr>
        <w:rFonts w:ascii="Symbol" w:hAnsi="Symbol"/>
      </w:rPr>
    </w:lvl>
    <w:lvl w:ilvl="7" w:tplc="D58CEA6E">
      <w:start w:val="1"/>
      <w:numFmt w:val="bullet"/>
      <w:lvlText w:val=""/>
      <w:lvlJc w:val="left"/>
      <w:pPr>
        <w:ind w:left="1020" w:hanging="360"/>
      </w:pPr>
      <w:rPr>
        <w:rFonts w:ascii="Symbol" w:hAnsi="Symbol"/>
      </w:rPr>
    </w:lvl>
    <w:lvl w:ilvl="8" w:tplc="4210B288">
      <w:start w:val="1"/>
      <w:numFmt w:val="bullet"/>
      <w:lvlText w:val=""/>
      <w:lvlJc w:val="left"/>
      <w:pPr>
        <w:ind w:left="1020" w:hanging="360"/>
      </w:pPr>
      <w:rPr>
        <w:rFonts w:ascii="Symbol" w:hAnsi="Symbol"/>
      </w:rPr>
    </w:lvl>
  </w:abstractNum>
  <w:abstractNum w:abstractNumId="28" w15:restartNumberingAfterBreak="0">
    <w:nsid w:val="3BCD55F8"/>
    <w:multiLevelType w:val="hybridMultilevel"/>
    <w:tmpl w:val="CABC4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C84055"/>
    <w:multiLevelType w:val="hybridMultilevel"/>
    <w:tmpl w:val="6F56C816"/>
    <w:lvl w:ilvl="0" w:tplc="AD6EEE6E">
      <w:start w:val="1"/>
      <w:numFmt w:val="bullet"/>
      <w:lvlText w:val=""/>
      <w:lvlJc w:val="left"/>
      <w:pPr>
        <w:ind w:left="1020" w:hanging="360"/>
      </w:pPr>
      <w:rPr>
        <w:rFonts w:ascii="Symbol" w:hAnsi="Symbol"/>
      </w:rPr>
    </w:lvl>
    <w:lvl w:ilvl="1" w:tplc="8B6C3FE0">
      <w:start w:val="1"/>
      <w:numFmt w:val="bullet"/>
      <w:lvlText w:val=""/>
      <w:lvlJc w:val="left"/>
      <w:pPr>
        <w:ind w:left="1020" w:hanging="360"/>
      </w:pPr>
      <w:rPr>
        <w:rFonts w:ascii="Symbol" w:hAnsi="Symbol"/>
      </w:rPr>
    </w:lvl>
    <w:lvl w:ilvl="2" w:tplc="E1B8F008">
      <w:start w:val="1"/>
      <w:numFmt w:val="bullet"/>
      <w:lvlText w:val=""/>
      <w:lvlJc w:val="left"/>
      <w:pPr>
        <w:ind w:left="1020" w:hanging="360"/>
      </w:pPr>
      <w:rPr>
        <w:rFonts w:ascii="Symbol" w:hAnsi="Symbol"/>
      </w:rPr>
    </w:lvl>
    <w:lvl w:ilvl="3" w:tplc="260CEF24">
      <w:start w:val="1"/>
      <w:numFmt w:val="bullet"/>
      <w:lvlText w:val=""/>
      <w:lvlJc w:val="left"/>
      <w:pPr>
        <w:ind w:left="1020" w:hanging="360"/>
      </w:pPr>
      <w:rPr>
        <w:rFonts w:ascii="Symbol" w:hAnsi="Symbol"/>
      </w:rPr>
    </w:lvl>
    <w:lvl w:ilvl="4" w:tplc="D054DCD4">
      <w:start w:val="1"/>
      <w:numFmt w:val="bullet"/>
      <w:lvlText w:val=""/>
      <w:lvlJc w:val="left"/>
      <w:pPr>
        <w:ind w:left="1020" w:hanging="360"/>
      </w:pPr>
      <w:rPr>
        <w:rFonts w:ascii="Symbol" w:hAnsi="Symbol"/>
      </w:rPr>
    </w:lvl>
    <w:lvl w:ilvl="5" w:tplc="2E0AA210">
      <w:start w:val="1"/>
      <w:numFmt w:val="bullet"/>
      <w:lvlText w:val=""/>
      <w:lvlJc w:val="left"/>
      <w:pPr>
        <w:ind w:left="1020" w:hanging="360"/>
      </w:pPr>
      <w:rPr>
        <w:rFonts w:ascii="Symbol" w:hAnsi="Symbol"/>
      </w:rPr>
    </w:lvl>
    <w:lvl w:ilvl="6" w:tplc="E3ACC5D8">
      <w:start w:val="1"/>
      <w:numFmt w:val="bullet"/>
      <w:lvlText w:val=""/>
      <w:lvlJc w:val="left"/>
      <w:pPr>
        <w:ind w:left="1020" w:hanging="360"/>
      </w:pPr>
      <w:rPr>
        <w:rFonts w:ascii="Symbol" w:hAnsi="Symbol"/>
      </w:rPr>
    </w:lvl>
    <w:lvl w:ilvl="7" w:tplc="8F5EB0AA">
      <w:start w:val="1"/>
      <w:numFmt w:val="bullet"/>
      <w:lvlText w:val=""/>
      <w:lvlJc w:val="left"/>
      <w:pPr>
        <w:ind w:left="1020" w:hanging="360"/>
      </w:pPr>
      <w:rPr>
        <w:rFonts w:ascii="Symbol" w:hAnsi="Symbol"/>
      </w:rPr>
    </w:lvl>
    <w:lvl w:ilvl="8" w:tplc="09F424D8">
      <w:start w:val="1"/>
      <w:numFmt w:val="bullet"/>
      <w:lvlText w:val=""/>
      <w:lvlJc w:val="left"/>
      <w:pPr>
        <w:ind w:left="1020" w:hanging="360"/>
      </w:pPr>
      <w:rPr>
        <w:rFonts w:ascii="Symbol" w:hAnsi="Symbol"/>
      </w:rPr>
    </w:lvl>
  </w:abstractNum>
  <w:abstractNum w:abstractNumId="30" w15:restartNumberingAfterBreak="0">
    <w:nsid w:val="47095746"/>
    <w:multiLevelType w:val="hybridMultilevel"/>
    <w:tmpl w:val="28BC0FCE"/>
    <w:lvl w:ilvl="0" w:tplc="A26EFB64">
      <w:start w:val="1"/>
      <w:numFmt w:val="bullet"/>
      <w:pStyle w:val="Instructionaltext-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489E16A9"/>
    <w:multiLevelType w:val="hybridMultilevel"/>
    <w:tmpl w:val="F21A6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296AD7"/>
    <w:multiLevelType w:val="hybridMultilevel"/>
    <w:tmpl w:val="2F9AB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545991"/>
    <w:multiLevelType w:val="hybridMultilevel"/>
    <w:tmpl w:val="FFCE25E2"/>
    <w:lvl w:ilvl="0" w:tplc="BDAAD2D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B514A6"/>
    <w:multiLevelType w:val="hybridMultilevel"/>
    <w:tmpl w:val="5AD03504"/>
    <w:lvl w:ilvl="0" w:tplc="26168D6E">
      <w:start w:val="5"/>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4C900743"/>
    <w:multiLevelType w:val="hybridMultilevel"/>
    <w:tmpl w:val="52A85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5B967C6"/>
    <w:multiLevelType w:val="hybridMultilevel"/>
    <w:tmpl w:val="E9C0F9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7A7982"/>
    <w:multiLevelType w:val="hybridMultilevel"/>
    <w:tmpl w:val="7882A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649E4DCA"/>
    <w:multiLevelType w:val="hybridMultilevel"/>
    <w:tmpl w:val="907EA192"/>
    <w:lvl w:ilvl="0" w:tplc="051AF72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7C53E75"/>
    <w:multiLevelType w:val="hybridMultilevel"/>
    <w:tmpl w:val="CDC451D2"/>
    <w:lvl w:ilvl="0" w:tplc="71FC6F3C">
      <w:start w:val="1"/>
      <w:numFmt w:val="bullet"/>
      <w:pStyle w:val="Table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680AF8"/>
    <w:multiLevelType w:val="hybridMultilevel"/>
    <w:tmpl w:val="1D384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2840CD"/>
    <w:multiLevelType w:val="hybridMultilevel"/>
    <w:tmpl w:val="6D363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4D033C"/>
    <w:multiLevelType w:val="multilevel"/>
    <w:tmpl w:val="45FC285E"/>
    <w:lvl w:ilvl="0">
      <w:start w:val="1"/>
      <w:numFmt w:val="decimal"/>
      <w:pStyle w:val="2-SectionHeading"/>
      <w:lvlText w:val="%1"/>
      <w:lvlJc w:val="left"/>
      <w:pPr>
        <w:ind w:left="720" w:hanging="720"/>
      </w:pPr>
      <w:rPr>
        <w:rFonts w:hint="default"/>
        <w:b/>
      </w:rPr>
    </w:lvl>
    <w:lvl w:ilvl="1">
      <w:start w:val="1"/>
      <w:numFmt w:val="decimal"/>
      <w:pStyle w:val="3-BodyText"/>
      <w:lvlText w:val="%1.%2"/>
      <w:lvlJc w:val="left"/>
      <w:pPr>
        <w:ind w:left="720" w:hanging="720"/>
      </w:pPr>
      <w:rPr>
        <w:rFonts w:asciiTheme="minorHAnsi" w:hAnsiTheme="minorHAnsi" w:cstheme="minorHAnsi" w:hint="default"/>
        <w:b w:val="0"/>
        <w:bCs w:val="0"/>
        <w:i w:val="0"/>
        <w:iCs w:val="0"/>
        <w:caps w:val="0"/>
        <w:smallCaps w:val="0"/>
        <w:strike w:val="0"/>
        <w:dstrike w:val="0"/>
        <w:noProof w:val="0"/>
        <w:vanish w:val="0"/>
        <w:color w:val="auto"/>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AB7ABD"/>
    <w:multiLevelType w:val="hybridMultilevel"/>
    <w:tmpl w:val="23446AC2"/>
    <w:lvl w:ilvl="0" w:tplc="D3EEFB74">
      <w:start w:val="1"/>
      <w:numFmt w:val="lowerLetter"/>
      <w:lvlText w:val="%1)"/>
      <w:lvlJc w:val="left"/>
      <w:pPr>
        <w:ind w:left="720" w:hanging="360"/>
      </w:pPr>
      <w:rPr>
        <w:rFonts w:eastAsia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9B84884"/>
    <w:multiLevelType w:val="hybridMultilevel"/>
    <w:tmpl w:val="563E1390"/>
    <w:lvl w:ilvl="0" w:tplc="03648C5E">
      <w:start w:val="1"/>
      <w:numFmt w:val="bullet"/>
      <w:lvlText w:val=""/>
      <w:lvlJc w:val="left"/>
      <w:pPr>
        <w:ind w:left="1020" w:hanging="360"/>
      </w:pPr>
      <w:rPr>
        <w:rFonts w:ascii="Symbol" w:hAnsi="Symbol"/>
      </w:rPr>
    </w:lvl>
    <w:lvl w:ilvl="1" w:tplc="9A683802">
      <w:start w:val="1"/>
      <w:numFmt w:val="bullet"/>
      <w:lvlText w:val=""/>
      <w:lvlJc w:val="left"/>
      <w:pPr>
        <w:ind w:left="1020" w:hanging="360"/>
      </w:pPr>
      <w:rPr>
        <w:rFonts w:ascii="Symbol" w:hAnsi="Symbol"/>
      </w:rPr>
    </w:lvl>
    <w:lvl w:ilvl="2" w:tplc="11706EF4">
      <w:start w:val="1"/>
      <w:numFmt w:val="bullet"/>
      <w:lvlText w:val=""/>
      <w:lvlJc w:val="left"/>
      <w:pPr>
        <w:ind w:left="1020" w:hanging="360"/>
      </w:pPr>
      <w:rPr>
        <w:rFonts w:ascii="Symbol" w:hAnsi="Symbol"/>
      </w:rPr>
    </w:lvl>
    <w:lvl w:ilvl="3" w:tplc="1E24D0F6">
      <w:start w:val="1"/>
      <w:numFmt w:val="bullet"/>
      <w:lvlText w:val=""/>
      <w:lvlJc w:val="left"/>
      <w:pPr>
        <w:ind w:left="1020" w:hanging="360"/>
      </w:pPr>
      <w:rPr>
        <w:rFonts w:ascii="Symbol" w:hAnsi="Symbol"/>
      </w:rPr>
    </w:lvl>
    <w:lvl w:ilvl="4" w:tplc="136EE43E">
      <w:start w:val="1"/>
      <w:numFmt w:val="bullet"/>
      <w:lvlText w:val=""/>
      <w:lvlJc w:val="left"/>
      <w:pPr>
        <w:ind w:left="1020" w:hanging="360"/>
      </w:pPr>
      <w:rPr>
        <w:rFonts w:ascii="Symbol" w:hAnsi="Symbol"/>
      </w:rPr>
    </w:lvl>
    <w:lvl w:ilvl="5" w:tplc="A5C4D5AA">
      <w:start w:val="1"/>
      <w:numFmt w:val="bullet"/>
      <w:lvlText w:val=""/>
      <w:lvlJc w:val="left"/>
      <w:pPr>
        <w:ind w:left="1020" w:hanging="360"/>
      </w:pPr>
      <w:rPr>
        <w:rFonts w:ascii="Symbol" w:hAnsi="Symbol"/>
      </w:rPr>
    </w:lvl>
    <w:lvl w:ilvl="6" w:tplc="9852FD52">
      <w:start w:val="1"/>
      <w:numFmt w:val="bullet"/>
      <w:lvlText w:val=""/>
      <w:lvlJc w:val="left"/>
      <w:pPr>
        <w:ind w:left="1020" w:hanging="360"/>
      </w:pPr>
      <w:rPr>
        <w:rFonts w:ascii="Symbol" w:hAnsi="Symbol"/>
      </w:rPr>
    </w:lvl>
    <w:lvl w:ilvl="7" w:tplc="E6FCEFA8">
      <w:start w:val="1"/>
      <w:numFmt w:val="bullet"/>
      <w:lvlText w:val=""/>
      <w:lvlJc w:val="left"/>
      <w:pPr>
        <w:ind w:left="1020" w:hanging="360"/>
      </w:pPr>
      <w:rPr>
        <w:rFonts w:ascii="Symbol" w:hAnsi="Symbol"/>
      </w:rPr>
    </w:lvl>
    <w:lvl w:ilvl="8" w:tplc="C2D87028">
      <w:start w:val="1"/>
      <w:numFmt w:val="bullet"/>
      <w:lvlText w:val=""/>
      <w:lvlJc w:val="left"/>
      <w:pPr>
        <w:ind w:left="1020" w:hanging="360"/>
      </w:pPr>
      <w:rPr>
        <w:rFonts w:ascii="Symbol" w:hAnsi="Symbol"/>
      </w:rPr>
    </w:lvl>
  </w:abstractNum>
  <w:abstractNum w:abstractNumId="46" w15:restartNumberingAfterBreak="0">
    <w:nsid w:val="7C370F02"/>
    <w:multiLevelType w:val="hybridMultilevel"/>
    <w:tmpl w:val="5FB07C66"/>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23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16cid:durableId="253511622">
    <w:abstractNumId w:val="24"/>
  </w:num>
  <w:num w:numId="2" w16cid:durableId="1568683664">
    <w:abstractNumId w:val="47"/>
  </w:num>
  <w:num w:numId="3" w16cid:durableId="2078478920">
    <w:abstractNumId w:val="5"/>
  </w:num>
  <w:num w:numId="4" w16cid:durableId="1319118939">
    <w:abstractNumId w:val="14"/>
  </w:num>
  <w:num w:numId="5" w16cid:durableId="69423460">
    <w:abstractNumId w:val="43"/>
  </w:num>
  <w:num w:numId="6" w16cid:durableId="1332832506">
    <w:abstractNumId w:val="16"/>
  </w:num>
  <w:num w:numId="7" w16cid:durableId="802967356">
    <w:abstractNumId w:val="21"/>
  </w:num>
  <w:num w:numId="8" w16cid:durableId="1457989788">
    <w:abstractNumId w:val="23"/>
  </w:num>
  <w:num w:numId="9" w16cid:durableId="159857836">
    <w:abstractNumId w:val="30"/>
  </w:num>
  <w:num w:numId="10" w16cid:durableId="1830515079">
    <w:abstractNumId w:val="4"/>
  </w:num>
  <w:num w:numId="11" w16cid:durableId="757795651">
    <w:abstractNumId w:val="39"/>
  </w:num>
  <w:num w:numId="12" w16cid:durableId="1023744156">
    <w:abstractNumId w:val="46"/>
  </w:num>
  <w:num w:numId="13" w16cid:durableId="1276215159">
    <w:abstractNumId w:val="2"/>
  </w:num>
  <w:num w:numId="14" w16cid:durableId="1800492258">
    <w:abstractNumId w:val="38"/>
  </w:num>
  <w:num w:numId="15" w16cid:durableId="1853185095">
    <w:abstractNumId w:val="42"/>
  </w:num>
  <w:num w:numId="16" w16cid:durableId="366417961">
    <w:abstractNumId w:val="1"/>
  </w:num>
  <w:num w:numId="17" w16cid:durableId="20270953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9896043">
    <w:abstractNumId w:val="44"/>
  </w:num>
  <w:num w:numId="19" w16cid:durableId="1934971891">
    <w:abstractNumId w:val="40"/>
  </w:num>
  <w:num w:numId="20" w16cid:durableId="1526015400">
    <w:abstractNumId w:val="32"/>
  </w:num>
  <w:num w:numId="21" w16cid:durableId="283194489">
    <w:abstractNumId w:val="26"/>
  </w:num>
  <w:num w:numId="22" w16cid:durableId="399714439">
    <w:abstractNumId w:val="25"/>
  </w:num>
  <w:num w:numId="23" w16cid:durableId="1706368034">
    <w:abstractNumId w:val="20"/>
  </w:num>
  <w:num w:numId="24" w16cid:durableId="1330133828">
    <w:abstractNumId w:val="8"/>
  </w:num>
  <w:num w:numId="25" w16cid:durableId="1082526894">
    <w:abstractNumId w:val="41"/>
  </w:num>
  <w:num w:numId="26" w16cid:durableId="1984844025">
    <w:abstractNumId w:val="7"/>
  </w:num>
  <w:num w:numId="27" w16cid:durableId="480512377">
    <w:abstractNumId w:val="37"/>
  </w:num>
  <w:num w:numId="28" w16cid:durableId="883250000">
    <w:abstractNumId w:val="10"/>
  </w:num>
  <w:num w:numId="29" w16cid:durableId="648636030">
    <w:abstractNumId w:val="35"/>
  </w:num>
  <w:num w:numId="30" w16cid:durableId="868953241">
    <w:abstractNumId w:val="12"/>
  </w:num>
  <w:num w:numId="31" w16cid:durableId="1454978101">
    <w:abstractNumId w:val="34"/>
  </w:num>
  <w:num w:numId="32" w16cid:durableId="1736587464">
    <w:abstractNumId w:val="13"/>
  </w:num>
  <w:num w:numId="33" w16cid:durableId="950405780">
    <w:abstractNumId w:val="6"/>
  </w:num>
  <w:num w:numId="34" w16cid:durableId="1665277408">
    <w:abstractNumId w:val="31"/>
  </w:num>
  <w:num w:numId="35" w16cid:durableId="122430944">
    <w:abstractNumId w:val="28"/>
  </w:num>
  <w:num w:numId="36" w16cid:durableId="1252928927">
    <w:abstractNumId w:val="22"/>
  </w:num>
  <w:num w:numId="37" w16cid:durableId="171573472">
    <w:abstractNumId w:val="24"/>
  </w:num>
  <w:num w:numId="38" w16cid:durableId="21216822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081717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54105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28659433">
    <w:abstractNumId w:val="19"/>
  </w:num>
  <w:num w:numId="42" w16cid:durableId="304161648">
    <w:abstractNumId w:val="9"/>
  </w:num>
  <w:num w:numId="43" w16cid:durableId="1716346678">
    <w:abstractNumId w:val="36"/>
  </w:num>
  <w:num w:numId="44" w16cid:durableId="174194968">
    <w:abstractNumId w:val="0"/>
  </w:num>
  <w:num w:numId="45" w16cid:durableId="1372195395">
    <w:abstractNumId w:val="27"/>
  </w:num>
  <w:num w:numId="46" w16cid:durableId="1475635473">
    <w:abstractNumId w:val="17"/>
  </w:num>
  <w:num w:numId="47" w16cid:durableId="1756242992">
    <w:abstractNumId w:val="29"/>
  </w:num>
  <w:num w:numId="48" w16cid:durableId="424420603">
    <w:abstractNumId w:val="45"/>
  </w:num>
  <w:num w:numId="49" w16cid:durableId="1670864007">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Harvard DoH Copy&lt;/Style&gt;&lt;LeftDelim&gt;{&lt;/LeftDelim&gt;&lt;RightDelim&gt;}&lt;/RightDelim&gt;&lt;FontName&gt;Franklin Gothic Book&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rfsw5zfedv0leetdnpxzasfd92vr5ree0d&quot;&gt;Feedback DoH Initia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record-ids&gt;&lt;/item&gt;&lt;/Libraries&gt;"/>
  </w:docVars>
  <w:rsids>
    <w:rsidRoot w:val="008157F1"/>
    <w:rsid w:val="00000454"/>
    <w:rsid w:val="0000055F"/>
    <w:rsid w:val="0000061B"/>
    <w:rsid w:val="00000645"/>
    <w:rsid w:val="0000074D"/>
    <w:rsid w:val="00000795"/>
    <w:rsid w:val="000007FA"/>
    <w:rsid w:val="000008C8"/>
    <w:rsid w:val="000009EF"/>
    <w:rsid w:val="00000A06"/>
    <w:rsid w:val="00000FE5"/>
    <w:rsid w:val="0000109A"/>
    <w:rsid w:val="000010B2"/>
    <w:rsid w:val="000011C0"/>
    <w:rsid w:val="000011D8"/>
    <w:rsid w:val="0000126A"/>
    <w:rsid w:val="000013BC"/>
    <w:rsid w:val="00001545"/>
    <w:rsid w:val="0000163B"/>
    <w:rsid w:val="0000166F"/>
    <w:rsid w:val="00001684"/>
    <w:rsid w:val="00001744"/>
    <w:rsid w:val="000018B7"/>
    <w:rsid w:val="000018EB"/>
    <w:rsid w:val="00001AE6"/>
    <w:rsid w:val="00001B4B"/>
    <w:rsid w:val="00001C85"/>
    <w:rsid w:val="00001CB9"/>
    <w:rsid w:val="00001CEA"/>
    <w:rsid w:val="00001D35"/>
    <w:rsid w:val="00001D7F"/>
    <w:rsid w:val="00001DD5"/>
    <w:rsid w:val="00001E1A"/>
    <w:rsid w:val="00001E74"/>
    <w:rsid w:val="00001FE5"/>
    <w:rsid w:val="000020B3"/>
    <w:rsid w:val="000020D5"/>
    <w:rsid w:val="000021BF"/>
    <w:rsid w:val="000022F6"/>
    <w:rsid w:val="000023A4"/>
    <w:rsid w:val="000025BD"/>
    <w:rsid w:val="00002737"/>
    <w:rsid w:val="00002805"/>
    <w:rsid w:val="000028C6"/>
    <w:rsid w:val="00002A02"/>
    <w:rsid w:val="00002A97"/>
    <w:rsid w:val="00002B3B"/>
    <w:rsid w:val="00002C94"/>
    <w:rsid w:val="00002E56"/>
    <w:rsid w:val="00002FD6"/>
    <w:rsid w:val="0000312B"/>
    <w:rsid w:val="0000324D"/>
    <w:rsid w:val="00003276"/>
    <w:rsid w:val="000032E4"/>
    <w:rsid w:val="000035B6"/>
    <w:rsid w:val="00003648"/>
    <w:rsid w:val="000036AB"/>
    <w:rsid w:val="000036F7"/>
    <w:rsid w:val="000037AE"/>
    <w:rsid w:val="000037E1"/>
    <w:rsid w:val="00003800"/>
    <w:rsid w:val="000038C7"/>
    <w:rsid w:val="0000391B"/>
    <w:rsid w:val="000039B4"/>
    <w:rsid w:val="00003AC8"/>
    <w:rsid w:val="00003B4D"/>
    <w:rsid w:val="00003BE8"/>
    <w:rsid w:val="00003C26"/>
    <w:rsid w:val="00003C99"/>
    <w:rsid w:val="00003CA2"/>
    <w:rsid w:val="00003DB8"/>
    <w:rsid w:val="00003DEF"/>
    <w:rsid w:val="00003E6D"/>
    <w:rsid w:val="00003E77"/>
    <w:rsid w:val="00003ECE"/>
    <w:rsid w:val="00003F8F"/>
    <w:rsid w:val="000041B1"/>
    <w:rsid w:val="00004231"/>
    <w:rsid w:val="0000425F"/>
    <w:rsid w:val="000043D7"/>
    <w:rsid w:val="0000448B"/>
    <w:rsid w:val="000044B6"/>
    <w:rsid w:val="000047B0"/>
    <w:rsid w:val="00004870"/>
    <w:rsid w:val="000048CF"/>
    <w:rsid w:val="000049D8"/>
    <w:rsid w:val="00004D69"/>
    <w:rsid w:val="00004ED3"/>
    <w:rsid w:val="00004EFA"/>
    <w:rsid w:val="00004F7F"/>
    <w:rsid w:val="000054C9"/>
    <w:rsid w:val="000055A1"/>
    <w:rsid w:val="000055AC"/>
    <w:rsid w:val="0000569A"/>
    <w:rsid w:val="0000574A"/>
    <w:rsid w:val="000057EB"/>
    <w:rsid w:val="00005875"/>
    <w:rsid w:val="00005920"/>
    <w:rsid w:val="00005A61"/>
    <w:rsid w:val="00005C80"/>
    <w:rsid w:val="00005CFB"/>
    <w:rsid w:val="00005F78"/>
    <w:rsid w:val="00006119"/>
    <w:rsid w:val="00006362"/>
    <w:rsid w:val="000063BF"/>
    <w:rsid w:val="00006522"/>
    <w:rsid w:val="00006A25"/>
    <w:rsid w:val="00006AD4"/>
    <w:rsid w:val="00006D95"/>
    <w:rsid w:val="00006E0A"/>
    <w:rsid w:val="00006E57"/>
    <w:rsid w:val="00006E66"/>
    <w:rsid w:val="00006FC5"/>
    <w:rsid w:val="00007098"/>
    <w:rsid w:val="00007167"/>
    <w:rsid w:val="000071A0"/>
    <w:rsid w:val="0000740E"/>
    <w:rsid w:val="0000742A"/>
    <w:rsid w:val="00007754"/>
    <w:rsid w:val="000077C4"/>
    <w:rsid w:val="00007958"/>
    <w:rsid w:val="00007A80"/>
    <w:rsid w:val="00007AA3"/>
    <w:rsid w:val="00007ADC"/>
    <w:rsid w:val="00007D9A"/>
    <w:rsid w:val="00007EFF"/>
    <w:rsid w:val="00010157"/>
    <w:rsid w:val="00010162"/>
    <w:rsid w:val="00010369"/>
    <w:rsid w:val="0001039A"/>
    <w:rsid w:val="00010463"/>
    <w:rsid w:val="00010656"/>
    <w:rsid w:val="000108DA"/>
    <w:rsid w:val="00010902"/>
    <w:rsid w:val="00010996"/>
    <w:rsid w:val="00010AD7"/>
    <w:rsid w:val="00010B70"/>
    <w:rsid w:val="00010CAC"/>
    <w:rsid w:val="00010CB1"/>
    <w:rsid w:val="00010D4F"/>
    <w:rsid w:val="00010D9C"/>
    <w:rsid w:val="00010E5B"/>
    <w:rsid w:val="0001109A"/>
    <w:rsid w:val="00011179"/>
    <w:rsid w:val="0001121A"/>
    <w:rsid w:val="000113B4"/>
    <w:rsid w:val="0001141F"/>
    <w:rsid w:val="00011527"/>
    <w:rsid w:val="00011568"/>
    <w:rsid w:val="00011699"/>
    <w:rsid w:val="000116BA"/>
    <w:rsid w:val="00011A12"/>
    <w:rsid w:val="00011B77"/>
    <w:rsid w:val="00011C9B"/>
    <w:rsid w:val="00011EAD"/>
    <w:rsid w:val="00011F9C"/>
    <w:rsid w:val="00012144"/>
    <w:rsid w:val="000124AB"/>
    <w:rsid w:val="00012625"/>
    <w:rsid w:val="000126AB"/>
    <w:rsid w:val="000127E0"/>
    <w:rsid w:val="00012983"/>
    <w:rsid w:val="00012B9B"/>
    <w:rsid w:val="00012C1E"/>
    <w:rsid w:val="00012C2A"/>
    <w:rsid w:val="00012C79"/>
    <w:rsid w:val="00012D04"/>
    <w:rsid w:val="00012D9C"/>
    <w:rsid w:val="00012E1A"/>
    <w:rsid w:val="00012E93"/>
    <w:rsid w:val="00012FE3"/>
    <w:rsid w:val="00012FE8"/>
    <w:rsid w:val="000130FD"/>
    <w:rsid w:val="00013100"/>
    <w:rsid w:val="000133D0"/>
    <w:rsid w:val="00013401"/>
    <w:rsid w:val="00013538"/>
    <w:rsid w:val="00013721"/>
    <w:rsid w:val="00013729"/>
    <w:rsid w:val="000138C3"/>
    <w:rsid w:val="00013B2B"/>
    <w:rsid w:val="00013C7B"/>
    <w:rsid w:val="00013CB6"/>
    <w:rsid w:val="00013F2C"/>
    <w:rsid w:val="00013FFF"/>
    <w:rsid w:val="000140E6"/>
    <w:rsid w:val="000144BF"/>
    <w:rsid w:val="0001475D"/>
    <w:rsid w:val="000148C4"/>
    <w:rsid w:val="00014974"/>
    <w:rsid w:val="00014A26"/>
    <w:rsid w:val="00014A6C"/>
    <w:rsid w:val="00014B02"/>
    <w:rsid w:val="00014BFD"/>
    <w:rsid w:val="00014CEB"/>
    <w:rsid w:val="00014D1F"/>
    <w:rsid w:val="00015083"/>
    <w:rsid w:val="00015418"/>
    <w:rsid w:val="000156CD"/>
    <w:rsid w:val="0001574D"/>
    <w:rsid w:val="00015A4A"/>
    <w:rsid w:val="00015A76"/>
    <w:rsid w:val="00015B00"/>
    <w:rsid w:val="00015C08"/>
    <w:rsid w:val="00015C31"/>
    <w:rsid w:val="00015D64"/>
    <w:rsid w:val="00015DEE"/>
    <w:rsid w:val="000162C5"/>
    <w:rsid w:val="00016455"/>
    <w:rsid w:val="00016AEF"/>
    <w:rsid w:val="00016B9C"/>
    <w:rsid w:val="00016F2B"/>
    <w:rsid w:val="00017265"/>
    <w:rsid w:val="00017497"/>
    <w:rsid w:val="000174D0"/>
    <w:rsid w:val="00017527"/>
    <w:rsid w:val="000175B5"/>
    <w:rsid w:val="0001772D"/>
    <w:rsid w:val="00017791"/>
    <w:rsid w:val="000177BC"/>
    <w:rsid w:val="0001789E"/>
    <w:rsid w:val="0001797D"/>
    <w:rsid w:val="00017AC5"/>
    <w:rsid w:val="00017D25"/>
    <w:rsid w:val="00017F4D"/>
    <w:rsid w:val="0002023D"/>
    <w:rsid w:val="0002032C"/>
    <w:rsid w:val="00020372"/>
    <w:rsid w:val="000203A9"/>
    <w:rsid w:val="000203E4"/>
    <w:rsid w:val="000203EB"/>
    <w:rsid w:val="00020420"/>
    <w:rsid w:val="0002063A"/>
    <w:rsid w:val="00020711"/>
    <w:rsid w:val="00020764"/>
    <w:rsid w:val="00020793"/>
    <w:rsid w:val="0002086F"/>
    <w:rsid w:val="00020A19"/>
    <w:rsid w:val="00020A87"/>
    <w:rsid w:val="00020E33"/>
    <w:rsid w:val="00021015"/>
    <w:rsid w:val="000210FD"/>
    <w:rsid w:val="00021492"/>
    <w:rsid w:val="0002157A"/>
    <w:rsid w:val="00021686"/>
    <w:rsid w:val="000218C3"/>
    <w:rsid w:val="00021996"/>
    <w:rsid w:val="000219E6"/>
    <w:rsid w:val="00021A63"/>
    <w:rsid w:val="00021B38"/>
    <w:rsid w:val="00021D8E"/>
    <w:rsid w:val="00021FB2"/>
    <w:rsid w:val="000220E3"/>
    <w:rsid w:val="0002223E"/>
    <w:rsid w:val="00022297"/>
    <w:rsid w:val="000222E5"/>
    <w:rsid w:val="0002233C"/>
    <w:rsid w:val="000223DF"/>
    <w:rsid w:val="0002243E"/>
    <w:rsid w:val="000224A2"/>
    <w:rsid w:val="000226B0"/>
    <w:rsid w:val="000227A4"/>
    <w:rsid w:val="000227BD"/>
    <w:rsid w:val="000228B8"/>
    <w:rsid w:val="000228E2"/>
    <w:rsid w:val="00022D18"/>
    <w:rsid w:val="00022D7C"/>
    <w:rsid w:val="00022E50"/>
    <w:rsid w:val="00022ECB"/>
    <w:rsid w:val="00022FB4"/>
    <w:rsid w:val="00023032"/>
    <w:rsid w:val="00023154"/>
    <w:rsid w:val="0002323F"/>
    <w:rsid w:val="00023329"/>
    <w:rsid w:val="00023375"/>
    <w:rsid w:val="0002354C"/>
    <w:rsid w:val="0002354F"/>
    <w:rsid w:val="00023706"/>
    <w:rsid w:val="0002381B"/>
    <w:rsid w:val="000238E8"/>
    <w:rsid w:val="000239E8"/>
    <w:rsid w:val="000239F1"/>
    <w:rsid w:val="00023A64"/>
    <w:rsid w:val="00023A86"/>
    <w:rsid w:val="00023AB2"/>
    <w:rsid w:val="00023C3F"/>
    <w:rsid w:val="00023D54"/>
    <w:rsid w:val="00023E7D"/>
    <w:rsid w:val="00023F97"/>
    <w:rsid w:val="000240C0"/>
    <w:rsid w:val="0002412F"/>
    <w:rsid w:val="0002426E"/>
    <w:rsid w:val="000242A2"/>
    <w:rsid w:val="00024474"/>
    <w:rsid w:val="000244A0"/>
    <w:rsid w:val="00024610"/>
    <w:rsid w:val="0002469F"/>
    <w:rsid w:val="00024789"/>
    <w:rsid w:val="00024833"/>
    <w:rsid w:val="00024982"/>
    <w:rsid w:val="000249F0"/>
    <w:rsid w:val="000249F2"/>
    <w:rsid w:val="00024C8C"/>
    <w:rsid w:val="00024C97"/>
    <w:rsid w:val="00024D23"/>
    <w:rsid w:val="00024EA5"/>
    <w:rsid w:val="00024F68"/>
    <w:rsid w:val="0002501E"/>
    <w:rsid w:val="0002525B"/>
    <w:rsid w:val="000252E0"/>
    <w:rsid w:val="000252EF"/>
    <w:rsid w:val="000253A4"/>
    <w:rsid w:val="00025571"/>
    <w:rsid w:val="00025621"/>
    <w:rsid w:val="00025711"/>
    <w:rsid w:val="0002573E"/>
    <w:rsid w:val="0002581D"/>
    <w:rsid w:val="00025883"/>
    <w:rsid w:val="0002596B"/>
    <w:rsid w:val="000259C0"/>
    <w:rsid w:val="00025AC2"/>
    <w:rsid w:val="00025D48"/>
    <w:rsid w:val="00025DC6"/>
    <w:rsid w:val="00025E33"/>
    <w:rsid w:val="0002609C"/>
    <w:rsid w:val="000261F6"/>
    <w:rsid w:val="000265D2"/>
    <w:rsid w:val="000267E8"/>
    <w:rsid w:val="0002693A"/>
    <w:rsid w:val="0002696D"/>
    <w:rsid w:val="00026A47"/>
    <w:rsid w:val="00026C6C"/>
    <w:rsid w:val="00026DA2"/>
    <w:rsid w:val="00026DDC"/>
    <w:rsid w:val="00026DF8"/>
    <w:rsid w:val="00026E31"/>
    <w:rsid w:val="00026EC5"/>
    <w:rsid w:val="00026FC5"/>
    <w:rsid w:val="00027046"/>
    <w:rsid w:val="00027060"/>
    <w:rsid w:val="0002720D"/>
    <w:rsid w:val="0002722A"/>
    <w:rsid w:val="000272C6"/>
    <w:rsid w:val="00027367"/>
    <w:rsid w:val="000273B7"/>
    <w:rsid w:val="00027460"/>
    <w:rsid w:val="000274ED"/>
    <w:rsid w:val="00027552"/>
    <w:rsid w:val="0002755F"/>
    <w:rsid w:val="0002767E"/>
    <w:rsid w:val="0002770F"/>
    <w:rsid w:val="000278C8"/>
    <w:rsid w:val="0002792D"/>
    <w:rsid w:val="000279F8"/>
    <w:rsid w:val="00027AAE"/>
    <w:rsid w:val="00027B05"/>
    <w:rsid w:val="00027B11"/>
    <w:rsid w:val="00027CB2"/>
    <w:rsid w:val="00027CDF"/>
    <w:rsid w:val="00027CFD"/>
    <w:rsid w:val="00027E31"/>
    <w:rsid w:val="00027EBF"/>
    <w:rsid w:val="00027FBF"/>
    <w:rsid w:val="00027FF6"/>
    <w:rsid w:val="00030233"/>
    <w:rsid w:val="00030242"/>
    <w:rsid w:val="000303BA"/>
    <w:rsid w:val="000305C9"/>
    <w:rsid w:val="00030618"/>
    <w:rsid w:val="000307E6"/>
    <w:rsid w:val="0003086F"/>
    <w:rsid w:val="0003087E"/>
    <w:rsid w:val="00030B26"/>
    <w:rsid w:val="00030B9D"/>
    <w:rsid w:val="00030BF2"/>
    <w:rsid w:val="00030D1E"/>
    <w:rsid w:val="00031131"/>
    <w:rsid w:val="000311CC"/>
    <w:rsid w:val="0003122F"/>
    <w:rsid w:val="000313BA"/>
    <w:rsid w:val="0003193E"/>
    <w:rsid w:val="00031BE5"/>
    <w:rsid w:val="00031CC5"/>
    <w:rsid w:val="00031CE7"/>
    <w:rsid w:val="00031D2B"/>
    <w:rsid w:val="00031FDC"/>
    <w:rsid w:val="0003225D"/>
    <w:rsid w:val="0003226F"/>
    <w:rsid w:val="000322F3"/>
    <w:rsid w:val="0003256B"/>
    <w:rsid w:val="000326C0"/>
    <w:rsid w:val="0003285A"/>
    <w:rsid w:val="0003287F"/>
    <w:rsid w:val="00032A9C"/>
    <w:rsid w:val="00032D32"/>
    <w:rsid w:val="00032D41"/>
    <w:rsid w:val="00032D53"/>
    <w:rsid w:val="00032D65"/>
    <w:rsid w:val="00032E0C"/>
    <w:rsid w:val="00032E7D"/>
    <w:rsid w:val="00032FAD"/>
    <w:rsid w:val="000333F4"/>
    <w:rsid w:val="00033426"/>
    <w:rsid w:val="00033578"/>
    <w:rsid w:val="000335C8"/>
    <w:rsid w:val="000335ED"/>
    <w:rsid w:val="00033779"/>
    <w:rsid w:val="00033972"/>
    <w:rsid w:val="000339BD"/>
    <w:rsid w:val="00033D46"/>
    <w:rsid w:val="00033D92"/>
    <w:rsid w:val="00033F27"/>
    <w:rsid w:val="000340BE"/>
    <w:rsid w:val="0003412B"/>
    <w:rsid w:val="0003423A"/>
    <w:rsid w:val="00034255"/>
    <w:rsid w:val="000342B5"/>
    <w:rsid w:val="0003434B"/>
    <w:rsid w:val="0003446C"/>
    <w:rsid w:val="00034584"/>
    <w:rsid w:val="00034614"/>
    <w:rsid w:val="000346AE"/>
    <w:rsid w:val="0003477F"/>
    <w:rsid w:val="00034B47"/>
    <w:rsid w:val="00034BBF"/>
    <w:rsid w:val="00034BE5"/>
    <w:rsid w:val="00034C0C"/>
    <w:rsid w:val="00034C5E"/>
    <w:rsid w:val="00034D11"/>
    <w:rsid w:val="00034FDF"/>
    <w:rsid w:val="000350C5"/>
    <w:rsid w:val="00035101"/>
    <w:rsid w:val="00035254"/>
    <w:rsid w:val="00035263"/>
    <w:rsid w:val="00035452"/>
    <w:rsid w:val="000356A3"/>
    <w:rsid w:val="0003589E"/>
    <w:rsid w:val="00035B59"/>
    <w:rsid w:val="00035DB7"/>
    <w:rsid w:val="00035F12"/>
    <w:rsid w:val="00035F74"/>
    <w:rsid w:val="00035FC6"/>
    <w:rsid w:val="00036025"/>
    <w:rsid w:val="00036046"/>
    <w:rsid w:val="0003610F"/>
    <w:rsid w:val="000361C0"/>
    <w:rsid w:val="00036330"/>
    <w:rsid w:val="0003637D"/>
    <w:rsid w:val="000364AD"/>
    <w:rsid w:val="000364F0"/>
    <w:rsid w:val="000365E6"/>
    <w:rsid w:val="0003671B"/>
    <w:rsid w:val="00036736"/>
    <w:rsid w:val="0003675D"/>
    <w:rsid w:val="000367FF"/>
    <w:rsid w:val="000368A7"/>
    <w:rsid w:val="000368C7"/>
    <w:rsid w:val="000369BE"/>
    <w:rsid w:val="00036AD8"/>
    <w:rsid w:val="00036B62"/>
    <w:rsid w:val="00036C01"/>
    <w:rsid w:val="00036DBF"/>
    <w:rsid w:val="00036F5F"/>
    <w:rsid w:val="00037037"/>
    <w:rsid w:val="000370FF"/>
    <w:rsid w:val="00037272"/>
    <w:rsid w:val="0003729C"/>
    <w:rsid w:val="00037302"/>
    <w:rsid w:val="00037395"/>
    <w:rsid w:val="00037456"/>
    <w:rsid w:val="00037487"/>
    <w:rsid w:val="000376D4"/>
    <w:rsid w:val="00037799"/>
    <w:rsid w:val="00037986"/>
    <w:rsid w:val="00037A9F"/>
    <w:rsid w:val="00037AF4"/>
    <w:rsid w:val="00037B42"/>
    <w:rsid w:val="00037E5F"/>
    <w:rsid w:val="00037F49"/>
    <w:rsid w:val="0004001F"/>
    <w:rsid w:val="0004005D"/>
    <w:rsid w:val="000400C8"/>
    <w:rsid w:val="00040147"/>
    <w:rsid w:val="00040422"/>
    <w:rsid w:val="000404AD"/>
    <w:rsid w:val="000405CA"/>
    <w:rsid w:val="0004079E"/>
    <w:rsid w:val="000409A2"/>
    <w:rsid w:val="00040ADF"/>
    <w:rsid w:val="00040B09"/>
    <w:rsid w:val="00040C91"/>
    <w:rsid w:val="00040EC4"/>
    <w:rsid w:val="00040EFC"/>
    <w:rsid w:val="00040FB4"/>
    <w:rsid w:val="00040FD1"/>
    <w:rsid w:val="0004102B"/>
    <w:rsid w:val="0004117B"/>
    <w:rsid w:val="0004153C"/>
    <w:rsid w:val="0004163D"/>
    <w:rsid w:val="00041686"/>
    <w:rsid w:val="0004178C"/>
    <w:rsid w:val="00041853"/>
    <w:rsid w:val="00041923"/>
    <w:rsid w:val="00041B49"/>
    <w:rsid w:val="00041B61"/>
    <w:rsid w:val="00041C45"/>
    <w:rsid w:val="00041DCD"/>
    <w:rsid w:val="00041E47"/>
    <w:rsid w:val="00041F2B"/>
    <w:rsid w:val="00041F5D"/>
    <w:rsid w:val="000422B4"/>
    <w:rsid w:val="000422D6"/>
    <w:rsid w:val="000424FE"/>
    <w:rsid w:val="00042657"/>
    <w:rsid w:val="000427B5"/>
    <w:rsid w:val="000427FC"/>
    <w:rsid w:val="000428B2"/>
    <w:rsid w:val="000428C1"/>
    <w:rsid w:val="00042BC9"/>
    <w:rsid w:val="00042E28"/>
    <w:rsid w:val="00042E56"/>
    <w:rsid w:val="00042FFC"/>
    <w:rsid w:val="000430C6"/>
    <w:rsid w:val="000431DD"/>
    <w:rsid w:val="00043355"/>
    <w:rsid w:val="00043393"/>
    <w:rsid w:val="000436A2"/>
    <w:rsid w:val="000436E8"/>
    <w:rsid w:val="0004374B"/>
    <w:rsid w:val="00043808"/>
    <w:rsid w:val="00043A15"/>
    <w:rsid w:val="00043AC8"/>
    <w:rsid w:val="00043B25"/>
    <w:rsid w:val="00043B2E"/>
    <w:rsid w:val="00043E70"/>
    <w:rsid w:val="00043ED4"/>
    <w:rsid w:val="00043EEF"/>
    <w:rsid w:val="00043F82"/>
    <w:rsid w:val="000441ED"/>
    <w:rsid w:val="00044276"/>
    <w:rsid w:val="000442A5"/>
    <w:rsid w:val="000442F5"/>
    <w:rsid w:val="000443A6"/>
    <w:rsid w:val="00044516"/>
    <w:rsid w:val="0004461C"/>
    <w:rsid w:val="00044704"/>
    <w:rsid w:val="00044730"/>
    <w:rsid w:val="00044925"/>
    <w:rsid w:val="000449D1"/>
    <w:rsid w:val="00044B94"/>
    <w:rsid w:val="00044E12"/>
    <w:rsid w:val="00045053"/>
    <w:rsid w:val="00045561"/>
    <w:rsid w:val="00045568"/>
    <w:rsid w:val="000455BF"/>
    <w:rsid w:val="00045607"/>
    <w:rsid w:val="00045715"/>
    <w:rsid w:val="00045722"/>
    <w:rsid w:val="0004574B"/>
    <w:rsid w:val="0004574F"/>
    <w:rsid w:val="000457A0"/>
    <w:rsid w:val="000457E9"/>
    <w:rsid w:val="0004593A"/>
    <w:rsid w:val="00045955"/>
    <w:rsid w:val="00045A32"/>
    <w:rsid w:val="00045B8D"/>
    <w:rsid w:val="00045BEA"/>
    <w:rsid w:val="00045CC5"/>
    <w:rsid w:val="00045ECA"/>
    <w:rsid w:val="00045F41"/>
    <w:rsid w:val="00046065"/>
    <w:rsid w:val="00046115"/>
    <w:rsid w:val="0004614E"/>
    <w:rsid w:val="0004617D"/>
    <w:rsid w:val="0004628B"/>
    <w:rsid w:val="000464FE"/>
    <w:rsid w:val="00046648"/>
    <w:rsid w:val="000466F0"/>
    <w:rsid w:val="00046701"/>
    <w:rsid w:val="00046768"/>
    <w:rsid w:val="000468FA"/>
    <w:rsid w:val="00046A28"/>
    <w:rsid w:val="00046B6A"/>
    <w:rsid w:val="00046E5F"/>
    <w:rsid w:val="0004707D"/>
    <w:rsid w:val="000470DB"/>
    <w:rsid w:val="00047158"/>
    <w:rsid w:val="0004722E"/>
    <w:rsid w:val="00047237"/>
    <w:rsid w:val="000472D4"/>
    <w:rsid w:val="00047319"/>
    <w:rsid w:val="00047555"/>
    <w:rsid w:val="00047594"/>
    <w:rsid w:val="000476B8"/>
    <w:rsid w:val="000477DD"/>
    <w:rsid w:val="000477FE"/>
    <w:rsid w:val="0004791A"/>
    <w:rsid w:val="000479B1"/>
    <w:rsid w:val="00047D03"/>
    <w:rsid w:val="00047E87"/>
    <w:rsid w:val="00047F34"/>
    <w:rsid w:val="00047FE0"/>
    <w:rsid w:val="00050188"/>
    <w:rsid w:val="00050366"/>
    <w:rsid w:val="0005040C"/>
    <w:rsid w:val="00050622"/>
    <w:rsid w:val="000506AE"/>
    <w:rsid w:val="00050707"/>
    <w:rsid w:val="00050981"/>
    <w:rsid w:val="000509AD"/>
    <w:rsid w:val="000509B9"/>
    <w:rsid w:val="000509CF"/>
    <w:rsid w:val="00050A27"/>
    <w:rsid w:val="00050BC4"/>
    <w:rsid w:val="00050F30"/>
    <w:rsid w:val="00050FB1"/>
    <w:rsid w:val="0005107D"/>
    <w:rsid w:val="000511C1"/>
    <w:rsid w:val="000513FE"/>
    <w:rsid w:val="00051499"/>
    <w:rsid w:val="0005151A"/>
    <w:rsid w:val="00051537"/>
    <w:rsid w:val="0005180F"/>
    <w:rsid w:val="00051B8E"/>
    <w:rsid w:val="00051C58"/>
    <w:rsid w:val="00051F03"/>
    <w:rsid w:val="000520D4"/>
    <w:rsid w:val="0005218D"/>
    <w:rsid w:val="000521C6"/>
    <w:rsid w:val="00052200"/>
    <w:rsid w:val="00052203"/>
    <w:rsid w:val="00052307"/>
    <w:rsid w:val="00052511"/>
    <w:rsid w:val="000526C8"/>
    <w:rsid w:val="00052882"/>
    <w:rsid w:val="000528E2"/>
    <w:rsid w:val="00052C80"/>
    <w:rsid w:val="00052DD3"/>
    <w:rsid w:val="00052F84"/>
    <w:rsid w:val="00052F9C"/>
    <w:rsid w:val="000530BF"/>
    <w:rsid w:val="000530CF"/>
    <w:rsid w:val="00053199"/>
    <w:rsid w:val="000531B8"/>
    <w:rsid w:val="0005326D"/>
    <w:rsid w:val="0005332C"/>
    <w:rsid w:val="0005343D"/>
    <w:rsid w:val="0005359B"/>
    <w:rsid w:val="000535A6"/>
    <w:rsid w:val="00053703"/>
    <w:rsid w:val="000537EE"/>
    <w:rsid w:val="00053F6C"/>
    <w:rsid w:val="000541CC"/>
    <w:rsid w:val="0005420E"/>
    <w:rsid w:val="000543F4"/>
    <w:rsid w:val="00054562"/>
    <w:rsid w:val="0005471D"/>
    <w:rsid w:val="0005475C"/>
    <w:rsid w:val="00054827"/>
    <w:rsid w:val="00054934"/>
    <w:rsid w:val="000549BC"/>
    <w:rsid w:val="000549E6"/>
    <w:rsid w:val="00054A96"/>
    <w:rsid w:val="00054BAC"/>
    <w:rsid w:val="00054CBB"/>
    <w:rsid w:val="00054D34"/>
    <w:rsid w:val="00054ED2"/>
    <w:rsid w:val="00055038"/>
    <w:rsid w:val="00055056"/>
    <w:rsid w:val="000550D8"/>
    <w:rsid w:val="000551AA"/>
    <w:rsid w:val="000554E3"/>
    <w:rsid w:val="00055588"/>
    <w:rsid w:val="00055614"/>
    <w:rsid w:val="00055636"/>
    <w:rsid w:val="0005570F"/>
    <w:rsid w:val="0005578B"/>
    <w:rsid w:val="000557A1"/>
    <w:rsid w:val="00055A42"/>
    <w:rsid w:val="00055B13"/>
    <w:rsid w:val="00055CC7"/>
    <w:rsid w:val="00055DD1"/>
    <w:rsid w:val="00055E06"/>
    <w:rsid w:val="00056067"/>
    <w:rsid w:val="00056098"/>
    <w:rsid w:val="0005610A"/>
    <w:rsid w:val="000561AC"/>
    <w:rsid w:val="000562D9"/>
    <w:rsid w:val="0005659B"/>
    <w:rsid w:val="00056621"/>
    <w:rsid w:val="0005667F"/>
    <w:rsid w:val="000567D0"/>
    <w:rsid w:val="00056864"/>
    <w:rsid w:val="000568CF"/>
    <w:rsid w:val="00056B2E"/>
    <w:rsid w:val="00056C06"/>
    <w:rsid w:val="00056C59"/>
    <w:rsid w:val="00056D81"/>
    <w:rsid w:val="00056F08"/>
    <w:rsid w:val="00056F36"/>
    <w:rsid w:val="00057334"/>
    <w:rsid w:val="0005741A"/>
    <w:rsid w:val="000575B1"/>
    <w:rsid w:val="000575DB"/>
    <w:rsid w:val="00057B9B"/>
    <w:rsid w:val="00057D30"/>
    <w:rsid w:val="00057D8A"/>
    <w:rsid w:val="00057E60"/>
    <w:rsid w:val="00057E64"/>
    <w:rsid w:val="000600FA"/>
    <w:rsid w:val="0006015A"/>
    <w:rsid w:val="0006015D"/>
    <w:rsid w:val="0006017B"/>
    <w:rsid w:val="000603BF"/>
    <w:rsid w:val="000605E6"/>
    <w:rsid w:val="0006081F"/>
    <w:rsid w:val="0006082F"/>
    <w:rsid w:val="00060960"/>
    <w:rsid w:val="00060C83"/>
    <w:rsid w:val="000610B7"/>
    <w:rsid w:val="00061270"/>
    <w:rsid w:val="000614CA"/>
    <w:rsid w:val="0006165C"/>
    <w:rsid w:val="00061A67"/>
    <w:rsid w:val="00061A6D"/>
    <w:rsid w:val="00061C41"/>
    <w:rsid w:val="00061C75"/>
    <w:rsid w:val="00061CC0"/>
    <w:rsid w:val="00061D0F"/>
    <w:rsid w:val="00061D38"/>
    <w:rsid w:val="00061EFE"/>
    <w:rsid w:val="00062269"/>
    <w:rsid w:val="00062620"/>
    <w:rsid w:val="00062888"/>
    <w:rsid w:val="000628F9"/>
    <w:rsid w:val="0006296A"/>
    <w:rsid w:val="000629C6"/>
    <w:rsid w:val="00062A3D"/>
    <w:rsid w:val="00062AE4"/>
    <w:rsid w:val="00062BAC"/>
    <w:rsid w:val="00062D9F"/>
    <w:rsid w:val="00062E1B"/>
    <w:rsid w:val="00062FC9"/>
    <w:rsid w:val="00062FD3"/>
    <w:rsid w:val="00063045"/>
    <w:rsid w:val="0006307A"/>
    <w:rsid w:val="0006307F"/>
    <w:rsid w:val="000631C7"/>
    <w:rsid w:val="00063281"/>
    <w:rsid w:val="0006339C"/>
    <w:rsid w:val="00063449"/>
    <w:rsid w:val="000635D3"/>
    <w:rsid w:val="00063667"/>
    <w:rsid w:val="000636ED"/>
    <w:rsid w:val="00063854"/>
    <w:rsid w:val="0006392B"/>
    <w:rsid w:val="0006392D"/>
    <w:rsid w:val="000639A3"/>
    <w:rsid w:val="00063A2F"/>
    <w:rsid w:val="00063A8B"/>
    <w:rsid w:val="00063B4A"/>
    <w:rsid w:val="00063D0F"/>
    <w:rsid w:val="00063E82"/>
    <w:rsid w:val="00063ED7"/>
    <w:rsid w:val="00063F20"/>
    <w:rsid w:val="00064053"/>
    <w:rsid w:val="00064466"/>
    <w:rsid w:val="000645E3"/>
    <w:rsid w:val="00064783"/>
    <w:rsid w:val="000647C2"/>
    <w:rsid w:val="00064A98"/>
    <w:rsid w:val="00064B84"/>
    <w:rsid w:val="00064E4F"/>
    <w:rsid w:val="00064EF4"/>
    <w:rsid w:val="00064F14"/>
    <w:rsid w:val="00064F7E"/>
    <w:rsid w:val="00065001"/>
    <w:rsid w:val="00065023"/>
    <w:rsid w:val="0006502F"/>
    <w:rsid w:val="0006518F"/>
    <w:rsid w:val="000651AD"/>
    <w:rsid w:val="000651B6"/>
    <w:rsid w:val="00065292"/>
    <w:rsid w:val="000652B1"/>
    <w:rsid w:val="000652E4"/>
    <w:rsid w:val="00065441"/>
    <w:rsid w:val="00065825"/>
    <w:rsid w:val="0006588E"/>
    <w:rsid w:val="00065A4D"/>
    <w:rsid w:val="00065C4F"/>
    <w:rsid w:val="00065DD5"/>
    <w:rsid w:val="00065F58"/>
    <w:rsid w:val="00066014"/>
    <w:rsid w:val="0006616B"/>
    <w:rsid w:val="000661DD"/>
    <w:rsid w:val="000662D8"/>
    <w:rsid w:val="000662EE"/>
    <w:rsid w:val="00066664"/>
    <w:rsid w:val="0006698B"/>
    <w:rsid w:val="00066A6A"/>
    <w:rsid w:val="00066B1A"/>
    <w:rsid w:val="00066B68"/>
    <w:rsid w:val="00066C59"/>
    <w:rsid w:val="00066CE8"/>
    <w:rsid w:val="00066DC8"/>
    <w:rsid w:val="00066EA2"/>
    <w:rsid w:val="00066EF7"/>
    <w:rsid w:val="00066FBF"/>
    <w:rsid w:val="00066FD6"/>
    <w:rsid w:val="00067160"/>
    <w:rsid w:val="00067214"/>
    <w:rsid w:val="000672FB"/>
    <w:rsid w:val="00067450"/>
    <w:rsid w:val="000674E8"/>
    <w:rsid w:val="00067738"/>
    <w:rsid w:val="0006783E"/>
    <w:rsid w:val="00067845"/>
    <w:rsid w:val="000679A0"/>
    <w:rsid w:val="000679EC"/>
    <w:rsid w:val="00067A81"/>
    <w:rsid w:val="00067DDB"/>
    <w:rsid w:val="00067EA6"/>
    <w:rsid w:val="00067F38"/>
    <w:rsid w:val="00067FA1"/>
    <w:rsid w:val="0007021F"/>
    <w:rsid w:val="00070231"/>
    <w:rsid w:val="000702D4"/>
    <w:rsid w:val="00070708"/>
    <w:rsid w:val="000709A0"/>
    <w:rsid w:val="000709B7"/>
    <w:rsid w:val="00070D3F"/>
    <w:rsid w:val="00070DBE"/>
    <w:rsid w:val="0007107C"/>
    <w:rsid w:val="00071114"/>
    <w:rsid w:val="0007123F"/>
    <w:rsid w:val="000714F7"/>
    <w:rsid w:val="00071620"/>
    <w:rsid w:val="000716A1"/>
    <w:rsid w:val="0007185B"/>
    <w:rsid w:val="00071A5D"/>
    <w:rsid w:val="00071A8A"/>
    <w:rsid w:val="00071AE1"/>
    <w:rsid w:val="00071E07"/>
    <w:rsid w:val="00071F6F"/>
    <w:rsid w:val="0007234B"/>
    <w:rsid w:val="00072360"/>
    <w:rsid w:val="00072361"/>
    <w:rsid w:val="00072371"/>
    <w:rsid w:val="000724B7"/>
    <w:rsid w:val="000724BA"/>
    <w:rsid w:val="00072557"/>
    <w:rsid w:val="000725F4"/>
    <w:rsid w:val="00072653"/>
    <w:rsid w:val="000726AA"/>
    <w:rsid w:val="000726E0"/>
    <w:rsid w:val="0007275B"/>
    <w:rsid w:val="00072965"/>
    <w:rsid w:val="00072B01"/>
    <w:rsid w:val="00072BBD"/>
    <w:rsid w:val="00072BE4"/>
    <w:rsid w:val="00072CE9"/>
    <w:rsid w:val="00072CF7"/>
    <w:rsid w:val="00072D0C"/>
    <w:rsid w:val="00072DF5"/>
    <w:rsid w:val="00072EC4"/>
    <w:rsid w:val="00072F24"/>
    <w:rsid w:val="00072F66"/>
    <w:rsid w:val="00072FEC"/>
    <w:rsid w:val="000731B6"/>
    <w:rsid w:val="000733DE"/>
    <w:rsid w:val="000734F7"/>
    <w:rsid w:val="000736B9"/>
    <w:rsid w:val="00073719"/>
    <w:rsid w:val="00073AFC"/>
    <w:rsid w:val="00073C37"/>
    <w:rsid w:val="00073D76"/>
    <w:rsid w:val="00073DBD"/>
    <w:rsid w:val="00073E05"/>
    <w:rsid w:val="00073F17"/>
    <w:rsid w:val="0007418F"/>
    <w:rsid w:val="00074199"/>
    <w:rsid w:val="00074598"/>
    <w:rsid w:val="00074600"/>
    <w:rsid w:val="00074647"/>
    <w:rsid w:val="000747FB"/>
    <w:rsid w:val="000748AE"/>
    <w:rsid w:val="00074C0A"/>
    <w:rsid w:val="00074CEF"/>
    <w:rsid w:val="00074DEE"/>
    <w:rsid w:val="00074F9D"/>
    <w:rsid w:val="0007503E"/>
    <w:rsid w:val="000750B4"/>
    <w:rsid w:val="000759D2"/>
    <w:rsid w:val="000759D3"/>
    <w:rsid w:val="00075BA7"/>
    <w:rsid w:val="00075F88"/>
    <w:rsid w:val="0007606F"/>
    <w:rsid w:val="000760DB"/>
    <w:rsid w:val="000761BC"/>
    <w:rsid w:val="0007641D"/>
    <w:rsid w:val="00076753"/>
    <w:rsid w:val="000767CE"/>
    <w:rsid w:val="0007684D"/>
    <w:rsid w:val="00076875"/>
    <w:rsid w:val="000768BA"/>
    <w:rsid w:val="000769D2"/>
    <w:rsid w:val="00076A2E"/>
    <w:rsid w:val="00076A35"/>
    <w:rsid w:val="00076B6E"/>
    <w:rsid w:val="00076C40"/>
    <w:rsid w:val="00076D9D"/>
    <w:rsid w:val="00077068"/>
    <w:rsid w:val="00077082"/>
    <w:rsid w:val="0007737F"/>
    <w:rsid w:val="000774FB"/>
    <w:rsid w:val="000777BF"/>
    <w:rsid w:val="00077826"/>
    <w:rsid w:val="0007797A"/>
    <w:rsid w:val="00077A25"/>
    <w:rsid w:val="00077CAA"/>
    <w:rsid w:val="00077E08"/>
    <w:rsid w:val="00077EFF"/>
    <w:rsid w:val="00077FC9"/>
    <w:rsid w:val="00080222"/>
    <w:rsid w:val="00080241"/>
    <w:rsid w:val="00080358"/>
    <w:rsid w:val="0008042C"/>
    <w:rsid w:val="000805A3"/>
    <w:rsid w:val="000806C4"/>
    <w:rsid w:val="00080716"/>
    <w:rsid w:val="000809EE"/>
    <w:rsid w:val="00080A94"/>
    <w:rsid w:val="00080ABC"/>
    <w:rsid w:val="00080BB0"/>
    <w:rsid w:val="00080CAA"/>
    <w:rsid w:val="00081141"/>
    <w:rsid w:val="00081206"/>
    <w:rsid w:val="000813B5"/>
    <w:rsid w:val="000813E5"/>
    <w:rsid w:val="00081509"/>
    <w:rsid w:val="00081778"/>
    <w:rsid w:val="00081854"/>
    <w:rsid w:val="00081A54"/>
    <w:rsid w:val="00081AB6"/>
    <w:rsid w:val="00081B04"/>
    <w:rsid w:val="00081C9D"/>
    <w:rsid w:val="00081CF8"/>
    <w:rsid w:val="00081DA0"/>
    <w:rsid w:val="00081FAB"/>
    <w:rsid w:val="0008210F"/>
    <w:rsid w:val="00082145"/>
    <w:rsid w:val="0008229F"/>
    <w:rsid w:val="00082366"/>
    <w:rsid w:val="00082462"/>
    <w:rsid w:val="0008268E"/>
    <w:rsid w:val="000826BD"/>
    <w:rsid w:val="000829AD"/>
    <w:rsid w:val="00082F5F"/>
    <w:rsid w:val="0008320C"/>
    <w:rsid w:val="0008343A"/>
    <w:rsid w:val="000834F9"/>
    <w:rsid w:val="00083674"/>
    <w:rsid w:val="000838E0"/>
    <w:rsid w:val="00083AC4"/>
    <w:rsid w:val="000841D8"/>
    <w:rsid w:val="000842FF"/>
    <w:rsid w:val="000845D3"/>
    <w:rsid w:val="000845E3"/>
    <w:rsid w:val="00084622"/>
    <w:rsid w:val="0008488A"/>
    <w:rsid w:val="000848E5"/>
    <w:rsid w:val="000848F1"/>
    <w:rsid w:val="00084929"/>
    <w:rsid w:val="00084956"/>
    <w:rsid w:val="00084A7A"/>
    <w:rsid w:val="00084BF0"/>
    <w:rsid w:val="00084BF2"/>
    <w:rsid w:val="00084C4F"/>
    <w:rsid w:val="00084C50"/>
    <w:rsid w:val="00084C59"/>
    <w:rsid w:val="00084E0D"/>
    <w:rsid w:val="00084F78"/>
    <w:rsid w:val="00084F82"/>
    <w:rsid w:val="0008517C"/>
    <w:rsid w:val="0008517E"/>
    <w:rsid w:val="00085180"/>
    <w:rsid w:val="000852A0"/>
    <w:rsid w:val="000854C9"/>
    <w:rsid w:val="00085635"/>
    <w:rsid w:val="0008599A"/>
    <w:rsid w:val="000859B3"/>
    <w:rsid w:val="00085BA6"/>
    <w:rsid w:val="00085E68"/>
    <w:rsid w:val="00085E76"/>
    <w:rsid w:val="000861A8"/>
    <w:rsid w:val="00086213"/>
    <w:rsid w:val="00086220"/>
    <w:rsid w:val="00086245"/>
    <w:rsid w:val="00086351"/>
    <w:rsid w:val="0008671C"/>
    <w:rsid w:val="00086735"/>
    <w:rsid w:val="00086989"/>
    <w:rsid w:val="00086C42"/>
    <w:rsid w:val="00086CCC"/>
    <w:rsid w:val="000870B6"/>
    <w:rsid w:val="0008720E"/>
    <w:rsid w:val="0008762C"/>
    <w:rsid w:val="00087859"/>
    <w:rsid w:val="00087866"/>
    <w:rsid w:val="00087A39"/>
    <w:rsid w:val="00087CB5"/>
    <w:rsid w:val="00087DD3"/>
    <w:rsid w:val="00087EE6"/>
    <w:rsid w:val="00087EF0"/>
    <w:rsid w:val="00087EF8"/>
    <w:rsid w:val="00090039"/>
    <w:rsid w:val="000900F1"/>
    <w:rsid w:val="000902B8"/>
    <w:rsid w:val="0009034F"/>
    <w:rsid w:val="000903A1"/>
    <w:rsid w:val="000904C5"/>
    <w:rsid w:val="00090519"/>
    <w:rsid w:val="00090613"/>
    <w:rsid w:val="000908B7"/>
    <w:rsid w:val="0009095D"/>
    <w:rsid w:val="00090960"/>
    <w:rsid w:val="00090977"/>
    <w:rsid w:val="00090A3B"/>
    <w:rsid w:val="00090A7A"/>
    <w:rsid w:val="00090A7D"/>
    <w:rsid w:val="00090B4E"/>
    <w:rsid w:val="00090B55"/>
    <w:rsid w:val="00090BD1"/>
    <w:rsid w:val="00090C73"/>
    <w:rsid w:val="00090E44"/>
    <w:rsid w:val="00090FD2"/>
    <w:rsid w:val="00091294"/>
    <w:rsid w:val="000912EF"/>
    <w:rsid w:val="000913CE"/>
    <w:rsid w:val="0009150B"/>
    <w:rsid w:val="000916DC"/>
    <w:rsid w:val="0009171C"/>
    <w:rsid w:val="00091857"/>
    <w:rsid w:val="00091899"/>
    <w:rsid w:val="00091BA7"/>
    <w:rsid w:val="00091C59"/>
    <w:rsid w:val="00091C72"/>
    <w:rsid w:val="00091C86"/>
    <w:rsid w:val="00091E09"/>
    <w:rsid w:val="00091E2A"/>
    <w:rsid w:val="00091E3D"/>
    <w:rsid w:val="00091F2C"/>
    <w:rsid w:val="00092051"/>
    <w:rsid w:val="000922E0"/>
    <w:rsid w:val="00092429"/>
    <w:rsid w:val="0009247F"/>
    <w:rsid w:val="0009252D"/>
    <w:rsid w:val="00092550"/>
    <w:rsid w:val="00092806"/>
    <w:rsid w:val="00092A21"/>
    <w:rsid w:val="00092CE2"/>
    <w:rsid w:val="00092D01"/>
    <w:rsid w:val="00092D92"/>
    <w:rsid w:val="00092ECB"/>
    <w:rsid w:val="00093035"/>
    <w:rsid w:val="000930D8"/>
    <w:rsid w:val="00093112"/>
    <w:rsid w:val="0009318E"/>
    <w:rsid w:val="000931FD"/>
    <w:rsid w:val="00093271"/>
    <w:rsid w:val="000933F0"/>
    <w:rsid w:val="00093599"/>
    <w:rsid w:val="00093659"/>
    <w:rsid w:val="00093805"/>
    <w:rsid w:val="0009385E"/>
    <w:rsid w:val="00093903"/>
    <w:rsid w:val="00093A4E"/>
    <w:rsid w:val="00093A60"/>
    <w:rsid w:val="00093A65"/>
    <w:rsid w:val="00093AC2"/>
    <w:rsid w:val="00093CD8"/>
    <w:rsid w:val="00093D8A"/>
    <w:rsid w:val="00093D9A"/>
    <w:rsid w:val="00093FA6"/>
    <w:rsid w:val="000941ED"/>
    <w:rsid w:val="00094454"/>
    <w:rsid w:val="000944C4"/>
    <w:rsid w:val="000944F1"/>
    <w:rsid w:val="000945A2"/>
    <w:rsid w:val="000945D7"/>
    <w:rsid w:val="00094656"/>
    <w:rsid w:val="0009478E"/>
    <w:rsid w:val="000948AC"/>
    <w:rsid w:val="000949AF"/>
    <w:rsid w:val="00094A7A"/>
    <w:rsid w:val="00094AD2"/>
    <w:rsid w:val="00094B30"/>
    <w:rsid w:val="00094CBB"/>
    <w:rsid w:val="00095271"/>
    <w:rsid w:val="00095429"/>
    <w:rsid w:val="00095449"/>
    <w:rsid w:val="000955CE"/>
    <w:rsid w:val="000957E2"/>
    <w:rsid w:val="00095836"/>
    <w:rsid w:val="00095948"/>
    <w:rsid w:val="00095AD4"/>
    <w:rsid w:val="00095E0D"/>
    <w:rsid w:val="00095EE3"/>
    <w:rsid w:val="00095FA7"/>
    <w:rsid w:val="0009600F"/>
    <w:rsid w:val="00096134"/>
    <w:rsid w:val="0009616C"/>
    <w:rsid w:val="00096253"/>
    <w:rsid w:val="000962AB"/>
    <w:rsid w:val="0009642A"/>
    <w:rsid w:val="000964A6"/>
    <w:rsid w:val="00096508"/>
    <w:rsid w:val="0009657C"/>
    <w:rsid w:val="000965A2"/>
    <w:rsid w:val="0009665B"/>
    <w:rsid w:val="000966B6"/>
    <w:rsid w:val="000968FA"/>
    <w:rsid w:val="00096909"/>
    <w:rsid w:val="00096962"/>
    <w:rsid w:val="00096A1F"/>
    <w:rsid w:val="00096B52"/>
    <w:rsid w:val="00096B95"/>
    <w:rsid w:val="00096DA0"/>
    <w:rsid w:val="00096E00"/>
    <w:rsid w:val="00096EFB"/>
    <w:rsid w:val="00097204"/>
    <w:rsid w:val="00097244"/>
    <w:rsid w:val="0009739A"/>
    <w:rsid w:val="00097568"/>
    <w:rsid w:val="0009759D"/>
    <w:rsid w:val="0009763F"/>
    <w:rsid w:val="0009778E"/>
    <w:rsid w:val="000977B2"/>
    <w:rsid w:val="00097A40"/>
    <w:rsid w:val="00097B6C"/>
    <w:rsid w:val="00097BF3"/>
    <w:rsid w:val="00097C16"/>
    <w:rsid w:val="00097EA9"/>
    <w:rsid w:val="00097F7F"/>
    <w:rsid w:val="00097FEE"/>
    <w:rsid w:val="000A01F8"/>
    <w:rsid w:val="000A0270"/>
    <w:rsid w:val="000A02AD"/>
    <w:rsid w:val="000A0408"/>
    <w:rsid w:val="000A0546"/>
    <w:rsid w:val="000A0858"/>
    <w:rsid w:val="000A0A66"/>
    <w:rsid w:val="000A0DDB"/>
    <w:rsid w:val="000A0F92"/>
    <w:rsid w:val="000A10BF"/>
    <w:rsid w:val="000A11D2"/>
    <w:rsid w:val="000A1212"/>
    <w:rsid w:val="000A1218"/>
    <w:rsid w:val="000A128E"/>
    <w:rsid w:val="000A12BF"/>
    <w:rsid w:val="000A145F"/>
    <w:rsid w:val="000A15A4"/>
    <w:rsid w:val="000A1699"/>
    <w:rsid w:val="000A16B0"/>
    <w:rsid w:val="000A17FF"/>
    <w:rsid w:val="000A182E"/>
    <w:rsid w:val="000A1A6A"/>
    <w:rsid w:val="000A1B0A"/>
    <w:rsid w:val="000A1B7D"/>
    <w:rsid w:val="000A1BDE"/>
    <w:rsid w:val="000A1C8E"/>
    <w:rsid w:val="000A1D39"/>
    <w:rsid w:val="000A1D56"/>
    <w:rsid w:val="000A2155"/>
    <w:rsid w:val="000A21D1"/>
    <w:rsid w:val="000A262B"/>
    <w:rsid w:val="000A2765"/>
    <w:rsid w:val="000A27EA"/>
    <w:rsid w:val="000A2ACD"/>
    <w:rsid w:val="000A2AE8"/>
    <w:rsid w:val="000A2B65"/>
    <w:rsid w:val="000A2B80"/>
    <w:rsid w:val="000A2C10"/>
    <w:rsid w:val="000A2C19"/>
    <w:rsid w:val="000A2C61"/>
    <w:rsid w:val="000A2DA8"/>
    <w:rsid w:val="000A2E4C"/>
    <w:rsid w:val="000A2F36"/>
    <w:rsid w:val="000A2F61"/>
    <w:rsid w:val="000A308B"/>
    <w:rsid w:val="000A32E7"/>
    <w:rsid w:val="000A33C3"/>
    <w:rsid w:val="000A33F0"/>
    <w:rsid w:val="000A3702"/>
    <w:rsid w:val="000A3748"/>
    <w:rsid w:val="000A38C6"/>
    <w:rsid w:val="000A3C51"/>
    <w:rsid w:val="000A3CA9"/>
    <w:rsid w:val="000A3D34"/>
    <w:rsid w:val="000A3DF9"/>
    <w:rsid w:val="000A4082"/>
    <w:rsid w:val="000A437D"/>
    <w:rsid w:val="000A4A1B"/>
    <w:rsid w:val="000A4AC6"/>
    <w:rsid w:val="000A4CD9"/>
    <w:rsid w:val="000A4D7C"/>
    <w:rsid w:val="000A4EB8"/>
    <w:rsid w:val="000A4F1F"/>
    <w:rsid w:val="000A50CF"/>
    <w:rsid w:val="000A50EA"/>
    <w:rsid w:val="000A50F4"/>
    <w:rsid w:val="000A534F"/>
    <w:rsid w:val="000A56B7"/>
    <w:rsid w:val="000A5820"/>
    <w:rsid w:val="000A58A9"/>
    <w:rsid w:val="000A594F"/>
    <w:rsid w:val="000A59CD"/>
    <w:rsid w:val="000A5B00"/>
    <w:rsid w:val="000A5C47"/>
    <w:rsid w:val="000A5C5C"/>
    <w:rsid w:val="000A5CB7"/>
    <w:rsid w:val="000A5D42"/>
    <w:rsid w:val="000A5D8D"/>
    <w:rsid w:val="000A5ED6"/>
    <w:rsid w:val="000A61AE"/>
    <w:rsid w:val="000A61BB"/>
    <w:rsid w:val="000A620E"/>
    <w:rsid w:val="000A6225"/>
    <w:rsid w:val="000A629E"/>
    <w:rsid w:val="000A6320"/>
    <w:rsid w:val="000A6508"/>
    <w:rsid w:val="000A6561"/>
    <w:rsid w:val="000A6582"/>
    <w:rsid w:val="000A66A0"/>
    <w:rsid w:val="000A67C6"/>
    <w:rsid w:val="000A68C1"/>
    <w:rsid w:val="000A6A0E"/>
    <w:rsid w:val="000A6AE7"/>
    <w:rsid w:val="000A6B30"/>
    <w:rsid w:val="000A6B8E"/>
    <w:rsid w:val="000A6CD3"/>
    <w:rsid w:val="000A6D1B"/>
    <w:rsid w:val="000A6F5D"/>
    <w:rsid w:val="000A6FA5"/>
    <w:rsid w:val="000A710B"/>
    <w:rsid w:val="000A712A"/>
    <w:rsid w:val="000A71DA"/>
    <w:rsid w:val="000A723E"/>
    <w:rsid w:val="000A7249"/>
    <w:rsid w:val="000A7369"/>
    <w:rsid w:val="000A75C4"/>
    <w:rsid w:val="000A785B"/>
    <w:rsid w:val="000A7883"/>
    <w:rsid w:val="000A7982"/>
    <w:rsid w:val="000A79BF"/>
    <w:rsid w:val="000A7A68"/>
    <w:rsid w:val="000A7B78"/>
    <w:rsid w:val="000A7E12"/>
    <w:rsid w:val="000A7E71"/>
    <w:rsid w:val="000A7FAA"/>
    <w:rsid w:val="000A7FAB"/>
    <w:rsid w:val="000A7FE5"/>
    <w:rsid w:val="000B01E1"/>
    <w:rsid w:val="000B041F"/>
    <w:rsid w:val="000B042D"/>
    <w:rsid w:val="000B057D"/>
    <w:rsid w:val="000B0610"/>
    <w:rsid w:val="000B0912"/>
    <w:rsid w:val="000B09B7"/>
    <w:rsid w:val="000B0AE5"/>
    <w:rsid w:val="000B0D01"/>
    <w:rsid w:val="000B0FC0"/>
    <w:rsid w:val="000B10B7"/>
    <w:rsid w:val="000B1364"/>
    <w:rsid w:val="000B13CE"/>
    <w:rsid w:val="000B1561"/>
    <w:rsid w:val="000B1670"/>
    <w:rsid w:val="000B174E"/>
    <w:rsid w:val="000B19C5"/>
    <w:rsid w:val="000B1A1F"/>
    <w:rsid w:val="000B1BDB"/>
    <w:rsid w:val="000B1EB6"/>
    <w:rsid w:val="000B1FFE"/>
    <w:rsid w:val="000B2014"/>
    <w:rsid w:val="000B20CB"/>
    <w:rsid w:val="000B213F"/>
    <w:rsid w:val="000B2186"/>
    <w:rsid w:val="000B228E"/>
    <w:rsid w:val="000B2462"/>
    <w:rsid w:val="000B24A8"/>
    <w:rsid w:val="000B24AD"/>
    <w:rsid w:val="000B24C6"/>
    <w:rsid w:val="000B2510"/>
    <w:rsid w:val="000B2834"/>
    <w:rsid w:val="000B2894"/>
    <w:rsid w:val="000B28D8"/>
    <w:rsid w:val="000B2BFA"/>
    <w:rsid w:val="000B2E4F"/>
    <w:rsid w:val="000B2E88"/>
    <w:rsid w:val="000B2EB1"/>
    <w:rsid w:val="000B315B"/>
    <w:rsid w:val="000B3330"/>
    <w:rsid w:val="000B3381"/>
    <w:rsid w:val="000B3569"/>
    <w:rsid w:val="000B3623"/>
    <w:rsid w:val="000B3797"/>
    <w:rsid w:val="000B397D"/>
    <w:rsid w:val="000B3A72"/>
    <w:rsid w:val="000B3ADC"/>
    <w:rsid w:val="000B3B43"/>
    <w:rsid w:val="000B3B7C"/>
    <w:rsid w:val="000B3BEC"/>
    <w:rsid w:val="000B3C12"/>
    <w:rsid w:val="000B3CA7"/>
    <w:rsid w:val="000B3D1B"/>
    <w:rsid w:val="000B3E2C"/>
    <w:rsid w:val="000B3FB2"/>
    <w:rsid w:val="000B408B"/>
    <w:rsid w:val="000B4173"/>
    <w:rsid w:val="000B42F1"/>
    <w:rsid w:val="000B4320"/>
    <w:rsid w:val="000B435A"/>
    <w:rsid w:val="000B45AD"/>
    <w:rsid w:val="000B4659"/>
    <w:rsid w:val="000B471A"/>
    <w:rsid w:val="000B4798"/>
    <w:rsid w:val="000B4A5C"/>
    <w:rsid w:val="000B4A6C"/>
    <w:rsid w:val="000B4D3F"/>
    <w:rsid w:val="000B4E79"/>
    <w:rsid w:val="000B4F5C"/>
    <w:rsid w:val="000B50C5"/>
    <w:rsid w:val="000B519C"/>
    <w:rsid w:val="000B52C8"/>
    <w:rsid w:val="000B5439"/>
    <w:rsid w:val="000B55AE"/>
    <w:rsid w:val="000B55B0"/>
    <w:rsid w:val="000B57C9"/>
    <w:rsid w:val="000B58C5"/>
    <w:rsid w:val="000B5991"/>
    <w:rsid w:val="000B5D15"/>
    <w:rsid w:val="000B5E2B"/>
    <w:rsid w:val="000B5F8F"/>
    <w:rsid w:val="000B60C7"/>
    <w:rsid w:val="000B6259"/>
    <w:rsid w:val="000B625B"/>
    <w:rsid w:val="000B64AF"/>
    <w:rsid w:val="000B65A0"/>
    <w:rsid w:val="000B66AA"/>
    <w:rsid w:val="000B6715"/>
    <w:rsid w:val="000B6908"/>
    <w:rsid w:val="000B693E"/>
    <w:rsid w:val="000B6987"/>
    <w:rsid w:val="000B6CF0"/>
    <w:rsid w:val="000B6D48"/>
    <w:rsid w:val="000B6DA6"/>
    <w:rsid w:val="000B6FB1"/>
    <w:rsid w:val="000B70AA"/>
    <w:rsid w:val="000B715C"/>
    <w:rsid w:val="000B720C"/>
    <w:rsid w:val="000B7250"/>
    <w:rsid w:val="000B7288"/>
    <w:rsid w:val="000B73C4"/>
    <w:rsid w:val="000B7518"/>
    <w:rsid w:val="000B7665"/>
    <w:rsid w:val="000B77A1"/>
    <w:rsid w:val="000B787D"/>
    <w:rsid w:val="000B7C36"/>
    <w:rsid w:val="000B7CD0"/>
    <w:rsid w:val="000B7CD5"/>
    <w:rsid w:val="000C005E"/>
    <w:rsid w:val="000C00C2"/>
    <w:rsid w:val="000C0167"/>
    <w:rsid w:val="000C0196"/>
    <w:rsid w:val="000C024B"/>
    <w:rsid w:val="000C0345"/>
    <w:rsid w:val="000C0524"/>
    <w:rsid w:val="000C058F"/>
    <w:rsid w:val="000C068B"/>
    <w:rsid w:val="000C06AC"/>
    <w:rsid w:val="000C0872"/>
    <w:rsid w:val="000C0931"/>
    <w:rsid w:val="000C0984"/>
    <w:rsid w:val="000C0AB0"/>
    <w:rsid w:val="000C0ABC"/>
    <w:rsid w:val="000C0B65"/>
    <w:rsid w:val="000C0BCE"/>
    <w:rsid w:val="000C0BD9"/>
    <w:rsid w:val="000C0BF0"/>
    <w:rsid w:val="000C0EAE"/>
    <w:rsid w:val="000C119D"/>
    <w:rsid w:val="000C1258"/>
    <w:rsid w:val="000C126C"/>
    <w:rsid w:val="000C14DD"/>
    <w:rsid w:val="000C152C"/>
    <w:rsid w:val="000C153D"/>
    <w:rsid w:val="000C17B6"/>
    <w:rsid w:val="000C17C1"/>
    <w:rsid w:val="000C19A7"/>
    <w:rsid w:val="000C1A8B"/>
    <w:rsid w:val="000C1A9F"/>
    <w:rsid w:val="000C1D77"/>
    <w:rsid w:val="000C1DB7"/>
    <w:rsid w:val="000C1E25"/>
    <w:rsid w:val="000C1F0C"/>
    <w:rsid w:val="000C206E"/>
    <w:rsid w:val="000C2186"/>
    <w:rsid w:val="000C2405"/>
    <w:rsid w:val="000C248C"/>
    <w:rsid w:val="000C2513"/>
    <w:rsid w:val="000C2832"/>
    <w:rsid w:val="000C288C"/>
    <w:rsid w:val="000C28A3"/>
    <w:rsid w:val="000C2949"/>
    <w:rsid w:val="000C29EC"/>
    <w:rsid w:val="000C2CC0"/>
    <w:rsid w:val="000C2E89"/>
    <w:rsid w:val="000C2E98"/>
    <w:rsid w:val="000C2E9B"/>
    <w:rsid w:val="000C2EFD"/>
    <w:rsid w:val="000C2FCA"/>
    <w:rsid w:val="000C30BE"/>
    <w:rsid w:val="000C30C9"/>
    <w:rsid w:val="000C31AD"/>
    <w:rsid w:val="000C31BB"/>
    <w:rsid w:val="000C34A0"/>
    <w:rsid w:val="000C352D"/>
    <w:rsid w:val="000C363D"/>
    <w:rsid w:val="000C3640"/>
    <w:rsid w:val="000C3657"/>
    <w:rsid w:val="000C3850"/>
    <w:rsid w:val="000C38DE"/>
    <w:rsid w:val="000C3AAC"/>
    <w:rsid w:val="000C3C49"/>
    <w:rsid w:val="000C3D83"/>
    <w:rsid w:val="000C3DD3"/>
    <w:rsid w:val="000C3E56"/>
    <w:rsid w:val="000C3ECC"/>
    <w:rsid w:val="000C3F90"/>
    <w:rsid w:val="000C4013"/>
    <w:rsid w:val="000C415E"/>
    <w:rsid w:val="000C424E"/>
    <w:rsid w:val="000C4302"/>
    <w:rsid w:val="000C434C"/>
    <w:rsid w:val="000C4472"/>
    <w:rsid w:val="000C4645"/>
    <w:rsid w:val="000C4745"/>
    <w:rsid w:val="000C4873"/>
    <w:rsid w:val="000C4956"/>
    <w:rsid w:val="000C4C18"/>
    <w:rsid w:val="000C4D48"/>
    <w:rsid w:val="000C4F71"/>
    <w:rsid w:val="000C5025"/>
    <w:rsid w:val="000C50D6"/>
    <w:rsid w:val="000C5181"/>
    <w:rsid w:val="000C52EB"/>
    <w:rsid w:val="000C54D9"/>
    <w:rsid w:val="000C5692"/>
    <w:rsid w:val="000C5A1B"/>
    <w:rsid w:val="000C5BB7"/>
    <w:rsid w:val="000C5BFC"/>
    <w:rsid w:val="000C5C21"/>
    <w:rsid w:val="000C5DCB"/>
    <w:rsid w:val="000C6023"/>
    <w:rsid w:val="000C6030"/>
    <w:rsid w:val="000C6079"/>
    <w:rsid w:val="000C60F1"/>
    <w:rsid w:val="000C648C"/>
    <w:rsid w:val="000C64C8"/>
    <w:rsid w:val="000C6643"/>
    <w:rsid w:val="000C664D"/>
    <w:rsid w:val="000C69B2"/>
    <w:rsid w:val="000C69CC"/>
    <w:rsid w:val="000C6BDD"/>
    <w:rsid w:val="000C6CE0"/>
    <w:rsid w:val="000C6D59"/>
    <w:rsid w:val="000C6E23"/>
    <w:rsid w:val="000C6E2D"/>
    <w:rsid w:val="000C72A4"/>
    <w:rsid w:val="000C733C"/>
    <w:rsid w:val="000C7411"/>
    <w:rsid w:val="000C7497"/>
    <w:rsid w:val="000C7509"/>
    <w:rsid w:val="000C75FA"/>
    <w:rsid w:val="000C76A7"/>
    <w:rsid w:val="000C76B6"/>
    <w:rsid w:val="000C76D6"/>
    <w:rsid w:val="000C76EA"/>
    <w:rsid w:val="000C78F7"/>
    <w:rsid w:val="000C7963"/>
    <w:rsid w:val="000C7AAB"/>
    <w:rsid w:val="000C7AFA"/>
    <w:rsid w:val="000C7BF7"/>
    <w:rsid w:val="000C7C46"/>
    <w:rsid w:val="000C7C97"/>
    <w:rsid w:val="000C7EE9"/>
    <w:rsid w:val="000C7FC2"/>
    <w:rsid w:val="000D00BB"/>
    <w:rsid w:val="000D00F7"/>
    <w:rsid w:val="000D0199"/>
    <w:rsid w:val="000D02F1"/>
    <w:rsid w:val="000D0407"/>
    <w:rsid w:val="000D0437"/>
    <w:rsid w:val="000D049F"/>
    <w:rsid w:val="000D04D8"/>
    <w:rsid w:val="000D0514"/>
    <w:rsid w:val="000D05DE"/>
    <w:rsid w:val="000D069C"/>
    <w:rsid w:val="000D0849"/>
    <w:rsid w:val="000D0A78"/>
    <w:rsid w:val="000D0ADD"/>
    <w:rsid w:val="000D0C25"/>
    <w:rsid w:val="000D0C57"/>
    <w:rsid w:val="000D0E06"/>
    <w:rsid w:val="000D0FA0"/>
    <w:rsid w:val="000D0FD0"/>
    <w:rsid w:val="000D10F7"/>
    <w:rsid w:val="000D11EF"/>
    <w:rsid w:val="000D127D"/>
    <w:rsid w:val="000D128C"/>
    <w:rsid w:val="000D1513"/>
    <w:rsid w:val="000D1570"/>
    <w:rsid w:val="000D15A0"/>
    <w:rsid w:val="000D1721"/>
    <w:rsid w:val="000D181C"/>
    <w:rsid w:val="000D187C"/>
    <w:rsid w:val="000D192A"/>
    <w:rsid w:val="000D19BD"/>
    <w:rsid w:val="000D1A61"/>
    <w:rsid w:val="000D1B52"/>
    <w:rsid w:val="000D1BB2"/>
    <w:rsid w:val="000D1BC7"/>
    <w:rsid w:val="000D1F92"/>
    <w:rsid w:val="000D201D"/>
    <w:rsid w:val="000D204D"/>
    <w:rsid w:val="000D213F"/>
    <w:rsid w:val="000D23CA"/>
    <w:rsid w:val="000D254A"/>
    <w:rsid w:val="000D25FB"/>
    <w:rsid w:val="000D2716"/>
    <w:rsid w:val="000D27D0"/>
    <w:rsid w:val="000D2A2F"/>
    <w:rsid w:val="000D2F08"/>
    <w:rsid w:val="000D32A1"/>
    <w:rsid w:val="000D32CC"/>
    <w:rsid w:val="000D35EF"/>
    <w:rsid w:val="000D3893"/>
    <w:rsid w:val="000D3A90"/>
    <w:rsid w:val="000D3B56"/>
    <w:rsid w:val="000D3CC9"/>
    <w:rsid w:val="000D3D14"/>
    <w:rsid w:val="000D412B"/>
    <w:rsid w:val="000D4236"/>
    <w:rsid w:val="000D4394"/>
    <w:rsid w:val="000D4503"/>
    <w:rsid w:val="000D4917"/>
    <w:rsid w:val="000D4A1C"/>
    <w:rsid w:val="000D4ABE"/>
    <w:rsid w:val="000D4B6E"/>
    <w:rsid w:val="000D4BD5"/>
    <w:rsid w:val="000D4BEE"/>
    <w:rsid w:val="000D4C1B"/>
    <w:rsid w:val="000D4C37"/>
    <w:rsid w:val="000D4CD8"/>
    <w:rsid w:val="000D4D4B"/>
    <w:rsid w:val="000D4EC0"/>
    <w:rsid w:val="000D4F16"/>
    <w:rsid w:val="000D52BD"/>
    <w:rsid w:val="000D5406"/>
    <w:rsid w:val="000D5479"/>
    <w:rsid w:val="000D5523"/>
    <w:rsid w:val="000D55B3"/>
    <w:rsid w:val="000D5C82"/>
    <w:rsid w:val="000D602A"/>
    <w:rsid w:val="000D613E"/>
    <w:rsid w:val="000D6184"/>
    <w:rsid w:val="000D6493"/>
    <w:rsid w:val="000D6624"/>
    <w:rsid w:val="000D663B"/>
    <w:rsid w:val="000D68D1"/>
    <w:rsid w:val="000D6970"/>
    <w:rsid w:val="000D6BA5"/>
    <w:rsid w:val="000D6CBC"/>
    <w:rsid w:val="000D6D43"/>
    <w:rsid w:val="000D6DF6"/>
    <w:rsid w:val="000D6EE8"/>
    <w:rsid w:val="000D6FBD"/>
    <w:rsid w:val="000D7036"/>
    <w:rsid w:val="000D7136"/>
    <w:rsid w:val="000D7158"/>
    <w:rsid w:val="000D72BC"/>
    <w:rsid w:val="000D72DB"/>
    <w:rsid w:val="000D7373"/>
    <w:rsid w:val="000D77FB"/>
    <w:rsid w:val="000D78C9"/>
    <w:rsid w:val="000D7AB5"/>
    <w:rsid w:val="000D7D01"/>
    <w:rsid w:val="000D7D72"/>
    <w:rsid w:val="000D7D9C"/>
    <w:rsid w:val="000D7EB8"/>
    <w:rsid w:val="000E006A"/>
    <w:rsid w:val="000E00EC"/>
    <w:rsid w:val="000E0203"/>
    <w:rsid w:val="000E03DC"/>
    <w:rsid w:val="000E04A5"/>
    <w:rsid w:val="000E04D2"/>
    <w:rsid w:val="000E0553"/>
    <w:rsid w:val="000E0635"/>
    <w:rsid w:val="000E08B4"/>
    <w:rsid w:val="000E0A4A"/>
    <w:rsid w:val="000E0BD2"/>
    <w:rsid w:val="000E0D68"/>
    <w:rsid w:val="000E0E72"/>
    <w:rsid w:val="000E1124"/>
    <w:rsid w:val="000E11BD"/>
    <w:rsid w:val="000E1244"/>
    <w:rsid w:val="000E12B9"/>
    <w:rsid w:val="000E12D3"/>
    <w:rsid w:val="000E1320"/>
    <w:rsid w:val="000E13CE"/>
    <w:rsid w:val="000E147E"/>
    <w:rsid w:val="000E14FC"/>
    <w:rsid w:val="000E16B9"/>
    <w:rsid w:val="000E16BB"/>
    <w:rsid w:val="000E16F3"/>
    <w:rsid w:val="000E1862"/>
    <w:rsid w:val="000E18B9"/>
    <w:rsid w:val="000E19D0"/>
    <w:rsid w:val="000E1E2D"/>
    <w:rsid w:val="000E1EBA"/>
    <w:rsid w:val="000E1F7F"/>
    <w:rsid w:val="000E2119"/>
    <w:rsid w:val="000E215C"/>
    <w:rsid w:val="000E23BB"/>
    <w:rsid w:val="000E25C5"/>
    <w:rsid w:val="000E2825"/>
    <w:rsid w:val="000E2966"/>
    <w:rsid w:val="000E2ACD"/>
    <w:rsid w:val="000E2B60"/>
    <w:rsid w:val="000E2D5C"/>
    <w:rsid w:val="000E2D99"/>
    <w:rsid w:val="000E2DE5"/>
    <w:rsid w:val="000E2DF2"/>
    <w:rsid w:val="000E2E44"/>
    <w:rsid w:val="000E2E7C"/>
    <w:rsid w:val="000E2E8F"/>
    <w:rsid w:val="000E2ED1"/>
    <w:rsid w:val="000E2EF9"/>
    <w:rsid w:val="000E2F61"/>
    <w:rsid w:val="000E3277"/>
    <w:rsid w:val="000E32F7"/>
    <w:rsid w:val="000E33E3"/>
    <w:rsid w:val="000E3963"/>
    <w:rsid w:val="000E39CF"/>
    <w:rsid w:val="000E39F1"/>
    <w:rsid w:val="000E3A90"/>
    <w:rsid w:val="000E3ADC"/>
    <w:rsid w:val="000E3B61"/>
    <w:rsid w:val="000E3FC1"/>
    <w:rsid w:val="000E41CF"/>
    <w:rsid w:val="000E41F3"/>
    <w:rsid w:val="000E4586"/>
    <w:rsid w:val="000E45DB"/>
    <w:rsid w:val="000E47AE"/>
    <w:rsid w:val="000E4821"/>
    <w:rsid w:val="000E48F7"/>
    <w:rsid w:val="000E49B4"/>
    <w:rsid w:val="000E4AAE"/>
    <w:rsid w:val="000E4CA2"/>
    <w:rsid w:val="000E4CF1"/>
    <w:rsid w:val="000E4FA4"/>
    <w:rsid w:val="000E4FE3"/>
    <w:rsid w:val="000E5017"/>
    <w:rsid w:val="000E50C3"/>
    <w:rsid w:val="000E511D"/>
    <w:rsid w:val="000E518A"/>
    <w:rsid w:val="000E51FA"/>
    <w:rsid w:val="000E5269"/>
    <w:rsid w:val="000E53A2"/>
    <w:rsid w:val="000E54CF"/>
    <w:rsid w:val="000E5531"/>
    <w:rsid w:val="000E56D4"/>
    <w:rsid w:val="000E56F0"/>
    <w:rsid w:val="000E579D"/>
    <w:rsid w:val="000E5831"/>
    <w:rsid w:val="000E5ACC"/>
    <w:rsid w:val="000E5C01"/>
    <w:rsid w:val="000E5CF4"/>
    <w:rsid w:val="000E627D"/>
    <w:rsid w:val="000E6410"/>
    <w:rsid w:val="000E6476"/>
    <w:rsid w:val="000E64CD"/>
    <w:rsid w:val="000E678B"/>
    <w:rsid w:val="000E68B9"/>
    <w:rsid w:val="000E6937"/>
    <w:rsid w:val="000E69F5"/>
    <w:rsid w:val="000E6C9F"/>
    <w:rsid w:val="000E6CEB"/>
    <w:rsid w:val="000E6D75"/>
    <w:rsid w:val="000E6D8C"/>
    <w:rsid w:val="000E700C"/>
    <w:rsid w:val="000E707A"/>
    <w:rsid w:val="000E70AF"/>
    <w:rsid w:val="000E70F2"/>
    <w:rsid w:val="000E72E1"/>
    <w:rsid w:val="000E739B"/>
    <w:rsid w:val="000E75D7"/>
    <w:rsid w:val="000E762C"/>
    <w:rsid w:val="000E7644"/>
    <w:rsid w:val="000E76EA"/>
    <w:rsid w:val="000E78E5"/>
    <w:rsid w:val="000E7AA9"/>
    <w:rsid w:val="000E7E1C"/>
    <w:rsid w:val="000F0182"/>
    <w:rsid w:val="000F0268"/>
    <w:rsid w:val="000F02F9"/>
    <w:rsid w:val="000F0325"/>
    <w:rsid w:val="000F0413"/>
    <w:rsid w:val="000F0429"/>
    <w:rsid w:val="000F04AB"/>
    <w:rsid w:val="000F0540"/>
    <w:rsid w:val="000F0548"/>
    <w:rsid w:val="000F058E"/>
    <w:rsid w:val="000F05CF"/>
    <w:rsid w:val="000F063E"/>
    <w:rsid w:val="000F0D52"/>
    <w:rsid w:val="000F0D79"/>
    <w:rsid w:val="000F103F"/>
    <w:rsid w:val="000F1059"/>
    <w:rsid w:val="000F106F"/>
    <w:rsid w:val="000F10D3"/>
    <w:rsid w:val="000F10DA"/>
    <w:rsid w:val="000F12BE"/>
    <w:rsid w:val="000F1334"/>
    <w:rsid w:val="000F1351"/>
    <w:rsid w:val="000F1372"/>
    <w:rsid w:val="000F1947"/>
    <w:rsid w:val="000F1C5C"/>
    <w:rsid w:val="000F1DBE"/>
    <w:rsid w:val="000F1E2F"/>
    <w:rsid w:val="000F1E6A"/>
    <w:rsid w:val="000F23FE"/>
    <w:rsid w:val="000F2509"/>
    <w:rsid w:val="000F254C"/>
    <w:rsid w:val="000F25A1"/>
    <w:rsid w:val="000F2618"/>
    <w:rsid w:val="000F27C1"/>
    <w:rsid w:val="000F28A0"/>
    <w:rsid w:val="000F2913"/>
    <w:rsid w:val="000F29C6"/>
    <w:rsid w:val="000F2BE5"/>
    <w:rsid w:val="000F2BF6"/>
    <w:rsid w:val="000F2DD1"/>
    <w:rsid w:val="000F2DEE"/>
    <w:rsid w:val="000F2E01"/>
    <w:rsid w:val="000F3088"/>
    <w:rsid w:val="000F31A1"/>
    <w:rsid w:val="000F31CD"/>
    <w:rsid w:val="000F321F"/>
    <w:rsid w:val="000F33A6"/>
    <w:rsid w:val="000F33FC"/>
    <w:rsid w:val="000F3436"/>
    <w:rsid w:val="000F34D6"/>
    <w:rsid w:val="000F356D"/>
    <w:rsid w:val="000F36A7"/>
    <w:rsid w:val="000F385D"/>
    <w:rsid w:val="000F385F"/>
    <w:rsid w:val="000F3899"/>
    <w:rsid w:val="000F396A"/>
    <w:rsid w:val="000F3AB7"/>
    <w:rsid w:val="000F3D1D"/>
    <w:rsid w:val="000F3D1F"/>
    <w:rsid w:val="000F3DB4"/>
    <w:rsid w:val="000F3E0A"/>
    <w:rsid w:val="000F406E"/>
    <w:rsid w:val="000F4156"/>
    <w:rsid w:val="000F4186"/>
    <w:rsid w:val="000F4337"/>
    <w:rsid w:val="000F4364"/>
    <w:rsid w:val="000F43A8"/>
    <w:rsid w:val="000F4477"/>
    <w:rsid w:val="000F46F9"/>
    <w:rsid w:val="000F476F"/>
    <w:rsid w:val="000F4852"/>
    <w:rsid w:val="000F49A7"/>
    <w:rsid w:val="000F4A3F"/>
    <w:rsid w:val="000F4B9C"/>
    <w:rsid w:val="000F4C37"/>
    <w:rsid w:val="000F4E75"/>
    <w:rsid w:val="000F4F04"/>
    <w:rsid w:val="000F4FEA"/>
    <w:rsid w:val="000F50AF"/>
    <w:rsid w:val="000F50D2"/>
    <w:rsid w:val="000F55D6"/>
    <w:rsid w:val="000F55FD"/>
    <w:rsid w:val="000F5768"/>
    <w:rsid w:val="000F57C4"/>
    <w:rsid w:val="000F584F"/>
    <w:rsid w:val="000F5A3E"/>
    <w:rsid w:val="000F5A54"/>
    <w:rsid w:val="000F5A96"/>
    <w:rsid w:val="000F5BDC"/>
    <w:rsid w:val="000F5E42"/>
    <w:rsid w:val="000F5F3A"/>
    <w:rsid w:val="000F60EC"/>
    <w:rsid w:val="000F63D7"/>
    <w:rsid w:val="000F6412"/>
    <w:rsid w:val="000F64E1"/>
    <w:rsid w:val="000F66D2"/>
    <w:rsid w:val="000F66DE"/>
    <w:rsid w:val="000F6BFD"/>
    <w:rsid w:val="000F6FBE"/>
    <w:rsid w:val="000F6FFF"/>
    <w:rsid w:val="000F7021"/>
    <w:rsid w:val="000F70C7"/>
    <w:rsid w:val="000F70DC"/>
    <w:rsid w:val="000F70E0"/>
    <w:rsid w:val="000F7168"/>
    <w:rsid w:val="000F73D7"/>
    <w:rsid w:val="000F74C3"/>
    <w:rsid w:val="000F7501"/>
    <w:rsid w:val="000F7526"/>
    <w:rsid w:val="000F7572"/>
    <w:rsid w:val="000F783F"/>
    <w:rsid w:val="000F7937"/>
    <w:rsid w:val="000F7987"/>
    <w:rsid w:val="000F7B26"/>
    <w:rsid w:val="000F7B94"/>
    <w:rsid w:val="000F7C63"/>
    <w:rsid w:val="000F7E2D"/>
    <w:rsid w:val="000F7FD2"/>
    <w:rsid w:val="00100270"/>
    <w:rsid w:val="0010045D"/>
    <w:rsid w:val="0010051C"/>
    <w:rsid w:val="00100634"/>
    <w:rsid w:val="001006F7"/>
    <w:rsid w:val="001007BE"/>
    <w:rsid w:val="001008DA"/>
    <w:rsid w:val="001009B6"/>
    <w:rsid w:val="00100A3B"/>
    <w:rsid w:val="00100A42"/>
    <w:rsid w:val="00100B88"/>
    <w:rsid w:val="00100D87"/>
    <w:rsid w:val="00100EF1"/>
    <w:rsid w:val="001010D7"/>
    <w:rsid w:val="0010139D"/>
    <w:rsid w:val="00101408"/>
    <w:rsid w:val="00101464"/>
    <w:rsid w:val="00101490"/>
    <w:rsid w:val="00101675"/>
    <w:rsid w:val="00101692"/>
    <w:rsid w:val="0010185C"/>
    <w:rsid w:val="00101AC3"/>
    <w:rsid w:val="00101B87"/>
    <w:rsid w:val="00101BB9"/>
    <w:rsid w:val="00101C3D"/>
    <w:rsid w:val="00101CDA"/>
    <w:rsid w:val="00101D8C"/>
    <w:rsid w:val="001021E6"/>
    <w:rsid w:val="00102296"/>
    <w:rsid w:val="00102470"/>
    <w:rsid w:val="00102473"/>
    <w:rsid w:val="00102609"/>
    <w:rsid w:val="0010263F"/>
    <w:rsid w:val="001027AA"/>
    <w:rsid w:val="00102837"/>
    <w:rsid w:val="00102889"/>
    <w:rsid w:val="00102B00"/>
    <w:rsid w:val="00102D37"/>
    <w:rsid w:val="00102DC0"/>
    <w:rsid w:val="00102E76"/>
    <w:rsid w:val="00102F20"/>
    <w:rsid w:val="00102FDD"/>
    <w:rsid w:val="00103263"/>
    <w:rsid w:val="00103294"/>
    <w:rsid w:val="0010333C"/>
    <w:rsid w:val="00103648"/>
    <w:rsid w:val="0010380C"/>
    <w:rsid w:val="001038AC"/>
    <w:rsid w:val="001040C2"/>
    <w:rsid w:val="00104251"/>
    <w:rsid w:val="0010433D"/>
    <w:rsid w:val="0010448B"/>
    <w:rsid w:val="00104571"/>
    <w:rsid w:val="0010468E"/>
    <w:rsid w:val="001046CA"/>
    <w:rsid w:val="001047E2"/>
    <w:rsid w:val="00104870"/>
    <w:rsid w:val="0010488C"/>
    <w:rsid w:val="00104A04"/>
    <w:rsid w:val="00104A39"/>
    <w:rsid w:val="00104AB7"/>
    <w:rsid w:val="00104EC5"/>
    <w:rsid w:val="001050FF"/>
    <w:rsid w:val="00105210"/>
    <w:rsid w:val="0010521F"/>
    <w:rsid w:val="00105322"/>
    <w:rsid w:val="001053E3"/>
    <w:rsid w:val="001053EF"/>
    <w:rsid w:val="00105739"/>
    <w:rsid w:val="00105795"/>
    <w:rsid w:val="00105889"/>
    <w:rsid w:val="001058BF"/>
    <w:rsid w:val="001058D5"/>
    <w:rsid w:val="00105AE1"/>
    <w:rsid w:val="00105BE1"/>
    <w:rsid w:val="00105C76"/>
    <w:rsid w:val="00105C89"/>
    <w:rsid w:val="00105D00"/>
    <w:rsid w:val="00105DB6"/>
    <w:rsid w:val="00105E1E"/>
    <w:rsid w:val="00105FB5"/>
    <w:rsid w:val="00105FF6"/>
    <w:rsid w:val="0010611B"/>
    <w:rsid w:val="001061BE"/>
    <w:rsid w:val="0010625A"/>
    <w:rsid w:val="001062A2"/>
    <w:rsid w:val="001063DC"/>
    <w:rsid w:val="00106432"/>
    <w:rsid w:val="00106602"/>
    <w:rsid w:val="001066DF"/>
    <w:rsid w:val="00106940"/>
    <w:rsid w:val="00106A71"/>
    <w:rsid w:val="00106A74"/>
    <w:rsid w:val="00106B67"/>
    <w:rsid w:val="00106E27"/>
    <w:rsid w:val="00106E9C"/>
    <w:rsid w:val="00106F3B"/>
    <w:rsid w:val="00106F5F"/>
    <w:rsid w:val="00106FC5"/>
    <w:rsid w:val="00106FF3"/>
    <w:rsid w:val="00107001"/>
    <w:rsid w:val="00107099"/>
    <w:rsid w:val="001070AC"/>
    <w:rsid w:val="001070B1"/>
    <w:rsid w:val="00107102"/>
    <w:rsid w:val="00107467"/>
    <w:rsid w:val="0010750B"/>
    <w:rsid w:val="00107524"/>
    <w:rsid w:val="00107621"/>
    <w:rsid w:val="0010767F"/>
    <w:rsid w:val="001077FB"/>
    <w:rsid w:val="0010781A"/>
    <w:rsid w:val="001078A7"/>
    <w:rsid w:val="00107AFF"/>
    <w:rsid w:val="00107DB4"/>
    <w:rsid w:val="00107DCD"/>
    <w:rsid w:val="00107EF0"/>
    <w:rsid w:val="00107F0D"/>
    <w:rsid w:val="001100D7"/>
    <w:rsid w:val="001103DD"/>
    <w:rsid w:val="00110427"/>
    <w:rsid w:val="00110430"/>
    <w:rsid w:val="00110609"/>
    <w:rsid w:val="0011070D"/>
    <w:rsid w:val="0011077D"/>
    <w:rsid w:val="00110807"/>
    <w:rsid w:val="00110833"/>
    <w:rsid w:val="00110939"/>
    <w:rsid w:val="0011093D"/>
    <w:rsid w:val="00110998"/>
    <w:rsid w:val="00110A77"/>
    <w:rsid w:val="00110A99"/>
    <w:rsid w:val="00110B36"/>
    <w:rsid w:val="00110F2E"/>
    <w:rsid w:val="0011104A"/>
    <w:rsid w:val="00111356"/>
    <w:rsid w:val="00111364"/>
    <w:rsid w:val="0011136D"/>
    <w:rsid w:val="00111417"/>
    <w:rsid w:val="001117BA"/>
    <w:rsid w:val="001119DE"/>
    <w:rsid w:val="00111A8D"/>
    <w:rsid w:val="00111CC1"/>
    <w:rsid w:val="00112049"/>
    <w:rsid w:val="00112500"/>
    <w:rsid w:val="00112534"/>
    <w:rsid w:val="001125E5"/>
    <w:rsid w:val="00112637"/>
    <w:rsid w:val="001126B0"/>
    <w:rsid w:val="00112942"/>
    <w:rsid w:val="001129A7"/>
    <w:rsid w:val="00112A0D"/>
    <w:rsid w:val="00112A87"/>
    <w:rsid w:val="00112B98"/>
    <w:rsid w:val="00112BB1"/>
    <w:rsid w:val="00112C15"/>
    <w:rsid w:val="00112C6E"/>
    <w:rsid w:val="00112D58"/>
    <w:rsid w:val="00112D86"/>
    <w:rsid w:val="00112F01"/>
    <w:rsid w:val="001131E4"/>
    <w:rsid w:val="0011330D"/>
    <w:rsid w:val="00113517"/>
    <w:rsid w:val="00113580"/>
    <w:rsid w:val="001135A8"/>
    <w:rsid w:val="0011367C"/>
    <w:rsid w:val="001136BA"/>
    <w:rsid w:val="00113A84"/>
    <w:rsid w:val="00113A92"/>
    <w:rsid w:val="00113AAE"/>
    <w:rsid w:val="00113AFD"/>
    <w:rsid w:val="00113C60"/>
    <w:rsid w:val="00113C6C"/>
    <w:rsid w:val="00113DCF"/>
    <w:rsid w:val="00113E4E"/>
    <w:rsid w:val="00113F10"/>
    <w:rsid w:val="00113F3B"/>
    <w:rsid w:val="00114016"/>
    <w:rsid w:val="00114287"/>
    <w:rsid w:val="0011430F"/>
    <w:rsid w:val="001144ED"/>
    <w:rsid w:val="0011468B"/>
    <w:rsid w:val="00114710"/>
    <w:rsid w:val="00114719"/>
    <w:rsid w:val="001147A0"/>
    <w:rsid w:val="00114802"/>
    <w:rsid w:val="001148CA"/>
    <w:rsid w:val="00114C3B"/>
    <w:rsid w:val="00114C77"/>
    <w:rsid w:val="00114D7C"/>
    <w:rsid w:val="00114FA7"/>
    <w:rsid w:val="00114FBE"/>
    <w:rsid w:val="001151A9"/>
    <w:rsid w:val="00115297"/>
    <w:rsid w:val="00115332"/>
    <w:rsid w:val="0011553C"/>
    <w:rsid w:val="001155F1"/>
    <w:rsid w:val="00115622"/>
    <w:rsid w:val="00115691"/>
    <w:rsid w:val="001156E8"/>
    <w:rsid w:val="00115867"/>
    <w:rsid w:val="00115953"/>
    <w:rsid w:val="001159CB"/>
    <w:rsid w:val="00115CE1"/>
    <w:rsid w:val="00115D33"/>
    <w:rsid w:val="00115DFD"/>
    <w:rsid w:val="00115F93"/>
    <w:rsid w:val="00115FAF"/>
    <w:rsid w:val="001160C0"/>
    <w:rsid w:val="00116136"/>
    <w:rsid w:val="001164F3"/>
    <w:rsid w:val="00116546"/>
    <w:rsid w:val="001166A8"/>
    <w:rsid w:val="001166B8"/>
    <w:rsid w:val="00116A32"/>
    <w:rsid w:val="00116CC9"/>
    <w:rsid w:val="00116D2E"/>
    <w:rsid w:val="00116EAB"/>
    <w:rsid w:val="00116ED6"/>
    <w:rsid w:val="00116FAC"/>
    <w:rsid w:val="00117039"/>
    <w:rsid w:val="00117116"/>
    <w:rsid w:val="001172B1"/>
    <w:rsid w:val="0011735F"/>
    <w:rsid w:val="001174C0"/>
    <w:rsid w:val="001174C1"/>
    <w:rsid w:val="00117593"/>
    <w:rsid w:val="001176B3"/>
    <w:rsid w:val="00117712"/>
    <w:rsid w:val="00117CA0"/>
    <w:rsid w:val="00117CB2"/>
    <w:rsid w:val="00117D5A"/>
    <w:rsid w:val="00117E1D"/>
    <w:rsid w:val="00117F04"/>
    <w:rsid w:val="00120010"/>
    <w:rsid w:val="00120123"/>
    <w:rsid w:val="0012040F"/>
    <w:rsid w:val="001204C7"/>
    <w:rsid w:val="001205CF"/>
    <w:rsid w:val="00120819"/>
    <w:rsid w:val="0012098E"/>
    <w:rsid w:val="00120A10"/>
    <w:rsid w:val="00120A2E"/>
    <w:rsid w:val="00120B2C"/>
    <w:rsid w:val="00120C54"/>
    <w:rsid w:val="00120CA3"/>
    <w:rsid w:val="00121057"/>
    <w:rsid w:val="00121134"/>
    <w:rsid w:val="001211D5"/>
    <w:rsid w:val="00121219"/>
    <w:rsid w:val="0012122C"/>
    <w:rsid w:val="00121345"/>
    <w:rsid w:val="00121351"/>
    <w:rsid w:val="00121368"/>
    <w:rsid w:val="0012151B"/>
    <w:rsid w:val="001215E6"/>
    <w:rsid w:val="00121730"/>
    <w:rsid w:val="00121753"/>
    <w:rsid w:val="00121B65"/>
    <w:rsid w:val="00121BD4"/>
    <w:rsid w:val="00121C4F"/>
    <w:rsid w:val="00121C67"/>
    <w:rsid w:val="00121C6E"/>
    <w:rsid w:val="00122097"/>
    <w:rsid w:val="00122471"/>
    <w:rsid w:val="00122510"/>
    <w:rsid w:val="0012279C"/>
    <w:rsid w:val="001228F1"/>
    <w:rsid w:val="00122923"/>
    <w:rsid w:val="00122AE3"/>
    <w:rsid w:val="00122C2C"/>
    <w:rsid w:val="00122CE3"/>
    <w:rsid w:val="00122EE1"/>
    <w:rsid w:val="00122F8D"/>
    <w:rsid w:val="00123139"/>
    <w:rsid w:val="00123221"/>
    <w:rsid w:val="00123457"/>
    <w:rsid w:val="00123658"/>
    <w:rsid w:val="001237AF"/>
    <w:rsid w:val="00123937"/>
    <w:rsid w:val="001239CE"/>
    <w:rsid w:val="00123A19"/>
    <w:rsid w:val="00123A7C"/>
    <w:rsid w:val="00123A9E"/>
    <w:rsid w:val="00123C5E"/>
    <w:rsid w:val="00123DF3"/>
    <w:rsid w:val="00123FF4"/>
    <w:rsid w:val="0012414F"/>
    <w:rsid w:val="00124171"/>
    <w:rsid w:val="001241B4"/>
    <w:rsid w:val="0012421D"/>
    <w:rsid w:val="0012422E"/>
    <w:rsid w:val="001243F2"/>
    <w:rsid w:val="0012446D"/>
    <w:rsid w:val="00124668"/>
    <w:rsid w:val="00124693"/>
    <w:rsid w:val="001247EB"/>
    <w:rsid w:val="00124B9D"/>
    <w:rsid w:val="00124BFB"/>
    <w:rsid w:val="00124E3F"/>
    <w:rsid w:val="00124F3C"/>
    <w:rsid w:val="00124F95"/>
    <w:rsid w:val="00124FA6"/>
    <w:rsid w:val="00125031"/>
    <w:rsid w:val="001250E5"/>
    <w:rsid w:val="001254A2"/>
    <w:rsid w:val="00125509"/>
    <w:rsid w:val="0012553B"/>
    <w:rsid w:val="00125612"/>
    <w:rsid w:val="0012577E"/>
    <w:rsid w:val="001259B9"/>
    <w:rsid w:val="00125A3D"/>
    <w:rsid w:val="00125B2A"/>
    <w:rsid w:val="00125B61"/>
    <w:rsid w:val="00125BF8"/>
    <w:rsid w:val="00125D84"/>
    <w:rsid w:val="00125F88"/>
    <w:rsid w:val="00125FF9"/>
    <w:rsid w:val="00126122"/>
    <w:rsid w:val="00126144"/>
    <w:rsid w:val="001261CC"/>
    <w:rsid w:val="00126471"/>
    <w:rsid w:val="001265EE"/>
    <w:rsid w:val="00126609"/>
    <w:rsid w:val="0012676E"/>
    <w:rsid w:val="001268FA"/>
    <w:rsid w:val="00126943"/>
    <w:rsid w:val="00126A01"/>
    <w:rsid w:val="00126A3A"/>
    <w:rsid w:val="00126BC1"/>
    <w:rsid w:val="00126D91"/>
    <w:rsid w:val="0012703E"/>
    <w:rsid w:val="00127202"/>
    <w:rsid w:val="00127264"/>
    <w:rsid w:val="0012741F"/>
    <w:rsid w:val="0012746A"/>
    <w:rsid w:val="001275A9"/>
    <w:rsid w:val="001275F8"/>
    <w:rsid w:val="00127601"/>
    <w:rsid w:val="001277D0"/>
    <w:rsid w:val="00127C5E"/>
    <w:rsid w:val="00127C5F"/>
    <w:rsid w:val="00127E02"/>
    <w:rsid w:val="00127EA4"/>
    <w:rsid w:val="00127F2A"/>
    <w:rsid w:val="00127FD1"/>
    <w:rsid w:val="00130153"/>
    <w:rsid w:val="00130173"/>
    <w:rsid w:val="001301D1"/>
    <w:rsid w:val="00130329"/>
    <w:rsid w:val="001304CB"/>
    <w:rsid w:val="001308F8"/>
    <w:rsid w:val="00130A5E"/>
    <w:rsid w:val="00130CAA"/>
    <w:rsid w:val="00130D5C"/>
    <w:rsid w:val="00130FA6"/>
    <w:rsid w:val="00130FEC"/>
    <w:rsid w:val="001310F4"/>
    <w:rsid w:val="001310FC"/>
    <w:rsid w:val="00131154"/>
    <w:rsid w:val="001313C6"/>
    <w:rsid w:val="0013144D"/>
    <w:rsid w:val="0013162D"/>
    <w:rsid w:val="0013167F"/>
    <w:rsid w:val="001316EC"/>
    <w:rsid w:val="001319CA"/>
    <w:rsid w:val="00131B59"/>
    <w:rsid w:val="00131CDF"/>
    <w:rsid w:val="00131D45"/>
    <w:rsid w:val="00131E4B"/>
    <w:rsid w:val="00131FD8"/>
    <w:rsid w:val="001320E7"/>
    <w:rsid w:val="001320EB"/>
    <w:rsid w:val="001320F0"/>
    <w:rsid w:val="001324F6"/>
    <w:rsid w:val="00132631"/>
    <w:rsid w:val="00132775"/>
    <w:rsid w:val="00132834"/>
    <w:rsid w:val="00132AEC"/>
    <w:rsid w:val="00132EBA"/>
    <w:rsid w:val="00132FD2"/>
    <w:rsid w:val="00133474"/>
    <w:rsid w:val="00133650"/>
    <w:rsid w:val="001336E0"/>
    <w:rsid w:val="0013391E"/>
    <w:rsid w:val="001339BE"/>
    <w:rsid w:val="00133A00"/>
    <w:rsid w:val="00133EB7"/>
    <w:rsid w:val="00133F34"/>
    <w:rsid w:val="001340AF"/>
    <w:rsid w:val="001340B3"/>
    <w:rsid w:val="0013415C"/>
    <w:rsid w:val="00134203"/>
    <w:rsid w:val="00134383"/>
    <w:rsid w:val="001345FE"/>
    <w:rsid w:val="00134682"/>
    <w:rsid w:val="0013470B"/>
    <w:rsid w:val="0013475E"/>
    <w:rsid w:val="0013479E"/>
    <w:rsid w:val="001347A2"/>
    <w:rsid w:val="001347E3"/>
    <w:rsid w:val="00134AB0"/>
    <w:rsid w:val="00135045"/>
    <w:rsid w:val="001350F2"/>
    <w:rsid w:val="001350F6"/>
    <w:rsid w:val="00135146"/>
    <w:rsid w:val="00135273"/>
    <w:rsid w:val="001352CE"/>
    <w:rsid w:val="00135304"/>
    <w:rsid w:val="00135357"/>
    <w:rsid w:val="00135412"/>
    <w:rsid w:val="00135469"/>
    <w:rsid w:val="00135521"/>
    <w:rsid w:val="00135549"/>
    <w:rsid w:val="00135644"/>
    <w:rsid w:val="0013566C"/>
    <w:rsid w:val="00135682"/>
    <w:rsid w:val="0013593A"/>
    <w:rsid w:val="00135A15"/>
    <w:rsid w:val="00135AB2"/>
    <w:rsid w:val="00135B2D"/>
    <w:rsid w:val="00135E07"/>
    <w:rsid w:val="00135FC9"/>
    <w:rsid w:val="0013621C"/>
    <w:rsid w:val="00136377"/>
    <w:rsid w:val="0013641B"/>
    <w:rsid w:val="0013643C"/>
    <w:rsid w:val="001364C6"/>
    <w:rsid w:val="001367D8"/>
    <w:rsid w:val="001369D2"/>
    <w:rsid w:val="001369D9"/>
    <w:rsid w:val="00136A39"/>
    <w:rsid w:val="00136AFA"/>
    <w:rsid w:val="00136C6E"/>
    <w:rsid w:val="00136E32"/>
    <w:rsid w:val="00136E33"/>
    <w:rsid w:val="00136E9F"/>
    <w:rsid w:val="00136EBD"/>
    <w:rsid w:val="00136F71"/>
    <w:rsid w:val="00137027"/>
    <w:rsid w:val="0013708A"/>
    <w:rsid w:val="00137203"/>
    <w:rsid w:val="00137220"/>
    <w:rsid w:val="00137380"/>
    <w:rsid w:val="0013738A"/>
    <w:rsid w:val="00137484"/>
    <w:rsid w:val="001374BD"/>
    <w:rsid w:val="00137800"/>
    <w:rsid w:val="00137839"/>
    <w:rsid w:val="00137872"/>
    <w:rsid w:val="001378E9"/>
    <w:rsid w:val="00137914"/>
    <w:rsid w:val="00137A15"/>
    <w:rsid w:val="00137A18"/>
    <w:rsid w:val="00137A70"/>
    <w:rsid w:val="00137DC4"/>
    <w:rsid w:val="00137DFE"/>
    <w:rsid w:val="00137F6B"/>
    <w:rsid w:val="00137FCE"/>
    <w:rsid w:val="00140076"/>
    <w:rsid w:val="0014026B"/>
    <w:rsid w:val="001403D0"/>
    <w:rsid w:val="001404C5"/>
    <w:rsid w:val="001404E1"/>
    <w:rsid w:val="00140660"/>
    <w:rsid w:val="0014081F"/>
    <w:rsid w:val="001408C0"/>
    <w:rsid w:val="00140B42"/>
    <w:rsid w:val="00140DDD"/>
    <w:rsid w:val="00140E76"/>
    <w:rsid w:val="00140EFE"/>
    <w:rsid w:val="00140F55"/>
    <w:rsid w:val="00140FFB"/>
    <w:rsid w:val="00141028"/>
    <w:rsid w:val="001410F9"/>
    <w:rsid w:val="0014117D"/>
    <w:rsid w:val="0014117E"/>
    <w:rsid w:val="00141220"/>
    <w:rsid w:val="00141406"/>
    <w:rsid w:val="001414A9"/>
    <w:rsid w:val="001415EE"/>
    <w:rsid w:val="0014169C"/>
    <w:rsid w:val="001416CF"/>
    <w:rsid w:val="00141773"/>
    <w:rsid w:val="0014195B"/>
    <w:rsid w:val="00141A47"/>
    <w:rsid w:val="00141A6E"/>
    <w:rsid w:val="00141E0F"/>
    <w:rsid w:val="00141EAC"/>
    <w:rsid w:val="00141F3B"/>
    <w:rsid w:val="001421D6"/>
    <w:rsid w:val="00142217"/>
    <w:rsid w:val="001422FA"/>
    <w:rsid w:val="00142413"/>
    <w:rsid w:val="00142424"/>
    <w:rsid w:val="00142543"/>
    <w:rsid w:val="001425F5"/>
    <w:rsid w:val="00142938"/>
    <w:rsid w:val="001429CC"/>
    <w:rsid w:val="00142EF8"/>
    <w:rsid w:val="0014319E"/>
    <w:rsid w:val="00143478"/>
    <w:rsid w:val="0014360D"/>
    <w:rsid w:val="0014369A"/>
    <w:rsid w:val="001437A1"/>
    <w:rsid w:val="00143C27"/>
    <w:rsid w:val="00143EAE"/>
    <w:rsid w:val="00143F2F"/>
    <w:rsid w:val="00143FBF"/>
    <w:rsid w:val="00144056"/>
    <w:rsid w:val="001441B9"/>
    <w:rsid w:val="00144237"/>
    <w:rsid w:val="0014423C"/>
    <w:rsid w:val="00144291"/>
    <w:rsid w:val="001445C0"/>
    <w:rsid w:val="0014460D"/>
    <w:rsid w:val="0014481A"/>
    <w:rsid w:val="00144A27"/>
    <w:rsid w:val="00144BA1"/>
    <w:rsid w:val="00144CE4"/>
    <w:rsid w:val="00144D4E"/>
    <w:rsid w:val="00144DE2"/>
    <w:rsid w:val="00144E19"/>
    <w:rsid w:val="00144F40"/>
    <w:rsid w:val="00144FD5"/>
    <w:rsid w:val="00145085"/>
    <w:rsid w:val="0014524C"/>
    <w:rsid w:val="00145383"/>
    <w:rsid w:val="0014574C"/>
    <w:rsid w:val="001457D6"/>
    <w:rsid w:val="00145961"/>
    <w:rsid w:val="00145C37"/>
    <w:rsid w:val="00145DA4"/>
    <w:rsid w:val="00145F5B"/>
    <w:rsid w:val="00145F7D"/>
    <w:rsid w:val="00145F98"/>
    <w:rsid w:val="0014607D"/>
    <w:rsid w:val="001462E5"/>
    <w:rsid w:val="001463C6"/>
    <w:rsid w:val="00146423"/>
    <w:rsid w:val="00146485"/>
    <w:rsid w:val="001464DC"/>
    <w:rsid w:val="00146536"/>
    <w:rsid w:val="00146581"/>
    <w:rsid w:val="00146624"/>
    <w:rsid w:val="001466F0"/>
    <w:rsid w:val="00146716"/>
    <w:rsid w:val="00146B3E"/>
    <w:rsid w:val="00146C85"/>
    <w:rsid w:val="00146D7E"/>
    <w:rsid w:val="00146EBA"/>
    <w:rsid w:val="00146FA2"/>
    <w:rsid w:val="00147020"/>
    <w:rsid w:val="00147131"/>
    <w:rsid w:val="0014724E"/>
    <w:rsid w:val="001472B3"/>
    <w:rsid w:val="00147459"/>
    <w:rsid w:val="0014784C"/>
    <w:rsid w:val="0014788F"/>
    <w:rsid w:val="001478DE"/>
    <w:rsid w:val="0014790B"/>
    <w:rsid w:val="001479EF"/>
    <w:rsid w:val="00147A85"/>
    <w:rsid w:val="00147B3E"/>
    <w:rsid w:val="00147C02"/>
    <w:rsid w:val="00147D0D"/>
    <w:rsid w:val="00147D8F"/>
    <w:rsid w:val="00147E43"/>
    <w:rsid w:val="00147F52"/>
    <w:rsid w:val="00147F7D"/>
    <w:rsid w:val="0015002F"/>
    <w:rsid w:val="0015009C"/>
    <w:rsid w:val="001501CD"/>
    <w:rsid w:val="0015022B"/>
    <w:rsid w:val="0015026F"/>
    <w:rsid w:val="00150274"/>
    <w:rsid w:val="001502B7"/>
    <w:rsid w:val="001502F5"/>
    <w:rsid w:val="00150376"/>
    <w:rsid w:val="001503B8"/>
    <w:rsid w:val="001504D4"/>
    <w:rsid w:val="001505A3"/>
    <w:rsid w:val="001507EC"/>
    <w:rsid w:val="00150823"/>
    <w:rsid w:val="00150B08"/>
    <w:rsid w:val="00150B85"/>
    <w:rsid w:val="00150C0D"/>
    <w:rsid w:val="00150C2D"/>
    <w:rsid w:val="00150E19"/>
    <w:rsid w:val="00150EC5"/>
    <w:rsid w:val="00150F03"/>
    <w:rsid w:val="00150F23"/>
    <w:rsid w:val="00150F39"/>
    <w:rsid w:val="00151138"/>
    <w:rsid w:val="00151149"/>
    <w:rsid w:val="00151180"/>
    <w:rsid w:val="001512E2"/>
    <w:rsid w:val="0015147F"/>
    <w:rsid w:val="001514DB"/>
    <w:rsid w:val="001515C8"/>
    <w:rsid w:val="001515D2"/>
    <w:rsid w:val="00151732"/>
    <w:rsid w:val="00151746"/>
    <w:rsid w:val="00151A1C"/>
    <w:rsid w:val="00151AC8"/>
    <w:rsid w:val="00151B9B"/>
    <w:rsid w:val="00151D44"/>
    <w:rsid w:val="00151DBD"/>
    <w:rsid w:val="00151E6C"/>
    <w:rsid w:val="00151FE1"/>
    <w:rsid w:val="0015213C"/>
    <w:rsid w:val="00152172"/>
    <w:rsid w:val="00152183"/>
    <w:rsid w:val="00152231"/>
    <w:rsid w:val="00152238"/>
    <w:rsid w:val="0015231B"/>
    <w:rsid w:val="00152331"/>
    <w:rsid w:val="00152567"/>
    <w:rsid w:val="001529D3"/>
    <w:rsid w:val="00152A5D"/>
    <w:rsid w:val="00152AE1"/>
    <w:rsid w:val="00152B88"/>
    <w:rsid w:val="00152BD5"/>
    <w:rsid w:val="00152CA0"/>
    <w:rsid w:val="00152ED2"/>
    <w:rsid w:val="00152FE6"/>
    <w:rsid w:val="001531D6"/>
    <w:rsid w:val="00153225"/>
    <w:rsid w:val="001532BF"/>
    <w:rsid w:val="001534A0"/>
    <w:rsid w:val="0015371A"/>
    <w:rsid w:val="00153792"/>
    <w:rsid w:val="00153893"/>
    <w:rsid w:val="0015392D"/>
    <w:rsid w:val="00153BA7"/>
    <w:rsid w:val="00153D51"/>
    <w:rsid w:val="00153ED1"/>
    <w:rsid w:val="00153F34"/>
    <w:rsid w:val="001540E5"/>
    <w:rsid w:val="0015415A"/>
    <w:rsid w:val="001542A6"/>
    <w:rsid w:val="00154407"/>
    <w:rsid w:val="00154434"/>
    <w:rsid w:val="00154561"/>
    <w:rsid w:val="001546E0"/>
    <w:rsid w:val="00154796"/>
    <w:rsid w:val="0015484A"/>
    <w:rsid w:val="00154983"/>
    <w:rsid w:val="001549EB"/>
    <w:rsid w:val="00154BA1"/>
    <w:rsid w:val="00154BC8"/>
    <w:rsid w:val="00154F0E"/>
    <w:rsid w:val="00154F83"/>
    <w:rsid w:val="00155073"/>
    <w:rsid w:val="00155078"/>
    <w:rsid w:val="00155182"/>
    <w:rsid w:val="00155411"/>
    <w:rsid w:val="00155434"/>
    <w:rsid w:val="0015553E"/>
    <w:rsid w:val="00155605"/>
    <w:rsid w:val="00155726"/>
    <w:rsid w:val="00155741"/>
    <w:rsid w:val="00155900"/>
    <w:rsid w:val="00155AC3"/>
    <w:rsid w:val="00155BDA"/>
    <w:rsid w:val="00155C80"/>
    <w:rsid w:val="00155D6F"/>
    <w:rsid w:val="00155DD0"/>
    <w:rsid w:val="00155DE2"/>
    <w:rsid w:val="00155E3B"/>
    <w:rsid w:val="00155E87"/>
    <w:rsid w:val="00156112"/>
    <w:rsid w:val="00156273"/>
    <w:rsid w:val="00156485"/>
    <w:rsid w:val="0015653A"/>
    <w:rsid w:val="00156548"/>
    <w:rsid w:val="00156640"/>
    <w:rsid w:val="001566CB"/>
    <w:rsid w:val="00156A51"/>
    <w:rsid w:val="00156BB3"/>
    <w:rsid w:val="00156BE9"/>
    <w:rsid w:val="00156EA9"/>
    <w:rsid w:val="00156EDC"/>
    <w:rsid w:val="00156FA7"/>
    <w:rsid w:val="001570DD"/>
    <w:rsid w:val="001571F0"/>
    <w:rsid w:val="001572DE"/>
    <w:rsid w:val="0015734D"/>
    <w:rsid w:val="00157378"/>
    <w:rsid w:val="001574E5"/>
    <w:rsid w:val="001574E8"/>
    <w:rsid w:val="00157511"/>
    <w:rsid w:val="0015754B"/>
    <w:rsid w:val="001576B4"/>
    <w:rsid w:val="00157785"/>
    <w:rsid w:val="00157858"/>
    <w:rsid w:val="001578D2"/>
    <w:rsid w:val="001579CC"/>
    <w:rsid w:val="00157A4E"/>
    <w:rsid w:val="00157DEF"/>
    <w:rsid w:val="00157EDF"/>
    <w:rsid w:val="00157FD9"/>
    <w:rsid w:val="0016023A"/>
    <w:rsid w:val="0016042C"/>
    <w:rsid w:val="0016045E"/>
    <w:rsid w:val="00160495"/>
    <w:rsid w:val="0016059C"/>
    <w:rsid w:val="001605A7"/>
    <w:rsid w:val="001605B4"/>
    <w:rsid w:val="001605F0"/>
    <w:rsid w:val="001609D2"/>
    <w:rsid w:val="00160A6F"/>
    <w:rsid w:val="00160AF4"/>
    <w:rsid w:val="00160BEC"/>
    <w:rsid w:val="00160C4C"/>
    <w:rsid w:val="00160D55"/>
    <w:rsid w:val="00160E49"/>
    <w:rsid w:val="00161133"/>
    <w:rsid w:val="00161167"/>
    <w:rsid w:val="001613BE"/>
    <w:rsid w:val="001614AE"/>
    <w:rsid w:val="001614C9"/>
    <w:rsid w:val="00161676"/>
    <w:rsid w:val="00161861"/>
    <w:rsid w:val="00161969"/>
    <w:rsid w:val="00161A71"/>
    <w:rsid w:val="00161AFE"/>
    <w:rsid w:val="00161B70"/>
    <w:rsid w:val="00161CB7"/>
    <w:rsid w:val="00161D81"/>
    <w:rsid w:val="00161D8C"/>
    <w:rsid w:val="00161E56"/>
    <w:rsid w:val="00161FDE"/>
    <w:rsid w:val="001620C4"/>
    <w:rsid w:val="001621BE"/>
    <w:rsid w:val="0016247C"/>
    <w:rsid w:val="001624FC"/>
    <w:rsid w:val="0016263A"/>
    <w:rsid w:val="001626B8"/>
    <w:rsid w:val="00162891"/>
    <w:rsid w:val="00162A04"/>
    <w:rsid w:val="00162A7A"/>
    <w:rsid w:val="00162AE6"/>
    <w:rsid w:val="00162B1B"/>
    <w:rsid w:val="00162BA7"/>
    <w:rsid w:val="00162D13"/>
    <w:rsid w:val="00162D80"/>
    <w:rsid w:val="00162DBF"/>
    <w:rsid w:val="00162F34"/>
    <w:rsid w:val="00162FED"/>
    <w:rsid w:val="00162FFA"/>
    <w:rsid w:val="00163248"/>
    <w:rsid w:val="00163411"/>
    <w:rsid w:val="00163599"/>
    <w:rsid w:val="001635A4"/>
    <w:rsid w:val="001635BF"/>
    <w:rsid w:val="001635F1"/>
    <w:rsid w:val="001636F0"/>
    <w:rsid w:val="001636F7"/>
    <w:rsid w:val="00163980"/>
    <w:rsid w:val="00163C1C"/>
    <w:rsid w:val="00163C51"/>
    <w:rsid w:val="00163D0C"/>
    <w:rsid w:val="00163D43"/>
    <w:rsid w:val="00163DE7"/>
    <w:rsid w:val="00163E1E"/>
    <w:rsid w:val="00164058"/>
    <w:rsid w:val="00164148"/>
    <w:rsid w:val="00164391"/>
    <w:rsid w:val="0016449A"/>
    <w:rsid w:val="00164587"/>
    <w:rsid w:val="00164724"/>
    <w:rsid w:val="00164790"/>
    <w:rsid w:val="001647C6"/>
    <w:rsid w:val="00164928"/>
    <w:rsid w:val="0016498F"/>
    <w:rsid w:val="00164B1F"/>
    <w:rsid w:val="00164C41"/>
    <w:rsid w:val="00164CF8"/>
    <w:rsid w:val="00164ECE"/>
    <w:rsid w:val="00165053"/>
    <w:rsid w:val="00165192"/>
    <w:rsid w:val="00165205"/>
    <w:rsid w:val="00165346"/>
    <w:rsid w:val="001653AE"/>
    <w:rsid w:val="00165535"/>
    <w:rsid w:val="00165569"/>
    <w:rsid w:val="00165628"/>
    <w:rsid w:val="001657B4"/>
    <w:rsid w:val="00165813"/>
    <w:rsid w:val="001658D9"/>
    <w:rsid w:val="0016598D"/>
    <w:rsid w:val="00165A16"/>
    <w:rsid w:val="00165A59"/>
    <w:rsid w:val="00165AA8"/>
    <w:rsid w:val="00165AA9"/>
    <w:rsid w:val="00165B19"/>
    <w:rsid w:val="00165B42"/>
    <w:rsid w:val="00165B69"/>
    <w:rsid w:val="00165C09"/>
    <w:rsid w:val="00165C80"/>
    <w:rsid w:val="00165D51"/>
    <w:rsid w:val="00165DA9"/>
    <w:rsid w:val="00165F02"/>
    <w:rsid w:val="001660F3"/>
    <w:rsid w:val="0016611A"/>
    <w:rsid w:val="00166432"/>
    <w:rsid w:val="00166568"/>
    <w:rsid w:val="00166793"/>
    <w:rsid w:val="001667C7"/>
    <w:rsid w:val="00166A1A"/>
    <w:rsid w:val="00166A8D"/>
    <w:rsid w:val="00166AC8"/>
    <w:rsid w:val="00166BC1"/>
    <w:rsid w:val="00166BCA"/>
    <w:rsid w:val="00166D6F"/>
    <w:rsid w:val="00166E4D"/>
    <w:rsid w:val="00166F3F"/>
    <w:rsid w:val="00166FCC"/>
    <w:rsid w:val="00166FF3"/>
    <w:rsid w:val="001670EF"/>
    <w:rsid w:val="0016712C"/>
    <w:rsid w:val="0016720A"/>
    <w:rsid w:val="00167385"/>
    <w:rsid w:val="00167447"/>
    <w:rsid w:val="001674FA"/>
    <w:rsid w:val="00167539"/>
    <w:rsid w:val="00167AD0"/>
    <w:rsid w:val="00167B5F"/>
    <w:rsid w:val="00167CE0"/>
    <w:rsid w:val="00170089"/>
    <w:rsid w:val="00170126"/>
    <w:rsid w:val="0017049C"/>
    <w:rsid w:val="001704DB"/>
    <w:rsid w:val="00170763"/>
    <w:rsid w:val="001708DE"/>
    <w:rsid w:val="00170A76"/>
    <w:rsid w:val="00170A7A"/>
    <w:rsid w:val="00170C37"/>
    <w:rsid w:val="00170D5B"/>
    <w:rsid w:val="001710D1"/>
    <w:rsid w:val="00171101"/>
    <w:rsid w:val="001711E5"/>
    <w:rsid w:val="0017128F"/>
    <w:rsid w:val="0017138D"/>
    <w:rsid w:val="001713A4"/>
    <w:rsid w:val="001713A7"/>
    <w:rsid w:val="00171678"/>
    <w:rsid w:val="001717A7"/>
    <w:rsid w:val="001717C1"/>
    <w:rsid w:val="0017182E"/>
    <w:rsid w:val="00171C2F"/>
    <w:rsid w:val="00171CA9"/>
    <w:rsid w:val="00171CBD"/>
    <w:rsid w:val="00171D1B"/>
    <w:rsid w:val="00171E18"/>
    <w:rsid w:val="00171E49"/>
    <w:rsid w:val="00171EE6"/>
    <w:rsid w:val="0017202A"/>
    <w:rsid w:val="001720C1"/>
    <w:rsid w:val="00172146"/>
    <w:rsid w:val="00172495"/>
    <w:rsid w:val="001725ED"/>
    <w:rsid w:val="0017276E"/>
    <w:rsid w:val="0017278B"/>
    <w:rsid w:val="001727A9"/>
    <w:rsid w:val="00172B8F"/>
    <w:rsid w:val="00172E99"/>
    <w:rsid w:val="00172F4A"/>
    <w:rsid w:val="00172F6E"/>
    <w:rsid w:val="001732A5"/>
    <w:rsid w:val="001732EE"/>
    <w:rsid w:val="001734D6"/>
    <w:rsid w:val="00173575"/>
    <w:rsid w:val="001736C5"/>
    <w:rsid w:val="001736F8"/>
    <w:rsid w:val="00173782"/>
    <w:rsid w:val="001737D3"/>
    <w:rsid w:val="001738A8"/>
    <w:rsid w:val="00173908"/>
    <w:rsid w:val="0017390D"/>
    <w:rsid w:val="00173A21"/>
    <w:rsid w:val="00173A68"/>
    <w:rsid w:val="00173AEB"/>
    <w:rsid w:val="00173B40"/>
    <w:rsid w:val="00173B8B"/>
    <w:rsid w:val="00173CFE"/>
    <w:rsid w:val="00173D85"/>
    <w:rsid w:val="00173FB6"/>
    <w:rsid w:val="00174013"/>
    <w:rsid w:val="00174107"/>
    <w:rsid w:val="001744AC"/>
    <w:rsid w:val="00174622"/>
    <w:rsid w:val="001746B3"/>
    <w:rsid w:val="001747D8"/>
    <w:rsid w:val="00174B28"/>
    <w:rsid w:val="00174CC8"/>
    <w:rsid w:val="00174CD3"/>
    <w:rsid w:val="00174F42"/>
    <w:rsid w:val="00174FD4"/>
    <w:rsid w:val="00175024"/>
    <w:rsid w:val="0017528C"/>
    <w:rsid w:val="0017562A"/>
    <w:rsid w:val="001758AC"/>
    <w:rsid w:val="00175ADE"/>
    <w:rsid w:val="00175AEA"/>
    <w:rsid w:val="00175DB8"/>
    <w:rsid w:val="00175DD9"/>
    <w:rsid w:val="0017610F"/>
    <w:rsid w:val="00176178"/>
    <w:rsid w:val="001762A8"/>
    <w:rsid w:val="001763CD"/>
    <w:rsid w:val="00176566"/>
    <w:rsid w:val="001765F8"/>
    <w:rsid w:val="0017663D"/>
    <w:rsid w:val="0017675A"/>
    <w:rsid w:val="0017690E"/>
    <w:rsid w:val="00176A26"/>
    <w:rsid w:val="00176CB6"/>
    <w:rsid w:val="00176CF4"/>
    <w:rsid w:val="0017701F"/>
    <w:rsid w:val="00177185"/>
    <w:rsid w:val="00177210"/>
    <w:rsid w:val="00177255"/>
    <w:rsid w:val="00177258"/>
    <w:rsid w:val="001772A1"/>
    <w:rsid w:val="001772B3"/>
    <w:rsid w:val="0017741A"/>
    <w:rsid w:val="00177461"/>
    <w:rsid w:val="0017756D"/>
    <w:rsid w:val="001775C6"/>
    <w:rsid w:val="001775E2"/>
    <w:rsid w:val="001775ED"/>
    <w:rsid w:val="0017765A"/>
    <w:rsid w:val="001776EC"/>
    <w:rsid w:val="00177784"/>
    <w:rsid w:val="00177878"/>
    <w:rsid w:val="001779D3"/>
    <w:rsid w:val="00177A74"/>
    <w:rsid w:val="00177ADB"/>
    <w:rsid w:val="00177CB1"/>
    <w:rsid w:val="00177DB6"/>
    <w:rsid w:val="00177E74"/>
    <w:rsid w:val="00177F03"/>
    <w:rsid w:val="001801ED"/>
    <w:rsid w:val="00180515"/>
    <w:rsid w:val="00180659"/>
    <w:rsid w:val="0018068F"/>
    <w:rsid w:val="001806B6"/>
    <w:rsid w:val="00180794"/>
    <w:rsid w:val="001807D7"/>
    <w:rsid w:val="001809E9"/>
    <w:rsid w:val="00180A06"/>
    <w:rsid w:val="00180AD2"/>
    <w:rsid w:val="00180C03"/>
    <w:rsid w:val="00180CA3"/>
    <w:rsid w:val="0018113F"/>
    <w:rsid w:val="0018122D"/>
    <w:rsid w:val="00181342"/>
    <w:rsid w:val="001813C7"/>
    <w:rsid w:val="001813FD"/>
    <w:rsid w:val="00181476"/>
    <w:rsid w:val="00181586"/>
    <w:rsid w:val="001816D4"/>
    <w:rsid w:val="00181792"/>
    <w:rsid w:val="001817D5"/>
    <w:rsid w:val="001817F5"/>
    <w:rsid w:val="001818F4"/>
    <w:rsid w:val="001819A3"/>
    <w:rsid w:val="00181A67"/>
    <w:rsid w:val="00181A9C"/>
    <w:rsid w:val="00181B2F"/>
    <w:rsid w:val="00181B6D"/>
    <w:rsid w:val="00181CB9"/>
    <w:rsid w:val="00181D9D"/>
    <w:rsid w:val="0018203F"/>
    <w:rsid w:val="00182089"/>
    <w:rsid w:val="001823AB"/>
    <w:rsid w:val="00182452"/>
    <w:rsid w:val="001826E7"/>
    <w:rsid w:val="001827ED"/>
    <w:rsid w:val="001829AC"/>
    <w:rsid w:val="00182E0D"/>
    <w:rsid w:val="00182F9D"/>
    <w:rsid w:val="00182FEB"/>
    <w:rsid w:val="00183048"/>
    <w:rsid w:val="0018311E"/>
    <w:rsid w:val="0018324C"/>
    <w:rsid w:val="0018341C"/>
    <w:rsid w:val="001834BD"/>
    <w:rsid w:val="001834F1"/>
    <w:rsid w:val="0018361C"/>
    <w:rsid w:val="00183669"/>
    <w:rsid w:val="00183953"/>
    <w:rsid w:val="00183AE1"/>
    <w:rsid w:val="00183F39"/>
    <w:rsid w:val="00183F5C"/>
    <w:rsid w:val="0018407D"/>
    <w:rsid w:val="001841DE"/>
    <w:rsid w:val="001841F9"/>
    <w:rsid w:val="00184432"/>
    <w:rsid w:val="00184521"/>
    <w:rsid w:val="001847AE"/>
    <w:rsid w:val="0018486B"/>
    <w:rsid w:val="00184941"/>
    <w:rsid w:val="00184A88"/>
    <w:rsid w:val="00184B29"/>
    <w:rsid w:val="00184BAE"/>
    <w:rsid w:val="00184C2C"/>
    <w:rsid w:val="00184C70"/>
    <w:rsid w:val="00184E91"/>
    <w:rsid w:val="00184F7C"/>
    <w:rsid w:val="00184F94"/>
    <w:rsid w:val="00185036"/>
    <w:rsid w:val="0018528F"/>
    <w:rsid w:val="00185363"/>
    <w:rsid w:val="00185564"/>
    <w:rsid w:val="00185A51"/>
    <w:rsid w:val="00185D21"/>
    <w:rsid w:val="00185E0D"/>
    <w:rsid w:val="00185E94"/>
    <w:rsid w:val="00185EA9"/>
    <w:rsid w:val="00185EC8"/>
    <w:rsid w:val="00185F44"/>
    <w:rsid w:val="0018602B"/>
    <w:rsid w:val="001864E2"/>
    <w:rsid w:val="001865BE"/>
    <w:rsid w:val="001865FC"/>
    <w:rsid w:val="0018669E"/>
    <w:rsid w:val="00186AE7"/>
    <w:rsid w:val="00186ED7"/>
    <w:rsid w:val="0018718C"/>
    <w:rsid w:val="0018723B"/>
    <w:rsid w:val="001872BA"/>
    <w:rsid w:val="001873E9"/>
    <w:rsid w:val="00187419"/>
    <w:rsid w:val="001874D2"/>
    <w:rsid w:val="00187630"/>
    <w:rsid w:val="00187717"/>
    <w:rsid w:val="001877A9"/>
    <w:rsid w:val="00187816"/>
    <w:rsid w:val="00187829"/>
    <w:rsid w:val="001878ED"/>
    <w:rsid w:val="0018796D"/>
    <w:rsid w:val="00187A6E"/>
    <w:rsid w:val="00187D96"/>
    <w:rsid w:val="00187DED"/>
    <w:rsid w:val="001901A7"/>
    <w:rsid w:val="001905F8"/>
    <w:rsid w:val="001906FB"/>
    <w:rsid w:val="001906FF"/>
    <w:rsid w:val="0019093B"/>
    <w:rsid w:val="00190967"/>
    <w:rsid w:val="00190A85"/>
    <w:rsid w:val="00190AA7"/>
    <w:rsid w:val="00190B4B"/>
    <w:rsid w:val="00190B60"/>
    <w:rsid w:val="00190C43"/>
    <w:rsid w:val="00190CB6"/>
    <w:rsid w:val="00190CB7"/>
    <w:rsid w:val="00190E9F"/>
    <w:rsid w:val="00190ED8"/>
    <w:rsid w:val="00190F92"/>
    <w:rsid w:val="00190FDC"/>
    <w:rsid w:val="001910EF"/>
    <w:rsid w:val="00191102"/>
    <w:rsid w:val="001911E4"/>
    <w:rsid w:val="0019150B"/>
    <w:rsid w:val="0019165C"/>
    <w:rsid w:val="00191A1B"/>
    <w:rsid w:val="00192147"/>
    <w:rsid w:val="0019217A"/>
    <w:rsid w:val="001921AB"/>
    <w:rsid w:val="001921B1"/>
    <w:rsid w:val="001921E7"/>
    <w:rsid w:val="001922BF"/>
    <w:rsid w:val="00192354"/>
    <w:rsid w:val="0019286E"/>
    <w:rsid w:val="00192A83"/>
    <w:rsid w:val="00192B50"/>
    <w:rsid w:val="00192B95"/>
    <w:rsid w:val="00192C1C"/>
    <w:rsid w:val="00192CA3"/>
    <w:rsid w:val="00192D6C"/>
    <w:rsid w:val="00192FB2"/>
    <w:rsid w:val="00192FC9"/>
    <w:rsid w:val="0019307F"/>
    <w:rsid w:val="001930E8"/>
    <w:rsid w:val="00193136"/>
    <w:rsid w:val="001931C9"/>
    <w:rsid w:val="00193268"/>
    <w:rsid w:val="0019345E"/>
    <w:rsid w:val="0019362A"/>
    <w:rsid w:val="00193871"/>
    <w:rsid w:val="001939D5"/>
    <w:rsid w:val="00193A2A"/>
    <w:rsid w:val="00193C3B"/>
    <w:rsid w:val="00193C68"/>
    <w:rsid w:val="00193C95"/>
    <w:rsid w:val="00193D5F"/>
    <w:rsid w:val="00193FD0"/>
    <w:rsid w:val="001940D0"/>
    <w:rsid w:val="001941E5"/>
    <w:rsid w:val="00194456"/>
    <w:rsid w:val="0019465E"/>
    <w:rsid w:val="00194721"/>
    <w:rsid w:val="0019474E"/>
    <w:rsid w:val="00194808"/>
    <w:rsid w:val="00194811"/>
    <w:rsid w:val="00194850"/>
    <w:rsid w:val="001948A3"/>
    <w:rsid w:val="00194A36"/>
    <w:rsid w:val="00194AD5"/>
    <w:rsid w:val="00194B71"/>
    <w:rsid w:val="00194C59"/>
    <w:rsid w:val="00194C8A"/>
    <w:rsid w:val="00194C8B"/>
    <w:rsid w:val="00194D02"/>
    <w:rsid w:val="00194E6D"/>
    <w:rsid w:val="00194EDC"/>
    <w:rsid w:val="00194EE6"/>
    <w:rsid w:val="001954AB"/>
    <w:rsid w:val="0019553F"/>
    <w:rsid w:val="0019561F"/>
    <w:rsid w:val="0019562C"/>
    <w:rsid w:val="00195673"/>
    <w:rsid w:val="00195728"/>
    <w:rsid w:val="001958B2"/>
    <w:rsid w:val="00195908"/>
    <w:rsid w:val="00195A4D"/>
    <w:rsid w:val="00195AA9"/>
    <w:rsid w:val="00195B4F"/>
    <w:rsid w:val="00195C3E"/>
    <w:rsid w:val="00195CC1"/>
    <w:rsid w:val="00195CFF"/>
    <w:rsid w:val="00195D56"/>
    <w:rsid w:val="00195E7F"/>
    <w:rsid w:val="00195F2B"/>
    <w:rsid w:val="00195F3A"/>
    <w:rsid w:val="00196204"/>
    <w:rsid w:val="001962FC"/>
    <w:rsid w:val="001963D6"/>
    <w:rsid w:val="00196448"/>
    <w:rsid w:val="001964DE"/>
    <w:rsid w:val="0019655D"/>
    <w:rsid w:val="001965E0"/>
    <w:rsid w:val="00196642"/>
    <w:rsid w:val="001966A8"/>
    <w:rsid w:val="001966D0"/>
    <w:rsid w:val="00196749"/>
    <w:rsid w:val="00196920"/>
    <w:rsid w:val="00196979"/>
    <w:rsid w:val="001969CF"/>
    <w:rsid w:val="00196ABB"/>
    <w:rsid w:val="00196B01"/>
    <w:rsid w:val="00196E05"/>
    <w:rsid w:val="00196EBC"/>
    <w:rsid w:val="00196F1C"/>
    <w:rsid w:val="00197054"/>
    <w:rsid w:val="001970C0"/>
    <w:rsid w:val="00197179"/>
    <w:rsid w:val="001972DE"/>
    <w:rsid w:val="0019736E"/>
    <w:rsid w:val="001973CF"/>
    <w:rsid w:val="00197499"/>
    <w:rsid w:val="001976E7"/>
    <w:rsid w:val="00197BDC"/>
    <w:rsid w:val="00197E2E"/>
    <w:rsid w:val="00197F12"/>
    <w:rsid w:val="00197F74"/>
    <w:rsid w:val="00197F88"/>
    <w:rsid w:val="001A03F3"/>
    <w:rsid w:val="001A043E"/>
    <w:rsid w:val="001A044B"/>
    <w:rsid w:val="001A04E5"/>
    <w:rsid w:val="001A0585"/>
    <w:rsid w:val="001A0611"/>
    <w:rsid w:val="001A081B"/>
    <w:rsid w:val="001A0AF5"/>
    <w:rsid w:val="001A0B52"/>
    <w:rsid w:val="001A0E2B"/>
    <w:rsid w:val="001A0E95"/>
    <w:rsid w:val="001A0EB7"/>
    <w:rsid w:val="001A11E2"/>
    <w:rsid w:val="001A125E"/>
    <w:rsid w:val="001A12A7"/>
    <w:rsid w:val="001A1317"/>
    <w:rsid w:val="001A1428"/>
    <w:rsid w:val="001A1610"/>
    <w:rsid w:val="001A182E"/>
    <w:rsid w:val="001A1CB7"/>
    <w:rsid w:val="001A1CC1"/>
    <w:rsid w:val="001A1DF6"/>
    <w:rsid w:val="001A1FEA"/>
    <w:rsid w:val="001A20F3"/>
    <w:rsid w:val="001A2298"/>
    <w:rsid w:val="001A234A"/>
    <w:rsid w:val="001A2461"/>
    <w:rsid w:val="001A2885"/>
    <w:rsid w:val="001A28D6"/>
    <w:rsid w:val="001A29E6"/>
    <w:rsid w:val="001A2AC9"/>
    <w:rsid w:val="001A2AF2"/>
    <w:rsid w:val="001A2B67"/>
    <w:rsid w:val="001A2C37"/>
    <w:rsid w:val="001A2C74"/>
    <w:rsid w:val="001A2C7B"/>
    <w:rsid w:val="001A2D80"/>
    <w:rsid w:val="001A2D91"/>
    <w:rsid w:val="001A2DB7"/>
    <w:rsid w:val="001A3023"/>
    <w:rsid w:val="001A30CE"/>
    <w:rsid w:val="001A31D5"/>
    <w:rsid w:val="001A3250"/>
    <w:rsid w:val="001A3320"/>
    <w:rsid w:val="001A337C"/>
    <w:rsid w:val="001A35C2"/>
    <w:rsid w:val="001A36CA"/>
    <w:rsid w:val="001A39F6"/>
    <w:rsid w:val="001A3B6B"/>
    <w:rsid w:val="001A3C83"/>
    <w:rsid w:val="001A40BE"/>
    <w:rsid w:val="001A420B"/>
    <w:rsid w:val="001A427C"/>
    <w:rsid w:val="001A45C4"/>
    <w:rsid w:val="001A4607"/>
    <w:rsid w:val="001A4759"/>
    <w:rsid w:val="001A4A46"/>
    <w:rsid w:val="001A4B4B"/>
    <w:rsid w:val="001A4B67"/>
    <w:rsid w:val="001A4B97"/>
    <w:rsid w:val="001A4D04"/>
    <w:rsid w:val="001A4DE5"/>
    <w:rsid w:val="001A4DF0"/>
    <w:rsid w:val="001A4E87"/>
    <w:rsid w:val="001A4F43"/>
    <w:rsid w:val="001A4F7D"/>
    <w:rsid w:val="001A53CF"/>
    <w:rsid w:val="001A56FF"/>
    <w:rsid w:val="001A5728"/>
    <w:rsid w:val="001A5920"/>
    <w:rsid w:val="001A59FB"/>
    <w:rsid w:val="001A5ABC"/>
    <w:rsid w:val="001A5D58"/>
    <w:rsid w:val="001A62D6"/>
    <w:rsid w:val="001A664B"/>
    <w:rsid w:val="001A685A"/>
    <w:rsid w:val="001A6905"/>
    <w:rsid w:val="001A6A9F"/>
    <w:rsid w:val="001A6C12"/>
    <w:rsid w:val="001A6D40"/>
    <w:rsid w:val="001A6D90"/>
    <w:rsid w:val="001A6E63"/>
    <w:rsid w:val="001A6ED7"/>
    <w:rsid w:val="001A71A2"/>
    <w:rsid w:val="001A7258"/>
    <w:rsid w:val="001A7448"/>
    <w:rsid w:val="001A74EE"/>
    <w:rsid w:val="001A7723"/>
    <w:rsid w:val="001A7865"/>
    <w:rsid w:val="001A78F2"/>
    <w:rsid w:val="001A7915"/>
    <w:rsid w:val="001A7B42"/>
    <w:rsid w:val="001A7D8C"/>
    <w:rsid w:val="001A7D8F"/>
    <w:rsid w:val="001A7E4F"/>
    <w:rsid w:val="001A7E85"/>
    <w:rsid w:val="001A7F96"/>
    <w:rsid w:val="001B009D"/>
    <w:rsid w:val="001B01E7"/>
    <w:rsid w:val="001B0436"/>
    <w:rsid w:val="001B0708"/>
    <w:rsid w:val="001B080B"/>
    <w:rsid w:val="001B0A9F"/>
    <w:rsid w:val="001B0B3E"/>
    <w:rsid w:val="001B0B47"/>
    <w:rsid w:val="001B0BEE"/>
    <w:rsid w:val="001B0C8D"/>
    <w:rsid w:val="001B0D69"/>
    <w:rsid w:val="001B105C"/>
    <w:rsid w:val="001B1245"/>
    <w:rsid w:val="001B13D5"/>
    <w:rsid w:val="001B144D"/>
    <w:rsid w:val="001B149A"/>
    <w:rsid w:val="001B1500"/>
    <w:rsid w:val="001B177E"/>
    <w:rsid w:val="001B19F6"/>
    <w:rsid w:val="001B1B01"/>
    <w:rsid w:val="001B1B04"/>
    <w:rsid w:val="001B1B83"/>
    <w:rsid w:val="001B1BB7"/>
    <w:rsid w:val="001B1D15"/>
    <w:rsid w:val="001B1DF0"/>
    <w:rsid w:val="001B1E4B"/>
    <w:rsid w:val="001B1F09"/>
    <w:rsid w:val="001B2101"/>
    <w:rsid w:val="001B2270"/>
    <w:rsid w:val="001B237F"/>
    <w:rsid w:val="001B243B"/>
    <w:rsid w:val="001B249D"/>
    <w:rsid w:val="001B24F6"/>
    <w:rsid w:val="001B24FA"/>
    <w:rsid w:val="001B2504"/>
    <w:rsid w:val="001B288E"/>
    <w:rsid w:val="001B2A97"/>
    <w:rsid w:val="001B2CD4"/>
    <w:rsid w:val="001B2D6F"/>
    <w:rsid w:val="001B2F7D"/>
    <w:rsid w:val="001B31D1"/>
    <w:rsid w:val="001B3242"/>
    <w:rsid w:val="001B339B"/>
    <w:rsid w:val="001B3566"/>
    <w:rsid w:val="001B3598"/>
    <w:rsid w:val="001B35F5"/>
    <w:rsid w:val="001B3734"/>
    <w:rsid w:val="001B3A69"/>
    <w:rsid w:val="001B3AFF"/>
    <w:rsid w:val="001B3BC1"/>
    <w:rsid w:val="001B3EE5"/>
    <w:rsid w:val="001B4039"/>
    <w:rsid w:val="001B421A"/>
    <w:rsid w:val="001B43B7"/>
    <w:rsid w:val="001B46BB"/>
    <w:rsid w:val="001B49F0"/>
    <w:rsid w:val="001B4A25"/>
    <w:rsid w:val="001B4B14"/>
    <w:rsid w:val="001B4EFB"/>
    <w:rsid w:val="001B4FC6"/>
    <w:rsid w:val="001B503C"/>
    <w:rsid w:val="001B5198"/>
    <w:rsid w:val="001B51B7"/>
    <w:rsid w:val="001B5240"/>
    <w:rsid w:val="001B536A"/>
    <w:rsid w:val="001B53E1"/>
    <w:rsid w:val="001B5533"/>
    <w:rsid w:val="001B564F"/>
    <w:rsid w:val="001B5668"/>
    <w:rsid w:val="001B5CA1"/>
    <w:rsid w:val="001B5DA6"/>
    <w:rsid w:val="001B5DEC"/>
    <w:rsid w:val="001B5F16"/>
    <w:rsid w:val="001B5F3B"/>
    <w:rsid w:val="001B5F96"/>
    <w:rsid w:val="001B5FD2"/>
    <w:rsid w:val="001B61E9"/>
    <w:rsid w:val="001B6244"/>
    <w:rsid w:val="001B62FD"/>
    <w:rsid w:val="001B6347"/>
    <w:rsid w:val="001B6349"/>
    <w:rsid w:val="001B6392"/>
    <w:rsid w:val="001B645D"/>
    <w:rsid w:val="001B65D3"/>
    <w:rsid w:val="001B670F"/>
    <w:rsid w:val="001B68A8"/>
    <w:rsid w:val="001B6AC3"/>
    <w:rsid w:val="001B6E9B"/>
    <w:rsid w:val="001B6F3B"/>
    <w:rsid w:val="001B6FAE"/>
    <w:rsid w:val="001B70DA"/>
    <w:rsid w:val="001B7211"/>
    <w:rsid w:val="001B72FB"/>
    <w:rsid w:val="001B7329"/>
    <w:rsid w:val="001B75A5"/>
    <w:rsid w:val="001B7607"/>
    <w:rsid w:val="001B7740"/>
    <w:rsid w:val="001B77F7"/>
    <w:rsid w:val="001B789B"/>
    <w:rsid w:val="001B78F0"/>
    <w:rsid w:val="001B795F"/>
    <w:rsid w:val="001B79DE"/>
    <w:rsid w:val="001B7A30"/>
    <w:rsid w:val="001B7A3C"/>
    <w:rsid w:val="001B7A62"/>
    <w:rsid w:val="001B7B29"/>
    <w:rsid w:val="001B7B2E"/>
    <w:rsid w:val="001B7C99"/>
    <w:rsid w:val="001B7CAB"/>
    <w:rsid w:val="001B7CD0"/>
    <w:rsid w:val="001C007F"/>
    <w:rsid w:val="001C01E8"/>
    <w:rsid w:val="001C0240"/>
    <w:rsid w:val="001C02F8"/>
    <w:rsid w:val="001C06F2"/>
    <w:rsid w:val="001C07A0"/>
    <w:rsid w:val="001C087B"/>
    <w:rsid w:val="001C09F2"/>
    <w:rsid w:val="001C0AEA"/>
    <w:rsid w:val="001C0AF4"/>
    <w:rsid w:val="001C0DA9"/>
    <w:rsid w:val="001C148A"/>
    <w:rsid w:val="001C14DA"/>
    <w:rsid w:val="001C154A"/>
    <w:rsid w:val="001C174A"/>
    <w:rsid w:val="001C1D05"/>
    <w:rsid w:val="001C1D74"/>
    <w:rsid w:val="001C1D85"/>
    <w:rsid w:val="001C1EE2"/>
    <w:rsid w:val="001C21F3"/>
    <w:rsid w:val="001C2244"/>
    <w:rsid w:val="001C22C9"/>
    <w:rsid w:val="001C25E3"/>
    <w:rsid w:val="001C2692"/>
    <w:rsid w:val="001C26CF"/>
    <w:rsid w:val="001C2813"/>
    <w:rsid w:val="001C28E7"/>
    <w:rsid w:val="001C29F0"/>
    <w:rsid w:val="001C2A48"/>
    <w:rsid w:val="001C2A9E"/>
    <w:rsid w:val="001C2CF7"/>
    <w:rsid w:val="001C2DA7"/>
    <w:rsid w:val="001C2E03"/>
    <w:rsid w:val="001C2E35"/>
    <w:rsid w:val="001C2E84"/>
    <w:rsid w:val="001C2EB7"/>
    <w:rsid w:val="001C2ED0"/>
    <w:rsid w:val="001C3339"/>
    <w:rsid w:val="001C3387"/>
    <w:rsid w:val="001C33D4"/>
    <w:rsid w:val="001C33F0"/>
    <w:rsid w:val="001C37B1"/>
    <w:rsid w:val="001C3A16"/>
    <w:rsid w:val="001C3B7D"/>
    <w:rsid w:val="001C434D"/>
    <w:rsid w:val="001C4560"/>
    <w:rsid w:val="001C4566"/>
    <w:rsid w:val="001C46B4"/>
    <w:rsid w:val="001C46EF"/>
    <w:rsid w:val="001C4789"/>
    <w:rsid w:val="001C4A3F"/>
    <w:rsid w:val="001C4B9E"/>
    <w:rsid w:val="001C4D80"/>
    <w:rsid w:val="001C4EE5"/>
    <w:rsid w:val="001C4F17"/>
    <w:rsid w:val="001C4F1E"/>
    <w:rsid w:val="001C4F6C"/>
    <w:rsid w:val="001C50F3"/>
    <w:rsid w:val="001C51D6"/>
    <w:rsid w:val="001C53CB"/>
    <w:rsid w:val="001C53E7"/>
    <w:rsid w:val="001C5540"/>
    <w:rsid w:val="001C55C0"/>
    <w:rsid w:val="001C55EB"/>
    <w:rsid w:val="001C569A"/>
    <w:rsid w:val="001C5971"/>
    <w:rsid w:val="001C5C21"/>
    <w:rsid w:val="001C5C41"/>
    <w:rsid w:val="001C5CFD"/>
    <w:rsid w:val="001C5E09"/>
    <w:rsid w:val="001C5ED9"/>
    <w:rsid w:val="001C5F5A"/>
    <w:rsid w:val="001C60E7"/>
    <w:rsid w:val="001C60F0"/>
    <w:rsid w:val="001C64CC"/>
    <w:rsid w:val="001C6646"/>
    <w:rsid w:val="001C67E4"/>
    <w:rsid w:val="001C686F"/>
    <w:rsid w:val="001C6963"/>
    <w:rsid w:val="001C69CB"/>
    <w:rsid w:val="001C69E3"/>
    <w:rsid w:val="001C6A45"/>
    <w:rsid w:val="001C6A8A"/>
    <w:rsid w:val="001C6B5A"/>
    <w:rsid w:val="001C6B70"/>
    <w:rsid w:val="001C6C1F"/>
    <w:rsid w:val="001C6D44"/>
    <w:rsid w:val="001C6DFD"/>
    <w:rsid w:val="001C6FB4"/>
    <w:rsid w:val="001C6FFA"/>
    <w:rsid w:val="001C71E0"/>
    <w:rsid w:val="001C738E"/>
    <w:rsid w:val="001C74B3"/>
    <w:rsid w:val="001C7526"/>
    <w:rsid w:val="001C7530"/>
    <w:rsid w:val="001C7571"/>
    <w:rsid w:val="001C7580"/>
    <w:rsid w:val="001C7B9F"/>
    <w:rsid w:val="001C7C78"/>
    <w:rsid w:val="001C7D69"/>
    <w:rsid w:val="001D0049"/>
    <w:rsid w:val="001D027A"/>
    <w:rsid w:val="001D03A8"/>
    <w:rsid w:val="001D05AD"/>
    <w:rsid w:val="001D0960"/>
    <w:rsid w:val="001D096B"/>
    <w:rsid w:val="001D0A2F"/>
    <w:rsid w:val="001D0AA8"/>
    <w:rsid w:val="001D0AC6"/>
    <w:rsid w:val="001D0D33"/>
    <w:rsid w:val="001D0DF3"/>
    <w:rsid w:val="001D0E35"/>
    <w:rsid w:val="001D0F89"/>
    <w:rsid w:val="001D102F"/>
    <w:rsid w:val="001D118D"/>
    <w:rsid w:val="001D12E9"/>
    <w:rsid w:val="001D1354"/>
    <w:rsid w:val="001D13AA"/>
    <w:rsid w:val="001D14EF"/>
    <w:rsid w:val="001D15AE"/>
    <w:rsid w:val="001D15E0"/>
    <w:rsid w:val="001D164A"/>
    <w:rsid w:val="001D1871"/>
    <w:rsid w:val="001D18B3"/>
    <w:rsid w:val="001D19D0"/>
    <w:rsid w:val="001D1A79"/>
    <w:rsid w:val="001D1ACD"/>
    <w:rsid w:val="001D1D06"/>
    <w:rsid w:val="001D1DC2"/>
    <w:rsid w:val="001D1FA0"/>
    <w:rsid w:val="001D2010"/>
    <w:rsid w:val="001D2054"/>
    <w:rsid w:val="001D224C"/>
    <w:rsid w:val="001D2362"/>
    <w:rsid w:val="001D25C7"/>
    <w:rsid w:val="001D260C"/>
    <w:rsid w:val="001D26AC"/>
    <w:rsid w:val="001D2754"/>
    <w:rsid w:val="001D28CB"/>
    <w:rsid w:val="001D2A8F"/>
    <w:rsid w:val="001D2AB4"/>
    <w:rsid w:val="001D2C45"/>
    <w:rsid w:val="001D2F48"/>
    <w:rsid w:val="001D2FEC"/>
    <w:rsid w:val="001D30CA"/>
    <w:rsid w:val="001D3107"/>
    <w:rsid w:val="001D3121"/>
    <w:rsid w:val="001D3142"/>
    <w:rsid w:val="001D3221"/>
    <w:rsid w:val="001D32C0"/>
    <w:rsid w:val="001D3309"/>
    <w:rsid w:val="001D3466"/>
    <w:rsid w:val="001D352F"/>
    <w:rsid w:val="001D384C"/>
    <w:rsid w:val="001D3865"/>
    <w:rsid w:val="001D3951"/>
    <w:rsid w:val="001D3A64"/>
    <w:rsid w:val="001D3A9D"/>
    <w:rsid w:val="001D3B40"/>
    <w:rsid w:val="001D3F8E"/>
    <w:rsid w:val="001D40A5"/>
    <w:rsid w:val="001D41E6"/>
    <w:rsid w:val="001D41ED"/>
    <w:rsid w:val="001D4439"/>
    <w:rsid w:val="001D44B2"/>
    <w:rsid w:val="001D452B"/>
    <w:rsid w:val="001D46CF"/>
    <w:rsid w:val="001D46E9"/>
    <w:rsid w:val="001D4778"/>
    <w:rsid w:val="001D49BD"/>
    <w:rsid w:val="001D4B31"/>
    <w:rsid w:val="001D4D35"/>
    <w:rsid w:val="001D4E0D"/>
    <w:rsid w:val="001D4FCF"/>
    <w:rsid w:val="001D50C5"/>
    <w:rsid w:val="001D52BF"/>
    <w:rsid w:val="001D5403"/>
    <w:rsid w:val="001D5629"/>
    <w:rsid w:val="001D5734"/>
    <w:rsid w:val="001D574F"/>
    <w:rsid w:val="001D5793"/>
    <w:rsid w:val="001D5A14"/>
    <w:rsid w:val="001D5D1A"/>
    <w:rsid w:val="001D5EAF"/>
    <w:rsid w:val="001D5EE5"/>
    <w:rsid w:val="001D614C"/>
    <w:rsid w:val="001D61AB"/>
    <w:rsid w:val="001D623F"/>
    <w:rsid w:val="001D6346"/>
    <w:rsid w:val="001D6377"/>
    <w:rsid w:val="001D6441"/>
    <w:rsid w:val="001D64BA"/>
    <w:rsid w:val="001D6691"/>
    <w:rsid w:val="001D6692"/>
    <w:rsid w:val="001D676F"/>
    <w:rsid w:val="001D67F0"/>
    <w:rsid w:val="001D68D8"/>
    <w:rsid w:val="001D6A73"/>
    <w:rsid w:val="001D6B35"/>
    <w:rsid w:val="001D6CB7"/>
    <w:rsid w:val="001D6DF1"/>
    <w:rsid w:val="001D6DF5"/>
    <w:rsid w:val="001D6F1F"/>
    <w:rsid w:val="001D6F34"/>
    <w:rsid w:val="001D6F6D"/>
    <w:rsid w:val="001D6FE0"/>
    <w:rsid w:val="001D705D"/>
    <w:rsid w:val="001D729C"/>
    <w:rsid w:val="001D72A9"/>
    <w:rsid w:val="001D73B3"/>
    <w:rsid w:val="001D745A"/>
    <w:rsid w:val="001D74A7"/>
    <w:rsid w:val="001D7518"/>
    <w:rsid w:val="001D760F"/>
    <w:rsid w:val="001D766C"/>
    <w:rsid w:val="001D7759"/>
    <w:rsid w:val="001D77BE"/>
    <w:rsid w:val="001D7881"/>
    <w:rsid w:val="001D7A4E"/>
    <w:rsid w:val="001D7BBF"/>
    <w:rsid w:val="001D7CCF"/>
    <w:rsid w:val="001D7D3F"/>
    <w:rsid w:val="001D7E8C"/>
    <w:rsid w:val="001E0120"/>
    <w:rsid w:val="001E0195"/>
    <w:rsid w:val="001E01C9"/>
    <w:rsid w:val="001E052C"/>
    <w:rsid w:val="001E0697"/>
    <w:rsid w:val="001E06CF"/>
    <w:rsid w:val="001E08E6"/>
    <w:rsid w:val="001E0A08"/>
    <w:rsid w:val="001E0B8C"/>
    <w:rsid w:val="001E0C5A"/>
    <w:rsid w:val="001E0C62"/>
    <w:rsid w:val="001E0D5D"/>
    <w:rsid w:val="001E1002"/>
    <w:rsid w:val="001E1121"/>
    <w:rsid w:val="001E1327"/>
    <w:rsid w:val="001E13F0"/>
    <w:rsid w:val="001E1467"/>
    <w:rsid w:val="001E15F2"/>
    <w:rsid w:val="001E1632"/>
    <w:rsid w:val="001E1677"/>
    <w:rsid w:val="001E17FB"/>
    <w:rsid w:val="001E1936"/>
    <w:rsid w:val="001E193D"/>
    <w:rsid w:val="001E195F"/>
    <w:rsid w:val="001E1B6F"/>
    <w:rsid w:val="001E1C15"/>
    <w:rsid w:val="001E1C1C"/>
    <w:rsid w:val="001E1CE5"/>
    <w:rsid w:val="001E1CFC"/>
    <w:rsid w:val="001E1DDD"/>
    <w:rsid w:val="001E1F04"/>
    <w:rsid w:val="001E2120"/>
    <w:rsid w:val="001E22F7"/>
    <w:rsid w:val="001E2379"/>
    <w:rsid w:val="001E24E6"/>
    <w:rsid w:val="001E24E7"/>
    <w:rsid w:val="001E2607"/>
    <w:rsid w:val="001E2710"/>
    <w:rsid w:val="001E28D6"/>
    <w:rsid w:val="001E28E1"/>
    <w:rsid w:val="001E28F9"/>
    <w:rsid w:val="001E2A09"/>
    <w:rsid w:val="001E2C88"/>
    <w:rsid w:val="001E2E45"/>
    <w:rsid w:val="001E316C"/>
    <w:rsid w:val="001E3180"/>
    <w:rsid w:val="001E33C2"/>
    <w:rsid w:val="001E33D5"/>
    <w:rsid w:val="001E3521"/>
    <w:rsid w:val="001E3522"/>
    <w:rsid w:val="001E35D5"/>
    <w:rsid w:val="001E371C"/>
    <w:rsid w:val="001E37A7"/>
    <w:rsid w:val="001E3969"/>
    <w:rsid w:val="001E3981"/>
    <w:rsid w:val="001E3BFC"/>
    <w:rsid w:val="001E3D04"/>
    <w:rsid w:val="001E3D25"/>
    <w:rsid w:val="001E3D98"/>
    <w:rsid w:val="001E3E0C"/>
    <w:rsid w:val="001E3E85"/>
    <w:rsid w:val="001E3FB2"/>
    <w:rsid w:val="001E4094"/>
    <w:rsid w:val="001E428D"/>
    <w:rsid w:val="001E45F0"/>
    <w:rsid w:val="001E465F"/>
    <w:rsid w:val="001E469B"/>
    <w:rsid w:val="001E478C"/>
    <w:rsid w:val="001E4824"/>
    <w:rsid w:val="001E4849"/>
    <w:rsid w:val="001E48E6"/>
    <w:rsid w:val="001E495E"/>
    <w:rsid w:val="001E49AC"/>
    <w:rsid w:val="001E49B0"/>
    <w:rsid w:val="001E4A06"/>
    <w:rsid w:val="001E4B2C"/>
    <w:rsid w:val="001E4C6B"/>
    <w:rsid w:val="001E4D68"/>
    <w:rsid w:val="001E50C0"/>
    <w:rsid w:val="001E524E"/>
    <w:rsid w:val="001E52CE"/>
    <w:rsid w:val="001E5531"/>
    <w:rsid w:val="001E5640"/>
    <w:rsid w:val="001E5774"/>
    <w:rsid w:val="001E5B02"/>
    <w:rsid w:val="001E5F90"/>
    <w:rsid w:val="001E607B"/>
    <w:rsid w:val="001E617F"/>
    <w:rsid w:val="001E63E0"/>
    <w:rsid w:val="001E653E"/>
    <w:rsid w:val="001E659C"/>
    <w:rsid w:val="001E66CF"/>
    <w:rsid w:val="001E680A"/>
    <w:rsid w:val="001E681F"/>
    <w:rsid w:val="001E68B8"/>
    <w:rsid w:val="001E69C0"/>
    <w:rsid w:val="001E6B7D"/>
    <w:rsid w:val="001E6CE1"/>
    <w:rsid w:val="001E6D32"/>
    <w:rsid w:val="001E6F20"/>
    <w:rsid w:val="001E6F4E"/>
    <w:rsid w:val="001E71CD"/>
    <w:rsid w:val="001E72FC"/>
    <w:rsid w:val="001E7403"/>
    <w:rsid w:val="001E747F"/>
    <w:rsid w:val="001E7482"/>
    <w:rsid w:val="001E74EC"/>
    <w:rsid w:val="001E775E"/>
    <w:rsid w:val="001E7766"/>
    <w:rsid w:val="001E7A58"/>
    <w:rsid w:val="001E7ADF"/>
    <w:rsid w:val="001E7D3C"/>
    <w:rsid w:val="001E7DBA"/>
    <w:rsid w:val="001E7ED1"/>
    <w:rsid w:val="001F0164"/>
    <w:rsid w:val="001F01F6"/>
    <w:rsid w:val="001F03C5"/>
    <w:rsid w:val="001F04D9"/>
    <w:rsid w:val="001F05B7"/>
    <w:rsid w:val="001F05DC"/>
    <w:rsid w:val="001F07C4"/>
    <w:rsid w:val="001F096A"/>
    <w:rsid w:val="001F0A0E"/>
    <w:rsid w:val="001F0A51"/>
    <w:rsid w:val="001F0B21"/>
    <w:rsid w:val="001F0C47"/>
    <w:rsid w:val="001F0E57"/>
    <w:rsid w:val="001F0EB4"/>
    <w:rsid w:val="001F0F71"/>
    <w:rsid w:val="001F0FF7"/>
    <w:rsid w:val="001F0FFF"/>
    <w:rsid w:val="001F1239"/>
    <w:rsid w:val="001F1269"/>
    <w:rsid w:val="001F1590"/>
    <w:rsid w:val="001F1626"/>
    <w:rsid w:val="001F1730"/>
    <w:rsid w:val="001F18A7"/>
    <w:rsid w:val="001F19CD"/>
    <w:rsid w:val="001F19ED"/>
    <w:rsid w:val="001F1A69"/>
    <w:rsid w:val="001F1C4A"/>
    <w:rsid w:val="001F1E25"/>
    <w:rsid w:val="001F1E30"/>
    <w:rsid w:val="001F1E93"/>
    <w:rsid w:val="001F2080"/>
    <w:rsid w:val="001F22F3"/>
    <w:rsid w:val="001F236F"/>
    <w:rsid w:val="001F24F6"/>
    <w:rsid w:val="001F251E"/>
    <w:rsid w:val="001F26C3"/>
    <w:rsid w:val="001F2786"/>
    <w:rsid w:val="001F2792"/>
    <w:rsid w:val="001F27CF"/>
    <w:rsid w:val="001F2902"/>
    <w:rsid w:val="001F2A47"/>
    <w:rsid w:val="001F2A65"/>
    <w:rsid w:val="001F2BA8"/>
    <w:rsid w:val="001F2C0A"/>
    <w:rsid w:val="001F2C84"/>
    <w:rsid w:val="001F326D"/>
    <w:rsid w:val="001F32AB"/>
    <w:rsid w:val="001F36D0"/>
    <w:rsid w:val="001F38A7"/>
    <w:rsid w:val="001F393E"/>
    <w:rsid w:val="001F3A42"/>
    <w:rsid w:val="001F3A64"/>
    <w:rsid w:val="001F3B2A"/>
    <w:rsid w:val="001F3BE8"/>
    <w:rsid w:val="001F3C64"/>
    <w:rsid w:val="001F3EE8"/>
    <w:rsid w:val="001F3F36"/>
    <w:rsid w:val="001F412C"/>
    <w:rsid w:val="001F41AE"/>
    <w:rsid w:val="001F43C4"/>
    <w:rsid w:val="001F448C"/>
    <w:rsid w:val="001F44EB"/>
    <w:rsid w:val="001F4502"/>
    <w:rsid w:val="001F4578"/>
    <w:rsid w:val="001F45D9"/>
    <w:rsid w:val="001F4654"/>
    <w:rsid w:val="001F49F7"/>
    <w:rsid w:val="001F4BCC"/>
    <w:rsid w:val="001F4C4C"/>
    <w:rsid w:val="001F4E6B"/>
    <w:rsid w:val="001F4E7A"/>
    <w:rsid w:val="001F4ED4"/>
    <w:rsid w:val="001F4F25"/>
    <w:rsid w:val="001F4F34"/>
    <w:rsid w:val="001F50CE"/>
    <w:rsid w:val="001F50DE"/>
    <w:rsid w:val="001F52CD"/>
    <w:rsid w:val="001F5442"/>
    <w:rsid w:val="001F545A"/>
    <w:rsid w:val="001F5523"/>
    <w:rsid w:val="001F57FB"/>
    <w:rsid w:val="001F581A"/>
    <w:rsid w:val="001F584B"/>
    <w:rsid w:val="001F589E"/>
    <w:rsid w:val="001F5B64"/>
    <w:rsid w:val="001F5B8C"/>
    <w:rsid w:val="001F5CEF"/>
    <w:rsid w:val="001F5E9A"/>
    <w:rsid w:val="001F5FF5"/>
    <w:rsid w:val="001F6245"/>
    <w:rsid w:val="001F632D"/>
    <w:rsid w:val="001F635D"/>
    <w:rsid w:val="001F658C"/>
    <w:rsid w:val="001F660C"/>
    <w:rsid w:val="001F675C"/>
    <w:rsid w:val="001F6870"/>
    <w:rsid w:val="001F6961"/>
    <w:rsid w:val="001F6C25"/>
    <w:rsid w:val="001F6C5D"/>
    <w:rsid w:val="001F6D56"/>
    <w:rsid w:val="001F6D8D"/>
    <w:rsid w:val="001F6F44"/>
    <w:rsid w:val="001F6F48"/>
    <w:rsid w:val="001F704C"/>
    <w:rsid w:val="001F740D"/>
    <w:rsid w:val="001F74C3"/>
    <w:rsid w:val="001F7506"/>
    <w:rsid w:val="001F7563"/>
    <w:rsid w:val="001F762E"/>
    <w:rsid w:val="001F7681"/>
    <w:rsid w:val="001F7892"/>
    <w:rsid w:val="001F789C"/>
    <w:rsid w:val="001F7932"/>
    <w:rsid w:val="001F79DE"/>
    <w:rsid w:val="001F7A06"/>
    <w:rsid w:val="001F7A21"/>
    <w:rsid w:val="001F7BFC"/>
    <w:rsid w:val="001F7D89"/>
    <w:rsid w:val="001F7E3C"/>
    <w:rsid w:val="001F7E43"/>
    <w:rsid w:val="001F7E92"/>
    <w:rsid w:val="001F7F2E"/>
    <w:rsid w:val="00200028"/>
    <w:rsid w:val="00200157"/>
    <w:rsid w:val="00200177"/>
    <w:rsid w:val="0020022E"/>
    <w:rsid w:val="00200274"/>
    <w:rsid w:val="00200302"/>
    <w:rsid w:val="00200369"/>
    <w:rsid w:val="0020065C"/>
    <w:rsid w:val="00200735"/>
    <w:rsid w:val="0020078E"/>
    <w:rsid w:val="00200925"/>
    <w:rsid w:val="00200B34"/>
    <w:rsid w:val="00200C5F"/>
    <w:rsid w:val="00200C63"/>
    <w:rsid w:val="00200E43"/>
    <w:rsid w:val="002010D4"/>
    <w:rsid w:val="0020111C"/>
    <w:rsid w:val="002014AC"/>
    <w:rsid w:val="0020173F"/>
    <w:rsid w:val="002017F3"/>
    <w:rsid w:val="00201991"/>
    <w:rsid w:val="00201A9D"/>
    <w:rsid w:val="00201B9F"/>
    <w:rsid w:val="00201CB9"/>
    <w:rsid w:val="00201E94"/>
    <w:rsid w:val="00201EAD"/>
    <w:rsid w:val="00201FC6"/>
    <w:rsid w:val="00202463"/>
    <w:rsid w:val="00202C2C"/>
    <w:rsid w:val="00202C8D"/>
    <w:rsid w:val="00202ED5"/>
    <w:rsid w:val="00203133"/>
    <w:rsid w:val="002032AE"/>
    <w:rsid w:val="00203379"/>
    <w:rsid w:val="002033B8"/>
    <w:rsid w:val="002036E9"/>
    <w:rsid w:val="00203787"/>
    <w:rsid w:val="00203840"/>
    <w:rsid w:val="002038B7"/>
    <w:rsid w:val="00203983"/>
    <w:rsid w:val="002039AC"/>
    <w:rsid w:val="00203A3D"/>
    <w:rsid w:val="00203A97"/>
    <w:rsid w:val="00203B14"/>
    <w:rsid w:val="00203CED"/>
    <w:rsid w:val="00203DD0"/>
    <w:rsid w:val="00203E57"/>
    <w:rsid w:val="00203E5A"/>
    <w:rsid w:val="00203F3F"/>
    <w:rsid w:val="00203FBC"/>
    <w:rsid w:val="00204075"/>
    <w:rsid w:val="002042A3"/>
    <w:rsid w:val="00204329"/>
    <w:rsid w:val="00204808"/>
    <w:rsid w:val="00204907"/>
    <w:rsid w:val="002049D0"/>
    <w:rsid w:val="00204B1F"/>
    <w:rsid w:val="00204D60"/>
    <w:rsid w:val="00204F10"/>
    <w:rsid w:val="00205173"/>
    <w:rsid w:val="00205444"/>
    <w:rsid w:val="002054CE"/>
    <w:rsid w:val="0020563F"/>
    <w:rsid w:val="002058D2"/>
    <w:rsid w:val="0020598F"/>
    <w:rsid w:val="00205B6F"/>
    <w:rsid w:val="00205BF8"/>
    <w:rsid w:val="00205C63"/>
    <w:rsid w:val="00205CAE"/>
    <w:rsid w:val="00205DAC"/>
    <w:rsid w:val="00205E76"/>
    <w:rsid w:val="00205F7E"/>
    <w:rsid w:val="0020612C"/>
    <w:rsid w:val="00206306"/>
    <w:rsid w:val="002063C8"/>
    <w:rsid w:val="00206427"/>
    <w:rsid w:val="0020666A"/>
    <w:rsid w:val="002066D7"/>
    <w:rsid w:val="00206987"/>
    <w:rsid w:val="00206B19"/>
    <w:rsid w:val="00206D28"/>
    <w:rsid w:val="00206D9D"/>
    <w:rsid w:val="00206F08"/>
    <w:rsid w:val="00206FFE"/>
    <w:rsid w:val="0020702C"/>
    <w:rsid w:val="0020704C"/>
    <w:rsid w:val="00207248"/>
    <w:rsid w:val="002072A2"/>
    <w:rsid w:val="002073FE"/>
    <w:rsid w:val="00207469"/>
    <w:rsid w:val="002077A5"/>
    <w:rsid w:val="00207815"/>
    <w:rsid w:val="0020789F"/>
    <w:rsid w:val="00207956"/>
    <w:rsid w:val="00207A22"/>
    <w:rsid w:val="00207A73"/>
    <w:rsid w:val="00207C0F"/>
    <w:rsid w:val="00207C80"/>
    <w:rsid w:val="00207F59"/>
    <w:rsid w:val="00207FCB"/>
    <w:rsid w:val="002101E2"/>
    <w:rsid w:val="0021031E"/>
    <w:rsid w:val="00210470"/>
    <w:rsid w:val="0021053A"/>
    <w:rsid w:val="00210795"/>
    <w:rsid w:val="00210902"/>
    <w:rsid w:val="00210920"/>
    <w:rsid w:val="00210A2E"/>
    <w:rsid w:val="00210A68"/>
    <w:rsid w:val="00210AE1"/>
    <w:rsid w:val="00210CD4"/>
    <w:rsid w:val="00210CE8"/>
    <w:rsid w:val="00210D9A"/>
    <w:rsid w:val="0021102A"/>
    <w:rsid w:val="00211110"/>
    <w:rsid w:val="002113E7"/>
    <w:rsid w:val="00211445"/>
    <w:rsid w:val="0021144B"/>
    <w:rsid w:val="002115C4"/>
    <w:rsid w:val="00211624"/>
    <w:rsid w:val="002116DC"/>
    <w:rsid w:val="002116E8"/>
    <w:rsid w:val="002117AF"/>
    <w:rsid w:val="00211D10"/>
    <w:rsid w:val="00211DC3"/>
    <w:rsid w:val="00211E85"/>
    <w:rsid w:val="002120A5"/>
    <w:rsid w:val="00212247"/>
    <w:rsid w:val="0021244D"/>
    <w:rsid w:val="00212469"/>
    <w:rsid w:val="002127DE"/>
    <w:rsid w:val="00212B20"/>
    <w:rsid w:val="00212CEC"/>
    <w:rsid w:val="002130A3"/>
    <w:rsid w:val="00213200"/>
    <w:rsid w:val="00213373"/>
    <w:rsid w:val="002133F3"/>
    <w:rsid w:val="00213538"/>
    <w:rsid w:val="00213662"/>
    <w:rsid w:val="0021374F"/>
    <w:rsid w:val="0021375C"/>
    <w:rsid w:val="00213770"/>
    <w:rsid w:val="00213940"/>
    <w:rsid w:val="00213BF6"/>
    <w:rsid w:val="00213C63"/>
    <w:rsid w:val="00213EA1"/>
    <w:rsid w:val="00213F70"/>
    <w:rsid w:val="00213FF5"/>
    <w:rsid w:val="002140EA"/>
    <w:rsid w:val="0021420E"/>
    <w:rsid w:val="002143A2"/>
    <w:rsid w:val="0021471A"/>
    <w:rsid w:val="00214861"/>
    <w:rsid w:val="002149CE"/>
    <w:rsid w:val="00214A70"/>
    <w:rsid w:val="00214C03"/>
    <w:rsid w:val="00214CD9"/>
    <w:rsid w:val="00214D38"/>
    <w:rsid w:val="00214E25"/>
    <w:rsid w:val="00214E30"/>
    <w:rsid w:val="00215010"/>
    <w:rsid w:val="00215036"/>
    <w:rsid w:val="0021526B"/>
    <w:rsid w:val="0021529B"/>
    <w:rsid w:val="002153D9"/>
    <w:rsid w:val="002154B3"/>
    <w:rsid w:val="00215584"/>
    <w:rsid w:val="002155B6"/>
    <w:rsid w:val="002156C2"/>
    <w:rsid w:val="002156D2"/>
    <w:rsid w:val="002157E4"/>
    <w:rsid w:val="00215842"/>
    <w:rsid w:val="00215929"/>
    <w:rsid w:val="00215AFB"/>
    <w:rsid w:val="00215BD7"/>
    <w:rsid w:val="00215C2B"/>
    <w:rsid w:val="00215D03"/>
    <w:rsid w:val="00215DEA"/>
    <w:rsid w:val="002161A1"/>
    <w:rsid w:val="0021624B"/>
    <w:rsid w:val="002162C0"/>
    <w:rsid w:val="0021635F"/>
    <w:rsid w:val="002163AF"/>
    <w:rsid w:val="002163CF"/>
    <w:rsid w:val="00216426"/>
    <w:rsid w:val="002164B0"/>
    <w:rsid w:val="00216549"/>
    <w:rsid w:val="0021654C"/>
    <w:rsid w:val="0021655D"/>
    <w:rsid w:val="002166AD"/>
    <w:rsid w:val="00216A63"/>
    <w:rsid w:val="00216CCB"/>
    <w:rsid w:val="00216E88"/>
    <w:rsid w:val="0021707D"/>
    <w:rsid w:val="0021710F"/>
    <w:rsid w:val="00217235"/>
    <w:rsid w:val="00217443"/>
    <w:rsid w:val="002174FC"/>
    <w:rsid w:val="00217674"/>
    <w:rsid w:val="002178D2"/>
    <w:rsid w:val="0021796C"/>
    <w:rsid w:val="00217B13"/>
    <w:rsid w:val="00217C00"/>
    <w:rsid w:val="00217E1F"/>
    <w:rsid w:val="00217EAB"/>
    <w:rsid w:val="002200D8"/>
    <w:rsid w:val="0022012D"/>
    <w:rsid w:val="00220446"/>
    <w:rsid w:val="0022045E"/>
    <w:rsid w:val="002207D0"/>
    <w:rsid w:val="0022081E"/>
    <w:rsid w:val="0022083E"/>
    <w:rsid w:val="0022085F"/>
    <w:rsid w:val="002208B6"/>
    <w:rsid w:val="0022092D"/>
    <w:rsid w:val="00220A53"/>
    <w:rsid w:val="00220A54"/>
    <w:rsid w:val="00220C85"/>
    <w:rsid w:val="00220DB3"/>
    <w:rsid w:val="00220F89"/>
    <w:rsid w:val="00220FA1"/>
    <w:rsid w:val="00220FF3"/>
    <w:rsid w:val="002210A6"/>
    <w:rsid w:val="002210E4"/>
    <w:rsid w:val="00221395"/>
    <w:rsid w:val="002213B8"/>
    <w:rsid w:val="00221457"/>
    <w:rsid w:val="00221658"/>
    <w:rsid w:val="002216CD"/>
    <w:rsid w:val="002218A6"/>
    <w:rsid w:val="002218B6"/>
    <w:rsid w:val="00221D75"/>
    <w:rsid w:val="00221DF5"/>
    <w:rsid w:val="00221E4C"/>
    <w:rsid w:val="00222105"/>
    <w:rsid w:val="00222173"/>
    <w:rsid w:val="00222191"/>
    <w:rsid w:val="0022248F"/>
    <w:rsid w:val="002226A7"/>
    <w:rsid w:val="002226AA"/>
    <w:rsid w:val="0022278E"/>
    <w:rsid w:val="00222797"/>
    <w:rsid w:val="0022286C"/>
    <w:rsid w:val="00222AE2"/>
    <w:rsid w:val="00222BDE"/>
    <w:rsid w:val="00222C0F"/>
    <w:rsid w:val="00222C3D"/>
    <w:rsid w:val="00222D68"/>
    <w:rsid w:val="00222DB6"/>
    <w:rsid w:val="00222E14"/>
    <w:rsid w:val="00222F41"/>
    <w:rsid w:val="00223157"/>
    <w:rsid w:val="0022315D"/>
    <w:rsid w:val="00223254"/>
    <w:rsid w:val="0022335A"/>
    <w:rsid w:val="002235B0"/>
    <w:rsid w:val="0022365B"/>
    <w:rsid w:val="00223664"/>
    <w:rsid w:val="0022369F"/>
    <w:rsid w:val="002237EB"/>
    <w:rsid w:val="00223830"/>
    <w:rsid w:val="00223882"/>
    <w:rsid w:val="00223943"/>
    <w:rsid w:val="00223A56"/>
    <w:rsid w:val="00223AF9"/>
    <w:rsid w:val="00223D50"/>
    <w:rsid w:val="002240A8"/>
    <w:rsid w:val="002240EA"/>
    <w:rsid w:val="002241BB"/>
    <w:rsid w:val="0022452D"/>
    <w:rsid w:val="00224756"/>
    <w:rsid w:val="002247C9"/>
    <w:rsid w:val="00224ACD"/>
    <w:rsid w:val="00224B9D"/>
    <w:rsid w:val="00224BAF"/>
    <w:rsid w:val="00224C3F"/>
    <w:rsid w:val="00224C9D"/>
    <w:rsid w:val="00224C9F"/>
    <w:rsid w:val="00224D0F"/>
    <w:rsid w:val="00224D5B"/>
    <w:rsid w:val="00224DD3"/>
    <w:rsid w:val="00224E06"/>
    <w:rsid w:val="00224F22"/>
    <w:rsid w:val="00224F64"/>
    <w:rsid w:val="00224FE9"/>
    <w:rsid w:val="00225041"/>
    <w:rsid w:val="0022535F"/>
    <w:rsid w:val="002253C0"/>
    <w:rsid w:val="00225402"/>
    <w:rsid w:val="002254BB"/>
    <w:rsid w:val="0022554D"/>
    <w:rsid w:val="0022556F"/>
    <w:rsid w:val="00225608"/>
    <w:rsid w:val="002256AE"/>
    <w:rsid w:val="002257DD"/>
    <w:rsid w:val="002257F8"/>
    <w:rsid w:val="00225833"/>
    <w:rsid w:val="00225A92"/>
    <w:rsid w:val="00225D4B"/>
    <w:rsid w:val="00225D5E"/>
    <w:rsid w:val="00225DCA"/>
    <w:rsid w:val="00226095"/>
    <w:rsid w:val="00226513"/>
    <w:rsid w:val="00226616"/>
    <w:rsid w:val="00226680"/>
    <w:rsid w:val="002267B1"/>
    <w:rsid w:val="0022691C"/>
    <w:rsid w:val="002269A4"/>
    <w:rsid w:val="00226BC7"/>
    <w:rsid w:val="00226D84"/>
    <w:rsid w:val="00226F2C"/>
    <w:rsid w:val="00226F56"/>
    <w:rsid w:val="00227003"/>
    <w:rsid w:val="00227088"/>
    <w:rsid w:val="002271F5"/>
    <w:rsid w:val="0022756C"/>
    <w:rsid w:val="002275E0"/>
    <w:rsid w:val="00227825"/>
    <w:rsid w:val="00227937"/>
    <w:rsid w:val="00227B89"/>
    <w:rsid w:val="00227E38"/>
    <w:rsid w:val="00227E5D"/>
    <w:rsid w:val="00227E93"/>
    <w:rsid w:val="00227F26"/>
    <w:rsid w:val="00227F43"/>
    <w:rsid w:val="002301AC"/>
    <w:rsid w:val="002301BC"/>
    <w:rsid w:val="002304A6"/>
    <w:rsid w:val="002305DE"/>
    <w:rsid w:val="0023085F"/>
    <w:rsid w:val="00230861"/>
    <w:rsid w:val="00230869"/>
    <w:rsid w:val="00230A00"/>
    <w:rsid w:val="00230A12"/>
    <w:rsid w:val="00230B1C"/>
    <w:rsid w:val="00230DCB"/>
    <w:rsid w:val="00230DEC"/>
    <w:rsid w:val="00230E88"/>
    <w:rsid w:val="00230F2F"/>
    <w:rsid w:val="00231141"/>
    <w:rsid w:val="0023124E"/>
    <w:rsid w:val="002312C2"/>
    <w:rsid w:val="00231326"/>
    <w:rsid w:val="002313A8"/>
    <w:rsid w:val="002315C1"/>
    <w:rsid w:val="002315DA"/>
    <w:rsid w:val="00231816"/>
    <w:rsid w:val="002319CE"/>
    <w:rsid w:val="002319D7"/>
    <w:rsid w:val="00231A9F"/>
    <w:rsid w:val="00231C03"/>
    <w:rsid w:val="00231DAF"/>
    <w:rsid w:val="00232029"/>
    <w:rsid w:val="002320E0"/>
    <w:rsid w:val="002322A2"/>
    <w:rsid w:val="002324A5"/>
    <w:rsid w:val="002325E0"/>
    <w:rsid w:val="00232649"/>
    <w:rsid w:val="002327A8"/>
    <w:rsid w:val="002328D9"/>
    <w:rsid w:val="002329C7"/>
    <w:rsid w:val="00232A7E"/>
    <w:rsid w:val="00232A93"/>
    <w:rsid w:val="00232C5B"/>
    <w:rsid w:val="00232CF1"/>
    <w:rsid w:val="00232D68"/>
    <w:rsid w:val="00232F7D"/>
    <w:rsid w:val="00232F92"/>
    <w:rsid w:val="002331E2"/>
    <w:rsid w:val="00233278"/>
    <w:rsid w:val="00233450"/>
    <w:rsid w:val="00233454"/>
    <w:rsid w:val="0023348E"/>
    <w:rsid w:val="002335A9"/>
    <w:rsid w:val="0023372A"/>
    <w:rsid w:val="00233782"/>
    <w:rsid w:val="00233789"/>
    <w:rsid w:val="0023388E"/>
    <w:rsid w:val="00233B28"/>
    <w:rsid w:val="00233CB0"/>
    <w:rsid w:val="00233D6A"/>
    <w:rsid w:val="00233E08"/>
    <w:rsid w:val="00233EA3"/>
    <w:rsid w:val="00233F8D"/>
    <w:rsid w:val="00234077"/>
    <w:rsid w:val="0023412A"/>
    <w:rsid w:val="0023432F"/>
    <w:rsid w:val="00234560"/>
    <w:rsid w:val="002345A6"/>
    <w:rsid w:val="00234640"/>
    <w:rsid w:val="0023465E"/>
    <w:rsid w:val="00234661"/>
    <w:rsid w:val="002346E2"/>
    <w:rsid w:val="00234781"/>
    <w:rsid w:val="002347CA"/>
    <w:rsid w:val="002348F6"/>
    <w:rsid w:val="0023494F"/>
    <w:rsid w:val="0023497D"/>
    <w:rsid w:val="00234AC4"/>
    <w:rsid w:val="00234B78"/>
    <w:rsid w:val="00234CB6"/>
    <w:rsid w:val="00234EBB"/>
    <w:rsid w:val="00234F84"/>
    <w:rsid w:val="00234FE9"/>
    <w:rsid w:val="002351BA"/>
    <w:rsid w:val="002351E8"/>
    <w:rsid w:val="00235216"/>
    <w:rsid w:val="0023542B"/>
    <w:rsid w:val="002354D3"/>
    <w:rsid w:val="0023570A"/>
    <w:rsid w:val="00235856"/>
    <w:rsid w:val="0023589C"/>
    <w:rsid w:val="002358F3"/>
    <w:rsid w:val="00235B06"/>
    <w:rsid w:val="00235B5B"/>
    <w:rsid w:val="00235CA6"/>
    <w:rsid w:val="0023615A"/>
    <w:rsid w:val="0023638B"/>
    <w:rsid w:val="002363D7"/>
    <w:rsid w:val="002364A2"/>
    <w:rsid w:val="00236672"/>
    <w:rsid w:val="002367F3"/>
    <w:rsid w:val="00236984"/>
    <w:rsid w:val="002369F5"/>
    <w:rsid w:val="00236C31"/>
    <w:rsid w:val="00236E0B"/>
    <w:rsid w:val="00236F19"/>
    <w:rsid w:val="00236FDA"/>
    <w:rsid w:val="00237161"/>
    <w:rsid w:val="002371FA"/>
    <w:rsid w:val="002371FC"/>
    <w:rsid w:val="0023736E"/>
    <w:rsid w:val="002373D3"/>
    <w:rsid w:val="00237594"/>
    <w:rsid w:val="002378CD"/>
    <w:rsid w:val="00237B39"/>
    <w:rsid w:val="00237B3B"/>
    <w:rsid w:val="00237BC7"/>
    <w:rsid w:val="00237C19"/>
    <w:rsid w:val="00237DB9"/>
    <w:rsid w:val="00237EB9"/>
    <w:rsid w:val="00237F9F"/>
    <w:rsid w:val="00240106"/>
    <w:rsid w:val="0024047B"/>
    <w:rsid w:val="00240486"/>
    <w:rsid w:val="0024060E"/>
    <w:rsid w:val="00240871"/>
    <w:rsid w:val="00240D5E"/>
    <w:rsid w:val="00240F3B"/>
    <w:rsid w:val="00240FFC"/>
    <w:rsid w:val="0024106C"/>
    <w:rsid w:val="002411C7"/>
    <w:rsid w:val="002412FC"/>
    <w:rsid w:val="00241377"/>
    <w:rsid w:val="00241443"/>
    <w:rsid w:val="00241528"/>
    <w:rsid w:val="00241534"/>
    <w:rsid w:val="002415A3"/>
    <w:rsid w:val="002416B6"/>
    <w:rsid w:val="00241753"/>
    <w:rsid w:val="00241852"/>
    <w:rsid w:val="00241896"/>
    <w:rsid w:val="0024189B"/>
    <w:rsid w:val="00241905"/>
    <w:rsid w:val="00241B2C"/>
    <w:rsid w:val="00241B49"/>
    <w:rsid w:val="00241C8F"/>
    <w:rsid w:val="00241D9C"/>
    <w:rsid w:val="00241DB5"/>
    <w:rsid w:val="00241DD1"/>
    <w:rsid w:val="00241E25"/>
    <w:rsid w:val="00241E5D"/>
    <w:rsid w:val="00241EA0"/>
    <w:rsid w:val="00241F9D"/>
    <w:rsid w:val="00241FEC"/>
    <w:rsid w:val="002424F0"/>
    <w:rsid w:val="002426E6"/>
    <w:rsid w:val="00242729"/>
    <w:rsid w:val="00242887"/>
    <w:rsid w:val="00242907"/>
    <w:rsid w:val="0024294B"/>
    <w:rsid w:val="002429B6"/>
    <w:rsid w:val="00242D1A"/>
    <w:rsid w:val="00242E0E"/>
    <w:rsid w:val="00242F0B"/>
    <w:rsid w:val="00242F4E"/>
    <w:rsid w:val="00242F99"/>
    <w:rsid w:val="002432FE"/>
    <w:rsid w:val="00243498"/>
    <w:rsid w:val="002434AC"/>
    <w:rsid w:val="002436A7"/>
    <w:rsid w:val="00243804"/>
    <w:rsid w:val="002438D4"/>
    <w:rsid w:val="00243A5C"/>
    <w:rsid w:val="00243A9B"/>
    <w:rsid w:val="00243B40"/>
    <w:rsid w:val="00243B78"/>
    <w:rsid w:val="00243B7C"/>
    <w:rsid w:val="00243D9A"/>
    <w:rsid w:val="00243E09"/>
    <w:rsid w:val="00244008"/>
    <w:rsid w:val="00244061"/>
    <w:rsid w:val="00244128"/>
    <w:rsid w:val="002444F6"/>
    <w:rsid w:val="00244635"/>
    <w:rsid w:val="00244941"/>
    <w:rsid w:val="002449A4"/>
    <w:rsid w:val="00244A4A"/>
    <w:rsid w:val="00244A71"/>
    <w:rsid w:val="00244E01"/>
    <w:rsid w:val="00244E8C"/>
    <w:rsid w:val="00244EC1"/>
    <w:rsid w:val="002451CA"/>
    <w:rsid w:val="002452A0"/>
    <w:rsid w:val="00245347"/>
    <w:rsid w:val="002453A8"/>
    <w:rsid w:val="00245426"/>
    <w:rsid w:val="002454C1"/>
    <w:rsid w:val="00245637"/>
    <w:rsid w:val="00245649"/>
    <w:rsid w:val="0024574E"/>
    <w:rsid w:val="0024577B"/>
    <w:rsid w:val="002457A3"/>
    <w:rsid w:val="00245818"/>
    <w:rsid w:val="002458C1"/>
    <w:rsid w:val="00245AC1"/>
    <w:rsid w:val="00245B37"/>
    <w:rsid w:val="00245BC9"/>
    <w:rsid w:val="002460F6"/>
    <w:rsid w:val="00246154"/>
    <w:rsid w:val="0024622B"/>
    <w:rsid w:val="002463A6"/>
    <w:rsid w:val="0024658C"/>
    <w:rsid w:val="002465A0"/>
    <w:rsid w:val="0024673E"/>
    <w:rsid w:val="0024681B"/>
    <w:rsid w:val="00246A6E"/>
    <w:rsid w:val="00246A90"/>
    <w:rsid w:val="00246ADB"/>
    <w:rsid w:val="00246AE9"/>
    <w:rsid w:val="00246AF1"/>
    <w:rsid w:val="00246C4C"/>
    <w:rsid w:val="00246CDD"/>
    <w:rsid w:val="00246D3B"/>
    <w:rsid w:val="00246DE4"/>
    <w:rsid w:val="00246DE7"/>
    <w:rsid w:val="00246E2D"/>
    <w:rsid w:val="00247029"/>
    <w:rsid w:val="0024723A"/>
    <w:rsid w:val="00247284"/>
    <w:rsid w:val="002474D5"/>
    <w:rsid w:val="002474FB"/>
    <w:rsid w:val="002476A3"/>
    <w:rsid w:val="00247874"/>
    <w:rsid w:val="00247915"/>
    <w:rsid w:val="00247995"/>
    <w:rsid w:val="00247CE5"/>
    <w:rsid w:val="00247EFE"/>
    <w:rsid w:val="0025038E"/>
    <w:rsid w:val="00250401"/>
    <w:rsid w:val="00250551"/>
    <w:rsid w:val="0025062C"/>
    <w:rsid w:val="00250BF2"/>
    <w:rsid w:val="00250BF5"/>
    <w:rsid w:val="00250D40"/>
    <w:rsid w:val="00250E1E"/>
    <w:rsid w:val="00250FA4"/>
    <w:rsid w:val="00251167"/>
    <w:rsid w:val="00251524"/>
    <w:rsid w:val="00251735"/>
    <w:rsid w:val="002517A5"/>
    <w:rsid w:val="002517DB"/>
    <w:rsid w:val="002518A5"/>
    <w:rsid w:val="00251A15"/>
    <w:rsid w:val="00251A46"/>
    <w:rsid w:val="00251A61"/>
    <w:rsid w:val="00251A97"/>
    <w:rsid w:val="00251AAA"/>
    <w:rsid w:val="00251DF1"/>
    <w:rsid w:val="00251E9D"/>
    <w:rsid w:val="00251F6C"/>
    <w:rsid w:val="00251FEB"/>
    <w:rsid w:val="0025201D"/>
    <w:rsid w:val="002520C4"/>
    <w:rsid w:val="00252137"/>
    <w:rsid w:val="002521C9"/>
    <w:rsid w:val="00252316"/>
    <w:rsid w:val="0025249C"/>
    <w:rsid w:val="0025254D"/>
    <w:rsid w:val="00252567"/>
    <w:rsid w:val="002528D6"/>
    <w:rsid w:val="00252934"/>
    <w:rsid w:val="00252A05"/>
    <w:rsid w:val="00252A25"/>
    <w:rsid w:val="00252B99"/>
    <w:rsid w:val="00252C9F"/>
    <w:rsid w:val="00252D20"/>
    <w:rsid w:val="00252FA7"/>
    <w:rsid w:val="002534EE"/>
    <w:rsid w:val="0025351B"/>
    <w:rsid w:val="002537CB"/>
    <w:rsid w:val="0025385F"/>
    <w:rsid w:val="002539ED"/>
    <w:rsid w:val="00253A9E"/>
    <w:rsid w:val="00253BA1"/>
    <w:rsid w:val="00253D5C"/>
    <w:rsid w:val="00253E9F"/>
    <w:rsid w:val="00253F00"/>
    <w:rsid w:val="0025440D"/>
    <w:rsid w:val="002544E4"/>
    <w:rsid w:val="0025450E"/>
    <w:rsid w:val="00254540"/>
    <w:rsid w:val="002545F2"/>
    <w:rsid w:val="00254606"/>
    <w:rsid w:val="0025462B"/>
    <w:rsid w:val="00254699"/>
    <w:rsid w:val="002546A6"/>
    <w:rsid w:val="00254736"/>
    <w:rsid w:val="002548FE"/>
    <w:rsid w:val="00254F67"/>
    <w:rsid w:val="002550C7"/>
    <w:rsid w:val="0025511D"/>
    <w:rsid w:val="00255152"/>
    <w:rsid w:val="00255227"/>
    <w:rsid w:val="00255234"/>
    <w:rsid w:val="0025526B"/>
    <w:rsid w:val="002552EF"/>
    <w:rsid w:val="002552F2"/>
    <w:rsid w:val="00255367"/>
    <w:rsid w:val="00255402"/>
    <w:rsid w:val="00255487"/>
    <w:rsid w:val="002554A5"/>
    <w:rsid w:val="00255511"/>
    <w:rsid w:val="0025554E"/>
    <w:rsid w:val="0025558F"/>
    <w:rsid w:val="002555B6"/>
    <w:rsid w:val="0025583B"/>
    <w:rsid w:val="0025598E"/>
    <w:rsid w:val="00255B2A"/>
    <w:rsid w:val="00255BFD"/>
    <w:rsid w:val="00255E06"/>
    <w:rsid w:val="00255F03"/>
    <w:rsid w:val="00255F88"/>
    <w:rsid w:val="00255FAA"/>
    <w:rsid w:val="00256179"/>
    <w:rsid w:val="002561D0"/>
    <w:rsid w:val="002565BD"/>
    <w:rsid w:val="00256627"/>
    <w:rsid w:val="0025692F"/>
    <w:rsid w:val="0025695A"/>
    <w:rsid w:val="00256A69"/>
    <w:rsid w:val="00256BFB"/>
    <w:rsid w:val="00256E65"/>
    <w:rsid w:val="002571C5"/>
    <w:rsid w:val="002572D2"/>
    <w:rsid w:val="002572D7"/>
    <w:rsid w:val="00257409"/>
    <w:rsid w:val="00257434"/>
    <w:rsid w:val="00257446"/>
    <w:rsid w:val="00257745"/>
    <w:rsid w:val="0025799D"/>
    <w:rsid w:val="00257A08"/>
    <w:rsid w:val="00257AFF"/>
    <w:rsid w:val="00257BF6"/>
    <w:rsid w:val="00257E6B"/>
    <w:rsid w:val="00257E91"/>
    <w:rsid w:val="00257FBA"/>
    <w:rsid w:val="00257FF0"/>
    <w:rsid w:val="002600AE"/>
    <w:rsid w:val="0026038A"/>
    <w:rsid w:val="002603FC"/>
    <w:rsid w:val="00260417"/>
    <w:rsid w:val="002605B5"/>
    <w:rsid w:val="002605D7"/>
    <w:rsid w:val="002606F6"/>
    <w:rsid w:val="002607EA"/>
    <w:rsid w:val="00260D08"/>
    <w:rsid w:val="00260D26"/>
    <w:rsid w:val="00260D8F"/>
    <w:rsid w:val="00260E21"/>
    <w:rsid w:val="00260E3A"/>
    <w:rsid w:val="00260ED2"/>
    <w:rsid w:val="00261500"/>
    <w:rsid w:val="00261560"/>
    <w:rsid w:val="002615D3"/>
    <w:rsid w:val="00261729"/>
    <w:rsid w:val="002617D7"/>
    <w:rsid w:val="002619ED"/>
    <w:rsid w:val="00261BAD"/>
    <w:rsid w:val="00261CB1"/>
    <w:rsid w:val="00261E88"/>
    <w:rsid w:val="00261F0E"/>
    <w:rsid w:val="0026207B"/>
    <w:rsid w:val="002620D9"/>
    <w:rsid w:val="00262374"/>
    <w:rsid w:val="002623DB"/>
    <w:rsid w:val="002624F7"/>
    <w:rsid w:val="00262521"/>
    <w:rsid w:val="0026253A"/>
    <w:rsid w:val="00262564"/>
    <w:rsid w:val="002626A3"/>
    <w:rsid w:val="002626CF"/>
    <w:rsid w:val="002627B2"/>
    <w:rsid w:val="00262847"/>
    <w:rsid w:val="0026299D"/>
    <w:rsid w:val="00262A5C"/>
    <w:rsid w:val="00262AC8"/>
    <w:rsid w:val="00262BE4"/>
    <w:rsid w:val="00262D8C"/>
    <w:rsid w:val="00262DB2"/>
    <w:rsid w:val="00262E24"/>
    <w:rsid w:val="00262F5B"/>
    <w:rsid w:val="00263031"/>
    <w:rsid w:val="00263067"/>
    <w:rsid w:val="00263078"/>
    <w:rsid w:val="002630A7"/>
    <w:rsid w:val="002630F0"/>
    <w:rsid w:val="00263120"/>
    <w:rsid w:val="00263188"/>
    <w:rsid w:val="0026327F"/>
    <w:rsid w:val="00263386"/>
    <w:rsid w:val="0026384E"/>
    <w:rsid w:val="002638F4"/>
    <w:rsid w:val="002638FC"/>
    <w:rsid w:val="00263936"/>
    <w:rsid w:val="00263A20"/>
    <w:rsid w:val="00263A98"/>
    <w:rsid w:val="00263ADB"/>
    <w:rsid w:val="00263C0E"/>
    <w:rsid w:val="00263D86"/>
    <w:rsid w:val="00263DF6"/>
    <w:rsid w:val="00263E07"/>
    <w:rsid w:val="00263EB4"/>
    <w:rsid w:val="00263EF2"/>
    <w:rsid w:val="00264085"/>
    <w:rsid w:val="0026441E"/>
    <w:rsid w:val="00264431"/>
    <w:rsid w:val="002644D2"/>
    <w:rsid w:val="0026464B"/>
    <w:rsid w:val="002646A8"/>
    <w:rsid w:val="002647F8"/>
    <w:rsid w:val="00264879"/>
    <w:rsid w:val="002649D2"/>
    <w:rsid w:val="00264B1F"/>
    <w:rsid w:val="00264C53"/>
    <w:rsid w:val="00264C86"/>
    <w:rsid w:val="00264FA0"/>
    <w:rsid w:val="00265254"/>
    <w:rsid w:val="00265385"/>
    <w:rsid w:val="00265428"/>
    <w:rsid w:val="00265454"/>
    <w:rsid w:val="002654D9"/>
    <w:rsid w:val="00265687"/>
    <w:rsid w:val="00265C89"/>
    <w:rsid w:val="00265E46"/>
    <w:rsid w:val="00265EA1"/>
    <w:rsid w:val="00265FDB"/>
    <w:rsid w:val="002661C1"/>
    <w:rsid w:val="0026630A"/>
    <w:rsid w:val="00266388"/>
    <w:rsid w:val="0026642D"/>
    <w:rsid w:val="002664B3"/>
    <w:rsid w:val="002666F2"/>
    <w:rsid w:val="0026678D"/>
    <w:rsid w:val="00266835"/>
    <w:rsid w:val="0026693E"/>
    <w:rsid w:val="0026694F"/>
    <w:rsid w:val="00266C10"/>
    <w:rsid w:val="00266CCC"/>
    <w:rsid w:val="00266CE0"/>
    <w:rsid w:val="00266D54"/>
    <w:rsid w:val="00266E09"/>
    <w:rsid w:val="00266F29"/>
    <w:rsid w:val="00267003"/>
    <w:rsid w:val="00267050"/>
    <w:rsid w:val="0026712D"/>
    <w:rsid w:val="00267182"/>
    <w:rsid w:val="00267207"/>
    <w:rsid w:val="00267416"/>
    <w:rsid w:val="0026750C"/>
    <w:rsid w:val="002675C8"/>
    <w:rsid w:val="002676AA"/>
    <w:rsid w:val="00267732"/>
    <w:rsid w:val="00267809"/>
    <w:rsid w:val="002678C0"/>
    <w:rsid w:val="00267921"/>
    <w:rsid w:val="0026796C"/>
    <w:rsid w:val="00267D35"/>
    <w:rsid w:val="00267D37"/>
    <w:rsid w:val="00267EAA"/>
    <w:rsid w:val="002700B2"/>
    <w:rsid w:val="0027063D"/>
    <w:rsid w:val="00270984"/>
    <w:rsid w:val="002709FC"/>
    <w:rsid w:val="00270A98"/>
    <w:rsid w:val="00270CF0"/>
    <w:rsid w:val="00271038"/>
    <w:rsid w:val="00271280"/>
    <w:rsid w:val="00271301"/>
    <w:rsid w:val="0027160C"/>
    <w:rsid w:val="00271668"/>
    <w:rsid w:val="002716C3"/>
    <w:rsid w:val="00271795"/>
    <w:rsid w:val="002718FA"/>
    <w:rsid w:val="0027190C"/>
    <w:rsid w:val="00271912"/>
    <w:rsid w:val="00271A64"/>
    <w:rsid w:val="00271A77"/>
    <w:rsid w:val="00271AF1"/>
    <w:rsid w:val="00271BA6"/>
    <w:rsid w:val="00271C92"/>
    <w:rsid w:val="00271DA2"/>
    <w:rsid w:val="00271F82"/>
    <w:rsid w:val="002722AB"/>
    <w:rsid w:val="00272349"/>
    <w:rsid w:val="002724BB"/>
    <w:rsid w:val="0027256A"/>
    <w:rsid w:val="0027259F"/>
    <w:rsid w:val="00272656"/>
    <w:rsid w:val="00272722"/>
    <w:rsid w:val="002727E7"/>
    <w:rsid w:val="0027284E"/>
    <w:rsid w:val="00272AEE"/>
    <w:rsid w:val="00272B52"/>
    <w:rsid w:val="00272B55"/>
    <w:rsid w:val="00272F62"/>
    <w:rsid w:val="00273353"/>
    <w:rsid w:val="002734E9"/>
    <w:rsid w:val="002739B0"/>
    <w:rsid w:val="00273AA1"/>
    <w:rsid w:val="00273BE7"/>
    <w:rsid w:val="00273C90"/>
    <w:rsid w:val="00273CE5"/>
    <w:rsid w:val="00273CF4"/>
    <w:rsid w:val="00273D01"/>
    <w:rsid w:val="00273F31"/>
    <w:rsid w:val="00273FF5"/>
    <w:rsid w:val="0027406E"/>
    <w:rsid w:val="0027408D"/>
    <w:rsid w:val="00274173"/>
    <w:rsid w:val="002741B9"/>
    <w:rsid w:val="00274207"/>
    <w:rsid w:val="0027477F"/>
    <w:rsid w:val="00274943"/>
    <w:rsid w:val="002749AF"/>
    <w:rsid w:val="00274A3D"/>
    <w:rsid w:val="00274CB1"/>
    <w:rsid w:val="00274D13"/>
    <w:rsid w:val="00274E11"/>
    <w:rsid w:val="00274E4C"/>
    <w:rsid w:val="00275064"/>
    <w:rsid w:val="002751D1"/>
    <w:rsid w:val="00275209"/>
    <w:rsid w:val="002752F6"/>
    <w:rsid w:val="002753CF"/>
    <w:rsid w:val="002754BC"/>
    <w:rsid w:val="002754FE"/>
    <w:rsid w:val="0027552B"/>
    <w:rsid w:val="002755C4"/>
    <w:rsid w:val="00275848"/>
    <w:rsid w:val="002758D2"/>
    <w:rsid w:val="00275ABD"/>
    <w:rsid w:val="00275AC0"/>
    <w:rsid w:val="00275AF9"/>
    <w:rsid w:val="00275BCB"/>
    <w:rsid w:val="00275E76"/>
    <w:rsid w:val="00275FB8"/>
    <w:rsid w:val="00275FE0"/>
    <w:rsid w:val="00275FF3"/>
    <w:rsid w:val="0027604B"/>
    <w:rsid w:val="00276135"/>
    <w:rsid w:val="00276163"/>
    <w:rsid w:val="00276190"/>
    <w:rsid w:val="00276364"/>
    <w:rsid w:val="00276592"/>
    <w:rsid w:val="00276666"/>
    <w:rsid w:val="0027670E"/>
    <w:rsid w:val="00276797"/>
    <w:rsid w:val="0027694F"/>
    <w:rsid w:val="00276A1B"/>
    <w:rsid w:val="00276A24"/>
    <w:rsid w:val="00276A65"/>
    <w:rsid w:val="00276AFF"/>
    <w:rsid w:val="002770A3"/>
    <w:rsid w:val="00277185"/>
    <w:rsid w:val="0027728C"/>
    <w:rsid w:val="00277308"/>
    <w:rsid w:val="00277343"/>
    <w:rsid w:val="00277369"/>
    <w:rsid w:val="00277425"/>
    <w:rsid w:val="0027747D"/>
    <w:rsid w:val="002774D7"/>
    <w:rsid w:val="002775EC"/>
    <w:rsid w:val="002776B2"/>
    <w:rsid w:val="002776FC"/>
    <w:rsid w:val="002777B1"/>
    <w:rsid w:val="00277824"/>
    <w:rsid w:val="0027783E"/>
    <w:rsid w:val="002778AF"/>
    <w:rsid w:val="00277939"/>
    <w:rsid w:val="00277A38"/>
    <w:rsid w:val="00277A64"/>
    <w:rsid w:val="00277A8E"/>
    <w:rsid w:val="00280270"/>
    <w:rsid w:val="002804D7"/>
    <w:rsid w:val="0028060C"/>
    <w:rsid w:val="00280859"/>
    <w:rsid w:val="00280A7F"/>
    <w:rsid w:val="00280BB4"/>
    <w:rsid w:val="00280CDE"/>
    <w:rsid w:val="00280D1D"/>
    <w:rsid w:val="00280DF9"/>
    <w:rsid w:val="00280DFA"/>
    <w:rsid w:val="00280E3B"/>
    <w:rsid w:val="00280ED6"/>
    <w:rsid w:val="00280F03"/>
    <w:rsid w:val="00280F29"/>
    <w:rsid w:val="002810CC"/>
    <w:rsid w:val="002810D1"/>
    <w:rsid w:val="00281124"/>
    <w:rsid w:val="00281193"/>
    <w:rsid w:val="00281203"/>
    <w:rsid w:val="002812F2"/>
    <w:rsid w:val="002813F2"/>
    <w:rsid w:val="002814B7"/>
    <w:rsid w:val="002815E8"/>
    <w:rsid w:val="0028160B"/>
    <w:rsid w:val="00281657"/>
    <w:rsid w:val="0028182A"/>
    <w:rsid w:val="0028187F"/>
    <w:rsid w:val="002818E9"/>
    <w:rsid w:val="00281922"/>
    <w:rsid w:val="00281EB7"/>
    <w:rsid w:val="0028221B"/>
    <w:rsid w:val="002823A8"/>
    <w:rsid w:val="00282481"/>
    <w:rsid w:val="002824F8"/>
    <w:rsid w:val="00282624"/>
    <w:rsid w:val="00282656"/>
    <w:rsid w:val="0028273B"/>
    <w:rsid w:val="0028275E"/>
    <w:rsid w:val="00282867"/>
    <w:rsid w:val="0028299F"/>
    <w:rsid w:val="002829DA"/>
    <w:rsid w:val="002829E8"/>
    <w:rsid w:val="00282A8C"/>
    <w:rsid w:val="00282AB3"/>
    <w:rsid w:val="00282B45"/>
    <w:rsid w:val="00282CA9"/>
    <w:rsid w:val="00282D5D"/>
    <w:rsid w:val="00282F02"/>
    <w:rsid w:val="0028309C"/>
    <w:rsid w:val="00283125"/>
    <w:rsid w:val="002831A2"/>
    <w:rsid w:val="002837A2"/>
    <w:rsid w:val="002837F9"/>
    <w:rsid w:val="0028381B"/>
    <w:rsid w:val="00283896"/>
    <w:rsid w:val="00283959"/>
    <w:rsid w:val="00283A26"/>
    <w:rsid w:val="00283CEE"/>
    <w:rsid w:val="00283DA6"/>
    <w:rsid w:val="00283F59"/>
    <w:rsid w:val="00283F98"/>
    <w:rsid w:val="00283FAA"/>
    <w:rsid w:val="00284040"/>
    <w:rsid w:val="002840A1"/>
    <w:rsid w:val="00284340"/>
    <w:rsid w:val="002843C5"/>
    <w:rsid w:val="002843F2"/>
    <w:rsid w:val="00284468"/>
    <w:rsid w:val="0028456A"/>
    <w:rsid w:val="00284614"/>
    <w:rsid w:val="0028471F"/>
    <w:rsid w:val="00284754"/>
    <w:rsid w:val="00284787"/>
    <w:rsid w:val="002848B1"/>
    <w:rsid w:val="0028498E"/>
    <w:rsid w:val="00284A7F"/>
    <w:rsid w:val="00284BE7"/>
    <w:rsid w:val="00284CF3"/>
    <w:rsid w:val="00284D4C"/>
    <w:rsid w:val="00284DFA"/>
    <w:rsid w:val="0028504C"/>
    <w:rsid w:val="00285310"/>
    <w:rsid w:val="00285313"/>
    <w:rsid w:val="002853DA"/>
    <w:rsid w:val="00285480"/>
    <w:rsid w:val="002855CB"/>
    <w:rsid w:val="0028570D"/>
    <w:rsid w:val="00285871"/>
    <w:rsid w:val="00285BEF"/>
    <w:rsid w:val="00285D43"/>
    <w:rsid w:val="00285E36"/>
    <w:rsid w:val="00285F24"/>
    <w:rsid w:val="00286272"/>
    <w:rsid w:val="002862A0"/>
    <w:rsid w:val="002864ED"/>
    <w:rsid w:val="00286655"/>
    <w:rsid w:val="002867A6"/>
    <w:rsid w:val="00286941"/>
    <w:rsid w:val="00286953"/>
    <w:rsid w:val="00286B5E"/>
    <w:rsid w:val="00286BBC"/>
    <w:rsid w:val="00286CF9"/>
    <w:rsid w:val="00286D2E"/>
    <w:rsid w:val="00286D59"/>
    <w:rsid w:val="00286D93"/>
    <w:rsid w:val="00286DA7"/>
    <w:rsid w:val="00286FAD"/>
    <w:rsid w:val="0028709D"/>
    <w:rsid w:val="0028738F"/>
    <w:rsid w:val="002873B4"/>
    <w:rsid w:val="002874BD"/>
    <w:rsid w:val="0028775D"/>
    <w:rsid w:val="0028781C"/>
    <w:rsid w:val="00287945"/>
    <w:rsid w:val="002879C6"/>
    <w:rsid w:val="00287C11"/>
    <w:rsid w:val="00287C29"/>
    <w:rsid w:val="00287D58"/>
    <w:rsid w:val="00287E12"/>
    <w:rsid w:val="00287E78"/>
    <w:rsid w:val="002900E1"/>
    <w:rsid w:val="00290139"/>
    <w:rsid w:val="00290202"/>
    <w:rsid w:val="00290414"/>
    <w:rsid w:val="00290676"/>
    <w:rsid w:val="002906AD"/>
    <w:rsid w:val="00290755"/>
    <w:rsid w:val="002907AB"/>
    <w:rsid w:val="00290816"/>
    <w:rsid w:val="0029083E"/>
    <w:rsid w:val="0029092A"/>
    <w:rsid w:val="00290A77"/>
    <w:rsid w:val="00290BA2"/>
    <w:rsid w:val="00290E88"/>
    <w:rsid w:val="00290EA1"/>
    <w:rsid w:val="00290EB7"/>
    <w:rsid w:val="00290F0C"/>
    <w:rsid w:val="00290F66"/>
    <w:rsid w:val="0029114A"/>
    <w:rsid w:val="0029122C"/>
    <w:rsid w:val="0029124D"/>
    <w:rsid w:val="00291252"/>
    <w:rsid w:val="00291462"/>
    <w:rsid w:val="0029146A"/>
    <w:rsid w:val="0029148D"/>
    <w:rsid w:val="002914BC"/>
    <w:rsid w:val="00291572"/>
    <w:rsid w:val="0029167F"/>
    <w:rsid w:val="002916EB"/>
    <w:rsid w:val="002917BB"/>
    <w:rsid w:val="00291851"/>
    <w:rsid w:val="00291936"/>
    <w:rsid w:val="0029197C"/>
    <w:rsid w:val="00291A36"/>
    <w:rsid w:val="00291A9D"/>
    <w:rsid w:val="00291E43"/>
    <w:rsid w:val="00291E65"/>
    <w:rsid w:val="002922F9"/>
    <w:rsid w:val="00292328"/>
    <w:rsid w:val="00292343"/>
    <w:rsid w:val="00292471"/>
    <w:rsid w:val="0029256E"/>
    <w:rsid w:val="002928E2"/>
    <w:rsid w:val="002929F7"/>
    <w:rsid w:val="00292AC5"/>
    <w:rsid w:val="00292B30"/>
    <w:rsid w:val="00292B58"/>
    <w:rsid w:val="00292DA2"/>
    <w:rsid w:val="002931F5"/>
    <w:rsid w:val="0029324A"/>
    <w:rsid w:val="00293375"/>
    <w:rsid w:val="0029350C"/>
    <w:rsid w:val="00293548"/>
    <w:rsid w:val="002936DF"/>
    <w:rsid w:val="002936FD"/>
    <w:rsid w:val="002937C4"/>
    <w:rsid w:val="00293B79"/>
    <w:rsid w:val="00293CC7"/>
    <w:rsid w:val="00293D87"/>
    <w:rsid w:val="00293F60"/>
    <w:rsid w:val="00293F86"/>
    <w:rsid w:val="002940BE"/>
    <w:rsid w:val="00294188"/>
    <w:rsid w:val="00294290"/>
    <w:rsid w:val="0029443A"/>
    <w:rsid w:val="00294495"/>
    <w:rsid w:val="00294531"/>
    <w:rsid w:val="0029460C"/>
    <w:rsid w:val="002946ED"/>
    <w:rsid w:val="002947C1"/>
    <w:rsid w:val="002947CC"/>
    <w:rsid w:val="00294885"/>
    <w:rsid w:val="002949A7"/>
    <w:rsid w:val="00294A82"/>
    <w:rsid w:val="00294ABE"/>
    <w:rsid w:val="00294AF6"/>
    <w:rsid w:val="00294BEF"/>
    <w:rsid w:val="00294D31"/>
    <w:rsid w:val="00294D90"/>
    <w:rsid w:val="00294E7C"/>
    <w:rsid w:val="00294F0D"/>
    <w:rsid w:val="00294F10"/>
    <w:rsid w:val="00295350"/>
    <w:rsid w:val="00295449"/>
    <w:rsid w:val="002954A7"/>
    <w:rsid w:val="002954EE"/>
    <w:rsid w:val="0029558B"/>
    <w:rsid w:val="002955D5"/>
    <w:rsid w:val="00295624"/>
    <w:rsid w:val="00295681"/>
    <w:rsid w:val="00295692"/>
    <w:rsid w:val="002956FE"/>
    <w:rsid w:val="00295796"/>
    <w:rsid w:val="002957D0"/>
    <w:rsid w:val="00295873"/>
    <w:rsid w:val="002958B9"/>
    <w:rsid w:val="002959B9"/>
    <w:rsid w:val="00295AE3"/>
    <w:rsid w:val="00295C99"/>
    <w:rsid w:val="00295DEB"/>
    <w:rsid w:val="00295E67"/>
    <w:rsid w:val="00295F2F"/>
    <w:rsid w:val="0029607D"/>
    <w:rsid w:val="0029610F"/>
    <w:rsid w:val="00296193"/>
    <w:rsid w:val="00296255"/>
    <w:rsid w:val="002962DE"/>
    <w:rsid w:val="00296315"/>
    <w:rsid w:val="0029633D"/>
    <w:rsid w:val="0029659D"/>
    <w:rsid w:val="00296632"/>
    <w:rsid w:val="002967BF"/>
    <w:rsid w:val="0029681A"/>
    <w:rsid w:val="002969E9"/>
    <w:rsid w:val="00296C32"/>
    <w:rsid w:val="00296D36"/>
    <w:rsid w:val="00296D90"/>
    <w:rsid w:val="00296DAF"/>
    <w:rsid w:val="00296DCA"/>
    <w:rsid w:val="00296F74"/>
    <w:rsid w:val="00297243"/>
    <w:rsid w:val="00297255"/>
    <w:rsid w:val="00297282"/>
    <w:rsid w:val="002972B6"/>
    <w:rsid w:val="002973F2"/>
    <w:rsid w:val="00297601"/>
    <w:rsid w:val="0029767A"/>
    <w:rsid w:val="0029768F"/>
    <w:rsid w:val="0029771A"/>
    <w:rsid w:val="0029789D"/>
    <w:rsid w:val="002978B8"/>
    <w:rsid w:val="00297B23"/>
    <w:rsid w:val="00297B34"/>
    <w:rsid w:val="00297EC0"/>
    <w:rsid w:val="002A0029"/>
    <w:rsid w:val="002A0073"/>
    <w:rsid w:val="002A0153"/>
    <w:rsid w:val="002A03E6"/>
    <w:rsid w:val="002A04B4"/>
    <w:rsid w:val="002A07AC"/>
    <w:rsid w:val="002A07DA"/>
    <w:rsid w:val="002A0933"/>
    <w:rsid w:val="002A09DD"/>
    <w:rsid w:val="002A0AF2"/>
    <w:rsid w:val="002A0D66"/>
    <w:rsid w:val="002A0E26"/>
    <w:rsid w:val="002A0EA5"/>
    <w:rsid w:val="002A0EFB"/>
    <w:rsid w:val="002A0F41"/>
    <w:rsid w:val="002A0F84"/>
    <w:rsid w:val="002A1075"/>
    <w:rsid w:val="002A1384"/>
    <w:rsid w:val="002A145B"/>
    <w:rsid w:val="002A15ED"/>
    <w:rsid w:val="002A1629"/>
    <w:rsid w:val="002A17A4"/>
    <w:rsid w:val="002A18BE"/>
    <w:rsid w:val="002A18CB"/>
    <w:rsid w:val="002A1913"/>
    <w:rsid w:val="002A1B16"/>
    <w:rsid w:val="002A1C57"/>
    <w:rsid w:val="002A1C72"/>
    <w:rsid w:val="002A1CF8"/>
    <w:rsid w:val="002A1F00"/>
    <w:rsid w:val="002A1F53"/>
    <w:rsid w:val="002A225A"/>
    <w:rsid w:val="002A229B"/>
    <w:rsid w:val="002A22B8"/>
    <w:rsid w:val="002A2352"/>
    <w:rsid w:val="002A2521"/>
    <w:rsid w:val="002A256E"/>
    <w:rsid w:val="002A2889"/>
    <w:rsid w:val="002A2A56"/>
    <w:rsid w:val="002A2BC1"/>
    <w:rsid w:val="002A2DB1"/>
    <w:rsid w:val="002A2ED6"/>
    <w:rsid w:val="002A2FD1"/>
    <w:rsid w:val="002A2FE5"/>
    <w:rsid w:val="002A3045"/>
    <w:rsid w:val="002A31B9"/>
    <w:rsid w:val="002A3219"/>
    <w:rsid w:val="002A3471"/>
    <w:rsid w:val="002A353D"/>
    <w:rsid w:val="002A356E"/>
    <w:rsid w:val="002A36F6"/>
    <w:rsid w:val="002A3740"/>
    <w:rsid w:val="002A3871"/>
    <w:rsid w:val="002A38A5"/>
    <w:rsid w:val="002A38CF"/>
    <w:rsid w:val="002A38F4"/>
    <w:rsid w:val="002A3949"/>
    <w:rsid w:val="002A3A56"/>
    <w:rsid w:val="002A3D79"/>
    <w:rsid w:val="002A3DDF"/>
    <w:rsid w:val="002A3E34"/>
    <w:rsid w:val="002A3E61"/>
    <w:rsid w:val="002A3E7D"/>
    <w:rsid w:val="002A404C"/>
    <w:rsid w:val="002A4084"/>
    <w:rsid w:val="002A4123"/>
    <w:rsid w:val="002A44CE"/>
    <w:rsid w:val="002A45AC"/>
    <w:rsid w:val="002A48D2"/>
    <w:rsid w:val="002A4A21"/>
    <w:rsid w:val="002A4AD6"/>
    <w:rsid w:val="002A4B43"/>
    <w:rsid w:val="002A4B8B"/>
    <w:rsid w:val="002A4F88"/>
    <w:rsid w:val="002A509B"/>
    <w:rsid w:val="002A5195"/>
    <w:rsid w:val="002A53B8"/>
    <w:rsid w:val="002A5466"/>
    <w:rsid w:val="002A55C1"/>
    <w:rsid w:val="002A58A5"/>
    <w:rsid w:val="002A58EB"/>
    <w:rsid w:val="002A5A1B"/>
    <w:rsid w:val="002A5A53"/>
    <w:rsid w:val="002A5A6C"/>
    <w:rsid w:val="002A5F29"/>
    <w:rsid w:val="002A5FE1"/>
    <w:rsid w:val="002A6217"/>
    <w:rsid w:val="002A644D"/>
    <w:rsid w:val="002A6533"/>
    <w:rsid w:val="002A66E6"/>
    <w:rsid w:val="002A6772"/>
    <w:rsid w:val="002A6822"/>
    <w:rsid w:val="002A6911"/>
    <w:rsid w:val="002A694B"/>
    <w:rsid w:val="002A69F5"/>
    <w:rsid w:val="002A6A6E"/>
    <w:rsid w:val="002A6AD9"/>
    <w:rsid w:val="002A6B6E"/>
    <w:rsid w:val="002A6B88"/>
    <w:rsid w:val="002A6BB2"/>
    <w:rsid w:val="002A6C20"/>
    <w:rsid w:val="002A6D19"/>
    <w:rsid w:val="002A6D5C"/>
    <w:rsid w:val="002A6DB6"/>
    <w:rsid w:val="002A6DD3"/>
    <w:rsid w:val="002A6E98"/>
    <w:rsid w:val="002A6F00"/>
    <w:rsid w:val="002A6F65"/>
    <w:rsid w:val="002A7019"/>
    <w:rsid w:val="002A70D0"/>
    <w:rsid w:val="002A7128"/>
    <w:rsid w:val="002A7142"/>
    <w:rsid w:val="002A7151"/>
    <w:rsid w:val="002A7196"/>
    <w:rsid w:val="002A76AE"/>
    <w:rsid w:val="002A7714"/>
    <w:rsid w:val="002A775B"/>
    <w:rsid w:val="002A77E6"/>
    <w:rsid w:val="002A786D"/>
    <w:rsid w:val="002A78DC"/>
    <w:rsid w:val="002A78DE"/>
    <w:rsid w:val="002A7AA9"/>
    <w:rsid w:val="002A7CA4"/>
    <w:rsid w:val="002A7CED"/>
    <w:rsid w:val="002A7D00"/>
    <w:rsid w:val="002A7D0B"/>
    <w:rsid w:val="002A7D77"/>
    <w:rsid w:val="002B020D"/>
    <w:rsid w:val="002B0241"/>
    <w:rsid w:val="002B03DA"/>
    <w:rsid w:val="002B0468"/>
    <w:rsid w:val="002B055F"/>
    <w:rsid w:val="002B0648"/>
    <w:rsid w:val="002B07A0"/>
    <w:rsid w:val="002B09A5"/>
    <w:rsid w:val="002B0A5D"/>
    <w:rsid w:val="002B0A82"/>
    <w:rsid w:val="002B0CA2"/>
    <w:rsid w:val="002B0CCD"/>
    <w:rsid w:val="002B0FA2"/>
    <w:rsid w:val="002B1184"/>
    <w:rsid w:val="002B11BE"/>
    <w:rsid w:val="002B1384"/>
    <w:rsid w:val="002B14C8"/>
    <w:rsid w:val="002B14F9"/>
    <w:rsid w:val="002B1745"/>
    <w:rsid w:val="002B18FA"/>
    <w:rsid w:val="002B1976"/>
    <w:rsid w:val="002B1A17"/>
    <w:rsid w:val="002B1AE4"/>
    <w:rsid w:val="002B1C32"/>
    <w:rsid w:val="002B1CE2"/>
    <w:rsid w:val="002B1D8C"/>
    <w:rsid w:val="002B1EB2"/>
    <w:rsid w:val="002B1FA4"/>
    <w:rsid w:val="002B20DD"/>
    <w:rsid w:val="002B2118"/>
    <w:rsid w:val="002B22EF"/>
    <w:rsid w:val="002B247B"/>
    <w:rsid w:val="002B258E"/>
    <w:rsid w:val="002B29A9"/>
    <w:rsid w:val="002B2ADA"/>
    <w:rsid w:val="002B2B3D"/>
    <w:rsid w:val="002B2C0C"/>
    <w:rsid w:val="002B2D9C"/>
    <w:rsid w:val="002B2DFF"/>
    <w:rsid w:val="002B2E9B"/>
    <w:rsid w:val="002B2FB6"/>
    <w:rsid w:val="002B302E"/>
    <w:rsid w:val="002B30D1"/>
    <w:rsid w:val="002B3142"/>
    <w:rsid w:val="002B33F3"/>
    <w:rsid w:val="002B344D"/>
    <w:rsid w:val="002B3459"/>
    <w:rsid w:val="002B35C8"/>
    <w:rsid w:val="002B35D6"/>
    <w:rsid w:val="002B3681"/>
    <w:rsid w:val="002B3728"/>
    <w:rsid w:val="002B37A4"/>
    <w:rsid w:val="002B3DDB"/>
    <w:rsid w:val="002B3E4B"/>
    <w:rsid w:val="002B3E7E"/>
    <w:rsid w:val="002B3FD0"/>
    <w:rsid w:val="002B4130"/>
    <w:rsid w:val="002B4434"/>
    <w:rsid w:val="002B4449"/>
    <w:rsid w:val="002B45C3"/>
    <w:rsid w:val="002B4715"/>
    <w:rsid w:val="002B476F"/>
    <w:rsid w:val="002B48BC"/>
    <w:rsid w:val="002B4975"/>
    <w:rsid w:val="002B4ADC"/>
    <w:rsid w:val="002B4DC2"/>
    <w:rsid w:val="002B4DE8"/>
    <w:rsid w:val="002B50EA"/>
    <w:rsid w:val="002B5456"/>
    <w:rsid w:val="002B54A6"/>
    <w:rsid w:val="002B5524"/>
    <w:rsid w:val="002B55AE"/>
    <w:rsid w:val="002B5755"/>
    <w:rsid w:val="002B578D"/>
    <w:rsid w:val="002B57C5"/>
    <w:rsid w:val="002B5A1F"/>
    <w:rsid w:val="002B5BDB"/>
    <w:rsid w:val="002B5EC5"/>
    <w:rsid w:val="002B60DC"/>
    <w:rsid w:val="002B610E"/>
    <w:rsid w:val="002B6179"/>
    <w:rsid w:val="002B61EA"/>
    <w:rsid w:val="002B61FF"/>
    <w:rsid w:val="002B629B"/>
    <w:rsid w:val="002B6604"/>
    <w:rsid w:val="002B6643"/>
    <w:rsid w:val="002B667C"/>
    <w:rsid w:val="002B66AD"/>
    <w:rsid w:val="002B670E"/>
    <w:rsid w:val="002B67B3"/>
    <w:rsid w:val="002B67CE"/>
    <w:rsid w:val="002B6875"/>
    <w:rsid w:val="002B6883"/>
    <w:rsid w:val="002B6ADF"/>
    <w:rsid w:val="002B6B01"/>
    <w:rsid w:val="002B6B65"/>
    <w:rsid w:val="002B6D48"/>
    <w:rsid w:val="002B6F4A"/>
    <w:rsid w:val="002B73E6"/>
    <w:rsid w:val="002B749E"/>
    <w:rsid w:val="002B74C6"/>
    <w:rsid w:val="002B78C2"/>
    <w:rsid w:val="002B7BAF"/>
    <w:rsid w:val="002B7C79"/>
    <w:rsid w:val="002B7D69"/>
    <w:rsid w:val="002C001D"/>
    <w:rsid w:val="002C0098"/>
    <w:rsid w:val="002C0197"/>
    <w:rsid w:val="002C01E0"/>
    <w:rsid w:val="002C03A6"/>
    <w:rsid w:val="002C0423"/>
    <w:rsid w:val="002C0733"/>
    <w:rsid w:val="002C087A"/>
    <w:rsid w:val="002C0885"/>
    <w:rsid w:val="002C0DA4"/>
    <w:rsid w:val="002C0DB2"/>
    <w:rsid w:val="002C0F60"/>
    <w:rsid w:val="002C1084"/>
    <w:rsid w:val="002C11CA"/>
    <w:rsid w:val="002C12EF"/>
    <w:rsid w:val="002C1496"/>
    <w:rsid w:val="002C1542"/>
    <w:rsid w:val="002C1564"/>
    <w:rsid w:val="002C15E7"/>
    <w:rsid w:val="002C1708"/>
    <w:rsid w:val="002C1836"/>
    <w:rsid w:val="002C183F"/>
    <w:rsid w:val="002C1869"/>
    <w:rsid w:val="002C187B"/>
    <w:rsid w:val="002C19A4"/>
    <w:rsid w:val="002C19DC"/>
    <w:rsid w:val="002C1B40"/>
    <w:rsid w:val="002C1BCA"/>
    <w:rsid w:val="002C1C20"/>
    <w:rsid w:val="002C1EAE"/>
    <w:rsid w:val="002C1FD5"/>
    <w:rsid w:val="002C217D"/>
    <w:rsid w:val="002C23E6"/>
    <w:rsid w:val="002C23F0"/>
    <w:rsid w:val="002C271B"/>
    <w:rsid w:val="002C27E3"/>
    <w:rsid w:val="002C2855"/>
    <w:rsid w:val="002C2877"/>
    <w:rsid w:val="002C2942"/>
    <w:rsid w:val="002C2947"/>
    <w:rsid w:val="002C296C"/>
    <w:rsid w:val="002C29AB"/>
    <w:rsid w:val="002C2ACD"/>
    <w:rsid w:val="002C2BE7"/>
    <w:rsid w:val="002C2C8A"/>
    <w:rsid w:val="002C2D3C"/>
    <w:rsid w:val="002C2EA3"/>
    <w:rsid w:val="002C30FE"/>
    <w:rsid w:val="002C33D7"/>
    <w:rsid w:val="002C3488"/>
    <w:rsid w:val="002C34D2"/>
    <w:rsid w:val="002C35C1"/>
    <w:rsid w:val="002C35E3"/>
    <w:rsid w:val="002C3693"/>
    <w:rsid w:val="002C382D"/>
    <w:rsid w:val="002C383E"/>
    <w:rsid w:val="002C3855"/>
    <w:rsid w:val="002C39BB"/>
    <w:rsid w:val="002C3B62"/>
    <w:rsid w:val="002C3BE2"/>
    <w:rsid w:val="002C3CD0"/>
    <w:rsid w:val="002C3CEA"/>
    <w:rsid w:val="002C3EA3"/>
    <w:rsid w:val="002C3F93"/>
    <w:rsid w:val="002C3FBB"/>
    <w:rsid w:val="002C40BE"/>
    <w:rsid w:val="002C4141"/>
    <w:rsid w:val="002C4180"/>
    <w:rsid w:val="002C41D7"/>
    <w:rsid w:val="002C42BA"/>
    <w:rsid w:val="002C45E8"/>
    <w:rsid w:val="002C4645"/>
    <w:rsid w:val="002C46F0"/>
    <w:rsid w:val="002C478D"/>
    <w:rsid w:val="002C481C"/>
    <w:rsid w:val="002C49D9"/>
    <w:rsid w:val="002C4A19"/>
    <w:rsid w:val="002C4AD2"/>
    <w:rsid w:val="002C4B14"/>
    <w:rsid w:val="002C4B8F"/>
    <w:rsid w:val="002C4B9D"/>
    <w:rsid w:val="002C4D28"/>
    <w:rsid w:val="002C4D5C"/>
    <w:rsid w:val="002C4DD9"/>
    <w:rsid w:val="002C4E48"/>
    <w:rsid w:val="002C4FAA"/>
    <w:rsid w:val="002C5164"/>
    <w:rsid w:val="002C51B8"/>
    <w:rsid w:val="002C51CA"/>
    <w:rsid w:val="002C55AD"/>
    <w:rsid w:val="002C580B"/>
    <w:rsid w:val="002C58DD"/>
    <w:rsid w:val="002C5A79"/>
    <w:rsid w:val="002C5D53"/>
    <w:rsid w:val="002C5E84"/>
    <w:rsid w:val="002C5E88"/>
    <w:rsid w:val="002C5F17"/>
    <w:rsid w:val="002C61B3"/>
    <w:rsid w:val="002C6441"/>
    <w:rsid w:val="002C6491"/>
    <w:rsid w:val="002C6497"/>
    <w:rsid w:val="002C6609"/>
    <w:rsid w:val="002C6730"/>
    <w:rsid w:val="002C67A0"/>
    <w:rsid w:val="002C67D7"/>
    <w:rsid w:val="002C6816"/>
    <w:rsid w:val="002C69A0"/>
    <w:rsid w:val="002C69CC"/>
    <w:rsid w:val="002C6B0C"/>
    <w:rsid w:val="002C6BB3"/>
    <w:rsid w:val="002C6D58"/>
    <w:rsid w:val="002C6DCC"/>
    <w:rsid w:val="002C6E7D"/>
    <w:rsid w:val="002C6EDA"/>
    <w:rsid w:val="002C700B"/>
    <w:rsid w:val="002C7017"/>
    <w:rsid w:val="002C70CE"/>
    <w:rsid w:val="002C732F"/>
    <w:rsid w:val="002C7646"/>
    <w:rsid w:val="002C79C0"/>
    <w:rsid w:val="002C7AA1"/>
    <w:rsid w:val="002C7C59"/>
    <w:rsid w:val="002C7C5D"/>
    <w:rsid w:val="002C7CD3"/>
    <w:rsid w:val="002C7D07"/>
    <w:rsid w:val="002C7EDF"/>
    <w:rsid w:val="002C7F41"/>
    <w:rsid w:val="002C7F43"/>
    <w:rsid w:val="002D03D4"/>
    <w:rsid w:val="002D04C8"/>
    <w:rsid w:val="002D07D4"/>
    <w:rsid w:val="002D0842"/>
    <w:rsid w:val="002D0991"/>
    <w:rsid w:val="002D09BD"/>
    <w:rsid w:val="002D0A0D"/>
    <w:rsid w:val="002D0A21"/>
    <w:rsid w:val="002D0A42"/>
    <w:rsid w:val="002D0DEA"/>
    <w:rsid w:val="002D0F90"/>
    <w:rsid w:val="002D1205"/>
    <w:rsid w:val="002D14AC"/>
    <w:rsid w:val="002D152C"/>
    <w:rsid w:val="002D16F6"/>
    <w:rsid w:val="002D1965"/>
    <w:rsid w:val="002D1A41"/>
    <w:rsid w:val="002D1C3E"/>
    <w:rsid w:val="002D1E91"/>
    <w:rsid w:val="002D200D"/>
    <w:rsid w:val="002D21B3"/>
    <w:rsid w:val="002D2221"/>
    <w:rsid w:val="002D235F"/>
    <w:rsid w:val="002D24B6"/>
    <w:rsid w:val="002D27C8"/>
    <w:rsid w:val="002D2E61"/>
    <w:rsid w:val="002D2F50"/>
    <w:rsid w:val="002D2F80"/>
    <w:rsid w:val="002D3002"/>
    <w:rsid w:val="002D31B5"/>
    <w:rsid w:val="002D33BD"/>
    <w:rsid w:val="002D33C8"/>
    <w:rsid w:val="002D3428"/>
    <w:rsid w:val="002D3604"/>
    <w:rsid w:val="002D39C9"/>
    <w:rsid w:val="002D3B35"/>
    <w:rsid w:val="002D3F81"/>
    <w:rsid w:val="002D4033"/>
    <w:rsid w:val="002D406E"/>
    <w:rsid w:val="002D40EC"/>
    <w:rsid w:val="002D4209"/>
    <w:rsid w:val="002D4351"/>
    <w:rsid w:val="002D459B"/>
    <w:rsid w:val="002D45F6"/>
    <w:rsid w:val="002D47DA"/>
    <w:rsid w:val="002D47E4"/>
    <w:rsid w:val="002D49A3"/>
    <w:rsid w:val="002D4BD0"/>
    <w:rsid w:val="002D4BE8"/>
    <w:rsid w:val="002D4DA0"/>
    <w:rsid w:val="002D4FDC"/>
    <w:rsid w:val="002D5097"/>
    <w:rsid w:val="002D50F4"/>
    <w:rsid w:val="002D51A0"/>
    <w:rsid w:val="002D52D5"/>
    <w:rsid w:val="002D5407"/>
    <w:rsid w:val="002D5499"/>
    <w:rsid w:val="002D549B"/>
    <w:rsid w:val="002D5586"/>
    <w:rsid w:val="002D55B2"/>
    <w:rsid w:val="002D55E4"/>
    <w:rsid w:val="002D56FC"/>
    <w:rsid w:val="002D5803"/>
    <w:rsid w:val="002D5ACC"/>
    <w:rsid w:val="002D5BDC"/>
    <w:rsid w:val="002D5CEF"/>
    <w:rsid w:val="002D5CFE"/>
    <w:rsid w:val="002D5D00"/>
    <w:rsid w:val="002D5EA6"/>
    <w:rsid w:val="002D5F14"/>
    <w:rsid w:val="002D5F81"/>
    <w:rsid w:val="002D6051"/>
    <w:rsid w:val="002D613B"/>
    <w:rsid w:val="002D61BD"/>
    <w:rsid w:val="002D620E"/>
    <w:rsid w:val="002D6274"/>
    <w:rsid w:val="002D6546"/>
    <w:rsid w:val="002D6595"/>
    <w:rsid w:val="002D68AD"/>
    <w:rsid w:val="002D690D"/>
    <w:rsid w:val="002D6A43"/>
    <w:rsid w:val="002D6A7F"/>
    <w:rsid w:val="002D6CE2"/>
    <w:rsid w:val="002D6D76"/>
    <w:rsid w:val="002D6DE2"/>
    <w:rsid w:val="002D7172"/>
    <w:rsid w:val="002D7216"/>
    <w:rsid w:val="002D7363"/>
    <w:rsid w:val="002D73DD"/>
    <w:rsid w:val="002D755D"/>
    <w:rsid w:val="002D7665"/>
    <w:rsid w:val="002D76DC"/>
    <w:rsid w:val="002D772E"/>
    <w:rsid w:val="002D7735"/>
    <w:rsid w:val="002D7798"/>
    <w:rsid w:val="002D7801"/>
    <w:rsid w:val="002D7A11"/>
    <w:rsid w:val="002D7C29"/>
    <w:rsid w:val="002D7CFC"/>
    <w:rsid w:val="002D7DA1"/>
    <w:rsid w:val="002D7EBE"/>
    <w:rsid w:val="002D7F1E"/>
    <w:rsid w:val="002D7F57"/>
    <w:rsid w:val="002E001B"/>
    <w:rsid w:val="002E0041"/>
    <w:rsid w:val="002E0384"/>
    <w:rsid w:val="002E0420"/>
    <w:rsid w:val="002E04E7"/>
    <w:rsid w:val="002E061F"/>
    <w:rsid w:val="002E0621"/>
    <w:rsid w:val="002E0681"/>
    <w:rsid w:val="002E0955"/>
    <w:rsid w:val="002E0B0C"/>
    <w:rsid w:val="002E0CFE"/>
    <w:rsid w:val="002E0E09"/>
    <w:rsid w:val="002E101C"/>
    <w:rsid w:val="002E106A"/>
    <w:rsid w:val="002E11E8"/>
    <w:rsid w:val="002E12F5"/>
    <w:rsid w:val="002E1332"/>
    <w:rsid w:val="002E1442"/>
    <w:rsid w:val="002E154E"/>
    <w:rsid w:val="002E159B"/>
    <w:rsid w:val="002E178D"/>
    <w:rsid w:val="002E1991"/>
    <w:rsid w:val="002E1A0C"/>
    <w:rsid w:val="002E1D22"/>
    <w:rsid w:val="002E1D7B"/>
    <w:rsid w:val="002E2035"/>
    <w:rsid w:val="002E2176"/>
    <w:rsid w:val="002E2195"/>
    <w:rsid w:val="002E2321"/>
    <w:rsid w:val="002E2585"/>
    <w:rsid w:val="002E2753"/>
    <w:rsid w:val="002E29E5"/>
    <w:rsid w:val="002E2B96"/>
    <w:rsid w:val="002E2D95"/>
    <w:rsid w:val="002E2DC0"/>
    <w:rsid w:val="002E2E00"/>
    <w:rsid w:val="002E2E24"/>
    <w:rsid w:val="002E2F19"/>
    <w:rsid w:val="002E2F5F"/>
    <w:rsid w:val="002E3275"/>
    <w:rsid w:val="002E32FB"/>
    <w:rsid w:val="002E332C"/>
    <w:rsid w:val="002E346F"/>
    <w:rsid w:val="002E3535"/>
    <w:rsid w:val="002E38B2"/>
    <w:rsid w:val="002E38CE"/>
    <w:rsid w:val="002E3931"/>
    <w:rsid w:val="002E3955"/>
    <w:rsid w:val="002E3959"/>
    <w:rsid w:val="002E3B3F"/>
    <w:rsid w:val="002E3B79"/>
    <w:rsid w:val="002E3BD9"/>
    <w:rsid w:val="002E3D0C"/>
    <w:rsid w:val="002E3E21"/>
    <w:rsid w:val="002E3E46"/>
    <w:rsid w:val="002E3EDA"/>
    <w:rsid w:val="002E3FCF"/>
    <w:rsid w:val="002E415F"/>
    <w:rsid w:val="002E4300"/>
    <w:rsid w:val="002E4329"/>
    <w:rsid w:val="002E43B3"/>
    <w:rsid w:val="002E4459"/>
    <w:rsid w:val="002E4585"/>
    <w:rsid w:val="002E45E9"/>
    <w:rsid w:val="002E467C"/>
    <w:rsid w:val="002E483C"/>
    <w:rsid w:val="002E48F4"/>
    <w:rsid w:val="002E496E"/>
    <w:rsid w:val="002E49C0"/>
    <w:rsid w:val="002E4AFC"/>
    <w:rsid w:val="002E4CC2"/>
    <w:rsid w:val="002E5456"/>
    <w:rsid w:val="002E573F"/>
    <w:rsid w:val="002E57F4"/>
    <w:rsid w:val="002E58AA"/>
    <w:rsid w:val="002E5E62"/>
    <w:rsid w:val="002E5F32"/>
    <w:rsid w:val="002E6008"/>
    <w:rsid w:val="002E6680"/>
    <w:rsid w:val="002E66E6"/>
    <w:rsid w:val="002E676B"/>
    <w:rsid w:val="002E6949"/>
    <w:rsid w:val="002E6A0F"/>
    <w:rsid w:val="002E6A4C"/>
    <w:rsid w:val="002E6B81"/>
    <w:rsid w:val="002E6C7F"/>
    <w:rsid w:val="002E6C8E"/>
    <w:rsid w:val="002E6FB8"/>
    <w:rsid w:val="002E700C"/>
    <w:rsid w:val="002E7226"/>
    <w:rsid w:val="002E73CA"/>
    <w:rsid w:val="002E7420"/>
    <w:rsid w:val="002E7775"/>
    <w:rsid w:val="002E78EE"/>
    <w:rsid w:val="002E7912"/>
    <w:rsid w:val="002E79EC"/>
    <w:rsid w:val="002E7A48"/>
    <w:rsid w:val="002E7AD2"/>
    <w:rsid w:val="002E7B14"/>
    <w:rsid w:val="002E7D1B"/>
    <w:rsid w:val="002E7D36"/>
    <w:rsid w:val="002E7D43"/>
    <w:rsid w:val="002E7D66"/>
    <w:rsid w:val="002E7DD2"/>
    <w:rsid w:val="002E7E4D"/>
    <w:rsid w:val="002E7E97"/>
    <w:rsid w:val="002E7EBB"/>
    <w:rsid w:val="002F0156"/>
    <w:rsid w:val="002F01E5"/>
    <w:rsid w:val="002F0670"/>
    <w:rsid w:val="002F074B"/>
    <w:rsid w:val="002F0A54"/>
    <w:rsid w:val="002F0C96"/>
    <w:rsid w:val="002F0CE5"/>
    <w:rsid w:val="002F0FF4"/>
    <w:rsid w:val="002F0FFB"/>
    <w:rsid w:val="002F1166"/>
    <w:rsid w:val="002F1399"/>
    <w:rsid w:val="002F142F"/>
    <w:rsid w:val="002F1591"/>
    <w:rsid w:val="002F1718"/>
    <w:rsid w:val="002F1763"/>
    <w:rsid w:val="002F1901"/>
    <w:rsid w:val="002F1A1E"/>
    <w:rsid w:val="002F1A3E"/>
    <w:rsid w:val="002F1A54"/>
    <w:rsid w:val="002F1B12"/>
    <w:rsid w:val="002F1B37"/>
    <w:rsid w:val="002F1B75"/>
    <w:rsid w:val="002F1C3C"/>
    <w:rsid w:val="002F1C7B"/>
    <w:rsid w:val="002F1CD2"/>
    <w:rsid w:val="002F1E00"/>
    <w:rsid w:val="002F1E85"/>
    <w:rsid w:val="002F21DD"/>
    <w:rsid w:val="002F221E"/>
    <w:rsid w:val="002F23A2"/>
    <w:rsid w:val="002F248D"/>
    <w:rsid w:val="002F24C4"/>
    <w:rsid w:val="002F2764"/>
    <w:rsid w:val="002F2833"/>
    <w:rsid w:val="002F287F"/>
    <w:rsid w:val="002F28F9"/>
    <w:rsid w:val="002F293A"/>
    <w:rsid w:val="002F2948"/>
    <w:rsid w:val="002F2987"/>
    <w:rsid w:val="002F29A5"/>
    <w:rsid w:val="002F2A0F"/>
    <w:rsid w:val="002F2ABE"/>
    <w:rsid w:val="002F2B85"/>
    <w:rsid w:val="002F2EA4"/>
    <w:rsid w:val="002F3036"/>
    <w:rsid w:val="002F3287"/>
    <w:rsid w:val="002F32A6"/>
    <w:rsid w:val="002F32FB"/>
    <w:rsid w:val="002F3711"/>
    <w:rsid w:val="002F3722"/>
    <w:rsid w:val="002F372B"/>
    <w:rsid w:val="002F3B29"/>
    <w:rsid w:val="002F3CAD"/>
    <w:rsid w:val="002F3FAB"/>
    <w:rsid w:val="002F3FB1"/>
    <w:rsid w:val="002F4015"/>
    <w:rsid w:val="002F42DE"/>
    <w:rsid w:val="002F4614"/>
    <w:rsid w:val="002F467C"/>
    <w:rsid w:val="002F46B5"/>
    <w:rsid w:val="002F46B9"/>
    <w:rsid w:val="002F46E2"/>
    <w:rsid w:val="002F474B"/>
    <w:rsid w:val="002F4932"/>
    <w:rsid w:val="002F4AF6"/>
    <w:rsid w:val="002F4B13"/>
    <w:rsid w:val="002F4B65"/>
    <w:rsid w:val="002F4C83"/>
    <w:rsid w:val="002F4D82"/>
    <w:rsid w:val="002F5043"/>
    <w:rsid w:val="002F5189"/>
    <w:rsid w:val="002F5223"/>
    <w:rsid w:val="002F5450"/>
    <w:rsid w:val="002F5611"/>
    <w:rsid w:val="002F5686"/>
    <w:rsid w:val="002F56F1"/>
    <w:rsid w:val="002F57B9"/>
    <w:rsid w:val="002F5901"/>
    <w:rsid w:val="002F5AE3"/>
    <w:rsid w:val="002F5BB7"/>
    <w:rsid w:val="002F5CC7"/>
    <w:rsid w:val="002F5DEB"/>
    <w:rsid w:val="002F5F5E"/>
    <w:rsid w:val="002F5F85"/>
    <w:rsid w:val="002F5F9F"/>
    <w:rsid w:val="002F6206"/>
    <w:rsid w:val="002F626F"/>
    <w:rsid w:val="002F6275"/>
    <w:rsid w:val="002F628E"/>
    <w:rsid w:val="002F62C9"/>
    <w:rsid w:val="002F6324"/>
    <w:rsid w:val="002F63CE"/>
    <w:rsid w:val="002F646C"/>
    <w:rsid w:val="002F6476"/>
    <w:rsid w:val="002F656C"/>
    <w:rsid w:val="002F6837"/>
    <w:rsid w:val="002F693F"/>
    <w:rsid w:val="002F694D"/>
    <w:rsid w:val="002F6AD6"/>
    <w:rsid w:val="002F6BFE"/>
    <w:rsid w:val="002F6C63"/>
    <w:rsid w:val="002F6C9E"/>
    <w:rsid w:val="002F6CC9"/>
    <w:rsid w:val="002F6D13"/>
    <w:rsid w:val="002F6E3C"/>
    <w:rsid w:val="002F7089"/>
    <w:rsid w:val="002F744B"/>
    <w:rsid w:val="002F7698"/>
    <w:rsid w:val="002F7801"/>
    <w:rsid w:val="002F796A"/>
    <w:rsid w:val="002F7A6A"/>
    <w:rsid w:val="002F7AFE"/>
    <w:rsid w:val="002F7C78"/>
    <w:rsid w:val="002F7F4D"/>
    <w:rsid w:val="00300100"/>
    <w:rsid w:val="0030021E"/>
    <w:rsid w:val="00300293"/>
    <w:rsid w:val="003005B1"/>
    <w:rsid w:val="003007A5"/>
    <w:rsid w:val="003008CC"/>
    <w:rsid w:val="00300AC5"/>
    <w:rsid w:val="00300E85"/>
    <w:rsid w:val="0030101C"/>
    <w:rsid w:val="0030151D"/>
    <w:rsid w:val="00301763"/>
    <w:rsid w:val="003018E9"/>
    <w:rsid w:val="00301B46"/>
    <w:rsid w:val="00301B72"/>
    <w:rsid w:val="00301BD3"/>
    <w:rsid w:val="00301D9A"/>
    <w:rsid w:val="00301FC4"/>
    <w:rsid w:val="00302019"/>
    <w:rsid w:val="0030207C"/>
    <w:rsid w:val="003021D9"/>
    <w:rsid w:val="00302252"/>
    <w:rsid w:val="00302271"/>
    <w:rsid w:val="00302390"/>
    <w:rsid w:val="003024B5"/>
    <w:rsid w:val="003024E7"/>
    <w:rsid w:val="003025C1"/>
    <w:rsid w:val="003027F0"/>
    <w:rsid w:val="00302858"/>
    <w:rsid w:val="003028D7"/>
    <w:rsid w:val="003028ED"/>
    <w:rsid w:val="00302A43"/>
    <w:rsid w:val="00302C26"/>
    <w:rsid w:val="00302DAA"/>
    <w:rsid w:val="00302DB3"/>
    <w:rsid w:val="00302F0E"/>
    <w:rsid w:val="00302FA2"/>
    <w:rsid w:val="00302FC2"/>
    <w:rsid w:val="00303016"/>
    <w:rsid w:val="0030317C"/>
    <w:rsid w:val="00303333"/>
    <w:rsid w:val="003035B4"/>
    <w:rsid w:val="003035F5"/>
    <w:rsid w:val="0030369C"/>
    <w:rsid w:val="00303778"/>
    <w:rsid w:val="00303890"/>
    <w:rsid w:val="00303958"/>
    <w:rsid w:val="00303985"/>
    <w:rsid w:val="003039AA"/>
    <w:rsid w:val="00303B2E"/>
    <w:rsid w:val="00303B39"/>
    <w:rsid w:val="00303C60"/>
    <w:rsid w:val="00304004"/>
    <w:rsid w:val="00304433"/>
    <w:rsid w:val="003044F9"/>
    <w:rsid w:val="00304501"/>
    <w:rsid w:val="003046FA"/>
    <w:rsid w:val="00304801"/>
    <w:rsid w:val="00304857"/>
    <w:rsid w:val="003048D6"/>
    <w:rsid w:val="003049E0"/>
    <w:rsid w:val="00304AB2"/>
    <w:rsid w:val="00304B54"/>
    <w:rsid w:val="00304C25"/>
    <w:rsid w:val="00304D0B"/>
    <w:rsid w:val="00304FB8"/>
    <w:rsid w:val="003050A4"/>
    <w:rsid w:val="00305124"/>
    <w:rsid w:val="003051AF"/>
    <w:rsid w:val="003051D3"/>
    <w:rsid w:val="00305213"/>
    <w:rsid w:val="00305235"/>
    <w:rsid w:val="00305324"/>
    <w:rsid w:val="00305499"/>
    <w:rsid w:val="003055D1"/>
    <w:rsid w:val="00305663"/>
    <w:rsid w:val="003056F7"/>
    <w:rsid w:val="0030584E"/>
    <w:rsid w:val="00305B5C"/>
    <w:rsid w:val="00305C3B"/>
    <w:rsid w:val="00305CFC"/>
    <w:rsid w:val="003060D6"/>
    <w:rsid w:val="003064D5"/>
    <w:rsid w:val="00306793"/>
    <w:rsid w:val="003067A9"/>
    <w:rsid w:val="003067B2"/>
    <w:rsid w:val="00306B5F"/>
    <w:rsid w:val="00306BC6"/>
    <w:rsid w:val="00306CF9"/>
    <w:rsid w:val="00306D43"/>
    <w:rsid w:val="00306F88"/>
    <w:rsid w:val="00307050"/>
    <w:rsid w:val="003071B8"/>
    <w:rsid w:val="00307299"/>
    <w:rsid w:val="003072E0"/>
    <w:rsid w:val="003073A7"/>
    <w:rsid w:val="00307442"/>
    <w:rsid w:val="00307B9A"/>
    <w:rsid w:val="00307C32"/>
    <w:rsid w:val="00307F10"/>
    <w:rsid w:val="0031008D"/>
    <w:rsid w:val="00310118"/>
    <w:rsid w:val="00310125"/>
    <w:rsid w:val="00310180"/>
    <w:rsid w:val="00310191"/>
    <w:rsid w:val="003101D4"/>
    <w:rsid w:val="0031028E"/>
    <w:rsid w:val="003104E5"/>
    <w:rsid w:val="003105E6"/>
    <w:rsid w:val="0031063F"/>
    <w:rsid w:val="003106AD"/>
    <w:rsid w:val="00310945"/>
    <w:rsid w:val="00310B9B"/>
    <w:rsid w:val="00310C3F"/>
    <w:rsid w:val="00310F5C"/>
    <w:rsid w:val="00310F95"/>
    <w:rsid w:val="00310FCA"/>
    <w:rsid w:val="003112BF"/>
    <w:rsid w:val="003114C0"/>
    <w:rsid w:val="0031157D"/>
    <w:rsid w:val="00311799"/>
    <w:rsid w:val="003118A7"/>
    <w:rsid w:val="00311922"/>
    <w:rsid w:val="00311966"/>
    <w:rsid w:val="0031198A"/>
    <w:rsid w:val="00311A4E"/>
    <w:rsid w:val="00311AF9"/>
    <w:rsid w:val="00311B0B"/>
    <w:rsid w:val="00311CAB"/>
    <w:rsid w:val="00311F4A"/>
    <w:rsid w:val="00312024"/>
    <w:rsid w:val="003122D7"/>
    <w:rsid w:val="0031231D"/>
    <w:rsid w:val="0031251C"/>
    <w:rsid w:val="00312568"/>
    <w:rsid w:val="003125BE"/>
    <w:rsid w:val="00312894"/>
    <w:rsid w:val="0031289D"/>
    <w:rsid w:val="003128FE"/>
    <w:rsid w:val="00312B12"/>
    <w:rsid w:val="00312BF1"/>
    <w:rsid w:val="00312EA5"/>
    <w:rsid w:val="00312F00"/>
    <w:rsid w:val="00312F7D"/>
    <w:rsid w:val="00313005"/>
    <w:rsid w:val="00313123"/>
    <w:rsid w:val="003131C4"/>
    <w:rsid w:val="00313298"/>
    <w:rsid w:val="00313380"/>
    <w:rsid w:val="00313463"/>
    <w:rsid w:val="0031370B"/>
    <w:rsid w:val="0031372D"/>
    <w:rsid w:val="00313898"/>
    <w:rsid w:val="00313965"/>
    <w:rsid w:val="00313A5C"/>
    <w:rsid w:val="00313B10"/>
    <w:rsid w:val="00313BF3"/>
    <w:rsid w:val="00313CF4"/>
    <w:rsid w:val="00313D73"/>
    <w:rsid w:val="00314099"/>
    <w:rsid w:val="003140D2"/>
    <w:rsid w:val="00314192"/>
    <w:rsid w:val="00314217"/>
    <w:rsid w:val="003142C1"/>
    <w:rsid w:val="00314522"/>
    <w:rsid w:val="00314574"/>
    <w:rsid w:val="00314652"/>
    <w:rsid w:val="00314783"/>
    <w:rsid w:val="00314816"/>
    <w:rsid w:val="0031487C"/>
    <w:rsid w:val="00314899"/>
    <w:rsid w:val="0031493D"/>
    <w:rsid w:val="00314988"/>
    <w:rsid w:val="00314B62"/>
    <w:rsid w:val="00314E85"/>
    <w:rsid w:val="00314F2D"/>
    <w:rsid w:val="00314F48"/>
    <w:rsid w:val="0031502D"/>
    <w:rsid w:val="003150F1"/>
    <w:rsid w:val="00315134"/>
    <w:rsid w:val="003151CB"/>
    <w:rsid w:val="003152AF"/>
    <w:rsid w:val="003153DE"/>
    <w:rsid w:val="00315433"/>
    <w:rsid w:val="00315516"/>
    <w:rsid w:val="0031551D"/>
    <w:rsid w:val="003155C1"/>
    <w:rsid w:val="00315666"/>
    <w:rsid w:val="0031586E"/>
    <w:rsid w:val="003158E5"/>
    <w:rsid w:val="00315908"/>
    <w:rsid w:val="0031592C"/>
    <w:rsid w:val="003159C2"/>
    <w:rsid w:val="00315C8D"/>
    <w:rsid w:val="00315CE7"/>
    <w:rsid w:val="00315D0E"/>
    <w:rsid w:val="00315FC8"/>
    <w:rsid w:val="00316219"/>
    <w:rsid w:val="003162F0"/>
    <w:rsid w:val="003162F6"/>
    <w:rsid w:val="003164FD"/>
    <w:rsid w:val="0031652B"/>
    <w:rsid w:val="003165D0"/>
    <w:rsid w:val="0031672B"/>
    <w:rsid w:val="003168CE"/>
    <w:rsid w:val="00316A0D"/>
    <w:rsid w:val="00316DB6"/>
    <w:rsid w:val="003170F8"/>
    <w:rsid w:val="003172F9"/>
    <w:rsid w:val="003174D0"/>
    <w:rsid w:val="00317519"/>
    <w:rsid w:val="00317714"/>
    <w:rsid w:val="00317764"/>
    <w:rsid w:val="0031795F"/>
    <w:rsid w:val="0031797D"/>
    <w:rsid w:val="00317B57"/>
    <w:rsid w:val="00317C43"/>
    <w:rsid w:val="00317CE5"/>
    <w:rsid w:val="00317FF6"/>
    <w:rsid w:val="0032008D"/>
    <w:rsid w:val="00320117"/>
    <w:rsid w:val="0032011C"/>
    <w:rsid w:val="003201D1"/>
    <w:rsid w:val="003204E6"/>
    <w:rsid w:val="00320590"/>
    <w:rsid w:val="003206F0"/>
    <w:rsid w:val="003207BF"/>
    <w:rsid w:val="003208C3"/>
    <w:rsid w:val="00320A17"/>
    <w:rsid w:val="00320A82"/>
    <w:rsid w:val="00320A93"/>
    <w:rsid w:val="00320C51"/>
    <w:rsid w:val="00320E9D"/>
    <w:rsid w:val="00321021"/>
    <w:rsid w:val="0032110F"/>
    <w:rsid w:val="00321139"/>
    <w:rsid w:val="00321235"/>
    <w:rsid w:val="00321330"/>
    <w:rsid w:val="00321363"/>
    <w:rsid w:val="00321386"/>
    <w:rsid w:val="003214EB"/>
    <w:rsid w:val="003215CC"/>
    <w:rsid w:val="003217E5"/>
    <w:rsid w:val="00321845"/>
    <w:rsid w:val="003218BC"/>
    <w:rsid w:val="00321905"/>
    <w:rsid w:val="00321938"/>
    <w:rsid w:val="00321A57"/>
    <w:rsid w:val="00321A58"/>
    <w:rsid w:val="00321B2E"/>
    <w:rsid w:val="00321CC8"/>
    <w:rsid w:val="00321D7B"/>
    <w:rsid w:val="00321EDB"/>
    <w:rsid w:val="00321F4F"/>
    <w:rsid w:val="00321F7C"/>
    <w:rsid w:val="00321FF6"/>
    <w:rsid w:val="00322080"/>
    <w:rsid w:val="003222E0"/>
    <w:rsid w:val="0032261A"/>
    <w:rsid w:val="003228E3"/>
    <w:rsid w:val="00322952"/>
    <w:rsid w:val="003229A3"/>
    <w:rsid w:val="00322C95"/>
    <w:rsid w:val="00322CB4"/>
    <w:rsid w:val="00322DA9"/>
    <w:rsid w:val="00322E9C"/>
    <w:rsid w:val="00322F65"/>
    <w:rsid w:val="00323490"/>
    <w:rsid w:val="00323767"/>
    <w:rsid w:val="00323AF6"/>
    <w:rsid w:val="00323B4F"/>
    <w:rsid w:val="00323B6C"/>
    <w:rsid w:val="00323E8B"/>
    <w:rsid w:val="00323EAA"/>
    <w:rsid w:val="00323F88"/>
    <w:rsid w:val="00323FE5"/>
    <w:rsid w:val="0032404D"/>
    <w:rsid w:val="003240B7"/>
    <w:rsid w:val="0032410B"/>
    <w:rsid w:val="003241C4"/>
    <w:rsid w:val="003244ED"/>
    <w:rsid w:val="00324570"/>
    <w:rsid w:val="00324596"/>
    <w:rsid w:val="00324754"/>
    <w:rsid w:val="00324980"/>
    <w:rsid w:val="00324A53"/>
    <w:rsid w:val="00324B8A"/>
    <w:rsid w:val="00324BE8"/>
    <w:rsid w:val="00324C63"/>
    <w:rsid w:val="00324CC1"/>
    <w:rsid w:val="00324FE6"/>
    <w:rsid w:val="00325141"/>
    <w:rsid w:val="00325193"/>
    <w:rsid w:val="003251C2"/>
    <w:rsid w:val="0032534D"/>
    <w:rsid w:val="0032541E"/>
    <w:rsid w:val="003254CF"/>
    <w:rsid w:val="0032567B"/>
    <w:rsid w:val="003257A2"/>
    <w:rsid w:val="003258F0"/>
    <w:rsid w:val="00325996"/>
    <w:rsid w:val="00325B0F"/>
    <w:rsid w:val="00325C8B"/>
    <w:rsid w:val="00325D00"/>
    <w:rsid w:val="00325D30"/>
    <w:rsid w:val="00325FA0"/>
    <w:rsid w:val="00325FE3"/>
    <w:rsid w:val="00325FF1"/>
    <w:rsid w:val="003262BB"/>
    <w:rsid w:val="0032637C"/>
    <w:rsid w:val="0032681C"/>
    <w:rsid w:val="0032686E"/>
    <w:rsid w:val="003268A1"/>
    <w:rsid w:val="0032690D"/>
    <w:rsid w:val="00326A50"/>
    <w:rsid w:val="00326DA9"/>
    <w:rsid w:val="00326F1C"/>
    <w:rsid w:val="00326FBF"/>
    <w:rsid w:val="003270CC"/>
    <w:rsid w:val="00327162"/>
    <w:rsid w:val="003271D5"/>
    <w:rsid w:val="0032738A"/>
    <w:rsid w:val="003273B7"/>
    <w:rsid w:val="00327475"/>
    <w:rsid w:val="00327828"/>
    <w:rsid w:val="00327857"/>
    <w:rsid w:val="0032795F"/>
    <w:rsid w:val="003279F1"/>
    <w:rsid w:val="00327A8E"/>
    <w:rsid w:val="00327AE6"/>
    <w:rsid w:val="00327C26"/>
    <w:rsid w:val="00327C7B"/>
    <w:rsid w:val="00327DA1"/>
    <w:rsid w:val="00327E35"/>
    <w:rsid w:val="00327E44"/>
    <w:rsid w:val="00327E89"/>
    <w:rsid w:val="00327F13"/>
    <w:rsid w:val="00327F59"/>
    <w:rsid w:val="00327FD3"/>
    <w:rsid w:val="003301C4"/>
    <w:rsid w:val="003305E6"/>
    <w:rsid w:val="003306A0"/>
    <w:rsid w:val="00330701"/>
    <w:rsid w:val="00330705"/>
    <w:rsid w:val="00330767"/>
    <w:rsid w:val="00330773"/>
    <w:rsid w:val="00330870"/>
    <w:rsid w:val="00330A0A"/>
    <w:rsid w:val="00330AC2"/>
    <w:rsid w:val="00330C56"/>
    <w:rsid w:val="00330D72"/>
    <w:rsid w:val="00330DCD"/>
    <w:rsid w:val="00330DEE"/>
    <w:rsid w:val="0033126A"/>
    <w:rsid w:val="003312EC"/>
    <w:rsid w:val="0033133A"/>
    <w:rsid w:val="00331375"/>
    <w:rsid w:val="003314F1"/>
    <w:rsid w:val="003317EE"/>
    <w:rsid w:val="00331936"/>
    <w:rsid w:val="00331A37"/>
    <w:rsid w:val="00331BD8"/>
    <w:rsid w:val="00331CE9"/>
    <w:rsid w:val="00331DA3"/>
    <w:rsid w:val="00331E09"/>
    <w:rsid w:val="00331E13"/>
    <w:rsid w:val="00331E2E"/>
    <w:rsid w:val="0033211F"/>
    <w:rsid w:val="0033229B"/>
    <w:rsid w:val="003322CC"/>
    <w:rsid w:val="00332383"/>
    <w:rsid w:val="003328A9"/>
    <w:rsid w:val="003328AE"/>
    <w:rsid w:val="00332A3C"/>
    <w:rsid w:val="00332AF1"/>
    <w:rsid w:val="00332BB5"/>
    <w:rsid w:val="00332BC3"/>
    <w:rsid w:val="00332E4F"/>
    <w:rsid w:val="00332FD9"/>
    <w:rsid w:val="00333262"/>
    <w:rsid w:val="00333329"/>
    <w:rsid w:val="003333B1"/>
    <w:rsid w:val="0033346D"/>
    <w:rsid w:val="003334BB"/>
    <w:rsid w:val="0033352F"/>
    <w:rsid w:val="003336C3"/>
    <w:rsid w:val="00333794"/>
    <w:rsid w:val="003339C5"/>
    <w:rsid w:val="00333B48"/>
    <w:rsid w:val="00333D54"/>
    <w:rsid w:val="00333D9F"/>
    <w:rsid w:val="00333DAD"/>
    <w:rsid w:val="00333E72"/>
    <w:rsid w:val="0033430A"/>
    <w:rsid w:val="0033446D"/>
    <w:rsid w:val="003344B8"/>
    <w:rsid w:val="00334656"/>
    <w:rsid w:val="003346F5"/>
    <w:rsid w:val="0033479C"/>
    <w:rsid w:val="003347A6"/>
    <w:rsid w:val="003347B5"/>
    <w:rsid w:val="0033491C"/>
    <w:rsid w:val="00334927"/>
    <w:rsid w:val="003349CC"/>
    <w:rsid w:val="003349DB"/>
    <w:rsid w:val="003349FD"/>
    <w:rsid w:val="00334AC2"/>
    <w:rsid w:val="00334D36"/>
    <w:rsid w:val="00334D49"/>
    <w:rsid w:val="00334EF0"/>
    <w:rsid w:val="00334F3C"/>
    <w:rsid w:val="00334FAA"/>
    <w:rsid w:val="00335225"/>
    <w:rsid w:val="0033543C"/>
    <w:rsid w:val="00335466"/>
    <w:rsid w:val="003354A9"/>
    <w:rsid w:val="0033588A"/>
    <w:rsid w:val="0033593A"/>
    <w:rsid w:val="00335A15"/>
    <w:rsid w:val="00335C50"/>
    <w:rsid w:val="00335CE1"/>
    <w:rsid w:val="00335DCD"/>
    <w:rsid w:val="00335F5D"/>
    <w:rsid w:val="0033610B"/>
    <w:rsid w:val="003361FC"/>
    <w:rsid w:val="003363B2"/>
    <w:rsid w:val="00336423"/>
    <w:rsid w:val="003364DA"/>
    <w:rsid w:val="00336587"/>
    <w:rsid w:val="00336786"/>
    <w:rsid w:val="0033679D"/>
    <w:rsid w:val="0033682E"/>
    <w:rsid w:val="0033688D"/>
    <w:rsid w:val="00336972"/>
    <w:rsid w:val="0033697D"/>
    <w:rsid w:val="00336C50"/>
    <w:rsid w:val="00336D2B"/>
    <w:rsid w:val="00336E7F"/>
    <w:rsid w:val="00336F06"/>
    <w:rsid w:val="00336FA7"/>
    <w:rsid w:val="003371B5"/>
    <w:rsid w:val="0033726E"/>
    <w:rsid w:val="0033730C"/>
    <w:rsid w:val="00337468"/>
    <w:rsid w:val="003374CF"/>
    <w:rsid w:val="00337572"/>
    <w:rsid w:val="003377B8"/>
    <w:rsid w:val="003377BD"/>
    <w:rsid w:val="003377D0"/>
    <w:rsid w:val="0033780E"/>
    <w:rsid w:val="003378BA"/>
    <w:rsid w:val="00337B8A"/>
    <w:rsid w:val="00337BAF"/>
    <w:rsid w:val="00337C7C"/>
    <w:rsid w:val="00337D62"/>
    <w:rsid w:val="00337D68"/>
    <w:rsid w:val="00337D9D"/>
    <w:rsid w:val="00337E93"/>
    <w:rsid w:val="00337F60"/>
    <w:rsid w:val="00337FB8"/>
    <w:rsid w:val="00340108"/>
    <w:rsid w:val="00340209"/>
    <w:rsid w:val="00340267"/>
    <w:rsid w:val="00340341"/>
    <w:rsid w:val="003403CA"/>
    <w:rsid w:val="003403CD"/>
    <w:rsid w:val="003405F4"/>
    <w:rsid w:val="00340635"/>
    <w:rsid w:val="0034068E"/>
    <w:rsid w:val="003407A4"/>
    <w:rsid w:val="003407EC"/>
    <w:rsid w:val="003407F1"/>
    <w:rsid w:val="003407F7"/>
    <w:rsid w:val="0034086A"/>
    <w:rsid w:val="00340A1B"/>
    <w:rsid w:val="00340A30"/>
    <w:rsid w:val="00340B69"/>
    <w:rsid w:val="00340C21"/>
    <w:rsid w:val="00340D02"/>
    <w:rsid w:val="00340E9C"/>
    <w:rsid w:val="00340EFB"/>
    <w:rsid w:val="003410A5"/>
    <w:rsid w:val="0034136D"/>
    <w:rsid w:val="00341381"/>
    <w:rsid w:val="0034166A"/>
    <w:rsid w:val="003417C5"/>
    <w:rsid w:val="003417CB"/>
    <w:rsid w:val="00341B07"/>
    <w:rsid w:val="00341B7F"/>
    <w:rsid w:val="00341C5E"/>
    <w:rsid w:val="00342090"/>
    <w:rsid w:val="003420C9"/>
    <w:rsid w:val="00342206"/>
    <w:rsid w:val="0034231B"/>
    <w:rsid w:val="0034236B"/>
    <w:rsid w:val="00342490"/>
    <w:rsid w:val="003426AB"/>
    <w:rsid w:val="00342C70"/>
    <w:rsid w:val="00342C9F"/>
    <w:rsid w:val="00342D56"/>
    <w:rsid w:val="00342E6A"/>
    <w:rsid w:val="00343008"/>
    <w:rsid w:val="00343024"/>
    <w:rsid w:val="0034304A"/>
    <w:rsid w:val="0034304C"/>
    <w:rsid w:val="0034307F"/>
    <w:rsid w:val="0034313F"/>
    <w:rsid w:val="0034354B"/>
    <w:rsid w:val="003435A9"/>
    <w:rsid w:val="00343612"/>
    <w:rsid w:val="00343648"/>
    <w:rsid w:val="00343849"/>
    <w:rsid w:val="0034387E"/>
    <w:rsid w:val="0034389D"/>
    <w:rsid w:val="00343B2C"/>
    <w:rsid w:val="00344070"/>
    <w:rsid w:val="00344123"/>
    <w:rsid w:val="00344143"/>
    <w:rsid w:val="003441B1"/>
    <w:rsid w:val="00344214"/>
    <w:rsid w:val="003443E7"/>
    <w:rsid w:val="003443F4"/>
    <w:rsid w:val="003445C7"/>
    <w:rsid w:val="00344649"/>
    <w:rsid w:val="003446B2"/>
    <w:rsid w:val="003447C3"/>
    <w:rsid w:val="00344894"/>
    <w:rsid w:val="0034491A"/>
    <w:rsid w:val="003449EB"/>
    <w:rsid w:val="00344A49"/>
    <w:rsid w:val="00344A4D"/>
    <w:rsid w:val="00344AE5"/>
    <w:rsid w:val="00344D17"/>
    <w:rsid w:val="00344EBE"/>
    <w:rsid w:val="00344F7B"/>
    <w:rsid w:val="0034516D"/>
    <w:rsid w:val="00345379"/>
    <w:rsid w:val="00345496"/>
    <w:rsid w:val="00345744"/>
    <w:rsid w:val="00345758"/>
    <w:rsid w:val="0034587D"/>
    <w:rsid w:val="003458D3"/>
    <w:rsid w:val="00345999"/>
    <w:rsid w:val="00345AAB"/>
    <w:rsid w:val="00345BCF"/>
    <w:rsid w:val="00345D46"/>
    <w:rsid w:val="00345DF5"/>
    <w:rsid w:val="00345E37"/>
    <w:rsid w:val="00345F48"/>
    <w:rsid w:val="00346313"/>
    <w:rsid w:val="00346397"/>
    <w:rsid w:val="003465CB"/>
    <w:rsid w:val="003465DF"/>
    <w:rsid w:val="00346678"/>
    <w:rsid w:val="003466F9"/>
    <w:rsid w:val="003469C1"/>
    <w:rsid w:val="003469E7"/>
    <w:rsid w:val="00346ABB"/>
    <w:rsid w:val="00346BC5"/>
    <w:rsid w:val="00346EAC"/>
    <w:rsid w:val="00346F12"/>
    <w:rsid w:val="00347186"/>
    <w:rsid w:val="0034746F"/>
    <w:rsid w:val="0034751F"/>
    <w:rsid w:val="003477F1"/>
    <w:rsid w:val="0034783F"/>
    <w:rsid w:val="0034792C"/>
    <w:rsid w:val="00347CE6"/>
    <w:rsid w:val="00347DBE"/>
    <w:rsid w:val="00350092"/>
    <w:rsid w:val="00350108"/>
    <w:rsid w:val="00350179"/>
    <w:rsid w:val="0035036E"/>
    <w:rsid w:val="003503AF"/>
    <w:rsid w:val="003503BC"/>
    <w:rsid w:val="003503C4"/>
    <w:rsid w:val="003509CA"/>
    <w:rsid w:val="00350B7E"/>
    <w:rsid w:val="00350BF6"/>
    <w:rsid w:val="00350C53"/>
    <w:rsid w:val="00350C69"/>
    <w:rsid w:val="00350D2B"/>
    <w:rsid w:val="00350DBE"/>
    <w:rsid w:val="00350E15"/>
    <w:rsid w:val="0035123C"/>
    <w:rsid w:val="0035138C"/>
    <w:rsid w:val="0035163E"/>
    <w:rsid w:val="003518B5"/>
    <w:rsid w:val="00351962"/>
    <w:rsid w:val="003519AD"/>
    <w:rsid w:val="00351DFB"/>
    <w:rsid w:val="00351E0E"/>
    <w:rsid w:val="00351E13"/>
    <w:rsid w:val="00351E5C"/>
    <w:rsid w:val="00352001"/>
    <w:rsid w:val="00352223"/>
    <w:rsid w:val="003523A1"/>
    <w:rsid w:val="00352424"/>
    <w:rsid w:val="003525CF"/>
    <w:rsid w:val="003525E3"/>
    <w:rsid w:val="00352648"/>
    <w:rsid w:val="003527B2"/>
    <w:rsid w:val="003527DC"/>
    <w:rsid w:val="003528E5"/>
    <w:rsid w:val="00352CC4"/>
    <w:rsid w:val="00352D85"/>
    <w:rsid w:val="00352DC0"/>
    <w:rsid w:val="003531F2"/>
    <w:rsid w:val="0035333A"/>
    <w:rsid w:val="0035341F"/>
    <w:rsid w:val="003535CA"/>
    <w:rsid w:val="00353770"/>
    <w:rsid w:val="00353803"/>
    <w:rsid w:val="003538E0"/>
    <w:rsid w:val="00353973"/>
    <w:rsid w:val="00353AB6"/>
    <w:rsid w:val="00353D4D"/>
    <w:rsid w:val="00353E0B"/>
    <w:rsid w:val="0035417D"/>
    <w:rsid w:val="0035417E"/>
    <w:rsid w:val="003541BD"/>
    <w:rsid w:val="00354405"/>
    <w:rsid w:val="003546A0"/>
    <w:rsid w:val="00354722"/>
    <w:rsid w:val="003547CB"/>
    <w:rsid w:val="00354819"/>
    <w:rsid w:val="00354BE0"/>
    <w:rsid w:val="00354CD9"/>
    <w:rsid w:val="00354D3A"/>
    <w:rsid w:val="00354D9F"/>
    <w:rsid w:val="00354EAB"/>
    <w:rsid w:val="00354EB4"/>
    <w:rsid w:val="00354EB7"/>
    <w:rsid w:val="00355061"/>
    <w:rsid w:val="00355085"/>
    <w:rsid w:val="003550FB"/>
    <w:rsid w:val="003551E4"/>
    <w:rsid w:val="00355275"/>
    <w:rsid w:val="00355280"/>
    <w:rsid w:val="00355459"/>
    <w:rsid w:val="00355720"/>
    <w:rsid w:val="00355810"/>
    <w:rsid w:val="0035592F"/>
    <w:rsid w:val="00355DEC"/>
    <w:rsid w:val="003561CF"/>
    <w:rsid w:val="0035632B"/>
    <w:rsid w:val="003564E1"/>
    <w:rsid w:val="003564FC"/>
    <w:rsid w:val="00356672"/>
    <w:rsid w:val="00356697"/>
    <w:rsid w:val="003566BB"/>
    <w:rsid w:val="003567C3"/>
    <w:rsid w:val="0035687B"/>
    <w:rsid w:val="00356A97"/>
    <w:rsid w:val="00356AF3"/>
    <w:rsid w:val="00356C1D"/>
    <w:rsid w:val="00356D29"/>
    <w:rsid w:val="00357183"/>
    <w:rsid w:val="003571C2"/>
    <w:rsid w:val="00357387"/>
    <w:rsid w:val="00357558"/>
    <w:rsid w:val="0035757B"/>
    <w:rsid w:val="0035764C"/>
    <w:rsid w:val="0035765F"/>
    <w:rsid w:val="0035780B"/>
    <w:rsid w:val="0035788A"/>
    <w:rsid w:val="003579A7"/>
    <w:rsid w:val="003579F4"/>
    <w:rsid w:val="00357C66"/>
    <w:rsid w:val="00357D36"/>
    <w:rsid w:val="00357D56"/>
    <w:rsid w:val="00357FCE"/>
    <w:rsid w:val="00360088"/>
    <w:rsid w:val="003602E5"/>
    <w:rsid w:val="0036038C"/>
    <w:rsid w:val="003605B1"/>
    <w:rsid w:val="003605DF"/>
    <w:rsid w:val="00360720"/>
    <w:rsid w:val="0036072B"/>
    <w:rsid w:val="0036073F"/>
    <w:rsid w:val="003607B0"/>
    <w:rsid w:val="00360856"/>
    <w:rsid w:val="003609B7"/>
    <w:rsid w:val="00360A94"/>
    <w:rsid w:val="00360C38"/>
    <w:rsid w:val="00360CF4"/>
    <w:rsid w:val="00360D21"/>
    <w:rsid w:val="00361111"/>
    <w:rsid w:val="00361159"/>
    <w:rsid w:val="00361188"/>
    <w:rsid w:val="00361205"/>
    <w:rsid w:val="00361214"/>
    <w:rsid w:val="003612B1"/>
    <w:rsid w:val="003613BD"/>
    <w:rsid w:val="003615A6"/>
    <w:rsid w:val="00361604"/>
    <w:rsid w:val="0036163E"/>
    <w:rsid w:val="003616A2"/>
    <w:rsid w:val="0036175D"/>
    <w:rsid w:val="0036184A"/>
    <w:rsid w:val="003619C6"/>
    <w:rsid w:val="00361A75"/>
    <w:rsid w:val="00361BEF"/>
    <w:rsid w:val="00361CE5"/>
    <w:rsid w:val="00361D9C"/>
    <w:rsid w:val="00361DA3"/>
    <w:rsid w:val="00361F7A"/>
    <w:rsid w:val="00361FF9"/>
    <w:rsid w:val="0036209B"/>
    <w:rsid w:val="003623E9"/>
    <w:rsid w:val="00362413"/>
    <w:rsid w:val="00362437"/>
    <w:rsid w:val="0036257B"/>
    <w:rsid w:val="0036294B"/>
    <w:rsid w:val="0036299C"/>
    <w:rsid w:val="00362A1D"/>
    <w:rsid w:val="00362BA5"/>
    <w:rsid w:val="00362D28"/>
    <w:rsid w:val="00362F15"/>
    <w:rsid w:val="00362FD3"/>
    <w:rsid w:val="003630AC"/>
    <w:rsid w:val="00363198"/>
    <w:rsid w:val="003631FF"/>
    <w:rsid w:val="0036339C"/>
    <w:rsid w:val="003634A8"/>
    <w:rsid w:val="003634AC"/>
    <w:rsid w:val="003635BF"/>
    <w:rsid w:val="00363627"/>
    <w:rsid w:val="00363650"/>
    <w:rsid w:val="00363766"/>
    <w:rsid w:val="003639AB"/>
    <w:rsid w:val="00363AF7"/>
    <w:rsid w:val="00363C0E"/>
    <w:rsid w:val="00363C58"/>
    <w:rsid w:val="00363C99"/>
    <w:rsid w:val="00363E1F"/>
    <w:rsid w:val="003640A7"/>
    <w:rsid w:val="003640F1"/>
    <w:rsid w:val="0036418A"/>
    <w:rsid w:val="003643EA"/>
    <w:rsid w:val="0036440C"/>
    <w:rsid w:val="003644AD"/>
    <w:rsid w:val="003644CD"/>
    <w:rsid w:val="00364592"/>
    <w:rsid w:val="0036461F"/>
    <w:rsid w:val="00364AEF"/>
    <w:rsid w:val="00364C5A"/>
    <w:rsid w:val="00364CBA"/>
    <w:rsid w:val="0036526E"/>
    <w:rsid w:val="003652E1"/>
    <w:rsid w:val="00365308"/>
    <w:rsid w:val="003653C0"/>
    <w:rsid w:val="00365447"/>
    <w:rsid w:val="0036550C"/>
    <w:rsid w:val="00365627"/>
    <w:rsid w:val="00365679"/>
    <w:rsid w:val="0036569F"/>
    <w:rsid w:val="00365820"/>
    <w:rsid w:val="00365A75"/>
    <w:rsid w:val="00365B59"/>
    <w:rsid w:val="00365BC7"/>
    <w:rsid w:val="00365C8C"/>
    <w:rsid w:val="00365D07"/>
    <w:rsid w:val="00365D4D"/>
    <w:rsid w:val="00365F1A"/>
    <w:rsid w:val="00366232"/>
    <w:rsid w:val="003664D5"/>
    <w:rsid w:val="00366509"/>
    <w:rsid w:val="00366560"/>
    <w:rsid w:val="00366579"/>
    <w:rsid w:val="003666A7"/>
    <w:rsid w:val="003666E6"/>
    <w:rsid w:val="003666EB"/>
    <w:rsid w:val="003666F5"/>
    <w:rsid w:val="00366905"/>
    <w:rsid w:val="00366AD6"/>
    <w:rsid w:val="00366AED"/>
    <w:rsid w:val="00366B8D"/>
    <w:rsid w:val="00366B93"/>
    <w:rsid w:val="00366BE9"/>
    <w:rsid w:val="00366CE6"/>
    <w:rsid w:val="00366D31"/>
    <w:rsid w:val="00366F18"/>
    <w:rsid w:val="0036700E"/>
    <w:rsid w:val="003672EB"/>
    <w:rsid w:val="003673F9"/>
    <w:rsid w:val="003674B2"/>
    <w:rsid w:val="00367658"/>
    <w:rsid w:val="00367720"/>
    <w:rsid w:val="0036791F"/>
    <w:rsid w:val="0036794E"/>
    <w:rsid w:val="00367A27"/>
    <w:rsid w:val="00367AF3"/>
    <w:rsid w:val="00367C53"/>
    <w:rsid w:val="00367C8F"/>
    <w:rsid w:val="00367D06"/>
    <w:rsid w:val="00367DF7"/>
    <w:rsid w:val="00367E14"/>
    <w:rsid w:val="00367E64"/>
    <w:rsid w:val="00370027"/>
    <w:rsid w:val="003702D4"/>
    <w:rsid w:val="00370561"/>
    <w:rsid w:val="003705A8"/>
    <w:rsid w:val="00370641"/>
    <w:rsid w:val="0037069D"/>
    <w:rsid w:val="0037073F"/>
    <w:rsid w:val="00370924"/>
    <w:rsid w:val="00370A16"/>
    <w:rsid w:val="00370B78"/>
    <w:rsid w:val="00370BBC"/>
    <w:rsid w:val="00370D0B"/>
    <w:rsid w:val="00370D10"/>
    <w:rsid w:val="003710FA"/>
    <w:rsid w:val="0037119C"/>
    <w:rsid w:val="00371357"/>
    <w:rsid w:val="00371417"/>
    <w:rsid w:val="0037161B"/>
    <w:rsid w:val="00371650"/>
    <w:rsid w:val="00371753"/>
    <w:rsid w:val="0037186D"/>
    <w:rsid w:val="00371A5D"/>
    <w:rsid w:val="00371A78"/>
    <w:rsid w:val="00371B54"/>
    <w:rsid w:val="00371CEE"/>
    <w:rsid w:val="00371D5C"/>
    <w:rsid w:val="00371EA8"/>
    <w:rsid w:val="00371F1D"/>
    <w:rsid w:val="003720EE"/>
    <w:rsid w:val="0037215A"/>
    <w:rsid w:val="00372171"/>
    <w:rsid w:val="003721AF"/>
    <w:rsid w:val="00372471"/>
    <w:rsid w:val="00372473"/>
    <w:rsid w:val="0037251E"/>
    <w:rsid w:val="00372621"/>
    <w:rsid w:val="00372656"/>
    <w:rsid w:val="00372779"/>
    <w:rsid w:val="003727C6"/>
    <w:rsid w:val="003727F0"/>
    <w:rsid w:val="00372817"/>
    <w:rsid w:val="00372A10"/>
    <w:rsid w:val="00372A43"/>
    <w:rsid w:val="00372C72"/>
    <w:rsid w:val="00372C82"/>
    <w:rsid w:val="00372FF5"/>
    <w:rsid w:val="0037301B"/>
    <w:rsid w:val="003730F1"/>
    <w:rsid w:val="00373478"/>
    <w:rsid w:val="003734C9"/>
    <w:rsid w:val="00373607"/>
    <w:rsid w:val="003736CF"/>
    <w:rsid w:val="00373750"/>
    <w:rsid w:val="0037398A"/>
    <w:rsid w:val="00373B03"/>
    <w:rsid w:val="00373B1C"/>
    <w:rsid w:val="00373C37"/>
    <w:rsid w:val="00373E59"/>
    <w:rsid w:val="003745B0"/>
    <w:rsid w:val="0037482A"/>
    <w:rsid w:val="00374845"/>
    <w:rsid w:val="0037485F"/>
    <w:rsid w:val="003748DC"/>
    <w:rsid w:val="00374925"/>
    <w:rsid w:val="00374953"/>
    <w:rsid w:val="00374997"/>
    <w:rsid w:val="00374ED7"/>
    <w:rsid w:val="00374F0C"/>
    <w:rsid w:val="00375043"/>
    <w:rsid w:val="00375142"/>
    <w:rsid w:val="00375215"/>
    <w:rsid w:val="00375230"/>
    <w:rsid w:val="0037548D"/>
    <w:rsid w:val="003754B9"/>
    <w:rsid w:val="003755B0"/>
    <w:rsid w:val="003755E1"/>
    <w:rsid w:val="003756BF"/>
    <w:rsid w:val="003756E5"/>
    <w:rsid w:val="0037572C"/>
    <w:rsid w:val="003759DF"/>
    <w:rsid w:val="00375BB1"/>
    <w:rsid w:val="0037610F"/>
    <w:rsid w:val="00376268"/>
    <w:rsid w:val="00376308"/>
    <w:rsid w:val="003765F6"/>
    <w:rsid w:val="003765FE"/>
    <w:rsid w:val="0037662C"/>
    <w:rsid w:val="0037666C"/>
    <w:rsid w:val="00376712"/>
    <w:rsid w:val="0037673D"/>
    <w:rsid w:val="003768A6"/>
    <w:rsid w:val="003768E0"/>
    <w:rsid w:val="00376BCE"/>
    <w:rsid w:val="00376DC7"/>
    <w:rsid w:val="00376E5B"/>
    <w:rsid w:val="00376EFC"/>
    <w:rsid w:val="0037707B"/>
    <w:rsid w:val="0037712B"/>
    <w:rsid w:val="0037716C"/>
    <w:rsid w:val="00377187"/>
    <w:rsid w:val="00377197"/>
    <w:rsid w:val="0037724E"/>
    <w:rsid w:val="00377337"/>
    <w:rsid w:val="00377360"/>
    <w:rsid w:val="003774CE"/>
    <w:rsid w:val="003775AE"/>
    <w:rsid w:val="00377B09"/>
    <w:rsid w:val="00377B7D"/>
    <w:rsid w:val="00377D32"/>
    <w:rsid w:val="00377DC8"/>
    <w:rsid w:val="00377F63"/>
    <w:rsid w:val="00377F95"/>
    <w:rsid w:val="0038005C"/>
    <w:rsid w:val="00380163"/>
    <w:rsid w:val="003801B2"/>
    <w:rsid w:val="003802CB"/>
    <w:rsid w:val="003803E5"/>
    <w:rsid w:val="00380727"/>
    <w:rsid w:val="003807A3"/>
    <w:rsid w:val="003809C7"/>
    <w:rsid w:val="003809CA"/>
    <w:rsid w:val="00380A0F"/>
    <w:rsid w:val="00380A23"/>
    <w:rsid w:val="00380AF6"/>
    <w:rsid w:val="00380B50"/>
    <w:rsid w:val="00380C69"/>
    <w:rsid w:val="00380EB4"/>
    <w:rsid w:val="00380EE9"/>
    <w:rsid w:val="0038122E"/>
    <w:rsid w:val="003812C5"/>
    <w:rsid w:val="00381445"/>
    <w:rsid w:val="0038146C"/>
    <w:rsid w:val="0038153A"/>
    <w:rsid w:val="003816A9"/>
    <w:rsid w:val="00381731"/>
    <w:rsid w:val="00381878"/>
    <w:rsid w:val="00381A01"/>
    <w:rsid w:val="00381A36"/>
    <w:rsid w:val="00381C7E"/>
    <w:rsid w:val="00381ECF"/>
    <w:rsid w:val="00381F7F"/>
    <w:rsid w:val="00382177"/>
    <w:rsid w:val="003823C2"/>
    <w:rsid w:val="00382609"/>
    <w:rsid w:val="00382767"/>
    <w:rsid w:val="00382AF9"/>
    <w:rsid w:val="00382BAF"/>
    <w:rsid w:val="00382D9A"/>
    <w:rsid w:val="00382E5F"/>
    <w:rsid w:val="00382F11"/>
    <w:rsid w:val="00382F53"/>
    <w:rsid w:val="0038303D"/>
    <w:rsid w:val="003830C4"/>
    <w:rsid w:val="003831EE"/>
    <w:rsid w:val="00383267"/>
    <w:rsid w:val="003834B9"/>
    <w:rsid w:val="0038359C"/>
    <w:rsid w:val="003835C7"/>
    <w:rsid w:val="003837F3"/>
    <w:rsid w:val="00383AFB"/>
    <w:rsid w:val="00383BE1"/>
    <w:rsid w:val="00383C5D"/>
    <w:rsid w:val="00383CE1"/>
    <w:rsid w:val="00383ED2"/>
    <w:rsid w:val="00383EF6"/>
    <w:rsid w:val="00384057"/>
    <w:rsid w:val="00384202"/>
    <w:rsid w:val="00384394"/>
    <w:rsid w:val="0038447C"/>
    <w:rsid w:val="00384517"/>
    <w:rsid w:val="003845E3"/>
    <w:rsid w:val="00384724"/>
    <w:rsid w:val="003847E9"/>
    <w:rsid w:val="003848CB"/>
    <w:rsid w:val="003848F1"/>
    <w:rsid w:val="003849FD"/>
    <w:rsid w:val="00384A23"/>
    <w:rsid w:val="00384A96"/>
    <w:rsid w:val="00384B83"/>
    <w:rsid w:val="00384B90"/>
    <w:rsid w:val="00384D50"/>
    <w:rsid w:val="00384EFD"/>
    <w:rsid w:val="003850ED"/>
    <w:rsid w:val="0038536E"/>
    <w:rsid w:val="003853CE"/>
    <w:rsid w:val="0038545F"/>
    <w:rsid w:val="00385507"/>
    <w:rsid w:val="0038554D"/>
    <w:rsid w:val="00385704"/>
    <w:rsid w:val="003858D5"/>
    <w:rsid w:val="00385ABE"/>
    <w:rsid w:val="00385E3C"/>
    <w:rsid w:val="00385E81"/>
    <w:rsid w:val="0038600C"/>
    <w:rsid w:val="003860A1"/>
    <w:rsid w:val="003860DF"/>
    <w:rsid w:val="00386124"/>
    <w:rsid w:val="003862CF"/>
    <w:rsid w:val="0038633E"/>
    <w:rsid w:val="00386453"/>
    <w:rsid w:val="003864D5"/>
    <w:rsid w:val="00386906"/>
    <w:rsid w:val="0038696A"/>
    <w:rsid w:val="003869D1"/>
    <w:rsid w:val="00386A17"/>
    <w:rsid w:val="00386C66"/>
    <w:rsid w:val="00386CB7"/>
    <w:rsid w:val="00386D1C"/>
    <w:rsid w:val="00386D41"/>
    <w:rsid w:val="00386D47"/>
    <w:rsid w:val="00386DA2"/>
    <w:rsid w:val="00386E67"/>
    <w:rsid w:val="00386FC8"/>
    <w:rsid w:val="003870FE"/>
    <w:rsid w:val="0038730C"/>
    <w:rsid w:val="00387392"/>
    <w:rsid w:val="0038744B"/>
    <w:rsid w:val="0038758E"/>
    <w:rsid w:val="00387676"/>
    <w:rsid w:val="0038768E"/>
    <w:rsid w:val="00387E7B"/>
    <w:rsid w:val="00390567"/>
    <w:rsid w:val="003907F3"/>
    <w:rsid w:val="0039086D"/>
    <w:rsid w:val="003909C3"/>
    <w:rsid w:val="00390AA6"/>
    <w:rsid w:val="00390B4B"/>
    <w:rsid w:val="00390D20"/>
    <w:rsid w:val="00390E2A"/>
    <w:rsid w:val="00390F2D"/>
    <w:rsid w:val="00391016"/>
    <w:rsid w:val="00391173"/>
    <w:rsid w:val="0039119B"/>
    <w:rsid w:val="00391434"/>
    <w:rsid w:val="0039144A"/>
    <w:rsid w:val="003914AA"/>
    <w:rsid w:val="00391527"/>
    <w:rsid w:val="00391646"/>
    <w:rsid w:val="00391704"/>
    <w:rsid w:val="00391732"/>
    <w:rsid w:val="003917E2"/>
    <w:rsid w:val="003917EB"/>
    <w:rsid w:val="00391809"/>
    <w:rsid w:val="00391882"/>
    <w:rsid w:val="00391C57"/>
    <w:rsid w:val="00391C5A"/>
    <w:rsid w:val="00391D1F"/>
    <w:rsid w:val="00391DC0"/>
    <w:rsid w:val="00391DFE"/>
    <w:rsid w:val="00392002"/>
    <w:rsid w:val="003921DF"/>
    <w:rsid w:val="00392256"/>
    <w:rsid w:val="00392557"/>
    <w:rsid w:val="0039292C"/>
    <w:rsid w:val="00392E68"/>
    <w:rsid w:val="00392F61"/>
    <w:rsid w:val="003931CC"/>
    <w:rsid w:val="0039327A"/>
    <w:rsid w:val="003933A0"/>
    <w:rsid w:val="0039363A"/>
    <w:rsid w:val="003936F1"/>
    <w:rsid w:val="00393806"/>
    <w:rsid w:val="003938AC"/>
    <w:rsid w:val="003938EC"/>
    <w:rsid w:val="00393A54"/>
    <w:rsid w:val="00393B41"/>
    <w:rsid w:val="00393BE8"/>
    <w:rsid w:val="00393C12"/>
    <w:rsid w:val="00393D7B"/>
    <w:rsid w:val="00393E4E"/>
    <w:rsid w:val="00394167"/>
    <w:rsid w:val="0039427E"/>
    <w:rsid w:val="003942CE"/>
    <w:rsid w:val="0039458A"/>
    <w:rsid w:val="0039476F"/>
    <w:rsid w:val="003947C8"/>
    <w:rsid w:val="003948CB"/>
    <w:rsid w:val="003948E3"/>
    <w:rsid w:val="003949E7"/>
    <w:rsid w:val="00394A6C"/>
    <w:rsid w:val="00394AAA"/>
    <w:rsid w:val="00394EE4"/>
    <w:rsid w:val="00394F77"/>
    <w:rsid w:val="0039509B"/>
    <w:rsid w:val="003950F7"/>
    <w:rsid w:val="00395120"/>
    <w:rsid w:val="00395164"/>
    <w:rsid w:val="00395188"/>
    <w:rsid w:val="00395296"/>
    <w:rsid w:val="003953F0"/>
    <w:rsid w:val="00395410"/>
    <w:rsid w:val="00395584"/>
    <w:rsid w:val="00395616"/>
    <w:rsid w:val="00395672"/>
    <w:rsid w:val="003956A5"/>
    <w:rsid w:val="003957DC"/>
    <w:rsid w:val="0039589A"/>
    <w:rsid w:val="0039593B"/>
    <w:rsid w:val="00395AFE"/>
    <w:rsid w:val="00395B6A"/>
    <w:rsid w:val="00395BD8"/>
    <w:rsid w:val="00395D23"/>
    <w:rsid w:val="00395D8E"/>
    <w:rsid w:val="00395E0F"/>
    <w:rsid w:val="00395F26"/>
    <w:rsid w:val="00395F2B"/>
    <w:rsid w:val="00395F59"/>
    <w:rsid w:val="00395F64"/>
    <w:rsid w:val="00395FC1"/>
    <w:rsid w:val="00395FD8"/>
    <w:rsid w:val="00395FE3"/>
    <w:rsid w:val="0039609B"/>
    <w:rsid w:val="003960D8"/>
    <w:rsid w:val="0039615E"/>
    <w:rsid w:val="003961BF"/>
    <w:rsid w:val="003961F2"/>
    <w:rsid w:val="0039626E"/>
    <w:rsid w:val="003963F8"/>
    <w:rsid w:val="0039663A"/>
    <w:rsid w:val="00396678"/>
    <w:rsid w:val="003966F6"/>
    <w:rsid w:val="0039673F"/>
    <w:rsid w:val="00396750"/>
    <w:rsid w:val="0039675B"/>
    <w:rsid w:val="0039677D"/>
    <w:rsid w:val="00396A0E"/>
    <w:rsid w:val="00396A64"/>
    <w:rsid w:val="00396F3B"/>
    <w:rsid w:val="00397265"/>
    <w:rsid w:val="003974CD"/>
    <w:rsid w:val="0039761D"/>
    <w:rsid w:val="0039778A"/>
    <w:rsid w:val="003978C8"/>
    <w:rsid w:val="00397910"/>
    <w:rsid w:val="00397B4B"/>
    <w:rsid w:val="00397B58"/>
    <w:rsid w:val="00397B70"/>
    <w:rsid w:val="00397BD7"/>
    <w:rsid w:val="00397FF1"/>
    <w:rsid w:val="003A0044"/>
    <w:rsid w:val="003A00A3"/>
    <w:rsid w:val="003A00DB"/>
    <w:rsid w:val="003A038D"/>
    <w:rsid w:val="003A0461"/>
    <w:rsid w:val="003A04F2"/>
    <w:rsid w:val="003A050F"/>
    <w:rsid w:val="003A0660"/>
    <w:rsid w:val="003A0976"/>
    <w:rsid w:val="003A0B63"/>
    <w:rsid w:val="003A0D52"/>
    <w:rsid w:val="003A0D6A"/>
    <w:rsid w:val="003A0D8F"/>
    <w:rsid w:val="003A0EFA"/>
    <w:rsid w:val="003A0F31"/>
    <w:rsid w:val="003A1125"/>
    <w:rsid w:val="003A121B"/>
    <w:rsid w:val="003A13D7"/>
    <w:rsid w:val="003A14DD"/>
    <w:rsid w:val="003A1616"/>
    <w:rsid w:val="003A163E"/>
    <w:rsid w:val="003A1750"/>
    <w:rsid w:val="003A18B9"/>
    <w:rsid w:val="003A1A2E"/>
    <w:rsid w:val="003A1B8B"/>
    <w:rsid w:val="003A1DB1"/>
    <w:rsid w:val="003A1DC3"/>
    <w:rsid w:val="003A1F19"/>
    <w:rsid w:val="003A2107"/>
    <w:rsid w:val="003A22A1"/>
    <w:rsid w:val="003A23D6"/>
    <w:rsid w:val="003A2431"/>
    <w:rsid w:val="003A256A"/>
    <w:rsid w:val="003A269E"/>
    <w:rsid w:val="003A2840"/>
    <w:rsid w:val="003A291E"/>
    <w:rsid w:val="003A29AA"/>
    <w:rsid w:val="003A2CEC"/>
    <w:rsid w:val="003A2E69"/>
    <w:rsid w:val="003A2EB7"/>
    <w:rsid w:val="003A2ED1"/>
    <w:rsid w:val="003A30CE"/>
    <w:rsid w:val="003A313E"/>
    <w:rsid w:val="003A3168"/>
    <w:rsid w:val="003A3314"/>
    <w:rsid w:val="003A336F"/>
    <w:rsid w:val="003A3740"/>
    <w:rsid w:val="003A3886"/>
    <w:rsid w:val="003A3894"/>
    <w:rsid w:val="003A3B4E"/>
    <w:rsid w:val="003A4047"/>
    <w:rsid w:val="003A408D"/>
    <w:rsid w:val="003A4292"/>
    <w:rsid w:val="003A4316"/>
    <w:rsid w:val="003A434F"/>
    <w:rsid w:val="003A45A0"/>
    <w:rsid w:val="003A47E1"/>
    <w:rsid w:val="003A4854"/>
    <w:rsid w:val="003A4924"/>
    <w:rsid w:val="003A4A8A"/>
    <w:rsid w:val="003A4AC4"/>
    <w:rsid w:val="003A4C47"/>
    <w:rsid w:val="003A4CF7"/>
    <w:rsid w:val="003A4CFA"/>
    <w:rsid w:val="003A4D14"/>
    <w:rsid w:val="003A4D91"/>
    <w:rsid w:val="003A4E1C"/>
    <w:rsid w:val="003A4F19"/>
    <w:rsid w:val="003A5115"/>
    <w:rsid w:val="003A5357"/>
    <w:rsid w:val="003A536B"/>
    <w:rsid w:val="003A53FF"/>
    <w:rsid w:val="003A551F"/>
    <w:rsid w:val="003A5802"/>
    <w:rsid w:val="003A582C"/>
    <w:rsid w:val="003A58F8"/>
    <w:rsid w:val="003A5A54"/>
    <w:rsid w:val="003A5B66"/>
    <w:rsid w:val="003A5BEE"/>
    <w:rsid w:val="003A5D87"/>
    <w:rsid w:val="003A5E72"/>
    <w:rsid w:val="003A609C"/>
    <w:rsid w:val="003A6231"/>
    <w:rsid w:val="003A6233"/>
    <w:rsid w:val="003A6240"/>
    <w:rsid w:val="003A6373"/>
    <w:rsid w:val="003A63F6"/>
    <w:rsid w:val="003A65E7"/>
    <w:rsid w:val="003A6693"/>
    <w:rsid w:val="003A6697"/>
    <w:rsid w:val="003A66D3"/>
    <w:rsid w:val="003A6724"/>
    <w:rsid w:val="003A67D9"/>
    <w:rsid w:val="003A686A"/>
    <w:rsid w:val="003A6903"/>
    <w:rsid w:val="003A6960"/>
    <w:rsid w:val="003A69F6"/>
    <w:rsid w:val="003A6A05"/>
    <w:rsid w:val="003A6AC6"/>
    <w:rsid w:val="003A6AD3"/>
    <w:rsid w:val="003A6BF6"/>
    <w:rsid w:val="003A6D9D"/>
    <w:rsid w:val="003A6E1A"/>
    <w:rsid w:val="003A6F90"/>
    <w:rsid w:val="003A7025"/>
    <w:rsid w:val="003A70D0"/>
    <w:rsid w:val="003A730D"/>
    <w:rsid w:val="003A732B"/>
    <w:rsid w:val="003A761A"/>
    <w:rsid w:val="003A77B0"/>
    <w:rsid w:val="003A7A36"/>
    <w:rsid w:val="003A7AA1"/>
    <w:rsid w:val="003A7CBD"/>
    <w:rsid w:val="003A7EF7"/>
    <w:rsid w:val="003B00C3"/>
    <w:rsid w:val="003B0244"/>
    <w:rsid w:val="003B0328"/>
    <w:rsid w:val="003B0491"/>
    <w:rsid w:val="003B05BB"/>
    <w:rsid w:val="003B0737"/>
    <w:rsid w:val="003B0B7F"/>
    <w:rsid w:val="003B0BA1"/>
    <w:rsid w:val="003B1160"/>
    <w:rsid w:val="003B1454"/>
    <w:rsid w:val="003B15BC"/>
    <w:rsid w:val="003B15FD"/>
    <w:rsid w:val="003B1694"/>
    <w:rsid w:val="003B16D5"/>
    <w:rsid w:val="003B185C"/>
    <w:rsid w:val="003B19B4"/>
    <w:rsid w:val="003B1B1A"/>
    <w:rsid w:val="003B1BDB"/>
    <w:rsid w:val="003B1D4E"/>
    <w:rsid w:val="003B1FA4"/>
    <w:rsid w:val="003B2095"/>
    <w:rsid w:val="003B225B"/>
    <w:rsid w:val="003B2347"/>
    <w:rsid w:val="003B25EF"/>
    <w:rsid w:val="003B2726"/>
    <w:rsid w:val="003B27B0"/>
    <w:rsid w:val="003B27F4"/>
    <w:rsid w:val="003B2ACF"/>
    <w:rsid w:val="003B2B75"/>
    <w:rsid w:val="003B2B7B"/>
    <w:rsid w:val="003B2BA2"/>
    <w:rsid w:val="003B2D7B"/>
    <w:rsid w:val="003B30F2"/>
    <w:rsid w:val="003B3210"/>
    <w:rsid w:val="003B341A"/>
    <w:rsid w:val="003B35C0"/>
    <w:rsid w:val="003B368F"/>
    <w:rsid w:val="003B3878"/>
    <w:rsid w:val="003B3946"/>
    <w:rsid w:val="003B394C"/>
    <w:rsid w:val="003B39C6"/>
    <w:rsid w:val="003B3AF5"/>
    <w:rsid w:val="003B3B4E"/>
    <w:rsid w:val="003B3BA6"/>
    <w:rsid w:val="003B3C92"/>
    <w:rsid w:val="003B3F40"/>
    <w:rsid w:val="003B3FBF"/>
    <w:rsid w:val="003B4026"/>
    <w:rsid w:val="003B40B3"/>
    <w:rsid w:val="003B436A"/>
    <w:rsid w:val="003B4599"/>
    <w:rsid w:val="003B4658"/>
    <w:rsid w:val="003B4680"/>
    <w:rsid w:val="003B475E"/>
    <w:rsid w:val="003B48E3"/>
    <w:rsid w:val="003B4AD7"/>
    <w:rsid w:val="003B4BD7"/>
    <w:rsid w:val="003B4C03"/>
    <w:rsid w:val="003B4C6F"/>
    <w:rsid w:val="003B4CBA"/>
    <w:rsid w:val="003B4CCC"/>
    <w:rsid w:val="003B4F0F"/>
    <w:rsid w:val="003B514B"/>
    <w:rsid w:val="003B5197"/>
    <w:rsid w:val="003B5198"/>
    <w:rsid w:val="003B5253"/>
    <w:rsid w:val="003B5299"/>
    <w:rsid w:val="003B5492"/>
    <w:rsid w:val="003B54D5"/>
    <w:rsid w:val="003B54FC"/>
    <w:rsid w:val="003B56A8"/>
    <w:rsid w:val="003B5925"/>
    <w:rsid w:val="003B5AD0"/>
    <w:rsid w:val="003B5D21"/>
    <w:rsid w:val="003B5D73"/>
    <w:rsid w:val="003B5DBB"/>
    <w:rsid w:val="003B5E02"/>
    <w:rsid w:val="003B5F77"/>
    <w:rsid w:val="003B616D"/>
    <w:rsid w:val="003B61B7"/>
    <w:rsid w:val="003B6524"/>
    <w:rsid w:val="003B6655"/>
    <w:rsid w:val="003B66F8"/>
    <w:rsid w:val="003B67C4"/>
    <w:rsid w:val="003B6907"/>
    <w:rsid w:val="003B6985"/>
    <w:rsid w:val="003B698C"/>
    <w:rsid w:val="003B6ABD"/>
    <w:rsid w:val="003B6C95"/>
    <w:rsid w:val="003B6DEF"/>
    <w:rsid w:val="003B6DFC"/>
    <w:rsid w:val="003B704C"/>
    <w:rsid w:val="003B709A"/>
    <w:rsid w:val="003B71D8"/>
    <w:rsid w:val="003B7270"/>
    <w:rsid w:val="003B7285"/>
    <w:rsid w:val="003B7292"/>
    <w:rsid w:val="003B72B2"/>
    <w:rsid w:val="003B73D2"/>
    <w:rsid w:val="003B74E3"/>
    <w:rsid w:val="003B76B9"/>
    <w:rsid w:val="003B782F"/>
    <w:rsid w:val="003B7870"/>
    <w:rsid w:val="003B78BF"/>
    <w:rsid w:val="003B79E4"/>
    <w:rsid w:val="003B7B4A"/>
    <w:rsid w:val="003B7CBF"/>
    <w:rsid w:val="003B7EF2"/>
    <w:rsid w:val="003C012C"/>
    <w:rsid w:val="003C017A"/>
    <w:rsid w:val="003C01F3"/>
    <w:rsid w:val="003C0232"/>
    <w:rsid w:val="003C02EA"/>
    <w:rsid w:val="003C03EA"/>
    <w:rsid w:val="003C042D"/>
    <w:rsid w:val="003C05F1"/>
    <w:rsid w:val="003C0635"/>
    <w:rsid w:val="003C0728"/>
    <w:rsid w:val="003C0771"/>
    <w:rsid w:val="003C0838"/>
    <w:rsid w:val="003C0839"/>
    <w:rsid w:val="003C0858"/>
    <w:rsid w:val="003C08C9"/>
    <w:rsid w:val="003C0946"/>
    <w:rsid w:val="003C0A64"/>
    <w:rsid w:val="003C0AEF"/>
    <w:rsid w:val="003C0CF7"/>
    <w:rsid w:val="003C0EF9"/>
    <w:rsid w:val="003C0F00"/>
    <w:rsid w:val="003C0FDE"/>
    <w:rsid w:val="003C1052"/>
    <w:rsid w:val="003C112F"/>
    <w:rsid w:val="003C142A"/>
    <w:rsid w:val="003C171B"/>
    <w:rsid w:val="003C1800"/>
    <w:rsid w:val="003C18EA"/>
    <w:rsid w:val="003C1992"/>
    <w:rsid w:val="003C19BA"/>
    <w:rsid w:val="003C1AE2"/>
    <w:rsid w:val="003C1BA7"/>
    <w:rsid w:val="003C1C07"/>
    <w:rsid w:val="003C1C47"/>
    <w:rsid w:val="003C1C48"/>
    <w:rsid w:val="003C1CD3"/>
    <w:rsid w:val="003C1D14"/>
    <w:rsid w:val="003C1F33"/>
    <w:rsid w:val="003C1F37"/>
    <w:rsid w:val="003C1F94"/>
    <w:rsid w:val="003C1F95"/>
    <w:rsid w:val="003C2112"/>
    <w:rsid w:val="003C231B"/>
    <w:rsid w:val="003C231F"/>
    <w:rsid w:val="003C2364"/>
    <w:rsid w:val="003C241B"/>
    <w:rsid w:val="003C24EE"/>
    <w:rsid w:val="003C260E"/>
    <w:rsid w:val="003C2680"/>
    <w:rsid w:val="003C27D8"/>
    <w:rsid w:val="003C2905"/>
    <w:rsid w:val="003C29B5"/>
    <w:rsid w:val="003C2B9B"/>
    <w:rsid w:val="003C2C9C"/>
    <w:rsid w:val="003C2DC5"/>
    <w:rsid w:val="003C2EED"/>
    <w:rsid w:val="003C2F11"/>
    <w:rsid w:val="003C30AE"/>
    <w:rsid w:val="003C32E8"/>
    <w:rsid w:val="003C34D2"/>
    <w:rsid w:val="003C365D"/>
    <w:rsid w:val="003C3721"/>
    <w:rsid w:val="003C377B"/>
    <w:rsid w:val="003C3823"/>
    <w:rsid w:val="003C3853"/>
    <w:rsid w:val="003C387A"/>
    <w:rsid w:val="003C38B8"/>
    <w:rsid w:val="003C3D5A"/>
    <w:rsid w:val="003C3DA2"/>
    <w:rsid w:val="003C4129"/>
    <w:rsid w:val="003C414E"/>
    <w:rsid w:val="003C43AA"/>
    <w:rsid w:val="003C4517"/>
    <w:rsid w:val="003C452E"/>
    <w:rsid w:val="003C4713"/>
    <w:rsid w:val="003C484B"/>
    <w:rsid w:val="003C4A0A"/>
    <w:rsid w:val="003C4A7E"/>
    <w:rsid w:val="003C4AA6"/>
    <w:rsid w:val="003C4B16"/>
    <w:rsid w:val="003C4B56"/>
    <w:rsid w:val="003C4C9C"/>
    <w:rsid w:val="003C4E90"/>
    <w:rsid w:val="003C4F60"/>
    <w:rsid w:val="003C4F8F"/>
    <w:rsid w:val="003C5177"/>
    <w:rsid w:val="003C52CA"/>
    <w:rsid w:val="003C531A"/>
    <w:rsid w:val="003C5570"/>
    <w:rsid w:val="003C56B2"/>
    <w:rsid w:val="003C57E5"/>
    <w:rsid w:val="003C5909"/>
    <w:rsid w:val="003C5AD0"/>
    <w:rsid w:val="003C5B0C"/>
    <w:rsid w:val="003C5DB2"/>
    <w:rsid w:val="003C5F0E"/>
    <w:rsid w:val="003C6053"/>
    <w:rsid w:val="003C6093"/>
    <w:rsid w:val="003C616F"/>
    <w:rsid w:val="003C6228"/>
    <w:rsid w:val="003C68C8"/>
    <w:rsid w:val="003C69EE"/>
    <w:rsid w:val="003C6A8B"/>
    <w:rsid w:val="003C6B59"/>
    <w:rsid w:val="003C6BE0"/>
    <w:rsid w:val="003C6C3F"/>
    <w:rsid w:val="003C6C6A"/>
    <w:rsid w:val="003C6D86"/>
    <w:rsid w:val="003C6DA2"/>
    <w:rsid w:val="003C6FF9"/>
    <w:rsid w:val="003C7129"/>
    <w:rsid w:val="003C727F"/>
    <w:rsid w:val="003C72EA"/>
    <w:rsid w:val="003C7350"/>
    <w:rsid w:val="003C7410"/>
    <w:rsid w:val="003C7511"/>
    <w:rsid w:val="003C7692"/>
    <w:rsid w:val="003C7712"/>
    <w:rsid w:val="003C7740"/>
    <w:rsid w:val="003C77D0"/>
    <w:rsid w:val="003C7831"/>
    <w:rsid w:val="003C7891"/>
    <w:rsid w:val="003C7928"/>
    <w:rsid w:val="003C793A"/>
    <w:rsid w:val="003C79CD"/>
    <w:rsid w:val="003C7B7A"/>
    <w:rsid w:val="003C7B8D"/>
    <w:rsid w:val="003D0077"/>
    <w:rsid w:val="003D0090"/>
    <w:rsid w:val="003D018C"/>
    <w:rsid w:val="003D01D6"/>
    <w:rsid w:val="003D03B2"/>
    <w:rsid w:val="003D03E4"/>
    <w:rsid w:val="003D0421"/>
    <w:rsid w:val="003D042B"/>
    <w:rsid w:val="003D049E"/>
    <w:rsid w:val="003D05C0"/>
    <w:rsid w:val="003D0604"/>
    <w:rsid w:val="003D06CC"/>
    <w:rsid w:val="003D0761"/>
    <w:rsid w:val="003D076D"/>
    <w:rsid w:val="003D07F0"/>
    <w:rsid w:val="003D090B"/>
    <w:rsid w:val="003D09FD"/>
    <w:rsid w:val="003D0AC3"/>
    <w:rsid w:val="003D0BA9"/>
    <w:rsid w:val="003D0DDD"/>
    <w:rsid w:val="003D0ECB"/>
    <w:rsid w:val="003D0ED6"/>
    <w:rsid w:val="003D1111"/>
    <w:rsid w:val="003D12B6"/>
    <w:rsid w:val="003D1450"/>
    <w:rsid w:val="003D1506"/>
    <w:rsid w:val="003D1830"/>
    <w:rsid w:val="003D1963"/>
    <w:rsid w:val="003D196A"/>
    <w:rsid w:val="003D1AA0"/>
    <w:rsid w:val="003D1B64"/>
    <w:rsid w:val="003D1CEC"/>
    <w:rsid w:val="003D1ED3"/>
    <w:rsid w:val="003D204C"/>
    <w:rsid w:val="003D2259"/>
    <w:rsid w:val="003D227D"/>
    <w:rsid w:val="003D2362"/>
    <w:rsid w:val="003D23F3"/>
    <w:rsid w:val="003D2541"/>
    <w:rsid w:val="003D26A5"/>
    <w:rsid w:val="003D2730"/>
    <w:rsid w:val="003D27DD"/>
    <w:rsid w:val="003D2811"/>
    <w:rsid w:val="003D294D"/>
    <w:rsid w:val="003D299E"/>
    <w:rsid w:val="003D2B30"/>
    <w:rsid w:val="003D2C52"/>
    <w:rsid w:val="003D2E02"/>
    <w:rsid w:val="003D2E83"/>
    <w:rsid w:val="003D2EC7"/>
    <w:rsid w:val="003D301D"/>
    <w:rsid w:val="003D3144"/>
    <w:rsid w:val="003D31D4"/>
    <w:rsid w:val="003D348D"/>
    <w:rsid w:val="003D3494"/>
    <w:rsid w:val="003D354B"/>
    <w:rsid w:val="003D3671"/>
    <w:rsid w:val="003D37DF"/>
    <w:rsid w:val="003D38CC"/>
    <w:rsid w:val="003D3990"/>
    <w:rsid w:val="003D3AF0"/>
    <w:rsid w:val="003D3B16"/>
    <w:rsid w:val="003D3C3C"/>
    <w:rsid w:val="003D3C87"/>
    <w:rsid w:val="003D41A8"/>
    <w:rsid w:val="003D430F"/>
    <w:rsid w:val="003D4325"/>
    <w:rsid w:val="003D4364"/>
    <w:rsid w:val="003D45BB"/>
    <w:rsid w:val="003D45C0"/>
    <w:rsid w:val="003D45F5"/>
    <w:rsid w:val="003D47E1"/>
    <w:rsid w:val="003D484D"/>
    <w:rsid w:val="003D4861"/>
    <w:rsid w:val="003D48C8"/>
    <w:rsid w:val="003D49C3"/>
    <w:rsid w:val="003D4DCF"/>
    <w:rsid w:val="003D54D8"/>
    <w:rsid w:val="003D55E1"/>
    <w:rsid w:val="003D55E2"/>
    <w:rsid w:val="003D55ED"/>
    <w:rsid w:val="003D57E3"/>
    <w:rsid w:val="003D599E"/>
    <w:rsid w:val="003D5A77"/>
    <w:rsid w:val="003D5DDD"/>
    <w:rsid w:val="003D5DFD"/>
    <w:rsid w:val="003D5F9A"/>
    <w:rsid w:val="003D6043"/>
    <w:rsid w:val="003D605D"/>
    <w:rsid w:val="003D6144"/>
    <w:rsid w:val="003D6169"/>
    <w:rsid w:val="003D6317"/>
    <w:rsid w:val="003D6333"/>
    <w:rsid w:val="003D63CF"/>
    <w:rsid w:val="003D6402"/>
    <w:rsid w:val="003D641A"/>
    <w:rsid w:val="003D6441"/>
    <w:rsid w:val="003D653D"/>
    <w:rsid w:val="003D658D"/>
    <w:rsid w:val="003D65D5"/>
    <w:rsid w:val="003D65F5"/>
    <w:rsid w:val="003D66BD"/>
    <w:rsid w:val="003D6769"/>
    <w:rsid w:val="003D6821"/>
    <w:rsid w:val="003D6860"/>
    <w:rsid w:val="003D6933"/>
    <w:rsid w:val="003D6951"/>
    <w:rsid w:val="003D6A3D"/>
    <w:rsid w:val="003D6D7F"/>
    <w:rsid w:val="003D6E2E"/>
    <w:rsid w:val="003D6EE6"/>
    <w:rsid w:val="003D6F09"/>
    <w:rsid w:val="003D6FA0"/>
    <w:rsid w:val="003D711B"/>
    <w:rsid w:val="003D7120"/>
    <w:rsid w:val="003D71EB"/>
    <w:rsid w:val="003D72D8"/>
    <w:rsid w:val="003D7454"/>
    <w:rsid w:val="003D7525"/>
    <w:rsid w:val="003D75AB"/>
    <w:rsid w:val="003D77ED"/>
    <w:rsid w:val="003D77FD"/>
    <w:rsid w:val="003D784C"/>
    <w:rsid w:val="003D7A13"/>
    <w:rsid w:val="003D7A54"/>
    <w:rsid w:val="003D7BC2"/>
    <w:rsid w:val="003D7BEB"/>
    <w:rsid w:val="003D7F0B"/>
    <w:rsid w:val="003D7F2D"/>
    <w:rsid w:val="003E0028"/>
    <w:rsid w:val="003E0080"/>
    <w:rsid w:val="003E0116"/>
    <w:rsid w:val="003E0158"/>
    <w:rsid w:val="003E043E"/>
    <w:rsid w:val="003E0552"/>
    <w:rsid w:val="003E05DE"/>
    <w:rsid w:val="003E06B2"/>
    <w:rsid w:val="003E0BDD"/>
    <w:rsid w:val="003E0CA4"/>
    <w:rsid w:val="003E0E8A"/>
    <w:rsid w:val="003E0FC5"/>
    <w:rsid w:val="003E117F"/>
    <w:rsid w:val="003E1277"/>
    <w:rsid w:val="003E13E7"/>
    <w:rsid w:val="003E141D"/>
    <w:rsid w:val="003E1570"/>
    <w:rsid w:val="003E17CD"/>
    <w:rsid w:val="003E1879"/>
    <w:rsid w:val="003E1AD4"/>
    <w:rsid w:val="003E1AE6"/>
    <w:rsid w:val="003E208C"/>
    <w:rsid w:val="003E2160"/>
    <w:rsid w:val="003E22CB"/>
    <w:rsid w:val="003E2343"/>
    <w:rsid w:val="003E2392"/>
    <w:rsid w:val="003E239D"/>
    <w:rsid w:val="003E23B0"/>
    <w:rsid w:val="003E24E8"/>
    <w:rsid w:val="003E2640"/>
    <w:rsid w:val="003E27C5"/>
    <w:rsid w:val="003E28C5"/>
    <w:rsid w:val="003E2926"/>
    <w:rsid w:val="003E2A11"/>
    <w:rsid w:val="003E2AC9"/>
    <w:rsid w:val="003E2B40"/>
    <w:rsid w:val="003E2BE7"/>
    <w:rsid w:val="003E2C02"/>
    <w:rsid w:val="003E2CDF"/>
    <w:rsid w:val="003E2EBF"/>
    <w:rsid w:val="003E2F82"/>
    <w:rsid w:val="003E31BB"/>
    <w:rsid w:val="003E3226"/>
    <w:rsid w:val="003E322E"/>
    <w:rsid w:val="003E35A5"/>
    <w:rsid w:val="003E35D2"/>
    <w:rsid w:val="003E3885"/>
    <w:rsid w:val="003E3893"/>
    <w:rsid w:val="003E3BDB"/>
    <w:rsid w:val="003E3D4E"/>
    <w:rsid w:val="003E3D9B"/>
    <w:rsid w:val="003E406B"/>
    <w:rsid w:val="003E4152"/>
    <w:rsid w:val="003E454E"/>
    <w:rsid w:val="003E47C5"/>
    <w:rsid w:val="003E482B"/>
    <w:rsid w:val="003E4A08"/>
    <w:rsid w:val="003E4CA1"/>
    <w:rsid w:val="003E4D9C"/>
    <w:rsid w:val="003E4F96"/>
    <w:rsid w:val="003E502D"/>
    <w:rsid w:val="003E5209"/>
    <w:rsid w:val="003E52E6"/>
    <w:rsid w:val="003E52EA"/>
    <w:rsid w:val="003E5357"/>
    <w:rsid w:val="003E5429"/>
    <w:rsid w:val="003E5774"/>
    <w:rsid w:val="003E578A"/>
    <w:rsid w:val="003E5825"/>
    <w:rsid w:val="003E5899"/>
    <w:rsid w:val="003E58E2"/>
    <w:rsid w:val="003E5C79"/>
    <w:rsid w:val="003E5CCA"/>
    <w:rsid w:val="003E5DD0"/>
    <w:rsid w:val="003E5F3D"/>
    <w:rsid w:val="003E5F8E"/>
    <w:rsid w:val="003E6346"/>
    <w:rsid w:val="003E63B8"/>
    <w:rsid w:val="003E6937"/>
    <w:rsid w:val="003E6D4C"/>
    <w:rsid w:val="003E6E0B"/>
    <w:rsid w:val="003E6F57"/>
    <w:rsid w:val="003E6F88"/>
    <w:rsid w:val="003E71A8"/>
    <w:rsid w:val="003E72A7"/>
    <w:rsid w:val="003E732F"/>
    <w:rsid w:val="003E754F"/>
    <w:rsid w:val="003E7773"/>
    <w:rsid w:val="003E79BA"/>
    <w:rsid w:val="003E7A07"/>
    <w:rsid w:val="003E7B13"/>
    <w:rsid w:val="003E7E29"/>
    <w:rsid w:val="003E7FB3"/>
    <w:rsid w:val="003F011D"/>
    <w:rsid w:val="003F0122"/>
    <w:rsid w:val="003F031E"/>
    <w:rsid w:val="003F03BE"/>
    <w:rsid w:val="003F03EB"/>
    <w:rsid w:val="003F0578"/>
    <w:rsid w:val="003F05DE"/>
    <w:rsid w:val="003F05F5"/>
    <w:rsid w:val="003F07C3"/>
    <w:rsid w:val="003F0A13"/>
    <w:rsid w:val="003F0A43"/>
    <w:rsid w:val="003F0B6B"/>
    <w:rsid w:val="003F0C85"/>
    <w:rsid w:val="003F0E40"/>
    <w:rsid w:val="003F1011"/>
    <w:rsid w:val="003F115E"/>
    <w:rsid w:val="003F12FD"/>
    <w:rsid w:val="003F1356"/>
    <w:rsid w:val="003F1372"/>
    <w:rsid w:val="003F1379"/>
    <w:rsid w:val="003F1487"/>
    <w:rsid w:val="003F14C2"/>
    <w:rsid w:val="003F1729"/>
    <w:rsid w:val="003F18D1"/>
    <w:rsid w:val="003F199D"/>
    <w:rsid w:val="003F19B8"/>
    <w:rsid w:val="003F1B2F"/>
    <w:rsid w:val="003F1B3E"/>
    <w:rsid w:val="003F1BC7"/>
    <w:rsid w:val="003F1CC5"/>
    <w:rsid w:val="003F1E19"/>
    <w:rsid w:val="003F1EE1"/>
    <w:rsid w:val="003F1F25"/>
    <w:rsid w:val="003F2081"/>
    <w:rsid w:val="003F20DC"/>
    <w:rsid w:val="003F21EC"/>
    <w:rsid w:val="003F21F0"/>
    <w:rsid w:val="003F2203"/>
    <w:rsid w:val="003F2210"/>
    <w:rsid w:val="003F229A"/>
    <w:rsid w:val="003F2422"/>
    <w:rsid w:val="003F25AE"/>
    <w:rsid w:val="003F2608"/>
    <w:rsid w:val="003F26EA"/>
    <w:rsid w:val="003F2758"/>
    <w:rsid w:val="003F2759"/>
    <w:rsid w:val="003F2778"/>
    <w:rsid w:val="003F29C6"/>
    <w:rsid w:val="003F2DD2"/>
    <w:rsid w:val="003F305F"/>
    <w:rsid w:val="003F3154"/>
    <w:rsid w:val="003F31D0"/>
    <w:rsid w:val="003F328B"/>
    <w:rsid w:val="003F3617"/>
    <w:rsid w:val="003F3658"/>
    <w:rsid w:val="003F365E"/>
    <w:rsid w:val="003F3810"/>
    <w:rsid w:val="003F391C"/>
    <w:rsid w:val="003F396B"/>
    <w:rsid w:val="003F3B04"/>
    <w:rsid w:val="003F3ED4"/>
    <w:rsid w:val="003F3F20"/>
    <w:rsid w:val="003F4353"/>
    <w:rsid w:val="003F43FD"/>
    <w:rsid w:val="003F44AD"/>
    <w:rsid w:val="003F4580"/>
    <w:rsid w:val="003F462F"/>
    <w:rsid w:val="003F4634"/>
    <w:rsid w:val="003F494F"/>
    <w:rsid w:val="003F4991"/>
    <w:rsid w:val="003F4AB9"/>
    <w:rsid w:val="003F4ACB"/>
    <w:rsid w:val="003F4C56"/>
    <w:rsid w:val="003F4F42"/>
    <w:rsid w:val="003F5039"/>
    <w:rsid w:val="003F50F2"/>
    <w:rsid w:val="003F5115"/>
    <w:rsid w:val="003F531E"/>
    <w:rsid w:val="003F535C"/>
    <w:rsid w:val="003F53C0"/>
    <w:rsid w:val="003F5486"/>
    <w:rsid w:val="003F54E4"/>
    <w:rsid w:val="003F553D"/>
    <w:rsid w:val="003F5560"/>
    <w:rsid w:val="003F5622"/>
    <w:rsid w:val="003F56D7"/>
    <w:rsid w:val="003F57EB"/>
    <w:rsid w:val="003F5875"/>
    <w:rsid w:val="003F5AFC"/>
    <w:rsid w:val="003F5B5F"/>
    <w:rsid w:val="003F5B81"/>
    <w:rsid w:val="003F5E06"/>
    <w:rsid w:val="003F5F79"/>
    <w:rsid w:val="003F6090"/>
    <w:rsid w:val="003F60A3"/>
    <w:rsid w:val="003F6380"/>
    <w:rsid w:val="003F679B"/>
    <w:rsid w:val="003F6945"/>
    <w:rsid w:val="003F695C"/>
    <w:rsid w:val="003F6A2E"/>
    <w:rsid w:val="003F6AD4"/>
    <w:rsid w:val="003F6D55"/>
    <w:rsid w:val="003F6DB9"/>
    <w:rsid w:val="003F6E06"/>
    <w:rsid w:val="003F6EDE"/>
    <w:rsid w:val="003F6EEB"/>
    <w:rsid w:val="003F6F88"/>
    <w:rsid w:val="003F7196"/>
    <w:rsid w:val="003F7279"/>
    <w:rsid w:val="003F72CD"/>
    <w:rsid w:val="003F7475"/>
    <w:rsid w:val="003F75FF"/>
    <w:rsid w:val="003F76E5"/>
    <w:rsid w:val="003F7A6D"/>
    <w:rsid w:val="003F7B00"/>
    <w:rsid w:val="003F7B3A"/>
    <w:rsid w:val="003F7D49"/>
    <w:rsid w:val="003F7D8C"/>
    <w:rsid w:val="00400324"/>
    <w:rsid w:val="0040038C"/>
    <w:rsid w:val="0040039D"/>
    <w:rsid w:val="00400402"/>
    <w:rsid w:val="00400434"/>
    <w:rsid w:val="004006B6"/>
    <w:rsid w:val="004006F9"/>
    <w:rsid w:val="004008AF"/>
    <w:rsid w:val="00400956"/>
    <w:rsid w:val="00400960"/>
    <w:rsid w:val="00400A87"/>
    <w:rsid w:val="00400AD4"/>
    <w:rsid w:val="00400B5F"/>
    <w:rsid w:val="00400B7C"/>
    <w:rsid w:val="00400C23"/>
    <w:rsid w:val="00400D12"/>
    <w:rsid w:val="00400F5F"/>
    <w:rsid w:val="00401030"/>
    <w:rsid w:val="00401167"/>
    <w:rsid w:val="00401208"/>
    <w:rsid w:val="0040192B"/>
    <w:rsid w:val="00401A5A"/>
    <w:rsid w:val="00401A8A"/>
    <w:rsid w:val="00401DBF"/>
    <w:rsid w:val="00401EEA"/>
    <w:rsid w:val="00401F67"/>
    <w:rsid w:val="0040208B"/>
    <w:rsid w:val="004020ED"/>
    <w:rsid w:val="004021E2"/>
    <w:rsid w:val="0040228B"/>
    <w:rsid w:val="004022C7"/>
    <w:rsid w:val="004023A0"/>
    <w:rsid w:val="00402440"/>
    <w:rsid w:val="00402449"/>
    <w:rsid w:val="00402577"/>
    <w:rsid w:val="00402683"/>
    <w:rsid w:val="004026C0"/>
    <w:rsid w:val="0040276F"/>
    <w:rsid w:val="0040285E"/>
    <w:rsid w:val="004029B1"/>
    <w:rsid w:val="00402AD8"/>
    <w:rsid w:val="00402F20"/>
    <w:rsid w:val="00403043"/>
    <w:rsid w:val="0040329A"/>
    <w:rsid w:val="004032FE"/>
    <w:rsid w:val="004033D9"/>
    <w:rsid w:val="0040352C"/>
    <w:rsid w:val="00403881"/>
    <w:rsid w:val="00403988"/>
    <w:rsid w:val="00403BC0"/>
    <w:rsid w:val="004041EC"/>
    <w:rsid w:val="00404215"/>
    <w:rsid w:val="00404309"/>
    <w:rsid w:val="004043F3"/>
    <w:rsid w:val="004048A1"/>
    <w:rsid w:val="00404A94"/>
    <w:rsid w:val="00404C04"/>
    <w:rsid w:val="00404CB9"/>
    <w:rsid w:val="00404D04"/>
    <w:rsid w:val="00404FA5"/>
    <w:rsid w:val="0040544B"/>
    <w:rsid w:val="0040551F"/>
    <w:rsid w:val="00405846"/>
    <w:rsid w:val="00405935"/>
    <w:rsid w:val="00405D5E"/>
    <w:rsid w:val="00405DE6"/>
    <w:rsid w:val="00405F52"/>
    <w:rsid w:val="004062F9"/>
    <w:rsid w:val="00406348"/>
    <w:rsid w:val="00406483"/>
    <w:rsid w:val="0040664D"/>
    <w:rsid w:val="004066B9"/>
    <w:rsid w:val="00406839"/>
    <w:rsid w:val="0040684D"/>
    <w:rsid w:val="004069B6"/>
    <w:rsid w:val="00406A28"/>
    <w:rsid w:val="00406AE7"/>
    <w:rsid w:val="00406E2C"/>
    <w:rsid w:val="00406F17"/>
    <w:rsid w:val="00406FE8"/>
    <w:rsid w:val="004070B5"/>
    <w:rsid w:val="0040730E"/>
    <w:rsid w:val="004073F1"/>
    <w:rsid w:val="004074C7"/>
    <w:rsid w:val="004074FF"/>
    <w:rsid w:val="0040769A"/>
    <w:rsid w:val="0040771F"/>
    <w:rsid w:val="00407F3B"/>
    <w:rsid w:val="004100A6"/>
    <w:rsid w:val="0041010B"/>
    <w:rsid w:val="00410157"/>
    <w:rsid w:val="00410180"/>
    <w:rsid w:val="0041027F"/>
    <w:rsid w:val="004103C3"/>
    <w:rsid w:val="004106F0"/>
    <w:rsid w:val="004107BB"/>
    <w:rsid w:val="00410829"/>
    <w:rsid w:val="004108CD"/>
    <w:rsid w:val="004108F0"/>
    <w:rsid w:val="00410A55"/>
    <w:rsid w:val="00410ADA"/>
    <w:rsid w:val="00410B2D"/>
    <w:rsid w:val="00410C85"/>
    <w:rsid w:val="00410C9A"/>
    <w:rsid w:val="00410CB0"/>
    <w:rsid w:val="00410CFB"/>
    <w:rsid w:val="00410DA7"/>
    <w:rsid w:val="00410F11"/>
    <w:rsid w:val="004110A0"/>
    <w:rsid w:val="004111F7"/>
    <w:rsid w:val="00411203"/>
    <w:rsid w:val="00411224"/>
    <w:rsid w:val="0041124B"/>
    <w:rsid w:val="004114AE"/>
    <w:rsid w:val="00411507"/>
    <w:rsid w:val="00411B1E"/>
    <w:rsid w:val="00411F22"/>
    <w:rsid w:val="0041217D"/>
    <w:rsid w:val="00412277"/>
    <w:rsid w:val="0041236B"/>
    <w:rsid w:val="004124CD"/>
    <w:rsid w:val="00412518"/>
    <w:rsid w:val="00412588"/>
    <w:rsid w:val="004125C6"/>
    <w:rsid w:val="0041265C"/>
    <w:rsid w:val="0041275F"/>
    <w:rsid w:val="0041277F"/>
    <w:rsid w:val="00412923"/>
    <w:rsid w:val="00412AA5"/>
    <w:rsid w:val="00412AE3"/>
    <w:rsid w:val="00412B98"/>
    <w:rsid w:val="00412BEE"/>
    <w:rsid w:val="00412C77"/>
    <w:rsid w:val="00412D79"/>
    <w:rsid w:val="00412DC4"/>
    <w:rsid w:val="00412E5B"/>
    <w:rsid w:val="0041300E"/>
    <w:rsid w:val="00413156"/>
    <w:rsid w:val="004137F5"/>
    <w:rsid w:val="00413CFD"/>
    <w:rsid w:val="00413D6B"/>
    <w:rsid w:val="00413E0C"/>
    <w:rsid w:val="00413EFE"/>
    <w:rsid w:val="00413F0B"/>
    <w:rsid w:val="004141D5"/>
    <w:rsid w:val="004141FA"/>
    <w:rsid w:val="00414275"/>
    <w:rsid w:val="004144E4"/>
    <w:rsid w:val="004146F7"/>
    <w:rsid w:val="00414737"/>
    <w:rsid w:val="00414812"/>
    <w:rsid w:val="004148FC"/>
    <w:rsid w:val="00414D68"/>
    <w:rsid w:val="00414D8D"/>
    <w:rsid w:val="00414DCF"/>
    <w:rsid w:val="00414E39"/>
    <w:rsid w:val="00415106"/>
    <w:rsid w:val="004151D4"/>
    <w:rsid w:val="00415209"/>
    <w:rsid w:val="00415230"/>
    <w:rsid w:val="0041547E"/>
    <w:rsid w:val="0041562D"/>
    <w:rsid w:val="00415656"/>
    <w:rsid w:val="0041578A"/>
    <w:rsid w:val="004159F4"/>
    <w:rsid w:val="00415AC8"/>
    <w:rsid w:val="00415AF0"/>
    <w:rsid w:val="00415C25"/>
    <w:rsid w:val="00415C35"/>
    <w:rsid w:val="00415CAA"/>
    <w:rsid w:val="00415E0F"/>
    <w:rsid w:val="00416097"/>
    <w:rsid w:val="0041611E"/>
    <w:rsid w:val="00416166"/>
    <w:rsid w:val="004161FB"/>
    <w:rsid w:val="00416477"/>
    <w:rsid w:val="00416499"/>
    <w:rsid w:val="004164F7"/>
    <w:rsid w:val="00416544"/>
    <w:rsid w:val="00416623"/>
    <w:rsid w:val="00416719"/>
    <w:rsid w:val="00416800"/>
    <w:rsid w:val="004169F0"/>
    <w:rsid w:val="00416A48"/>
    <w:rsid w:val="00416AA0"/>
    <w:rsid w:val="00416BE5"/>
    <w:rsid w:val="00416D0B"/>
    <w:rsid w:val="00416EA6"/>
    <w:rsid w:val="00416ED5"/>
    <w:rsid w:val="0041721A"/>
    <w:rsid w:val="00417336"/>
    <w:rsid w:val="004173D4"/>
    <w:rsid w:val="004173E5"/>
    <w:rsid w:val="004174BC"/>
    <w:rsid w:val="004176A3"/>
    <w:rsid w:val="004177E7"/>
    <w:rsid w:val="00417975"/>
    <w:rsid w:val="0041797B"/>
    <w:rsid w:val="00417A75"/>
    <w:rsid w:val="00417AFE"/>
    <w:rsid w:val="00417B5D"/>
    <w:rsid w:val="00417C64"/>
    <w:rsid w:val="00417CAD"/>
    <w:rsid w:val="00420008"/>
    <w:rsid w:val="00420034"/>
    <w:rsid w:val="004200AA"/>
    <w:rsid w:val="0042040C"/>
    <w:rsid w:val="00420411"/>
    <w:rsid w:val="004204AA"/>
    <w:rsid w:val="00420562"/>
    <w:rsid w:val="004205D6"/>
    <w:rsid w:val="004205F2"/>
    <w:rsid w:val="004208A2"/>
    <w:rsid w:val="0042093B"/>
    <w:rsid w:val="004209D2"/>
    <w:rsid w:val="00420BF2"/>
    <w:rsid w:val="00420CE1"/>
    <w:rsid w:val="00420ECA"/>
    <w:rsid w:val="00420F00"/>
    <w:rsid w:val="00420FB8"/>
    <w:rsid w:val="0042110F"/>
    <w:rsid w:val="00421147"/>
    <w:rsid w:val="004213F2"/>
    <w:rsid w:val="004214AC"/>
    <w:rsid w:val="0042178B"/>
    <w:rsid w:val="00421939"/>
    <w:rsid w:val="0042198C"/>
    <w:rsid w:val="00421A11"/>
    <w:rsid w:val="00421A89"/>
    <w:rsid w:val="00421C0A"/>
    <w:rsid w:val="00421CDA"/>
    <w:rsid w:val="00421EBC"/>
    <w:rsid w:val="004220D1"/>
    <w:rsid w:val="00422135"/>
    <w:rsid w:val="004221AF"/>
    <w:rsid w:val="004222FC"/>
    <w:rsid w:val="00422307"/>
    <w:rsid w:val="0042232D"/>
    <w:rsid w:val="00422362"/>
    <w:rsid w:val="00422385"/>
    <w:rsid w:val="0042256E"/>
    <w:rsid w:val="004225F9"/>
    <w:rsid w:val="004226CA"/>
    <w:rsid w:val="00422950"/>
    <w:rsid w:val="0042297A"/>
    <w:rsid w:val="00422984"/>
    <w:rsid w:val="00422A22"/>
    <w:rsid w:val="00422C50"/>
    <w:rsid w:val="00422DF5"/>
    <w:rsid w:val="0042304B"/>
    <w:rsid w:val="00423188"/>
    <w:rsid w:val="004231DC"/>
    <w:rsid w:val="0042320D"/>
    <w:rsid w:val="00423280"/>
    <w:rsid w:val="00423316"/>
    <w:rsid w:val="004233AA"/>
    <w:rsid w:val="004235B7"/>
    <w:rsid w:val="00423888"/>
    <w:rsid w:val="004238C5"/>
    <w:rsid w:val="0042390A"/>
    <w:rsid w:val="00423AD3"/>
    <w:rsid w:val="00423BF6"/>
    <w:rsid w:val="00424084"/>
    <w:rsid w:val="00424085"/>
    <w:rsid w:val="004242B1"/>
    <w:rsid w:val="004243E7"/>
    <w:rsid w:val="0042453B"/>
    <w:rsid w:val="00424661"/>
    <w:rsid w:val="00424983"/>
    <w:rsid w:val="004249B9"/>
    <w:rsid w:val="00424AE1"/>
    <w:rsid w:val="00424B19"/>
    <w:rsid w:val="00424C1F"/>
    <w:rsid w:val="00424C8E"/>
    <w:rsid w:val="00424F14"/>
    <w:rsid w:val="004251C8"/>
    <w:rsid w:val="0042552B"/>
    <w:rsid w:val="004255CA"/>
    <w:rsid w:val="00425607"/>
    <w:rsid w:val="00425729"/>
    <w:rsid w:val="0042577D"/>
    <w:rsid w:val="0042579F"/>
    <w:rsid w:val="004259F7"/>
    <w:rsid w:val="00425CA3"/>
    <w:rsid w:val="00425DCE"/>
    <w:rsid w:val="00425DF5"/>
    <w:rsid w:val="00425F13"/>
    <w:rsid w:val="00425FEE"/>
    <w:rsid w:val="00426027"/>
    <w:rsid w:val="00426037"/>
    <w:rsid w:val="00426060"/>
    <w:rsid w:val="0042609F"/>
    <w:rsid w:val="00426445"/>
    <w:rsid w:val="004264CF"/>
    <w:rsid w:val="004264D3"/>
    <w:rsid w:val="004266D0"/>
    <w:rsid w:val="00426735"/>
    <w:rsid w:val="00426997"/>
    <w:rsid w:val="004269DA"/>
    <w:rsid w:val="00426A4C"/>
    <w:rsid w:val="00426CD9"/>
    <w:rsid w:val="00426E9C"/>
    <w:rsid w:val="00426F72"/>
    <w:rsid w:val="00427068"/>
    <w:rsid w:val="00427229"/>
    <w:rsid w:val="0042724E"/>
    <w:rsid w:val="004273AD"/>
    <w:rsid w:val="004273DD"/>
    <w:rsid w:val="0042754F"/>
    <w:rsid w:val="0042756B"/>
    <w:rsid w:val="004275DB"/>
    <w:rsid w:val="004275F0"/>
    <w:rsid w:val="00427724"/>
    <w:rsid w:val="004278AF"/>
    <w:rsid w:val="00427A97"/>
    <w:rsid w:val="00427BBB"/>
    <w:rsid w:val="00427E10"/>
    <w:rsid w:val="00427F76"/>
    <w:rsid w:val="004300BE"/>
    <w:rsid w:val="00430137"/>
    <w:rsid w:val="004302A4"/>
    <w:rsid w:val="004303A9"/>
    <w:rsid w:val="004303EA"/>
    <w:rsid w:val="004304EB"/>
    <w:rsid w:val="004305AE"/>
    <w:rsid w:val="004305EF"/>
    <w:rsid w:val="0043073F"/>
    <w:rsid w:val="00430902"/>
    <w:rsid w:val="004309DD"/>
    <w:rsid w:val="00430A2C"/>
    <w:rsid w:val="00430D66"/>
    <w:rsid w:val="00430DC8"/>
    <w:rsid w:val="00430EC0"/>
    <w:rsid w:val="00430F8E"/>
    <w:rsid w:val="0043120C"/>
    <w:rsid w:val="00431429"/>
    <w:rsid w:val="004315D9"/>
    <w:rsid w:val="00431669"/>
    <w:rsid w:val="004316CF"/>
    <w:rsid w:val="00431789"/>
    <w:rsid w:val="004317B5"/>
    <w:rsid w:val="00431800"/>
    <w:rsid w:val="0043191E"/>
    <w:rsid w:val="004319B4"/>
    <w:rsid w:val="00431A45"/>
    <w:rsid w:val="00431A81"/>
    <w:rsid w:val="00431ABA"/>
    <w:rsid w:val="00431C7A"/>
    <w:rsid w:val="00431D68"/>
    <w:rsid w:val="00431F71"/>
    <w:rsid w:val="00432007"/>
    <w:rsid w:val="00432314"/>
    <w:rsid w:val="004323E7"/>
    <w:rsid w:val="004329E5"/>
    <w:rsid w:val="00432AA5"/>
    <w:rsid w:val="00432C2C"/>
    <w:rsid w:val="00432D67"/>
    <w:rsid w:val="00432E47"/>
    <w:rsid w:val="00432F81"/>
    <w:rsid w:val="00433183"/>
    <w:rsid w:val="004331F4"/>
    <w:rsid w:val="00433541"/>
    <w:rsid w:val="004336ED"/>
    <w:rsid w:val="00433988"/>
    <w:rsid w:val="00433A5D"/>
    <w:rsid w:val="00433BA7"/>
    <w:rsid w:val="00433CD9"/>
    <w:rsid w:val="00433D70"/>
    <w:rsid w:val="00433E61"/>
    <w:rsid w:val="00433F1A"/>
    <w:rsid w:val="00433F8F"/>
    <w:rsid w:val="00434010"/>
    <w:rsid w:val="0043406C"/>
    <w:rsid w:val="00434144"/>
    <w:rsid w:val="0043421D"/>
    <w:rsid w:val="00434707"/>
    <w:rsid w:val="004347FA"/>
    <w:rsid w:val="004349D5"/>
    <w:rsid w:val="00434A18"/>
    <w:rsid w:val="00434B77"/>
    <w:rsid w:val="00434BEF"/>
    <w:rsid w:val="00434D06"/>
    <w:rsid w:val="00434F90"/>
    <w:rsid w:val="00435265"/>
    <w:rsid w:val="004352F7"/>
    <w:rsid w:val="00435537"/>
    <w:rsid w:val="004355EE"/>
    <w:rsid w:val="00435623"/>
    <w:rsid w:val="0043568C"/>
    <w:rsid w:val="004357C9"/>
    <w:rsid w:val="00435938"/>
    <w:rsid w:val="00435AD5"/>
    <w:rsid w:val="00435C2B"/>
    <w:rsid w:val="00435F2E"/>
    <w:rsid w:val="00436240"/>
    <w:rsid w:val="004362C2"/>
    <w:rsid w:val="0043649E"/>
    <w:rsid w:val="004364D2"/>
    <w:rsid w:val="004364D6"/>
    <w:rsid w:val="00436514"/>
    <w:rsid w:val="004365D7"/>
    <w:rsid w:val="00436676"/>
    <w:rsid w:val="00436931"/>
    <w:rsid w:val="00436BD0"/>
    <w:rsid w:val="00436F9D"/>
    <w:rsid w:val="004370B0"/>
    <w:rsid w:val="00437125"/>
    <w:rsid w:val="004371BB"/>
    <w:rsid w:val="00437260"/>
    <w:rsid w:val="004373BF"/>
    <w:rsid w:val="004376AE"/>
    <w:rsid w:val="00437758"/>
    <w:rsid w:val="00437761"/>
    <w:rsid w:val="00437762"/>
    <w:rsid w:val="004378B3"/>
    <w:rsid w:val="00437ACD"/>
    <w:rsid w:val="00437CC3"/>
    <w:rsid w:val="0044020B"/>
    <w:rsid w:val="00440228"/>
    <w:rsid w:val="0044057A"/>
    <w:rsid w:val="0044061E"/>
    <w:rsid w:val="00440623"/>
    <w:rsid w:val="00440741"/>
    <w:rsid w:val="00440775"/>
    <w:rsid w:val="0044080D"/>
    <w:rsid w:val="00440935"/>
    <w:rsid w:val="004409BC"/>
    <w:rsid w:val="00440A82"/>
    <w:rsid w:val="00440B2C"/>
    <w:rsid w:val="00440BF9"/>
    <w:rsid w:val="00440C16"/>
    <w:rsid w:val="00440DC2"/>
    <w:rsid w:val="00440E99"/>
    <w:rsid w:val="00441238"/>
    <w:rsid w:val="004413A0"/>
    <w:rsid w:val="004413D4"/>
    <w:rsid w:val="0044178C"/>
    <w:rsid w:val="0044184B"/>
    <w:rsid w:val="00441885"/>
    <w:rsid w:val="004418A6"/>
    <w:rsid w:val="00441CCB"/>
    <w:rsid w:val="00441D10"/>
    <w:rsid w:val="00441E0D"/>
    <w:rsid w:val="00441F38"/>
    <w:rsid w:val="00441FA3"/>
    <w:rsid w:val="004421C5"/>
    <w:rsid w:val="0044223C"/>
    <w:rsid w:val="0044225F"/>
    <w:rsid w:val="0044226D"/>
    <w:rsid w:val="0044239A"/>
    <w:rsid w:val="004423C7"/>
    <w:rsid w:val="004423CB"/>
    <w:rsid w:val="004423F7"/>
    <w:rsid w:val="004425DF"/>
    <w:rsid w:val="00442712"/>
    <w:rsid w:val="004428A5"/>
    <w:rsid w:val="004428E7"/>
    <w:rsid w:val="00442961"/>
    <w:rsid w:val="00442A30"/>
    <w:rsid w:val="00442A37"/>
    <w:rsid w:val="00442A49"/>
    <w:rsid w:val="00442A76"/>
    <w:rsid w:val="00442A84"/>
    <w:rsid w:val="00442B7B"/>
    <w:rsid w:val="00442BEA"/>
    <w:rsid w:val="00442DB6"/>
    <w:rsid w:val="00443253"/>
    <w:rsid w:val="004436A2"/>
    <w:rsid w:val="004436B4"/>
    <w:rsid w:val="004436D3"/>
    <w:rsid w:val="0044385C"/>
    <w:rsid w:val="0044388E"/>
    <w:rsid w:val="00443CD0"/>
    <w:rsid w:val="00443E35"/>
    <w:rsid w:val="0044414E"/>
    <w:rsid w:val="0044419A"/>
    <w:rsid w:val="0044430B"/>
    <w:rsid w:val="0044432A"/>
    <w:rsid w:val="0044435A"/>
    <w:rsid w:val="00444397"/>
    <w:rsid w:val="00444759"/>
    <w:rsid w:val="00444835"/>
    <w:rsid w:val="00444A27"/>
    <w:rsid w:val="00444CA9"/>
    <w:rsid w:val="00444F3E"/>
    <w:rsid w:val="00444F9E"/>
    <w:rsid w:val="0044510D"/>
    <w:rsid w:val="0044515D"/>
    <w:rsid w:val="00445296"/>
    <w:rsid w:val="004453DC"/>
    <w:rsid w:val="00445450"/>
    <w:rsid w:val="004456D0"/>
    <w:rsid w:val="0044571C"/>
    <w:rsid w:val="00445A53"/>
    <w:rsid w:val="00445CA2"/>
    <w:rsid w:val="00445D38"/>
    <w:rsid w:val="00445ED6"/>
    <w:rsid w:val="00445EEF"/>
    <w:rsid w:val="00445F17"/>
    <w:rsid w:val="00446436"/>
    <w:rsid w:val="004465CE"/>
    <w:rsid w:val="0044688A"/>
    <w:rsid w:val="004468D5"/>
    <w:rsid w:val="0044690B"/>
    <w:rsid w:val="00446BBE"/>
    <w:rsid w:val="00446C5A"/>
    <w:rsid w:val="00446DA2"/>
    <w:rsid w:val="00446EB7"/>
    <w:rsid w:val="00446F3E"/>
    <w:rsid w:val="00446FAE"/>
    <w:rsid w:val="00447002"/>
    <w:rsid w:val="00447003"/>
    <w:rsid w:val="004470BC"/>
    <w:rsid w:val="004471F6"/>
    <w:rsid w:val="004472F4"/>
    <w:rsid w:val="0044743B"/>
    <w:rsid w:val="00447538"/>
    <w:rsid w:val="004475A8"/>
    <w:rsid w:val="0044782C"/>
    <w:rsid w:val="00447940"/>
    <w:rsid w:val="004479A5"/>
    <w:rsid w:val="00447A3B"/>
    <w:rsid w:val="00447B13"/>
    <w:rsid w:val="00447B39"/>
    <w:rsid w:val="00447BA9"/>
    <w:rsid w:val="00447BE9"/>
    <w:rsid w:val="00447C03"/>
    <w:rsid w:val="00447C36"/>
    <w:rsid w:val="00447FBF"/>
    <w:rsid w:val="00450020"/>
    <w:rsid w:val="004500A8"/>
    <w:rsid w:val="00450190"/>
    <w:rsid w:val="00450391"/>
    <w:rsid w:val="004503FA"/>
    <w:rsid w:val="00450548"/>
    <w:rsid w:val="0045054C"/>
    <w:rsid w:val="00450593"/>
    <w:rsid w:val="004505B7"/>
    <w:rsid w:val="004506C1"/>
    <w:rsid w:val="004506FA"/>
    <w:rsid w:val="00450791"/>
    <w:rsid w:val="00450847"/>
    <w:rsid w:val="0045093D"/>
    <w:rsid w:val="00450962"/>
    <w:rsid w:val="00450980"/>
    <w:rsid w:val="00450B0B"/>
    <w:rsid w:val="00450C76"/>
    <w:rsid w:val="00450CDE"/>
    <w:rsid w:val="00450FF3"/>
    <w:rsid w:val="0045106D"/>
    <w:rsid w:val="00451176"/>
    <w:rsid w:val="004511AD"/>
    <w:rsid w:val="0045124C"/>
    <w:rsid w:val="00451449"/>
    <w:rsid w:val="00451586"/>
    <w:rsid w:val="00451599"/>
    <w:rsid w:val="00451645"/>
    <w:rsid w:val="00451B04"/>
    <w:rsid w:val="00451C31"/>
    <w:rsid w:val="00451C8D"/>
    <w:rsid w:val="00451CE3"/>
    <w:rsid w:val="004522C0"/>
    <w:rsid w:val="004522DA"/>
    <w:rsid w:val="0045230F"/>
    <w:rsid w:val="0045250D"/>
    <w:rsid w:val="00452588"/>
    <w:rsid w:val="004525D9"/>
    <w:rsid w:val="0045273E"/>
    <w:rsid w:val="00452871"/>
    <w:rsid w:val="0045288E"/>
    <w:rsid w:val="00452920"/>
    <w:rsid w:val="00452A2E"/>
    <w:rsid w:val="00452A46"/>
    <w:rsid w:val="00452B2B"/>
    <w:rsid w:val="00452B9E"/>
    <w:rsid w:val="00452BF8"/>
    <w:rsid w:val="00452CF1"/>
    <w:rsid w:val="00452E23"/>
    <w:rsid w:val="004533AF"/>
    <w:rsid w:val="004535F0"/>
    <w:rsid w:val="00453770"/>
    <w:rsid w:val="00453BA9"/>
    <w:rsid w:val="00453BEF"/>
    <w:rsid w:val="00453CDD"/>
    <w:rsid w:val="00453E31"/>
    <w:rsid w:val="00453E71"/>
    <w:rsid w:val="00453EBA"/>
    <w:rsid w:val="00453F4F"/>
    <w:rsid w:val="00453F98"/>
    <w:rsid w:val="00454313"/>
    <w:rsid w:val="00454334"/>
    <w:rsid w:val="004543B4"/>
    <w:rsid w:val="004543FD"/>
    <w:rsid w:val="0045454D"/>
    <w:rsid w:val="00454686"/>
    <w:rsid w:val="004548DA"/>
    <w:rsid w:val="00454AA2"/>
    <w:rsid w:val="00454BC5"/>
    <w:rsid w:val="00454D31"/>
    <w:rsid w:val="00454DBD"/>
    <w:rsid w:val="00454E62"/>
    <w:rsid w:val="00454E86"/>
    <w:rsid w:val="00454EEF"/>
    <w:rsid w:val="00454F8E"/>
    <w:rsid w:val="00455063"/>
    <w:rsid w:val="00455071"/>
    <w:rsid w:val="004550B6"/>
    <w:rsid w:val="004550C7"/>
    <w:rsid w:val="004550E8"/>
    <w:rsid w:val="00455121"/>
    <w:rsid w:val="00455273"/>
    <w:rsid w:val="00455436"/>
    <w:rsid w:val="004554A5"/>
    <w:rsid w:val="004554AD"/>
    <w:rsid w:val="00455764"/>
    <w:rsid w:val="004557FA"/>
    <w:rsid w:val="00455829"/>
    <w:rsid w:val="004558F2"/>
    <w:rsid w:val="00455A65"/>
    <w:rsid w:val="00455AC4"/>
    <w:rsid w:val="00455DAE"/>
    <w:rsid w:val="00455E84"/>
    <w:rsid w:val="00455F27"/>
    <w:rsid w:val="00455FA5"/>
    <w:rsid w:val="00455FF7"/>
    <w:rsid w:val="00456026"/>
    <w:rsid w:val="004561F2"/>
    <w:rsid w:val="0045632E"/>
    <w:rsid w:val="00456386"/>
    <w:rsid w:val="004563BF"/>
    <w:rsid w:val="004563C4"/>
    <w:rsid w:val="004563C7"/>
    <w:rsid w:val="0045657E"/>
    <w:rsid w:val="004566A1"/>
    <w:rsid w:val="0045673E"/>
    <w:rsid w:val="0045692D"/>
    <w:rsid w:val="00456C23"/>
    <w:rsid w:val="00456EC3"/>
    <w:rsid w:val="00456EE2"/>
    <w:rsid w:val="00456FA9"/>
    <w:rsid w:val="00457001"/>
    <w:rsid w:val="0045702E"/>
    <w:rsid w:val="004570FB"/>
    <w:rsid w:val="0045721F"/>
    <w:rsid w:val="00457450"/>
    <w:rsid w:val="004575F0"/>
    <w:rsid w:val="004577A8"/>
    <w:rsid w:val="0045796D"/>
    <w:rsid w:val="00457B1D"/>
    <w:rsid w:val="00457D0F"/>
    <w:rsid w:val="00457D61"/>
    <w:rsid w:val="00457EC3"/>
    <w:rsid w:val="00457EFA"/>
    <w:rsid w:val="00457F26"/>
    <w:rsid w:val="00457FD1"/>
    <w:rsid w:val="004600D4"/>
    <w:rsid w:val="00460239"/>
    <w:rsid w:val="0046037F"/>
    <w:rsid w:val="00460493"/>
    <w:rsid w:val="004607C2"/>
    <w:rsid w:val="004608AF"/>
    <w:rsid w:val="00460AA3"/>
    <w:rsid w:val="00460B61"/>
    <w:rsid w:val="00460CEB"/>
    <w:rsid w:val="00460CF5"/>
    <w:rsid w:val="00460EC0"/>
    <w:rsid w:val="00460F73"/>
    <w:rsid w:val="00460FA2"/>
    <w:rsid w:val="0046100E"/>
    <w:rsid w:val="004610E4"/>
    <w:rsid w:val="00461233"/>
    <w:rsid w:val="004614B3"/>
    <w:rsid w:val="00461679"/>
    <w:rsid w:val="004616AC"/>
    <w:rsid w:val="0046195D"/>
    <w:rsid w:val="00461A79"/>
    <w:rsid w:val="00461ACB"/>
    <w:rsid w:val="00461B92"/>
    <w:rsid w:val="00461E09"/>
    <w:rsid w:val="00461E46"/>
    <w:rsid w:val="00462257"/>
    <w:rsid w:val="00462289"/>
    <w:rsid w:val="004626A6"/>
    <w:rsid w:val="00462734"/>
    <w:rsid w:val="00462778"/>
    <w:rsid w:val="00462BCF"/>
    <w:rsid w:val="00462BD6"/>
    <w:rsid w:val="00462C9D"/>
    <w:rsid w:val="00462E5E"/>
    <w:rsid w:val="00462EF3"/>
    <w:rsid w:val="00462F38"/>
    <w:rsid w:val="00462FCE"/>
    <w:rsid w:val="0046300B"/>
    <w:rsid w:val="004633A5"/>
    <w:rsid w:val="00463463"/>
    <w:rsid w:val="004634D7"/>
    <w:rsid w:val="004635AD"/>
    <w:rsid w:val="0046360A"/>
    <w:rsid w:val="00463675"/>
    <w:rsid w:val="00463694"/>
    <w:rsid w:val="00463858"/>
    <w:rsid w:val="004639B5"/>
    <w:rsid w:val="004639E1"/>
    <w:rsid w:val="00463B16"/>
    <w:rsid w:val="00463B9A"/>
    <w:rsid w:val="00463C48"/>
    <w:rsid w:val="00463E48"/>
    <w:rsid w:val="00463EF5"/>
    <w:rsid w:val="00463F20"/>
    <w:rsid w:val="00464021"/>
    <w:rsid w:val="0046422D"/>
    <w:rsid w:val="004642CE"/>
    <w:rsid w:val="004646C0"/>
    <w:rsid w:val="00464771"/>
    <w:rsid w:val="004647FA"/>
    <w:rsid w:val="0046487F"/>
    <w:rsid w:val="0046497F"/>
    <w:rsid w:val="004649FF"/>
    <w:rsid w:val="00464A24"/>
    <w:rsid w:val="00464EF4"/>
    <w:rsid w:val="00464F6C"/>
    <w:rsid w:val="00464FF1"/>
    <w:rsid w:val="00465210"/>
    <w:rsid w:val="00465427"/>
    <w:rsid w:val="004654B0"/>
    <w:rsid w:val="004657B2"/>
    <w:rsid w:val="004659A2"/>
    <w:rsid w:val="00465CFD"/>
    <w:rsid w:val="00465F5D"/>
    <w:rsid w:val="0046608C"/>
    <w:rsid w:val="00466226"/>
    <w:rsid w:val="0046624F"/>
    <w:rsid w:val="00466269"/>
    <w:rsid w:val="004662DD"/>
    <w:rsid w:val="0046662B"/>
    <w:rsid w:val="0046666C"/>
    <w:rsid w:val="004668B8"/>
    <w:rsid w:val="0046694C"/>
    <w:rsid w:val="00466A53"/>
    <w:rsid w:val="00466C27"/>
    <w:rsid w:val="00466CA4"/>
    <w:rsid w:val="00466FDE"/>
    <w:rsid w:val="0046702A"/>
    <w:rsid w:val="0046719E"/>
    <w:rsid w:val="004671BF"/>
    <w:rsid w:val="0046725B"/>
    <w:rsid w:val="004673DE"/>
    <w:rsid w:val="0046746F"/>
    <w:rsid w:val="0046759D"/>
    <w:rsid w:val="00467601"/>
    <w:rsid w:val="0046765D"/>
    <w:rsid w:val="0046779B"/>
    <w:rsid w:val="004678B4"/>
    <w:rsid w:val="004678F6"/>
    <w:rsid w:val="00467964"/>
    <w:rsid w:val="004679BB"/>
    <w:rsid w:val="004679E2"/>
    <w:rsid w:val="00467B4D"/>
    <w:rsid w:val="00467B71"/>
    <w:rsid w:val="00467C2F"/>
    <w:rsid w:val="00467D98"/>
    <w:rsid w:val="0047013C"/>
    <w:rsid w:val="004701CE"/>
    <w:rsid w:val="00470243"/>
    <w:rsid w:val="004702BF"/>
    <w:rsid w:val="004702FC"/>
    <w:rsid w:val="00470365"/>
    <w:rsid w:val="0047044B"/>
    <w:rsid w:val="00470549"/>
    <w:rsid w:val="004705C3"/>
    <w:rsid w:val="004707F1"/>
    <w:rsid w:val="00470859"/>
    <w:rsid w:val="00470BD4"/>
    <w:rsid w:val="00470DAA"/>
    <w:rsid w:val="00470DD9"/>
    <w:rsid w:val="00471093"/>
    <w:rsid w:val="004711A3"/>
    <w:rsid w:val="00471222"/>
    <w:rsid w:val="00471309"/>
    <w:rsid w:val="0047134F"/>
    <w:rsid w:val="00471392"/>
    <w:rsid w:val="004713BE"/>
    <w:rsid w:val="004714D9"/>
    <w:rsid w:val="00471605"/>
    <w:rsid w:val="004717C4"/>
    <w:rsid w:val="004717D0"/>
    <w:rsid w:val="00471810"/>
    <w:rsid w:val="0047189A"/>
    <w:rsid w:val="00471AC6"/>
    <w:rsid w:val="00471C4C"/>
    <w:rsid w:val="00471D0D"/>
    <w:rsid w:val="00471FED"/>
    <w:rsid w:val="004721DD"/>
    <w:rsid w:val="0047221C"/>
    <w:rsid w:val="004722A7"/>
    <w:rsid w:val="004722E1"/>
    <w:rsid w:val="0047241A"/>
    <w:rsid w:val="00472735"/>
    <w:rsid w:val="004728DB"/>
    <w:rsid w:val="00472A3B"/>
    <w:rsid w:val="00472A65"/>
    <w:rsid w:val="00472A9F"/>
    <w:rsid w:val="00472D80"/>
    <w:rsid w:val="00472F69"/>
    <w:rsid w:val="00473085"/>
    <w:rsid w:val="0047315F"/>
    <w:rsid w:val="00473497"/>
    <w:rsid w:val="004734C8"/>
    <w:rsid w:val="00473505"/>
    <w:rsid w:val="00473804"/>
    <w:rsid w:val="00473B6C"/>
    <w:rsid w:val="00473BF0"/>
    <w:rsid w:val="00473C20"/>
    <w:rsid w:val="004740E8"/>
    <w:rsid w:val="00474121"/>
    <w:rsid w:val="00474350"/>
    <w:rsid w:val="0047443F"/>
    <w:rsid w:val="00474479"/>
    <w:rsid w:val="00474748"/>
    <w:rsid w:val="0047491D"/>
    <w:rsid w:val="00474DDF"/>
    <w:rsid w:val="00474E01"/>
    <w:rsid w:val="00474E03"/>
    <w:rsid w:val="00475032"/>
    <w:rsid w:val="00475243"/>
    <w:rsid w:val="00475299"/>
    <w:rsid w:val="004753D6"/>
    <w:rsid w:val="0047548A"/>
    <w:rsid w:val="004754D0"/>
    <w:rsid w:val="004754EA"/>
    <w:rsid w:val="0047568B"/>
    <w:rsid w:val="00475A3D"/>
    <w:rsid w:val="00475C89"/>
    <w:rsid w:val="00475D79"/>
    <w:rsid w:val="00475E0E"/>
    <w:rsid w:val="00475EB1"/>
    <w:rsid w:val="004760B1"/>
    <w:rsid w:val="004762AD"/>
    <w:rsid w:val="004762E9"/>
    <w:rsid w:val="004764B8"/>
    <w:rsid w:val="004765C8"/>
    <w:rsid w:val="00476736"/>
    <w:rsid w:val="00476887"/>
    <w:rsid w:val="00476BE4"/>
    <w:rsid w:val="00476CDA"/>
    <w:rsid w:val="00476E0C"/>
    <w:rsid w:val="00476FCB"/>
    <w:rsid w:val="004770BE"/>
    <w:rsid w:val="004773A8"/>
    <w:rsid w:val="004773BF"/>
    <w:rsid w:val="00477415"/>
    <w:rsid w:val="00477657"/>
    <w:rsid w:val="00477D05"/>
    <w:rsid w:val="00477F03"/>
    <w:rsid w:val="0048016A"/>
    <w:rsid w:val="004801A3"/>
    <w:rsid w:val="004801AA"/>
    <w:rsid w:val="0048047C"/>
    <w:rsid w:val="004805A2"/>
    <w:rsid w:val="0048063A"/>
    <w:rsid w:val="004806BE"/>
    <w:rsid w:val="004806FF"/>
    <w:rsid w:val="00480880"/>
    <w:rsid w:val="0048092B"/>
    <w:rsid w:val="00480963"/>
    <w:rsid w:val="00480B19"/>
    <w:rsid w:val="00480BAE"/>
    <w:rsid w:val="00480C87"/>
    <w:rsid w:val="00480D34"/>
    <w:rsid w:val="00480DAA"/>
    <w:rsid w:val="00480DAE"/>
    <w:rsid w:val="00480FCF"/>
    <w:rsid w:val="00481062"/>
    <w:rsid w:val="00481105"/>
    <w:rsid w:val="00481169"/>
    <w:rsid w:val="00481248"/>
    <w:rsid w:val="0048137E"/>
    <w:rsid w:val="00481496"/>
    <w:rsid w:val="0048187E"/>
    <w:rsid w:val="004818AB"/>
    <w:rsid w:val="0048196D"/>
    <w:rsid w:val="00481B12"/>
    <w:rsid w:val="00481C1A"/>
    <w:rsid w:val="00481CAB"/>
    <w:rsid w:val="00481CC0"/>
    <w:rsid w:val="00481D11"/>
    <w:rsid w:val="00481DAE"/>
    <w:rsid w:val="00481F70"/>
    <w:rsid w:val="00481F9F"/>
    <w:rsid w:val="00482390"/>
    <w:rsid w:val="004826BB"/>
    <w:rsid w:val="00482804"/>
    <w:rsid w:val="004829D4"/>
    <w:rsid w:val="00482B47"/>
    <w:rsid w:val="00482DE4"/>
    <w:rsid w:val="00482ED2"/>
    <w:rsid w:val="00482ED8"/>
    <w:rsid w:val="00482FBB"/>
    <w:rsid w:val="00483081"/>
    <w:rsid w:val="00483139"/>
    <w:rsid w:val="0048319A"/>
    <w:rsid w:val="0048323E"/>
    <w:rsid w:val="00483597"/>
    <w:rsid w:val="004835EA"/>
    <w:rsid w:val="00483640"/>
    <w:rsid w:val="00483651"/>
    <w:rsid w:val="004836FE"/>
    <w:rsid w:val="00483AB5"/>
    <w:rsid w:val="00483ACA"/>
    <w:rsid w:val="00483AF5"/>
    <w:rsid w:val="00483BF7"/>
    <w:rsid w:val="0048400E"/>
    <w:rsid w:val="004840EA"/>
    <w:rsid w:val="00484169"/>
    <w:rsid w:val="004842D4"/>
    <w:rsid w:val="0048435D"/>
    <w:rsid w:val="00484432"/>
    <w:rsid w:val="00484488"/>
    <w:rsid w:val="004844BE"/>
    <w:rsid w:val="00484930"/>
    <w:rsid w:val="00484B27"/>
    <w:rsid w:val="00484DC5"/>
    <w:rsid w:val="00484DFB"/>
    <w:rsid w:val="00484E48"/>
    <w:rsid w:val="00484E84"/>
    <w:rsid w:val="00484F6C"/>
    <w:rsid w:val="00484FC5"/>
    <w:rsid w:val="0048503A"/>
    <w:rsid w:val="00485417"/>
    <w:rsid w:val="004854FB"/>
    <w:rsid w:val="00485675"/>
    <w:rsid w:val="00485720"/>
    <w:rsid w:val="0048573D"/>
    <w:rsid w:val="00485A3D"/>
    <w:rsid w:val="00485F2C"/>
    <w:rsid w:val="00485F35"/>
    <w:rsid w:val="00485F38"/>
    <w:rsid w:val="00485F8F"/>
    <w:rsid w:val="0048602F"/>
    <w:rsid w:val="004864D3"/>
    <w:rsid w:val="0048664B"/>
    <w:rsid w:val="00486686"/>
    <w:rsid w:val="00486690"/>
    <w:rsid w:val="004866C6"/>
    <w:rsid w:val="004867EE"/>
    <w:rsid w:val="0048684A"/>
    <w:rsid w:val="0048695E"/>
    <w:rsid w:val="004869BD"/>
    <w:rsid w:val="00486B68"/>
    <w:rsid w:val="00486C4A"/>
    <w:rsid w:val="00486CA6"/>
    <w:rsid w:val="00486DB7"/>
    <w:rsid w:val="00486E1F"/>
    <w:rsid w:val="00486EF9"/>
    <w:rsid w:val="00487038"/>
    <w:rsid w:val="004872C5"/>
    <w:rsid w:val="00487447"/>
    <w:rsid w:val="00487450"/>
    <w:rsid w:val="004874D1"/>
    <w:rsid w:val="00487548"/>
    <w:rsid w:val="004876AC"/>
    <w:rsid w:val="00487838"/>
    <w:rsid w:val="00487931"/>
    <w:rsid w:val="00487A6E"/>
    <w:rsid w:val="00487BEC"/>
    <w:rsid w:val="00487C10"/>
    <w:rsid w:val="00487C85"/>
    <w:rsid w:val="00487CF6"/>
    <w:rsid w:val="00487D95"/>
    <w:rsid w:val="0049011A"/>
    <w:rsid w:val="00490155"/>
    <w:rsid w:val="004903A4"/>
    <w:rsid w:val="004903E4"/>
    <w:rsid w:val="004903FB"/>
    <w:rsid w:val="00490505"/>
    <w:rsid w:val="004907AF"/>
    <w:rsid w:val="00490816"/>
    <w:rsid w:val="004908AE"/>
    <w:rsid w:val="004908C3"/>
    <w:rsid w:val="00490B74"/>
    <w:rsid w:val="00490C33"/>
    <w:rsid w:val="00490CC0"/>
    <w:rsid w:val="00490CC7"/>
    <w:rsid w:val="00490D1D"/>
    <w:rsid w:val="00490DC4"/>
    <w:rsid w:val="00490E05"/>
    <w:rsid w:val="00490ECC"/>
    <w:rsid w:val="00490F48"/>
    <w:rsid w:val="00490F63"/>
    <w:rsid w:val="00490F88"/>
    <w:rsid w:val="004912AA"/>
    <w:rsid w:val="00491449"/>
    <w:rsid w:val="0049146E"/>
    <w:rsid w:val="0049160D"/>
    <w:rsid w:val="004919A9"/>
    <w:rsid w:val="00491AE5"/>
    <w:rsid w:val="00491AEC"/>
    <w:rsid w:val="00491F18"/>
    <w:rsid w:val="00492044"/>
    <w:rsid w:val="00492076"/>
    <w:rsid w:val="004922F0"/>
    <w:rsid w:val="00492357"/>
    <w:rsid w:val="004924EC"/>
    <w:rsid w:val="00492511"/>
    <w:rsid w:val="00492674"/>
    <w:rsid w:val="00492B84"/>
    <w:rsid w:val="00492F9D"/>
    <w:rsid w:val="004931B5"/>
    <w:rsid w:val="004933A3"/>
    <w:rsid w:val="004933AE"/>
    <w:rsid w:val="004934E9"/>
    <w:rsid w:val="00493859"/>
    <w:rsid w:val="004939F8"/>
    <w:rsid w:val="00493B8B"/>
    <w:rsid w:val="00493BDF"/>
    <w:rsid w:val="00493C19"/>
    <w:rsid w:val="00493CF9"/>
    <w:rsid w:val="00493D07"/>
    <w:rsid w:val="00493D5D"/>
    <w:rsid w:val="00493E0C"/>
    <w:rsid w:val="00493E11"/>
    <w:rsid w:val="0049401A"/>
    <w:rsid w:val="004941E6"/>
    <w:rsid w:val="0049436D"/>
    <w:rsid w:val="0049437B"/>
    <w:rsid w:val="00494601"/>
    <w:rsid w:val="004946C0"/>
    <w:rsid w:val="004947F8"/>
    <w:rsid w:val="004948AA"/>
    <w:rsid w:val="00494913"/>
    <w:rsid w:val="0049493C"/>
    <w:rsid w:val="00494A30"/>
    <w:rsid w:val="00494A58"/>
    <w:rsid w:val="00494A75"/>
    <w:rsid w:val="00494CC7"/>
    <w:rsid w:val="00494E5A"/>
    <w:rsid w:val="00494F3A"/>
    <w:rsid w:val="00494F64"/>
    <w:rsid w:val="00495054"/>
    <w:rsid w:val="00495226"/>
    <w:rsid w:val="004952B8"/>
    <w:rsid w:val="004953CE"/>
    <w:rsid w:val="00495428"/>
    <w:rsid w:val="00495444"/>
    <w:rsid w:val="00495679"/>
    <w:rsid w:val="004959C2"/>
    <w:rsid w:val="00495BD4"/>
    <w:rsid w:val="00495DDA"/>
    <w:rsid w:val="00495E7A"/>
    <w:rsid w:val="00495F01"/>
    <w:rsid w:val="004960B7"/>
    <w:rsid w:val="004961C0"/>
    <w:rsid w:val="0049624B"/>
    <w:rsid w:val="0049628A"/>
    <w:rsid w:val="004962A3"/>
    <w:rsid w:val="00496BE3"/>
    <w:rsid w:val="00496C6B"/>
    <w:rsid w:val="00496DAD"/>
    <w:rsid w:val="004970CA"/>
    <w:rsid w:val="0049718E"/>
    <w:rsid w:val="00497472"/>
    <w:rsid w:val="0049778D"/>
    <w:rsid w:val="0049796A"/>
    <w:rsid w:val="0049796C"/>
    <w:rsid w:val="004979E3"/>
    <w:rsid w:val="00497A14"/>
    <w:rsid w:val="00497A40"/>
    <w:rsid w:val="00497B3B"/>
    <w:rsid w:val="00497B81"/>
    <w:rsid w:val="00497B9F"/>
    <w:rsid w:val="00497DCA"/>
    <w:rsid w:val="00497EDE"/>
    <w:rsid w:val="004A00EE"/>
    <w:rsid w:val="004A015A"/>
    <w:rsid w:val="004A031F"/>
    <w:rsid w:val="004A0360"/>
    <w:rsid w:val="004A03C9"/>
    <w:rsid w:val="004A0475"/>
    <w:rsid w:val="004A04CC"/>
    <w:rsid w:val="004A0813"/>
    <w:rsid w:val="004A09FA"/>
    <w:rsid w:val="004A116E"/>
    <w:rsid w:val="004A11F9"/>
    <w:rsid w:val="004A157F"/>
    <w:rsid w:val="004A1633"/>
    <w:rsid w:val="004A1644"/>
    <w:rsid w:val="004A165D"/>
    <w:rsid w:val="004A1B10"/>
    <w:rsid w:val="004A1B61"/>
    <w:rsid w:val="004A1E28"/>
    <w:rsid w:val="004A1F0E"/>
    <w:rsid w:val="004A1F2E"/>
    <w:rsid w:val="004A2002"/>
    <w:rsid w:val="004A2084"/>
    <w:rsid w:val="004A208B"/>
    <w:rsid w:val="004A20B5"/>
    <w:rsid w:val="004A2722"/>
    <w:rsid w:val="004A27E2"/>
    <w:rsid w:val="004A27F1"/>
    <w:rsid w:val="004A298D"/>
    <w:rsid w:val="004A29AC"/>
    <w:rsid w:val="004A29B9"/>
    <w:rsid w:val="004A2B25"/>
    <w:rsid w:val="004A2D51"/>
    <w:rsid w:val="004A2DFC"/>
    <w:rsid w:val="004A2E86"/>
    <w:rsid w:val="004A2EAB"/>
    <w:rsid w:val="004A2EC1"/>
    <w:rsid w:val="004A2F6A"/>
    <w:rsid w:val="004A30D0"/>
    <w:rsid w:val="004A326D"/>
    <w:rsid w:val="004A32E1"/>
    <w:rsid w:val="004A32FB"/>
    <w:rsid w:val="004A331C"/>
    <w:rsid w:val="004A33BE"/>
    <w:rsid w:val="004A360B"/>
    <w:rsid w:val="004A3792"/>
    <w:rsid w:val="004A387A"/>
    <w:rsid w:val="004A395F"/>
    <w:rsid w:val="004A3995"/>
    <w:rsid w:val="004A3AF1"/>
    <w:rsid w:val="004A3B1B"/>
    <w:rsid w:val="004A3C5D"/>
    <w:rsid w:val="004A3C7E"/>
    <w:rsid w:val="004A3D7A"/>
    <w:rsid w:val="004A4003"/>
    <w:rsid w:val="004A4111"/>
    <w:rsid w:val="004A4335"/>
    <w:rsid w:val="004A439B"/>
    <w:rsid w:val="004A4430"/>
    <w:rsid w:val="004A44FD"/>
    <w:rsid w:val="004A456A"/>
    <w:rsid w:val="004A4851"/>
    <w:rsid w:val="004A4872"/>
    <w:rsid w:val="004A4910"/>
    <w:rsid w:val="004A493C"/>
    <w:rsid w:val="004A4B54"/>
    <w:rsid w:val="004A4BEF"/>
    <w:rsid w:val="004A4DE7"/>
    <w:rsid w:val="004A4F49"/>
    <w:rsid w:val="004A4F4C"/>
    <w:rsid w:val="004A4F9E"/>
    <w:rsid w:val="004A4FDF"/>
    <w:rsid w:val="004A52D6"/>
    <w:rsid w:val="004A5489"/>
    <w:rsid w:val="004A555B"/>
    <w:rsid w:val="004A5928"/>
    <w:rsid w:val="004A5B18"/>
    <w:rsid w:val="004A5DCC"/>
    <w:rsid w:val="004A5E73"/>
    <w:rsid w:val="004A60BE"/>
    <w:rsid w:val="004A6144"/>
    <w:rsid w:val="004A614D"/>
    <w:rsid w:val="004A62B3"/>
    <w:rsid w:val="004A62D1"/>
    <w:rsid w:val="004A635D"/>
    <w:rsid w:val="004A64D7"/>
    <w:rsid w:val="004A6781"/>
    <w:rsid w:val="004A67CE"/>
    <w:rsid w:val="004A68C5"/>
    <w:rsid w:val="004A68F4"/>
    <w:rsid w:val="004A6E63"/>
    <w:rsid w:val="004A712C"/>
    <w:rsid w:val="004A7214"/>
    <w:rsid w:val="004A7733"/>
    <w:rsid w:val="004A78F1"/>
    <w:rsid w:val="004A793D"/>
    <w:rsid w:val="004A7A52"/>
    <w:rsid w:val="004A7C0C"/>
    <w:rsid w:val="004A7C2D"/>
    <w:rsid w:val="004A7D4F"/>
    <w:rsid w:val="004A7D9D"/>
    <w:rsid w:val="004A7E51"/>
    <w:rsid w:val="004A7E59"/>
    <w:rsid w:val="004A7EA5"/>
    <w:rsid w:val="004B00AE"/>
    <w:rsid w:val="004B01D5"/>
    <w:rsid w:val="004B01E5"/>
    <w:rsid w:val="004B03BB"/>
    <w:rsid w:val="004B0497"/>
    <w:rsid w:val="004B0569"/>
    <w:rsid w:val="004B05E5"/>
    <w:rsid w:val="004B0978"/>
    <w:rsid w:val="004B09CE"/>
    <w:rsid w:val="004B09DC"/>
    <w:rsid w:val="004B09DE"/>
    <w:rsid w:val="004B0B46"/>
    <w:rsid w:val="004B0BB0"/>
    <w:rsid w:val="004B0BD0"/>
    <w:rsid w:val="004B0BF5"/>
    <w:rsid w:val="004B0DB0"/>
    <w:rsid w:val="004B0E21"/>
    <w:rsid w:val="004B0E9E"/>
    <w:rsid w:val="004B0F52"/>
    <w:rsid w:val="004B0FE5"/>
    <w:rsid w:val="004B1020"/>
    <w:rsid w:val="004B1022"/>
    <w:rsid w:val="004B1103"/>
    <w:rsid w:val="004B1159"/>
    <w:rsid w:val="004B14EF"/>
    <w:rsid w:val="004B151A"/>
    <w:rsid w:val="004B15D0"/>
    <w:rsid w:val="004B164B"/>
    <w:rsid w:val="004B16BE"/>
    <w:rsid w:val="004B170A"/>
    <w:rsid w:val="004B1783"/>
    <w:rsid w:val="004B17D2"/>
    <w:rsid w:val="004B19FE"/>
    <w:rsid w:val="004B1DAB"/>
    <w:rsid w:val="004B26D1"/>
    <w:rsid w:val="004B28A9"/>
    <w:rsid w:val="004B2A4D"/>
    <w:rsid w:val="004B2A91"/>
    <w:rsid w:val="004B2B06"/>
    <w:rsid w:val="004B2B0E"/>
    <w:rsid w:val="004B2C97"/>
    <w:rsid w:val="004B2DE6"/>
    <w:rsid w:val="004B2F0B"/>
    <w:rsid w:val="004B2F45"/>
    <w:rsid w:val="004B2F73"/>
    <w:rsid w:val="004B2FC1"/>
    <w:rsid w:val="004B3057"/>
    <w:rsid w:val="004B306E"/>
    <w:rsid w:val="004B30C6"/>
    <w:rsid w:val="004B313B"/>
    <w:rsid w:val="004B33C2"/>
    <w:rsid w:val="004B3402"/>
    <w:rsid w:val="004B343E"/>
    <w:rsid w:val="004B371B"/>
    <w:rsid w:val="004B371C"/>
    <w:rsid w:val="004B3848"/>
    <w:rsid w:val="004B3957"/>
    <w:rsid w:val="004B3A38"/>
    <w:rsid w:val="004B3A85"/>
    <w:rsid w:val="004B3B38"/>
    <w:rsid w:val="004B3EC4"/>
    <w:rsid w:val="004B3F2B"/>
    <w:rsid w:val="004B3F30"/>
    <w:rsid w:val="004B3F6F"/>
    <w:rsid w:val="004B40EF"/>
    <w:rsid w:val="004B4214"/>
    <w:rsid w:val="004B429A"/>
    <w:rsid w:val="004B42E4"/>
    <w:rsid w:val="004B4488"/>
    <w:rsid w:val="004B4614"/>
    <w:rsid w:val="004B49E5"/>
    <w:rsid w:val="004B4C67"/>
    <w:rsid w:val="004B4DD1"/>
    <w:rsid w:val="004B4DEA"/>
    <w:rsid w:val="004B50A7"/>
    <w:rsid w:val="004B51B8"/>
    <w:rsid w:val="004B52B8"/>
    <w:rsid w:val="004B53A4"/>
    <w:rsid w:val="004B5570"/>
    <w:rsid w:val="004B5662"/>
    <w:rsid w:val="004B585D"/>
    <w:rsid w:val="004B5983"/>
    <w:rsid w:val="004B5BB2"/>
    <w:rsid w:val="004B5C24"/>
    <w:rsid w:val="004B5C5C"/>
    <w:rsid w:val="004B5E95"/>
    <w:rsid w:val="004B6143"/>
    <w:rsid w:val="004B6455"/>
    <w:rsid w:val="004B64F0"/>
    <w:rsid w:val="004B671F"/>
    <w:rsid w:val="004B689D"/>
    <w:rsid w:val="004B68C6"/>
    <w:rsid w:val="004B68F3"/>
    <w:rsid w:val="004B6916"/>
    <w:rsid w:val="004B6B15"/>
    <w:rsid w:val="004B6BB0"/>
    <w:rsid w:val="004B6C18"/>
    <w:rsid w:val="004B6C69"/>
    <w:rsid w:val="004B6F93"/>
    <w:rsid w:val="004B7165"/>
    <w:rsid w:val="004B76E4"/>
    <w:rsid w:val="004B7796"/>
    <w:rsid w:val="004B7A66"/>
    <w:rsid w:val="004B7D04"/>
    <w:rsid w:val="004B7EFC"/>
    <w:rsid w:val="004B7FBB"/>
    <w:rsid w:val="004C0019"/>
    <w:rsid w:val="004C0109"/>
    <w:rsid w:val="004C017A"/>
    <w:rsid w:val="004C02A4"/>
    <w:rsid w:val="004C0430"/>
    <w:rsid w:val="004C0510"/>
    <w:rsid w:val="004C0607"/>
    <w:rsid w:val="004C078E"/>
    <w:rsid w:val="004C086F"/>
    <w:rsid w:val="004C0A64"/>
    <w:rsid w:val="004C0A72"/>
    <w:rsid w:val="004C0B0D"/>
    <w:rsid w:val="004C0CBE"/>
    <w:rsid w:val="004C0DAA"/>
    <w:rsid w:val="004C0E80"/>
    <w:rsid w:val="004C0E97"/>
    <w:rsid w:val="004C14DB"/>
    <w:rsid w:val="004C16C0"/>
    <w:rsid w:val="004C1714"/>
    <w:rsid w:val="004C171B"/>
    <w:rsid w:val="004C185B"/>
    <w:rsid w:val="004C18AA"/>
    <w:rsid w:val="004C18F4"/>
    <w:rsid w:val="004C1B9B"/>
    <w:rsid w:val="004C1BCC"/>
    <w:rsid w:val="004C1FED"/>
    <w:rsid w:val="004C215E"/>
    <w:rsid w:val="004C21AF"/>
    <w:rsid w:val="004C2575"/>
    <w:rsid w:val="004C27A6"/>
    <w:rsid w:val="004C2804"/>
    <w:rsid w:val="004C28CD"/>
    <w:rsid w:val="004C2AA8"/>
    <w:rsid w:val="004C2B47"/>
    <w:rsid w:val="004C2C8A"/>
    <w:rsid w:val="004C2C8E"/>
    <w:rsid w:val="004C2E46"/>
    <w:rsid w:val="004C2F52"/>
    <w:rsid w:val="004C302A"/>
    <w:rsid w:val="004C322C"/>
    <w:rsid w:val="004C3317"/>
    <w:rsid w:val="004C3373"/>
    <w:rsid w:val="004C3498"/>
    <w:rsid w:val="004C34D7"/>
    <w:rsid w:val="004C358E"/>
    <w:rsid w:val="004C3759"/>
    <w:rsid w:val="004C378D"/>
    <w:rsid w:val="004C38D1"/>
    <w:rsid w:val="004C391D"/>
    <w:rsid w:val="004C39A2"/>
    <w:rsid w:val="004C3A37"/>
    <w:rsid w:val="004C3B40"/>
    <w:rsid w:val="004C3BA5"/>
    <w:rsid w:val="004C3C5B"/>
    <w:rsid w:val="004C3D51"/>
    <w:rsid w:val="004C439F"/>
    <w:rsid w:val="004C451A"/>
    <w:rsid w:val="004C48C8"/>
    <w:rsid w:val="004C4ED7"/>
    <w:rsid w:val="004C4FA5"/>
    <w:rsid w:val="004C501C"/>
    <w:rsid w:val="004C51D5"/>
    <w:rsid w:val="004C51DF"/>
    <w:rsid w:val="004C52C6"/>
    <w:rsid w:val="004C5622"/>
    <w:rsid w:val="004C591C"/>
    <w:rsid w:val="004C598D"/>
    <w:rsid w:val="004C5C3E"/>
    <w:rsid w:val="004C5D9C"/>
    <w:rsid w:val="004C5E07"/>
    <w:rsid w:val="004C5E4E"/>
    <w:rsid w:val="004C5F20"/>
    <w:rsid w:val="004C6080"/>
    <w:rsid w:val="004C614F"/>
    <w:rsid w:val="004C6172"/>
    <w:rsid w:val="004C619C"/>
    <w:rsid w:val="004C626F"/>
    <w:rsid w:val="004C63F3"/>
    <w:rsid w:val="004C66D2"/>
    <w:rsid w:val="004C6725"/>
    <w:rsid w:val="004C679C"/>
    <w:rsid w:val="004C67D0"/>
    <w:rsid w:val="004C6941"/>
    <w:rsid w:val="004C6A7D"/>
    <w:rsid w:val="004C6D2A"/>
    <w:rsid w:val="004C6E72"/>
    <w:rsid w:val="004C7005"/>
    <w:rsid w:val="004C704F"/>
    <w:rsid w:val="004C71D0"/>
    <w:rsid w:val="004C71D7"/>
    <w:rsid w:val="004C71D9"/>
    <w:rsid w:val="004C7216"/>
    <w:rsid w:val="004C721F"/>
    <w:rsid w:val="004C731E"/>
    <w:rsid w:val="004C748B"/>
    <w:rsid w:val="004C74AE"/>
    <w:rsid w:val="004C7549"/>
    <w:rsid w:val="004C7651"/>
    <w:rsid w:val="004C7721"/>
    <w:rsid w:val="004C77D5"/>
    <w:rsid w:val="004C7807"/>
    <w:rsid w:val="004C78F7"/>
    <w:rsid w:val="004C793D"/>
    <w:rsid w:val="004C794D"/>
    <w:rsid w:val="004C7A1A"/>
    <w:rsid w:val="004C7A34"/>
    <w:rsid w:val="004C7ACB"/>
    <w:rsid w:val="004C7B71"/>
    <w:rsid w:val="004C7C14"/>
    <w:rsid w:val="004C7CDC"/>
    <w:rsid w:val="004C7E1D"/>
    <w:rsid w:val="004C7E6B"/>
    <w:rsid w:val="004C7EAC"/>
    <w:rsid w:val="004C7F2C"/>
    <w:rsid w:val="004C7F39"/>
    <w:rsid w:val="004C7FD2"/>
    <w:rsid w:val="004D008D"/>
    <w:rsid w:val="004D00C6"/>
    <w:rsid w:val="004D0145"/>
    <w:rsid w:val="004D0150"/>
    <w:rsid w:val="004D015A"/>
    <w:rsid w:val="004D018A"/>
    <w:rsid w:val="004D01AF"/>
    <w:rsid w:val="004D02F8"/>
    <w:rsid w:val="004D04E0"/>
    <w:rsid w:val="004D056C"/>
    <w:rsid w:val="004D0634"/>
    <w:rsid w:val="004D07C2"/>
    <w:rsid w:val="004D07CE"/>
    <w:rsid w:val="004D0923"/>
    <w:rsid w:val="004D0964"/>
    <w:rsid w:val="004D09DE"/>
    <w:rsid w:val="004D0A48"/>
    <w:rsid w:val="004D0B06"/>
    <w:rsid w:val="004D0B23"/>
    <w:rsid w:val="004D0DEC"/>
    <w:rsid w:val="004D0F32"/>
    <w:rsid w:val="004D1185"/>
    <w:rsid w:val="004D1320"/>
    <w:rsid w:val="004D144D"/>
    <w:rsid w:val="004D1666"/>
    <w:rsid w:val="004D1968"/>
    <w:rsid w:val="004D1AB1"/>
    <w:rsid w:val="004D1BCC"/>
    <w:rsid w:val="004D1C98"/>
    <w:rsid w:val="004D1CCC"/>
    <w:rsid w:val="004D1CE9"/>
    <w:rsid w:val="004D1E21"/>
    <w:rsid w:val="004D1E2F"/>
    <w:rsid w:val="004D21A0"/>
    <w:rsid w:val="004D21D7"/>
    <w:rsid w:val="004D22D0"/>
    <w:rsid w:val="004D2370"/>
    <w:rsid w:val="004D23F3"/>
    <w:rsid w:val="004D2422"/>
    <w:rsid w:val="004D2442"/>
    <w:rsid w:val="004D2569"/>
    <w:rsid w:val="004D256F"/>
    <w:rsid w:val="004D279B"/>
    <w:rsid w:val="004D2854"/>
    <w:rsid w:val="004D29E3"/>
    <w:rsid w:val="004D2A2D"/>
    <w:rsid w:val="004D2D0D"/>
    <w:rsid w:val="004D2D16"/>
    <w:rsid w:val="004D2D74"/>
    <w:rsid w:val="004D2FEE"/>
    <w:rsid w:val="004D3032"/>
    <w:rsid w:val="004D30D3"/>
    <w:rsid w:val="004D3105"/>
    <w:rsid w:val="004D31ED"/>
    <w:rsid w:val="004D333E"/>
    <w:rsid w:val="004D3438"/>
    <w:rsid w:val="004D34FA"/>
    <w:rsid w:val="004D3697"/>
    <w:rsid w:val="004D375D"/>
    <w:rsid w:val="004D3862"/>
    <w:rsid w:val="004D3897"/>
    <w:rsid w:val="004D38F1"/>
    <w:rsid w:val="004D3BDE"/>
    <w:rsid w:val="004D3C62"/>
    <w:rsid w:val="004D3F0D"/>
    <w:rsid w:val="004D3F52"/>
    <w:rsid w:val="004D4104"/>
    <w:rsid w:val="004D4423"/>
    <w:rsid w:val="004D4425"/>
    <w:rsid w:val="004D445B"/>
    <w:rsid w:val="004D460F"/>
    <w:rsid w:val="004D4644"/>
    <w:rsid w:val="004D4684"/>
    <w:rsid w:val="004D4695"/>
    <w:rsid w:val="004D47AB"/>
    <w:rsid w:val="004D4814"/>
    <w:rsid w:val="004D4A22"/>
    <w:rsid w:val="004D4A79"/>
    <w:rsid w:val="004D4AC7"/>
    <w:rsid w:val="004D4C7A"/>
    <w:rsid w:val="004D4D45"/>
    <w:rsid w:val="004D4E25"/>
    <w:rsid w:val="004D4E94"/>
    <w:rsid w:val="004D4FFE"/>
    <w:rsid w:val="004D505E"/>
    <w:rsid w:val="004D50F1"/>
    <w:rsid w:val="004D52F1"/>
    <w:rsid w:val="004D53C3"/>
    <w:rsid w:val="004D5403"/>
    <w:rsid w:val="004D55FF"/>
    <w:rsid w:val="004D56A0"/>
    <w:rsid w:val="004D56F2"/>
    <w:rsid w:val="004D585A"/>
    <w:rsid w:val="004D58FA"/>
    <w:rsid w:val="004D5B01"/>
    <w:rsid w:val="004D5B07"/>
    <w:rsid w:val="004D5BB4"/>
    <w:rsid w:val="004D5C3B"/>
    <w:rsid w:val="004D5C60"/>
    <w:rsid w:val="004D5D6E"/>
    <w:rsid w:val="004D5F7E"/>
    <w:rsid w:val="004D5FC0"/>
    <w:rsid w:val="004D6051"/>
    <w:rsid w:val="004D6185"/>
    <w:rsid w:val="004D62CD"/>
    <w:rsid w:val="004D62F8"/>
    <w:rsid w:val="004D6640"/>
    <w:rsid w:val="004D6691"/>
    <w:rsid w:val="004D6755"/>
    <w:rsid w:val="004D67B1"/>
    <w:rsid w:val="004D68E3"/>
    <w:rsid w:val="004D6935"/>
    <w:rsid w:val="004D6B18"/>
    <w:rsid w:val="004D6B58"/>
    <w:rsid w:val="004D6C15"/>
    <w:rsid w:val="004D6F3F"/>
    <w:rsid w:val="004D6FCD"/>
    <w:rsid w:val="004D70E7"/>
    <w:rsid w:val="004D71B1"/>
    <w:rsid w:val="004D722F"/>
    <w:rsid w:val="004D72B6"/>
    <w:rsid w:val="004D7317"/>
    <w:rsid w:val="004D736B"/>
    <w:rsid w:val="004D7392"/>
    <w:rsid w:val="004D73A5"/>
    <w:rsid w:val="004D74B7"/>
    <w:rsid w:val="004D76AC"/>
    <w:rsid w:val="004D77D8"/>
    <w:rsid w:val="004D784A"/>
    <w:rsid w:val="004D7971"/>
    <w:rsid w:val="004D7B25"/>
    <w:rsid w:val="004D7E77"/>
    <w:rsid w:val="004D7FF3"/>
    <w:rsid w:val="004E0247"/>
    <w:rsid w:val="004E02C6"/>
    <w:rsid w:val="004E03D6"/>
    <w:rsid w:val="004E04CB"/>
    <w:rsid w:val="004E05C9"/>
    <w:rsid w:val="004E0769"/>
    <w:rsid w:val="004E07BF"/>
    <w:rsid w:val="004E07D1"/>
    <w:rsid w:val="004E0C3D"/>
    <w:rsid w:val="004E0E05"/>
    <w:rsid w:val="004E0FA8"/>
    <w:rsid w:val="004E122A"/>
    <w:rsid w:val="004E168E"/>
    <w:rsid w:val="004E16C1"/>
    <w:rsid w:val="004E1A52"/>
    <w:rsid w:val="004E1A53"/>
    <w:rsid w:val="004E1DFA"/>
    <w:rsid w:val="004E20E0"/>
    <w:rsid w:val="004E20F9"/>
    <w:rsid w:val="004E2297"/>
    <w:rsid w:val="004E22AA"/>
    <w:rsid w:val="004E22D8"/>
    <w:rsid w:val="004E22E9"/>
    <w:rsid w:val="004E252D"/>
    <w:rsid w:val="004E2533"/>
    <w:rsid w:val="004E258D"/>
    <w:rsid w:val="004E2591"/>
    <w:rsid w:val="004E2616"/>
    <w:rsid w:val="004E26EF"/>
    <w:rsid w:val="004E277F"/>
    <w:rsid w:val="004E27CF"/>
    <w:rsid w:val="004E282A"/>
    <w:rsid w:val="004E28FA"/>
    <w:rsid w:val="004E2B2F"/>
    <w:rsid w:val="004E2BD6"/>
    <w:rsid w:val="004E2C4B"/>
    <w:rsid w:val="004E2D18"/>
    <w:rsid w:val="004E2DAF"/>
    <w:rsid w:val="004E2DEC"/>
    <w:rsid w:val="004E2E05"/>
    <w:rsid w:val="004E2EB1"/>
    <w:rsid w:val="004E32FD"/>
    <w:rsid w:val="004E36A5"/>
    <w:rsid w:val="004E3717"/>
    <w:rsid w:val="004E38CB"/>
    <w:rsid w:val="004E3926"/>
    <w:rsid w:val="004E3A0C"/>
    <w:rsid w:val="004E3ACE"/>
    <w:rsid w:val="004E3BCD"/>
    <w:rsid w:val="004E3C53"/>
    <w:rsid w:val="004E3D26"/>
    <w:rsid w:val="004E3EC6"/>
    <w:rsid w:val="004E3EF3"/>
    <w:rsid w:val="004E47BC"/>
    <w:rsid w:val="004E491E"/>
    <w:rsid w:val="004E4A09"/>
    <w:rsid w:val="004E4A37"/>
    <w:rsid w:val="004E4A7C"/>
    <w:rsid w:val="004E4BAA"/>
    <w:rsid w:val="004E4C7A"/>
    <w:rsid w:val="004E4CB3"/>
    <w:rsid w:val="004E4D10"/>
    <w:rsid w:val="004E4D8D"/>
    <w:rsid w:val="004E538C"/>
    <w:rsid w:val="004E5440"/>
    <w:rsid w:val="004E5482"/>
    <w:rsid w:val="004E5491"/>
    <w:rsid w:val="004E5786"/>
    <w:rsid w:val="004E5889"/>
    <w:rsid w:val="004E591E"/>
    <w:rsid w:val="004E5934"/>
    <w:rsid w:val="004E5980"/>
    <w:rsid w:val="004E5998"/>
    <w:rsid w:val="004E59B7"/>
    <w:rsid w:val="004E59C6"/>
    <w:rsid w:val="004E5A52"/>
    <w:rsid w:val="004E5DAD"/>
    <w:rsid w:val="004E5F64"/>
    <w:rsid w:val="004E5FAE"/>
    <w:rsid w:val="004E5FDC"/>
    <w:rsid w:val="004E5FF3"/>
    <w:rsid w:val="004E6253"/>
    <w:rsid w:val="004E62C2"/>
    <w:rsid w:val="004E630E"/>
    <w:rsid w:val="004E637A"/>
    <w:rsid w:val="004E6415"/>
    <w:rsid w:val="004E6459"/>
    <w:rsid w:val="004E6460"/>
    <w:rsid w:val="004E6644"/>
    <w:rsid w:val="004E6673"/>
    <w:rsid w:val="004E6691"/>
    <w:rsid w:val="004E66BA"/>
    <w:rsid w:val="004E674E"/>
    <w:rsid w:val="004E679C"/>
    <w:rsid w:val="004E6825"/>
    <w:rsid w:val="004E6883"/>
    <w:rsid w:val="004E69F6"/>
    <w:rsid w:val="004E6A10"/>
    <w:rsid w:val="004E6A4E"/>
    <w:rsid w:val="004E6AC5"/>
    <w:rsid w:val="004E6AF3"/>
    <w:rsid w:val="004E6B94"/>
    <w:rsid w:val="004E6BD4"/>
    <w:rsid w:val="004E6D09"/>
    <w:rsid w:val="004E6EE2"/>
    <w:rsid w:val="004E6FD6"/>
    <w:rsid w:val="004E7059"/>
    <w:rsid w:val="004E707C"/>
    <w:rsid w:val="004E7240"/>
    <w:rsid w:val="004E72C6"/>
    <w:rsid w:val="004E735D"/>
    <w:rsid w:val="004E766E"/>
    <w:rsid w:val="004E773D"/>
    <w:rsid w:val="004E799C"/>
    <w:rsid w:val="004E7E0B"/>
    <w:rsid w:val="004E7F23"/>
    <w:rsid w:val="004F017D"/>
    <w:rsid w:val="004F03E2"/>
    <w:rsid w:val="004F065E"/>
    <w:rsid w:val="004F072E"/>
    <w:rsid w:val="004F079C"/>
    <w:rsid w:val="004F0834"/>
    <w:rsid w:val="004F090B"/>
    <w:rsid w:val="004F0C5D"/>
    <w:rsid w:val="004F0CED"/>
    <w:rsid w:val="004F0D58"/>
    <w:rsid w:val="004F0E18"/>
    <w:rsid w:val="004F1061"/>
    <w:rsid w:val="004F1277"/>
    <w:rsid w:val="004F12DE"/>
    <w:rsid w:val="004F1370"/>
    <w:rsid w:val="004F148A"/>
    <w:rsid w:val="004F1612"/>
    <w:rsid w:val="004F1708"/>
    <w:rsid w:val="004F17B9"/>
    <w:rsid w:val="004F1866"/>
    <w:rsid w:val="004F196A"/>
    <w:rsid w:val="004F1A2E"/>
    <w:rsid w:val="004F1A8D"/>
    <w:rsid w:val="004F1C0C"/>
    <w:rsid w:val="004F1DDF"/>
    <w:rsid w:val="004F1E2F"/>
    <w:rsid w:val="004F1ED7"/>
    <w:rsid w:val="004F1F1E"/>
    <w:rsid w:val="004F1F3B"/>
    <w:rsid w:val="004F2005"/>
    <w:rsid w:val="004F223E"/>
    <w:rsid w:val="004F25D9"/>
    <w:rsid w:val="004F2623"/>
    <w:rsid w:val="004F2680"/>
    <w:rsid w:val="004F26CF"/>
    <w:rsid w:val="004F27B5"/>
    <w:rsid w:val="004F28D4"/>
    <w:rsid w:val="004F2A40"/>
    <w:rsid w:val="004F2AB0"/>
    <w:rsid w:val="004F2BF9"/>
    <w:rsid w:val="004F2C63"/>
    <w:rsid w:val="004F2C74"/>
    <w:rsid w:val="004F2F4C"/>
    <w:rsid w:val="004F3622"/>
    <w:rsid w:val="004F3649"/>
    <w:rsid w:val="004F391E"/>
    <w:rsid w:val="004F3AA9"/>
    <w:rsid w:val="004F3B4E"/>
    <w:rsid w:val="004F3B9C"/>
    <w:rsid w:val="004F3F8D"/>
    <w:rsid w:val="004F40A7"/>
    <w:rsid w:val="004F4576"/>
    <w:rsid w:val="004F45F3"/>
    <w:rsid w:val="004F45FB"/>
    <w:rsid w:val="004F4843"/>
    <w:rsid w:val="004F497E"/>
    <w:rsid w:val="004F4C85"/>
    <w:rsid w:val="004F4D8C"/>
    <w:rsid w:val="004F5068"/>
    <w:rsid w:val="004F5089"/>
    <w:rsid w:val="004F5184"/>
    <w:rsid w:val="004F5332"/>
    <w:rsid w:val="004F5341"/>
    <w:rsid w:val="004F5439"/>
    <w:rsid w:val="004F5495"/>
    <w:rsid w:val="004F54B4"/>
    <w:rsid w:val="004F54C6"/>
    <w:rsid w:val="004F5617"/>
    <w:rsid w:val="004F5724"/>
    <w:rsid w:val="004F5B88"/>
    <w:rsid w:val="004F5C72"/>
    <w:rsid w:val="004F5DDE"/>
    <w:rsid w:val="004F5F08"/>
    <w:rsid w:val="004F5FAA"/>
    <w:rsid w:val="004F607B"/>
    <w:rsid w:val="004F627A"/>
    <w:rsid w:val="004F6596"/>
    <w:rsid w:val="004F6815"/>
    <w:rsid w:val="004F69AF"/>
    <w:rsid w:val="004F69DD"/>
    <w:rsid w:val="004F6ABD"/>
    <w:rsid w:val="004F6AD3"/>
    <w:rsid w:val="004F6C77"/>
    <w:rsid w:val="004F6F0A"/>
    <w:rsid w:val="004F6F65"/>
    <w:rsid w:val="004F70B7"/>
    <w:rsid w:val="004F717D"/>
    <w:rsid w:val="004F71BE"/>
    <w:rsid w:val="004F72C6"/>
    <w:rsid w:val="004F72F2"/>
    <w:rsid w:val="004F737A"/>
    <w:rsid w:val="004F7398"/>
    <w:rsid w:val="004F73C9"/>
    <w:rsid w:val="004F7400"/>
    <w:rsid w:val="004F789B"/>
    <w:rsid w:val="004F7BA6"/>
    <w:rsid w:val="004F7BC9"/>
    <w:rsid w:val="004F7F8A"/>
    <w:rsid w:val="00500026"/>
    <w:rsid w:val="005002B0"/>
    <w:rsid w:val="00500536"/>
    <w:rsid w:val="0050065E"/>
    <w:rsid w:val="00500787"/>
    <w:rsid w:val="00500947"/>
    <w:rsid w:val="00500BC9"/>
    <w:rsid w:val="00500C40"/>
    <w:rsid w:val="005010DA"/>
    <w:rsid w:val="00501225"/>
    <w:rsid w:val="005012E5"/>
    <w:rsid w:val="00501331"/>
    <w:rsid w:val="00501386"/>
    <w:rsid w:val="005015BB"/>
    <w:rsid w:val="0050168E"/>
    <w:rsid w:val="0050172C"/>
    <w:rsid w:val="005018E7"/>
    <w:rsid w:val="00501BC6"/>
    <w:rsid w:val="00501BD9"/>
    <w:rsid w:val="00501BF0"/>
    <w:rsid w:val="00501C25"/>
    <w:rsid w:val="00501CE8"/>
    <w:rsid w:val="005021C4"/>
    <w:rsid w:val="0050246B"/>
    <w:rsid w:val="0050271F"/>
    <w:rsid w:val="005027A6"/>
    <w:rsid w:val="0050284B"/>
    <w:rsid w:val="00502AAC"/>
    <w:rsid w:val="00502C87"/>
    <w:rsid w:val="00502C8F"/>
    <w:rsid w:val="00502D52"/>
    <w:rsid w:val="00502D88"/>
    <w:rsid w:val="00502DAE"/>
    <w:rsid w:val="00502FFB"/>
    <w:rsid w:val="00503061"/>
    <w:rsid w:val="00503206"/>
    <w:rsid w:val="005032FF"/>
    <w:rsid w:val="0050333D"/>
    <w:rsid w:val="005034A2"/>
    <w:rsid w:val="00503672"/>
    <w:rsid w:val="005036B9"/>
    <w:rsid w:val="0050370D"/>
    <w:rsid w:val="0050373A"/>
    <w:rsid w:val="005038A0"/>
    <w:rsid w:val="00503A30"/>
    <w:rsid w:val="00503B9D"/>
    <w:rsid w:val="00503CEF"/>
    <w:rsid w:val="00503E54"/>
    <w:rsid w:val="00503F09"/>
    <w:rsid w:val="00503F6C"/>
    <w:rsid w:val="00504201"/>
    <w:rsid w:val="005042BA"/>
    <w:rsid w:val="0050451F"/>
    <w:rsid w:val="00504606"/>
    <w:rsid w:val="00504607"/>
    <w:rsid w:val="00504660"/>
    <w:rsid w:val="0050471E"/>
    <w:rsid w:val="005048D9"/>
    <w:rsid w:val="00504A82"/>
    <w:rsid w:val="00504A83"/>
    <w:rsid w:val="00504C85"/>
    <w:rsid w:val="00504DA0"/>
    <w:rsid w:val="00504DF0"/>
    <w:rsid w:val="00504E6A"/>
    <w:rsid w:val="00504FCE"/>
    <w:rsid w:val="0050510D"/>
    <w:rsid w:val="00505268"/>
    <w:rsid w:val="005052E0"/>
    <w:rsid w:val="00505329"/>
    <w:rsid w:val="00505337"/>
    <w:rsid w:val="005055EC"/>
    <w:rsid w:val="0050568D"/>
    <w:rsid w:val="005056C3"/>
    <w:rsid w:val="005056E9"/>
    <w:rsid w:val="0050576E"/>
    <w:rsid w:val="005057AD"/>
    <w:rsid w:val="005057BE"/>
    <w:rsid w:val="0050594A"/>
    <w:rsid w:val="00505AF4"/>
    <w:rsid w:val="00505B05"/>
    <w:rsid w:val="00505CCE"/>
    <w:rsid w:val="00505D61"/>
    <w:rsid w:val="00505D98"/>
    <w:rsid w:val="00505E19"/>
    <w:rsid w:val="00505EE0"/>
    <w:rsid w:val="00505F23"/>
    <w:rsid w:val="00505F84"/>
    <w:rsid w:val="00505FAA"/>
    <w:rsid w:val="00505FB0"/>
    <w:rsid w:val="0050606F"/>
    <w:rsid w:val="005060B0"/>
    <w:rsid w:val="0050636A"/>
    <w:rsid w:val="00506372"/>
    <w:rsid w:val="005064F4"/>
    <w:rsid w:val="0050667F"/>
    <w:rsid w:val="00506889"/>
    <w:rsid w:val="005068C8"/>
    <w:rsid w:val="00506CCF"/>
    <w:rsid w:val="00506D98"/>
    <w:rsid w:val="00506FF6"/>
    <w:rsid w:val="0050721F"/>
    <w:rsid w:val="0050733E"/>
    <w:rsid w:val="00507381"/>
    <w:rsid w:val="0050775E"/>
    <w:rsid w:val="00507831"/>
    <w:rsid w:val="00507892"/>
    <w:rsid w:val="00507A15"/>
    <w:rsid w:val="00507A22"/>
    <w:rsid w:val="00507BDA"/>
    <w:rsid w:val="00507CD7"/>
    <w:rsid w:val="00507E99"/>
    <w:rsid w:val="00510092"/>
    <w:rsid w:val="00510101"/>
    <w:rsid w:val="005103C5"/>
    <w:rsid w:val="00510500"/>
    <w:rsid w:val="00510517"/>
    <w:rsid w:val="0051054C"/>
    <w:rsid w:val="00510670"/>
    <w:rsid w:val="00510ACF"/>
    <w:rsid w:val="00510AEC"/>
    <w:rsid w:val="00510C03"/>
    <w:rsid w:val="00510C8A"/>
    <w:rsid w:val="00510D98"/>
    <w:rsid w:val="00510DDA"/>
    <w:rsid w:val="00510E05"/>
    <w:rsid w:val="00510E59"/>
    <w:rsid w:val="00510E88"/>
    <w:rsid w:val="00511048"/>
    <w:rsid w:val="00511358"/>
    <w:rsid w:val="00511564"/>
    <w:rsid w:val="0051163A"/>
    <w:rsid w:val="0051191B"/>
    <w:rsid w:val="00511A1B"/>
    <w:rsid w:val="00511C4E"/>
    <w:rsid w:val="00511D23"/>
    <w:rsid w:val="00511D3D"/>
    <w:rsid w:val="00511D76"/>
    <w:rsid w:val="00511F29"/>
    <w:rsid w:val="005120C7"/>
    <w:rsid w:val="005120EF"/>
    <w:rsid w:val="00512155"/>
    <w:rsid w:val="0051224D"/>
    <w:rsid w:val="0051229E"/>
    <w:rsid w:val="005123B8"/>
    <w:rsid w:val="00512412"/>
    <w:rsid w:val="00512510"/>
    <w:rsid w:val="00512737"/>
    <w:rsid w:val="005127F2"/>
    <w:rsid w:val="005128C7"/>
    <w:rsid w:val="00512953"/>
    <w:rsid w:val="00512A65"/>
    <w:rsid w:val="00512A7B"/>
    <w:rsid w:val="00512AD8"/>
    <w:rsid w:val="00512B83"/>
    <w:rsid w:val="00512BDD"/>
    <w:rsid w:val="005131D3"/>
    <w:rsid w:val="00513337"/>
    <w:rsid w:val="00513401"/>
    <w:rsid w:val="00513469"/>
    <w:rsid w:val="00513473"/>
    <w:rsid w:val="005134B7"/>
    <w:rsid w:val="0051352C"/>
    <w:rsid w:val="005135EC"/>
    <w:rsid w:val="00513636"/>
    <w:rsid w:val="0051363B"/>
    <w:rsid w:val="0051363F"/>
    <w:rsid w:val="00513677"/>
    <w:rsid w:val="005136B9"/>
    <w:rsid w:val="0051398C"/>
    <w:rsid w:val="005139C2"/>
    <w:rsid w:val="005139CC"/>
    <w:rsid w:val="00513A62"/>
    <w:rsid w:val="00513A7A"/>
    <w:rsid w:val="00513AAA"/>
    <w:rsid w:val="00513AC3"/>
    <w:rsid w:val="00513C21"/>
    <w:rsid w:val="00513C65"/>
    <w:rsid w:val="00513C68"/>
    <w:rsid w:val="00513CFC"/>
    <w:rsid w:val="00513E5B"/>
    <w:rsid w:val="00513EB4"/>
    <w:rsid w:val="00514193"/>
    <w:rsid w:val="0051421E"/>
    <w:rsid w:val="0051436B"/>
    <w:rsid w:val="005145C5"/>
    <w:rsid w:val="00514A41"/>
    <w:rsid w:val="00514B71"/>
    <w:rsid w:val="00514FC2"/>
    <w:rsid w:val="00515008"/>
    <w:rsid w:val="005150C1"/>
    <w:rsid w:val="005151C0"/>
    <w:rsid w:val="005151D4"/>
    <w:rsid w:val="0051522E"/>
    <w:rsid w:val="005153EF"/>
    <w:rsid w:val="00515542"/>
    <w:rsid w:val="0051585B"/>
    <w:rsid w:val="00515956"/>
    <w:rsid w:val="00515AC2"/>
    <w:rsid w:val="00515B0F"/>
    <w:rsid w:val="00515B48"/>
    <w:rsid w:val="00515BFA"/>
    <w:rsid w:val="00515E32"/>
    <w:rsid w:val="00515FA8"/>
    <w:rsid w:val="00515FBA"/>
    <w:rsid w:val="005160E8"/>
    <w:rsid w:val="0051615A"/>
    <w:rsid w:val="005162A6"/>
    <w:rsid w:val="0051648C"/>
    <w:rsid w:val="00516501"/>
    <w:rsid w:val="005165F2"/>
    <w:rsid w:val="00516695"/>
    <w:rsid w:val="00516766"/>
    <w:rsid w:val="005167BF"/>
    <w:rsid w:val="00516850"/>
    <w:rsid w:val="005168B1"/>
    <w:rsid w:val="00516940"/>
    <w:rsid w:val="00516972"/>
    <w:rsid w:val="00516B6A"/>
    <w:rsid w:val="00516C09"/>
    <w:rsid w:val="00516CD2"/>
    <w:rsid w:val="00516D3E"/>
    <w:rsid w:val="00516D7E"/>
    <w:rsid w:val="00516EBC"/>
    <w:rsid w:val="00516FE4"/>
    <w:rsid w:val="00517103"/>
    <w:rsid w:val="00517177"/>
    <w:rsid w:val="00517346"/>
    <w:rsid w:val="00517382"/>
    <w:rsid w:val="005173BA"/>
    <w:rsid w:val="005173F1"/>
    <w:rsid w:val="00517469"/>
    <w:rsid w:val="00517728"/>
    <w:rsid w:val="00517875"/>
    <w:rsid w:val="0051791C"/>
    <w:rsid w:val="00517983"/>
    <w:rsid w:val="00517A86"/>
    <w:rsid w:val="00517BA5"/>
    <w:rsid w:val="00517BFE"/>
    <w:rsid w:val="00517D23"/>
    <w:rsid w:val="00517DD5"/>
    <w:rsid w:val="0052007D"/>
    <w:rsid w:val="00520260"/>
    <w:rsid w:val="00520324"/>
    <w:rsid w:val="005203A3"/>
    <w:rsid w:val="005203E9"/>
    <w:rsid w:val="0052041E"/>
    <w:rsid w:val="00520592"/>
    <w:rsid w:val="005209D1"/>
    <w:rsid w:val="00520B48"/>
    <w:rsid w:val="00520B92"/>
    <w:rsid w:val="00520BE2"/>
    <w:rsid w:val="00520C81"/>
    <w:rsid w:val="00520D19"/>
    <w:rsid w:val="00520F18"/>
    <w:rsid w:val="00521025"/>
    <w:rsid w:val="00521090"/>
    <w:rsid w:val="005211E5"/>
    <w:rsid w:val="005213BC"/>
    <w:rsid w:val="005214AB"/>
    <w:rsid w:val="00521652"/>
    <w:rsid w:val="00521684"/>
    <w:rsid w:val="005216C1"/>
    <w:rsid w:val="0052183B"/>
    <w:rsid w:val="005218E1"/>
    <w:rsid w:val="00521911"/>
    <w:rsid w:val="0052195A"/>
    <w:rsid w:val="00521AD2"/>
    <w:rsid w:val="00521FF6"/>
    <w:rsid w:val="0052207D"/>
    <w:rsid w:val="00522188"/>
    <w:rsid w:val="0052229A"/>
    <w:rsid w:val="005223C1"/>
    <w:rsid w:val="0052273A"/>
    <w:rsid w:val="0052279E"/>
    <w:rsid w:val="00522915"/>
    <w:rsid w:val="0052291A"/>
    <w:rsid w:val="00522A86"/>
    <w:rsid w:val="00522A8A"/>
    <w:rsid w:val="00522BCE"/>
    <w:rsid w:val="00522BEC"/>
    <w:rsid w:val="00522C62"/>
    <w:rsid w:val="00522DA3"/>
    <w:rsid w:val="00522EAE"/>
    <w:rsid w:val="00522FA5"/>
    <w:rsid w:val="0052349D"/>
    <w:rsid w:val="00523C5A"/>
    <w:rsid w:val="00523CED"/>
    <w:rsid w:val="00523D53"/>
    <w:rsid w:val="005242FD"/>
    <w:rsid w:val="00524301"/>
    <w:rsid w:val="00524482"/>
    <w:rsid w:val="005245E9"/>
    <w:rsid w:val="005246C2"/>
    <w:rsid w:val="0052486D"/>
    <w:rsid w:val="005249D3"/>
    <w:rsid w:val="00524A93"/>
    <w:rsid w:val="00524BD3"/>
    <w:rsid w:val="00524BE8"/>
    <w:rsid w:val="00524C7A"/>
    <w:rsid w:val="00524CD2"/>
    <w:rsid w:val="00525032"/>
    <w:rsid w:val="005250C2"/>
    <w:rsid w:val="005251A8"/>
    <w:rsid w:val="00525368"/>
    <w:rsid w:val="00525571"/>
    <w:rsid w:val="005256F3"/>
    <w:rsid w:val="0052575D"/>
    <w:rsid w:val="005257DD"/>
    <w:rsid w:val="005258D7"/>
    <w:rsid w:val="00525982"/>
    <w:rsid w:val="005259B8"/>
    <w:rsid w:val="00525C3C"/>
    <w:rsid w:val="00525C46"/>
    <w:rsid w:val="00525C85"/>
    <w:rsid w:val="00525DCA"/>
    <w:rsid w:val="00525E71"/>
    <w:rsid w:val="00525EF8"/>
    <w:rsid w:val="00525F0D"/>
    <w:rsid w:val="00525F58"/>
    <w:rsid w:val="005260B6"/>
    <w:rsid w:val="0052610C"/>
    <w:rsid w:val="005261B2"/>
    <w:rsid w:val="005262A6"/>
    <w:rsid w:val="00526436"/>
    <w:rsid w:val="00526439"/>
    <w:rsid w:val="00526484"/>
    <w:rsid w:val="0052648B"/>
    <w:rsid w:val="005265A4"/>
    <w:rsid w:val="00526627"/>
    <w:rsid w:val="005266D7"/>
    <w:rsid w:val="005266FB"/>
    <w:rsid w:val="0052670B"/>
    <w:rsid w:val="0052683D"/>
    <w:rsid w:val="00526840"/>
    <w:rsid w:val="005268A9"/>
    <w:rsid w:val="005268FE"/>
    <w:rsid w:val="005269E9"/>
    <w:rsid w:val="005269EF"/>
    <w:rsid w:val="005269F0"/>
    <w:rsid w:val="00526C10"/>
    <w:rsid w:val="00526C92"/>
    <w:rsid w:val="00526C9B"/>
    <w:rsid w:val="00526E6F"/>
    <w:rsid w:val="0052706C"/>
    <w:rsid w:val="00527307"/>
    <w:rsid w:val="005273AD"/>
    <w:rsid w:val="0052752C"/>
    <w:rsid w:val="00527578"/>
    <w:rsid w:val="005275FC"/>
    <w:rsid w:val="0052768C"/>
    <w:rsid w:val="00527793"/>
    <w:rsid w:val="005278AC"/>
    <w:rsid w:val="00527C22"/>
    <w:rsid w:val="00527CAC"/>
    <w:rsid w:val="00527D0B"/>
    <w:rsid w:val="00527D1D"/>
    <w:rsid w:val="00527D9B"/>
    <w:rsid w:val="00527DA5"/>
    <w:rsid w:val="00527EE1"/>
    <w:rsid w:val="005301C8"/>
    <w:rsid w:val="005303BF"/>
    <w:rsid w:val="005304EA"/>
    <w:rsid w:val="005306F2"/>
    <w:rsid w:val="00530896"/>
    <w:rsid w:val="00530AD2"/>
    <w:rsid w:val="00530AF9"/>
    <w:rsid w:val="00530BB4"/>
    <w:rsid w:val="00530D29"/>
    <w:rsid w:val="00530EA2"/>
    <w:rsid w:val="00530F3C"/>
    <w:rsid w:val="005310AF"/>
    <w:rsid w:val="00531340"/>
    <w:rsid w:val="005313FF"/>
    <w:rsid w:val="00531486"/>
    <w:rsid w:val="005314D0"/>
    <w:rsid w:val="0053151F"/>
    <w:rsid w:val="00531561"/>
    <w:rsid w:val="005316C5"/>
    <w:rsid w:val="00531A2F"/>
    <w:rsid w:val="00531AC5"/>
    <w:rsid w:val="00531CA6"/>
    <w:rsid w:val="00531D62"/>
    <w:rsid w:val="00532264"/>
    <w:rsid w:val="00532274"/>
    <w:rsid w:val="005324E5"/>
    <w:rsid w:val="00532503"/>
    <w:rsid w:val="0053251E"/>
    <w:rsid w:val="00532528"/>
    <w:rsid w:val="00532616"/>
    <w:rsid w:val="00532734"/>
    <w:rsid w:val="0053277C"/>
    <w:rsid w:val="005328D1"/>
    <w:rsid w:val="00532922"/>
    <w:rsid w:val="00532982"/>
    <w:rsid w:val="00532D4D"/>
    <w:rsid w:val="00532D58"/>
    <w:rsid w:val="00532EE8"/>
    <w:rsid w:val="00532F21"/>
    <w:rsid w:val="00533057"/>
    <w:rsid w:val="00533118"/>
    <w:rsid w:val="00533239"/>
    <w:rsid w:val="00533388"/>
    <w:rsid w:val="00533488"/>
    <w:rsid w:val="0053365D"/>
    <w:rsid w:val="005338AB"/>
    <w:rsid w:val="00533C29"/>
    <w:rsid w:val="00533C7D"/>
    <w:rsid w:val="00533D2E"/>
    <w:rsid w:val="00533D80"/>
    <w:rsid w:val="00533E6D"/>
    <w:rsid w:val="00533F1D"/>
    <w:rsid w:val="00533FDB"/>
    <w:rsid w:val="00534153"/>
    <w:rsid w:val="00534200"/>
    <w:rsid w:val="005342C3"/>
    <w:rsid w:val="00534304"/>
    <w:rsid w:val="005344ED"/>
    <w:rsid w:val="0053454D"/>
    <w:rsid w:val="00534675"/>
    <w:rsid w:val="00534786"/>
    <w:rsid w:val="005348A0"/>
    <w:rsid w:val="005348C0"/>
    <w:rsid w:val="005349B7"/>
    <w:rsid w:val="00534ADB"/>
    <w:rsid w:val="00534B4E"/>
    <w:rsid w:val="00534CA8"/>
    <w:rsid w:val="00534DC9"/>
    <w:rsid w:val="00534E38"/>
    <w:rsid w:val="00534E51"/>
    <w:rsid w:val="00534E5A"/>
    <w:rsid w:val="00534E87"/>
    <w:rsid w:val="0053501B"/>
    <w:rsid w:val="00535146"/>
    <w:rsid w:val="0053517D"/>
    <w:rsid w:val="0053546F"/>
    <w:rsid w:val="0053548E"/>
    <w:rsid w:val="005355CE"/>
    <w:rsid w:val="00535719"/>
    <w:rsid w:val="005358ED"/>
    <w:rsid w:val="00535931"/>
    <w:rsid w:val="00535A51"/>
    <w:rsid w:val="00535A72"/>
    <w:rsid w:val="00535B13"/>
    <w:rsid w:val="00535DE5"/>
    <w:rsid w:val="00535E06"/>
    <w:rsid w:val="005362F5"/>
    <w:rsid w:val="00536468"/>
    <w:rsid w:val="00536474"/>
    <w:rsid w:val="005364B2"/>
    <w:rsid w:val="005364C2"/>
    <w:rsid w:val="005365D7"/>
    <w:rsid w:val="00536730"/>
    <w:rsid w:val="005367A9"/>
    <w:rsid w:val="005367FF"/>
    <w:rsid w:val="005368E9"/>
    <w:rsid w:val="005369AC"/>
    <w:rsid w:val="00536B12"/>
    <w:rsid w:val="00536B76"/>
    <w:rsid w:val="00536EC4"/>
    <w:rsid w:val="00536FD7"/>
    <w:rsid w:val="00536FD8"/>
    <w:rsid w:val="005370B2"/>
    <w:rsid w:val="0053725B"/>
    <w:rsid w:val="00537269"/>
    <w:rsid w:val="005373CD"/>
    <w:rsid w:val="005374C4"/>
    <w:rsid w:val="0053783A"/>
    <w:rsid w:val="00537851"/>
    <w:rsid w:val="0053791A"/>
    <w:rsid w:val="005379F6"/>
    <w:rsid w:val="00537B89"/>
    <w:rsid w:val="00537D7F"/>
    <w:rsid w:val="00537E2A"/>
    <w:rsid w:val="005401C8"/>
    <w:rsid w:val="00540276"/>
    <w:rsid w:val="0054029C"/>
    <w:rsid w:val="005402CB"/>
    <w:rsid w:val="0054038C"/>
    <w:rsid w:val="005403CF"/>
    <w:rsid w:val="0054047E"/>
    <w:rsid w:val="00540637"/>
    <w:rsid w:val="00540656"/>
    <w:rsid w:val="00540664"/>
    <w:rsid w:val="0054081D"/>
    <w:rsid w:val="00540BA8"/>
    <w:rsid w:val="00540C57"/>
    <w:rsid w:val="00540C9D"/>
    <w:rsid w:val="00540E25"/>
    <w:rsid w:val="005413F3"/>
    <w:rsid w:val="005414FF"/>
    <w:rsid w:val="0054157D"/>
    <w:rsid w:val="005418EB"/>
    <w:rsid w:val="005419AF"/>
    <w:rsid w:val="00541B33"/>
    <w:rsid w:val="00541C46"/>
    <w:rsid w:val="00541DD0"/>
    <w:rsid w:val="00541E4E"/>
    <w:rsid w:val="00541EBA"/>
    <w:rsid w:val="005421F6"/>
    <w:rsid w:val="0054220F"/>
    <w:rsid w:val="0054228E"/>
    <w:rsid w:val="00542590"/>
    <w:rsid w:val="005426C5"/>
    <w:rsid w:val="0054273C"/>
    <w:rsid w:val="00542BDF"/>
    <w:rsid w:val="00542CCB"/>
    <w:rsid w:val="00542D70"/>
    <w:rsid w:val="00542E19"/>
    <w:rsid w:val="00543235"/>
    <w:rsid w:val="0054331E"/>
    <w:rsid w:val="005433FA"/>
    <w:rsid w:val="00543405"/>
    <w:rsid w:val="0054342B"/>
    <w:rsid w:val="00543465"/>
    <w:rsid w:val="0054353B"/>
    <w:rsid w:val="0054360A"/>
    <w:rsid w:val="0054386B"/>
    <w:rsid w:val="00543879"/>
    <w:rsid w:val="00543995"/>
    <w:rsid w:val="0054401B"/>
    <w:rsid w:val="005445DA"/>
    <w:rsid w:val="0054468A"/>
    <w:rsid w:val="00544876"/>
    <w:rsid w:val="00544ADC"/>
    <w:rsid w:val="00544B42"/>
    <w:rsid w:val="00544B74"/>
    <w:rsid w:val="00544E7B"/>
    <w:rsid w:val="00544F00"/>
    <w:rsid w:val="00544FDB"/>
    <w:rsid w:val="005452C9"/>
    <w:rsid w:val="005453D4"/>
    <w:rsid w:val="005453FF"/>
    <w:rsid w:val="00545500"/>
    <w:rsid w:val="0054554A"/>
    <w:rsid w:val="00545565"/>
    <w:rsid w:val="00545566"/>
    <w:rsid w:val="00545691"/>
    <w:rsid w:val="00545700"/>
    <w:rsid w:val="0054577D"/>
    <w:rsid w:val="005457A0"/>
    <w:rsid w:val="0054596A"/>
    <w:rsid w:val="005459B1"/>
    <w:rsid w:val="00545A36"/>
    <w:rsid w:val="00545BE9"/>
    <w:rsid w:val="00545D70"/>
    <w:rsid w:val="00545E0A"/>
    <w:rsid w:val="0054609F"/>
    <w:rsid w:val="005461FA"/>
    <w:rsid w:val="00546263"/>
    <w:rsid w:val="005462BB"/>
    <w:rsid w:val="00546363"/>
    <w:rsid w:val="005463EC"/>
    <w:rsid w:val="0054642B"/>
    <w:rsid w:val="00546640"/>
    <w:rsid w:val="005466E3"/>
    <w:rsid w:val="00546766"/>
    <w:rsid w:val="005467F5"/>
    <w:rsid w:val="00546874"/>
    <w:rsid w:val="00546A33"/>
    <w:rsid w:val="00546B36"/>
    <w:rsid w:val="00546D49"/>
    <w:rsid w:val="00546FFE"/>
    <w:rsid w:val="0054705D"/>
    <w:rsid w:val="005471EF"/>
    <w:rsid w:val="0054724C"/>
    <w:rsid w:val="005472A2"/>
    <w:rsid w:val="005472EB"/>
    <w:rsid w:val="005473D5"/>
    <w:rsid w:val="00547518"/>
    <w:rsid w:val="00547777"/>
    <w:rsid w:val="0054796F"/>
    <w:rsid w:val="00547A40"/>
    <w:rsid w:val="00547B10"/>
    <w:rsid w:val="00547C0D"/>
    <w:rsid w:val="00547CDB"/>
    <w:rsid w:val="00547CEA"/>
    <w:rsid w:val="00547F20"/>
    <w:rsid w:val="00547FF0"/>
    <w:rsid w:val="005500D4"/>
    <w:rsid w:val="00550168"/>
    <w:rsid w:val="005501ED"/>
    <w:rsid w:val="0055029A"/>
    <w:rsid w:val="005502E9"/>
    <w:rsid w:val="00550463"/>
    <w:rsid w:val="005505A0"/>
    <w:rsid w:val="005505D3"/>
    <w:rsid w:val="00550691"/>
    <w:rsid w:val="00550860"/>
    <w:rsid w:val="00550925"/>
    <w:rsid w:val="0055095F"/>
    <w:rsid w:val="00550C1A"/>
    <w:rsid w:val="00550D9D"/>
    <w:rsid w:val="00550FB5"/>
    <w:rsid w:val="00551046"/>
    <w:rsid w:val="005510DD"/>
    <w:rsid w:val="005511E0"/>
    <w:rsid w:val="005512E2"/>
    <w:rsid w:val="00551387"/>
    <w:rsid w:val="005515E2"/>
    <w:rsid w:val="0055175F"/>
    <w:rsid w:val="0055190A"/>
    <w:rsid w:val="00551A00"/>
    <w:rsid w:val="00551A7F"/>
    <w:rsid w:val="00551B1B"/>
    <w:rsid w:val="00551DA9"/>
    <w:rsid w:val="00551DFC"/>
    <w:rsid w:val="005521D8"/>
    <w:rsid w:val="0055221C"/>
    <w:rsid w:val="00552334"/>
    <w:rsid w:val="0055277A"/>
    <w:rsid w:val="005528BB"/>
    <w:rsid w:val="00552B3E"/>
    <w:rsid w:val="00552B6A"/>
    <w:rsid w:val="00552D49"/>
    <w:rsid w:val="00552E79"/>
    <w:rsid w:val="0055300F"/>
    <w:rsid w:val="005531BD"/>
    <w:rsid w:val="0055325B"/>
    <w:rsid w:val="005532B8"/>
    <w:rsid w:val="005532E5"/>
    <w:rsid w:val="005534B4"/>
    <w:rsid w:val="0055357A"/>
    <w:rsid w:val="0055357E"/>
    <w:rsid w:val="005535CC"/>
    <w:rsid w:val="0055375C"/>
    <w:rsid w:val="00553867"/>
    <w:rsid w:val="00553964"/>
    <w:rsid w:val="00553A3B"/>
    <w:rsid w:val="00553C57"/>
    <w:rsid w:val="00553D30"/>
    <w:rsid w:val="00553E3E"/>
    <w:rsid w:val="00553F48"/>
    <w:rsid w:val="00553F4C"/>
    <w:rsid w:val="00554063"/>
    <w:rsid w:val="00554125"/>
    <w:rsid w:val="0055422A"/>
    <w:rsid w:val="005543E4"/>
    <w:rsid w:val="00554426"/>
    <w:rsid w:val="0055454A"/>
    <w:rsid w:val="005545CE"/>
    <w:rsid w:val="005547FB"/>
    <w:rsid w:val="00554A65"/>
    <w:rsid w:val="00554CBA"/>
    <w:rsid w:val="00554CF2"/>
    <w:rsid w:val="00554DAF"/>
    <w:rsid w:val="00554E6A"/>
    <w:rsid w:val="00555017"/>
    <w:rsid w:val="0055502B"/>
    <w:rsid w:val="005550DF"/>
    <w:rsid w:val="00555129"/>
    <w:rsid w:val="0055522D"/>
    <w:rsid w:val="005553A8"/>
    <w:rsid w:val="00555643"/>
    <w:rsid w:val="005558FB"/>
    <w:rsid w:val="0055593D"/>
    <w:rsid w:val="00555AA7"/>
    <w:rsid w:val="00555B48"/>
    <w:rsid w:val="00555D6C"/>
    <w:rsid w:val="00555D6D"/>
    <w:rsid w:val="00555E22"/>
    <w:rsid w:val="005561EF"/>
    <w:rsid w:val="0055620F"/>
    <w:rsid w:val="005562A5"/>
    <w:rsid w:val="00556508"/>
    <w:rsid w:val="0055653A"/>
    <w:rsid w:val="005566CC"/>
    <w:rsid w:val="005566D3"/>
    <w:rsid w:val="005567B2"/>
    <w:rsid w:val="00556818"/>
    <w:rsid w:val="0055692E"/>
    <w:rsid w:val="005569F0"/>
    <w:rsid w:val="00556E3E"/>
    <w:rsid w:val="00556E7A"/>
    <w:rsid w:val="0055745F"/>
    <w:rsid w:val="005576CC"/>
    <w:rsid w:val="00557870"/>
    <w:rsid w:val="005578DF"/>
    <w:rsid w:val="00557EC2"/>
    <w:rsid w:val="00557F1D"/>
    <w:rsid w:val="0056004D"/>
    <w:rsid w:val="00560277"/>
    <w:rsid w:val="0056034F"/>
    <w:rsid w:val="00560363"/>
    <w:rsid w:val="0056048C"/>
    <w:rsid w:val="0056066F"/>
    <w:rsid w:val="005606F1"/>
    <w:rsid w:val="00560938"/>
    <w:rsid w:val="00560951"/>
    <w:rsid w:val="00560A27"/>
    <w:rsid w:val="00560AF1"/>
    <w:rsid w:val="00560BBC"/>
    <w:rsid w:val="00560F02"/>
    <w:rsid w:val="00560F3B"/>
    <w:rsid w:val="005610CB"/>
    <w:rsid w:val="00561101"/>
    <w:rsid w:val="005612ED"/>
    <w:rsid w:val="00561538"/>
    <w:rsid w:val="00561562"/>
    <w:rsid w:val="00561984"/>
    <w:rsid w:val="005619CE"/>
    <w:rsid w:val="00561A26"/>
    <w:rsid w:val="00561D0F"/>
    <w:rsid w:val="00561DC2"/>
    <w:rsid w:val="00561DEB"/>
    <w:rsid w:val="00561EB2"/>
    <w:rsid w:val="0056215B"/>
    <w:rsid w:val="005622BE"/>
    <w:rsid w:val="00562405"/>
    <w:rsid w:val="0056246C"/>
    <w:rsid w:val="00562605"/>
    <w:rsid w:val="00562766"/>
    <w:rsid w:val="005627A6"/>
    <w:rsid w:val="0056288A"/>
    <w:rsid w:val="00562CB6"/>
    <w:rsid w:val="00562CBC"/>
    <w:rsid w:val="00562F37"/>
    <w:rsid w:val="005632C4"/>
    <w:rsid w:val="0056363B"/>
    <w:rsid w:val="005636AD"/>
    <w:rsid w:val="005637F5"/>
    <w:rsid w:val="00563804"/>
    <w:rsid w:val="005639FC"/>
    <w:rsid w:val="00563A81"/>
    <w:rsid w:val="00563CCE"/>
    <w:rsid w:val="00563CF6"/>
    <w:rsid w:val="00563D22"/>
    <w:rsid w:val="00563DE6"/>
    <w:rsid w:val="00563E50"/>
    <w:rsid w:val="00563E5B"/>
    <w:rsid w:val="00563EF4"/>
    <w:rsid w:val="00563EFE"/>
    <w:rsid w:val="005641BA"/>
    <w:rsid w:val="00564246"/>
    <w:rsid w:val="005642AA"/>
    <w:rsid w:val="005642BB"/>
    <w:rsid w:val="00564404"/>
    <w:rsid w:val="00564544"/>
    <w:rsid w:val="005645B1"/>
    <w:rsid w:val="005645BA"/>
    <w:rsid w:val="005646D0"/>
    <w:rsid w:val="00564794"/>
    <w:rsid w:val="005647AC"/>
    <w:rsid w:val="0056484B"/>
    <w:rsid w:val="00564855"/>
    <w:rsid w:val="00564933"/>
    <w:rsid w:val="00564958"/>
    <w:rsid w:val="00564AE5"/>
    <w:rsid w:val="00564F77"/>
    <w:rsid w:val="00565026"/>
    <w:rsid w:val="005650E0"/>
    <w:rsid w:val="0056526D"/>
    <w:rsid w:val="0056528D"/>
    <w:rsid w:val="00565430"/>
    <w:rsid w:val="005656CF"/>
    <w:rsid w:val="0056591A"/>
    <w:rsid w:val="00565984"/>
    <w:rsid w:val="005659B8"/>
    <w:rsid w:val="00565A10"/>
    <w:rsid w:val="00565D7D"/>
    <w:rsid w:val="00565DA7"/>
    <w:rsid w:val="00565DB9"/>
    <w:rsid w:val="00565DE7"/>
    <w:rsid w:val="0056602F"/>
    <w:rsid w:val="00566048"/>
    <w:rsid w:val="00566051"/>
    <w:rsid w:val="005661F8"/>
    <w:rsid w:val="0056628B"/>
    <w:rsid w:val="00566298"/>
    <w:rsid w:val="0056639C"/>
    <w:rsid w:val="00566539"/>
    <w:rsid w:val="00566766"/>
    <w:rsid w:val="0056677C"/>
    <w:rsid w:val="005668EF"/>
    <w:rsid w:val="00566A83"/>
    <w:rsid w:val="00566BB0"/>
    <w:rsid w:val="00566C70"/>
    <w:rsid w:val="00566FA2"/>
    <w:rsid w:val="00567261"/>
    <w:rsid w:val="00567892"/>
    <w:rsid w:val="005678FD"/>
    <w:rsid w:val="00567944"/>
    <w:rsid w:val="00567A12"/>
    <w:rsid w:val="00567A6E"/>
    <w:rsid w:val="00567D47"/>
    <w:rsid w:val="00567FA4"/>
    <w:rsid w:val="0057009D"/>
    <w:rsid w:val="00570140"/>
    <w:rsid w:val="0057018D"/>
    <w:rsid w:val="00570225"/>
    <w:rsid w:val="005702D4"/>
    <w:rsid w:val="005703AE"/>
    <w:rsid w:val="0057064E"/>
    <w:rsid w:val="005708E4"/>
    <w:rsid w:val="0057091E"/>
    <w:rsid w:val="00570957"/>
    <w:rsid w:val="00570A02"/>
    <w:rsid w:val="00570AC9"/>
    <w:rsid w:val="00570D72"/>
    <w:rsid w:val="00570DBF"/>
    <w:rsid w:val="00570EA5"/>
    <w:rsid w:val="00570F00"/>
    <w:rsid w:val="0057130A"/>
    <w:rsid w:val="00571405"/>
    <w:rsid w:val="00571479"/>
    <w:rsid w:val="00571695"/>
    <w:rsid w:val="0057184C"/>
    <w:rsid w:val="00571977"/>
    <w:rsid w:val="005719CA"/>
    <w:rsid w:val="00571BF9"/>
    <w:rsid w:val="00571EBA"/>
    <w:rsid w:val="00572006"/>
    <w:rsid w:val="005723D6"/>
    <w:rsid w:val="00572422"/>
    <w:rsid w:val="00572518"/>
    <w:rsid w:val="0057257B"/>
    <w:rsid w:val="0057276F"/>
    <w:rsid w:val="00572787"/>
    <w:rsid w:val="0057292D"/>
    <w:rsid w:val="00572933"/>
    <w:rsid w:val="00572976"/>
    <w:rsid w:val="00572978"/>
    <w:rsid w:val="005729F1"/>
    <w:rsid w:val="00572AE9"/>
    <w:rsid w:val="00572B93"/>
    <w:rsid w:val="00572CBA"/>
    <w:rsid w:val="00572D4C"/>
    <w:rsid w:val="00572DD0"/>
    <w:rsid w:val="00572F4D"/>
    <w:rsid w:val="00573007"/>
    <w:rsid w:val="0057326D"/>
    <w:rsid w:val="005732F5"/>
    <w:rsid w:val="00573384"/>
    <w:rsid w:val="005733FB"/>
    <w:rsid w:val="0057352C"/>
    <w:rsid w:val="00573553"/>
    <w:rsid w:val="005735BA"/>
    <w:rsid w:val="00573745"/>
    <w:rsid w:val="0057383C"/>
    <w:rsid w:val="00573D1C"/>
    <w:rsid w:val="00573E51"/>
    <w:rsid w:val="00573E87"/>
    <w:rsid w:val="00573F1C"/>
    <w:rsid w:val="00573FDF"/>
    <w:rsid w:val="0057414D"/>
    <w:rsid w:val="0057433E"/>
    <w:rsid w:val="005743C1"/>
    <w:rsid w:val="0057441F"/>
    <w:rsid w:val="005744F4"/>
    <w:rsid w:val="005745AB"/>
    <w:rsid w:val="00574921"/>
    <w:rsid w:val="00574A6E"/>
    <w:rsid w:val="00574B15"/>
    <w:rsid w:val="00574B98"/>
    <w:rsid w:val="00574C85"/>
    <w:rsid w:val="00574C88"/>
    <w:rsid w:val="00574CC7"/>
    <w:rsid w:val="00574D3F"/>
    <w:rsid w:val="00574DC5"/>
    <w:rsid w:val="00574E15"/>
    <w:rsid w:val="00574ED9"/>
    <w:rsid w:val="00575445"/>
    <w:rsid w:val="00575564"/>
    <w:rsid w:val="005755D7"/>
    <w:rsid w:val="00575612"/>
    <w:rsid w:val="005756F5"/>
    <w:rsid w:val="005757A9"/>
    <w:rsid w:val="00575845"/>
    <w:rsid w:val="00575A12"/>
    <w:rsid w:val="00575A2B"/>
    <w:rsid w:val="00575A5F"/>
    <w:rsid w:val="00575C3C"/>
    <w:rsid w:val="00575CF8"/>
    <w:rsid w:val="00575CFC"/>
    <w:rsid w:val="00575E20"/>
    <w:rsid w:val="00575E45"/>
    <w:rsid w:val="00575E8B"/>
    <w:rsid w:val="00575F19"/>
    <w:rsid w:val="00576274"/>
    <w:rsid w:val="0057633A"/>
    <w:rsid w:val="005763A0"/>
    <w:rsid w:val="00576586"/>
    <w:rsid w:val="005765B8"/>
    <w:rsid w:val="0057689A"/>
    <w:rsid w:val="005768F2"/>
    <w:rsid w:val="005769CD"/>
    <w:rsid w:val="00576B1A"/>
    <w:rsid w:val="00576BB9"/>
    <w:rsid w:val="00576C29"/>
    <w:rsid w:val="00576F74"/>
    <w:rsid w:val="00577145"/>
    <w:rsid w:val="005772E3"/>
    <w:rsid w:val="005773BE"/>
    <w:rsid w:val="005778DA"/>
    <w:rsid w:val="005779A7"/>
    <w:rsid w:val="00577B2A"/>
    <w:rsid w:val="00577B33"/>
    <w:rsid w:val="00577B88"/>
    <w:rsid w:val="00577CBD"/>
    <w:rsid w:val="00577CE2"/>
    <w:rsid w:val="00577E8E"/>
    <w:rsid w:val="00577EB2"/>
    <w:rsid w:val="00577F41"/>
    <w:rsid w:val="00580031"/>
    <w:rsid w:val="0058016D"/>
    <w:rsid w:val="005803F2"/>
    <w:rsid w:val="005804FE"/>
    <w:rsid w:val="00580538"/>
    <w:rsid w:val="0058055F"/>
    <w:rsid w:val="00580719"/>
    <w:rsid w:val="00580836"/>
    <w:rsid w:val="00580886"/>
    <w:rsid w:val="0058088B"/>
    <w:rsid w:val="00580A60"/>
    <w:rsid w:val="00580A8E"/>
    <w:rsid w:val="00580ADA"/>
    <w:rsid w:val="00580E84"/>
    <w:rsid w:val="00580F89"/>
    <w:rsid w:val="00581112"/>
    <w:rsid w:val="0058129D"/>
    <w:rsid w:val="00581330"/>
    <w:rsid w:val="005814B8"/>
    <w:rsid w:val="005816AC"/>
    <w:rsid w:val="0058179F"/>
    <w:rsid w:val="005818DD"/>
    <w:rsid w:val="0058197F"/>
    <w:rsid w:val="00581982"/>
    <w:rsid w:val="005819A6"/>
    <w:rsid w:val="00581D7B"/>
    <w:rsid w:val="00581F2D"/>
    <w:rsid w:val="00582053"/>
    <w:rsid w:val="005820D7"/>
    <w:rsid w:val="0058229C"/>
    <w:rsid w:val="0058233F"/>
    <w:rsid w:val="00582365"/>
    <w:rsid w:val="005823E8"/>
    <w:rsid w:val="005824D4"/>
    <w:rsid w:val="0058250A"/>
    <w:rsid w:val="005825FC"/>
    <w:rsid w:val="005827D8"/>
    <w:rsid w:val="005828E4"/>
    <w:rsid w:val="00582A06"/>
    <w:rsid w:val="00582B14"/>
    <w:rsid w:val="00582D1C"/>
    <w:rsid w:val="00582E04"/>
    <w:rsid w:val="00583026"/>
    <w:rsid w:val="005830F3"/>
    <w:rsid w:val="00583142"/>
    <w:rsid w:val="0058320C"/>
    <w:rsid w:val="0058360D"/>
    <w:rsid w:val="005838A1"/>
    <w:rsid w:val="00583994"/>
    <w:rsid w:val="00583A43"/>
    <w:rsid w:val="00583B10"/>
    <w:rsid w:val="00583BE1"/>
    <w:rsid w:val="00583C80"/>
    <w:rsid w:val="00583D74"/>
    <w:rsid w:val="00583D79"/>
    <w:rsid w:val="00583F29"/>
    <w:rsid w:val="00583FAA"/>
    <w:rsid w:val="0058413B"/>
    <w:rsid w:val="005841DF"/>
    <w:rsid w:val="005845D7"/>
    <w:rsid w:val="00584626"/>
    <w:rsid w:val="005848FE"/>
    <w:rsid w:val="00584963"/>
    <w:rsid w:val="00584A19"/>
    <w:rsid w:val="00584AD2"/>
    <w:rsid w:val="00584F13"/>
    <w:rsid w:val="00585208"/>
    <w:rsid w:val="005852C4"/>
    <w:rsid w:val="0058533A"/>
    <w:rsid w:val="00585451"/>
    <w:rsid w:val="005855C7"/>
    <w:rsid w:val="005857CC"/>
    <w:rsid w:val="005857E2"/>
    <w:rsid w:val="005859FA"/>
    <w:rsid w:val="00585AD6"/>
    <w:rsid w:val="00585B88"/>
    <w:rsid w:val="00585C1B"/>
    <w:rsid w:val="00585C84"/>
    <w:rsid w:val="00585F0F"/>
    <w:rsid w:val="00585FA8"/>
    <w:rsid w:val="005861BF"/>
    <w:rsid w:val="0058627B"/>
    <w:rsid w:val="00586548"/>
    <w:rsid w:val="005867FF"/>
    <w:rsid w:val="00586858"/>
    <w:rsid w:val="00586A8A"/>
    <w:rsid w:val="00586AED"/>
    <w:rsid w:val="00586B6E"/>
    <w:rsid w:val="00586BAE"/>
    <w:rsid w:val="005870A7"/>
    <w:rsid w:val="00587639"/>
    <w:rsid w:val="00587643"/>
    <w:rsid w:val="005876A1"/>
    <w:rsid w:val="0058772C"/>
    <w:rsid w:val="0058778D"/>
    <w:rsid w:val="0058787E"/>
    <w:rsid w:val="0058792D"/>
    <w:rsid w:val="00587A82"/>
    <w:rsid w:val="00587B01"/>
    <w:rsid w:val="00587B9D"/>
    <w:rsid w:val="00587E67"/>
    <w:rsid w:val="00587FF7"/>
    <w:rsid w:val="00590004"/>
    <w:rsid w:val="0059006C"/>
    <w:rsid w:val="005900BE"/>
    <w:rsid w:val="0059025D"/>
    <w:rsid w:val="00590402"/>
    <w:rsid w:val="005904DB"/>
    <w:rsid w:val="00590545"/>
    <w:rsid w:val="005905F7"/>
    <w:rsid w:val="0059067F"/>
    <w:rsid w:val="005908C5"/>
    <w:rsid w:val="00590943"/>
    <w:rsid w:val="005909BC"/>
    <w:rsid w:val="00590E0C"/>
    <w:rsid w:val="00590FE1"/>
    <w:rsid w:val="005910D7"/>
    <w:rsid w:val="005911DA"/>
    <w:rsid w:val="005914ED"/>
    <w:rsid w:val="00591541"/>
    <w:rsid w:val="005915FD"/>
    <w:rsid w:val="0059175B"/>
    <w:rsid w:val="005917C5"/>
    <w:rsid w:val="00591956"/>
    <w:rsid w:val="00591A60"/>
    <w:rsid w:val="00591AA4"/>
    <w:rsid w:val="00591AA5"/>
    <w:rsid w:val="00591B8A"/>
    <w:rsid w:val="00591E28"/>
    <w:rsid w:val="00591EAD"/>
    <w:rsid w:val="00591FEA"/>
    <w:rsid w:val="005921AB"/>
    <w:rsid w:val="00592246"/>
    <w:rsid w:val="0059242D"/>
    <w:rsid w:val="005924AB"/>
    <w:rsid w:val="00592526"/>
    <w:rsid w:val="00592638"/>
    <w:rsid w:val="0059266B"/>
    <w:rsid w:val="00592770"/>
    <w:rsid w:val="00592983"/>
    <w:rsid w:val="00592D25"/>
    <w:rsid w:val="00592E9A"/>
    <w:rsid w:val="00593035"/>
    <w:rsid w:val="00593138"/>
    <w:rsid w:val="00593167"/>
    <w:rsid w:val="0059318D"/>
    <w:rsid w:val="0059320D"/>
    <w:rsid w:val="0059323A"/>
    <w:rsid w:val="00593289"/>
    <w:rsid w:val="0059328E"/>
    <w:rsid w:val="00593465"/>
    <w:rsid w:val="00593700"/>
    <w:rsid w:val="0059379C"/>
    <w:rsid w:val="00593910"/>
    <w:rsid w:val="00593A33"/>
    <w:rsid w:val="00593AC3"/>
    <w:rsid w:val="00593BBE"/>
    <w:rsid w:val="00593C2D"/>
    <w:rsid w:val="00593F08"/>
    <w:rsid w:val="005940D2"/>
    <w:rsid w:val="005941DC"/>
    <w:rsid w:val="00594217"/>
    <w:rsid w:val="0059437B"/>
    <w:rsid w:val="00594705"/>
    <w:rsid w:val="00594756"/>
    <w:rsid w:val="005947AF"/>
    <w:rsid w:val="005947B5"/>
    <w:rsid w:val="00594828"/>
    <w:rsid w:val="00594886"/>
    <w:rsid w:val="00594998"/>
    <w:rsid w:val="00594B56"/>
    <w:rsid w:val="00594BDD"/>
    <w:rsid w:val="00594C4B"/>
    <w:rsid w:val="00594FD5"/>
    <w:rsid w:val="00595033"/>
    <w:rsid w:val="00595255"/>
    <w:rsid w:val="00595272"/>
    <w:rsid w:val="0059528B"/>
    <w:rsid w:val="005952A6"/>
    <w:rsid w:val="005952DC"/>
    <w:rsid w:val="005953B1"/>
    <w:rsid w:val="0059578C"/>
    <w:rsid w:val="005958C2"/>
    <w:rsid w:val="005959BE"/>
    <w:rsid w:val="00595AFD"/>
    <w:rsid w:val="00595B14"/>
    <w:rsid w:val="00595B5C"/>
    <w:rsid w:val="00595C14"/>
    <w:rsid w:val="00595D6B"/>
    <w:rsid w:val="005960BB"/>
    <w:rsid w:val="005961FD"/>
    <w:rsid w:val="00596451"/>
    <w:rsid w:val="0059645F"/>
    <w:rsid w:val="005964DD"/>
    <w:rsid w:val="0059654C"/>
    <w:rsid w:val="00596876"/>
    <w:rsid w:val="005968E2"/>
    <w:rsid w:val="00596960"/>
    <w:rsid w:val="005969D5"/>
    <w:rsid w:val="00596AE2"/>
    <w:rsid w:val="00596AF1"/>
    <w:rsid w:val="00596E91"/>
    <w:rsid w:val="00596F6F"/>
    <w:rsid w:val="0059704D"/>
    <w:rsid w:val="005971BF"/>
    <w:rsid w:val="00597246"/>
    <w:rsid w:val="005972BA"/>
    <w:rsid w:val="00597407"/>
    <w:rsid w:val="0059745E"/>
    <w:rsid w:val="005974A7"/>
    <w:rsid w:val="00597715"/>
    <w:rsid w:val="005979CA"/>
    <w:rsid w:val="00597A94"/>
    <w:rsid w:val="00597A9A"/>
    <w:rsid w:val="00597D2F"/>
    <w:rsid w:val="00597D54"/>
    <w:rsid w:val="00597E9C"/>
    <w:rsid w:val="00597EF7"/>
    <w:rsid w:val="00597FE2"/>
    <w:rsid w:val="005A012B"/>
    <w:rsid w:val="005A0294"/>
    <w:rsid w:val="005A0369"/>
    <w:rsid w:val="005A0449"/>
    <w:rsid w:val="005A0496"/>
    <w:rsid w:val="005A04C2"/>
    <w:rsid w:val="005A0727"/>
    <w:rsid w:val="005A0732"/>
    <w:rsid w:val="005A0C6C"/>
    <w:rsid w:val="005A0D49"/>
    <w:rsid w:val="005A0FDC"/>
    <w:rsid w:val="005A103D"/>
    <w:rsid w:val="005A1068"/>
    <w:rsid w:val="005A1100"/>
    <w:rsid w:val="005A150E"/>
    <w:rsid w:val="005A156C"/>
    <w:rsid w:val="005A1648"/>
    <w:rsid w:val="005A16B1"/>
    <w:rsid w:val="005A18BB"/>
    <w:rsid w:val="005A18E3"/>
    <w:rsid w:val="005A1D06"/>
    <w:rsid w:val="005A1EF5"/>
    <w:rsid w:val="005A1FE9"/>
    <w:rsid w:val="005A2106"/>
    <w:rsid w:val="005A2188"/>
    <w:rsid w:val="005A22FA"/>
    <w:rsid w:val="005A2591"/>
    <w:rsid w:val="005A2879"/>
    <w:rsid w:val="005A2A21"/>
    <w:rsid w:val="005A2AB6"/>
    <w:rsid w:val="005A2B10"/>
    <w:rsid w:val="005A2CDD"/>
    <w:rsid w:val="005A2E95"/>
    <w:rsid w:val="005A2EAF"/>
    <w:rsid w:val="005A2F36"/>
    <w:rsid w:val="005A2FFA"/>
    <w:rsid w:val="005A31E0"/>
    <w:rsid w:val="005A320E"/>
    <w:rsid w:val="005A341B"/>
    <w:rsid w:val="005A368E"/>
    <w:rsid w:val="005A36B5"/>
    <w:rsid w:val="005A3937"/>
    <w:rsid w:val="005A3A3C"/>
    <w:rsid w:val="005A3ACF"/>
    <w:rsid w:val="005A3BAE"/>
    <w:rsid w:val="005A3E35"/>
    <w:rsid w:val="005A3E52"/>
    <w:rsid w:val="005A3EF6"/>
    <w:rsid w:val="005A3F8E"/>
    <w:rsid w:val="005A4047"/>
    <w:rsid w:val="005A40E5"/>
    <w:rsid w:val="005A410D"/>
    <w:rsid w:val="005A42BA"/>
    <w:rsid w:val="005A431A"/>
    <w:rsid w:val="005A4384"/>
    <w:rsid w:val="005A476E"/>
    <w:rsid w:val="005A480A"/>
    <w:rsid w:val="005A48AB"/>
    <w:rsid w:val="005A49EE"/>
    <w:rsid w:val="005A4A1A"/>
    <w:rsid w:val="005A4A2C"/>
    <w:rsid w:val="005A4C84"/>
    <w:rsid w:val="005A4E3D"/>
    <w:rsid w:val="005A4F75"/>
    <w:rsid w:val="005A502C"/>
    <w:rsid w:val="005A5205"/>
    <w:rsid w:val="005A5556"/>
    <w:rsid w:val="005A5612"/>
    <w:rsid w:val="005A5724"/>
    <w:rsid w:val="005A585A"/>
    <w:rsid w:val="005A58D1"/>
    <w:rsid w:val="005A58EC"/>
    <w:rsid w:val="005A5BFD"/>
    <w:rsid w:val="005A5C2B"/>
    <w:rsid w:val="005A5C98"/>
    <w:rsid w:val="005A5D83"/>
    <w:rsid w:val="005A6319"/>
    <w:rsid w:val="005A63FE"/>
    <w:rsid w:val="005A6425"/>
    <w:rsid w:val="005A6575"/>
    <w:rsid w:val="005A6723"/>
    <w:rsid w:val="005A6730"/>
    <w:rsid w:val="005A681F"/>
    <w:rsid w:val="005A6836"/>
    <w:rsid w:val="005A68FA"/>
    <w:rsid w:val="005A6905"/>
    <w:rsid w:val="005A6CA9"/>
    <w:rsid w:val="005A7012"/>
    <w:rsid w:val="005A713D"/>
    <w:rsid w:val="005A724E"/>
    <w:rsid w:val="005A73FB"/>
    <w:rsid w:val="005A746C"/>
    <w:rsid w:val="005A766B"/>
    <w:rsid w:val="005A7831"/>
    <w:rsid w:val="005A7A5E"/>
    <w:rsid w:val="005A7AE0"/>
    <w:rsid w:val="005A7CBE"/>
    <w:rsid w:val="005A7EA7"/>
    <w:rsid w:val="005A7F94"/>
    <w:rsid w:val="005A7FCC"/>
    <w:rsid w:val="005B00B3"/>
    <w:rsid w:val="005B022A"/>
    <w:rsid w:val="005B034D"/>
    <w:rsid w:val="005B0375"/>
    <w:rsid w:val="005B0519"/>
    <w:rsid w:val="005B0548"/>
    <w:rsid w:val="005B0602"/>
    <w:rsid w:val="005B0659"/>
    <w:rsid w:val="005B07F5"/>
    <w:rsid w:val="005B0826"/>
    <w:rsid w:val="005B08E3"/>
    <w:rsid w:val="005B0A28"/>
    <w:rsid w:val="005B0A73"/>
    <w:rsid w:val="005B0A81"/>
    <w:rsid w:val="005B0BDA"/>
    <w:rsid w:val="005B0C81"/>
    <w:rsid w:val="005B0CB3"/>
    <w:rsid w:val="005B0CFA"/>
    <w:rsid w:val="005B0D4A"/>
    <w:rsid w:val="005B0D92"/>
    <w:rsid w:val="005B0DC1"/>
    <w:rsid w:val="005B0DFA"/>
    <w:rsid w:val="005B0F17"/>
    <w:rsid w:val="005B0FFC"/>
    <w:rsid w:val="005B11DF"/>
    <w:rsid w:val="005B1274"/>
    <w:rsid w:val="005B1319"/>
    <w:rsid w:val="005B1462"/>
    <w:rsid w:val="005B158F"/>
    <w:rsid w:val="005B1AE7"/>
    <w:rsid w:val="005B1B0C"/>
    <w:rsid w:val="005B1C07"/>
    <w:rsid w:val="005B1C0C"/>
    <w:rsid w:val="005B1DA5"/>
    <w:rsid w:val="005B1DF2"/>
    <w:rsid w:val="005B1EF1"/>
    <w:rsid w:val="005B228A"/>
    <w:rsid w:val="005B22FF"/>
    <w:rsid w:val="005B233A"/>
    <w:rsid w:val="005B234D"/>
    <w:rsid w:val="005B242B"/>
    <w:rsid w:val="005B25AC"/>
    <w:rsid w:val="005B25DA"/>
    <w:rsid w:val="005B27C4"/>
    <w:rsid w:val="005B2BA8"/>
    <w:rsid w:val="005B2C18"/>
    <w:rsid w:val="005B2C48"/>
    <w:rsid w:val="005B2C5C"/>
    <w:rsid w:val="005B2C69"/>
    <w:rsid w:val="005B2DA4"/>
    <w:rsid w:val="005B2EAB"/>
    <w:rsid w:val="005B2EC4"/>
    <w:rsid w:val="005B2FE8"/>
    <w:rsid w:val="005B304C"/>
    <w:rsid w:val="005B30A5"/>
    <w:rsid w:val="005B30D9"/>
    <w:rsid w:val="005B30F0"/>
    <w:rsid w:val="005B3277"/>
    <w:rsid w:val="005B3343"/>
    <w:rsid w:val="005B3432"/>
    <w:rsid w:val="005B34B5"/>
    <w:rsid w:val="005B34DC"/>
    <w:rsid w:val="005B3518"/>
    <w:rsid w:val="005B3614"/>
    <w:rsid w:val="005B3632"/>
    <w:rsid w:val="005B369F"/>
    <w:rsid w:val="005B377A"/>
    <w:rsid w:val="005B3B1F"/>
    <w:rsid w:val="005B3BD6"/>
    <w:rsid w:val="005B3C12"/>
    <w:rsid w:val="005B4011"/>
    <w:rsid w:val="005B40B9"/>
    <w:rsid w:val="005B4265"/>
    <w:rsid w:val="005B4365"/>
    <w:rsid w:val="005B44C9"/>
    <w:rsid w:val="005B4633"/>
    <w:rsid w:val="005B474C"/>
    <w:rsid w:val="005B474F"/>
    <w:rsid w:val="005B48D1"/>
    <w:rsid w:val="005B490D"/>
    <w:rsid w:val="005B4917"/>
    <w:rsid w:val="005B4A34"/>
    <w:rsid w:val="005B4CA5"/>
    <w:rsid w:val="005B4ECC"/>
    <w:rsid w:val="005B4F11"/>
    <w:rsid w:val="005B4FEE"/>
    <w:rsid w:val="005B5014"/>
    <w:rsid w:val="005B50C8"/>
    <w:rsid w:val="005B5126"/>
    <w:rsid w:val="005B53D0"/>
    <w:rsid w:val="005B5434"/>
    <w:rsid w:val="005B5439"/>
    <w:rsid w:val="005B5A05"/>
    <w:rsid w:val="005B5B7F"/>
    <w:rsid w:val="005B5E24"/>
    <w:rsid w:val="005B5E26"/>
    <w:rsid w:val="005B6060"/>
    <w:rsid w:val="005B6312"/>
    <w:rsid w:val="005B63C3"/>
    <w:rsid w:val="005B6432"/>
    <w:rsid w:val="005B64E9"/>
    <w:rsid w:val="005B6551"/>
    <w:rsid w:val="005B656F"/>
    <w:rsid w:val="005B65D7"/>
    <w:rsid w:val="005B6618"/>
    <w:rsid w:val="005B671F"/>
    <w:rsid w:val="005B695C"/>
    <w:rsid w:val="005B6A1E"/>
    <w:rsid w:val="005B6B46"/>
    <w:rsid w:val="005B6B7C"/>
    <w:rsid w:val="005B6CE6"/>
    <w:rsid w:val="005B6CF9"/>
    <w:rsid w:val="005B6ED2"/>
    <w:rsid w:val="005B7135"/>
    <w:rsid w:val="005B71AC"/>
    <w:rsid w:val="005B71B0"/>
    <w:rsid w:val="005B729B"/>
    <w:rsid w:val="005B72A2"/>
    <w:rsid w:val="005B7404"/>
    <w:rsid w:val="005B7548"/>
    <w:rsid w:val="005B76C5"/>
    <w:rsid w:val="005B76F0"/>
    <w:rsid w:val="005B788C"/>
    <w:rsid w:val="005B78C4"/>
    <w:rsid w:val="005B791C"/>
    <w:rsid w:val="005B7A34"/>
    <w:rsid w:val="005B7A7A"/>
    <w:rsid w:val="005B7B0F"/>
    <w:rsid w:val="005B7D6C"/>
    <w:rsid w:val="005B7F9F"/>
    <w:rsid w:val="005C00C9"/>
    <w:rsid w:val="005C00E1"/>
    <w:rsid w:val="005C02CA"/>
    <w:rsid w:val="005C02F8"/>
    <w:rsid w:val="005C031F"/>
    <w:rsid w:val="005C0350"/>
    <w:rsid w:val="005C0357"/>
    <w:rsid w:val="005C0368"/>
    <w:rsid w:val="005C0576"/>
    <w:rsid w:val="005C05B3"/>
    <w:rsid w:val="005C06F2"/>
    <w:rsid w:val="005C082F"/>
    <w:rsid w:val="005C0840"/>
    <w:rsid w:val="005C0940"/>
    <w:rsid w:val="005C0BE9"/>
    <w:rsid w:val="005C0BF2"/>
    <w:rsid w:val="005C0C79"/>
    <w:rsid w:val="005C0D71"/>
    <w:rsid w:val="005C0DEA"/>
    <w:rsid w:val="005C0E75"/>
    <w:rsid w:val="005C112B"/>
    <w:rsid w:val="005C14B0"/>
    <w:rsid w:val="005C15D7"/>
    <w:rsid w:val="005C1630"/>
    <w:rsid w:val="005C163E"/>
    <w:rsid w:val="005C1641"/>
    <w:rsid w:val="005C1655"/>
    <w:rsid w:val="005C1656"/>
    <w:rsid w:val="005C1658"/>
    <w:rsid w:val="005C175A"/>
    <w:rsid w:val="005C18A8"/>
    <w:rsid w:val="005C196F"/>
    <w:rsid w:val="005C1B63"/>
    <w:rsid w:val="005C1C15"/>
    <w:rsid w:val="005C1D2F"/>
    <w:rsid w:val="005C2251"/>
    <w:rsid w:val="005C227A"/>
    <w:rsid w:val="005C2291"/>
    <w:rsid w:val="005C23A8"/>
    <w:rsid w:val="005C2496"/>
    <w:rsid w:val="005C24BF"/>
    <w:rsid w:val="005C2691"/>
    <w:rsid w:val="005C27B2"/>
    <w:rsid w:val="005C2A5E"/>
    <w:rsid w:val="005C2A65"/>
    <w:rsid w:val="005C2AC6"/>
    <w:rsid w:val="005C2C03"/>
    <w:rsid w:val="005C2D26"/>
    <w:rsid w:val="005C2E2C"/>
    <w:rsid w:val="005C2EA6"/>
    <w:rsid w:val="005C2F3A"/>
    <w:rsid w:val="005C3056"/>
    <w:rsid w:val="005C31A3"/>
    <w:rsid w:val="005C32C3"/>
    <w:rsid w:val="005C3325"/>
    <w:rsid w:val="005C385D"/>
    <w:rsid w:val="005C38A7"/>
    <w:rsid w:val="005C38DE"/>
    <w:rsid w:val="005C3E06"/>
    <w:rsid w:val="005C4174"/>
    <w:rsid w:val="005C4249"/>
    <w:rsid w:val="005C45CC"/>
    <w:rsid w:val="005C4653"/>
    <w:rsid w:val="005C4707"/>
    <w:rsid w:val="005C471C"/>
    <w:rsid w:val="005C4B12"/>
    <w:rsid w:val="005C4C2C"/>
    <w:rsid w:val="005C4CC2"/>
    <w:rsid w:val="005C5065"/>
    <w:rsid w:val="005C54A0"/>
    <w:rsid w:val="005C552D"/>
    <w:rsid w:val="005C55CB"/>
    <w:rsid w:val="005C56E6"/>
    <w:rsid w:val="005C576C"/>
    <w:rsid w:val="005C57F9"/>
    <w:rsid w:val="005C5B92"/>
    <w:rsid w:val="005C5C15"/>
    <w:rsid w:val="005C5CC6"/>
    <w:rsid w:val="005C5EFE"/>
    <w:rsid w:val="005C5F42"/>
    <w:rsid w:val="005C5FD8"/>
    <w:rsid w:val="005C614A"/>
    <w:rsid w:val="005C6298"/>
    <w:rsid w:val="005C6312"/>
    <w:rsid w:val="005C63D5"/>
    <w:rsid w:val="005C6727"/>
    <w:rsid w:val="005C69D5"/>
    <w:rsid w:val="005C6A66"/>
    <w:rsid w:val="005C6D5F"/>
    <w:rsid w:val="005C6DBD"/>
    <w:rsid w:val="005C6E34"/>
    <w:rsid w:val="005C6F2D"/>
    <w:rsid w:val="005C7215"/>
    <w:rsid w:val="005C7251"/>
    <w:rsid w:val="005C73C4"/>
    <w:rsid w:val="005C754C"/>
    <w:rsid w:val="005C756E"/>
    <w:rsid w:val="005C79BC"/>
    <w:rsid w:val="005C7CF5"/>
    <w:rsid w:val="005C7CFD"/>
    <w:rsid w:val="005C7E98"/>
    <w:rsid w:val="005D00EA"/>
    <w:rsid w:val="005D0186"/>
    <w:rsid w:val="005D01F9"/>
    <w:rsid w:val="005D023B"/>
    <w:rsid w:val="005D02C8"/>
    <w:rsid w:val="005D0445"/>
    <w:rsid w:val="005D06E8"/>
    <w:rsid w:val="005D0703"/>
    <w:rsid w:val="005D077E"/>
    <w:rsid w:val="005D082A"/>
    <w:rsid w:val="005D08DB"/>
    <w:rsid w:val="005D08F7"/>
    <w:rsid w:val="005D0BCA"/>
    <w:rsid w:val="005D0BD8"/>
    <w:rsid w:val="005D0C85"/>
    <w:rsid w:val="005D0CB9"/>
    <w:rsid w:val="005D0CED"/>
    <w:rsid w:val="005D0D53"/>
    <w:rsid w:val="005D0E42"/>
    <w:rsid w:val="005D0ED8"/>
    <w:rsid w:val="005D0F65"/>
    <w:rsid w:val="005D151D"/>
    <w:rsid w:val="005D1637"/>
    <w:rsid w:val="005D1688"/>
    <w:rsid w:val="005D19A3"/>
    <w:rsid w:val="005D1AB7"/>
    <w:rsid w:val="005D1BA0"/>
    <w:rsid w:val="005D1C24"/>
    <w:rsid w:val="005D1DA3"/>
    <w:rsid w:val="005D1E12"/>
    <w:rsid w:val="005D1E3A"/>
    <w:rsid w:val="005D1EA2"/>
    <w:rsid w:val="005D200A"/>
    <w:rsid w:val="005D2057"/>
    <w:rsid w:val="005D229B"/>
    <w:rsid w:val="005D2304"/>
    <w:rsid w:val="005D2404"/>
    <w:rsid w:val="005D25D5"/>
    <w:rsid w:val="005D279E"/>
    <w:rsid w:val="005D2A86"/>
    <w:rsid w:val="005D2A94"/>
    <w:rsid w:val="005D2B8B"/>
    <w:rsid w:val="005D2C5F"/>
    <w:rsid w:val="005D2F94"/>
    <w:rsid w:val="005D2FBE"/>
    <w:rsid w:val="005D30B5"/>
    <w:rsid w:val="005D3132"/>
    <w:rsid w:val="005D31CB"/>
    <w:rsid w:val="005D31D1"/>
    <w:rsid w:val="005D31E9"/>
    <w:rsid w:val="005D32C7"/>
    <w:rsid w:val="005D3338"/>
    <w:rsid w:val="005D3577"/>
    <w:rsid w:val="005D3903"/>
    <w:rsid w:val="005D3A04"/>
    <w:rsid w:val="005D3B55"/>
    <w:rsid w:val="005D3BF1"/>
    <w:rsid w:val="005D3C26"/>
    <w:rsid w:val="005D3C74"/>
    <w:rsid w:val="005D3D68"/>
    <w:rsid w:val="005D3FE2"/>
    <w:rsid w:val="005D415C"/>
    <w:rsid w:val="005D445C"/>
    <w:rsid w:val="005D44A7"/>
    <w:rsid w:val="005D46BF"/>
    <w:rsid w:val="005D46C8"/>
    <w:rsid w:val="005D47F8"/>
    <w:rsid w:val="005D484E"/>
    <w:rsid w:val="005D4881"/>
    <w:rsid w:val="005D48FE"/>
    <w:rsid w:val="005D499A"/>
    <w:rsid w:val="005D4A01"/>
    <w:rsid w:val="005D4B70"/>
    <w:rsid w:val="005D5162"/>
    <w:rsid w:val="005D5251"/>
    <w:rsid w:val="005D527E"/>
    <w:rsid w:val="005D5411"/>
    <w:rsid w:val="005D565C"/>
    <w:rsid w:val="005D57DC"/>
    <w:rsid w:val="005D58C7"/>
    <w:rsid w:val="005D594D"/>
    <w:rsid w:val="005D596B"/>
    <w:rsid w:val="005D596F"/>
    <w:rsid w:val="005D5A41"/>
    <w:rsid w:val="005D5BC7"/>
    <w:rsid w:val="005D5CE3"/>
    <w:rsid w:val="005D5D02"/>
    <w:rsid w:val="005D5F8B"/>
    <w:rsid w:val="005D6108"/>
    <w:rsid w:val="005D6314"/>
    <w:rsid w:val="005D6514"/>
    <w:rsid w:val="005D6588"/>
    <w:rsid w:val="005D6859"/>
    <w:rsid w:val="005D6929"/>
    <w:rsid w:val="005D6A87"/>
    <w:rsid w:val="005D6B0D"/>
    <w:rsid w:val="005D6B77"/>
    <w:rsid w:val="005D6D33"/>
    <w:rsid w:val="005D6E01"/>
    <w:rsid w:val="005D6E13"/>
    <w:rsid w:val="005D705A"/>
    <w:rsid w:val="005D70A6"/>
    <w:rsid w:val="005D71FB"/>
    <w:rsid w:val="005D72BB"/>
    <w:rsid w:val="005D7471"/>
    <w:rsid w:val="005D749D"/>
    <w:rsid w:val="005D7634"/>
    <w:rsid w:val="005D768C"/>
    <w:rsid w:val="005D7983"/>
    <w:rsid w:val="005D7A90"/>
    <w:rsid w:val="005D7B0D"/>
    <w:rsid w:val="005D7C19"/>
    <w:rsid w:val="005E0355"/>
    <w:rsid w:val="005E05CB"/>
    <w:rsid w:val="005E068B"/>
    <w:rsid w:val="005E06EF"/>
    <w:rsid w:val="005E091B"/>
    <w:rsid w:val="005E09C5"/>
    <w:rsid w:val="005E0B32"/>
    <w:rsid w:val="005E0C0D"/>
    <w:rsid w:val="005E0E04"/>
    <w:rsid w:val="005E0FF6"/>
    <w:rsid w:val="005E1013"/>
    <w:rsid w:val="005E1173"/>
    <w:rsid w:val="005E121C"/>
    <w:rsid w:val="005E12F3"/>
    <w:rsid w:val="005E13B1"/>
    <w:rsid w:val="005E1662"/>
    <w:rsid w:val="005E1747"/>
    <w:rsid w:val="005E176A"/>
    <w:rsid w:val="005E188E"/>
    <w:rsid w:val="005E1A9C"/>
    <w:rsid w:val="005E1BB8"/>
    <w:rsid w:val="005E1BFF"/>
    <w:rsid w:val="005E1CED"/>
    <w:rsid w:val="005E1FA9"/>
    <w:rsid w:val="005E230A"/>
    <w:rsid w:val="005E254A"/>
    <w:rsid w:val="005E2702"/>
    <w:rsid w:val="005E2913"/>
    <w:rsid w:val="005E29D7"/>
    <w:rsid w:val="005E2AAD"/>
    <w:rsid w:val="005E2B79"/>
    <w:rsid w:val="005E2BB4"/>
    <w:rsid w:val="005E2C7A"/>
    <w:rsid w:val="005E2C95"/>
    <w:rsid w:val="005E2CCE"/>
    <w:rsid w:val="005E2D48"/>
    <w:rsid w:val="005E2E5F"/>
    <w:rsid w:val="005E2E61"/>
    <w:rsid w:val="005E2EE5"/>
    <w:rsid w:val="005E3104"/>
    <w:rsid w:val="005E3419"/>
    <w:rsid w:val="005E3492"/>
    <w:rsid w:val="005E3541"/>
    <w:rsid w:val="005E3593"/>
    <w:rsid w:val="005E3640"/>
    <w:rsid w:val="005E378B"/>
    <w:rsid w:val="005E37D0"/>
    <w:rsid w:val="005E3871"/>
    <w:rsid w:val="005E3A7B"/>
    <w:rsid w:val="005E3C0A"/>
    <w:rsid w:val="005E3C58"/>
    <w:rsid w:val="005E3C8F"/>
    <w:rsid w:val="005E3E68"/>
    <w:rsid w:val="005E3EA0"/>
    <w:rsid w:val="005E4083"/>
    <w:rsid w:val="005E4311"/>
    <w:rsid w:val="005E45BC"/>
    <w:rsid w:val="005E47CE"/>
    <w:rsid w:val="005E48A5"/>
    <w:rsid w:val="005E499C"/>
    <w:rsid w:val="005E49A4"/>
    <w:rsid w:val="005E4A20"/>
    <w:rsid w:val="005E4AE9"/>
    <w:rsid w:val="005E4CE8"/>
    <w:rsid w:val="005E4E02"/>
    <w:rsid w:val="005E4EBB"/>
    <w:rsid w:val="005E50E6"/>
    <w:rsid w:val="005E5176"/>
    <w:rsid w:val="005E51C4"/>
    <w:rsid w:val="005E5391"/>
    <w:rsid w:val="005E5400"/>
    <w:rsid w:val="005E5414"/>
    <w:rsid w:val="005E54FB"/>
    <w:rsid w:val="005E557A"/>
    <w:rsid w:val="005E558E"/>
    <w:rsid w:val="005E5667"/>
    <w:rsid w:val="005E56D1"/>
    <w:rsid w:val="005E5765"/>
    <w:rsid w:val="005E5784"/>
    <w:rsid w:val="005E5787"/>
    <w:rsid w:val="005E5874"/>
    <w:rsid w:val="005E5DB5"/>
    <w:rsid w:val="005E5E31"/>
    <w:rsid w:val="005E6013"/>
    <w:rsid w:val="005E625E"/>
    <w:rsid w:val="005E629A"/>
    <w:rsid w:val="005E62D7"/>
    <w:rsid w:val="005E6311"/>
    <w:rsid w:val="005E63E3"/>
    <w:rsid w:val="005E65A3"/>
    <w:rsid w:val="005E6936"/>
    <w:rsid w:val="005E696D"/>
    <w:rsid w:val="005E69FA"/>
    <w:rsid w:val="005E6D03"/>
    <w:rsid w:val="005E6D55"/>
    <w:rsid w:val="005E6F0D"/>
    <w:rsid w:val="005E6FF7"/>
    <w:rsid w:val="005E7040"/>
    <w:rsid w:val="005E706E"/>
    <w:rsid w:val="005E726A"/>
    <w:rsid w:val="005E727B"/>
    <w:rsid w:val="005E74EE"/>
    <w:rsid w:val="005E75D5"/>
    <w:rsid w:val="005E7858"/>
    <w:rsid w:val="005E7AD6"/>
    <w:rsid w:val="005E7B70"/>
    <w:rsid w:val="005E7BF4"/>
    <w:rsid w:val="005E7C05"/>
    <w:rsid w:val="005E7C1A"/>
    <w:rsid w:val="005E7C95"/>
    <w:rsid w:val="005E7CD9"/>
    <w:rsid w:val="005E7D91"/>
    <w:rsid w:val="005E7FC3"/>
    <w:rsid w:val="005F0005"/>
    <w:rsid w:val="005F01BB"/>
    <w:rsid w:val="005F0277"/>
    <w:rsid w:val="005F036A"/>
    <w:rsid w:val="005F0543"/>
    <w:rsid w:val="005F05BF"/>
    <w:rsid w:val="005F0677"/>
    <w:rsid w:val="005F067E"/>
    <w:rsid w:val="005F08CA"/>
    <w:rsid w:val="005F09EB"/>
    <w:rsid w:val="005F0B53"/>
    <w:rsid w:val="005F0BC5"/>
    <w:rsid w:val="005F0C45"/>
    <w:rsid w:val="005F0E17"/>
    <w:rsid w:val="005F0F95"/>
    <w:rsid w:val="005F102A"/>
    <w:rsid w:val="005F12A2"/>
    <w:rsid w:val="005F12A5"/>
    <w:rsid w:val="005F1555"/>
    <w:rsid w:val="005F18B2"/>
    <w:rsid w:val="005F1957"/>
    <w:rsid w:val="005F1B88"/>
    <w:rsid w:val="005F1D07"/>
    <w:rsid w:val="005F210A"/>
    <w:rsid w:val="005F234E"/>
    <w:rsid w:val="005F250A"/>
    <w:rsid w:val="005F2568"/>
    <w:rsid w:val="005F27B2"/>
    <w:rsid w:val="005F289A"/>
    <w:rsid w:val="005F28E0"/>
    <w:rsid w:val="005F2970"/>
    <w:rsid w:val="005F2978"/>
    <w:rsid w:val="005F2998"/>
    <w:rsid w:val="005F2B99"/>
    <w:rsid w:val="005F2C4E"/>
    <w:rsid w:val="005F2E2A"/>
    <w:rsid w:val="005F3222"/>
    <w:rsid w:val="005F33AC"/>
    <w:rsid w:val="005F3485"/>
    <w:rsid w:val="005F3702"/>
    <w:rsid w:val="005F38B0"/>
    <w:rsid w:val="005F38FE"/>
    <w:rsid w:val="005F3A05"/>
    <w:rsid w:val="005F3A28"/>
    <w:rsid w:val="005F3A4F"/>
    <w:rsid w:val="005F3ABC"/>
    <w:rsid w:val="005F3B2E"/>
    <w:rsid w:val="005F3B3C"/>
    <w:rsid w:val="005F3B98"/>
    <w:rsid w:val="005F3D66"/>
    <w:rsid w:val="005F40C5"/>
    <w:rsid w:val="005F417C"/>
    <w:rsid w:val="005F41A2"/>
    <w:rsid w:val="005F422B"/>
    <w:rsid w:val="005F42CA"/>
    <w:rsid w:val="005F42F5"/>
    <w:rsid w:val="005F4428"/>
    <w:rsid w:val="005F448D"/>
    <w:rsid w:val="005F44E3"/>
    <w:rsid w:val="005F45B7"/>
    <w:rsid w:val="005F460B"/>
    <w:rsid w:val="005F4703"/>
    <w:rsid w:val="005F4721"/>
    <w:rsid w:val="005F4726"/>
    <w:rsid w:val="005F4778"/>
    <w:rsid w:val="005F493B"/>
    <w:rsid w:val="005F4976"/>
    <w:rsid w:val="005F49CA"/>
    <w:rsid w:val="005F4A7B"/>
    <w:rsid w:val="005F4BE7"/>
    <w:rsid w:val="005F4C3E"/>
    <w:rsid w:val="005F4D29"/>
    <w:rsid w:val="005F4D8D"/>
    <w:rsid w:val="005F4F27"/>
    <w:rsid w:val="005F4F7E"/>
    <w:rsid w:val="005F530A"/>
    <w:rsid w:val="005F5327"/>
    <w:rsid w:val="005F53A6"/>
    <w:rsid w:val="005F54BF"/>
    <w:rsid w:val="005F56FF"/>
    <w:rsid w:val="005F593F"/>
    <w:rsid w:val="005F5A3D"/>
    <w:rsid w:val="005F5A66"/>
    <w:rsid w:val="005F5A67"/>
    <w:rsid w:val="005F5CCB"/>
    <w:rsid w:val="005F5CD8"/>
    <w:rsid w:val="005F5D95"/>
    <w:rsid w:val="005F5EE2"/>
    <w:rsid w:val="005F5F4F"/>
    <w:rsid w:val="005F5F5A"/>
    <w:rsid w:val="005F5FF6"/>
    <w:rsid w:val="005F6079"/>
    <w:rsid w:val="005F611E"/>
    <w:rsid w:val="005F624B"/>
    <w:rsid w:val="005F637E"/>
    <w:rsid w:val="005F63DF"/>
    <w:rsid w:val="005F6464"/>
    <w:rsid w:val="005F652A"/>
    <w:rsid w:val="005F67E2"/>
    <w:rsid w:val="005F6877"/>
    <w:rsid w:val="005F69BF"/>
    <w:rsid w:val="005F6ACF"/>
    <w:rsid w:val="005F6E5B"/>
    <w:rsid w:val="005F6E9A"/>
    <w:rsid w:val="005F6F68"/>
    <w:rsid w:val="005F720A"/>
    <w:rsid w:val="005F7387"/>
    <w:rsid w:val="005F7489"/>
    <w:rsid w:val="005F74CB"/>
    <w:rsid w:val="005F7511"/>
    <w:rsid w:val="005F756F"/>
    <w:rsid w:val="005F7642"/>
    <w:rsid w:val="005F7714"/>
    <w:rsid w:val="005F79DF"/>
    <w:rsid w:val="005F7C97"/>
    <w:rsid w:val="005F7D72"/>
    <w:rsid w:val="005F7E37"/>
    <w:rsid w:val="005F7FED"/>
    <w:rsid w:val="00600134"/>
    <w:rsid w:val="006002E6"/>
    <w:rsid w:val="00600331"/>
    <w:rsid w:val="00600554"/>
    <w:rsid w:val="006005E3"/>
    <w:rsid w:val="0060062D"/>
    <w:rsid w:val="006006F2"/>
    <w:rsid w:val="0060076B"/>
    <w:rsid w:val="006007E6"/>
    <w:rsid w:val="00600996"/>
    <w:rsid w:val="00600AE4"/>
    <w:rsid w:val="00600B4D"/>
    <w:rsid w:val="00600BCF"/>
    <w:rsid w:val="00600CC4"/>
    <w:rsid w:val="00600DE7"/>
    <w:rsid w:val="00600EF8"/>
    <w:rsid w:val="00600F06"/>
    <w:rsid w:val="00601154"/>
    <w:rsid w:val="0060118C"/>
    <w:rsid w:val="0060120A"/>
    <w:rsid w:val="0060134C"/>
    <w:rsid w:val="00601618"/>
    <w:rsid w:val="00601637"/>
    <w:rsid w:val="00601885"/>
    <w:rsid w:val="006019FE"/>
    <w:rsid w:val="00601A3D"/>
    <w:rsid w:val="00601B59"/>
    <w:rsid w:val="00601C8F"/>
    <w:rsid w:val="00601D36"/>
    <w:rsid w:val="00601D59"/>
    <w:rsid w:val="00601D88"/>
    <w:rsid w:val="00601DBC"/>
    <w:rsid w:val="00602045"/>
    <w:rsid w:val="00602202"/>
    <w:rsid w:val="0060224E"/>
    <w:rsid w:val="00602343"/>
    <w:rsid w:val="00602345"/>
    <w:rsid w:val="0060259A"/>
    <w:rsid w:val="006027EE"/>
    <w:rsid w:val="006028D1"/>
    <w:rsid w:val="0060294B"/>
    <w:rsid w:val="00602CED"/>
    <w:rsid w:val="00602E43"/>
    <w:rsid w:val="00602F43"/>
    <w:rsid w:val="006032AE"/>
    <w:rsid w:val="006032CE"/>
    <w:rsid w:val="006033C2"/>
    <w:rsid w:val="006034D8"/>
    <w:rsid w:val="0060356E"/>
    <w:rsid w:val="00603723"/>
    <w:rsid w:val="006037C3"/>
    <w:rsid w:val="00603858"/>
    <w:rsid w:val="006038C9"/>
    <w:rsid w:val="00603B08"/>
    <w:rsid w:val="00603B58"/>
    <w:rsid w:val="00603C25"/>
    <w:rsid w:val="00603CBE"/>
    <w:rsid w:val="00604071"/>
    <w:rsid w:val="0060407F"/>
    <w:rsid w:val="00604224"/>
    <w:rsid w:val="00604318"/>
    <w:rsid w:val="006043E8"/>
    <w:rsid w:val="006047D4"/>
    <w:rsid w:val="006048D5"/>
    <w:rsid w:val="006049F8"/>
    <w:rsid w:val="00604B11"/>
    <w:rsid w:val="00604C2E"/>
    <w:rsid w:val="00604CC0"/>
    <w:rsid w:val="00604CC8"/>
    <w:rsid w:val="00604E42"/>
    <w:rsid w:val="00604EE4"/>
    <w:rsid w:val="00604FD5"/>
    <w:rsid w:val="006052D4"/>
    <w:rsid w:val="00605507"/>
    <w:rsid w:val="00605756"/>
    <w:rsid w:val="00605776"/>
    <w:rsid w:val="006057B7"/>
    <w:rsid w:val="006057E0"/>
    <w:rsid w:val="006059DC"/>
    <w:rsid w:val="00605B22"/>
    <w:rsid w:val="00605B32"/>
    <w:rsid w:val="00605B43"/>
    <w:rsid w:val="00605BD6"/>
    <w:rsid w:val="00605C5A"/>
    <w:rsid w:val="00605D37"/>
    <w:rsid w:val="00605E2D"/>
    <w:rsid w:val="00605F93"/>
    <w:rsid w:val="006061D9"/>
    <w:rsid w:val="006064D2"/>
    <w:rsid w:val="006066AC"/>
    <w:rsid w:val="006066B3"/>
    <w:rsid w:val="00606999"/>
    <w:rsid w:val="00606A0B"/>
    <w:rsid w:val="00606A8B"/>
    <w:rsid w:val="00606AE1"/>
    <w:rsid w:val="00606B16"/>
    <w:rsid w:val="00606C1F"/>
    <w:rsid w:val="00606E3E"/>
    <w:rsid w:val="00606F13"/>
    <w:rsid w:val="00606FEE"/>
    <w:rsid w:val="00607126"/>
    <w:rsid w:val="0060718E"/>
    <w:rsid w:val="006074A7"/>
    <w:rsid w:val="00607525"/>
    <w:rsid w:val="00607786"/>
    <w:rsid w:val="00607791"/>
    <w:rsid w:val="00607795"/>
    <w:rsid w:val="00607811"/>
    <w:rsid w:val="00607898"/>
    <w:rsid w:val="006078C0"/>
    <w:rsid w:val="00607971"/>
    <w:rsid w:val="00607A19"/>
    <w:rsid w:val="00607D6F"/>
    <w:rsid w:val="00607D95"/>
    <w:rsid w:val="00607F22"/>
    <w:rsid w:val="00607F66"/>
    <w:rsid w:val="0061005D"/>
    <w:rsid w:val="00610162"/>
    <w:rsid w:val="00610177"/>
    <w:rsid w:val="00610303"/>
    <w:rsid w:val="006105DA"/>
    <w:rsid w:val="0061066C"/>
    <w:rsid w:val="006106FC"/>
    <w:rsid w:val="006108C3"/>
    <w:rsid w:val="00610972"/>
    <w:rsid w:val="00610ABA"/>
    <w:rsid w:val="00610E18"/>
    <w:rsid w:val="00611040"/>
    <w:rsid w:val="00611395"/>
    <w:rsid w:val="006113B8"/>
    <w:rsid w:val="006113D7"/>
    <w:rsid w:val="006113E5"/>
    <w:rsid w:val="006114F8"/>
    <w:rsid w:val="006115BF"/>
    <w:rsid w:val="00611767"/>
    <w:rsid w:val="006117E5"/>
    <w:rsid w:val="00611881"/>
    <w:rsid w:val="00611A2F"/>
    <w:rsid w:val="00611AB3"/>
    <w:rsid w:val="00611B26"/>
    <w:rsid w:val="00611C69"/>
    <w:rsid w:val="00611CC7"/>
    <w:rsid w:val="00611D6C"/>
    <w:rsid w:val="00611D79"/>
    <w:rsid w:val="0061212D"/>
    <w:rsid w:val="00612186"/>
    <w:rsid w:val="006124C9"/>
    <w:rsid w:val="00612619"/>
    <w:rsid w:val="00612679"/>
    <w:rsid w:val="00612777"/>
    <w:rsid w:val="006129C3"/>
    <w:rsid w:val="006129CF"/>
    <w:rsid w:val="00612B0E"/>
    <w:rsid w:val="00612C69"/>
    <w:rsid w:val="00612E04"/>
    <w:rsid w:val="00613037"/>
    <w:rsid w:val="00613061"/>
    <w:rsid w:val="00613136"/>
    <w:rsid w:val="00613149"/>
    <w:rsid w:val="006131C2"/>
    <w:rsid w:val="006131DA"/>
    <w:rsid w:val="00613400"/>
    <w:rsid w:val="00613464"/>
    <w:rsid w:val="006135AB"/>
    <w:rsid w:val="006136F2"/>
    <w:rsid w:val="00613813"/>
    <w:rsid w:val="006138E4"/>
    <w:rsid w:val="00613906"/>
    <w:rsid w:val="006139A1"/>
    <w:rsid w:val="00613ACD"/>
    <w:rsid w:val="00613B8F"/>
    <w:rsid w:val="00613C3B"/>
    <w:rsid w:val="00613DB8"/>
    <w:rsid w:val="00613F1A"/>
    <w:rsid w:val="00614214"/>
    <w:rsid w:val="0061439E"/>
    <w:rsid w:val="006143B4"/>
    <w:rsid w:val="006143C1"/>
    <w:rsid w:val="00614444"/>
    <w:rsid w:val="006144F6"/>
    <w:rsid w:val="00614583"/>
    <w:rsid w:val="0061476C"/>
    <w:rsid w:val="006147F0"/>
    <w:rsid w:val="00614882"/>
    <w:rsid w:val="0061491F"/>
    <w:rsid w:val="00614AE0"/>
    <w:rsid w:val="00614B47"/>
    <w:rsid w:val="00614D3A"/>
    <w:rsid w:val="00614F51"/>
    <w:rsid w:val="006150DF"/>
    <w:rsid w:val="00615182"/>
    <w:rsid w:val="006151F8"/>
    <w:rsid w:val="00615264"/>
    <w:rsid w:val="0061528C"/>
    <w:rsid w:val="006152BE"/>
    <w:rsid w:val="00615391"/>
    <w:rsid w:val="006157D6"/>
    <w:rsid w:val="0061584F"/>
    <w:rsid w:val="00615871"/>
    <w:rsid w:val="00615A14"/>
    <w:rsid w:val="00615BD4"/>
    <w:rsid w:val="00615C4F"/>
    <w:rsid w:val="00615D4E"/>
    <w:rsid w:val="00615D6D"/>
    <w:rsid w:val="00615D79"/>
    <w:rsid w:val="00615E05"/>
    <w:rsid w:val="00615E76"/>
    <w:rsid w:val="00615FAF"/>
    <w:rsid w:val="00616050"/>
    <w:rsid w:val="00616407"/>
    <w:rsid w:val="00616518"/>
    <w:rsid w:val="00616680"/>
    <w:rsid w:val="0061670C"/>
    <w:rsid w:val="006168FC"/>
    <w:rsid w:val="00616924"/>
    <w:rsid w:val="00616A72"/>
    <w:rsid w:val="00616CC9"/>
    <w:rsid w:val="00616FB0"/>
    <w:rsid w:val="00616FED"/>
    <w:rsid w:val="0061712C"/>
    <w:rsid w:val="00617152"/>
    <w:rsid w:val="00617224"/>
    <w:rsid w:val="00617258"/>
    <w:rsid w:val="0061734C"/>
    <w:rsid w:val="006173AC"/>
    <w:rsid w:val="00617448"/>
    <w:rsid w:val="00617A09"/>
    <w:rsid w:val="00617E23"/>
    <w:rsid w:val="00617E56"/>
    <w:rsid w:val="006200EE"/>
    <w:rsid w:val="00620292"/>
    <w:rsid w:val="00620455"/>
    <w:rsid w:val="0062050E"/>
    <w:rsid w:val="006207E1"/>
    <w:rsid w:val="00620914"/>
    <w:rsid w:val="00620A47"/>
    <w:rsid w:val="00620BC9"/>
    <w:rsid w:val="00620CA0"/>
    <w:rsid w:val="00620CA9"/>
    <w:rsid w:val="00620D96"/>
    <w:rsid w:val="00620DE7"/>
    <w:rsid w:val="00620E5A"/>
    <w:rsid w:val="00620F93"/>
    <w:rsid w:val="006210AF"/>
    <w:rsid w:val="006210DB"/>
    <w:rsid w:val="0062111E"/>
    <w:rsid w:val="006215E3"/>
    <w:rsid w:val="00621A52"/>
    <w:rsid w:val="00621C93"/>
    <w:rsid w:val="00621E70"/>
    <w:rsid w:val="006221B4"/>
    <w:rsid w:val="006222AF"/>
    <w:rsid w:val="00622519"/>
    <w:rsid w:val="006226F8"/>
    <w:rsid w:val="006228D2"/>
    <w:rsid w:val="00622A2C"/>
    <w:rsid w:val="00622A92"/>
    <w:rsid w:val="00622AD5"/>
    <w:rsid w:val="00622B0D"/>
    <w:rsid w:val="00622B23"/>
    <w:rsid w:val="00622BD5"/>
    <w:rsid w:val="00622E1E"/>
    <w:rsid w:val="00622E3C"/>
    <w:rsid w:val="00622EFD"/>
    <w:rsid w:val="0062315C"/>
    <w:rsid w:val="00623265"/>
    <w:rsid w:val="006232AE"/>
    <w:rsid w:val="006232B0"/>
    <w:rsid w:val="0062345F"/>
    <w:rsid w:val="006235B1"/>
    <w:rsid w:val="006237A2"/>
    <w:rsid w:val="006239F3"/>
    <w:rsid w:val="00623D34"/>
    <w:rsid w:val="00623D99"/>
    <w:rsid w:val="00623DBD"/>
    <w:rsid w:val="00623E57"/>
    <w:rsid w:val="00623EB5"/>
    <w:rsid w:val="00624104"/>
    <w:rsid w:val="00624234"/>
    <w:rsid w:val="0062433C"/>
    <w:rsid w:val="00624354"/>
    <w:rsid w:val="00624617"/>
    <w:rsid w:val="006246BE"/>
    <w:rsid w:val="00624757"/>
    <w:rsid w:val="006247D3"/>
    <w:rsid w:val="006247FA"/>
    <w:rsid w:val="006249A1"/>
    <w:rsid w:val="00624AD0"/>
    <w:rsid w:val="00624BA7"/>
    <w:rsid w:val="00624C48"/>
    <w:rsid w:val="0062500D"/>
    <w:rsid w:val="006250AF"/>
    <w:rsid w:val="006250E9"/>
    <w:rsid w:val="006251EF"/>
    <w:rsid w:val="00625280"/>
    <w:rsid w:val="0062544B"/>
    <w:rsid w:val="0062550E"/>
    <w:rsid w:val="006258EB"/>
    <w:rsid w:val="0062595F"/>
    <w:rsid w:val="00625994"/>
    <w:rsid w:val="00625B0F"/>
    <w:rsid w:val="00625BEF"/>
    <w:rsid w:val="00625D5F"/>
    <w:rsid w:val="00625F05"/>
    <w:rsid w:val="00625F11"/>
    <w:rsid w:val="00625F4C"/>
    <w:rsid w:val="00626114"/>
    <w:rsid w:val="00626139"/>
    <w:rsid w:val="00626157"/>
    <w:rsid w:val="00626499"/>
    <w:rsid w:val="00626678"/>
    <w:rsid w:val="0062667F"/>
    <w:rsid w:val="006266BA"/>
    <w:rsid w:val="0062674B"/>
    <w:rsid w:val="00626994"/>
    <w:rsid w:val="00626AD1"/>
    <w:rsid w:val="00626B0C"/>
    <w:rsid w:val="00626B8D"/>
    <w:rsid w:val="00626C5E"/>
    <w:rsid w:val="00626C64"/>
    <w:rsid w:val="00626DF8"/>
    <w:rsid w:val="00626F4F"/>
    <w:rsid w:val="006270DA"/>
    <w:rsid w:val="006270EA"/>
    <w:rsid w:val="00627210"/>
    <w:rsid w:val="006272BB"/>
    <w:rsid w:val="006272D2"/>
    <w:rsid w:val="00627350"/>
    <w:rsid w:val="00627453"/>
    <w:rsid w:val="006276FE"/>
    <w:rsid w:val="00627723"/>
    <w:rsid w:val="00627734"/>
    <w:rsid w:val="00627779"/>
    <w:rsid w:val="0063009B"/>
    <w:rsid w:val="006301AB"/>
    <w:rsid w:val="006301AD"/>
    <w:rsid w:val="006301E1"/>
    <w:rsid w:val="0063028A"/>
    <w:rsid w:val="0063050F"/>
    <w:rsid w:val="0063055D"/>
    <w:rsid w:val="00630562"/>
    <w:rsid w:val="006305D3"/>
    <w:rsid w:val="006307DA"/>
    <w:rsid w:val="006307EB"/>
    <w:rsid w:val="00630B90"/>
    <w:rsid w:val="00630FB5"/>
    <w:rsid w:val="00631044"/>
    <w:rsid w:val="006311AE"/>
    <w:rsid w:val="0063128D"/>
    <w:rsid w:val="00631369"/>
    <w:rsid w:val="00631470"/>
    <w:rsid w:val="00631516"/>
    <w:rsid w:val="00631536"/>
    <w:rsid w:val="006315A9"/>
    <w:rsid w:val="006316AC"/>
    <w:rsid w:val="00631803"/>
    <w:rsid w:val="006318C0"/>
    <w:rsid w:val="0063194E"/>
    <w:rsid w:val="006319CB"/>
    <w:rsid w:val="00631B5B"/>
    <w:rsid w:val="00631E84"/>
    <w:rsid w:val="00632193"/>
    <w:rsid w:val="00632405"/>
    <w:rsid w:val="00632482"/>
    <w:rsid w:val="00632567"/>
    <w:rsid w:val="00632775"/>
    <w:rsid w:val="0063277F"/>
    <w:rsid w:val="00632954"/>
    <w:rsid w:val="00632A40"/>
    <w:rsid w:val="00632AAE"/>
    <w:rsid w:val="00632B6F"/>
    <w:rsid w:val="00632F94"/>
    <w:rsid w:val="00632FEA"/>
    <w:rsid w:val="00633025"/>
    <w:rsid w:val="006331CB"/>
    <w:rsid w:val="00633249"/>
    <w:rsid w:val="0063329D"/>
    <w:rsid w:val="006334E3"/>
    <w:rsid w:val="006336E3"/>
    <w:rsid w:val="0063391D"/>
    <w:rsid w:val="00633AC3"/>
    <w:rsid w:val="00633B2F"/>
    <w:rsid w:val="00633E94"/>
    <w:rsid w:val="00634094"/>
    <w:rsid w:val="00634298"/>
    <w:rsid w:val="00634329"/>
    <w:rsid w:val="0063435F"/>
    <w:rsid w:val="00634360"/>
    <w:rsid w:val="00634485"/>
    <w:rsid w:val="00634548"/>
    <w:rsid w:val="00634617"/>
    <w:rsid w:val="00634694"/>
    <w:rsid w:val="00634880"/>
    <w:rsid w:val="00634922"/>
    <w:rsid w:val="0063492E"/>
    <w:rsid w:val="00634977"/>
    <w:rsid w:val="006349AB"/>
    <w:rsid w:val="006350DA"/>
    <w:rsid w:val="006351BC"/>
    <w:rsid w:val="00635506"/>
    <w:rsid w:val="0063562E"/>
    <w:rsid w:val="0063570F"/>
    <w:rsid w:val="006357FF"/>
    <w:rsid w:val="0063589F"/>
    <w:rsid w:val="00635B7F"/>
    <w:rsid w:val="00635C99"/>
    <w:rsid w:val="00635CD4"/>
    <w:rsid w:val="00635DD3"/>
    <w:rsid w:val="00636178"/>
    <w:rsid w:val="0063618F"/>
    <w:rsid w:val="00636801"/>
    <w:rsid w:val="00636917"/>
    <w:rsid w:val="0063694D"/>
    <w:rsid w:val="00636979"/>
    <w:rsid w:val="00636AF4"/>
    <w:rsid w:val="00636B3A"/>
    <w:rsid w:val="00636BCB"/>
    <w:rsid w:val="00636C3D"/>
    <w:rsid w:val="00636DCB"/>
    <w:rsid w:val="00637180"/>
    <w:rsid w:val="006372FB"/>
    <w:rsid w:val="00637378"/>
    <w:rsid w:val="00637387"/>
    <w:rsid w:val="006373CE"/>
    <w:rsid w:val="0063747E"/>
    <w:rsid w:val="006377CE"/>
    <w:rsid w:val="00637A8F"/>
    <w:rsid w:val="00637CF3"/>
    <w:rsid w:val="00637D01"/>
    <w:rsid w:val="00637DEC"/>
    <w:rsid w:val="00637DF0"/>
    <w:rsid w:val="00637E08"/>
    <w:rsid w:val="00637FA3"/>
    <w:rsid w:val="00640015"/>
    <w:rsid w:val="00640077"/>
    <w:rsid w:val="00640151"/>
    <w:rsid w:val="006402E7"/>
    <w:rsid w:val="00640392"/>
    <w:rsid w:val="00640408"/>
    <w:rsid w:val="00640512"/>
    <w:rsid w:val="006408BA"/>
    <w:rsid w:val="006408EF"/>
    <w:rsid w:val="00640A43"/>
    <w:rsid w:val="00640AC2"/>
    <w:rsid w:val="00640ADE"/>
    <w:rsid w:val="00640AE7"/>
    <w:rsid w:val="00640BC9"/>
    <w:rsid w:val="00640C31"/>
    <w:rsid w:val="00640D51"/>
    <w:rsid w:val="00640E29"/>
    <w:rsid w:val="00640E3E"/>
    <w:rsid w:val="00640E9C"/>
    <w:rsid w:val="00640F76"/>
    <w:rsid w:val="00640FC7"/>
    <w:rsid w:val="00641138"/>
    <w:rsid w:val="00641164"/>
    <w:rsid w:val="00641199"/>
    <w:rsid w:val="006411DF"/>
    <w:rsid w:val="006413AA"/>
    <w:rsid w:val="0064141B"/>
    <w:rsid w:val="006414DB"/>
    <w:rsid w:val="006415DB"/>
    <w:rsid w:val="0064161A"/>
    <w:rsid w:val="0064181E"/>
    <w:rsid w:val="00641A33"/>
    <w:rsid w:val="00641AA6"/>
    <w:rsid w:val="00641B24"/>
    <w:rsid w:val="00641C28"/>
    <w:rsid w:val="00641C91"/>
    <w:rsid w:val="00641C97"/>
    <w:rsid w:val="00641CDE"/>
    <w:rsid w:val="00642140"/>
    <w:rsid w:val="006422FF"/>
    <w:rsid w:val="0064254C"/>
    <w:rsid w:val="00642583"/>
    <w:rsid w:val="0064264D"/>
    <w:rsid w:val="00642A47"/>
    <w:rsid w:val="00642A7C"/>
    <w:rsid w:val="00642D28"/>
    <w:rsid w:val="00642F19"/>
    <w:rsid w:val="00642FA3"/>
    <w:rsid w:val="00642FCA"/>
    <w:rsid w:val="006430B1"/>
    <w:rsid w:val="0064310C"/>
    <w:rsid w:val="00643112"/>
    <w:rsid w:val="00643226"/>
    <w:rsid w:val="00643536"/>
    <w:rsid w:val="006435AC"/>
    <w:rsid w:val="0064368C"/>
    <w:rsid w:val="006438F3"/>
    <w:rsid w:val="00643A5A"/>
    <w:rsid w:val="00643B07"/>
    <w:rsid w:val="00643BD7"/>
    <w:rsid w:val="00643FF1"/>
    <w:rsid w:val="006440B8"/>
    <w:rsid w:val="006441E0"/>
    <w:rsid w:val="006443B3"/>
    <w:rsid w:val="00644482"/>
    <w:rsid w:val="00644568"/>
    <w:rsid w:val="00644739"/>
    <w:rsid w:val="0064475E"/>
    <w:rsid w:val="006447AC"/>
    <w:rsid w:val="00644815"/>
    <w:rsid w:val="00644878"/>
    <w:rsid w:val="00644947"/>
    <w:rsid w:val="00644A4F"/>
    <w:rsid w:val="00644AF7"/>
    <w:rsid w:val="00644E48"/>
    <w:rsid w:val="00644E95"/>
    <w:rsid w:val="00644EC9"/>
    <w:rsid w:val="00644F0D"/>
    <w:rsid w:val="00645008"/>
    <w:rsid w:val="0064520B"/>
    <w:rsid w:val="006452E8"/>
    <w:rsid w:val="0064533A"/>
    <w:rsid w:val="00645360"/>
    <w:rsid w:val="0064548C"/>
    <w:rsid w:val="00645946"/>
    <w:rsid w:val="006459EF"/>
    <w:rsid w:val="00645A4A"/>
    <w:rsid w:val="00646007"/>
    <w:rsid w:val="0064604F"/>
    <w:rsid w:val="0064614A"/>
    <w:rsid w:val="0064637F"/>
    <w:rsid w:val="00646471"/>
    <w:rsid w:val="0064649A"/>
    <w:rsid w:val="006465F3"/>
    <w:rsid w:val="0064677A"/>
    <w:rsid w:val="006468FD"/>
    <w:rsid w:val="006469B9"/>
    <w:rsid w:val="00646ACF"/>
    <w:rsid w:val="00646C77"/>
    <w:rsid w:val="00646DF2"/>
    <w:rsid w:val="00646E4A"/>
    <w:rsid w:val="00646E94"/>
    <w:rsid w:val="00646E98"/>
    <w:rsid w:val="00647070"/>
    <w:rsid w:val="0064710E"/>
    <w:rsid w:val="006471E6"/>
    <w:rsid w:val="00647276"/>
    <w:rsid w:val="0064727A"/>
    <w:rsid w:val="0064757F"/>
    <w:rsid w:val="00647655"/>
    <w:rsid w:val="006476E9"/>
    <w:rsid w:val="006477AA"/>
    <w:rsid w:val="006477FC"/>
    <w:rsid w:val="0064785A"/>
    <w:rsid w:val="006478D7"/>
    <w:rsid w:val="006479CE"/>
    <w:rsid w:val="00647E47"/>
    <w:rsid w:val="00647F93"/>
    <w:rsid w:val="006500B9"/>
    <w:rsid w:val="006500BE"/>
    <w:rsid w:val="00650659"/>
    <w:rsid w:val="00650858"/>
    <w:rsid w:val="00650867"/>
    <w:rsid w:val="006508DD"/>
    <w:rsid w:val="0065098D"/>
    <w:rsid w:val="006509F7"/>
    <w:rsid w:val="00650A5B"/>
    <w:rsid w:val="00650E52"/>
    <w:rsid w:val="00650ECF"/>
    <w:rsid w:val="00650F07"/>
    <w:rsid w:val="00650FA1"/>
    <w:rsid w:val="00651168"/>
    <w:rsid w:val="00651183"/>
    <w:rsid w:val="0065127A"/>
    <w:rsid w:val="00651281"/>
    <w:rsid w:val="006513DF"/>
    <w:rsid w:val="0065157F"/>
    <w:rsid w:val="0065163C"/>
    <w:rsid w:val="006516E4"/>
    <w:rsid w:val="006517EA"/>
    <w:rsid w:val="006519D7"/>
    <w:rsid w:val="00651F74"/>
    <w:rsid w:val="00652024"/>
    <w:rsid w:val="006520A5"/>
    <w:rsid w:val="006520E1"/>
    <w:rsid w:val="006522F1"/>
    <w:rsid w:val="0065258A"/>
    <w:rsid w:val="006525D7"/>
    <w:rsid w:val="00652636"/>
    <w:rsid w:val="006526B4"/>
    <w:rsid w:val="00652B23"/>
    <w:rsid w:val="00652B77"/>
    <w:rsid w:val="00652C6E"/>
    <w:rsid w:val="00652D27"/>
    <w:rsid w:val="00652EEE"/>
    <w:rsid w:val="00652F18"/>
    <w:rsid w:val="00652F64"/>
    <w:rsid w:val="00653374"/>
    <w:rsid w:val="00653377"/>
    <w:rsid w:val="006533BC"/>
    <w:rsid w:val="006534BF"/>
    <w:rsid w:val="006537D7"/>
    <w:rsid w:val="0065388D"/>
    <w:rsid w:val="006538ED"/>
    <w:rsid w:val="00653922"/>
    <w:rsid w:val="00653AF3"/>
    <w:rsid w:val="00653BA0"/>
    <w:rsid w:val="00653C6A"/>
    <w:rsid w:val="00653CF4"/>
    <w:rsid w:val="00653F41"/>
    <w:rsid w:val="0065402B"/>
    <w:rsid w:val="006542CA"/>
    <w:rsid w:val="00654400"/>
    <w:rsid w:val="0065444A"/>
    <w:rsid w:val="006545E2"/>
    <w:rsid w:val="006546F5"/>
    <w:rsid w:val="006548A2"/>
    <w:rsid w:val="0065496E"/>
    <w:rsid w:val="00654993"/>
    <w:rsid w:val="00654AD8"/>
    <w:rsid w:val="00654E18"/>
    <w:rsid w:val="00654F1F"/>
    <w:rsid w:val="00654F68"/>
    <w:rsid w:val="006551BF"/>
    <w:rsid w:val="0065545D"/>
    <w:rsid w:val="006554F5"/>
    <w:rsid w:val="006555FF"/>
    <w:rsid w:val="00655617"/>
    <w:rsid w:val="006558C8"/>
    <w:rsid w:val="006558FB"/>
    <w:rsid w:val="00655997"/>
    <w:rsid w:val="006559A6"/>
    <w:rsid w:val="00655C0E"/>
    <w:rsid w:val="00655C58"/>
    <w:rsid w:val="00655CF9"/>
    <w:rsid w:val="00655D45"/>
    <w:rsid w:val="00655E43"/>
    <w:rsid w:val="006561A6"/>
    <w:rsid w:val="006564C5"/>
    <w:rsid w:val="006564D6"/>
    <w:rsid w:val="006565FF"/>
    <w:rsid w:val="00656643"/>
    <w:rsid w:val="006567AB"/>
    <w:rsid w:val="006568D8"/>
    <w:rsid w:val="00656EFD"/>
    <w:rsid w:val="00656FCC"/>
    <w:rsid w:val="0065709A"/>
    <w:rsid w:val="0065714C"/>
    <w:rsid w:val="00657166"/>
    <w:rsid w:val="0065727B"/>
    <w:rsid w:val="00657570"/>
    <w:rsid w:val="006576DC"/>
    <w:rsid w:val="006577BE"/>
    <w:rsid w:val="00657878"/>
    <w:rsid w:val="00657A63"/>
    <w:rsid w:val="00657C15"/>
    <w:rsid w:val="00657C4F"/>
    <w:rsid w:val="00657D45"/>
    <w:rsid w:val="00657D96"/>
    <w:rsid w:val="006600C8"/>
    <w:rsid w:val="0066011B"/>
    <w:rsid w:val="0066040A"/>
    <w:rsid w:val="006604AB"/>
    <w:rsid w:val="006604C1"/>
    <w:rsid w:val="00660566"/>
    <w:rsid w:val="006605D2"/>
    <w:rsid w:val="00660660"/>
    <w:rsid w:val="006606FF"/>
    <w:rsid w:val="00660804"/>
    <w:rsid w:val="006608A5"/>
    <w:rsid w:val="006608B5"/>
    <w:rsid w:val="0066097B"/>
    <w:rsid w:val="00660A74"/>
    <w:rsid w:val="00660DC7"/>
    <w:rsid w:val="00660DFA"/>
    <w:rsid w:val="006610DE"/>
    <w:rsid w:val="0066114B"/>
    <w:rsid w:val="00661178"/>
    <w:rsid w:val="00661386"/>
    <w:rsid w:val="00661557"/>
    <w:rsid w:val="00661572"/>
    <w:rsid w:val="00661739"/>
    <w:rsid w:val="006617B2"/>
    <w:rsid w:val="006618B1"/>
    <w:rsid w:val="00661B57"/>
    <w:rsid w:val="00661B90"/>
    <w:rsid w:val="00661CE2"/>
    <w:rsid w:val="00661D17"/>
    <w:rsid w:val="00661D30"/>
    <w:rsid w:val="00661D85"/>
    <w:rsid w:val="00661E18"/>
    <w:rsid w:val="00661F67"/>
    <w:rsid w:val="00662004"/>
    <w:rsid w:val="00662288"/>
    <w:rsid w:val="006622FA"/>
    <w:rsid w:val="0066246A"/>
    <w:rsid w:val="0066248A"/>
    <w:rsid w:val="00662534"/>
    <w:rsid w:val="00662615"/>
    <w:rsid w:val="006627A0"/>
    <w:rsid w:val="006627C2"/>
    <w:rsid w:val="00662808"/>
    <w:rsid w:val="0066288A"/>
    <w:rsid w:val="006628D2"/>
    <w:rsid w:val="006629FE"/>
    <w:rsid w:val="00662C21"/>
    <w:rsid w:val="00662D5E"/>
    <w:rsid w:val="00662DEE"/>
    <w:rsid w:val="00662E5F"/>
    <w:rsid w:val="00662E78"/>
    <w:rsid w:val="00662F55"/>
    <w:rsid w:val="00663108"/>
    <w:rsid w:val="0066316E"/>
    <w:rsid w:val="0066318C"/>
    <w:rsid w:val="006633F1"/>
    <w:rsid w:val="0066343B"/>
    <w:rsid w:val="00663462"/>
    <w:rsid w:val="006636A0"/>
    <w:rsid w:val="00663741"/>
    <w:rsid w:val="0066377F"/>
    <w:rsid w:val="006637E0"/>
    <w:rsid w:val="006638D3"/>
    <w:rsid w:val="00663999"/>
    <w:rsid w:val="00663D5C"/>
    <w:rsid w:val="00663EF7"/>
    <w:rsid w:val="00664062"/>
    <w:rsid w:val="006640E7"/>
    <w:rsid w:val="00664100"/>
    <w:rsid w:val="00664158"/>
    <w:rsid w:val="00664289"/>
    <w:rsid w:val="0066433D"/>
    <w:rsid w:val="0066436E"/>
    <w:rsid w:val="00664434"/>
    <w:rsid w:val="00664474"/>
    <w:rsid w:val="006644D1"/>
    <w:rsid w:val="00664531"/>
    <w:rsid w:val="0066465D"/>
    <w:rsid w:val="0066468F"/>
    <w:rsid w:val="00664702"/>
    <w:rsid w:val="00664738"/>
    <w:rsid w:val="006647DB"/>
    <w:rsid w:val="0066480A"/>
    <w:rsid w:val="0066483D"/>
    <w:rsid w:val="0066486C"/>
    <w:rsid w:val="00664C7B"/>
    <w:rsid w:val="00664F39"/>
    <w:rsid w:val="00665310"/>
    <w:rsid w:val="00665312"/>
    <w:rsid w:val="00665390"/>
    <w:rsid w:val="0066539B"/>
    <w:rsid w:val="00665504"/>
    <w:rsid w:val="0066551E"/>
    <w:rsid w:val="0066561F"/>
    <w:rsid w:val="006656DC"/>
    <w:rsid w:val="00665859"/>
    <w:rsid w:val="00665941"/>
    <w:rsid w:val="0066599D"/>
    <w:rsid w:val="00665A90"/>
    <w:rsid w:val="00665B42"/>
    <w:rsid w:val="00665F66"/>
    <w:rsid w:val="00666142"/>
    <w:rsid w:val="00666185"/>
    <w:rsid w:val="006661A7"/>
    <w:rsid w:val="0066622D"/>
    <w:rsid w:val="00666379"/>
    <w:rsid w:val="0066638D"/>
    <w:rsid w:val="00666406"/>
    <w:rsid w:val="006664A8"/>
    <w:rsid w:val="006664CC"/>
    <w:rsid w:val="00666568"/>
    <w:rsid w:val="00666600"/>
    <w:rsid w:val="0066669A"/>
    <w:rsid w:val="0066669D"/>
    <w:rsid w:val="0066677B"/>
    <w:rsid w:val="006668AD"/>
    <w:rsid w:val="00666A0E"/>
    <w:rsid w:val="00666A58"/>
    <w:rsid w:val="00666A74"/>
    <w:rsid w:val="00666AA3"/>
    <w:rsid w:val="00666AC2"/>
    <w:rsid w:val="00666B2D"/>
    <w:rsid w:val="00666C01"/>
    <w:rsid w:val="00666F12"/>
    <w:rsid w:val="0066710D"/>
    <w:rsid w:val="00667112"/>
    <w:rsid w:val="0066723C"/>
    <w:rsid w:val="0066746D"/>
    <w:rsid w:val="006678AC"/>
    <w:rsid w:val="0066795D"/>
    <w:rsid w:val="00667AC6"/>
    <w:rsid w:val="00667B97"/>
    <w:rsid w:val="00667D74"/>
    <w:rsid w:val="00667EF5"/>
    <w:rsid w:val="006700A1"/>
    <w:rsid w:val="006700AC"/>
    <w:rsid w:val="00670441"/>
    <w:rsid w:val="006704BD"/>
    <w:rsid w:val="00670650"/>
    <w:rsid w:val="00670685"/>
    <w:rsid w:val="006706C7"/>
    <w:rsid w:val="00670773"/>
    <w:rsid w:val="00670888"/>
    <w:rsid w:val="006708CE"/>
    <w:rsid w:val="00670A9E"/>
    <w:rsid w:val="00670B58"/>
    <w:rsid w:val="00670C3F"/>
    <w:rsid w:val="00670EF2"/>
    <w:rsid w:val="00671099"/>
    <w:rsid w:val="00671188"/>
    <w:rsid w:val="006711CA"/>
    <w:rsid w:val="006711D5"/>
    <w:rsid w:val="006712B3"/>
    <w:rsid w:val="006712C0"/>
    <w:rsid w:val="006713F9"/>
    <w:rsid w:val="006715A8"/>
    <w:rsid w:val="00671815"/>
    <w:rsid w:val="0067181A"/>
    <w:rsid w:val="00671AAD"/>
    <w:rsid w:val="00671B27"/>
    <w:rsid w:val="00671F8F"/>
    <w:rsid w:val="0067209A"/>
    <w:rsid w:val="0067209D"/>
    <w:rsid w:val="0067211E"/>
    <w:rsid w:val="00672142"/>
    <w:rsid w:val="006721F9"/>
    <w:rsid w:val="00672230"/>
    <w:rsid w:val="00672243"/>
    <w:rsid w:val="0067230A"/>
    <w:rsid w:val="006723FB"/>
    <w:rsid w:val="006724F3"/>
    <w:rsid w:val="006728ED"/>
    <w:rsid w:val="00672970"/>
    <w:rsid w:val="00672DCA"/>
    <w:rsid w:val="006730FF"/>
    <w:rsid w:val="0067319D"/>
    <w:rsid w:val="0067324B"/>
    <w:rsid w:val="00673992"/>
    <w:rsid w:val="00673994"/>
    <w:rsid w:val="00673B32"/>
    <w:rsid w:val="00673C40"/>
    <w:rsid w:val="00673D63"/>
    <w:rsid w:val="00673DD6"/>
    <w:rsid w:val="00674165"/>
    <w:rsid w:val="0067418F"/>
    <w:rsid w:val="00674293"/>
    <w:rsid w:val="006742EB"/>
    <w:rsid w:val="006744AC"/>
    <w:rsid w:val="006745C2"/>
    <w:rsid w:val="00674829"/>
    <w:rsid w:val="006748A6"/>
    <w:rsid w:val="00674966"/>
    <w:rsid w:val="00674B29"/>
    <w:rsid w:val="00674C7D"/>
    <w:rsid w:val="00674D5E"/>
    <w:rsid w:val="00674D77"/>
    <w:rsid w:val="00674DA3"/>
    <w:rsid w:val="00675006"/>
    <w:rsid w:val="006750F6"/>
    <w:rsid w:val="006752D8"/>
    <w:rsid w:val="00675345"/>
    <w:rsid w:val="00675364"/>
    <w:rsid w:val="006753A3"/>
    <w:rsid w:val="00675441"/>
    <w:rsid w:val="006757CA"/>
    <w:rsid w:val="00675909"/>
    <w:rsid w:val="00675A11"/>
    <w:rsid w:val="00675A9C"/>
    <w:rsid w:val="00675AD2"/>
    <w:rsid w:val="00675B1D"/>
    <w:rsid w:val="00675B84"/>
    <w:rsid w:val="00675B88"/>
    <w:rsid w:val="00675B8C"/>
    <w:rsid w:val="00675D2C"/>
    <w:rsid w:val="00675DC6"/>
    <w:rsid w:val="00676100"/>
    <w:rsid w:val="00676126"/>
    <w:rsid w:val="00676350"/>
    <w:rsid w:val="00676613"/>
    <w:rsid w:val="00676673"/>
    <w:rsid w:val="0067684F"/>
    <w:rsid w:val="00676870"/>
    <w:rsid w:val="00676895"/>
    <w:rsid w:val="006768D3"/>
    <w:rsid w:val="0067690B"/>
    <w:rsid w:val="006769B5"/>
    <w:rsid w:val="006769E4"/>
    <w:rsid w:val="00676B89"/>
    <w:rsid w:val="00676D4F"/>
    <w:rsid w:val="00676D8E"/>
    <w:rsid w:val="00676E2A"/>
    <w:rsid w:val="00676E58"/>
    <w:rsid w:val="00676FDB"/>
    <w:rsid w:val="0067703A"/>
    <w:rsid w:val="00677102"/>
    <w:rsid w:val="006773EB"/>
    <w:rsid w:val="00677695"/>
    <w:rsid w:val="0067770C"/>
    <w:rsid w:val="0067774E"/>
    <w:rsid w:val="00677778"/>
    <w:rsid w:val="006777A8"/>
    <w:rsid w:val="006777CD"/>
    <w:rsid w:val="0067797A"/>
    <w:rsid w:val="006779F3"/>
    <w:rsid w:val="00677A16"/>
    <w:rsid w:val="00677BE7"/>
    <w:rsid w:val="00677C53"/>
    <w:rsid w:val="00677EEE"/>
    <w:rsid w:val="00677FC2"/>
    <w:rsid w:val="00680016"/>
    <w:rsid w:val="006800E7"/>
    <w:rsid w:val="006801C9"/>
    <w:rsid w:val="006802AB"/>
    <w:rsid w:val="006802D2"/>
    <w:rsid w:val="006802D4"/>
    <w:rsid w:val="0068065B"/>
    <w:rsid w:val="006806C7"/>
    <w:rsid w:val="00680710"/>
    <w:rsid w:val="0068075B"/>
    <w:rsid w:val="006807B4"/>
    <w:rsid w:val="00680817"/>
    <w:rsid w:val="0068096C"/>
    <w:rsid w:val="00680A33"/>
    <w:rsid w:val="00680B40"/>
    <w:rsid w:val="00680C5F"/>
    <w:rsid w:val="00680C87"/>
    <w:rsid w:val="00680DA9"/>
    <w:rsid w:val="00680E48"/>
    <w:rsid w:val="00680EDC"/>
    <w:rsid w:val="00681526"/>
    <w:rsid w:val="0068167B"/>
    <w:rsid w:val="0068179F"/>
    <w:rsid w:val="006817DA"/>
    <w:rsid w:val="006818BE"/>
    <w:rsid w:val="006818D9"/>
    <w:rsid w:val="00681B69"/>
    <w:rsid w:val="00681EC9"/>
    <w:rsid w:val="00681F6D"/>
    <w:rsid w:val="00681FEB"/>
    <w:rsid w:val="006821ED"/>
    <w:rsid w:val="006822FA"/>
    <w:rsid w:val="00682404"/>
    <w:rsid w:val="00682468"/>
    <w:rsid w:val="006824BA"/>
    <w:rsid w:val="0068252F"/>
    <w:rsid w:val="0068254F"/>
    <w:rsid w:val="00682560"/>
    <w:rsid w:val="00682608"/>
    <w:rsid w:val="00682658"/>
    <w:rsid w:val="00682693"/>
    <w:rsid w:val="00682707"/>
    <w:rsid w:val="00682765"/>
    <w:rsid w:val="006827C8"/>
    <w:rsid w:val="0068288C"/>
    <w:rsid w:val="00682A6F"/>
    <w:rsid w:val="00682DCA"/>
    <w:rsid w:val="00682EB5"/>
    <w:rsid w:val="00683050"/>
    <w:rsid w:val="00683293"/>
    <w:rsid w:val="00683512"/>
    <w:rsid w:val="006835A9"/>
    <w:rsid w:val="00683616"/>
    <w:rsid w:val="00683969"/>
    <w:rsid w:val="006839C2"/>
    <w:rsid w:val="00683BB7"/>
    <w:rsid w:val="00683D0B"/>
    <w:rsid w:val="00683EA9"/>
    <w:rsid w:val="00683F36"/>
    <w:rsid w:val="00683FDE"/>
    <w:rsid w:val="00684094"/>
    <w:rsid w:val="00684272"/>
    <w:rsid w:val="006842C5"/>
    <w:rsid w:val="00684325"/>
    <w:rsid w:val="00684353"/>
    <w:rsid w:val="00684550"/>
    <w:rsid w:val="0068456B"/>
    <w:rsid w:val="00684673"/>
    <w:rsid w:val="0068468A"/>
    <w:rsid w:val="006846BD"/>
    <w:rsid w:val="0068482F"/>
    <w:rsid w:val="00684837"/>
    <w:rsid w:val="0068490B"/>
    <w:rsid w:val="00684AB2"/>
    <w:rsid w:val="00684CCB"/>
    <w:rsid w:val="00684CD9"/>
    <w:rsid w:val="00684E6C"/>
    <w:rsid w:val="00684EA0"/>
    <w:rsid w:val="00685047"/>
    <w:rsid w:val="00685430"/>
    <w:rsid w:val="006854B5"/>
    <w:rsid w:val="006854BA"/>
    <w:rsid w:val="006854D1"/>
    <w:rsid w:val="006854D3"/>
    <w:rsid w:val="00685589"/>
    <w:rsid w:val="00685904"/>
    <w:rsid w:val="006859B6"/>
    <w:rsid w:val="00685B34"/>
    <w:rsid w:val="00685B6E"/>
    <w:rsid w:val="00685D55"/>
    <w:rsid w:val="00685DDD"/>
    <w:rsid w:val="00685E73"/>
    <w:rsid w:val="00685FFB"/>
    <w:rsid w:val="00686437"/>
    <w:rsid w:val="0068682C"/>
    <w:rsid w:val="00686968"/>
    <w:rsid w:val="00686A38"/>
    <w:rsid w:val="00686AD9"/>
    <w:rsid w:val="00686BB4"/>
    <w:rsid w:val="00686BD8"/>
    <w:rsid w:val="00686C6C"/>
    <w:rsid w:val="00686D17"/>
    <w:rsid w:val="00686DC7"/>
    <w:rsid w:val="00686E4E"/>
    <w:rsid w:val="0068707A"/>
    <w:rsid w:val="006872C5"/>
    <w:rsid w:val="0068732E"/>
    <w:rsid w:val="00687446"/>
    <w:rsid w:val="006874E8"/>
    <w:rsid w:val="00687539"/>
    <w:rsid w:val="0068756F"/>
    <w:rsid w:val="00687610"/>
    <w:rsid w:val="00687767"/>
    <w:rsid w:val="006877F5"/>
    <w:rsid w:val="006878E5"/>
    <w:rsid w:val="0068798B"/>
    <w:rsid w:val="00687B9C"/>
    <w:rsid w:val="00687D18"/>
    <w:rsid w:val="00687D50"/>
    <w:rsid w:val="00687F32"/>
    <w:rsid w:val="00687FCB"/>
    <w:rsid w:val="00687FED"/>
    <w:rsid w:val="0069001D"/>
    <w:rsid w:val="0069004C"/>
    <w:rsid w:val="006900E3"/>
    <w:rsid w:val="00690113"/>
    <w:rsid w:val="0069035C"/>
    <w:rsid w:val="00690406"/>
    <w:rsid w:val="006904F3"/>
    <w:rsid w:val="0069069B"/>
    <w:rsid w:val="006907CA"/>
    <w:rsid w:val="00690841"/>
    <w:rsid w:val="00690B9B"/>
    <w:rsid w:val="00690BCF"/>
    <w:rsid w:val="00690CFA"/>
    <w:rsid w:val="00690DA0"/>
    <w:rsid w:val="00690F17"/>
    <w:rsid w:val="00690FF0"/>
    <w:rsid w:val="00691014"/>
    <w:rsid w:val="00691247"/>
    <w:rsid w:val="0069144C"/>
    <w:rsid w:val="006916ED"/>
    <w:rsid w:val="0069173B"/>
    <w:rsid w:val="006918BF"/>
    <w:rsid w:val="006919E3"/>
    <w:rsid w:val="00691A69"/>
    <w:rsid w:val="00691AC6"/>
    <w:rsid w:val="00691C5D"/>
    <w:rsid w:val="00691CE3"/>
    <w:rsid w:val="00691D53"/>
    <w:rsid w:val="00691D85"/>
    <w:rsid w:val="00691E6A"/>
    <w:rsid w:val="00692135"/>
    <w:rsid w:val="006921DD"/>
    <w:rsid w:val="00692232"/>
    <w:rsid w:val="00692425"/>
    <w:rsid w:val="006925C1"/>
    <w:rsid w:val="00692606"/>
    <w:rsid w:val="0069270C"/>
    <w:rsid w:val="0069290C"/>
    <w:rsid w:val="00692C51"/>
    <w:rsid w:val="00692C7E"/>
    <w:rsid w:val="00692E60"/>
    <w:rsid w:val="00692EE2"/>
    <w:rsid w:val="00692F46"/>
    <w:rsid w:val="006931CF"/>
    <w:rsid w:val="00693247"/>
    <w:rsid w:val="00693359"/>
    <w:rsid w:val="00693547"/>
    <w:rsid w:val="006935C9"/>
    <w:rsid w:val="00693600"/>
    <w:rsid w:val="00693657"/>
    <w:rsid w:val="006936F1"/>
    <w:rsid w:val="006938AA"/>
    <w:rsid w:val="00693B3E"/>
    <w:rsid w:val="00693B52"/>
    <w:rsid w:val="00693BB2"/>
    <w:rsid w:val="00693BC3"/>
    <w:rsid w:val="00693CAD"/>
    <w:rsid w:val="00693E83"/>
    <w:rsid w:val="00693FF6"/>
    <w:rsid w:val="006940DE"/>
    <w:rsid w:val="0069411C"/>
    <w:rsid w:val="006941EF"/>
    <w:rsid w:val="00694437"/>
    <w:rsid w:val="0069474B"/>
    <w:rsid w:val="0069475D"/>
    <w:rsid w:val="006947B7"/>
    <w:rsid w:val="0069484C"/>
    <w:rsid w:val="006948A4"/>
    <w:rsid w:val="00694AEC"/>
    <w:rsid w:val="00694B4B"/>
    <w:rsid w:val="00694BC4"/>
    <w:rsid w:val="00694D0E"/>
    <w:rsid w:val="00694D17"/>
    <w:rsid w:val="00694E91"/>
    <w:rsid w:val="00695073"/>
    <w:rsid w:val="00695083"/>
    <w:rsid w:val="00695109"/>
    <w:rsid w:val="0069526E"/>
    <w:rsid w:val="00695363"/>
    <w:rsid w:val="00695661"/>
    <w:rsid w:val="00695707"/>
    <w:rsid w:val="00695A8B"/>
    <w:rsid w:val="00695D33"/>
    <w:rsid w:val="00695D53"/>
    <w:rsid w:val="00695F7D"/>
    <w:rsid w:val="00695FC3"/>
    <w:rsid w:val="006961F1"/>
    <w:rsid w:val="006962AF"/>
    <w:rsid w:val="0069635C"/>
    <w:rsid w:val="0069636D"/>
    <w:rsid w:val="0069642E"/>
    <w:rsid w:val="006964B3"/>
    <w:rsid w:val="006964E8"/>
    <w:rsid w:val="00696815"/>
    <w:rsid w:val="00696A5F"/>
    <w:rsid w:val="00696C01"/>
    <w:rsid w:val="00696D19"/>
    <w:rsid w:val="00696EE1"/>
    <w:rsid w:val="00696FA2"/>
    <w:rsid w:val="00697136"/>
    <w:rsid w:val="006971AC"/>
    <w:rsid w:val="0069729C"/>
    <w:rsid w:val="00697306"/>
    <w:rsid w:val="006973B7"/>
    <w:rsid w:val="00697557"/>
    <w:rsid w:val="006975D5"/>
    <w:rsid w:val="006975DE"/>
    <w:rsid w:val="0069761B"/>
    <w:rsid w:val="00697966"/>
    <w:rsid w:val="00697C10"/>
    <w:rsid w:val="00697FB0"/>
    <w:rsid w:val="006A0038"/>
    <w:rsid w:val="006A015C"/>
    <w:rsid w:val="006A023B"/>
    <w:rsid w:val="006A035F"/>
    <w:rsid w:val="006A037A"/>
    <w:rsid w:val="006A03C5"/>
    <w:rsid w:val="006A048E"/>
    <w:rsid w:val="006A04C3"/>
    <w:rsid w:val="006A054A"/>
    <w:rsid w:val="006A05B4"/>
    <w:rsid w:val="006A05E3"/>
    <w:rsid w:val="006A060C"/>
    <w:rsid w:val="006A09EC"/>
    <w:rsid w:val="006A0B7D"/>
    <w:rsid w:val="006A0B99"/>
    <w:rsid w:val="006A0C58"/>
    <w:rsid w:val="006A0CAA"/>
    <w:rsid w:val="006A0D90"/>
    <w:rsid w:val="006A0F18"/>
    <w:rsid w:val="006A0FAC"/>
    <w:rsid w:val="006A0FC6"/>
    <w:rsid w:val="006A11DE"/>
    <w:rsid w:val="006A12E1"/>
    <w:rsid w:val="006A1342"/>
    <w:rsid w:val="006A146A"/>
    <w:rsid w:val="006A1578"/>
    <w:rsid w:val="006A17BF"/>
    <w:rsid w:val="006A1872"/>
    <w:rsid w:val="006A1BEE"/>
    <w:rsid w:val="006A1DB1"/>
    <w:rsid w:val="006A1DD9"/>
    <w:rsid w:val="006A1E95"/>
    <w:rsid w:val="006A1FCB"/>
    <w:rsid w:val="006A1FE4"/>
    <w:rsid w:val="006A2166"/>
    <w:rsid w:val="006A2292"/>
    <w:rsid w:val="006A234D"/>
    <w:rsid w:val="006A23F4"/>
    <w:rsid w:val="006A241B"/>
    <w:rsid w:val="006A244C"/>
    <w:rsid w:val="006A246C"/>
    <w:rsid w:val="006A25B5"/>
    <w:rsid w:val="006A2893"/>
    <w:rsid w:val="006A29CF"/>
    <w:rsid w:val="006A2A53"/>
    <w:rsid w:val="006A2AED"/>
    <w:rsid w:val="006A2CD4"/>
    <w:rsid w:val="006A2D72"/>
    <w:rsid w:val="006A2DC0"/>
    <w:rsid w:val="006A2E02"/>
    <w:rsid w:val="006A2E0A"/>
    <w:rsid w:val="006A31A0"/>
    <w:rsid w:val="006A3241"/>
    <w:rsid w:val="006A32B1"/>
    <w:rsid w:val="006A3305"/>
    <w:rsid w:val="006A3653"/>
    <w:rsid w:val="006A3990"/>
    <w:rsid w:val="006A3A2B"/>
    <w:rsid w:val="006A3A44"/>
    <w:rsid w:val="006A3CD7"/>
    <w:rsid w:val="006A3DAF"/>
    <w:rsid w:val="006A3E63"/>
    <w:rsid w:val="006A405C"/>
    <w:rsid w:val="006A40B3"/>
    <w:rsid w:val="006A4118"/>
    <w:rsid w:val="006A4135"/>
    <w:rsid w:val="006A41B0"/>
    <w:rsid w:val="006A4211"/>
    <w:rsid w:val="006A427C"/>
    <w:rsid w:val="006A428A"/>
    <w:rsid w:val="006A472B"/>
    <w:rsid w:val="006A4743"/>
    <w:rsid w:val="006A4F7B"/>
    <w:rsid w:val="006A51A2"/>
    <w:rsid w:val="006A5348"/>
    <w:rsid w:val="006A53A9"/>
    <w:rsid w:val="006A5486"/>
    <w:rsid w:val="006A54B3"/>
    <w:rsid w:val="006A555D"/>
    <w:rsid w:val="006A5625"/>
    <w:rsid w:val="006A56F0"/>
    <w:rsid w:val="006A57F3"/>
    <w:rsid w:val="006A5837"/>
    <w:rsid w:val="006A5CB2"/>
    <w:rsid w:val="006A5DF5"/>
    <w:rsid w:val="006A5F6B"/>
    <w:rsid w:val="006A61AE"/>
    <w:rsid w:val="006A6356"/>
    <w:rsid w:val="006A63F1"/>
    <w:rsid w:val="006A64D7"/>
    <w:rsid w:val="006A6651"/>
    <w:rsid w:val="006A68BF"/>
    <w:rsid w:val="006A6A50"/>
    <w:rsid w:val="006A6B7F"/>
    <w:rsid w:val="006A6BE6"/>
    <w:rsid w:val="006A6BF1"/>
    <w:rsid w:val="006A6F1D"/>
    <w:rsid w:val="006A6F7E"/>
    <w:rsid w:val="006A6FD2"/>
    <w:rsid w:val="006A7166"/>
    <w:rsid w:val="006A7624"/>
    <w:rsid w:val="006A773D"/>
    <w:rsid w:val="006A77A4"/>
    <w:rsid w:val="006A78A5"/>
    <w:rsid w:val="006A7930"/>
    <w:rsid w:val="006A793F"/>
    <w:rsid w:val="006A7998"/>
    <w:rsid w:val="006A7B22"/>
    <w:rsid w:val="006A7DF9"/>
    <w:rsid w:val="006B027C"/>
    <w:rsid w:val="006B0342"/>
    <w:rsid w:val="006B0372"/>
    <w:rsid w:val="006B03E9"/>
    <w:rsid w:val="006B03EA"/>
    <w:rsid w:val="006B042C"/>
    <w:rsid w:val="006B042D"/>
    <w:rsid w:val="006B050E"/>
    <w:rsid w:val="006B059D"/>
    <w:rsid w:val="006B080B"/>
    <w:rsid w:val="006B0E6D"/>
    <w:rsid w:val="006B0EEA"/>
    <w:rsid w:val="006B0F7F"/>
    <w:rsid w:val="006B1028"/>
    <w:rsid w:val="006B1644"/>
    <w:rsid w:val="006B1706"/>
    <w:rsid w:val="006B170D"/>
    <w:rsid w:val="006B17FC"/>
    <w:rsid w:val="006B180F"/>
    <w:rsid w:val="006B19FF"/>
    <w:rsid w:val="006B1BFB"/>
    <w:rsid w:val="006B1C86"/>
    <w:rsid w:val="006B1D2C"/>
    <w:rsid w:val="006B1DDB"/>
    <w:rsid w:val="006B1E25"/>
    <w:rsid w:val="006B1E6A"/>
    <w:rsid w:val="006B2002"/>
    <w:rsid w:val="006B21CC"/>
    <w:rsid w:val="006B24A8"/>
    <w:rsid w:val="006B24FA"/>
    <w:rsid w:val="006B25C8"/>
    <w:rsid w:val="006B272B"/>
    <w:rsid w:val="006B28CC"/>
    <w:rsid w:val="006B28D5"/>
    <w:rsid w:val="006B28F9"/>
    <w:rsid w:val="006B2AF1"/>
    <w:rsid w:val="006B2B0C"/>
    <w:rsid w:val="006B2B26"/>
    <w:rsid w:val="006B2BDE"/>
    <w:rsid w:val="006B2C89"/>
    <w:rsid w:val="006B2C90"/>
    <w:rsid w:val="006B2CA9"/>
    <w:rsid w:val="006B2CB7"/>
    <w:rsid w:val="006B2CC0"/>
    <w:rsid w:val="006B2D4F"/>
    <w:rsid w:val="006B2DDD"/>
    <w:rsid w:val="006B2E3A"/>
    <w:rsid w:val="006B3032"/>
    <w:rsid w:val="006B31FB"/>
    <w:rsid w:val="006B3298"/>
    <w:rsid w:val="006B332F"/>
    <w:rsid w:val="006B3442"/>
    <w:rsid w:val="006B34AB"/>
    <w:rsid w:val="006B34C4"/>
    <w:rsid w:val="006B35AF"/>
    <w:rsid w:val="006B36AB"/>
    <w:rsid w:val="006B3707"/>
    <w:rsid w:val="006B37AA"/>
    <w:rsid w:val="006B38CD"/>
    <w:rsid w:val="006B390F"/>
    <w:rsid w:val="006B3B29"/>
    <w:rsid w:val="006B3BA6"/>
    <w:rsid w:val="006B4059"/>
    <w:rsid w:val="006B405D"/>
    <w:rsid w:val="006B434B"/>
    <w:rsid w:val="006B467A"/>
    <w:rsid w:val="006B4706"/>
    <w:rsid w:val="006B477A"/>
    <w:rsid w:val="006B4783"/>
    <w:rsid w:val="006B4806"/>
    <w:rsid w:val="006B4AEA"/>
    <w:rsid w:val="006B4B4A"/>
    <w:rsid w:val="006B4BC7"/>
    <w:rsid w:val="006B4DA3"/>
    <w:rsid w:val="006B4E63"/>
    <w:rsid w:val="006B4ECC"/>
    <w:rsid w:val="006B507E"/>
    <w:rsid w:val="006B50B2"/>
    <w:rsid w:val="006B5164"/>
    <w:rsid w:val="006B5470"/>
    <w:rsid w:val="006B5584"/>
    <w:rsid w:val="006B5712"/>
    <w:rsid w:val="006B58E1"/>
    <w:rsid w:val="006B59FA"/>
    <w:rsid w:val="006B59FE"/>
    <w:rsid w:val="006B5A16"/>
    <w:rsid w:val="006B5BF6"/>
    <w:rsid w:val="006B5D17"/>
    <w:rsid w:val="006B5F18"/>
    <w:rsid w:val="006B5FFF"/>
    <w:rsid w:val="006B6015"/>
    <w:rsid w:val="006B616C"/>
    <w:rsid w:val="006B627F"/>
    <w:rsid w:val="006B62E0"/>
    <w:rsid w:val="006B6372"/>
    <w:rsid w:val="006B6469"/>
    <w:rsid w:val="006B65A8"/>
    <w:rsid w:val="006B6648"/>
    <w:rsid w:val="006B66C8"/>
    <w:rsid w:val="006B671E"/>
    <w:rsid w:val="006B685F"/>
    <w:rsid w:val="006B6BC5"/>
    <w:rsid w:val="006B6C42"/>
    <w:rsid w:val="006B6DF6"/>
    <w:rsid w:val="006B73E5"/>
    <w:rsid w:val="006B7526"/>
    <w:rsid w:val="006B75C6"/>
    <w:rsid w:val="006B75F1"/>
    <w:rsid w:val="006B7629"/>
    <w:rsid w:val="006B77D4"/>
    <w:rsid w:val="006B7823"/>
    <w:rsid w:val="006B7932"/>
    <w:rsid w:val="006B7977"/>
    <w:rsid w:val="006B798D"/>
    <w:rsid w:val="006B7A12"/>
    <w:rsid w:val="006B7A73"/>
    <w:rsid w:val="006B7B42"/>
    <w:rsid w:val="006B7DA6"/>
    <w:rsid w:val="006C018B"/>
    <w:rsid w:val="006C0321"/>
    <w:rsid w:val="006C0549"/>
    <w:rsid w:val="006C057C"/>
    <w:rsid w:val="006C058F"/>
    <w:rsid w:val="006C0770"/>
    <w:rsid w:val="006C083D"/>
    <w:rsid w:val="006C0A8B"/>
    <w:rsid w:val="006C0B6A"/>
    <w:rsid w:val="006C0B84"/>
    <w:rsid w:val="006C0D3B"/>
    <w:rsid w:val="006C0DC6"/>
    <w:rsid w:val="006C0FD4"/>
    <w:rsid w:val="006C0FF6"/>
    <w:rsid w:val="006C1114"/>
    <w:rsid w:val="006C1181"/>
    <w:rsid w:val="006C13A6"/>
    <w:rsid w:val="006C13D0"/>
    <w:rsid w:val="006C14F8"/>
    <w:rsid w:val="006C16AA"/>
    <w:rsid w:val="006C1CB0"/>
    <w:rsid w:val="006C1E6E"/>
    <w:rsid w:val="006C1F57"/>
    <w:rsid w:val="006C1F94"/>
    <w:rsid w:val="006C21E7"/>
    <w:rsid w:val="006C2359"/>
    <w:rsid w:val="006C24B0"/>
    <w:rsid w:val="006C252C"/>
    <w:rsid w:val="006C270A"/>
    <w:rsid w:val="006C2889"/>
    <w:rsid w:val="006C28C3"/>
    <w:rsid w:val="006C28E5"/>
    <w:rsid w:val="006C2A77"/>
    <w:rsid w:val="006C2D6E"/>
    <w:rsid w:val="006C2E72"/>
    <w:rsid w:val="006C2EC3"/>
    <w:rsid w:val="006C30AA"/>
    <w:rsid w:val="006C3425"/>
    <w:rsid w:val="006C354C"/>
    <w:rsid w:val="006C35E0"/>
    <w:rsid w:val="006C36AA"/>
    <w:rsid w:val="006C3715"/>
    <w:rsid w:val="006C3832"/>
    <w:rsid w:val="006C38E9"/>
    <w:rsid w:val="006C3926"/>
    <w:rsid w:val="006C3983"/>
    <w:rsid w:val="006C3AF7"/>
    <w:rsid w:val="006C3B76"/>
    <w:rsid w:val="006C3CA2"/>
    <w:rsid w:val="006C4025"/>
    <w:rsid w:val="006C418A"/>
    <w:rsid w:val="006C41F1"/>
    <w:rsid w:val="006C42F3"/>
    <w:rsid w:val="006C4572"/>
    <w:rsid w:val="006C4629"/>
    <w:rsid w:val="006C463C"/>
    <w:rsid w:val="006C472F"/>
    <w:rsid w:val="006C47A0"/>
    <w:rsid w:val="006C48C0"/>
    <w:rsid w:val="006C4909"/>
    <w:rsid w:val="006C49BA"/>
    <w:rsid w:val="006C4B41"/>
    <w:rsid w:val="006C4B46"/>
    <w:rsid w:val="006C4BC2"/>
    <w:rsid w:val="006C4C4C"/>
    <w:rsid w:val="006C4D96"/>
    <w:rsid w:val="006C4F80"/>
    <w:rsid w:val="006C501E"/>
    <w:rsid w:val="006C5220"/>
    <w:rsid w:val="006C5248"/>
    <w:rsid w:val="006C535D"/>
    <w:rsid w:val="006C5387"/>
    <w:rsid w:val="006C5452"/>
    <w:rsid w:val="006C5477"/>
    <w:rsid w:val="006C54D7"/>
    <w:rsid w:val="006C578B"/>
    <w:rsid w:val="006C5893"/>
    <w:rsid w:val="006C595D"/>
    <w:rsid w:val="006C5A8F"/>
    <w:rsid w:val="006C5C84"/>
    <w:rsid w:val="006C5EBF"/>
    <w:rsid w:val="006C610D"/>
    <w:rsid w:val="006C63A8"/>
    <w:rsid w:val="006C63C7"/>
    <w:rsid w:val="006C64C0"/>
    <w:rsid w:val="006C64D3"/>
    <w:rsid w:val="006C652C"/>
    <w:rsid w:val="006C67D3"/>
    <w:rsid w:val="006C684C"/>
    <w:rsid w:val="006C6956"/>
    <w:rsid w:val="006C699E"/>
    <w:rsid w:val="006C6ADB"/>
    <w:rsid w:val="006C6B5F"/>
    <w:rsid w:val="006C6C80"/>
    <w:rsid w:val="006C6D73"/>
    <w:rsid w:val="006C6DFB"/>
    <w:rsid w:val="006C6ED9"/>
    <w:rsid w:val="006C6F9A"/>
    <w:rsid w:val="006C716E"/>
    <w:rsid w:val="006C74AA"/>
    <w:rsid w:val="006C7643"/>
    <w:rsid w:val="006C7660"/>
    <w:rsid w:val="006C770F"/>
    <w:rsid w:val="006C7744"/>
    <w:rsid w:val="006C7820"/>
    <w:rsid w:val="006C7B03"/>
    <w:rsid w:val="006C7B66"/>
    <w:rsid w:val="006C7B95"/>
    <w:rsid w:val="006C7E4F"/>
    <w:rsid w:val="006C7E82"/>
    <w:rsid w:val="006D00A3"/>
    <w:rsid w:val="006D01CD"/>
    <w:rsid w:val="006D037C"/>
    <w:rsid w:val="006D0445"/>
    <w:rsid w:val="006D0523"/>
    <w:rsid w:val="006D05F8"/>
    <w:rsid w:val="006D0910"/>
    <w:rsid w:val="006D095E"/>
    <w:rsid w:val="006D0984"/>
    <w:rsid w:val="006D09E8"/>
    <w:rsid w:val="006D0E7B"/>
    <w:rsid w:val="006D0EC2"/>
    <w:rsid w:val="006D10FA"/>
    <w:rsid w:val="006D119F"/>
    <w:rsid w:val="006D13BC"/>
    <w:rsid w:val="006D1418"/>
    <w:rsid w:val="006D1618"/>
    <w:rsid w:val="006D1629"/>
    <w:rsid w:val="006D1658"/>
    <w:rsid w:val="006D17EE"/>
    <w:rsid w:val="006D1815"/>
    <w:rsid w:val="006D18E9"/>
    <w:rsid w:val="006D1914"/>
    <w:rsid w:val="006D1A79"/>
    <w:rsid w:val="006D1AF2"/>
    <w:rsid w:val="006D1C38"/>
    <w:rsid w:val="006D1E71"/>
    <w:rsid w:val="006D1F32"/>
    <w:rsid w:val="006D2087"/>
    <w:rsid w:val="006D20E2"/>
    <w:rsid w:val="006D21B2"/>
    <w:rsid w:val="006D21DF"/>
    <w:rsid w:val="006D2221"/>
    <w:rsid w:val="006D2268"/>
    <w:rsid w:val="006D23D8"/>
    <w:rsid w:val="006D2598"/>
    <w:rsid w:val="006D264C"/>
    <w:rsid w:val="006D26AB"/>
    <w:rsid w:val="006D27FA"/>
    <w:rsid w:val="006D2A72"/>
    <w:rsid w:val="006D2B4F"/>
    <w:rsid w:val="006D2C8E"/>
    <w:rsid w:val="006D2CF7"/>
    <w:rsid w:val="006D2EEE"/>
    <w:rsid w:val="006D2F4E"/>
    <w:rsid w:val="006D3449"/>
    <w:rsid w:val="006D350C"/>
    <w:rsid w:val="006D3682"/>
    <w:rsid w:val="006D36B4"/>
    <w:rsid w:val="006D36E1"/>
    <w:rsid w:val="006D3AC7"/>
    <w:rsid w:val="006D3AE4"/>
    <w:rsid w:val="006D3AF4"/>
    <w:rsid w:val="006D3B76"/>
    <w:rsid w:val="006D3CB3"/>
    <w:rsid w:val="006D3E13"/>
    <w:rsid w:val="006D3FE0"/>
    <w:rsid w:val="006D4080"/>
    <w:rsid w:val="006D413E"/>
    <w:rsid w:val="006D427F"/>
    <w:rsid w:val="006D4348"/>
    <w:rsid w:val="006D4380"/>
    <w:rsid w:val="006D438F"/>
    <w:rsid w:val="006D43B4"/>
    <w:rsid w:val="006D4560"/>
    <w:rsid w:val="006D4645"/>
    <w:rsid w:val="006D4758"/>
    <w:rsid w:val="006D47E1"/>
    <w:rsid w:val="006D4C25"/>
    <w:rsid w:val="006D4C72"/>
    <w:rsid w:val="006D4D49"/>
    <w:rsid w:val="006D4E05"/>
    <w:rsid w:val="006D4E38"/>
    <w:rsid w:val="006D4E4C"/>
    <w:rsid w:val="006D5036"/>
    <w:rsid w:val="006D53F9"/>
    <w:rsid w:val="006D5434"/>
    <w:rsid w:val="006D550B"/>
    <w:rsid w:val="006D554D"/>
    <w:rsid w:val="006D5585"/>
    <w:rsid w:val="006D55BC"/>
    <w:rsid w:val="006D5665"/>
    <w:rsid w:val="006D585A"/>
    <w:rsid w:val="006D5932"/>
    <w:rsid w:val="006D5A48"/>
    <w:rsid w:val="006D5CA7"/>
    <w:rsid w:val="006D5D55"/>
    <w:rsid w:val="006D5F76"/>
    <w:rsid w:val="006D5F99"/>
    <w:rsid w:val="006D5FF3"/>
    <w:rsid w:val="006D620A"/>
    <w:rsid w:val="006D621E"/>
    <w:rsid w:val="006D622D"/>
    <w:rsid w:val="006D6399"/>
    <w:rsid w:val="006D6446"/>
    <w:rsid w:val="006D6539"/>
    <w:rsid w:val="006D6766"/>
    <w:rsid w:val="006D6813"/>
    <w:rsid w:val="006D68F3"/>
    <w:rsid w:val="006D6CD0"/>
    <w:rsid w:val="006D6D0D"/>
    <w:rsid w:val="006D6D96"/>
    <w:rsid w:val="006D7211"/>
    <w:rsid w:val="006D729F"/>
    <w:rsid w:val="006D72E8"/>
    <w:rsid w:val="006D7332"/>
    <w:rsid w:val="006D7422"/>
    <w:rsid w:val="006D74DC"/>
    <w:rsid w:val="006D75C8"/>
    <w:rsid w:val="006D75E8"/>
    <w:rsid w:val="006D77A4"/>
    <w:rsid w:val="006D7984"/>
    <w:rsid w:val="006D7985"/>
    <w:rsid w:val="006D79C2"/>
    <w:rsid w:val="006D7B72"/>
    <w:rsid w:val="006D7CC6"/>
    <w:rsid w:val="006D7E6F"/>
    <w:rsid w:val="006D7F6D"/>
    <w:rsid w:val="006D7F77"/>
    <w:rsid w:val="006D7FB2"/>
    <w:rsid w:val="006E0106"/>
    <w:rsid w:val="006E0188"/>
    <w:rsid w:val="006E0207"/>
    <w:rsid w:val="006E0284"/>
    <w:rsid w:val="006E0301"/>
    <w:rsid w:val="006E05D4"/>
    <w:rsid w:val="006E05ED"/>
    <w:rsid w:val="006E081F"/>
    <w:rsid w:val="006E09CE"/>
    <w:rsid w:val="006E09E0"/>
    <w:rsid w:val="006E0AFF"/>
    <w:rsid w:val="006E0D26"/>
    <w:rsid w:val="006E0D8D"/>
    <w:rsid w:val="006E0F28"/>
    <w:rsid w:val="006E0F68"/>
    <w:rsid w:val="006E0FBD"/>
    <w:rsid w:val="006E1698"/>
    <w:rsid w:val="006E19DC"/>
    <w:rsid w:val="006E1BA3"/>
    <w:rsid w:val="006E1D2B"/>
    <w:rsid w:val="006E1DE7"/>
    <w:rsid w:val="006E1FAF"/>
    <w:rsid w:val="006E2055"/>
    <w:rsid w:val="006E2204"/>
    <w:rsid w:val="006E2269"/>
    <w:rsid w:val="006E232F"/>
    <w:rsid w:val="006E24AA"/>
    <w:rsid w:val="006E2896"/>
    <w:rsid w:val="006E2C7C"/>
    <w:rsid w:val="006E2CBD"/>
    <w:rsid w:val="006E2E87"/>
    <w:rsid w:val="006E2F1A"/>
    <w:rsid w:val="006E33F8"/>
    <w:rsid w:val="006E3521"/>
    <w:rsid w:val="006E353E"/>
    <w:rsid w:val="006E3555"/>
    <w:rsid w:val="006E3604"/>
    <w:rsid w:val="006E36AB"/>
    <w:rsid w:val="006E36C4"/>
    <w:rsid w:val="006E36F3"/>
    <w:rsid w:val="006E37F8"/>
    <w:rsid w:val="006E3809"/>
    <w:rsid w:val="006E38CB"/>
    <w:rsid w:val="006E3A19"/>
    <w:rsid w:val="006E3B78"/>
    <w:rsid w:val="006E3B90"/>
    <w:rsid w:val="006E3C05"/>
    <w:rsid w:val="006E3C5E"/>
    <w:rsid w:val="006E3CF5"/>
    <w:rsid w:val="006E3D29"/>
    <w:rsid w:val="006E3DAF"/>
    <w:rsid w:val="006E3E0B"/>
    <w:rsid w:val="006E3EC7"/>
    <w:rsid w:val="006E42B1"/>
    <w:rsid w:val="006E42DE"/>
    <w:rsid w:val="006E43DD"/>
    <w:rsid w:val="006E4400"/>
    <w:rsid w:val="006E446B"/>
    <w:rsid w:val="006E4608"/>
    <w:rsid w:val="006E46B2"/>
    <w:rsid w:val="006E476F"/>
    <w:rsid w:val="006E479D"/>
    <w:rsid w:val="006E47D2"/>
    <w:rsid w:val="006E4A56"/>
    <w:rsid w:val="006E4B91"/>
    <w:rsid w:val="006E4BA7"/>
    <w:rsid w:val="006E4C55"/>
    <w:rsid w:val="006E4E6F"/>
    <w:rsid w:val="006E4F2C"/>
    <w:rsid w:val="006E503B"/>
    <w:rsid w:val="006E50A8"/>
    <w:rsid w:val="006E51C1"/>
    <w:rsid w:val="006E5580"/>
    <w:rsid w:val="006E5631"/>
    <w:rsid w:val="006E5843"/>
    <w:rsid w:val="006E59DD"/>
    <w:rsid w:val="006E5B30"/>
    <w:rsid w:val="006E5BBA"/>
    <w:rsid w:val="006E5DEF"/>
    <w:rsid w:val="006E5E2B"/>
    <w:rsid w:val="006E5E35"/>
    <w:rsid w:val="006E5E53"/>
    <w:rsid w:val="006E5EF1"/>
    <w:rsid w:val="006E5EF3"/>
    <w:rsid w:val="006E613C"/>
    <w:rsid w:val="006E621C"/>
    <w:rsid w:val="006E6221"/>
    <w:rsid w:val="006E6352"/>
    <w:rsid w:val="006E63E5"/>
    <w:rsid w:val="006E6597"/>
    <w:rsid w:val="006E65FC"/>
    <w:rsid w:val="006E662C"/>
    <w:rsid w:val="006E67C3"/>
    <w:rsid w:val="006E6832"/>
    <w:rsid w:val="006E6944"/>
    <w:rsid w:val="006E6987"/>
    <w:rsid w:val="006E6A5D"/>
    <w:rsid w:val="006E6B7E"/>
    <w:rsid w:val="006E6BA9"/>
    <w:rsid w:val="006E6BBA"/>
    <w:rsid w:val="006E6CC0"/>
    <w:rsid w:val="006E6CCF"/>
    <w:rsid w:val="006E6CDE"/>
    <w:rsid w:val="006E6D32"/>
    <w:rsid w:val="006E6E60"/>
    <w:rsid w:val="006E6ECC"/>
    <w:rsid w:val="006E70F6"/>
    <w:rsid w:val="006E7238"/>
    <w:rsid w:val="006E7239"/>
    <w:rsid w:val="006E7266"/>
    <w:rsid w:val="006E7358"/>
    <w:rsid w:val="006E73FD"/>
    <w:rsid w:val="006E760C"/>
    <w:rsid w:val="006E7679"/>
    <w:rsid w:val="006E793A"/>
    <w:rsid w:val="006E79BF"/>
    <w:rsid w:val="006E7C07"/>
    <w:rsid w:val="006E7D63"/>
    <w:rsid w:val="006E7E1D"/>
    <w:rsid w:val="006E7ED6"/>
    <w:rsid w:val="006E7F95"/>
    <w:rsid w:val="006F0019"/>
    <w:rsid w:val="006F0050"/>
    <w:rsid w:val="006F02B0"/>
    <w:rsid w:val="006F039A"/>
    <w:rsid w:val="006F03E8"/>
    <w:rsid w:val="006F0509"/>
    <w:rsid w:val="006F0599"/>
    <w:rsid w:val="006F06B2"/>
    <w:rsid w:val="006F086E"/>
    <w:rsid w:val="006F0A44"/>
    <w:rsid w:val="006F0D41"/>
    <w:rsid w:val="006F0D46"/>
    <w:rsid w:val="006F0D5E"/>
    <w:rsid w:val="006F0E2E"/>
    <w:rsid w:val="006F14A5"/>
    <w:rsid w:val="006F14BB"/>
    <w:rsid w:val="006F153B"/>
    <w:rsid w:val="006F159A"/>
    <w:rsid w:val="006F1680"/>
    <w:rsid w:val="006F1733"/>
    <w:rsid w:val="006F183B"/>
    <w:rsid w:val="006F188C"/>
    <w:rsid w:val="006F1A2D"/>
    <w:rsid w:val="006F1A60"/>
    <w:rsid w:val="006F1B0E"/>
    <w:rsid w:val="006F1B43"/>
    <w:rsid w:val="006F1E53"/>
    <w:rsid w:val="006F1FA7"/>
    <w:rsid w:val="006F2044"/>
    <w:rsid w:val="006F2059"/>
    <w:rsid w:val="006F2359"/>
    <w:rsid w:val="006F23DD"/>
    <w:rsid w:val="006F28FB"/>
    <w:rsid w:val="006F2999"/>
    <w:rsid w:val="006F29C8"/>
    <w:rsid w:val="006F2A6B"/>
    <w:rsid w:val="006F2AC9"/>
    <w:rsid w:val="006F2C49"/>
    <w:rsid w:val="006F2D70"/>
    <w:rsid w:val="006F2F00"/>
    <w:rsid w:val="006F3061"/>
    <w:rsid w:val="006F3100"/>
    <w:rsid w:val="006F3158"/>
    <w:rsid w:val="006F3284"/>
    <w:rsid w:val="006F33F6"/>
    <w:rsid w:val="006F341F"/>
    <w:rsid w:val="006F348D"/>
    <w:rsid w:val="006F3643"/>
    <w:rsid w:val="006F3688"/>
    <w:rsid w:val="006F3C5D"/>
    <w:rsid w:val="006F3C6A"/>
    <w:rsid w:val="006F3C85"/>
    <w:rsid w:val="006F3DC8"/>
    <w:rsid w:val="006F3FDA"/>
    <w:rsid w:val="006F4262"/>
    <w:rsid w:val="006F4329"/>
    <w:rsid w:val="006F4644"/>
    <w:rsid w:val="006F4B6C"/>
    <w:rsid w:val="006F4EE5"/>
    <w:rsid w:val="006F5057"/>
    <w:rsid w:val="006F5158"/>
    <w:rsid w:val="006F51DE"/>
    <w:rsid w:val="006F5261"/>
    <w:rsid w:val="006F52C5"/>
    <w:rsid w:val="006F5335"/>
    <w:rsid w:val="006F54A6"/>
    <w:rsid w:val="006F556E"/>
    <w:rsid w:val="006F55A6"/>
    <w:rsid w:val="006F5701"/>
    <w:rsid w:val="006F588A"/>
    <w:rsid w:val="006F5926"/>
    <w:rsid w:val="006F5B17"/>
    <w:rsid w:val="006F5BBA"/>
    <w:rsid w:val="006F5C8F"/>
    <w:rsid w:val="006F5F0D"/>
    <w:rsid w:val="006F5FD3"/>
    <w:rsid w:val="006F6268"/>
    <w:rsid w:val="006F6373"/>
    <w:rsid w:val="006F669D"/>
    <w:rsid w:val="006F67A5"/>
    <w:rsid w:val="006F6911"/>
    <w:rsid w:val="006F69FE"/>
    <w:rsid w:val="006F6A83"/>
    <w:rsid w:val="006F6C37"/>
    <w:rsid w:val="006F6EB7"/>
    <w:rsid w:val="006F6F04"/>
    <w:rsid w:val="006F716F"/>
    <w:rsid w:val="006F7247"/>
    <w:rsid w:val="006F72FA"/>
    <w:rsid w:val="006F747A"/>
    <w:rsid w:val="006F748C"/>
    <w:rsid w:val="006F75E2"/>
    <w:rsid w:val="006F774A"/>
    <w:rsid w:val="006F774B"/>
    <w:rsid w:val="006F774F"/>
    <w:rsid w:val="006F79C8"/>
    <w:rsid w:val="006F7C9F"/>
    <w:rsid w:val="006F7CB7"/>
    <w:rsid w:val="006F7CD9"/>
    <w:rsid w:val="006F7E2C"/>
    <w:rsid w:val="006F7FAF"/>
    <w:rsid w:val="006F7FEB"/>
    <w:rsid w:val="00700003"/>
    <w:rsid w:val="007000FD"/>
    <w:rsid w:val="00700246"/>
    <w:rsid w:val="007003B4"/>
    <w:rsid w:val="007003EE"/>
    <w:rsid w:val="00700452"/>
    <w:rsid w:val="007004F4"/>
    <w:rsid w:val="0070050D"/>
    <w:rsid w:val="007005B0"/>
    <w:rsid w:val="007006CA"/>
    <w:rsid w:val="0070071C"/>
    <w:rsid w:val="00700950"/>
    <w:rsid w:val="00700A46"/>
    <w:rsid w:val="00700AE4"/>
    <w:rsid w:val="00700D12"/>
    <w:rsid w:val="00700F2C"/>
    <w:rsid w:val="00700FA0"/>
    <w:rsid w:val="00700FBA"/>
    <w:rsid w:val="00701136"/>
    <w:rsid w:val="00701154"/>
    <w:rsid w:val="007011FB"/>
    <w:rsid w:val="00701350"/>
    <w:rsid w:val="007014A3"/>
    <w:rsid w:val="007014CD"/>
    <w:rsid w:val="00701552"/>
    <w:rsid w:val="00701B7C"/>
    <w:rsid w:val="00701C7F"/>
    <w:rsid w:val="00701C81"/>
    <w:rsid w:val="00701D4E"/>
    <w:rsid w:val="00701E57"/>
    <w:rsid w:val="00701EFF"/>
    <w:rsid w:val="00701F8A"/>
    <w:rsid w:val="00702185"/>
    <w:rsid w:val="00702215"/>
    <w:rsid w:val="007022EF"/>
    <w:rsid w:val="00702414"/>
    <w:rsid w:val="0070249D"/>
    <w:rsid w:val="007024F8"/>
    <w:rsid w:val="007028AF"/>
    <w:rsid w:val="007028D3"/>
    <w:rsid w:val="0070293A"/>
    <w:rsid w:val="007029F4"/>
    <w:rsid w:val="00702A17"/>
    <w:rsid w:val="00702AAB"/>
    <w:rsid w:val="00702AF5"/>
    <w:rsid w:val="00702DC0"/>
    <w:rsid w:val="00702E60"/>
    <w:rsid w:val="00703138"/>
    <w:rsid w:val="0070319A"/>
    <w:rsid w:val="007032AC"/>
    <w:rsid w:val="007034E3"/>
    <w:rsid w:val="0070355E"/>
    <w:rsid w:val="00703995"/>
    <w:rsid w:val="00703A4C"/>
    <w:rsid w:val="00703AA5"/>
    <w:rsid w:val="00703BE5"/>
    <w:rsid w:val="00703CB4"/>
    <w:rsid w:val="00703F1D"/>
    <w:rsid w:val="00704355"/>
    <w:rsid w:val="007045F1"/>
    <w:rsid w:val="007047DF"/>
    <w:rsid w:val="00704930"/>
    <w:rsid w:val="00704D84"/>
    <w:rsid w:val="00704EE3"/>
    <w:rsid w:val="00704F08"/>
    <w:rsid w:val="00704F28"/>
    <w:rsid w:val="00704FF8"/>
    <w:rsid w:val="0070505D"/>
    <w:rsid w:val="00705061"/>
    <w:rsid w:val="007050A2"/>
    <w:rsid w:val="007050F8"/>
    <w:rsid w:val="00705175"/>
    <w:rsid w:val="007051AB"/>
    <w:rsid w:val="007051F9"/>
    <w:rsid w:val="007054C7"/>
    <w:rsid w:val="00705517"/>
    <w:rsid w:val="00705525"/>
    <w:rsid w:val="00705673"/>
    <w:rsid w:val="007056CE"/>
    <w:rsid w:val="007056F9"/>
    <w:rsid w:val="00705786"/>
    <w:rsid w:val="007057B5"/>
    <w:rsid w:val="007057F0"/>
    <w:rsid w:val="00705854"/>
    <w:rsid w:val="00705951"/>
    <w:rsid w:val="00705952"/>
    <w:rsid w:val="00705B76"/>
    <w:rsid w:val="00705C97"/>
    <w:rsid w:val="00705CCE"/>
    <w:rsid w:val="00705E07"/>
    <w:rsid w:val="00705ED5"/>
    <w:rsid w:val="00705F11"/>
    <w:rsid w:val="00705F3B"/>
    <w:rsid w:val="00705F69"/>
    <w:rsid w:val="00706037"/>
    <w:rsid w:val="00706261"/>
    <w:rsid w:val="007062E0"/>
    <w:rsid w:val="0070636C"/>
    <w:rsid w:val="00706562"/>
    <w:rsid w:val="007067E3"/>
    <w:rsid w:val="00706B87"/>
    <w:rsid w:val="00706BA9"/>
    <w:rsid w:val="00706E20"/>
    <w:rsid w:val="00707095"/>
    <w:rsid w:val="007070FF"/>
    <w:rsid w:val="007071AC"/>
    <w:rsid w:val="0070724C"/>
    <w:rsid w:val="007072A2"/>
    <w:rsid w:val="00707461"/>
    <w:rsid w:val="007075CD"/>
    <w:rsid w:val="007076C4"/>
    <w:rsid w:val="00707869"/>
    <w:rsid w:val="00707C18"/>
    <w:rsid w:val="00707C6F"/>
    <w:rsid w:val="00707C74"/>
    <w:rsid w:val="00710079"/>
    <w:rsid w:val="007100FE"/>
    <w:rsid w:val="0071030F"/>
    <w:rsid w:val="007103A9"/>
    <w:rsid w:val="007104D9"/>
    <w:rsid w:val="0071051D"/>
    <w:rsid w:val="0071066C"/>
    <w:rsid w:val="007106D7"/>
    <w:rsid w:val="00710728"/>
    <w:rsid w:val="0071072D"/>
    <w:rsid w:val="0071084E"/>
    <w:rsid w:val="00710953"/>
    <w:rsid w:val="00710986"/>
    <w:rsid w:val="00710990"/>
    <w:rsid w:val="00710995"/>
    <w:rsid w:val="00710AD6"/>
    <w:rsid w:val="00710F4C"/>
    <w:rsid w:val="0071107F"/>
    <w:rsid w:val="0071110B"/>
    <w:rsid w:val="007111D6"/>
    <w:rsid w:val="0071127B"/>
    <w:rsid w:val="0071167B"/>
    <w:rsid w:val="007116D0"/>
    <w:rsid w:val="007117D6"/>
    <w:rsid w:val="0071189F"/>
    <w:rsid w:val="007118FF"/>
    <w:rsid w:val="00711AC1"/>
    <w:rsid w:val="00711B86"/>
    <w:rsid w:val="00711E79"/>
    <w:rsid w:val="00711F96"/>
    <w:rsid w:val="007120C3"/>
    <w:rsid w:val="0071210D"/>
    <w:rsid w:val="007122A4"/>
    <w:rsid w:val="00712326"/>
    <w:rsid w:val="007123F1"/>
    <w:rsid w:val="007124A2"/>
    <w:rsid w:val="007125FA"/>
    <w:rsid w:val="0071263B"/>
    <w:rsid w:val="007126D0"/>
    <w:rsid w:val="00712718"/>
    <w:rsid w:val="00712757"/>
    <w:rsid w:val="00712783"/>
    <w:rsid w:val="0071293F"/>
    <w:rsid w:val="00712A28"/>
    <w:rsid w:val="00712A85"/>
    <w:rsid w:val="00712AB8"/>
    <w:rsid w:val="00712B2F"/>
    <w:rsid w:val="00712C51"/>
    <w:rsid w:val="00712CF9"/>
    <w:rsid w:val="00713039"/>
    <w:rsid w:val="00713091"/>
    <w:rsid w:val="007130DF"/>
    <w:rsid w:val="007131A1"/>
    <w:rsid w:val="007132A7"/>
    <w:rsid w:val="007133AD"/>
    <w:rsid w:val="007135B4"/>
    <w:rsid w:val="007135ED"/>
    <w:rsid w:val="007135EF"/>
    <w:rsid w:val="007136F1"/>
    <w:rsid w:val="0071371F"/>
    <w:rsid w:val="007137FF"/>
    <w:rsid w:val="00713A55"/>
    <w:rsid w:val="00713A64"/>
    <w:rsid w:val="00713AF0"/>
    <w:rsid w:val="00714047"/>
    <w:rsid w:val="007140C3"/>
    <w:rsid w:val="00714266"/>
    <w:rsid w:val="00714269"/>
    <w:rsid w:val="007147BE"/>
    <w:rsid w:val="0071484C"/>
    <w:rsid w:val="00714850"/>
    <w:rsid w:val="0071489D"/>
    <w:rsid w:val="00714974"/>
    <w:rsid w:val="007149B4"/>
    <w:rsid w:val="00714BEF"/>
    <w:rsid w:val="00714C7C"/>
    <w:rsid w:val="00714C86"/>
    <w:rsid w:val="00714EE1"/>
    <w:rsid w:val="0071501F"/>
    <w:rsid w:val="0071507F"/>
    <w:rsid w:val="007153A6"/>
    <w:rsid w:val="007153AB"/>
    <w:rsid w:val="007155AE"/>
    <w:rsid w:val="007155C1"/>
    <w:rsid w:val="00715986"/>
    <w:rsid w:val="00715A2A"/>
    <w:rsid w:val="00715B29"/>
    <w:rsid w:val="00715B30"/>
    <w:rsid w:val="00715B80"/>
    <w:rsid w:val="00715BF0"/>
    <w:rsid w:val="00715BF1"/>
    <w:rsid w:val="00715CFA"/>
    <w:rsid w:val="00715D0E"/>
    <w:rsid w:val="00715F72"/>
    <w:rsid w:val="00716065"/>
    <w:rsid w:val="007160D9"/>
    <w:rsid w:val="00716184"/>
    <w:rsid w:val="007166F7"/>
    <w:rsid w:val="007167EA"/>
    <w:rsid w:val="0071689F"/>
    <w:rsid w:val="00716969"/>
    <w:rsid w:val="00716987"/>
    <w:rsid w:val="00716AA3"/>
    <w:rsid w:val="00716AD2"/>
    <w:rsid w:val="00716B29"/>
    <w:rsid w:val="00717097"/>
    <w:rsid w:val="00717193"/>
    <w:rsid w:val="00717268"/>
    <w:rsid w:val="007172FA"/>
    <w:rsid w:val="00717342"/>
    <w:rsid w:val="0071743A"/>
    <w:rsid w:val="007174AE"/>
    <w:rsid w:val="007175D2"/>
    <w:rsid w:val="00717670"/>
    <w:rsid w:val="007176CE"/>
    <w:rsid w:val="00717890"/>
    <w:rsid w:val="007178F7"/>
    <w:rsid w:val="007179C4"/>
    <w:rsid w:val="007179D1"/>
    <w:rsid w:val="00717A18"/>
    <w:rsid w:val="00717CE4"/>
    <w:rsid w:val="00717DA8"/>
    <w:rsid w:val="00717DBB"/>
    <w:rsid w:val="00717E16"/>
    <w:rsid w:val="00717F26"/>
    <w:rsid w:val="00717FF4"/>
    <w:rsid w:val="00720038"/>
    <w:rsid w:val="00720289"/>
    <w:rsid w:val="007203CA"/>
    <w:rsid w:val="00720496"/>
    <w:rsid w:val="007204A3"/>
    <w:rsid w:val="00720846"/>
    <w:rsid w:val="007209FD"/>
    <w:rsid w:val="00720B70"/>
    <w:rsid w:val="0072106A"/>
    <w:rsid w:val="0072148A"/>
    <w:rsid w:val="00721648"/>
    <w:rsid w:val="00721B3A"/>
    <w:rsid w:val="00721BC2"/>
    <w:rsid w:val="00721CD2"/>
    <w:rsid w:val="00721CDC"/>
    <w:rsid w:val="00721D53"/>
    <w:rsid w:val="00722048"/>
    <w:rsid w:val="00722050"/>
    <w:rsid w:val="00722132"/>
    <w:rsid w:val="00722279"/>
    <w:rsid w:val="007225C1"/>
    <w:rsid w:val="007225E5"/>
    <w:rsid w:val="007226BA"/>
    <w:rsid w:val="007226F5"/>
    <w:rsid w:val="00722A95"/>
    <w:rsid w:val="00722C7A"/>
    <w:rsid w:val="00722ECC"/>
    <w:rsid w:val="00722F35"/>
    <w:rsid w:val="0072309D"/>
    <w:rsid w:val="00723418"/>
    <w:rsid w:val="00723521"/>
    <w:rsid w:val="0072356A"/>
    <w:rsid w:val="007235AE"/>
    <w:rsid w:val="00723790"/>
    <w:rsid w:val="007238A7"/>
    <w:rsid w:val="00723915"/>
    <w:rsid w:val="00723B2C"/>
    <w:rsid w:val="00723DDD"/>
    <w:rsid w:val="00723E88"/>
    <w:rsid w:val="00723F8D"/>
    <w:rsid w:val="007242D7"/>
    <w:rsid w:val="00724359"/>
    <w:rsid w:val="007243F3"/>
    <w:rsid w:val="0072459C"/>
    <w:rsid w:val="007245D0"/>
    <w:rsid w:val="00724979"/>
    <w:rsid w:val="00724AC6"/>
    <w:rsid w:val="00724ED0"/>
    <w:rsid w:val="00724F1A"/>
    <w:rsid w:val="00724F2B"/>
    <w:rsid w:val="00724F92"/>
    <w:rsid w:val="0072517F"/>
    <w:rsid w:val="007251A2"/>
    <w:rsid w:val="007253D6"/>
    <w:rsid w:val="00725460"/>
    <w:rsid w:val="007254AF"/>
    <w:rsid w:val="0072578A"/>
    <w:rsid w:val="007257A1"/>
    <w:rsid w:val="00725854"/>
    <w:rsid w:val="00725978"/>
    <w:rsid w:val="0072597A"/>
    <w:rsid w:val="00725B92"/>
    <w:rsid w:val="00725CAD"/>
    <w:rsid w:val="00725D31"/>
    <w:rsid w:val="00725D97"/>
    <w:rsid w:val="0072601E"/>
    <w:rsid w:val="007261F4"/>
    <w:rsid w:val="0072631F"/>
    <w:rsid w:val="0072634D"/>
    <w:rsid w:val="007263F5"/>
    <w:rsid w:val="007264D8"/>
    <w:rsid w:val="00726523"/>
    <w:rsid w:val="00726541"/>
    <w:rsid w:val="00726572"/>
    <w:rsid w:val="0072661A"/>
    <w:rsid w:val="00726720"/>
    <w:rsid w:val="007267BE"/>
    <w:rsid w:val="0072682C"/>
    <w:rsid w:val="00726BBF"/>
    <w:rsid w:val="00726BCF"/>
    <w:rsid w:val="00726CC7"/>
    <w:rsid w:val="00726D0D"/>
    <w:rsid w:val="00726E7E"/>
    <w:rsid w:val="00726EF7"/>
    <w:rsid w:val="00726F01"/>
    <w:rsid w:val="0072708D"/>
    <w:rsid w:val="00727342"/>
    <w:rsid w:val="00727570"/>
    <w:rsid w:val="0072759F"/>
    <w:rsid w:val="00727606"/>
    <w:rsid w:val="007276E6"/>
    <w:rsid w:val="00727787"/>
    <w:rsid w:val="007278E1"/>
    <w:rsid w:val="0072796B"/>
    <w:rsid w:val="00727B45"/>
    <w:rsid w:val="00727B9E"/>
    <w:rsid w:val="00727DB7"/>
    <w:rsid w:val="00727E13"/>
    <w:rsid w:val="007300E2"/>
    <w:rsid w:val="0073020E"/>
    <w:rsid w:val="00730652"/>
    <w:rsid w:val="007306D0"/>
    <w:rsid w:val="007307D7"/>
    <w:rsid w:val="00730868"/>
    <w:rsid w:val="007308D1"/>
    <w:rsid w:val="007308E0"/>
    <w:rsid w:val="00730920"/>
    <w:rsid w:val="00730C18"/>
    <w:rsid w:val="00730C70"/>
    <w:rsid w:val="00730DD1"/>
    <w:rsid w:val="00730E29"/>
    <w:rsid w:val="00730E35"/>
    <w:rsid w:val="00730EE3"/>
    <w:rsid w:val="00730F43"/>
    <w:rsid w:val="007310E9"/>
    <w:rsid w:val="007311BE"/>
    <w:rsid w:val="00731471"/>
    <w:rsid w:val="007314A0"/>
    <w:rsid w:val="007314A8"/>
    <w:rsid w:val="00731CF8"/>
    <w:rsid w:val="00731DCC"/>
    <w:rsid w:val="00731F2E"/>
    <w:rsid w:val="00731F39"/>
    <w:rsid w:val="00731F58"/>
    <w:rsid w:val="0073211A"/>
    <w:rsid w:val="00732148"/>
    <w:rsid w:val="0073216A"/>
    <w:rsid w:val="00732463"/>
    <w:rsid w:val="00732586"/>
    <w:rsid w:val="007326D6"/>
    <w:rsid w:val="00732897"/>
    <w:rsid w:val="007329D9"/>
    <w:rsid w:val="00732A56"/>
    <w:rsid w:val="00732B94"/>
    <w:rsid w:val="00732D5F"/>
    <w:rsid w:val="00732D60"/>
    <w:rsid w:val="00732DAB"/>
    <w:rsid w:val="00732DC2"/>
    <w:rsid w:val="00732F43"/>
    <w:rsid w:val="00733249"/>
    <w:rsid w:val="007333EA"/>
    <w:rsid w:val="007333F3"/>
    <w:rsid w:val="00733457"/>
    <w:rsid w:val="00733549"/>
    <w:rsid w:val="007335B8"/>
    <w:rsid w:val="0073369C"/>
    <w:rsid w:val="007337AB"/>
    <w:rsid w:val="00733851"/>
    <w:rsid w:val="00733926"/>
    <w:rsid w:val="00733A7D"/>
    <w:rsid w:val="00733D33"/>
    <w:rsid w:val="007344FD"/>
    <w:rsid w:val="00734518"/>
    <w:rsid w:val="00734590"/>
    <w:rsid w:val="00734C61"/>
    <w:rsid w:val="00734D83"/>
    <w:rsid w:val="00734F58"/>
    <w:rsid w:val="00734F6D"/>
    <w:rsid w:val="00735441"/>
    <w:rsid w:val="00735456"/>
    <w:rsid w:val="007356C1"/>
    <w:rsid w:val="007356F6"/>
    <w:rsid w:val="007358A2"/>
    <w:rsid w:val="007359E2"/>
    <w:rsid w:val="00735A20"/>
    <w:rsid w:val="00735BBC"/>
    <w:rsid w:val="00735C3E"/>
    <w:rsid w:val="00735C9D"/>
    <w:rsid w:val="00735DB5"/>
    <w:rsid w:val="00735E2E"/>
    <w:rsid w:val="00735F0E"/>
    <w:rsid w:val="00735FD7"/>
    <w:rsid w:val="007361FA"/>
    <w:rsid w:val="007362BB"/>
    <w:rsid w:val="007362C6"/>
    <w:rsid w:val="00736305"/>
    <w:rsid w:val="0073650F"/>
    <w:rsid w:val="007365A2"/>
    <w:rsid w:val="00736637"/>
    <w:rsid w:val="00736697"/>
    <w:rsid w:val="007366C4"/>
    <w:rsid w:val="00736757"/>
    <w:rsid w:val="00736801"/>
    <w:rsid w:val="00736864"/>
    <w:rsid w:val="00736A25"/>
    <w:rsid w:val="00736A98"/>
    <w:rsid w:val="00736B70"/>
    <w:rsid w:val="00736BDB"/>
    <w:rsid w:val="00736D5B"/>
    <w:rsid w:val="00736D7B"/>
    <w:rsid w:val="00736F54"/>
    <w:rsid w:val="00737314"/>
    <w:rsid w:val="00737401"/>
    <w:rsid w:val="007377F5"/>
    <w:rsid w:val="00737811"/>
    <w:rsid w:val="0073792C"/>
    <w:rsid w:val="0073793E"/>
    <w:rsid w:val="007379DC"/>
    <w:rsid w:val="00737B01"/>
    <w:rsid w:val="00737B54"/>
    <w:rsid w:val="00737C0F"/>
    <w:rsid w:val="00737C41"/>
    <w:rsid w:val="00737D39"/>
    <w:rsid w:val="00737D41"/>
    <w:rsid w:val="00737F58"/>
    <w:rsid w:val="00737F7D"/>
    <w:rsid w:val="00740009"/>
    <w:rsid w:val="0074014E"/>
    <w:rsid w:val="0074019D"/>
    <w:rsid w:val="00740317"/>
    <w:rsid w:val="00740337"/>
    <w:rsid w:val="007403D7"/>
    <w:rsid w:val="00740400"/>
    <w:rsid w:val="007404CD"/>
    <w:rsid w:val="007404D1"/>
    <w:rsid w:val="0074076F"/>
    <w:rsid w:val="0074087D"/>
    <w:rsid w:val="007408ED"/>
    <w:rsid w:val="00740B3B"/>
    <w:rsid w:val="00740BAF"/>
    <w:rsid w:val="00740C09"/>
    <w:rsid w:val="00740C2E"/>
    <w:rsid w:val="00740ED4"/>
    <w:rsid w:val="00740F04"/>
    <w:rsid w:val="00740FD4"/>
    <w:rsid w:val="00741019"/>
    <w:rsid w:val="00741302"/>
    <w:rsid w:val="0074131B"/>
    <w:rsid w:val="0074141B"/>
    <w:rsid w:val="00741479"/>
    <w:rsid w:val="0074149A"/>
    <w:rsid w:val="007414CD"/>
    <w:rsid w:val="00741669"/>
    <w:rsid w:val="00741B96"/>
    <w:rsid w:val="00741CCE"/>
    <w:rsid w:val="00741D08"/>
    <w:rsid w:val="00741D5A"/>
    <w:rsid w:val="00741E19"/>
    <w:rsid w:val="00741EC9"/>
    <w:rsid w:val="007420B9"/>
    <w:rsid w:val="007420F5"/>
    <w:rsid w:val="007420FE"/>
    <w:rsid w:val="007421EC"/>
    <w:rsid w:val="00742216"/>
    <w:rsid w:val="0074257A"/>
    <w:rsid w:val="007426E0"/>
    <w:rsid w:val="007426F2"/>
    <w:rsid w:val="007428B2"/>
    <w:rsid w:val="00742B8A"/>
    <w:rsid w:val="00742BA2"/>
    <w:rsid w:val="00742C01"/>
    <w:rsid w:val="00742C61"/>
    <w:rsid w:val="00742E01"/>
    <w:rsid w:val="00742EA4"/>
    <w:rsid w:val="00742EBA"/>
    <w:rsid w:val="00742ED7"/>
    <w:rsid w:val="00742F6F"/>
    <w:rsid w:val="00742FC1"/>
    <w:rsid w:val="007432DC"/>
    <w:rsid w:val="00743413"/>
    <w:rsid w:val="00743468"/>
    <w:rsid w:val="007435DB"/>
    <w:rsid w:val="0074368D"/>
    <w:rsid w:val="007436F7"/>
    <w:rsid w:val="0074374F"/>
    <w:rsid w:val="00743845"/>
    <w:rsid w:val="0074385E"/>
    <w:rsid w:val="0074397F"/>
    <w:rsid w:val="00743A74"/>
    <w:rsid w:val="00743C06"/>
    <w:rsid w:val="00743DF2"/>
    <w:rsid w:val="00743E73"/>
    <w:rsid w:val="007440C1"/>
    <w:rsid w:val="00744287"/>
    <w:rsid w:val="0074443E"/>
    <w:rsid w:val="00744656"/>
    <w:rsid w:val="00744784"/>
    <w:rsid w:val="007447E5"/>
    <w:rsid w:val="00744845"/>
    <w:rsid w:val="00744A4C"/>
    <w:rsid w:val="00744AAC"/>
    <w:rsid w:val="00744BC9"/>
    <w:rsid w:val="00744C32"/>
    <w:rsid w:val="00744C66"/>
    <w:rsid w:val="00744DC5"/>
    <w:rsid w:val="00744EAA"/>
    <w:rsid w:val="00744EAB"/>
    <w:rsid w:val="00745298"/>
    <w:rsid w:val="0074536A"/>
    <w:rsid w:val="00745574"/>
    <w:rsid w:val="007456E5"/>
    <w:rsid w:val="0074578D"/>
    <w:rsid w:val="0074580E"/>
    <w:rsid w:val="00745847"/>
    <w:rsid w:val="007458B6"/>
    <w:rsid w:val="007458E4"/>
    <w:rsid w:val="00745911"/>
    <w:rsid w:val="007459BD"/>
    <w:rsid w:val="007459EA"/>
    <w:rsid w:val="00745B45"/>
    <w:rsid w:val="00745B8D"/>
    <w:rsid w:val="00746053"/>
    <w:rsid w:val="00746338"/>
    <w:rsid w:val="0074642A"/>
    <w:rsid w:val="0074645B"/>
    <w:rsid w:val="007464BB"/>
    <w:rsid w:val="007465F1"/>
    <w:rsid w:val="00746711"/>
    <w:rsid w:val="00746736"/>
    <w:rsid w:val="007468ED"/>
    <w:rsid w:val="007469C7"/>
    <w:rsid w:val="00746AAC"/>
    <w:rsid w:val="00746B18"/>
    <w:rsid w:val="00746B8E"/>
    <w:rsid w:val="00746CF4"/>
    <w:rsid w:val="00746D34"/>
    <w:rsid w:val="00746EB9"/>
    <w:rsid w:val="0074709E"/>
    <w:rsid w:val="007470F1"/>
    <w:rsid w:val="00747217"/>
    <w:rsid w:val="00747254"/>
    <w:rsid w:val="00747308"/>
    <w:rsid w:val="0074733C"/>
    <w:rsid w:val="007473C8"/>
    <w:rsid w:val="00747406"/>
    <w:rsid w:val="00747434"/>
    <w:rsid w:val="007474FE"/>
    <w:rsid w:val="00747546"/>
    <w:rsid w:val="007475AE"/>
    <w:rsid w:val="0074785D"/>
    <w:rsid w:val="0074788B"/>
    <w:rsid w:val="00747B6D"/>
    <w:rsid w:val="00747BBC"/>
    <w:rsid w:val="00747BD6"/>
    <w:rsid w:val="00747CBB"/>
    <w:rsid w:val="00747F5A"/>
    <w:rsid w:val="007501AD"/>
    <w:rsid w:val="00750319"/>
    <w:rsid w:val="0075032A"/>
    <w:rsid w:val="007504EA"/>
    <w:rsid w:val="00750542"/>
    <w:rsid w:val="007506D9"/>
    <w:rsid w:val="0075076A"/>
    <w:rsid w:val="007509F0"/>
    <w:rsid w:val="00750B6E"/>
    <w:rsid w:val="00750C9D"/>
    <w:rsid w:val="00750CD9"/>
    <w:rsid w:val="00750CDF"/>
    <w:rsid w:val="00750DBE"/>
    <w:rsid w:val="00750ED0"/>
    <w:rsid w:val="00751142"/>
    <w:rsid w:val="0075116C"/>
    <w:rsid w:val="007512A8"/>
    <w:rsid w:val="007512E2"/>
    <w:rsid w:val="0075137C"/>
    <w:rsid w:val="007513A1"/>
    <w:rsid w:val="00751551"/>
    <w:rsid w:val="00751A21"/>
    <w:rsid w:val="00751A25"/>
    <w:rsid w:val="00751A8D"/>
    <w:rsid w:val="00751BEC"/>
    <w:rsid w:val="00751CB7"/>
    <w:rsid w:val="00752157"/>
    <w:rsid w:val="00752213"/>
    <w:rsid w:val="007524BC"/>
    <w:rsid w:val="0075263C"/>
    <w:rsid w:val="00752802"/>
    <w:rsid w:val="00752C09"/>
    <w:rsid w:val="00752D84"/>
    <w:rsid w:val="00752F7D"/>
    <w:rsid w:val="00753044"/>
    <w:rsid w:val="00753059"/>
    <w:rsid w:val="00753132"/>
    <w:rsid w:val="007533AF"/>
    <w:rsid w:val="007533B9"/>
    <w:rsid w:val="0075340C"/>
    <w:rsid w:val="007534EA"/>
    <w:rsid w:val="007537D4"/>
    <w:rsid w:val="00753826"/>
    <w:rsid w:val="0075386D"/>
    <w:rsid w:val="0075389E"/>
    <w:rsid w:val="0075389F"/>
    <w:rsid w:val="007538D4"/>
    <w:rsid w:val="0075397C"/>
    <w:rsid w:val="007539EF"/>
    <w:rsid w:val="00753B44"/>
    <w:rsid w:val="00753DA1"/>
    <w:rsid w:val="00753E91"/>
    <w:rsid w:val="00753EBF"/>
    <w:rsid w:val="00753FBC"/>
    <w:rsid w:val="00753FD0"/>
    <w:rsid w:val="0075418A"/>
    <w:rsid w:val="0075424F"/>
    <w:rsid w:val="00754478"/>
    <w:rsid w:val="00754490"/>
    <w:rsid w:val="00754566"/>
    <w:rsid w:val="0075460F"/>
    <w:rsid w:val="007547D8"/>
    <w:rsid w:val="0075490E"/>
    <w:rsid w:val="0075493C"/>
    <w:rsid w:val="00754C75"/>
    <w:rsid w:val="00754E91"/>
    <w:rsid w:val="00754FCB"/>
    <w:rsid w:val="00754FE4"/>
    <w:rsid w:val="007550FC"/>
    <w:rsid w:val="007551EC"/>
    <w:rsid w:val="007552E0"/>
    <w:rsid w:val="0075536A"/>
    <w:rsid w:val="007553DD"/>
    <w:rsid w:val="007554DC"/>
    <w:rsid w:val="007554FE"/>
    <w:rsid w:val="0075573C"/>
    <w:rsid w:val="0075583D"/>
    <w:rsid w:val="00755AA6"/>
    <w:rsid w:val="00755BCF"/>
    <w:rsid w:val="00755EA1"/>
    <w:rsid w:val="00756134"/>
    <w:rsid w:val="007562FE"/>
    <w:rsid w:val="0075660C"/>
    <w:rsid w:val="007566F9"/>
    <w:rsid w:val="0075670F"/>
    <w:rsid w:val="0075688B"/>
    <w:rsid w:val="007568B5"/>
    <w:rsid w:val="007569C5"/>
    <w:rsid w:val="00756AEA"/>
    <w:rsid w:val="00756B39"/>
    <w:rsid w:val="00756B94"/>
    <w:rsid w:val="00756C01"/>
    <w:rsid w:val="00756D9D"/>
    <w:rsid w:val="00756E08"/>
    <w:rsid w:val="00756E0C"/>
    <w:rsid w:val="00757030"/>
    <w:rsid w:val="00757047"/>
    <w:rsid w:val="00757092"/>
    <w:rsid w:val="00757134"/>
    <w:rsid w:val="00757171"/>
    <w:rsid w:val="007571DF"/>
    <w:rsid w:val="0075756F"/>
    <w:rsid w:val="007575A9"/>
    <w:rsid w:val="0075762D"/>
    <w:rsid w:val="007576D1"/>
    <w:rsid w:val="007576ED"/>
    <w:rsid w:val="00757723"/>
    <w:rsid w:val="0075773D"/>
    <w:rsid w:val="0075776C"/>
    <w:rsid w:val="007577CA"/>
    <w:rsid w:val="00757A8B"/>
    <w:rsid w:val="00757AF7"/>
    <w:rsid w:val="00757BDA"/>
    <w:rsid w:val="00757BF1"/>
    <w:rsid w:val="00757C2A"/>
    <w:rsid w:val="00757DBF"/>
    <w:rsid w:val="00757E04"/>
    <w:rsid w:val="0076007C"/>
    <w:rsid w:val="0076014A"/>
    <w:rsid w:val="00760353"/>
    <w:rsid w:val="007603BF"/>
    <w:rsid w:val="00760561"/>
    <w:rsid w:val="00760897"/>
    <w:rsid w:val="00760901"/>
    <w:rsid w:val="007609FC"/>
    <w:rsid w:val="00760A75"/>
    <w:rsid w:val="00760C04"/>
    <w:rsid w:val="00760DB6"/>
    <w:rsid w:val="00760E22"/>
    <w:rsid w:val="00760EA4"/>
    <w:rsid w:val="00760F16"/>
    <w:rsid w:val="0076114E"/>
    <w:rsid w:val="0076121D"/>
    <w:rsid w:val="007612B5"/>
    <w:rsid w:val="007612D3"/>
    <w:rsid w:val="007612D8"/>
    <w:rsid w:val="007613A9"/>
    <w:rsid w:val="0076145C"/>
    <w:rsid w:val="007616BE"/>
    <w:rsid w:val="00761810"/>
    <w:rsid w:val="00761816"/>
    <w:rsid w:val="00761C54"/>
    <w:rsid w:val="00761CAA"/>
    <w:rsid w:val="00761E42"/>
    <w:rsid w:val="00761FD3"/>
    <w:rsid w:val="00761FED"/>
    <w:rsid w:val="0076246F"/>
    <w:rsid w:val="00762547"/>
    <w:rsid w:val="0076260D"/>
    <w:rsid w:val="0076293B"/>
    <w:rsid w:val="00762A6D"/>
    <w:rsid w:val="00762A86"/>
    <w:rsid w:val="00762B16"/>
    <w:rsid w:val="00762BF8"/>
    <w:rsid w:val="00762F66"/>
    <w:rsid w:val="007631DD"/>
    <w:rsid w:val="007633FF"/>
    <w:rsid w:val="007635A4"/>
    <w:rsid w:val="007636B0"/>
    <w:rsid w:val="007638ED"/>
    <w:rsid w:val="00763961"/>
    <w:rsid w:val="00763B77"/>
    <w:rsid w:val="00763E51"/>
    <w:rsid w:val="0076437E"/>
    <w:rsid w:val="007644CD"/>
    <w:rsid w:val="00764965"/>
    <w:rsid w:val="00764B42"/>
    <w:rsid w:val="00764C16"/>
    <w:rsid w:val="00764C22"/>
    <w:rsid w:val="00764D60"/>
    <w:rsid w:val="00764D80"/>
    <w:rsid w:val="00764F29"/>
    <w:rsid w:val="00764F58"/>
    <w:rsid w:val="00764FB5"/>
    <w:rsid w:val="00765179"/>
    <w:rsid w:val="007651F2"/>
    <w:rsid w:val="00765239"/>
    <w:rsid w:val="0076540F"/>
    <w:rsid w:val="00765445"/>
    <w:rsid w:val="0076559A"/>
    <w:rsid w:val="007658A2"/>
    <w:rsid w:val="00765ED9"/>
    <w:rsid w:val="0076612A"/>
    <w:rsid w:val="007661FA"/>
    <w:rsid w:val="00766242"/>
    <w:rsid w:val="007663A9"/>
    <w:rsid w:val="0076666B"/>
    <w:rsid w:val="0076667B"/>
    <w:rsid w:val="00766734"/>
    <w:rsid w:val="007667AE"/>
    <w:rsid w:val="007668BC"/>
    <w:rsid w:val="00766936"/>
    <w:rsid w:val="00766C68"/>
    <w:rsid w:val="00766C79"/>
    <w:rsid w:val="00766ECB"/>
    <w:rsid w:val="0076702C"/>
    <w:rsid w:val="00767478"/>
    <w:rsid w:val="007674D2"/>
    <w:rsid w:val="00767591"/>
    <w:rsid w:val="007675B2"/>
    <w:rsid w:val="00767665"/>
    <w:rsid w:val="0076799B"/>
    <w:rsid w:val="00767BBD"/>
    <w:rsid w:val="00767BC4"/>
    <w:rsid w:val="00767E66"/>
    <w:rsid w:val="00767F6C"/>
    <w:rsid w:val="00767FFD"/>
    <w:rsid w:val="007700CC"/>
    <w:rsid w:val="007701D2"/>
    <w:rsid w:val="00770296"/>
    <w:rsid w:val="0077046E"/>
    <w:rsid w:val="0077056E"/>
    <w:rsid w:val="007705A2"/>
    <w:rsid w:val="007705D3"/>
    <w:rsid w:val="00770603"/>
    <w:rsid w:val="00770667"/>
    <w:rsid w:val="0077082A"/>
    <w:rsid w:val="00770A0A"/>
    <w:rsid w:val="00770D11"/>
    <w:rsid w:val="00770EC9"/>
    <w:rsid w:val="00770FA4"/>
    <w:rsid w:val="00770FC3"/>
    <w:rsid w:val="007710B3"/>
    <w:rsid w:val="00771107"/>
    <w:rsid w:val="0077111C"/>
    <w:rsid w:val="00771137"/>
    <w:rsid w:val="007711B3"/>
    <w:rsid w:val="007712EE"/>
    <w:rsid w:val="007713E2"/>
    <w:rsid w:val="00771405"/>
    <w:rsid w:val="0077150C"/>
    <w:rsid w:val="00771513"/>
    <w:rsid w:val="007718D2"/>
    <w:rsid w:val="00771930"/>
    <w:rsid w:val="0077196C"/>
    <w:rsid w:val="00771A72"/>
    <w:rsid w:val="00771AFE"/>
    <w:rsid w:val="00771B5F"/>
    <w:rsid w:val="00771B96"/>
    <w:rsid w:val="00771C79"/>
    <w:rsid w:val="00771CE4"/>
    <w:rsid w:val="00771CF7"/>
    <w:rsid w:val="00771D3D"/>
    <w:rsid w:val="00771DA7"/>
    <w:rsid w:val="00772026"/>
    <w:rsid w:val="007721B7"/>
    <w:rsid w:val="0077221C"/>
    <w:rsid w:val="007722E7"/>
    <w:rsid w:val="007723B5"/>
    <w:rsid w:val="007724E7"/>
    <w:rsid w:val="007724FE"/>
    <w:rsid w:val="007726AD"/>
    <w:rsid w:val="007727F9"/>
    <w:rsid w:val="00772829"/>
    <w:rsid w:val="0077288B"/>
    <w:rsid w:val="00772952"/>
    <w:rsid w:val="00772CF6"/>
    <w:rsid w:val="00772D92"/>
    <w:rsid w:val="00772E91"/>
    <w:rsid w:val="007730BA"/>
    <w:rsid w:val="007731C4"/>
    <w:rsid w:val="00773214"/>
    <w:rsid w:val="007733AC"/>
    <w:rsid w:val="0077356E"/>
    <w:rsid w:val="00773570"/>
    <w:rsid w:val="0077389B"/>
    <w:rsid w:val="00773AB8"/>
    <w:rsid w:val="00773B52"/>
    <w:rsid w:val="00773C4F"/>
    <w:rsid w:val="00773EAA"/>
    <w:rsid w:val="00773F5B"/>
    <w:rsid w:val="0077406F"/>
    <w:rsid w:val="00774084"/>
    <w:rsid w:val="00774095"/>
    <w:rsid w:val="007741CA"/>
    <w:rsid w:val="0077442E"/>
    <w:rsid w:val="0077450D"/>
    <w:rsid w:val="0077459B"/>
    <w:rsid w:val="00774678"/>
    <w:rsid w:val="0077467F"/>
    <w:rsid w:val="00774992"/>
    <w:rsid w:val="00774BD2"/>
    <w:rsid w:val="00774CC3"/>
    <w:rsid w:val="00774F6F"/>
    <w:rsid w:val="00774FBF"/>
    <w:rsid w:val="00775058"/>
    <w:rsid w:val="007752E4"/>
    <w:rsid w:val="0077534E"/>
    <w:rsid w:val="00775422"/>
    <w:rsid w:val="00775790"/>
    <w:rsid w:val="0077586C"/>
    <w:rsid w:val="00775A62"/>
    <w:rsid w:val="00775B37"/>
    <w:rsid w:val="00775CB5"/>
    <w:rsid w:val="00775D61"/>
    <w:rsid w:val="00775E48"/>
    <w:rsid w:val="00775EBC"/>
    <w:rsid w:val="0077621B"/>
    <w:rsid w:val="007762D3"/>
    <w:rsid w:val="0077631A"/>
    <w:rsid w:val="007765B7"/>
    <w:rsid w:val="007767F3"/>
    <w:rsid w:val="0077681D"/>
    <w:rsid w:val="00776934"/>
    <w:rsid w:val="00776955"/>
    <w:rsid w:val="00776A31"/>
    <w:rsid w:val="00776A9B"/>
    <w:rsid w:val="00776ABD"/>
    <w:rsid w:val="00776BCE"/>
    <w:rsid w:val="00776C4F"/>
    <w:rsid w:val="00776ECF"/>
    <w:rsid w:val="00776ED2"/>
    <w:rsid w:val="007770EC"/>
    <w:rsid w:val="007771B4"/>
    <w:rsid w:val="00777215"/>
    <w:rsid w:val="00777223"/>
    <w:rsid w:val="007773F6"/>
    <w:rsid w:val="0077744E"/>
    <w:rsid w:val="00777840"/>
    <w:rsid w:val="00777848"/>
    <w:rsid w:val="00777893"/>
    <w:rsid w:val="00777B05"/>
    <w:rsid w:val="00777CC7"/>
    <w:rsid w:val="00777DEF"/>
    <w:rsid w:val="007800A1"/>
    <w:rsid w:val="007800FA"/>
    <w:rsid w:val="00780471"/>
    <w:rsid w:val="00780906"/>
    <w:rsid w:val="00780927"/>
    <w:rsid w:val="00780A9E"/>
    <w:rsid w:val="00780C56"/>
    <w:rsid w:val="00780CB3"/>
    <w:rsid w:val="00780CF4"/>
    <w:rsid w:val="00780D1E"/>
    <w:rsid w:val="00780D61"/>
    <w:rsid w:val="00780E2E"/>
    <w:rsid w:val="00780E89"/>
    <w:rsid w:val="00780EB0"/>
    <w:rsid w:val="0078122E"/>
    <w:rsid w:val="00781346"/>
    <w:rsid w:val="007813D5"/>
    <w:rsid w:val="007815F5"/>
    <w:rsid w:val="00781646"/>
    <w:rsid w:val="00781828"/>
    <w:rsid w:val="00781A36"/>
    <w:rsid w:val="00781CD2"/>
    <w:rsid w:val="00781E95"/>
    <w:rsid w:val="00781EAB"/>
    <w:rsid w:val="00781EB4"/>
    <w:rsid w:val="00782082"/>
    <w:rsid w:val="0078220A"/>
    <w:rsid w:val="00782363"/>
    <w:rsid w:val="0078237A"/>
    <w:rsid w:val="007824AC"/>
    <w:rsid w:val="00782765"/>
    <w:rsid w:val="00782828"/>
    <w:rsid w:val="0078288E"/>
    <w:rsid w:val="00782B4C"/>
    <w:rsid w:val="00782C10"/>
    <w:rsid w:val="00782D1D"/>
    <w:rsid w:val="00782E9B"/>
    <w:rsid w:val="007831B0"/>
    <w:rsid w:val="00783361"/>
    <w:rsid w:val="00783427"/>
    <w:rsid w:val="00783438"/>
    <w:rsid w:val="007838F2"/>
    <w:rsid w:val="00783A20"/>
    <w:rsid w:val="00783A5A"/>
    <w:rsid w:val="00783A60"/>
    <w:rsid w:val="00783BE1"/>
    <w:rsid w:val="00783CCA"/>
    <w:rsid w:val="00783D7E"/>
    <w:rsid w:val="00783E54"/>
    <w:rsid w:val="00783EBF"/>
    <w:rsid w:val="00783FCF"/>
    <w:rsid w:val="00784008"/>
    <w:rsid w:val="00784091"/>
    <w:rsid w:val="00784177"/>
    <w:rsid w:val="00784318"/>
    <w:rsid w:val="0078456A"/>
    <w:rsid w:val="00784783"/>
    <w:rsid w:val="007847E3"/>
    <w:rsid w:val="00784964"/>
    <w:rsid w:val="00784BBC"/>
    <w:rsid w:val="00784BD0"/>
    <w:rsid w:val="00784D68"/>
    <w:rsid w:val="00784D9D"/>
    <w:rsid w:val="00784DA4"/>
    <w:rsid w:val="00784E13"/>
    <w:rsid w:val="00784FC2"/>
    <w:rsid w:val="00785005"/>
    <w:rsid w:val="00785032"/>
    <w:rsid w:val="0078504F"/>
    <w:rsid w:val="007852E9"/>
    <w:rsid w:val="0078550F"/>
    <w:rsid w:val="0078556D"/>
    <w:rsid w:val="0078564E"/>
    <w:rsid w:val="007859DA"/>
    <w:rsid w:val="00785BA1"/>
    <w:rsid w:val="00785D10"/>
    <w:rsid w:val="00785DF9"/>
    <w:rsid w:val="00785EF6"/>
    <w:rsid w:val="00785F34"/>
    <w:rsid w:val="00785F3A"/>
    <w:rsid w:val="007861A7"/>
    <w:rsid w:val="007865DE"/>
    <w:rsid w:val="00786780"/>
    <w:rsid w:val="00786A40"/>
    <w:rsid w:val="00786AD1"/>
    <w:rsid w:val="00786D8A"/>
    <w:rsid w:val="00786E69"/>
    <w:rsid w:val="00786EED"/>
    <w:rsid w:val="007874AE"/>
    <w:rsid w:val="00787693"/>
    <w:rsid w:val="007876D7"/>
    <w:rsid w:val="007876F5"/>
    <w:rsid w:val="0078776D"/>
    <w:rsid w:val="00787831"/>
    <w:rsid w:val="007878A7"/>
    <w:rsid w:val="00787AA0"/>
    <w:rsid w:val="00787B1E"/>
    <w:rsid w:val="00787B28"/>
    <w:rsid w:val="00787B53"/>
    <w:rsid w:val="00787B67"/>
    <w:rsid w:val="00787B7D"/>
    <w:rsid w:val="00787CB4"/>
    <w:rsid w:val="00787D07"/>
    <w:rsid w:val="00787D49"/>
    <w:rsid w:val="00787DB6"/>
    <w:rsid w:val="00787DC3"/>
    <w:rsid w:val="00787E55"/>
    <w:rsid w:val="007900B3"/>
    <w:rsid w:val="007902AF"/>
    <w:rsid w:val="007902F1"/>
    <w:rsid w:val="0079036F"/>
    <w:rsid w:val="007903B0"/>
    <w:rsid w:val="007905D9"/>
    <w:rsid w:val="007905E3"/>
    <w:rsid w:val="0079068B"/>
    <w:rsid w:val="0079070D"/>
    <w:rsid w:val="007907C7"/>
    <w:rsid w:val="007907D0"/>
    <w:rsid w:val="00790856"/>
    <w:rsid w:val="00790B15"/>
    <w:rsid w:val="00790BA1"/>
    <w:rsid w:val="00790BA4"/>
    <w:rsid w:val="00790C25"/>
    <w:rsid w:val="00790CDE"/>
    <w:rsid w:val="00790F49"/>
    <w:rsid w:val="00790FA8"/>
    <w:rsid w:val="00791230"/>
    <w:rsid w:val="00791251"/>
    <w:rsid w:val="0079129E"/>
    <w:rsid w:val="007914C8"/>
    <w:rsid w:val="007915D3"/>
    <w:rsid w:val="007916C2"/>
    <w:rsid w:val="007916D5"/>
    <w:rsid w:val="007916E4"/>
    <w:rsid w:val="00791838"/>
    <w:rsid w:val="007918C5"/>
    <w:rsid w:val="007919B3"/>
    <w:rsid w:val="00791BCA"/>
    <w:rsid w:val="00791EC5"/>
    <w:rsid w:val="00791F8F"/>
    <w:rsid w:val="00792163"/>
    <w:rsid w:val="00792569"/>
    <w:rsid w:val="007928E7"/>
    <w:rsid w:val="00792959"/>
    <w:rsid w:val="00792983"/>
    <w:rsid w:val="007929C5"/>
    <w:rsid w:val="00792C8E"/>
    <w:rsid w:val="00792F05"/>
    <w:rsid w:val="00792F37"/>
    <w:rsid w:val="00793059"/>
    <w:rsid w:val="0079311C"/>
    <w:rsid w:val="00793199"/>
    <w:rsid w:val="007931CB"/>
    <w:rsid w:val="007932A5"/>
    <w:rsid w:val="00793317"/>
    <w:rsid w:val="00793536"/>
    <w:rsid w:val="00793562"/>
    <w:rsid w:val="00793699"/>
    <w:rsid w:val="00793834"/>
    <w:rsid w:val="00793848"/>
    <w:rsid w:val="00793903"/>
    <w:rsid w:val="00793E1D"/>
    <w:rsid w:val="00793E2C"/>
    <w:rsid w:val="00793E5F"/>
    <w:rsid w:val="00793FF9"/>
    <w:rsid w:val="0079410A"/>
    <w:rsid w:val="0079412D"/>
    <w:rsid w:val="0079432C"/>
    <w:rsid w:val="0079432F"/>
    <w:rsid w:val="00794378"/>
    <w:rsid w:val="007943DE"/>
    <w:rsid w:val="00794637"/>
    <w:rsid w:val="007946A2"/>
    <w:rsid w:val="00794896"/>
    <w:rsid w:val="00794B74"/>
    <w:rsid w:val="00794BD6"/>
    <w:rsid w:val="00794CD5"/>
    <w:rsid w:val="00794E06"/>
    <w:rsid w:val="00794E38"/>
    <w:rsid w:val="00794E4A"/>
    <w:rsid w:val="00795019"/>
    <w:rsid w:val="007951BD"/>
    <w:rsid w:val="007951D4"/>
    <w:rsid w:val="007952BA"/>
    <w:rsid w:val="007952C3"/>
    <w:rsid w:val="00795461"/>
    <w:rsid w:val="00795496"/>
    <w:rsid w:val="007955A9"/>
    <w:rsid w:val="007955AE"/>
    <w:rsid w:val="007955F1"/>
    <w:rsid w:val="00795800"/>
    <w:rsid w:val="0079588C"/>
    <w:rsid w:val="00795CFB"/>
    <w:rsid w:val="00795D78"/>
    <w:rsid w:val="00795E3E"/>
    <w:rsid w:val="00795F31"/>
    <w:rsid w:val="00796304"/>
    <w:rsid w:val="0079630D"/>
    <w:rsid w:val="007964E9"/>
    <w:rsid w:val="007965CC"/>
    <w:rsid w:val="0079672B"/>
    <w:rsid w:val="007967B7"/>
    <w:rsid w:val="0079683B"/>
    <w:rsid w:val="007968B7"/>
    <w:rsid w:val="00796BF2"/>
    <w:rsid w:val="00796E32"/>
    <w:rsid w:val="007970F6"/>
    <w:rsid w:val="007971E3"/>
    <w:rsid w:val="007972AF"/>
    <w:rsid w:val="007973F8"/>
    <w:rsid w:val="00797402"/>
    <w:rsid w:val="00797430"/>
    <w:rsid w:val="007975B8"/>
    <w:rsid w:val="007976C9"/>
    <w:rsid w:val="00797798"/>
    <w:rsid w:val="00797823"/>
    <w:rsid w:val="00797B68"/>
    <w:rsid w:val="00797C46"/>
    <w:rsid w:val="00797C6C"/>
    <w:rsid w:val="00797D66"/>
    <w:rsid w:val="00797D80"/>
    <w:rsid w:val="007A00C4"/>
    <w:rsid w:val="007A02A9"/>
    <w:rsid w:val="007A032D"/>
    <w:rsid w:val="007A0589"/>
    <w:rsid w:val="007A05FC"/>
    <w:rsid w:val="007A079A"/>
    <w:rsid w:val="007A0A28"/>
    <w:rsid w:val="007A0A30"/>
    <w:rsid w:val="007A0A61"/>
    <w:rsid w:val="007A0AD8"/>
    <w:rsid w:val="007A0B2F"/>
    <w:rsid w:val="007A0BDC"/>
    <w:rsid w:val="007A0DC2"/>
    <w:rsid w:val="007A0FC4"/>
    <w:rsid w:val="007A0FDA"/>
    <w:rsid w:val="007A101F"/>
    <w:rsid w:val="007A10AA"/>
    <w:rsid w:val="007A10E5"/>
    <w:rsid w:val="007A1108"/>
    <w:rsid w:val="007A1408"/>
    <w:rsid w:val="007A1466"/>
    <w:rsid w:val="007A1513"/>
    <w:rsid w:val="007A151F"/>
    <w:rsid w:val="007A17B1"/>
    <w:rsid w:val="007A19F6"/>
    <w:rsid w:val="007A1A54"/>
    <w:rsid w:val="007A1AEA"/>
    <w:rsid w:val="007A1C1B"/>
    <w:rsid w:val="007A1C92"/>
    <w:rsid w:val="007A1F57"/>
    <w:rsid w:val="007A1FCF"/>
    <w:rsid w:val="007A2010"/>
    <w:rsid w:val="007A2158"/>
    <w:rsid w:val="007A2323"/>
    <w:rsid w:val="007A24BA"/>
    <w:rsid w:val="007A259B"/>
    <w:rsid w:val="007A27E2"/>
    <w:rsid w:val="007A2908"/>
    <w:rsid w:val="007A29EF"/>
    <w:rsid w:val="007A29F9"/>
    <w:rsid w:val="007A2A06"/>
    <w:rsid w:val="007A2A4B"/>
    <w:rsid w:val="007A2B65"/>
    <w:rsid w:val="007A2BA2"/>
    <w:rsid w:val="007A2BED"/>
    <w:rsid w:val="007A2D8A"/>
    <w:rsid w:val="007A311A"/>
    <w:rsid w:val="007A3341"/>
    <w:rsid w:val="007A344C"/>
    <w:rsid w:val="007A383A"/>
    <w:rsid w:val="007A385D"/>
    <w:rsid w:val="007A39C3"/>
    <w:rsid w:val="007A3BD0"/>
    <w:rsid w:val="007A3CB2"/>
    <w:rsid w:val="007A3E5D"/>
    <w:rsid w:val="007A3FAD"/>
    <w:rsid w:val="007A3FB0"/>
    <w:rsid w:val="007A40A6"/>
    <w:rsid w:val="007A4186"/>
    <w:rsid w:val="007A4339"/>
    <w:rsid w:val="007A43CD"/>
    <w:rsid w:val="007A479C"/>
    <w:rsid w:val="007A489C"/>
    <w:rsid w:val="007A489D"/>
    <w:rsid w:val="007A492A"/>
    <w:rsid w:val="007A496D"/>
    <w:rsid w:val="007A4A3C"/>
    <w:rsid w:val="007A4BC2"/>
    <w:rsid w:val="007A4F32"/>
    <w:rsid w:val="007A4FC6"/>
    <w:rsid w:val="007A5089"/>
    <w:rsid w:val="007A51B2"/>
    <w:rsid w:val="007A52EE"/>
    <w:rsid w:val="007A54D1"/>
    <w:rsid w:val="007A5530"/>
    <w:rsid w:val="007A5617"/>
    <w:rsid w:val="007A5642"/>
    <w:rsid w:val="007A59DF"/>
    <w:rsid w:val="007A5A80"/>
    <w:rsid w:val="007A5BAF"/>
    <w:rsid w:val="007A5D8C"/>
    <w:rsid w:val="007A5F52"/>
    <w:rsid w:val="007A6001"/>
    <w:rsid w:val="007A6023"/>
    <w:rsid w:val="007A60F5"/>
    <w:rsid w:val="007A61C6"/>
    <w:rsid w:val="007A61CF"/>
    <w:rsid w:val="007A61E4"/>
    <w:rsid w:val="007A6238"/>
    <w:rsid w:val="007A62E2"/>
    <w:rsid w:val="007A633A"/>
    <w:rsid w:val="007A65DE"/>
    <w:rsid w:val="007A6617"/>
    <w:rsid w:val="007A679C"/>
    <w:rsid w:val="007A67CC"/>
    <w:rsid w:val="007A6837"/>
    <w:rsid w:val="007A698B"/>
    <w:rsid w:val="007A6C5A"/>
    <w:rsid w:val="007A6CAE"/>
    <w:rsid w:val="007A6CBA"/>
    <w:rsid w:val="007A6E23"/>
    <w:rsid w:val="007A6E50"/>
    <w:rsid w:val="007A6E80"/>
    <w:rsid w:val="007A6EF8"/>
    <w:rsid w:val="007A70FA"/>
    <w:rsid w:val="007A711F"/>
    <w:rsid w:val="007A7131"/>
    <w:rsid w:val="007A72FE"/>
    <w:rsid w:val="007A73D0"/>
    <w:rsid w:val="007A73DD"/>
    <w:rsid w:val="007A73EF"/>
    <w:rsid w:val="007A745D"/>
    <w:rsid w:val="007A7584"/>
    <w:rsid w:val="007A7585"/>
    <w:rsid w:val="007A7586"/>
    <w:rsid w:val="007A77BB"/>
    <w:rsid w:val="007A7B46"/>
    <w:rsid w:val="007A7C1F"/>
    <w:rsid w:val="007A7D76"/>
    <w:rsid w:val="007A7DFA"/>
    <w:rsid w:val="007A7EC1"/>
    <w:rsid w:val="007A7F42"/>
    <w:rsid w:val="007A7F48"/>
    <w:rsid w:val="007B0111"/>
    <w:rsid w:val="007B0206"/>
    <w:rsid w:val="007B0245"/>
    <w:rsid w:val="007B0457"/>
    <w:rsid w:val="007B07F2"/>
    <w:rsid w:val="007B083F"/>
    <w:rsid w:val="007B0880"/>
    <w:rsid w:val="007B088F"/>
    <w:rsid w:val="007B0A0A"/>
    <w:rsid w:val="007B0A20"/>
    <w:rsid w:val="007B0B28"/>
    <w:rsid w:val="007B0C97"/>
    <w:rsid w:val="007B0D01"/>
    <w:rsid w:val="007B0E44"/>
    <w:rsid w:val="007B0F00"/>
    <w:rsid w:val="007B101E"/>
    <w:rsid w:val="007B1069"/>
    <w:rsid w:val="007B1243"/>
    <w:rsid w:val="007B1291"/>
    <w:rsid w:val="007B13F2"/>
    <w:rsid w:val="007B16FA"/>
    <w:rsid w:val="007B1748"/>
    <w:rsid w:val="007B1956"/>
    <w:rsid w:val="007B19D6"/>
    <w:rsid w:val="007B1A48"/>
    <w:rsid w:val="007B1E29"/>
    <w:rsid w:val="007B1FB8"/>
    <w:rsid w:val="007B2016"/>
    <w:rsid w:val="007B2085"/>
    <w:rsid w:val="007B2180"/>
    <w:rsid w:val="007B227B"/>
    <w:rsid w:val="007B23EF"/>
    <w:rsid w:val="007B261B"/>
    <w:rsid w:val="007B2901"/>
    <w:rsid w:val="007B2B27"/>
    <w:rsid w:val="007B2CDE"/>
    <w:rsid w:val="007B2F17"/>
    <w:rsid w:val="007B2F48"/>
    <w:rsid w:val="007B2FB7"/>
    <w:rsid w:val="007B2FDC"/>
    <w:rsid w:val="007B2FEA"/>
    <w:rsid w:val="007B301F"/>
    <w:rsid w:val="007B3040"/>
    <w:rsid w:val="007B313B"/>
    <w:rsid w:val="007B355C"/>
    <w:rsid w:val="007B35FA"/>
    <w:rsid w:val="007B3604"/>
    <w:rsid w:val="007B363F"/>
    <w:rsid w:val="007B36D2"/>
    <w:rsid w:val="007B38A0"/>
    <w:rsid w:val="007B38B7"/>
    <w:rsid w:val="007B38BA"/>
    <w:rsid w:val="007B3967"/>
    <w:rsid w:val="007B3A7B"/>
    <w:rsid w:val="007B3B71"/>
    <w:rsid w:val="007B3B8C"/>
    <w:rsid w:val="007B3BC8"/>
    <w:rsid w:val="007B3C92"/>
    <w:rsid w:val="007B40E9"/>
    <w:rsid w:val="007B41D9"/>
    <w:rsid w:val="007B4607"/>
    <w:rsid w:val="007B46A2"/>
    <w:rsid w:val="007B4715"/>
    <w:rsid w:val="007B471E"/>
    <w:rsid w:val="007B48F0"/>
    <w:rsid w:val="007B4AFA"/>
    <w:rsid w:val="007B4BC7"/>
    <w:rsid w:val="007B4D5C"/>
    <w:rsid w:val="007B4DF7"/>
    <w:rsid w:val="007B4E8B"/>
    <w:rsid w:val="007B4F7B"/>
    <w:rsid w:val="007B50E9"/>
    <w:rsid w:val="007B51EC"/>
    <w:rsid w:val="007B5351"/>
    <w:rsid w:val="007B53F7"/>
    <w:rsid w:val="007B554B"/>
    <w:rsid w:val="007B55F9"/>
    <w:rsid w:val="007B56C8"/>
    <w:rsid w:val="007B583D"/>
    <w:rsid w:val="007B58C1"/>
    <w:rsid w:val="007B591E"/>
    <w:rsid w:val="007B5C10"/>
    <w:rsid w:val="007B5C2D"/>
    <w:rsid w:val="007B5CFF"/>
    <w:rsid w:val="007B5D4C"/>
    <w:rsid w:val="007B5EAB"/>
    <w:rsid w:val="007B5F6F"/>
    <w:rsid w:val="007B61AC"/>
    <w:rsid w:val="007B622C"/>
    <w:rsid w:val="007B632A"/>
    <w:rsid w:val="007B63E9"/>
    <w:rsid w:val="007B65A4"/>
    <w:rsid w:val="007B65EF"/>
    <w:rsid w:val="007B6684"/>
    <w:rsid w:val="007B67E1"/>
    <w:rsid w:val="007B6B21"/>
    <w:rsid w:val="007B6FAA"/>
    <w:rsid w:val="007B7024"/>
    <w:rsid w:val="007B7033"/>
    <w:rsid w:val="007B71DB"/>
    <w:rsid w:val="007B71E2"/>
    <w:rsid w:val="007B72A7"/>
    <w:rsid w:val="007B76E1"/>
    <w:rsid w:val="007B7716"/>
    <w:rsid w:val="007B771B"/>
    <w:rsid w:val="007B792D"/>
    <w:rsid w:val="007B797D"/>
    <w:rsid w:val="007B79C5"/>
    <w:rsid w:val="007B7A36"/>
    <w:rsid w:val="007B7A62"/>
    <w:rsid w:val="007B7CF4"/>
    <w:rsid w:val="007B7D8D"/>
    <w:rsid w:val="007B7FF1"/>
    <w:rsid w:val="007C00FD"/>
    <w:rsid w:val="007C02B4"/>
    <w:rsid w:val="007C0390"/>
    <w:rsid w:val="007C04CA"/>
    <w:rsid w:val="007C0527"/>
    <w:rsid w:val="007C059C"/>
    <w:rsid w:val="007C05C6"/>
    <w:rsid w:val="007C05D2"/>
    <w:rsid w:val="007C0605"/>
    <w:rsid w:val="007C0845"/>
    <w:rsid w:val="007C08E7"/>
    <w:rsid w:val="007C098F"/>
    <w:rsid w:val="007C0AD0"/>
    <w:rsid w:val="007C0DCA"/>
    <w:rsid w:val="007C0FD8"/>
    <w:rsid w:val="007C12D3"/>
    <w:rsid w:val="007C14A2"/>
    <w:rsid w:val="007C156E"/>
    <w:rsid w:val="007C15D7"/>
    <w:rsid w:val="007C17CD"/>
    <w:rsid w:val="007C1822"/>
    <w:rsid w:val="007C190D"/>
    <w:rsid w:val="007C1980"/>
    <w:rsid w:val="007C1CE4"/>
    <w:rsid w:val="007C1DD2"/>
    <w:rsid w:val="007C21BE"/>
    <w:rsid w:val="007C2380"/>
    <w:rsid w:val="007C2506"/>
    <w:rsid w:val="007C25E0"/>
    <w:rsid w:val="007C267D"/>
    <w:rsid w:val="007C27B5"/>
    <w:rsid w:val="007C290B"/>
    <w:rsid w:val="007C2A30"/>
    <w:rsid w:val="007C2B46"/>
    <w:rsid w:val="007C2C7D"/>
    <w:rsid w:val="007C2C82"/>
    <w:rsid w:val="007C2C8D"/>
    <w:rsid w:val="007C2C9A"/>
    <w:rsid w:val="007C2D83"/>
    <w:rsid w:val="007C2DAC"/>
    <w:rsid w:val="007C2EBE"/>
    <w:rsid w:val="007C2EFE"/>
    <w:rsid w:val="007C300E"/>
    <w:rsid w:val="007C30FB"/>
    <w:rsid w:val="007C3121"/>
    <w:rsid w:val="007C328D"/>
    <w:rsid w:val="007C336F"/>
    <w:rsid w:val="007C3467"/>
    <w:rsid w:val="007C364C"/>
    <w:rsid w:val="007C37F3"/>
    <w:rsid w:val="007C38CA"/>
    <w:rsid w:val="007C39FA"/>
    <w:rsid w:val="007C3AA0"/>
    <w:rsid w:val="007C3B46"/>
    <w:rsid w:val="007C3E69"/>
    <w:rsid w:val="007C3F26"/>
    <w:rsid w:val="007C402A"/>
    <w:rsid w:val="007C4088"/>
    <w:rsid w:val="007C4156"/>
    <w:rsid w:val="007C4192"/>
    <w:rsid w:val="007C41B1"/>
    <w:rsid w:val="007C41C5"/>
    <w:rsid w:val="007C447F"/>
    <w:rsid w:val="007C4550"/>
    <w:rsid w:val="007C4749"/>
    <w:rsid w:val="007C4AFA"/>
    <w:rsid w:val="007C4BEE"/>
    <w:rsid w:val="007C549F"/>
    <w:rsid w:val="007C55C2"/>
    <w:rsid w:val="007C586B"/>
    <w:rsid w:val="007C5A16"/>
    <w:rsid w:val="007C5B99"/>
    <w:rsid w:val="007C5E4F"/>
    <w:rsid w:val="007C5EB8"/>
    <w:rsid w:val="007C6316"/>
    <w:rsid w:val="007C631D"/>
    <w:rsid w:val="007C6495"/>
    <w:rsid w:val="007C6660"/>
    <w:rsid w:val="007C66D7"/>
    <w:rsid w:val="007C6829"/>
    <w:rsid w:val="007C6A59"/>
    <w:rsid w:val="007C6AD1"/>
    <w:rsid w:val="007C6C76"/>
    <w:rsid w:val="007C6D1D"/>
    <w:rsid w:val="007C6D67"/>
    <w:rsid w:val="007C6D6E"/>
    <w:rsid w:val="007C6E0B"/>
    <w:rsid w:val="007C6EC5"/>
    <w:rsid w:val="007C70E7"/>
    <w:rsid w:val="007C7107"/>
    <w:rsid w:val="007C725F"/>
    <w:rsid w:val="007C79FF"/>
    <w:rsid w:val="007C7A6D"/>
    <w:rsid w:val="007C7FAA"/>
    <w:rsid w:val="007D0022"/>
    <w:rsid w:val="007D00F9"/>
    <w:rsid w:val="007D0454"/>
    <w:rsid w:val="007D0772"/>
    <w:rsid w:val="007D0813"/>
    <w:rsid w:val="007D09AA"/>
    <w:rsid w:val="007D0A0F"/>
    <w:rsid w:val="007D0BB5"/>
    <w:rsid w:val="007D0BF3"/>
    <w:rsid w:val="007D0C7A"/>
    <w:rsid w:val="007D0CC9"/>
    <w:rsid w:val="007D0D35"/>
    <w:rsid w:val="007D1507"/>
    <w:rsid w:val="007D1706"/>
    <w:rsid w:val="007D1965"/>
    <w:rsid w:val="007D1A0E"/>
    <w:rsid w:val="007D1AB1"/>
    <w:rsid w:val="007D1D7E"/>
    <w:rsid w:val="007D1DB8"/>
    <w:rsid w:val="007D1F60"/>
    <w:rsid w:val="007D200E"/>
    <w:rsid w:val="007D22E8"/>
    <w:rsid w:val="007D2431"/>
    <w:rsid w:val="007D2509"/>
    <w:rsid w:val="007D251E"/>
    <w:rsid w:val="007D261F"/>
    <w:rsid w:val="007D268B"/>
    <w:rsid w:val="007D2690"/>
    <w:rsid w:val="007D2764"/>
    <w:rsid w:val="007D29B2"/>
    <w:rsid w:val="007D2A9E"/>
    <w:rsid w:val="007D2C22"/>
    <w:rsid w:val="007D2DBB"/>
    <w:rsid w:val="007D2DD9"/>
    <w:rsid w:val="007D2E36"/>
    <w:rsid w:val="007D30B7"/>
    <w:rsid w:val="007D30D5"/>
    <w:rsid w:val="007D3303"/>
    <w:rsid w:val="007D336B"/>
    <w:rsid w:val="007D33BF"/>
    <w:rsid w:val="007D3569"/>
    <w:rsid w:val="007D381B"/>
    <w:rsid w:val="007D3903"/>
    <w:rsid w:val="007D3BD4"/>
    <w:rsid w:val="007D3C0E"/>
    <w:rsid w:val="007D3D34"/>
    <w:rsid w:val="007D3DA9"/>
    <w:rsid w:val="007D4138"/>
    <w:rsid w:val="007D4370"/>
    <w:rsid w:val="007D43DF"/>
    <w:rsid w:val="007D44D5"/>
    <w:rsid w:val="007D4586"/>
    <w:rsid w:val="007D494A"/>
    <w:rsid w:val="007D49AA"/>
    <w:rsid w:val="007D4AD0"/>
    <w:rsid w:val="007D4AFC"/>
    <w:rsid w:val="007D4B61"/>
    <w:rsid w:val="007D4C79"/>
    <w:rsid w:val="007D500A"/>
    <w:rsid w:val="007D5023"/>
    <w:rsid w:val="007D5262"/>
    <w:rsid w:val="007D52BA"/>
    <w:rsid w:val="007D5373"/>
    <w:rsid w:val="007D5436"/>
    <w:rsid w:val="007D5578"/>
    <w:rsid w:val="007D5606"/>
    <w:rsid w:val="007D56B9"/>
    <w:rsid w:val="007D57A7"/>
    <w:rsid w:val="007D57FB"/>
    <w:rsid w:val="007D583D"/>
    <w:rsid w:val="007D58B9"/>
    <w:rsid w:val="007D593B"/>
    <w:rsid w:val="007D5ABE"/>
    <w:rsid w:val="007D5B48"/>
    <w:rsid w:val="007D5BFE"/>
    <w:rsid w:val="007D5CB8"/>
    <w:rsid w:val="007D5EA4"/>
    <w:rsid w:val="007D60E0"/>
    <w:rsid w:val="007D6163"/>
    <w:rsid w:val="007D62B4"/>
    <w:rsid w:val="007D6374"/>
    <w:rsid w:val="007D64BF"/>
    <w:rsid w:val="007D64CE"/>
    <w:rsid w:val="007D6534"/>
    <w:rsid w:val="007D6641"/>
    <w:rsid w:val="007D66CB"/>
    <w:rsid w:val="007D6705"/>
    <w:rsid w:val="007D67A7"/>
    <w:rsid w:val="007D68F4"/>
    <w:rsid w:val="007D6987"/>
    <w:rsid w:val="007D6B30"/>
    <w:rsid w:val="007D6B8E"/>
    <w:rsid w:val="007D6BD9"/>
    <w:rsid w:val="007D6C37"/>
    <w:rsid w:val="007D6C7E"/>
    <w:rsid w:val="007D6E23"/>
    <w:rsid w:val="007D6F00"/>
    <w:rsid w:val="007D70A5"/>
    <w:rsid w:val="007D70C2"/>
    <w:rsid w:val="007D7328"/>
    <w:rsid w:val="007D7664"/>
    <w:rsid w:val="007D7708"/>
    <w:rsid w:val="007D7723"/>
    <w:rsid w:val="007D78FA"/>
    <w:rsid w:val="007D7A8F"/>
    <w:rsid w:val="007D7AEB"/>
    <w:rsid w:val="007D7E14"/>
    <w:rsid w:val="007D7F5C"/>
    <w:rsid w:val="007E0101"/>
    <w:rsid w:val="007E0116"/>
    <w:rsid w:val="007E01AC"/>
    <w:rsid w:val="007E03E2"/>
    <w:rsid w:val="007E04B1"/>
    <w:rsid w:val="007E051D"/>
    <w:rsid w:val="007E0678"/>
    <w:rsid w:val="007E06F5"/>
    <w:rsid w:val="007E0769"/>
    <w:rsid w:val="007E0A1D"/>
    <w:rsid w:val="007E0C40"/>
    <w:rsid w:val="007E0F4B"/>
    <w:rsid w:val="007E0FD8"/>
    <w:rsid w:val="007E1065"/>
    <w:rsid w:val="007E109E"/>
    <w:rsid w:val="007E1127"/>
    <w:rsid w:val="007E1234"/>
    <w:rsid w:val="007E12AF"/>
    <w:rsid w:val="007E12E4"/>
    <w:rsid w:val="007E134A"/>
    <w:rsid w:val="007E138F"/>
    <w:rsid w:val="007E1397"/>
    <w:rsid w:val="007E149F"/>
    <w:rsid w:val="007E151E"/>
    <w:rsid w:val="007E152B"/>
    <w:rsid w:val="007E15AD"/>
    <w:rsid w:val="007E187D"/>
    <w:rsid w:val="007E1900"/>
    <w:rsid w:val="007E1A84"/>
    <w:rsid w:val="007E1AE8"/>
    <w:rsid w:val="007E1B77"/>
    <w:rsid w:val="007E1B91"/>
    <w:rsid w:val="007E1F38"/>
    <w:rsid w:val="007E1F7E"/>
    <w:rsid w:val="007E1F93"/>
    <w:rsid w:val="007E200C"/>
    <w:rsid w:val="007E216F"/>
    <w:rsid w:val="007E21BB"/>
    <w:rsid w:val="007E21C2"/>
    <w:rsid w:val="007E24D9"/>
    <w:rsid w:val="007E25E1"/>
    <w:rsid w:val="007E25ED"/>
    <w:rsid w:val="007E289A"/>
    <w:rsid w:val="007E2969"/>
    <w:rsid w:val="007E2A5D"/>
    <w:rsid w:val="007E2A5F"/>
    <w:rsid w:val="007E2BC0"/>
    <w:rsid w:val="007E2C20"/>
    <w:rsid w:val="007E2C25"/>
    <w:rsid w:val="007E2E79"/>
    <w:rsid w:val="007E2EBE"/>
    <w:rsid w:val="007E3086"/>
    <w:rsid w:val="007E3093"/>
    <w:rsid w:val="007E3231"/>
    <w:rsid w:val="007E34E7"/>
    <w:rsid w:val="007E351E"/>
    <w:rsid w:val="007E36B1"/>
    <w:rsid w:val="007E39CA"/>
    <w:rsid w:val="007E3A31"/>
    <w:rsid w:val="007E3B2C"/>
    <w:rsid w:val="007E3C7D"/>
    <w:rsid w:val="007E3DE2"/>
    <w:rsid w:val="007E3E4B"/>
    <w:rsid w:val="007E3FFC"/>
    <w:rsid w:val="007E4092"/>
    <w:rsid w:val="007E415E"/>
    <w:rsid w:val="007E42A6"/>
    <w:rsid w:val="007E42AA"/>
    <w:rsid w:val="007E42C9"/>
    <w:rsid w:val="007E4663"/>
    <w:rsid w:val="007E4A45"/>
    <w:rsid w:val="007E4BD0"/>
    <w:rsid w:val="007E4CD4"/>
    <w:rsid w:val="007E4EE4"/>
    <w:rsid w:val="007E4F32"/>
    <w:rsid w:val="007E51D7"/>
    <w:rsid w:val="007E51FF"/>
    <w:rsid w:val="007E5460"/>
    <w:rsid w:val="007E54D0"/>
    <w:rsid w:val="007E5526"/>
    <w:rsid w:val="007E56BD"/>
    <w:rsid w:val="007E56CB"/>
    <w:rsid w:val="007E5A52"/>
    <w:rsid w:val="007E5D27"/>
    <w:rsid w:val="007E62B1"/>
    <w:rsid w:val="007E63D9"/>
    <w:rsid w:val="007E6641"/>
    <w:rsid w:val="007E66C7"/>
    <w:rsid w:val="007E6998"/>
    <w:rsid w:val="007E6B3E"/>
    <w:rsid w:val="007E6B56"/>
    <w:rsid w:val="007E6BB4"/>
    <w:rsid w:val="007E6C54"/>
    <w:rsid w:val="007E6D40"/>
    <w:rsid w:val="007E6D54"/>
    <w:rsid w:val="007E6EB3"/>
    <w:rsid w:val="007E6FC5"/>
    <w:rsid w:val="007E7085"/>
    <w:rsid w:val="007E70E5"/>
    <w:rsid w:val="007E7228"/>
    <w:rsid w:val="007E730D"/>
    <w:rsid w:val="007E7376"/>
    <w:rsid w:val="007E74C7"/>
    <w:rsid w:val="007E7550"/>
    <w:rsid w:val="007E75BD"/>
    <w:rsid w:val="007E7668"/>
    <w:rsid w:val="007E77CF"/>
    <w:rsid w:val="007E77D8"/>
    <w:rsid w:val="007E789B"/>
    <w:rsid w:val="007E79DE"/>
    <w:rsid w:val="007E79E9"/>
    <w:rsid w:val="007E7A7F"/>
    <w:rsid w:val="007E7D35"/>
    <w:rsid w:val="007E7DE8"/>
    <w:rsid w:val="007F0224"/>
    <w:rsid w:val="007F028A"/>
    <w:rsid w:val="007F0344"/>
    <w:rsid w:val="007F03EC"/>
    <w:rsid w:val="007F05AE"/>
    <w:rsid w:val="007F0779"/>
    <w:rsid w:val="007F0791"/>
    <w:rsid w:val="007F07B7"/>
    <w:rsid w:val="007F07B8"/>
    <w:rsid w:val="007F0818"/>
    <w:rsid w:val="007F0835"/>
    <w:rsid w:val="007F083B"/>
    <w:rsid w:val="007F088A"/>
    <w:rsid w:val="007F0A40"/>
    <w:rsid w:val="007F0E60"/>
    <w:rsid w:val="007F0ECE"/>
    <w:rsid w:val="007F0FCC"/>
    <w:rsid w:val="007F106E"/>
    <w:rsid w:val="007F145D"/>
    <w:rsid w:val="007F14C8"/>
    <w:rsid w:val="007F15D6"/>
    <w:rsid w:val="007F15F1"/>
    <w:rsid w:val="007F16EC"/>
    <w:rsid w:val="007F1816"/>
    <w:rsid w:val="007F198F"/>
    <w:rsid w:val="007F19CC"/>
    <w:rsid w:val="007F1BFE"/>
    <w:rsid w:val="007F1C1C"/>
    <w:rsid w:val="007F1D16"/>
    <w:rsid w:val="007F1D70"/>
    <w:rsid w:val="007F1DD9"/>
    <w:rsid w:val="007F1DE8"/>
    <w:rsid w:val="007F1E73"/>
    <w:rsid w:val="007F1EF3"/>
    <w:rsid w:val="007F1FE7"/>
    <w:rsid w:val="007F2027"/>
    <w:rsid w:val="007F2165"/>
    <w:rsid w:val="007F2170"/>
    <w:rsid w:val="007F223E"/>
    <w:rsid w:val="007F23F9"/>
    <w:rsid w:val="007F2563"/>
    <w:rsid w:val="007F2567"/>
    <w:rsid w:val="007F25B8"/>
    <w:rsid w:val="007F25D4"/>
    <w:rsid w:val="007F25F8"/>
    <w:rsid w:val="007F2644"/>
    <w:rsid w:val="007F287D"/>
    <w:rsid w:val="007F296C"/>
    <w:rsid w:val="007F2B63"/>
    <w:rsid w:val="007F2BBD"/>
    <w:rsid w:val="007F2BEC"/>
    <w:rsid w:val="007F2DA6"/>
    <w:rsid w:val="007F2FE8"/>
    <w:rsid w:val="007F3060"/>
    <w:rsid w:val="007F3264"/>
    <w:rsid w:val="007F3279"/>
    <w:rsid w:val="007F32C8"/>
    <w:rsid w:val="007F35A3"/>
    <w:rsid w:val="007F35FF"/>
    <w:rsid w:val="007F3611"/>
    <w:rsid w:val="007F3685"/>
    <w:rsid w:val="007F37E9"/>
    <w:rsid w:val="007F38BA"/>
    <w:rsid w:val="007F3BE6"/>
    <w:rsid w:val="007F3E06"/>
    <w:rsid w:val="007F3E2B"/>
    <w:rsid w:val="007F3F91"/>
    <w:rsid w:val="007F406D"/>
    <w:rsid w:val="007F42E3"/>
    <w:rsid w:val="007F42F8"/>
    <w:rsid w:val="007F43B0"/>
    <w:rsid w:val="007F4418"/>
    <w:rsid w:val="007F4500"/>
    <w:rsid w:val="007F453A"/>
    <w:rsid w:val="007F45AC"/>
    <w:rsid w:val="007F45C7"/>
    <w:rsid w:val="007F4623"/>
    <w:rsid w:val="007F4669"/>
    <w:rsid w:val="007F469B"/>
    <w:rsid w:val="007F48DC"/>
    <w:rsid w:val="007F4918"/>
    <w:rsid w:val="007F4989"/>
    <w:rsid w:val="007F4A3D"/>
    <w:rsid w:val="007F4B17"/>
    <w:rsid w:val="007F4BD2"/>
    <w:rsid w:val="007F4F55"/>
    <w:rsid w:val="007F513D"/>
    <w:rsid w:val="007F529E"/>
    <w:rsid w:val="007F573F"/>
    <w:rsid w:val="007F57FE"/>
    <w:rsid w:val="007F586F"/>
    <w:rsid w:val="007F5A92"/>
    <w:rsid w:val="007F5AD6"/>
    <w:rsid w:val="007F5C8D"/>
    <w:rsid w:val="007F5D85"/>
    <w:rsid w:val="007F5DE7"/>
    <w:rsid w:val="007F6115"/>
    <w:rsid w:val="007F619F"/>
    <w:rsid w:val="007F62F5"/>
    <w:rsid w:val="007F6411"/>
    <w:rsid w:val="007F661B"/>
    <w:rsid w:val="007F6782"/>
    <w:rsid w:val="007F67E9"/>
    <w:rsid w:val="007F6CC3"/>
    <w:rsid w:val="007F6D7B"/>
    <w:rsid w:val="007F6FA6"/>
    <w:rsid w:val="007F700C"/>
    <w:rsid w:val="007F711B"/>
    <w:rsid w:val="007F724A"/>
    <w:rsid w:val="007F72FA"/>
    <w:rsid w:val="007F7352"/>
    <w:rsid w:val="007F7354"/>
    <w:rsid w:val="007F7398"/>
    <w:rsid w:val="007F75D3"/>
    <w:rsid w:val="007F75EF"/>
    <w:rsid w:val="007F76C5"/>
    <w:rsid w:val="007F7950"/>
    <w:rsid w:val="007F7C7B"/>
    <w:rsid w:val="007F7C94"/>
    <w:rsid w:val="007F7CF1"/>
    <w:rsid w:val="007F7D68"/>
    <w:rsid w:val="007F7D6B"/>
    <w:rsid w:val="007F7E67"/>
    <w:rsid w:val="007F7E87"/>
    <w:rsid w:val="007F7EFC"/>
    <w:rsid w:val="00800270"/>
    <w:rsid w:val="0080038A"/>
    <w:rsid w:val="008003A2"/>
    <w:rsid w:val="00800467"/>
    <w:rsid w:val="008004CA"/>
    <w:rsid w:val="00800678"/>
    <w:rsid w:val="008006A0"/>
    <w:rsid w:val="00800799"/>
    <w:rsid w:val="00800875"/>
    <w:rsid w:val="00800B3B"/>
    <w:rsid w:val="00800DAA"/>
    <w:rsid w:val="00800E33"/>
    <w:rsid w:val="00800ED4"/>
    <w:rsid w:val="00800EFF"/>
    <w:rsid w:val="00800F0B"/>
    <w:rsid w:val="00801014"/>
    <w:rsid w:val="00801038"/>
    <w:rsid w:val="008013C2"/>
    <w:rsid w:val="00801413"/>
    <w:rsid w:val="008014A1"/>
    <w:rsid w:val="0080161B"/>
    <w:rsid w:val="0080162A"/>
    <w:rsid w:val="008017BD"/>
    <w:rsid w:val="00801896"/>
    <w:rsid w:val="008019AC"/>
    <w:rsid w:val="00801A95"/>
    <w:rsid w:val="00801B16"/>
    <w:rsid w:val="00801B37"/>
    <w:rsid w:val="00801D64"/>
    <w:rsid w:val="00801E2A"/>
    <w:rsid w:val="00802299"/>
    <w:rsid w:val="00802438"/>
    <w:rsid w:val="008024EA"/>
    <w:rsid w:val="008024F0"/>
    <w:rsid w:val="0080262F"/>
    <w:rsid w:val="0080265B"/>
    <w:rsid w:val="00802801"/>
    <w:rsid w:val="00802830"/>
    <w:rsid w:val="008028E6"/>
    <w:rsid w:val="0080290A"/>
    <w:rsid w:val="0080296F"/>
    <w:rsid w:val="00802B03"/>
    <w:rsid w:val="00802C02"/>
    <w:rsid w:val="00802F05"/>
    <w:rsid w:val="0080306A"/>
    <w:rsid w:val="008031B6"/>
    <w:rsid w:val="008031CF"/>
    <w:rsid w:val="008032AA"/>
    <w:rsid w:val="008033BF"/>
    <w:rsid w:val="008034AE"/>
    <w:rsid w:val="00803765"/>
    <w:rsid w:val="008037BB"/>
    <w:rsid w:val="00803897"/>
    <w:rsid w:val="00803946"/>
    <w:rsid w:val="00803A11"/>
    <w:rsid w:val="00803BBA"/>
    <w:rsid w:val="00803F05"/>
    <w:rsid w:val="008040A2"/>
    <w:rsid w:val="008040A7"/>
    <w:rsid w:val="008042C7"/>
    <w:rsid w:val="008042F5"/>
    <w:rsid w:val="008043A3"/>
    <w:rsid w:val="00804467"/>
    <w:rsid w:val="008044B9"/>
    <w:rsid w:val="00804632"/>
    <w:rsid w:val="0080484C"/>
    <w:rsid w:val="0080485D"/>
    <w:rsid w:val="00804931"/>
    <w:rsid w:val="00804C1C"/>
    <w:rsid w:val="00804DA5"/>
    <w:rsid w:val="00804F0B"/>
    <w:rsid w:val="00805253"/>
    <w:rsid w:val="008053AD"/>
    <w:rsid w:val="008054D9"/>
    <w:rsid w:val="008055DA"/>
    <w:rsid w:val="00805708"/>
    <w:rsid w:val="0080579D"/>
    <w:rsid w:val="00805883"/>
    <w:rsid w:val="00805C2F"/>
    <w:rsid w:val="00805C3C"/>
    <w:rsid w:val="00805C61"/>
    <w:rsid w:val="00805D36"/>
    <w:rsid w:val="00805D97"/>
    <w:rsid w:val="0080601C"/>
    <w:rsid w:val="00806157"/>
    <w:rsid w:val="0080616D"/>
    <w:rsid w:val="008065D9"/>
    <w:rsid w:val="00806688"/>
    <w:rsid w:val="0080668F"/>
    <w:rsid w:val="008066C5"/>
    <w:rsid w:val="0080678F"/>
    <w:rsid w:val="0080685A"/>
    <w:rsid w:val="00806887"/>
    <w:rsid w:val="008069C2"/>
    <w:rsid w:val="00806B5D"/>
    <w:rsid w:val="00806BC0"/>
    <w:rsid w:val="00806C91"/>
    <w:rsid w:val="00806DDB"/>
    <w:rsid w:val="00807067"/>
    <w:rsid w:val="00807157"/>
    <w:rsid w:val="008071BE"/>
    <w:rsid w:val="0080726A"/>
    <w:rsid w:val="00807499"/>
    <w:rsid w:val="008074C7"/>
    <w:rsid w:val="0080760D"/>
    <w:rsid w:val="00807839"/>
    <w:rsid w:val="0080787C"/>
    <w:rsid w:val="00807962"/>
    <w:rsid w:val="008079A0"/>
    <w:rsid w:val="00807A3E"/>
    <w:rsid w:val="00807A53"/>
    <w:rsid w:val="00807B9B"/>
    <w:rsid w:val="00807C04"/>
    <w:rsid w:val="00807F6D"/>
    <w:rsid w:val="00807FE7"/>
    <w:rsid w:val="0081001A"/>
    <w:rsid w:val="0081007D"/>
    <w:rsid w:val="008101C6"/>
    <w:rsid w:val="00810338"/>
    <w:rsid w:val="0081036E"/>
    <w:rsid w:val="00810371"/>
    <w:rsid w:val="00810658"/>
    <w:rsid w:val="008107A9"/>
    <w:rsid w:val="00810809"/>
    <w:rsid w:val="008109D3"/>
    <w:rsid w:val="00810C3D"/>
    <w:rsid w:val="00810C77"/>
    <w:rsid w:val="00810CE1"/>
    <w:rsid w:val="00810DD8"/>
    <w:rsid w:val="00810E06"/>
    <w:rsid w:val="00810E6D"/>
    <w:rsid w:val="00810FB0"/>
    <w:rsid w:val="00811050"/>
    <w:rsid w:val="008110EF"/>
    <w:rsid w:val="00811235"/>
    <w:rsid w:val="00811269"/>
    <w:rsid w:val="00811541"/>
    <w:rsid w:val="00811576"/>
    <w:rsid w:val="00811577"/>
    <w:rsid w:val="0081167D"/>
    <w:rsid w:val="00811B2E"/>
    <w:rsid w:val="00811B86"/>
    <w:rsid w:val="00811D3C"/>
    <w:rsid w:val="00811D7F"/>
    <w:rsid w:val="00811E5A"/>
    <w:rsid w:val="00811F2E"/>
    <w:rsid w:val="00811F43"/>
    <w:rsid w:val="008120B7"/>
    <w:rsid w:val="0081214F"/>
    <w:rsid w:val="00812282"/>
    <w:rsid w:val="00812300"/>
    <w:rsid w:val="0081238D"/>
    <w:rsid w:val="008123B8"/>
    <w:rsid w:val="00812568"/>
    <w:rsid w:val="0081265F"/>
    <w:rsid w:val="00812708"/>
    <w:rsid w:val="00812901"/>
    <w:rsid w:val="00812B06"/>
    <w:rsid w:val="00812B2E"/>
    <w:rsid w:val="00812E8A"/>
    <w:rsid w:val="0081300A"/>
    <w:rsid w:val="00813090"/>
    <w:rsid w:val="008131C8"/>
    <w:rsid w:val="00813228"/>
    <w:rsid w:val="00813376"/>
    <w:rsid w:val="00813503"/>
    <w:rsid w:val="00813532"/>
    <w:rsid w:val="00813626"/>
    <w:rsid w:val="0081369B"/>
    <w:rsid w:val="008136B3"/>
    <w:rsid w:val="0081371E"/>
    <w:rsid w:val="00813826"/>
    <w:rsid w:val="0081383D"/>
    <w:rsid w:val="00813846"/>
    <w:rsid w:val="00813A30"/>
    <w:rsid w:val="00813AD1"/>
    <w:rsid w:val="00813B97"/>
    <w:rsid w:val="00813D56"/>
    <w:rsid w:val="00813F58"/>
    <w:rsid w:val="00813FBB"/>
    <w:rsid w:val="0081405C"/>
    <w:rsid w:val="00814191"/>
    <w:rsid w:val="008145AF"/>
    <w:rsid w:val="008145CB"/>
    <w:rsid w:val="008148E4"/>
    <w:rsid w:val="00814A36"/>
    <w:rsid w:val="00814CE8"/>
    <w:rsid w:val="00814D69"/>
    <w:rsid w:val="00814DC7"/>
    <w:rsid w:val="008150D8"/>
    <w:rsid w:val="00815179"/>
    <w:rsid w:val="008152A2"/>
    <w:rsid w:val="008152A7"/>
    <w:rsid w:val="008152DE"/>
    <w:rsid w:val="00815352"/>
    <w:rsid w:val="00815556"/>
    <w:rsid w:val="00815594"/>
    <w:rsid w:val="008155E8"/>
    <w:rsid w:val="0081568C"/>
    <w:rsid w:val="008157F1"/>
    <w:rsid w:val="00815844"/>
    <w:rsid w:val="008159C8"/>
    <w:rsid w:val="00815A02"/>
    <w:rsid w:val="00815B3C"/>
    <w:rsid w:val="00815C10"/>
    <w:rsid w:val="00815D0F"/>
    <w:rsid w:val="00815D7B"/>
    <w:rsid w:val="00815EE1"/>
    <w:rsid w:val="00815F32"/>
    <w:rsid w:val="00815FFB"/>
    <w:rsid w:val="008161DC"/>
    <w:rsid w:val="00816349"/>
    <w:rsid w:val="008164DF"/>
    <w:rsid w:val="00816546"/>
    <w:rsid w:val="00816585"/>
    <w:rsid w:val="0081663B"/>
    <w:rsid w:val="00816704"/>
    <w:rsid w:val="00816A82"/>
    <w:rsid w:val="00816C28"/>
    <w:rsid w:val="00816E28"/>
    <w:rsid w:val="00816EA2"/>
    <w:rsid w:val="00816EC2"/>
    <w:rsid w:val="00816EF4"/>
    <w:rsid w:val="00816FB9"/>
    <w:rsid w:val="00816FEA"/>
    <w:rsid w:val="0081709B"/>
    <w:rsid w:val="008170E2"/>
    <w:rsid w:val="00817280"/>
    <w:rsid w:val="0081729F"/>
    <w:rsid w:val="00817368"/>
    <w:rsid w:val="00817407"/>
    <w:rsid w:val="00817533"/>
    <w:rsid w:val="00817539"/>
    <w:rsid w:val="008175C0"/>
    <w:rsid w:val="00817649"/>
    <w:rsid w:val="00817945"/>
    <w:rsid w:val="00817BFD"/>
    <w:rsid w:val="00817DF4"/>
    <w:rsid w:val="00817E80"/>
    <w:rsid w:val="00817F8A"/>
    <w:rsid w:val="00820174"/>
    <w:rsid w:val="00820339"/>
    <w:rsid w:val="0082040D"/>
    <w:rsid w:val="00820763"/>
    <w:rsid w:val="008207CF"/>
    <w:rsid w:val="008209B5"/>
    <w:rsid w:val="00820FAF"/>
    <w:rsid w:val="008210A9"/>
    <w:rsid w:val="00821293"/>
    <w:rsid w:val="008212D0"/>
    <w:rsid w:val="0082164A"/>
    <w:rsid w:val="00821677"/>
    <w:rsid w:val="008217CB"/>
    <w:rsid w:val="008219D4"/>
    <w:rsid w:val="00821A93"/>
    <w:rsid w:val="00821B9F"/>
    <w:rsid w:val="00821D13"/>
    <w:rsid w:val="00821D9E"/>
    <w:rsid w:val="00821DA0"/>
    <w:rsid w:val="00821DAE"/>
    <w:rsid w:val="00821EA7"/>
    <w:rsid w:val="00822328"/>
    <w:rsid w:val="008223C6"/>
    <w:rsid w:val="008223CD"/>
    <w:rsid w:val="0082260B"/>
    <w:rsid w:val="00822810"/>
    <w:rsid w:val="00822819"/>
    <w:rsid w:val="0082282A"/>
    <w:rsid w:val="00822D04"/>
    <w:rsid w:val="00822E29"/>
    <w:rsid w:val="00822EC8"/>
    <w:rsid w:val="00822FDF"/>
    <w:rsid w:val="00823090"/>
    <w:rsid w:val="00823171"/>
    <w:rsid w:val="0082330B"/>
    <w:rsid w:val="008236E1"/>
    <w:rsid w:val="0082378E"/>
    <w:rsid w:val="00823872"/>
    <w:rsid w:val="00823950"/>
    <w:rsid w:val="00823A71"/>
    <w:rsid w:val="00823BA9"/>
    <w:rsid w:val="00823C2D"/>
    <w:rsid w:val="00823C34"/>
    <w:rsid w:val="00823DC0"/>
    <w:rsid w:val="00823E76"/>
    <w:rsid w:val="00823FCB"/>
    <w:rsid w:val="00824025"/>
    <w:rsid w:val="00824364"/>
    <w:rsid w:val="008243CE"/>
    <w:rsid w:val="00824458"/>
    <w:rsid w:val="00824679"/>
    <w:rsid w:val="0082471D"/>
    <w:rsid w:val="0082492E"/>
    <w:rsid w:val="008249F7"/>
    <w:rsid w:val="00824A05"/>
    <w:rsid w:val="00824B4E"/>
    <w:rsid w:val="00824B74"/>
    <w:rsid w:val="00824E69"/>
    <w:rsid w:val="00824E76"/>
    <w:rsid w:val="00824F0E"/>
    <w:rsid w:val="00824F4F"/>
    <w:rsid w:val="00824F7A"/>
    <w:rsid w:val="00825028"/>
    <w:rsid w:val="008250A1"/>
    <w:rsid w:val="008250CC"/>
    <w:rsid w:val="0082515B"/>
    <w:rsid w:val="0082517C"/>
    <w:rsid w:val="0082519B"/>
    <w:rsid w:val="008253CF"/>
    <w:rsid w:val="008254B7"/>
    <w:rsid w:val="008255E3"/>
    <w:rsid w:val="008255FE"/>
    <w:rsid w:val="0082585C"/>
    <w:rsid w:val="00825DAE"/>
    <w:rsid w:val="00825DD5"/>
    <w:rsid w:val="00825DDF"/>
    <w:rsid w:val="00825E67"/>
    <w:rsid w:val="00825FC5"/>
    <w:rsid w:val="0082623B"/>
    <w:rsid w:val="00826290"/>
    <w:rsid w:val="0082636B"/>
    <w:rsid w:val="00826923"/>
    <w:rsid w:val="00826A02"/>
    <w:rsid w:val="00826BF3"/>
    <w:rsid w:val="00826C2D"/>
    <w:rsid w:val="00826CB8"/>
    <w:rsid w:val="00826D55"/>
    <w:rsid w:val="00826DDF"/>
    <w:rsid w:val="00826E68"/>
    <w:rsid w:val="00827027"/>
    <w:rsid w:val="0082717B"/>
    <w:rsid w:val="008271E3"/>
    <w:rsid w:val="00827278"/>
    <w:rsid w:val="008274EB"/>
    <w:rsid w:val="008276D0"/>
    <w:rsid w:val="0082771F"/>
    <w:rsid w:val="00827892"/>
    <w:rsid w:val="008279CC"/>
    <w:rsid w:val="008279DB"/>
    <w:rsid w:val="00827C82"/>
    <w:rsid w:val="00827CDD"/>
    <w:rsid w:val="00827EFE"/>
    <w:rsid w:val="00827FEE"/>
    <w:rsid w:val="00827FFB"/>
    <w:rsid w:val="00830213"/>
    <w:rsid w:val="008303B7"/>
    <w:rsid w:val="0083044F"/>
    <w:rsid w:val="00830485"/>
    <w:rsid w:val="00830617"/>
    <w:rsid w:val="00830821"/>
    <w:rsid w:val="0083088B"/>
    <w:rsid w:val="008309EB"/>
    <w:rsid w:val="00830ABB"/>
    <w:rsid w:val="00830F39"/>
    <w:rsid w:val="008310C4"/>
    <w:rsid w:val="0083110F"/>
    <w:rsid w:val="0083119A"/>
    <w:rsid w:val="00831242"/>
    <w:rsid w:val="0083124B"/>
    <w:rsid w:val="00831267"/>
    <w:rsid w:val="0083129B"/>
    <w:rsid w:val="008314A1"/>
    <w:rsid w:val="008314F8"/>
    <w:rsid w:val="00831570"/>
    <w:rsid w:val="008318A1"/>
    <w:rsid w:val="00831903"/>
    <w:rsid w:val="0083196A"/>
    <w:rsid w:val="00831AF3"/>
    <w:rsid w:val="00831B18"/>
    <w:rsid w:val="00831BD1"/>
    <w:rsid w:val="00831D2C"/>
    <w:rsid w:val="00831D76"/>
    <w:rsid w:val="00831DF8"/>
    <w:rsid w:val="00831F7A"/>
    <w:rsid w:val="00831F92"/>
    <w:rsid w:val="00832136"/>
    <w:rsid w:val="00832333"/>
    <w:rsid w:val="008324E1"/>
    <w:rsid w:val="008325C4"/>
    <w:rsid w:val="00832711"/>
    <w:rsid w:val="00832987"/>
    <w:rsid w:val="00832A15"/>
    <w:rsid w:val="00832C68"/>
    <w:rsid w:val="00832EBC"/>
    <w:rsid w:val="0083301A"/>
    <w:rsid w:val="00833028"/>
    <w:rsid w:val="008333A0"/>
    <w:rsid w:val="00833535"/>
    <w:rsid w:val="008335FF"/>
    <w:rsid w:val="0083367F"/>
    <w:rsid w:val="008336F1"/>
    <w:rsid w:val="00833973"/>
    <w:rsid w:val="008339EC"/>
    <w:rsid w:val="00833A02"/>
    <w:rsid w:val="00833AC8"/>
    <w:rsid w:val="00833B3C"/>
    <w:rsid w:val="00833BA0"/>
    <w:rsid w:val="00833C8A"/>
    <w:rsid w:val="00833E78"/>
    <w:rsid w:val="00834109"/>
    <w:rsid w:val="0083417B"/>
    <w:rsid w:val="008341DC"/>
    <w:rsid w:val="008343B5"/>
    <w:rsid w:val="0083441E"/>
    <w:rsid w:val="00834459"/>
    <w:rsid w:val="008346C9"/>
    <w:rsid w:val="008346FC"/>
    <w:rsid w:val="00834712"/>
    <w:rsid w:val="00834821"/>
    <w:rsid w:val="00834A0B"/>
    <w:rsid w:val="00834A70"/>
    <w:rsid w:val="00834BBF"/>
    <w:rsid w:val="00834C17"/>
    <w:rsid w:val="00834CB0"/>
    <w:rsid w:val="00834CD8"/>
    <w:rsid w:val="00834D93"/>
    <w:rsid w:val="00834DF8"/>
    <w:rsid w:val="00834E3D"/>
    <w:rsid w:val="00834F3D"/>
    <w:rsid w:val="00834F53"/>
    <w:rsid w:val="0083506D"/>
    <w:rsid w:val="00835123"/>
    <w:rsid w:val="00835214"/>
    <w:rsid w:val="0083532B"/>
    <w:rsid w:val="0083532D"/>
    <w:rsid w:val="00835420"/>
    <w:rsid w:val="00835679"/>
    <w:rsid w:val="00835736"/>
    <w:rsid w:val="00835780"/>
    <w:rsid w:val="00835826"/>
    <w:rsid w:val="00835953"/>
    <w:rsid w:val="0083597F"/>
    <w:rsid w:val="00835B18"/>
    <w:rsid w:val="00835B55"/>
    <w:rsid w:val="00835BF8"/>
    <w:rsid w:val="00835E09"/>
    <w:rsid w:val="00835E73"/>
    <w:rsid w:val="00835EC9"/>
    <w:rsid w:val="00835F36"/>
    <w:rsid w:val="00835F58"/>
    <w:rsid w:val="00836143"/>
    <w:rsid w:val="0083630C"/>
    <w:rsid w:val="0083639D"/>
    <w:rsid w:val="008365C2"/>
    <w:rsid w:val="008365E7"/>
    <w:rsid w:val="008367CD"/>
    <w:rsid w:val="00836880"/>
    <w:rsid w:val="008369FD"/>
    <w:rsid w:val="00836AE4"/>
    <w:rsid w:val="00836C53"/>
    <w:rsid w:val="00836CE2"/>
    <w:rsid w:val="00836D78"/>
    <w:rsid w:val="00836D9B"/>
    <w:rsid w:val="00836F61"/>
    <w:rsid w:val="0083703C"/>
    <w:rsid w:val="008371F0"/>
    <w:rsid w:val="008372BE"/>
    <w:rsid w:val="008374E7"/>
    <w:rsid w:val="0083792E"/>
    <w:rsid w:val="00837979"/>
    <w:rsid w:val="00837ADC"/>
    <w:rsid w:val="00837BA2"/>
    <w:rsid w:val="00837C40"/>
    <w:rsid w:val="00837CDE"/>
    <w:rsid w:val="00837F66"/>
    <w:rsid w:val="00837F83"/>
    <w:rsid w:val="00837F93"/>
    <w:rsid w:val="00837FA9"/>
    <w:rsid w:val="00837FB6"/>
    <w:rsid w:val="0084001D"/>
    <w:rsid w:val="008401E9"/>
    <w:rsid w:val="00840481"/>
    <w:rsid w:val="008405B1"/>
    <w:rsid w:val="008405B5"/>
    <w:rsid w:val="0084079D"/>
    <w:rsid w:val="00840BC0"/>
    <w:rsid w:val="00840C8D"/>
    <w:rsid w:val="00840EF7"/>
    <w:rsid w:val="00841035"/>
    <w:rsid w:val="00841201"/>
    <w:rsid w:val="008412EA"/>
    <w:rsid w:val="00841388"/>
    <w:rsid w:val="00841409"/>
    <w:rsid w:val="00841467"/>
    <w:rsid w:val="0084163F"/>
    <w:rsid w:val="0084170E"/>
    <w:rsid w:val="008418B3"/>
    <w:rsid w:val="008418C2"/>
    <w:rsid w:val="008418C8"/>
    <w:rsid w:val="00841A02"/>
    <w:rsid w:val="00841E14"/>
    <w:rsid w:val="00841E6A"/>
    <w:rsid w:val="00841EFB"/>
    <w:rsid w:val="00841F44"/>
    <w:rsid w:val="00841F87"/>
    <w:rsid w:val="00842013"/>
    <w:rsid w:val="00842105"/>
    <w:rsid w:val="008422C6"/>
    <w:rsid w:val="00842304"/>
    <w:rsid w:val="00842482"/>
    <w:rsid w:val="00842497"/>
    <w:rsid w:val="008427A2"/>
    <w:rsid w:val="008427F7"/>
    <w:rsid w:val="00842884"/>
    <w:rsid w:val="008428F0"/>
    <w:rsid w:val="0084295C"/>
    <w:rsid w:val="00842BD8"/>
    <w:rsid w:val="00842C82"/>
    <w:rsid w:val="00842CD0"/>
    <w:rsid w:val="0084311F"/>
    <w:rsid w:val="0084326E"/>
    <w:rsid w:val="0084340F"/>
    <w:rsid w:val="00843559"/>
    <w:rsid w:val="008436D7"/>
    <w:rsid w:val="008436F2"/>
    <w:rsid w:val="008437FD"/>
    <w:rsid w:val="008439A3"/>
    <w:rsid w:val="008439E0"/>
    <w:rsid w:val="00843AD9"/>
    <w:rsid w:val="00843B7C"/>
    <w:rsid w:val="00843B86"/>
    <w:rsid w:val="00843D01"/>
    <w:rsid w:val="00843E6E"/>
    <w:rsid w:val="00843EA7"/>
    <w:rsid w:val="00843F01"/>
    <w:rsid w:val="0084408C"/>
    <w:rsid w:val="008440FE"/>
    <w:rsid w:val="00844368"/>
    <w:rsid w:val="008444C4"/>
    <w:rsid w:val="0084467D"/>
    <w:rsid w:val="008447D7"/>
    <w:rsid w:val="008448B6"/>
    <w:rsid w:val="00844C07"/>
    <w:rsid w:val="00844D60"/>
    <w:rsid w:val="00844DF3"/>
    <w:rsid w:val="00844FE5"/>
    <w:rsid w:val="0084506F"/>
    <w:rsid w:val="008450A4"/>
    <w:rsid w:val="0084539B"/>
    <w:rsid w:val="00845428"/>
    <w:rsid w:val="0084549C"/>
    <w:rsid w:val="008454D0"/>
    <w:rsid w:val="008455A6"/>
    <w:rsid w:val="008458D5"/>
    <w:rsid w:val="00845906"/>
    <w:rsid w:val="00845A95"/>
    <w:rsid w:val="00845AEA"/>
    <w:rsid w:val="00845B27"/>
    <w:rsid w:val="00845BF4"/>
    <w:rsid w:val="00845C45"/>
    <w:rsid w:val="00845DEC"/>
    <w:rsid w:val="00845E5F"/>
    <w:rsid w:val="00845EB8"/>
    <w:rsid w:val="00846119"/>
    <w:rsid w:val="0084611C"/>
    <w:rsid w:val="008462D6"/>
    <w:rsid w:val="008463B9"/>
    <w:rsid w:val="00846430"/>
    <w:rsid w:val="00846538"/>
    <w:rsid w:val="00846660"/>
    <w:rsid w:val="00846687"/>
    <w:rsid w:val="00846AD7"/>
    <w:rsid w:val="00846B0A"/>
    <w:rsid w:val="00846BAA"/>
    <w:rsid w:val="00846BF7"/>
    <w:rsid w:val="00846C84"/>
    <w:rsid w:val="00846C9D"/>
    <w:rsid w:val="00846CB1"/>
    <w:rsid w:val="00846D3A"/>
    <w:rsid w:val="0084706B"/>
    <w:rsid w:val="008470AC"/>
    <w:rsid w:val="008471E1"/>
    <w:rsid w:val="00847304"/>
    <w:rsid w:val="008473E4"/>
    <w:rsid w:val="008474E3"/>
    <w:rsid w:val="00847723"/>
    <w:rsid w:val="00847933"/>
    <w:rsid w:val="00847A6F"/>
    <w:rsid w:val="00847B72"/>
    <w:rsid w:val="00847CDF"/>
    <w:rsid w:val="00847E22"/>
    <w:rsid w:val="00847F6B"/>
    <w:rsid w:val="00847F72"/>
    <w:rsid w:val="0085010A"/>
    <w:rsid w:val="00850548"/>
    <w:rsid w:val="0085062A"/>
    <w:rsid w:val="00850630"/>
    <w:rsid w:val="00850789"/>
    <w:rsid w:val="00850924"/>
    <w:rsid w:val="00850C20"/>
    <w:rsid w:val="00850E65"/>
    <w:rsid w:val="00850EC8"/>
    <w:rsid w:val="00851050"/>
    <w:rsid w:val="00851171"/>
    <w:rsid w:val="00851233"/>
    <w:rsid w:val="00851257"/>
    <w:rsid w:val="008512E9"/>
    <w:rsid w:val="00851459"/>
    <w:rsid w:val="00851548"/>
    <w:rsid w:val="008515CB"/>
    <w:rsid w:val="00851630"/>
    <w:rsid w:val="008516C5"/>
    <w:rsid w:val="00851752"/>
    <w:rsid w:val="008517BF"/>
    <w:rsid w:val="008518B3"/>
    <w:rsid w:val="0085199D"/>
    <w:rsid w:val="00851AFA"/>
    <w:rsid w:val="00851BB9"/>
    <w:rsid w:val="00851DF3"/>
    <w:rsid w:val="00851E0E"/>
    <w:rsid w:val="00851EBE"/>
    <w:rsid w:val="008520E3"/>
    <w:rsid w:val="00852103"/>
    <w:rsid w:val="00852118"/>
    <w:rsid w:val="0085211E"/>
    <w:rsid w:val="008521F0"/>
    <w:rsid w:val="008523C7"/>
    <w:rsid w:val="00852411"/>
    <w:rsid w:val="0085259C"/>
    <w:rsid w:val="00852778"/>
    <w:rsid w:val="00852789"/>
    <w:rsid w:val="008527ED"/>
    <w:rsid w:val="00852848"/>
    <w:rsid w:val="0085291F"/>
    <w:rsid w:val="0085295B"/>
    <w:rsid w:val="008529C1"/>
    <w:rsid w:val="00852AB7"/>
    <w:rsid w:val="00852B2C"/>
    <w:rsid w:val="00852B7A"/>
    <w:rsid w:val="00852F79"/>
    <w:rsid w:val="008530AE"/>
    <w:rsid w:val="0085323A"/>
    <w:rsid w:val="008532E2"/>
    <w:rsid w:val="00853341"/>
    <w:rsid w:val="00853502"/>
    <w:rsid w:val="0085364C"/>
    <w:rsid w:val="008537F7"/>
    <w:rsid w:val="008537FE"/>
    <w:rsid w:val="00853EA0"/>
    <w:rsid w:val="00854321"/>
    <w:rsid w:val="00854383"/>
    <w:rsid w:val="0085452F"/>
    <w:rsid w:val="008546BE"/>
    <w:rsid w:val="0085486B"/>
    <w:rsid w:val="00854CF2"/>
    <w:rsid w:val="00854E0A"/>
    <w:rsid w:val="00854EAD"/>
    <w:rsid w:val="00854EC1"/>
    <w:rsid w:val="00854ED5"/>
    <w:rsid w:val="00854FB3"/>
    <w:rsid w:val="00854FD6"/>
    <w:rsid w:val="00854FF3"/>
    <w:rsid w:val="0085502F"/>
    <w:rsid w:val="008550A8"/>
    <w:rsid w:val="00855292"/>
    <w:rsid w:val="00855348"/>
    <w:rsid w:val="00855426"/>
    <w:rsid w:val="00855553"/>
    <w:rsid w:val="008555D1"/>
    <w:rsid w:val="00855636"/>
    <w:rsid w:val="008558F0"/>
    <w:rsid w:val="00855958"/>
    <w:rsid w:val="008559BB"/>
    <w:rsid w:val="00855B27"/>
    <w:rsid w:val="00855EB3"/>
    <w:rsid w:val="00855F13"/>
    <w:rsid w:val="00855F8A"/>
    <w:rsid w:val="00856074"/>
    <w:rsid w:val="008560D8"/>
    <w:rsid w:val="0085626A"/>
    <w:rsid w:val="00856299"/>
    <w:rsid w:val="008562DB"/>
    <w:rsid w:val="008563F7"/>
    <w:rsid w:val="00856509"/>
    <w:rsid w:val="008565B4"/>
    <w:rsid w:val="008565C8"/>
    <w:rsid w:val="008565FF"/>
    <w:rsid w:val="0085661C"/>
    <w:rsid w:val="0085666E"/>
    <w:rsid w:val="00856B48"/>
    <w:rsid w:val="00856C48"/>
    <w:rsid w:val="00856DC3"/>
    <w:rsid w:val="00856DC9"/>
    <w:rsid w:val="00857090"/>
    <w:rsid w:val="0085714B"/>
    <w:rsid w:val="00857306"/>
    <w:rsid w:val="008573B3"/>
    <w:rsid w:val="008574A1"/>
    <w:rsid w:val="00857683"/>
    <w:rsid w:val="00857771"/>
    <w:rsid w:val="00857949"/>
    <w:rsid w:val="00857A4D"/>
    <w:rsid w:val="00857B6E"/>
    <w:rsid w:val="00857C5E"/>
    <w:rsid w:val="00857C91"/>
    <w:rsid w:val="00857D81"/>
    <w:rsid w:val="00857F71"/>
    <w:rsid w:val="00860032"/>
    <w:rsid w:val="00860041"/>
    <w:rsid w:val="008600C1"/>
    <w:rsid w:val="008600C3"/>
    <w:rsid w:val="008600D8"/>
    <w:rsid w:val="008600EB"/>
    <w:rsid w:val="0086015C"/>
    <w:rsid w:val="008603F8"/>
    <w:rsid w:val="0086041C"/>
    <w:rsid w:val="00860431"/>
    <w:rsid w:val="008604A6"/>
    <w:rsid w:val="008604F3"/>
    <w:rsid w:val="008605E5"/>
    <w:rsid w:val="00860634"/>
    <w:rsid w:val="0086085E"/>
    <w:rsid w:val="00860950"/>
    <w:rsid w:val="00860A37"/>
    <w:rsid w:val="00860B05"/>
    <w:rsid w:val="00860BEC"/>
    <w:rsid w:val="00860DFF"/>
    <w:rsid w:val="00860E15"/>
    <w:rsid w:val="00860F74"/>
    <w:rsid w:val="00860FA4"/>
    <w:rsid w:val="00860FB3"/>
    <w:rsid w:val="0086129B"/>
    <w:rsid w:val="00861373"/>
    <w:rsid w:val="00861380"/>
    <w:rsid w:val="00861441"/>
    <w:rsid w:val="008614ED"/>
    <w:rsid w:val="008616E8"/>
    <w:rsid w:val="00861788"/>
    <w:rsid w:val="00861AF6"/>
    <w:rsid w:val="00861B58"/>
    <w:rsid w:val="00861B5D"/>
    <w:rsid w:val="00861C98"/>
    <w:rsid w:val="00861E23"/>
    <w:rsid w:val="00861E53"/>
    <w:rsid w:val="00861F71"/>
    <w:rsid w:val="00861F84"/>
    <w:rsid w:val="008622B6"/>
    <w:rsid w:val="008622ED"/>
    <w:rsid w:val="008627D9"/>
    <w:rsid w:val="00862832"/>
    <w:rsid w:val="00862A2C"/>
    <w:rsid w:val="00862B58"/>
    <w:rsid w:val="00862E1F"/>
    <w:rsid w:val="00862EC0"/>
    <w:rsid w:val="0086328E"/>
    <w:rsid w:val="008632E5"/>
    <w:rsid w:val="0086335B"/>
    <w:rsid w:val="00863390"/>
    <w:rsid w:val="0086345D"/>
    <w:rsid w:val="008634DD"/>
    <w:rsid w:val="008636A4"/>
    <w:rsid w:val="008637B1"/>
    <w:rsid w:val="00863891"/>
    <w:rsid w:val="00863963"/>
    <w:rsid w:val="00863C8F"/>
    <w:rsid w:val="00863DBF"/>
    <w:rsid w:val="00863DC9"/>
    <w:rsid w:val="00863E4C"/>
    <w:rsid w:val="00863F02"/>
    <w:rsid w:val="00863F88"/>
    <w:rsid w:val="0086402D"/>
    <w:rsid w:val="00864041"/>
    <w:rsid w:val="0086407C"/>
    <w:rsid w:val="00864142"/>
    <w:rsid w:val="0086419A"/>
    <w:rsid w:val="008642BF"/>
    <w:rsid w:val="008642E8"/>
    <w:rsid w:val="00864506"/>
    <w:rsid w:val="00864526"/>
    <w:rsid w:val="008645BF"/>
    <w:rsid w:val="00864646"/>
    <w:rsid w:val="008648C2"/>
    <w:rsid w:val="008648DC"/>
    <w:rsid w:val="00864B12"/>
    <w:rsid w:val="00864BAF"/>
    <w:rsid w:val="00864BB5"/>
    <w:rsid w:val="00864BE2"/>
    <w:rsid w:val="00864C40"/>
    <w:rsid w:val="00864DD8"/>
    <w:rsid w:val="00864E47"/>
    <w:rsid w:val="00864E50"/>
    <w:rsid w:val="00864E91"/>
    <w:rsid w:val="00864F5A"/>
    <w:rsid w:val="00864F8C"/>
    <w:rsid w:val="00865018"/>
    <w:rsid w:val="0086519E"/>
    <w:rsid w:val="008651F8"/>
    <w:rsid w:val="008652FB"/>
    <w:rsid w:val="0086538A"/>
    <w:rsid w:val="008653D3"/>
    <w:rsid w:val="0086542E"/>
    <w:rsid w:val="0086546B"/>
    <w:rsid w:val="008654B4"/>
    <w:rsid w:val="00865599"/>
    <w:rsid w:val="008655E3"/>
    <w:rsid w:val="00865725"/>
    <w:rsid w:val="00865A99"/>
    <w:rsid w:val="00865AC9"/>
    <w:rsid w:val="00865BB3"/>
    <w:rsid w:val="00865D6E"/>
    <w:rsid w:val="00865E22"/>
    <w:rsid w:val="00865F07"/>
    <w:rsid w:val="00865F94"/>
    <w:rsid w:val="008660A8"/>
    <w:rsid w:val="008661B8"/>
    <w:rsid w:val="008664CD"/>
    <w:rsid w:val="00866945"/>
    <w:rsid w:val="00866A68"/>
    <w:rsid w:val="00866B01"/>
    <w:rsid w:val="00866B08"/>
    <w:rsid w:val="00866BA0"/>
    <w:rsid w:val="00866BD8"/>
    <w:rsid w:val="00866C9D"/>
    <w:rsid w:val="00866D75"/>
    <w:rsid w:val="00866E76"/>
    <w:rsid w:val="0086734C"/>
    <w:rsid w:val="0086737C"/>
    <w:rsid w:val="00867534"/>
    <w:rsid w:val="00867537"/>
    <w:rsid w:val="0086762D"/>
    <w:rsid w:val="00867678"/>
    <w:rsid w:val="0086771D"/>
    <w:rsid w:val="00867774"/>
    <w:rsid w:val="00867851"/>
    <w:rsid w:val="0086799E"/>
    <w:rsid w:val="00867A27"/>
    <w:rsid w:val="00867D89"/>
    <w:rsid w:val="00867E57"/>
    <w:rsid w:val="00867EBB"/>
    <w:rsid w:val="008701E1"/>
    <w:rsid w:val="00870221"/>
    <w:rsid w:val="008704BC"/>
    <w:rsid w:val="00870502"/>
    <w:rsid w:val="008706A6"/>
    <w:rsid w:val="0087070F"/>
    <w:rsid w:val="00870D5C"/>
    <w:rsid w:val="00870E30"/>
    <w:rsid w:val="00870F4D"/>
    <w:rsid w:val="00871149"/>
    <w:rsid w:val="00871336"/>
    <w:rsid w:val="008715A8"/>
    <w:rsid w:val="00871814"/>
    <w:rsid w:val="00871842"/>
    <w:rsid w:val="00871849"/>
    <w:rsid w:val="0087185C"/>
    <w:rsid w:val="008719F2"/>
    <w:rsid w:val="00871A2E"/>
    <w:rsid w:val="00871D59"/>
    <w:rsid w:val="00871F17"/>
    <w:rsid w:val="00871F18"/>
    <w:rsid w:val="00872173"/>
    <w:rsid w:val="008722D6"/>
    <w:rsid w:val="00872479"/>
    <w:rsid w:val="00872523"/>
    <w:rsid w:val="0087267C"/>
    <w:rsid w:val="008726BE"/>
    <w:rsid w:val="0087277A"/>
    <w:rsid w:val="008729DA"/>
    <w:rsid w:val="00872A1B"/>
    <w:rsid w:val="00872A47"/>
    <w:rsid w:val="00872ABF"/>
    <w:rsid w:val="00872B22"/>
    <w:rsid w:val="00872B87"/>
    <w:rsid w:val="00872BA2"/>
    <w:rsid w:val="008732D7"/>
    <w:rsid w:val="00873371"/>
    <w:rsid w:val="00873468"/>
    <w:rsid w:val="008734BC"/>
    <w:rsid w:val="008735A7"/>
    <w:rsid w:val="00873684"/>
    <w:rsid w:val="008736A2"/>
    <w:rsid w:val="008736E2"/>
    <w:rsid w:val="0087371E"/>
    <w:rsid w:val="008737CF"/>
    <w:rsid w:val="008737D2"/>
    <w:rsid w:val="008739F4"/>
    <w:rsid w:val="008739F7"/>
    <w:rsid w:val="00873B00"/>
    <w:rsid w:val="00873BA2"/>
    <w:rsid w:val="00873C8E"/>
    <w:rsid w:val="00873CB6"/>
    <w:rsid w:val="00873D3F"/>
    <w:rsid w:val="00873D67"/>
    <w:rsid w:val="00873DC1"/>
    <w:rsid w:val="00873F55"/>
    <w:rsid w:val="00873F99"/>
    <w:rsid w:val="008741D2"/>
    <w:rsid w:val="00874411"/>
    <w:rsid w:val="00874457"/>
    <w:rsid w:val="00874467"/>
    <w:rsid w:val="008744AE"/>
    <w:rsid w:val="00874565"/>
    <w:rsid w:val="0087465A"/>
    <w:rsid w:val="00874674"/>
    <w:rsid w:val="008747F9"/>
    <w:rsid w:val="00874938"/>
    <w:rsid w:val="00874C63"/>
    <w:rsid w:val="00874FC9"/>
    <w:rsid w:val="00874FD3"/>
    <w:rsid w:val="00875363"/>
    <w:rsid w:val="008756D8"/>
    <w:rsid w:val="00875998"/>
    <w:rsid w:val="008759A2"/>
    <w:rsid w:val="008759CC"/>
    <w:rsid w:val="008759EC"/>
    <w:rsid w:val="00875A67"/>
    <w:rsid w:val="00875A72"/>
    <w:rsid w:val="00875AB3"/>
    <w:rsid w:val="00875B77"/>
    <w:rsid w:val="00875BE5"/>
    <w:rsid w:val="00875E9D"/>
    <w:rsid w:val="00875F02"/>
    <w:rsid w:val="00875F03"/>
    <w:rsid w:val="00875F05"/>
    <w:rsid w:val="00876096"/>
    <w:rsid w:val="0087611C"/>
    <w:rsid w:val="008761B6"/>
    <w:rsid w:val="008763E1"/>
    <w:rsid w:val="00876402"/>
    <w:rsid w:val="00876447"/>
    <w:rsid w:val="00876509"/>
    <w:rsid w:val="00876649"/>
    <w:rsid w:val="00876787"/>
    <w:rsid w:val="008767FA"/>
    <w:rsid w:val="00876846"/>
    <w:rsid w:val="00876869"/>
    <w:rsid w:val="0087686E"/>
    <w:rsid w:val="00876878"/>
    <w:rsid w:val="008768E6"/>
    <w:rsid w:val="00876CD6"/>
    <w:rsid w:val="00876CE9"/>
    <w:rsid w:val="00876D1B"/>
    <w:rsid w:val="00876E1A"/>
    <w:rsid w:val="00876EFE"/>
    <w:rsid w:val="00876FAD"/>
    <w:rsid w:val="00877036"/>
    <w:rsid w:val="008770DC"/>
    <w:rsid w:val="00877107"/>
    <w:rsid w:val="00877247"/>
    <w:rsid w:val="00877362"/>
    <w:rsid w:val="00877385"/>
    <w:rsid w:val="008773C0"/>
    <w:rsid w:val="008773EF"/>
    <w:rsid w:val="00877418"/>
    <w:rsid w:val="00877460"/>
    <w:rsid w:val="00877496"/>
    <w:rsid w:val="00877695"/>
    <w:rsid w:val="0087772F"/>
    <w:rsid w:val="00877B99"/>
    <w:rsid w:val="00877BE4"/>
    <w:rsid w:val="00877C28"/>
    <w:rsid w:val="00877EA0"/>
    <w:rsid w:val="00877EF2"/>
    <w:rsid w:val="008801AE"/>
    <w:rsid w:val="00880240"/>
    <w:rsid w:val="008802A5"/>
    <w:rsid w:val="0088037E"/>
    <w:rsid w:val="008804A5"/>
    <w:rsid w:val="00880517"/>
    <w:rsid w:val="00880722"/>
    <w:rsid w:val="0088076E"/>
    <w:rsid w:val="00880773"/>
    <w:rsid w:val="00880787"/>
    <w:rsid w:val="00880869"/>
    <w:rsid w:val="00880AA3"/>
    <w:rsid w:val="00880B23"/>
    <w:rsid w:val="00880CA2"/>
    <w:rsid w:val="00880D0B"/>
    <w:rsid w:val="00880D0C"/>
    <w:rsid w:val="00880DC9"/>
    <w:rsid w:val="00880DF0"/>
    <w:rsid w:val="00880E59"/>
    <w:rsid w:val="00880E5D"/>
    <w:rsid w:val="00880E6D"/>
    <w:rsid w:val="00880E91"/>
    <w:rsid w:val="00880F58"/>
    <w:rsid w:val="00880FD8"/>
    <w:rsid w:val="00880FF8"/>
    <w:rsid w:val="00881035"/>
    <w:rsid w:val="00881189"/>
    <w:rsid w:val="008812F1"/>
    <w:rsid w:val="00881468"/>
    <w:rsid w:val="008817FB"/>
    <w:rsid w:val="008818A9"/>
    <w:rsid w:val="008818ED"/>
    <w:rsid w:val="0088198A"/>
    <w:rsid w:val="00881A90"/>
    <w:rsid w:val="00881A91"/>
    <w:rsid w:val="00881B65"/>
    <w:rsid w:val="00881D30"/>
    <w:rsid w:val="00881E29"/>
    <w:rsid w:val="00881F0A"/>
    <w:rsid w:val="0088250E"/>
    <w:rsid w:val="00882916"/>
    <w:rsid w:val="00882970"/>
    <w:rsid w:val="00882B2F"/>
    <w:rsid w:val="00882B98"/>
    <w:rsid w:val="00882D1B"/>
    <w:rsid w:val="00882E0F"/>
    <w:rsid w:val="008830D9"/>
    <w:rsid w:val="008831A7"/>
    <w:rsid w:val="00883319"/>
    <w:rsid w:val="008835AA"/>
    <w:rsid w:val="008838D1"/>
    <w:rsid w:val="008839FE"/>
    <w:rsid w:val="00883A11"/>
    <w:rsid w:val="00883C1B"/>
    <w:rsid w:val="00883C4F"/>
    <w:rsid w:val="00883C98"/>
    <w:rsid w:val="00883CC5"/>
    <w:rsid w:val="00883D6E"/>
    <w:rsid w:val="00884064"/>
    <w:rsid w:val="00884132"/>
    <w:rsid w:val="0088421C"/>
    <w:rsid w:val="00884244"/>
    <w:rsid w:val="0088424E"/>
    <w:rsid w:val="008842CC"/>
    <w:rsid w:val="00884382"/>
    <w:rsid w:val="008843DD"/>
    <w:rsid w:val="0088445B"/>
    <w:rsid w:val="008844C2"/>
    <w:rsid w:val="008845B9"/>
    <w:rsid w:val="00884738"/>
    <w:rsid w:val="0088485F"/>
    <w:rsid w:val="00884994"/>
    <w:rsid w:val="00884A36"/>
    <w:rsid w:val="00884E4C"/>
    <w:rsid w:val="00884E7F"/>
    <w:rsid w:val="00884F0D"/>
    <w:rsid w:val="00884FC2"/>
    <w:rsid w:val="008852ED"/>
    <w:rsid w:val="008854DE"/>
    <w:rsid w:val="008856C6"/>
    <w:rsid w:val="008857AA"/>
    <w:rsid w:val="008858B7"/>
    <w:rsid w:val="00885AD6"/>
    <w:rsid w:val="00885B16"/>
    <w:rsid w:val="00885EC5"/>
    <w:rsid w:val="0088608B"/>
    <w:rsid w:val="008861F9"/>
    <w:rsid w:val="0088652D"/>
    <w:rsid w:val="0088652E"/>
    <w:rsid w:val="008866C8"/>
    <w:rsid w:val="008867A8"/>
    <w:rsid w:val="008867F8"/>
    <w:rsid w:val="008869DB"/>
    <w:rsid w:val="008869FE"/>
    <w:rsid w:val="00886A04"/>
    <w:rsid w:val="00886A0B"/>
    <w:rsid w:val="00886A54"/>
    <w:rsid w:val="00886E5F"/>
    <w:rsid w:val="00886F4E"/>
    <w:rsid w:val="008870ED"/>
    <w:rsid w:val="008871E2"/>
    <w:rsid w:val="0088725C"/>
    <w:rsid w:val="00887262"/>
    <w:rsid w:val="008873A6"/>
    <w:rsid w:val="00887572"/>
    <w:rsid w:val="008875A8"/>
    <w:rsid w:val="00887820"/>
    <w:rsid w:val="0088785C"/>
    <w:rsid w:val="008879A9"/>
    <w:rsid w:val="008879BD"/>
    <w:rsid w:val="00887A48"/>
    <w:rsid w:val="00887D37"/>
    <w:rsid w:val="00887DC1"/>
    <w:rsid w:val="00887E45"/>
    <w:rsid w:val="00890031"/>
    <w:rsid w:val="0089009E"/>
    <w:rsid w:val="0089036E"/>
    <w:rsid w:val="00890444"/>
    <w:rsid w:val="0089052C"/>
    <w:rsid w:val="008905CE"/>
    <w:rsid w:val="008905EB"/>
    <w:rsid w:val="008907B0"/>
    <w:rsid w:val="00890DBC"/>
    <w:rsid w:val="00890DFE"/>
    <w:rsid w:val="008911D2"/>
    <w:rsid w:val="0089121B"/>
    <w:rsid w:val="008912FE"/>
    <w:rsid w:val="0089145E"/>
    <w:rsid w:val="00891479"/>
    <w:rsid w:val="008914BE"/>
    <w:rsid w:val="008915D4"/>
    <w:rsid w:val="00891705"/>
    <w:rsid w:val="008917DF"/>
    <w:rsid w:val="008918D6"/>
    <w:rsid w:val="00891939"/>
    <w:rsid w:val="00891964"/>
    <w:rsid w:val="00891AF6"/>
    <w:rsid w:val="00891B74"/>
    <w:rsid w:val="00891BA6"/>
    <w:rsid w:val="00891BC3"/>
    <w:rsid w:val="00891E31"/>
    <w:rsid w:val="00891EEE"/>
    <w:rsid w:val="00892029"/>
    <w:rsid w:val="00892030"/>
    <w:rsid w:val="0089203E"/>
    <w:rsid w:val="008922B9"/>
    <w:rsid w:val="0089232D"/>
    <w:rsid w:val="00892692"/>
    <w:rsid w:val="00892708"/>
    <w:rsid w:val="00892790"/>
    <w:rsid w:val="008927E0"/>
    <w:rsid w:val="00892957"/>
    <w:rsid w:val="00892C54"/>
    <w:rsid w:val="00892DDD"/>
    <w:rsid w:val="00892E4F"/>
    <w:rsid w:val="00892EBA"/>
    <w:rsid w:val="00893181"/>
    <w:rsid w:val="00893343"/>
    <w:rsid w:val="0089346D"/>
    <w:rsid w:val="008936F0"/>
    <w:rsid w:val="00893773"/>
    <w:rsid w:val="008937C8"/>
    <w:rsid w:val="00893955"/>
    <w:rsid w:val="00893A19"/>
    <w:rsid w:val="00893A23"/>
    <w:rsid w:val="00893B32"/>
    <w:rsid w:val="00893DBF"/>
    <w:rsid w:val="00893E19"/>
    <w:rsid w:val="00893F27"/>
    <w:rsid w:val="0089454B"/>
    <w:rsid w:val="008945AA"/>
    <w:rsid w:val="008945FE"/>
    <w:rsid w:val="008947A1"/>
    <w:rsid w:val="00894875"/>
    <w:rsid w:val="00894BF8"/>
    <w:rsid w:val="00894C1E"/>
    <w:rsid w:val="00894EAD"/>
    <w:rsid w:val="00894F00"/>
    <w:rsid w:val="008952D6"/>
    <w:rsid w:val="00895416"/>
    <w:rsid w:val="008956C1"/>
    <w:rsid w:val="008956E1"/>
    <w:rsid w:val="00895959"/>
    <w:rsid w:val="00895A34"/>
    <w:rsid w:val="00895C0E"/>
    <w:rsid w:val="00895FAF"/>
    <w:rsid w:val="00895FC3"/>
    <w:rsid w:val="00896061"/>
    <w:rsid w:val="00896282"/>
    <w:rsid w:val="008962A6"/>
    <w:rsid w:val="0089641E"/>
    <w:rsid w:val="00896435"/>
    <w:rsid w:val="00896577"/>
    <w:rsid w:val="00896616"/>
    <w:rsid w:val="00896632"/>
    <w:rsid w:val="008967C4"/>
    <w:rsid w:val="008968A0"/>
    <w:rsid w:val="00896A42"/>
    <w:rsid w:val="00896ADB"/>
    <w:rsid w:val="00897047"/>
    <w:rsid w:val="00897216"/>
    <w:rsid w:val="0089729E"/>
    <w:rsid w:val="00897458"/>
    <w:rsid w:val="008976A4"/>
    <w:rsid w:val="008977E7"/>
    <w:rsid w:val="00897847"/>
    <w:rsid w:val="0089789E"/>
    <w:rsid w:val="00897DA4"/>
    <w:rsid w:val="008A0056"/>
    <w:rsid w:val="008A00CB"/>
    <w:rsid w:val="008A0B30"/>
    <w:rsid w:val="008A0B66"/>
    <w:rsid w:val="008A0BE6"/>
    <w:rsid w:val="008A0D2A"/>
    <w:rsid w:val="008A1016"/>
    <w:rsid w:val="008A110F"/>
    <w:rsid w:val="008A1168"/>
    <w:rsid w:val="008A11EC"/>
    <w:rsid w:val="008A1629"/>
    <w:rsid w:val="008A1687"/>
    <w:rsid w:val="008A1693"/>
    <w:rsid w:val="008A16E3"/>
    <w:rsid w:val="008A17AB"/>
    <w:rsid w:val="008A18C1"/>
    <w:rsid w:val="008A1931"/>
    <w:rsid w:val="008A199A"/>
    <w:rsid w:val="008A1BFE"/>
    <w:rsid w:val="008A1C5F"/>
    <w:rsid w:val="008A1C60"/>
    <w:rsid w:val="008A1D78"/>
    <w:rsid w:val="008A1E80"/>
    <w:rsid w:val="008A213E"/>
    <w:rsid w:val="008A2164"/>
    <w:rsid w:val="008A22DF"/>
    <w:rsid w:val="008A22E7"/>
    <w:rsid w:val="008A23FA"/>
    <w:rsid w:val="008A254F"/>
    <w:rsid w:val="008A25FE"/>
    <w:rsid w:val="008A2630"/>
    <w:rsid w:val="008A26E1"/>
    <w:rsid w:val="008A271C"/>
    <w:rsid w:val="008A27A1"/>
    <w:rsid w:val="008A295A"/>
    <w:rsid w:val="008A2A17"/>
    <w:rsid w:val="008A2B14"/>
    <w:rsid w:val="008A2B3C"/>
    <w:rsid w:val="008A2BA2"/>
    <w:rsid w:val="008A2BF9"/>
    <w:rsid w:val="008A2C2F"/>
    <w:rsid w:val="008A2D81"/>
    <w:rsid w:val="008A2DFA"/>
    <w:rsid w:val="008A2E94"/>
    <w:rsid w:val="008A2E9E"/>
    <w:rsid w:val="008A2F01"/>
    <w:rsid w:val="008A3020"/>
    <w:rsid w:val="008A325F"/>
    <w:rsid w:val="008A33AE"/>
    <w:rsid w:val="008A33DF"/>
    <w:rsid w:val="008A3590"/>
    <w:rsid w:val="008A3664"/>
    <w:rsid w:val="008A3669"/>
    <w:rsid w:val="008A3783"/>
    <w:rsid w:val="008A381F"/>
    <w:rsid w:val="008A3C06"/>
    <w:rsid w:val="008A3C16"/>
    <w:rsid w:val="008A3C22"/>
    <w:rsid w:val="008A3C3B"/>
    <w:rsid w:val="008A3F9B"/>
    <w:rsid w:val="008A4190"/>
    <w:rsid w:val="008A4282"/>
    <w:rsid w:val="008A4454"/>
    <w:rsid w:val="008A4688"/>
    <w:rsid w:val="008A46B4"/>
    <w:rsid w:val="008A4797"/>
    <w:rsid w:val="008A4798"/>
    <w:rsid w:val="008A479E"/>
    <w:rsid w:val="008A4815"/>
    <w:rsid w:val="008A48E5"/>
    <w:rsid w:val="008A4952"/>
    <w:rsid w:val="008A4AA0"/>
    <w:rsid w:val="008A4E4A"/>
    <w:rsid w:val="008A4FC2"/>
    <w:rsid w:val="008A5047"/>
    <w:rsid w:val="008A581E"/>
    <w:rsid w:val="008A5833"/>
    <w:rsid w:val="008A5834"/>
    <w:rsid w:val="008A584E"/>
    <w:rsid w:val="008A5A2A"/>
    <w:rsid w:val="008A5BE5"/>
    <w:rsid w:val="008A5D28"/>
    <w:rsid w:val="008A5DD2"/>
    <w:rsid w:val="008A5EEA"/>
    <w:rsid w:val="008A5F1A"/>
    <w:rsid w:val="008A6164"/>
    <w:rsid w:val="008A64BD"/>
    <w:rsid w:val="008A6598"/>
    <w:rsid w:val="008A681F"/>
    <w:rsid w:val="008A6860"/>
    <w:rsid w:val="008A6CCF"/>
    <w:rsid w:val="008A6D4D"/>
    <w:rsid w:val="008A6DDD"/>
    <w:rsid w:val="008A6EBC"/>
    <w:rsid w:val="008A70A9"/>
    <w:rsid w:val="008A70BD"/>
    <w:rsid w:val="008A7191"/>
    <w:rsid w:val="008A725D"/>
    <w:rsid w:val="008A740E"/>
    <w:rsid w:val="008A75D1"/>
    <w:rsid w:val="008A7BC4"/>
    <w:rsid w:val="008A7D1B"/>
    <w:rsid w:val="008A7E76"/>
    <w:rsid w:val="008B03F1"/>
    <w:rsid w:val="008B04E7"/>
    <w:rsid w:val="008B0555"/>
    <w:rsid w:val="008B0563"/>
    <w:rsid w:val="008B0715"/>
    <w:rsid w:val="008B0740"/>
    <w:rsid w:val="008B074D"/>
    <w:rsid w:val="008B0867"/>
    <w:rsid w:val="008B0AFC"/>
    <w:rsid w:val="008B0D4A"/>
    <w:rsid w:val="008B0E81"/>
    <w:rsid w:val="008B0E9E"/>
    <w:rsid w:val="008B0EED"/>
    <w:rsid w:val="008B0F05"/>
    <w:rsid w:val="008B1102"/>
    <w:rsid w:val="008B124A"/>
    <w:rsid w:val="008B128C"/>
    <w:rsid w:val="008B1346"/>
    <w:rsid w:val="008B13BB"/>
    <w:rsid w:val="008B1644"/>
    <w:rsid w:val="008B168A"/>
    <w:rsid w:val="008B16F3"/>
    <w:rsid w:val="008B1713"/>
    <w:rsid w:val="008B17ED"/>
    <w:rsid w:val="008B18A7"/>
    <w:rsid w:val="008B1929"/>
    <w:rsid w:val="008B1A08"/>
    <w:rsid w:val="008B1A1C"/>
    <w:rsid w:val="008B1A47"/>
    <w:rsid w:val="008B1AA1"/>
    <w:rsid w:val="008B1BCE"/>
    <w:rsid w:val="008B1CE1"/>
    <w:rsid w:val="008B1D56"/>
    <w:rsid w:val="008B1D87"/>
    <w:rsid w:val="008B1F96"/>
    <w:rsid w:val="008B20D5"/>
    <w:rsid w:val="008B22F4"/>
    <w:rsid w:val="008B263E"/>
    <w:rsid w:val="008B26A7"/>
    <w:rsid w:val="008B28A4"/>
    <w:rsid w:val="008B2A52"/>
    <w:rsid w:val="008B2A9C"/>
    <w:rsid w:val="008B2E28"/>
    <w:rsid w:val="008B311A"/>
    <w:rsid w:val="008B312E"/>
    <w:rsid w:val="008B3163"/>
    <w:rsid w:val="008B3210"/>
    <w:rsid w:val="008B3315"/>
    <w:rsid w:val="008B3373"/>
    <w:rsid w:val="008B3415"/>
    <w:rsid w:val="008B3574"/>
    <w:rsid w:val="008B3602"/>
    <w:rsid w:val="008B3772"/>
    <w:rsid w:val="008B3A60"/>
    <w:rsid w:val="008B3A88"/>
    <w:rsid w:val="008B3AB0"/>
    <w:rsid w:val="008B3B86"/>
    <w:rsid w:val="008B3B94"/>
    <w:rsid w:val="008B3C36"/>
    <w:rsid w:val="008B3C61"/>
    <w:rsid w:val="008B3C75"/>
    <w:rsid w:val="008B3D6A"/>
    <w:rsid w:val="008B3D7F"/>
    <w:rsid w:val="008B3D86"/>
    <w:rsid w:val="008B4173"/>
    <w:rsid w:val="008B42E8"/>
    <w:rsid w:val="008B43A3"/>
    <w:rsid w:val="008B44E6"/>
    <w:rsid w:val="008B4771"/>
    <w:rsid w:val="008B488C"/>
    <w:rsid w:val="008B48E0"/>
    <w:rsid w:val="008B4A88"/>
    <w:rsid w:val="008B4B15"/>
    <w:rsid w:val="008B4BFC"/>
    <w:rsid w:val="008B4CCB"/>
    <w:rsid w:val="008B4E45"/>
    <w:rsid w:val="008B4EE1"/>
    <w:rsid w:val="008B4F21"/>
    <w:rsid w:val="008B4F44"/>
    <w:rsid w:val="008B50F9"/>
    <w:rsid w:val="008B5114"/>
    <w:rsid w:val="008B5151"/>
    <w:rsid w:val="008B5176"/>
    <w:rsid w:val="008B51B4"/>
    <w:rsid w:val="008B5259"/>
    <w:rsid w:val="008B531D"/>
    <w:rsid w:val="008B5409"/>
    <w:rsid w:val="008B5797"/>
    <w:rsid w:val="008B57FB"/>
    <w:rsid w:val="008B5892"/>
    <w:rsid w:val="008B5993"/>
    <w:rsid w:val="008B5B67"/>
    <w:rsid w:val="008B5B70"/>
    <w:rsid w:val="008B5D13"/>
    <w:rsid w:val="008B5D7A"/>
    <w:rsid w:val="008B5DAA"/>
    <w:rsid w:val="008B5EAC"/>
    <w:rsid w:val="008B6412"/>
    <w:rsid w:val="008B65A6"/>
    <w:rsid w:val="008B65CB"/>
    <w:rsid w:val="008B66E3"/>
    <w:rsid w:val="008B66F9"/>
    <w:rsid w:val="008B67E2"/>
    <w:rsid w:val="008B698C"/>
    <w:rsid w:val="008B6A0B"/>
    <w:rsid w:val="008B6AA1"/>
    <w:rsid w:val="008B6CBA"/>
    <w:rsid w:val="008B6D28"/>
    <w:rsid w:val="008B6DB4"/>
    <w:rsid w:val="008B6F11"/>
    <w:rsid w:val="008B6F2F"/>
    <w:rsid w:val="008B702B"/>
    <w:rsid w:val="008B70EC"/>
    <w:rsid w:val="008B715B"/>
    <w:rsid w:val="008B71FE"/>
    <w:rsid w:val="008B7276"/>
    <w:rsid w:val="008B73D8"/>
    <w:rsid w:val="008B7467"/>
    <w:rsid w:val="008B756C"/>
    <w:rsid w:val="008B760B"/>
    <w:rsid w:val="008B76D1"/>
    <w:rsid w:val="008B77B5"/>
    <w:rsid w:val="008B77B9"/>
    <w:rsid w:val="008B7848"/>
    <w:rsid w:val="008B7A4D"/>
    <w:rsid w:val="008B7A63"/>
    <w:rsid w:val="008B7BFA"/>
    <w:rsid w:val="008B7C0C"/>
    <w:rsid w:val="008B7F29"/>
    <w:rsid w:val="008B7F54"/>
    <w:rsid w:val="008B7F5B"/>
    <w:rsid w:val="008C00F6"/>
    <w:rsid w:val="008C00F8"/>
    <w:rsid w:val="008C0164"/>
    <w:rsid w:val="008C0181"/>
    <w:rsid w:val="008C01C2"/>
    <w:rsid w:val="008C01FD"/>
    <w:rsid w:val="008C0260"/>
    <w:rsid w:val="008C02C4"/>
    <w:rsid w:val="008C0374"/>
    <w:rsid w:val="008C04A2"/>
    <w:rsid w:val="008C055D"/>
    <w:rsid w:val="008C069C"/>
    <w:rsid w:val="008C069F"/>
    <w:rsid w:val="008C076F"/>
    <w:rsid w:val="008C07D8"/>
    <w:rsid w:val="008C083B"/>
    <w:rsid w:val="008C0882"/>
    <w:rsid w:val="008C08AE"/>
    <w:rsid w:val="008C0947"/>
    <w:rsid w:val="008C09A7"/>
    <w:rsid w:val="008C0A9B"/>
    <w:rsid w:val="008C0B69"/>
    <w:rsid w:val="008C0E56"/>
    <w:rsid w:val="008C0EDA"/>
    <w:rsid w:val="008C0F8D"/>
    <w:rsid w:val="008C1037"/>
    <w:rsid w:val="008C11C5"/>
    <w:rsid w:val="008C12A4"/>
    <w:rsid w:val="008C140F"/>
    <w:rsid w:val="008C17B9"/>
    <w:rsid w:val="008C1939"/>
    <w:rsid w:val="008C19C8"/>
    <w:rsid w:val="008C1CFF"/>
    <w:rsid w:val="008C1D41"/>
    <w:rsid w:val="008C1E05"/>
    <w:rsid w:val="008C1E07"/>
    <w:rsid w:val="008C1FBD"/>
    <w:rsid w:val="008C2183"/>
    <w:rsid w:val="008C21D2"/>
    <w:rsid w:val="008C2507"/>
    <w:rsid w:val="008C2771"/>
    <w:rsid w:val="008C2A79"/>
    <w:rsid w:val="008C2AAB"/>
    <w:rsid w:val="008C2B9B"/>
    <w:rsid w:val="008C2CFF"/>
    <w:rsid w:val="008C2E0A"/>
    <w:rsid w:val="008C2ECF"/>
    <w:rsid w:val="008C2F4C"/>
    <w:rsid w:val="008C2F79"/>
    <w:rsid w:val="008C3324"/>
    <w:rsid w:val="008C3495"/>
    <w:rsid w:val="008C34A0"/>
    <w:rsid w:val="008C34BB"/>
    <w:rsid w:val="008C3588"/>
    <w:rsid w:val="008C35EC"/>
    <w:rsid w:val="008C377D"/>
    <w:rsid w:val="008C37B2"/>
    <w:rsid w:val="008C37C5"/>
    <w:rsid w:val="008C380B"/>
    <w:rsid w:val="008C380E"/>
    <w:rsid w:val="008C387A"/>
    <w:rsid w:val="008C38CB"/>
    <w:rsid w:val="008C3910"/>
    <w:rsid w:val="008C3935"/>
    <w:rsid w:val="008C3955"/>
    <w:rsid w:val="008C3982"/>
    <w:rsid w:val="008C3A37"/>
    <w:rsid w:val="008C3AA0"/>
    <w:rsid w:val="008C3AB2"/>
    <w:rsid w:val="008C3B6D"/>
    <w:rsid w:val="008C3B99"/>
    <w:rsid w:val="008C3D00"/>
    <w:rsid w:val="008C3D93"/>
    <w:rsid w:val="008C3E9F"/>
    <w:rsid w:val="008C3EF7"/>
    <w:rsid w:val="008C3F84"/>
    <w:rsid w:val="008C409D"/>
    <w:rsid w:val="008C4218"/>
    <w:rsid w:val="008C4277"/>
    <w:rsid w:val="008C4285"/>
    <w:rsid w:val="008C428A"/>
    <w:rsid w:val="008C440D"/>
    <w:rsid w:val="008C45E2"/>
    <w:rsid w:val="008C45F3"/>
    <w:rsid w:val="008C47EE"/>
    <w:rsid w:val="008C4860"/>
    <w:rsid w:val="008C48CE"/>
    <w:rsid w:val="008C4987"/>
    <w:rsid w:val="008C4AA4"/>
    <w:rsid w:val="008C4B2C"/>
    <w:rsid w:val="008C4B8C"/>
    <w:rsid w:val="008C4BF8"/>
    <w:rsid w:val="008C4FD3"/>
    <w:rsid w:val="008C5154"/>
    <w:rsid w:val="008C516B"/>
    <w:rsid w:val="008C51AE"/>
    <w:rsid w:val="008C51EF"/>
    <w:rsid w:val="008C54C2"/>
    <w:rsid w:val="008C5505"/>
    <w:rsid w:val="008C5586"/>
    <w:rsid w:val="008C562E"/>
    <w:rsid w:val="008C5718"/>
    <w:rsid w:val="008C5752"/>
    <w:rsid w:val="008C57CF"/>
    <w:rsid w:val="008C57D3"/>
    <w:rsid w:val="008C5821"/>
    <w:rsid w:val="008C5A6C"/>
    <w:rsid w:val="008C5A74"/>
    <w:rsid w:val="008C5E84"/>
    <w:rsid w:val="008C60C5"/>
    <w:rsid w:val="008C60FA"/>
    <w:rsid w:val="008C6193"/>
    <w:rsid w:val="008C61BA"/>
    <w:rsid w:val="008C62CC"/>
    <w:rsid w:val="008C64A5"/>
    <w:rsid w:val="008C64CF"/>
    <w:rsid w:val="008C66B0"/>
    <w:rsid w:val="008C6AB7"/>
    <w:rsid w:val="008C6B05"/>
    <w:rsid w:val="008C6BB1"/>
    <w:rsid w:val="008C6CB8"/>
    <w:rsid w:val="008C6D70"/>
    <w:rsid w:val="008C6DC2"/>
    <w:rsid w:val="008C6EC5"/>
    <w:rsid w:val="008C6FF9"/>
    <w:rsid w:val="008C7055"/>
    <w:rsid w:val="008C71A6"/>
    <w:rsid w:val="008C71D4"/>
    <w:rsid w:val="008C751A"/>
    <w:rsid w:val="008C75AB"/>
    <w:rsid w:val="008C77CC"/>
    <w:rsid w:val="008C79E8"/>
    <w:rsid w:val="008C7A8E"/>
    <w:rsid w:val="008C7AEA"/>
    <w:rsid w:val="008C7B0E"/>
    <w:rsid w:val="008C7BA4"/>
    <w:rsid w:val="008C7DA5"/>
    <w:rsid w:val="008D0038"/>
    <w:rsid w:val="008D005C"/>
    <w:rsid w:val="008D011F"/>
    <w:rsid w:val="008D049E"/>
    <w:rsid w:val="008D04AD"/>
    <w:rsid w:val="008D0574"/>
    <w:rsid w:val="008D0884"/>
    <w:rsid w:val="008D0992"/>
    <w:rsid w:val="008D0AE8"/>
    <w:rsid w:val="008D0C55"/>
    <w:rsid w:val="008D0E61"/>
    <w:rsid w:val="008D0FCC"/>
    <w:rsid w:val="008D100B"/>
    <w:rsid w:val="008D116A"/>
    <w:rsid w:val="008D182E"/>
    <w:rsid w:val="008D1963"/>
    <w:rsid w:val="008D1A14"/>
    <w:rsid w:val="008D1B52"/>
    <w:rsid w:val="008D1F57"/>
    <w:rsid w:val="008D1FD0"/>
    <w:rsid w:val="008D20D9"/>
    <w:rsid w:val="008D20DA"/>
    <w:rsid w:val="008D2321"/>
    <w:rsid w:val="008D256D"/>
    <w:rsid w:val="008D2575"/>
    <w:rsid w:val="008D260F"/>
    <w:rsid w:val="008D261F"/>
    <w:rsid w:val="008D268C"/>
    <w:rsid w:val="008D28C5"/>
    <w:rsid w:val="008D28D6"/>
    <w:rsid w:val="008D2932"/>
    <w:rsid w:val="008D2BE2"/>
    <w:rsid w:val="008D2D32"/>
    <w:rsid w:val="008D2E1D"/>
    <w:rsid w:val="008D2F38"/>
    <w:rsid w:val="008D2F88"/>
    <w:rsid w:val="008D2FC9"/>
    <w:rsid w:val="008D312E"/>
    <w:rsid w:val="008D31C2"/>
    <w:rsid w:val="008D33BE"/>
    <w:rsid w:val="008D345B"/>
    <w:rsid w:val="008D35AF"/>
    <w:rsid w:val="008D35D6"/>
    <w:rsid w:val="008D3726"/>
    <w:rsid w:val="008D3799"/>
    <w:rsid w:val="008D3865"/>
    <w:rsid w:val="008D38E4"/>
    <w:rsid w:val="008D392C"/>
    <w:rsid w:val="008D3982"/>
    <w:rsid w:val="008D39D3"/>
    <w:rsid w:val="008D3AF0"/>
    <w:rsid w:val="008D3CBF"/>
    <w:rsid w:val="008D3D10"/>
    <w:rsid w:val="008D418A"/>
    <w:rsid w:val="008D4326"/>
    <w:rsid w:val="008D4671"/>
    <w:rsid w:val="008D46AD"/>
    <w:rsid w:val="008D47E9"/>
    <w:rsid w:val="008D4CB0"/>
    <w:rsid w:val="008D4E40"/>
    <w:rsid w:val="008D4F5B"/>
    <w:rsid w:val="008D4FD9"/>
    <w:rsid w:val="008D5103"/>
    <w:rsid w:val="008D5197"/>
    <w:rsid w:val="008D5288"/>
    <w:rsid w:val="008D546A"/>
    <w:rsid w:val="008D546F"/>
    <w:rsid w:val="008D5738"/>
    <w:rsid w:val="008D5806"/>
    <w:rsid w:val="008D5836"/>
    <w:rsid w:val="008D58BD"/>
    <w:rsid w:val="008D594F"/>
    <w:rsid w:val="008D596F"/>
    <w:rsid w:val="008D59AC"/>
    <w:rsid w:val="008D59E0"/>
    <w:rsid w:val="008D5C59"/>
    <w:rsid w:val="008D5E4A"/>
    <w:rsid w:val="008D5F45"/>
    <w:rsid w:val="008D5FBC"/>
    <w:rsid w:val="008D5FBE"/>
    <w:rsid w:val="008D60D0"/>
    <w:rsid w:val="008D60D2"/>
    <w:rsid w:val="008D60F8"/>
    <w:rsid w:val="008D6137"/>
    <w:rsid w:val="008D6310"/>
    <w:rsid w:val="008D6375"/>
    <w:rsid w:val="008D6397"/>
    <w:rsid w:val="008D63EE"/>
    <w:rsid w:val="008D6679"/>
    <w:rsid w:val="008D6691"/>
    <w:rsid w:val="008D68D8"/>
    <w:rsid w:val="008D693C"/>
    <w:rsid w:val="008D6A1A"/>
    <w:rsid w:val="008D6A57"/>
    <w:rsid w:val="008D6AC3"/>
    <w:rsid w:val="008D6D78"/>
    <w:rsid w:val="008D6F49"/>
    <w:rsid w:val="008D70A4"/>
    <w:rsid w:val="008D70C2"/>
    <w:rsid w:val="008D713E"/>
    <w:rsid w:val="008D7152"/>
    <w:rsid w:val="008D73C9"/>
    <w:rsid w:val="008D7429"/>
    <w:rsid w:val="008D74B3"/>
    <w:rsid w:val="008D787A"/>
    <w:rsid w:val="008D7902"/>
    <w:rsid w:val="008D796B"/>
    <w:rsid w:val="008D7D06"/>
    <w:rsid w:val="008D7EBC"/>
    <w:rsid w:val="008D7F21"/>
    <w:rsid w:val="008E0071"/>
    <w:rsid w:val="008E02C5"/>
    <w:rsid w:val="008E04B4"/>
    <w:rsid w:val="008E0732"/>
    <w:rsid w:val="008E0913"/>
    <w:rsid w:val="008E0917"/>
    <w:rsid w:val="008E0A44"/>
    <w:rsid w:val="008E0C90"/>
    <w:rsid w:val="008E0D92"/>
    <w:rsid w:val="008E0E6A"/>
    <w:rsid w:val="008E1099"/>
    <w:rsid w:val="008E115E"/>
    <w:rsid w:val="008E1212"/>
    <w:rsid w:val="008E13AA"/>
    <w:rsid w:val="008E147B"/>
    <w:rsid w:val="008E16BF"/>
    <w:rsid w:val="008E186A"/>
    <w:rsid w:val="008E1876"/>
    <w:rsid w:val="008E18AE"/>
    <w:rsid w:val="008E197B"/>
    <w:rsid w:val="008E1D2A"/>
    <w:rsid w:val="008E1D8A"/>
    <w:rsid w:val="008E1E55"/>
    <w:rsid w:val="008E1F08"/>
    <w:rsid w:val="008E2000"/>
    <w:rsid w:val="008E207E"/>
    <w:rsid w:val="008E2155"/>
    <w:rsid w:val="008E21E7"/>
    <w:rsid w:val="008E236E"/>
    <w:rsid w:val="008E2461"/>
    <w:rsid w:val="008E25B6"/>
    <w:rsid w:val="008E2AD0"/>
    <w:rsid w:val="008E2CF1"/>
    <w:rsid w:val="008E2DD4"/>
    <w:rsid w:val="008E2E25"/>
    <w:rsid w:val="008E2E61"/>
    <w:rsid w:val="008E2EEA"/>
    <w:rsid w:val="008E3049"/>
    <w:rsid w:val="008E309A"/>
    <w:rsid w:val="008E30CD"/>
    <w:rsid w:val="008E3292"/>
    <w:rsid w:val="008E3524"/>
    <w:rsid w:val="008E3529"/>
    <w:rsid w:val="008E35A3"/>
    <w:rsid w:val="008E3620"/>
    <w:rsid w:val="008E3637"/>
    <w:rsid w:val="008E378E"/>
    <w:rsid w:val="008E37E1"/>
    <w:rsid w:val="008E38D2"/>
    <w:rsid w:val="008E3991"/>
    <w:rsid w:val="008E3A11"/>
    <w:rsid w:val="008E3A30"/>
    <w:rsid w:val="008E3A45"/>
    <w:rsid w:val="008E3ACF"/>
    <w:rsid w:val="008E3E9F"/>
    <w:rsid w:val="008E3FBB"/>
    <w:rsid w:val="008E400D"/>
    <w:rsid w:val="008E4246"/>
    <w:rsid w:val="008E4298"/>
    <w:rsid w:val="008E4300"/>
    <w:rsid w:val="008E443C"/>
    <w:rsid w:val="008E455C"/>
    <w:rsid w:val="008E495F"/>
    <w:rsid w:val="008E49F2"/>
    <w:rsid w:val="008E4AAF"/>
    <w:rsid w:val="008E4ACD"/>
    <w:rsid w:val="008E4AD8"/>
    <w:rsid w:val="008E4AE4"/>
    <w:rsid w:val="008E4B4A"/>
    <w:rsid w:val="008E4CAD"/>
    <w:rsid w:val="008E4EC0"/>
    <w:rsid w:val="008E4F12"/>
    <w:rsid w:val="008E4FF1"/>
    <w:rsid w:val="008E543D"/>
    <w:rsid w:val="008E5770"/>
    <w:rsid w:val="008E57CD"/>
    <w:rsid w:val="008E58DB"/>
    <w:rsid w:val="008E591A"/>
    <w:rsid w:val="008E5947"/>
    <w:rsid w:val="008E5B4D"/>
    <w:rsid w:val="008E5B70"/>
    <w:rsid w:val="008E5C3C"/>
    <w:rsid w:val="008E5E06"/>
    <w:rsid w:val="008E5E81"/>
    <w:rsid w:val="008E5EB3"/>
    <w:rsid w:val="008E6226"/>
    <w:rsid w:val="008E623D"/>
    <w:rsid w:val="008E62D2"/>
    <w:rsid w:val="008E652F"/>
    <w:rsid w:val="008E6636"/>
    <w:rsid w:val="008E6704"/>
    <w:rsid w:val="008E67B3"/>
    <w:rsid w:val="008E6953"/>
    <w:rsid w:val="008E6AFC"/>
    <w:rsid w:val="008E7274"/>
    <w:rsid w:val="008E732D"/>
    <w:rsid w:val="008E739E"/>
    <w:rsid w:val="008E7438"/>
    <w:rsid w:val="008E743F"/>
    <w:rsid w:val="008E7498"/>
    <w:rsid w:val="008E754C"/>
    <w:rsid w:val="008E7619"/>
    <w:rsid w:val="008E763D"/>
    <w:rsid w:val="008E7672"/>
    <w:rsid w:val="008E7853"/>
    <w:rsid w:val="008E7A02"/>
    <w:rsid w:val="008E7A16"/>
    <w:rsid w:val="008E7C1A"/>
    <w:rsid w:val="008E7C68"/>
    <w:rsid w:val="008E7DA4"/>
    <w:rsid w:val="008E7E74"/>
    <w:rsid w:val="008E7EA5"/>
    <w:rsid w:val="008E7ECD"/>
    <w:rsid w:val="008F0085"/>
    <w:rsid w:val="008F00FF"/>
    <w:rsid w:val="008F018C"/>
    <w:rsid w:val="008F0411"/>
    <w:rsid w:val="008F0562"/>
    <w:rsid w:val="008F0600"/>
    <w:rsid w:val="008F0686"/>
    <w:rsid w:val="008F06E5"/>
    <w:rsid w:val="008F07F3"/>
    <w:rsid w:val="008F0849"/>
    <w:rsid w:val="008F087C"/>
    <w:rsid w:val="008F095D"/>
    <w:rsid w:val="008F09AC"/>
    <w:rsid w:val="008F0AB0"/>
    <w:rsid w:val="008F0FB2"/>
    <w:rsid w:val="008F10DC"/>
    <w:rsid w:val="008F122D"/>
    <w:rsid w:val="008F12C9"/>
    <w:rsid w:val="008F1325"/>
    <w:rsid w:val="008F139E"/>
    <w:rsid w:val="008F1569"/>
    <w:rsid w:val="008F161F"/>
    <w:rsid w:val="008F1730"/>
    <w:rsid w:val="008F17F6"/>
    <w:rsid w:val="008F1906"/>
    <w:rsid w:val="008F1F31"/>
    <w:rsid w:val="008F1F8F"/>
    <w:rsid w:val="008F2011"/>
    <w:rsid w:val="008F20CD"/>
    <w:rsid w:val="008F2151"/>
    <w:rsid w:val="008F24F4"/>
    <w:rsid w:val="008F25BF"/>
    <w:rsid w:val="008F260B"/>
    <w:rsid w:val="008F2977"/>
    <w:rsid w:val="008F2993"/>
    <w:rsid w:val="008F2A98"/>
    <w:rsid w:val="008F2B6B"/>
    <w:rsid w:val="008F2E86"/>
    <w:rsid w:val="008F2E9B"/>
    <w:rsid w:val="008F3069"/>
    <w:rsid w:val="008F3270"/>
    <w:rsid w:val="008F377D"/>
    <w:rsid w:val="008F37AA"/>
    <w:rsid w:val="008F3A67"/>
    <w:rsid w:val="008F3A84"/>
    <w:rsid w:val="008F3B0A"/>
    <w:rsid w:val="008F3B82"/>
    <w:rsid w:val="008F3BE0"/>
    <w:rsid w:val="008F3BFA"/>
    <w:rsid w:val="008F3D14"/>
    <w:rsid w:val="008F3D3E"/>
    <w:rsid w:val="008F3D93"/>
    <w:rsid w:val="008F3DF9"/>
    <w:rsid w:val="008F3F4D"/>
    <w:rsid w:val="008F3F99"/>
    <w:rsid w:val="008F403D"/>
    <w:rsid w:val="008F40D4"/>
    <w:rsid w:val="008F4227"/>
    <w:rsid w:val="008F42DD"/>
    <w:rsid w:val="008F43A8"/>
    <w:rsid w:val="008F4436"/>
    <w:rsid w:val="008F4478"/>
    <w:rsid w:val="008F461C"/>
    <w:rsid w:val="008F4680"/>
    <w:rsid w:val="008F4823"/>
    <w:rsid w:val="008F49BE"/>
    <w:rsid w:val="008F4C11"/>
    <w:rsid w:val="008F4D15"/>
    <w:rsid w:val="008F4EAE"/>
    <w:rsid w:val="008F50A8"/>
    <w:rsid w:val="008F50F8"/>
    <w:rsid w:val="008F511C"/>
    <w:rsid w:val="008F514F"/>
    <w:rsid w:val="008F54D1"/>
    <w:rsid w:val="008F56A8"/>
    <w:rsid w:val="008F596C"/>
    <w:rsid w:val="008F5DD1"/>
    <w:rsid w:val="008F5EE9"/>
    <w:rsid w:val="008F6012"/>
    <w:rsid w:val="008F60E5"/>
    <w:rsid w:val="008F61BF"/>
    <w:rsid w:val="008F63AB"/>
    <w:rsid w:val="008F65A0"/>
    <w:rsid w:val="008F65A9"/>
    <w:rsid w:val="008F6601"/>
    <w:rsid w:val="008F6673"/>
    <w:rsid w:val="008F66D1"/>
    <w:rsid w:val="008F68D0"/>
    <w:rsid w:val="008F691E"/>
    <w:rsid w:val="008F6A7D"/>
    <w:rsid w:val="008F6BD9"/>
    <w:rsid w:val="008F6D7B"/>
    <w:rsid w:val="008F6DF4"/>
    <w:rsid w:val="008F6EF4"/>
    <w:rsid w:val="008F6F26"/>
    <w:rsid w:val="008F6F32"/>
    <w:rsid w:val="008F703D"/>
    <w:rsid w:val="008F71C4"/>
    <w:rsid w:val="008F7203"/>
    <w:rsid w:val="008F7302"/>
    <w:rsid w:val="008F7638"/>
    <w:rsid w:val="008F77CB"/>
    <w:rsid w:val="008F780D"/>
    <w:rsid w:val="008F7851"/>
    <w:rsid w:val="008F78D4"/>
    <w:rsid w:val="008F7C58"/>
    <w:rsid w:val="008F7E02"/>
    <w:rsid w:val="00900154"/>
    <w:rsid w:val="009001C2"/>
    <w:rsid w:val="009003B1"/>
    <w:rsid w:val="0090046A"/>
    <w:rsid w:val="00900748"/>
    <w:rsid w:val="00900782"/>
    <w:rsid w:val="009007A0"/>
    <w:rsid w:val="009007E5"/>
    <w:rsid w:val="009008AC"/>
    <w:rsid w:val="00900B5F"/>
    <w:rsid w:val="00900C62"/>
    <w:rsid w:val="00900CE5"/>
    <w:rsid w:val="00900D5B"/>
    <w:rsid w:val="009010EE"/>
    <w:rsid w:val="00901148"/>
    <w:rsid w:val="009011E3"/>
    <w:rsid w:val="009011FD"/>
    <w:rsid w:val="009012B5"/>
    <w:rsid w:val="00901322"/>
    <w:rsid w:val="009013E0"/>
    <w:rsid w:val="00901576"/>
    <w:rsid w:val="0090175F"/>
    <w:rsid w:val="009018EA"/>
    <w:rsid w:val="00901A64"/>
    <w:rsid w:val="00901A67"/>
    <w:rsid w:val="00901A6F"/>
    <w:rsid w:val="00901B73"/>
    <w:rsid w:val="00901C71"/>
    <w:rsid w:val="00901D9C"/>
    <w:rsid w:val="00901F0D"/>
    <w:rsid w:val="00902103"/>
    <w:rsid w:val="009021EB"/>
    <w:rsid w:val="009022AD"/>
    <w:rsid w:val="0090230E"/>
    <w:rsid w:val="00902321"/>
    <w:rsid w:val="0090251B"/>
    <w:rsid w:val="0090254B"/>
    <w:rsid w:val="0090270A"/>
    <w:rsid w:val="00902836"/>
    <w:rsid w:val="009028FD"/>
    <w:rsid w:val="00902928"/>
    <w:rsid w:val="00902A7D"/>
    <w:rsid w:val="00902ACB"/>
    <w:rsid w:val="00902CB9"/>
    <w:rsid w:val="00902DF9"/>
    <w:rsid w:val="00902EC7"/>
    <w:rsid w:val="00902F21"/>
    <w:rsid w:val="00902FD8"/>
    <w:rsid w:val="00903060"/>
    <w:rsid w:val="00903783"/>
    <w:rsid w:val="009037C1"/>
    <w:rsid w:val="00903C55"/>
    <w:rsid w:val="00903CF2"/>
    <w:rsid w:val="00903CFA"/>
    <w:rsid w:val="00903D21"/>
    <w:rsid w:val="00903ECA"/>
    <w:rsid w:val="00903F82"/>
    <w:rsid w:val="00904102"/>
    <w:rsid w:val="0090416B"/>
    <w:rsid w:val="0090437E"/>
    <w:rsid w:val="00904476"/>
    <w:rsid w:val="00904512"/>
    <w:rsid w:val="0090468C"/>
    <w:rsid w:val="009046A4"/>
    <w:rsid w:val="00904934"/>
    <w:rsid w:val="0090496C"/>
    <w:rsid w:val="00904984"/>
    <w:rsid w:val="00904A1A"/>
    <w:rsid w:val="00904A6F"/>
    <w:rsid w:val="00904CFA"/>
    <w:rsid w:val="00904E5A"/>
    <w:rsid w:val="00905132"/>
    <w:rsid w:val="0090515D"/>
    <w:rsid w:val="0090526D"/>
    <w:rsid w:val="009054AF"/>
    <w:rsid w:val="00905576"/>
    <w:rsid w:val="0090560A"/>
    <w:rsid w:val="00905979"/>
    <w:rsid w:val="00905A90"/>
    <w:rsid w:val="00905B1B"/>
    <w:rsid w:val="00905C8D"/>
    <w:rsid w:val="00905CFA"/>
    <w:rsid w:val="00905E18"/>
    <w:rsid w:val="00905E3E"/>
    <w:rsid w:val="00905EC6"/>
    <w:rsid w:val="00906093"/>
    <w:rsid w:val="0090616C"/>
    <w:rsid w:val="00906249"/>
    <w:rsid w:val="009069D2"/>
    <w:rsid w:val="00906B62"/>
    <w:rsid w:val="00906B93"/>
    <w:rsid w:val="00906CD1"/>
    <w:rsid w:val="00906E65"/>
    <w:rsid w:val="00906E7E"/>
    <w:rsid w:val="009071A1"/>
    <w:rsid w:val="009072AF"/>
    <w:rsid w:val="00907402"/>
    <w:rsid w:val="0090755A"/>
    <w:rsid w:val="0090790E"/>
    <w:rsid w:val="00907B1B"/>
    <w:rsid w:val="00907D1E"/>
    <w:rsid w:val="00907E4F"/>
    <w:rsid w:val="0091011A"/>
    <w:rsid w:val="00910493"/>
    <w:rsid w:val="009104F8"/>
    <w:rsid w:val="009105DB"/>
    <w:rsid w:val="0091073D"/>
    <w:rsid w:val="009108FC"/>
    <w:rsid w:val="00910960"/>
    <w:rsid w:val="00910A68"/>
    <w:rsid w:val="00910A8C"/>
    <w:rsid w:val="00910CB8"/>
    <w:rsid w:val="00910CF2"/>
    <w:rsid w:val="00910F3E"/>
    <w:rsid w:val="00910F87"/>
    <w:rsid w:val="00911012"/>
    <w:rsid w:val="009111EB"/>
    <w:rsid w:val="0091131B"/>
    <w:rsid w:val="0091151A"/>
    <w:rsid w:val="00911537"/>
    <w:rsid w:val="009115E1"/>
    <w:rsid w:val="0091182B"/>
    <w:rsid w:val="00911921"/>
    <w:rsid w:val="00911A29"/>
    <w:rsid w:val="00911AB1"/>
    <w:rsid w:val="00911AEA"/>
    <w:rsid w:val="00911B13"/>
    <w:rsid w:val="00911B73"/>
    <w:rsid w:val="00911BD4"/>
    <w:rsid w:val="00911C9A"/>
    <w:rsid w:val="00911CE0"/>
    <w:rsid w:val="00911D14"/>
    <w:rsid w:val="00911FB5"/>
    <w:rsid w:val="00912016"/>
    <w:rsid w:val="009120D9"/>
    <w:rsid w:val="009120F6"/>
    <w:rsid w:val="009120FD"/>
    <w:rsid w:val="00912419"/>
    <w:rsid w:val="00912438"/>
    <w:rsid w:val="00912439"/>
    <w:rsid w:val="0091260D"/>
    <w:rsid w:val="00912778"/>
    <w:rsid w:val="00912809"/>
    <w:rsid w:val="00912811"/>
    <w:rsid w:val="00912A00"/>
    <w:rsid w:val="00912A46"/>
    <w:rsid w:val="00912CE6"/>
    <w:rsid w:val="00912E09"/>
    <w:rsid w:val="00912E2F"/>
    <w:rsid w:val="009131A7"/>
    <w:rsid w:val="0091348B"/>
    <w:rsid w:val="00913544"/>
    <w:rsid w:val="009135D4"/>
    <w:rsid w:val="009135D5"/>
    <w:rsid w:val="00913694"/>
    <w:rsid w:val="009138C3"/>
    <w:rsid w:val="009139C1"/>
    <w:rsid w:val="00913CCA"/>
    <w:rsid w:val="00913CD3"/>
    <w:rsid w:val="00913E14"/>
    <w:rsid w:val="00913F00"/>
    <w:rsid w:val="00913FEA"/>
    <w:rsid w:val="00913FF5"/>
    <w:rsid w:val="0091405C"/>
    <w:rsid w:val="009142CC"/>
    <w:rsid w:val="0091432D"/>
    <w:rsid w:val="0091433F"/>
    <w:rsid w:val="00914449"/>
    <w:rsid w:val="00914455"/>
    <w:rsid w:val="009144D5"/>
    <w:rsid w:val="009145CD"/>
    <w:rsid w:val="00914619"/>
    <w:rsid w:val="00914680"/>
    <w:rsid w:val="00914802"/>
    <w:rsid w:val="0091484C"/>
    <w:rsid w:val="009149AD"/>
    <w:rsid w:val="00914BB7"/>
    <w:rsid w:val="00914C58"/>
    <w:rsid w:val="00914E5F"/>
    <w:rsid w:val="00914E80"/>
    <w:rsid w:val="00914EFC"/>
    <w:rsid w:val="00914F35"/>
    <w:rsid w:val="0091532A"/>
    <w:rsid w:val="00915731"/>
    <w:rsid w:val="009157EC"/>
    <w:rsid w:val="00915866"/>
    <w:rsid w:val="009158A0"/>
    <w:rsid w:val="009158BB"/>
    <w:rsid w:val="00915A69"/>
    <w:rsid w:val="00915A72"/>
    <w:rsid w:val="00915F98"/>
    <w:rsid w:val="00915FA3"/>
    <w:rsid w:val="0091601A"/>
    <w:rsid w:val="00916050"/>
    <w:rsid w:val="009161B8"/>
    <w:rsid w:val="009163D4"/>
    <w:rsid w:val="0091669B"/>
    <w:rsid w:val="009166B0"/>
    <w:rsid w:val="0091690C"/>
    <w:rsid w:val="00916D6C"/>
    <w:rsid w:val="00916F30"/>
    <w:rsid w:val="00917007"/>
    <w:rsid w:val="009171D2"/>
    <w:rsid w:val="00917794"/>
    <w:rsid w:val="009177BA"/>
    <w:rsid w:val="00917813"/>
    <w:rsid w:val="00917868"/>
    <w:rsid w:val="00917951"/>
    <w:rsid w:val="00917C49"/>
    <w:rsid w:val="00917E7C"/>
    <w:rsid w:val="00920003"/>
    <w:rsid w:val="0092040C"/>
    <w:rsid w:val="009204F3"/>
    <w:rsid w:val="00920501"/>
    <w:rsid w:val="00920560"/>
    <w:rsid w:val="00920569"/>
    <w:rsid w:val="009205B2"/>
    <w:rsid w:val="00920A39"/>
    <w:rsid w:val="00920A3B"/>
    <w:rsid w:val="00920A7F"/>
    <w:rsid w:val="00920BF8"/>
    <w:rsid w:val="00920D37"/>
    <w:rsid w:val="00920DB7"/>
    <w:rsid w:val="00920EBE"/>
    <w:rsid w:val="00921194"/>
    <w:rsid w:val="009212C5"/>
    <w:rsid w:val="0092135F"/>
    <w:rsid w:val="009213A9"/>
    <w:rsid w:val="00921401"/>
    <w:rsid w:val="00921454"/>
    <w:rsid w:val="00921542"/>
    <w:rsid w:val="00921639"/>
    <w:rsid w:val="009217B2"/>
    <w:rsid w:val="009217F8"/>
    <w:rsid w:val="00921800"/>
    <w:rsid w:val="00921876"/>
    <w:rsid w:val="009218EC"/>
    <w:rsid w:val="009219A9"/>
    <w:rsid w:val="00921A5D"/>
    <w:rsid w:val="00921B4F"/>
    <w:rsid w:val="00921B5A"/>
    <w:rsid w:val="00921E74"/>
    <w:rsid w:val="00922151"/>
    <w:rsid w:val="00922262"/>
    <w:rsid w:val="009222E3"/>
    <w:rsid w:val="009223EC"/>
    <w:rsid w:val="00922A21"/>
    <w:rsid w:val="00922B51"/>
    <w:rsid w:val="00922FAE"/>
    <w:rsid w:val="009230E5"/>
    <w:rsid w:val="0092311A"/>
    <w:rsid w:val="00923203"/>
    <w:rsid w:val="009232EF"/>
    <w:rsid w:val="0092330C"/>
    <w:rsid w:val="00923383"/>
    <w:rsid w:val="009233A2"/>
    <w:rsid w:val="009233F9"/>
    <w:rsid w:val="009236C3"/>
    <w:rsid w:val="009237FB"/>
    <w:rsid w:val="009239E7"/>
    <w:rsid w:val="00923A84"/>
    <w:rsid w:val="00923B48"/>
    <w:rsid w:val="00923BEF"/>
    <w:rsid w:val="00923C4E"/>
    <w:rsid w:val="00923FC6"/>
    <w:rsid w:val="00924007"/>
    <w:rsid w:val="00924229"/>
    <w:rsid w:val="00924241"/>
    <w:rsid w:val="00924297"/>
    <w:rsid w:val="009243BA"/>
    <w:rsid w:val="00924443"/>
    <w:rsid w:val="009245C5"/>
    <w:rsid w:val="009246F2"/>
    <w:rsid w:val="0092470E"/>
    <w:rsid w:val="0092477C"/>
    <w:rsid w:val="009247F4"/>
    <w:rsid w:val="00924879"/>
    <w:rsid w:val="00924887"/>
    <w:rsid w:val="009249FB"/>
    <w:rsid w:val="00924A81"/>
    <w:rsid w:val="00924C9B"/>
    <w:rsid w:val="00924CE1"/>
    <w:rsid w:val="00924DA3"/>
    <w:rsid w:val="00924E73"/>
    <w:rsid w:val="00925094"/>
    <w:rsid w:val="009250C6"/>
    <w:rsid w:val="00925187"/>
    <w:rsid w:val="009251D6"/>
    <w:rsid w:val="0092520F"/>
    <w:rsid w:val="009252C7"/>
    <w:rsid w:val="0092536D"/>
    <w:rsid w:val="009256BE"/>
    <w:rsid w:val="00925783"/>
    <w:rsid w:val="00925863"/>
    <w:rsid w:val="00925AD1"/>
    <w:rsid w:val="00925BDF"/>
    <w:rsid w:val="00925C9F"/>
    <w:rsid w:val="00925D8E"/>
    <w:rsid w:val="0092605E"/>
    <w:rsid w:val="00926093"/>
    <w:rsid w:val="00926164"/>
    <w:rsid w:val="0092624E"/>
    <w:rsid w:val="0092668C"/>
    <w:rsid w:val="009266EA"/>
    <w:rsid w:val="009267B2"/>
    <w:rsid w:val="00926888"/>
    <w:rsid w:val="00926986"/>
    <w:rsid w:val="00926B3A"/>
    <w:rsid w:val="00926C4A"/>
    <w:rsid w:val="00926DE8"/>
    <w:rsid w:val="00926E49"/>
    <w:rsid w:val="00926F70"/>
    <w:rsid w:val="0092709C"/>
    <w:rsid w:val="0092717F"/>
    <w:rsid w:val="00927280"/>
    <w:rsid w:val="0092749C"/>
    <w:rsid w:val="009276C4"/>
    <w:rsid w:val="00927744"/>
    <w:rsid w:val="009277C8"/>
    <w:rsid w:val="009277E1"/>
    <w:rsid w:val="0092782E"/>
    <w:rsid w:val="0092796F"/>
    <w:rsid w:val="0092799B"/>
    <w:rsid w:val="009279D5"/>
    <w:rsid w:val="00927B05"/>
    <w:rsid w:val="00927B82"/>
    <w:rsid w:val="00927BA5"/>
    <w:rsid w:val="00927BAB"/>
    <w:rsid w:val="00927C6A"/>
    <w:rsid w:val="00927DCB"/>
    <w:rsid w:val="009304D0"/>
    <w:rsid w:val="009306E6"/>
    <w:rsid w:val="00930769"/>
    <w:rsid w:val="00930771"/>
    <w:rsid w:val="00930915"/>
    <w:rsid w:val="00930AB4"/>
    <w:rsid w:val="00930C39"/>
    <w:rsid w:val="00930D3D"/>
    <w:rsid w:val="00930D7B"/>
    <w:rsid w:val="00930F4E"/>
    <w:rsid w:val="00931048"/>
    <w:rsid w:val="009311F4"/>
    <w:rsid w:val="009311FD"/>
    <w:rsid w:val="00931241"/>
    <w:rsid w:val="009313BE"/>
    <w:rsid w:val="009315A0"/>
    <w:rsid w:val="0093160D"/>
    <w:rsid w:val="00931616"/>
    <w:rsid w:val="0093171B"/>
    <w:rsid w:val="00931832"/>
    <w:rsid w:val="00931997"/>
    <w:rsid w:val="009319C0"/>
    <w:rsid w:val="00931A12"/>
    <w:rsid w:val="00931A82"/>
    <w:rsid w:val="00931C22"/>
    <w:rsid w:val="00931E3E"/>
    <w:rsid w:val="00931F16"/>
    <w:rsid w:val="00931F77"/>
    <w:rsid w:val="00931FF3"/>
    <w:rsid w:val="00932100"/>
    <w:rsid w:val="00932151"/>
    <w:rsid w:val="0093263D"/>
    <w:rsid w:val="009326BD"/>
    <w:rsid w:val="009326EF"/>
    <w:rsid w:val="0093271D"/>
    <w:rsid w:val="009327B1"/>
    <w:rsid w:val="0093284E"/>
    <w:rsid w:val="009329EF"/>
    <w:rsid w:val="00932BA3"/>
    <w:rsid w:val="00932CD6"/>
    <w:rsid w:val="00932D9C"/>
    <w:rsid w:val="00932E75"/>
    <w:rsid w:val="00932F4B"/>
    <w:rsid w:val="00932F91"/>
    <w:rsid w:val="00932FA7"/>
    <w:rsid w:val="0093326E"/>
    <w:rsid w:val="00933272"/>
    <w:rsid w:val="00933384"/>
    <w:rsid w:val="00933991"/>
    <w:rsid w:val="00933A19"/>
    <w:rsid w:val="00933A84"/>
    <w:rsid w:val="00933AF9"/>
    <w:rsid w:val="009340A7"/>
    <w:rsid w:val="009341D5"/>
    <w:rsid w:val="00934380"/>
    <w:rsid w:val="009343DA"/>
    <w:rsid w:val="009343F6"/>
    <w:rsid w:val="009344CB"/>
    <w:rsid w:val="00934799"/>
    <w:rsid w:val="009347A8"/>
    <w:rsid w:val="009348C2"/>
    <w:rsid w:val="0093495B"/>
    <w:rsid w:val="00934A17"/>
    <w:rsid w:val="00934E19"/>
    <w:rsid w:val="00934EE8"/>
    <w:rsid w:val="009351AF"/>
    <w:rsid w:val="009351D2"/>
    <w:rsid w:val="00935257"/>
    <w:rsid w:val="0093527F"/>
    <w:rsid w:val="009354F0"/>
    <w:rsid w:val="00935584"/>
    <w:rsid w:val="00935683"/>
    <w:rsid w:val="009356CB"/>
    <w:rsid w:val="0093577E"/>
    <w:rsid w:val="009359A8"/>
    <w:rsid w:val="00935C1C"/>
    <w:rsid w:val="00935D68"/>
    <w:rsid w:val="00935EAF"/>
    <w:rsid w:val="00935FE2"/>
    <w:rsid w:val="00936062"/>
    <w:rsid w:val="009361D5"/>
    <w:rsid w:val="0093630B"/>
    <w:rsid w:val="0093639F"/>
    <w:rsid w:val="009364C5"/>
    <w:rsid w:val="0093656D"/>
    <w:rsid w:val="0093661E"/>
    <w:rsid w:val="009366D3"/>
    <w:rsid w:val="009367E7"/>
    <w:rsid w:val="009368F2"/>
    <w:rsid w:val="00936935"/>
    <w:rsid w:val="00936A87"/>
    <w:rsid w:val="00936AF6"/>
    <w:rsid w:val="00936BAE"/>
    <w:rsid w:val="00936BD7"/>
    <w:rsid w:val="00936C2B"/>
    <w:rsid w:val="00936F23"/>
    <w:rsid w:val="00936F5B"/>
    <w:rsid w:val="00936FB2"/>
    <w:rsid w:val="00937178"/>
    <w:rsid w:val="00937305"/>
    <w:rsid w:val="0093731E"/>
    <w:rsid w:val="0093761F"/>
    <w:rsid w:val="00937823"/>
    <w:rsid w:val="00937B17"/>
    <w:rsid w:val="00937B29"/>
    <w:rsid w:val="00937C4F"/>
    <w:rsid w:val="00937CBE"/>
    <w:rsid w:val="00937E2C"/>
    <w:rsid w:val="00937EA5"/>
    <w:rsid w:val="00937EAD"/>
    <w:rsid w:val="00937EB7"/>
    <w:rsid w:val="00937EDA"/>
    <w:rsid w:val="00937EEF"/>
    <w:rsid w:val="00937F30"/>
    <w:rsid w:val="00937FC2"/>
    <w:rsid w:val="00940019"/>
    <w:rsid w:val="009401BA"/>
    <w:rsid w:val="00940434"/>
    <w:rsid w:val="009404C6"/>
    <w:rsid w:val="009404E3"/>
    <w:rsid w:val="0094051D"/>
    <w:rsid w:val="00940622"/>
    <w:rsid w:val="009407C4"/>
    <w:rsid w:val="009409B8"/>
    <w:rsid w:val="009409F9"/>
    <w:rsid w:val="009409FD"/>
    <w:rsid w:val="00940A90"/>
    <w:rsid w:val="00940C3E"/>
    <w:rsid w:val="00940D2E"/>
    <w:rsid w:val="00940D68"/>
    <w:rsid w:val="00940EC3"/>
    <w:rsid w:val="0094108B"/>
    <w:rsid w:val="009410AB"/>
    <w:rsid w:val="009411E0"/>
    <w:rsid w:val="0094127D"/>
    <w:rsid w:val="0094159B"/>
    <w:rsid w:val="009415BC"/>
    <w:rsid w:val="009415E9"/>
    <w:rsid w:val="009417AE"/>
    <w:rsid w:val="009418A7"/>
    <w:rsid w:val="00941A82"/>
    <w:rsid w:val="00941AC7"/>
    <w:rsid w:val="00941CD3"/>
    <w:rsid w:val="00941DF4"/>
    <w:rsid w:val="00941E95"/>
    <w:rsid w:val="009420A5"/>
    <w:rsid w:val="0094225E"/>
    <w:rsid w:val="00942339"/>
    <w:rsid w:val="0094249C"/>
    <w:rsid w:val="009425F6"/>
    <w:rsid w:val="00942661"/>
    <w:rsid w:val="00942830"/>
    <w:rsid w:val="00942B84"/>
    <w:rsid w:val="00942BED"/>
    <w:rsid w:val="00942D6C"/>
    <w:rsid w:val="00942DC4"/>
    <w:rsid w:val="00942FD9"/>
    <w:rsid w:val="0094305D"/>
    <w:rsid w:val="00943184"/>
    <w:rsid w:val="0094324A"/>
    <w:rsid w:val="00943250"/>
    <w:rsid w:val="009432C7"/>
    <w:rsid w:val="009433CA"/>
    <w:rsid w:val="009433D7"/>
    <w:rsid w:val="00943402"/>
    <w:rsid w:val="00943544"/>
    <w:rsid w:val="00943564"/>
    <w:rsid w:val="009435BE"/>
    <w:rsid w:val="009435E7"/>
    <w:rsid w:val="009436DD"/>
    <w:rsid w:val="009437B8"/>
    <w:rsid w:val="009437D1"/>
    <w:rsid w:val="009438BF"/>
    <w:rsid w:val="00943954"/>
    <w:rsid w:val="00943A46"/>
    <w:rsid w:val="00943B48"/>
    <w:rsid w:val="00943B86"/>
    <w:rsid w:val="00943CF6"/>
    <w:rsid w:val="00943D49"/>
    <w:rsid w:val="00943DB7"/>
    <w:rsid w:val="00943E02"/>
    <w:rsid w:val="00943F14"/>
    <w:rsid w:val="00943F50"/>
    <w:rsid w:val="00944087"/>
    <w:rsid w:val="009441B6"/>
    <w:rsid w:val="00944235"/>
    <w:rsid w:val="0094438E"/>
    <w:rsid w:val="00944427"/>
    <w:rsid w:val="00944653"/>
    <w:rsid w:val="009447CA"/>
    <w:rsid w:val="009447F9"/>
    <w:rsid w:val="00944814"/>
    <w:rsid w:val="00944843"/>
    <w:rsid w:val="009448B0"/>
    <w:rsid w:val="00944998"/>
    <w:rsid w:val="009449C0"/>
    <w:rsid w:val="00944AC0"/>
    <w:rsid w:val="00944C84"/>
    <w:rsid w:val="00944E74"/>
    <w:rsid w:val="00944FA3"/>
    <w:rsid w:val="00944FBB"/>
    <w:rsid w:val="009452BA"/>
    <w:rsid w:val="00945363"/>
    <w:rsid w:val="00945404"/>
    <w:rsid w:val="00945779"/>
    <w:rsid w:val="009458F9"/>
    <w:rsid w:val="00945C90"/>
    <w:rsid w:val="00945DA1"/>
    <w:rsid w:val="00945F8C"/>
    <w:rsid w:val="00945FAE"/>
    <w:rsid w:val="00945FED"/>
    <w:rsid w:val="0094600B"/>
    <w:rsid w:val="0094607C"/>
    <w:rsid w:val="0094618B"/>
    <w:rsid w:val="00946409"/>
    <w:rsid w:val="009464B6"/>
    <w:rsid w:val="009464DC"/>
    <w:rsid w:val="0094654B"/>
    <w:rsid w:val="00946788"/>
    <w:rsid w:val="009468CD"/>
    <w:rsid w:val="009468EA"/>
    <w:rsid w:val="0094696F"/>
    <w:rsid w:val="00946992"/>
    <w:rsid w:val="00946A26"/>
    <w:rsid w:val="00946A5C"/>
    <w:rsid w:val="00946AAF"/>
    <w:rsid w:val="00946AF0"/>
    <w:rsid w:val="00946C8F"/>
    <w:rsid w:val="00946EDC"/>
    <w:rsid w:val="00946F75"/>
    <w:rsid w:val="0094713A"/>
    <w:rsid w:val="00947374"/>
    <w:rsid w:val="00947387"/>
    <w:rsid w:val="009473A7"/>
    <w:rsid w:val="009475EB"/>
    <w:rsid w:val="00947709"/>
    <w:rsid w:val="0094782F"/>
    <w:rsid w:val="00947A8D"/>
    <w:rsid w:val="00947E11"/>
    <w:rsid w:val="0095000B"/>
    <w:rsid w:val="00950045"/>
    <w:rsid w:val="0095012E"/>
    <w:rsid w:val="0095024A"/>
    <w:rsid w:val="009503D1"/>
    <w:rsid w:val="0095055A"/>
    <w:rsid w:val="0095056C"/>
    <w:rsid w:val="009505C6"/>
    <w:rsid w:val="00950727"/>
    <w:rsid w:val="00950787"/>
    <w:rsid w:val="00950935"/>
    <w:rsid w:val="009509CF"/>
    <w:rsid w:val="00950AB7"/>
    <w:rsid w:val="00950B50"/>
    <w:rsid w:val="00950C2F"/>
    <w:rsid w:val="00950CBD"/>
    <w:rsid w:val="00950CE4"/>
    <w:rsid w:val="00950F5A"/>
    <w:rsid w:val="009510BC"/>
    <w:rsid w:val="009510EC"/>
    <w:rsid w:val="00951459"/>
    <w:rsid w:val="009515D9"/>
    <w:rsid w:val="0095178C"/>
    <w:rsid w:val="00951934"/>
    <w:rsid w:val="00951BF7"/>
    <w:rsid w:val="00951C22"/>
    <w:rsid w:val="00951DD1"/>
    <w:rsid w:val="00951F3A"/>
    <w:rsid w:val="0095207B"/>
    <w:rsid w:val="0095216A"/>
    <w:rsid w:val="00952177"/>
    <w:rsid w:val="009521A6"/>
    <w:rsid w:val="009521CE"/>
    <w:rsid w:val="009523CB"/>
    <w:rsid w:val="00952783"/>
    <w:rsid w:val="00952818"/>
    <w:rsid w:val="00952902"/>
    <w:rsid w:val="00952980"/>
    <w:rsid w:val="009529A8"/>
    <w:rsid w:val="00952A23"/>
    <w:rsid w:val="00952A50"/>
    <w:rsid w:val="00952A63"/>
    <w:rsid w:val="00952AD1"/>
    <w:rsid w:val="00952BD6"/>
    <w:rsid w:val="00952DC6"/>
    <w:rsid w:val="009531D4"/>
    <w:rsid w:val="00953296"/>
    <w:rsid w:val="00953556"/>
    <w:rsid w:val="009535EB"/>
    <w:rsid w:val="009537FC"/>
    <w:rsid w:val="00953817"/>
    <w:rsid w:val="00953869"/>
    <w:rsid w:val="009539A4"/>
    <w:rsid w:val="00953CF4"/>
    <w:rsid w:val="00953E1F"/>
    <w:rsid w:val="00953EC5"/>
    <w:rsid w:val="00953EEB"/>
    <w:rsid w:val="00953F4E"/>
    <w:rsid w:val="00953F74"/>
    <w:rsid w:val="009541CF"/>
    <w:rsid w:val="00954211"/>
    <w:rsid w:val="00954357"/>
    <w:rsid w:val="0095453B"/>
    <w:rsid w:val="009546D9"/>
    <w:rsid w:val="00954A40"/>
    <w:rsid w:val="00954A6C"/>
    <w:rsid w:val="00954ACD"/>
    <w:rsid w:val="00954C8C"/>
    <w:rsid w:val="00954D03"/>
    <w:rsid w:val="00954D20"/>
    <w:rsid w:val="00954D47"/>
    <w:rsid w:val="00954FC1"/>
    <w:rsid w:val="009551AD"/>
    <w:rsid w:val="00955280"/>
    <w:rsid w:val="009555AB"/>
    <w:rsid w:val="009557E8"/>
    <w:rsid w:val="0095585E"/>
    <w:rsid w:val="009559B6"/>
    <w:rsid w:val="00955B70"/>
    <w:rsid w:val="00955B83"/>
    <w:rsid w:val="00955FE5"/>
    <w:rsid w:val="0095605A"/>
    <w:rsid w:val="00956139"/>
    <w:rsid w:val="009561DD"/>
    <w:rsid w:val="009561EF"/>
    <w:rsid w:val="00956231"/>
    <w:rsid w:val="00956364"/>
    <w:rsid w:val="0095639B"/>
    <w:rsid w:val="0095653C"/>
    <w:rsid w:val="00956642"/>
    <w:rsid w:val="00956998"/>
    <w:rsid w:val="009569AB"/>
    <w:rsid w:val="009569B1"/>
    <w:rsid w:val="00956A09"/>
    <w:rsid w:val="00956A82"/>
    <w:rsid w:val="00956ACE"/>
    <w:rsid w:val="00956B15"/>
    <w:rsid w:val="00956B4B"/>
    <w:rsid w:val="00956BFA"/>
    <w:rsid w:val="00956C35"/>
    <w:rsid w:val="009570BB"/>
    <w:rsid w:val="009572A0"/>
    <w:rsid w:val="00957423"/>
    <w:rsid w:val="00957573"/>
    <w:rsid w:val="00957621"/>
    <w:rsid w:val="0095772F"/>
    <w:rsid w:val="00957909"/>
    <w:rsid w:val="00957A0D"/>
    <w:rsid w:val="00957BDA"/>
    <w:rsid w:val="00957C42"/>
    <w:rsid w:val="00957D24"/>
    <w:rsid w:val="0096001B"/>
    <w:rsid w:val="009600DE"/>
    <w:rsid w:val="009600FC"/>
    <w:rsid w:val="0096011E"/>
    <w:rsid w:val="009602F9"/>
    <w:rsid w:val="00960303"/>
    <w:rsid w:val="0096035C"/>
    <w:rsid w:val="00960364"/>
    <w:rsid w:val="00960622"/>
    <w:rsid w:val="0096066A"/>
    <w:rsid w:val="009608AC"/>
    <w:rsid w:val="00960910"/>
    <w:rsid w:val="00960A6C"/>
    <w:rsid w:val="00960B73"/>
    <w:rsid w:val="00960CB3"/>
    <w:rsid w:val="00960D4C"/>
    <w:rsid w:val="00960DCF"/>
    <w:rsid w:val="00961109"/>
    <w:rsid w:val="009611CE"/>
    <w:rsid w:val="00961202"/>
    <w:rsid w:val="0096133D"/>
    <w:rsid w:val="0096136B"/>
    <w:rsid w:val="009613DC"/>
    <w:rsid w:val="00961427"/>
    <w:rsid w:val="0096142D"/>
    <w:rsid w:val="00961551"/>
    <w:rsid w:val="009615CB"/>
    <w:rsid w:val="00961734"/>
    <w:rsid w:val="00961746"/>
    <w:rsid w:val="009617E7"/>
    <w:rsid w:val="009618B7"/>
    <w:rsid w:val="00961996"/>
    <w:rsid w:val="009619D8"/>
    <w:rsid w:val="00961B53"/>
    <w:rsid w:val="00961C59"/>
    <w:rsid w:val="00961C60"/>
    <w:rsid w:val="00961E6C"/>
    <w:rsid w:val="009620AA"/>
    <w:rsid w:val="009620FD"/>
    <w:rsid w:val="0096215C"/>
    <w:rsid w:val="00962172"/>
    <w:rsid w:val="00962361"/>
    <w:rsid w:val="00962469"/>
    <w:rsid w:val="009625D4"/>
    <w:rsid w:val="009626F9"/>
    <w:rsid w:val="00962776"/>
    <w:rsid w:val="00962917"/>
    <w:rsid w:val="009629DB"/>
    <w:rsid w:val="009629E2"/>
    <w:rsid w:val="00962CDE"/>
    <w:rsid w:val="00962D9F"/>
    <w:rsid w:val="0096300C"/>
    <w:rsid w:val="00963084"/>
    <w:rsid w:val="009630DC"/>
    <w:rsid w:val="0096314A"/>
    <w:rsid w:val="00963252"/>
    <w:rsid w:val="00963264"/>
    <w:rsid w:val="00963362"/>
    <w:rsid w:val="009635AE"/>
    <w:rsid w:val="00963620"/>
    <w:rsid w:val="009636C8"/>
    <w:rsid w:val="009636F6"/>
    <w:rsid w:val="009637C4"/>
    <w:rsid w:val="0096389D"/>
    <w:rsid w:val="009638B2"/>
    <w:rsid w:val="009639A7"/>
    <w:rsid w:val="00963A7D"/>
    <w:rsid w:val="00963B66"/>
    <w:rsid w:val="00963CD7"/>
    <w:rsid w:val="00963FC0"/>
    <w:rsid w:val="009642B9"/>
    <w:rsid w:val="009643BC"/>
    <w:rsid w:val="00964524"/>
    <w:rsid w:val="00964578"/>
    <w:rsid w:val="009645D7"/>
    <w:rsid w:val="00964703"/>
    <w:rsid w:val="00964786"/>
    <w:rsid w:val="00964957"/>
    <w:rsid w:val="009649FF"/>
    <w:rsid w:val="00964AAD"/>
    <w:rsid w:val="00964AE0"/>
    <w:rsid w:val="00964B4A"/>
    <w:rsid w:val="00964E93"/>
    <w:rsid w:val="00964F65"/>
    <w:rsid w:val="00965054"/>
    <w:rsid w:val="00965093"/>
    <w:rsid w:val="009652B8"/>
    <w:rsid w:val="009652D5"/>
    <w:rsid w:val="0096536F"/>
    <w:rsid w:val="009653CE"/>
    <w:rsid w:val="0096542B"/>
    <w:rsid w:val="009655DB"/>
    <w:rsid w:val="0096579F"/>
    <w:rsid w:val="00965A52"/>
    <w:rsid w:val="00965AE2"/>
    <w:rsid w:val="00965AE4"/>
    <w:rsid w:val="00965C9F"/>
    <w:rsid w:val="00965F21"/>
    <w:rsid w:val="00965F42"/>
    <w:rsid w:val="00966238"/>
    <w:rsid w:val="0096664A"/>
    <w:rsid w:val="009666DD"/>
    <w:rsid w:val="00966725"/>
    <w:rsid w:val="0096672D"/>
    <w:rsid w:val="00966770"/>
    <w:rsid w:val="009668A2"/>
    <w:rsid w:val="009668D0"/>
    <w:rsid w:val="0096691C"/>
    <w:rsid w:val="0096693C"/>
    <w:rsid w:val="00966BEE"/>
    <w:rsid w:val="00966DB5"/>
    <w:rsid w:val="00966DFC"/>
    <w:rsid w:val="00966E06"/>
    <w:rsid w:val="009670F6"/>
    <w:rsid w:val="00967127"/>
    <w:rsid w:val="009671D7"/>
    <w:rsid w:val="009673FB"/>
    <w:rsid w:val="009674C6"/>
    <w:rsid w:val="009674D9"/>
    <w:rsid w:val="00967549"/>
    <w:rsid w:val="00967583"/>
    <w:rsid w:val="00967584"/>
    <w:rsid w:val="009675C2"/>
    <w:rsid w:val="009676C0"/>
    <w:rsid w:val="00967746"/>
    <w:rsid w:val="009677C2"/>
    <w:rsid w:val="009677EB"/>
    <w:rsid w:val="00967812"/>
    <w:rsid w:val="00967B04"/>
    <w:rsid w:val="00967B8B"/>
    <w:rsid w:val="00967C23"/>
    <w:rsid w:val="00967C66"/>
    <w:rsid w:val="00967D3D"/>
    <w:rsid w:val="00967FC7"/>
    <w:rsid w:val="00970111"/>
    <w:rsid w:val="0097016C"/>
    <w:rsid w:val="009701B0"/>
    <w:rsid w:val="009701E7"/>
    <w:rsid w:val="00970288"/>
    <w:rsid w:val="00970604"/>
    <w:rsid w:val="009707B5"/>
    <w:rsid w:val="009708EE"/>
    <w:rsid w:val="00970A48"/>
    <w:rsid w:val="00970A51"/>
    <w:rsid w:val="00970A8C"/>
    <w:rsid w:val="00970ABF"/>
    <w:rsid w:val="00970BFA"/>
    <w:rsid w:val="00970C0E"/>
    <w:rsid w:val="00970C8F"/>
    <w:rsid w:val="00970CEF"/>
    <w:rsid w:val="00970DE3"/>
    <w:rsid w:val="00970FB8"/>
    <w:rsid w:val="00971022"/>
    <w:rsid w:val="0097111E"/>
    <w:rsid w:val="0097118A"/>
    <w:rsid w:val="009711A7"/>
    <w:rsid w:val="0097160E"/>
    <w:rsid w:val="00971670"/>
    <w:rsid w:val="00971758"/>
    <w:rsid w:val="009717FE"/>
    <w:rsid w:val="00971800"/>
    <w:rsid w:val="00971823"/>
    <w:rsid w:val="00971DC7"/>
    <w:rsid w:val="00971ED9"/>
    <w:rsid w:val="009720FA"/>
    <w:rsid w:val="0097217D"/>
    <w:rsid w:val="0097244E"/>
    <w:rsid w:val="009729C7"/>
    <w:rsid w:val="00972A7E"/>
    <w:rsid w:val="00972AA6"/>
    <w:rsid w:val="00972DFB"/>
    <w:rsid w:val="00972FA7"/>
    <w:rsid w:val="009730D7"/>
    <w:rsid w:val="009731BB"/>
    <w:rsid w:val="00973208"/>
    <w:rsid w:val="00973239"/>
    <w:rsid w:val="009732D4"/>
    <w:rsid w:val="00973338"/>
    <w:rsid w:val="00973449"/>
    <w:rsid w:val="009736E2"/>
    <w:rsid w:val="0097377C"/>
    <w:rsid w:val="00973BBF"/>
    <w:rsid w:val="00973C6F"/>
    <w:rsid w:val="00973CA4"/>
    <w:rsid w:val="00973E0F"/>
    <w:rsid w:val="00974063"/>
    <w:rsid w:val="009740D5"/>
    <w:rsid w:val="0097415F"/>
    <w:rsid w:val="009742D4"/>
    <w:rsid w:val="0097454D"/>
    <w:rsid w:val="0097466C"/>
    <w:rsid w:val="0097473D"/>
    <w:rsid w:val="0097496B"/>
    <w:rsid w:val="009749F0"/>
    <w:rsid w:val="00974A58"/>
    <w:rsid w:val="00974A5D"/>
    <w:rsid w:val="00974C34"/>
    <w:rsid w:val="00974E73"/>
    <w:rsid w:val="00974EE0"/>
    <w:rsid w:val="00974F53"/>
    <w:rsid w:val="00975157"/>
    <w:rsid w:val="009751E6"/>
    <w:rsid w:val="00975336"/>
    <w:rsid w:val="00975338"/>
    <w:rsid w:val="009753B8"/>
    <w:rsid w:val="0097559F"/>
    <w:rsid w:val="0097567A"/>
    <w:rsid w:val="00975795"/>
    <w:rsid w:val="009757D6"/>
    <w:rsid w:val="0097594E"/>
    <w:rsid w:val="00975DA4"/>
    <w:rsid w:val="00975F3F"/>
    <w:rsid w:val="00975F5F"/>
    <w:rsid w:val="00975FEC"/>
    <w:rsid w:val="00975FFF"/>
    <w:rsid w:val="009762BC"/>
    <w:rsid w:val="009763B2"/>
    <w:rsid w:val="00976535"/>
    <w:rsid w:val="00976547"/>
    <w:rsid w:val="0097662C"/>
    <w:rsid w:val="0097674A"/>
    <w:rsid w:val="009768AD"/>
    <w:rsid w:val="00976924"/>
    <w:rsid w:val="00976A0A"/>
    <w:rsid w:val="00976B30"/>
    <w:rsid w:val="00976B5E"/>
    <w:rsid w:val="00976CEF"/>
    <w:rsid w:val="00976D26"/>
    <w:rsid w:val="00976D60"/>
    <w:rsid w:val="00976E73"/>
    <w:rsid w:val="00976FB0"/>
    <w:rsid w:val="009770EC"/>
    <w:rsid w:val="0097713A"/>
    <w:rsid w:val="009771E3"/>
    <w:rsid w:val="0097725A"/>
    <w:rsid w:val="009772B8"/>
    <w:rsid w:val="00977453"/>
    <w:rsid w:val="009776CF"/>
    <w:rsid w:val="009776EA"/>
    <w:rsid w:val="009778C9"/>
    <w:rsid w:val="009779E8"/>
    <w:rsid w:val="00977A77"/>
    <w:rsid w:val="00977BB1"/>
    <w:rsid w:val="00977D68"/>
    <w:rsid w:val="00977DC3"/>
    <w:rsid w:val="00977E0A"/>
    <w:rsid w:val="00977E8F"/>
    <w:rsid w:val="00977EA9"/>
    <w:rsid w:val="00977F4C"/>
    <w:rsid w:val="00977F99"/>
    <w:rsid w:val="00980030"/>
    <w:rsid w:val="00980064"/>
    <w:rsid w:val="0098006C"/>
    <w:rsid w:val="0098008C"/>
    <w:rsid w:val="009800A7"/>
    <w:rsid w:val="009800AC"/>
    <w:rsid w:val="009800D5"/>
    <w:rsid w:val="009800FC"/>
    <w:rsid w:val="00980114"/>
    <w:rsid w:val="00980157"/>
    <w:rsid w:val="009803A9"/>
    <w:rsid w:val="009803CB"/>
    <w:rsid w:val="009803D4"/>
    <w:rsid w:val="00980447"/>
    <w:rsid w:val="009807A2"/>
    <w:rsid w:val="00980AA2"/>
    <w:rsid w:val="00980E86"/>
    <w:rsid w:val="00980EDC"/>
    <w:rsid w:val="00981063"/>
    <w:rsid w:val="0098118E"/>
    <w:rsid w:val="009814AE"/>
    <w:rsid w:val="0098168A"/>
    <w:rsid w:val="00981993"/>
    <w:rsid w:val="0098199C"/>
    <w:rsid w:val="00981B55"/>
    <w:rsid w:val="00981C15"/>
    <w:rsid w:val="00981F31"/>
    <w:rsid w:val="00981F6B"/>
    <w:rsid w:val="00981FF4"/>
    <w:rsid w:val="009820B7"/>
    <w:rsid w:val="009821A6"/>
    <w:rsid w:val="009821F3"/>
    <w:rsid w:val="0098221F"/>
    <w:rsid w:val="0098231E"/>
    <w:rsid w:val="009824B9"/>
    <w:rsid w:val="0098262F"/>
    <w:rsid w:val="0098268D"/>
    <w:rsid w:val="009826B7"/>
    <w:rsid w:val="00982737"/>
    <w:rsid w:val="00982957"/>
    <w:rsid w:val="00982ACA"/>
    <w:rsid w:val="00982CA4"/>
    <w:rsid w:val="00982DD5"/>
    <w:rsid w:val="00982E85"/>
    <w:rsid w:val="00982F26"/>
    <w:rsid w:val="00982F3C"/>
    <w:rsid w:val="00982FC1"/>
    <w:rsid w:val="0098301E"/>
    <w:rsid w:val="009830AE"/>
    <w:rsid w:val="009831A8"/>
    <w:rsid w:val="00983254"/>
    <w:rsid w:val="009835A7"/>
    <w:rsid w:val="009836D4"/>
    <w:rsid w:val="009837D5"/>
    <w:rsid w:val="00983F41"/>
    <w:rsid w:val="0098402B"/>
    <w:rsid w:val="00984244"/>
    <w:rsid w:val="0098438B"/>
    <w:rsid w:val="009844C4"/>
    <w:rsid w:val="009846F6"/>
    <w:rsid w:val="0098483D"/>
    <w:rsid w:val="009849B3"/>
    <w:rsid w:val="00984B39"/>
    <w:rsid w:val="00984CB2"/>
    <w:rsid w:val="00984E27"/>
    <w:rsid w:val="00984F64"/>
    <w:rsid w:val="00984F84"/>
    <w:rsid w:val="00984F98"/>
    <w:rsid w:val="009851C8"/>
    <w:rsid w:val="00985227"/>
    <w:rsid w:val="0098531F"/>
    <w:rsid w:val="009854B1"/>
    <w:rsid w:val="0098563C"/>
    <w:rsid w:val="00985702"/>
    <w:rsid w:val="009858BC"/>
    <w:rsid w:val="00985977"/>
    <w:rsid w:val="00986116"/>
    <w:rsid w:val="00986175"/>
    <w:rsid w:val="009863B2"/>
    <w:rsid w:val="0098658B"/>
    <w:rsid w:val="00986605"/>
    <w:rsid w:val="00986640"/>
    <w:rsid w:val="009866A9"/>
    <w:rsid w:val="009866F7"/>
    <w:rsid w:val="0098682E"/>
    <w:rsid w:val="009868B2"/>
    <w:rsid w:val="00986A39"/>
    <w:rsid w:val="00986A81"/>
    <w:rsid w:val="00986CEF"/>
    <w:rsid w:val="00986DA5"/>
    <w:rsid w:val="00986FD2"/>
    <w:rsid w:val="00987002"/>
    <w:rsid w:val="009872F0"/>
    <w:rsid w:val="00987327"/>
    <w:rsid w:val="0098732B"/>
    <w:rsid w:val="009873A7"/>
    <w:rsid w:val="009873B6"/>
    <w:rsid w:val="009873F3"/>
    <w:rsid w:val="00987438"/>
    <w:rsid w:val="00987497"/>
    <w:rsid w:val="009874A2"/>
    <w:rsid w:val="00987546"/>
    <w:rsid w:val="00987679"/>
    <w:rsid w:val="009876C1"/>
    <w:rsid w:val="00987AD9"/>
    <w:rsid w:val="00987BBD"/>
    <w:rsid w:val="00987CA7"/>
    <w:rsid w:val="00987ECE"/>
    <w:rsid w:val="00987EE8"/>
    <w:rsid w:val="00987FF2"/>
    <w:rsid w:val="00990033"/>
    <w:rsid w:val="00990109"/>
    <w:rsid w:val="00990155"/>
    <w:rsid w:val="009903F1"/>
    <w:rsid w:val="009904EF"/>
    <w:rsid w:val="009905EA"/>
    <w:rsid w:val="0099075F"/>
    <w:rsid w:val="00990862"/>
    <w:rsid w:val="00990947"/>
    <w:rsid w:val="00990A0D"/>
    <w:rsid w:val="00990B89"/>
    <w:rsid w:val="00990BDF"/>
    <w:rsid w:val="00990D5F"/>
    <w:rsid w:val="00990EB7"/>
    <w:rsid w:val="00990F36"/>
    <w:rsid w:val="00990FFA"/>
    <w:rsid w:val="009911C9"/>
    <w:rsid w:val="009911E0"/>
    <w:rsid w:val="009912E7"/>
    <w:rsid w:val="00991459"/>
    <w:rsid w:val="0099169C"/>
    <w:rsid w:val="00991A89"/>
    <w:rsid w:val="00991F23"/>
    <w:rsid w:val="00991F81"/>
    <w:rsid w:val="00992191"/>
    <w:rsid w:val="009921B2"/>
    <w:rsid w:val="009924FD"/>
    <w:rsid w:val="009926D1"/>
    <w:rsid w:val="009927C1"/>
    <w:rsid w:val="00992831"/>
    <w:rsid w:val="009928DA"/>
    <w:rsid w:val="00992A0A"/>
    <w:rsid w:val="00992BE6"/>
    <w:rsid w:val="00992D3B"/>
    <w:rsid w:val="00992D6B"/>
    <w:rsid w:val="00992FC1"/>
    <w:rsid w:val="0099317D"/>
    <w:rsid w:val="009932F6"/>
    <w:rsid w:val="0099331D"/>
    <w:rsid w:val="0099368B"/>
    <w:rsid w:val="00993825"/>
    <w:rsid w:val="00993865"/>
    <w:rsid w:val="009939D6"/>
    <w:rsid w:val="00993C7E"/>
    <w:rsid w:val="00993C98"/>
    <w:rsid w:val="00993DB4"/>
    <w:rsid w:val="00993E1D"/>
    <w:rsid w:val="00993F0D"/>
    <w:rsid w:val="00993FC4"/>
    <w:rsid w:val="0099406C"/>
    <w:rsid w:val="0099412B"/>
    <w:rsid w:val="00994578"/>
    <w:rsid w:val="00994611"/>
    <w:rsid w:val="009949A3"/>
    <w:rsid w:val="009949D4"/>
    <w:rsid w:val="00994A63"/>
    <w:rsid w:val="00994B99"/>
    <w:rsid w:val="00994BB9"/>
    <w:rsid w:val="00994CD4"/>
    <w:rsid w:val="00994D2C"/>
    <w:rsid w:val="00994D90"/>
    <w:rsid w:val="00994E50"/>
    <w:rsid w:val="00994EAB"/>
    <w:rsid w:val="00994EE5"/>
    <w:rsid w:val="0099500E"/>
    <w:rsid w:val="0099505E"/>
    <w:rsid w:val="00995133"/>
    <w:rsid w:val="00995227"/>
    <w:rsid w:val="00995291"/>
    <w:rsid w:val="0099537D"/>
    <w:rsid w:val="009953B6"/>
    <w:rsid w:val="009955EC"/>
    <w:rsid w:val="00995752"/>
    <w:rsid w:val="00995882"/>
    <w:rsid w:val="009959BB"/>
    <w:rsid w:val="00995A48"/>
    <w:rsid w:val="00995C29"/>
    <w:rsid w:val="00995E98"/>
    <w:rsid w:val="0099601E"/>
    <w:rsid w:val="009960D5"/>
    <w:rsid w:val="009960ED"/>
    <w:rsid w:val="00996279"/>
    <w:rsid w:val="00996561"/>
    <w:rsid w:val="009965E8"/>
    <w:rsid w:val="00996818"/>
    <w:rsid w:val="0099688A"/>
    <w:rsid w:val="00996917"/>
    <w:rsid w:val="00996A4C"/>
    <w:rsid w:val="00996A64"/>
    <w:rsid w:val="00996B79"/>
    <w:rsid w:val="00996BFE"/>
    <w:rsid w:val="00996CD4"/>
    <w:rsid w:val="00996F15"/>
    <w:rsid w:val="00996FEB"/>
    <w:rsid w:val="0099730E"/>
    <w:rsid w:val="0099748D"/>
    <w:rsid w:val="009978E0"/>
    <w:rsid w:val="00997934"/>
    <w:rsid w:val="00997BA8"/>
    <w:rsid w:val="00997C38"/>
    <w:rsid w:val="00997DCB"/>
    <w:rsid w:val="00997FA6"/>
    <w:rsid w:val="009A0028"/>
    <w:rsid w:val="009A00ED"/>
    <w:rsid w:val="009A00F4"/>
    <w:rsid w:val="009A0112"/>
    <w:rsid w:val="009A03F0"/>
    <w:rsid w:val="009A03F7"/>
    <w:rsid w:val="009A0419"/>
    <w:rsid w:val="009A0482"/>
    <w:rsid w:val="009A06F4"/>
    <w:rsid w:val="009A09C2"/>
    <w:rsid w:val="009A0A08"/>
    <w:rsid w:val="009A0C2F"/>
    <w:rsid w:val="009A0DA3"/>
    <w:rsid w:val="009A0DD3"/>
    <w:rsid w:val="009A0F69"/>
    <w:rsid w:val="009A1128"/>
    <w:rsid w:val="009A11E3"/>
    <w:rsid w:val="009A1283"/>
    <w:rsid w:val="009A136A"/>
    <w:rsid w:val="009A1634"/>
    <w:rsid w:val="009A164C"/>
    <w:rsid w:val="009A1A72"/>
    <w:rsid w:val="009A1B07"/>
    <w:rsid w:val="009A1CBE"/>
    <w:rsid w:val="009A1CD3"/>
    <w:rsid w:val="009A20E4"/>
    <w:rsid w:val="009A2107"/>
    <w:rsid w:val="009A2316"/>
    <w:rsid w:val="009A25C4"/>
    <w:rsid w:val="009A25DB"/>
    <w:rsid w:val="009A294C"/>
    <w:rsid w:val="009A2B90"/>
    <w:rsid w:val="009A30C3"/>
    <w:rsid w:val="009A30D3"/>
    <w:rsid w:val="009A34CB"/>
    <w:rsid w:val="009A34EA"/>
    <w:rsid w:val="009A35B0"/>
    <w:rsid w:val="009A3692"/>
    <w:rsid w:val="009A372B"/>
    <w:rsid w:val="009A3778"/>
    <w:rsid w:val="009A3808"/>
    <w:rsid w:val="009A3A05"/>
    <w:rsid w:val="009A3AB8"/>
    <w:rsid w:val="009A3C78"/>
    <w:rsid w:val="009A3D8B"/>
    <w:rsid w:val="009A3E2E"/>
    <w:rsid w:val="009A3E50"/>
    <w:rsid w:val="009A3E89"/>
    <w:rsid w:val="009A3E8B"/>
    <w:rsid w:val="009A3F84"/>
    <w:rsid w:val="009A4163"/>
    <w:rsid w:val="009A4210"/>
    <w:rsid w:val="009A4299"/>
    <w:rsid w:val="009A44EE"/>
    <w:rsid w:val="009A4AD1"/>
    <w:rsid w:val="009A4B73"/>
    <w:rsid w:val="009A4B8B"/>
    <w:rsid w:val="009A4C3F"/>
    <w:rsid w:val="009A4D2F"/>
    <w:rsid w:val="009A4E0A"/>
    <w:rsid w:val="009A4E7D"/>
    <w:rsid w:val="009A4FD3"/>
    <w:rsid w:val="009A51BF"/>
    <w:rsid w:val="009A527F"/>
    <w:rsid w:val="009A5681"/>
    <w:rsid w:val="009A56B0"/>
    <w:rsid w:val="009A5A23"/>
    <w:rsid w:val="009A5ADC"/>
    <w:rsid w:val="009A5AFA"/>
    <w:rsid w:val="009A5E14"/>
    <w:rsid w:val="009A5F0E"/>
    <w:rsid w:val="009A6081"/>
    <w:rsid w:val="009A6527"/>
    <w:rsid w:val="009A669D"/>
    <w:rsid w:val="009A66F3"/>
    <w:rsid w:val="009A67C1"/>
    <w:rsid w:val="009A69E5"/>
    <w:rsid w:val="009A69F8"/>
    <w:rsid w:val="009A6A00"/>
    <w:rsid w:val="009A6A30"/>
    <w:rsid w:val="009A6B80"/>
    <w:rsid w:val="009A6C66"/>
    <w:rsid w:val="009A6D2B"/>
    <w:rsid w:val="009A6DB3"/>
    <w:rsid w:val="009A6DC1"/>
    <w:rsid w:val="009A6F54"/>
    <w:rsid w:val="009A71AA"/>
    <w:rsid w:val="009A76C2"/>
    <w:rsid w:val="009A76F7"/>
    <w:rsid w:val="009A7A21"/>
    <w:rsid w:val="009A7A6D"/>
    <w:rsid w:val="009A7D9F"/>
    <w:rsid w:val="009A7F34"/>
    <w:rsid w:val="009B00CA"/>
    <w:rsid w:val="009B0127"/>
    <w:rsid w:val="009B01BF"/>
    <w:rsid w:val="009B0252"/>
    <w:rsid w:val="009B074C"/>
    <w:rsid w:val="009B0777"/>
    <w:rsid w:val="009B07CB"/>
    <w:rsid w:val="009B0861"/>
    <w:rsid w:val="009B0CC0"/>
    <w:rsid w:val="009B0D37"/>
    <w:rsid w:val="009B1020"/>
    <w:rsid w:val="009B128A"/>
    <w:rsid w:val="009B15DB"/>
    <w:rsid w:val="009B185E"/>
    <w:rsid w:val="009B1B09"/>
    <w:rsid w:val="009B1B9C"/>
    <w:rsid w:val="009B1D4E"/>
    <w:rsid w:val="009B1EB9"/>
    <w:rsid w:val="009B1FB0"/>
    <w:rsid w:val="009B1FB9"/>
    <w:rsid w:val="009B1FF0"/>
    <w:rsid w:val="009B2113"/>
    <w:rsid w:val="009B2145"/>
    <w:rsid w:val="009B2174"/>
    <w:rsid w:val="009B2245"/>
    <w:rsid w:val="009B258E"/>
    <w:rsid w:val="009B26FD"/>
    <w:rsid w:val="009B2A7E"/>
    <w:rsid w:val="009B2B72"/>
    <w:rsid w:val="009B2BA2"/>
    <w:rsid w:val="009B2C66"/>
    <w:rsid w:val="009B2F76"/>
    <w:rsid w:val="009B30EC"/>
    <w:rsid w:val="009B3117"/>
    <w:rsid w:val="009B332B"/>
    <w:rsid w:val="009B33B4"/>
    <w:rsid w:val="009B33D6"/>
    <w:rsid w:val="009B342E"/>
    <w:rsid w:val="009B3483"/>
    <w:rsid w:val="009B374A"/>
    <w:rsid w:val="009B3817"/>
    <w:rsid w:val="009B399C"/>
    <w:rsid w:val="009B39EA"/>
    <w:rsid w:val="009B3FF5"/>
    <w:rsid w:val="009B4124"/>
    <w:rsid w:val="009B41C7"/>
    <w:rsid w:val="009B41CB"/>
    <w:rsid w:val="009B4271"/>
    <w:rsid w:val="009B45E0"/>
    <w:rsid w:val="009B48F2"/>
    <w:rsid w:val="009B4900"/>
    <w:rsid w:val="009B4B1F"/>
    <w:rsid w:val="009B4B32"/>
    <w:rsid w:val="009B4C71"/>
    <w:rsid w:val="009B4DFA"/>
    <w:rsid w:val="009B5039"/>
    <w:rsid w:val="009B512A"/>
    <w:rsid w:val="009B5295"/>
    <w:rsid w:val="009B53A4"/>
    <w:rsid w:val="009B53AA"/>
    <w:rsid w:val="009B543D"/>
    <w:rsid w:val="009B5574"/>
    <w:rsid w:val="009B55C1"/>
    <w:rsid w:val="009B55E9"/>
    <w:rsid w:val="009B5706"/>
    <w:rsid w:val="009B5720"/>
    <w:rsid w:val="009B57A1"/>
    <w:rsid w:val="009B588E"/>
    <w:rsid w:val="009B5962"/>
    <w:rsid w:val="009B5997"/>
    <w:rsid w:val="009B5C60"/>
    <w:rsid w:val="009B5CDA"/>
    <w:rsid w:val="009B5EE3"/>
    <w:rsid w:val="009B6546"/>
    <w:rsid w:val="009B67B2"/>
    <w:rsid w:val="009B67F1"/>
    <w:rsid w:val="009B6AF9"/>
    <w:rsid w:val="009B6B23"/>
    <w:rsid w:val="009B6B35"/>
    <w:rsid w:val="009B6BEA"/>
    <w:rsid w:val="009B6C41"/>
    <w:rsid w:val="009B6C90"/>
    <w:rsid w:val="009B6D11"/>
    <w:rsid w:val="009B6ED3"/>
    <w:rsid w:val="009B6F45"/>
    <w:rsid w:val="009B70D2"/>
    <w:rsid w:val="009B726B"/>
    <w:rsid w:val="009B726F"/>
    <w:rsid w:val="009B72F2"/>
    <w:rsid w:val="009B7567"/>
    <w:rsid w:val="009B7626"/>
    <w:rsid w:val="009B7782"/>
    <w:rsid w:val="009B78D4"/>
    <w:rsid w:val="009B7ABD"/>
    <w:rsid w:val="009B7B1D"/>
    <w:rsid w:val="009B7B54"/>
    <w:rsid w:val="009B7B5A"/>
    <w:rsid w:val="009B7E4F"/>
    <w:rsid w:val="009B7F2C"/>
    <w:rsid w:val="009C0007"/>
    <w:rsid w:val="009C008A"/>
    <w:rsid w:val="009C0114"/>
    <w:rsid w:val="009C01C7"/>
    <w:rsid w:val="009C0367"/>
    <w:rsid w:val="009C0579"/>
    <w:rsid w:val="009C05B1"/>
    <w:rsid w:val="009C0678"/>
    <w:rsid w:val="009C06D6"/>
    <w:rsid w:val="009C073F"/>
    <w:rsid w:val="009C08B7"/>
    <w:rsid w:val="009C08E3"/>
    <w:rsid w:val="009C0A34"/>
    <w:rsid w:val="009C0A87"/>
    <w:rsid w:val="009C0B87"/>
    <w:rsid w:val="009C0C62"/>
    <w:rsid w:val="009C0EA5"/>
    <w:rsid w:val="009C0F59"/>
    <w:rsid w:val="009C161A"/>
    <w:rsid w:val="009C17A3"/>
    <w:rsid w:val="009C18FF"/>
    <w:rsid w:val="009C1971"/>
    <w:rsid w:val="009C1CA6"/>
    <w:rsid w:val="009C1CCB"/>
    <w:rsid w:val="009C1D27"/>
    <w:rsid w:val="009C1F04"/>
    <w:rsid w:val="009C24F9"/>
    <w:rsid w:val="009C2777"/>
    <w:rsid w:val="009C2799"/>
    <w:rsid w:val="009C280F"/>
    <w:rsid w:val="009C282D"/>
    <w:rsid w:val="009C2A06"/>
    <w:rsid w:val="009C2A52"/>
    <w:rsid w:val="009C2C27"/>
    <w:rsid w:val="009C2CBE"/>
    <w:rsid w:val="009C2D45"/>
    <w:rsid w:val="009C2DA9"/>
    <w:rsid w:val="009C2F37"/>
    <w:rsid w:val="009C2FE8"/>
    <w:rsid w:val="009C303F"/>
    <w:rsid w:val="009C32FB"/>
    <w:rsid w:val="009C3447"/>
    <w:rsid w:val="009C3462"/>
    <w:rsid w:val="009C3944"/>
    <w:rsid w:val="009C3AB6"/>
    <w:rsid w:val="009C3BD9"/>
    <w:rsid w:val="009C3CCD"/>
    <w:rsid w:val="009C3CFD"/>
    <w:rsid w:val="009C3D84"/>
    <w:rsid w:val="009C42C9"/>
    <w:rsid w:val="009C43ED"/>
    <w:rsid w:val="009C46DB"/>
    <w:rsid w:val="009C4704"/>
    <w:rsid w:val="009C473F"/>
    <w:rsid w:val="009C4846"/>
    <w:rsid w:val="009C4885"/>
    <w:rsid w:val="009C4911"/>
    <w:rsid w:val="009C4A1B"/>
    <w:rsid w:val="009C4BCB"/>
    <w:rsid w:val="009C4FA7"/>
    <w:rsid w:val="009C4FBD"/>
    <w:rsid w:val="009C503C"/>
    <w:rsid w:val="009C5150"/>
    <w:rsid w:val="009C545D"/>
    <w:rsid w:val="009C562B"/>
    <w:rsid w:val="009C5657"/>
    <w:rsid w:val="009C56A6"/>
    <w:rsid w:val="009C56B2"/>
    <w:rsid w:val="009C5786"/>
    <w:rsid w:val="009C5825"/>
    <w:rsid w:val="009C5924"/>
    <w:rsid w:val="009C59A6"/>
    <w:rsid w:val="009C59E5"/>
    <w:rsid w:val="009C5A4F"/>
    <w:rsid w:val="009C5B82"/>
    <w:rsid w:val="009C5E97"/>
    <w:rsid w:val="009C5E9E"/>
    <w:rsid w:val="009C5EC3"/>
    <w:rsid w:val="009C60AB"/>
    <w:rsid w:val="009C6130"/>
    <w:rsid w:val="009C632F"/>
    <w:rsid w:val="009C63AD"/>
    <w:rsid w:val="009C664D"/>
    <w:rsid w:val="009C66BD"/>
    <w:rsid w:val="009C6709"/>
    <w:rsid w:val="009C68F9"/>
    <w:rsid w:val="009C6942"/>
    <w:rsid w:val="009C6B52"/>
    <w:rsid w:val="009C6D34"/>
    <w:rsid w:val="009C6DF1"/>
    <w:rsid w:val="009C6E3E"/>
    <w:rsid w:val="009C6ED4"/>
    <w:rsid w:val="009C6F88"/>
    <w:rsid w:val="009C72A2"/>
    <w:rsid w:val="009C746B"/>
    <w:rsid w:val="009C749B"/>
    <w:rsid w:val="009C756E"/>
    <w:rsid w:val="009C757D"/>
    <w:rsid w:val="009C76C9"/>
    <w:rsid w:val="009C785B"/>
    <w:rsid w:val="009C7A6E"/>
    <w:rsid w:val="009C7A97"/>
    <w:rsid w:val="009D0074"/>
    <w:rsid w:val="009D010E"/>
    <w:rsid w:val="009D02BB"/>
    <w:rsid w:val="009D0705"/>
    <w:rsid w:val="009D0727"/>
    <w:rsid w:val="009D07E3"/>
    <w:rsid w:val="009D093D"/>
    <w:rsid w:val="009D0ABE"/>
    <w:rsid w:val="009D0AC0"/>
    <w:rsid w:val="009D0CFF"/>
    <w:rsid w:val="009D0D85"/>
    <w:rsid w:val="009D0E55"/>
    <w:rsid w:val="009D0EB9"/>
    <w:rsid w:val="009D0EF2"/>
    <w:rsid w:val="009D0F7B"/>
    <w:rsid w:val="009D0FD5"/>
    <w:rsid w:val="009D0FE3"/>
    <w:rsid w:val="009D1049"/>
    <w:rsid w:val="009D1130"/>
    <w:rsid w:val="009D1364"/>
    <w:rsid w:val="009D1379"/>
    <w:rsid w:val="009D14A2"/>
    <w:rsid w:val="009D1514"/>
    <w:rsid w:val="009D1607"/>
    <w:rsid w:val="009D1622"/>
    <w:rsid w:val="009D1774"/>
    <w:rsid w:val="009D1822"/>
    <w:rsid w:val="009D19DD"/>
    <w:rsid w:val="009D1A19"/>
    <w:rsid w:val="009D1A78"/>
    <w:rsid w:val="009D1B01"/>
    <w:rsid w:val="009D1B3F"/>
    <w:rsid w:val="009D1EA0"/>
    <w:rsid w:val="009D1EE7"/>
    <w:rsid w:val="009D1F23"/>
    <w:rsid w:val="009D20F4"/>
    <w:rsid w:val="009D2125"/>
    <w:rsid w:val="009D214B"/>
    <w:rsid w:val="009D21BE"/>
    <w:rsid w:val="009D243A"/>
    <w:rsid w:val="009D2563"/>
    <w:rsid w:val="009D26B7"/>
    <w:rsid w:val="009D2770"/>
    <w:rsid w:val="009D29A5"/>
    <w:rsid w:val="009D2A3A"/>
    <w:rsid w:val="009D2ADA"/>
    <w:rsid w:val="009D2D27"/>
    <w:rsid w:val="009D2D79"/>
    <w:rsid w:val="009D304D"/>
    <w:rsid w:val="009D3063"/>
    <w:rsid w:val="009D30A9"/>
    <w:rsid w:val="009D313E"/>
    <w:rsid w:val="009D3157"/>
    <w:rsid w:val="009D334E"/>
    <w:rsid w:val="009D33E8"/>
    <w:rsid w:val="009D342A"/>
    <w:rsid w:val="009D3452"/>
    <w:rsid w:val="009D3456"/>
    <w:rsid w:val="009D3496"/>
    <w:rsid w:val="009D34AD"/>
    <w:rsid w:val="009D34C6"/>
    <w:rsid w:val="009D3734"/>
    <w:rsid w:val="009D3779"/>
    <w:rsid w:val="009D3882"/>
    <w:rsid w:val="009D3AE6"/>
    <w:rsid w:val="009D3B9E"/>
    <w:rsid w:val="009D3C3D"/>
    <w:rsid w:val="009D3D4E"/>
    <w:rsid w:val="009D3ED1"/>
    <w:rsid w:val="009D3F1A"/>
    <w:rsid w:val="009D410C"/>
    <w:rsid w:val="009D4300"/>
    <w:rsid w:val="009D430D"/>
    <w:rsid w:val="009D4310"/>
    <w:rsid w:val="009D43AA"/>
    <w:rsid w:val="009D45B1"/>
    <w:rsid w:val="009D45EF"/>
    <w:rsid w:val="009D474D"/>
    <w:rsid w:val="009D479B"/>
    <w:rsid w:val="009D48A1"/>
    <w:rsid w:val="009D496A"/>
    <w:rsid w:val="009D4C8D"/>
    <w:rsid w:val="009D4CB2"/>
    <w:rsid w:val="009D4CDF"/>
    <w:rsid w:val="009D4CE0"/>
    <w:rsid w:val="009D4D47"/>
    <w:rsid w:val="009D4DB2"/>
    <w:rsid w:val="009D50D3"/>
    <w:rsid w:val="009D524A"/>
    <w:rsid w:val="009D5271"/>
    <w:rsid w:val="009D5288"/>
    <w:rsid w:val="009D5627"/>
    <w:rsid w:val="009D5654"/>
    <w:rsid w:val="009D56B2"/>
    <w:rsid w:val="009D56D9"/>
    <w:rsid w:val="009D5733"/>
    <w:rsid w:val="009D5757"/>
    <w:rsid w:val="009D5948"/>
    <w:rsid w:val="009D5D46"/>
    <w:rsid w:val="009D5EDA"/>
    <w:rsid w:val="009D5FD9"/>
    <w:rsid w:val="009D64EC"/>
    <w:rsid w:val="009D6523"/>
    <w:rsid w:val="009D6553"/>
    <w:rsid w:val="009D6663"/>
    <w:rsid w:val="009D6724"/>
    <w:rsid w:val="009D6870"/>
    <w:rsid w:val="009D6958"/>
    <w:rsid w:val="009D6BD2"/>
    <w:rsid w:val="009D6C8E"/>
    <w:rsid w:val="009D6D58"/>
    <w:rsid w:val="009D6DD4"/>
    <w:rsid w:val="009D6E8E"/>
    <w:rsid w:val="009D6FC5"/>
    <w:rsid w:val="009D6FC8"/>
    <w:rsid w:val="009D70A0"/>
    <w:rsid w:val="009D70B8"/>
    <w:rsid w:val="009D7170"/>
    <w:rsid w:val="009D72CB"/>
    <w:rsid w:val="009D785D"/>
    <w:rsid w:val="009D79B9"/>
    <w:rsid w:val="009D7CA6"/>
    <w:rsid w:val="009D7D56"/>
    <w:rsid w:val="009D7F87"/>
    <w:rsid w:val="009D7F9C"/>
    <w:rsid w:val="009E025A"/>
    <w:rsid w:val="009E0269"/>
    <w:rsid w:val="009E04C8"/>
    <w:rsid w:val="009E077A"/>
    <w:rsid w:val="009E0A87"/>
    <w:rsid w:val="009E0D4C"/>
    <w:rsid w:val="009E0FAE"/>
    <w:rsid w:val="009E129A"/>
    <w:rsid w:val="009E134C"/>
    <w:rsid w:val="009E134E"/>
    <w:rsid w:val="009E1A3C"/>
    <w:rsid w:val="009E1CC2"/>
    <w:rsid w:val="009E1EA7"/>
    <w:rsid w:val="009E1FAE"/>
    <w:rsid w:val="009E2635"/>
    <w:rsid w:val="009E2887"/>
    <w:rsid w:val="009E28C7"/>
    <w:rsid w:val="009E29B3"/>
    <w:rsid w:val="009E29F7"/>
    <w:rsid w:val="009E2AD3"/>
    <w:rsid w:val="009E2E54"/>
    <w:rsid w:val="009E30FE"/>
    <w:rsid w:val="009E31A7"/>
    <w:rsid w:val="009E325C"/>
    <w:rsid w:val="009E32CB"/>
    <w:rsid w:val="009E3473"/>
    <w:rsid w:val="009E34C3"/>
    <w:rsid w:val="009E34E9"/>
    <w:rsid w:val="009E35FF"/>
    <w:rsid w:val="009E36CE"/>
    <w:rsid w:val="009E3747"/>
    <w:rsid w:val="009E3834"/>
    <w:rsid w:val="009E391C"/>
    <w:rsid w:val="009E3BA0"/>
    <w:rsid w:val="009E4042"/>
    <w:rsid w:val="009E41AC"/>
    <w:rsid w:val="009E41B2"/>
    <w:rsid w:val="009E41E1"/>
    <w:rsid w:val="009E4315"/>
    <w:rsid w:val="009E43B8"/>
    <w:rsid w:val="009E467C"/>
    <w:rsid w:val="009E47E5"/>
    <w:rsid w:val="009E49B3"/>
    <w:rsid w:val="009E4B40"/>
    <w:rsid w:val="009E4C6B"/>
    <w:rsid w:val="009E4D44"/>
    <w:rsid w:val="009E506D"/>
    <w:rsid w:val="009E50D6"/>
    <w:rsid w:val="009E5148"/>
    <w:rsid w:val="009E525B"/>
    <w:rsid w:val="009E5498"/>
    <w:rsid w:val="009E54CE"/>
    <w:rsid w:val="009E550F"/>
    <w:rsid w:val="009E559C"/>
    <w:rsid w:val="009E599F"/>
    <w:rsid w:val="009E5B20"/>
    <w:rsid w:val="009E5B9B"/>
    <w:rsid w:val="009E5CD8"/>
    <w:rsid w:val="009E5EA6"/>
    <w:rsid w:val="009E5EB8"/>
    <w:rsid w:val="009E6035"/>
    <w:rsid w:val="009E603E"/>
    <w:rsid w:val="009E60C4"/>
    <w:rsid w:val="009E629B"/>
    <w:rsid w:val="009E636E"/>
    <w:rsid w:val="009E6376"/>
    <w:rsid w:val="009E6425"/>
    <w:rsid w:val="009E6585"/>
    <w:rsid w:val="009E679D"/>
    <w:rsid w:val="009E67F4"/>
    <w:rsid w:val="009E68F4"/>
    <w:rsid w:val="009E6FE5"/>
    <w:rsid w:val="009E6FFF"/>
    <w:rsid w:val="009E7297"/>
    <w:rsid w:val="009E7440"/>
    <w:rsid w:val="009E7535"/>
    <w:rsid w:val="009E753D"/>
    <w:rsid w:val="009E7562"/>
    <w:rsid w:val="009E75A1"/>
    <w:rsid w:val="009E75FC"/>
    <w:rsid w:val="009E76D3"/>
    <w:rsid w:val="009E7886"/>
    <w:rsid w:val="009E789A"/>
    <w:rsid w:val="009E7953"/>
    <w:rsid w:val="009E7ADB"/>
    <w:rsid w:val="009E7BFA"/>
    <w:rsid w:val="009E7C15"/>
    <w:rsid w:val="009E7C4B"/>
    <w:rsid w:val="009E7C89"/>
    <w:rsid w:val="009E7D6C"/>
    <w:rsid w:val="009E7E8C"/>
    <w:rsid w:val="009E7ECA"/>
    <w:rsid w:val="009E7FE5"/>
    <w:rsid w:val="009F0149"/>
    <w:rsid w:val="009F0283"/>
    <w:rsid w:val="009F0379"/>
    <w:rsid w:val="009F04D9"/>
    <w:rsid w:val="009F0577"/>
    <w:rsid w:val="009F0582"/>
    <w:rsid w:val="009F05CF"/>
    <w:rsid w:val="009F064A"/>
    <w:rsid w:val="009F06E3"/>
    <w:rsid w:val="009F06FE"/>
    <w:rsid w:val="009F0782"/>
    <w:rsid w:val="009F091E"/>
    <w:rsid w:val="009F093C"/>
    <w:rsid w:val="009F0A8F"/>
    <w:rsid w:val="009F0B4B"/>
    <w:rsid w:val="009F0C78"/>
    <w:rsid w:val="009F0CD8"/>
    <w:rsid w:val="009F0EB7"/>
    <w:rsid w:val="009F0ECE"/>
    <w:rsid w:val="009F10BC"/>
    <w:rsid w:val="009F10EC"/>
    <w:rsid w:val="009F11F6"/>
    <w:rsid w:val="009F12B8"/>
    <w:rsid w:val="009F13C1"/>
    <w:rsid w:val="009F146F"/>
    <w:rsid w:val="009F1535"/>
    <w:rsid w:val="009F1847"/>
    <w:rsid w:val="009F1942"/>
    <w:rsid w:val="009F1AC9"/>
    <w:rsid w:val="009F1B0D"/>
    <w:rsid w:val="009F1BF0"/>
    <w:rsid w:val="009F1BF9"/>
    <w:rsid w:val="009F1C30"/>
    <w:rsid w:val="009F1DF3"/>
    <w:rsid w:val="009F1DF7"/>
    <w:rsid w:val="009F1E21"/>
    <w:rsid w:val="009F1E71"/>
    <w:rsid w:val="009F1EB8"/>
    <w:rsid w:val="009F1F52"/>
    <w:rsid w:val="009F20B7"/>
    <w:rsid w:val="009F21CA"/>
    <w:rsid w:val="009F21E8"/>
    <w:rsid w:val="009F229F"/>
    <w:rsid w:val="009F231F"/>
    <w:rsid w:val="009F2515"/>
    <w:rsid w:val="009F2891"/>
    <w:rsid w:val="009F295C"/>
    <w:rsid w:val="009F29AE"/>
    <w:rsid w:val="009F29B3"/>
    <w:rsid w:val="009F2A92"/>
    <w:rsid w:val="009F2B22"/>
    <w:rsid w:val="009F2C67"/>
    <w:rsid w:val="009F2EBB"/>
    <w:rsid w:val="009F2F0A"/>
    <w:rsid w:val="009F326D"/>
    <w:rsid w:val="009F33C5"/>
    <w:rsid w:val="009F3427"/>
    <w:rsid w:val="009F3483"/>
    <w:rsid w:val="009F3519"/>
    <w:rsid w:val="009F36E8"/>
    <w:rsid w:val="009F3A3A"/>
    <w:rsid w:val="009F3A7E"/>
    <w:rsid w:val="009F3BE1"/>
    <w:rsid w:val="009F3C75"/>
    <w:rsid w:val="009F3E5C"/>
    <w:rsid w:val="009F3EBB"/>
    <w:rsid w:val="009F4039"/>
    <w:rsid w:val="009F4046"/>
    <w:rsid w:val="009F40D6"/>
    <w:rsid w:val="009F422E"/>
    <w:rsid w:val="009F454B"/>
    <w:rsid w:val="009F456B"/>
    <w:rsid w:val="009F45B5"/>
    <w:rsid w:val="009F46DD"/>
    <w:rsid w:val="009F4B64"/>
    <w:rsid w:val="009F4D12"/>
    <w:rsid w:val="009F4D49"/>
    <w:rsid w:val="009F4DAB"/>
    <w:rsid w:val="009F522C"/>
    <w:rsid w:val="009F5336"/>
    <w:rsid w:val="009F5400"/>
    <w:rsid w:val="009F5413"/>
    <w:rsid w:val="009F5475"/>
    <w:rsid w:val="009F54E1"/>
    <w:rsid w:val="009F5720"/>
    <w:rsid w:val="009F5803"/>
    <w:rsid w:val="009F5959"/>
    <w:rsid w:val="009F5989"/>
    <w:rsid w:val="009F59E6"/>
    <w:rsid w:val="009F5A0F"/>
    <w:rsid w:val="009F5A13"/>
    <w:rsid w:val="009F5AB1"/>
    <w:rsid w:val="009F5BD1"/>
    <w:rsid w:val="009F5E4A"/>
    <w:rsid w:val="009F5E78"/>
    <w:rsid w:val="009F5F10"/>
    <w:rsid w:val="009F613F"/>
    <w:rsid w:val="009F62FC"/>
    <w:rsid w:val="009F6636"/>
    <w:rsid w:val="009F673E"/>
    <w:rsid w:val="009F673F"/>
    <w:rsid w:val="009F6A6A"/>
    <w:rsid w:val="009F6CED"/>
    <w:rsid w:val="009F6D4D"/>
    <w:rsid w:val="009F6E27"/>
    <w:rsid w:val="009F6E4E"/>
    <w:rsid w:val="009F7010"/>
    <w:rsid w:val="009F7011"/>
    <w:rsid w:val="009F709B"/>
    <w:rsid w:val="009F70C1"/>
    <w:rsid w:val="009F730C"/>
    <w:rsid w:val="009F7311"/>
    <w:rsid w:val="009F774E"/>
    <w:rsid w:val="009F7BF4"/>
    <w:rsid w:val="009F7EB6"/>
    <w:rsid w:val="009F7F7C"/>
    <w:rsid w:val="00A00322"/>
    <w:rsid w:val="00A0037E"/>
    <w:rsid w:val="00A0054A"/>
    <w:rsid w:val="00A00698"/>
    <w:rsid w:val="00A006A9"/>
    <w:rsid w:val="00A0084C"/>
    <w:rsid w:val="00A00A1D"/>
    <w:rsid w:val="00A00A21"/>
    <w:rsid w:val="00A00AF5"/>
    <w:rsid w:val="00A00BDD"/>
    <w:rsid w:val="00A00CA9"/>
    <w:rsid w:val="00A00DF3"/>
    <w:rsid w:val="00A00E4E"/>
    <w:rsid w:val="00A00F15"/>
    <w:rsid w:val="00A0102D"/>
    <w:rsid w:val="00A010C8"/>
    <w:rsid w:val="00A01290"/>
    <w:rsid w:val="00A01303"/>
    <w:rsid w:val="00A01428"/>
    <w:rsid w:val="00A014BC"/>
    <w:rsid w:val="00A0155A"/>
    <w:rsid w:val="00A016BB"/>
    <w:rsid w:val="00A01781"/>
    <w:rsid w:val="00A017D0"/>
    <w:rsid w:val="00A01859"/>
    <w:rsid w:val="00A018FD"/>
    <w:rsid w:val="00A01C1D"/>
    <w:rsid w:val="00A01CB1"/>
    <w:rsid w:val="00A01F16"/>
    <w:rsid w:val="00A01F55"/>
    <w:rsid w:val="00A01FE4"/>
    <w:rsid w:val="00A01FFB"/>
    <w:rsid w:val="00A02010"/>
    <w:rsid w:val="00A02140"/>
    <w:rsid w:val="00A02470"/>
    <w:rsid w:val="00A02595"/>
    <w:rsid w:val="00A02B6A"/>
    <w:rsid w:val="00A02B74"/>
    <w:rsid w:val="00A02BED"/>
    <w:rsid w:val="00A02C23"/>
    <w:rsid w:val="00A02C4F"/>
    <w:rsid w:val="00A02CA1"/>
    <w:rsid w:val="00A02E64"/>
    <w:rsid w:val="00A02F0E"/>
    <w:rsid w:val="00A03059"/>
    <w:rsid w:val="00A0320A"/>
    <w:rsid w:val="00A03254"/>
    <w:rsid w:val="00A03258"/>
    <w:rsid w:val="00A0338F"/>
    <w:rsid w:val="00A03455"/>
    <w:rsid w:val="00A034BA"/>
    <w:rsid w:val="00A034C5"/>
    <w:rsid w:val="00A034F8"/>
    <w:rsid w:val="00A0368F"/>
    <w:rsid w:val="00A03A40"/>
    <w:rsid w:val="00A03A99"/>
    <w:rsid w:val="00A03B79"/>
    <w:rsid w:val="00A03B90"/>
    <w:rsid w:val="00A03BE0"/>
    <w:rsid w:val="00A03CE7"/>
    <w:rsid w:val="00A03E18"/>
    <w:rsid w:val="00A03EEE"/>
    <w:rsid w:val="00A0400C"/>
    <w:rsid w:val="00A0415D"/>
    <w:rsid w:val="00A041B5"/>
    <w:rsid w:val="00A043F1"/>
    <w:rsid w:val="00A04507"/>
    <w:rsid w:val="00A0454A"/>
    <w:rsid w:val="00A0470D"/>
    <w:rsid w:val="00A04718"/>
    <w:rsid w:val="00A0471A"/>
    <w:rsid w:val="00A048A0"/>
    <w:rsid w:val="00A048F7"/>
    <w:rsid w:val="00A04A09"/>
    <w:rsid w:val="00A04BCA"/>
    <w:rsid w:val="00A04BE6"/>
    <w:rsid w:val="00A04C82"/>
    <w:rsid w:val="00A04DB9"/>
    <w:rsid w:val="00A04DD6"/>
    <w:rsid w:val="00A04E9A"/>
    <w:rsid w:val="00A05177"/>
    <w:rsid w:val="00A052D7"/>
    <w:rsid w:val="00A0549E"/>
    <w:rsid w:val="00A05821"/>
    <w:rsid w:val="00A0587D"/>
    <w:rsid w:val="00A05900"/>
    <w:rsid w:val="00A05A83"/>
    <w:rsid w:val="00A05B1D"/>
    <w:rsid w:val="00A05B42"/>
    <w:rsid w:val="00A05C8B"/>
    <w:rsid w:val="00A05D1D"/>
    <w:rsid w:val="00A05DFD"/>
    <w:rsid w:val="00A05E45"/>
    <w:rsid w:val="00A05EA2"/>
    <w:rsid w:val="00A05F9C"/>
    <w:rsid w:val="00A05FB1"/>
    <w:rsid w:val="00A062A2"/>
    <w:rsid w:val="00A063A0"/>
    <w:rsid w:val="00A06479"/>
    <w:rsid w:val="00A06616"/>
    <w:rsid w:val="00A0673B"/>
    <w:rsid w:val="00A0676F"/>
    <w:rsid w:val="00A06876"/>
    <w:rsid w:val="00A06A97"/>
    <w:rsid w:val="00A06CA7"/>
    <w:rsid w:val="00A06CB7"/>
    <w:rsid w:val="00A07021"/>
    <w:rsid w:val="00A0703B"/>
    <w:rsid w:val="00A0708E"/>
    <w:rsid w:val="00A0709F"/>
    <w:rsid w:val="00A0710D"/>
    <w:rsid w:val="00A071F5"/>
    <w:rsid w:val="00A0730A"/>
    <w:rsid w:val="00A0745A"/>
    <w:rsid w:val="00A0750F"/>
    <w:rsid w:val="00A0757B"/>
    <w:rsid w:val="00A076CC"/>
    <w:rsid w:val="00A07869"/>
    <w:rsid w:val="00A078B1"/>
    <w:rsid w:val="00A07D80"/>
    <w:rsid w:val="00A07E11"/>
    <w:rsid w:val="00A07E22"/>
    <w:rsid w:val="00A07FCC"/>
    <w:rsid w:val="00A10347"/>
    <w:rsid w:val="00A1044E"/>
    <w:rsid w:val="00A106E3"/>
    <w:rsid w:val="00A109EF"/>
    <w:rsid w:val="00A10B4A"/>
    <w:rsid w:val="00A10C4A"/>
    <w:rsid w:val="00A10D9D"/>
    <w:rsid w:val="00A11100"/>
    <w:rsid w:val="00A11166"/>
    <w:rsid w:val="00A112AF"/>
    <w:rsid w:val="00A1145B"/>
    <w:rsid w:val="00A11646"/>
    <w:rsid w:val="00A1165C"/>
    <w:rsid w:val="00A116DF"/>
    <w:rsid w:val="00A11C37"/>
    <w:rsid w:val="00A11CD6"/>
    <w:rsid w:val="00A11CDF"/>
    <w:rsid w:val="00A11E08"/>
    <w:rsid w:val="00A11F10"/>
    <w:rsid w:val="00A12284"/>
    <w:rsid w:val="00A125D6"/>
    <w:rsid w:val="00A127DC"/>
    <w:rsid w:val="00A1285E"/>
    <w:rsid w:val="00A1296C"/>
    <w:rsid w:val="00A12B0C"/>
    <w:rsid w:val="00A12E08"/>
    <w:rsid w:val="00A12E31"/>
    <w:rsid w:val="00A12E56"/>
    <w:rsid w:val="00A12E91"/>
    <w:rsid w:val="00A12FD6"/>
    <w:rsid w:val="00A1305F"/>
    <w:rsid w:val="00A130F7"/>
    <w:rsid w:val="00A131BB"/>
    <w:rsid w:val="00A133CC"/>
    <w:rsid w:val="00A13534"/>
    <w:rsid w:val="00A135C1"/>
    <w:rsid w:val="00A13687"/>
    <w:rsid w:val="00A136D8"/>
    <w:rsid w:val="00A137F4"/>
    <w:rsid w:val="00A13A34"/>
    <w:rsid w:val="00A13BDA"/>
    <w:rsid w:val="00A13D70"/>
    <w:rsid w:val="00A13E40"/>
    <w:rsid w:val="00A13EA5"/>
    <w:rsid w:val="00A14248"/>
    <w:rsid w:val="00A1432D"/>
    <w:rsid w:val="00A14453"/>
    <w:rsid w:val="00A1474C"/>
    <w:rsid w:val="00A14978"/>
    <w:rsid w:val="00A14AE0"/>
    <w:rsid w:val="00A14C13"/>
    <w:rsid w:val="00A14CB8"/>
    <w:rsid w:val="00A14E53"/>
    <w:rsid w:val="00A14ED4"/>
    <w:rsid w:val="00A150B4"/>
    <w:rsid w:val="00A1525F"/>
    <w:rsid w:val="00A154CB"/>
    <w:rsid w:val="00A15580"/>
    <w:rsid w:val="00A156CC"/>
    <w:rsid w:val="00A15735"/>
    <w:rsid w:val="00A157D8"/>
    <w:rsid w:val="00A15803"/>
    <w:rsid w:val="00A15938"/>
    <w:rsid w:val="00A1597E"/>
    <w:rsid w:val="00A1598C"/>
    <w:rsid w:val="00A159EA"/>
    <w:rsid w:val="00A15A71"/>
    <w:rsid w:val="00A15ACD"/>
    <w:rsid w:val="00A15B27"/>
    <w:rsid w:val="00A15B7B"/>
    <w:rsid w:val="00A15C23"/>
    <w:rsid w:val="00A15D44"/>
    <w:rsid w:val="00A15DD9"/>
    <w:rsid w:val="00A15E02"/>
    <w:rsid w:val="00A15EE2"/>
    <w:rsid w:val="00A15FBB"/>
    <w:rsid w:val="00A16121"/>
    <w:rsid w:val="00A16188"/>
    <w:rsid w:val="00A161EA"/>
    <w:rsid w:val="00A1628A"/>
    <w:rsid w:val="00A1633B"/>
    <w:rsid w:val="00A163CF"/>
    <w:rsid w:val="00A16407"/>
    <w:rsid w:val="00A16438"/>
    <w:rsid w:val="00A16449"/>
    <w:rsid w:val="00A164E2"/>
    <w:rsid w:val="00A16514"/>
    <w:rsid w:val="00A16972"/>
    <w:rsid w:val="00A16AAE"/>
    <w:rsid w:val="00A16C4C"/>
    <w:rsid w:val="00A16C9F"/>
    <w:rsid w:val="00A16D75"/>
    <w:rsid w:val="00A16D7E"/>
    <w:rsid w:val="00A17620"/>
    <w:rsid w:val="00A176B6"/>
    <w:rsid w:val="00A17730"/>
    <w:rsid w:val="00A17A2B"/>
    <w:rsid w:val="00A17B66"/>
    <w:rsid w:val="00A17B9D"/>
    <w:rsid w:val="00A17DB7"/>
    <w:rsid w:val="00A200C9"/>
    <w:rsid w:val="00A201C8"/>
    <w:rsid w:val="00A20316"/>
    <w:rsid w:val="00A2041F"/>
    <w:rsid w:val="00A20423"/>
    <w:rsid w:val="00A20536"/>
    <w:rsid w:val="00A2057A"/>
    <w:rsid w:val="00A206E8"/>
    <w:rsid w:val="00A20714"/>
    <w:rsid w:val="00A20858"/>
    <w:rsid w:val="00A208C2"/>
    <w:rsid w:val="00A20912"/>
    <w:rsid w:val="00A20A29"/>
    <w:rsid w:val="00A20BE2"/>
    <w:rsid w:val="00A20CA6"/>
    <w:rsid w:val="00A20DAD"/>
    <w:rsid w:val="00A20E24"/>
    <w:rsid w:val="00A20E79"/>
    <w:rsid w:val="00A20ECF"/>
    <w:rsid w:val="00A20F55"/>
    <w:rsid w:val="00A20F5A"/>
    <w:rsid w:val="00A2109E"/>
    <w:rsid w:val="00A210A4"/>
    <w:rsid w:val="00A21283"/>
    <w:rsid w:val="00A2148D"/>
    <w:rsid w:val="00A214D2"/>
    <w:rsid w:val="00A2168A"/>
    <w:rsid w:val="00A21815"/>
    <w:rsid w:val="00A21861"/>
    <w:rsid w:val="00A2186C"/>
    <w:rsid w:val="00A218D2"/>
    <w:rsid w:val="00A21995"/>
    <w:rsid w:val="00A21A36"/>
    <w:rsid w:val="00A21CA9"/>
    <w:rsid w:val="00A21CB0"/>
    <w:rsid w:val="00A21E00"/>
    <w:rsid w:val="00A21F0A"/>
    <w:rsid w:val="00A21F18"/>
    <w:rsid w:val="00A22002"/>
    <w:rsid w:val="00A22022"/>
    <w:rsid w:val="00A22052"/>
    <w:rsid w:val="00A22066"/>
    <w:rsid w:val="00A2219A"/>
    <w:rsid w:val="00A221A1"/>
    <w:rsid w:val="00A22330"/>
    <w:rsid w:val="00A22424"/>
    <w:rsid w:val="00A22463"/>
    <w:rsid w:val="00A22469"/>
    <w:rsid w:val="00A22542"/>
    <w:rsid w:val="00A22917"/>
    <w:rsid w:val="00A2293D"/>
    <w:rsid w:val="00A22985"/>
    <w:rsid w:val="00A2299E"/>
    <w:rsid w:val="00A22A45"/>
    <w:rsid w:val="00A22E00"/>
    <w:rsid w:val="00A22EFC"/>
    <w:rsid w:val="00A230A2"/>
    <w:rsid w:val="00A23246"/>
    <w:rsid w:val="00A2336C"/>
    <w:rsid w:val="00A233D2"/>
    <w:rsid w:val="00A236CE"/>
    <w:rsid w:val="00A23890"/>
    <w:rsid w:val="00A23923"/>
    <w:rsid w:val="00A2392F"/>
    <w:rsid w:val="00A239EB"/>
    <w:rsid w:val="00A23B33"/>
    <w:rsid w:val="00A23BB1"/>
    <w:rsid w:val="00A23BEB"/>
    <w:rsid w:val="00A23D1F"/>
    <w:rsid w:val="00A23D6F"/>
    <w:rsid w:val="00A23FCF"/>
    <w:rsid w:val="00A2408B"/>
    <w:rsid w:val="00A240ED"/>
    <w:rsid w:val="00A242AA"/>
    <w:rsid w:val="00A242CE"/>
    <w:rsid w:val="00A242F8"/>
    <w:rsid w:val="00A243AF"/>
    <w:rsid w:val="00A2444A"/>
    <w:rsid w:val="00A2444E"/>
    <w:rsid w:val="00A2483D"/>
    <w:rsid w:val="00A24968"/>
    <w:rsid w:val="00A24975"/>
    <w:rsid w:val="00A249B0"/>
    <w:rsid w:val="00A249E2"/>
    <w:rsid w:val="00A24AE8"/>
    <w:rsid w:val="00A24C01"/>
    <w:rsid w:val="00A24CF3"/>
    <w:rsid w:val="00A24D02"/>
    <w:rsid w:val="00A24FE4"/>
    <w:rsid w:val="00A2518F"/>
    <w:rsid w:val="00A251D0"/>
    <w:rsid w:val="00A253B4"/>
    <w:rsid w:val="00A254DE"/>
    <w:rsid w:val="00A25640"/>
    <w:rsid w:val="00A256B8"/>
    <w:rsid w:val="00A256D8"/>
    <w:rsid w:val="00A25782"/>
    <w:rsid w:val="00A25A81"/>
    <w:rsid w:val="00A25AF9"/>
    <w:rsid w:val="00A25C7E"/>
    <w:rsid w:val="00A25CDC"/>
    <w:rsid w:val="00A25D8A"/>
    <w:rsid w:val="00A25E9D"/>
    <w:rsid w:val="00A25EAF"/>
    <w:rsid w:val="00A25F85"/>
    <w:rsid w:val="00A25FF5"/>
    <w:rsid w:val="00A2632A"/>
    <w:rsid w:val="00A2636D"/>
    <w:rsid w:val="00A26389"/>
    <w:rsid w:val="00A26421"/>
    <w:rsid w:val="00A26501"/>
    <w:rsid w:val="00A265C3"/>
    <w:rsid w:val="00A265D5"/>
    <w:rsid w:val="00A26790"/>
    <w:rsid w:val="00A268F0"/>
    <w:rsid w:val="00A26A35"/>
    <w:rsid w:val="00A26D7C"/>
    <w:rsid w:val="00A26E8E"/>
    <w:rsid w:val="00A270E6"/>
    <w:rsid w:val="00A271E6"/>
    <w:rsid w:val="00A271ED"/>
    <w:rsid w:val="00A27529"/>
    <w:rsid w:val="00A2753B"/>
    <w:rsid w:val="00A2791F"/>
    <w:rsid w:val="00A27B31"/>
    <w:rsid w:val="00A27B97"/>
    <w:rsid w:val="00A27F10"/>
    <w:rsid w:val="00A300AB"/>
    <w:rsid w:val="00A30369"/>
    <w:rsid w:val="00A3039D"/>
    <w:rsid w:val="00A303B8"/>
    <w:rsid w:val="00A30942"/>
    <w:rsid w:val="00A30947"/>
    <w:rsid w:val="00A30983"/>
    <w:rsid w:val="00A309EE"/>
    <w:rsid w:val="00A30AF9"/>
    <w:rsid w:val="00A30BF0"/>
    <w:rsid w:val="00A30C13"/>
    <w:rsid w:val="00A30C2D"/>
    <w:rsid w:val="00A30C4D"/>
    <w:rsid w:val="00A30D09"/>
    <w:rsid w:val="00A30D0C"/>
    <w:rsid w:val="00A30DCE"/>
    <w:rsid w:val="00A30E2B"/>
    <w:rsid w:val="00A30F14"/>
    <w:rsid w:val="00A30F5E"/>
    <w:rsid w:val="00A31210"/>
    <w:rsid w:val="00A31413"/>
    <w:rsid w:val="00A314CA"/>
    <w:rsid w:val="00A31510"/>
    <w:rsid w:val="00A315A5"/>
    <w:rsid w:val="00A3167D"/>
    <w:rsid w:val="00A317C5"/>
    <w:rsid w:val="00A31816"/>
    <w:rsid w:val="00A31852"/>
    <w:rsid w:val="00A3185B"/>
    <w:rsid w:val="00A319F2"/>
    <w:rsid w:val="00A319F7"/>
    <w:rsid w:val="00A31BE0"/>
    <w:rsid w:val="00A31C22"/>
    <w:rsid w:val="00A31DDA"/>
    <w:rsid w:val="00A31FA2"/>
    <w:rsid w:val="00A32053"/>
    <w:rsid w:val="00A321AF"/>
    <w:rsid w:val="00A32381"/>
    <w:rsid w:val="00A3244E"/>
    <w:rsid w:val="00A32458"/>
    <w:rsid w:val="00A325E0"/>
    <w:rsid w:val="00A32728"/>
    <w:rsid w:val="00A3273D"/>
    <w:rsid w:val="00A32A06"/>
    <w:rsid w:val="00A32B06"/>
    <w:rsid w:val="00A32CF5"/>
    <w:rsid w:val="00A32D24"/>
    <w:rsid w:val="00A3306D"/>
    <w:rsid w:val="00A33115"/>
    <w:rsid w:val="00A33116"/>
    <w:rsid w:val="00A3324C"/>
    <w:rsid w:val="00A3325E"/>
    <w:rsid w:val="00A3332F"/>
    <w:rsid w:val="00A3336B"/>
    <w:rsid w:val="00A33459"/>
    <w:rsid w:val="00A3346D"/>
    <w:rsid w:val="00A334E4"/>
    <w:rsid w:val="00A3372D"/>
    <w:rsid w:val="00A33811"/>
    <w:rsid w:val="00A338C2"/>
    <w:rsid w:val="00A33952"/>
    <w:rsid w:val="00A33C4D"/>
    <w:rsid w:val="00A33C76"/>
    <w:rsid w:val="00A33C89"/>
    <w:rsid w:val="00A33C91"/>
    <w:rsid w:val="00A33D8B"/>
    <w:rsid w:val="00A33ED0"/>
    <w:rsid w:val="00A33F31"/>
    <w:rsid w:val="00A33FBC"/>
    <w:rsid w:val="00A34073"/>
    <w:rsid w:val="00A3409C"/>
    <w:rsid w:val="00A34164"/>
    <w:rsid w:val="00A342E6"/>
    <w:rsid w:val="00A34522"/>
    <w:rsid w:val="00A3455F"/>
    <w:rsid w:val="00A3470C"/>
    <w:rsid w:val="00A349F6"/>
    <w:rsid w:val="00A34BA7"/>
    <w:rsid w:val="00A34D24"/>
    <w:rsid w:val="00A34EAD"/>
    <w:rsid w:val="00A351B0"/>
    <w:rsid w:val="00A3533D"/>
    <w:rsid w:val="00A354CF"/>
    <w:rsid w:val="00A35829"/>
    <w:rsid w:val="00A3599A"/>
    <w:rsid w:val="00A35AA4"/>
    <w:rsid w:val="00A35BD1"/>
    <w:rsid w:val="00A35CDE"/>
    <w:rsid w:val="00A35D1B"/>
    <w:rsid w:val="00A35D65"/>
    <w:rsid w:val="00A35DF8"/>
    <w:rsid w:val="00A3600B"/>
    <w:rsid w:val="00A361C3"/>
    <w:rsid w:val="00A3621F"/>
    <w:rsid w:val="00A36333"/>
    <w:rsid w:val="00A36389"/>
    <w:rsid w:val="00A36649"/>
    <w:rsid w:val="00A36655"/>
    <w:rsid w:val="00A3666A"/>
    <w:rsid w:val="00A36843"/>
    <w:rsid w:val="00A36A8C"/>
    <w:rsid w:val="00A36AA5"/>
    <w:rsid w:val="00A36C3E"/>
    <w:rsid w:val="00A36C50"/>
    <w:rsid w:val="00A3701D"/>
    <w:rsid w:val="00A3709E"/>
    <w:rsid w:val="00A37278"/>
    <w:rsid w:val="00A3728E"/>
    <w:rsid w:val="00A374B9"/>
    <w:rsid w:val="00A37524"/>
    <w:rsid w:val="00A375BB"/>
    <w:rsid w:val="00A378EA"/>
    <w:rsid w:val="00A379B6"/>
    <w:rsid w:val="00A37A5B"/>
    <w:rsid w:val="00A37A9A"/>
    <w:rsid w:val="00A37E11"/>
    <w:rsid w:val="00A37F01"/>
    <w:rsid w:val="00A37F0E"/>
    <w:rsid w:val="00A37FA1"/>
    <w:rsid w:val="00A40131"/>
    <w:rsid w:val="00A40428"/>
    <w:rsid w:val="00A4065B"/>
    <w:rsid w:val="00A4067F"/>
    <w:rsid w:val="00A406BA"/>
    <w:rsid w:val="00A406D7"/>
    <w:rsid w:val="00A408F1"/>
    <w:rsid w:val="00A40C3E"/>
    <w:rsid w:val="00A411FA"/>
    <w:rsid w:val="00A41278"/>
    <w:rsid w:val="00A412C3"/>
    <w:rsid w:val="00A4137F"/>
    <w:rsid w:val="00A414AD"/>
    <w:rsid w:val="00A417B3"/>
    <w:rsid w:val="00A4185C"/>
    <w:rsid w:val="00A41899"/>
    <w:rsid w:val="00A419E5"/>
    <w:rsid w:val="00A419FA"/>
    <w:rsid w:val="00A41AA6"/>
    <w:rsid w:val="00A41AC7"/>
    <w:rsid w:val="00A41B9F"/>
    <w:rsid w:val="00A41BD3"/>
    <w:rsid w:val="00A41D9A"/>
    <w:rsid w:val="00A41E58"/>
    <w:rsid w:val="00A41ECB"/>
    <w:rsid w:val="00A41FC5"/>
    <w:rsid w:val="00A421C4"/>
    <w:rsid w:val="00A421E9"/>
    <w:rsid w:val="00A424D1"/>
    <w:rsid w:val="00A42563"/>
    <w:rsid w:val="00A4258F"/>
    <w:rsid w:val="00A426DF"/>
    <w:rsid w:val="00A4279F"/>
    <w:rsid w:val="00A42F85"/>
    <w:rsid w:val="00A42F99"/>
    <w:rsid w:val="00A43043"/>
    <w:rsid w:val="00A4309E"/>
    <w:rsid w:val="00A43289"/>
    <w:rsid w:val="00A433CB"/>
    <w:rsid w:val="00A43553"/>
    <w:rsid w:val="00A4364A"/>
    <w:rsid w:val="00A4379E"/>
    <w:rsid w:val="00A4399E"/>
    <w:rsid w:val="00A43AB9"/>
    <w:rsid w:val="00A43C6A"/>
    <w:rsid w:val="00A44020"/>
    <w:rsid w:val="00A443A1"/>
    <w:rsid w:val="00A443E7"/>
    <w:rsid w:val="00A44454"/>
    <w:rsid w:val="00A44592"/>
    <w:rsid w:val="00A44ADC"/>
    <w:rsid w:val="00A44B40"/>
    <w:rsid w:val="00A44BA8"/>
    <w:rsid w:val="00A44C4B"/>
    <w:rsid w:val="00A44C79"/>
    <w:rsid w:val="00A44EC1"/>
    <w:rsid w:val="00A45002"/>
    <w:rsid w:val="00A4505A"/>
    <w:rsid w:val="00A450A9"/>
    <w:rsid w:val="00A45177"/>
    <w:rsid w:val="00A453E4"/>
    <w:rsid w:val="00A454B3"/>
    <w:rsid w:val="00A45617"/>
    <w:rsid w:val="00A45639"/>
    <w:rsid w:val="00A458AD"/>
    <w:rsid w:val="00A45908"/>
    <w:rsid w:val="00A45971"/>
    <w:rsid w:val="00A45BC6"/>
    <w:rsid w:val="00A45D01"/>
    <w:rsid w:val="00A45E52"/>
    <w:rsid w:val="00A45EA5"/>
    <w:rsid w:val="00A4604F"/>
    <w:rsid w:val="00A46482"/>
    <w:rsid w:val="00A4657F"/>
    <w:rsid w:val="00A465D1"/>
    <w:rsid w:val="00A46652"/>
    <w:rsid w:val="00A466C3"/>
    <w:rsid w:val="00A466CB"/>
    <w:rsid w:val="00A46707"/>
    <w:rsid w:val="00A46741"/>
    <w:rsid w:val="00A467B3"/>
    <w:rsid w:val="00A467BA"/>
    <w:rsid w:val="00A46BD4"/>
    <w:rsid w:val="00A46C2E"/>
    <w:rsid w:val="00A46C7C"/>
    <w:rsid w:val="00A46C96"/>
    <w:rsid w:val="00A46D15"/>
    <w:rsid w:val="00A46E58"/>
    <w:rsid w:val="00A46EFE"/>
    <w:rsid w:val="00A47090"/>
    <w:rsid w:val="00A4713D"/>
    <w:rsid w:val="00A47162"/>
    <w:rsid w:val="00A471FC"/>
    <w:rsid w:val="00A47626"/>
    <w:rsid w:val="00A47671"/>
    <w:rsid w:val="00A47785"/>
    <w:rsid w:val="00A477C7"/>
    <w:rsid w:val="00A47AA5"/>
    <w:rsid w:val="00A47C6D"/>
    <w:rsid w:val="00A47D3A"/>
    <w:rsid w:val="00A47D7D"/>
    <w:rsid w:val="00A47E8B"/>
    <w:rsid w:val="00A500FD"/>
    <w:rsid w:val="00A5026D"/>
    <w:rsid w:val="00A50369"/>
    <w:rsid w:val="00A506F5"/>
    <w:rsid w:val="00A506FE"/>
    <w:rsid w:val="00A50E6B"/>
    <w:rsid w:val="00A51048"/>
    <w:rsid w:val="00A5124F"/>
    <w:rsid w:val="00A513F1"/>
    <w:rsid w:val="00A51477"/>
    <w:rsid w:val="00A51486"/>
    <w:rsid w:val="00A515D5"/>
    <w:rsid w:val="00A5170E"/>
    <w:rsid w:val="00A51967"/>
    <w:rsid w:val="00A51A5E"/>
    <w:rsid w:val="00A51CEF"/>
    <w:rsid w:val="00A51DCE"/>
    <w:rsid w:val="00A51E3B"/>
    <w:rsid w:val="00A51F4B"/>
    <w:rsid w:val="00A52134"/>
    <w:rsid w:val="00A52204"/>
    <w:rsid w:val="00A522EA"/>
    <w:rsid w:val="00A5246A"/>
    <w:rsid w:val="00A524B0"/>
    <w:rsid w:val="00A527A9"/>
    <w:rsid w:val="00A52830"/>
    <w:rsid w:val="00A5295F"/>
    <w:rsid w:val="00A529E8"/>
    <w:rsid w:val="00A52A5F"/>
    <w:rsid w:val="00A52D07"/>
    <w:rsid w:val="00A52E6C"/>
    <w:rsid w:val="00A52ED5"/>
    <w:rsid w:val="00A530C6"/>
    <w:rsid w:val="00A53106"/>
    <w:rsid w:val="00A531B2"/>
    <w:rsid w:val="00A5323B"/>
    <w:rsid w:val="00A53279"/>
    <w:rsid w:val="00A532F8"/>
    <w:rsid w:val="00A53510"/>
    <w:rsid w:val="00A538DB"/>
    <w:rsid w:val="00A53A7C"/>
    <w:rsid w:val="00A53AE2"/>
    <w:rsid w:val="00A53D5A"/>
    <w:rsid w:val="00A53EBA"/>
    <w:rsid w:val="00A53F28"/>
    <w:rsid w:val="00A54178"/>
    <w:rsid w:val="00A5422E"/>
    <w:rsid w:val="00A54239"/>
    <w:rsid w:val="00A5431A"/>
    <w:rsid w:val="00A54382"/>
    <w:rsid w:val="00A54567"/>
    <w:rsid w:val="00A54841"/>
    <w:rsid w:val="00A549B5"/>
    <w:rsid w:val="00A549C2"/>
    <w:rsid w:val="00A54A2A"/>
    <w:rsid w:val="00A54C33"/>
    <w:rsid w:val="00A54D6F"/>
    <w:rsid w:val="00A54E52"/>
    <w:rsid w:val="00A54E8B"/>
    <w:rsid w:val="00A54FB4"/>
    <w:rsid w:val="00A55013"/>
    <w:rsid w:val="00A550C3"/>
    <w:rsid w:val="00A55226"/>
    <w:rsid w:val="00A555F5"/>
    <w:rsid w:val="00A55686"/>
    <w:rsid w:val="00A558E7"/>
    <w:rsid w:val="00A55938"/>
    <w:rsid w:val="00A55B35"/>
    <w:rsid w:val="00A55D87"/>
    <w:rsid w:val="00A55E58"/>
    <w:rsid w:val="00A56098"/>
    <w:rsid w:val="00A560C3"/>
    <w:rsid w:val="00A56181"/>
    <w:rsid w:val="00A562C4"/>
    <w:rsid w:val="00A56531"/>
    <w:rsid w:val="00A565E5"/>
    <w:rsid w:val="00A56606"/>
    <w:rsid w:val="00A56681"/>
    <w:rsid w:val="00A56716"/>
    <w:rsid w:val="00A569C7"/>
    <w:rsid w:val="00A56B5E"/>
    <w:rsid w:val="00A56B96"/>
    <w:rsid w:val="00A56BC8"/>
    <w:rsid w:val="00A56CFF"/>
    <w:rsid w:val="00A56D2F"/>
    <w:rsid w:val="00A56DE0"/>
    <w:rsid w:val="00A56DF5"/>
    <w:rsid w:val="00A56FC0"/>
    <w:rsid w:val="00A57092"/>
    <w:rsid w:val="00A57400"/>
    <w:rsid w:val="00A57935"/>
    <w:rsid w:val="00A57A68"/>
    <w:rsid w:val="00A57A97"/>
    <w:rsid w:val="00A57AD9"/>
    <w:rsid w:val="00A57B1A"/>
    <w:rsid w:val="00A57B7F"/>
    <w:rsid w:val="00A57D95"/>
    <w:rsid w:val="00A57F80"/>
    <w:rsid w:val="00A6005F"/>
    <w:rsid w:val="00A60081"/>
    <w:rsid w:val="00A601A0"/>
    <w:rsid w:val="00A602EE"/>
    <w:rsid w:val="00A60316"/>
    <w:rsid w:val="00A60465"/>
    <w:rsid w:val="00A6071D"/>
    <w:rsid w:val="00A6096B"/>
    <w:rsid w:val="00A60972"/>
    <w:rsid w:val="00A60A30"/>
    <w:rsid w:val="00A60B1C"/>
    <w:rsid w:val="00A60CEB"/>
    <w:rsid w:val="00A60CF3"/>
    <w:rsid w:val="00A60D14"/>
    <w:rsid w:val="00A60D8C"/>
    <w:rsid w:val="00A60E09"/>
    <w:rsid w:val="00A6123C"/>
    <w:rsid w:val="00A61331"/>
    <w:rsid w:val="00A6135E"/>
    <w:rsid w:val="00A614B2"/>
    <w:rsid w:val="00A6157A"/>
    <w:rsid w:val="00A61586"/>
    <w:rsid w:val="00A615F2"/>
    <w:rsid w:val="00A61730"/>
    <w:rsid w:val="00A6177D"/>
    <w:rsid w:val="00A61800"/>
    <w:rsid w:val="00A61A43"/>
    <w:rsid w:val="00A61B16"/>
    <w:rsid w:val="00A61C5D"/>
    <w:rsid w:val="00A620B3"/>
    <w:rsid w:val="00A6217B"/>
    <w:rsid w:val="00A623C8"/>
    <w:rsid w:val="00A623CB"/>
    <w:rsid w:val="00A62540"/>
    <w:rsid w:val="00A62549"/>
    <w:rsid w:val="00A6257E"/>
    <w:rsid w:val="00A625CB"/>
    <w:rsid w:val="00A628EF"/>
    <w:rsid w:val="00A62C47"/>
    <w:rsid w:val="00A62D1D"/>
    <w:rsid w:val="00A62D1E"/>
    <w:rsid w:val="00A62D98"/>
    <w:rsid w:val="00A62E79"/>
    <w:rsid w:val="00A62F6E"/>
    <w:rsid w:val="00A632E8"/>
    <w:rsid w:val="00A6333D"/>
    <w:rsid w:val="00A633C5"/>
    <w:rsid w:val="00A6344B"/>
    <w:rsid w:val="00A6370D"/>
    <w:rsid w:val="00A63B92"/>
    <w:rsid w:val="00A63BC1"/>
    <w:rsid w:val="00A63C18"/>
    <w:rsid w:val="00A63D56"/>
    <w:rsid w:val="00A640A3"/>
    <w:rsid w:val="00A6426C"/>
    <w:rsid w:val="00A643CB"/>
    <w:rsid w:val="00A6444E"/>
    <w:rsid w:val="00A64458"/>
    <w:rsid w:val="00A644B7"/>
    <w:rsid w:val="00A644E6"/>
    <w:rsid w:val="00A64678"/>
    <w:rsid w:val="00A647CE"/>
    <w:rsid w:val="00A64A5E"/>
    <w:rsid w:val="00A64AA9"/>
    <w:rsid w:val="00A64B04"/>
    <w:rsid w:val="00A64BAE"/>
    <w:rsid w:val="00A64CB2"/>
    <w:rsid w:val="00A64D69"/>
    <w:rsid w:val="00A64E3B"/>
    <w:rsid w:val="00A651DF"/>
    <w:rsid w:val="00A651F1"/>
    <w:rsid w:val="00A65271"/>
    <w:rsid w:val="00A652BB"/>
    <w:rsid w:val="00A654BF"/>
    <w:rsid w:val="00A6551A"/>
    <w:rsid w:val="00A658E0"/>
    <w:rsid w:val="00A65AB6"/>
    <w:rsid w:val="00A65B51"/>
    <w:rsid w:val="00A65C09"/>
    <w:rsid w:val="00A65C26"/>
    <w:rsid w:val="00A65E23"/>
    <w:rsid w:val="00A6621C"/>
    <w:rsid w:val="00A662DC"/>
    <w:rsid w:val="00A6648F"/>
    <w:rsid w:val="00A66555"/>
    <w:rsid w:val="00A6685A"/>
    <w:rsid w:val="00A66A5B"/>
    <w:rsid w:val="00A66ACA"/>
    <w:rsid w:val="00A66B5E"/>
    <w:rsid w:val="00A66F0D"/>
    <w:rsid w:val="00A66FAA"/>
    <w:rsid w:val="00A66FBB"/>
    <w:rsid w:val="00A6710D"/>
    <w:rsid w:val="00A671C9"/>
    <w:rsid w:val="00A673BD"/>
    <w:rsid w:val="00A673E0"/>
    <w:rsid w:val="00A6741B"/>
    <w:rsid w:val="00A67513"/>
    <w:rsid w:val="00A67632"/>
    <w:rsid w:val="00A676AD"/>
    <w:rsid w:val="00A67756"/>
    <w:rsid w:val="00A67998"/>
    <w:rsid w:val="00A67D19"/>
    <w:rsid w:val="00A67DFB"/>
    <w:rsid w:val="00A67F19"/>
    <w:rsid w:val="00A7002C"/>
    <w:rsid w:val="00A70143"/>
    <w:rsid w:val="00A7034C"/>
    <w:rsid w:val="00A70650"/>
    <w:rsid w:val="00A70874"/>
    <w:rsid w:val="00A70A18"/>
    <w:rsid w:val="00A70ABD"/>
    <w:rsid w:val="00A70C16"/>
    <w:rsid w:val="00A70C56"/>
    <w:rsid w:val="00A70C86"/>
    <w:rsid w:val="00A70CE9"/>
    <w:rsid w:val="00A70D1D"/>
    <w:rsid w:val="00A71183"/>
    <w:rsid w:val="00A71199"/>
    <w:rsid w:val="00A711A8"/>
    <w:rsid w:val="00A715A6"/>
    <w:rsid w:val="00A7195A"/>
    <w:rsid w:val="00A71989"/>
    <w:rsid w:val="00A719C1"/>
    <w:rsid w:val="00A71A03"/>
    <w:rsid w:val="00A71A3E"/>
    <w:rsid w:val="00A71C05"/>
    <w:rsid w:val="00A71EB8"/>
    <w:rsid w:val="00A71F57"/>
    <w:rsid w:val="00A71F79"/>
    <w:rsid w:val="00A722BC"/>
    <w:rsid w:val="00A7248A"/>
    <w:rsid w:val="00A724E4"/>
    <w:rsid w:val="00A72608"/>
    <w:rsid w:val="00A72733"/>
    <w:rsid w:val="00A72975"/>
    <w:rsid w:val="00A72A3A"/>
    <w:rsid w:val="00A72AC9"/>
    <w:rsid w:val="00A72C7E"/>
    <w:rsid w:val="00A72E2C"/>
    <w:rsid w:val="00A72E86"/>
    <w:rsid w:val="00A7301E"/>
    <w:rsid w:val="00A73050"/>
    <w:rsid w:val="00A73130"/>
    <w:rsid w:val="00A7321F"/>
    <w:rsid w:val="00A732E7"/>
    <w:rsid w:val="00A73364"/>
    <w:rsid w:val="00A733A4"/>
    <w:rsid w:val="00A733B7"/>
    <w:rsid w:val="00A7341F"/>
    <w:rsid w:val="00A734D3"/>
    <w:rsid w:val="00A7369D"/>
    <w:rsid w:val="00A7385E"/>
    <w:rsid w:val="00A73939"/>
    <w:rsid w:val="00A73995"/>
    <w:rsid w:val="00A73BA7"/>
    <w:rsid w:val="00A73D2F"/>
    <w:rsid w:val="00A73DF3"/>
    <w:rsid w:val="00A73E96"/>
    <w:rsid w:val="00A74189"/>
    <w:rsid w:val="00A74213"/>
    <w:rsid w:val="00A74226"/>
    <w:rsid w:val="00A74338"/>
    <w:rsid w:val="00A7438B"/>
    <w:rsid w:val="00A74430"/>
    <w:rsid w:val="00A7448C"/>
    <w:rsid w:val="00A74702"/>
    <w:rsid w:val="00A74761"/>
    <w:rsid w:val="00A747AC"/>
    <w:rsid w:val="00A747E5"/>
    <w:rsid w:val="00A74803"/>
    <w:rsid w:val="00A748AF"/>
    <w:rsid w:val="00A749D4"/>
    <w:rsid w:val="00A74B0A"/>
    <w:rsid w:val="00A74D44"/>
    <w:rsid w:val="00A75009"/>
    <w:rsid w:val="00A75174"/>
    <w:rsid w:val="00A75400"/>
    <w:rsid w:val="00A755CF"/>
    <w:rsid w:val="00A75655"/>
    <w:rsid w:val="00A757B0"/>
    <w:rsid w:val="00A75828"/>
    <w:rsid w:val="00A759E0"/>
    <w:rsid w:val="00A75A8C"/>
    <w:rsid w:val="00A75B73"/>
    <w:rsid w:val="00A75B9D"/>
    <w:rsid w:val="00A75C2B"/>
    <w:rsid w:val="00A75CEE"/>
    <w:rsid w:val="00A75D60"/>
    <w:rsid w:val="00A75D7C"/>
    <w:rsid w:val="00A75E81"/>
    <w:rsid w:val="00A75F35"/>
    <w:rsid w:val="00A75F37"/>
    <w:rsid w:val="00A76001"/>
    <w:rsid w:val="00A763F5"/>
    <w:rsid w:val="00A764C9"/>
    <w:rsid w:val="00A765B2"/>
    <w:rsid w:val="00A765CD"/>
    <w:rsid w:val="00A76648"/>
    <w:rsid w:val="00A76661"/>
    <w:rsid w:val="00A766CB"/>
    <w:rsid w:val="00A76976"/>
    <w:rsid w:val="00A76979"/>
    <w:rsid w:val="00A76B77"/>
    <w:rsid w:val="00A76CF2"/>
    <w:rsid w:val="00A76D67"/>
    <w:rsid w:val="00A76D76"/>
    <w:rsid w:val="00A76F4C"/>
    <w:rsid w:val="00A76FE1"/>
    <w:rsid w:val="00A7700E"/>
    <w:rsid w:val="00A7701D"/>
    <w:rsid w:val="00A77055"/>
    <w:rsid w:val="00A770EF"/>
    <w:rsid w:val="00A77117"/>
    <w:rsid w:val="00A7714E"/>
    <w:rsid w:val="00A77157"/>
    <w:rsid w:val="00A7724D"/>
    <w:rsid w:val="00A772ED"/>
    <w:rsid w:val="00A776A4"/>
    <w:rsid w:val="00A777ED"/>
    <w:rsid w:val="00A77870"/>
    <w:rsid w:val="00A77A26"/>
    <w:rsid w:val="00A77C65"/>
    <w:rsid w:val="00A77C84"/>
    <w:rsid w:val="00A77DC9"/>
    <w:rsid w:val="00A77DD5"/>
    <w:rsid w:val="00A77E49"/>
    <w:rsid w:val="00A77EF8"/>
    <w:rsid w:val="00A77F70"/>
    <w:rsid w:val="00A80060"/>
    <w:rsid w:val="00A80150"/>
    <w:rsid w:val="00A8019A"/>
    <w:rsid w:val="00A8049B"/>
    <w:rsid w:val="00A8049D"/>
    <w:rsid w:val="00A8057D"/>
    <w:rsid w:val="00A80665"/>
    <w:rsid w:val="00A809AB"/>
    <w:rsid w:val="00A80B13"/>
    <w:rsid w:val="00A80C9C"/>
    <w:rsid w:val="00A80CD3"/>
    <w:rsid w:val="00A80E67"/>
    <w:rsid w:val="00A80F6E"/>
    <w:rsid w:val="00A80FB5"/>
    <w:rsid w:val="00A8113A"/>
    <w:rsid w:val="00A81296"/>
    <w:rsid w:val="00A81459"/>
    <w:rsid w:val="00A815D8"/>
    <w:rsid w:val="00A81B73"/>
    <w:rsid w:val="00A81DB2"/>
    <w:rsid w:val="00A81FF2"/>
    <w:rsid w:val="00A820E6"/>
    <w:rsid w:val="00A8216D"/>
    <w:rsid w:val="00A822C2"/>
    <w:rsid w:val="00A824FA"/>
    <w:rsid w:val="00A8255E"/>
    <w:rsid w:val="00A825AC"/>
    <w:rsid w:val="00A825B4"/>
    <w:rsid w:val="00A825F1"/>
    <w:rsid w:val="00A826D4"/>
    <w:rsid w:val="00A82949"/>
    <w:rsid w:val="00A82990"/>
    <w:rsid w:val="00A82DCF"/>
    <w:rsid w:val="00A82FE9"/>
    <w:rsid w:val="00A83004"/>
    <w:rsid w:val="00A8318E"/>
    <w:rsid w:val="00A83396"/>
    <w:rsid w:val="00A83443"/>
    <w:rsid w:val="00A83558"/>
    <w:rsid w:val="00A836B0"/>
    <w:rsid w:val="00A83719"/>
    <w:rsid w:val="00A8374E"/>
    <w:rsid w:val="00A83861"/>
    <w:rsid w:val="00A83A93"/>
    <w:rsid w:val="00A83BDF"/>
    <w:rsid w:val="00A83EEA"/>
    <w:rsid w:val="00A83F1C"/>
    <w:rsid w:val="00A8422B"/>
    <w:rsid w:val="00A84464"/>
    <w:rsid w:val="00A84496"/>
    <w:rsid w:val="00A8475E"/>
    <w:rsid w:val="00A847C1"/>
    <w:rsid w:val="00A8484C"/>
    <w:rsid w:val="00A848F0"/>
    <w:rsid w:val="00A8490A"/>
    <w:rsid w:val="00A849E0"/>
    <w:rsid w:val="00A84AED"/>
    <w:rsid w:val="00A84CBE"/>
    <w:rsid w:val="00A84D54"/>
    <w:rsid w:val="00A84D85"/>
    <w:rsid w:val="00A84DB6"/>
    <w:rsid w:val="00A84EA2"/>
    <w:rsid w:val="00A84EA8"/>
    <w:rsid w:val="00A84EB0"/>
    <w:rsid w:val="00A84F86"/>
    <w:rsid w:val="00A85081"/>
    <w:rsid w:val="00A850D5"/>
    <w:rsid w:val="00A8514C"/>
    <w:rsid w:val="00A852EE"/>
    <w:rsid w:val="00A8561D"/>
    <w:rsid w:val="00A856E7"/>
    <w:rsid w:val="00A85776"/>
    <w:rsid w:val="00A858FC"/>
    <w:rsid w:val="00A85C43"/>
    <w:rsid w:val="00A85D5A"/>
    <w:rsid w:val="00A85DDC"/>
    <w:rsid w:val="00A85DE5"/>
    <w:rsid w:val="00A85E90"/>
    <w:rsid w:val="00A85F43"/>
    <w:rsid w:val="00A85FD5"/>
    <w:rsid w:val="00A860C3"/>
    <w:rsid w:val="00A86126"/>
    <w:rsid w:val="00A861B6"/>
    <w:rsid w:val="00A863F4"/>
    <w:rsid w:val="00A866A7"/>
    <w:rsid w:val="00A86AC4"/>
    <w:rsid w:val="00A86B15"/>
    <w:rsid w:val="00A86B2B"/>
    <w:rsid w:val="00A86BBA"/>
    <w:rsid w:val="00A86BBF"/>
    <w:rsid w:val="00A86C1F"/>
    <w:rsid w:val="00A86E72"/>
    <w:rsid w:val="00A8736C"/>
    <w:rsid w:val="00A87478"/>
    <w:rsid w:val="00A87673"/>
    <w:rsid w:val="00A87758"/>
    <w:rsid w:val="00A8779D"/>
    <w:rsid w:val="00A87908"/>
    <w:rsid w:val="00A879EF"/>
    <w:rsid w:val="00A87D32"/>
    <w:rsid w:val="00A87D7C"/>
    <w:rsid w:val="00A87F6F"/>
    <w:rsid w:val="00A9013D"/>
    <w:rsid w:val="00A903B7"/>
    <w:rsid w:val="00A90401"/>
    <w:rsid w:val="00A905ED"/>
    <w:rsid w:val="00A90817"/>
    <w:rsid w:val="00A90A13"/>
    <w:rsid w:val="00A90CAA"/>
    <w:rsid w:val="00A91000"/>
    <w:rsid w:val="00A91016"/>
    <w:rsid w:val="00A91135"/>
    <w:rsid w:val="00A91273"/>
    <w:rsid w:val="00A91275"/>
    <w:rsid w:val="00A913C4"/>
    <w:rsid w:val="00A9146D"/>
    <w:rsid w:val="00A9152A"/>
    <w:rsid w:val="00A91573"/>
    <w:rsid w:val="00A91708"/>
    <w:rsid w:val="00A919BC"/>
    <w:rsid w:val="00A919C3"/>
    <w:rsid w:val="00A91A34"/>
    <w:rsid w:val="00A91A6F"/>
    <w:rsid w:val="00A91BFF"/>
    <w:rsid w:val="00A91C92"/>
    <w:rsid w:val="00A91CD1"/>
    <w:rsid w:val="00A91D32"/>
    <w:rsid w:val="00A91DD4"/>
    <w:rsid w:val="00A91F1B"/>
    <w:rsid w:val="00A92048"/>
    <w:rsid w:val="00A92093"/>
    <w:rsid w:val="00A9211D"/>
    <w:rsid w:val="00A92155"/>
    <w:rsid w:val="00A921E3"/>
    <w:rsid w:val="00A92255"/>
    <w:rsid w:val="00A9259E"/>
    <w:rsid w:val="00A926F5"/>
    <w:rsid w:val="00A9284D"/>
    <w:rsid w:val="00A92A63"/>
    <w:rsid w:val="00A92C4B"/>
    <w:rsid w:val="00A92E60"/>
    <w:rsid w:val="00A930C2"/>
    <w:rsid w:val="00A930DD"/>
    <w:rsid w:val="00A93239"/>
    <w:rsid w:val="00A933CE"/>
    <w:rsid w:val="00A934AC"/>
    <w:rsid w:val="00A93683"/>
    <w:rsid w:val="00A9387C"/>
    <w:rsid w:val="00A93974"/>
    <w:rsid w:val="00A93CF5"/>
    <w:rsid w:val="00A93D0C"/>
    <w:rsid w:val="00A93E5E"/>
    <w:rsid w:val="00A93FD6"/>
    <w:rsid w:val="00A9426E"/>
    <w:rsid w:val="00A942FD"/>
    <w:rsid w:val="00A9452E"/>
    <w:rsid w:val="00A946F5"/>
    <w:rsid w:val="00A947F9"/>
    <w:rsid w:val="00A94896"/>
    <w:rsid w:val="00A948CF"/>
    <w:rsid w:val="00A948DA"/>
    <w:rsid w:val="00A94904"/>
    <w:rsid w:val="00A94955"/>
    <w:rsid w:val="00A94B03"/>
    <w:rsid w:val="00A94BA9"/>
    <w:rsid w:val="00A94D20"/>
    <w:rsid w:val="00A94D65"/>
    <w:rsid w:val="00A9519F"/>
    <w:rsid w:val="00A951B0"/>
    <w:rsid w:val="00A952BF"/>
    <w:rsid w:val="00A95303"/>
    <w:rsid w:val="00A95556"/>
    <w:rsid w:val="00A955A3"/>
    <w:rsid w:val="00A95640"/>
    <w:rsid w:val="00A9566F"/>
    <w:rsid w:val="00A956B4"/>
    <w:rsid w:val="00A9586A"/>
    <w:rsid w:val="00A95AD2"/>
    <w:rsid w:val="00A95AE1"/>
    <w:rsid w:val="00A96185"/>
    <w:rsid w:val="00A96528"/>
    <w:rsid w:val="00A9654C"/>
    <w:rsid w:val="00A9655B"/>
    <w:rsid w:val="00A96602"/>
    <w:rsid w:val="00A9660E"/>
    <w:rsid w:val="00A96725"/>
    <w:rsid w:val="00A96B5F"/>
    <w:rsid w:val="00A96C08"/>
    <w:rsid w:val="00A96C20"/>
    <w:rsid w:val="00A96D53"/>
    <w:rsid w:val="00A96DE4"/>
    <w:rsid w:val="00A96E1B"/>
    <w:rsid w:val="00A971B8"/>
    <w:rsid w:val="00A97501"/>
    <w:rsid w:val="00A9752B"/>
    <w:rsid w:val="00A97600"/>
    <w:rsid w:val="00A9791F"/>
    <w:rsid w:val="00A97A9A"/>
    <w:rsid w:val="00A97ED6"/>
    <w:rsid w:val="00A97EF7"/>
    <w:rsid w:val="00A97F5F"/>
    <w:rsid w:val="00AA0104"/>
    <w:rsid w:val="00AA0208"/>
    <w:rsid w:val="00AA0281"/>
    <w:rsid w:val="00AA03AA"/>
    <w:rsid w:val="00AA06C9"/>
    <w:rsid w:val="00AA0733"/>
    <w:rsid w:val="00AA0767"/>
    <w:rsid w:val="00AA0786"/>
    <w:rsid w:val="00AA07DC"/>
    <w:rsid w:val="00AA0846"/>
    <w:rsid w:val="00AA09BA"/>
    <w:rsid w:val="00AA0B9A"/>
    <w:rsid w:val="00AA0C96"/>
    <w:rsid w:val="00AA0D56"/>
    <w:rsid w:val="00AA0FFD"/>
    <w:rsid w:val="00AA104C"/>
    <w:rsid w:val="00AA114C"/>
    <w:rsid w:val="00AA1557"/>
    <w:rsid w:val="00AA15F4"/>
    <w:rsid w:val="00AA166F"/>
    <w:rsid w:val="00AA187D"/>
    <w:rsid w:val="00AA191C"/>
    <w:rsid w:val="00AA1CBD"/>
    <w:rsid w:val="00AA1D73"/>
    <w:rsid w:val="00AA1D7D"/>
    <w:rsid w:val="00AA1DAF"/>
    <w:rsid w:val="00AA1EB2"/>
    <w:rsid w:val="00AA2000"/>
    <w:rsid w:val="00AA20FE"/>
    <w:rsid w:val="00AA211F"/>
    <w:rsid w:val="00AA213B"/>
    <w:rsid w:val="00AA2153"/>
    <w:rsid w:val="00AA21A7"/>
    <w:rsid w:val="00AA22CC"/>
    <w:rsid w:val="00AA2461"/>
    <w:rsid w:val="00AA26B5"/>
    <w:rsid w:val="00AA26E0"/>
    <w:rsid w:val="00AA27A3"/>
    <w:rsid w:val="00AA2865"/>
    <w:rsid w:val="00AA29E1"/>
    <w:rsid w:val="00AA29FB"/>
    <w:rsid w:val="00AA2AFC"/>
    <w:rsid w:val="00AA2DB4"/>
    <w:rsid w:val="00AA3010"/>
    <w:rsid w:val="00AA3110"/>
    <w:rsid w:val="00AA31C5"/>
    <w:rsid w:val="00AA3266"/>
    <w:rsid w:val="00AA3406"/>
    <w:rsid w:val="00AA35BC"/>
    <w:rsid w:val="00AA35D9"/>
    <w:rsid w:val="00AA3714"/>
    <w:rsid w:val="00AA3790"/>
    <w:rsid w:val="00AA398F"/>
    <w:rsid w:val="00AA3994"/>
    <w:rsid w:val="00AA3A71"/>
    <w:rsid w:val="00AA3A9B"/>
    <w:rsid w:val="00AA3B7A"/>
    <w:rsid w:val="00AA3BF1"/>
    <w:rsid w:val="00AA3CB6"/>
    <w:rsid w:val="00AA3DAE"/>
    <w:rsid w:val="00AA3E64"/>
    <w:rsid w:val="00AA3FA7"/>
    <w:rsid w:val="00AA3FBA"/>
    <w:rsid w:val="00AA4047"/>
    <w:rsid w:val="00AA4078"/>
    <w:rsid w:val="00AA449E"/>
    <w:rsid w:val="00AA4585"/>
    <w:rsid w:val="00AA4867"/>
    <w:rsid w:val="00AA49AA"/>
    <w:rsid w:val="00AA49C5"/>
    <w:rsid w:val="00AA4A75"/>
    <w:rsid w:val="00AA4D74"/>
    <w:rsid w:val="00AA4E92"/>
    <w:rsid w:val="00AA4F80"/>
    <w:rsid w:val="00AA4F90"/>
    <w:rsid w:val="00AA4F98"/>
    <w:rsid w:val="00AA4FCC"/>
    <w:rsid w:val="00AA51D3"/>
    <w:rsid w:val="00AA525E"/>
    <w:rsid w:val="00AA527F"/>
    <w:rsid w:val="00AA53EA"/>
    <w:rsid w:val="00AA5410"/>
    <w:rsid w:val="00AA5422"/>
    <w:rsid w:val="00AA5538"/>
    <w:rsid w:val="00AA55ED"/>
    <w:rsid w:val="00AA5630"/>
    <w:rsid w:val="00AA56E1"/>
    <w:rsid w:val="00AA5741"/>
    <w:rsid w:val="00AA57A4"/>
    <w:rsid w:val="00AA57D6"/>
    <w:rsid w:val="00AA58E4"/>
    <w:rsid w:val="00AA58FE"/>
    <w:rsid w:val="00AA590B"/>
    <w:rsid w:val="00AA5BC9"/>
    <w:rsid w:val="00AA5BD1"/>
    <w:rsid w:val="00AA5D77"/>
    <w:rsid w:val="00AA61A6"/>
    <w:rsid w:val="00AA61C5"/>
    <w:rsid w:val="00AA6223"/>
    <w:rsid w:val="00AA6317"/>
    <w:rsid w:val="00AA63E1"/>
    <w:rsid w:val="00AA64BC"/>
    <w:rsid w:val="00AA64D7"/>
    <w:rsid w:val="00AA64F9"/>
    <w:rsid w:val="00AA6594"/>
    <w:rsid w:val="00AA66BF"/>
    <w:rsid w:val="00AA683F"/>
    <w:rsid w:val="00AA692B"/>
    <w:rsid w:val="00AA6BF4"/>
    <w:rsid w:val="00AA6DD8"/>
    <w:rsid w:val="00AA6FBB"/>
    <w:rsid w:val="00AA6FD3"/>
    <w:rsid w:val="00AA7079"/>
    <w:rsid w:val="00AA7182"/>
    <w:rsid w:val="00AA726C"/>
    <w:rsid w:val="00AA73A1"/>
    <w:rsid w:val="00AA7528"/>
    <w:rsid w:val="00AA7802"/>
    <w:rsid w:val="00AA78FC"/>
    <w:rsid w:val="00AA793F"/>
    <w:rsid w:val="00AA7B67"/>
    <w:rsid w:val="00AA7B7C"/>
    <w:rsid w:val="00AA7C20"/>
    <w:rsid w:val="00AA7C2A"/>
    <w:rsid w:val="00AA7CEB"/>
    <w:rsid w:val="00AA7E13"/>
    <w:rsid w:val="00AA7E91"/>
    <w:rsid w:val="00AB000A"/>
    <w:rsid w:val="00AB00FC"/>
    <w:rsid w:val="00AB01AE"/>
    <w:rsid w:val="00AB0243"/>
    <w:rsid w:val="00AB0275"/>
    <w:rsid w:val="00AB05E1"/>
    <w:rsid w:val="00AB0731"/>
    <w:rsid w:val="00AB0850"/>
    <w:rsid w:val="00AB0867"/>
    <w:rsid w:val="00AB08E2"/>
    <w:rsid w:val="00AB0A16"/>
    <w:rsid w:val="00AB0A56"/>
    <w:rsid w:val="00AB0B65"/>
    <w:rsid w:val="00AB0C47"/>
    <w:rsid w:val="00AB0E6F"/>
    <w:rsid w:val="00AB109B"/>
    <w:rsid w:val="00AB1131"/>
    <w:rsid w:val="00AB11F4"/>
    <w:rsid w:val="00AB127B"/>
    <w:rsid w:val="00AB12E1"/>
    <w:rsid w:val="00AB138B"/>
    <w:rsid w:val="00AB1667"/>
    <w:rsid w:val="00AB1672"/>
    <w:rsid w:val="00AB1845"/>
    <w:rsid w:val="00AB1902"/>
    <w:rsid w:val="00AB1D24"/>
    <w:rsid w:val="00AB1DA0"/>
    <w:rsid w:val="00AB1DB4"/>
    <w:rsid w:val="00AB1E5B"/>
    <w:rsid w:val="00AB1FE6"/>
    <w:rsid w:val="00AB21C6"/>
    <w:rsid w:val="00AB21F1"/>
    <w:rsid w:val="00AB24DA"/>
    <w:rsid w:val="00AB27C6"/>
    <w:rsid w:val="00AB2841"/>
    <w:rsid w:val="00AB28FD"/>
    <w:rsid w:val="00AB2E0E"/>
    <w:rsid w:val="00AB3033"/>
    <w:rsid w:val="00AB3192"/>
    <w:rsid w:val="00AB3215"/>
    <w:rsid w:val="00AB3382"/>
    <w:rsid w:val="00AB35EB"/>
    <w:rsid w:val="00AB377C"/>
    <w:rsid w:val="00AB3949"/>
    <w:rsid w:val="00AB398B"/>
    <w:rsid w:val="00AB39AA"/>
    <w:rsid w:val="00AB3BE6"/>
    <w:rsid w:val="00AB3C8B"/>
    <w:rsid w:val="00AB3E7F"/>
    <w:rsid w:val="00AB3EB4"/>
    <w:rsid w:val="00AB3F40"/>
    <w:rsid w:val="00AB3F4B"/>
    <w:rsid w:val="00AB40A3"/>
    <w:rsid w:val="00AB412D"/>
    <w:rsid w:val="00AB41C0"/>
    <w:rsid w:val="00AB41D2"/>
    <w:rsid w:val="00AB431E"/>
    <w:rsid w:val="00AB455A"/>
    <w:rsid w:val="00AB45D7"/>
    <w:rsid w:val="00AB4768"/>
    <w:rsid w:val="00AB479B"/>
    <w:rsid w:val="00AB4960"/>
    <w:rsid w:val="00AB4B31"/>
    <w:rsid w:val="00AB4DCC"/>
    <w:rsid w:val="00AB4E2A"/>
    <w:rsid w:val="00AB4E50"/>
    <w:rsid w:val="00AB53D5"/>
    <w:rsid w:val="00AB5746"/>
    <w:rsid w:val="00AB57F4"/>
    <w:rsid w:val="00AB585D"/>
    <w:rsid w:val="00AB5928"/>
    <w:rsid w:val="00AB5966"/>
    <w:rsid w:val="00AB5A06"/>
    <w:rsid w:val="00AB5BEA"/>
    <w:rsid w:val="00AB5D39"/>
    <w:rsid w:val="00AB5D78"/>
    <w:rsid w:val="00AB5E29"/>
    <w:rsid w:val="00AB60D5"/>
    <w:rsid w:val="00AB62CD"/>
    <w:rsid w:val="00AB6569"/>
    <w:rsid w:val="00AB658D"/>
    <w:rsid w:val="00AB65E6"/>
    <w:rsid w:val="00AB6733"/>
    <w:rsid w:val="00AB676C"/>
    <w:rsid w:val="00AB67DE"/>
    <w:rsid w:val="00AB685D"/>
    <w:rsid w:val="00AB69FA"/>
    <w:rsid w:val="00AB6B59"/>
    <w:rsid w:val="00AB6B8D"/>
    <w:rsid w:val="00AB6CCB"/>
    <w:rsid w:val="00AB6E4E"/>
    <w:rsid w:val="00AB6F02"/>
    <w:rsid w:val="00AB6F58"/>
    <w:rsid w:val="00AB6F6D"/>
    <w:rsid w:val="00AB6F6E"/>
    <w:rsid w:val="00AB7093"/>
    <w:rsid w:val="00AB71AE"/>
    <w:rsid w:val="00AB737C"/>
    <w:rsid w:val="00AB7B40"/>
    <w:rsid w:val="00AB7B6B"/>
    <w:rsid w:val="00AB7BE7"/>
    <w:rsid w:val="00AB7C6E"/>
    <w:rsid w:val="00AB7D13"/>
    <w:rsid w:val="00AC00A2"/>
    <w:rsid w:val="00AC01B3"/>
    <w:rsid w:val="00AC030E"/>
    <w:rsid w:val="00AC0379"/>
    <w:rsid w:val="00AC0394"/>
    <w:rsid w:val="00AC03F1"/>
    <w:rsid w:val="00AC0701"/>
    <w:rsid w:val="00AC0702"/>
    <w:rsid w:val="00AC0963"/>
    <w:rsid w:val="00AC0A4A"/>
    <w:rsid w:val="00AC0F2C"/>
    <w:rsid w:val="00AC1076"/>
    <w:rsid w:val="00AC170E"/>
    <w:rsid w:val="00AC1891"/>
    <w:rsid w:val="00AC18CF"/>
    <w:rsid w:val="00AC1AF4"/>
    <w:rsid w:val="00AC1C20"/>
    <w:rsid w:val="00AC1CCF"/>
    <w:rsid w:val="00AC1D07"/>
    <w:rsid w:val="00AC1E4D"/>
    <w:rsid w:val="00AC1F4B"/>
    <w:rsid w:val="00AC200F"/>
    <w:rsid w:val="00AC2278"/>
    <w:rsid w:val="00AC22BE"/>
    <w:rsid w:val="00AC2362"/>
    <w:rsid w:val="00AC2485"/>
    <w:rsid w:val="00AC25B3"/>
    <w:rsid w:val="00AC26DF"/>
    <w:rsid w:val="00AC2719"/>
    <w:rsid w:val="00AC29D9"/>
    <w:rsid w:val="00AC2A2E"/>
    <w:rsid w:val="00AC2B91"/>
    <w:rsid w:val="00AC2C81"/>
    <w:rsid w:val="00AC2D84"/>
    <w:rsid w:val="00AC2DB6"/>
    <w:rsid w:val="00AC2EEA"/>
    <w:rsid w:val="00AC2F91"/>
    <w:rsid w:val="00AC2FCA"/>
    <w:rsid w:val="00AC3020"/>
    <w:rsid w:val="00AC328B"/>
    <w:rsid w:val="00AC34F6"/>
    <w:rsid w:val="00AC35B8"/>
    <w:rsid w:val="00AC36DE"/>
    <w:rsid w:val="00AC3765"/>
    <w:rsid w:val="00AC3815"/>
    <w:rsid w:val="00AC396B"/>
    <w:rsid w:val="00AC39AA"/>
    <w:rsid w:val="00AC3A67"/>
    <w:rsid w:val="00AC3A6C"/>
    <w:rsid w:val="00AC3B1A"/>
    <w:rsid w:val="00AC3C18"/>
    <w:rsid w:val="00AC3DC8"/>
    <w:rsid w:val="00AC3E23"/>
    <w:rsid w:val="00AC3ECD"/>
    <w:rsid w:val="00AC401A"/>
    <w:rsid w:val="00AC407D"/>
    <w:rsid w:val="00AC4171"/>
    <w:rsid w:val="00AC41BE"/>
    <w:rsid w:val="00AC427B"/>
    <w:rsid w:val="00AC4882"/>
    <w:rsid w:val="00AC4A2D"/>
    <w:rsid w:val="00AC4A8F"/>
    <w:rsid w:val="00AC4AB7"/>
    <w:rsid w:val="00AC4AC1"/>
    <w:rsid w:val="00AC4B40"/>
    <w:rsid w:val="00AC4F2E"/>
    <w:rsid w:val="00AC4FE4"/>
    <w:rsid w:val="00AC50EC"/>
    <w:rsid w:val="00AC5252"/>
    <w:rsid w:val="00AC53BE"/>
    <w:rsid w:val="00AC54C4"/>
    <w:rsid w:val="00AC54FA"/>
    <w:rsid w:val="00AC555B"/>
    <w:rsid w:val="00AC5576"/>
    <w:rsid w:val="00AC57DE"/>
    <w:rsid w:val="00AC59C5"/>
    <w:rsid w:val="00AC59FA"/>
    <w:rsid w:val="00AC5AA5"/>
    <w:rsid w:val="00AC5C10"/>
    <w:rsid w:val="00AC5C5E"/>
    <w:rsid w:val="00AC5DE5"/>
    <w:rsid w:val="00AC5E98"/>
    <w:rsid w:val="00AC63C7"/>
    <w:rsid w:val="00AC6403"/>
    <w:rsid w:val="00AC6556"/>
    <w:rsid w:val="00AC65DE"/>
    <w:rsid w:val="00AC6782"/>
    <w:rsid w:val="00AC681C"/>
    <w:rsid w:val="00AC697F"/>
    <w:rsid w:val="00AC6A3F"/>
    <w:rsid w:val="00AC6AA9"/>
    <w:rsid w:val="00AC6D8A"/>
    <w:rsid w:val="00AC6F5E"/>
    <w:rsid w:val="00AC6F7D"/>
    <w:rsid w:val="00AC7093"/>
    <w:rsid w:val="00AC71C5"/>
    <w:rsid w:val="00AC720A"/>
    <w:rsid w:val="00AC732C"/>
    <w:rsid w:val="00AC7333"/>
    <w:rsid w:val="00AC734E"/>
    <w:rsid w:val="00AC7537"/>
    <w:rsid w:val="00AC7654"/>
    <w:rsid w:val="00AC77A5"/>
    <w:rsid w:val="00AC7818"/>
    <w:rsid w:val="00AC797B"/>
    <w:rsid w:val="00AC7A76"/>
    <w:rsid w:val="00AC7AEA"/>
    <w:rsid w:val="00AC7BD5"/>
    <w:rsid w:val="00AC7BDD"/>
    <w:rsid w:val="00AC7C34"/>
    <w:rsid w:val="00AC7C6E"/>
    <w:rsid w:val="00AC7CD5"/>
    <w:rsid w:val="00AC7D50"/>
    <w:rsid w:val="00AD016A"/>
    <w:rsid w:val="00AD01F2"/>
    <w:rsid w:val="00AD037C"/>
    <w:rsid w:val="00AD0539"/>
    <w:rsid w:val="00AD053D"/>
    <w:rsid w:val="00AD0562"/>
    <w:rsid w:val="00AD058D"/>
    <w:rsid w:val="00AD05A1"/>
    <w:rsid w:val="00AD06A3"/>
    <w:rsid w:val="00AD08DA"/>
    <w:rsid w:val="00AD09E9"/>
    <w:rsid w:val="00AD0B21"/>
    <w:rsid w:val="00AD0B8E"/>
    <w:rsid w:val="00AD0C08"/>
    <w:rsid w:val="00AD0CD2"/>
    <w:rsid w:val="00AD0F4D"/>
    <w:rsid w:val="00AD1087"/>
    <w:rsid w:val="00AD10CC"/>
    <w:rsid w:val="00AD11AC"/>
    <w:rsid w:val="00AD123F"/>
    <w:rsid w:val="00AD129F"/>
    <w:rsid w:val="00AD12F4"/>
    <w:rsid w:val="00AD148D"/>
    <w:rsid w:val="00AD1519"/>
    <w:rsid w:val="00AD164D"/>
    <w:rsid w:val="00AD171A"/>
    <w:rsid w:val="00AD1783"/>
    <w:rsid w:val="00AD1A70"/>
    <w:rsid w:val="00AD1BAC"/>
    <w:rsid w:val="00AD1C82"/>
    <w:rsid w:val="00AD1D71"/>
    <w:rsid w:val="00AD1F9B"/>
    <w:rsid w:val="00AD2021"/>
    <w:rsid w:val="00AD21D6"/>
    <w:rsid w:val="00AD21E6"/>
    <w:rsid w:val="00AD2334"/>
    <w:rsid w:val="00AD24D9"/>
    <w:rsid w:val="00AD287A"/>
    <w:rsid w:val="00AD28D9"/>
    <w:rsid w:val="00AD299E"/>
    <w:rsid w:val="00AD2AC0"/>
    <w:rsid w:val="00AD2AF9"/>
    <w:rsid w:val="00AD2B4C"/>
    <w:rsid w:val="00AD2B4E"/>
    <w:rsid w:val="00AD2B6D"/>
    <w:rsid w:val="00AD2CF5"/>
    <w:rsid w:val="00AD2E87"/>
    <w:rsid w:val="00AD2FAB"/>
    <w:rsid w:val="00AD31EC"/>
    <w:rsid w:val="00AD3356"/>
    <w:rsid w:val="00AD336E"/>
    <w:rsid w:val="00AD33A0"/>
    <w:rsid w:val="00AD342F"/>
    <w:rsid w:val="00AD3547"/>
    <w:rsid w:val="00AD35EB"/>
    <w:rsid w:val="00AD3725"/>
    <w:rsid w:val="00AD37D8"/>
    <w:rsid w:val="00AD3A3C"/>
    <w:rsid w:val="00AD3CA2"/>
    <w:rsid w:val="00AD3CF9"/>
    <w:rsid w:val="00AD3FA2"/>
    <w:rsid w:val="00AD3FF8"/>
    <w:rsid w:val="00AD4540"/>
    <w:rsid w:val="00AD456F"/>
    <w:rsid w:val="00AD45F3"/>
    <w:rsid w:val="00AD463C"/>
    <w:rsid w:val="00AD4640"/>
    <w:rsid w:val="00AD4643"/>
    <w:rsid w:val="00AD4668"/>
    <w:rsid w:val="00AD46A4"/>
    <w:rsid w:val="00AD4732"/>
    <w:rsid w:val="00AD481C"/>
    <w:rsid w:val="00AD4844"/>
    <w:rsid w:val="00AD48D0"/>
    <w:rsid w:val="00AD4994"/>
    <w:rsid w:val="00AD4B90"/>
    <w:rsid w:val="00AD4C05"/>
    <w:rsid w:val="00AD4E83"/>
    <w:rsid w:val="00AD4F3B"/>
    <w:rsid w:val="00AD50B0"/>
    <w:rsid w:val="00AD50E4"/>
    <w:rsid w:val="00AD54BA"/>
    <w:rsid w:val="00AD565F"/>
    <w:rsid w:val="00AD5671"/>
    <w:rsid w:val="00AD5842"/>
    <w:rsid w:val="00AD59BA"/>
    <w:rsid w:val="00AD5A3D"/>
    <w:rsid w:val="00AD5A99"/>
    <w:rsid w:val="00AD5D5E"/>
    <w:rsid w:val="00AD5FF4"/>
    <w:rsid w:val="00AD60EA"/>
    <w:rsid w:val="00AD618D"/>
    <w:rsid w:val="00AD625D"/>
    <w:rsid w:val="00AD6293"/>
    <w:rsid w:val="00AD62F7"/>
    <w:rsid w:val="00AD6464"/>
    <w:rsid w:val="00AD6538"/>
    <w:rsid w:val="00AD6578"/>
    <w:rsid w:val="00AD65A2"/>
    <w:rsid w:val="00AD65FD"/>
    <w:rsid w:val="00AD6768"/>
    <w:rsid w:val="00AD67D4"/>
    <w:rsid w:val="00AD67FB"/>
    <w:rsid w:val="00AD69C2"/>
    <w:rsid w:val="00AD6E95"/>
    <w:rsid w:val="00AD71E7"/>
    <w:rsid w:val="00AD7377"/>
    <w:rsid w:val="00AD73C1"/>
    <w:rsid w:val="00AD73CC"/>
    <w:rsid w:val="00AD7539"/>
    <w:rsid w:val="00AD75F2"/>
    <w:rsid w:val="00AD764D"/>
    <w:rsid w:val="00AD76F3"/>
    <w:rsid w:val="00AD77B0"/>
    <w:rsid w:val="00AD77FD"/>
    <w:rsid w:val="00AD79C0"/>
    <w:rsid w:val="00AD79FF"/>
    <w:rsid w:val="00AD7B4A"/>
    <w:rsid w:val="00AD7B62"/>
    <w:rsid w:val="00AD7E2C"/>
    <w:rsid w:val="00AD7FBF"/>
    <w:rsid w:val="00AE0108"/>
    <w:rsid w:val="00AE0244"/>
    <w:rsid w:val="00AE02A7"/>
    <w:rsid w:val="00AE0336"/>
    <w:rsid w:val="00AE03FA"/>
    <w:rsid w:val="00AE0431"/>
    <w:rsid w:val="00AE04DF"/>
    <w:rsid w:val="00AE053D"/>
    <w:rsid w:val="00AE06C7"/>
    <w:rsid w:val="00AE0967"/>
    <w:rsid w:val="00AE0A02"/>
    <w:rsid w:val="00AE0C34"/>
    <w:rsid w:val="00AE0E66"/>
    <w:rsid w:val="00AE0F70"/>
    <w:rsid w:val="00AE105B"/>
    <w:rsid w:val="00AE1091"/>
    <w:rsid w:val="00AE1135"/>
    <w:rsid w:val="00AE1411"/>
    <w:rsid w:val="00AE150A"/>
    <w:rsid w:val="00AE178A"/>
    <w:rsid w:val="00AE17E6"/>
    <w:rsid w:val="00AE1876"/>
    <w:rsid w:val="00AE1953"/>
    <w:rsid w:val="00AE1B81"/>
    <w:rsid w:val="00AE1C83"/>
    <w:rsid w:val="00AE1D95"/>
    <w:rsid w:val="00AE1DBB"/>
    <w:rsid w:val="00AE1FA0"/>
    <w:rsid w:val="00AE2046"/>
    <w:rsid w:val="00AE21A2"/>
    <w:rsid w:val="00AE25AE"/>
    <w:rsid w:val="00AE2804"/>
    <w:rsid w:val="00AE28E3"/>
    <w:rsid w:val="00AE29AF"/>
    <w:rsid w:val="00AE2A71"/>
    <w:rsid w:val="00AE2AD0"/>
    <w:rsid w:val="00AE2BC8"/>
    <w:rsid w:val="00AE2C46"/>
    <w:rsid w:val="00AE2DC7"/>
    <w:rsid w:val="00AE2DD0"/>
    <w:rsid w:val="00AE2FD3"/>
    <w:rsid w:val="00AE31D6"/>
    <w:rsid w:val="00AE3261"/>
    <w:rsid w:val="00AE33EE"/>
    <w:rsid w:val="00AE349A"/>
    <w:rsid w:val="00AE354B"/>
    <w:rsid w:val="00AE3711"/>
    <w:rsid w:val="00AE378A"/>
    <w:rsid w:val="00AE3C03"/>
    <w:rsid w:val="00AE3CA6"/>
    <w:rsid w:val="00AE3D7F"/>
    <w:rsid w:val="00AE3ECB"/>
    <w:rsid w:val="00AE3F31"/>
    <w:rsid w:val="00AE3F9F"/>
    <w:rsid w:val="00AE4108"/>
    <w:rsid w:val="00AE4331"/>
    <w:rsid w:val="00AE439B"/>
    <w:rsid w:val="00AE4400"/>
    <w:rsid w:val="00AE457A"/>
    <w:rsid w:val="00AE4674"/>
    <w:rsid w:val="00AE479B"/>
    <w:rsid w:val="00AE47FE"/>
    <w:rsid w:val="00AE4892"/>
    <w:rsid w:val="00AE48C0"/>
    <w:rsid w:val="00AE4918"/>
    <w:rsid w:val="00AE497A"/>
    <w:rsid w:val="00AE4BC5"/>
    <w:rsid w:val="00AE4E6A"/>
    <w:rsid w:val="00AE4FF8"/>
    <w:rsid w:val="00AE5076"/>
    <w:rsid w:val="00AE5290"/>
    <w:rsid w:val="00AE52F2"/>
    <w:rsid w:val="00AE5382"/>
    <w:rsid w:val="00AE550C"/>
    <w:rsid w:val="00AE584E"/>
    <w:rsid w:val="00AE5ACC"/>
    <w:rsid w:val="00AE5C32"/>
    <w:rsid w:val="00AE5DD8"/>
    <w:rsid w:val="00AE5F2D"/>
    <w:rsid w:val="00AE5F83"/>
    <w:rsid w:val="00AE5FB5"/>
    <w:rsid w:val="00AE614D"/>
    <w:rsid w:val="00AE63E6"/>
    <w:rsid w:val="00AE6403"/>
    <w:rsid w:val="00AE65BC"/>
    <w:rsid w:val="00AE65C5"/>
    <w:rsid w:val="00AE65D3"/>
    <w:rsid w:val="00AE672F"/>
    <w:rsid w:val="00AE676B"/>
    <w:rsid w:val="00AE67F7"/>
    <w:rsid w:val="00AE703E"/>
    <w:rsid w:val="00AE70C9"/>
    <w:rsid w:val="00AE725D"/>
    <w:rsid w:val="00AE7583"/>
    <w:rsid w:val="00AE7680"/>
    <w:rsid w:val="00AE77C5"/>
    <w:rsid w:val="00AE7846"/>
    <w:rsid w:val="00AE7849"/>
    <w:rsid w:val="00AE7977"/>
    <w:rsid w:val="00AE7A11"/>
    <w:rsid w:val="00AE7B9A"/>
    <w:rsid w:val="00AE7CF9"/>
    <w:rsid w:val="00AE7D78"/>
    <w:rsid w:val="00AE7DA8"/>
    <w:rsid w:val="00AE7EEB"/>
    <w:rsid w:val="00AF00EE"/>
    <w:rsid w:val="00AF0138"/>
    <w:rsid w:val="00AF047E"/>
    <w:rsid w:val="00AF05E7"/>
    <w:rsid w:val="00AF06E4"/>
    <w:rsid w:val="00AF0759"/>
    <w:rsid w:val="00AF0940"/>
    <w:rsid w:val="00AF094A"/>
    <w:rsid w:val="00AF09B6"/>
    <w:rsid w:val="00AF0A53"/>
    <w:rsid w:val="00AF0A96"/>
    <w:rsid w:val="00AF0C0E"/>
    <w:rsid w:val="00AF0C9E"/>
    <w:rsid w:val="00AF0EBD"/>
    <w:rsid w:val="00AF0ECE"/>
    <w:rsid w:val="00AF0FD7"/>
    <w:rsid w:val="00AF107A"/>
    <w:rsid w:val="00AF13CC"/>
    <w:rsid w:val="00AF1459"/>
    <w:rsid w:val="00AF1473"/>
    <w:rsid w:val="00AF151B"/>
    <w:rsid w:val="00AF15C0"/>
    <w:rsid w:val="00AF16D7"/>
    <w:rsid w:val="00AF17A1"/>
    <w:rsid w:val="00AF18B0"/>
    <w:rsid w:val="00AF1ACF"/>
    <w:rsid w:val="00AF1AD3"/>
    <w:rsid w:val="00AF1BAC"/>
    <w:rsid w:val="00AF1CF6"/>
    <w:rsid w:val="00AF1D9E"/>
    <w:rsid w:val="00AF1F0C"/>
    <w:rsid w:val="00AF1F10"/>
    <w:rsid w:val="00AF1FF8"/>
    <w:rsid w:val="00AF201C"/>
    <w:rsid w:val="00AF201E"/>
    <w:rsid w:val="00AF2089"/>
    <w:rsid w:val="00AF212C"/>
    <w:rsid w:val="00AF24E3"/>
    <w:rsid w:val="00AF25C5"/>
    <w:rsid w:val="00AF25E1"/>
    <w:rsid w:val="00AF27A3"/>
    <w:rsid w:val="00AF2916"/>
    <w:rsid w:val="00AF29FC"/>
    <w:rsid w:val="00AF2ADD"/>
    <w:rsid w:val="00AF2BB9"/>
    <w:rsid w:val="00AF2F5F"/>
    <w:rsid w:val="00AF3117"/>
    <w:rsid w:val="00AF31DC"/>
    <w:rsid w:val="00AF347C"/>
    <w:rsid w:val="00AF3580"/>
    <w:rsid w:val="00AF36D6"/>
    <w:rsid w:val="00AF3871"/>
    <w:rsid w:val="00AF3D39"/>
    <w:rsid w:val="00AF3DF3"/>
    <w:rsid w:val="00AF3EB2"/>
    <w:rsid w:val="00AF40D5"/>
    <w:rsid w:val="00AF40EA"/>
    <w:rsid w:val="00AF4428"/>
    <w:rsid w:val="00AF4530"/>
    <w:rsid w:val="00AF4690"/>
    <w:rsid w:val="00AF46D3"/>
    <w:rsid w:val="00AF48B9"/>
    <w:rsid w:val="00AF497B"/>
    <w:rsid w:val="00AF4ADC"/>
    <w:rsid w:val="00AF4C15"/>
    <w:rsid w:val="00AF4CC5"/>
    <w:rsid w:val="00AF4D2F"/>
    <w:rsid w:val="00AF4DE8"/>
    <w:rsid w:val="00AF5100"/>
    <w:rsid w:val="00AF53BB"/>
    <w:rsid w:val="00AF5575"/>
    <w:rsid w:val="00AF5577"/>
    <w:rsid w:val="00AF5602"/>
    <w:rsid w:val="00AF5840"/>
    <w:rsid w:val="00AF5846"/>
    <w:rsid w:val="00AF58B0"/>
    <w:rsid w:val="00AF58DD"/>
    <w:rsid w:val="00AF5905"/>
    <w:rsid w:val="00AF59ED"/>
    <w:rsid w:val="00AF5C2F"/>
    <w:rsid w:val="00AF5E38"/>
    <w:rsid w:val="00AF6189"/>
    <w:rsid w:val="00AF6263"/>
    <w:rsid w:val="00AF62E7"/>
    <w:rsid w:val="00AF642C"/>
    <w:rsid w:val="00AF6484"/>
    <w:rsid w:val="00AF65F0"/>
    <w:rsid w:val="00AF6728"/>
    <w:rsid w:val="00AF695B"/>
    <w:rsid w:val="00AF6A4C"/>
    <w:rsid w:val="00AF6A63"/>
    <w:rsid w:val="00AF6C89"/>
    <w:rsid w:val="00AF6F2F"/>
    <w:rsid w:val="00AF73B2"/>
    <w:rsid w:val="00AF75A5"/>
    <w:rsid w:val="00AF764D"/>
    <w:rsid w:val="00AF76E3"/>
    <w:rsid w:val="00AF7B07"/>
    <w:rsid w:val="00AF7BAD"/>
    <w:rsid w:val="00AF7C1B"/>
    <w:rsid w:val="00B00031"/>
    <w:rsid w:val="00B00276"/>
    <w:rsid w:val="00B002AE"/>
    <w:rsid w:val="00B00403"/>
    <w:rsid w:val="00B00502"/>
    <w:rsid w:val="00B0053C"/>
    <w:rsid w:val="00B005A7"/>
    <w:rsid w:val="00B0081F"/>
    <w:rsid w:val="00B0083B"/>
    <w:rsid w:val="00B008D7"/>
    <w:rsid w:val="00B00AFE"/>
    <w:rsid w:val="00B00BA3"/>
    <w:rsid w:val="00B00BB5"/>
    <w:rsid w:val="00B00BE8"/>
    <w:rsid w:val="00B00BEA"/>
    <w:rsid w:val="00B00D60"/>
    <w:rsid w:val="00B00E72"/>
    <w:rsid w:val="00B00E83"/>
    <w:rsid w:val="00B00EA7"/>
    <w:rsid w:val="00B00F2A"/>
    <w:rsid w:val="00B0113A"/>
    <w:rsid w:val="00B0115A"/>
    <w:rsid w:val="00B011B8"/>
    <w:rsid w:val="00B01272"/>
    <w:rsid w:val="00B01400"/>
    <w:rsid w:val="00B0157E"/>
    <w:rsid w:val="00B015E9"/>
    <w:rsid w:val="00B01722"/>
    <w:rsid w:val="00B01749"/>
    <w:rsid w:val="00B017D2"/>
    <w:rsid w:val="00B01813"/>
    <w:rsid w:val="00B0192D"/>
    <w:rsid w:val="00B019CC"/>
    <w:rsid w:val="00B01BED"/>
    <w:rsid w:val="00B01C3F"/>
    <w:rsid w:val="00B01C6B"/>
    <w:rsid w:val="00B01CEE"/>
    <w:rsid w:val="00B01D3D"/>
    <w:rsid w:val="00B01DBE"/>
    <w:rsid w:val="00B01DEB"/>
    <w:rsid w:val="00B01F7E"/>
    <w:rsid w:val="00B0207D"/>
    <w:rsid w:val="00B020EA"/>
    <w:rsid w:val="00B02183"/>
    <w:rsid w:val="00B021FB"/>
    <w:rsid w:val="00B022B4"/>
    <w:rsid w:val="00B0236F"/>
    <w:rsid w:val="00B0249E"/>
    <w:rsid w:val="00B02581"/>
    <w:rsid w:val="00B02620"/>
    <w:rsid w:val="00B026A6"/>
    <w:rsid w:val="00B026C2"/>
    <w:rsid w:val="00B02731"/>
    <w:rsid w:val="00B02A76"/>
    <w:rsid w:val="00B02ADF"/>
    <w:rsid w:val="00B02BE4"/>
    <w:rsid w:val="00B02D14"/>
    <w:rsid w:val="00B02D24"/>
    <w:rsid w:val="00B0302F"/>
    <w:rsid w:val="00B030B3"/>
    <w:rsid w:val="00B030DE"/>
    <w:rsid w:val="00B033A1"/>
    <w:rsid w:val="00B0385B"/>
    <w:rsid w:val="00B03BB4"/>
    <w:rsid w:val="00B03E59"/>
    <w:rsid w:val="00B03ED8"/>
    <w:rsid w:val="00B03FBF"/>
    <w:rsid w:val="00B0405E"/>
    <w:rsid w:val="00B04263"/>
    <w:rsid w:val="00B04288"/>
    <w:rsid w:val="00B042DC"/>
    <w:rsid w:val="00B043A7"/>
    <w:rsid w:val="00B04406"/>
    <w:rsid w:val="00B04491"/>
    <w:rsid w:val="00B04687"/>
    <w:rsid w:val="00B047C2"/>
    <w:rsid w:val="00B04927"/>
    <w:rsid w:val="00B04AED"/>
    <w:rsid w:val="00B04C74"/>
    <w:rsid w:val="00B04CB1"/>
    <w:rsid w:val="00B04CC2"/>
    <w:rsid w:val="00B04F20"/>
    <w:rsid w:val="00B04F8A"/>
    <w:rsid w:val="00B051DB"/>
    <w:rsid w:val="00B0541D"/>
    <w:rsid w:val="00B05635"/>
    <w:rsid w:val="00B05A3F"/>
    <w:rsid w:val="00B05B9E"/>
    <w:rsid w:val="00B05BE2"/>
    <w:rsid w:val="00B05C9A"/>
    <w:rsid w:val="00B05D5B"/>
    <w:rsid w:val="00B05D5C"/>
    <w:rsid w:val="00B05F80"/>
    <w:rsid w:val="00B061AA"/>
    <w:rsid w:val="00B06306"/>
    <w:rsid w:val="00B0641E"/>
    <w:rsid w:val="00B0649A"/>
    <w:rsid w:val="00B064BB"/>
    <w:rsid w:val="00B065E0"/>
    <w:rsid w:val="00B06668"/>
    <w:rsid w:val="00B066A3"/>
    <w:rsid w:val="00B068F0"/>
    <w:rsid w:val="00B069CD"/>
    <w:rsid w:val="00B069E3"/>
    <w:rsid w:val="00B06DE0"/>
    <w:rsid w:val="00B06E9A"/>
    <w:rsid w:val="00B06ED6"/>
    <w:rsid w:val="00B06F71"/>
    <w:rsid w:val="00B0702D"/>
    <w:rsid w:val="00B070AD"/>
    <w:rsid w:val="00B0725D"/>
    <w:rsid w:val="00B07410"/>
    <w:rsid w:val="00B075FD"/>
    <w:rsid w:val="00B07620"/>
    <w:rsid w:val="00B07875"/>
    <w:rsid w:val="00B078A3"/>
    <w:rsid w:val="00B07916"/>
    <w:rsid w:val="00B07952"/>
    <w:rsid w:val="00B07BE7"/>
    <w:rsid w:val="00B07CF9"/>
    <w:rsid w:val="00B07EB7"/>
    <w:rsid w:val="00B07F6C"/>
    <w:rsid w:val="00B102AE"/>
    <w:rsid w:val="00B1030E"/>
    <w:rsid w:val="00B10405"/>
    <w:rsid w:val="00B10886"/>
    <w:rsid w:val="00B109F1"/>
    <w:rsid w:val="00B10A82"/>
    <w:rsid w:val="00B10B0A"/>
    <w:rsid w:val="00B10BFD"/>
    <w:rsid w:val="00B10E75"/>
    <w:rsid w:val="00B10EF6"/>
    <w:rsid w:val="00B10F31"/>
    <w:rsid w:val="00B10F5D"/>
    <w:rsid w:val="00B10FA2"/>
    <w:rsid w:val="00B110FE"/>
    <w:rsid w:val="00B111E7"/>
    <w:rsid w:val="00B11249"/>
    <w:rsid w:val="00B1131A"/>
    <w:rsid w:val="00B11738"/>
    <w:rsid w:val="00B118DD"/>
    <w:rsid w:val="00B11913"/>
    <w:rsid w:val="00B11C3D"/>
    <w:rsid w:val="00B11C45"/>
    <w:rsid w:val="00B12007"/>
    <w:rsid w:val="00B121F7"/>
    <w:rsid w:val="00B122C1"/>
    <w:rsid w:val="00B122E6"/>
    <w:rsid w:val="00B123A8"/>
    <w:rsid w:val="00B1245B"/>
    <w:rsid w:val="00B12516"/>
    <w:rsid w:val="00B1256B"/>
    <w:rsid w:val="00B12608"/>
    <w:rsid w:val="00B12968"/>
    <w:rsid w:val="00B1296D"/>
    <w:rsid w:val="00B12B55"/>
    <w:rsid w:val="00B1314F"/>
    <w:rsid w:val="00B132DF"/>
    <w:rsid w:val="00B1349F"/>
    <w:rsid w:val="00B13705"/>
    <w:rsid w:val="00B13A37"/>
    <w:rsid w:val="00B13A65"/>
    <w:rsid w:val="00B13A83"/>
    <w:rsid w:val="00B13CE1"/>
    <w:rsid w:val="00B14154"/>
    <w:rsid w:val="00B146AE"/>
    <w:rsid w:val="00B146C0"/>
    <w:rsid w:val="00B14748"/>
    <w:rsid w:val="00B148C2"/>
    <w:rsid w:val="00B148C8"/>
    <w:rsid w:val="00B148F4"/>
    <w:rsid w:val="00B149CC"/>
    <w:rsid w:val="00B14B3E"/>
    <w:rsid w:val="00B14B59"/>
    <w:rsid w:val="00B14C15"/>
    <w:rsid w:val="00B14E90"/>
    <w:rsid w:val="00B14EE2"/>
    <w:rsid w:val="00B150FC"/>
    <w:rsid w:val="00B1519D"/>
    <w:rsid w:val="00B1519F"/>
    <w:rsid w:val="00B151CF"/>
    <w:rsid w:val="00B153F5"/>
    <w:rsid w:val="00B15665"/>
    <w:rsid w:val="00B15B4E"/>
    <w:rsid w:val="00B15BC5"/>
    <w:rsid w:val="00B15CF8"/>
    <w:rsid w:val="00B15EB8"/>
    <w:rsid w:val="00B15FFE"/>
    <w:rsid w:val="00B160BE"/>
    <w:rsid w:val="00B1645E"/>
    <w:rsid w:val="00B16603"/>
    <w:rsid w:val="00B1661F"/>
    <w:rsid w:val="00B16668"/>
    <w:rsid w:val="00B16A19"/>
    <w:rsid w:val="00B16B6F"/>
    <w:rsid w:val="00B16BDB"/>
    <w:rsid w:val="00B16C90"/>
    <w:rsid w:val="00B16CDA"/>
    <w:rsid w:val="00B16D89"/>
    <w:rsid w:val="00B16E1D"/>
    <w:rsid w:val="00B16EB8"/>
    <w:rsid w:val="00B16F40"/>
    <w:rsid w:val="00B16F9C"/>
    <w:rsid w:val="00B170EB"/>
    <w:rsid w:val="00B171FF"/>
    <w:rsid w:val="00B17240"/>
    <w:rsid w:val="00B1761D"/>
    <w:rsid w:val="00B17624"/>
    <w:rsid w:val="00B17798"/>
    <w:rsid w:val="00B17808"/>
    <w:rsid w:val="00B178CF"/>
    <w:rsid w:val="00B17932"/>
    <w:rsid w:val="00B17CBF"/>
    <w:rsid w:val="00B17D95"/>
    <w:rsid w:val="00B17DD3"/>
    <w:rsid w:val="00B20004"/>
    <w:rsid w:val="00B2000E"/>
    <w:rsid w:val="00B202CD"/>
    <w:rsid w:val="00B202CF"/>
    <w:rsid w:val="00B208A8"/>
    <w:rsid w:val="00B209FC"/>
    <w:rsid w:val="00B20B9D"/>
    <w:rsid w:val="00B20C20"/>
    <w:rsid w:val="00B20C21"/>
    <w:rsid w:val="00B20C39"/>
    <w:rsid w:val="00B20CDF"/>
    <w:rsid w:val="00B20D55"/>
    <w:rsid w:val="00B20F2D"/>
    <w:rsid w:val="00B20FEA"/>
    <w:rsid w:val="00B21229"/>
    <w:rsid w:val="00B21290"/>
    <w:rsid w:val="00B212D6"/>
    <w:rsid w:val="00B213A0"/>
    <w:rsid w:val="00B21636"/>
    <w:rsid w:val="00B2176A"/>
    <w:rsid w:val="00B21811"/>
    <w:rsid w:val="00B21866"/>
    <w:rsid w:val="00B21965"/>
    <w:rsid w:val="00B21CB0"/>
    <w:rsid w:val="00B21CC6"/>
    <w:rsid w:val="00B21E66"/>
    <w:rsid w:val="00B21E6D"/>
    <w:rsid w:val="00B21F37"/>
    <w:rsid w:val="00B2213A"/>
    <w:rsid w:val="00B221B0"/>
    <w:rsid w:val="00B22372"/>
    <w:rsid w:val="00B22525"/>
    <w:rsid w:val="00B225D9"/>
    <w:rsid w:val="00B227DC"/>
    <w:rsid w:val="00B228A1"/>
    <w:rsid w:val="00B2292A"/>
    <w:rsid w:val="00B22C55"/>
    <w:rsid w:val="00B23161"/>
    <w:rsid w:val="00B23200"/>
    <w:rsid w:val="00B2341B"/>
    <w:rsid w:val="00B23599"/>
    <w:rsid w:val="00B235C4"/>
    <w:rsid w:val="00B23755"/>
    <w:rsid w:val="00B23822"/>
    <w:rsid w:val="00B238F7"/>
    <w:rsid w:val="00B2395D"/>
    <w:rsid w:val="00B23A2E"/>
    <w:rsid w:val="00B23B3A"/>
    <w:rsid w:val="00B23D4B"/>
    <w:rsid w:val="00B23D54"/>
    <w:rsid w:val="00B23E69"/>
    <w:rsid w:val="00B23FB8"/>
    <w:rsid w:val="00B24177"/>
    <w:rsid w:val="00B2418D"/>
    <w:rsid w:val="00B2422B"/>
    <w:rsid w:val="00B2422D"/>
    <w:rsid w:val="00B24322"/>
    <w:rsid w:val="00B24527"/>
    <w:rsid w:val="00B2470D"/>
    <w:rsid w:val="00B2476E"/>
    <w:rsid w:val="00B24793"/>
    <w:rsid w:val="00B247AD"/>
    <w:rsid w:val="00B24894"/>
    <w:rsid w:val="00B24913"/>
    <w:rsid w:val="00B24A18"/>
    <w:rsid w:val="00B24AE7"/>
    <w:rsid w:val="00B24B79"/>
    <w:rsid w:val="00B24BD4"/>
    <w:rsid w:val="00B24D3D"/>
    <w:rsid w:val="00B24DB0"/>
    <w:rsid w:val="00B25035"/>
    <w:rsid w:val="00B2515D"/>
    <w:rsid w:val="00B25398"/>
    <w:rsid w:val="00B25596"/>
    <w:rsid w:val="00B256D3"/>
    <w:rsid w:val="00B2575A"/>
    <w:rsid w:val="00B258F2"/>
    <w:rsid w:val="00B25930"/>
    <w:rsid w:val="00B259E7"/>
    <w:rsid w:val="00B25A65"/>
    <w:rsid w:val="00B25D05"/>
    <w:rsid w:val="00B2602B"/>
    <w:rsid w:val="00B2605B"/>
    <w:rsid w:val="00B26280"/>
    <w:rsid w:val="00B26430"/>
    <w:rsid w:val="00B265B4"/>
    <w:rsid w:val="00B26622"/>
    <w:rsid w:val="00B2663F"/>
    <w:rsid w:val="00B26669"/>
    <w:rsid w:val="00B26715"/>
    <w:rsid w:val="00B267C0"/>
    <w:rsid w:val="00B268B2"/>
    <w:rsid w:val="00B26A97"/>
    <w:rsid w:val="00B26BCA"/>
    <w:rsid w:val="00B26C0C"/>
    <w:rsid w:val="00B26D26"/>
    <w:rsid w:val="00B26EC9"/>
    <w:rsid w:val="00B270AE"/>
    <w:rsid w:val="00B270F3"/>
    <w:rsid w:val="00B274BA"/>
    <w:rsid w:val="00B274F3"/>
    <w:rsid w:val="00B27501"/>
    <w:rsid w:val="00B2751B"/>
    <w:rsid w:val="00B276B4"/>
    <w:rsid w:val="00B276E7"/>
    <w:rsid w:val="00B27845"/>
    <w:rsid w:val="00B278C6"/>
    <w:rsid w:val="00B278D7"/>
    <w:rsid w:val="00B27944"/>
    <w:rsid w:val="00B279A5"/>
    <w:rsid w:val="00B27A2A"/>
    <w:rsid w:val="00B27B8F"/>
    <w:rsid w:val="00B27C10"/>
    <w:rsid w:val="00B27C63"/>
    <w:rsid w:val="00B27D10"/>
    <w:rsid w:val="00B27DF9"/>
    <w:rsid w:val="00B27E7C"/>
    <w:rsid w:val="00B27EE8"/>
    <w:rsid w:val="00B27F89"/>
    <w:rsid w:val="00B303F6"/>
    <w:rsid w:val="00B3041E"/>
    <w:rsid w:val="00B30472"/>
    <w:rsid w:val="00B3053E"/>
    <w:rsid w:val="00B306E3"/>
    <w:rsid w:val="00B307B5"/>
    <w:rsid w:val="00B307B7"/>
    <w:rsid w:val="00B3091C"/>
    <w:rsid w:val="00B30B50"/>
    <w:rsid w:val="00B30CF6"/>
    <w:rsid w:val="00B3114D"/>
    <w:rsid w:val="00B31221"/>
    <w:rsid w:val="00B3123B"/>
    <w:rsid w:val="00B3132B"/>
    <w:rsid w:val="00B313D9"/>
    <w:rsid w:val="00B3158A"/>
    <w:rsid w:val="00B31738"/>
    <w:rsid w:val="00B3180A"/>
    <w:rsid w:val="00B31A32"/>
    <w:rsid w:val="00B31EFE"/>
    <w:rsid w:val="00B3204B"/>
    <w:rsid w:val="00B3204E"/>
    <w:rsid w:val="00B321BB"/>
    <w:rsid w:val="00B321DC"/>
    <w:rsid w:val="00B3225C"/>
    <w:rsid w:val="00B32266"/>
    <w:rsid w:val="00B32331"/>
    <w:rsid w:val="00B32521"/>
    <w:rsid w:val="00B32667"/>
    <w:rsid w:val="00B32767"/>
    <w:rsid w:val="00B32773"/>
    <w:rsid w:val="00B328BD"/>
    <w:rsid w:val="00B32C21"/>
    <w:rsid w:val="00B32F66"/>
    <w:rsid w:val="00B330A5"/>
    <w:rsid w:val="00B330EB"/>
    <w:rsid w:val="00B333B7"/>
    <w:rsid w:val="00B336F3"/>
    <w:rsid w:val="00B337B1"/>
    <w:rsid w:val="00B339C7"/>
    <w:rsid w:val="00B33AA8"/>
    <w:rsid w:val="00B33B05"/>
    <w:rsid w:val="00B33B33"/>
    <w:rsid w:val="00B33C92"/>
    <w:rsid w:val="00B33D1C"/>
    <w:rsid w:val="00B33E5F"/>
    <w:rsid w:val="00B33F62"/>
    <w:rsid w:val="00B340D6"/>
    <w:rsid w:val="00B341D4"/>
    <w:rsid w:val="00B342AE"/>
    <w:rsid w:val="00B34322"/>
    <w:rsid w:val="00B34374"/>
    <w:rsid w:val="00B34400"/>
    <w:rsid w:val="00B3444A"/>
    <w:rsid w:val="00B3464A"/>
    <w:rsid w:val="00B346A8"/>
    <w:rsid w:val="00B348CA"/>
    <w:rsid w:val="00B348D5"/>
    <w:rsid w:val="00B34977"/>
    <w:rsid w:val="00B34A66"/>
    <w:rsid w:val="00B34B1E"/>
    <w:rsid w:val="00B34D51"/>
    <w:rsid w:val="00B34E04"/>
    <w:rsid w:val="00B34EDC"/>
    <w:rsid w:val="00B35053"/>
    <w:rsid w:val="00B35072"/>
    <w:rsid w:val="00B351CD"/>
    <w:rsid w:val="00B353F5"/>
    <w:rsid w:val="00B3564D"/>
    <w:rsid w:val="00B356B5"/>
    <w:rsid w:val="00B357C6"/>
    <w:rsid w:val="00B357E5"/>
    <w:rsid w:val="00B358C5"/>
    <w:rsid w:val="00B359AC"/>
    <w:rsid w:val="00B359EB"/>
    <w:rsid w:val="00B35A0F"/>
    <w:rsid w:val="00B35A7F"/>
    <w:rsid w:val="00B35BC9"/>
    <w:rsid w:val="00B36028"/>
    <w:rsid w:val="00B3632E"/>
    <w:rsid w:val="00B364A5"/>
    <w:rsid w:val="00B364BD"/>
    <w:rsid w:val="00B366F4"/>
    <w:rsid w:val="00B3679C"/>
    <w:rsid w:val="00B367F6"/>
    <w:rsid w:val="00B36849"/>
    <w:rsid w:val="00B3688C"/>
    <w:rsid w:val="00B368E6"/>
    <w:rsid w:val="00B36B5F"/>
    <w:rsid w:val="00B36C1D"/>
    <w:rsid w:val="00B36CB0"/>
    <w:rsid w:val="00B36E9D"/>
    <w:rsid w:val="00B37277"/>
    <w:rsid w:val="00B3739B"/>
    <w:rsid w:val="00B3776F"/>
    <w:rsid w:val="00B3778F"/>
    <w:rsid w:val="00B377E3"/>
    <w:rsid w:val="00B37831"/>
    <w:rsid w:val="00B379B9"/>
    <w:rsid w:val="00B37C1A"/>
    <w:rsid w:val="00B37C24"/>
    <w:rsid w:val="00B40064"/>
    <w:rsid w:val="00B40193"/>
    <w:rsid w:val="00B401D9"/>
    <w:rsid w:val="00B4031E"/>
    <w:rsid w:val="00B403CC"/>
    <w:rsid w:val="00B4048D"/>
    <w:rsid w:val="00B4071E"/>
    <w:rsid w:val="00B4084B"/>
    <w:rsid w:val="00B40A77"/>
    <w:rsid w:val="00B40CBA"/>
    <w:rsid w:val="00B4102D"/>
    <w:rsid w:val="00B41553"/>
    <w:rsid w:val="00B41681"/>
    <w:rsid w:val="00B4188E"/>
    <w:rsid w:val="00B41962"/>
    <w:rsid w:val="00B419E6"/>
    <w:rsid w:val="00B41B09"/>
    <w:rsid w:val="00B41B4F"/>
    <w:rsid w:val="00B41C3C"/>
    <w:rsid w:val="00B41C58"/>
    <w:rsid w:val="00B41C8F"/>
    <w:rsid w:val="00B41D31"/>
    <w:rsid w:val="00B4207B"/>
    <w:rsid w:val="00B4209B"/>
    <w:rsid w:val="00B422B6"/>
    <w:rsid w:val="00B4257C"/>
    <w:rsid w:val="00B4259C"/>
    <w:rsid w:val="00B425A3"/>
    <w:rsid w:val="00B425EE"/>
    <w:rsid w:val="00B42610"/>
    <w:rsid w:val="00B42804"/>
    <w:rsid w:val="00B42876"/>
    <w:rsid w:val="00B429AA"/>
    <w:rsid w:val="00B42BD9"/>
    <w:rsid w:val="00B42C09"/>
    <w:rsid w:val="00B42DF5"/>
    <w:rsid w:val="00B42E91"/>
    <w:rsid w:val="00B43164"/>
    <w:rsid w:val="00B431D6"/>
    <w:rsid w:val="00B4323B"/>
    <w:rsid w:val="00B433D7"/>
    <w:rsid w:val="00B4354F"/>
    <w:rsid w:val="00B435AD"/>
    <w:rsid w:val="00B436E3"/>
    <w:rsid w:val="00B43708"/>
    <w:rsid w:val="00B4372E"/>
    <w:rsid w:val="00B4384D"/>
    <w:rsid w:val="00B43914"/>
    <w:rsid w:val="00B43A0D"/>
    <w:rsid w:val="00B43A51"/>
    <w:rsid w:val="00B43A79"/>
    <w:rsid w:val="00B43D08"/>
    <w:rsid w:val="00B43D57"/>
    <w:rsid w:val="00B43D6A"/>
    <w:rsid w:val="00B43DED"/>
    <w:rsid w:val="00B44008"/>
    <w:rsid w:val="00B4410A"/>
    <w:rsid w:val="00B44621"/>
    <w:rsid w:val="00B447C4"/>
    <w:rsid w:val="00B4492B"/>
    <w:rsid w:val="00B449F7"/>
    <w:rsid w:val="00B44A0C"/>
    <w:rsid w:val="00B44AA1"/>
    <w:rsid w:val="00B44BE1"/>
    <w:rsid w:val="00B44BEF"/>
    <w:rsid w:val="00B44FD8"/>
    <w:rsid w:val="00B45089"/>
    <w:rsid w:val="00B450D5"/>
    <w:rsid w:val="00B45105"/>
    <w:rsid w:val="00B4527C"/>
    <w:rsid w:val="00B452B5"/>
    <w:rsid w:val="00B454A6"/>
    <w:rsid w:val="00B455F1"/>
    <w:rsid w:val="00B459D8"/>
    <w:rsid w:val="00B45A4F"/>
    <w:rsid w:val="00B45A7E"/>
    <w:rsid w:val="00B45C1D"/>
    <w:rsid w:val="00B45DFA"/>
    <w:rsid w:val="00B4612F"/>
    <w:rsid w:val="00B46148"/>
    <w:rsid w:val="00B46538"/>
    <w:rsid w:val="00B465B8"/>
    <w:rsid w:val="00B465FB"/>
    <w:rsid w:val="00B4663A"/>
    <w:rsid w:val="00B46877"/>
    <w:rsid w:val="00B468D6"/>
    <w:rsid w:val="00B4692C"/>
    <w:rsid w:val="00B4697A"/>
    <w:rsid w:val="00B469A9"/>
    <w:rsid w:val="00B46CF4"/>
    <w:rsid w:val="00B4701C"/>
    <w:rsid w:val="00B47073"/>
    <w:rsid w:val="00B470E1"/>
    <w:rsid w:val="00B47116"/>
    <w:rsid w:val="00B4737C"/>
    <w:rsid w:val="00B47380"/>
    <w:rsid w:val="00B474C3"/>
    <w:rsid w:val="00B47557"/>
    <w:rsid w:val="00B4772D"/>
    <w:rsid w:val="00B4777C"/>
    <w:rsid w:val="00B478FA"/>
    <w:rsid w:val="00B47C87"/>
    <w:rsid w:val="00B47D90"/>
    <w:rsid w:val="00B47D9E"/>
    <w:rsid w:val="00B47F10"/>
    <w:rsid w:val="00B5001A"/>
    <w:rsid w:val="00B500E4"/>
    <w:rsid w:val="00B5019E"/>
    <w:rsid w:val="00B50271"/>
    <w:rsid w:val="00B503CC"/>
    <w:rsid w:val="00B50422"/>
    <w:rsid w:val="00B504A6"/>
    <w:rsid w:val="00B50532"/>
    <w:rsid w:val="00B5058E"/>
    <w:rsid w:val="00B50742"/>
    <w:rsid w:val="00B50753"/>
    <w:rsid w:val="00B507EA"/>
    <w:rsid w:val="00B5083A"/>
    <w:rsid w:val="00B5088F"/>
    <w:rsid w:val="00B509B3"/>
    <w:rsid w:val="00B509BC"/>
    <w:rsid w:val="00B509DB"/>
    <w:rsid w:val="00B50A44"/>
    <w:rsid w:val="00B50AAA"/>
    <w:rsid w:val="00B50AB2"/>
    <w:rsid w:val="00B50DD5"/>
    <w:rsid w:val="00B51013"/>
    <w:rsid w:val="00B51022"/>
    <w:rsid w:val="00B51157"/>
    <w:rsid w:val="00B51225"/>
    <w:rsid w:val="00B512C3"/>
    <w:rsid w:val="00B5135B"/>
    <w:rsid w:val="00B513DD"/>
    <w:rsid w:val="00B515D8"/>
    <w:rsid w:val="00B51704"/>
    <w:rsid w:val="00B51759"/>
    <w:rsid w:val="00B517C8"/>
    <w:rsid w:val="00B517DA"/>
    <w:rsid w:val="00B518A8"/>
    <w:rsid w:val="00B5190E"/>
    <w:rsid w:val="00B51C59"/>
    <w:rsid w:val="00B51CEE"/>
    <w:rsid w:val="00B51D9B"/>
    <w:rsid w:val="00B51E01"/>
    <w:rsid w:val="00B51EC0"/>
    <w:rsid w:val="00B51ED9"/>
    <w:rsid w:val="00B51F62"/>
    <w:rsid w:val="00B51F8F"/>
    <w:rsid w:val="00B51FDD"/>
    <w:rsid w:val="00B5205E"/>
    <w:rsid w:val="00B520CB"/>
    <w:rsid w:val="00B52411"/>
    <w:rsid w:val="00B52479"/>
    <w:rsid w:val="00B52533"/>
    <w:rsid w:val="00B5285F"/>
    <w:rsid w:val="00B52870"/>
    <w:rsid w:val="00B52892"/>
    <w:rsid w:val="00B529BD"/>
    <w:rsid w:val="00B52EE3"/>
    <w:rsid w:val="00B52F93"/>
    <w:rsid w:val="00B52FC0"/>
    <w:rsid w:val="00B536D0"/>
    <w:rsid w:val="00B53850"/>
    <w:rsid w:val="00B53865"/>
    <w:rsid w:val="00B539B7"/>
    <w:rsid w:val="00B53A06"/>
    <w:rsid w:val="00B53BEC"/>
    <w:rsid w:val="00B53C1F"/>
    <w:rsid w:val="00B53EA2"/>
    <w:rsid w:val="00B53FA1"/>
    <w:rsid w:val="00B53FB7"/>
    <w:rsid w:val="00B53FC2"/>
    <w:rsid w:val="00B5401D"/>
    <w:rsid w:val="00B540BB"/>
    <w:rsid w:val="00B540C9"/>
    <w:rsid w:val="00B543F4"/>
    <w:rsid w:val="00B54466"/>
    <w:rsid w:val="00B545CA"/>
    <w:rsid w:val="00B54743"/>
    <w:rsid w:val="00B54981"/>
    <w:rsid w:val="00B54A0D"/>
    <w:rsid w:val="00B54AB7"/>
    <w:rsid w:val="00B54B18"/>
    <w:rsid w:val="00B54E27"/>
    <w:rsid w:val="00B54E3B"/>
    <w:rsid w:val="00B54F5D"/>
    <w:rsid w:val="00B54FC1"/>
    <w:rsid w:val="00B55217"/>
    <w:rsid w:val="00B5541E"/>
    <w:rsid w:val="00B5543B"/>
    <w:rsid w:val="00B554D4"/>
    <w:rsid w:val="00B55516"/>
    <w:rsid w:val="00B55524"/>
    <w:rsid w:val="00B55539"/>
    <w:rsid w:val="00B55554"/>
    <w:rsid w:val="00B5587E"/>
    <w:rsid w:val="00B55C4D"/>
    <w:rsid w:val="00B55CDB"/>
    <w:rsid w:val="00B56152"/>
    <w:rsid w:val="00B563EA"/>
    <w:rsid w:val="00B5641C"/>
    <w:rsid w:val="00B566F7"/>
    <w:rsid w:val="00B566FF"/>
    <w:rsid w:val="00B569F0"/>
    <w:rsid w:val="00B56A6C"/>
    <w:rsid w:val="00B56A93"/>
    <w:rsid w:val="00B56B11"/>
    <w:rsid w:val="00B56D97"/>
    <w:rsid w:val="00B571AC"/>
    <w:rsid w:val="00B575BF"/>
    <w:rsid w:val="00B5765F"/>
    <w:rsid w:val="00B57814"/>
    <w:rsid w:val="00B579BB"/>
    <w:rsid w:val="00B57AF6"/>
    <w:rsid w:val="00B57B46"/>
    <w:rsid w:val="00B57BAC"/>
    <w:rsid w:val="00B57BDD"/>
    <w:rsid w:val="00B57E16"/>
    <w:rsid w:val="00B60071"/>
    <w:rsid w:val="00B60257"/>
    <w:rsid w:val="00B602D7"/>
    <w:rsid w:val="00B6038D"/>
    <w:rsid w:val="00B60435"/>
    <w:rsid w:val="00B605C3"/>
    <w:rsid w:val="00B606F4"/>
    <w:rsid w:val="00B6096B"/>
    <w:rsid w:val="00B60A3C"/>
    <w:rsid w:val="00B60B29"/>
    <w:rsid w:val="00B60B7E"/>
    <w:rsid w:val="00B60CC8"/>
    <w:rsid w:val="00B60D02"/>
    <w:rsid w:val="00B60D67"/>
    <w:rsid w:val="00B60D8D"/>
    <w:rsid w:val="00B60EE2"/>
    <w:rsid w:val="00B60FDD"/>
    <w:rsid w:val="00B6111C"/>
    <w:rsid w:val="00B61187"/>
    <w:rsid w:val="00B611DE"/>
    <w:rsid w:val="00B612BB"/>
    <w:rsid w:val="00B612EA"/>
    <w:rsid w:val="00B6133E"/>
    <w:rsid w:val="00B613C5"/>
    <w:rsid w:val="00B61518"/>
    <w:rsid w:val="00B616F2"/>
    <w:rsid w:val="00B61A7B"/>
    <w:rsid w:val="00B61A92"/>
    <w:rsid w:val="00B61C2C"/>
    <w:rsid w:val="00B61C66"/>
    <w:rsid w:val="00B61C9A"/>
    <w:rsid w:val="00B61CF3"/>
    <w:rsid w:val="00B61E51"/>
    <w:rsid w:val="00B61E9C"/>
    <w:rsid w:val="00B61EDD"/>
    <w:rsid w:val="00B62400"/>
    <w:rsid w:val="00B625C8"/>
    <w:rsid w:val="00B62604"/>
    <w:rsid w:val="00B62668"/>
    <w:rsid w:val="00B626EE"/>
    <w:rsid w:val="00B626FA"/>
    <w:rsid w:val="00B62993"/>
    <w:rsid w:val="00B62A61"/>
    <w:rsid w:val="00B62C2C"/>
    <w:rsid w:val="00B62C94"/>
    <w:rsid w:val="00B62DF2"/>
    <w:rsid w:val="00B62DF8"/>
    <w:rsid w:val="00B62EBC"/>
    <w:rsid w:val="00B62F17"/>
    <w:rsid w:val="00B62F47"/>
    <w:rsid w:val="00B62FE4"/>
    <w:rsid w:val="00B6310A"/>
    <w:rsid w:val="00B63154"/>
    <w:rsid w:val="00B631CE"/>
    <w:rsid w:val="00B6331F"/>
    <w:rsid w:val="00B633E6"/>
    <w:rsid w:val="00B635D7"/>
    <w:rsid w:val="00B636C8"/>
    <w:rsid w:val="00B636FF"/>
    <w:rsid w:val="00B63750"/>
    <w:rsid w:val="00B637CF"/>
    <w:rsid w:val="00B6398D"/>
    <w:rsid w:val="00B63997"/>
    <w:rsid w:val="00B63A53"/>
    <w:rsid w:val="00B63AF6"/>
    <w:rsid w:val="00B63C29"/>
    <w:rsid w:val="00B63C6A"/>
    <w:rsid w:val="00B63E46"/>
    <w:rsid w:val="00B63EC3"/>
    <w:rsid w:val="00B63FCB"/>
    <w:rsid w:val="00B641EF"/>
    <w:rsid w:val="00B64222"/>
    <w:rsid w:val="00B642FE"/>
    <w:rsid w:val="00B64350"/>
    <w:rsid w:val="00B6442A"/>
    <w:rsid w:val="00B64491"/>
    <w:rsid w:val="00B644DC"/>
    <w:rsid w:val="00B6450A"/>
    <w:rsid w:val="00B6468E"/>
    <w:rsid w:val="00B646F5"/>
    <w:rsid w:val="00B64798"/>
    <w:rsid w:val="00B64830"/>
    <w:rsid w:val="00B6488C"/>
    <w:rsid w:val="00B648EB"/>
    <w:rsid w:val="00B6493C"/>
    <w:rsid w:val="00B64BF2"/>
    <w:rsid w:val="00B64C90"/>
    <w:rsid w:val="00B64D8A"/>
    <w:rsid w:val="00B64FD9"/>
    <w:rsid w:val="00B65026"/>
    <w:rsid w:val="00B65096"/>
    <w:rsid w:val="00B65237"/>
    <w:rsid w:val="00B65346"/>
    <w:rsid w:val="00B653FA"/>
    <w:rsid w:val="00B65461"/>
    <w:rsid w:val="00B654C6"/>
    <w:rsid w:val="00B65661"/>
    <w:rsid w:val="00B656C5"/>
    <w:rsid w:val="00B6594F"/>
    <w:rsid w:val="00B659BB"/>
    <w:rsid w:val="00B65A72"/>
    <w:rsid w:val="00B65B9F"/>
    <w:rsid w:val="00B65BA8"/>
    <w:rsid w:val="00B65CA9"/>
    <w:rsid w:val="00B65D03"/>
    <w:rsid w:val="00B6612F"/>
    <w:rsid w:val="00B661A3"/>
    <w:rsid w:val="00B665A0"/>
    <w:rsid w:val="00B665B2"/>
    <w:rsid w:val="00B665FA"/>
    <w:rsid w:val="00B6674E"/>
    <w:rsid w:val="00B66A87"/>
    <w:rsid w:val="00B66B19"/>
    <w:rsid w:val="00B66BF5"/>
    <w:rsid w:val="00B66D97"/>
    <w:rsid w:val="00B67244"/>
    <w:rsid w:val="00B6728B"/>
    <w:rsid w:val="00B67335"/>
    <w:rsid w:val="00B67449"/>
    <w:rsid w:val="00B67523"/>
    <w:rsid w:val="00B67755"/>
    <w:rsid w:val="00B677ED"/>
    <w:rsid w:val="00B67883"/>
    <w:rsid w:val="00B678C3"/>
    <w:rsid w:val="00B67997"/>
    <w:rsid w:val="00B67A41"/>
    <w:rsid w:val="00B67A5D"/>
    <w:rsid w:val="00B67B81"/>
    <w:rsid w:val="00B67CB3"/>
    <w:rsid w:val="00B67CE5"/>
    <w:rsid w:val="00B67E07"/>
    <w:rsid w:val="00B67FDB"/>
    <w:rsid w:val="00B70234"/>
    <w:rsid w:val="00B70256"/>
    <w:rsid w:val="00B70316"/>
    <w:rsid w:val="00B704DA"/>
    <w:rsid w:val="00B7067D"/>
    <w:rsid w:val="00B706B9"/>
    <w:rsid w:val="00B706D8"/>
    <w:rsid w:val="00B70813"/>
    <w:rsid w:val="00B70ACA"/>
    <w:rsid w:val="00B70AFA"/>
    <w:rsid w:val="00B70B21"/>
    <w:rsid w:val="00B70B2F"/>
    <w:rsid w:val="00B70BC1"/>
    <w:rsid w:val="00B70C52"/>
    <w:rsid w:val="00B70CFA"/>
    <w:rsid w:val="00B70D74"/>
    <w:rsid w:val="00B70DE6"/>
    <w:rsid w:val="00B70E2E"/>
    <w:rsid w:val="00B710B2"/>
    <w:rsid w:val="00B712A6"/>
    <w:rsid w:val="00B712D0"/>
    <w:rsid w:val="00B71454"/>
    <w:rsid w:val="00B71653"/>
    <w:rsid w:val="00B717A4"/>
    <w:rsid w:val="00B71806"/>
    <w:rsid w:val="00B718C8"/>
    <w:rsid w:val="00B7193C"/>
    <w:rsid w:val="00B71A81"/>
    <w:rsid w:val="00B71F14"/>
    <w:rsid w:val="00B7207A"/>
    <w:rsid w:val="00B721AD"/>
    <w:rsid w:val="00B7247A"/>
    <w:rsid w:val="00B7263E"/>
    <w:rsid w:val="00B726F9"/>
    <w:rsid w:val="00B727DB"/>
    <w:rsid w:val="00B72957"/>
    <w:rsid w:val="00B729B9"/>
    <w:rsid w:val="00B72ACB"/>
    <w:rsid w:val="00B72DEC"/>
    <w:rsid w:val="00B72F04"/>
    <w:rsid w:val="00B72FED"/>
    <w:rsid w:val="00B7306B"/>
    <w:rsid w:val="00B73157"/>
    <w:rsid w:val="00B73218"/>
    <w:rsid w:val="00B732B3"/>
    <w:rsid w:val="00B7331D"/>
    <w:rsid w:val="00B73448"/>
    <w:rsid w:val="00B7345D"/>
    <w:rsid w:val="00B7347B"/>
    <w:rsid w:val="00B73484"/>
    <w:rsid w:val="00B735BC"/>
    <w:rsid w:val="00B738C9"/>
    <w:rsid w:val="00B73923"/>
    <w:rsid w:val="00B73ADF"/>
    <w:rsid w:val="00B73B2F"/>
    <w:rsid w:val="00B73C75"/>
    <w:rsid w:val="00B73DC8"/>
    <w:rsid w:val="00B73EAB"/>
    <w:rsid w:val="00B7402C"/>
    <w:rsid w:val="00B741DF"/>
    <w:rsid w:val="00B7425F"/>
    <w:rsid w:val="00B7434B"/>
    <w:rsid w:val="00B7435D"/>
    <w:rsid w:val="00B74411"/>
    <w:rsid w:val="00B7480F"/>
    <w:rsid w:val="00B74824"/>
    <w:rsid w:val="00B74BD6"/>
    <w:rsid w:val="00B751C0"/>
    <w:rsid w:val="00B751E9"/>
    <w:rsid w:val="00B7526C"/>
    <w:rsid w:val="00B755AC"/>
    <w:rsid w:val="00B757E5"/>
    <w:rsid w:val="00B757F9"/>
    <w:rsid w:val="00B759CE"/>
    <w:rsid w:val="00B75B90"/>
    <w:rsid w:val="00B75C89"/>
    <w:rsid w:val="00B75CC3"/>
    <w:rsid w:val="00B75D65"/>
    <w:rsid w:val="00B75EAC"/>
    <w:rsid w:val="00B7612C"/>
    <w:rsid w:val="00B762FC"/>
    <w:rsid w:val="00B763E1"/>
    <w:rsid w:val="00B76421"/>
    <w:rsid w:val="00B76783"/>
    <w:rsid w:val="00B7685D"/>
    <w:rsid w:val="00B76AB4"/>
    <w:rsid w:val="00B76B7F"/>
    <w:rsid w:val="00B76CDF"/>
    <w:rsid w:val="00B76D18"/>
    <w:rsid w:val="00B76ED5"/>
    <w:rsid w:val="00B77091"/>
    <w:rsid w:val="00B77136"/>
    <w:rsid w:val="00B77140"/>
    <w:rsid w:val="00B771A1"/>
    <w:rsid w:val="00B77345"/>
    <w:rsid w:val="00B77540"/>
    <w:rsid w:val="00B77588"/>
    <w:rsid w:val="00B77647"/>
    <w:rsid w:val="00B77654"/>
    <w:rsid w:val="00B776A4"/>
    <w:rsid w:val="00B77746"/>
    <w:rsid w:val="00B77786"/>
    <w:rsid w:val="00B77915"/>
    <w:rsid w:val="00B77996"/>
    <w:rsid w:val="00B779B7"/>
    <w:rsid w:val="00B779CD"/>
    <w:rsid w:val="00B779D1"/>
    <w:rsid w:val="00B77BD5"/>
    <w:rsid w:val="00B77C39"/>
    <w:rsid w:val="00B80331"/>
    <w:rsid w:val="00B80370"/>
    <w:rsid w:val="00B803FE"/>
    <w:rsid w:val="00B8040C"/>
    <w:rsid w:val="00B80507"/>
    <w:rsid w:val="00B8066A"/>
    <w:rsid w:val="00B806A0"/>
    <w:rsid w:val="00B806B7"/>
    <w:rsid w:val="00B807EA"/>
    <w:rsid w:val="00B8080A"/>
    <w:rsid w:val="00B80873"/>
    <w:rsid w:val="00B8090C"/>
    <w:rsid w:val="00B80B0A"/>
    <w:rsid w:val="00B80C06"/>
    <w:rsid w:val="00B80F04"/>
    <w:rsid w:val="00B80FC1"/>
    <w:rsid w:val="00B81029"/>
    <w:rsid w:val="00B8103C"/>
    <w:rsid w:val="00B81119"/>
    <w:rsid w:val="00B81248"/>
    <w:rsid w:val="00B8131F"/>
    <w:rsid w:val="00B813E1"/>
    <w:rsid w:val="00B81511"/>
    <w:rsid w:val="00B81637"/>
    <w:rsid w:val="00B816BB"/>
    <w:rsid w:val="00B816CC"/>
    <w:rsid w:val="00B8190F"/>
    <w:rsid w:val="00B81AFB"/>
    <w:rsid w:val="00B81C04"/>
    <w:rsid w:val="00B81CFE"/>
    <w:rsid w:val="00B81E7A"/>
    <w:rsid w:val="00B81E7B"/>
    <w:rsid w:val="00B81EF7"/>
    <w:rsid w:val="00B81F38"/>
    <w:rsid w:val="00B825B1"/>
    <w:rsid w:val="00B82761"/>
    <w:rsid w:val="00B8283F"/>
    <w:rsid w:val="00B8290F"/>
    <w:rsid w:val="00B82B52"/>
    <w:rsid w:val="00B82DB0"/>
    <w:rsid w:val="00B82F83"/>
    <w:rsid w:val="00B830FA"/>
    <w:rsid w:val="00B83306"/>
    <w:rsid w:val="00B83393"/>
    <w:rsid w:val="00B833D6"/>
    <w:rsid w:val="00B835BC"/>
    <w:rsid w:val="00B8383C"/>
    <w:rsid w:val="00B838B0"/>
    <w:rsid w:val="00B8396B"/>
    <w:rsid w:val="00B83B53"/>
    <w:rsid w:val="00B83B62"/>
    <w:rsid w:val="00B83B87"/>
    <w:rsid w:val="00B83B8C"/>
    <w:rsid w:val="00B83D38"/>
    <w:rsid w:val="00B83D46"/>
    <w:rsid w:val="00B83F97"/>
    <w:rsid w:val="00B83FB1"/>
    <w:rsid w:val="00B84143"/>
    <w:rsid w:val="00B8419E"/>
    <w:rsid w:val="00B84351"/>
    <w:rsid w:val="00B84355"/>
    <w:rsid w:val="00B84453"/>
    <w:rsid w:val="00B8492A"/>
    <w:rsid w:val="00B84B06"/>
    <w:rsid w:val="00B84CCE"/>
    <w:rsid w:val="00B84E8D"/>
    <w:rsid w:val="00B84E91"/>
    <w:rsid w:val="00B8506A"/>
    <w:rsid w:val="00B850F2"/>
    <w:rsid w:val="00B85259"/>
    <w:rsid w:val="00B8526D"/>
    <w:rsid w:val="00B8535F"/>
    <w:rsid w:val="00B854C6"/>
    <w:rsid w:val="00B85618"/>
    <w:rsid w:val="00B8576C"/>
    <w:rsid w:val="00B85957"/>
    <w:rsid w:val="00B85A3A"/>
    <w:rsid w:val="00B85AF8"/>
    <w:rsid w:val="00B85BC8"/>
    <w:rsid w:val="00B85CFA"/>
    <w:rsid w:val="00B85E18"/>
    <w:rsid w:val="00B85F5A"/>
    <w:rsid w:val="00B85F69"/>
    <w:rsid w:val="00B8607E"/>
    <w:rsid w:val="00B8609C"/>
    <w:rsid w:val="00B860DF"/>
    <w:rsid w:val="00B860ED"/>
    <w:rsid w:val="00B860F4"/>
    <w:rsid w:val="00B86104"/>
    <w:rsid w:val="00B8612B"/>
    <w:rsid w:val="00B86213"/>
    <w:rsid w:val="00B86348"/>
    <w:rsid w:val="00B8658F"/>
    <w:rsid w:val="00B86629"/>
    <w:rsid w:val="00B869E8"/>
    <w:rsid w:val="00B86A2E"/>
    <w:rsid w:val="00B86B6E"/>
    <w:rsid w:val="00B86C32"/>
    <w:rsid w:val="00B86D0F"/>
    <w:rsid w:val="00B86D59"/>
    <w:rsid w:val="00B86FB3"/>
    <w:rsid w:val="00B870EF"/>
    <w:rsid w:val="00B871BD"/>
    <w:rsid w:val="00B8723B"/>
    <w:rsid w:val="00B872BD"/>
    <w:rsid w:val="00B8745B"/>
    <w:rsid w:val="00B8752E"/>
    <w:rsid w:val="00B8755D"/>
    <w:rsid w:val="00B87605"/>
    <w:rsid w:val="00B876FE"/>
    <w:rsid w:val="00B8771D"/>
    <w:rsid w:val="00B878CD"/>
    <w:rsid w:val="00B87C50"/>
    <w:rsid w:val="00B87D76"/>
    <w:rsid w:val="00B87D92"/>
    <w:rsid w:val="00B87E84"/>
    <w:rsid w:val="00B87EAC"/>
    <w:rsid w:val="00B90093"/>
    <w:rsid w:val="00B902A6"/>
    <w:rsid w:val="00B904A9"/>
    <w:rsid w:val="00B904BF"/>
    <w:rsid w:val="00B906FB"/>
    <w:rsid w:val="00B9072F"/>
    <w:rsid w:val="00B90A4B"/>
    <w:rsid w:val="00B90A57"/>
    <w:rsid w:val="00B90C64"/>
    <w:rsid w:val="00B90DB7"/>
    <w:rsid w:val="00B90ED2"/>
    <w:rsid w:val="00B91278"/>
    <w:rsid w:val="00B91511"/>
    <w:rsid w:val="00B9159C"/>
    <w:rsid w:val="00B9169C"/>
    <w:rsid w:val="00B91863"/>
    <w:rsid w:val="00B91B17"/>
    <w:rsid w:val="00B91B48"/>
    <w:rsid w:val="00B91CB1"/>
    <w:rsid w:val="00B91CBC"/>
    <w:rsid w:val="00B91E37"/>
    <w:rsid w:val="00B92016"/>
    <w:rsid w:val="00B9208B"/>
    <w:rsid w:val="00B920E4"/>
    <w:rsid w:val="00B92372"/>
    <w:rsid w:val="00B92378"/>
    <w:rsid w:val="00B92468"/>
    <w:rsid w:val="00B9249B"/>
    <w:rsid w:val="00B9255A"/>
    <w:rsid w:val="00B9265B"/>
    <w:rsid w:val="00B9289C"/>
    <w:rsid w:val="00B929AA"/>
    <w:rsid w:val="00B92A54"/>
    <w:rsid w:val="00B92A63"/>
    <w:rsid w:val="00B92BDA"/>
    <w:rsid w:val="00B92CBF"/>
    <w:rsid w:val="00B92E24"/>
    <w:rsid w:val="00B92E57"/>
    <w:rsid w:val="00B92F9C"/>
    <w:rsid w:val="00B93110"/>
    <w:rsid w:val="00B9323C"/>
    <w:rsid w:val="00B93599"/>
    <w:rsid w:val="00B93753"/>
    <w:rsid w:val="00B938D3"/>
    <w:rsid w:val="00B93AFF"/>
    <w:rsid w:val="00B93E6D"/>
    <w:rsid w:val="00B93FD1"/>
    <w:rsid w:val="00B94067"/>
    <w:rsid w:val="00B940B5"/>
    <w:rsid w:val="00B94165"/>
    <w:rsid w:val="00B941EE"/>
    <w:rsid w:val="00B944DA"/>
    <w:rsid w:val="00B944E5"/>
    <w:rsid w:val="00B9452D"/>
    <w:rsid w:val="00B94722"/>
    <w:rsid w:val="00B948AC"/>
    <w:rsid w:val="00B949AF"/>
    <w:rsid w:val="00B94AB8"/>
    <w:rsid w:val="00B94E68"/>
    <w:rsid w:val="00B94F6E"/>
    <w:rsid w:val="00B9510D"/>
    <w:rsid w:val="00B9536C"/>
    <w:rsid w:val="00B953B2"/>
    <w:rsid w:val="00B9546D"/>
    <w:rsid w:val="00B955EE"/>
    <w:rsid w:val="00B958B1"/>
    <w:rsid w:val="00B95983"/>
    <w:rsid w:val="00B95F7B"/>
    <w:rsid w:val="00B96063"/>
    <w:rsid w:val="00B96156"/>
    <w:rsid w:val="00B9627B"/>
    <w:rsid w:val="00B962F8"/>
    <w:rsid w:val="00B96412"/>
    <w:rsid w:val="00B96444"/>
    <w:rsid w:val="00B965E6"/>
    <w:rsid w:val="00B96643"/>
    <w:rsid w:val="00B966C6"/>
    <w:rsid w:val="00B9691E"/>
    <w:rsid w:val="00B9694C"/>
    <w:rsid w:val="00B969C7"/>
    <w:rsid w:val="00B96A21"/>
    <w:rsid w:val="00B96A5F"/>
    <w:rsid w:val="00B96B90"/>
    <w:rsid w:val="00B96BB5"/>
    <w:rsid w:val="00B96F8A"/>
    <w:rsid w:val="00B97009"/>
    <w:rsid w:val="00B97289"/>
    <w:rsid w:val="00B974D2"/>
    <w:rsid w:val="00B97723"/>
    <w:rsid w:val="00B977CD"/>
    <w:rsid w:val="00B978D5"/>
    <w:rsid w:val="00B97917"/>
    <w:rsid w:val="00B979D7"/>
    <w:rsid w:val="00B97A68"/>
    <w:rsid w:val="00B97ACC"/>
    <w:rsid w:val="00B97B84"/>
    <w:rsid w:val="00B97C02"/>
    <w:rsid w:val="00B97CF6"/>
    <w:rsid w:val="00B97D73"/>
    <w:rsid w:val="00B97E25"/>
    <w:rsid w:val="00B97FA1"/>
    <w:rsid w:val="00BA033C"/>
    <w:rsid w:val="00BA0371"/>
    <w:rsid w:val="00BA03D3"/>
    <w:rsid w:val="00BA03D5"/>
    <w:rsid w:val="00BA069C"/>
    <w:rsid w:val="00BA07F6"/>
    <w:rsid w:val="00BA0A95"/>
    <w:rsid w:val="00BA0B8B"/>
    <w:rsid w:val="00BA0BDE"/>
    <w:rsid w:val="00BA0C48"/>
    <w:rsid w:val="00BA0CEE"/>
    <w:rsid w:val="00BA0DF6"/>
    <w:rsid w:val="00BA0F8B"/>
    <w:rsid w:val="00BA1088"/>
    <w:rsid w:val="00BA1192"/>
    <w:rsid w:val="00BA11AF"/>
    <w:rsid w:val="00BA1293"/>
    <w:rsid w:val="00BA1336"/>
    <w:rsid w:val="00BA13A6"/>
    <w:rsid w:val="00BA13C1"/>
    <w:rsid w:val="00BA1862"/>
    <w:rsid w:val="00BA1B99"/>
    <w:rsid w:val="00BA1C51"/>
    <w:rsid w:val="00BA1D9D"/>
    <w:rsid w:val="00BA1E7D"/>
    <w:rsid w:val="00BA1FFB"/>
    <w:rsid w:val="00BA2122"/>
    <w:rsid w:val="00BA2130"/>
    <w:rsid w:val="00BA214F"/>
    <w:rsid w:val="00BA218B"/>
    <w:rsid w:val="00BA2341"/>
    <w:rsid w:val="00BA249E"/>
    <w:rsid w:val="00BA281F"/>
    <w:rsid w:val="00BA29DC"/>
    <w:rsid w:val="00BA2A2F"/>
    <w:rsid w:val="00BA2AE7"/>
    <w:rsid w:val="00BA2B1D"/>
    <w:rsid w:val="00BA2B3F"/>
    <w:rsid w:val="00BA2B6C"/>
    <w:rsid w:val="00BA2B75"/>
    <w:rsid w:val="00BA2C42"/>
    <w:rsid w:val="00BA2D98"/>
    <w:rsid w:val="00BA2EEB"/>
    <w:rsid w:val="00BA2F09"/>
    <w:rsid w:val="00BA30F4"/>
    <w:rsid w:val="00BA35B6"/>
    <w:rsid w:val="00BA3690"/>
    <w:rsid w:val="00BA3739"/>
    <w:rsid w:val="00BA379F"/>
    <w:rsid w:val="00BA382C"/>
    <w:rsid w:val="00BA3B23"/>
    <w:rsid w:val="00BA3BC2"/>
    <w:rsid w:val="00BA3E50"/>
    <w:rsid w:val="00BA3EDB"/>
    <w:rsid w:val="00BA40F1"/>
    <w:rsid w:val="00BA4138"/>
    <w:rsid w:val="00BA4156"/>
    <w:rsid w:val="00BA421C"/>
    <w:rsid w:val="00BA4269"/>
    <w:rsid w:val="00BA446B"/>
    <w:rsid w:val="00BA4563"/>
    <w:rsid w:val="00BA45F4"/>
    <w:rsid w:val="00BA4621"/>
    <w:rsid w:val="00BA4712"/>
    <w:rsid w:val="00BA47AA"/>
    <w:rsid w:val="00BA47C1"/>
    <w:rsid w:val="00BA4843"/>
    <w:rsid w:val="00BA48AF"/>
    <w:rsid w:val="00BA48B8"/>
    <w:rsid w:val="00BA497D"/>
    <w:rsid w:val="00BA4A6F"/>
    <w:rsid w:val="00BA4B6B"/>
    <w:rsid w:val="00BA4BA4"/>
    <w:rsid w:val="00BA4BEA"/>
    <w:rsid w:val="00BA4BFB"/>
    <w:rsid w:val="00BA4E45"/>
    <w:rsid w:val="00BA4E7A"/>
    <w:rsid w:val="00BA4ED9"/>
    <w:rsid w:val="00BA504F"/>
    <w:rsid w:val="00BA513F"/>
    <w:rsid w:val="00BA51A1"/>
    <w:rsid w:val="00BA5247"/>
    <w:rsid w:val="00BA552E"/>
    <w:rsid w:val="00BA592C"/>
    <w:rsid w:val="00BA59FB"/>
    <w:rsid w:val="00BA5A39"/>
    <w:rsid w:val="00BA5A57"/>
    <w:rsid w:val="00BA5D4A"/>
    <w:rsid w:val="00BA5DA9"/>
    <w:rsid w:val="00BA5DB6"/>
    <w:rsid w:val="00BA5DE6"/>
    <w:rsid w:val="00BA5EA4"/>
    <w:rsid w:val="00BA5EAE"/>
    <w:rsid w:val="00BA6232"/>
    <w:rsid w:val="00BA648B"/>
    <w:rsid w:val="00BA6576"/>
    <w:rsid w:val="00BA6729"/>
    <w:rsid w:val="00BA67E9"/>
    <w:rsid w:val="00BA68E0"/>
    <w:rsid w:val="00BA697E"/>
    <w:rsid w:val="00BA6A55"/>
    <w:rsid w:val="00BA6A92"/>
    <w:rsid w:val="00BA6B52"/>
    <w:rsid w:val="00BA6C25"/>
    <w:rsid w:val="00BA6CCD"/>
    <w:rsid w:val="00BA71AA"/>
    <w:rsid w:val="00BA7221"/>
    <w:rsid w:val="00BA73CD"/>
    <w:rsid w:val="00BA73D7"/>
    <w:rsid w:val="00BA779A"/>
    <w:rsid w:val="00BA77B3"/>
    <w:rsid w:val="00BA77EF"/>
    <w:rsid w:val="00BA78BD"/>
    <w:rsid w:val="00BA79D7"/>
    <w:rsid w:val="00BA7B04"/>
    <w:rsid w:val="00BA7B59"/>
    <w:rsid w:val="00BA7C9E"/>
    <w:rsid w:val="00BA7D09"/>
    <w:rsid w:val="00BA7DA8"/>
    <w:rsid w:val="00BA7EFD"/>
    <w:rsid w:val="00BA7FB5"/>
    <w:rsid w:val="00BB0364"/>
    <w:rsid w:val="00BB0587"/>
    <w:rsid w:val="00BB061D"/>
    <w:rsid w:val="00BB0648"/>
    <w:rsid w:val="00BB06AC"/>
    <w:rsid w:val="00BB079A"/>
    <w:rsid w:val="00BB0A85"/>
    <w:rsid w:val="00BB0D02"/>
    <w:rsid w:val="00BB11CA"/>
    <w:rsid w:val="00BB11F8"/>
    <w:rsid w:val="00BB12A4"/>
    <w:rsid w:val="00BB13BA"/>
    <w:rsid w:val="00BB14A3"/>
    <w:rsid w:val="00BB18D9"/>
    <w:rsid w:val="00BB18FA"/>
    <w:rsid w:val="00BB19A9"/>
    <w:rsid w:val="00BB19E7"/>
    <w:rsid w:val="00BB1ABE"/>
    <w:rsid w:val="00BB1B50"/>
    <w:rsid w:val="00BB1D05"/>
    <w:rsid w:val="00BB1E6C"/>
    <w:rsid w:val="00BB262F"/>
    <w:rsid w:val="00BB2733"/>
    <w:rsid w:val="00BB28AB"/>
    <w:rsid w:val="00BB293A"/>
    <w:rsid w:val="00BB2B4E"/>
    <w:rsid w:val="00BB2D99"/>
    <w:rsid w:val="00BB2EE9"/>
    <w:rsid w:val="00BB301E"/>
    <w:rsid w:val="00BB3154"/>
    <w:rsid w:val="00BB32E7"/>
    <w:rsid w:val="00BB3375"/>
    <w:rsid w:val="00BB342F"/>
    <w:rsid w:val="00BB3607"/>
    <w:rsid w:val="00BB362E"/>
    <w:rsid w:val="00BB369A"/>
    <w:rsid w:val="00BB36A2"/>
    <w:rsid w:val="00BB3763"/>
    <w:rsid w:val="00BB37DC"/>
    <w:rsid w:val="00BB3873"/>
    <w:rsid w:val="00BB391B"/>
    <w:rsid w:val="00BB3A26"/>
    <w:rsid w:val="00BB3CBB"/>
    <w:rsid w:val="00BB3CD4"/>
    <w:rsid w:val="00BB3E71"/>
    <w:rsid w:val="00BB3EE8"/>
    <w:rsid w:val="00BB3F58"/>
    <w:rsid w:val="00BB3FFE"/>
    <w:rsid w:val="00BB4019"/>
    <w:rsid w:val="00BB4043"/>
    <w:rsid w:val="00BB41A0"/>
    <w:rsid w:val="00BB4223"/>
    <w:rsid w:val="00BB4224"/>
    <w:rsid w:val="00BB443D"/>
    <w:rsid w:val="00BB44E7"/>
    <w:rsid w:val="00BB4708"/>
    <w:rsid w:val="00BB4800"/>
    <w:rsid w:val="00BB48C5"/>
    <w:rsid w:val="00BB48F4"/>
    <w:rsid w:val="00BB4A6A"/>
    <w:rsid w:val="00BB4BC3"/>
    <w:rsid w:val="00BB4DDD"/>
    <w:rsid w:val="00BB4EB1"/>
    <w:rsid w:val="00BB4EB2"/>
    <w:rsid w:val="00BB4ED2"/>
    <w:rsid w:val="00BB5177"/>
    <w:rsid w:val="00BB5178"/>
    <w:rsid w:val="00BB51AF"/>
    <w:rsid w:val="00BB534F"/>
    <w:rsid w:val="00BB54FA"/>
    <w:rsid w:val="00BB5546"/>
    <w:rsid w:val="00BB55AB"/>
    <w:rsid w:val="00BB588B"/>
    <w:rsid w:val="00BB5B1C"/>
    <w:rsid w:val="00BB5C45"/>
    <w:rsid w:val="00BB5CA0"/>
    <w:rsid w:val="00BB5E90"/>
    <w:rsid w:val="00BB5F83"/>
    <w:rsid w:val="00BB6199"/>
    <w:rsid w:val="00BB654E"/>
    <w:rsid w:val="00BB66C0"/>
    <w:rsid w:val="00BB677C"/>
    <w:rsid w:val="00BB69BC"/>
    <w:rsid w:val="00BB6B95"/>
    <w:rsid w:val="00BB6C71"/>
    <w:rsid w:val="00BB6C8C"/>
    <w:rsid w:val="00BB6CA5"/>
    <w:rsid w:val="00BB6CBC"/>
    <w:rsid w:val="00BB6CC9"/>
    <w:rsid w:val="00BB6F3C"/>
    <w:rsid w:val="00BB6F73"/>
    <w:rsid w:val="00BB7076"/>
    <w:rsid w:val="00BB71DC"/>
    <w:rsid w:val="00BB72B0"/>
    <w:rsid w:val="00BB737C"/>
    <w:rsid w:val="00BB7665"/>
    <w:rsid w:val="00BB7706"/>
    <w:rsid w:val="00BB77EB"/>
    <w:rsid w:val="00BB7AA2"/>
    <w:rsid w:val="00BB7AD2"/>
    <w:rsid w:val="00BB7E15"/>
    <w:rsid w:val="00BC012D"/>
    <w:rsid w:val="00BC0380"/>
    <w:rsid w:val="00BC03AF"/>
    <w:rsid w:val="00BC03FB"/>
    <w:rsid w:val="00BC0452"/>
    <w:rsid w:val="00BC04D3"/>
    <w:rsid w:val="00BC05E9"/>
    <w:rsid w:val="00BC0798"/>
    <w:rsid w:val="00BC07DB"/>
    <w:rsid w:val="00BC0886"/>
    <w:rsid w:val="00BC08C6"/>
    <w:rsid w:val="00BC08F8"/>
    <w:rsid w:val="00BC0CA6"/>
    <w:rsid w:val="00BC0D49"/>
    <w:rsid w:val="00BC104E"/>
    <w:rsid w:val="00BC1057"/>
    <w:rsid w:val="00BC1490"/>
    <w:rsid w:val="00BC15DE"/>
    <w:rsid w:val="00BC1682"/>
    <w:rsid w:val="00BC1749"/>
    <w:rsid w:val="00BC17C8"/>
    <w:rsid w:val="00BC195C"/>
    <w:rsid w:val="00BC1A08"/>
    <w:rsid w:val="00BC1A39"/>
    <w:rsid w:val="00BC1A65"/>
    <w:rsid w:val="00BC1B81"/>
    <w:rsid w:val="00BC1B96"/>
    <w:rsid w:val="00BC1F8F"/>
    <w:rsid w:val="00BC23EC"/>
    <w:rsid w:val="00BC24FA"/>
    <w:rsid w:val="00BC25C4"/>
    <w:rsid w:val="00BC2937"/>
    <w:rsid w:val="00BC2F89"/>
    <w:rsid w:val="00BC3172"/>
    <w:rsid w:val="00BC32E4"/>
    <w:rsid w:val="00BC337E"/>
    <w:rsid w:val="00BC34E8"/>
    <w:rsid w:val="00BC34F9"/>
    <w:rsid w:val="00BC365E"/>
    <w:rsid w:val="00BC369C"/>
    <w:rsid w:val="00BC38B2"/>
    <w:rsid w:val="00BC3910"/>
    <w:rsid w:val="00BC3977"/>
    <w:rsid w:val="00BC39A6"/>
    <w:rsid w:val="00BC3B1D"/>
    <w:rsid w:val="00BC3C62"/>
    <w:rsid w:val="00BC3E11"/>
    <w:rsid w:val="00BC3F78"/>
    <w:rsid w:val="00BC4007"/>
    <w:rsid w:val="00BC4040"/>
    <w:rsid w:val="00BC43E7"/>
    <w:rsid w:val="00BC4452"/>
    <w:rsid w:val="00BC44D3"/>
    <w:rsid w:val="00BC4510"/>
    <w:rsid w:val="00BC453A"/>
    <w:rsid w:val="00BC4642"/>
    <w:rsid w:val="00BC466F"/>
    <w:rsid w:val="00BC48A5"/>
    <w:rsid w:val="00BC4972"/>
    <w:rsid w:val="00BC4A13"/>
    <w:rsid w:val="00BC4DFA"/>
    <w:rsid w:val="00BC4E0A"/>
    <w:rsid w:val="00BC4E24"/>
    <w:rsid w:val="00BC4E80"/>
    <w:rsid w:val="00BC4EA2"/>
    <w:rsid w:val="00BC4EAC"/>
    <w:rsid w:val="00BC4F6B"/>
    <w:rsid w:val="00BC51E5"/>
    <w:rsid w:val="00BC523C"/>
    <w:rsid w:val="00BC5379"/>
    <w:rsid w:val="00BC53EF"/>
    <w:rsid w:val="00BC5552"/>
    <w:rsid w:val="00BC560D"/>
    <w:rsid w:val="00BC56E7"/>
    <w:rsid w:val="00BC56EA"/>
    <w:rsid w:val="00BC573A"/>
    <w:rsid w:val="00BC57C8"/>
    <w:rsid w:val="00BC5960"/>
    <w:rsid w:val="00BC5A1D"/>
    <w:rsid w:val="00BC5C3F"/>
    <w:rsid w:val="00BC5E29"/>
    <w:rsid w:val="00BC5FBA"/>
    <w:rsid w:val="00BC6106"/>
    <w:rsid w:val="00BC61D4"/>
    <w:rsid w:val="00BC62A5"/>
    <w:rsid w:val="00BC65EA"/>
    <w:rsid w:val="00BC683C"/>
    <w:rsid w:val="00BC6897"/>
    <w:rsid w:val="00BC6906"/>
    <w:rsid w:val="00BC6955"/>
    <w:rsid w:val="00BC69BD"/>
    <w:rsid w:val="00BC69C9"/>
    <w:rsid w:val="00BC6AB6"/>
    <w:rsid w:val="00BC6B74"/>
    <w:rsid w:val="00BC6C2A"/>
    <w:rsid w:val="00BC6E1D"/>
    <w:rsid w:val="00BC6F0A"/>
    <w:rsid w:val="00BC70B3"/>
    <w:rsid w:val="00BC7108"/>
    <w:rsid w:val="00BC7165"/>
    <w:rsid w:val="00BC7179"/>
    <w:rsid w:val="00BC71AC"/>
    <w:rsid w:val="00BC7257"/>
    <w:rsid w:val="00BC794D"/>
    <w:rsid w:val="00BC7B52"/>
    <w:rsid w:val="00BC7B9C"/>
    <w:rsid w:val="00BC7CA4"/>
    <w:rsid w:val="00BC7CC7"/>
    <w:rsid w:val="00BC7D2C"/>
    <w:rsid w:val="00BC7D96"/>
    <w:rsid w:val="00BD00F8"/>
    <w:rsid w:val="00BD0117"/>
    <w:rsid w:val="00BD0123"/>
    <w:rsid w:val="00BD0141"/>
    <w:rsid w:val="00BD02EF"/>
    <w:rsid w:val="00BD03A2"/>
    <w:rsid w:val="00BD0535"/>
    <w:rsid w:val="00BD0663"/>
    <w:rsid w:val="00BD0683"/>
    <w:rsid w:val="00BD078C"/>
    <w:rsid w:val="00BD0791"/>
    <w:rsid w:val="00BD0813"/>
    <w:rsid w:val="00BD0820"/>
    <w:rsid w:val="00BD0821"/>
    <w:rsid w:val="00BD0B5B"/>
    <w:rsid w:val="00BD0C6B"/>
    <w:rsid w:val="00BD0C76"/>
    <w:rsid w:val="00BD0D98"/>
    <w:rsid w:val="00BD0E2B"/>
    <w:rsid w:val="00BD0F7F"/>
    <w:rsid w:val="00BD10B4"/>
    <w:rsid w:val="00BD1203"/>
    <w:rsid w:val="00BD125B"/>
    <w:rsid w:val="00BD127A"/>
    <w:rsid w:val="00BD14F8"/>
    <w:rsid w:val="00BD15FF"/>
    <w:rsid w:val="00BD172E"/>
    <w:rsid w:val="00BD1AC2"/>
    <w:rsid w:val="00BD1C17"/>
    <w:rsid w:val="00BD1C7C"/>
    <w:rsid w:val="00BD1CA8"/>
    <w:rsid w:val="00BD1D02"/>
    <w:rsid w:val="00BD1D49"/>
    <w:rsid w:val="00BD1D65"/>
    <w:rsid w:val="00BD1D71"/>
    <w:rsid w:val="00BD1D91"/>
    <w:rsid w:val="00BD1E86"/>
    <w:rsid w:val="00BD20B7"/>
    <w:rsid w:val="00BD211F"/>
    <w:rsid w:val="00BD21B7"/>
    <w:rsid w:val="00BD21CA"/>
    <w:rsid w:val="00BD21CD"/>
    <w:rsid w:val="00BD2353"/>
    <w:rsid w:val="00BD2366"/>
    <w:rsid w:val="00BD237B"/>
    <w:rsid w:val="00BD2397"/>
    <w:rsid w:val="00BD23C3"/>
    <w:rsid w:val="00BD23CD"/>
    <w:rsid w:val="00BD2454"/>
    <w:rsid w:val="00BD25E1"/>
    <w:rsid w:val="00BD28B6"/>
    <w:rsid w:val="00BD2A83"/>
    <w:rsid w:val="00BD2DDE"/>
    <w:rsid w:val="00BD2E02"/>
    <w:rsid w:val="00BD2EE5"/>
    <w:rsid w:val="00BD2FD5"/>
    <w:rsid w:val="00BD3130"/>
    <w:rsid w:val="00BD316A"/>
    <w:rsid w:val="00BD3230"/>
    <w:rsid w:val="00BD3255"/>
    <w:rsid w:val="00BD330B"/>
    <w:rsid w:val="00BD33D4"/>
    <w:rsid w:val="00BD3509"/>
    <w:rsid w:val="00BD35B4"/>
    <w:rsid w:val="00BD35CA"/>
    <w:rsid w:val="00BD376E"/>
    <w:rsid w:val="00BD377D"/>
    <w:rsid w:val="00BD3828"/>
    <w:rsid w:val="00BD38E0"/>
    <w:rsid w:val="00BD38E7"/>
    <w:rsid w:val="00BD3B47"/>
    <w:rsid w:val="00BD3C87"/>
    <w:rsid w:val="00BD3CAA"/>
    <w:rsid w:val="00BD4086"/>
    <w:rsid w:val="00BD40B1"/>
    <w:rsid w:val="00BD429B"/>
    <w:rsid w:val="00BD458D"/>
    <w:rsid w:val="00BD4931"/>
    <w:rsid w:val="00BD4AA0"/>
    <w:rsid w:val="00BD4AFD"/>
    <w:rsid w:val="00BD4B54"/>
    <w:rsid w:val="00BD4C3B"/>
    <w:rsid w:val="00BD4CEB"/>
    <w:rsid w:val="00BD4F31"/>
    <w:rsid w:val="00BD5030"/>
    <w:rsid w:val="00BD51E0"/>
    <w:rsid w:val="00BD523D"/>
    <w:rsid w:val="00BD52BC"/>
    <w:rsid w:val="00BD53D2"/>
    <w:rsid w:val="00BD560E"/>
    <w:rsid w:val="00BD580D"/>
    <w:rsid w:val="00BD5863"/>
    <w:rsid w:val="00BD5896"/>
    <w:rsid w:val="00BD5E12"/>
    <w:rsid w:val="00BD5FCF"/>
    <w:rsid w:val="00BD608B"/>
    <w:rsid w:val="00BD619F"/>
    <w:rsid w:val="00BD62C4"/>
    <w:rsid w:val="00BD64AD"/>
    <w:rsid w:val="00BD655C"/>
    <w:rsid w:val="00BD661B"/>
    <w:rsid w:val="00BD6770"/>
    <w:rsid w:val="00BD6ABD"/>
    <w:rsid w:val="00BD6C18"/>
    <w:rsid w:val="00BD6D94"/>
    <w:rsid w:val="00BD6F9F"/>
    <w:rsid w:val="00BD6FDC"/>
    <w:rsid w:val="00BD710A"/>
    <w:rsid w:val="00BD711D"/>
    <w:rsid w:val="00BD75D4"/>
    <w:rsid w:val="00BD76B2"/>
    <w:rsid w:val="00BD78AE"/>
    <w:rsid w:val="00BD7B2D"/>
    <w:rsid w:val="00BD7C1B"/>
    <w:rsid w:val="00BD7C84"/>
    <w:rsid w:val="00BD7CEF"/>
    <w:rsid w:val="00BD7DD6"/>
    <w:rsid w:val="00BE014A"/>
    <w:rsid w:val="00BE016E"/>
    <w:rsid w:val="00BE02C3"/>
    <w:rsid w:val="00BE05D1"/>
    <w:rsid w:val="00BE06D6"/>
    <w:rsid w:val="00BE087E"/>
    <w:rsid w:val="00BE0945"/>
    <w:rsid w:val="00BE0C24"/>
    <w:rsid w:val="00BE0DBB"/>
    <w:rsid w:val="00BE0E99"/>
    <w:rsid w:val="00BE0EBF"/>
    <w:rsid w:val="00BE1192"/>
    <w:rsid w:val="00BE14A4"/>
    <w:rsid w:val="00BE14F9"/>
    <w:rsid w:val="00BE1597"/>
    <w:rsid w:val="00BE171C"/>
    <w:rsid w:val="00BE1732"/>
    <w:rsid w:val="00BE1861"/>
    <w:rsid w:val="00BE1890"/>
    <w:rsid w:val="00BE192B"/>
    <w:rsid w:val="00BE1AD5"/>
    <w:rsid w:val="00BE1BD5"/>
    <w:rsid w:val="00BE1E59"/>
    <w:rsid w:val="00BE1F37"/>
    <w:rsid w:val="00BE1F8A"/>
    <w:rsid w:val="00BE21AE"/>
    <w:rsid w:val="00BE22A4"/>
    <w:rsid w:val="00BE22FD"/>
    <w:rsid w:val="00BE23EC"/>
    <w:rsid w:val="00BE2452"/>
    <w:rsid w:val="00BE263B"/>
    <w:rsid w:val="00BE285A"/>
    <w:rsid w:val="00BE28EA"/>
    <w:rsid w:val="00BE2990"/>
    <w:rsid w:val="00BE2A59"/>
    <w:rsid w:val="00BE2EB5"/>
    <w:rsid w:val="00BE2F52"/>
    <w:rsid w:val="00BE315D"/>
    <w:rsid w:val="00BE31F2"/>
    <w:rsid w:val="00BE32DC"/>
    <w:rsid w:val="00BE348C"/>
    <w:rsid w:val="00BE34A0"/>
    <w:rsid w:val="00BE34A2"/>
    <w:rsid w:val="00BE35DA"/>
    <w:rsid w:val="00BE3660"/>
    <w:rsid w:val="00BE368C"/>
    <w:rsid w:val="00BE3690"/>
    <w:rsid w:val="00BE38B4"/>
    <w:rsid w:val="00BE390F"/>
    <w:rsid w:val="00BE3AFD"/>
    <w:rsid w:val="00BE3B8F"/>
    <w:rsid w:val="00BE3BCE"/>
    <w:rsid w:val="00BE3D32"/>
    <w:rsid w:val="00BE3D59"/>
    <w:rsid w:val="00BE3DCD"/>
    <w:rsid w:val="00BE3E80"/>
    <w:rsid w:val="00BE401C"/>
    <w:rsid w:val="00BE411C"/>
    <w:rsid w:val="00BE4224"/>
    <w:rsid w:val="00BE4354"/>
    <w:rsid w:val="00BE4386"/>
    <w:rsid w:val="00BE44E1"/>
    <w:rsid w:val="00BE4784"/>
    <w:rsid w:val="00BE47BF"/>
    <w:rsid w:val="00BE4D05"/>
    <w:rsid w:val="00BE4E04"/>
    <w:rsid w:val="00BE4E0F"/>
    <w:rsid w:val="00BE4F9E"/>
    <w:rsid w:val="00BE4FAB"/>
    <w:rsid w:val="00BE50EE"/>
    <w:rsid w:val="00BE51FB"/>
    <w:rsid w:val="00BE521E"/>
    <w:rsid w:val="00BE5374"/>
    <w:rsid w:val="00BE5488"/>
    <w:rsid w:val="00BE5506"/>
    <w:rsid w:val="00BE5780"/>
    <w:rsid w:val="00BE57F6"/>
    <w:rsid w:val="00BE5ABA"/>
    <w:rsid w:val="00BE5BFF"/>
    <w:rsid w:val="00BE5E98"/>
    <w:rsid w:val="00BE5EB8"/>
    <w:rsid w:val="00BE61D3"/>
    <w:rsid w:val="00BE6201"/>
    <w:rsid w:val="00BE627A"/>
    <w:rsid w:val="00BE62DC"/>
    <w:rsid w:val="00BE63C1"/>
    <w:rsid w:val="00BE63E0"/>
    <w:rsid w:val="00BE6498"/>
    <w:rsid w:val="00BE64AC"/>
    <w:rsid w:val="00BE6525"/>
    <w:rsid w:val="00BE660E"/>
    <w:rsid w:val="00BE6788"/>
    <w:rsid w:val="00BE6794"/>
    <w:rsid w:val="00BE6B26"/>
    <w:rsid w:val="00BE6BBF"/>
    <w:rsid w:val="00BE6CA3"/>
    <w:rsid w:val="00BE6CE8"/>
    <w:rsid w:val="00BE6DF5"/>
    <w:rsid w:val="00BE6E0A"/>
    <w:rsid w:val="00BE7009"/>
    <w:rsid w:val="00BE71EC"/>
    <w:rsid w:val="00BE72E3"/>
    <w:rsid w:val="00BE73D7"/>
    <w:rsid w:val="00BE7523"/>
    <w:rsid w:val="00BE758E"/>
    <w:rsid w:val="00BE76FB"/>
    <w:rsid w:val="00BE774F"/>
    <w:rsid w:val="00BE7974"/>
    <w:rsid w:val="00BE7B7A"/>
    <w:rsid w:val="00BE7E15"/>
    <w:rsid w:val="00BF012B"/>
    <w:rsid w:val="00BF0404"/>
    <w:rsid w:val="00BF056D"/>
    <w:rsid w:val="00BF0629"/>
    <w:rsid w:val="00BF0700"/>
    <w:rsid w:val="00BF07EA"/>
    <w:rsid w:val="00BF0B65"/>
    <w:rsid w:val="00BF104B"/>
    <w:rsid w:val="00BF13B5"/>
    <w:rsid w:val="00BF14DB"/>
    <w:rsid w:val="00BF1508"/>
    <w:rsid w:val="00BF1520"/>
    <w:rsid w:val="00BF1A0C"/>
    <w:rsid w:val="00BF1A4B"/>
    <w:rsid w:val="00BF1AFA"/>
    <w:rsid w:val="00BF1C85"/>
    <w:rsid w:val="00BF1D05"/>
    <w:rsid w:val="00BF1F18"/>
    <w:rsid w:val="00BF1F72"/>
    <w:rsid w:val="00BF1FC2"/>
    <w:rsid w:val="00BF20B1"/>
    <w:rsid w:val="00BF212E"/>
    <w:rsid w:val="00BF21DC"/>
    <w:rsid w:val="00BF22EE"/>
    <w:rsid w:val="00BF242D"/>
    <w:rsid w:val="00BF2697"/>
    <w:rsid w:val="00BF26A1"/>
    <w:rsid w:val="00BF2725"/>
    <w:rsid w:val="00BF2A9D"/>
    <w:rsid w:val="00BF2B0C"/>
    <w:rsid w:val="00BF2C43"/>
    <w:rsid w:val="00BF2C4E"/>
    <w:rsid w:val="00BF2CE3"/>
    <w:rsid w:val="00BF2DFB"/>
    <w:rsid w:val="00BF31BE"/>
    <w:rsid w:val="00BF31D0"/>
    <w:rsid w:val="00BF3452"/>
    <w:rsid w:val="00BF366F"/>
    <w:rsid w:val="00BF36BA"/>
    <w:rsid w:val="00BF37F7"/>
    <w:rsid w:val="00BF3974"/>
    <w:rsid w:val="00BF3A59"/>
    <w:rsid w:val="00BF3A6B"/>
    <w:rsid w:val="00BF3B37"/>
    <w:rsid w:val="00BF3BDF"/>
    <w:rsid w:val="00BF3C6B"/>
    <w:rsid w:val="00BF3FAA"/>
    <w:rsid w:val="00BF4009"/>
    <w:rsid w:val="00BF4055"/>
    <w:rsid w:val="00BF40ED"/>
    <w:rsid w:val="00BF4142"/>
    <w:rsid w:val="00BF4162"/>
    <w:rsid w:val="00BF4192"/>
    <w:rsid w:val="00BF44F3"/>
    <w:rsid w:val="00BF45FF"/>
    <w:rsid w:val="00BF4601"/>
    <w:rsid w:val="00BF46BE"/>
    <w:rsid w:val="00BF4701"/>
    <w:rsid w:val="00BF4A87"/>
    <w:rsid w:val="00BF4B78"/>
    <w:rsid w:val="00BF4CC1"/>
    <w:rsid w:val="00BF4D20"/>
    <w:rsid w:val="00BF4F7B"/>
    <w:rsid w:val="00BF5131"/>
    <w:rsid w:val="00BF53DC"/>
    <w:rsid w:val="00BF5473"/>
    <w:rsid w:val="00BF587A"/>
    <w:rsid w:val="00BF58A7"/>
    <w:rsid w:val="00BF5984"/>
    <w:rsid w:val="00BF5B2B"/>
    <w:rsid w:val="00BF5DBB"/>
    <w:rsid w:val="00BF5E65"/>
    <w:rsid w:val="00BF5E6C"/>
    <w:rsid w:val="00BF5FB1"/>
    <w:rsid w:val="00BF62B8"/>
    <w:rsid w:val="00BF6342"/>
    <w:rsid w:val="00BF6350"/>
    <w:rsid w:val="00BF642C"/>
    <w:rsid w:val="00BF648F"/>
    <w:rsid w:val="00BF65AC"/>
    <w:rsid w:val="00BF6937"/>
    <w:rsid w:val="00BF6A74"/>
    <w:rsid w:val="00BF6AE9"/>
    <w:rsid w:val="00BF6B15"/>
    <w:rsid w:val="00BF6CFA"/>
    <w:rsid w:val="00BF6FD6"/>
    <w:rsid w:val="00BF7037"/>
    <w:rsid w:val="00BF7382"/>
    <w:rsid w:val="00BF7396"/>
    <w:rsid w:val="00BF743A"/>
    <w:rsid w:val="00BF754D"/>
    <w:rsid w:val="00BF764F"/>
    <w:rsid w:val="00BF77A2"/>
    <w:rsid w:val="00BF78EB"/>
    <w:rsid w:val="00BF79C5"/>
    <w:rsid w:val="00BF7BC8"/>
    <w:rsid w:val="00BF7C54"/>
    <w:rsid w:val="00BF7C73"/>
    <w:rsid w:val="00BF7CA6"/>
    <w:rsid w:val="00BF7CD9"/>
    <w:rsid w:val="00BF7E06"/>
    <w:rsid w:val="00BF7E8F"/>
    <w:rsid w:val="00BF7F25"/>
    <w:rsid w:val="00BF7FE6"/>
    <w:rsid w:val="00BF7FED"/>
    <w:rsid w:val="00C0000B"/>
    <w:rsid w:val="00C00015"/>
    <w:rsid w:val="00C00231"/>
    <w:rsid w:val="00C0069A"/>
    <w:rsid w:val="00C0069C"/>
    <w:rsid w:val="00C0071A"/>
    <w:rsid w:val="00C00808"/>
    <w:rsid w:val="00C0081D"/>
    <w:rsid w:val="00C009DE"/>
    <w:rsid w:val="00C00A02"/>
    <w:rsid w:val="00C00A5D"/>
    <w:rsid w:val="00C00B16"/>
    <w:rsid w:val="00C00C57"/>
    <w:rsid w:val="00C00CDF"/>
    <w:rsid w:val="00C00FE4"/>
    <w:rsid w:val="00C0120F"/>
    <w:rsid w:val="00C01250"/>
    <w:rsid w:val="00C01315"/>
    <w:rsid w:val="00C01327"/>
    <w:rsid w:val="00C013D6"/>
    <w:rsid w:val="00C013FB"/>
    <w:rsid w:val="00C017AC"/>
    <w:rsid w:val="00C018C2"/>
    <w:rsid w:val="00C0199F"/>
    <w:rsid w:val="00C01A2E"/>
    <w:rsid w:val="00C01B6F"/>
    <w:rsid w:val="00C01B8D"/>
    <w:rsid w:val="00C01D5F"/>
    <w:rsid w:val="00C01F19"/>
    <w:rsid w:val="00C01FB9"/>
    <w:rsid w:val="00C01FD4"/>
    <w:rsid w:val="00C023C4"/>
    <w:rsid w:val="00C02578"/>
    <w:rsid w:val="00C0261E"/>
    <w:rsid w:val="00C027A3"/>
    <w:rsid w:val="00C027F8"/>
    <w:rsid w:val="00C02A0E"/>
    <w:rsid w:val="00C03110"/>
    <w:rsid w:val="00C031AB"/>
    <w:rsid w:val="00C032FF"/>
    <w:rsid w:val="00C0337C"/>
    <w:rsid w:val="00C0345A"/>
    <w:rsid w:val="00C034C5"/>
    <w:rsid w:val="00C034F1"/>
    <w:rsid w:val="00C03511"/>
    <w:rsid w:val="00C03798"/>
    <w:rsid w:val="00C037F3"/>
    <w:rsid w:val="00C03AAC"/>
    <w:rsid w:val="00C03B0E"/>
    <w:rsid w:val="00C03DE0"/>
    <w:rsid w:val="00C03EB8"/>
    <w:rsid w:val="00C03F76"/>
    <w:rsid w:val="00C03FA1"/>
    <w:rsid w:val="00C040D2"/>
    <w:rsid w:val="00C04174"/>
    <w:rsid w:val="00C0428C"/>
    <w:rsid w:val="00C0434B"/>
    <w:rsid w:val="00C043AD"/>
    <w:rsid w:val="00C04406"/>
    <w:rsid w:val="00C0443F"/>
    <w:rsid w:val="00C04645"/>
    <w:rsid w:val="00C046BA"/>
    <w:rsid w:val="00C04714"/>
    <w:rsid w:val="00C04A56"/>
    <w:rsid w:val="00C04AE2"/>
    <w:rsid w:val="00C04B9D"/>
    <w:rsid w:val="00C04C3A"/>
    <w:rsid w:val="00C04D4D"/>
    <w:rsid w:val="00C04DD1"/>
    <w:rsid w:val="00C04FFD"/>
    <w:rsid w:val="00C051AC"/>
    <w:rsid w:val="00C054A3"/>
    <w:rsid w:val="00C05579"/>
    <w:rsid w:val="00C0558D"/>
    <w:rsid w:val="00C05700"/>
    <w:rsid w:val="00C05750"/>
    <w:rsid w:val="00C05754"/>
    <w:rsid w:val="00C05793"/>
    <w:rsid w:val="00C05880"/>
    <w:rsid w:val="00C05903"/>
    <w:rsid w:val="00C059DC"/>
    <w:rsid w:val="00C05B13"/>
    <w:rsid w:val="00C05B92"/>
    <w:rsid w:val="00C05C43"/>
    <w:rsid w:val="00C06022"/>
    <w:rsid w:val="00C06027"/>
    <w:rsid w:val="00C0608E"/>
    <w:rsid w:val="00C06124"/>
    <w:rsid w:val="00C0612B"/>
    <w:rsid w:val="00C06699"/>
    <w:rsid w:val="00C066D7"/>
    <w:rsid w:val="00C06768"/>
    <w:rsid w:val="00C068D9"/>
    <w:rsid w:val="00C06913"/>
    <w:rsid w:val="00C06A5E"/>
    <w:rsid w:val="00C06B03"/>
    <w:rsid w:val="00C06B80"/>
    <w:rsid w:val="00C06F2A"/>
    <w:rsid w:val="00C07044"/>
    <w:rsid w:val="00C07191"/>
    <w:rsid w:val="00C071EA"/>
    <w:rsid w:val="00C072BC"/>
    <w:rsid w:val="00C07335"/>
    <w:rsid w:val="00C073A6"/>
    <w:rsid w:val="00C074CD"/>
    <w:rsid w:val="00C07809"/>
    <w:rsid w:val="00C07A05"/>
    <w:rsid w:val="00C07A6E"/>
    <w:rsid w:val="00C07BDE"/>
    <w:rsid w:val="00C07D23"/>
    <w:rsid w:val="00C07E27"/>
    <w:rsid w:val="00C07F85"/>
    <w:rsid w:val="00C10082"/>
    <w:rsid w:val="00C1013A"/>
    <w:rsid w:val="00C101DD"/>
    <w:rsid w:val="00C1020C"/>
    <w:rsid w:val="00C1026B"/>
    <w:rsid w:val="00C107B6"/>
    <w:rsid w:val="00C107C3"/>
    <w:rsid w:val="00C10887"/>
    <w:rsid w:val="00C10889"/>
    <w:rsid w:val="00C1093B"/>
    <w:rsid w:val="00C10A51"/>
    <w:rsid w:val="00C10B4A"/>
    <w:rsid w:val="00C10BC3"/>
    <w:rsid w:val="00C10CF6"/>
    <w:rsid w:val="00C10DE7"/>
    <w:rsid w:val="00C10E88"/>
    <w:rsid w:val="00C10ECA"/>
    <w:rsid w:val="00C10F44"/>
    <w:rsid w:val="00C10FB2"/>
    <w:rsid w:val="00C111D4"/>
    <w:rsid w:val="00C112B6"/>
    <w:rsid w:val="00C112E5"/>
    <w:rsid w:val="00C1139D"/>
    <w:rsid w:val="00C1139F"/>
    <w:rsid w:val="00C113B3"/>
    <w:rsid w:val="00C1156C"/>
    <w:rsid w:val="00C11614"/>
    <w:rsid w:val="00C11658"/>
    <w:rsid w:val="00C116C1"/>
    <w:rsid w:val="00C118FE"/>
    <w:rsid w:val="00C11983"/>
    <w:rsid w:val="00C11D85"/>
    <w:rsid w:val="00C11E11"/>
    <w:rsid w:val="00C122E7"/>
    <w:rsid w:val="00C1233A"/>
    <w:rsid w:val="00C12363"/>
    <w:rsid w:val="00C123B5"/>
    <w:rsid w:val="00C123E7"/>
    <w:rsid w:val="00C12475"/>
    <w:rsid w:val="00C12508"/>
    <w:rsid w:val="00C12767"/>
    <w:rsid w:val="00C12A10"/>
    <w:rsid w:val="00C12AA1"/>
    <w:rsid w:val="00C12BAF"/>
    <w:rsid w:val="00C12BD6"/>
    <w:rsid w:val="00C12D20"/>
    <w:rsid w:val="00C12DFB"/>
    <w:rsid w:val="00C12E77"/>
    <w:rsid w:val="00C13023"/>
    <w:rsid w:val="00C13131"/>
    <w:rsid w:val="00C132EB"/>
    <w:rsid w:val="00C13362"/>
    <w:rsid w:val="00C1339D"/>
    <w:rsid w:val="00C134DA"/>
    <w:rsid w:val="00C134F7"/>
    <w:rsid w:val="00C13520"/>
    <w:rsid w:val="00C13536"/>
    <w:rsid w:val="00C1353E"/>
    <w:rsid w:val="00C137E2"/>
    <w:rsid w:val="00C13872"/>
    <w:rsid w:val="00C13A29"/>
    <w:rsid w:val="00C13AC2"/>
    <w:rsid w:val="00C13B9C"/>
    <w:rsid w:val="00C13D19"/>
    <w:rsid w:val="00C13F27"/>
    <w:rsid w:val="00C1402D"/>
    <w:rsid w:val="00C142E7"/>
    <w:rsid w:val="00C14302"/>
    <w:rsid w:val="00C14408"/>
    <w:rsid w:val="00C1479B"/>
    <w:rsid w:val="00C14BAB"/>
    <w:rsid w:val="00C14C1A"/>
    <w:rsid w:val="00C14EDF"/>
    <w:rsid w:val="00C14F9B"/>
    <w:rsid w:val="00C14FAB"/>
    <w:rsid w:val="00C15154"/>
    <w:rsid w:val="00C15162"/>
    <w:rsid w:val="00C15297"/>
    <w:rsid w:val="00C152DA"/>
    <w:rsid w:val="00C15564"/>
    <w:rsid w:val="00C156AB"/>
    <w:rsid w:val="00C15977"/>
    <w:rsid w:val="00C159F4"/>
    <w:rsid w:val="00C159FD"/>
    <w:rsid w:val="00C15CD0"/>
    <w:rsid w:val="00C15D60"/>
    <w:rsid w:val="00C15DE2"/>
    <w:rsid w:val="00C15EE0"/>
    <w:rsid w:val="00C15F42"/>
    <w:rsid w:val="00C16007"/>
    <w:rsid w:val="00C16025"/>
    <w:rsid w:val="00C16032"/>
    <w:rsid w:val="00C1610B"/>
    <w:rsid w:val="00C1611D"/>
    <w:rsid w:val="00C1618A"/>
    <w:rsid w:val="00C162B6"/>
    <w:rsid w:val="00C163A3"/>
    <w:rsid w:val="00C164F2"/>
    <w:rsid w:val="00C1656D"/>
    <w:rsid w:val="00C1669B"/>
    <w:rsid w:val="00C16784"/>
    <w:rsid w:val="00C16858"/>
    <w:rsid w:val="00C168B9"/>
    <w:rsid w:val="00C1693B"/>
    <w:rsid w:val="00C1698D"/>
    <w:rsid w:val="00C16BA9"/>
    <w:rsid w:val="00C16C09"/>
    <w:rsid w:val="00C16C28"/>
    <w:rsid w:val="00C16C6D"/>
    <w:rsid w:val="00C16C9A"/>
    <w:rsid w:val="00C16CE3"/>
    <w:rsid w:val="00C16D7B"/>
    <w:rsid w:val="00C16F9A"/>
    <w:rsid w:val="00C17180"/>
    <w:rsid w:val="00C1725E"/>
    <w:rsid w:val="00C1726E"/>
    <w:rsid w:val="00C172B9"/>
    <w:rsid w:val="00C172FF"/>
    <w:rsid w:val="00C1738A"/>
    <w:rsid w:val="00C17557"/>
    <w:rsid w:val="00C175E4"/>
    <w:rsid w:val="00C17664"/>
    <w:rsid w:val="00C176CC"/>
    <w:rsid w:val="00C176D5"/>
    <w:rsid w:val="00C1795D"/>
    <w:rsid w:val="00C17B21"/>
    <w:rsid w:val="00C17C32"/>
    <w:rsid w:val="00C17C3C"/>
    <w:rsid w:val="00C17CC3"/>
    <w:rsid w:val="00C17D45"/>
    <w:rsid w:val="00C17F11"/>
    <w:rsid w:val="00C20086"/>
    <w:rsid w:val="00C20137"/>
    <w:rsid w:val="00C201B6"/>
    <w:rsid w:val="00C2070A"/>
    <w:rsid w:val="00C20784"/>
    <w:rsid w:val="00C20795"/>
    <w:rsid w:val="00C207B0"/>
    <w:rsid w:val="00C20871"/>
    <w:rsid w:val="00C20AF0"/>
    <w:rsid w:val="00C20EB7"/>
    <w:rsid w:val="00C20F6C"/>
    <w:rsid w:val="00C20FA0"/>
    <w:rsid w:val="00C2105B"/>
    <w:rsid w:val="00C21097"/>
    <w:rsid w:val="00C2109B"/>
    <w:rsid w:val="00C21112"/>
    <w:rsid w:val="00C212C2"/>
    <w:rsid w:val="00C212CD"/>
    <w:rsid w:val="00C21356"/>
    <w:rsid w:val="00C213BF"/>
    <w:rsid w:val="00C21432"/>
    <w:rsid w:val="00C21468"/>
    <w:rsid w:val="00C21504"/>
    <w:rsid w:val="00C21506"/>
    <w:rsid w:val="00C21619"/>
    <w:rsid w:val="00C2163F"/>
    <w:rsid w:val="00C2167C"/>
    <w:rsid w:val="00C21782"/>
    <w:rsid w:val="00C2188D"/>
    <w:rsid w:val="00C21A60"/>
    <w:rsid w:val="00C21BEB"/>
    <w:rsid w:val="00C21E2B"/>
    <w:rsid w:val="00C21FEC"/>
    <w:rsid w:val="00C22063"/>
    <w:rsid w:val="00C2211C"/>
    <w:rsid w:val="00C22294"/>
    <w:rsid w:val="00C222AA"/>
    <w:rsid w:val="00C222CA"/>
    <w:rsid w:val="00C22337"/>
    <w:rsid w:val="00C2234B"/>
    <w:rsid w:val="00C22452"/>
    <w:rsid w:val="00C2256A"/>
    <w:rsid w:val="00C22577"/>
    <w:rsid w:val="00C227C8"/>
    <w:rsid w:val="00C22BE1"/>
    <w:rsid w:val="00C22E15"/>
    <w:rsid w:val="00C22F2E"/>
    <w:rsid w:val="00C23024"/>
    <w:rsid w:val="00C230AE"/>
    <w:rsid w:val="00C2313E"/>
    <w:rsid w:val="00C231A9"/>
    <w:rsid w:val="00C232E0"/>
    <w:rsid w:val="00C23322"/>
    <w:rsid w:val="00C2337D"/>
    <w:rsid w:val="00C2339C"/>
    <w:rsid w:val="00C2376B"/>
    <w:rsid w:val="00C238A2"/>
    <w:rsid w:val="00C238D5"/>
    <w:rsid w:val="00C2391C"/>
    <w:rsid w:val="00C2392D"/>
    <w:rsid w:val="00C2396A"/>
    <w:rsid w:val="00C23A65"/>
    <w:rsid w:val="00C23A89"/>
    <w:rsid w:val="00C23C21"/>
    <w:rsid w:val="00C23C53"/>
    <w:rsid w:val="00C240B5"/>
    <w:rsid w:val="00C243C7"/>
    <w:rsid w:val="00C24416"/>
    <w:rsid w:val="00C24511"/>
    <w:rsid w:val="00C24736"/>
    <w:rsid w:val="00C247A2"/>
    <w:rsid w:val="00C2485C"/>
    <w:rsid w:val="00C24862"/>
    <w:rsid w:val="00C248E8"/>
    <w:rsid w:val="00C249DB"/>
    <w:rsid w:val="00C24B1F"/>
    <w:rsid w:val="00C24B5E"/>
    <w:rsid w:val="00C24BCE"/>
    <w:rsid w:val="00C24DB4"/>
    <w:rsid w:val="00C24EAA"/>
    <w:rsid w:val="00C24EE1"/>
    <w:rsid w:val="00C2501A"/>
    <w:rsid w:val="00C25046"/>
    <w:rsid w:val="00C252EF"/>
    <w:rsid w:val="00C2534F"/>
    <w:rsid w:val="00C2535D"/>
    <w:rsid w:val="00C25751"/>
    <w:rsid w:val="00C258FE"/>
    <w:rsid w:val="00C25CF8"/>
    <w:rsid w:val="00C25D1D"/>
    <w:rsid w:val="00C25F4C"/>
    <w:rsid w:val="00C2601F"/>
    <w:rsid w:val="00C260D5"/>
    <w:rsid w:val="00C26388"/>
    <w:rsid w:val="00C26407"/>
    <w:rsid w:val="00C2646D"/>
    <w:rsid w:val="00C26589"/>
    <w:rsid w:val="00C26688"/>
    <w:rsid w:val="00C266A1"/>
    <w:rsid w:val="00C26766"/>
    <w:rsid w:val="00C26803"/>
    <w:rsid w:val="00C26908"/>
    <w:rsid w:val="00C269FE"/>
    <w:rsid w:val="00C26B9B"/>
    <w:rsid w:val="00C26BA7"/>
    <w:rsid w:val="00C26FFE"/>
    <w:rsid w:val="00C27058"/>
    <w:rsid w:val="00C270AC"/>
    <w:rsid w:val="00C27187"/>
    <w:rsid w:val="00C271AF"/>
    <w:rsid w:val="00C271B8"/>
    <w:rsid w:val="00C272A6"/>
    <w:rsid w:val="00C272FB"/>
    <w:rsid w:val="00C2737C"/>
    <w:rsid w:val="00C273AE"/>
    <w:rsid w:val="00C2746E"/>
    <w:rsid w:val="00C274D4"/>
    <w:rsid w:val="00C2750C"/>
    <w:rsid w:val="00C276AD"/>
    <w:rsid w:val="00C27759"/>
    <w:rsid w:val="00C2780F"/>
    <w:rsid w:val="00C27891"/>
    <w:rsid w:val="00C27C0A"/>
    <w:rsid w:val="00C27CF9"/>
    <w:rsid w:val="00C27D61"/>
    <w:rsid w:val="00C27E4F"/>
    <w:rsid w:val="00C27E73"/>
    <w:rsid w:val="00C27EC2"/>
    <w:rsid w:val="00C30029"/>
    <w:rsid w:val="00C30058"/>
    <w:rsid w:val="00C30111"/>
    <w:rsid w:val="00C302CE"/>
    <w:rsid w:val="00C30342"/>
    <w:rsid w:val="00C30890"/>
    <w:rsid w:val="00C30909"/>
    <w:rsid w:val="00C30969"/>
    <w:rsid w:val="00C30972"/>
    <w:rsid w:val="00C309C1"/>
    <w:rsid w:val="00C30B70"/>
    <w:rsid w:val="00C30C8B"/>
    <w:rsid w:val="00C30D9E"/>
    <w:rsid w:val="00C30E7A"/>
    <w:rsid w:val="00C30FD3"/>
    <w:rsid w:val="00C312FE"/>
    <w:rsid w:val="00C313C2"/>
    <w:rsid w:val="00C315FC"/>
    <w:rsid w:val="00C31667"/>
    <w:rsid w:val="00C317A2"/>
    <w:rsid w:val="00C31AB3"/>
    <w:rsid w:val="00C31BA4"/>
    <w:rsid w:val="00C31BD8"/>
    <w:rsid w:val="00C31BD9"/>
    <w:rsid w:val="00C31CB3"/>
    <w:rsid w:val="00C31D1E"/>
    <w:rsid w:val="00C31D26"/>
    <w:rsid w:val="00C31D3D"/>
    <w:rsid w:val="00C31D9C"/>
    <w:rsid w:val="00C3206F"/>
    <w:rsid w:val="00C323F6"/>
    <w:rsid w:val="00C324F4"/>
    <w:rsid w:val="00C32719"/>
    <w:rsid w:val="00C32775"/>
    <w:rsid w:val="00C3288B"/>
    <w:rsid w:val="00C3290B"/>
    <w:rsid w:val="00C32AC7"/>
    <w:rsid w:val="00C32E19"/>
    <w:rsid w:val="00C32F8B"/>
    <w:rsid w:val="00C32FA0"/>
    <w:rsid w:val="00C3305F"/>
    <w:rsid w:val="00C33068"/>
    <w:rsid w:val="00C330C7"/>
    <w:rsid w:val="00C330D0"/>
    <w:rsid w:val="00C3311C"/>
    <w:rsid w:val="00C3319F"/>
    <w:rsid w:val="00C332A5"/>
    <w:rsid w:val="00C33434"/>
    <w:rsid w:val="00C334D3"/>
    <w:rsid w:val="00C337A7"/>
    <w:rsid w:val="00C339BD"/>
    <w:rsid w:val="00C33A35"/>
    <w:rsid w:val="00C33C42"/>
    <w:rsid w:val="00C33EE8"/>
    <w:rsid w:val="00C33EEF"/>
    <w:rsid w:val="00C3406D"/>
    <w:rsid w:val="00C34316"/>
    <w:rsid w:val="00C34343"/>
    <w:rsid w:val="00C34396"/>
    <w:rsid w:val="00C343A2"/>
    <w:rsid w:val="00C343FC"/>
    <w:rsid w:val="00C3469B"/>
    <w:rsid w:val="00C347FB"/>
    <w:rsid w:val="00C348B9"/>
    <w:rsid w:val="00C348F0"/>
    <w:rsid w:val="00C3496D"/>
    <w:rsid w:val="00C34ACF"/>
    <w:rsid w:val="00C34D16"/>
    <w:rsid w:val="00C350EB"/>
    <w:rsid w:val="00C35243"/>
    <w:rsid w:val="00C35329"/>
    <w:rsid w:val="00C356B9"/>
    <w:rsid w:val="00C356E3"/>
    <w:rsid w:val="00C35946"/>
    <w:rsid w:val="00C35A7E"/>
    <w:rsid w:val="00C35B9B"/>
    <w:rsid w:val="00C35ECF"/>
    <w:rsid w:val="00C36223"/>
    <w:rsid w:val="00C3624E"/>
    <w:rsid w:val="00C364B9"/>
    <w:rsid w:val="00C3651F"/>
    <w:rsid w:val="00C36633"/>
    <w:rsid w:val="00C367FF"/>
    <w:rsid w:val="00C3686E"/>
    <w:rsid w:val="00C36D99"/>
    <w:rsid w:val="00C36DFD"/>
    <w:rsid w:val="00C36E3F"/>
    <w:rsid w:val="00C36E9D"/>
    <w:rsid w:val="00C36FBE"/>
    <w:rsid w:val="00C371E7"/>
    <w:rsid w:val="00C372B9"/>
    <w:rsid w:val="00C372BE"/>
    <w:rsid w:val="00C372D0"/>
    <w:rsid w:val="00C376DF"/>
    <w:rsid w:val="00C3789D"/>
    <w:rsid w:val="00C379E6"/>
    <w:rsid w:val="00C37A2F"/>
    <w:rsid w:val="00C37C86"/>
    <w:rsid w:val="00C37F2D"/>
    <w:rsid w:val="00C40112"/>
    <w:rsid w:val="00C4033A"/>
    <w:rsid w:val="00C40410"/>
    <w:rsid w:val="00C40590"/>
    <w:rsid w:val="00C40796"/>
    <w:rsid w:val="00C40877"/>
    <w:rsid w:val="00C40905"/>
    <w:rsid w:val="00C409D6"/>
    <w:rsid w:val="00C40A0F"/>
    <w:rsid w:val="00C40B6C"/>
    <w:rsid w:val="00C40BF7"/>
    <w:rsid w:val="00C40C0C"/>
    <w:rsid w:val="00C40E46"/>
    <w:rsid w:val="00C40EFD"/>
    <w:rsid w:val="00C40FB5"/>
    <w:rsid w:val="00C41098"/>
    <w:rsid w:val="00C410DE"/>
    <w:rsid w:val="00C412B1"/>
    <w:rsid w:val="00C413D4"/>
    <w:rsid w:val="00C41437"/>
    <w:rsid w:val="00C41545"/>
    <w:rsid w:val="00C41597"/>
    <w:rsid w:val="00C4177A"/>
    <w:rsid w:val="00C41858"/>
    <w:rsid w:val="00C419AE"/>
    <w:rsid w:val="00C41A16"/>
    <w:rsid w:val="00C41A25"/>
    <w:rsid w:val="00C41C09"/>
    <w:rsid w:val="00C41D32"/>
    <w:rsid w:val="00C41DFF"/>
    <w:rsid w:val="00C41E83"/>
    <w:rsid w:val="00C423CD"/>
    <w:rsid w:val="00C4246F"/>
    <w:rsid w:val="00C42578"/>
    <w:rsid w:val="00C42911"/>
    <w:rsid w:val="00C42933"/>
    <w:rsid w:val="00C42B4E"/>
    <w:rsid w:val="00C42C3C"/>
    <w:rsid w:val="00C42EE6"/>
    <w:rsid w:val="00C43094"/>
    <w:rsid w:val="00C431C9"/>
    <w:rsid w:val="00C434C3"/>
    <w:rsid w:val="00C43821"/>
    <w:rsid w:val="00C43950"/>
    <w:rsid w:val="00C43A9D"/>
    <w:rsid w:val="00C43AA9"/>
    <w:rsid w:val="00C43BFD"/>
    <w:rsid w:val="00C43CC6"/>
    <w:rsid w:val="00C43D8D"/>
    <w:rsid w:val="00C4413C"/>
    <w:rsid w:val="00C4414C"/>
    <w:rsid w:val="00C4424E"/>
    <w:rsid w:val="00C442A4"/>
    <w:rsid w:val="00C4436C"/>
    <w:rsid w:val="00C444E1"/>
    <w:rsid w:val="00C44562"/>
    <w:rsid w:val="00C44579"/>
    <w:rsid w:val="00C44593"/>
    <w:rsid w:val="00C445E8"/>
    <w:rsid w:val="00C44682"/>
    <w:rsid w:val="00C446E1"/>
    <w:rsid w:val="00C44745"/>
    <w:rsid w:val="00C44811"/>
    <w:rsid w:val="00C44868"/>
    <w:rsid w:val="00C44973"/>
    <w:rsid w:val="00C4499F"/>
    <w:rsid w:val="00C44A46"/>
    <w:rsid w:val="00C44AAF"/>
    <w:rsid w:val="00C44B2B"/>
    <w:rsid w:val="00C44D8A"/>
    <w:rsid w:val="00C44E47"/>
    <w:rsid w:val="00C44F53"/>
    <w:rsid w:val="00C44FF8"/>
    <w:rsid w:val="00C45001"/>
    <w:rsid w:val="00C4503C"/>
    <w:rsid w:val="00C450B1"/>
    <w:rsid w:val="00C450F4"/>
    <w:rsid w:val="00C45180"/>
    <w:rsid w:val="00C45549"/>
    <w:rsid w:val="00C4588B"/>
    <w:rsid w:val="00C459AC"/>
    <w:rsid w:val="00C45AFB"/>
    <w:rsid w:val="00C45BB5"/>
    <w:rsid w:val="00C45BD7"/>
    <w:rsid w:val="00C45C58"/>
    <w:rsid w:val="00C45D3A"/>
    <w:rsid w:val="00C45E37"/>
    <w:rsid w:val="00C45E6A"/>
    <w:rsid w:val="00C45EF3"/>
    <w:rsid w:val="00C45EFE"/>
    <w:rsid w:val="00C45F70"/>
    <w:rsid w:val="00C45FCE"/>
    <w:rsid w:val="00C4601E"/>
    <w:rsid w:val="00C461B2"/>
    <w:rsid w:val="00C463E4"/>
    <w:rsid w:val="00C46416"/>
    <w:rsid w:val="00C46677"/>
    <w:rsid w:val="00C468A4"/>
    <w:rsid w:val="00C46C7B"/>
    <w:rsid w:val="00C46F73"/>
    <w:rsid w:val="00C4727E"/>
    <w:rsid w:val="00C4729B"/>
    <w:rsid w:val="00C473C7"/>
    <w:rsid w:val="00C47455"/>
    <w:rsid w:val="00C47527"/>
    <w:rsid w:val="00C47547"/>
    <w:rsid w:val="00C4765A"/>
    <w:rsid w:val="00C476DB"/>
    <w:rsid w:val="00C47812"/>
    <w:rsid w:val="00C47867"/>
    <w:rsid w:val="00C4786C"/>
    <w:rsid w:val="00C4796F"/>
    <w:rsid w:val="00C47A1D"/>
    <w:rsid w:val="00C47A7C"/>
    <w:rsid w:val="00C47BBB"/>
    <w:rsid w:val="00C47C8E"/>
    <w:rsid w:val="00C47F54"/>
    <w:rsid w:val="00C47F60"/>
    <w:rsid w:val="00C500B5"/>
    <w:rsid w:val="00C50101"/>
    <w:rsid w:val="00C5010B"/>
    <w:rsid w:val="00C50161"/>
    <w:rsid w:val="00C50185"/>
    <w:rsid w:val="00C50458"/>
    <w:rsid w:val="00C506E1"/>
    <w:rsid w:val="00C5081B"/>
    <w:rsid w:val="00C50907"/>
    <w:rsid w:val="00C5090F"/>
    <w:rsid w:val="00C50A28"/>
    <w:rsid w:val="00C50EBC"/>
    <w:rsid w:val="00C50F9F"/>
    <w:rsid w:val="00C510A0"/>
    <w:rsid w:val="00C510E4"/>
    <w:rsid w:val="00C513BC"/>
    <w:rsid w:val="00C514A1"/>
    <w:rsid w:val="00C5159E"/>
    <w:rsid w:val="00C51656"/>
    <w:rsid w:val="00C51684"/>
    <w:rsid w:val="00C51727"/>
    <w:rsid w:val="00C5172C"/>
    <w:rsid w:val="00C51938"/>
    <w:rsid w:val="00C51946"/>
    <w:rsid w:val="00C51947"/>
    <w:rsid w:val="00C51FD3"/>
    <w:rsid w:val="00C52318"/>
    <w:rsid w:val="00C523BC"/>
    <w:rsid w:val="00C5250E"/>
    <w:rsid w:val="00C52543"/>
    <w:rsid w:val="00C52575"/>
    <w:rsid w:val="00C5258F"/>
    <w:rsid w:val="00C525B9"/>
    <w:rsid w:val="00C5262C"/>
    <w:rsid w:val="00C527F6"/>
    <w:rsid w:val="00C5284F"/>
    <w:rsid w:val="00C52A10"/>
    <w:rsid w:val="00C52BBB"/>
    <w:rsid w:val="00C52C99"/>
    <w:rsid w:val="00C52CA0"/>
    <w:rsid w:val="00C52CA9"/>
    <w:rsid w:val="00C52D71"/>
    <w:rsid w:val="00C52FA3"/>
    <w:rsid w:val="00C52FC2"/>
    <w:rsid w:val="00C52FD1"/>
    <w:rsid w:val="00C530F7"/>
    <w:rsid w:val="00C53219"/>
    <w:rsid w:val="00C533A1"/>
    <w:rsid w:val="00C5359B"/>
    <w:rsid w:val="00C537B9"/>
    <w:rsid w:val="00C53997"/>
    <w:rsid w:val="00C539A8"/>
    <w:rsid w:val="00C539F5"/>
    <w:rsid w:val="00C53AC7"/>
    <w:rsid w:val="00C53AF7"/>
    <w:rsid w:val="00C53B52"/>
    <w:rsid w:val="00C53BBA"/>
    <w:rsid w:val="00C53E38"/>
    <w:rsid w:val="00C53EA6"/>
    <w:rsid w:val="00C53F84"/>
    <w:rsid w:val="00C5426A"/>
    <w:rsid w:val="00C5430A"/>
    <w:rsid w:val="00C54332"/>
    <w:rsid w:val="00C5433F"/>
    <w:rsid w:val="00C543A8"/>
    <w:rsid w:val="00C545D1"/>
    <w:rsid w:val="00C5463E"/>
    <w:rsid w:val="00C54882"/>
    <w:rsid w:val="00C54923"/>
    <w:rsid w:val="00C5495C"/>
    <w:rsid w:val="00C54B41"/>
    <w:rsid w:val="00C54BE1"/>
    <w:rsid w:val="00C54D82"/>
    <w:rsid w:val="00C54DA9"/>
    <w:rsid w:val="00C54E3A"/>
    <w:rsid w:val="00C5504D"/>
    <w:rsid w:val="00C550D0"/>
    <w:rsid w:val="00C5516F"/>
    <w:rsid w:val="00C5520D"/>
    <w:rsid w:val="00C554B5"/>
    <w:rsid w:val="00C5556E"/>
    <w:rsid w:val="00C55A36"/>
    <w:rsid w:val="00C55A7B"/>
    <w:rsid w:val="00C55BEC"/>
    <w:rsid w:val="00C55C23"/>
    <w:rsid w:val="00C55E52"/>
    <w:rsid w:val="00C55E92"/>
    <w:rsid w:val="00C55FFA"/>
    <w:rsid w:val="00C56010"/>
    <w:rsid w:val="00C561D7"/>
    <w:rsid w:val="00C562FD"/>
    <w:rsid w:val="00C56380"/>
    <w:rsid w:val="00C563E5"/>
    <w:rsid w:val="00C56458"/>
    <w:rsid w:val="00C5680C"/>
    <w:rsid w:val="00C5681D"/>
    <w:rsid w:val="00C56855"/>
    <w:rsid w:val="00C568AD"/>
    <w:rsid w:val="00C56A03"/>
    <w:rsid w:val="00C56B37"/>
    <w:rsid w:val="00C56B97"/>
    <w:rsid w:val="00C56C3D"/>
    <w:rsid w:val="00C56EF2"/>
    <w:rsid w:val="00C56F7A"/>
    <w:rsid w:val="00C570A6"/>
    <w:rsid w:val="00C571FD"/>
    <w:rsid w:val="00C57399"/>
    <w:rsid w:val="00C573C1"/>
    <w:rsid w:val="00C57466"/>
    <w:rsid w:val="00C57602"/>
    <w:rsid w:val="00C576C2"/>
    <w:rsid w:val="00C5778F"/>
    <w:rsid w:val="00C57971"/>
    <w:rsid w:val="00C579F3"/>
    <w:rsid w:val="00C57A4F"/>
    <w:rsid w:val="00C57A56"/>
    <w:rsid w:val="00C57B94"/>
    <w:rsid w:val="00C57C50"/>
    <w:rsid w:val="00C57CC1"/>
    <w:rsid w:val="00C57FCB"/>
    <w:rsid w:val="00C600B3"/>
    <w:rsid w:val="00C601DF"/>
    <w:rsid w:val="00C60393"/>
    <w:rsid w:val="00C6048C"/>
    <w:rsid w:val="00C6059A"/>
    <w:rsid w:val="00C607A9"/>
    <w:rsid w:val="00C609AC"/>
    <w:rsid w:val="00C60CC0"/>
    <w:rsid w:val="00C60E46"/>
    <w:rsid w:val="00C60E72"/>
    <w:rsid w:val="00C60ED0"/>
    <w:rsid w:val="00C60F64"/>
    <w:rsid w:val="00C61135"/>
    <w:rsid w:val="00C612D4"/>
    <w:rsid w:val="00C61369"/>
    <w:rsid w:val="00C6136E"/>
    <w:rsid w:val="00C61464"/>
    <w:rsid w:val="00C614AC"/>
    <w:rsid w:val="00C617CB"/>
    <w:rsid w:val="00C619E0"/>
    <w:rsid w:val="00C61A17"/>
    <w:rsid w:val="00C61AF3"/>
    <w:rsid w:val="00C61C87"/>
    <w:rsid w:val="00C61D92"/>
    <w:rsid w:val="00C62034"/>
    <w:rsid w:val="00C620F3"/>
    <w:rsid w:val="00C62229"/>
    <w:rsid w:val="00C62357"/>
    <w:rsid w:val="00C62552"/>
    <w:rsid w:val="00C625B4"/>
    <w:rsid w:val="00C62637"/>
    <w:rsid w:val="00C62851"/>
    <w:rsid w:val="00C62A40"/>
    <w:rsid w:val="00C62E04"/>
    <w:rsid w:val="00C62F15"/>
    <w:rsid w:val="00C62F23"/>
    <w:rsid w:val="00C63078"/>
    <w:rsid w:val="00C63222"/>
    <w:rsid w:val="00C63284"/>
    <w:rsid w:val="00C63289"/>
    <w:rsid w:val="00C6368E"/>
    <w:rsid w:val="00C63746"/>
    <w:rsid w:val="00C63868"/>
    <w:rsid w:val="00C63BD2"/>
    <w:rsid w:val="00C63E23"/>
    <w:rsid w:val="00C64028"/>
    <w:rsid w:val="00C64031"/>
    <w:rsid w:val="00C640C4"/>
    <w:rsid w:val="00C641C6"/>
    <w:rsid w:val="00C644EC"/>
    <w:rsid w:val="00C6459E"/>
    <w:rsid w:val="00C64716"/>
    <w:rsid w:val="00C64781"/>
    <w:rsid w:val="00C647AC"/>
    <w:rsid w:val="00C6480A"/>
    <w:rsid w:val="00C64A23"/>
    <w:rsid w:val="00C64B7B"/>
    <w:rsid w:val="00C64C57"/>
    <w:rsid w:val="00C64D07"/>
    <w:rsid w:val="00C64DAC"/>
    <w:rsid w:val="00C64FF0"/>
    <w:rsid w:val="00C650A6"/>
    <w:rsid w:val="00C650D5"/>
    <w:rsid w:val="00C6520A"/>
    <w:rsid w:val="00C65250"/>
    <w:rsid w:val="00C652CE"/>
    <w:rsid w:val="00C6538A"/>
    <w:rsid w:val="00C6557A"/>
    <w:rsid w:val="00C655AB"/>
    <w:rsid w:val="00C657CB"/>
    <w:rsid w:val="00C65819"/>
    <w:rsid w:val="00C6593B"/>
    <w:rsid w:val="00C6595F"/>
    <w:rsid w:val="00C659F4"/>
    <w:rsid w:val="00C65A36"/>
    <w:rsid w:val="00C65A98"/>
    <w:rsid w:val="00C65AF4"/>
    <w:rsid w:val="00C65BB2"/>
    <w:rsid w:val="00C65BCA"/>
    <w:rsid w:val="00C65BDE"/>
    <w:rsid w:val="00C65C73"/>
    <w:rsid w:val="00C65CF7"/>
    <w:rsid w:val="00C65D2B"/>
    <w:rsid w:val="00C65DB7"/>
    <w:rsid w:val="00C65DF0"/>
    <w:rsid w:val="00C65EA4"/>
    <w:rsid w:val="00C65F09"/>
    <w:rsid w:val="00C65FE6"/>
    <w:rsid w:val="00C66001"/>
    <w:rsid w:val="00C66050"/>
    <w:rsid w:val="00C66201"/>
    <w:rsid w:val="00C6635E"/>
    <w:rsid w:val="00C6651E"/>
    <w:rsid w:val="00C6668E"/>
    <w:rsid w:val="00C66812"/>
    <w:rsid w:val="00C66842"/>
    <w:rsid w:val="00C669DE"/>
    <w:rsid w:val="00C66E22"/>
    <w:rsid w:val="00C66E65"/>
    <w:rsid w:val="00C66E8C"/>
    <w:rsid w:val="00C66EB2"/>
    <w:rsid w:val="00C66EDB"/>
    <w:rsid w:val="00C66FD3"/>
    <w:rsid w:val="00C67080"/>
    <w:rsid w:val="00C67143"/>
    <w:rsid w:val="00C675A3"/>
    <w:rsid w:val="00C67721"/>
    <w:rsid w:val="00C67761"/>
    <w:rsid w:val="00C67967"/>
    <w:rsid w:val="00C67A7B"/>
    <w:rsid w:val="00C67BBF"/>
    <w:rsid w:val="00C67E8E"/>
    <w:rsid w:val="00C67F45"/>
    <w:rsid w:val="00C67F94"/>
    <w:rsid w:val="00C7021C"/>
    <w:rsid w:val="00C70252"/>
    <w:rsid w:val="00C7060B"/>
    <w:rsid w:val="00C706CB"/>
    <w:rsid w:val="00C70796"/>
    <w:rsid w:val="00C70A14"/>
    <w:rsid w:val="00C70D72"/>
    <w:rsid w:val="00C70E4E"/>
    <w:rsid w:val="00C70F95"/>
    <w:rsid w:val="00C712D5"/>
    <w:rsid w:val="00C7134B"/>
    <w:rsid w:val="00C71412"/>
    <w:rsid w:val="00C714BB"/>
    <w:rsid w:val="00C715B7"/>
    <w:rsid w:val="00C715F1"/>
    <w:rsid w:val="00C716A2"/>
    <w:rsid w:val="00C71C04"/>
    <w:rsid w:val="00C71C15"/>
    <w:rsid w:val="00C71D4F"/>
    <w:rsid w:val="00C71D9C"/>
    <w:rsid w:val="00C71F2E"/>
    <w:rsid w:val="00C7204E"/>
    <w:rsid w:val="00C72075"/>
    <w:rsid w:val="00C720C5"/>
    <w:rsid w:val="00C720DE"/>
    <w:rsid w:val="00C720F0"/>
    <w:rsid w:val="00C72139"/>
    <w:rsid w:val="00C72177"/>
    <w:rsid w:val="00C7217D"/>
    <w:rsid w:val="00C722B9"/>
    <w:rsid w:val="00C722D9"/>
    <w:rsid w:val="00C7233A"/>
    <w:rsid w:val="00C72380"/>
    <w:rsid w:val="00C72412"/>
    <w:rsid w:val="00C72465"/>
    <w:rsid w:val="00C72481"/>
    <w:rsid w:val="00C724CD"/>
    <w:rsid w:val="00C724DF"/>
    <w:rsid w:val="00C725D2"/>
    <w:rsid w:val="00C72A18"/>
    <w:rsid w:val="00C72B27"/>
    <w:rsid w:val="00C72B50"/>
    <w:rsid w:val="00C72F6B"/>
    <w:rsid w:val="00C7310F"/>
    <w:rsid w:val="00C7313E"/>
    <w:rsid w:val="00C7323E"/>
    <w:rsid w:val="00C73264"/>
    <w:rsid w:val="00C73274"/>
    <w:rsid w:val="00C73349"/>
    <w:rsid w:val="00C73455"/>
    <w:rsid w:val="00C7346F"/>
    <w:rsid w:val="00C73508"/>
    <w:rsid w:val="00C73676"/>
    <w:rsid w:val="00C7380B"/>
    <w:rsid w:val="00C73A8C"/>
    <w:rsid w:val="00C73B3C"/>
    <w:rsid w:val="00C73D10"/>
    <w:rsid w:val="00C73EA6"/>
    <w:rsid w:val="00C73EC9"/>
    <w:rsid w:val="00C740B6"/>
    <w:rsid w:val="00C7429A"/>
    <w:rsid w:val="00C7448D"/>
    <w:rsid w:val="00C744E6"/>
    <w:rsid w:val="00C744FB"/>
    <w:rsid w:val="00C74527"/>
    <w:rsid w:val="00C745CB"/>
    <w:rsid w:val="00C745CF"/>
    <w:rsid w:val="00C7460A"/>
    <w:rsid w:val="00C7461E"/>
    <w:rsid w:val="00C74670"/>
    <w:rsid w:val="00C74A4D"/>
    <w:rsid w:val="00C74A5A"/>
    <w:rsid w:val="00C74A9A"/>
    <w:rsid w:val="00C74B0E"/>
    <w:rsid w:val="00C74B8C"/>
    <w:rsid w:val="00C74BEC"/>
    <w:rsid w:val="00C74C40"/>
    <w:rsid w:val="00C74C5E"/>
    <w:rsid w:val="00C74D33"/>
    <w:rsid w:val="00C74D7D"/>
    <w:rsid w:val="00C74D9B"/>
    <w:rsid w:val="00C74E76"/>
    <w:rsid w:val="00C74F45"/>
    <w:rsid w:val="00C750E3"/>
    <w:rsid w:val="00C753A6"/>
    <w:rsid w:val="00C753A8"/>
    <w:rsid w:val="00C753CF"/>
    <w:rsid w:val="00C75495"/>
    <w:rsid w:val="00C756CE"/>
    <w:rsid w:val="00C757BE"/>
    <w:rsid w:val="00C75912"/>
    <w:rsid w:val="00C75CE2"/>
    <w:rsid w:val="00C75CFA"/>
    <w:rsid w:val="00C75D40"/>
    <w:rsid w:val="00C75DA6"/>
    <w:rsid w:val="00C75F04"/>
    <w:rsid w:val="00C761CF"/>
    <w:rsid w:val="00C76222"/>
    <w:rsid w:val="00C7627D"/>
    <w:rsid w:val="00C76522"/>
    <w:rsid w:val="00C76586"/>
    <w:rsid w:val="00C765BA"/>
    <w:rsid w:val="00C766F8"/>
    <w:rsid w:val="00C76896"/>
    <w:rsid w:val="00C76AAF"/>
    <w:rsid w:val="00C76C77"/>
    <w:rsid w:val="00C76CE0"/>
    <w:rsid w:val="00C76F16"/>
    <w:rsid w:val="00C771A5"/>
    <w:rsid w:val="00C772C8"/>
    <w:rsid w:val="00C772F6"/>
    <w:rsid w:val="00C77329"/>
    <w:rsid w:val="00C77335"/>
    <w:rsid w:val="00C77438"/>
    <w:rsid w:val="00C77446"/>
    <w:rsid w:val="00C7749B"/>
    <w:rsid w:val="00C77577"/>
    <w:rsid w:val="00C776AC"/>
    <w:rsid w:val="00C77733"/>
    <w:rsid w:val="00C77772"/>
    <w:rsid w:val="00C7778A"/>
    <w:rsid w:val="00C7783D"/>
    <w:rsid w:val="00C7791D"/>
    <w:rsid w:val="00C7795B"/>
    <w:rsid w:val="00C77A11"/>
    <w:rsid w:val="00C77A24"/>
    <w:rsid w:val="00C77AC6"/>
    <w:rsid w:val="00C77B16"/>
    <w:rsid w:val="00C77BFE"/>
    <w:rsid w:val="00C77EB8"/>
    <w:rsid w:val="00C77ECC"/>
    <w:rsid w:val="00C77FBA"/>
    <w:rsid w:val="00C80016"/>
    <w:rsid w:val="00C8005C"/>
    <w:rsid w:val="00C80111"/>
    <w:rsid w:val="00C801C4"/>
    <w:rsid w:val="00C8023E"/>
    <w:rsid w:val="00C80261"/>
    <w:rsid w:val="00C80287"/>
    <w:rsid w:val="00C802F9"/>
    <w:rsid w:val="00C80405"/>
    <w:rsid w:val="00C804D4"/>
    <w:rsid w:val="00C805D8"/>
    <w:rsid w:val="00C805ED"/>
    <w:rsid w:val="00C8064D"/>
    <w:rsid w:val="00C806C1"/>
    <w:rsid w:val="00C80A5D"/>
    <w:rsid w:val="00C80AA3"/>
    <w:rsid w:val="00C80CD9"/>
    <w:rsid w:val="00C80DEB"/>
    <w:rsid w:val="00C80DFC"/>
    <w:rsid w:val="00C80F43"/>
    <w:rsid w:val="00C80F63"/>
    <w:rsid w:val="00C80FB4"/>
    <w:rsid w:val="00C80FFB"/>
    <w:rsid w:val="00C810BA"/>
    <w:rsid w:val="00C8115D"/>
    <w:rsid w:val="00C812FC"/>
    <w:rsid w:val="00C812FE"/>
    <w:rsid w:val="00C81427"/>
    <w:rsid w:val="00C8146F"/>
    <w:rsid w:val="00C81493"/>
    <w:rsid w:val="00C8161A"/>
    <w:rsid w:val="00C81764"/>
    <w:rsid w:val="00C818AB"/>
    <w:rsid w:val="00C81983"/>
    <w:rsid w:val="00C819F2"/>
    <w:rsid w:val="00C81CA5"/>
    <w:rsid w:val="00C81D72"/>
    <w:rsid w:val="00C81D81"/>
    <w:rsid w:val="00C81F17"/>
    <w:rsid w:val="00C81FA9"/>
    <w:rsid w:val="00C82060"/>
    <w:rsid w:val="00C820A3"/>
    <w:rsid w:val="00C821A7"/>
    <w:rsid w:val="00C821AB"/>
    <w:rsid w:val="00C821FC"/>
    <w:rsid w:val="00C82235"/>
    <w:rsid w:val="00C82350"/>
    <w:rsid w:val="00C82383"/>
    <w:rsid w:val="00C823BC"/>
    <w:rsid w:val="00C823E6"/>
    <w:rsid w:val="00C825F7"/>
    <w:rsid w:val="00C82675"/>
    <w:rsid w:val="00C8268F"/>
    <w:rsid w:val="00C82B46"/>
    <w:rsid w:val="00C82C42"/>
    <w:rsid w:val="00C82C9B"/>
    <w:rsid w:val="00C82E0B"/>
    <w:rsid w:val="00C82E5D"/>
    <w:rsid w:val="00C82FD3"/>
    <w:rsid w:val="00C831B5"/>
    <w:rsid w:val="00C83209"/>
    <w:rsid w:val="00C833C4"/>
    <w:rsid w:val="00C834E0"/>
    <w:rsid w:val="00C83535"/>
    <w:rsid w:val="00C8358E"/>
    <w:rsid w:val="00C83635"/>
    <w:rsid w:val="00C836D8"/>
    <w:rsid w:val="00C83905"/>
    <w:rsid w:val="00C8390C"/>
    <w:rsid w:val="00C8395B"/>
    <w:rsid w:val="00C83C42"/>
    <w:rsid w:val="00C83CCC"/>
    <w:rsid w:val="00C83CED"/>
    <w:rsid w:val="00C83D05"/>
    <w:rsid w:val="00C83D84"/>
    <w:rsid w:val="00C83E0C"/>
    <w:rsid w:val="00C83F5C"/>
    <w:rsid w:val="00C83F77"/>
    <w:rsid w:val="00C841D3"/>
    <w:rsid w:val="00C843D1"/>
    <w:rsid w:val="00C847C6"/>
    <w:rsid w:val="00C8481D"/>
    <w:rsid w:val="00C8498F"/>
    <w:rsid w:val="00C849E9"/>
    <w:rsid w:val="00C84D48"/>
    <w:rsid w:val="00C84E3F"/>
    <w:rsid w:val="00C84F3D"/>
    <w:rsid w:val="00C85011"/>
    <w:rsid w:val="00C85380"/>
    <w:rsid w:val="00C853EF"/>
    <w:rsid w:val="00C854B8"/>
    <w:rsid w:val="00C856B2"/>
    <w:rsid w:val="00C8584C"/>
    <w:rsid w:val="00C85991"/>
    <w:rsid w:val="00C85A6C"/>
    <w:rsid w:val="00C85AAF"/>
    <w:rsid w:val="00C85D09"/>
    <w:rsid w:val="00C85E58"/>
    <w:rsid w:val="00C85F44"/>
    <w:rsid w:val="00C863A3"/>
    <w:rsid w:val="00C866EB"/>
    <w:rsid w:val="00C86947"/>
    <w:rsid w:val="00C8698D"/>
    <w:rsid w:val="00C869E2"/>
    <w:rsid w:val="00C86A00"/>
    <w:rsid w:val="00C86CFD"/>
    <w:rsid w:val="00C86DBC"/>
    <w:rsid w:val="00C86F5F"/>
    <w:rsid w:val="00C86F79"/>
    <w:rsid w:val="00C87039"/>
    <w:rsid w:val="00C87185"/>
    <w:rsid w:val="00C87209"/>
    <w:rsid w:val="00C87436"/>
    <w:rsid w:val="00C879CD"/>
    <w:rsid w:val="00C87A52"/>
    <w:rsid w:val="00C87A5E"/>
    <w:rsid w:val="00C87B28"/>
    <w:rsid w:val="00C87B86"/>
    <w:rsid w:val="00C87C61"/>
    <w:rsid w:val="00C87E68"/>
    <w:rsid w:val="00C87E88"/>
    <w:rsid w:val="00C87EAB"/>
    <w:rsid w:val="00C87FD9"/>
    <w:rsid w:val="00C90151"/>
    <w:rsid w:val="00C903D2"/>
    <w:rsid w:val="00C9043C"/>
    <w:rsid w:val="00C904C1"/>
    <w:rsid w:val="00C90530"/>
    <w:rsid w:val="00C905BB"/>
    <w:rsid w:val="00C905C0"/>
    <w:rsid w:val="00C90641"/>
    <w:rsid w:val="00C90720"/>
    <w:rsid w:val="00C9089E"/>
    <w:rsid w:val="00C90907"/>
    <w:rsid w:val="00C90A2F"/>
    <w:rsid w:val="00C90ACE"/>
    <w:rsid w:val="00C90B11"/>
    <w:rsid w:val="00C90BC2"/>
    <w:rsid w:val="00C90C04"/>
    <w:rsid w:val="00C90C0E"/>
    <w:rsid w:val="00C90D3D"/>
    <w:rsid w:val="00C90F40"/>
    <w:rsid w:val="00C90F88"/>
    <w:rsid w:val="00C910B0"/>
    <w:rsid w:val="00C9112D"/>
    <w:rsid w:val="00C91186"/>
    <w:rsid w:val="00C911A1"/>
    <w:rsid w:val="00C9136F"/>
    <w:rsid w:val="00C91651"/>
    <w:rsid w:val="00C917A4"/>
    <w:rsid w:val="00C917E1"/>
    <w:rsid w:val="00C91858"/>
    <w:rsid w:val="00C9187C"/>
    <w:rsid w:val="00C918F6"/>
    <w:rsid w:val="00C91956"/>
    <w:rsid w:val="00C91981"/>
    <w:rsid w:val="00C91A23"/>
    <w:rsid w:val="00C91ABE"/>
    <w:rsid w:val="00C91D3A"/>
    <w:rsid w:val="00C91D51"/>
    <w:rsid w:val="00C92033"/>
    <w:rsid w:val="00C9203F"/>
    <w:rsid w:val="00C92211"/>
    <w:rsid w:val="00C92276"/>
    <w:rsid w:val="00C922A2"/>
    <w:rsid w:val="00C922B6"/>
    <w:rsid w:val="00C92388"/>
    <w:rsid w:val="00C9253E"/>
    <w:rsid w:val="00C925F7"/>
    <w:rsid w:val="00C92607"/>
    <w:rsid w:val="00C9263E"/>
    <w:rsid w:val="00C9265C"/>
    <w:rsid w:val="00C92695"/>
    <w:rsid w:val="00C926C0"/>
    <w:rsid w:val="00C927B6"/>
    <w:rsid w:val="00C9284C"/>
    <w:rsid w:val="00C92A32"/>
    <w:rsid w:val="00C92AA3"/>
    <w:rsid w:val="00C92C8D"/>
    <w:rsid w:val="00C92CC9"/>
    <w:rsid w:val="00C92CCF"/>
    <w:rsid w:val="00C92ED1"/>
    <w:rsid w:val="00C92F9F"/>
    <w:rsid w:val="00C9303C"/>
    <w:rsid w:val="00C931A1"/>
    <w:rsid w:val="00C93280"/>
    <w:rsid w:val="00C93689"/>
    <w:rsid w:val="00C9372F"/>
    <w:rsid w:val="00C9376B"/>
    <w:rsid w:val="00C9378C"/>
    <w:rsid w:val="00C93AD9"/>
    <w:rsid w:val="00C93C27"/>
    <w:rsid w:val="00C93F1E"/>
    <w:rsid w:val="00C93FC2"/>
    <w:rsid w:val="00C93FF7"/>
    <w:rsid w:val="00C94152"/>
    <w:rsid w:val="00C94643"/>
    <w:rsid w:val="00C94690"/>
    <w:rsid w:val="00C94955"/>
    <w:rsid w:val="00C94E17"/>
    <w:rsid w:val="00C94EFB"/>
    <w:rsid w:val="00C95109"/>
    <w:rsid w:val="00C952C5"/>
    <w:rsid w:val="00C953BA"/>
    <w:rsid w:val="00C9545F"/>
    <w:rsid w:val="00C95476"/>
    <w:rsid w:val="00C954B0"/>
    <w:rsid w:val="00C954DF"/>
    <w:rsid w:val="00C9550A"/>
    <w:rsid w:val="00C955FA"/>
    <w:rsid w:val="00C9565F"/>
    <w:rsid w:val="00C95795"/>
    <w:rsid w:val="00C95857"/>
    <w:rsid w:val="00C95890"/>
    <w:rsid w:val="00C95A43"/>
    <w:rsid w:val="00C95AB6"/>
    <w:rsid w:val="00C95C69"/>
    <w:rsid w:val="00C9603D"/>
    <w:rsid w:val="00C96520"/>
    <w:rsid w:val="00C965DB"/>
    <w:rsid w:val="00C96A7E"/>
    <w:rsid w:val="00C96F91"/>
    <w:rsid w:val="00C97106"/>
    <w:rsid w:val="00C9718D"/>
    <w:rsid w:val="00C971AF"/>
    <w:rsid w:val="00C971B9"/>
    <w:rsid w:val="00C97247"/>
    <w:rsid w:val="00C972CA"/>
    <w:rsid w:val="00C97580"/>
    <w:rsid w:val="00C9797F"/>
    <w:rsid w:val="00C97B11"/>
    <w:rsid w:val="00C97CAA"/>
    <w:rsid w:val="00C97CEE"/>
    <w:rsid w:val="00C97E1E"/>
    <w:rsid w:val="00C97E93"/>
    <w:rsid w:val="00C97F64"/>
    <w:rsid w:val="00C97F81"/>
    <w:rsid w:val="00CA0076"/>
    <w:rsid w:val="00CA00AB"/>
    <w:rsid w:val="00CA0239"/>
    <w:rsid w:val="00CA0470"/>
    <w:rsid w:val="00CA0541"/>
    <w:rsid w:val="00CA058B"/>
    <w:rsid w:val="00CA064A"/>
    <w:rsid w:val="00CA07CE"/>
    <w:rsid w:val="00CA087E"/>
    <w:rsid w:val="00CA093E"/>
    <w:rsid w:val="00CA0AED"/>
    <w:rsid w:val="00CA0F89"/>
    <w:rsid w:val="00CA12B7"/>
    <w:rsid w:val="00CA1398"/>
    <w:rsid w:val="00CA1862"/>
    <w:rsid w:val="00CA18AB"/>
    <w:rsid w:val="00CA1A0F"/>
    <w:rsid w:val="00CA1A86"/>
    <w:rsid w:val="00CA1B7D"/>
    <w:rsid w:val="00CA1C68"/>
    <w:rsid w:val="00CA1E84"/>
    <w:rsid w:val="00CA1EA0"/>
    <w:rsid w:val="00CA1FAA"/>
    <w:rsid w:val="00CA20C7"/>
    <w:rsid w:val="00CA20EF"/>
    <w:rsid w:val="00CA21C3"/>
    <w:rsid w:val="00CA2394"/>
    <w:rsid w:val="00CA264D"/>
    <w:rsid w:val="00CA26EA"/>
    <w:rsid w:val="00CA26ED"/>
    <w:rsid w:val="00CA26F6"/>
    <w:rsid w:val="00CA2759"/>
    <w:rsid w:val="00CA275C"/>
    <w:rsid w:val="00CA27D3"/>
    <w:rsid w:val="00CA2814"/>
    <w:rsid w:val="00CA285D"/>
    <w:rsid w:val="00CA28E2"/>
    <w:rsid w:val="00CA2921"/>
    <w:rsid w:val="00CA29D3"/>
    <w:rsid w:val="00CA2ED1"/>
    <w:rsid w:val="00CA2EFE"/>
    <w:rsid w:val="00CA2FB2"/>
    <w:rsid w:val="00CA31C0"/>
    <w:rsid w:val="00CA32EC"/>
    <w:rsid w:val="00CA3406"/>
    <w:rsid w:val="00CA34CF"/>
    <w:rsid w:val="00CA34F4"/>
    <w:rsid w:val="00CA37A6"/>
    <w:rsid w:val="00CA3897"/>
    <w:rsid w:val="00CA38D6"/>
    <w:rsid w:val="00CA39E9"/>
    <w:rsid w:val="00CA3A22"/>
    <w:rsid w:val="00CA3A30"/>
    <w:rsid w:val="00CA3A61"/>
    <w:rsid w:val="00CA3D3A"/>
    <w:rsid w:val="00CA3D7B"/>
    <w:rsid w:val="00CA3E20"/>
    <w:rsid w:val="00CA4123"/>
    <w:rsid w:val="00CA42BD"/>
    <w:rsid w:val="00CA42D6"/>
    <w:rsid w:val="00CA45BB"/>
    <w:rsid w:val="00CA4619"/>
    <w:rsid w:val="00CA48A9"/>
    <w:rsid w:val="00CA4A65"/>
    <w:rsid w:val="00CA4C83"/>
    <w:rsid w:val="00CA4D3C"/>
    <w:rsid w:val="00CA4F1A"/>
    <w:rsid w:val="00CA5011"/>
    <w:rsid w:val="00CA5189"/>
    <w:rsid w:val="00CA528A"/>
    <w:rsid w:val="00CA5401"/>
    <w:rsid w:val="00CA540A"/>
    <w:rsid w:val="00CA558A"/>
    <w:rsid w:val="00CA55E6"/>
    <w:rsid w:val="00CA57A8"/>
    <w:rsid w:val="00CA58E6"/>
    <w:rsid w:val="00CA59B9"/>
    <w:rsid w:val="00CA5C73"/>
    <w:rsid w:val="00CA5D02"/>
    <w:rsid w:val="00CA5D87"/>
    <w:rsid w:val="00CA5E4A"/>
    <w:rsid w:val="00CA5EE4"/>
    <w:rsid w:val="00CA5F01"/>
    <w:rsid w:val="00CA5F98"/>
    <w:rsid w:val="00CA5FDA"/>
    <w:rsid w:val="00CA64AF"/>
    <w:rsid w:val="00CA64B0"/>
    <w:rsid w:val="00CA64F5"/>
    <w:rsid w:val="00CA6588"/>
    <w:rsid w:val="00CA6599"/>
    <w:rsid w:val="00CA679F"/>
    <w:rsid w:val="00CA692F"/>
    <w:rsid w:val="00CA6B4D"/>
    <w:rsid w:val="00CA6BC2"/>
    <w:rsid w:val="00CA6D2C"/>
    <w:rsid w:val="00CA6D2F"/>
    <w:rsid w:val="00CA6E0C"/>
    <w:rsid w:val="00CA6F7C"/>
    <w:rsid w:val="00CA6FD7"/>
    <w:rsid w:val="00CA7056"/>
    <w:rsid w:val="00CA71E3"/>
    <w:rsid w:val="00CA7381"/>
    <w:rsid w:val="00CA7824"/>
    <w:rsid w:val="00CA79BA"/>
    <w:rsid w:val="00CA7B29"/>
    <w:rsid w:val="00CA7E8A"/>
    <w:rsid w:val="00CA7F42"/>
    <w:rsid w:val="00CB012B"/>
    <w:rsid w:val="00CB0166"/>
    <w:rsid w:val="00CB0269"/>
    <w:rsid w:val="00CB037B"/>
    <w:rsid w:val="00CB0395"/>
    <w:rsid w:val="00CB0504"/>
    <w:rsid w:val="00CB0593"/>
    <w:rsid w:val="00CB05A9"/>
    <w:rsid w:val="00CB0954"/>
    <w:rsid w:val="00CB095F"/>
    <w:rsid w:val="00CB0B5B"/>
    <w:rsid w:val="00CB0D43"/>
    <w:rsid w:val="00CB0D7D"/>
    <w:rsid w:val="00CB0FCC"/>
    <w:rsid w:val="00CB111C"/>
    <w:rsid w:val="00CB11B3"/>
    <w:rsid w:val="00CB136A"/>
    <w:rsid w:val="00CB15E9"/>
    <w:rsid w:val="00CB15FE"/>
    <w:rsid w:val="00CB16D7"/>
    <w:rsid w:val="00CB1768"/>
    <w:rsid w:val="00CB19FB"/>
    <w:rsid w:val="00CB1B81"/>
    <w:rsid w:val="00CB1D0C"/>
    <w:rsid w:val="00CB1E54"/>
    <w:rsid w:val="00CB1F4E"/>
    <w:rsid w:val="00CB2050"/>
    <w:rsid w:val="00CB206C"/>
    <w:rsid w:val="00CB2174"/>
    <w:rsid w:val="00CB22F5"/>
    <w:rsid w:val="00CB25AC"/>
    <w:rsid w:val="00CB26AB"/>
    <w:rsid w:val="00CB26C2"/>
    <w:rsid w:val="00CB28C1"/>
    <w:rsid w:val="00CB2925"/>
    <w:rsid w:val="00CB2A44"/>
    <w:rsid w:val="00CB2BD5"/>
    <w:rsid w:val="00CB2C11"/>
    <w:rsid w:val="00CB2C7D"/>
    <w:rsid w:val="00CB2DF3"/>
    <w:rsid w:val="00CB2F9F"/>
    <w:rsid w:val="00CB30B1"/>
    <w:rsid w:val="00CB32E5"/>
    <w:rsid w:val="00CB353A"/>
    <w:rsid w:val="00CB3544"/>
    <w:rsid w:val="00CB3562"/>
    <w:rsid w:val="00CB3589"/>
    <w:rsid w:val="00CB3699"/>
    <w:rsid w:val="00CB3794"/>
    <w:rsid w:val="00CB379B"/>
    <w:rsid w:val="00CB390C"/>
    <w:rsid w:val="00CB3A80"/>
    <w:rsid w:val="00CB3B6E"/>
    <w:rsid w:val="00CB3B76"/>
    <w:rsid w:val="00CB3D7F"/>
    <w:rsid w:val="00CB3EDC"/>
    <w:rsid w:val="00CB400D"/>
    <w:rsid w:val="00CB41EE"/>
    <w:rsid w:val="00CB4251"/>
    <w:rsid w:val="00CB44DF"/>
    <w:rsid w:val="00CB4500"/>
    <w:rsid w:val="00CB476A"/>
    <w:rsid w:val="00CB48A5"/>
    <w:rsid w:val="00CB4A60"/>
    <w:rsid w:val="00CB4B82"/>
    <w:rsid w:val="00CB4EFF"/>
    <w:rsid w:val="00CB5127"/>
    <w:rsid w:val="00CB51DA"/>
    <w:rsid w:val="00CB54B9"/>
    <w:rsid w:val="00CB54C4"/>
    <w:rsid w:val="00CB560B"/>
    <w:rsid w:val="00CB565D"/>
    <w:rsid w:val="00CB58D6"/>
    <w:rsid w:val="00CB5995"/>
    <w:rsid w:val="00CB59B1"/>
    <w:rsid w:val="00CB5A0E"/>
    <w:rsid w:val="00CB5A12"/>
    <w:rsid w:val="00CB5C55"/>
    <w:rsid w:val="00CB5D4C"/>
    <w:rsid w:val="00CB5D5B"/>
    <w:rsid w:val="00CB5DE1"/>
    <w:rsid w:val="00CB5DF9"/>
    <w:rsid w:val="00CB5E67"/>
    <w:rsid w:val="00CB5F5E"/>
    <w:rsid w:val="00CB6019"/>
    <w:rsid w:val="00CB610B"/>
    <w:rsid w:val="00CB6123"/>
    <w:rsid w:val="00CB631F"/>
    <w:rsid w:val="00CB63D9"/>
    <w:rsid w:val="00CB63DC"/>
    <w:rsid w:val="00CB63FC"/>
    <w:rsid w:val="00CB6734"/>
    <w:rsid w:val="00CB683A"/>
    <w:rsid w:val="00CB6A92"/>
    <w:rsid w:val="00CB6CDE"/>
    <w:rsid w:val="00CB703A"/>
    <w:rsid w:val="00CB7118"/>
    <w:rsid w:val="00CB7169"/>
    <w:rsid w:val="00CB7316"/>
    <w:rsid w:val="00CB737F"/>
    <w:rsid w:val="00CB73A7"/>
    <w:rsid w:val="00CB73DC"/>
    <w:rsid w:val="00CB7439"/>
    <w:rsid w:val="00CB74B0"/>
    <w:rsid w:val="00CB74B9"/>
    <w:rsid w:val="00CB7691"/>
    <w:rsid w:val="00CB7A92"/>
    <w:rsid w:val="00CB7E35"/>
    <w:rsid w:val="00CC007C"/>
    <w:rsid w:val="00CC0216"/>
    <w:rsid w:val="00CC02A4"/>
    <w:rsid w:val="00CC03F9"/>
    <w:rsid w:val="00CC054C"/>
    <w:rsid w:val="00CC0743"/>
    <w:rsid w:val="00CC0855"/>
    <w:rsid w:val="00CC0958"/>
    <w:rsid w:val="00CC0AE1"/>
    <w:rsid w:val="00CC0C63"/>
    <w:rsid w:val="00CC0CC2"/>
    <w:rsid w:val="00CC0E5A"/>
    <w:rsid w:val="00CC0F27"/>
    <w:rsid w:val="00CC0F5B"/>
    <w:rsid w:val="00CC0F99"/>
    <w:rsid w:val="00CC12D2"/>
    <w:rsid w:val="00CC16C3"/>
    <w:rsid w:val="00CC171C"/>
    <w:rsid w:val="00CC1880"/>
    <w:rsid w:val="00CC1968"/>
    <w:rsid w:val="00CC19EE"/>
    <w:rsid w:val="00CC1A41"/>
    <w:rsid w:val="00CC1D1A"/>
    <w:rsid w:val="00CC1D1F"/>
    <w:rsid w:val="00CC1D28"/>
    <w:rsid w:val="00CC1EF0"/>
    <w:rsid w:val="00CC1EFA"/>
    <w:rsid w:val="00CC2098"/>
    <w:rsid w:val="00CC21B3"/>
    <w:rsid w:val="00CC2218"/>
    <w:rsid w:val="00CC22DB"/>
    <w:rsid w:val="00CC24B0"/>
    <w:rsid w:val="00CC2632"/>
    <w:rsid w:val="00CC263B"/>
    <w:rsid w:val="00CC2693"/>
    <w:rsid w:val="00CC26D7"/>
    <w:rsid w:val="00CC277D"/>
    <w:rsid w:val="00CC2840"/>
    <w:rsid w:val="00CC2872"/>
    <w:rsid w:val="00CC2B43"/>
    <w:rsid w:val="00CC2BE3"/>
    <w:rsid w:val="00CC2C93"/>
    <w:rsid w:val="00CC2DDD"/>
    <w:rsid w:val="00CC2E2C"/>
    <w:rsid w:val="00CC2F3C"/>
    <w:rsid w:val="00CC313D"/>
    <w:rsid w:val="00CC31D3"/>
    <w:rsid w:val="00CC3244"/>
    <w:rsid w:val="00CC3515"/>
    <w:rsid w:val="00CC3526"/>
    <w:rsid w:val="00CC3726"/>
    <w:rsid w:val="00CC3838"/>
    <w:rsid w:val="00CC3870"/>
    <w:rsid w:val="00CC3890"/>
    <w:rsid w:val="00CC3908"/>
    <w:rsid w:val="00CC39BC"/>
    <w:rsid w:val="00CC3AD9"/>
    <w:rsid w:val="00CC3C07"/>
    <w:rsid w:val="00CC3D72"/>
    <w:rsid w:val="00CC429B"/>
    <w:rsid w:val="00CC434D"/>
    <w:rsid w:val="00CC4368"/>
    <w:rsid w:val="00CC44E3"/>
    <w:rsid w:val="00CC4571"/>
    <w:rsid w:val="00CC4665"/>
    <w:rsid w:val="00CC4A62"/>
    <w:rsid w:val="00CC4B43"/>
    <w:rsid w:val="00CC4B80"/>
    <w:rsid w:val="00CC4BA9"/>
    <w:rsid w:val="00CC4C6A"/>
    <w:rsid w:val="00CC4C88"/>
    <w:rsid w:val="00CC4D8A"/>
    <w:rsid w:val="00CC4E24"/>
    <w:rsid w:val="00CC4F5C"/>
    <w:rsid w:val="00CC512A"/>
    <w:rsid w:val="00CC530E"/>
    <w:rsid w:val="00CC5424"/>
    <w:rsid w:val="00CC5477"/>
    <w:rsid w:val="00CC5563"/>
    <w:rsid w:val="00CC5715"/>
    <w:rsid w:val="00CC5776"/>
    <w:rsid w:val="00CC592B"/>
    <w:rsid w:val="00CC599E"/>
    <w:rsid w:val="00CC5A3B"/>
    <w:rsid w:val="00CC5BA6"/>
    <w:rsid w:val="00CC5BFA"/>
    <w:rsid w:val="00CC5D47"/>
    <w:rsid w:val="00CC5ED1"/>
    <w:rsid w:val="00CC5F82"/>
    <w:rsid w:val="00CC5FF3"/>
    <w:rsid w:val="00CC605A"/>
    <w:rsid w:val="00CC61F4"/>
    <w:rsid w:val="00CC6260"/>
    <w:rsid w:val="00CC628C"/>
    <w:rsid w:val="00CC6395"/>
    <w:rsid w:val="00CC63EE"/>
    <w:rsid w:val="00CC6442"/>
    <w:rsid w:val="00CC6559"/>
    <w:rsid w:val="00CC65CA"/>
    <w:rsid w:val="00CC664F"/>
    <w:rsid w:val="00CC667C"/>
    <w:rsid w:val="00CC6782"/>
    <w:rsid w:val="00CC67DC"/>
    <w:rsid w:val="00CC698E"/>
    <w:rsid w:val="00CC6B2B"/>
    <w:rsid w:val="00CC6C0A"/>
    <w:rsid w:val="00CC6D00"/>
    <w:rsid w:val="00CC6EDA"/>
    <w:rsid w:val="00CC6EEE"/>
    <w:rsid w:val="00CC70D8"/>
    <w:rsid w:val="00CC7242"/>
    <w:rsid w:val="00CC72EB"/>
    <w:rsid w:val="00CC732A"/>
    <w:rsid w:val="00CC7394"/>
    <w:rsid w:val="00CC74E3"/>
    <w:rsid w:val="00CC74EA"/>
    <w:rsid w:val="00CC7501"/>
    <w:rsid w:val="00CC760D"/>
    <w:rsid w:val="00CC77EB"/>
    <w:rsid w:val="00CC7816"/>
    <w:rsid w:val="00CC785C"/>
    <w:rsid w:val="00CC7948"/>
    <w:rsid w:val="00CC7A26"/>
    <w:rsid w:val="00CC7BCC"/>
    <w:rsid w:val="00CC7D66"/>
    <w:rsid w:val="00CC7D90"/>
    <w:rsid w:val="00CD026D"/>
    <w:rsid w:val="00CD02A5"/>
    <w:rsid w:val="00CD033A"/>
    <w:rsid w:val="00CD0432"/>
    <w:rsid w:val="00CD06A7"/>
    <w:rsid w:val="00CD06DD"/>
    <w:rsid w:val="00CD0919"/>
    <w:rsid w:val="00CD093B"/>
    <w:rsid w:val="00CD0A15"/>
    <w:rsid w:val="00CD0BC5"/>
    <w:rsid w:val="00CD0BD0"/>
    <w:rsid w:val="00CD0D7C"/>
    <w:rsid w:val="00CD0DB9"/>
    <w:rsid w:val="00CD0E61"/>
    <w:rsid w:val="00CD0F66"/>
    <w:rsid w:val="00CD0F69"/>
    <w:rsid w:val="00CD113F"/>
    <w:rsid w:val="00CD13E3"/>
    <w:rsid w:val="00CD1404"/>
    <w:rsid w:val="00CD162D"/>
    <w:rsid w:val="00CD181F"/>
    <w:rsid w:val="00CD1A07"/>
    <w:rsid w:val="00CD1C56"/>
    <w:rsid w:val="00CD1F44"/>
    <w:rsid w:val="00CD203A"/>
    <w:rsid w:val="00CD214F"/>
    <w:rsid w:val="00CD2195"/>
    <w:rsid w:val="00CD25FA"/>
    <w:rsid w:val="00CD2651"/>
    <w:rsid w:val="00CD266C"/>
    <w:rsid w:val="00CD27FC"/>
    <w:rsid w:val="00CD29A5"/>
    <w:rsid w:val="00CD29F2"/>
    <w:rsid w:val="00CD2BD5"/>
    <w:rsid w:val="00CD2BD7"/>
    <w:rsid w:val="00CD2CD0"/>
    <w:rsid w:val="00CD2E1A"/>
    <w:rsid w:val="00CD2EAC"/>
    <w:rsid w:val="00CD2F31"/>
    <w:rsid w:val="00CD2F7F"/>
    <w:rsid w:val="00CD2FAC"/>
    <w:rsid w:val="00CD2FBB"/>
    <w:rsid w:val="00CD2FE2"/>
    <w:rsid w:val="00CD3024"/>
    <w:rsid w:val="00CD3720"/>
    <w:rsid w:val="00CD3A1B"/>
    <w:rsid w:val="00CD3D85"/>
    <w:rsid w:val="00CD41C9"/>
    <w:rsid w:val="00CD41F4"/>
    <w:rsid w:val="00CD4432"/>
    <w:rsid w:val="00CD4450"/>
    <w:rsid w:val="00CD4504"/>
    <w:rsid w:val="00CD4521"/>
    <w:rsid w:val="00CD4579"/>
    <w:rsid w:val="00CD45A8"/>
    <w:rsid w:val="00CD47D6"/>
    <w:rsid w:val="00CD4909"/>
    <w:rsid w:val="00CD4918"/>
    <w:rsid w:val="00CD4C1B"/>
    <w:rsid w:val="00CD4C20"/>
    <w:rsid w:val="00CD4E19"/>
    <w:rsid w:val="00CD4E72"/>
    <w:rsid w:val="00CD5163"/>
    <w:rsid w:val="00CD519E"/>
    <w:rsid w:val="00CD51C4"/>
    <w:rsid w:val="00CD5376"/>
    <w:rsid w:val="00CD53AF"/>
    <w:rsid w:val="00CD542E"/>
    <w:rsid w:val="00CD5598"/>
    <w:rsid w:val="00CD55F5"/>
    <w:rsid w:val="00CD562F"/>
    <w:rsid w:val="00CD566D"/>
    <w:rsid w:val="00CD5837"/>
    <w:rsid w:val="00CD58ED"/>
    <w:rsid w:val="00CD5993"/>
    <w:rsid w:val="00CD5BBC"/>
    <w:rsid w:val="00CD5D2C"/>
    <w:rsid w:val="00CD5D3D"/>
    <w:rsid w:val="00CD5D9F"/>
    <w:rsid w:val="00CD5E6D"/>
    <w:rsid w:val="00CD5EED"/>
    <w:rsid w:val="00CD6010"/>
    <w:rsid w:val="00CD6115"/>
    <w:rsid w:val="00CD61FD"/>
    <w:rsid w:val="00CD6420"/>
    <w:rsid w:val="00CD67C5"/>
    <w:rsid w:val="00CD684F"/>
    <w:rsid w:val="00CD6AC7"/>
    <w:rsid w:val="00CD6EC8"/>
    <w:rsid w:val="00CD6FC3"/>
    <w:rsid w:val="00CD7066"/>
    <w:rsid w:val="00CD711E"/>
    <w:rsid w:val="00CD7456"/>
    <w:rsid w:val="00CD761D"/>
    <w:rsid w:val="00CD7623"/>
    <w:rsid w:val="00CD78A2"/>
    <w:rsid w:val="00CD7939"/>
    <w:rsid w:val="00CD7A58"/>
    <w:rsid w:val="00CD7A7E"/>
    <w:rsid w:val="00CD7D82"/>
    <w:rsid w:val="00CD7EB4"/>
    <w:rsid w:val="00CD7FC4"/>
    <w:rsid w:val="00CD7FFA"/>
    <w:rsid w:val="00CE0098"/>
    <w:rsid w:val="00CE01C0"/>
    <w:rsid w:val="00CE0368"/>
    <w:rsid w:val="00CE05D4"/>
    <w:rsid w:val="00CE09A2"/>
    <w:rsid w:val="00CE0A06"/>
    <w:rsid w:val="00CE0A2B"/>
    <w:rsid w:val="00CE0D96"/>
    <w:rsid w:val="00CE0E1B"/>
    <w:rsid w:val="00CE0E8E"/>
    <w:rsid w:val="00CE0FC6"/>
    <w:rsid w:val="00CE109F"/>
    <w:rsid w:val="00CE10F9"/>
    <w:rsid w:val="00CE136E"/>
    <w:rsid w:val="00CE14B7"/>
    <w:rsid w:val="00CE150A"/>
    <w:rsid w:val="00CE15F1"/>
    <w:rsid w:val="00CE1666"/>
    <w:rsid w:val="00CE1758"/>
    <w:rsid w:val="00CE1840"/>
    <w:rsid w:val="00CE1969"/>
    <w:rsid w:val="00CE1BD0"/>
    <w:rsid w:val="00CE1C24"/>
    <w:rsid w:val="00CE1C86"/>
    <w:rsid w:val="00CE1D53"/>
    <w:rsid w:val="00CE1E39"/>
    <w:rsid w:val="00CE2024"/>
    <w:rsid w:val="00CE2057"/>
    <w:rsid w:val="00CE2067"/>
    <w:rsid w:val="00CE229E"/>
    <w:rsid w:val="00CE23BD"/>
    <w:rsid w:val="00CE23FA"/>
    <w:rsid w:val="00CE24CE"/>
    <w:rsid w:val="00CE24DD"/>
    <w:rsid w:val="00CE25D5"/>
    <w:rsid w:val="00CE25D7"/>
    <w:rsid w:val="00CE2654"/>
    <w:rsid w:val="00CE2684"/>
    <w:rsid w:val="00CE28E3"/>
    <w:rsid w:val="00CE2A0B"/>
    <w:rsid w:val="00CE2EAD"/>
    <w:rsid w:val="00CE3154"/>
    <w:rsid w:val="00CE321F"/>
    <w:rsid w:val="00CE3463"/>
    <w:rsid w:val="00CE34E0"/>
    <w:rsid w:val="00CE38C5"/>
    <w:rsid w:val="00CE3B1E"/>
    <w:rsid w:val="00CE3BAC"/>
    <w:rsid w:val="00CE3BD5"/>
    <w:rsid w:val="00CE3F2E"/>
    <w:rsid w:val="00CE406E"/>
    <w:rsid w:val="00CE42DB"/>
    <w:rsid w:val="00CE44E7"/>
    <w:rsid w:val="00CE4723"/>
    <w:rsid w:val="00CE4885"/>
    <w:rsid w:val="00CE48C7"/>
    <w:rsid w:val="00CE49EA"/>
    <w:rsid w:val="00CE4C1C"/>
    <w:rsid w:val="00CE4CD2"/>
    <w:rsid w:val="00CE4D7B"/>
    <w:rsid w:val="00CE4F88"/>
    <w:rsid w:val="00CE5128"/>
    <w:rsid w:val="00CE51F8"/>
    <w:rsid w:val="00CE5436"/>
    <w:rsid w:val="00CE546C"/>
    <w:rsid w:val="00CE5700"/>
    <w:rsid w:val="00CE58AC"/>
    <w:rsid w:val="00CE591F"/>
    <w:rsid w:val="00CE5A87"/>
    <w:rsid w:val="00CE5BD2"/>
    <w:rsid w:val="00CE5CB1"/>
    <w:rsid w:val="00CE5CDC"/>
    <w:rsid w:val="00CE5CF9"/>
    <w:rsid w:val="00CE5D96"/>
    <w:rsid w:val="00CE6072"/>
    <w:rsid w:val="00CE6106"/>
    <w:rsid w:val="00CE6147"/>
    <w:rsid w:val="00CE648B"/>
    <w:rsid w:val="00CE6510"/>
    <w:rsid w:val="00CE657E"/>
    <w:rsid w:val="00CE65F6"/>
    <w:rsid w:val="00CE6717"/>
    <w:rsid w:val="00CE674E"/>
    <w:rsid w:val="00CE697C"/>
    <w:rsid w:val="00CE6B77"/>
    <w:rsid w:val="00CE6BC8"/>
    <w:rsid w:val="00CE6C64"/>
    <w:rsid w:val="00CE6DEE"/>
    <w:rsid w:val="00CE6DF2"/>
    <w:rsid w:val="00CE7142"/>
    <w:rsid w:val="00CE7260"/>
    <w:rsid w:val="00CE7456"/>
    <w:rsid w:val="00CE769B"/>
    <w:rsid w:val="00CE76F2"/>
    <w:rsid w:val="00CE774F"/>
    <w:rsid w:val="00CE7918"/>
    <w:rsid w:val="00CE7A53"/>
    <w:rsid w:val="00CE7BAF"/>
    <w:rsid w:val="00CE7EC3"/>
    <w:rsid w:val="00CE7FC6"/>
    <w:rsid w:val="00CF005A"/>
    <w:rsid w:val="00CF0597"/>
    <w:rsid w:val="00CF060F"/>
    <w:rsid w:val="00CF06FB"/>
    <w:rsid w:val="00CF0804"/>
    <w:rsid w:val="00CF0929"/>
    <w:rsid w:val="00CF0B00"/>
    <w:rsid w:val="00CF0C39"/>
    <w:rsid w:val="00CF0C93"/>
    <w:rsid w:val="00CF0D6A"/>
    <w:rsid w:val="00CF0EB4"/>
    <w:rsid w:val="00CF1095"/>
    <w:rsid w:val="00CF10AE"/>
    <w:rsid w:val="00CF1158"/>
    <w:rsid w:val="00CF1381"/>
    <w:rsid w:val="00CF13F5"/>
    <w:rsid w:val="00CF1676"/>
    <w:rsid w:val="00CF16FA"/>
    <w:rsid w:val="00CF175C"/>
    <w:rsid w:val="00CF1863"/>
    <w:rsid w:val="00CF18ED"/>
    <w:rsid w:val="00CF1958"/>
    <w:rsid w:val="00CF1983"/>
    <w:rsid w:val="00CF1987"/>
    <w:rsid w:val="00CF1A2D"/>
    <w:rsid w:val="00CF1BD1"/>
    <w:rsid w:val="00CF1D20"/>
    <w:rsid w:val="00CF1D41"/>
    <w:rsid w:val="00CF1DBE"/>
    <w:rsid w:val="00CF1E45"/>
    <w:rsid w:val="00CF1EBD"/>
    <w:rsid w:val="00CF1F85"/>
    <w:rsid w:val="00CF20D4"/>
    <w:rsid w:val="00CF2120"/>
    <w:rsid w:val="00CF22D8"/>
    <w:rsid w:val="00CF234C"/>
    <w:rsid w:val="00CF2633"/>
    <w:rsid w:val="00CF2913"/>
    <w:rsid w:val="00CF2ACA"/>
    <w:rsid w:val="00CF2B14"/>
    <w:rsid w:val="00CF2BC3"/>
    <w:rsid w:val="00CF2C66"/>
    <w:rsid w:val="00CF2C97"/>
    <w:rsid w:val="00CF2D3E"/>
    <w:rsid w:val="00CF2D7D"/>
    <w:rsid w:val="00CF2F85"/>
    <w:rsid w:val="00CF315F"/>
    <w:rsid w:val="00CF3498"/>
    <w:rsid w:val="00CF3636"/>
    <w:rsid w:val="00CF37F3"/>
    <w:rsid w:val="00CF3B40"/>
    <w:rsid w:val="00CF3B7A"/>
    <w:rsid w:val="00CF3BA0"/>
    <w:rsid w:val="00CF3BF8"/>
    <w:rsid w:val="00CF3CD3"/>
    <w:rsid w:val="00CF3E31"/>
    <w:rsid w:val="00CF3EE4"/>
    <w:rsid w:val="00CF3F3B"/>
    <w:rsid w:val="00CF3F51"/>
    <w:rsid w:val="00CF3FFE"/>
    <w:rsid w:val="00CF403C"/>
    <w:rsid w:val="00CF4092"/>
    <w:rsid w:val="00CF4123"/>
    <w:rsid w:val="00CF42BA"/>
    <w:rsid w:val="00CF4377"/>
    <w:rsid w:val="00CF438F"/>
    <w:rsid w:val="00CF439F"/>
    <w:rsid w:val="00CF43E1"/>
    <w:rsid w:val="00CF4509"/>
    <w:rsid w:val="00CF4658"/>
    <w:rsid w:val="00CF4811"/>
    <w:rsid w:val="00CF48BE"/>
    <w:rsid w:val="00CF490A"/>
    <w:rsid w:val="00CF4AA8"/>
    <w:rsid w:val="00CF4AB0"/>
    <w:rsid w:val="00CF4C79"/>
    <w:rsid w:val="00CF4CEB"/>
    <w:rsid w:val="00CF4D3D"/>
    <w:rsid w:val="00CF4D6F"/>
    <w:rsid w:val="00CF4E5C"/>
    <w:rsid w:val="00CF4EB4"/>
    <w:rsid w:val="00CF5341"/>
    <w:rsid w:val="00CF570A"/>
    <w:rsid w:val="00CF5B88"/>
    <w:rsid w:val="00CF5CDF"/>
    <w:rsid w:val="00CF5CEE"/>
    <w:rsid w:val="00CF5D2B"/>
    <w:rsid w:val="00CF5D3A"/>
    <w:rsid w:val="00CF5E2D"/>
    <w:rsid w:val="00CF5F92"/>
    <w:rsid w:val="00CF5FED"/>
    <w:rsid w:val="00CF6052"/>
    <w:rsid w:val="00CF61CE"/>
    <w:rsid w:val="00CF651D"/>
    <w:rsid w:val="00CF6672"/>
    <w:rsid w:val="00CF6823"/>
    <w:rsid w:val="00CF6EBD"/>
    <w:rsid w:val="00CF6EDA"/>
    <w:rsid w:val="00CF6EFB"/>
    <w:rsid w:val="00CF6FF2"/>
    <w:rsid w:val="00CF7120"/>
    <w:rsid w:val="00CF724C"/>
    <w:rsid w:val="00CF7270"/>
    <w:rsid w:val="00CF74CD"/>
    <w:rsid w:val="00CF75EA"/>
    <w:rsid w:val="00CF765E"/>
    <w:rsid w:val="00CF7764"/>
    <w:rsid w:val="00CF777E"/>
    <w:rsid w:val="00CF78C8"/>
    <w:rsid w:val="00CF7A4B"/>
    <w:rsid w:val="00CF7AAE"/>
    <w:rsid w:val="00CF7AFF"/>
    <w:rsid w:val="00CF7B08"/>
    <w:rsid w:val="00CF7C5F"/>
    <w:rsid w:val="00CF7C77"/>
    <w:rsid w:val="00CF7D86"/>
    <w:rsid w:val="00CF7EC3"/>
    <w:rsid w:val="00CF7F01"/>
    <w:rsid w:val="00CF7F0D"/>
    <w:rsid w:val="00D0003B"/>
    <w:rsid w:val="00D0007E"/>
    <w:rsid w:val="00D000D0"/>
    <w:rsid w:val="00D000EE"/>
    <w:rsid w:val="00D001B4"/>
    <w:rsid w:val="00D001DE"/>
    <w:rsid w:val="00D002AC"/>
    <w:rsid w:val="00D00374"/>
    <w:rsid w:val="00D003B7"/>
    <w:rsid w:val="00D006B8"/>
    <w:rsid w:val="00D0072A"/>
    <w:rsid w:val="00D007C0"/>
    <w:rsid w:val="00D007D3"/>
    <w:rsid w:val="00D0099D"/>
    <w:rsid w:val="00D00A19"/>
    <w:rsid w:val="00D00AB5"/>
    <w:rsid w:val="00D00C32"/>
    <w:rsid w:val="00D00E36"/>
    <w:rsid w:val="00D00E56"/>
    <w:rsid w:val="00D01026"/>
    <w:rsid w:val="00D01062"/>
    <w:rsid w:val="00D0109C"/>
    <w:rsid w:val="00D01116"/>
    <w:rsid w:val="00D0119E"/>
    <w:rsid w:val="00D011AA"/>
    <w:rsid w:val="00D011FB"/>
    <w:rsid w:val="00D012FC"/>
    <w:rsid w:val="00D0130F"/>
    <w:rsid w:val="00D0156D"/>
    <w:rsid w:val="00D015C4"/>
    <w:rsid w:val="00D01667"/>
    <w:rsid w:val="00D017DE"/>
    <w:rsid w:val="00D01A2F"/>
    <w:rsid w:val="00D01BA5"/>
    <w:rsid w:val="00D01C1D"/>
    <w:rsid w:val="00D01CAE"/>
    <w:rsid w:val="00D01D7D"/>
    <w:rsid w:val="00D02028"/>
    <w:rsid w:val="00D0213B"/>
    <w:rsid w:val="00D021B9"/>
    <w:rsid w:val="00D0233F"/>
    <w:rsid w:val="00D02511"/>
    <w:rsid w:val="00D02599"/>
    <w:rsid w:val="00D02865"/>
    <w:rsid w:val="00D028DF"/>
    <w:rsid w:val="00D02A52"/>
    <w:rsid w:val="00D02C89"/>
    <w:rsid w:val="00D02CD2"/>
    <w:rsid w:val="00D02DE2"/>
    <w:rsid w:val="00D02DED"/>
    <w:rsid w:val="00D02F4F"/>
    <w:rsid w:val="00D02FE6"/>
    <w:rsid w:val="00D03077"/>
    <w:rsid w:val="00D03116"/>
    <w:rsid w:val="00D034A6"/>
    <w:rsid w:val="00D03539"/>
    <w:rsid w:val="00D03584"/>
    <w:rsid w:val="00D035D0"/>
    <w:rsid w:val="00D038EF"/>
    <w:rsid w:val="00D03C65"/>
    <w:rsid w:val="00D03DE9"/>
    <w:rsid w:val="00D03E51"/>
    <w:rsid w:val="00D03EF2"/>
    <w:rsid w:val="00D03FE6"/>
    <w:rsid w:val="00D04433"/>
    <w:rsid w:val="00D044D7"/>
    <w:rsid w:val="00D04637"/>
    <w:rsid w:val="00D04646"/>
    <w:rsid w:val="00D0475F"/>
    <w:rsid w:val="00D048F2"/>
    <w:rsid w:val="00D04991"/>
    <w:rsid w:val="00D04BCB"/>
    <w:rsid w:val="00D04C4F"/>
    <w:rsid w:val="00D04CB3"/>
    <w:rsid w:val="00D04DE5"/>
    <w:rsid w:val="00D04EBA"/>
    <w:rsid w:val="00D05160"/>
    <w:rsid w:val="00D051B0"/>
    <w:rsid w:val="00D0527C"/>
    <w:rsid w:val="00D053A2"/>
    <w:rsid w:val="00D053FD"/>
    <w:rsid w:val="00D055B5"/>
    <w:rsid w:val="00D055B6"/>
    <w:rsid w:val="00D0585B"/>
    <w:rsid w:val="00D05B91"/>
    <w:rsid w:val="00D05C14"/>
    <w:rsid w:val="00D05DCF"/>
    <w:rsid w:val="00D05DE9"/>
    <w:rsid w:val="00D05F05"/>
    <w:rsid w:val="00D06129"/>
    <w:rsid w:val="00D062F5"/>
    <w:rsid w:val="00D0657C"/>
    <w:rsid w:val="00D06599"/>
    <w:rsid w:val="00D066CC"/>
    <w:rsid w:val="00D068A4"/>
    <w:rsid w:val="00D06A3D"/>
    <w:rsid w:val="00D06D3D"/>
    <w:rsid w:val="00D06E15"/>
    <w:rsid w:val="00D06FCA"/>
    <w:rsid w:val="00D07431"/>
    <w:rsid w:val="00D0752F"/>
    <w:rsid w:val="00D07990"/>
    <w:rsid w:val="00D07A8E"/>
    <w:rsid w:val="00D07B19"/>
    <w:rsid w:val="00D07B78"/>
    <w:rsid w:val="00D07CE6"/>
    <w:rsid w:val="00D07E96"/>
    <w:rsid w:val="00D07F55"/>
    <w:rsid w:val="00D100F6"/>
    <w:rsid w:val="00D101FB"/>
    <w:rsid w:val="00D10379"/>
    <w:rsid w:val="00D1041A"/>
    <w:rsid w:val="00D104DE"/>
    <w:rsid w:val="00D108D5"/>
    <w:rsid w:val="00D1093D"/>
    <w:rsid w:val="00D1098D"/>
    <w:rsid w:val="00D10B6A"/>
    <w:rsid w:val="00D10F1B"/>
    <w:rsid w:val="00D110E8"/>
    <w:rsid w:val="00D111DE"/>
    <w:rsid w:val="00D1134A"/>
    <w:rsid w:val="00D11485"/>
    <w:rsid w:val="00D1174B"/>
    <w:rsid w:val="00D1184D"/>
    <w:rsid w:val="00D119AA"/>
    <w:rsid w:val="00D11A88"/>
    <w:rsid w:val="00D11A8A"/>
    <w:rsid w:val="00D11ADA"/>
    <w:rsid w:val="00D11BCB"/>
    <w:rsid w:val="00D11DB7"/>
    <w:rsid w:val="00D11E02"/>
    <w:rsid w:val="00D11F40"/>
    <w:rsid w:val="00D11F78"/>
    <w:rsid w:val="00D11FBE"/>
    <w:rsid w:val="00D12305"/>
    <w:rsid w:val="00D1274E"/>
    <w:rsid w:val="00D12758"/>
    <w:rsid w:val="00D127DC"/>
    <w:rsid w:val="00D128A9"/>
    <w:rsid w:val="00D12A77"/>
    <w:rsid w:val="00D12D65"/>
    <w:rsid w:val="00D12DA9"/>
    <w:rsid w:val="00D12E1D"/>
    <w:rsid w:val="00D13281"/>
    <w:rsid w:val="00D13402"/>
    <w:rsid w:val="00D1348A"/>
    <w:rsid w:val="00D134FA"/>
    <w:rsid w:val="00D1359E"/>
    <w:rsid w:val="00D13842"/>
    <w:rsid w:val="00D13865"/>
    <w:rsid w:val="00D138CC"/>
    <w:rsid w:val="00D13BE7"/>
    <w:rsid w:val="00D13BE8"/>
    <w:rsid w:val="00D13CB0"/>
    <w:rsid w:val="00D13E1B"/>
    <w:rsid w:val="00D13F73"/>
    <w:rsid w:val="00D13FB7"/>
    <w:rsid w:val="00D13FDD"/>
    <w:rsid w:val="00D14058"/>
    <w:rsid w:val="00D140F2"/>
    <w:rsid w:val="00D141D7"/>
    <w:rsid w:val="00D14300"/>
    <w:rsid w:val="00D1448D"/>
    <w:rsid w:val="00D14787"/>
    <w:rsid w:val="00D147AB"/>
    <w:rsid w:val="00D14865"/>
    <w:rsid w:val="00D14908"/>
    <w:rsid w:val="00D1491A"/>
    <w:rsid w:val="00D14A3B"/>
    <w:rsid w:val="00D14A8D"/>
    <w:rsid w:val="00D14B96"/>
    <w:rsid w:val="00D14CC0"/>
    <w:rsid w:val="00D14DF9"/>
    <w:rsid w:val="00D14E59"/>
    <w:rsid w:val="00D150C2"/>
    <w:rsid w:val="00D15101"/>
    <w:rsid w:val="00D15128"/>
    <w:rsid w:val="00D15186"/>
    <w:rsid w:val="00D15206"/>
    <w:rsid w:val="00D1525B"/>
    <w:rsid w:val="00D15377"/>
    <w:rsid w:val="00D155F3"/>
    <w:rsid w:val="00D15698"/>
    <w:rsid w:val="00D15716"/>
    <w:rsid w:val="00D15972"/>
    <w:rsid w:val="00D159FD"/>
    <w:rsid w:val="00D1600E"/>
    <w:rsid w:val="00D160CA"/>
    <w:rsid w:val="00D1625F"/>
    <w:rsid w:val="00D1628C"/>
    <w:rsid w:val="00D163FB"/>
    <w:rsid w:val="00D167A0"/>
    <w:rsid w:val="00D168FC"/>
    <w:rsid w:val="00D16964"/>
    <w:rsid w:val="00D16A20"/>
    <w:rsid w:val="00D16A61"/>
    <w:rsid w:val="00D16B68"/>
    <w:rsid w:val="00D16BDA"/>
    <w:rsid w:val="00D16D7B"/>
    <w:rsid w:val="00D16F64"/>
    <w:rsid w:val="00D16FAF"/>
    <w:rsid w:val="00D170E6"/>
    <w:rsid w:val="00D1710D"/>
    <w:rsid w:val="00D171B2"/>
    <w:rsid w:val="00D17209"/>
    <w:rsid w:val="00D17355"/>
    <w:rsid w:val="00D1738D"/>
    <w:rsid w:val="00D174D8"/>
    <w:rsid w:val="00D174DD"/>
    <w:rsid w:val="00D174F9"/>
    <w:rsid w:val="00D17506"/>
    <w:rsid w:val="00D17617"/>
    <w:rsid w:val="00D1791F"/>
    <w:rsid w:val="00D17B7A"/>
    <w:rsid w:val="00D17DCD"/>
    <w:rsid w:val="00D17E7D"/>
    <w:rsid w:val="00D20031"/>
    <w:rsid w:val="00D20051"/>
    <w:rsid w:val="00D2011B"/>
    <w:rsid w:val="00D20195"/>
    <w:rsid w:val="00D2029B"/>
    <w:rsid w:val="00D202CC"/>
    <w:rsid w:val="00D203C8"/>
    <w:rsid w:val="00D20485"/>
    <w:rsid w:val="00D20512"/>
    <w:rsid w:val="00D205EC"/>
    <w:rsid w:val="00D206D9"/>
    <w:rsid w:val="00D20807"/>
    <w:rsid w:val="00D20995"/>
    <w:rsid w:val="00D20A29"/>
    <w:rsid w:val="00D20A61"/>
    <w:rsid w:val="00D20AC6"/>
    <w:rsid w:val="00D20B54"/>
    <w:rsid w:val="00D20DBA"/>
    <w:rsid w:val="00D20EA9"/>
    <w:rsid w:val="00D20ECC"/>
    <w:rsid w:val="00D21094"/>
    <w:rsid w:val="00D2146F"/>
    <w:rsid w:val="00D214A8"/>
    <w:rsid w:val="00D214EF"/>
    <w:rsid w:val="00D2154E"/>
    <w:rsid w:val="00D21552"/>
    <w:rsid w:val="00D2167A"/>
    <w:rsid w:val="00D2184C"/>
    <w:rsid w:val="00D21928"/>
    <w:rsid w:val="00D21BB5"/>
    <w:rsid w:val="00D21C0A"/>
    <w:rsid w:val="00D21CD2"/>
    <w:rsid w:val="00D21CD6"/>
    <w:rsid w:val="00D21E5D"/>
    <w:rsid w:val="00D21F9B"/>
    <w:rsid w:val="00D21FD0"/>
    <w:rsid w:val="00D22247"/>
    <w:rsid w:val="00D22306"/>
    <w:rsid w:val="00D22496"/>
    <w:rsid w:val="00D2254B"/>
    <w:rsid w:val="00D226CE"/>
    <w:rsid w:val="00D22C19"/>
    <w:rsid w:val="00D22E7E"/>
    <w:rsid w:val="00D22F9A"/>
    <w:rsid w:val="00D22FA0"/>
    <w:rsid w:val="00D230A8"/>
    <w:rsid w:val="00D2318F"/>
    <w:rsid w:val="00D232E3"/>
    <w:rsid w:val="00D2334C"/>
    <w:rsid w:val="00D23372"/>
    <w:rsid w:val="00D235AD"/>
    <w:rsid w:val="00D23617"/>
    <w:rsid w:val="00D2364B"/>
    <w:rsid w:val="00D23674"/>
    <w:rsid w:val="00D236ED"/>
    <w:rsid w:val="00D23737"/>
    <w:rsid w:val="00D23DBE"/>
    <w:rsid w:val="00D23E1F"/>
    <w:rsid w:val="00D23E2C"/>
    <w:rsid w:val="00D23E32"/>
    <w:rsid w:val="00D23E89"/>
    <w:rsid w:val="00D2413D"/>
    <w:rsid w:val="00D241D3"/>
    <w:rsid w:val="00D2444B"/>
    <w:rsid w:val="00D24471"/>
    <w:rsid w:val="00D245E9"/>
    <w:rsid w:val="00D24788"/>
    <w:rsid w:val="00D2480F"/>
    <w:rsid w:val="00D2487B"/>
    <w:rsid w:val="00D24984"/>
    <w:rsid w:val="00D24AB1"/>
    <w:rsid w:val="00D24DAE"/>
    <w:rsid w:val="00D24E8E"/>
    <w:rsid w:val="00D24F95"/>
    <w:rsid w:val="00D251E2"/>
    <w:rsid w:val="00D25247"/>
    <w:rsid w:val="00D254B8"/>
    <w:rsid w:val="00D25536"/>
    <w:rsid w:val="00D2557D"/>
    <w:rsid w:val="00D2569D"/>
    <w:rsid w:val="00D256BC"/>
    <w:rsid w:val="00D25725"/>
    <w:rsid w:val="00D2589F"/>
    <w:rsid w:val="00D258D1"/>
    <w:rsid w:val="00D25ABD"/>
    <w:rsid w:val="00D25B02"/>
    <w:rsid w:val="00D25B8B"/>
    <w:rsid w:val="00D25E7C"/>
    <w:rsid w:val="00D26109"/>
    <w:rsid w:val="00D2614D"/>
    <w:rsid w:val="00D261C6"/>
    <w:rsid w:val="00D26225"/>
    <w:rsid w:val="00D2623F"/>
    <w:rsid w:val="00D262E7"/>
    <w:rsid w:val="00D262F7"/>
    <w:rsid w:val="00D263A8"/>
    <w:rsid w:val="00D263D1"/>
    <w:rsid w:val="00D265C6"/>
    <w:rsid w:val="00D26610"/>
    <w:rsid w:val="00D2675A"/>
    <w:rsid w:val="00D267FE"/>
    <w:rsid w:val="00D2682A"/>
    <w:rsid w:val="00D26A3C"/>
    <w:rsid w:val="00D26E08"/>
    <w:rsid w:val="00D26E30"/>
    <w:rsid w:val="00D26E92"/>
    <w:rsid w:val="00D26EE2"/>
    <w:rsid w:val="00D26F53"/>
    <w:rsid w:val="00D2717A"/>
    <w:rsid w:val="00D272F7"/>
    <w:rsid w:val="00D27351"/>
    <w:rsid w:val="00D27462"/>
    <w:rsid w:val="00D2750E"/>
    <w:rsid w:val="00D275A9"/>
    <w:rsid w:val="00D276F4"/>
    <w:rsid w:val="00D27799"/>
    <w:rsid w:val="00D277BF"/>
    <w:rsid w:val="00D27895"/>
    <w:rsid w:val="00D27AB9"/>
    <w:rsid w:val="00D27B5D"/>
    <w:rsid w:val="00D305AA"/>
    <w:rsid w:val="00D305FD"/>
    <w:rsid w:val="00D3098D"/>
    <w:rsid w:val="00D30B68"/>
    <w:rsid w:val="00D30BAA"/>
    <w:rsid w:val="00D30D0E"/>
    <w:rsid w:val="00D30E8F"/>
    <w:rsid w:val="00D30FFE"/>
    <w:rsid w:val="00D3116C"/>
    <w:rsid w:val="00D311A5"/>
    <w:rsid w:val="00D31372"/>
    <w:rsid w:val="00D313B3"/>
    <w:rsid w:val="00D3159F"/>
    <w:rsid w:val="00D317CA"/>
    <w:rsid w:val="00D31853"/>
    <w:rsid w:val="00D31986"/>
    <w:rsid w:val="00D31B06"/>
    <w:rsid w:val="00D31C5D"/>
    <w:rsid w:val="00D31E34"/>
    <w:rsid w:val="00D31F86"/>
    <w:rsid w:val="00D32520"/>
    <w:rsid w:val="00D325FB"/>
    <w:rsid w:val="00D32644"/>
    <w:rsid w:val="00D328AB"/>
    <w:rsid w:val="00D3292B"/>
    <w:rsid w:val="00D329F2"/>
    <w:rsid w:val="00D32B67"/>
    <w:rsid w:val="00D32DEE"/>
    <w:rsid w:val="00D32E71"/>
    <w:rsid w:val="00D32ED6"/>
    <w:rsid w:val="00D32FDB"/>
    <w:rsid w:val="00D33196"/>
    <w:rsid w:val="00D33207"/>
    <w:rsid w:val="00D3340B"/>
    <w:rsid w:val="00D3358E"/>
    <w:rsid w:val="00D3362D"/>
    <w:rsid w:val="00D336B6"/>
    <w:rsid w:val="00D336F0"/>
    <w:rsid w:val="00D3380E"/>
    <w:rsid w:val="00D339CA"/>
    <w:rsid w:val="00D339F2"/>
    <w:rsid w:val="00D33A56"/>
    <w:rsid w:val="00D33AEC"/>
    <w:rsid w:val="00D33AFC"/>
    <w:rsid w:val="00D33DAF"/>
    <w:rsid w:val="00D33DFA"/>
    <w:rsid w:val="00D33F02"/>
    <w:rsid w:val="00D3409B"/>
    <w:rsid w:val="00D34212"/>
    <w:rsid w:val="00D34282"/>
    <w:rsid w:val="00D343D1"/>
    <w:rsid w:val="00D34521"/>
    <w:rsid w:val="00D34808"/>
    <w:rsid w:val="00D34BA4"/>
    <w:rsid w:val="00D34CA0"/>
    <w:rsid w:val="00D34DA3"/>
    <w:rsid w:val="00D34E49"/>
    <w:rsid w:val="00D352DF"/>
    <w:rsid w:val="00D3535D"/>
    <w:rsid w:val="00D35599"/>
    <w:rsid w:val="00D3572E"/>
    <w:rsid w:val="00D35828"/>
    <w:rsid w:val="00D358F7"/>
    <w:rsid w:val="00D3599C"/>
    <w:rsid w:val="00D35B40"/>
    <w:rsid w:val="00D36376"/>
    <w:rsid w:val="00D3639E"/>
    <w:rsid w:val="00D363B6"/>
    <w:rsid w:val="00D3656E"/>
    <w:rsid w:val="00D365E2"/>
    <w:rsid w:val="00D36689"/>
    <w:rsid w:val="00D36998"/>
    <w:rsid w:val="00D36A63"/>
    <w:rsid w:val="00D36C19"/>
    <w:rsid w:val="00D36C43"/>
    <w:rsid w:val="00D36CE6"/>
    <w:rsid w:val="00D36D06"/>
    <w:rsid w:val="00D36D53"/>
    <w:rsid w:val="00D36DB2"/>
    <w:rsid w:val="00D36E67"/>
    <w:rsid w:val="00D36FB1"/>
    <w:rsid w:val="00D36FE1"/>
    <w:rsid w:val="00D370A7"/>
    <w:rsid w:val="00D37177"/>
    <w:rsid w:val="00D371AB"/>
    <w:rsid w:val="00D372B4"/>
    <w:rsid w:val="00D37345"/>
    <w:rsid w:val="00D37397"/>
    <w:rsid w:val="00D373C4"/>
    <w:rsid w:val="00D37463"/>
    <w:rsid w:val="00D374CF"/>
    <w:rsid w:val="00D374E4"/>
    <w:rsid w:val="00D37563"/>
    <w:rsid w:val="00D37594"/>
    <w:rsid w:val="00D37605"/>
    <w:rsid w:val="00D376A0"/>
    <w:rsid w:val="00D376E8"/>
    <w:rsid w:val="00D3775D"/>
    <w:rsid w:val="00D37850"/>
    <w:rsid w:val="00D37920"/>
    <w:rsid w:val="00D3792B"/>
    <w:rsid w:val="00D37A68"/>
    <w:rsid w:val="00D37B5B"/>
    <w:rsid w:val="00D37B6C"/>
    <w:rsid w:val="00D37B8A"/>
    <w:rsid w:val="00D37BE1"/>
    <w:rsid w:val="00D37EF5"/>
    <w:rsid w:val="00D400D1"/>
    <w:rsid w:val="00D402CA"/>
    <w:rsid w:val="00D40354"/>
    <w:rsid w:val="00D40515"/>
    <w:rsid w:val="00D4063F"/>
    <w:rsid w:val="00D40696"/>
    <w:rsid w:val="00D406C3"/>
    <w:rsid w:val="00D40999"/>
    <w:rsid w:val="00D40A06"/>
    <w:rsid w:val="00D40AE2"/>
    <w:rsid w:val="00D40C75"/>
    <w:rsid w:val="00D40CB2"/>
    <w:rsid w:val="00D40E70"/>
    <w:rsid w:val="00D40EDA"/>
    <w:rsid w:val="00D41023"/>
    <w:rsid w:val="00D41281"/>
    <w:rsid w:val="00D412C0"/>
    <w:rsid w:val="00D41693"/>
    <w:rsid w:val="00D418AB"/>
    <w:rsid w:val="00D4195B"/>
    <w:rsid w:val="00D419C9"/>
    <w:rsid w:val="00D41BA6"/>
    <w:rsid w:val="00D41CEB"/>
    <w:rsid w:val="00D41F13"/>
    <w:rsid w:val="00D41FC3"/>
    <w:rsid w:val="00D41FEA"/>
    <w:rsid w:val="00D42163"/>
    <w:rsid w:val="00D421BC"/>
    <w:rsid w:val="00D42226"/>
    <w:rsid w:val="00D42312"/>
    <w:rsid w:val="00D4231F"/>
    <w:rsid w:val="00D42359"/>
    <w:rsid w:val="00D42404"/>
    <w:rsid w:val="00D4247C"/>
    <w:rsid w:val="00D424D2"/>
    <w:rsid w:val="00D424E3"/>
    <w:rsid w:val="00D42610"/>
    <w:rsid w:val="00D4261B"/>
    <w:rsid w:val="00D4261D"/>
    <w:rsid w:val="00D42857"/>
    <w:rsid w:val="00D4288F"/>
    <w:rsid w:val="00D428B9"/>
    <w:rsid w:val="00D428E8"/>
    <w:rsid w:val="00D42911"/>
    <w:rsid w:val="00D42976"/>
    <w:rsid w:val="00D42A80"/>
    <w:rsid w:val="00D42C9D"/>
    <w:rsid w:val="00D42CC5"/>
    <w:rsid w:val="00D42E50"/>
    <w:rsid w:val="00D42F27"/>
    <w:rsid w:val="00D42F8D"/>
    <w:rsid w:val="00D42FEF"/>
    <w:rsid w:val="00D430DE"/>
    <w:rsid w:val="00D43246"/>
    <w:rsid w:val="00D4331B"/>
    <w:rsid w:val="00D43352"/>
    <w:rsid w:val="00D4339A"/>
    <w:rsid w:val="00D4350C"/>
    <w:rsid w:val="00D4354A"/>
    <w:rsid w:val="00D435D7"/>
    <w:rsid w:val="00D43711"/>
    <w:rsid w:val="00D43792"/>
    <w:rsid w:val="00D437D3"/>
    <w:rsid w:val="00D43979"/>
    <w:rsid w:val="00D43C85"/>
    <w:rsid w:val="00D43E3F"/>
    <w:rsid w:val="00D43E4E"/>
    <w:rsid w:val="00D43F01"/>
    <w:rsid w:val="00D4401B"/>
    <w:rsid w:val="00D44162"/>
    <w:rsid w:val="00D4416D"/>
    <w:rsid w:val="00D442FD"/>
    <w:rsid w:val="00D444C9"/>
    <w:rsid w:val="00D4450F"/>
    <w:rsid w:val="00D4460E"/>
    <w:rsid w:val="00D44747"/>
    <w:rsid w:val="00D44851"/>
    <w:rsid w:val="00D44AC8"/>
    <w:rsid w:val="00D44C1E"/>
    <w:rsid w:val="00D44EC8"/>
    <w:rsid w:val="00D44F9B"/>
    <w:rsid w:val="00D4506E"/>
    <w:rsid w:val="00D451DB"/>
    <w:rsid w:val="00D45262"/>
    <w:rsid w:val="00D453AB"/>
    <w:rsid w:val="00D45419"/>
    <w:rsid w:val="00D45562"/>
    <w:rsid w:val="00D45612"/>
    <w:rsid w:val="00D456C1"/>
    <w:rsid w:val="00D456D9"/>
    <w:rsid w:val="00D45750"/>
    <w:rsid w:val="00D457EA"/>
    <w:rsid w:val="00D45A31"/>
    <w:rsid w:val="00D45C40"/>
    <w:rsid w:val="00D45C42"/>
    <w:rsid w:val="00D45D7F"/>
    <w:rsid w:val="00D45DDC"/>
    <w:rsid w:val="00D45F98"/>
    <w:rsid w:val="00D460F5"/>
    <w:rsid w:val="00D46244"/>
    <w:rsid w:val="00D462C0"/>
    <w:rsid w:val="00D465FC"/>
    <w:rsid w:val="00D46611"/>
    <w:rsid w:val="00D46AA6"/>
    <w:rsid w:val="00D46AF7"/>
    <w:rsid w:val="00D46B15"/>
    <w:rsid w:val="00D46BCB"/>
    <w:rsid w:val="00D46F80"/>
    <w:rsid w:val="00D472AC"/>
    <w:rsid w:val="00D4735E"/>
    <w:rsid w:val="00D4742E"/>
    <w:rsid w:val="00D4770C"/>
    <w:rsid w:val="00D47785"/>
    <w:rsid w:val="00D477FA"/>
    <w:rsid w:val="00D47A93"/>
    <w:rsid w:val="00D47ABA"/>
    <w:rsid w:val="00D47D59"/>
    <w:rsid w:val="00D47DA8"/>
    <w:rsid w:val="00D47E1E"/>
    <w:rsid w:val="00D47EE5"/>
    <w:rsid w:val="00D47F8C"/>
    <w:rsid w:val="00D5001A"/>
    <w:rsid w:val="00D50059"/>
    <w:rsid w:val="00D5005A"/>
    <w:rsid w:val="00D500F2"/>
    <w:rsid w:val="00D50411"/>
    <w:rsid w:val="00D508F3"/>
    <w:rsid w:val="00D50977"/>
    <w:rsid w:val="00D50B6E"/>
    <w:rsid w:val="00D50D24"/>
    <w:rsid w:val="00D50D37"/>
    <w:rsid w:val="00D50D79"/>
    <w:rsid w:val="00D50EF7"/>
    <w:rsid w:val="00D512D2"/>
    <w:rsid w:val="00D5141D"/>
    <w:rsid w:val="00D51436"/>
    <w:rsid w:val="00D51439"/>
    <w:rsid w:val="00D514FC"/>
    <w:rsid w:val="00D517D4"/>
    <w:rsid w:val="00D5190B"/>
    <w:rsid w:val="00D519F2"/>
    <w:rsid w:val="00D519F4"/>
    <w:rsid w:val="00D51B04"/>
    <w:rsid w:val="00D51C77"/>
    <w:rsid w:val="00D51C83"/>
    <w:rsid w:val="00D51C94"/>
    <w:rsid w:val="00D51E0B"/>
    <w:rsid w:val="00D51F1F"/>
    <w:rsid w:val="00D52202"/>
    <w:rsid w:val="00D52205"/>
    <w:rsid w:val="00D522FA"/>
    <w:rsid w:val="00D5242B"/>
    <w:rsid w:val="00D5251C"/>
    <w:rsid w:val="00D52558"/>
    <w:rsid w:val="00D5293A"/>
    <w:rsid w:val="00D52A28"/>
    <w:rsid w:val="00D52A3C"/>
    <w:rsid w:val="00D52A5E"/>
    <w:rsid w:val="00D52CE8"/>
    <w:rsid w:val="00D52DD2"/>
    <w:rsid w:val="00D52DF2"/>
    <w:rsid w:val="00D52E39"/>
    <w:rsid w:val="00D52E54"/>
    <w:rsid w:val="00D52FF5"/>
    <w:rsid w:val="00D5311C"/>
    <w:rsid w:val="00D531FB"/>
    <w:rsid w:val="00D53355"/>
    <w:rsid w:val="00D5338A"/>
    <w:rsid w:val="00D53492"/>
    <w:rsid w:val="00D53639"/>
    <w:rsid w:val="00D536A7"/>
    <w:rsid w:val="00D53732"/>
    <w:rsid w:val="00D537FC"/>
    <w:rsid w:val="00D5380D"/>
    <w:rsid w:val="00D5389A"/>
    <w:rsid w:val="00D538C9"/>
    <w:rsid w:val="00D539E7"/>
    <w:rsid w:val="00D53A21"/>
    <w:rsid w:val="00D53AFD"/>
    <w:rsid w:val="00D53B69"/>
    <w:rsid w:val="00D53D6B"/>
    <w:rsid w:val="00D53F16"/>
    <w:rsid w:val="00D54064"/>
    <w:rsid w:val="00D541A5"/>
    <w:rsid w:val="00D542FE"/>
    <w:rsid w:val="00D54529"/>
    <w:rsid w:val="00D5464F"/>
    <w:rsid w:val="00D54745"/>
    <w:rsid w:val="00D548F8"/>
    <w:rsid w:val="00D54C64"/>
    <w:rsid w:val="00D54EAA"/>
    <w:rsid w:val="00D5508A"/>
    <w:rsid w:val="00D552B7"/>
    <w:rsid w:val="00D552F7"/>
    <w:rsid w:val="00D5562E"/>
    <w:rsid w:val="00D5570F"/>
    <w:rsid w:val="00D5573A"/>
    <w:rsid w:val="00D5578B"/>
    <w:rsid w:val="00D557B3"/>
    <w:rsid w:val="00D55B5B"/>
    <w:rsid w:val="00D55BAF"/>
    <w:rsid w:val="00D55D5F"/>
    <w:rsid w:val="00D55D70"/>
    <w:rsid w:val="00D55DEF"/>
    <w:rsid w:val="00D55E8F"/>
    <w:rsid w:val="00D55F17"/>
    <w:rsid w:val="00D561C9"/>
    <w:rsid w:val="00D56220"/>
    <w:rsid w:val="00D5625B"/>
    <w:rsid w:val="00D562A9"/>
    <w:rsid w:val="00D563A4"/>
    <w:rsid w:val="00D56491"/>
    <w:rsid w:val="00D56803"/>
    <w:rsid w:val="00D56DFA"/>
    <w:rsid w:val="00D56EDF"/>
    <w:rsid w:val="00D56FD8"/>
    <w:rsid w:val="00D571F7"/>
    <w:rsid w:val="00D57377"/>
    <w:rsid w:val="00D5745D"/>
    <w:rsid w:val="00D57507"/>
    <w:rsid w:val="00D57510"/>
    <w:rsid w:val="00D575E0"/>
    <w:rsid w:val="00D5774E"/>
    <w:rsid w:val="00D57767"/>
    <w:rsid w:val="00D57B3B"/>
    <w:rsid w:val="00D57C44"/>
    <w:rsid w:val="00D57C8E"/>
    <w:rsid w:val="00D57CC4"/>
    <w:rsid w:val="00D57D8D"/>
    <w:rsid w:val="00D57E32"/>
    <w:rsid w:val="00D57E5F"/>
    <w:rsid w:val="00D57FB8"/>
    <w:rsid w:val="00D601AD"/>
    <w:rsid w:val="00D60253"/>
    <w:rsid w:val="00D602F1"/>
    <w:rsid w:val="00D604C9"/>
    <w:rsid w:val="00D604E3"/>
    <w:rsid w:val="00D60583"/>
    <w:rsid w:val="00D6058F"/>
    <w:rsid w:val="00D605C3"/>
    <w:rsid w:val="00D60740"/>
    <w:rsid w:val="00D60774"/>
    <w:rsid w:val="00D60912"/>
    <w:rsid w:val="00D60A1C"/>
    <w:rsid w:val="00D60A8D"/>
    <w:rsid w:val="00D60A9D"/>
    <w:rsid w:val="00D60C19"/>
    <w:rsid w:val="00D60C1E"/>
    <w:rsid w:val="00D60D20"/>
    <w:rsid w:val="00D60E22"/>
    <w:rsid w:val="00D60EFB"/>
    <w:rsid w:val="00D61029"/>
    <w:rsid w:val="00D61050"/>
    <w:rsid w:val="00D610F7"/>
    <w:rsid w:val="00D61302"/>
    <w:rsid w:val="00D61323"/>
    <w:rsid w:val="00D6144E"/>
    <w:rsid w:val="00D615DE"/>
    <w:rsid w:val="00D61830"/>
    <w:rsid w:val="00D618FA"/>
    <w:rsid w:val="00D61A67"/>
    <w:rsid w:val="00D61B90"/>
    <w:rsid w:val="00D61BAE"/>
    <w:rsid w:val="00D61DA9"/>
    <w:rsid w:val="00D61DF0"/>
    <w:rsid w:val="00D61EF6"/>
    <w:rsid w:val="00D61F1E"/>
    <w:rsid w:val="00D61FBF"/>
    <w:rsid w:val="00D62092"/>
    <w:rsid w:val="00D62128"/>
    <w:rsid w:val="00D6214B"/>
    <w:rsid w:val="00D62428"/>
    <w:rsid w:val="00D624B0"/>
    <w:rsid w:val="00D6271B"/>
    <w:rsid w:val="00D627FB"/>
    <w:rsid w:val="00D62923"/>
    <w:rsid w:val="00D629B9"/>
    <w:rsid w:val="00D62A13"/>
    <w:rsid w:val="00D62A62"/>
    <w:rsid w:val="00D62DA4"/>
    <w:rsid w:val="00D62F4D"/>
    <w:rsid w:val="00D62FAB"/>
    <w:rsid w:val="00D6303F"/>
    <w:rsid w:val="00D6306B"/>
    <w:rsid w:val="00D6317E"/>
    <w:rsid w:val="00D632FA"/>
    <w:rsid w:val="00D6330F"/>
    <w:rsid w:val="00D6332B"/>
    <w:rsid w:val="00D637B8"/>
    <w:rsid w:val="00D637F8"/>
    <w:rsid w:val="00D6392E"/>
    <w:rsid w:val="00D63B46"/>
    <w:rsid w:val="00D63B5A"/>
    <w:rsid w:val="00D63B78"/>
    <w:rsid w:val="00D63BCC"/>
    <w:rsid w:val="00D63D36"/>
    <w:rsid w:val="00D63D3B"/>
    <w:rsid w:val="00D63D71"/>
    <w:rsid w:val="00D63E01"/>
    <w:rsid w:val="00D63E86"/>
    <w:rsid w:val="00D63EC3"/>
    <w:rsid w:val="00D6407D"/>
    <w:rsid w:val="00D6416B"/>
    <w:rsid w:val="00D646C5"/>
    <w:rsid w:val="00D64730"/>
    <w:rsid w:val="00D6495E"/>
    <w:rsid w:val="00D64B70"/>
    <w:rsid w:val="00D64F99"/>
    <w:rsid w:val="00D65099"/>
    <w:rsid w:val="00D652D9"/>
    <w:rsid w:val="00D65313"/>
    <w:rsid w:val="00D654A1"/>
    <w:rsid w:val="00D6556B"/>
    <w:rsid w:val="00D656B8"/>
    <w:rsid w:val="00D656CB"/>
    <w:rsid w:val="00D65842"/>
    <w:rsid w:val="00D6587F"/>
    <w:rsid w:val="00D65981"/>
    <w:rsid w:val="00D65A01"/>
    <w:rsid w:val="00D65C15"/>
    <w:rsid w:val="00D65CB4"/>
    <w:rsid w:val="00D65EA1"/>
    <w:rsid w:val="00D65F51"/>
    <w:rsid w:val="00D66375"/>
    <w:rsid w:val="00D663D0"/>
    <w:rsid w:val="00D665DD"/>
    <w:rsid w:val="00D66895"/>
    <w:rsid w:val="00D668AF"/>
    <w:rsid w:val="00D668F3"/>
    <w:rsid w:val="00D6692C"/>
    <w:rsid w:val="00D66980"/>
    <w:rsid w:val="00D66C91"/>
    <w:rsid w:val="00D66E13"/>
    <w:rsid w:val="00D66E45"/>
    <w:rsid w:val="00D66E4C"/>
    <w:rsid w:val="00D66E4F"/>
    <w:rsid w:val="00D67054"/>
    <w:rsid w:val="00D670C6"/>
    <w:rsid w:val="00D672BE"/>
    <w:rsid w:val="00D672FD"/>
    <w:rsid w:val="00D67385"/>
    <w:rsid w:val="00D6759C"/>
    <w:rsid w:val="00D6778D"/>
    <w:rsid w:val="00D6784C"/>
    <w:rsid w:val="00D67982"/>
    <w:rsid w:val="00D67B27"/>
    <w:rsid w:val="00D67B61"/>
    <w:rsid w:val="00D67C38"/>
    <w:rsid w:val="00D67C69"/>
    <w:rsid w:val="00D67C95"/>
    <w:rsid w:val="00D67EFC"/>
    <w:rsid w:val="00D67F29"/>
    <w:rsid w:val="00D70167"/>
    <w:rsid w:val="00D70261"/>
    <w:rsid w:val="00D702AB"/>
    <w:rsid w:val="00D70385"/>
    <w:rsid w:val="00D70387"/>
    <w:rsid w:val="00D703F0"/>
    <w:rsid w:val="00D70409"/>
    <w:rsid w:val="00D705AA"/>
    <w:rsid w:val="00D70786"/>
    <w:rsid w:val="00D70971"/>
    <w:rsid w:val="00D70983"/>
    <w:rsid w:val="00D70B5D"/>
    <w:rsid w:val="00D70DDA"/>
    <w:rsid w:val="00D70E24"/>
    <w:rsid w:val="00D70E70"/>
    <w:rsid w:val="00D71068"/>
    <w:rsid w:val="00D7116A"/>
    <w:rsid w:val="00D713BA"/>
    <w:rsid w:val="00D714D2"/>
    <w:rsid w:val="00D71632"/>
    <w:rsid w:val="00D7166E"/>
    <w:rsid w:val="00D716AD"/>
    <w:rsid w:val="00D717F8"/>
    <w:rsid w:val="00D71A87"/>
    <w:rsid w:val="00D71F17"/>
    <w:rsid w:val="00D720A4"/>
    <w:rsid w:val="00D7214D"/>
    <w:rsid w:val="00D72192"/>
    <w:rsid w:val="00D7232A"/>
    <w:rsid w:val="00D724E3"/>
    <w:rsid w:val="00D726DF"/>
    <w:rsid w:val="00D72826"/>
    <w:rsid w:val="00D72951"/>
    <w:rsid w:val="00D72AD0"/>
    <w:rsid w:val="00D72B9C"/>
    <w:rsid w:val="00D72CC5"/>
    <w:rsid w:val="00D72CE6"/>
    <w:rsid w:val="00D72DF7"/>
    <w:rsid w:val="00D72E17"/>
    <w:rsid w:val="00D72E9A"/>
    <w:rsid w:val="00D73148"/>
    <w:rsid w:val="00D731E6"/>
    <w:rsid w:val="00D734D9"/>
    <w:rsid w:val="00D73589"/>
    <w:rsid w:val="00D73737"/>
    <w:rsid w:val="00D737ED"/>
    <w:rsid w:val="00D7382F"/>
    <w:rsid w:val="00D73A62"/>
    <w:rsid w:val="00D73AD9"/>
    <w:rsid w:val="00D73B9A"/>
    <w:rsid w:val="00D73BD5"/>
    <w:rsid w:val="00D73BDF"/>
    <w:rsid w:val="00D73CCA"/>
    <w:rsid w:val="00D73D84"/>
    <w:rsid w:val="00D73D88"/>
    <w:rsid w:val="00D73E54"/>
    <w:rsid w:val="00D73F9B"/>
    <w:rsid w:val="00D73FD8"/>
    <w:rsid w:val="00D7400D"/>
    <w:rsid w:val="00D742A7"/>
    <w:rsid w:val="00D74450"/>
    <w:rsid w:val="00D74652"/>
    <w:rsid w:val="00D746AC"/>
    <w:rsid w:val="00D7483F"/>
    <w:rsid w:val="00D748A1"/>
    <w:rsid w:val="00D74972"/>
    <w:rsid w:val="00D74BF9"/>
    <w:rsid w:val="00D74C37"/>
    <w:rsid w:val="00D74EEE"/>
    <w:rsid w:val="00D7515C"/>
    <w:rsid w:val="00D752B0"/>
    <w:rsid w:val="00D75387"/>
    <w:rsid w:val="00D753FA"/>
    <w:rsid w:val="00D7543E"/>
    <w:rsid w:val="00D75693"/>
    <w:rsid w:val="00D7573E"/>
    <w:rsid w:val="00D75753"/>
    <w:rsid w:val="00D7585C"/>
    <w:rsid w:val="00D758A3"/>
    <w:rsid w:val="00D758E6"/>
    <w:rsid w:val="00D7596E"/>
    <w:rsid w:val="00D75B55"/>
    <w:rsid w:val="00D75B7C"/>
    <w:rsid w:val="00D75DC7"/>
    <w:rsid w:val="00D75F04"/>
    <w:rsid w:val="00D7609A"/>
    <w:rsid w:val="00D76295"/>
    <w:rsid w:val="00D76482"/>
    <w:rsid w:val="00D764AA"/>
    <w:rsid w:val="00D765A3"/>
    <w:rsid w:val="00D765DC"/>
    <w:rsid w:val="00D76625"/>
    <w:rsid w:val="00D7666E"/>
    <w:rsid w:val="00D767BA"/>
    <w:rsid w:val="00D76A20"/>
    <w:rsid w:val="00D76B45"/>
    <w:rsid w:val="00D76B6C"/>
    <w:rsid w:val="00D76D7B"/>
    <w:rsid w:val="00D76DF4"/>
    <w:rsid w:val="00D770F4"/>
    <w:rsid w:val="00D771A7"/>
    <w:rsid w:val="00D77345"/>
    <w:rsid w:val="00D77784"/>
    <w:rsid w:val="00D777BC"/>
    <w:rsid w:val="00D77857"/>
    <w:rsid w:val="00D7789F"/>
    <w:rsid w:val="00D77A11"/>
    <w:rsid w:val="00D77CC8"/>
    <w:rsid w:val="00D77E89"/>
    <w:rsid w:val="00D77FBA"/>
    <w:rsid w:val="00D80008"/>
    <w:rsid w:val="00D800D2"/>
    <w:rsid w:val="00D803F5"/>
    <w:rsid w:val="00D80544"/>
    <w:rsid w:val="00D806CF"/>
    <w:rsid w:val="00D80906"/>
    <w:rsid w:val="00D809A9"/>
    <w:rsid w:val="00D809AF"/>
    <w:rsid w:val="00D80A61"/>
    <w:rsid w:val="00D80B64"/>
    <w:rsid w:val="00D80C29"/>
    <w:rsid w:val="00D80E4A"/>
    <w:rsid w:val="00D81175"/>
    <w:rsid w:val="00D8121D"/>
    <w:rsid w:val="00D8151B"/>
    <w:rsid w:val="00D81E4D"/>
    <w:rsid w:val="00D81EC0"/>
    <w:rsid w:val="00D81F76"/>
    <w:rsid w:val="00D82056"/>
    <w:rsid w:val="00D821A9"/>
    <w:rsid w:val="00D821BF"/>
    <w:rsid w:val="00D8222B"/>
    <w:rsid w:val="00D822BF"/>
    <w:rsid w:val="00D822EB"/>
    <w:rsid w:val="00D82495"/>
    <w:rsid w:val="00D824D7"/>
    <w:rsid w:val="00D8255C"/>
    <w:rsid w:val="00D825AC"/>
    <w:rsid w:val="00D8268F"/>
    <w:rsid w:val="00D827C1"/>
    <w:rsid w:val="00D8283B"/>
    <w:rsid w:val="00D82906"/>
    <w:rsid w:val="00D82933"/>
    <w:rsid w:val="00D829CA"/>
    <w:rsid w:val="00D82A28"/>
    <w:rsid w:val="00D82BC8"/>
    <w:rsid w:val="00D82C72"/>
    <w:rsid w:val="00D82DFB"/>
    <w:rsid w:val="00D82FD1"/>
    <w:rsid w:val="00D8316D"/>
    <w:rsid w:val="00D831FE"/>
    <w:rsid w:val="00D83366"/>
    <w:rsid w:val="00D83407"/>
    <w:rsid w:val="00D83418"/>
    <w:rsid w:val="00D83432"/>
    <w:rsid w:val="00D834B5"/>
    <w:rsid w:val="00D834F3"/>
    <w:rsid w:val="00D83551"/>
    <w:rsid w:val="00D838ED"/>
    <w:rsid w:val="00D83B12"/>
    <w:rsid w:val="00D83B51"/>
    <w:rsid w:val="00D83CCB"/>
    <w:rsid w:val="00D83E90"/>
    <w:rsid w:val="00D83FFA"/>
    <w:rsid w:val="00D84054"/>
    <w:rsid w:val="00D841B6"/>
    <w:rsid w:val="00D8420A"/>
    <w:rsid w:val="00D842D7"/>
    <w:rsid w:val="00D84348"/>
    <w:rsid w:val="00D844EC"/>
    <w:rsid w:val="00D84615"/>
    <w:rsid w:val="00D849A0"/>
    <w:rsid w:val="00D84BD5"/>
    <w:rsid w:val="00D84C1E"/>
    <w:rsid w:val="00D84EB1"/>
    <w:rsid w:val="00D84ECA"/>
    <w:rsid w:val="00D84F51"/>
    <w:rsid w:val="00D850C4"/>
    <w:rsid w:val="00D85165"/>
    <w:rsid w:val="00D85210"/>
    <w:rsid w:val="00D85249"/>
    <w:rsid w:val="00D8525E"/>
    <w:rsid w:val="00D85336"/>
    <w:rsid w:val="00D8533D"/>
    <w:rsid w:val="00D85462"/>
    <w:rsid w:val="00D8548A"/>
    <w:rsid w:val="00D85557"/>
    <w:rsid w:val="00D85642"/>
    <w:rsid w:val="00D858F0"/>
    <w:rsid w:val="00D85994"/>
    <w:rsid w:val="00D8599F"/>
    <w:rsid w:val="00D85B64"/>
    <w:rsid w:val="00D85BAF"/>
    <w:rsid w:val="00D85C63"/>
    <w:rsid w:val="00D85CF4"/>
    <w:rsid w:val="00D85D73"/>
    <w:rsid w:val="00D85FCA"/>
    <w:rsid w:val="00D85FF1"/>
    <w:rsid w:val="00D860DA"/>
    <w:rsid w:val="00D86191"/>
    <w:rsid w:val="00D86390"/>
    <w:rsid w:val="00D863E4"/>
    <w:rsid w:val="00D863E7"/>
    <w:rsid w:val="00D86A05"/>
    <w:rsid w:val="00D86A12"/>
    <w:rsid w:val="00D86B3D"/>
    <w:rsid w:val="00D86B7A"/>
    <w:rsid w:val="00D86C83"/>
    <w:rsid w:val="00D86D34"/>
    <w:rsid w:val="00D86DAB"/>
    <w:rsid w:val="00D86F07"/>
    <w:rsid w:val="00D86F0D"/>
    <w:rsid w:val="00D86FBB"/>
    <w:rsid w:val="00D8701A"/>
    <w:rsid w:val="00D870F8"/>
    <w:rsid w:val="00D871B1"/>
    <w:rsid w:val="00D8736C"/>
    <w:rsid w:val="00D873DE"/>
    <w:rsid w:val="00D8740C"/>
    <w:rsid w:val="00D87427"/>
    <w:rsid w:val="00D874A8"/>
    <w:rsid w:val="00D876E2"/>
    <w:rsid w:val="00D877AF"/>
    <w:rsid w:val="00D877F2"/>
    <w:rsid w:val="00D87A69"/>
    <w:rsid w:val="00D87B32"/>
    <w:rsid w:val="00D87B80"/>
    <w:rsid w:val="00D87BA5"/>
    <w:rsid w:val="00D87BEB"/>
    <w:rsid w:val="00D87D3F"/>
    <w:rsid w:val="00D87E56"/>
    <w:rsid w:val="00D87F9A"/>
    <w:rsid w:val="00D87FE5"/>
    <w:rsid w:val="00D87FED"/>
    <w:rsid w:val="00D87FF8"/>
    <w:rsid w:val="00D90072"/>
    <w:rsid w:val="00D9017A"/>
    <w:rsid w:val="00D9020A"/>
    <w:rsid w:val="00D9041B"/>
    <w:rsid w:val="00D90580"/>
    <w:rsid w:val="00D9064D"/>
    <w:rsid w:val="00D90792"/>
    <w:rsid w:val="00D907EB"/>
    <w:rsid w:val="00D908BF"/>
    <w:rsid w:val="00D908CA"/>
    <w:rsid w:val="00D90A54"/>
    <w:rsid w:val="00D90A5D"/>
    <w:rsid w:val="00D90C46"/>
    <w:rsid w:val="00D90D1E"/>
    <w:rsid w:val="00D90D75"/>
    <w:rsid w:val="00D90D91"/>
    <w:rsid w:val="00D90DBB"/>
    <w:rsid w:val="00D91273"/>
    <w:rsid w:val="00D9136B"/>
    <w:rsid w:val="00D913AB"/>
    <w:rsid w:val="00D9141D"/>
    <w:rsid w:val="00D9148F"/>
    <w:rsid w:val="00D9191B"/>
    <w:rsid w:val="00D9198F"/>
    <w:rsid w:val="00D91B2C"/>
    <w:rsid w:val="00D91BE0"/>
    <w:rsid w:val="00D91BF2"/>
    <w:rsid w:val="00D91C8D"/>
    <w:rsid w:val="00D91CA2"/>
    <w:rsid w:val="00D91D78"/>
    <w:rsid w:val="00D91F45"/>
    <w:rsid w:val="00D91FDE"/>
    <w:rsid w:val="00D9205D"/>
    <w:rsid w:val="00D9227F"/>
    <w:rsid w:val="00D92470"/>
    <w:rsid w:val="00D92551"/>
    <w:rsid w:val="00D925FF"/>
    <w:rsid w:val="00D92645"/>
    <w:rsid w:val="00D92BB9"/>
    <w:rsid w:val="00D92BFD"/>
    <w:rsid w:val="00D92C33"/>
    <w:rsid w:val="00D92CE3"/>
    <w:rsid w:val="00D92D27"/>
    <w:rsid w:val="00D92E9E"/>
    <w:rsid w:val="00D92EE0"/>
    <w:rsid w:val="00D92F4B"/>
    <w:rsid w:val="00D93082"/>
    <w:rsid w:val="00D931EB"/>
    <w:rsid w:val="00D93343"/>
    <w:rsid w:val="00D934CD"/>
    <w:rsid w:val="00D936A9"/>
    <w:rsid w:val="00D93929"/>
    <w:rsid w:val="00D93C02"/>
    <w:rsid w:val="00D93DBA"/>
    <w:rsid w:val="00D93E25"/>
    <w:rsid w:val="00D940F2"/>
    <w:rsid w:val="00D941E3"/>
    <w:rsid w:val="00D942F1"/>
    <w:rsid w:val="00D9450E"/>
    <w:rsid w:val="00D946C0"/>
    <w:rsid w:val="00D946C9"/>
    <w:rsid w:val="00D948DC"/>
    <w:rsid w:val="00D94BCC"/>
    <w:rsid w:val="00D94C61"/>
    <w:rsid w:val="00D94CF3"/>
    <w:rsid w:val="00D94E4D"/>
    <w:rsid w:val="00D94EC6"/>
    <w:rsid w:val="00D95639"/>
    <w:rsid w:val="00D95844"/>
    <w:rsid w:val="00D9592E"/>
    <w:rsid w:val="00D959A3"/>
    <w:rsid w:val="00D95A39"/>
    <w:rsid w:val="00D95D18"/>
    <w:rsid w:val="00D95EAC"/>
    <w:rsid w:val="00D95FF2"/>
    <w:rsid w:val="00D96169"/>
    <w:rsid w:val="00D961B4"/>
    <w:rsid w:val="00D96498"/>
    <w:rsid w:val="00D965E4"/>
    <w:rsid w:val="00D967A8"/>
    <w:rsid w:val="00D967B5"/>
    <w:rsid w:val="00D96AE1"/>
    <w:rsid w:val="00D96C52"/>
    <w:rsid w:val="00D96CEB"/>
    <w:rsid w:val="00D96D50"/>
    <w:rsid w:val="00D96DE5"/>
    <w:rsid w:val="00D96E29"/>
    <w:rsid w:val="00D96E40"/>
    <w:rsid w:val="00D96F5C"/>
    <w:rsid w:val="00D97207"/>
    <w:rsid w:val="00D9722D"/>
    <w:rsid w:val="00D97270"/>
    <w:rsid w:val="00D97398"/>
    <w:rsid w:val="00D9747E"/>
    <w:rsid w:val="00D97574"/>
    <w:rsid w:val="00D977F3"/>
    <w:rsid w:val="00D9784E"/>
    <w:rsid w:val="00D97915"/>
    <w:rsid w:val="00D9798E"/>
    <w:rsid w:val="00D97B89"/>
    <w:rsid w:val="00D97D4F"/>
    <w:rsid w:val="00D97E2C"/>
    <w:rsid w:val="00D97FBD"/>
    <w:rsid w:val="00D97FCB"/>
    <w:rsid w:val="00DA017A"/>
    <w:rsid w:val="00DA0244"/>
    <w:rsid w:val="00DA038A"/>
    <w:rsid w:val="00DA058E"/>
    <w:rsid w:val="00DA0641"/>
    <w:rsid w:val="00DA0666"/>
    <w:rsid w:val="00DA076D"/>
    <w:rsid w:val="00DA0A5F"/>
    <w:rsid w:val="00DA0A86"/>
    <w:rsid w:val="00DA0CA2"/>
    <w:rsid w:val="00DA0EB9"/>
    <w:rsid w:val="00DA0F07"/>
    <w:rsid w:val="00DA114F"/>
    <w:rsid w:val="00DA11F3"/>
    <w:rsid w:val="00DA1272"/>
    <w:rsid w:val="00DA128E"/>
    <w:rsid w:val="00DA1450"/>
    <w:rsid w:val="00DA16EB"/>
    <w:rsid w:val="00DA1707"/>
    <w:rsid w:val="00DA17A8"/>
    <w:rsid w:val="00DA1866"/>
    <w:rsid w:val="00DA1B18"/>
    <w:rsid w:val="00DA1B55"/>
    <w:rsid w:val="00DA1C76"/>
    <w:rsid w:val="00DA1D23"/>
    <w:rsid w:val="00DA1D44"/>
    <w:rsid w:val="00DA1F2B"/>
    <w:rsid w:val="00DA1F83"/>
    <w:rsid w:val="00DA1FED"/>
    <w:rsid w:val="00DA1FEF"/>
    <w:rsid w:val="00DA2080"/>
    <w:rsid w:val="00DA2249"/>
    <w:rsid w:val="00DA23B3"/>
    <w:rsid w:val="00DA23C8"/>
    <w:rsid w:val="00DA23E4"/>
    <w:rsid w:val="00DA23EA"/>
    <w:rsid w:val="00DA23F1"/>
    <w:rsid w:val="00DA2402"/>
    <w:rsid w:val="00DA254D"/>
    <w:rsid w:val="00DA25A9"/>
    <w:rsid w:val="00DA2621"/>
    <w:rsid w:val="00DA265F"/>
    <w:rsid w:val="00DA2669"/>
    <w:rsid w:val="00DA27AD"/>
    <w:rsid w:val="00DA27ED"/>
    <w:rsid w:val="00DA27F1"/>
    <w:rsid w:val="00DA2AA3"/>
    <w:rsid w:val="00DA2B23"/>
    <w:rsid w:val="00DA2B3C"/>
    <w:rsid w:val="00DA2BAC"/>
    <w:rsid w:val="00DA2D46"/>
    <w:rsid w:val="00DA2D81"/>
    <w:rsid w:val="00DA2D9B"/>
    <w:rsid w:val="00DA2E8F"/>
    <w:rsid w:val="00DA2EF0"/>
    <w:rsid w:val="00DA2F96"/>
    <w:rsid w:val="00DA2FEB"/>
    <w:rsid w:val="00DA3301"/>
    <w:rsid w:val="00DA34BF"/>
    <w:rsid w:val="00DA34D6"/>
    <w:rsid w:val="00DA351F"/>
    <w:rsid w:val="00DA359E"/>
    <w:rsid w:val="00DA3705"/>
    <w:rsid w:val="00DA37EF"/>
    <w:rsid w:val="00DA38CA"/>
    <w:rsid w:val="00DA38E6"/>
    <w:rsid w:val="00DA3B36"/>
    <w:rsid w:val="00DA3B42"/>
    <w:rsid w:val="00DA3BF6"/>
    <w:rsid w:val="00DA3C42"/>
    <w:rsid w:val="00DA3E03"/>
    <w:rsid w:val="00DA3F4C"/>
    <w:rsid w:val="00DA41A8"/>
    <w:rsid w:val="00DA41B0"/>
    <w:rsid w:val="00DA42BB"/>
    <w:rsid w:val="00DA431A"/>
    <w:rsid w:val="00DA4C52"/>
    <w:rsid w:val="00DA4D80"/>
    <w:rsid w:val="00DA4DE0"/>
    <w:rsid w:val="00DA4E17"/>
    <w:rsid w:val="00DA4E80"/>
    <w:rsid w:val="00DA4F35"/>
    <w:rsid w:val="00DA4FC7"/>
    <w:rsid w:val="00DA4FF8"/>
    <w:rsid w:val="00DA512C"/>
    <w:rsid w:val="00DA51F9"/>
    <w:rsid w:val="00DA5293"/>
    <w:rsid w:val="00DA53B8"/>
    <w:rsid w:val="00DA549F"/>
    <w:rsid w:val="00DA54A7"/>
    <w:rsid w:val="00DA5501"/>
    <w:rsid w:val="00DA553B"/>
    <w:rsid w:val="00DA55C7"/>
    <w:rsid w:val="00DA562A"/>
    <w:rsid w:val="00DA5694"/>
    <w:rsid w:val="00DA5696"/>
    <w:rsid w:val="00DA5783"/>
    <w:rsid w:val="00DA57BB"/>
    <w:rsid w:val="00DA57CD"/>
    <w:rsid w:val="00DA5898"/>
    <w:rsid w:val="00DA5B63"/>
    <w:rsid w:val="00DA5C00"/>
    <w:rsid w:val="00DA5CBE"/>
    <w:rsid w:val="00DA5D7B"/>
    <w:rsid w:val="00DA5F28"/>
    <w:rsid w:val="00DA5FBC"/>
    <w:rsid w:val="00DA6054"/>
    <w:rsid w:val="00DA613B"/>
    <w:rsid w:val="00DA63E5"/>
    <w:rsid w:val="00DA6473"/>
    <w:rsid w:val="00DA65C0"/>
    <w:rsid w:val="00DA6765"/>
    <w:rsid w:val="00DA6A57"/>
    <w:rsid w:val="00DA6AC1"/>
    <w:rsid w:val="00DA6B66"/>
    <w:rsid w:val="00DA6BB3"/>
    <w:rsid w:val="00DA6D79"/>
    <w:rsid w:val="00DA6DB5"/>
    <w:rsid w:val="00DA6F20"/>
    <w:rsid w:val="00DA6FB7"/>
    <w:rsid w:val="00DA7237"/>
    <w:rsid w:val="00DA730B"/>
    <w:rsid w:val="00DA733E"/>
    <w:rsid w:val="00DA7525"/>
    <w:rsid w:val="00DA7634"/>
    <w:rsid w:val="00DA7659"/>
    <w:rsid w:val="00DA779F"/>
    <w:rsid w:val="00DA7922"/>
    <w:rsid w:val="00DA7984"/>
    <w:rsid w:val="00DA7A91"/>
    <w:rsid w:val="00DA7B46"/>
    <w:rsid w:val="00DA7B5C"/>
    <w:rsid w:val="00DA7C6C"/>
    <w:rsid w:val="00DA7C84"/>
    <w:rsid w:val="00DB0037"/>
    <w:rsid w:val="00DB003C"/>
    <w:rsid w:val="00DB00CF"/>
    <w:rsid w:val="00DB0170"/>
    <w:rsid w:val="00DB01C2"/>
    <w:rsid w:val="00DB0372"/>
    <w:rsid w:val="00DB03E1"/>
    <w:rsid w:val="00DB0440"/>
    <w:rsid w:val="00DB045F"/>
    <w:rsid w:val="00DB04AC"/>
    <w:rsid w:val="00DB073A"/>
    <w:rsid w:val="00DB07CF"/>
    <w:rsid w:val="00DB07E0"/>
    <w:rsid w:val="00DB081C"/>
    <w:rsid w:val="00DB085C"/>
    <w:rsid w:val="00DB0861"/>
    <w:rsid w:val="00DB09AD"/>
    <w:rsid w:val="00DB0B8F"/>
    <w:rsid w:val="00DB0BD5"/>
    <w:rsid w:val="00DB0C34"/>
    <w:rsid w:val="00DB0DEB"/>
    <w:rsid w:val="00DB12BB"/>
    <w:rsid w:val="00DB13A0"/>
    <w:rsid w:val="00DB1420"/>
    <w:rsid w:val="00DB1482"/>
    <w:rsid w:val="00DB1811"/>
    <w:rsid w:val="00DB185E"/>
    <w:rsid w:val="00DB186B"/>
    <w:rsid w:val="00DB1B09"/>
    <w:rsid w:val="00DB1D7E"/>
    <w:rsid w:val="00DB1E91"/>
    <w:rsid w:val="00DB1E94"/>
    <w:rsid w:val="00DB2097"/>
    <w:rsid w:val="00DB2442"/>
    <w:rsid w:val="00DB25D7"/>
    <w:rsid w:val="00DB2720"/>
    <w:rsid w:val="00DB275B"/>
    <w:rsid w:val="00DB2934"/>
    <w:rsid w:val="00DB2AA9"/>
    <w:rsid w:val="00DB2BA9"/>
    <w:rsid w:val="00DB2C35"/>
    <w:rsid w:val="00DB2F05"/>
    <w:rsid w:val="00DB3039"/>
    <w:rsid w:val="00DB3134"/>
    <w:rsid w:val="00DB3276"/>
    <w:rsid w:val="00DB3423"/>
    <w:rsid w:val="00DB34F3"/>
    <w:rsid w:val="00DB3555"/>
    <w:rsid w:val="00DB373A"/>
    <w:rsid w:val="00DB3791"/>
    <w:rsid w:val="00DB3B21"/>
    <w:rsid w:val="00DB3B37"/>
    <w:rsid w:val="00DB3C0C"/>
    <w:rsid w:val="00DB3C7C"/>
    <w:rsid w:val="00DB3E50"/>
    <w:rsid w:val="00DB3EA6"/>
    <w:rsid w:val="00DB3F98"/>
    <w:rsid w:val="00DB40C9"/>
    <w:rsid w:val="00DB4159"/>
    <w:rsid w:val="00DB4410"/>
    <w:rsid w:val="00DB455D"/>
    <w:rsid w:val="00DB45D5"/>
    <w:rsid w:val="00DB45FF"/>
    <w:rsid w:val="00DB460E"/>
    <w:rsid w:val="00DB46BA"/>
    <w:rsid w:val="00DB483D"/>
    <w:rsid w:val="00DB4C6D"/>
    <w:rsid w:val="00DB4DE2"/>
    <w:rsid w:val="00DB4F2F"/>
    <w:rsid w:val="00DB5117"/>
    <w:rsid w:val="00DB519A"/>
    <w:rsid w:val="00DB54A0"/>
    <w:rsid w:val="00DB557F"/>
    <w:rsid w:val="00DB5675"/>
    <w:rsid w:val="00DB56C1"/>
    <w:rsid w:val="00DB5821"/>
    <w:rsid w:val="00DB59C6"/>
    <w:rsid w:val="00DB5AF3"/>
    <w:rsid w:val="00DB5CD6"/>
    <w:rsid w:val="00DB5DFB"/>
    <w:rsid w:val="00DB5E5B"/>
    <w:rsid w:val="00DB5EB7"/>
    <w:rsid w:val="00DB5F51"/>
    <w:rsid w:val="00DB5F7D"/>
    <w:rsid w:val="00DB5F86"/>
    <w:rsid w:val="00DB6031"/>
    <w:rsid w:val="00DB6071"/>
    <w:rsid w:val="00DB628B"/>
    <w:rsid w:val="00DB6332"/>
    <w:rsid w:val="00DB645F"/>
    <w:rsid w:val="00DB6514"/>
    <w:rsid w:val="00DB664A"/>
    <w:rsid w:val="00DB66B9"/>
    <w:rsid w:val="00DB6809"/>
    <w:rsid w:val="00DB68AB"/>
    <w:rsid w:val="00DB69E2"/>
    <w:rsid w:val="00DB6AAB"/>
    <w:rsid w:val="00DB6AD9"/>
    <w:rsid w:val="00DB6BA9"/>
    <w:rsid w:val="00DB6C2D"/>
    <w:rsid w:val="00DB6DF8"/>
    <w:rsid w:val="00DB6E3E"/>
    <w:rsid w:val="00DB701B"/>
    <w:rsid w:val="00DB7292"/>
    <w:rsid w:val="00DB73D5"/>
    <w:rsid w:val="00DB7463"/>
    <w:rsid w:val="00DB764D"/>
    <w:rsid w:val="00DB7665"/>
    <w:rsid w:val="00DB7712"/>
    <w:rsid w:val="00DB775C"/>
    <w:rsid w:val="00DB7870"/>
    <w:rsid w:val="00DB7B43"/>
    <w:rsid w:val="00DB7B48"/>
    <w:rsid w:val="00DB7C29"/>
    <w:rsid w:val="00DB7CF6"/>
    <w:rsid w:val="00DB7D84"/>
    <w:rsid w:val="00DB7DF1"/>
    <w:rsid w:val="00DC0289"/>
    <w:rsid w:val="00DC02EF"/>
    <w:rsid w:val="00DC0563"/>
    <w:rsid w:val="00DC05A2"/>
    <w:rsid w:val="00DC0625"/>
    <w:rsid w:val="00DC067D"/>
    <w:rsid w:val="00DC06B1"/>
    <w:rsid w:val="00DC0820"/>
    <w:rsid w:val="00DC0912"/>
    <w:rsid w:val="00DC09F4"/>
    <w:rsid w:val="00DC0A41"/>
    <w:rsid w:val="00DC0B4A"/>
    <w:rsid w:val="00DC0C67"/>
    <w:rsid w:val="00DC0C86"/>
    <w:rsid w:val="00DC0DB4"/>
    <w:rsid w:val="00DC0E1C"/>
    <w:rsid w:val="00DC0E90"/>
    <w:rsid w:val="00DC0ED3"/>
    <w:rsid w:val="00DC1246"/>
    <w:rsid w:val="00DC14AF"/>
    <w:rsid w:val="00DC14C1"/>
    <w:rsid w:val="00DC1581"/>
    <w:rsid w:val="00DC16AF"/>
    <w:rsid w:val="00DC170B"/>
    <w:rsid w:val="00DC1720"/>
    <w:rsid w:val="00DC18A0"/>
    <w:rsid w:val="00DC18A5"/>
    <w:rsid w:val="00DC18FA"/>
    <w:rsid w:val="00DC1941"/>
    <w:rsid w:val="00DC1957"/>
    <w:rsid w:val="00DC19C8"/>
    <w:rsid w:val="00DC1C2F"/>
    <w:rsid w:val="00DC1CFB"/>
    <w:rsid w:val="00DC1FD0"/>
    <w:rsid w:val="00DC1FEA"/>
    <w:rsid w:val="00DC2023"/>
    <w:rsid w:val="00DC208F"/>
    <w:rsid w:val="00DC2285"/>
    <w:rsid w:val="00DC22D7"/>
    <w:rsid w:val="00DC234E"/>
    <w:rsid w:val="00DC2568"/>
    <w:rsid w:val="00DC277D"/>
    <w:rsid w:val="00DC27F5"/>
    <w:rsid w:val="00DC2DB0"/>
    <w:rsid w:val="00DC2FCE"/>
    <w:rsid w:val="00DC3291"/>
    <w:rsid w:val="00DC3316"/>
    <w:rsid w:val="00DC3585"/>
    <w:rsid w:val="00DC35E6"/>
    <w:rsid w:val="00DC3633"/>
    <w:rsid w:val="00DC367A"/>
    <w:rsid w:val="00DC367C"/>
    <w:rsid w:val="00DC3705"/>
    <w:rsid w:val="00DC39AB"/>
    <w:rsid w:val="00DC3AD5"/>
    <w:rsid w:val="00DC3B9C"/>
    <w:rsid w:val="00DC3C26"/>
    <w:rsid w:val="00DC3CCD"/>
    <w:rsid w:val="00DC3D93"/>
    <w:rsid w:val="00DC3DF7"/>
    <w:rsid w:val="00DC3E67"/>
    <w:rsid w:val="00DC3F45"/>
    <w:rsid w:val="00DC4057"/>
    <w:rsid w:val="00DC4068"/>
    <w:rsid w:val="00DC407A"/>
    <w:rsid w:val="00DC4108"/>
    <w:rsid w:val="00DC41AB"/>
    <w:rsid w:val="00DC4220"/>
    <w:rsid w:val="00DC432A"/>
    <w:rsid w:val="00DC4512"/>
    <w:rsid w:val="00DC4555"/>
    <w:rsid w:val="00DC45DF"/>
    <w:rsid w:val="00DC45FF"/>
    <w:rsid w:val="00DC4633"/>
    <w:rsid w:val="00DC4641"/>
    <w:rsid w:val="00DC46A5"/>
    <w:rsid w:val="00DC46D2"/>
    <w:rsid w:val="00DC4755"/>
    <w:rsid w:val="00DC482A"/>
    <w:rsid w:val="00DC4836"/>
    <w:rsid w:val="00DC4945"/>
    <w:rsid w:val="00DC497B"/>
    <w:rsid w:val="00DC4A1C"/>
    <w:rsid w:val="00DC4A76"/>
    <w:rsid w:val="00DC4C2F"/>
    <w:rsid w:val="00DC4E92"/>
    <w:rsid w:val="00DC4EC7"/>
    <w:rsid w:val="00DC4F64"/>
    <w:rsid w:val="00DC5064"/>
    <w:rsid w:val="00DC50C5"/>
    <w:rsid w:val="00DC53BC"/>
    <w:rsid w:val="00DC5448"/>
    <w:rsid w:val="00DC545D"/>
    <w:rsid w:val="00DC5576"/>
    <w:rsid w:val="00DC57E8"/>
    <w:rsid w:val="00DC5812"/>
    <w:rsid w:val="00DC586C"/>
    <w:rsid w:val="00DC5947"/>
    <w:rsid w:val="00DC5997"/>
    <w:rsid w:val="00DC5AA2"/>
    <w:rsid w:val="00DC5E37"/>
    <w:rsid w:val="00DC5E57"/>
    <w:rsid w:val="00DC5FEB"/>
    <w:rsid w:val="00DC6098"/>
    <w:rsid w:val="00DC611A"/>
    <w:rsid w:val="00DC6355"/>
    <w:rsid w:val="00DC6396"/>
    <w:rsid w:val="00DC6399"/>
    <w:rsid w:val="00DC64A7"/>
    <w:rsid w:val="00DC64FE"/>
    <w:rsid w:val="00DC666C"/>
    <w:rsid w:val="00DC67A0"/>
    <w:rsid w:val="00DC6B71"/>
    <w:rsid w:val="00DC6B96"/>
    <w:rsid w:val="00DC6C86"/>
    <w:rsid w:val="00DC6D6C"/>
    <w:rsid w:val="00DC6D9D"/>
    <w:rsid w:val="00DC6DAF"/>
    <w:rsid w:val="00DC6E1E"/>
    <w:rsid w:val="00DC6ECA"/>
    <w:rsid w:val="00DC6FFA"/>
    <w:rsid w:val="00DC71A1"/>
    <w:rsid w:val="00DC739E"/>
    <w:rsid w:val="00DC7406"/>
    <w:rsid w:val="00DC74BF"/>
    <w:rsid w:val="00DC77CB"/>
    <w:rsid w:val="00DC7853"/>
    <w:rsid w:val="00DC7870"/>
    <w:rsid w:val="00DC7897"/>
    <w:rsid w:val="00DC794B"/>
    <w:rsid w:val="00DC7B3C"/>
    <w:rsid w:val="00DC7F15"/>
    <w:rsid w:val="00DC7F8B"/>
    <w:rsid w:val="00DC7FD4"/>
    <w:rsid w:val="00DD004B"/>
    <w:rsid w:val="00DD0068"/>
    <w:rsid w:val="00DD01A1"/>
    <w:rsid w:val="00DD025C"/>
    <w:rsid w:val="00DD037E"/>
    <w:rsid w:val="00DD03CE"/>
    <w:rsid w:val="00DD05C6"/>
    <w:rsid w:val="00DD078A"/>
    <w:rsid w:val="00DD0953"/>
    <w:rsid w:val="00DD0995"/>
    <w:rsid w:val="00DD09B0"/>
    <w:rsid w:val="00DD0A94"/>
    <w:rsid w:val="00DD0B36"/>
    <w:rsid w:val="00DD0BD2"/>
    <w:rsid w:val="00DD0C13"/>
    <w:rsid w:val="00DD0EBA"/>
    <w:rsid w:val="00DD0F84"/>
    <w:rsid w:val="00DD1093"/>
    <w:rsid w:val="00DD11A1"/>
    <w:rsid w:val="00DD11A2"/>
    <w:rsid w:val="00DD12DD"/>
    <w:rsid w:val="00DD14E4"/>
    <w:rsid w:val="00DD15E6"/>
    <w:rsid w:val="00DD17A7"/>
    <w:rsid w:val="00DD1A0E"/>
    <w:rsid w:val="00DD1A3E"/>
    <w:rsid w:val="00DD1A95"/>
    <w:rsid w:val="00DD1B24"/>
    <w:rsid w:val="00DD1EAD"/>
    <w:rsid w:val="00DD212E"/>
    <w:rsid w:val="00DD222B"/>
    <w:rsid w:val="00DD251A"/>
    <w:rsid w:val="00DD2812"/>
    <w:rsid w:val="00DD2C09"/>
    <w:rsid w:val="00DD2C81"/>
    <w:rsid w:val="00DD2D4B"/>
    <w:rsid w:val="00DD2D67"/>
    <w:rsid w:val="00DD2E00"/>
    <w:rsid w:val="00DD2EE7"/>
    <w:rsid w:val="00DD30E9"/>
    <w:rsid w:val="00DD3100"/>
    <w:rsid w:val="00DD3133"/>
    <w:rsid w:val="00DD320C"/>
    <w:rsid w:val="00DD3221"/>
    <w:rsid w:val="00DD32F1"/>
    <w:rsid w:val="00DD333C"/>
    <w:rsid w:val="00DD339A"/>
    <w:rsid w:val="00DD3478"/>
    <w:rsid w:val="00DD3485"/>
    <w:rsid w:val="00DD36B6"/>
    <w:rsid w:val="00DD3811"/>
    <w:rsid w:val="00DD3969"/>
    <w:rsid w:val="00DD3984"/>
    <w:rsid w:val="00DD3A06"/>
    <w:rsid w:val="00DD3A71"/>
    <w:rsid w:val="00DD3BEC"/>
    <w:rsid w:val="00DD3C84"/>
    <w:rsid w:val="00DD3FA2"/>
    <w:rsid w:val="00DD401F"/>
    <w:rsid w:val="00DD407D"/>
    <w:rsid w:val="00DD4118"/>
    <w:rsid w:val="00DD413D"/>
    <w:rsid w:val="00DD4198"/>
    <w:rsid w:val="00DD419C"/>
    <w:rsid w:val="00DD41A8"/>
    <w:rsid w:val="00DD41BA"/>
    <w:rsid w:val="00DD42EB"/>
    <w:rsid w:val="00DD4463"/>
    <w:rsid w:val="00DD44B8"/>
    <w:rsid w:val="00DD4885"/>
    <w:rsid w:val="00DD4A14"/>
    <w:rsid w:val="00DD4AA2"/>
    <w:rsid w:val="00DD4AF2"/>
    <w:rsid w:val="00DD4B33"/>
    <w:rsid w:val="00DD4DB6"/>
    <w:rsid w:val="00DD4F7C"/>
    <w:rsid w:val="00DD512E"/>
    <w:rsid w:val="00DD51C8"/>
    <w:rsid w:val="00DD5305"/>
    <w:rsid w:val="00DD5309"/>
    <w:rsid w:val="00DD536D"/>
    <w:rsid w:val="00DD5403"/>
    <w:rsid w:val="00DD54A1"/>
    <w:rsid w:val="00DD57BA"/>
    <w:rsid w:val="00DD5800"/>
    <w:rsid w:val="00DD59E1"/>
    <w:rsid w:val="00DD5ADB"/>
    <w:rsid w:val="00DD5C1C"/>
    <w:rsid w:val="00DD5C90"/>
    <w:rsid w:val="00DD5DD6"/>
    <w:rsid w:val="00DD5E70"/>
    <w:rsid w:val="00DD5F4F"/>
    <w:rsid w:val="00DD6308"/>
    <w:rsid w:val="00DD6503"/>
    <w:rsid w:val="00DD658A"/>
    <w:rsid w:val="00DD67F0"/>
    <w:rsid w:val="00DD6961"/>
    <w:rsid w:val="00DD696A"/>
    <w:rsid w:val="00DD69DA"/>
    <w:rsid w:val="00DD6A4B"/>
    <w:rsid w:val="00DD6A63"/>
    <w:rsid w:val="00DD6A88"/>
    <w:rsid w:val="00DD6BA8"/>
    <w:rsid w:val="00DD6D3A"/>
    <w:rsid w:val="00DD716F"/>
    <w:rsid w:val="00DD73BE"/>
    <w:rsid w:val="00DD7607"/>
    <w:rsid w:val="00DD7821"/>
    <w:rsid w:val="00DD7823"/>
    <w:rsid w:val="00DD785D"/>
    <w:rsid w:val="00DD7916"/>
    <w:rsid w:val="00DD7CBF"/>
    <w:rsid w:val="00DD7D31"/>
    <w:rsid w:val="00DD7DC6"/>
    <w:rsid w:val="00DD7F9E"/>
    <w:rsid w:val="00DE007C"/>
    <w:rsid w:val="00DE011F"/>
    <w:rsid w:val="00DE01C0"/>
    <w:rsid w:val="00DE0294"/>
    <w:rsid w:val="00DE044D"/>
    <w:rsid w:val="00DE0470"/>
    <w:rsid w:val="00DE067C"/>
    <w:rsid w:val="00DE08D6"/>
    <w:rsid w:val="00DE0973"/>
    <w:rsid w:val="00DE09E9"/>
    <w:rsid w:val="00DE0A1E"/>
    <w:rsid w:val="00DE0A45"/>
    <w:rsid w:val="00DE0DC2"/>
    <w:rsid w:val="00DE0F2C"/>
    <w:rsid w:val="00DE1467"/>
    <w:rsid w:val="00DE147F"/>
    <w:rsid w:val="00DE14B3"/>
    <w:rsid w:val="00DE15D5"/>
    <w:rsid w:val="00DE1904"/>
    <w:rsid w:val="00DE1A90"/>
    <w:rsid w:val="00DE1ABE"/>
    <w:rsid w:val="00DE1B13"/>
    <w:rsid w:val="00DE1B80"/>
    <w:rsid w:val="00DE1DD2"/>
    <w:rsid w:val="00DE1E44"/>
    <w:rsid w:val="00DE2028"/>
    <w:rsid w:val="00DE2496"/>
    <w:rsid w:val="00DE25CF"/>
    <w:rsid w:val="00DE25E2"/>
    <w:rsid w:val="00DE2762"/>
    <w:rsid w:val="00DE28F3"/>
    <w:rsid w:val="00DE2A1C"/>
    <w:rsid w:val="00DE31B4"/>
    <w:rsid w:val="00DE34C1"/>
    <w:rsid w:val="00DE356C"/>
    <w:rsid w:val="00DE3580"/>
    <w:rsid w:val="00DE3603"/>
    <w:rsid w:val="00DE3617"/>
    <w:rsid w:val="00DE397A"/>
    <w:rsid w:val="00DE39F3"/>
    <w:rsid w:val="00DE3AEB"/>
    <w:rsid w:val="00DE3B12"/>
    <w:rsid w:val="00DE3D72"/>
    <w:rsid w:val="00DE3DA9"/>
    <w:rsid w:val="00DE42AE"/>
    <w:rsid w:val="00DE4333"/>
    <w:rsid w:val="00DE43C9"/>
    <w:rsid w:val="00DE44CB"/>
    <w:rsid w:val="00DE4511"/>
    <w:rsid w:val="00DE46DF"/>
    <w:rsid w:val="00DE4837"/>
    <w:rsid w:val="00DE4890"/>
    <w:rsid w:val="00DE4A46"/>
    <w:rsid w:val="00DE4A82"/>
    <w:rsid w:val="00DE4D80"/>
    <w:rsid w:val="00DE4DA6"/>
    <w:rsid w:val="00DE4EE3"/>
    <w:rsid w:val="00DE4FD4"/>
    <w:rsid w:val="00DE4FD8"/>
    <w:rsid w:val="00DE5226"/>
    <w:rsid w:val="00DE52B8"/>
    <w:rsid w:val="00DE54A9"/>
    <w:rsid w:val="00DE5609"/>
    <w:rsid w:val="00DE5627"/>
    <w:rsid w:val="00DE56AD"/>
    <w:rsid w:val="00DE5822"/>
    <w:rsid w:val="00DE5AC6"/>
    <w:rsid w:val="00DE5AC8"/>
    <w:rsid w:val="00DE5B74"/>
    <w:rsid w:val="00DE5CA5"/>
    <w:rsid w:val="00DE5E46"/>
    <w:rsid w:val="00DE600C"/>
    <w:rsid w:val="00DE605D"/>
    <w:rsid w:val="00DE6179"/>
    <w:rsid w:val="00DE6416"/>
    <w:rsid w:val="00DE65C1"/>
    <w:rsid w:val="00DE6843"/>
    <w:rsid w:val="00DE6980"/>
    <w:rsid w:val="00DE6B2C"/>
    <w:rsid w:val="00DE6BCF"/>
    <w:rsid w:val="00DE6BED"/>
    <w:rsid w:val="00DE6F04"/>
    <w:rsid w:val="00DE7099"/>
    <w:rsid w:val="00DE717D"/>
    <w:rsid w:val="00DE73E2"/>
    <w:rsid w:val="00DE73FF"/>
    <w:rsid w:val="00DE7405"/>
    <w:rsid w:val="00DE7779"/>
    <w:rsid w:val="00DE7818"/>
    <w:rsid w:val="00DE799A"/>
    <w:rsid w:val="00DE7ABB"/>
    <w:rsid w:val="00DE7D00"/>
    <w:rsid w:val="00DE7E66"/>
    <w:rsid w:val="00DE7EDD"/>
    <w:rsid w:val="00DE7EE0"/>
    <w:rsid w:val="00DE7F47"/>
    <w:rsid w:val="00DE7F48"/>
    <w:rsid w:val="00DF002D"/>
    <w:rsid w:val="00DF0036"/>
    <w:rsid w:val="00DF0378"/>
    <w:rsid w:val="00DF03A2"/>
    <w:rsid w:val="00DF03CB"/>
    <w:rsid w:val="00DF03EE"/>
    <w:rsid w:val="00DF04C6"/>
    <w:rsid w:val="00DF0566"/>
    <w:rsid w:val="00DF0710"/>
    <w:rsid w:val="00DF0753"/>
    <w:rsid w:val="00DF07B5"/>
    <w:rsid w:val="00DF091F"/>
    <w:rsid w:val="00DF0A02"/>
    <w:rsid w:val="00DF0A2C"/>
    <w:rsid w:val="00DF0B2E"/>
    <w:rsid w:val="00DF0B38"/>
    <w:rsid w:val="00DF0CEC"/>
    <w:rsid w:val="00DF0D77"/>
    <w:rsid w:val="00DF0E60"/>
    <w:rsid w:val="00DF0FAA"/>
    <w:rsid w:val="00DF1109"/>
    <w:rsid w:val="00DF129F"/>
    <w:rsid w:val="00DF12DD"/>
    <w:rsid w:val="00DF1382"/>
    <w:rsid w:val="00DF1769"/>
    <w:rsid w:val="00DF178E"/>
    <w:rsid w:val="00DF188B"/>
    <w:rsid w:val="00DF18E5"/>
    <w:rsid w:val="00DF1946"/>
    <w:rsid w:val="00DF19A5"/>
    <w:rsid w:val="00DF1C49"/>
    <w:rsid w:val="00DF20BA"/>
    <w:rsid w:val="00DF21E8"/>
    <w:rsid w:val="00DF2492"/>
    <w:rsid w:val="00DF2747"/>
    <w:rsid w:val="00DF2774"/>
    <w:rsid w:val="00DF277D"/>
    <w:rsid w:val="00DF2A59"/>
    <w:rsid w:val="00DF2AA1"/>
    <w:rsid w:val="00DF2D2F"/>
    <w:rsid w:val="00DF2D6A"/>
    <w:rsid w:val="00DF2E02"/>
    <w:rsid w:val="00DF2E90"/>
    <w:rsid w:val="00DF3005"/>
    <w:rsid w:val="00DF300C"/>
    <w:rsid w:val="00DF30E0"/>
    <w:rsid w:val="00DF3198"/>
    <w:rsid w:val="00DF31F2"/>
    <w:rsid w:val="00DF3206"/>
    <w:rsid w:val="00DF324D"/>
    <w:rsid w:val="00DF32EC"/>
    <w:rsid w:val="00DF33C9"/>
    <w:rsid w:val="00DF341B"/>
    <w:rsid w:val="00DF34E1"/>
    <w:rsid w:val="00DF3502"/>
    <w:rsid w:val="00DF3548"/>
    <w:rsid w:val="00DF356E"/>
    <w:rsid w:val="00DF3659"/>
    <w:rsid w:val="00DF368C"/>
    <w:rsid w:val="00DF3823"/>
    <w:rsid w:val="00DF3912"/>
    <w:rsid w:val="00DF39E9"/>
    <w:rsid w:val="00DF3A4C"/>
    <w:rsid w:val="00DF3B3E"/>
    <w:rsid w:val="00DF3B6B"/>
    <w:rsid w:val="00DF3C84"/>
    <w:rsid w:val="00DF3D75"/>
    <w:rsid w:val="00DF3E31"/>
    <w:rsid w:val="00DF3FA7"/>
    <w:rsid w:val="00DF416B"/>
    <w:rsid w:val="00DF425F"/>
    <w:rsid w:val="00DF431B"/>
    <w:rsid w:val="00DF443F"/>
    <w:rsid w:val="00DF449B"/>
    <w:rsid w:val="00DF44F0"/>
    <w:rsid w:val="00DF464F"/>
    <w:rsid w:val="00DF467B"/>
    <w:rsid w:val="00DF468A"/>
    <w:rsid w:val="00DF46FF"/>
    <w:rsid w:val="00DF4841"/>
    <w:rsid w:val="00DF4AC7"/>
    <w:rsid w:val="00DF4BD8"/>
    <w:rsid w:val="00DF4C63"/>
    <w:rsid w:val="00DF4C94"/>
    <w:rsid w:val="00DF4DCF"/>
    <w:rsid w:val="00DF4F4F"/>
    <w:rsid w:val="00DF507D"/>
    <w:rsid w:val="00DF5151"/>
    <w:rsid w:val="00DF53D8"/>
    <w:rsid w:val="00DF53EB"/>
    <w:rsid w:val="00DF5406"/>
    <w:rsid w:val="00DF5494"/>
    <w:rsid w:val="00DF593E"/>
    <w:rsid w:val="00DF5A94"/>
    <w:rsid w:val="00DF5B1E"/>
    <w:rsid w:val="00DF5BB8"/>
    <w:rsid w:val="00DF5D30"/>
    <w:rsid w:val="00DF5D3C"/>
    <w:rsid w:val="00DF5E7E"/>
    <w:rsid w:val="00DF60EA"/>
    <w:rsid w:val="00DF62A0"/>
    <w:rsid w:val="00DF6399"/>
    <w:rsid w:val="00DF64AA"/>
    <w:rsid w:val="00DF6574"/>
    <w:rsid w:val="00DF660F"/>
    <w:rsid w:val="00DF6757"/>
    <w:rsid w:val="00DF67CE"/>
    <w:rsid w:val="00DF6843"/>
    <w:rsid w:val="00DF69E8"/>
    <w:rsid w:val="00DF6A54"/>
    <w:rsid w:val="00DF6B93"/>
    <w:rsid w:val="00DF6C6C"/>
    <w:rsid w:val="00DF6DCF"/>
    <w:rsid w:val="00DF6E39"/>
    <w:rsid w:val="00DF6F2A"/>
    <w:rsid w:val="00DF6F35"/>
    <w:rsid w:val="00DF7192"/>
    <w:rsid w:val="00DF7325"/>
    <w:rsid w:val="00DF74BF"/>
    <w:rsid w:val="00DF74D9"/>
    <w:rsid w:val="00DF76A3"/>
    <w:rsid w:val="00DF7747"/>
    <w:rsid w:val="00DF7757"/>
    <w:rsid w:val="00DF7798"/>
    <w:rsid w:val="00DF78E5"/>
    <w:rsid w:val="00DF7A39"/>
    <w:rsid w:val="00DF7B12"/>
    <w:rsid w:val="00DF7E26"/>
    <w:rsid w:val="00DF7E28"/>
    <w:rsid w:val="00DF7E6A"/>
    <w:rsid w:val="00DF7F2E"/>
    <w:rsid w:val="00DF7FAE"/>
    <w:rsid w:val="00DF7FCF"/>
    <w:rsid w:val="00E0004A"/>
    <w:rsid w:val="00E000DE"/>
    <w:rsid w:val="00E0013F"/>
    <w:rsid w:val="00E0024B"/>
    <w:rsid w:val="00E002B2"/>
    <w:rsid w:val="00E00365"/>
    <w:rsid w:val="00E004B5"/>
    <w:rsid w:val="00E004DD"/>
    <w:rsid w:val="00E00514"/>
    <w:rsid w:val="00E00611"/>
    <w:rsid w:val="00E00A0A"/>
    <w:rsid w:val="00E00A16"/>
    <w:rsid w:val="00E00A8A"/>
    <w:rsid w:val="00E00BB5"/>
    <w:rsid w:val="00E00CE5"/>
    <w:rsid w:val="00E00D16"/>
    <w:rsid w:val="00E00DB1"/>
    <w:rsid w:val="00E00E0B"/>
    <w:rsid w:val="00E01230"/>
    <w:rsid w:val="00E0137C"/>
    <w:rsid w:val="00E01443"/>
    <w:rsid w:val="00E015DE"/>
    <w:rsid w:val="00E01773"/>
    <w:rsid w:val="00E01786"/>
    <w:rsid w:val="00E019EA"/>
    <w:rsid w:val="00E01C4D"/>
    <w:rsid w:val="00E01C64"/>
    <w:rsid w:val="00E01CC3"/>
    <w:rsid w:val="00E01CD4"/>
    <w:rsid w:val="00E01F9B"/>
    <w:rsid w:val="00E0203C"/>
    <w:rsid w:val="00E02050"/>
    <w:rsid w:val="00E024B4"/>
    <w:rsid w:val="00E025CF"/>
    <w:rsid w:val="00E026EB"/>
    <w:rsid w:val="00E027CC"/>
    <w:rsid w:val="00E02D31"/>
    <w:rsid w:val="00E02EEC"/>
    <w:rsid w:val="00E02EF3"/>
    <w:rsid w:val="00E0302A"/>
    <w:rsid w:val="00E03424"/>
    <w:rsid w:val="00E0352C"/>
    <w:rsid w:val="00E035CB"/>
    <w:rsid w:val="00E0360B"/>
    <w:rsid w:val="00E03730"/>
    <w:rsid w:val="00E03751"/>
    <w:rsid w:val="00E0375D"/>
    <w:rsid w:val="00E03843"/>
    <w:rsid w:val="00E0390D"/>
    <w:rsid w:val="00E03929"/>
    <w:rsid w:val="00E03992"/>
    <w:rsid w:val="00E03A58"/>
    <w:rsid w:val="00E03A96"/>
    <w:rsid w:val="00E03DAC"/>
    <w:rsid w:val="00E03E2D"/>
    <w:rsid w:val="00E03FF4"/>
    <w:rsid w:val="00E0435A"/>
    <w:rsid w:val="00E045F9"/>
    <w:rsid w:val="00E0464C"/>
    <w:rsid w:val="00E046CF"/>
    <w:rsid w:val="00E04718"/>
    <w:rsid w:val="00E04723"/>
    <w:rsid w:val="00E04791"/>
    <w:rsid w:val="00E04A19"/>
    <w:rsid w:val="00E04BF3"/>
    <w:rsid w:val="00E04CD4"/>
    <w:rsid w:val="00E04FC1"/>
    <w:rsid w:val="00E05078"/>
    <w:rsid w:val="00E0507A"/>
    <w:rsid w:val="00E050DC"/>
    <w:rsid w:val="00E05102"/>
    <w:rsid w:val="00E051E4"/>
    <w:rsid w:val="00E0527D"/>
    <w:rsid w:val="00E054D6"/>
    <w:rsid w:val="00E055FB"/>
    <w:rsid w:val="00E05650"/>
    <w:rsid w:val="00E056ED"/>
    <w:rsid w:val="00E05980"/>
    <w:rsid w:val="00E05B9E"/>
    <w:rsid w:val="00E05D56"/>
    <w:rsid w:val="00E06014"/>
    <w:rsid w:val="00E06089"/>
    <w:rsid w:val="00E060A9"/>
    <w:rsid w:val="00E060C7"/>
    <w:rsid w:val="00E06302"/>
    <w:rsid w:val="00E0633A"/>
    <w:rsid w:val="00E06443"/>
    <w:rsid w:val="00E065EE"/>
    <w:rsid w:val="00E0672C"/>
    <w:rsid w:val="00E0690F"/>
    <w:rsid w:val="00E069EB"/>
    <w:rsid w:val="00E06A8A"/>
    <w:rsid w:val="00E06E75"/>
    <w:rsid w:val="00E06EF2"/>
    <w:rsid w:val="00E0712F"/>
    <w:rsid w:val="00E072A3"/>
    <w:rsid w:val="00E074C0"/>
    <w:rsid w:val="00E074C5"/>
    <w:rsid w:val="00E07529"/>
    <w:rsid w:val="00E0775D"/>
    <w:rsid w:val="00E079B8"/>
    <w:rsid w:val="00E07BAA"/>
    <w:rsid w:val="00E07BB4"/>
    <w:rsid w:val="00E07BBC"/>
    <w:rsid w:val="00E07BC7"/>
    <w:rsid w:val="00E10043"/>
    <w:rsid w:val="00E10060"/>
    <w:rsid w:val="00E100CC"/>
    <w:rsid w:val="00E103FE"/>
    <w:rsid w:val="00E1054C"/>
    <w:rsid w:val="00E105A9"/>
    <w:rsid w:val="00E105D9"/>
    <w:rsid w:val="00E105EF"/>
    <w:rsid w:val="00E10631"/>
    <w:rsid w:val="00E1064A"/>
    <w:rsid w:val="00E1067A"/>
    <w:rsid w:val="00E10703"/>
    <w:rsid w:val="00E1074B"/>
    <w:rsid w:val="00E10A1A"/>
    <w:rsid w:val="00E10A50"/>
    <w:rsid w:val="00E10B47"/>
    <w:rsid w:val="00E10C5A"/>
    <w:rsid w:val="00E10C88"/>
    <w:rsid w:val="00E10C98"/>
    <w:rsid w:val="00E10D9D"/>
    <w:rsid w:val="00E10FD3"/>
    <w:rsid w:val="00E112BA"/>
    <w:rsid w:val="00E112F4"/>
    <w:rsid w:val="00E114EA"/>
    <w:rsid w:val="00E11582"/>
    <w:rsid w:val="00E11729"/>
    <w:rsid w:val="00E11837"/>
    <w:rsid w:val="00E119BB"/>
    <w:rsid w:val="00E11B5D"/>
    <w:rsid w:val="00E11CFB"/>
    <w:rsid w:val="00E11D1F"/>
    <w:rsid w:val="00E11D70"/>
    <w:rsid w:val="00E11DE4"/>
    <w:rsid w:val="00E11DF2"/>
    <w:rsid w:val="00E11FE3"/>
    <w:rsid w:val="00E12061"/>
    <w:rsid w:val="00E120AC"/>
    <w:rsid w:val="00E12183"/>
    <w:rsid w:val="00E122E8"/>
    <w:rsid w:val="00E123AE"/>
    <w:rsid w:val="00E123F1"/>
    <w:rsid w:val="00E12500"/>
    <w:rsid w:val="00E1253F"/>
    <w:rsid w:val="00E1265A"/>
    <w:rsid w:val="00E1294C"/>
    <w:rsid w:val="00E12A12"/>
    <w:rsid w:val="00E12A53"/>
    <w:rsid w:val="00E12A70"/>
    <w:rsid w:val="00E12AD2"/>
    <w:rsid w:val="00E12BDA"/>
    <w:rsid w:val="00E12C02"/>
    <w:rsid w:val="00E12D13"/>
    <w:rsid w:val="00E12E2A"/>
    <w:rsid w:val="00E12EB5"/>
    <w:rsid w:val="00E13017"/>
    <w:rsid w:val="00E13248"/>
    <w:rsid w:val="00E13267"/>
    <w:rsid w:val="00E133C1"/>
    <w:rsid w:val="00E133CB"/>
    <w:rsid w:val="00E135E2"/>
    <w:rsid w:val="00E13617"/>
    <w:rsid w:val="00E1367F"/>
    <w:rsid w:val="00E13B1D"/>
    <w:rsid w:val="00E13B7A"/>
    <w:rsid w:val="00E13D3F"/>
    <w:rsid w:val="00E13D69"/>
    <w:rsid w:val="00E13E36"/>
    <w:rsid w:val="00E13E38"/>
    <w:rsid w:val="00E13E8D"/>
    <w:rsid w:val="00E14064"/>
    <w:rsid w:val="00E141B1"/>
    <w:rsid w:val="00E1449C"/>
    <w:rsid w:val="00E14523"/>
    <w:rsid w:val="00E1457E"/>
    <w:rsid w:val="00E14625"/>
    <w:rsid w:val="00E14641"/>
    <w:rsid w:val="00E1479F"/>
    <w:rsid w:val="00E147A6"/>
    <w:rsid w:val="00E1482E"/>
    <w:rsid w:val="00E14897"/>
    <w:rsid w:val="00E1499B"/>
    <w:rsid w:val="00E14AF3"/>
    <w:rsid w:val="00E14BC9"/>
    <w:rsid w:val="00E14BD5"/>
    <w:rsid w:val="00E14D0A"/>
    <w:rsid w:val="00E14D4F"/>
    <w:rsid w:val="00E14E99"/>
    <w:rsid w:val="00E14F3C"/>
    <w:rsid w:val="00E14F3F"/>
    <w:rsid w:val="00E14F7A"/>
    <w:rsid w:val="00E15056"/>
    <w:rsid w:val="00E150EC"/>
    <w:rsid w:val="00E1515B"/>
    <w:rsid w:val="00E1524F"/>
    <w:rsid w:val="00E15406"/>
    <w:rsid w:val="00E1543D"/>
    <w:rsid w:val="00E15658"/>
    <w:rsid w:val="00E1585E"/>
    <w:rsid w:val="00E15870"/>
    <w:rsid w:val="00E15947"/>
    <w:rsid w:val="00E15AB3"/>
    <w:rsid w:val="00E15BB4"/>
    <w:rsid w:val="00E15D40"/>
    <w:rsid w:val="00E15DB1"/>
    <w:rsid w:val="00E15E3D"/>
    <w:rsid w:val="00E15EB7"/>
    <w:rsid w:val="00E15F11"/>
    <w:rsid w:val="00E1609C"/>
    <w:rsid w:val="00E160FE"/>
    <w:rsid w:val="00E162C8"/>
    <w:rsid w:val="00E16388"/>
    <w:rsid w:val="00E16452"/>
    <w:rsid w:val="00E165C0"/>
    <w:rsid w:val="00E1664D"/>
    <w:rsid w:val="00E1683D"/>
    <w:rsid w:val="00E16C6B"/>
    <w:rsid w:val="00E16CEA"/>
    <w:rsid w:val="00E16E02"/>
    <w:rsid w:val="00E16EB8"/>
    <w:rsid w:val="00E16F4D"/>
    <w:rsid w:val="00E16FCA"/>
    <w:rsid w:val="00E17018"/>
    <w:rsid w:val="00E170F7"/>
    <w:rsid w:val="00E171AE"/>
    <w:rsid w:val="00E1728E"/>
    <w:rsid w:val="00E1754D"/>
    <w:rsid w:val="00E17552"/>
    <w:rsid w:val="00E17579"/>
    <w:rsid w:val="00E1775E"/>
    <w:rsid w:val="00E17850"/>
    <w:rsid w:val="00E17E0D"/>
    <w:rsid w:val="00E17E34"/>
    <w:rsid w:val="00E17E89"/>
    <w:rsid w:val="00E17F82"/>
    <w:rsid w:val="00E17FFC"/>
    <w:rsid w:val="00E2005E"/>
    <w:rsid w:val="00E20306"/>
    <w:rsid w:val="00E20392"/>
    <w:rsid w:val="00E204ED"/>
    <w:rsid w:val="00E2057C"/>
    <w:rsid w:val="00E20627"/>
    <w:rsid w:val="00E206D1"/>
    <w:rsid w:val="00E207A4"/>
    <w:rsid w:val="00E20800"/>
    <w:rsid w:val="00E209E7"/>
    <w:rsid w:val="00E20ACC"/>
    <w:rsid w:val="00E20D48"/>
    <w:rsid w:val="00E20E81"/>
    <w:rsid w:val="00E20F3A"/>
    <w:rsid w:val="00E2101F"/>
    <w:rsid w:val="00E21534"/>
    <w:rsid w:val="00E215F6"/>
    <w:rsid w:val="00E2166F"/>
    <w:rsid w:val="00E217C3"/>
    <w:rsid w:val="00E2184A"/>
    <w:rsid w:val="00E219C2"/>
    <w:rsid w:val="00E21B03"/>
    <w:rsid w:val="00E21C0B"/>
    <w:rsid w:val="00E21C9F"/>
    <w:rsid w:val="00E21D4A"/>
    <w:rsid w:val="00E21E0B"/>
    <w:rsid w:val="00E22028"/>
    <w:rsid w:val="00E220A1"/>
    <w:rsid w:val="00E220CE"/>
    <w:rsid w:val="00E22168"/>
    <w:rsid w:val="00E221C0"/>
    <w:rsid w:val="00E2227E"/>
    <w:rsid w:val="00E222E6"/>
    <w:rsid w:val="00E223B9"/>
    <w:rsid w:val="00E22430"/>
    <w:rsid w:val="00E22445"/>
    <w:rsid w:val="00E224EE"/>
    <w:rsid w:val="00E2270F"/>
    <w:rsid w:val="00E2283F"/>
    <w:rsid w:val="00E22888"/>
    <w:rsid w:val="00E22C2A"/>
    <w:rsid w:val="00E22E70"/>
    <w:rsid w:val="00E23027"/>
    <w:rsid w:val="00E23276"/>
    <w:rsid w:val="00E233C0"/>
    <w:rsid w:val="00E233DF"/>
    <w:rsid w:val="00E23587"/>
    <w:rsid w:val="00E23598"/>
    <w:rsid w:val="00E2369E"/>
    <w:rsid w:val="00E23A2C"/>
    <w:rsid w:val="00E23AE1"/>
    <w:rsid w:val="00E23C09"/>
    <w:rsid w:val="00E23C5B"/>
    <w:rsid w:val="00E23D3D"/>
    <w:rsid w:val="00E23DAE"/>
    <w:rsid w:val="00E23EB4"/>
    <w:rsid w:val="00E23FB6"/>
    <w:rsid w:val="00E2401F"/>
    <w:rsid w:val="00E24044"/>
    <w:rsid w:val="00E240AF"/>
    <w:rsid w:val="00E240EA"/>
    <w:rsid w:val="00E2425B"/>
    <w:rsid w:val="00E243FC"/>
    <w:rsid w:val="00E24473"/>
    <w:rsid w:val="00E244BD"/>
    <w:rsid w:val="00E244E3"/>
    <w:rsid w:val="00E246A0"/>
    <w:rsid w:val="00E248B1"/>
    <w:rsid w:val="00E248FB"/>
    <w:rsid w:val="00E24BC7"/>
    <w:rsid w:val="00E24C8E"/>
    <w:rsid w:val="00E24CD7"/>
    <w:rsid w:val="00E24D3D"/>
    <w:rsid w:val="00E2514B"/>
    <w:rsid w:val="00E25156"/>
    <w:rsid w:val="00E2522A"/>
    <w:rsid w:val="00E252E4"/>
    <w:rsid w:val="00E25401"/>
    <w:rsid w:val="00E25416"/>
    <w:rsid w:val="00E25704"/>
    <w:rsid w:val="00E25827"/>
    <w:rsid w:val="00E25841"/>
    <w:rsid w:val="00E2585E"/>
    <w:rsid w:val="00E25B70"/>
    <w:rsid w:val="00E25BDB"/>
    <w:rsid w:val="00E25C31"/>
    <w:rsid w:val="00E25C93"/>
    <w:rsid w:val="00E25E5E"/>
    <w:rsid w:val="00E25F3F"/>
    <w:rsid w:val="00E26046"/>
    <w:rsid w:val="00E2604F"/>
    <w:rsid w:val="00E260A3"/>
    <w:rsid w:val="00E2665E"/>
    <w:rsid w:val="00E26941"/>
    <w:rsid w:val="00E26A4B"/>
    <w:rsid w:val="00E26A80"/>
    <w:rsid w:val="00E26A8D"/>
    <w:rsid w:val="00E26AC4"/>
    <w:rsid w:val="00E26BBC"/>
    <w:rsid w:val="00E26C63"/>
    <w:rsid w:val="00E26D15"/>
    <w:rsid w:val="00E26F0E"/>
    <w:rsid w:val="00E26FEE"/>
    <w:rsid w:val="00E27027"/>
    <w:rsid w:val="00E2734F"/>
    <w:rsid w:val="00E276CF"/>
    <w:rsid w:val="00E277C0"/>
    <w:rsid w:val="00E279EB"/>
    <w:rsid w:val="00E27ABE"/>
    <w:rsid w:val="00E27B5D"/>
    <w:rsid w:val="00E27C55"/>
    <w:rsid w:val="00E27DDB"/>
    <w:rsid w:val="00E27F88"/>
    <w:rsid w:val="00E304AA"/>
    <w:rsid w:val="00E3059A"/>
    <w:rsid w:val="00E306C6"/>
    <w:rsid w:val="00E30733"/>
    <w:rsid w:val="00E307DB"/>
    <w:rsid w:val="00E309FC"/>
    <w:rsid w:val="00E309FD"/>
    <w:rsid w:val="00E30CD1"/>
    <w:rsid w:val="00E30D67"/>
    <w:rsid w:val="00E30FC5"/>
    <w:rsid w:val="00E311EF"/>
    <w:rsid w:val="00E313AE"/>
    <w:rsid w:val="00E314F6"/>
    <w:rsid w:val="00E316FC"/>
    <w:rsid w:val="00E31702"/>
    <w:rsid w:val="00E317E2"/>
    <w:rsid w:val="00E31826"/>
    <w:rsid w:val="00E3195E"/>
    <w:rsid w:val="00E319A8"/>
    <w:rsid w:val="00E319FE"/>
    <w:rsid w:val="00E31AA6"/>
    <w:rsid w:val="00E31B75"/>
    <w:rsid w:val="00E31B79"/>
    <w:rsid w:val="00E31CE9"/>
    <w:rsid w:val="00E31D8A"/>
    <w:rsid w:val="00E31FA8"/>
    <w:rsid w:val="00E321E8"/>
    <w:rsid w:val="00E322CD"/>
    <w:rsid w:val="00E3242E"/>
    <w:rsid w:val="00E32450"/>
    <w:rsid w:val="00E324D9"/>
    <w:rsid w:val="00E3257C"/>
    <w:rsid w:val="00E325DB"/>
    <w:rsid w:val="00E325EA"/>
    <w:rsid w:val="00E3274A"/>
    <w:rsid w:val="00E32998"/>
    <w:rsid w:val="00E32A59"/>
    <w:rsid w:val="00E32AE4"/>
    <w:rsid w:val="00E32C12"/>
    <w:rsid w:val="00E32DF1"/>
    <w:rsid w:val="00E32E73"/>
    <w:rsid w:val="00E32F20"/>
    <w:rsid w:val="00E32F5B"/>
    <w:rsid w:val="00E32F8C"/>
    <w:rsid w:val="00E330C9"/>
    <w:rsid w:val="00E331BB"/>
    <w:rsid w:val="00E3330E"/>
    <w:rsid w:val="00E33346"/>
    <w:rsid w:val="00E333BC"/>
    <w:rsid w:val="00E3351F"/>
    <w:rsid w:val="00E3368F"/>
    <w:rsid w:val="00E336D6"/>
    <w:rsid w:val="00E337EC"/>
    <w:rsid w:val="00E33992"/>
    <w:rsid w:val="00E33AA7"/>
    <w:rsid w:val="00E33AD2"/>
    <w:rsid w:val="00E33CDC"/>
    <w:rsid w:val="00E33D07"/>
    <w:rsid w:val="00E33F98"/>
    <w:rsid w:val="00E3400F"/>
    <w:rsid w:val="00E34085"/>
    <w:rsid w:val="00E3417B"/>
    <w:rsid w:val="00E342A3"/>
    <w:rsid w:val="00E343C0"/>
    <w:rsid w:val="00E344CD"/>
    <w:rsid w:val="00E344F7"/>
    <w:rsid w:val="00E34661"/>
    <w:rsid w:val="00E34785"/>
    <w:rsid w:val="00E34927"/>
    <w:rsid w:val="00E34974"/>
    <w:rsid w:val="00E34A90"/>
    <w:rsid w:val="00E34AC8"/>
    <w:rsid w:val="00E34CCD"/>
    <w:rsid w:val="00E34F81"/>
    <w:rsid w:val="00E35061"/>
    <w:rsid w:val="00E350D8"/>
    <w:rsid w:val="00E35101"/>
    <w:rsid w:val="00E35197"/>
    <w:rsid w:val="00E35337"/>
    <w:rsid w:val="00E3540D"/>
    <w:rsid w:val="00E356E5"/>
    <w:rsid w:val="00E35780"/>
    <w:rsid w:val="00E3583C"/>
    <w:rsid w:val="00E358DD"/>
    <w:rsid w:val="00E35D14"/>
    <w:rsid w:val="00E3632C"/>
    <w:rsid w:val="00E3635C"/>
    <w:rsid w:val="00E36399"/>
    <w:rsid w:val="00E364BF"/>
    <w:rsid w:val="00E3665B"/>
    <w:rsid w:val="00E36781"/>
    <w:rsid w:val="00E367F0"/>
    <w:rsid w:val="00E3682C"/>
    <w:rsid w:val="00E36919"/>
    <w:rsid w:val="00E36C11"/>
    <w:rsid w:val="00E36F51"/>
    <w:rsid w:val="00E36F74"/>
    <w:rsid w:val="00E36F7E"/>
    <w:rsid w:val="00E36FFC"/>
    <w:rsid w:val="00E37159"/>
    <w:rsid w:val="00E3732A"/>
    <w:rsid w:val="00E37501"/>
    <w:rsid w:val="00E3757E"/>
    <w:rsid w:val="00E3776B"/>
    <w:rsid w:val="00E37785"/>
    <w:rsid w:val="00E37966"/>
    <w:rsid w:val="00E3798D"/>
    <w:rsid w:val="00E37B93"/>
    <w:rsid w:val="00E37BBC"/>
    <w:rsid w:val="00E37C0B"/>
    <w:rsid w:val="00E37DA8"/>
    <w:rsid w:val="00E37E7B"/>
    <w:rsid w:val="00E37F76"/>
    <w:rsid w:val="00E4001D"/>
    <w:rsid w:val="00E40025"/>
    <w:rsid w:val="00E40362"/>
    <w:rsid w:val="00E404E5"/>
    <w:rsid w:val="00E40619"/>
    <w:rsid w:val="00E406EA"/>
    <w:rsid w:val="00E407B3"/>
    <w:rsid w:val="00E40840"/>
    <w:rsid w:val="00E40981"/>
    <w:rsid w:val="00E409BC"/>
    <w:rsid w:val="00E40B83"/>
    <w:rsid w:val="00E40D24"/>
    <w:rsid w:val="00E40DAE"/>
    <w:rsid w:val="00E40E38"/>
    <w:rsid w:val="00E40E9F"/>
    <w:rsid w:val="00E40EAA"/>
    <w:rsid w:val="00E40F04"/>
    <w:rsid w:val="00E40F62"/>
    <w:rsid w:val="00E410EC"/>
    <w:rsid w:val="00E41155"/>
    <w:rsid w:val="00E412F6"/>
    <w:rsid w:val="00E41336"/>
    <w:rsid w:val="00E4144E"/>
    <w:rsid w:val="00E41497"/>
    <w:rsid w:val="00E415B2"/>
    <w:rsid w:val="00E415D6"/>
    <w:rsid w:val="00E41682"/>
    <w:rsid w:val="00E4170C"/>
    <w:rsid w:val="00E418CB"/>
    <w:rsid w:val="00E41B18"/>
    <w:rsid w:val="00E41B39"/>
    <w:rsid w:val="00E41D0F"/>
    <w:rsid w:val="00E41D2F"/>
    <w:rsid w:val="00E41DA3"/>
    <w:rsid w:val="00E42025"/>
    <w:rsid w:val="00E4207B"/>
    <w:rsid w:val="00E4225C"/>
    <w:rsid w:val="00E422A3"/>
    <w:rsid w:val="00E42368"/>
    <w:rsid w:val="00E4271D"/>
    <w:rsid w:val="00E427BD"/>
    <w:rsid w:val="00E42822"/>
    <w:rsid w:val="00E42986"/>
    <w:rsid w:val="00E42CEA"/>
    <w:rsid w:val="00E42EB0"/>
    <w:rsid w:val="00E42FAB"/>
    <w:rsid w:val="00E4303D"/>
    <w:rsid w:val="00E43064"/>
    <w:rsid w:val="00E431A1"/>
    <w:rsid w:val="00E43249"/>
    <w:rsid w:val="00E43257"/>
    <w:rsid w:val="00E43491"/>
    <w:rsid w:val="00E436A2"/>
    <w:rsid w:val="00E4386B"/>
    <w:rsid w:val="00E439A8"/>
    <w:rsid w:val="00E43A1D"/>
    <w:rsid w:val="00E43AA8"/>
    <w:rsid w:val="00E43AFE"/>
    <w:rsid w:val="00E43BA8"/>
    <w:rsid w:val="00E43E1D"/>
    <w:rsid w:val="00E43EEF"/>
    <w:rsid w:val="00E4440A"/>
    <w:rsid w:val="00E44434"/>
    <w:rsid w:val="00E44479"/>
    <w:rsid w:val="00E444C8"/>
    <w:rsid w:val="00E444EC"/>
    <w:rsid w:val="00E4455D"/>
    <w:rsid w:val="00E447FB"/>
    <w:rsid w:val="00E44839"/>
    <w:rsid w:val="00E448AF"/>
    <w:rsid w:val="00E44D99"/>
    <w:rsid w:val="00E44EF8"/>
    <w:rsid w:val="00E450D3"/>
    <w:rsid w:val="00E450DA"/>
    <w:rsid w:val="00E45138"/>
    <w:rsid w:val="00E4513C"/>
    <w:rsid w:val="00E45187"/>
    <w:rsid w:val="00E4518B"/>
    <w:rsid w:val="00E451A9"/>
    <w:rsid w:val="00E45247"/>
    <w:rsid w:val="00E4532F"/>
    <w:rsid w:val="00E45425"/>
    <w:rsid w:val="00E4543D"/>
    <w:rsid w:val="00E4585B"/>
    <w:rsid w:val="00E458D8"/>
    <w:rsid w:val="00E45915"/>
    <w:rsid w:val="00E45945"/>
    <w:rsid w:val="00E45989"/>
    <w:rsid w:val="00E45A3D"/>
    <w:rsid w:val="00E45B08"/>
    <w:rsid w:val="00E45F1C"/>
    <w:rsid w:val="00E46155"/>
    <w:rsid w:val="00E4618D"/>
    <w:rsid w:val="00E46227"/>
    <w:rsid w:val="00E462DB"/>
    <w:rsid w:val="00E46464"/>
    <w:rsid w:val="00E465C5"/>
    <w:rsid w:val="00E4663D"/>
    <w:rsid w:val="00E466AF"/>
    <w:rsid w:val="00E46982"/>
    <w:rsid w:val="00E469BE"/>
    <w:rsid w:val="00E46A01"/>
    <w:rsid w:val="00E46A48"/>
    <w:rsid w:val="00E46A8E"/>
    <w:rsid w:val="00E46CB7"/>
    <w:rsid w:val="00E46D91"/>
    <w:rsid w:val="00E46DEF"/>
    <w:rsid w:val="00E46E1E"/>
    <w:rsid w:val="00E46F4E"/>
    <w:rsid w:val="00E47017"/>
    <w:rsid w:val="00E47191"/>
    <w:rsid w:val="00E47235"/>
    <w:rsid w:val="00E4747E"/>
    <w:rsid w:val="00E474A0"/>
    <w:rsid w:val="00E47C1F"/>
    <w:rsid w:val="00E47C4D"/>
    <w:rsid w:val="00E47F13"/>
    <w:rsid w:val="00E47F1C"/>
    <w:rsid w:val="00E501C9"/>
    <w:rsid w:val="00E50214"/>
    <w:rsid w:val="00E505D5"/>
    <w:rsid w:val="00E5068B"/>
    <w:rsid w:val="00E50783"/>
    <w:rsid w:val="00E507BE"/>
    <w:rsid w:val="00E508CC"/>
    <w:rsid w:val="00E508F0"/>
    <w:rsid w:val="00E509C3"/>
    <w:rsid w:val="00E50D15"/>
    <w:rsid w:val="00E50F07"/>
    <w:rsid w:val="00E51006"/>
    <w:rsid w:val="00E5125C"/>
    <w:rsid w:val="00E51470"/>
    <w:rsid w:val="00E516B0"/>
    <w:rsid w:val="00E516D5"/>
    <w:rsid w:val="00E518A7"/>
    <w:rsid w:val="00E51A64"/>
    <w:rsid w:val="00E51B1E"/>
    <w:rsid w:val="00E51B55"/>
    <w:rsid w:val="00E51BA7"/>
    <w:rsid w:val="00E51CE1"/>
    <w:rsid w:val="00E51E5B"/>
    <w:rsid w:val="00E51F1A"/>
    <w:rsid w:val="00E52000"/>
    <w:rsid w:val="00E52253"/>
    <w:rsid w:val="00E525A5"/>
    <w:rsid w:val="00E5280D"/>
    <w:rsid w:val="00E52819"/>
    <w:rsid w:val="00E528F5"/>
    <w:rsid w:val="00E5291E"/>
    <w:rsid w:val="00E529F5"/>
    <w:rsid w:val="00E52A6B"/>
    <w:rsid w:val="00E52DFE"/>
    <w:rsid w:val="00E52E6A"/>
    <w:rsid w:val="00E52ECB"/>
    <w:rsid w:val="00E52FBD"/>
    <w:rsid w:val="00E530B4"/>
    <w:rsid w:val="00E530FD"/>
    <w:rsid w:val="00E5320B"/>
    <w:rsid w:val="00E53242"/>
    <w:rsid w:val="00E53395"/>
    <w:rsid w:val="00E53526"/>
    <w:rsid w:val="00E5356B"/>
    <w:rsid w:val="00E535B8"/>
    <w:rsid w:val="00E53920"/>
    <w:rsid w:val="00E53B16"/>
    <w:rsid w:val="00E53B64"/>
    <w:rsid w:val="00E53CDF"/>
    <w:rsid w:val="00E53E00"/>
    <w:rsid w:val="00E53EDE"/>
    <w:rsid w:val="00E5403D"/>
    <w:rsid w:val="00E541BC"/>
    <w:rsid w:val="00E54221"/>
    <w:rsid w:val="00E542F6"/>
    <w:rsid w:val="00E5439E"/>
    <w:rsid w:val="00E54423"/>
    <w:rsid w:val="00E54468"/>
    <w:rsid w:val="00E54699"/>
    <w:rsid w:val="00E549D1"/>
    <w:rsid w:val="00E54B29"/>
    <w:rsid w:val="00E54D1B"/>
    <w:rsid w:val="00E54F48"/>
    <w:rsid w:val="00E54F5D"/>
    <w:rsid w:val="00E55100"/>
    <w:rsid w:val="00E5539C"/>
    <w:rsid w:val="00E553A6"/>
    <w:rsid w:val="00E5541E"/>
    <w:rsid w:val="00E555C7"/>
    <w:rsid w:val="00E5560D"/>
    <w:rsid w:val="00E5565C"/>
    <w:rsid w:val="00E556B2"/>
    <w:rsid w:val="00E557F4"/>
    <w:rsid w:val="00E55988"/>
    <w:rsid w:val="00E559AA"/>
    <w:rsid w:val="00E55A45"/>
    <w:rsid w:val="00E55D1C"/>
    <w:rsid w:val="00E55D41"/>
    <w:rsid w:val="00E56001"/>
    <w:rsid w:val="00E56039"/>
    <w:rsid w:val="00E56184"/>
    <w:rsid w:val="00E56287"/>
    <w:rsid w:val="00E56389"/>
    <w:rsid w:val="00E56409"/>
    <w:rsid w:val="00E56498"/>
    <w:rsid w:val="00E5650A"/>
    <w:rsid w:val="00E566FC"/>
    <w:rsid w:val="00E5670E"/>
    <w:rsid w:val="00E56A61"/>
    <w:rsid w:val="00E56B00"/>
    <w:rsid w:val="00E56E24"/>
    <w:rsid w:val="00E56EC9"/>
    <w:rsid w:val="00E56F40"/>
    <w:rsid w:val="00E56F95"/>
    <w:rsid w:val="00E56FCF"/>
    <w:rsid w:val="00E5708C"/>
    <w:rsid w:val="00E57124"/>
    <w:rsid w:val="00E57423"/>
    <w:rsid w:val="00E574EC"/>
    <w:rsid w:val="00E57506"/>
    <w:rsid w:val="00E57557"/>
    <w:rsid w:val="00E575C9"/>
    <w:rsid w:val="00E577DF"/>
    <w:rsid w:val="00E5789D"/>
    <w:rsid w:val="00E57A2C"/>
    <w:rsid w:val="00E57B7C"/>
    <w:rsid w:val="00E57C5F"/>
    <w:rsid w:val="00E57CA7"/>
    <w:rsid w:val="00E57D64"/>
    <w:rsid w:val="00E57E7B"/>
    <w:rsid w:val="00E57F9C"/>
    <w:rsid w:val="00E600AE"/>
    <w:rsid w:val="00E606C7"/>
    <w:rsid w:val="00E60745"/>
    <w:rsid w:val="00E6086F"/>
    <w:rsid w:val="00E60B31"/>
    <w:rsid w:val="00E60C18"/>
    <w:rsid w:val="00E60F4A"/>
    <w:rsid w:val="00E60F76"/>
    <w:rsid w:val="00E610E1"/>
    <w:rsid w:val="00E61139"/>
    <w:rsid w:val="00E61283"/>
    <w:rsid w:val="00E614D0"/>
    <w:rsid w:val="00E61563"/>
    <w:rsid w:val="00E6157A"/>
    <w:rsid w:val="00E615BA"/>
    <w:rsid w:val="00E615DA"/>
    <w:rsid w:val="00E615F9"/>
    <w:rsid w:val="00E616EC"/>
    <w:rsid w:val="00E6193C"/>
    <w:rsid w:val="00E619F9"/>
    <w:rsid w:val="00E61A55"/>
    <w:rsid w:val="00E61C28"/>
    <w:rsid w:val="00E61CE4"/>
    <w:rsid w:val="00E61CF1"/>
    <w:rsid w:val="00E61D7F"/>
    <w:rsid w:val="00E61D86"/>
    <w:rsid w:val="00E61E33"/>
    <w:rsid w:val="00E61E55"/>
    <w:rsid w:val="00E61F62"/>
    <w:rsid w:val="00E61FF8"/>
    <w:rsid w:val="00E62268"/>
    <w:rsid w:val="00E62424"/>
    <w:rsid w:val="00E62892"/>
    <w:rsid w:val="00E62897"/>
    <w:rsid w:val="00E629BE"/>
    <w:rsid w:val="00E62A10"/>
    <w:rsid w:val="00E62BC2"/>
    <w:rsid w:val="00E62C70"/>
    <w:rsid w:val="00E62D03"/>
    <w:rsid w:val="00E62D1A"/>
    <w:rsid w:val="00E62D6C"/>
    <w:rsid w:val="00E62F59"/>
    <w:rsid w:val="00E630B4"/>
    <w:rsid w:val="00E6320C"/>
    <w:rsid w:val="00E6320D"/>
    <w:rsid w:val="00E63213"/>
    <w:rsid w:val="00E632A5"/>
    <w:rsid w:val="00E63327"/>
    <w:rsid w:val="00E63361"/>
    <w:rsid w:val="00E63539"/>
    <w:rsid w:val="00E63853"/>
    <w:rsid w:val="00E638C1"/>
    <w:rsid w:val="00E639B0"/>
    <w:rsid w:val="00E63AA3"/>
    <w:rsid w:val="00E63B8F"/>
    <w:rsid w:val="00E63DAA"/>
    <w:rsid w:val="00E63EC1"/>
    <w:rsid w:val="00E63F2C"/>
    <w:rsid w:val="00E63F6F"/>
    <w:rsid w:val="00E63F89"/>
    <w:rsid w:val="00E64183"/>
    <w:rsid w:val="00E641B7"/>
    <w:rsid w:val="00E6425F"/>
    <w:rsid w:val="00E642DB"/>
    <w:rsid w:val="00E64330"/>
    <w:rsid w:val="00E64339"/>
    <w:rsid w:val="00E644DE"/>
    <w:rsid w:val="00E645A8"/>
    <w:rsid w:val="00E64642"/>
    <w:rsid w:val="00E64645"/>
    <w:rsid w:val="00E6480B"/>
    <w:rsid w:val="00E649D6"/>
    <w:rsid w:val="00E64A5D"/>
    <w:rsid w:val="00E64B03"/>
    <w:rsid w:val="00E64B87"/>
    <w:rsid w:val="00E64C96"/>
    <w:rsid w:val="00E64CC0"/>
    <w:rsid w:val="00E64CEC"/>
    <w:rsid w:val="00E64CF8"/>
    <w:rsid w:val="00E64DD5"/>
    <w:rsid w:val="00E64E5D"/>
    <w:rsid w:val="00E65153"/>
    <w:rsid w:val="00E6517B"/>
    <w:rsid w:val="00E65251"/>
    <w:rsid w:val="00E65C11"/>
    <w:rsid w:val="00E65CCC"/>
    <w:rsid w:val="00E6609B"/>
    <w:rsid w:val="00E66201"/>
    <w:rsid w:val="00E662F2"/>
    <w:rsid w:val="00E66526"/>
    <w:rsid w:val="00E66546"/>
    <w:rsid w:val="00E66566"/>
    <w:rsid w:val="00E667E9"/>
    <w:rsid w:val="00E667EB"/>
    <w:rsid w:val="00E6686E"/>
    <w:rsid w:val="00E66A53"/>
    <w:rsid w:val="00E66CB2"/>
    <w:rsid w:val="00E6701C"/>
    <w:rsid w:val="00E67263"/>
    <w:rsid w:val="00E672A1"/>
    <w:rsid w:val="00E672D2"/>
    <w:rsid w:val="00E67384"/>
    <w:rsid w:val="00E6750C"/>
    <w:rsid w:val="00E6750F"/>
    <w:rsid w:val="00E67A02"/>
    <w:rsid w:val="00E67A30"/>
    <w:rsid w:val="00E67CE2"/>
    <w:rsid w:val="00E67E3A"/>
    <w:rsid w:val="00E67FF7"/>
    <w:rsid w:val="00E701AA"/>
    <w:rsid w:val="00E701C3"/>
    <w:rsid w:val="00E70327"/>
    <w:rsid w:val="00E70385"/>
    <w:rsid w:val="00E70443"/>
    <w:rsid w:val="00E7055A"/>
    <w:rsid w:val="00E7072B"/>
    <w:rsid w:val="00E70782"/>
    <w:rsid w:val="00E709C5"/>
    <w:rsid w:val="00E709D3"/>
    <w:rsid w:val="00E70AE8"/>
    <w:rsid w:val="00E70BF9"/>
    <w:rsid w:val="00E70C20"/>
    <w:rsid w:val="00E70CDA"/>
    <w:rsid w:val="00E70D1F"/>
    <w:rsid w:val="00E70DCC"/>
    <w:rsid w:val="00E70F75"/>
    <w:rsid w:val="00E70F84"/>
    <w:rsid w:val="00E710EE"/>
    <w:rsid w:val="00E712D8"/>
    <w:rsid w:val="00E71373"/>
    <w:rsid w:val="00E7140A"/>
    <w:rsid w:val="00E71415"/>
    <w:rsid w:val="00E714EF"/>
    <w:rsid w:val="00E716C7"/>
    <w:rsid w:val="00E71762"/>
    <w:rsid w:val="00E717B9"/>
    <w:rsid w:val="00E71AC4"/>
    <w:rsid w:val="00E71CC0"/>
    <w:rsid w:val="00E71D96"/>
    <w:rsid w:val="00E71E38"/>
    <w:rsid w:val="00E71E73"/>
    <w:rsid w:val="00E71F0B"/>
    <w:rsid w:val="00E71F39"/>
    <w:rsid w:val="00E71F64"/>
    <w:rsid w:val="00E72101"/>
    <w:rsid w:val="00E7221D"/>
    <w:rsid w:val="00E72265"/>
    <w:rsid w:val="00E72279"/>
    <w:rsid w:val="00E72721"/>
    <w:rsid w:val="00E7289A"/>
    <w:rsid w:val="00E72A83"/>
    <w:rsid w:val="00E72AAF"/>
    <w:rsid w:val="00E72BFB"/>
    <w:rsid w:val="00E72DC2"/>
    <w:rsid w:val="00E72EF5"/>
    <w:rsid w:val="00E7301A"/>
    <w:rsid w:val="00E73296"/>
    <w:rsid w:val="00E732DD"/>
    <w:rsid w:val="00E7341E"/>
    <w:rsid w:val="00E73425"/>
    <w:rsid w:val="00E7347F"/>
    <w:rsid w:val="00E7372A"/>
    <w:rsid w:val="00E737B7"/>
    <w:rsid w:val="00E73914"/>
    <w:rsid w:val="00E73C7E"/>
    <w:rsid w:val="00E73E2E"/>
    <w:rsid w:val="00E740F8"/>
    <w:rsid w:val="00E7412F"/>
    <w:rsid w:val="00E7425A"/>
    <w:rsid w:val="00E74349"/>
    <w:rsid w:val="00E74358"/>
    <w:rsid w:val="00E74555"/>
    <w:rsid w:val="00E745D7"/>
    <w:rsid w:val="00E747CB"/>
    <w:rsid w:val="00E749BF"/>
    <w:rsid w:val="00E74B99"/>
    <w:rsid w:val="00E74C0B"/>
    <w:rsid w:val="00E74C33"/>
    <w:rsid w:val="00E74C94"/>
    <w:rsid w:val="00E74D2B"/>
    <w:rsid w:val="00E7500E"/>
    <w:rsid w:val="00E75067"/>
    <w:rsid w:val="00E75077"/>
    <w:rsid w:val="00E753E5"/>
    <w:rsid w:val="00E75429"/>
    <w:rsid w:val="00E755E5"/>
    <w:rsid w:val="00E7581D"/>
    <w:rsid w:val="00E75993"/>
    <w:rsid w:val="00E759C4"/>
    <w:rsid w:val="00E759EA"/>
    <w:rsid w:val="00E75AB4"/>
    <w:rsid w:val="00E75BE8"/>
    <w:rsid w:val="00E76012"/>
    <w:rsid w:val="00E7615F"/>
    <w:rsid w:val="00E76439"/>
    <w:rsid w:val="00E7657E"/>
    <w:rsid w:val="00E76785"/>
    <w:rsid w:val="00E76849"/>
    <w:rsid w:val="00E7687C"/>
    <w:rsid w:val="00E7691D"/>
    <w:rsid w:val="00E76AE0"/>
    <w:rsid w:val="00E76B04"/>
    <w:rsid w:val="00E76CF5"/>
    <w:rsid w:val="00E76E3E"/>
    <w:rsid w:val="00E770F4"/>
    <w:rsid w:val="00E77640"/>
    <w:rsid w:val="00E77732"/>
    <w:rsid w:val="00E777E0"/>
    <w:rsid w:val="00E77B1C"/>
    <w:rsid w:val="00E77B66"/>
    <w:rsid w:val="00E77B90"/>
    <w:rsid w:val="00E77BEE"/>
    <w:rsid w:val="00E77C86"/>
    <w:rsid w:val="00E77D1E"/>
    <w:rsid w:val="00E77DD0"/>
    <w:rsid w:val="00E77DD9"/>
    <w:rsid w:val="00E77F7C"/>
    <w:rsid w:val="00E80005"/>
    <w:rsid w:val="00E80120"/>
    <w:rsid w:val="00E80198"/>
    <w:rsid w:val="00E802B4"/>
    <w:rsid w:val="00E80580"/>
    <w:rsid w:val="00E80A26"/>
    <w:rsid w:val="00E80C1E"/>
    <w:rsid w:val="00E80CD1"/>
    <w:rsid w:val="00E80D4B"/>
    <w:rsid w:val="00E80DBC"/>
    <w:rsid w:val="00E8106E"/>
    <w:rsid w:val="00E8134E"/>
    <w:rsid w:val="00E8138B"/>
    <w:rsid w:val="00E8167A"/>
    <w:rsid w:val="00E8176C"/>
    <w:rsid w:val="00E81A4D"/>
    <w:rsid w:val="00E81A87"/>
    <w:rsid w:val="00E81BCD"/>
    <w:rsid w:val="00E81BD6"/>
    <w:rsid w:val="00E81C02"/>
    <w:rsid w:val="00E81C18"/>
    <w:rsid w:val="00E81F98"/>
    <w:rsid w:val="00E82001"/>
    <w:rsid w:val="00E8212A"/>
    <w:rsid w:val="00E822F0"/>
    <w:rsid w:val="00E82567"/>
    <w:rsid w:val="00E82847"/>
    <w:rsid w:val="00E8285C"/>
    <w:rsid w:val="00E829C9"/>
    <w:rsid w:val="00E829CF"/>
    <w:rsid w:val="00E829EA"/>
    <w:rsid w:val="00E82A5D"/>
    <w:rsid w:val="00E82AA6"/>
    <w:rsid w:val="00E82ADB"/>
    <w:rsid w:val="00E82B60"/>
    <w:rsid w:val="00E82C13"/>
    <w:rsid w:val="00E82C6B"/>
    <w:rsid w:val="00E82DD9"/>
    <w:rsid w:val="00E82FE2"/>
    <w:rsid w:val="00E83173"/>
    <w:rsid w:val="00E831EE"/>
    <w:rsid w:val="00E83214"/>
    <w:rsid w:val="00E832FF"/>
    <w:rsid w:val="00E83434"/>
    <w:rsid w:val="00E836D3"/>
    <w:rsid w:val="00E83780"/>
    <w:rsid w:val="00E83895"/>
    <w:rsid w:val="00E838B1"/>
    <w:rsid w:val="00E83948"/>
    <w:rsid w:val="00E8396A"/>
    <w:rsid w:val="00E83CF9"/>
    <w:rsid w:val="00E83E1B"/>
    <w:rsid w:val="00E83E22"/>
    <w:rsid w:val="00E83E74"/>
    <w:rsid w:val="00E83F4E"/>
    <w:rsid w:val="00E83F7B"/>
    <w:rsid w:val="00E83FD2"/>
    <w:rsid w:val="00E84315"/>
    <w:rsid w:val="00E8441B"/>
    <w:rsid w:val="00E84539"/>
    <w:rsid w:val="00E84876"/>
    <w:rsid w:val="00E84AFA"/>
    <w:rsid w:val="00E84BA1"/>
    <w:rsid w:val="00E84EC4"/>
    <w:rsid w:val="00E84F37"/>
    <w:rsid w:val="00E84F48"/>
    <w:rsid w:val="00E84F73"/>
    <w:rsid w:val="00E85009"/>
    <w:rsid w:val="00E851B3"/>
    <w:rsid w:val="00E85466"/>
    <w:rsid w:val="00E854E4"/>
    <w:rsid w:val="00E85522"/>
    <w:rsid w:val="00E85554"/>
    <w:rsid w:val="00E85880"/>
    <w:rsid w:val="00E85966"/>
    <w:rsid w:val="00E859A4"/>
    <w:rsid w:val="00E859CC"/>
    <w:rsid w:val="00E85B39"/>
    <w:rsid w:val="00E85B61"/>
    <w:rsid w:val="00E85F86"/>
    <w:rsid w:val="00E85FEF"/>
    <w:rsid w:val="00E860E9"/>
    <w:rsid w:val="00E8623B"/>
    <w:rsid w:val="00E8640D"/>
    <w:rsid w:val="00E86738"/>
    <w:rsid w:val="00E86916"/>
    <w:rsid w:val="00E86ADC"/>
    <w:rsid w:val="00E86B17"/>
    <w:rsid w:val="00E86BA1"/>
    <w:rsid w:val="00E86D7F"/>
    <w:rsid w:val="00E86EB2"/>
    <w:rsid w:val="00E86EC9"/>
    <w:rsid w:val="00E87063"/>
    <w:rsid w:val="00E871F5"/>
    <w:rsid w:val="00E87240"/>
    <w:rsid w:val="00E87461"/>
    <w:rsid w:val="00E8751A"/>
    <w:rsid w:val="00E875DF"/>
    <w:rsid w:val="00E87893"/>
    <w:rsid w:val="00E878F3"/>
    <w:rsid w:val="00E878F9"/>
    <w:rsid w:val="00E87A14"/>
    <w:rsid w:val="00E87C8E"/>
    <w:rsid w:val="00E90266"/>
    <w:rsid w:val="00E90323"/>
    <w:rsid w:val="00E90391"/>
    <w:rsid w:val="00E903FC"/>
    <w:rsid w:val="00E9059D"/>
    <w:rsid w:val="00E90825"/>
    <w:rsid w:val="00E90936"/>
    <w:rsid w:val="00E90988"/>
    <w:rsid w:val="00E90A67"/>
    <w:rsid w:val="00E90B87"/>
    <w:rsid w:val="00E90B89"/>
    <w:rsid w:val="00E90C81"/>
    <w:rsid w:val="00E90D9C"/>
    <w:rsid w:val="00E90F09"/>
    <w:rsid w:val="00E90F43"/>
    <w:rsid w:val="00E911CB"/>
    <w:rsid w:val="00E9126B"/>
    <w:rsid w:val="00E913AA"/>
    <w:rsid w:val="00E915D5"/>
    <w:rsid w:val="00E91639"/>
    <w:rsid w:val="00E9163D"/>
    <w:rsid w:val="00E9186F"/>
    <w:rsid w:val="00E91D57"/>
    <w:rsid w:val="00E91DD5"/>
    <w:rsid w:val="00E91DFC"/>
    <w:rsid w:val="00E91EB3"/>
    <w:rsid w:val="00E91F7A"/>
    <w:rsid w:val="00E9201D"/>
    <w:rsid w:val="00E92216"/>
    <w:rsid w:val="00E9228D"/>
    <w:rsid w:val="00E9244C"/>
    <w:rsid w:val="00E92456"/>
    <w:rsid w:val="00E9246C"/>
    <w:rsid w:val="00E924AF"/>
    <w:rsid w:val="00E92651"/>
    <w:rsid w:val="00E92687"/>
    <w:rsid w:val="00E92692"/>
    <w:rsid w:val="00E926CF"/>
    <w:rsid w:val="00E92868"/>
    <w:rsid w:val="00E928AC"/>
    <w:rsid w:val="00E92968"/>
    <w:rsid w:val="00E92974"/>
    <w:rsid w:val="00E92A05"/>
    <w:rsid w:val="00E92ADB"/>
    <w:rsid w:val="00E92B23"/>
    <w:rsid w:val="00E92C00"/>
    <w:rsid w:val="00E92C4D"/>
    <w:rsid w:val="00E92CCD"/>
    <w:rsid w:val="00E92D03"/>
    <w:rsid w:val="00E92F98"/>
    <w:rsid w:val="00E9313C"/>
    <w:rsid w:val="00E9321C"/>
    <w:rsid w:val="00E93308"/>
    <w:rsid w:val="00E9331D"/>
    <w:rsid w:val="00E93445"/>
    <w:rsid w:val="00E93465"/>
    <w:rsid w:val="00E934F1"/>
    <w:rsid w:val="00E936AE"/>
    <w:rsid w:val="00E93704"/>
    <w:rsid w:val="00E93A01"/>
    <w:rsid w:val="00E93C5B"/>
    <w:rsid w:val="00E93E76"/>
    <w:rsid w:val="00E93FD1"/>
    <w:rsid w:val="00E941D2"/>
    <w:rsid w:val="00E941DD"/>
    <w:rsid w:val="00E94214"/>
    <w:rsid w:val="00E94256"/>
    <w:rsid w:val="00E9433D"/>
    <w:rsid w:val="00E94441"/>
    <w:rsid w:val="00E9461F"/>
    <w:rsid w:val="00E946EE"/>
    <w:rsid w:val="00E946F2"/>
    <w:rsid w:val="00E947C3"/>
    <w:rsid w:val="00E947E3"/>
    <w:rsid w:val="00E947F6"/>
    <w:rsid w:val="00E948B4"/>
    <w:rsid w:val="00E94A57"/>
    <w:rsid w:val="00E94ADC"/>
    <w:rsid w:val="00E94B0F"/>
    <w:rsid w:val="00E94F15"/>
    <w:rsid w:val="00E94FED"/>
    <w:rsid w:val="00E95070"/>
    <w:rsid w:val="00E950B3"/>
    <w:rsid w:val="00E951CA"/>
    <w:rsid w:val="00E95322"/>
    <w:rsid w:val="00E9535B"/>
    <w:rsid w:val="00E9539D"/>
    <w:rsid w:val="00E95486"/>
    <w:rsid w:val="00E95490"/>
    <w:rsid w:val="00E956FE"/>
    <w:rsid w:val="00E95818"/>
    <w:rsid w:val="00E959D0"/>
    <w:rsid w:val="00E959FD"/>
    <w:rsid w:val="00E95A24"/>
    <w:rsid w:val="00E95A4B"/>
    <w:rsid w:val="00E95BA2"/>
    <w:rsid w:val="00E95DDF"/>
    <w:rsid w:val="00E95E5B"/>
    <w:rsid w:val="00E96053"/>
    <w:rsid w:val="00E960FD"/>
    <w:rsid w:val="00E9631F"/>
    <w:rsid w:val="00E965D7"/>
    <w:rsid w:val="00E96692"/>
    <w:rsid w:val="00E9669F"/>
    <w:rsid w:val="00E96839"/>
    <w:rsid w:val="00E968B7"/>
    <w:rsid w:val="00E968C1"/>
    <w:rsid w:val="00E9692B"/>
    <w:rsid w:val="00E96975"/>
    <w:rsid w:val="00E96C86"/>
    <w:rsid w:val="00E96C9E"/>
    <w:rsid w:val="00E971A1"/>
    <w:rsid w:val="00E971F3"/>
    <w:rsid w:val="00E971F6"/>
    <w:rsid w:val="00E9750E"/>
    <w:rsid w:val="00E976B5"/>
    <w:rsid w:val="00E9786D"/>
    <w:rsid w:val="00E97889"/>
    <w:rsid w:val="00E97B47"/>
    <w:rsid w:val="00E97B84"/>
    <w:rsid w:val="00E97C37"/>
    <w:rsid w:val="00E97D0B"/>
    <w:rsid w:val="00E97D24"/>
    <w:rsid w:val="00E97E45"/>
    <w:rsid w:val="00E97EB3"/>
    <w:rsid w:val="00E97EBE"/>
    <w:rsid w:val="00EA0292"/>
    <w:rsid w:val="00EA03A4"/>
    <w:rsid w:val="00EA0774"/>
    <w:rsid w:val="00EA07B8"/>
    <w:rsid w:val="00EA0881"/>
    <w:rsid w:val="00EA0891"/>
    <w:rsid w:val="00EA0935"/>
    <w:rsid w:val="00EA0B97"/>
    <w:rsid w:val="00EA0CD8"/>
    <w:rsid w:val="00EA0D38"/>
    <w:rsid w:val="00EA0DA7"/>
    <w:rsid w:val="00EA0E54"/>
    <w:rsid w:val="00EA0E5A"/>
    <w:rsid w:val="00EA0FCB"/>
    <w:rsid w:val="00EA0FCD"/>
    <w:rsid w:val="00EA114E"/>
    <w:rsid w:val="00EA1182"/>
    <w:rsid w:val="00EA11C3"/>
    <w:rsid w:val="00EA12C2"/>
    <w:rsid w:val="00EA12DD"/>
    <w:rsid w:val="00EA1307"/>
    <w:rsid w:val="00EA134B"/>
    <w:rsid w:val="00EA141A"/>
    <w:rsid w:val="00EA1472"/>
    <w:rsid w:val="00EA1569"/>
    <w:rsid w:val="00EA1769"/>
    <w:rsid w:val="00EA177D"/>
    <w:rsid w:val="00EA17F8"/>
    <w:rsid w:val="00EA1A19"/>
    <w:rsid w:val="00EA1D55"/>
    <w:rsid w:val="00EA1D9A"/>
    <w:rsid w:val="00EA1FAD"/>
    <w:rsid w:val="00EA20AA"/>
    <w:rsid w:val="00EA2215"/>
    <w:rsid w:val="00EA238C"/>
    <w:rsid w:val="00EA24B1"/>
    <w:rsid w:val="00EA2787"/>
    <w:rsid w:val="00EA29E3"/>
    <w:rsid w:val="00EA2EE2"/>
    <w:rsid w:val="00EA2F0D"/>
    <w:rsid w:val="00EA3041"/>
    <w:rsid w:val="00EA3092"/>
    <w:rsid w:val="00EA30C0"/>
    <w:rsid w:val="00EA314D"/>
    <w:rsid w:val="00EA341B"/>
    <w:rsid w:val="00EA35A5"/>
    <w:rsid w:val="00EA3611"/>
    <w:rsid w:val="00EA3671"/>
    <w:rsid w:val="00EA3A96"/>
    <w:rsid w:val="00EA3B18"/>
    <w:rsid w:val="00EA3CBC"/>
    <w:rsid w:val="00EA4176"/>
    <w:rsid w:val="00EA4178"/>
    <w:rsid w:val="00EA4567"/>
    <w:rsid w:val="00EA4760"/>
    <w:rsid w:val="00EA477E"/>
    <w:rsid w:val="00EA48F8"/>
    <w:rsid w:val="00EA4B1F"/>
    <w:rsid w:val="00EA4E97"/>
    <w:rsid w:val="00EA5121"/>
    <w:rsid w:val="00EA51FF"/>
    <w:rsid w:val="00EA5323"/>
    <w:rsid w:val="00EA53D6"/>
    <w:rsid w:val="00EA58C0"/>
    <w:rsid w:val="00EA590E"/>
    <w:rsid w:val="00EA5C10"/>
    <w:rsid w:val="00EA5CBB"/>
    <w:rsid w:val="00EA5CFB"/>
    <w:rsid w:val="00EA5D0B"/>
    <w:rsid w:val="00EA5D4A"/>
    <w:rsid w:val="00EA6010"/>
    <w:rsid w:val="00EA6024"/>
    <w:rsid w:val="00EA61E0"/>
    <w:rsid w:val="00EA6226"/>
    <w:rsid w:val="00EA629A"/>
    <w:rsid w:val="00EA631D"/>
    <w:rsid w:val="00EA63E7"/>
    <w:rsid w:val="00EA6786"/>
    <w:rsid w:val="00EA68FF"/>
    <w:rsid w:val="00EA690F"/>
    <w:rsid w:val="00EA69A8"/>
    <w:rsid w:val="00EA6AE8"/>
    <w:rsid w:val="00EA6B60"/>
    <w:rsid w:val="00EA6CEB"/>
    <w:rsid w:val="00EA6EC9"/>
    <w:rsid w:val="00EA6FF8"/>
    <w:rsid w:val="00EA72FA"/>
    <w:rsid w:val="00EA737C"/>
    <w:rsid w:val="00EA76F8"/>
    <w:rsid w:val="00EA7739"/>
    <w:rsid w:val="00EA7B6E"/>
    <w:rsid w:val="00EA7B86"/>
    <w:rsid w:val="00EA7C37"/>
    <w:rsid w:val="00EA7EA4"/>
    <w:rsid w:val="00EA7F7F"/>
    <w:rsid w:val="00EA7FBB"/>
    <w:rsid w:val="00EB0051"/>
    <w:rsid w:val="00EB009E"/>
    <w:rsid w:val="00EB00C0"/>
    <w:rsid w:val="00EB0111"/>
    <w:rsid w:val="00EB01DB"/>
    <w:rsid w:val="00EB01FD"/>
    <w:rsid w:val="00EB0403"/>
    <w:rsid w:val="00EB05AE"/>
    <w:rsid w:val="00EB05B7"/>
    <w:rsid w:val="00EB08E6"/>
    <w:rsid w:val="00EB092C"/>
    <w:rsid w:val="00EB0A95"/>
    <w:rsid w:val="00EB0B3E"/>
    <w:rsid w:val="00EB0DEA"/>
    <w:rsid w:val="00EB0E1F"/>
    <w:rsid w:val="00EB0E72"/>
    <w:rsid w:val="00EB10F8"/>
    <w:rsid w:val="00EB1236"/>
    <w:rsid w:val="00EB1683"/>
    <w:rsid w:val="00EB17CF"/>
    <w:rsid w:val="00EB184D"/>
    <w:rsid w:val="00EB1AB0"/>
    <w:rsid w:val="00EB1BB0"/>
    <w:rsid w:val="00EB1C5E"/>
    <w:rsid w:val="00EB1CCB"/>
    <w:rsid w:val="00EB1E59"/>
    <w:rsid w:val="00EB1F63"/>
    <w:rsid w:val="00EB1FF3"/>
    <w:rsid w:val="00EB247E"/>
    <w:rsid w:val="00EB24F0"/>
    <w:rsid w:val="00EB26FF"/>
    <w:rsid w:val="00EB27B1"/>
    <w:rsid w:val="00EB27BC"/>
    <w:rsid w:val="00EB2834"/>
    <w:rsid w:val="00EB286B"/>
    <w:rsid w:val="00EB2891"/>
    <w:rsid w:val="00EB2BB3"/>
    <w:rsid w:val="00EB2CEE"/>
    <w:rsid w:val="00EB2EB7"/>
    <w:rsid w:val="00EB2EC1"/>
    <w:rsid w:val="00EB2EF1"/>
    <w:rsid w:val="00EB3061"/>
    <w:rsid w:val="00EB3221"/>
    <w:rsid w:val="00EB328E"/>
    <w:rsid w:val="00EB3465"/>
    <w:rsid w:val="00EB347C"/>
    <w:rsid w:val="00EB3533"/>
    <w:rsid w:val="00EB36D5"/>
    <w:rsid w:val="00EB3864"/>
    <w:rsid w:val="00EB3936"/>
    <w:rsid w:val="00EB397B"/>
    <w:rsid w:val="00EB3AEC"/>
    <w:rsid w:val="00EB3BC2"/>
    <w:rsid w:val="00EB3BDA"/>
    <w:rsid w:val="00EB3D5D"/>
    <w:rsid w:val="00EB3E99"/>
    <w:rsid w:val="00EB3FB1"/>
    <w:rsid w:val="00EB40EB"/>
    <w:rsid w:val="00EB41B7"/>
    <w:rsid w:val="00EB4202"/>
    <w:rsid w:val="00EB44AA"/>
    <w:rsid w:val="00EB47D6"/>
    <w:rsid w:val="00EB4916"/>
    <w:rsid w:val="00EB4A96"/>
    <w:rsid w:val="00EB4B59"/>
    <w:rsid w:val="00EB4C10"/>
    <w:rsid w:val="00EB4C1D"/>
    <w:rsid w:val="00EB4DC8"/>
    <w:rsid w:val="00EB5005"/>
    <w:rsid w:val="00EB5300"/>
    <w:rsid w:val="00EB5454"/>
    <w:rsid w:val="00EB5518"/>
    <w:rsid w:val="00EB58F3"/>
    <w:rsid w:val="00EB5997"/>
    <w:rsid w:val="00EB5A1E"/>
    <w:rsid w:val="00EB5A2F"/>
    <w:rsid w:val="00EB5BB2"/>
    <w:rsid w:val="00EB5C9A"/>
    <w:rsid w:val="00EB5E03"/>
    <w:rsid w:val="00EB5ED7"/>
    <w:rsid w:val="00EB5F46"/>
    <w:rsid w:val="00EB6103"/>
    <w:rsid w:val="00EB628D"/>
    <w:rsid w:val="00EB62D4"/>
    <w:rsid w:val="00EB6530"/>
    <w:rsid w:val="00EB683E"/>
    <w:rsid w:val="00EB6849"/>
    <w:rsid w:val="00EB688C"/>
    <w:rsid w:val="00EB69F1"/>
    <w:rsid w:val="00EB6A09"/>
    <w:rsid w:val="00EB6A32"/>
    <w:rsid w:val="00EB6A94"/>
    <w:rsid w:val="00EB6B1C"/>
    <w:rsid w:val="00EB6DCC"/>
    <w:rsid w:val="00EB6DDD"/>
    <w:rsid w:val="00EB6E1B"/>
    <w:rsid w:val="00EB6E82"/>
    <w:rsid w:val="00EB6E94"/>
    <w:rsid w:val="00EB7178"/>
    <w:rsid w:val="00EB7299"/>
    <w:rsid w:val="00EB732D"/>
    <w:rsid w:val="00EB7334"/>
    <w:rsid w:val="00EB7790"/>
    <w:rsid w:val="00EB7860"/>
    <w:rsid w:val="00EB78B4"/>
    <w:rsid w:val="00EB7A4F"/>
    <w:rsid w:val="00EB7AA1"/>
    <w:rsid w:val="00EB7C5D"/>
    <w:rsid w:val="00EB7D0E"/>
    <w:rsid w:val="00EB7DBE"/>
    <w:rsid w:val="00EB7F56"/>
    <w:rsid w:val="00EB7F5D"/>
    <w:rsid w:val="00EC0304"/>
    <w:rsid w:val="00EC0711"/>
    <w:rsid w:val="00EC07D0"/>
    <w:rsid w:val="00EC08C2"/>
    <w:rsid w:val="00EC09DB"/>
    <w:rsid w:val="00EC0A4F"/>
    <w:rsid w:val="00EC0A5C"/>
    <w:rsid w:val="00EC0AB2"/>
    <w:rsid w:val="00EC0AFB"/>
    <w:rsid w:val="00EC0B49"/>
    <w:rsid w:val="00EC0C0E"/>
    <w:rsid w:val="00EC0CCC"/>
    <w:rsid w:val="00EC0CEF"/>
    <w:rsid w:val="00EC0E05"/>
    <w:rsid w:val="00EC0F98"/>
    <w:rsid w:val="00EC103E"/>
    <w:rsid w:val="00EC1074"/>
    <w:rsid w:val="00EC10A4"/>
    <w:rsid w:val="00EC1107"/>
    <w:rsid w:val="00EC1134"/>
    <w:rsid w:val="00EC11AE"/>
    <w:rsid w:val="00EC1413"/>
    <w:rsid w:val="00EC157A"/>
    <w:rsid w:val="00EC15BD"/>
    <w:rsid w:val="00EC15E4"/>
    <w:rsid w:val="00EC16FC"/>
    <w:rsid w:val="00EC1711"/>
    <w:rsid w:val="00EC1850"/>
    <w:rsid w:val="00EC18B5"/>
    <w:rsid w:val="00EC1D63"/>
    <w:rsid w:val="00EC1E00"/>
    <w:rsid w:val="00EC20E8"/>
    <w:rsid w:val="00EC2196"/>
    <w:rsid w:val="00EC23C3"/>
    <w:rsid w:val="00EC244B"/>
    <w:rsid w:val="00EC247D"/>
    <w:rsid w:val="00EC2502"/>
    <w:rsid w:val="00EC283E"/>
    <w:rsid w:val="00EC297C"/>
    <w:rsid w:val="00EC2C47"/>
    <w:rsid w:val="00EC3292"/>
    <w:rsid w:val="00EC32D1"/>
    <w:rsid w:val="00EC33A0"/>
    <w:rsid w:val="00EC33E8"/>
    <w:rsid w:val="00EC37F6"/>
    <w:rsid w:val="00EC3825"/>
    <w:rsid w:val="00EC3A72"/>
    <w:rsid w:val="00EC3AAA"/>
    <w:rsid w:val="00EC3C91"/>
    <w:rsid w:val="00EC3EA7"/>
    <w:rsid w:val="00EC40E6"/>
    <w:rsid w:val="00EC458E"/>
    <w:rsid w:val="00EC45DB"/>
    <w:rsid w:val="00EC4604"/>
    <w:rsid w:val="00EC4679"/>
    <w:rsid w:val="00EC4804"/>
    <w:rsid w:val="00EC480B"/>
    <w:rsid w:val="00EC4836"/>
    <w:rsid w:val="00EC4912"/>
    <w:rsid w:val="00EC4945"/>
    <w:rsid w:val="00EC49B0"/>
    <w:rsid w:val="00EC4A5A"/>
    <w:rsid w:val="00EC4F50"/>
    <w:rsid w:val="00EC5088"/>
    <w:rsid w:val="00EC545E"/>
    <w:rsid w:val="00EC554E"/>
    <w:rsid w:val="00EC5811"/>
    <w:rsid w:val="00EC5999"/>
    <w:rsid w:val="00EC59FC"/>
    <w:rsid w:val="00EC5A16"/>
    <w:rsid w:val="00EC5A9D"/>
    <w:rsid w:val="00EC5D12"/>
    <w:rsid w:val="00EC5E85"/>
    <w:rsid w:val="00EC6058"/>
    <w:rsid w:val="00EC60C7"/>
    <w:rsid w:val="00EC60F5"/>
    <w:rsid w:val="00EC61EE"/>
    <w:rsid w:val="00EC620A"/>
    <w:rsid w:val="00EC658D"/>
    <w:rsid w:val="00EC6628"/>
    <w:rsid w:val="00EC666B"/>
    <w:rsid w:val="00EC66F0"/>
    <w:rsid w:val="00EC674D"/>
    <w:rsid w:val="00EC68F1"/>
    <w:rsid w:val="00EC693B"/>
    <w:rsid w:val="00EC6ADC"/>
    <w:rsid w:val="00EC6B64"/>
    <w:rsid w:val="00EC6B8D"/>
    <w:rsid w:val="00EC6BE3"/>
    <w:rsid w:val="00EC6C34"/>
    <w:rsid w:val="00EC6D39"/>
    <w:rsid w:val="00EC6DDC"/>
    <w:rsid w:val="00EC6EF1"/>
    <w:rsid w:val="00EC6F80"/>
    <w:rsid w:val="00EC6FC0"/>
    <w:rsid w:val="00EC7015"/>
    <w:rsid w:val="00EC70BB"/>
    <w:rsid w:val="00EC71FB"/>
    <w:rsid w:val="00EC729B"/>
    <w:rsid w:val="00EC7536"/>
    <w:rsid w:val="00EC75F2"/>
    <w:rsid w:val="00EC769C"/>
    <w:rsid w:val="00EC76E9"/>
    <w:rsid w:val="00EC7818"/>
    <w:rsid w:val="00EC7856"/>
    <w:rsid w:val="00EC7A7A"/>
    <w:rsid w:val="00EC7AD4"/>
    <w:rsid w:val="00EC7ED1"/>
    <w:rsid w:val="00EC7F85"/>
    <w:rsid w:val="00ED0276"/>
    <w:rsid w:val="00ED03C9"/>
    <w:rsid w:val="00ED040A"/>
    <w:rsid w:val="00ED046C"/>
    <w:rsid w:val="00ED0608"/>
    <w:rsid w:val="00ED0638"/>
    <w:rsid w:val="00ED06EA"/>
    <w:rsid w:val="00ED0924"/>
    <w:rsid w:val="00ED09DD"/>
    <w:rsid w:val="00ED0BF7"/>
    <w:rsid w:val="00ED0C2C"/>
    <w:rsid w:val="00ED0D04"/>
    <w:rsid w:val="00ED0DDE"/>
    <w:rsid w:val="00ED0E75"/>
    <w:rsid w:val="00ED0F7E"/>
    <w:rsid w:val="00ED0F8F"/>
    <w:rsid w:val="00ED10F5"/>
    <w:rsid w:val="00ED1149"/>
    <w:rsid w:val="00ED117A"/>
    <w:rsid w:val="00ED1326"/>
    <w:rsid w:val="00ED13B7"/>
    <w:rsid w:val="00ED13E7"/>
    <w:rsid w:val="00ED1466"/>
    <w:rsid w:val="00ED14E5"/>
    <w:rsid w:val="00ED1541"/>
    <w:rsid w:val="00ED1653"/>
    <w:rsid w:val="00ED1805"/>
    <w:rsid w:val="00ED1A15"/>
    <w:rsid w:val="00ED1AD5"/>
    <w:rsid w:val="00ED1B55"/>
    <w:rsid w:val="00ED1DCE"/>
    <w:rsid w:val="00ED1DFA"/>
    <w:rsid w:val="00ED1FE6"/>
    <w:rsid w:val="00ED20AC"/>
    <w:rsid w:val="00ED23D6"/>
    <w:rsid w:val="00ED2432"/>
    <w:rsid w:val="00ED2447"/>
    <w:rsid w:val="00ED2551"/>
    <w:rsid w:val="00ED28A3"/>
    <w:rsid w:val="00ED2C61"/>
    <w:rsid w:val="00ED2C88"/>
    <w:rsid w:val="00ED2E58"/>
    <w:rsid w:val="00ED2EE2"/>
    <w:rsid w:val="00ED2F12"/>
    <w:rsid w:val="00ED2F78"/>
    <w:rsid w:val="00ED308F"/>
    <w:rsid w:val="00ED317A"/>
    <w:rsid w:val="00ED3189"/>
    <w:rsid w:val="00ED3207"/>
    <w:rsid w:val="00ED336C"/>
    <w:rsid w:val="00ED3388"/>
    <w:rsid w:val="00ED39DC"/>
    <w:rsid w:val="00ED3ADA"/>
    <w:rsid w:val="00ED3AED"/>
    <w:rsid w:val="00ED3C03"/>
    <w:rsid w:val="00ED3CFE"/>
    <w:rsid w:val="00ED3EAD"/>
    <w:rsid w:val="00ED40D4"/>
    <w:rsid w:val="00ED40F1"/>
    <w:rsid w:val="00ED4180"/>
    <w:rsid w:val="00ED4294"/>
    <w:rsid w:val="00ED42DE"/>
    <w:rsid w:val="00ED44BC"/>
    <w:rsid w:val="00ED4559"/>
    <w:rsid w:val="00ED4845"/>
    <w:rsid w:val="00ED4912"/>
    <w:rsid w:val="00ED4ACF"/>
    <w:rsid w:val="00ED4BB4"/>
    <w:rsid w:val="00ED4CDE"/>
    <w:rsid w:val="00ED4DBA"/>
    <w:rsid w:val="00ED4E67"/>
    <w:rsid w:val="00ED4F57"/>
    <w:rsid w:val="00ED5144"/>
    <w:rsid w:val="00ED5303"/>
    <w:rsid w:val="00ED56C2"/>
    <w:rsid w:val="00ED5C6B"/>
    <w:rsid w:val="00ED5CAF"/>
    <w:rsid w:val="00ED5D9E"/>
    <w:rsid w:val="00ED5DE9"/>
    <w:rsid w:val="00ED5E38"/>
    <w:rsid w:val="00ED5EBD"/>
    <w:rsid w:val="00ED5F77"/>
    <w:rsid w:val="00ED603E"/>
    <w:rsid w:val="00ED605B"/>
    <w:rsid w:val="00ED60D6"/>
    <w:rsid w:val="00ED6248"/>
    <w:rsid w:val="00ED64BB"/>
    <w:rsid w:val="00ED6636"/>
    <w:rsid w:val="00ED6644"/>
    <w:rsid w:val="00ED6691"/>
    <w:rsid w:val="00ED66D0"/>
    <w:rsid w:val="00ED66D8"/>
    <w:rsid w:val="00ED67AB"/>
    <w:rsid w:val="00ED6880"/>
    <w:rsid w:val="00ED690A"/>
    <w:rsid w:val="00ED69E1"/>
    <w:rsid w:val="00ED6B45"/>
    <w:rsid w:val="00ED6CCF"/>
    <w:rsid w:val="00ED6E71"/>
    <w:rsid w:val="00ED702F"/>
    <w:rsid w:val="00ED7205"/>
    <w:rsid w:val="00ED7325"/>
    <w:rsid w:val="00ED7338"/>
    <w:rsid w:val="00ED738C"/>
    <w:rsid w:val="00ED7430"/>
    <w:rsid w:val="00ED754C"/>
    <w:rsid w:val="00ED7908"/>
    <w:rsid w:val="00ED79C9"/>
    <w:rsid w:val="00ED7BA3"/>
    <w:rsid w:val="00ED7C43"/>
    <w:rsid w:val="00ED7D35"/>
    <w:rsid w:val="00ED7D5D"/>
    <w:rsid w:val="00ED7EBB"/>
    <w:rsid w:val="00ED7F47"/>
    <w:rsid w:val="00ED7F60"/>
    <w:rsid w:val="00EE0170"/>
    <w:rsid w:val="00EE0220"/>
    <w:rsid w:val="00EE0289"/>
    <w:rsid w:val="00EE02FE"/>
    <w:rsid w:val="00EE03B0"/>
    <w:rsid w:val="00EE053D"/>
    <w:rsid w:val="00EE07AC"/>
    <w:rsid w:val="00EE0852"/>
    <w:rsid w:val="00EE0860"/>
    <w:rsid w:val="00EE0A5D"/>
    <w:rsid w:val="00EE0EE2"/>
    <w:rsid w:val="00EE0F44"/>
    <w:rsid w:val="00EE119F"/>
    <w:rsid w:val="00EE126C"/>
    <w:rsid w:val="00EE1289"/>
    <w:rsid w:val="00EE1291"/>
    <w:rsid w:val="00EE12BE"/>
    <w:rsid w:val="00EE1529"/>
    <w:rsid w:val="00EE1579"/>
    <w:rsid w:val="00EE1599"/>
    <w:rsid w:val="00EE166D"/>
    <w:rsid w:val="00EE16F2"/>
    <w:rsid w:val="00EE17F2"/>
    <w:rsid w:val="00EE1AFD"/>
    <w:rsid w:val="00EE1D6E"/>
    <w:rsid w:val="00EE1FE5"/>
    <w:rsid w:val="00EE22CA"/>
    <w:rsid w:val="00EE22E6"/>
    <w:rsid w:val="00EE249F"/>
    <w:rsid w:val="00EE2616"/>
    <w:rsid w:val="00EE271B"/>
    <w:rsid w:val="00EE28F4"/>
    <w:rsid w:val="00EE2B88"/>
    <w:rsid w:val="00EE2D4A"/>
    <w:rsid w:val="00EE2E65"/>
    <w:rsid w:val="00EE2FBD"/>
    <w:rsid w:val="00EE2FE3"/>
    <w:rsid w:val="00EE3077"/>
    <w:rsid w:val="00EE318A"/>
    <w:rsid w:val="00EE31B8"/>
    <w:rsid w:val="00EE32AD"/>
    <w:rsid w:val="00EE337F"/>
    <w:rsid w:val="00EE3421"/>
    <w:rsid w:val="00EE3453"/>
    <w:rsid w:val="00EE3455"/>
    <w:rsid w:val="00EE34AC"/>
    <w:rsid w:val="00EE3531"/>
    <w:rsid w:val="00EE35FC"/>
    <w:rsid w:val="00EE37F3"/>
    <w:rsid w:val="00EE3840"/>
    <w:rsid w:val="00EE3887"/>
    <w:rsid w:val="00EE38A9"/>
    <w:rsid w:val="00EE3923"/>
    <w:rsid w:val="00EE3BD3"/>
    <w:rsid w:val="00EE3BE1"/>
    <w:rsid w:val="00EE3EA4"/>
    <w:rsid w:val="00EE3F4C"/>
    <w:rsid w:val="00EE4045"/>
    <w:rsid w:val="00EE4212"/>
    <w:rsid w:val="00EE421F"/>
    <w:rsid w:val="00EE4490"/>
    <w:rsid w:val="00EE459F"/>
    <w:rsid w:val="00EE45AC"/>
    <w:rsid w:val="00EE45CE"/>
    <w:rsid w:val="00EE473C"/>
    <w:rsid w:val="00EE47FF"/>
    <w:rsid w:val="00EE4951"/>
    <w:rsid w:val="00EE4BE6"/>
    <w:rsid w:val="00EE4CB8"/>
    <w:rsid w:val="00EE4DE8"/>
    <w:rsid w:val="00EE4E6A"/>
    <w:rsid w:val="00EE4E89"/>
    <w:rsid w:val="00EE4EEF"/>
    <w:rsid w:val="00EE4F05"/>
    <w:rsid w:val="00EE4F09"/>
    <w:rsid w:val="00EE4FB1"/>
    <w:rsid w:val="00EE51BC"/>
    <w:rsid w:val="00EE5310"/>
    <w:rsid w:val="00EE53BA"/>
    <w:rsid w:val="00EE53C5"/>
    <w:rsid w:val="00EE53E1"/>
    <w:rsid w:val="00EE542A"/>
    <w:rsid w:val="00EE5493"/>
    <w:rsid w:val="00EE54B3"/>
    <w:rsid w:val="00EE587E"/>
    <w:rsid w:val="00EE5A11"/>
    <w:rsid w:val="00EE5B17"/>
    <w:rsid w:val="00EE5B48"/>
    <w:rsid w:val="00EE5C1E"/>
    <w:rsid w:val="00EE5C5E"/>
    <w:rsid w:val="00EE5E46"/>
    <w:rsid w:val="00EE5E7C"/>
    <w:rsid w:val="00EE5FAF"/>
    <w:rsid w:val="00EE610A"/>
    <w:rsid w:val="00EE6127"/>
    <w:rsid w:val="00EE628E"/>
    <w:rsid w:val="00EE6309"/>
    <w:rsid w:val="00EE63A8"/>
    <w:rsid w:val="00EE6452"/>
    <w:rsid w:val="00EE6497"/>
    <w:rsid w:val="00EE6508"/>
    <w:rsid w:val="00EE65F4"/>
    <w:rsid w:val="00EE65FD"/>
    <w:rsid w:val="00EE6628"/>
    <w:rsid w:val="00EE66BF"/>
    <w:rsid w:val="00EE6729"/>
    <w:rsid w:val="00EE6832"/>
    <w:rsid w:val="00EE684D"/>
    <w:rsid w:val="00EE689B"/>
    <w:rsid w:val="00EE6B43"/>
    <w:rsid w:val="00EE6C30"/>
    <w:rsid w:val="00EE6C62"/>
    <w:rsid w:val="00EE6EC7"/>
    <w:rsid w:val="00EE6F2A"/>
    <w:rsid w:val="00EE705C"/>
    <w:rsid w:val="00EE70D0"/>
    <w:rsid w:val="00EE7198"/>
    <w:rsid w:val="00EE71C8"/>
    <w:rsid w:val="00EE7217"/>
    <w:rsid w:val="00EE73FF"/>
    <w:rsid w:val="00EE7411"/>
    <w:rsid w:val="00EE7565"/>
    <w:rsid w:val="00EE7656"/>
    <w:rsid w:val="00EE774C"/>
    <w:rsid w:val="00EE79C9"/>
    <w:rsid w:val="00EE7BFB"/>
    <w:rsid w:val="00EF00D1"/>
    <w:rsid w:val="00EF00E8"/>
    <w:rsid w:val="00EF010E"/>
    <w:rsid w:val="00EF06AB"/>
    <w:rsid w:val="00EF071A"/>
    <w:rsid w:val="00EF071B"/>
    <w:rsid w:val="00EF0727"/>
    <w:rsid w:val="00EF0828"/>
    <w:rsid w:val="00EF0890"/>
    <w:rsid w:val="00EF08ED"/>
    <w:rsid w:val="00EF09F5"/>
    <w:rsid w:val="00EF0A2D"/>
    <w:rsid w:val="00EF0AD7"/>
    <w:rsid w:val="00EF0AF1"/>
    <w:rsid w:val="00EF0B03"/>
    <w:rsid w:val="00EF0B31"/>
    <w:rsid w:val="00EF0CD3"/>
    <w:rsid w:val="00EF0CDE"/>
    <w:rsid w:val="00EF0EB4"/>
    <w:rsid w:val="00EF0EBA"/>
    <w:rsid w:val="00EF0F25"/>
    <w:rsid w:val="00EF0F46"/>
    <w:rsid w:val="00EF1013"/>
    <w:rsid w:val="00EF1043"/>
    <w:rsid w:val="00EF1207"/>
    <w:rsid w:val="00EF1248"/>
    <w:rsid w:val="00EF148C"/>
    <w:rsid w:val="00EF1520"/>
    <w:rsid w:val="00EF153C"/>
    <w:rsid w:val="00EF1541"/>
    <w:rsid w:val="00EF15A5"/>
    <w:rsid w:val="00EF1617"/>
    <w:rsid w:val="00EF1663"/>
    <w:rsid w:val="00EF16F3"/>
    <w:rsid w:val="00EF1755"/>
    <w:rsid w:val="00EF1932"/>
    <w:rsid w:val="00EF19B1"/>
    <w:rsid w:val="00EF1ACE"/>
    <w:rsid w:val="00EF1DC6"/>
    <w:rsid w:val="00EF1DFD"/>
    <w:rsid w:val="00EF1F98"/>
    <w:rsid w:val="00EF1FEA"/>
    <w:rsid w:val="00EF2013"/>
    <w:rsid w:val="00EF23D1"/>
    <w:rsid w:val="00EF245B"/>
    <w:rsid w:val="00EF2522"/>
    <w:rsid w:val="00EF26C0"/>
    <w:rsid w:val="00EF2755"/>
    <w:rsid w:val="00EF2781"/>
    <w:rsid w:val="00EF29E6"/>
    <w:rsid w:val="00EF2BE8"/>
    <w:rsid w:val="00EF2C7A"/>
    <w:rsid w:val="00EF2CE6"/>
    <w:rsid w:val="00EF2D54"/>
    <w:rsid w:val="00EF2D9F"/>
    <w:rsid w:val="00EF2E79"/>
    <w:rsid w:val="00EF3176"/>
    <w:rsid w:val="00EF349B"/>
    <w:rsid w:val="00EF39E5"/>
    <w:rsid w:val="00EF3AB4"/>
    <w:rsid w:val="00EF3D02"/>
    <w:rsid w:val="00EF3D58"/>
    <w:rsid w:val="00EF3E5C"/>
    <w:rsid w:val="00EF3EC7"/>
    <w:rsid w:val="00EF3F94"/>
    <w:rsid w:val="00EF4185"/>
    <w:rsid w:val="00EF44F3"/>
    <w:rsid w:val="00EF467F"/>
    <w:rsid w:val="00EF4693"/>
    <w:rsid w:val="00EF48C6"/>
    <w:rsid w:val="00EF4AC1"/>
    <w:rsid w:val="00EF4B25"/>
    <w:rsid w:val="00EF4B2A"/>
    <w:rsid w:val="00EF4D04"/>
    <w:rsid w:val="00EF4EE3"/>
    <w:rsid w:val="00EF5064"/>
    <w:rsid w:val="00EF515B"/>
    <w:rsid w:val="00EF5217"/>
    <w:rsid w:val="00EF535A"/>
    <w:rsid w:val="00EF535F"/>
    <w:rsid w:val="00EF542C"/>
    <w:rsid w:val="00EF54BD"/>
    <w:rsid w:val="00EF553C"/>
    <w:rsid w:val="00EF570F"/>
    <w:rsid w:val="00EF5779"/>
    <w:rsid w:val="00EF5885"/>
    <w:rsid w:val="00EF598B"/>
    <w:rsid w:val="00EF5B6A"/>
    <w:rsid w:val="00EF5B6F"/>
    <w:rsid w:val="00EF5C23"/>
    <w:rsid w:val="00EF5D1F"/>
    <w:rsid w:val="00EF5DD1"/>
    <w:rsid w:val="00EF5E0C"/>
    <w:rsid w:val="00EF5EEF"/>
    <w:rsid w:val="00EF6250"/>
    <w:rsid w:val="00EF65D5"/>
    <w:rsid w:val="00EF6650"/>
    <w:rsid w:val="00EF66A1"/>
    <w:rsid w:val="00EF67A0"/>
    <w:rsid w:val="00EF6854"/>
    <w:rsid w:val="00EF68DB"/>
    <w:rsid w:val="00EF6909"/>
    <w:rsid w:val="00EF6B1B"/>
    <w:rsid w:val="00EF6E73"/>
    <w:rsid w:val="00EF6F7E"/>
    <w:rsid w:val="00EF6FD3"/>
    <w:rsid w:val="00EF7003"/>
    <w:rsid w:val="00EF7063"/>
    <w:rsid w:val="00EF7084"/>
    <w:rsid w:val="00EF7248"/>
    <w:rsid w:val="00EF7442"/>
    <w:rsid w:val="00EF76C3"/>
    <w:rsid w:val="00EF7B11"/>
    <w:rsid w:val="00F00055"/>
    <w:rsid w:val="00F000CC"/>
    <w:rsid w:val="00F001AE"/>
    <w:rsid w:val="00F004B3"/>
    <w:rsid w:val="00F004CB"/>
    <w:rsid w:val="00F0067A"/>
    <w:rsid w:val="00F007BA"/>
    <w:rsid w:val="00F00A8E"/>
    <w:rsid w:val="00F00B1A"/>
    <w:rsid w:val="00F00C53"/>
    <w:rsid w:val="00F00D18"/>
    <w:rsid w:val="00F00D56"/>
    <w:rsid w:val="00F00EDD"/>
    <w:rsid w:val="00F00F48"/>
    <w:rsid w:val="00F01226"/>
    <w:rsid w:val="00F0127F"/>
    <w:rsid w:val="00F01588"/>
    <w:rsid w:val="00F0167C"/>
    <w:rsid w:val="00F017A4"/>
    <w:rsid w:val="00F0186E"/>
    <w:rsid w:val="00F0187F"/>
    <w:rsid w:val="00F01B5A"/>
    <w:rsid w:val="00F01F46"/>
    <w:rsid w:val="00F01F64"/>
    <w:rsid w:val="00F02080"/>
    <w:rsid w:val="00F0210B"/>
    <w:rsid w:val="00F021BC"/>
    <w:rsid w:val="00F02218"/>
    <w:rsid w:val="00F02323"/>
    <w:rsid w:val="00F0255F"/>
    <w:rsid w:val="00F025C9"/>
    <w:rsid w:val="00F02656"/>
    <w:rsid w:val="00F026EB"/>
    <w:rsid w:val="00F026FA"/>
    <w:rsid w:val="00F02737"/>
    <w:rsid w:val="00F02787"/>
    <w:rsid w:val="00F02C9C"/>
    <w:rsid w:val="00F02E73"/>
    <w:rsid w:val="00F02EE2"/>
    <w:rsid w:val="00F02F68"/>
    <w:rsid w:val="00F02FB3"/>
    <w:rsid w:val="00F033F3"/>
    <w:rsid w:val="00F034AC"/>
    <w:rsid w:val="00F035D3"/>
    <w:rsid w:val="00F0363C"/>
    <w:rsid w:val="00F036CF"/>
    <w:rsid w:val="00F0371F"/>
    <w:rsid w:val="00F038B5"/>
    <w:rsid w:val="00F03B18"/>
    <w:rsid w:val="00F03B39"/>
    <w:rsid w:val="00F03B45"/>
    <w:rsid w:val="00F03BE2"/>
    <w:rsid w:val="00F03D71"/>
    <w:rsid w:val="00F03E11"/>
    <w:rsid w:val="00F03F7A"/>
    <w:rsid w:val="00F03FBF"/>
    <w:rsid w:val="00F03FD7"/>
    <w:rsid w:val="00F04052"/>
    <w:rsid w:val="00F04176"/>
    <w:rsid w:val="00F041DC"/>
    <w:rsid w:val="00F04320"/>
    <w:rsid w:val="00F043BB"/>
    <w:rsid w:val="00F043CC"/>
    <w:rsid w:val="00F043FA"/>
    <w:rsid w:val="00F04698"/>
    <w:rsid w:val="00F048E2"/>
    <w:rsid w:val="00F04982"/>
    <w:rsid w:val="00F04A88"/>
    <w:rsid w:val="00F04B31"/>
    <w:rsid w:val="00F04E95"/>
    <w:rsid w:val="00F04F8C"/>
    <w:rsid w:val="00F04FED"/>
    <w:rsid w:val="00F05098"/>
    <w:rsid w:val="00F051AA"/>
    <w:rsid w:val="00F051D8"/>
    <w:rsid w:val="00F052CB"/>
    <w:rsid w:val="00F053D4"/>
    <w:rsid w:val="00F05723"/>
    <w:rsid w:val="00F0587C"/>
    <w:rsid w:val="00F059F2"/>
    <w:rsid w:val="00F05A86"/>
    <w:rsid w:val="00F05E1A"/>
    <w:rsid w:val="00F05EBC"/>
    <w:rsid w:val="00F0602E"/>
    <w:rsid w:val="00F06084"/>
    <w:rsid w:val="00F0615D"/>
    <w:rsid w:val="00F064ED"/>
    <w:rsid w:val="00F0659D"/>
    <w:rsid w:val="00F06673"/>
    <w:rsid w:val="00F066BD"/>
    <w:rsid w:val="00F066D7"/>
    <w:rsid w:val="00F067BF"/>
    <w:rsid w:val="00F067D3"/>
    <w:rsid w:val="00F0683F"/>
    <w:rsid w:val="00F06961"/>
    <w:rsid w:val="00F06AA1"/>
    <w:rsid w:val="00F06D69"/>
    <w:rsid w:val="00F06DD7"/>
    <w:rsid w:val="00F06E9C"/>
    <w:rsid w:val="00F06FA9"/>
    <w:rsid w:val="00F06FB2"/>
    <w:rsid w:val="00F070C1"/>
    <w:rsid w:val="00F072F1"/>
    <w:rsid w:val="00F072FB"/>
    <w:rsid w:val="00F07379"/>
    <w:rsid w:val="00F0751B"/>
    <w:rsid w:val="00F07C40"/>
    <w:rsid w:val="00F07D92"/>
    <w:rsid w:val="00F07D9E"/>
    <w:rsid w:val="00F07E28"/>
    <w:rsid w:val="00F100E4"/>
    <w:rsid w:val="00F1010D"/>
    <w:rsid w:val="00F10277"/>
    <w:rsid w:val="00F10436"/>
    <w:rsid w:val="00F105FE"/>
    <w:rsid w:val="00F1066F"/>
    <w:rsid w:val="00F106F9"/>
    <w:rsid w:val="00F10788"/>
    <w:rsid w:val="00F108C4"/>
    <w:rsid w:val="00F10AB7"/>
    <w:rsid w:val="00F10B41"/>
    <w:rsid w:val="00F10C2A"/>
    <w:rsid w:val="00F10C51"/>
    <w:rsid w:val="00F10CC9"/>
    <w:rsid w:val="00F10FE0"/>
    <w:rsid w:val="00F11032"/>
    <w:rsid w:val="00F1107A"/>
    <w:rsid w:val="00F111E5"/>
    <w:rsid w:val="00F114A6"/>
    <w:rsid w:val="00F114E5"/>
    <w:rsid w:val="00F1157C"/>
    <w:rsid w:val="00F1179A"/>
    <w:rsid w:val="00F118BA"/>
    <w:rsid w:val="00F119BC"/>
    <w:rsid w:val="00F11B45"/>
    <w:rsid w:val="00F11BCA"/>
    <w:rsid w:val="00F11C38"/>
    <w:rsid w:val="00F12031"/>
    <w:rsid w:val="00F12499"/>
    <w:rsid w:val="00F124A1"/>
    <w:rsid w:val="00F12586"/>
    <w:rsid w:val="00F12596"/>
    <w:rsid w:val="00F125CF"/>
    <w:rsid w:val="00F125D6"/>
    <w:rsid w:val="00F12625"/>
    <w:rsid w:val="00F12669"/>
    <w:rsid w:val="00F12674"/>
    <w:rsid w:val="00F126D3"/>
    <w:rsid w:val="00F127B8"/>
    <w:rsid w:val="00F1287B"/>
    <w:rsid w:val="00F12900"/>
    <w:rsid w:val="00F12986"/>
    <w:rsid w:val="00F12B55"/>
    <w:rsid w:val="00F12E0F"/>
    <w:rsid w:val="00F12E1B"/>
    <w:rsid w:val="00F12EF3"/>
    <w:rsid w:val="00F1314D"/>
    <w:rsid w:val="00F1334A"/>
    <w:rsid w:val="00F133B6"/>
    <w:rsid w:val="00F133E8"/>
    <w:rsid w:val="00F13432"/>
    <w:rsid w:val="00F13506"/>
    <w:rsid w:val="00F1355F"/>
    <w:rsid w:val="00F13734"/>
    <w:rsid w:val="00F139CE"/>
    <w:rsid w:val="00F13DF4"/>
    <w:rsid w:val="00F13EFF"/>
    <w:rsid w:val="00F14017"/>
    <w:rsid w:val="00F140C1"/>
    <w:rsid w:val="00F140CB"/>
    <w:rsid w:val="00F1415F"/>
    <w:rsid w:val="00F141F6"/>
    <w:rsid w:val="00F14201"/>
    <w:rsid w:val="00F14509"/>
    <w:rsid w:val="00F14528"/>
    <w:rsid w:val="00F1471B"/>
    <w:rsid w:val="00F14815"/>
    <w:rsid w:val="00F14838"/>
    <w:rsid w:val="00F14918"/>
    <w:rsid w:val="00F14928"/>
    <w:rsid w:val="00F14A77"/>
    <w:rsid w:val="00F14A92"/>
    <w:rsid w:val="00F14CB0"/>
    <w:rsid w:val="00F14E78"/>
    <w:rsid w:val="00F14F69"/>
    <w:rsid w:val="00F14FBE"/>
    <w:rsid w:val="00F1508C"/>
    <w:rsid w:val="00F1530B"/>
    <w:rsid w:val="00F1578E"/>
    <w:rsid w:val="00F157B9"/>
    <w:rsid w:val="00F158EF"/>
    <w:rsid w:val="00F15931"/>
    <w:rsid w:val="00F159DF"/>
    <w:rsid w:val="00F15AA9"/>
    <w:rsid w:val="00F15AEA"/>
    <w:rsid w:val="00F15AFD"/>
    <w:rsid w:val="00F15DCD"/>
    <w:rsid w:val="00F15E33"/>
    <w:rsid w:val="00F15F99"/>
    <w:rsid w:val="00F16102"/>
    <w:rsid w:val="00F162E6"/>
    <w:rsid w:val="00F16355"/>
    <w:rsid w:val="00F164EB"/>
    <w:rsid w:val="00F16501"/>
    <w:rsid w:val="00F16673"/>
    <w:rsid w:val="00F1676C"/>
    <w:rsid w:val="00F167A2"/>
    <w:rsid w:val="00F167AB"/>
    <w:rsid w:val="00F16830"/>
    <w:rsid w:val="00F16C25"/>
    <w:rsid w:val="00F16C2D"/>
    <w:rsid w:val="00F16D85"/>
    <w:rsid w:val="00F16DFE"/>
    <w:rsid w:val="00F16E70"/>
    <w:rsid w:val="00F16EB1"/>
    <w:rsid w:val="00F16F43"/>
    <w:rsid w:val="00F17051"/>
    <w:rsid w:val="00F17140"/>
    <w:rsid w:val="00F171EB"/>
    <w:rsid w:val="00F171F8"/>
    <w:rsid w:val="00F17410"/>
    <w:rsid w:val="00F1767B"/>
    <w:rsid w:val="00F177F2"/>
    <w:rsid w:val="00F1792C"/>
    <w:rsid w:val="00F179DF"/>
    <w:rsid w:val="00F17BF9"/>
    <w:rsid w:val="00F17C2B"/>
    <w:rsid w:val="00F17CFA"/>
    <w:rsid w:val="00F2001E"/>
    <w:rsid w:val="00F200C3"/>
    <w:rsid w:val="00F200D8"/>
    <w:rsid w:val="00F2032D"/>
    <w:rsid w:val="00F20435"/>
    <w:rsid w:val="00F2058D"/>
    <w:rsid w:val="00F20752"/>
    <w:rsid w:val="00F20763"/>
    <w:rsid w:val="00F209A0"/>
    <w:rsid w:val="00F20B50"/>
    <w:rsid w:val="00F20C53"/>
    <w:rsid w:val="00F20C78"/>
    <w:rsid w:val="00F20CBA"/>
    <w:rsid w:val="00F20DE6"/>
    <w:rsid w:val="00F20EB5"/>
    <w:rsid w:val="00F211EB"/>
    <w:rsid w:val="00F2121C"/>
    <w:rsid w:val="00F2121F"/>
    <w:rsid w:val="00F21577"/>
    <w:rsid w:val="00F21602"/>
    <w:rsid w:val="00F21641"/>
    <w:rsid w:val="00F216C3"/>
    <w:rsid w:val="00F218F9"/>
    <w:rsid w:val="00F21925"/>
    <w:rsid w:val="00F21A77"/>
    <w:rsid w:val="00F21A80"/>
    <w:rsid w:val="00F21A81"/>
    <w:rsid w:val="00F21AE4"/>
    <w:rsid w:val="00F2205F"/>
    <w:rsid w:val="00F22237"/>
    <w:rsid w:val="00F22296"/>
    <w:rsid w:val="00F22450"/>
    <w:rsid w:val="00F22541"/>
    <w:rsid w:val="00F225B0"/>
    <w:rsid w:val="00F227C8"/>
    <w:rsid w:val="00F228A8"/>
    <w:rsid w:val="00F228B5"/>
    <w:rsid w:val="00F22971"/>
    <w:rsid w:val="00F22A56"/>
    <w:rsid w:val="00F22B89"/>
    <w:rsid w:val="00F22DA6"/>
    <w:rsid w:val="00F22DD6"/>
    <w:rsid w:val="00F22EDA"/>
    <w:rsid w:val="00F22F4A"/>
    <w:rsid w:val="00F23017"/>
    <w:rsid w:val="00F230E7"/>
    <w:rsid w:val="00F23297"/>
    <w:rsid w:val="00F233F8"/>
    <w:rsid w:val="00F237EE"/>
    <w:rsid w:val="00F23A4F"/>
    <w:rsid w:val="00F23BD5"/>
    <w:rsid w:val="00F23CB7"/>
    <w:rsid w:val="00F23F5D"/>
    <w:rsid w:val="00F24096"/>
    <w:rsid w:val="00F241AA"/>
    <w:rsid w:val="00F24214"/>
    <w:rsid w:val="00F2431C"/>
    <w:rsid w:val="00F243EA"/>
    <w:rsid w:val="00F243F1"/>
    <w:rsid w:val="00F24526"/>
    <w:rsid w:val="00F24613"/>
    <w:rsid w:val="00F2462B"/>
    <w:rsid w:val="00F2494E"/>
    <w:rsid w:val="00F24994"/>
    <w:rsid w:val="00F24A16"/>
    <w:rsid w:val="00F24AD6"/>
    <w:rsid w:val="00F24BCA"/>
    <w:rsid w:val="00F25058"/>
    <w:rsid w:val="00F2507F"/>
    <w:rsid w:val="00F25082"/>
    <w:rsid w:val="00F250BC"/>
    <w:rsid w:val="00F25151"/>
    <w:rsid w:val="00F2562B"/>
    <w:rsid w:val="00F256CC"/>
    <w:rsid w:val="00F257B5"/>
    <w:rsid w:val="00F257BA"/>
    <w:rsid w:val="00F25836"/>
    <w:rsid w:val="00F2597B"/>
    <w:rsid w:val="00F259C6"/>
    <w:rsid w:val="00F259DA"/>
    <w:rsid w:val="00F25B84"/>
    <w:rsid w:val="00F25BA8"/>
    <w:rsid w:val="00F25C13"/>
    <w:rsid w:val="00F25C25"/>
    <w:rsid w:val="00F25DC0"/>
    <w:rsid w:val="00F25E52"/>
    <w:rsid w:val="00F2606E"/>
    <w:rsid w:val="00F261BA"/>
    <w:rsid w:val="00F26254"/>
    <w:rsid w:val="00F26376"/>
    <w:rsid w:val="00F26487"/>
    <w:rsid w:val="00F264AF"/>
    <w:rsid w:val="00F264C5"/>
    <w:rsid w:val="00F264F2"/>
    <w:rsid w:val="00F26681"/>
    <w:rsid w:val="00F2669B"/>
    <w:rsid w:val="00F266E7"/>
    <w:rsid w:val="00F26738"/>
    <w:rsid w:val="00F267D9"/>
    <w:rsid w:val="00F267FD"/>
    <w:rsid w:val="00F268ED"/>
    <w:rsid w:val="00F26980"/>
    <w:rsid w:val="00F26A29"/>
    <w:rsid w:val="00F26C52"/>
    <w:rsid w:val="00F26D0F"/>
    <w:rsid w:val="00F26E54"/>
    <w:rsid w:val="00F26FDA"/>
    <w:rsid w:val="00F27015"/>
    <w:rsid w:val="00F2720E"/>
    <w:rsid w:val="00F2724C"/>
    <w:rsid w:val="00F272DC"/>
    <w:rsid w:val="00F273C9"/>
    <w:rsid w:val="00F273DE"/>
    <w:rsid w:val="00F274EA"/>
    <w:rsid w:val="00F27522"/>
    <w:rsid w:val="00F2758D"/>
    <w:rsid w:val="00F275A8"/>
    <w:rsid w:val="00F275DC"/>
    <w:rsid w:val="00F27604"/>
    <w:rsid w:val="00F2776D"/>
    <w:rsid w:val="00F279B1"/>
    <w:rsid w:val="00F27AD6"/>
    <w:rsid w:val="00F27AF9"/>
    <w:rsid w:val="00F27C11"/>
    <w:rsid w:val="00F27F88"/>
    <w:rsid w:val="00F3016C"/>
    <w:rsid w:val="00F3020C"/>
    <w:rsid w:val="00F30230"/>
    <w:rsid w:val="00F30269"/>
    <w:rsid w:val="00F3041A"/>
    <w:rsid w:val="00F3045B"/>
    <w:rsid w:val="00F3061A"/>
    <w:rsid w:val="00F30C79"/>
    <w:rsid w:val="00F30C99"/>
    <w:rsid w:val="00F31085"/>
    <w:rsid w:val="00F311D0"/>
    <w:rsid w:val="00F313F7"/>
    <w:rsid w:val="00F31525"/>
    <w:rsid w:val="00F315AF"/>
    <w:rsid w:val="00F315F4"/>
    <w:rsid w:val="00F3163B"/>
    <w:rsid w:val="00F31762"/>
    <w:rsid w:val="00F31A31"/>
    <w:rsid w:val="00F31B66"/>
    <w:rsid w:val="00F31B8B"/>
    <w:rsid w:val="00F31BF8"/>
    <w:rsid w:val="00F31C25"/>
    <w:rsid w:val="00F31FF5"/>
    <w:rsid w:val="00F320D5"/>
    <w:rsid w:val="00F32167"/>
    <w:rsid w:val="00F32176"/>
    <w:rsid w:val="00F325B4"/>
    <w:rsid w:val="00F329A1"/>
    <w:rsid w:val="00F32A37"/>
    <w:rsid w:val="00F32D1F"/>
    <w:rsid w:val="00F32E93"/>
    <w:rsid w:val="00F332E0"/>
    <w:rsid w:val="00F334D3"/>
    <w:rsid w:val="00F33621"/>
    <w:rsid w:val="00F3363C"/>
    <w:rsid w:val="00F33643"/>
    <w:rsid w:val="00F33ADE"/>
    <w:rsid w:val="00F33E6C"/>
    <w:rsid w:val="00F3452C"/>
    <w:rsid w:val="00F3456C"/>
    <w:rsid w:val="00F345EB"/>
    <w:rsid w:val="00F346E6"/>
    <w:rsid w:val="00F34A2B"/>
    <w:rsid w:val="00F34B39"/>
    <w:rsid w:val="00F34B6B"/>
    <w:rsid w:val="00F34C18"/>
    <w:rsid w:val="00F350D6"/>
    <w:rsid w:val="00F35122"/>
    <w:rsid w:val="00F351F9"/>
    <w:rsid w:val="00F353A7"/>
    <w:rsid w:val="00F3546B"/>
    <w:rsid w:val="00F3546D"/>
    <w:rsid w:val="00F3557E"/>
    <w:rsid w:val="00F355B2"/>
    <w:rsid w:val="00F35697"/>
    <w:rsid w:val="00F35949"/>
    <w:rsid w:val="00F35A21"/>
    <w:rsid w:val="00F35B7C"/>
    <w:rsid w:val="00F35C37"/>
    <w:rsid w:val="00F35C7C"/>
    <w:rsid w:val="00F35CCD"/>
    <w:rsid w:val="00F35CEE"/>
    <w:rsid w:val="00F35D2D"/>
    <w:rsid w:val="00F35E3F"/>
    <w:rsid w:val="00F362B2"/>
    <w:rsid w:val="00F363D2"/>
    <w:rsid w:val="00F3645E"/>
    <w:rsid w:val="00F365DD"/>
    <w:rsid w:val="00F3692B"/>
    <w:rsid w:val="00F36CB8"/>
    <w:rsid w:val="00F36D54"/>
    <w:rsid w:val="00F36FFB"/>
    <w:rsid w:val="00F370BB"/>
    <w:rsid w:val="00F370D2"/>
    <w:rsid w:val="00F3712D"/>
    <w:rsid w:val="00F37151"/>
    <w:rsid w:val="00F37221"/>
    <w:rsid w:val="00F372C2"/>
    <w:rsid w:val="00F3746B"/>
    <w:rsid w:val="00F3746C"/>
    <w:rsid w:val="00F374A0"/>
    <w:rsid w:val="00F374AC"/>
    <w:rsid w:val="00F37585"/>
    <w:rsid w:val="00F37705"/>
    <w:rsid w:val="00F3791E"/>
    <w:rsid w:val="00F37931"/>
    <w:rsid w:val="00F3797D"/>
    <w:rsid w:val="00F379E7"/>
    <w:rsid w:val="00F37B14"/>
    <w:rsid w:val="00F37B36"/>
    <w:rsid w:val="00F37D7A"/>
    <w:rsid w:val="00F37E19"/>
    <w:rsid w:val="00F37FCE"/>
    <w:rsid w:val="00F4008B"/>
    <w:rsid w:val="00F4038F"/>
    <w:rsid w:val="00F40432"/>
    <w:rsid w:val="00F4049B"/>
    <w:rsid w:val="00F404B1"/>
    <w:rsid w:val="00F40652"/>
    <w:rsid w:val="00F40864"/>
    <w:rsid w:val="00F40943"/>
    <w:rsid w:val="00F40962"/>
    <w:rsid w:val="00F40A6F"/>
    <w:rsid w:val="00F40B9A"/>
    <w:rsid w:val="00F40C68"/>
    <w:rsid w:val="00F40D6D"/>
    <w:rsid w:val="00F40F7D"/>
    <w:rsid w:val="00F4113A"/>
    <w:rsid w:val="00F41179"/>
    <w:rsid w:val="00F41440"/>
    <w:rsid w:val="00F4148B"/>
    <w:rsid w:val="00F415F9"/>
    <w:rsid w:val="00F4162D"/>
    <w:rsid w:val="00F4172A"/>
    <w:rsid w:val="00F417EA"/>
    <w:rsid w:val="00F418C8"/>
    <w:rsid w:val="00F41A6F"/>
    <w:rsid w:val="00F41B1B"/>
    <w:rsid w:val="00F41CD7"/>
    <w:rsid w:val="00F41DCE"/>
    <w:rsid w:val="00F41EB5"/>
    <w:rsid w:val="00F4203F"/>
    <w:rsid w:val="00F42446"/>
    <w:rsid w:val="00F42562"/>
    <w:rsid w:val="00F4268A"/>
    <w:rsid w:val="00F4291C"/>
    <w:rsid w:val="00F42AEE"/>
    <w:rsid w:val="00F42CDB"/>
    <w:rsid w:val="00F42DFA"/>
    <w:rsid w:val="00F42F14"/>
    <w:rsid w:val="00F42F71"/>
    <w:rsid w:val="00F42FAC"/>
    <w:rsid w:val="00F43215"/>
    <w:rsid w:val="00F4329C"/>
    <w:rsid w:val="00F4332F"/>
    <w:rsid w:val="00F4359C"/>
    <w:rsid w:val="00F435EF"/>
    <w:rsid w:val="00F4360F"/>
    <w:rsid w:val="00F43630"/>
    <w:rsid w:val="00F438DF"/>
    <w:rsid w:val="00F43937"/>
    <w:rsid w:val="00F43A50"/>
    <w:rsid w:val="00F43D4E"/>
    <w:rsid w:val="00F43D5A"/>
    <w:rsid w:val="00F43E19"/>
    <w:rsid w:val="00F43F35"/>
    <w:rsid w:val="00F43F49"/>
    <w:rsid w:val="00F44042"/>
    <w:rsid w:val="00F44231"/>
    <w:rsid w:val="00F44318"/>
    <w:rsid w:val="00F445ED"/>
    <w:rsid w:val="00F44765"/>
    <w:rsid w:val="00F44892"/>
    <w:rsid w:val="00F44895"/>
    <w:rsid w:val="00F44E58"/>
    <w:rsid w:val="00F44F0C"/>
    <w:rsid w:val="00F44FC4"/>
    <w:rsid w:val="00F45109"/>
    <w:rsid w:val="00F4517C"/>
    <w:rsid w:val="00F45326"/>
    <w:rsid w:val="00F4549A"/>
    <w:rsid w:val="00F4568F"/>
    <w:rsid w:val="00F4576D"/>
    <w:rsid w:val="00F4586A"/>
    <w:rsid w:val="00F4588E"/>
    <w:rsid w:val="00F45CBF"/>
    <w:rsid w:val="00F45CEF"/>
    <w:rsid w:val="00F45DB3"/>
    <w:rsid w:val="00F46012"/>
    <w:rsid w:val="00F46085"/>
    <w:rsid w:val="00F46151"/>
    <w:rsid w:val="00F46222"/>
    <w:rsid w:val="00F463FE"/>
    <w:rsid w:val="00F46431"/>
    <w:rsid w:val="00F465B7"/>
    <w:rsid w:val="00F46624"/>
    <w:rsid w:val="00F466E0"/>
    <w:rsid w:val="00F467AC"/>
    <w:rsid w:val="00F468F2"/>
    <w:rsid w:val="00F468FF"/>
    <w:rsid w:val="00F4690C"/>
    <w:rsid w:val="00F46AFF"/>
    <w:rsid w:val="00F46BC4"/>
    <w:rsid w:val="00F46EA2"/>
    <w:rsid w:val="00F47010"/>
    <w:rsid w:val="00F47030"/>
    <w:rsid w:val="00F4711B"/>
    <w:rsid w:val="00F47181"/>
    <w:rsid w:val="00F471F9"/>
    <w:rsid w:val="00F47301"/>
    <w:rsid w:val="00F47329"/>
    <w:rsid w:val="00F47343"/>
    <w:rsid w:val="00F473B5"/>
    <w:rsid w:val="00F4743E"/>
    <w:rsid w:val="00F474F2"/>
    <w:rsid w:val="00F4760E"/>
    <w:rsid w:val="00F476FC"/>
    <w:rsid w:val="00F47746"/>
    <w:rsid w:val="00F4785F"/>
    <w:rsid w:val="00F47EDD"/>
    <w:rsid w:val="00F47FCC"/>
    <w:rsid w:val="00F50003"/>
    <w:rsid w:val="00F50177"/>
    <w:rsid w:val="00F50178"/>
    <w:rsid w:val="00F503D2"/>
    <w:rsid w:val="00F5057E"/>
    <w:rsid w:val="00F50585"/>
    <w:rsid w:val="00F507A8"/>
    <w:rsid w:val="00F50805"/>
    <w:rsid w:val="00F50A11"/>
    <w:rsid w:val="00F50A85"/>
    <w:rsid w:val="00F50B0B"/>
    <w:rsid w:val="00F50BAF"/>
    <w:rsid w:val="00F50C40"/>
    <w:rsid w:val="00F50C4D"/>
    <w:rsid w:val="00F50D49"/>
    <w:rsid w:val="00F50F65"/>
    <w:rsid w:val="00F510D8"/>
    <w:rsid w:val="00F515D0"/>
    <w:rsid w:val="00F515F5"/>
    <w:rsid w:val="00F516E3"/>
    <w:rsid w:val="00F519AC"/>
    <w:rsid w:val="00F51A4A"/>
    <w:rsid w:val="00F51C0D"/>
    <w:rsid w:val="00F51CF8"/>
    <w:rsid w:val="00F51E48"/>
    <w:rsid w:val="00F51EFB"/>
    <w:rsid w:val="00F521B1"/>
    <w:rsid w:val="00F5230B"/>
    <w:rsid w:val="00F5235D"/>
    <w:rsid w:val="00F524EF"/>
    <w:rsid w:val="00F52703"/>
    <w:rsid w:val="00F528E2"/>
    <w:rsid w:val="00F52BFE"/>
    <w:rsid w:val="00F52C75"/>
    <w:rsid w:val="00F52D9A"/>
    <w:rsid w:val="00F52EB6"/>
    <w:rsid w:val="00F52F59"/>
    <w:rsid w:val="00F52FAE"/>
    <w:rsid w:val="00F53064"/>
    <w:rsid w:val="00F5312D"/>
    <w:rsid w:val="00F53558"/>
    <w:rsid w:val="00F53792"/>
    <w:rsid w:val="00F53A88"/>
    <w:rsid w:val="00F53B52"/>
    <w:rsid w:val="00F53CAA"/>
    <w:rsid w:val="00F53D3E"/>
    <w:rsid w:val="00F53DCA"/>
    <w:rsid w:val="00F540BE"/>
    <w:rsid w:val="00F542C2"/>
    <w:rsid w:val="00F5430B"/>
    <w:rsid w:val="00F54313"/>
    <w:rsid w:val="00F5434C"/>
    <w:rsid w:val="00F54500"/>
    <w:rsid w:val="00F54606"/>
    <w:rsid w:val="00F54672"/>
    <w:rsid w:val="00F54727"/>
    <w:rsid w:val="00F54768"/>
    <w:rsid w:val="00F54832"/>
    <w:rsid w:val="00F548E6"/>
    <w:rsid w:val="00F54C49"/>
    <w:rsid w:val="00F54CE5"/>
    <w:rsid w:val="00F54CF9"/>
    <w:rsid w:val="00F54D65"/>
    <w:rsid w:val="00F54F4B"/>
    <w:rsid w:val="00F54F8F"/>
    <w:rsid w:val="00F55144"/>
    <w:rsid w:val="00F55199"/>
    <w:rsid w:val="00F552BC"/>
    <w:rsid w:val="00F55366"/>
    <w:rsid w:val="00F55410"/>
    <w:rsid w:val="00F5545A"/>
    <w:rsid w:val="00F5562F"/>
    <w:rsid w:val="00F557C2"/>
    <w:rsid w:val="00F559DF"/>
    <w:rsid w:val="00F55B9D"/>
    <w:rsid w:val="00F55F74"/>
    <w:rsid w:val="00F55FF6"/>
    <w:rsid w:val="00F5622B"/>
    <w:rsid w:val="00F563AF"/>
    <w:rsid w:val="00F5678A"/>
    <w:rsid w:val="00F567ED"/>
    <w:rsid w:val="00F5695C"/>
    <w:rsid w:val="00F56A41"/>
    <w:rsid w:val="00F56B3A"/>
    <w:rsid w:val="00F56B4D"/>
    <w:rsid w:val="00F56B8C"/>
    <w:rsid w:val="00F56CCB"/>
    <w:rsid w:val="00F56D42"/>
    <w:rsid w:val="00F56D93"/>
    <w:rsid w:val="00F56DDA"/>
    <w:rsid w:val="00F56E02"/>
    <w:rsid w:val="00F56F9F"/>
    <w:rsid w:val="00F5752B"/>
    <w:rsid w:val="00F575DE"/>
    <w:rsid w:val="00F57631"/>
    <w:rsid w:val="00F577E0"/>
    <w:rsid w:val="00F57885"/>
    <w:rsid w:val="00F57ABE"/>
    <w:rsid w:val="00F57BB0"/>
    <w:rsid w:val="00F57C43"/>
    <w:rsid w:val="00F57CB0"/>
    <w:rsid w:val="00F57D22"/>
    <w:rsid w:val="00F57D37"/>
    <w:rsid w:val="00F57D69"/>
    <w:rsid w:val="00F57E34"/>
    <w:rsid w:val="00F57EFD"/>
    <w:rsid w:val="00F57F4B"/>
    <w:rsid w:val="00F57FB9"/>
    <w:rsid w:val="00F6002E"/>
    <w:rsid w:val="00F601A2"/>
    <w:rsid w:val="00F602D3"/>
    <w:rsid w:val="00F60483"/>
    <w:rsid w:val="00F60514"/>
    <w:rsid w:val="00F60625"/>
    <w:rsid w:val="00F607D2"/>
    <w:rsid w:val="00F6089E"/>
    <w:rsid w:val="00F608DC"/>
    <w:rsid w:val="00F608E7"/>
    <w:rsid w:val="00F60944"/>
    <w:rsid w:val="00F60A25"/>
    <w:rsid w:val="00F60AB7"/>
    <w:rsid w:val="00F60D8E"/>
    <w:rsid w:val="00F61029"/>
    <w:rsid w:val="00F610BC"/>
    <w:rsid w:val="00F6111B"/>
    <w:rsid w:val="00F611E7"/>
    <w:rsid w:val="00F61373"/>
    <w:rsid w:val="00F614F7"/>
    <w:rsid w:val="00F6155F"/>
    <w:rsid w:val="00F6163E"/>
    <w:rsid w:val="00F619B9"/>
    <w:rsid w:val="00F61A5F"/>
    <w:rsid w:val="00F61CE0"/>
    <w:rsid w:val="00F61CF6"/>
    <w:rsid w:val="00F61D2A"/>
    <w:rsid w:val="00F61D6C"/>
    <w:rsid w:val="00F61D6D"/>
    <w:rsid w:val="00F61E83"/>
    <w:rsid w:val="00F61F4B"/>
    <w:rsid w:val="00F6201F"/>
    <w:rsid w:val="00F620E1"/>
    <w:rsid w:val="00F6226A"/>
    <w:rsid w:val="00F62369"/>
    <w:rsid w:val="00F62504"/>
    <w:rsid w:val="00F626F9"/>
    <w:rsid w:val="00F62744"/>
    <w:rsid w:val="00F6278B"/>
    <w:rsid w:val="00F627DE"/>
    <w:rsid w:val="00F629D4"/>
    <w:rsid w:val="00F62AAD"/>
    <w:rsid w:val="00F62CC8"/>
    <w:rsid w:val="00F62E1B"/>
    <w:rsid w:val="00F6336A"/>
    <w:rsid w:val="00F6357B"/>
    <w:rsid w:val="00F63896"/>
    <w:rsid w:val="00F639DC"/>
    <w:rsid w:val="00F63E3E"/>
    <w:rsid w:val="00F63E9D"/>
    <w:rsid w:val="00F63EAD"/>
    <w:rsid w:val="00F64081"/>
    <w:rsid w:val="00F64117"/>
    <w:rsid w:val="00F64195"/>
    <w:rsid w:val="00F64329"/>
    <w:rsid w:val="00F6437C"/>
    <w:rsid w:val="00F643D7"/>
    <w:rsid w:val="00F64662"/>
    <w:rsid w:val="00F649CF"/>
    <w:rsid w:val="00F64B8D"/>
    <w:rsid w:val="00F64CEC"/>
    <w:rsid w:val="00F64D4B"/>
    <w:rsid w:val="00F64E65"/>
    <w:rsid w:val="00F650A2"/>
    <w:rsid w:val="00F650F8"/>
    <w:rsid w:val="00F65238"/>
    <w:rsid w:val="00F6531E"/>
    <w:rsid w:val="00F6535B"/>
    <w:rsid w:val="00F65362"/>
    <w:rsid w:val="00F65366"/>
    <w:rsid w:val="00F654D4"/>
    <w:rsid w:val="00F6556A"/>
    <w:rsid w:val="00F65A80"/>
    <w:rsid w:val="00F65B47"/>
    <w:rsid w:val="00F65BAC"/>
    <w:rsid w:val="00F65C6C"/>
    <w:rsid w:val="00F65CC7"/>
    <w:rsid w:val="00F65CE2"/>
    <w:rsid w:val="00F65D88"/>
    <w:rsid w:val="00F65DA0"/>
    <w:rsid w:val="00F65E76"/>
    <w:rsid w:val="00F65F0E"/>
    <w:rsid w:val="00F66144"/>
    <w:rsid w:val="00F661B4"/>
    <w:rsid w:val="00F6626A"/>
    <w:rsid w:val="00F6626D"/>
    <w:rsid w:val="00F6629B"/>
    <w:rsid w:val="00F664AD"/>
    <w:rsid w:val="00F664DA"/>
    <w:rsid w:val="00F66893"/>
    <w:rsid w:val="00F66EEB"/>
    <w:rsid w:val="00F66F2B"/>
    <w:rsid w:val="00F6709D"/>
    <w:rsid w:val="00F6713F"/>
    <w:rsid w:val="00F671FD"/>
    <w:rsid w:val="00F67287"/>
    <w:rsid w:val="00F672AF"/>
    <w:rsid w:val="00F678DE"/>
    <w:rsid w:val="00F67A47"/>
    <w:rsid w:val="00F67B24"/>
    <w:rsid w:val="00F67BAB"/>
    <w:rsid w:val="00F67D97"/>
    <w:rsid w:val="00F67DAD"/>
    <w:rsid w:val="00F67E38"/>
    <w:rsid w:val="00F67EDF"/>
    <w:rsid w:val="00F70160"/>
    <w:rsid w:val="00F70182"/>
    <w:rsid w:val="00F702D4"/>
    <w:rsid w:val="00F70721"/>
    <w:rsid w:val="00F70952"/>
    <w:rsid w:val="00F70D4F"/>
    <w:rsid w:val="00F71015"/>
    <w:rsid w:val="00F710D1"/>
    <w:rsid w:val="00F71203"/>
    <w:rsid w:val="00F712F6"/>
    <w:rsid w:val="00F713BC"/>
    <w:rsid w:val="00F714A8"/>
    <w:rsid w:val="00F71562"/>
    <w:rsid w:val="00F71579"/>
    <w:rsid w:val="00F715A7"/>
    <w:rsid w:val="00F7178B"/>
    <w:rsid w:val="00F717D8"/>
    <w:rsid w:val="00F71A9C"/>
    <w:rsid w:val="00F71B83"/>
    <w:rsid w:val="00F71D4B"/>
    <w:rsid w:val="00F71E45"/>
    <w:rsid w:val="00F71F9E"/>
    <w:rsid w:val="00F71FE4"/>
    <w:rsid w:val="00F72087"/>
    <w:rsid w:val="00F7212E"/>
    <w:rsid w:val="00F72206"/>
    <w:rsid w:val="00F723DE"/>
    <w:rsid w:val="00F72480"/>
    <w:rsid w:val="00F7266B"/>
    <w:rsid w:val="00F72722"/>
    <w:rsid w:val="00F727F0"/>
    <w:rsid w:val="00F72B4E"/>
    <w:rsid w:val="00F72EFF"/>
    <w:rsid w:val="00F730B6"/>
    <w:rsid w:val="00F73211"/>
    <w:rsid w:val="00F7330B"/>
    <w:rsid w:val="00F73565"/>
    <w:rsid w:val="00F73676"/>
    <w:rsid w:val="00F73681"/>
    <w:rsid w:val="00F73695"/>
    <w:rsid w:val="00F73780"/>
    <w:rsid w:val="00F7381C"/>
    <w:rsid w:val="00F73886"/>
    <w:rsid w:val="00F738EE"/>
    <w:rsid w:val="00F7391B"/>
    <w:rsid w:val="00F73A35"/>
    <w:rsid w:val="00F73A97"/>
    <w:rsid w:val="00F73CD8"/>
    <w:rsid w:val="00F73D10"/>
    <w:rsid w:val="00F73EB7"/>
    <w:rsid w:val="00F745AE"/>
    <w:rsid w:val="00F74738"/>
    <w:rsid w:val="00F749A5"/>
    <w:rsid w:val="00F74A12"/>
    <w:rsid w:val="00F74A2B"/>
    <w:rsid w:val="00F74A9C"/>
    <w:rsid w:val="00F74B51"/>
    <w:rsid w:val="00F7513E"/>
    <w:rsid w:val="00F7525F"/>
    <w:rsid w:val="00F75330"/>
    <w:rsid w:val="00F7544B"/>
    <w:rsid w:val="00F75562"/>
    <w:rsid w:val="00F756C8"/>
    <w:rsid w:val="00F75730"/>
    <w:rsid w:val="00F759CE"/>
    <w:rsid w:val="00F75A86"/>
    <w:rsid w:val="00F76000"/>
    <w:rsid w:val="00F760D5"/>
    <w:rsid w:val="00F7610A"/>
    <w:rsid w:val="00F76260"/>
    <w:rsid w:val="00F764B6"/>
    <w:rsid w:val="00F76545"/>
    <w:rsid w:val="00F76546"/>
    <w:rsid w:val="00F76759"/>
    <w:rsid w:val="00F769B1"/>
    <w:rsid w:val="00F76A59"/>
    <w:rsid w:val="00F76AC8"/>
    <w:rsid w:val="00F76C83"/>
    <w:rsid w:val="00F76D25"/>
    <w:rsid w:val="00F7710F"/>
    <w:rsid w:val="00F773F7"/>
    <w:rsid w:val="00F774D8"/>
    <w:rsid w:val="00F77B96"/>
    <w:rsid w:val="00F77C52"/>
    <w:rsid w:val="00F77DA7"/>
    <w:rsid w:val="00F80160"/>
    <w:rsid w:val="00F80208"/>
    <w:rsid w:val="00F8023D"/>
    <w:rsid w:val="00F802D4"/>
    <w:rsid w:val="00F80951"/>
    <w:rsid w:val="00F809A2"/>
    <w:rsid w:val="00F809F0"/>
    <w:rsid w:val="00F80A0E"/>
    <w:rsid w:val="00F80A2F"/>
    <w:rsid w:val="00F80A39"/>
    <w:rsid w:val="00F80A3D"/>
    <w:rsid w:val="00F80F69"/>
    <w:rsid w:val="00F81014"/>
    <w:rsid w:val="00F8102F"/>
    <w:rsid w:val="00F81232"/>
    <w:rsid w:val="00F812DF"/>
    <w:rsid w:val="00F81362"/>
    <w:rsid w:val="00F813D1"/>
    <w:rsid w:val="00F813F4"/>
    <w:rsid w:val="00F814D1"/>
    <w:rsid w:val="00F81527"/>
    <w:rsid w:val="00F81613"/>
    <w:rsid w:val="00F8172F"/>
    <w:rsid w:val="00F81895"/>
    <w:rsid w:val="00F818DC"/>
    <w:rsid w:val="00F818F2"/>
    <w:rsid w:val="00F818FC"/>
    <w:rsid w:val="00F8193E"/>
    <w:rsid w:val="00F81D2D"/>
    <w:rsid w:val="00F81D3A"/>
    <w:rsid w:val="00F82003"/>
    <w:rsid w:val="00F8219C"/>
    <w:rsid w:val="00F82210"/>
    <w:rsid w:val="00F822E0"/>
    <w:rsid w:val="00F823AC"/>
    <w:rsid w:val="00F82443"/>
    <w:rsid w:val="00F82650"/>
    <w:rsid w:val="00F826B0"/>
    <w:rsid w:val="00F82785"/>
    <w:rsid w:val="00F82D4A"/>
    <w:rsid w:val="00F82F32"/>
    <w:rsid w:val="00F82FDC"/>
    <w:rsid w:val="00F83085"/>
    <w:rsid w:val="00F83144"/>
    <w:rsid w:val="00F83210"/>
    <w:rsid w:val="00F832ED"/>
    <w:rsid w:val="00F83364"/>
    <w:rsid w:val="00F835F1"/>
    <w:rsid w:val="00F83684"/>
    <w:rsid w:val="00F83696"/>
    <w:rsid w:val="00F8380A"/>
    <w:rsid w:val="00F83916"/>
    <w:rsid w:val="00F83955"/>
    <w:rsid w:val="00F83A8A"/>
    <w:rsid w:val="00F83AA6"/>
    <w:rsid w:val="00F83AC0"/>
    <w:rsid w:val="00F83B15"/>
    <w:rsid w:val="00F83B26"/>
    <w:rsid w:val="00F83B85"/>
    <w:rsid w:val="00F83CEE"/>
    <w:rsid w:val="00F83D23"/>
    <w:rsid w:val="00F83D89"/>
    <w:rsid w:val="00F83F3A"/>
    <w:rsid w:val="00F83F57"/>
    <w:rsid w:val="00F840FB"/>
    <w:rsid w:val="00F8413C"/>
    <w:rsid w:val="00F84242"/>
    <w:rsid w:val="00F84369"/>
    <w:rsid w:val="00F84439"/>
    <w:rsid w:val="00F8472E"/>
    <w:rsid w:val="00F847ED"/>
    <w:rsid w:val="00F84859"/>
    <w:rsid w:val="00F849E0"/>
    <w:rsid w:val="00F84A31"/>
    <w:rsid w:val="00F84B99"/>
    <w:rsid w:val="00F84FF1"/>
    <w:rsid w:val="00F85052"/>
    <w:rsid w:val="00F851B4"/>
    <w:rsid w:val="00F851D9"/>
    <w:rsid w:val="00F852D9"/>
    <w:rsid w:val="00F853F4"/>
    <w:rsid w:val="00F854EE"/>
    <w:rsid w:val="00F8561E"/>
    <w:rsid w:val="00F856D4"/>
    <w:rsid w:val="00F857E0"/>
    <w:rsid w:val="00F857E3"/>
    <w:rsid w:val="00F85816"/>
    <w:rsid w:val="00F8584E"/>
    <w:rsid w:val="00F858B9"/>
    <w:rsid w:val="00F858D2"/>
    <w:rsid w:val="00F85A42"/>
    <w:rsid w:val="00F85B34"/>
    <w:rsid w:val="00F85B67"/>
    <w:rsid w:val="00F85C13"/>
    <w:rsid w:val="00F85C5E"/>
    <w:rsid w:val="00F85F41"/>
    <w:rsid w:val="00F86667"/>
    <w:rsid w:val="00F8692F"/>
    <w:rsid w:val="00F869C2"/>
    <w:rsid w:val="00F86A13"/>
    <w:rsid w:val="00F86AAE"/>
    <w:rsid w:val="00F86B0D"/>
    <w:rsid w:val="00F86BD9"/>
    <w:rsid w:val="00F86BEF"/>
    <w:rsid w:val="00F86E79"/>
    <w:rsid w:val="00F86EBC"/>
    <w:rsid w:val="00F86FC7"/>
    <w:rsid w:val="00F870B6"/>
    <w:rsid w:val="00F87314"/>
    <w:rsid w:val="00F8737D"/>
    <w:rsid w:val="00F878BD"/>
    <w:rsid w:val="00F879A4"/>
    <w:rsid w:val="00F87B48"/>
    <w:rsid w:val="00F87C04"/>
    <w:rsid w:val="00F87F42"/>
    <w:rsid w:val="00F900FE"/>
    <w:rsid w:val="00F9018C"/>
    <w:rsid w:val="00F903A5"/>
    <w:rsid w:val="00F90417"/>
    <w:rsid w:val="00F906F9"/>
    <w:rsid w:val="00F90A06"/>
    <w:rsid w:val="00F90D3E"/>
    <w:rsid w:val="00F90D57"/>
    <w:rsid w:val="00F90D99"/>
    <w:rsid w:val="00F91353"/>
    <w:rsid w:val="00F91362"/>
    <w:rsid w:val="00F913A1"/>
    <w:rsid w:val="00F913C5"/>
    <w:rsid w:val="00F9140D"/>
    <w:rsid w:val="00F91479"/>
    <w:rsid w:val="00F9157D"/>
    <w:rsid w:val="00F916F4"/>
    <w:rsid w:val="00F9181B"/>
    <w:rsid w:val="00F918BF"/>
    <w:rsid w:val="00F91A3B"/>
    <w:rsid w:val="00F91A44"/>
    <w:rsid w:val="00F91B72"/>
    <w:rsid w:val="00F91C90"/>
    <w:rsid w:val="00F91EC0"/>
    <w:rsid w:val="00F91FE2"/>
    <w:rsid w:val="00F9204A"/>
    <w:rsid w:val="00F920F5"/>
    <w:rsid w:val="00F92322"/>
    <w:rsid w:val="00F926BD"/>
    <w:rsid w:val="00F9273B"/>
    <w:rsid w:val="00F92741"/>
    <w:rsid w:val="00F92775"/>
    <w:rsid w:val="00F9279A"/>
    <w:rsid w:val="00F9288D"/>
    <w:rsid w:val="00F92C81"/>
    <w:rsid w:val="00F92CC4"/>
    <w:rsid w:val="00F92FB7"/>
    <w:rsid w:val="00F93138"/>
    <w:rsid w:val="00F93222"/>
    <w:rsid w:val="00F933C5"/>
    <w:rsid w:val="00F93525"/>
    <w:rsid w:val="00F935D3"/>
    <w:rsid w:val="00F93616"/>
    <w:rsid w:val="00F93747"/>
    <w:rsid w:val="00F9376E"/>
    <w:rsid w:val="00F9386B"/>
    <w:rsid w:val="00F93958"/>
    <w:rsid w:val="00F939B0"/>
    <w:rsid w:val="00F93AAD"/>
    <w:rsid w:val="00F93B13"/>
    <w:rsid w:val="00F93B28"/>
    <w:rsid w:val="00F93CF1"/>
    <w:rsid w:val="00F93DAE"/>
    <w:rsid w:val="00F93F28"/>
    <w:rsid w:val="00F93F3E"/>
    <w:rsid w:val="00F93F4C"/>
    <w:rsid w:val="00F93F7C"/>
    <w:rsid w:val="00F941E1"/>
    <w:rsid w:val="00F94A17"/>
    <w:rsid w:val="00F94B16"/>
    <w:rsid w:val="00F94BEE"/>
    <w:rsid w:val="00F94D2B"/>
    <w:rsid w:val="00F94DFB"/>
    <w:rsid w:val="00F94F83"/>
    <w:rsid w:val="00F95256"/>
    <w:rsid w:val="00F952E1"/>
    <w:rsid w:val="00F9533A"/>
    <w:rsid w:val="00F9534B"/>
    <w:rsid w:val="00F95642"/>
    <w:rsid w:val="00F957B2"/>
    <w:rsid w:val="00F958CB"/>
    <w:rsid w:val="00F95E5C"/>
    <w:rsid w:val="00F96093"/>
    <w:rsid w:val="00F961C2"/>
    <w:rsid w:val="00F961F3"/>
    <w:rsid w:val="00F9627F"/>
    <w:rsid w:val="00F96325"/>
    <w:rsid w:val="00F96376"/>
    <w:rsid w:val="00F963DB"/>
    <w:rsid w:val="00F96404"/>
    <w:rsid w:val="00F96436"/>
    <w:rsid w:val="00F96499"/>
    <w:rsid w:val="00F967F3"/>
    <w:rsid w:val="00F9684A"/>
    <w:rsid w:val="00F96AA5"/>
    <w:rsid w:val="00F96FD6"/>
    <w:rsid w:val="00F9731C"/>
    <w:rsid w:val="00F97494"/>
    <w:rsid w:val="00F97706"/>
    <w:rsid w:val="00F977B7"/>
    <w:rsid w:val="00F9792E"/>
    <w:rsid w:val="00F97B08"/>
    <w:rsid w:val="00F97B2C"/>
    <w:rsid w:val="00F97D5B"/>
    <w:rsid w:val="00F97F21"/>
    <w:rsid w:val="00FA0000"/>
    <w:rsid w:val="00FA0003"/>
    <w:rsid w:val="00FA0054"/>
    <w:rsid w:val="00FA01D9"/>
    <w:rsid w:val="00FA01F1"/>
    <w:rsid w:val="00FA0284"/>
    <w:rsid w:val="00FA0291"/>
    <w:rsid w:val="00FA02D3"/>
    <w:rsid w:val="00FA0346"/>
    <w:rsid w:val="00FA04C2"/>
    <w:rsid w:val="00FA055F"/>
    <w:rsid w:val="00FA0825"/>
    <w:rsid w:val="00FA0846"/>
    <w:rsid w:val="00FA08AD"/>
    <w:rsid w:val="00FA09A9"/>
    <w:rsid w:val="00FA0AA3"/>
    <w:rsid w:val="00FA0AFA"/>
    <w:rsid w:val="00FA0BDD"/>
    <w:rsid w:val="00FA0C53"/>
    <w:rsid w:val="00FA0C8F"/>
    <w:rsid w:val="00FA0D43"/>
    <w:rsid w:val="00FA0D9D"/>
    <w:rsid w:val="00FA0FF3"/>
    <w:rsid w:val="00FA1400"/>
    <w:rsid w:val="00FA1404"/>
    <w:rsid w:val="00FA147E"/>
    <w:rsid w:val="00FA1604"/>
    <w:rsid w:val="00FA16E9"/>
    <w:rsid w:val="00FA1A1C"/>
    <w:rsid w:val="00FA1C7C"/>
    <w:rsid w:val="00FA1CCA"/>
    <w:rsid w:val="00FA1CE0"/>
    <w:rsid w:val="00FA1D07"/>
    <w:rsid w:val="00FA1DA7"/>
    <w:rsid w:val="00FA20DB"/>
    <w:rsid w:val="00FA21B0"/>
    <w:rsid w:val="00FA21B3"/>
    <w:rsid w:val="00FA23A7"/>
    <w:rsid w:val="00FA24A8"/>
    <w:rsid w:val="00FA259F"/>
    <w:rsid w:val="00FA27EC"/>
    <w:rsid w:val="00FA29E8"/>
    <w:rsid w:val="00FA2A10"/>
    <w:rsid w:val="00FA2A7B"/>
    <w:rsid w:val="00FA2A88"/>
    <w:rsid w:val="00FA2A90"/>
    <w:rsid w:val="00FA2C3A"/>
    <w:rsid w:val="00FA2D6F"/>
    <w:rsid w:val="00FA2DA3"/>
    <w:rsid w:val="00FA2DD4"/>
    <w:rsid w:val="00FA2EAD"/>
    <w:rsid w:val="00FA2F27"/>
    <w:rsid w:val="00FA2FDC"/>
    <w:rsid w:val="00FA306B"/>
    <w:rsid w:val="00FA3263"/>
    <w:rsid w:val="00FA3285"/>
    <w:rsid w:val="00FA32DF"/>
    <w:rsid w:val="00FA3439"/>
    <w:rsid w:val="00FA3602"/>
    <w:rsid w:val="00FA3830"/>
    <w:rsid w:val="00FA38D4"/>
    <w:rsid w:val="00FA394D"/>
    <w:rsid w:val="00FA3A6C"/>
    <w:rsid w:val="00FA3C05"/>
    <w:rsid w:val="00FA3C4E"/>
    <w:rsid w:val="00FA3DE2"/>
    <w:rsid w:val="00FA3EA2"/>
    <w:rsid w:val="00FA3FC1"/>
    <w:rsid w:val="00FA4004"/>
    <w:rsid w:val="00FA4058"/>
    <w:rsid w:val="00FA414A"/>
    <w:rsid w:val="00FA4150"/>
    <w:rsid w:val="00FA42B4"/>
    <w:rsid w:val="00FA4357"/>
    <w:rsid w:val="00FA439C"/>
    <w:rsid w:val="00FA4621"/>
    <w:rsid w:val="00FA488B"/>
    <w:rsid w:val="00FA4A2F"/>
    <w:rsid w:val="00FA4B72"/>
    <w:rsid w:val="00FA4D0D"/>
    <w:rsid w:val="00FA4D42"/>
    <w:rsid w:val="00FA4E5D"/>
    <w:rsid w:val="00FA4EA5"/>
    <w:rsid w:val="00FA5393"/>
    <w:rsid w:val="00FA547E"/>
    <w:rsid w:val="00FA559A"/>
    <w:rsid w:val="00FA55E1"/>
    <w:rsid w:val="00FA55E6"/>
    <w:rsid w:val="00FA5766"/>
    <w:rsid w:val="00FA57D3"/>
    <w:rsid w:val="00FA5B57"/>
    <w:rsid w:val="00FA5D13"/>
    <w:rsid w:val="00FA5FDE"/>
    <w:rsid w:val="00FA62AF"/>
    <w:rsid w:val="00FA62DC"/>
    <w:rsid w:val="00FA6472"/>
    <w:rsid w:val="00FA6474"/>
    <w:rsid w:val="00FA65B4"/>
    <w:rsid w:val="00FA6701"/>
    <w:rsid w:val="00FA67B6"/>
    <w:rsid w:val="00FA6C5E"/>
    <w:rsid w:val="00FA6D45"/>
    <w:rsid w:val="00FA6E86"/>
    <w:rsid w:val="00FA6F01"/>
    <w:rsid w:val="00FA6F6D"/>
    <w:rsid w:val="00FA701E"/>
    <w:rsid w:val="00FA705D"/>
    <w:rsid w:val="00FA72FB"/>
    <w:rsid w:val="00FA73AC"/>
    <w:rsid w:val="00FA7478"/>
    <w:rsid w:val="00FA78BC"/>
    <w:rsid w:val="00FA7A89"/>
    <w:rsid w:val="00FA7ABE"/>
    <w:rsid w:val="00FA7C03"/>
    <w:rsid w:val="00FA7D7D"/>
    <w:rsid w:val="00FA7E0C"/>
    <w:rsid w:val="00FA7E98"/>
    <w:rsid w:val="00FA7F17"/>
    <w:rsid w:val="00FA7FE6"/>
    <w:rsid w:val="00FB0285"/>
    <w:rsid w:val="00FB0395"/>
    <w:rsid w:val="00FB047A"/>
    <w:rsid w:val="00FB054E"/>
    <w:rsid w:val="00FB0682"/>
    <w:rsid w:val="00FB07C3"/>
    <w:rsid w:val="00FB08D5"/>
    <w:rsid w:val="00FB08FF"/>
    <w:rsid w:val="00FB0E9D"/>
    <w:rsid w:val="00FB0F0A"/>
    <w:rsid w:val="00FB1110"/>
    <w:rsid w:val="00FB1751"/>
    <w:rsid w:val="00FB1994"/>
    <w:rsid w:val="00FB19D7"/>
    <w:rsid w:val="00FB1BBE"/>
    <w:rsid w:val="00FB1C12"/>
    <w:rsid w:val="00FB1E09"/>
    <w:rsid w:val="00FB1F38"/>
    <w:rsid w:val="00FB21BF"/>
    <w:rsid w:val="00FB2236"/>
    <w:rsid w:val="00FB22FF"/>
    <w:rsid w:val="00FB2390"/>
    <w:rsid w:val="00FB23BF"/>
    <w:rsid w:val="00FB27C2"/>
    <w:rsid w:val="00FB27E3"/>
    <w:rsid w:val="00FB2817"/>
    <w:rsid w:val="00FB2AB4"/>
    <w:rsid w:val="00FB2BF5"/>
    <w:rsid w:val="00FB2C79"/>
    <w:rsid w:val="00FB2E7A"/>
    <w:rsid w:val="00FB2F5C"/>
    <w:rsid w:val="00FB2F74"/>
    <w:rsid w:val="00FB2FF5"/>
    <w:rsid w:val="00FB3103"/>
    <w:rsid w:val="00FB3105"/>
    <w:rsid w:val="00FB3230"/>
    <w:rsid w:val="00FB3406"/>
    <w:rsid w:val="00FB3431"/>
    <w:rsid w:val="00FB349E"/>
    <w:rsid w:val="00FB36B7"/>
    <w:rsid w:val="00FB3849"/>
    <w:rsid w:val="00FB3977"/>
    <w:rsid w:val="00FB3A15"/>
    <w:rsid w:val="00FB3BCB"/>
    <w:rsid w:val="00FB3E90"/>
    <w:rsid w:val="00FB3ED3"/>
    <w:rsid w:val="00FB3F11"/>
    <w:rsid w:val="00FB4245"/>
    <w:rsid w:val="00FB4299"/>
    <w:rsid w:val="00FB45FF"/>
    <w:rsid w:val="00FB46E2"/>
    <w:rsid w:val="00FB49B9"/>
    <w:rsid w:val="00FB4A3F"/>
    <w:rsid w:val="00FB4B0F"/>
    <w:rsid w:val="00FB4F96"/>
    <w:rsid w:val="00FB4FA0"/>
    <w:rsid w:val="00FB5058"/>
    <w:rsid w:val="00FB51B2"/>
    <w:rsid w:val="00FB5209"/>
    <w:rsid w:val="00FB521E"/>
    <w:rsid w:val="00FB546D"/>
    <w:rsid w:val="00FB54D5"/>
    <w:rsid w:val="00FB5717"/>
    <w:rsid w:val="00FB5829"/>
    <w:rsid w:val="00FB5858"/>
    <w:rsid w:val="00FB5876"/>
    <w:rsid w:val="00FB5889"/>
    <w:rsid w:val="00FB59FA"/>
    <w:rsid w:val="00FB5A9F"/>
    <w:rsid w:val="00FB5BCC"/>
    <w:rsid w:val="00FB5C3A"/>
    <w:rsid w:val="00FB5DF1"/>
    <w:rsid w:val="00FB5ED3"/>
    <w:rsid w:val="00FB5F41"/>
    <w:rsid w:val="00FB5FFA"/>
    <w:rsid w:val="00FB620D"/>
    <w:rsid w:val="00FB62E6"/>
    <w:rsid w:val="00FB6441"/>
    <w:rsid w:val="00FB66D5"/>
    <w:rsid w:val="00FB6891"/>
    <w:rsid w:val="00FB6A8F"/>
    <w:rsid w:val="00FB6C44"/>
    <w:rsid w:val="00FB6C54"/>
    <w:rsid w:val="00FB6D60"/>
    <w:rsid w:val="00FB6F67"/>
    <w:rsid w:val="00FB706D"/>
    <w:rsid w:val="00FB70DD"/>
    <w:rsid w:val="00FB70FA"/>
    <w:rsid w:val="00FB7119"/>
    <w:rsid w:val="00FB718B"/>
    <w:rsid w:val="00FB7227"/>
    <w:rsid w:val="00FB73CD"/>
    <w:rsid w:val="00FB7435"/>
    <w:rsid w:val="00FB74F0"/>
    <w:rsid w:val="00FB7501"/>
    <w:rsid w:val="00FB7629"/>
    <w:rsid w:val="00FB799D"/>
    <w:rsid w:val="00FB79B0"/>
    <w:rsid w:val="00FB7C51"/>
    <w:rsid w:val="00FB7CB4"/>
    <w:rsid w:val="00FB7CE5"/>
    <w:rsid w:val="00FB7D54"/>
    <w:rsid w:val="00FC040E"/>
    <w:rsid w:val="00FC04DA"/>
    <w:rsid w:val="00FC0542"/>
    <w:rsid w:val="00FC0660"/>
    <w:rsid w:val="00FC0720"/>
    <w:rsid w:val="00FC0AD7"/>
    <w:rsid w:val="00FC0AE7"/>
    <w:rsid w:val="00FC0BC2"/>
    <w:rsid w:val="00FC0E0E"/>
    <w:rsid w:val="00FC10DE"/>
    <w:rsid w:val="00FC11E8"/>
    <w:rsid w:val="00FC127E"/>
    <w:rsid w:val="00FC13CD"/>
    <w:rsid w:val="00FC14BB"/>
    <w:rsid w:val="00FC15C3"/>
    <w:rsid w:val="00FC168B"/>
    <w:rsid w:val="00FC16B9"/>
    <w:rsid w:val="00FC171F"/>
    <w:rsid w:val="00FC18D8"/>
    <w:rsid w:val="00FC1B26"/>
    <w:rsid w:val="00FC1E0B"/>
    <w:rsid w:val="00FC1FA2"/>
    <w:rsid w:val="00FC1FB9"/>
    <w:rsid w:val="00FC1FCD"/>
    <w:rsid w:val="00FC1FD5"/>
    <w:rsid w:val="00FC200B"/>
    <w:rsid w:val="00FC2178"/>
    <w:rsid w:val="00FC2213"/>
    <w:rsid w:val="00FC23B5"/>
    <w:rsid w:val="00FC241E"/>
    <w:rsid w:val="00FC2524"/>
    <w:rsid w:val="00FC25B4"/>
    <w:rsid w:val="00FC2615"/>
    <w:rsid w:val="00FC27C2"/>
    <w:rsid w:val="00FC27CB"/>
    <w:rsid w:val="00FC28FB"/>
    <w:rsid w:val="00FC2C0D"/>
    <w:rsid w:val="00FC2CDE"/>
    <w:rsid w:val="00FC2D5F"/>
    <w:rsid w:val="00FC3013"/>
    <w:rsid w:val="00FC311D"/>
    <w:rsid w:val="00FC31BA"/>
    <w:rsid w:val="00FC3385"/>
    <w:rsid w:val="00FC339B"/>
    <w:rsid w:val="00FC35AA"/>
    <w:rsid w:val="00FC365C"/>
    <w:rsid w:val="00FC38B4"/>
    <w:rsid w:val="00FC39DD"/>
    <w:rsid w:val="00FC3D35"/>
    <w:rsid w:val="00FC3DAE"/>
    <w:rsid w:val="00FC4098"/>
    <w:rsid w:val="00FC420B"/>
    <w:rsid w:val="00FC4337"/>
    <w:rsid w:val="00FC43F9"/>
    <w:rsid w:val="00FC445F"/>
    <w:rsid w:val="00FC4494"/>
    <w:rsid w:val="00FC4594"/>
    <w:rsid w:val="00FC4632"/>
    <w:rsid w:val="00FC47A8"/>
    <w:rsid w:val="00FC4992"/>
    <w:rsid w:val="00FC4AE9"/>
    <w:rsid w:val="00FC4ECA"/>
    <w:rsid w:val="00FC4F4D"/>
    <w:rsid w:val="00FC4F8D"/>
    <w:rsid w:val="00FC4FA0"/>
    <w:rsid w:val="00FC5014"/>
    <w:rsid w:val="00FC5267"/>
    <w:rsid w:val="00FC5330"/>
    <w:rsid w:val="00FC5409"/>
    <w:rsid w:val="00FC54F4"/>
    <w:rsid w:val="00FC5603"/>
    <w:rsid w:val="00FC582F"/>
    <w:rsid w:val="00FC58A2"/>
    <w:rsid w:val="00FC5AC0"/>
    <w:rsid w:val="00FC5ACC"/>
    <w:rsid w:val="00FC5C20"/>
    <w:rsid w:val="00FC5CB4"/>
    <w:rsid w:val="00FC5CDF"/>
    <w:rsid w:val="00FC5D0F"/>
    <w:rsid w:val="00FC5EA6"/>
    <w:rsid w:val="00FC634C"/>
    <w:rsid w:val="00FC63AA"/>
    <w:rsid w:val="00FC64C2"/>
    <w:rsid w:val="00FC6541"/>
    <w:rsid w:val="00FC6560"/>
    <w:rsid w:val="00FC6582"/>
    <w:rsid w:val="00FC66A5"/>
    <w:rsid w:val="00FC6838"/>
    <w:rsid w:val="00FC68CD"/>
    <w:rsid w:val="00FC69B6"/>
    <w:rsid w:val="00FC6A94"/>
    <w:rsid w:val="00FC6AAA"/>
    <w:rsid w:val="00FC6B43"/>
    <w:rsid w:val="00FC6C46"/>
    <w:rsid w:val="00FC6DAA"/>
    <w:rsid w:val="00FC6EEF"/>
    <w:rsid w:val="00FC72B5"/>
    <w:rsid w:val="00FC7357"/>
    <w:rsid w:val="00FC7413"/>
    <w:rsid w:val="00FC74ED"/>
    <w:rsid w:val="00FC775D"/>
    <w:rsid w:val="00FC7A00"/>
    <w:rsid w:val="00FC7F13"/>
    <w:rsid w:val="00FC7F42"/>
    <w:rsid w:val="00FC7FBC"/>
    <w:rsid w:val="00FD0129"/>
    <w:rsid w:val="00FD012E"/>
    <w:rsid w:val="00FD0438"/>
    <w:rsid w:val="00FD0584"/>
    <w:rsid w:val="00FD0588"/>
    <w:rsid w:val="00FD0612"/>
    <w:rsid w:val="00FD0623"/>
    <w:rsid w:val="00FD0886"/>
    <w:rsid w:val="00FD0909"/>
    <w:rsid w:val="00FD0B01"/>
    <w:rsid w:val="00FD0B1B"/>
    <w:rsid w:val="00FD0B28"/>
    <w:rsid w:val="00FD0B5C"/>
    <w:rsid w:val="00FD0BED"/>
    <w:rsid w:val="00FD0F34"/>
    <w:rsid w:val="00FD1111"/>
    <w:rsid w:val="00FD127C"/>
    <w:rsid w:val="00FD15FF"/>
    <w:rsid w:val="00FD1683"/>
    <w:rsid w:val="00FD179C"/>
    <w:rsid w:val="00FD17BA"/>
    <w:rsid w:val="00FD1BF5"/>
    <w:rsid w:val="00FD1D03"/>
    <w:rsid w:val="00FD1E10"/>
    <w:rsid w:val="00FD1ECC"/>
    <w:rsid w:val="00FD217B"/>
    <w:rsid w:val="00FD2224"/>
    <w:rsid w:val="00FD2360"/>
    <w:rsid w:val="00FD2383"/>
    <w:rsid w:val="00FD2457"/>
    <w:rsid w:val="00FD25B9"/>
    <w:rsid w:val="00FD2631"/>
    <w:rsid w:val="00FD26F8"/>
    <w:rsid w:val="00FD2800"/>
    <w:rsid w:val="00FD28C9"/>
    <w:rsid w:val="00FD2A21"/>
    <w:rsid w:val="00FD2A36"/>
    <w:rsid w:val="00FD2C9D"/>
    <w:rsid w:val="00FD2F74"/>
    <w:rsid w:val="00FD315B"/>
    <w:rsid w:val="00FD32AE"/>
    <w:rsid w:val="00FD3388"/>
    <w:rsid w:val="00FD348A"/>
    <w:rsid w:val="00FD361D"/>
    <w:rsid w:val="00FD367E"/>
    <w:rsid w:val="00FD369C"/>
    <w:rsid w:val="00FD36B9"/>
    <w:rsid w:val="00FD37E7"/>
    <w:rsid w:val="00FD38D1"/>
    <w:rsid w:val="00FD3950"/>
    <w:rsid w:val="00FD3964"/>
    <w:rsid w:val="00FD3981"/>
    <w:rsid w:val="00FD39D0"/>
    <w:rsid w:val="00FD39D1"/>
    <w:rsid w:val="00FD3A7A"/>
    <w:rsid w:val="00FD3AAF"/>
    <w:rsid w:val="00FD3B94"/>
    <w:rsid w:val="00FD3D11"/>
    <w:rsid w:val="00FD3D14"/>
    <w:rsid w:val="00FD3DF3"/>
    <w:rsid w:val="00FD40D3"/>
    <w:rsid w:val="00FD40DD"/>
    <w:rsid w:val="00FD42BC"/>
    <w:rsid w:val="00FD4350"/>
    <w:rsid w:val="00FD43B3"/>
    <w:rsid w:val="00FD4423"/>
    <w:rsid w:val="00FD44C2"/>
    <w:rsid w:val="00FD45F1"/>
    <w:rsid w:val="00FD4608"/>
    <w:rsid w:val="00FD46DB"/>
    <w:rsid w:val="00FD485E"/>
    <w:rsid w:val="00FD4978"/>
    <w:rsid w:val="00FD49EE"/>
    <w:rsid w:val="00FD4A8A"/>
    <w:rsid w:val="00FD4B1A"/>
    <w:rsid w:val="00FD4D83"/>
    <w:rsid w:val="00FD505C"/>
    <w:rsid w:val="00FD51AF"/>
    <w:rsid w:val="00FD51C4"/>
    <w:rsid w:val="00FD5403"/>
    <w:rsid w:val="00FD54C0"/>
    <w:rsid w:val="00FD5682"/>
    <w:rsid w:val="00FD56C6"/>
    <w:rsid w:val="00FD56FD"/>
    <w:rsid w:val="00FD5727"/>
    <w:rsid w:val="00FD5AE3"/>
    <w:rsid w:val="00FD5E0A"/>
    <w:rsid w:val="00FD61B6"/>
    <w:rsid w:val="00FD6295"/>
    <w:rsid w:val="00FD62BC"/>
    <w:rsid w:val="00FD636E"/>
    <w:rsid w:val="00FD656E"/>
    <w:rsid w:val="00FD6949"/>
    <w:rsid w:val="00FD69DA"/>
    <w:rsid w:val="00FD6B9F"/>
    <w:rsid w:val="00FD6BB5"/>
    <w:rsid w:val="00FD6C85"/>
    <w:rsid w:val="00FD6D69"/>
    <w:rsid w:val="00FD6E03"/>
    <w:rsid w:val="00FD6E4D"/>
    <w:rsid w:val="00FD6F24"/>
    <w:rsid w:val="00FD6F5E"/>
    <w:rsid w:val="00FD7472"/>
    <w:rsid w:val="00FD74E8"/>
    <w:rsid w:val="00FD755F"/>
    <w:rsid w:val="00FD76E7"/>
    <w:rsid w:val="00FD7749"/>
    <w:rsid w:val="00FD78BE"/>
    <w:rsid w:val="00FD7991"/>
    <w:rsid w:val="00FD7A8E"/>
    <w:rsid w:val="00FD7C41"/>
    <w:rsid w:val="00FD7CE7"/>
    <w:rsid w:val="00FD7D8D"/>
    <w:rsid w:val="00FD7E62"/>
    <w:rsid w:val="00FD7F0F"/>
    <w:rsid w:val="00FD7FD6"/>
    <w:rsid w:val="00FD7FDC"/>
    <w:rsid w:val="00FE0225"/>
    <w:rsid w:val="00FE0267"/>
    <w:rsid w:val="00FE0439"/>
    <w:rsid w:val="00FE05A2"/>
    <w:rsid w:val="00FE0656"/>
    <w:rsid w:val="00FE0713"/>
    <w:rsid w:val="00FE0718"/>
    <w:rsid w:val="00FE0736"/>
    <w:rsid w:val="00FE075B"/>
    <w:rsid w:val="00FE0804"/>
    <w:rsid w:val="00FE09FB"/>
    <w:rsid w:val="00FE0A20"/>
    <w:rsid w:val="00FE0A55"/>
    <w:rsid w:val="00FE0DFA"/>
    <w:rsid w:val="00FE0E91"/>
    <w:rsid w:val="00FE0EC4"/>
    <w:rsid w:val="00FE0F19"/>
    <w:rsid w:val="00FE1008"/>
    <w:rsid w:val="00FE1097"/>
    <w:rsid w:val="00FE1118"/>
    <w:rsid w:val="00FE13D8"/>
    <w:rsid w:val="00FE14D1"/>
    <w:rsid w:val="00FE162F"/>
    <w:rsid w:val="00FE165A"/>
    <w:rsid w:val="00FE16C8"/>
    <w:rsid w:val="00FE1916"/>
    <w:rsid w:val="00FE1C11"/>
    <w:rsid w:val="00FE1C53"/>
    <w:rsid w:val="00FE1DE2"/>
    <w:rsid w:val="00FE1EC0"/>
    <w:rsid w:val="00FE1ECE"/>
    <w:rsid w:val="00FE1ED2"/>
    <w:rsid w:val="00FE204A"/>
    <w:rsid w:val="00FE235D"/>
    <w:rsid w:val="00FE240B"/>
    <w:rsid w:val="00FE24A6"/>
    <w:rsid w:val="00FE27F7"/>
    <w:rsid w:val="00FE280C"/>
    <w:rsid w:val="00FE29BF"/>
    <w:rsid w:val="00FE2A29"/>
    <w:rsid w:val="00FE2CB0"/>
    <w:rsid w:val="00FE2CB9"/>
    <w:rsid w:val="00FE2CBD"/>
    <w:rsid w:val="00FE2DE1"/>
    <w:rsid w:val="00FE2E54"/>
    <w:rsid w:val="00FE2EF1"/>
    <w:rsid w:val="00FE314F"/>
    <w:rsid w:val="00FE3160"/>
    <w:rsid w:val="00FE32FF"/>
    <w:rsid w:val="00FE34C1"/>
    <w:rsid w:val="00FE3548"/>
    <w:rsid w:val="00FE3665"/>
    <w:rsid w:val="00FE3694"/>
    <w:rsid w:val="00FE3802"/>
    <w:rsid w:val="00FE380B"/>
    <w:rsid w:val="00FE3858"/>
    <w:rsid w:val="00FE3888"/>
    <w:rsid w:val="00FE3AE5"/>
    <w:rsid w:val="00FE3B4B"/>
    <w:rsid w:val="00FE3B8D"/>
    <w:rsid w:val="00FE3BD3"/>
    <w:rsid w:val="00FE3CEE"/>
    <w:rsid w:val="00FE3E17"/>
    <w:rsid w:val="00FE3F31"/>
    <w:rsid w:val="00FE3FF5"/>
    <w:rsid w:val="00FE40E5"/>
    <w:rsid w:val="00FE40F8"/>
    <w:rsid w:val="00FE4132"/>
    <w:rsid w:val="00FE41BB"/>
    <w:rsid w:val="00FE4229"/>
    <w:rsid w:val="00FE428F"/>
    <w:rsid w:val="00FE43E3"/>
    <w:rsid w:val="00FE44BC"/>
    <w:rsid w:val="00FE4739"/>
    <w:rsid w:val="00FE4973"/>
    <w:rsid w:val="00FE4BC8"/>
    <w:rsid w:val="00FE4DAD"/>
    <w:rsid w:val="00FE4DB2"/>
    <w:rsid w:val="00FE4F06"/>
    <w:rsid w:val="00FE521B"/>
    <w:rsid w:val="00FE533F"/>
    <w:rsid w:val="00FE541B"/>
    <w:rsid w:val="00FE572B"/>
    <w:rsid w:val="00FE5745"/>
    <w:rsid w:val="00FE59D4"/>
    <w:rsid w:val="00FE5BE6"/>
    <w:rsid w:val="00FE5BF4"/>
    <w:rsid w:val="00FE5D80"/>
    <w:rsid w:val="00FE5E15"/>
    <w:rsid w:val="00FE5F95"/>
    <w:rsid w:val="00FE6120"/>
    <w:rsid w:val="00FE621A"/>
    <w:rsid w:val="00FE6280"/>
    <w:rsid w:val="00FE644B"/>
    <w:rsid w:val="00FE6512"/>
    <w:rsid w:val="00FE6534"/>
    <w:rsid w:val="00FE65D2"/>
    <w:rsid w:val="00FE665C"/>
    <w:rsid w:val="00FE681D"/>
    <w:rsid w:val="00FE6DB2"/>
    <w:rsid w:val="00FE6F3B"/>
    <w:rsid w:val="00FE6F3D"/>
    <w:rsid w:val="00FE7021"/>
    <w:rsid w:val="00FE727B"/>
    <w:rsid w:val="00FE737C"/>
    <w:rsid w:val="00FE74DF"/>
    <w:rsid w:val="00FE790E"/>
    <w:rsid w:val="00FE7A21"/>
    <w:rsid w:val="00FE7CA1"/>
    <w:rsid w:val="00FE7E3C"/>
    <w:rsid w:val="00FE7E61"/>
    <w:rsid w:val="00FF00B1"/>
    <w:rsid w:val="00FF0148"/>
    <w:rsid w:val="00FF0157"/>
    <w:rsid w:val="00FF01EF"/>
    <w:rsid w:val="00FF0281"/>
    <w:rsid w:val="00FF02D8"/>
    <w:rsid w:val="00FF0605"/>
    <w:rsid w:val="00FF0792"/>
    <w:rsid w:val="00FF0A69"/>
    <w:rsid w:val="00FF0A79"/>
    <w:rsid w:val="00FF0BC1"/>
    <w:rsid w:val="00FF0C7E"/>
    <w:rsid w:val="00FF0DBD"/>
    <w:rsid w:val="00FF0E5C"/>
    <w:rsid w:val="00FF12F2"/>
    <w:rsid w:val="00FF140A"/>
    <w:rsid w:val="00FF148B"/>
    <w:rsid w:val="00FF151A"/>
    <w:rsid w:val="00FF154C"/>
    <w:rsid w:val="00FF1678"/>
    <w:rsid w:val="00FF1689"/>
    <w:rsid w:val="00FF16E3"/>
    <w:rsid w:val="00FF176C"/>
    <w:rsid w:val="00FF17E3"/>
    <w:rsid w:val="00FF182B"/>
    <w:rsid w:val="00FF18EA"/>
    <w:rsid w:val="00FF19C1"/>
    <w:rsid w:val="00FF1C56"/>
    <w:rsid w:val="00FF1C7F"/>
    <w:rsid w:val="00FF1DA3"/>
    <w:rsid w:val="00FF1DCB"/>
    <w:rsid w:val="00FF1E21"/>
    <w:rsid w:val="00FF1EA8"/>
    <w:rsid w:val="00FF207D"/>
    <w:rsid w:val="00FF2100"/>
    <w:rsid w:val="00FF2136"/>
    <w:rsid w:val="00FF21FD"/>
    <w:rsid w:val="00FF225C"/>
    <w:rsid w:val="00FF2396"/>
    <w:rsid w:val="00FF2434"/>
    <w:rsid w:val="00FF251E"/>
    <w:rsid w:val="00FF25D0"/>
    <w:rsid w:val="00FF2755"/>
    <w:rsid w:val="00FF2769"/>
    <w:rsid w:val="00FF2874"/>
    <w:rsid w:val="00FF2961"/>
    <w:rsid w:val="00FF29C9"/>
    <w:rsid w:val="00FF2AC2"/>
    <w:rsid w:val="00FF2B4E"/>
    <w:rsid w:val="00FF2B80"/>
    <w:rsid w:val="00FF2BCE"/>
    <w:rsid w:val="00FF2EEA"/>
    <w:rsid w:val="00FF31B8"/>
    <w:rsid w:val="00FF325C"/>
    <w:rsid w:val="00FF34D1"/>
    <w:rsid w:val="00FF352B"/>
    <w:rsid w:val="00FF3570"/>
    <w:rsid w:val="00FF35A6"/>
    <w:rsid w:val="00FF36F2"/>
    <w:rsid w:val="00FF3A07"/>
    <w:rsid w:val="00FF3A12"/>
    <w:rsid w:val="00FF3A47"/>
    <w:rsid w:val="00FF3AFE"/>
    <w:rsid w:val="00FF3CE8"/>
    <w:rsid w:val="00FF3D9E"/>
    <w:rsid w:val="00FF3EFE"/>
    <w:rsid w:val="00FF3F2A"/>
    <w:rsid w:val="00FF3FEA"/>
    <w:rsid w:val="00FF4065"/>
    <w:rsid w:val="00FF40D9"/>
    <w:rsid w:val="00FF415B"/>
    <w:rsid w:val="00FF4196"/>
    <w:rsid w:val="00FF41FD"/>
    <w:rsid w:val="00FF4652"/>
    <w:rsid w:val="00FF4738"/>
    <w:rsid w:val="00FF47BD"/>
    <w:rsid w:val="00FF4838"/>
    <w:rsid w:val="00FF49D1"/>
    <w:rsid w:val="00FF4A17"/>
    <w:rsid w:val="00FF4C68"/>
    <w:rsid w:val="00FF4CCD"/>
    <w:rsid w:val="00FF4D1B"/>
    <w:rsid w:val="00FF4DF7"/>
    <w:rsid w:val="00FF4EE1"/>
    <w:rsid w:val="00FF4FF7"/>
    <w:rsid w:val="00FF51C1"/>
    <w:rsid w:val="00FF5958"/>
    <w:rsid w:val="00FF598A"/>
    <w:rsid w:val="00FF5A4C"/>
    <w:rsid w:val="00FF5A7A"/>
    <w:rsid w:val="00FF6148"/>
    <w:rsid w:val="00FF63E2"/>
    <w:rsid w:val="00FF657F"/>
    <w:rsid w:val="00FF6634"/>
    <w:rsid w:val="00FF6873"/>
    <w:rsid w:val="00FF6A05"/>
    <w:rsid w:val="00FF6A39"/>
    <w:rsid w:val="00FF6D9E"/>
    <w:rsid w:val="00FF7006"/>
    <w:rsid w:val="00FF70A4"/>
    <w:rsid w:val="00FF731C"/>
    <w:rsid w:val="00FF738E"/>
    <w:rsid w:val="00FF74C2"/>
    <w:rsid w:val="00FF753C"/>
    <w:rsid w:val="00FF75EE"/>
    <w:rsid w:val="00FF768D"/>
    <w:rsid w:val="00FF7784"/>
    <w:rsid w:val="00FF7998"/>
    <w:rsid w:val="00FF7BA8"/>
    <w:rsid w:val="00FF7BCA"/>
    <w:rsid w:val="00FF7DC2"/>
    <w:rsid w:val="00FF7E35"/>
    <w:rsid w:val="00FF7EBC"/>
    <w:rsid w:val="03BC5EF9"/>
    <w:rsid w:val="07B1657D"/>
    <w:rsid w:val="07DC0E82"/>
    <w:rsid w:val="0EBA3DC6"/>
    <w:rsid w:val="0EF5E619"/>
    <w:rsid w:val="11F92496"/>
    <w:rsid w:val="193F4D41"/>
    <w:rsid w:val="1E7F7921"/>
    <w:rsid w:val="24024939"/>
    <w:rsid w:val="2BD27F9F"/>
    <w:rsid w:val="2BFE180D"/>
    <w:rsid w:val="3262E66C"/>
    <w:rsid w:val="40F641AA"/>
    <w:rsid w:val="41E16C0E"/>
    <w:rsid w:val="454015A3"/>
    <w:rsid w:val="4DBEE6CB"/>
    <w:rsid w:val="541C7162"/>
    <w:rsid w:val="57157429"/>
    <w:rsid w:val="5EF0760D"/>
    <w:rsid w:val="665B2907"/>
    <w:rsid w:val="6A680B3E"/>
    <w:rsid w:val="6D1723FC"/>
    <w:rsid w:val="6DBBEF22"/>
    <w:rsid w:val="6EB3BE6B"/>
    <w:rsid w:val="757E8DDF"/>
    <w:rsid w:val="7E4F634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8C4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216"/>
    <w:pPr>
      <w:spacing w:before="120"/>
    </w:pPr>
    <w:rPr>
      <w:rFonts w:ascii="Franklin Gothic Book" w:hAnsi="Franklin Gothic Book"/>
    </w:rPr>
  </w:style>
  <w:style w:type="paragraph" w:styleId="Heading1">
    <w:name w:val="heading 1"/>
    <w:basedOn w:val="Normal"/>
    <w:next w:val="Normal"/>
    <w:link w:val="Heading1Char"/>
    <w:uiPriority w:val="9"/>
    <w:qFormat/>
    <w:rsid w:val="001531D6"/>
    <w:pPr>
      <w:keepNext/>
      <w:keepLines/>
      <w:numPr>
        <w:numId w:val="1"/>
      </w:numPr>
      <w:pBdr>
        <w:bottom w:val="single" w:sz="4" w:space="1" w:color="auto"/>
      </w:pBdr>
      <w:spacing w:before="600" w:after="480" w:line="240" w:lineRule="auto"/>
      <w:outlineLvl w:val="0"/>
    </w:pPr>
    <w:rPr>
      <w:rFonts w:ascii="Franklin Gothic Medium" w:eastAsiaTheme="majorEastAsia" w:hAnsi="Franklin Gothic Medium" w:cstheme="majorBidi"/>
      <w:sz w:val="44"/>
      <w:szCs w:val="32"/>
    </w:rPr>
  </w:style>
  <w:style w:type="paragraph" w:styleId="Heading2">
    <w:name w:val="heading 2"/>
    <w:basedOn w:val="Normal"/>
    <w:next w:val="Normal"/>
    <w:link w:val="Heading2Char"/>
    <w:uiPriority w:val="9"/>
    <w:unhideWhenUsed/>
    <w:qFormat/>
    <w:rsid w:val="001531D6"/>
    <w:pPr>
      <w:keepNext/>
      <w:keepLines/>
      <w:numPr>
        <w:ilvl w:val="1"/>
        <w:numId w:val="1"/>
      </w:numPr>
      <w:spacing w:before="360" w:after="24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Normal"/>
    <w:next w:val="Normal"/>
    <w:link w:val="Heading3Char"/>
    <w:uiPriority w:val="9"/>
    <w:unhideWhenUsed/>
    <w:qFormat/>
    <w:rsid w:val="005103C5"/>
    <w:pPr>
      <w:keepNext/>
      <w:keepLines/>
      <w:tabs>
        <w:tab w:val="left" w:pos="851"/>
      </w:tabs>
      <w:spacing w:before="360" w:after="200" w:line="240" w:lineRule="auto"/>
      <w:outlineLvl w:val="2"/>
    </w:pPr>
    <w:rPr>
      <w:rFonts w:ascii="Franklin Gothic Medium" w:eastAsiaTheme="majorEastAsia" w:hAnsi="Franklin Gothic Medium" w:cstheme="majorBidi"/>
      <w:sz w:val="24"/>
      <w:szCs w:val="24"/>
    </w:rPr>
  </w:style>
  <w:style w:type="paragraph" w:styleId="Heading4">
    <w:name w:val="heading 4"/>
    <w:basedOn w:val="Heading3"/>
    <w:next w:val="Normal"/>
    <w:link w:val="Heading4Char"/>
    <w:uiPriority w:val="9"/>
    <w:unhideWhenUsed/>
    <w:qFormat/>
    <w:rsid w:val="00A776A4"/>
    <w:pPr>
      <w:outlineLvl w:val="3"/>
    </w:pPr>
    <w:rPr>
      <w:i/>
    </w:rPr>
  </w:style>
  <w:style w:type="paragraph" w:styleId="Heading5">
    <w:name w:val="heading 5"/>
    <w:basedOn w:val="Normal"/>
    <w:next w:val="Normal"/>
    <w:link w:val="Heading5Char"/>
    <w:uiPriority w:val="9"/>
    <w:unhideWhenUsed/>
    <w:qFormat/>
    <w:rsid w:val="00E86EC9"/>
    <w:pPr>
      <w:keepNext/>
      <w:keepLines/>
      <w:spacing w:before="40" w:after="0"/>
      <w:outlineLvl w:val="4"/>
    </w:pPr>
    <w:rPr>
      <w:rFonts w:eastAsiaTheme="majorEastAsia" w:cstheme="majorBidi"/>
      <w:b/>
    </w:rPr>
  </w:style>
  <w:style w:type="paragraph" w:styleId="Heading6">
    <w:name w:val="heading 6"/>
    <w:basedOn w:val="Normal"/>
    <w:next w:val="Normal"/>
    <w:link w:val="Heading6Char"/>
    <w:uiPriority w:val="9"/>
    <w:unhideWhenUsed/>
    <w:qFormat/>
    <w:rsid w:val="00BB1D05"/>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basedOn w:val="Normal"/>
    <w:link w:val="TableTextChar"/>
    <w:qFormat/>
    <w:rsid w:val="003E7773"/>
    <w:pPr>
      <w:spacing w:before="40" w:after="40" w:line="240" w:lineRule="auto"/>
    </w:pPr>
    <w:rPr>
      <w:rFonts w:ascii="Arial Narrow" w:hAnsi="Arial Narrow"/>
      <w:sz w:val="20"/>
    </w:rPr>
  </w:style>
  <w:style w:type="paragraph" w:customStyle="1" w:styleId="TableHeading">
    <w:name w:val="TableHeading"/>
    <w:basedOn w:val="Normal"/>
    <w:link w:val="TableHeadingChar"/>
    <w:qFormat/>
    <w:rsid w:val="00B151CF"/>
    <w:pPr>
      <w:keepNext/>
      <w:spacing w:after="60" w:line="240" w:lineRule="auto"/>
    </w:pPr>
    <w:rPr>
      <w:rFonts w:ascii="Arial Narrow" w:hAnsi="Arial Narrow"/>
      <w:b/>
      <w:sz w:val="20"/>
    </w:rPr>
  </w:style>
  <w:style w:type="paragraph" w:styleId="CommentText">
    <w:name w:val="annotation text"/>
    <w:basedOn w:val="Normal"/>
    <w:link w:val="CommentTextChar"/>
    <w:uiPriority w:val="99"/>
    <w:unhideWhenUsed/>
    <w:rsid w:val="003E7773"/>
    <w:pPr>
      <w:spacing w:after="240" w:line="240" w:lineRule="auto"/>
    </w:pPr>
    <w:rPr>
      <w:rFonts w:ascii="Calibri" w:eastAsia="Times New Roman" w:hAnsi="Calibri" w:cs="Times New Roman"/>
      <w:color w:val="000000"/>
      <w:szCs w:val="24"/>
      <w:lang w:eastAsia="en-AU"/>
    </w:rPr>
  </w:style>
  <w:style w:type="character" w:customStyle="1" w:styleId="CommentTextChar">
    <w:name w:val="Comment Text Char"/>
    <w:basedOn w:val="DefaultParagraphFont"/>
    <w:link w:val="CommentText"/>
    <w:uiPriority w:val="99"/>
    <w:rsid w:val="003E7773"/>
    <w:rPr>
      <w:rFonts w:ascii="Calibri" w:eastAsia="Times New Roman" w:hAnsi="Calibri" w:cs="Times New Roman"/>
      <w:color w:val="000000"/>
      <w:szCs w:val="24"/>
      <w:lang w:eastAsia="en-AU"/>
    </w:rPr>
  </w:style>
  <w:style w:type="character" w:styleId="CommentReference">
    <w:name w:val="annotation reference"/>
    <w:aliases w:val="Table Title"/>
    <w:basedOn w:val="DefaultParagraphFont"/>
    <w:uiPriority w:val="99"/>
    <w:unhideWhenUsed/>
    <w:qFormat/>
    <w:rsid w:val="003E7773"/>
    <w:rPr>
      <w:sz w:val="16"/>
      <w:szCs w:val="16"/>
    </w:rPr>
  </w:style>
  <w:style w:type="character" w:customStyle="1" w:styleId="TableTextChar">
    <w:name w:val="Table Text Char"/>
    <w:basedOn w:val="DefaultParagraphFont"/>
    <w:link w:val="TableText"/>
    <w:rsid w:val="003E7773"/>
    <w:rPr>
      <w:rFonts w:ascii="Arial Narrow" w:hAnsi="Arial Narrow"/>
      <w:sz w:val="20"/>
    </w:rPr>
  </w:style>
  <w:style w:type="character" w:customStyle="1" w:styleId="TableHeadingChar">
    <w:name w:val="TableHeading Char"/>
    <w:link w:val="TableHeading"/>
    <w:rsid w:val="00B151CF"/>
    <w:rPr>
      <w:rFonts w:ascii="Arial Narrow" w:hAnsi="Arial Narrow"/>
      <w:b/>
      <w:sz w:val="20"/>
    </w:rPr>
  </w:style>
  <w:style w:type="paragraph" w:styleId="BalloonText">
    <w:name w:val="Balloon Text"/>
    <w:basedOn w:val="Normal"/>
    <w:link w:val="BalloonTextChar"/>
    <w:uiPriority w:val="99"/>
    <w:semiHidden/>
    <w:unhideWhenUsed/>
    <w:rsid w:val="003E7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77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E7773"/>
    <w:pPr>
      <w:spacing w:after="160"/>
    </w:pPr>
    <w:rPr>
      <w:rFonts w:asciiTheme="minorHAnsi" w:eastAsiaTheme="minorHAnsi" w:hAnsiTheme="minorHAnsi" w:cstheme="minorBidi"/>
      <w:b/>
      <w:bCs/>
      <w:color w:val="auto"/>
      <w:sz w:val="20"/>
      <w:szCs w:val="20"/>
      <w:lang w:eastAsia="en-US"/>
    </w:rPr>
  </w:style>
  <w:style w:type="character" w:customStyle="1" w:styleId="CommentSubjectChar">
    <w:name w:val="Comment Subject Char"/>
    <w:basedOn w:val="CommentTextChar"/>
    <w:link w:val="CommentSubject"/>
    <w:uiPriority w:val="99"/>
    <w:semiHidden/>
    <w:rsid w:val="003E7773"/>
    <w:rPr>
      <w:rFonts w:ascii="Calibri" w:eastAsia="Times New Roman" w:hAnsi="Calibri" w:cs="Times New Roman"/>
      <w:b/>
      <w:bCs/>
      <w:color w:val="000000"/>
      <w:sz w:val="20"/>
      <w:szCs w:val="20"/>
      <w:lang w:eastAsia="en-AU"/>
    </w:rPr>
  </w:style>
  <w:style w:type="character" w:customStyle="1" w:styleId="Heading1Char">
    <w:name w:val="Heading 1 Char"/>
    <w:basedOn w:val="DefaultParagraphFont"/>
    <w:link w:val="Heading1"/>
    <w:uiPriority w:val="9"/>
    <w:rsid w:val="001531D6"/>
    <w:rPr>
      <w:rFonts w:ascii="Franklin Gothic Medium" w:eastAsiaTheme="majorEastAsia" w:hAnsi="Franklin Gothic Medium" w:cstheme="majorBidi"/>
      <w:sz w:val="44"/>
      <w:szCs w:val="32"/>
    </w:rPr>
  </w:style>
  <w:style w:type="character" w:customStyle="1" w:styleId="Heading2Char">
    <w:name w:val="Heading 2 Char"/>
    <w:basedOn w:val="DefaultParagraphFont"/>
    <w:link w:val="Heading2"/>
    <w:uiPriority w:val="9"/>
    <w:rsid w:val="001531D6"/>
    <w:rPr>
      <w:rFonts w:ascii="Franklin Gothic Medium" w:eastAsiaTheme="majorEastAsia" w:hAnsi="Franklin Gothic Medium" w:cstheme="majorBidi"/>
      <w:color w:val="000000" w:themeColor="text1"/>
      <w:sz w:val="32"/>
      <w:szCs w:val="26"/>
    </w:rPr>
  </w:style>
  <w:style w:type="character" w:customStyle="1" w:styleId="Heading3Char">
    <w:name w:val="Heading 3 Char"/>
    <w:basedOn w:val="DefaultParagraphFont"/>
    <w:link w:val="Heading3"/>
    <w:uiPriority w:val="9"/>
    <w:rsid w:val="005103C5"/>
    <w:rPr>
      <w:rFonts w:ascii="Franklin Gothic Medium" w:eastAsiaTheme="majorEastAsia" w:hAnsi="Franklin Gothic Medium" w:cstheme="majorBidi"/>
      <w:sz w:val="24"/>
      <w:szCs w:val="24"/>
    </w:rPr>
  </w:style>
  <w:style w:type="paragraph" w:styleId="Caption">
    <w:name w:val="caption"/>
    <w:aliases w:val="Caption Char2 Char,Caption Char Char Char2,Caption Char1 Char Char Char1,Caption Char2 Char Char Char1 Char1,Caption Char Char1 Char Char Char1 Char1,Caption Char1 Char Char Char Char Char Char,Caption Char Char1,Caption Char2,Caption Char1"/>
    <w:basedOn w:val="Normal"/>
    <w:next w:val="Normal"/>
    <w:link w:val="CaptionChar"/>
    <w:qFormat/>
    <w:rsid w:val="009A06F4"/>
    <w:pPr>
      <w:keepNext/>
      <w:spacing w:before="360" w:after="120" w:line="240" w:lineRule="auto"/>
    </w:pPr>
    <w:rPr>
      <w:rFonts w:ascii="Arial Narrow" w:eastAsia="Times New Roman" w:hAnsi="Arial Narrow" w:cs="Times New Roman"/>
      <w:b/>
      <w:bCs/>
      <w:sz w:val="20"/>
      <w:szCs w:val="20"/>
    </w:rPr>
  </w:style>
  <w:style w:type="table" w:customStyle="1" w:styleId="TableGrid1">
    <w:name w:val="Table Grid1"/>
    <w:basedOn w:val="TableNormal"/>
    <w:next w:val="TableGrid"/>
    <w:locked/>
    <w:rsid w:val="00CA528A"/>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character" w:customStyle="1" w:styleId="CaptionChar">
    <w:name w:val="Caption Char"/>
    <w:aliases w:val="Caption Char2 Char Char,Caption Char Char Char2 Char,Caption Char1 Char Char Char1 Char,Caption Char2 Char Char Char1 Char1 Char,Caption Char Char1 Char Char Char1 Char1 Char,Caption Char1 Char Char Char Char Char Char Char"/>
    <w:basedOn w:val="DefaultParagraphFont"/>
    <w:link w:val="Caption"/>
    <w:rsid w:val="009A06F4"/>
    <w:rPr>
      <w:rFonts w:ascii="Arial Narrow" w:eastAsia="Times New Roman" w:hAnsi="Arial Narrow" w:cs="Times New Roman"/>
      <w:b/>
      <w:bCs/>
      <w:sz w:val="20"/>
      <w:szCs w:val="20"/>
    </w:rPr>
  </w:style>
  <w:style w:type="table" w:styleId="TableGrid">
    <w:name w:val="Table Grid"/>
    <w:aliases w:val="Summary box,Table Gridbeth,RTI AMCP Table,new style,ASD Table,HealthConsult,CMA Table Template,Conclusion box,Table Grid nm,PBAC table,HTAtableplain,MSD Table Grid,Dossier table,Summary Table,PHE Table Grid,Lash Style Table,Section 3- footnot"/>
    <w:basedOn w:val="TableNormal"/>
    <w:uiPriority w:val="59"/>
    <w:rsid w:val="00CA5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Note">
    <w:name w:val="TableFigNote"/>
    <w:basedOn w:val="Normal"/>
    <w:qFormat/>
    <w:rsid w:val="00CA528A"/>
    <w:pPr>
      <w:spacing w:after="360" w:line="240" w:lineRule="auto"/>
      <w:contextualSpacing/>
    </w:pPr>
    <w:rPr>
      <w:sz w:val="18"/>
    </w:rPr>
  </w:style>
  <w:style w:type="paragraph" w:styleId="ListParagraph">
    <w:name w:val="List Paragraph"/>
    <w:aliases w:val="Questions,List Paragraph1,Heading K,Figure_name,Numbered Indented Text,Bullet- First level,List NUmber,Listenabsatz1,lp1,List Paragraph11,Style 2,TOC style,List Paragraph2,List Paragraph Char Char,Number_1,SGLText List Paragraph,new"/>
    <w:basedOn w:val="Normal"/>
    <w:link w:val="ListParagraphChar"/>
    <w:uiPriority w:val="34"/>
    <w:qFormat/>
    <w:rsid w:val="00724F92"/>
    <w:pPr>
      <w:ind w:left="720"/>
      <w:contextualSpacing/>
    </w:pPr>
  </w:style>
  <w:style w:type="character" w:styleId="Strong">
    <w:name w:val="Strong"/>
    <w:basedOn w:val="DefaultParagraphFont"/>
    <w:uiPriority w:val="22"/>
    <w:qFormat/>
    <w:rsid w:val="00FD17BA"/>
    <w:rPr>
      <w:b/>
      <w:bCs/>
    </w:rPr>
  </w:style>
  <w:style w:type="paragraph" w:customStyle="1" w:styleId="TableName">
    <w:name w:val="TableName"/>
    <w:basedOn w:val="Normal"/>
    <w:qFormat/>
    <w:rsid w:val="00FD17BA"/>
    <w:pPr>
      <w:keepNext/>
      <w:spacing w:after="240" w:line="240" w:lineRule="auto"/>
      <w:ind w:left="1418" w:hanging="1418"/>
    </w:pPr>
    <w:rPr>
      <w:rFonts w:ascii="Franklin Gothic Medium" w:hAnsi="Franklin Gothic Medium"/>
    </w:rPr>
  </w:style>
  <w:style w:type="paragraph" w:customStyle="1" w:styleId="TableFigNoteHangingLast">
    <w:name w:val="TableFigNoteHanging Last"/>
    <w:basedOn w:val="TableFigNote"/>
    <w:qFormat/>
    <w:rsid w:val="00FD17BA"/>
    <w:pPr>
      <w:ind w:left="142" w:hanging="142"/>
    </w:pPr>
  </w:style>
  <w:style w:type="paragraph" w:customStyle="1" w:styleId="TableTextCA">
    <w:name w:val="Table Text CA"/>
    <w:basedOn w:val="TableText"/>
    <w:qFormat/>
    <w:rsid w:val="00FD17BA"/>
    <w:pPr>
      <w:jc w:val="center"/>
    </w:pPr>
  </w:style>
  <w:style w:type="paragraph" w:customStyle="1" w:styleId="TableHeadingCA">
    <w:name w:val="Table Heading CA"/>
    <w:basedOn w:val="TableHeading0"/>
    <w:qFormat/>
    <w:rsid w:val="00FD17BA"/>
    <w:pPr>
      <w:jc w:val="center"/>
    </w:pPr>
  </w:style>
  <w:style w:type="paragraph" w:customStyle="1" w:styleId="TableHeading0">
    <w:name w:val="Table Heading"/>
    <w:basedOn w:val="Normal"/>
    <w:qFormat/>
    <w:rsid w:val="00FD17BA"/>
    <w:pPr>
      <w:spacing w:after="60" w:line="240" w:lineRule="auto"/>
    </w:pPr>
    <w:rPr>
      <w:rFonts w:ascii="Arial Narrow" w:hAnsi="Arial Narrow"/>
      <w:b/>
      <w:sz w:val="20"/>
    </w:rPr>
  </w:style>
  <w:style w:type="paragraph" w:customStyle="1" w:styleId="TableFigNoteLast">
    <w:name w:val="TableFigNote Last"/>
    <w:basedOn w:val="TableFigNote"/>
    <w:qFormat/>
    <w:rsid w:val="00FD17BA"/>
  </w:style>
  <w:style w:type="character" w:customStyle="1" w:styleId="Heading4Char">
    <w:name w:val="Heading 4 Char"/>
    <w:basedOn w:val="DefaultParagraphFont"/>
    <w:link w:val="Heading4"/>
    <w:uiPriority w:val="9"/>
    <w:rsid w:val="00A776A4"/>
    <w:rPr>
      <w:rFonts w:ascii="Franklin Gothic Medium" w:eastAsiaTheme="majorEastAsia" w:hAnsi="Franklin Gothic Medium" w:cstheme="majorBidi"/>
      <w:i/>
      <w:sz w:val="24"/>
      <w:szCs w:val="24"/>
    </w:rPr>
  </w:style>
  <w:style w:type="paragraph" w:customStyle="1" w:styleId="2ChapterText">
    <w:name w:val="2ChapterText"/>
    <w:basedOn w:val="Normal"/>
    <w:qFormat/>
    <w:rsid w:val="00004F7F"/>
    <w:rPr>
      <w:shd w:val="clear" w:color="auto" w:fill="BDD6EE" w:themeFill="accent1" w:themeFillTint="66"/>
    </w:rPr>
  </w:style>
  <w:style w:type="paragraph" w:customStyle="1" w:styleId="1ExplanatoryText">
    <w:name w:val="1ExplanatoryText"/>
    <w:basedOn w:val="Normal"/>
    <w:qFormat/>
    <w:rsid w:val="00225833"/>
    <w:pPr>
      <w:shd w:val="clear" w:color="auto" w:fill="C5E0B3" w:themeFill="accent6" w:themeFillTint="66"/>
    </w:pPr>
  </w:style>
  <w:style w:type="character" w:styleId="Hyperlink">
    <w:name w:val="Hyperlink"/>
    <w:basedOn w:val="DefaultParagraphFont"/>
    <w:uiPriority w:val="99"/>
    <w:unhideWhenUsed/>
    <w:rsid w:val="00997BA8"/>
    <w:rPr>
      <w:color w:val="0070C0"/>
      <w:u w:val="single"/>
    </w:rPr>
  </w:style>
  <w:style w:type="paragraph" w:styleId="TOC1">
    <w:name w:val="toc 1"/>
    <w:basedOn w:val="Normal"/>
    <w:next w:val="Normal"/>
    <w:autoRedefine/>
    <w:uiPriority w:val="39"/>
    <w:unhideWhenUsed/>
    <w:rsid w:val="00E77BEE"/>
    <w:pPr>
      <w:tabs>
        <w:tab w:val="left" w:pos="1100"/>
        <w:tab w:val="left" w:pos="1531"/>
        <w:tab w:val="left" w:pos="1918"/>
      </w:tabs>
      <w:spacing w:after="100" w:line="240" w:lineRule="auto"/>
    </w:pPr>
    <w:rPr>
      <w:rFonts w:ascii="Arial" w:hAnsi="Arial" w:cs="Arial"/>
      <w:b/>
      <w:bCs/>
      <w:noProof/>
    </w:rPr>
  </w:style>
  <w:style w:type="paragraph" w:styleId="TOC2">
    <w:name w:val="toc 2"/>
    <w:basedOn w:val="Normal"/>
    <w:next w:val="Normal"/>
    <w:autoRedefine/>
    <w:uiPriority w:val="39"/>
    <w:unhideWhenUsed/>
    <w:rsid w:val="006D350C"/>
    <w:pPr>
      <w:tabs>
        <w:tab w:val="left" w:pos="993"/>
        <w:tab w:val="right" w:leader="dot" w:pos="9010"/>
      </w:tabs>
      <w:spacing w:after="100" w:line="240" w:lineRule="auto"/>
    </w:pPr>
    <w:rPr>
      <w:rFonts w:asciiTheme="minorHAnsi" w:hAnsiTheme="minorHAnsi"/>
    </w:rPr>
  </w:style>
  <w:style w:type="paragraph" w:styleId="TOC3">
    <w:name w:val="toc 3"/>
    <w:basedOn w:val="Normal"/>
    <w:next w:val="Normal"/>
    <w:autoRedefine/>
    <w:uiPriority w:val="39"/>
    <w:unhideWhenUsed/>
    <w:rsid w:val="0088445B"/>
    <w:pPr>
      <w:spacing w:after="100" w:line="240" w:lineRule="auto"/>
      <w:ind w:left="720"/>
    </w:pPr>
    <w:rPr>
      <w:rFonts w:asciiTheme="minorHAnsi" w:hAnsiTheme="minorHAnsi"/>
    </w:rPr>
  </w:style>
  <w:style w:type="character" w:styleId="FollowedHyperlink">
    <w:name w:val="FollowedHyperlink"/>
    <w:basedOn w:val="DefaultParagraphFont"/>
    <w:uiPriority w:val="99"/>
    <w:semiHidden/>
    <w:unhideWhenUsed/>
    <w:rsid w:val="0088445B"/>
    <w:rPr>
      <w:color w:val="954F72" w:themeColor="followedHyperlink"/>
      <w:u w:val="single"/>
    </w:rPr>
  </w:style>
  <w:style w:type="paragraph" w:styleId="TOC9">
    <w:name w:val="toc 9"/>
    <w:basedOn w:val="Normal"/>
    <w:next w:val="Normal"/>
    <w:autoRedefine/>
    <w:uiPriority w:val="39"/>
    <w:unhideWhenUsed/>
    <w:rsid w:val="00AF3D39"/>
    <w:pPr>
      <w:spacing w:after="100"/>
      <w:ind w:left="1760"/>
    </w:pPr>
  </w:style>
  <w:style w:type="paragraph" w:styleId="Date">
    <w:name w:val="Date"/>
    <w:basedOn w:val="Normal"/>
    <w:next w:val="Normal"/>
    <w:link w:val="DateChar"/>
    <w:rsid w:val="000870B6"/>
    <w:pPr>
      <w:spacing w:before="1134" w:after="800"/>
      <w:ind w:left="4536"/>
    </w:pPr>
    <w:rPr>
      <w:rFonts w:ascii="Arial" w:eastAsia="Times New Roman" w:hAnsi="Arial" w:cs="Tahoma"/>
      <w:b/>
      <w:sz w:val="36"/>
      <w:lang w:eastAsia="en-AU"/>
    </w:rPr>
  </w:style>
  <w:style w:type="character" w:customStyle="1" w:styleId="DateChar">
    <w:name w:val="Date Char"/>
    <w:basedOn w:val="DefaultParagraphFont"/>
    <w:link w:val="Date"/>
    <w:rsid w:val="000870B6"/>
    <w:rPr>
      <w:rFonts w:ascii="Arial" w:eastAsia="Times New Roman" w:hAnsi="Arial" w:cs="Tahoma"/>
      <w:b/>
      <w:sz w:val="36"/>
      <w:lang w:eastAsia="en-AU"/>
    </w:rPr>
  </w:style>
  <w:style w:type="paragraph" w:customStyle="1" w:styleId="PublicationTitle">
    <w:name w:val="PublicationTitle"/>
    <w:basedOn w:val="Normal"/>
    <w:rsid w:val="000870B6"/>
    <w:pPr>
      <w:tabs>
        <w:tab w:val="left" w:pos="4536"/>
      </w:tabs>
      <w:spacing w:before="4536" w:after="800" w:line="480" w:lineRule="exact"/>
      <w:ind w:left="4536" w:right="113"/>
      <w:jc w:val="right"/>
    </w:pPr>
    <w:rPr>
      <w:rFonts w:ascii="Arial" w:eastAsia="Times New Roman" w:hAnsi="Arial" w:cs="Tahoma"/>
      <w:b/>
      <w:i/>
      <w:sz w:val="44"/>
      <w:lang w:eastAsia="en-AU"/>
    </w:rPr>
  </w:style>
  <w:style w:type="paragraph" w:customStyle="1" w:styleId="Sub-title">
    <w:name w:val="Sub-title"/>
    <w:basedOn w:val="Normal"/>
    <w:locked/>
    <w:rsid w:val="00401DBF"/>
    <w:pPr>
      <w:spacing w:before="1701"/>
      <w:ind w:left="4536"/>
    </w:pPr>
    <w:rPr>
      <w:rFonts w:ascii="Arial" w:eastAsia="Times New Roman" w:hAnsi="Arial" w:cs="Tahoma"/>
      <w:b/>
      <w:sz w:val="32"/>
      <w:lang w:eastAsia="en-AU"/>
    </w:rPr>
  </w:style>
  <w:style w:type="paragraph" w:customStyle="1" w:styleId="Nnumberedlist">
    <w:name w:val="Nnumbered list"/>
    <w:basedOn w:val="Normal"/>
    <w:rsid w:val="00AF3D39"/>
    <w:pPr>
      <w:numPr>
        <w:numId w:val="2"/>
      </w:numPr>
      <w:jc w:val="both"/>
    </w:pPr>
    <w:rPr>
      <w:rFonts w:ascii="Calibri" w:eastAsia="Times New Roman" w:hAnsi="Calibri" w:cs="Tahoma"/>
      <w:lang w:eastAsia="en-AU"/>
    </w:rPr>
  </w:style>
  <w:style w:type="paragraph" w:styleId="TOCHeading">
    <w:name w:val="TOC Heading"/>
    <w:basedOn w:val="Heading1"/>
    <w:next w:val="Normal"/>
    <w:uiPriority w:val="39"/>
    <w:unhideWhenUsed/>
    <w:qFormat/>
    <w:rsid w:val="00DE7099"/>
    <w:pPr>
      <w:numPr>
        <w:numId w:val="0"/>
      </w:numPr>
      <w:pBdr>
        <w:bottom w:val="none" w:sz="0" w:space="0" w:color="auto"/>
      </w:pBdr>
      <w:spacing w:before="240" w:after="0" w:line="259" w:lineRule="auto"/>
      <w:outlineLvl w:val="9"/>
    </w:pPr>
    <w:rPr>
      <w:rFonts w:asciiTheme="majorHAnsi" w:hAnsiTheme="majorHAnsi"/>
      <w:color w:val="2E74B5" w:themeColor="accent1" w:themeShade="BF"/>
      <w:sz w:val="32"/>
      <w:lang w:val="en-US"/>
    </w:rPr>
  </w:style>
  <w:style w:type="paragraph" w:styleId="TOC4">
    <w:name w:val="toc 4"/>
    <w:basedOn w:val="Normal"/>
    <w:next w:val="Normal"/>
    <w:autoRedefine/>
    <w:uiPriority w:val="39"/>
    <w:unhideWhenUsed/>
    <w:rsid w:val="00DE7099"/>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DE7099"/>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DE7099"/>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DE7099"/>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DE7099"/>
    <w:pPr>
      <w:spacing w:after="100"/>
      <w:ind w:left="1540"/>
    </w:pPr>
    <w:rPr>
      <w:rFonts w:asciiTheme="minorHAnsi" w:eastAsiaTheme="minorEastAsia" w:hAnsiTheme="minorHAnsi"/>
      <w:lang w:eastAsia="en-AU"/>
    </w:rPr>
  </w:style>
  <w:style w:type="paragraph" w:customStyle="1" w:styleId="In-tableHeading">
    <w:name w:val="In-table Heading"/>
    <w:qFormat/>
    <w:rsid w:val="000472D4"/>
    <w:pPr>
      <w:keepNext/>
      <w:spacing w:after="0" w:line="240" w:lineRule="auto"/>
    </w:pPr>
    <w:rPr>
      <w:rFonts w:ascii="Arial Narrow" w:eastAsiaTheme="majorEastAsia" w:hAnsi="Arial Narrow" w:cs="Times New Roman"/>
      <w:b/>
      <w:sz w:val="20"/>
      <w:szCs w:val="24"/>
      <w:lang w:val="en-US" w:eastAsia="en-AU"/>
    </w:rPr>
  </w:style>
  <w:style w:type="paragraph" w:customStyle="1" w:styleId="TableFigureFooter">
    <w:name w:val="Table/Figure Footer"/>
    <w:basedOn w:val="Normal"/>
    <w:link w:val="TableFigureFooterChar"/>
    <w:qFormat/>
    <w:rsid w:val="009A06F4"/>
    <w:pPr>
      <w:tabs>
        <w:tab w:val="left" w:pos="284"/>
      </w:tabs>
      <w:spacing w:after="360" w:line="240" w:lineRule="auto"/>
    </w:pPr>
    <w:rPr>
      <w:rFonts w:ascii="Arial Narrow" w:eastAsia="Times New Roman" w:hAnsi="Arial Narrow" w:cs="Arial"/>
      <w:snapToGrid w:val="0"/>
      <w:sz w:val="18"/>
      <w:lang w:eastAsia="en-AU"/>
    </w:rPr>
  </w:style>
  <w:style w:type="character" w:customStyle="1" w:styleId="TableFigureFooterChar">
    <w:name w:val="Table/Figure Footer Char"/>
    <w:link w:val="TableFigureFooter"/>
    <w:rsid w:val="009A06F4"/>
    <w:rPr>
      <w:rFonts w:ascii="Arial Narrow" w:eastAsia="Times New Roman" w:hAnsi="Arial Narrow" w:cs="Arial"/>
      <w:snapToGrid w:val="0"/>
      <w:sz w:val="18"/>
      <w:lang w:eastAsia="en-AU"/>
    </w:rPr>
  </w:style>
  <w:style w:type="character" w:styleId="Emphasis">
    <w:name w:val="Emphasis"/>
    <w:uiPriority w:val="20"/>
    <w:qFormat/>
    <w:rsid w:val="00566298"/>
    <w:rPr>
      <w:i/>
      <w:iCs/>
    </w:rPr>
  </w:style>
  <w:style w:type="paragraph" w:styleId="Header">
    <w:name w:val="header"/>
    <w:basedOn w:val="Normal"/>
    <w:link w:val="HeaderChar"/>
    <w:uiPriority w:val="99"/>
    <w:unhideWhenUsed/>
    <w:rsid w:val="00B62D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DF2"/>
    <w:rPr>
      <w:rFonts w:ascii="Franklin Gothic Book" w:hAnsi="Franklin Gothic Book"/>
    </w:rPr>
  </w:style>
  <w:style w:type="paragraph" w:styleId="Footer">
    <w:name w:val="footer"/>
    <w:basedOn w:val="Normal"/>
    <w:link w:val="FooterChar"/>
    <w:uiPriority w:val="99"/>
    <w:unhideWhenUsed/>
    <w:rsid w:val="00B62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F2"/>
    <w:rPr>
      <w:rFonts w:ascii="Franklin Gothic Book" w:hAnsi="Franklin Gothic Book"/>
    </w:rPr>
  </w:style>
  <w:style w:type="paragraph" w:customStyle="1" w:styleId="Tablenotes">
    <w:name w:val="Tablenotes"/>
    <w:basedOn w:val="Normal"/>
    <w:link w:val="TablenotesChar"/>
    <w:qFormat/>
    <w:rsid w:val="00242F4E"/>
    <w:pPr>
      <w:widowControl w:val="0"/>
      <w:spacing w:after="120" w:line="240" w:lineRule="auto"/>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242F4E"/>
    <w:rPr>
      <w:rFonts w:ascii="Arial Narrow" w:eastAsia="Times New Roman" w:hAnsi="Arial Narrow" w:cs="Arial"/>
      <w:snapToGrid w:val="0"/>
      <w:sz w:val="18"/>
      <w:szCs w:val="20"/>
    </w:rPr>
  </w:style>
  <w:style w:type="character" w:customStyle="1" w:styleId="ListParagraphChar">
    <w:name w:val="List Paragraph Char"/>
    <w:aliases w:val="Questions Char,List Paragraph1 Char,Heading K Char,Figure_name Char,Numbered Indented Text Char,Bullet- First level Char,List NUmber Char,Listenabsatz1 Char,lp1 Char,List Paragraph11 Char,Style 2 Char,TOC style Char,Number_1 Char"/>
    <w:basedOn w:val="DefaultParagraphFont"/>
    <w:link w:val="ListParagraph"/>
    <w:uiPriority w:val="34"/>
    <w:qFormat/>
    <w:rsid w:val="00A454B3"/>
    <w:rPr>
      <w:rFonts w:ascii="Franklin Gothic Book" w:hAnsi="Franklin Gothic Book"/>
    </w:rPr>
  </w:style>
  <w:style w:type="table" w:customStyle="1" w:styleId="TableGridLight1">
    <w:name w:val="Table Grid Light1"/>
    <w:basedOn w:val="TableNormal"/>
    <w:uiPriority w:val="40"/>
    <w:rsid w:val="00BA59FB"/>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tblPr/>
      <w:tcPr>
        <w:shd w:val="clear" w:color="auto" w:fill="F2F2F2" w:themeFill="background1" w:themeFillShade="F2"/>
      </w:tcPr>
    </w:tblStylePr>
  </w:style>
  <w:style w:type="paragraph" w:customStyle="1" w:styleId="Bullet">
    <w:name w:val="Bullet"/>
    <w:basedOn w:val="Normal"/>
    <w:qFormat/>
    <w:rsid w:val="00BA59FB"/>
    <w:pPr>
      <w:numPr>
        <w:numId w:val="3"/>
      </w:numPr>
      <w:spacing w:after="120" w:line="240" w:lineRule="auto"/>
    </w:pPr>
    <w:rPr>
      <w:rFonts w:asciiTheme="minorHAnsi" w:hAnsiTheme="minorHAnsi"/>
    </w:rPr>
  </w:style>
  <w:style w:type="paragraph" w:customStyle="1" w:styleId="TableFigureHeading">
    <w:name w:val="Table/Figure Heading"/>
    <w:next w:val="In-tableHeading"/>
    <w:link w:val="TableFigureHeadingChar"/>
    <w:qFormat/>
    <w:rsid w:val="00F257B5"/>
    <w:pPr>
      <w:keepNext/>
      <w:spacing w:after="0" w:line="240" w:lineRule="auto"/>
    </w:pPr>
    <w:rPr>
      <w:rFonts w:ascii="Arial Narrow" w:eastAsiaTheme="majorEastAsia" w:hAnsi="Arial Narrow" w:cstheme="majorBidi"/>
      <w:b/>
      <w:bCs/>
      <w:sz w:val="20"/>
      <w:szCs w:val="24"/>
      <w:lang w:eastAsia="en-AU"/>
    </w:rPr>
  </w:style>
  <w:style w:type="character" w:customStyle="1" w:styleId="TableFigureHeadingChar">
    <w:name w:val="Table/Figure Heading Char"/>
    <w:basedOn w:val="DefaultParagraphFont"/>
    <w:link w:val="TableFigureHeading"/>
    <w:rsid w:val="00F257B5"/>
    <w:rPr>
      <w:rFonts w:ascii="Arial Narrow" w:eastAsiaTheme="majorEastAsia" w:hAnsi="Arial Narrow" w:cstheme="majorBidi"/>
      <w:b/>
      <w:bCs/>
      <w:sz w:val="20"/>
      <w:szCs w:val="24"/>
      <w:lang w:eastAsia="en-AU"/>
    </w:rPr>
  </w:style>
  <w:style w:type="paragraph" w:customStyle="1" w:styleId="Tabletext0">
    <w:name w:val="Table text"/>
    <w:basedOn w:val="Normal"/>
    <w:link w:val="TabletextChar0"/>
    <w:qFormat/>
    <w:rsid w:val="001B2CD4"/>
    <w:pPr>
      <w:spacing w:before="40" w:after="40" w:line="240" w:lineRule="auto"/>
      <w:jc w:val="both"/>
    </w:pPr>
    <w:rPr>
      <w:rFonts w:ascii="Arial Narrow" w:eastAsia="Times New Roman" w:hAnsi="Arial Narrow" w:cs="Tahoma"/>
      <w:sz w:val="20"/>
      <w:szCs w:val="20"/>
      <w:lang w:eastAsia="en-AU"/>
    </w:rPr>
  </w:style>
  <w:style w:type="character" w:customStyle="1" w:styleId="TabletextChar0">
    <w:name w:val="Table text Char"/>
    <w:link w:val="Tabletext0"/>
    <w:rsid w:val="001B2CD4"/>
    <w:rPr>
      <w:rFonts w:ascii="Arial Narrow" w:eastAsia="Times New Roman" w:hAnsi="Arial Narrow" w:cs="Tahoma"/>
      <w:sz w:val="20"/>
      <w:szCs w:val="20"/>
      <w:lang w:eastAsia="en-AU"/>
    </w:rPr>
  </w:style>
  <w:style w:type="paragraph" w:customStyle="1" w:styleId="Tablenotes0">
    <w:name w:val="Table notes"/>
    <w:basedOn w:val="Normal"/>
    <w:link w:val="TablenotesChar0"/>
    <w:qFormat/>
    <w:rsid w:val="001B2CD4"/>
    <w:pPr>
      <w:spacing w:after="240"/>
      <w:contextualSpacing/>
      <w:jc w:val="both"/>
    </w:pPr>
    <w:rPr>
      <w:rFonts w:ascii="Arial Narrow" w:hAnsi="Arial Narrow" w:cs="Arial"/>
      <w:sz w:val="18"/>
    </w:rPr>
  </w:style>
  <w:style w:type="character" w:customStyle="1" w:styleId="TablenotesChar0">
    <w:name w:val="Table notes Char"/>
    <w:basedOn w:val="DefaultParagraphFont"/>
    <w:link w:val="Tablenotes0"/>
    <w:rsid w:val="001B2CD4"/>
    <w:rPr>
      <w:rFonts w:ascii="Arial Narrow" w:hAnsi="Arial Narrow" w:cs="Arial"/>
      <w:sz w:val="18"/>
    </w:rPr>
  </w:style>
  <w:style w:type="numbering" w:customStyle="1" w:styleId="ESSectionheading-numbered">
    <w:name w:val="ES. Section heading - numbered"/>
    <w:uiPriority w:val="99"/>
    <w:rsid w:val="002A4084"/>
    <w:pPr>
      <w:numPr>
        <w:numId w:val="4"/>
      </w:numPr>
    </w:pPr>
  </w:style>
  <w:style w:type="paragraph" w:customStyle="1" w:styleId="2-SectionHeading">
    <w:name w:val="2-Section Heading"/>
    <w:qFormat/>
    <w:rsid w:val="005131D3"/>
    <w:pPr>
      <w:keepNext/>
      <w:numPr>
        <w:numId w:val="5"/>
      </w:numPr>
      <w:spacing w:before="240" w:after="120" w:line="240" w:lineRule="auto"/>
      <w:outlineLvl w:val="0"/>
    </w:pPr>
    <w:rPr>
      <w:rFonts w:eastAsia="Times New Roman" w:cs="Arial"/>
      <w:b/>
      <w:snapToGrid w:val="0"/>
      <w:sz w:val="32"/>
      <w:szCs w:val="32"/>
      <w:lang w:eastAsia="en-AU"/>
    </w:rPr>
  </w:style>
  <w:style w:type="paragraph" w:customStyle="1" w:styleId="3-BodyText">
    <w:name w:val="3-Body Text"/>
    <w:basedOn w:val="ListParagraph"/>
    <w:qFormat/>
    <w:rsid w:val="005131D3"/>
    <w:pPr>
      <w:numPr>
        <w:ilvl w:val="1"/>
        <w:numId w:val="5"/>
      </w:numPr>
      <w:spacing w:after="120" w:line="240" w:lineRule="auto"/>
      <w:contextualSpacing w:val="0"/>
      <w:jc w:val="both"/>
    </w:pPr>
    <w:rPr>
      <w:rFonts w:asciiTheme="minorHAnsi" w:eastAsia="Times New Roman" w:hAnsiTheme="minorHAnsi" w:cs="Arial"/>
      <w:snapToGrid w:val="0"/>
      <w:sz w:val="24"/>
      <w:szCs w:val="24"/>
      <w:lang w:eastAsia="en-AU"/>
    </w:rPr>
  </w:style>
  <w:style w:type="paragraph" w:customStyle="1" w:styleId="BoxName">
    <w:name w:val="Box Name"/>
    <w:basedOn w:val="Normal"/>
    <w:qFormat/>
    <w:rsid w:val="002B667C"/>
    <w:pPr>
      <w:pBdr>
        <w:top w:val="single" w:sz="4" w:space="4" w:color="auto"/>
        <w:left w:val="single" w:sz="4" w:space="4" w:color="auto"/>
        <w:bottom w:val="single" w:sz="4" w:space="4" w:color="auto"/>
        <w:right w:val="single" w:sz="4" w:space="4" w:color="auto"/>
      </w:pBdr>
      <w:spacing w:after="120" w:line="240" w:lineRule="auto"/>
    </w:pPr>
    <w:rPr>
      <w:rFonts w:ascii="Franklin Gothic Medium" w:hAnsi="Franklin Gothic Medium"/>
      <w:sz w:val="21"/>
    </w:rPr>
  </w:style>
  <w:style w:type="character" w:customStyle="1" w:styleId="InstructionBulletpointChar">
    <w:name w:val="Instruction Bullet point Char"/>
    <w:basedOn w:val="DefaultParagraphFont"/>
    <w:link w:val="InstructionBulletpoint"/>
    <w:uiPriority w:val="3"/>
    <w:locked/>
    <w:rsid w:val="00107DCD"/>
    <w:rPr>
      <w:rFonts w:ascii="Calibri" w:hAnsi="Calibri" w:cs="Calibri"/>
      <w:color w:val="0070C0"/>
      <w:sz w:val="24"/>
    </w:rPr>
  </w:style>
  <w:style w:type="paragraph" w:customStyle="1" w:styleId="InstructionBulletpoint">
    <w:name w:val="Instruction Bullet point"/>
    <w:basedOn w:val="Normal"/>
    <w:link w:val="InstructionBulletpointChar"/>
    <w:uiPriority w:val="3"/>
    <w:qFormat/>
    <w:rsid w:val="00107DCD"/>
    <w:pPr>
      <w:numPr>
        <w:numId w:val="6"/>
      </w:numPr>
      <w:spacing w:after="120" w:line="240" w:lineRule="auto"/>
      <w:ind w:left="714" w:hanging="357"/>
    </w:pPr>
    <w:rPr>
      <w:rFonts w:ascii="Calibri" w:hAnsi="Calibri" w:cs="Calibri"/>
      <w:color w:val="0070C0"/>
      <w:sz w:val="24"/>
    </w:rPr>
  </w:style>
  <w:style w:type="character" w:customStyle="1" w:styleId="TableFooterChar">
    <w:name w:val="Table Footer Char"/>
    <w:link w:val="TableFooter"/>
    <w:locked/>
    <w:rsid w:val="007B0880"/>
    <w:rPr>
      <w:rFonts w:ascii="Arial Narrow" w:eastAsia="Times New Roman" w:hAnsi="Arial Narrow" w:cs="Arial"/>
      <w:sz w:val="18"/>
      <w:szCs w:val="20"/>
    </w:rPr>
  </w:style>
  <w:style w:type="paragraph" w:customStyle="1" w:styleId="TableFooter">
    <w:name w:val="Table Footer"/>
    <w:basedOn w:val="Normal"/>
    <w:link w:val="TableFooterChar"/>
    <w:qFormat/>
    <w:rsid w:val="007B0880"/>
    <w:pPr>
      <w:widowControl w:val="0"/>
      <w:snapToGrid w:val="0"/>
      <w:spacing w:after="240" w:line="240" w:lineRule="auto"/>
      <w:contextualSpacing/>
      <w:jc w:val="both"/>
    </w:pPr>
    <w:rPr>
      <w:rFonts w:ascii="Arial Narrow" w:eastAsia="Times New Roman" w:hAnsi="Arial Narrow" w:cs="Arial"/>
      <w:sz w:val="18"/>
      <w:szCs w:val="20"/>
    </w:rPr>
  </w:style>
  <w:style w:type="table" w:customStyle="1" w:styleId="PBACTableStyle">
    <w:name w:val="PBAC Table Style"/>
    <w:basedOn w:val="TableGrid10"/>
    <w:uiPriority w:val="99"/>
    <w:rsid w:val="007B0880"/>
    <w:pPr>
      <w:widowControl w:val="0"/>
      <w:spacing w:before="120" w:after="0" w:line="240" w:lineRule="auto"/>
      <w:contextualSpacing/>
      <w:jc w:val="center"/>
    </w:pPr>
    <w:rPr>
      <w:rFonts w:ascii="Arial Narrow" w:hAnsi="Arial Narrow"/>
      <w:color w:val="000000" w:themeColor="text1"/>
      <w:sz w:val="20"/>
      <w:szCs w:val="20"/>
      <w:lang w:val="en-GB"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wordWrap/>
        <w:spacing w:beforeLines="0" w:before="100" w:beforeAutospacing="1" w:afterLines="0" w:after="100" w:afterAutospacing="1" w:line="240" w:lineRule="auto"/>
        <w:ind w:leftChars="0" w:left="0" w:rightChars="0" w:right="0" w:firstLineChars="0" w:firstLine="0"/>
        <w:contextualSpacing/>
        <w:jc w:val="center"/>
      </w:pPr>
      <w:rPr>
        <w:rFonts w:ascii="Agency FB" w:hAnsi="Agency FB" w:hint="default"/>
        <w:b/>
        <w:sz w:val="20"/>
        <w:szCs w:val="20"/>
      </w:rPr>
    </w:tblStylePr>
    <w:tblStylePr w:type="lastRow">
      <w:rPr>
        <w:i/>
        <w:iCs/>
      </w:rPr>
      <w:tblPr/>
      <w:tcPr>
        <w:tcBorders>
          <w:tl2br w:val="none" w:sz="0" w:space="0" w:color="auto"/>
          <w:tr2bl w:val="none" w:sz="0" w:space="0" w:color="auto"/>
        </w:tcBorders>
      </w:tcPr>
    </w:tblStylePr>
    <w:tblStylePr w:type="firstCol">
      <w:pPr>
        <w:wordWrap/>
        <w:spacing w:beforeLines="0" w:before="100" w:beforeAutospacing="1" w:afterLines="0" w:after="100" w:afterAutospacing="1" w:line="240" w:lineRule="auto"/>
        <w:ind w:leftChars="0" w:left="0" w:rightChars="0" w:right="0"/>
        <w:contextualSpacing/>
        <w:jc w:val="left"/>
      </w:pPr>
      <w:rPr>
        <w:rFonts w:ascii="Agency FB" w:hAnsi="Agency FB" w:hint="default"/>
        <w:sz w:val="20"/>
        <w:szCs w:val="20"/>
      </w:rPr>
    </w:tblStylePr>
    <w:tblStylePr w:type="lastCol">
      <w:pPr>
        <w:wordWrap/>
        <w:spacing w:beforeLines="0" w:before="100" w:beforeAutospacing="1" w:afterLines="0" w:after="100" w:afterAutospacing="1" w:line="240" w:lineRule="auto"/>
        <w:ind w:leftChars="0" w:left="0" w:rightChars="0" w:right="0" w:firstLineChars="0" w:firstLine="0"/>
        <w:contextualSpacing/>
      </w:pPr>
      <w:rPr>
        <w:rFonts w:ascii="Agency FB" w:hAnsi="Agency FB" w:hint="default"/>
        <w:i/>
        <w:iCs/>
        <w:sz w:val="20"/>
        <w:szCs w:val="20"/>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7B088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MSACESParagraphChar">
    <w:name w:val="MSAC ES Paragraph Char"/>
    <w:basedOn w:val="DefaultParagraphFont"/>
    <w:link w:val="MSACESParagraph"/>
    <w:uiPriority w:val="1"/>
    <w:locked/>
    <w:rsid w:val="000B720C"/>
    <w:rPr>
      <w:rFonts w:ascii="Times New Roman" w:hAnsi="Times New Roman" w:cs="Times New Roman"/>
      <w:sz w:val="24"/>
    </w:rPr>
  </w:style>
  <w:style w:type="paragraph" w:customStyle="1" w:styleId="MSACESParagraph">
    <w:name w:val="MSAC ES Paragraph"/>
    <w:link w:val="MSACESParagraphChar"/>
    <w:uiPriority w:val="1"/>
    <w:qFormat/>
    <w:rsid w:val="000B720C"/>
    <w:pPr>
      <w:spacing w:after="240" w:line="240" w:lineRule="auto"/>
    </w:pPr>
    <w:rPr>
      <w:rFonts w:ascii="Times New Roman" w:hAnsi="Times New Roman" w:cs="Times New Roman"/>
      <w:sz w:val="24"/>
    </w:rPr>
  </w:style>
  <w:style w:type="paragraph" w:styleId="FootnoteText">
    <w:name w:val="footnote text"/>
    <w:basedOn w:val="Normal"/>
    <w:link w:val="FootnoteTextChar"/>
    <w:uiPriority w:val="99"/>
    <w:unhideWhenUsed/>
    <w:rsid w:val="00804632"/>
    <w:pPr>
      <w:spacing w:after="0" w:line="240" w:lineRule="auto"/>
    </w:pPr>
    <w:rPr>
      <w:rFonts w:asciiTheme="minorHAnsi" w:hAnsiTheme="minorHAnsi"/>
      <w:sz w:val="18"/>
      <w:szCs w:val="20"/>
    </w:rPr>
  </w:style>
  <w:style w:type="character" w:customStyle="1" w:styleId="FootnoteTextChar">
    <w:name w:val="Footnote Text Char"/>
    <w:basedOn w:val="DefaultParagraphFont"/>
    <w:link w:val="FootnoteText"/>
    <w:uiPriority w:val="99"/>
    <w:rsid w:val="00804632"/>
    <w:rPr>
      <w:sz w:val="18"/>
      <w:szCs w:val="20"/>
    </w:rPr>
  </w:style>
  <w:style w:type="character" w:styleId="FootnoteReference">
    <w:name w:val="footnote reference"/>
    <w:basedOn w:val="DefaultParagraphFont"/>
    <w:uiPriority w:val="99"/>
    <w:unhideWhenUsed/>
    <w:rsid w:val="00804632"/>
    <w:rPr>
      <w:vertAlign w:val="superscript"/>
    </w:rPr>
  </w:style>
  <w:style w:type="paragraph" w:customStyle="1" w:styleId="TableFigNoteHanging">
    <w:name w:val="TableFigNoteHanging"/>
    <w:basedOn w:val="TableFigNoteHangingLast"/>
    <w:qFormat/>
    <w:rsid w:val="00804632"/>
    <w:pPr>
      <w:spacing w:after="0"/>
      <w:contextualSpacing w:val="0"/>
    </w:pPr>
    <w:rPr>
      <w:rFonts w:asciiTheme="minorHAnsi" w:hAnsiTheme="minorHAnsi"/>
    </w:rPr>
  </w:style>
  <w:style w:type="table" w:customStyle="1" w:styleId="TableGrid2">
    <w:name w:val="Table Grid2"/>
    <w:basedOn w:val="TableNormal"/>
    <w:next w:val="TableGrid"/>
    <w:uiPriority w:val="59"/>
    <w:rsid w:val="00804632"/>
    <w:pPr>
      <w:spacing w:after="240" w:line="240" w:lineRule="auto"/>
      <w:ind w:left="72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mmaryboxheading">
    <w:name w:val="Summary box heading"/>
    <w:basedOn w:val="Normal"/>
    <w:rsid w:val="00666A58"/>
    <w:pPr>
      <w:spacing w:after="100" w:afterAutospacing="1"/>
      <w:jc w:val="both"/>
    </w:pPr>
    <w:rPr>
      <w:rFonts w:ascii="Arial Narrow" w:eastAsia="Times New Roman" w:hAnsi="Arial Narrow" w:cs="Tahoma"/>
      <w:b/>
      <w:lang w:eastAsia="en-AU"/>
    </w:rPr>
  </w:style>
  <w:style w:type="paragraph" w:customStyle="1" w:styleId="TableText1">
    <w:name w:val="TableText"/>
    <w:basedOn w:val="Normal"/>
    <w:link w:val="TableTextChar1"/>
    <w:rsid w:val="001C2A48"/>
    <w:pPr>
      <w:keepNext/>
      <w:spacing w:before="40" w:after="40"/>
      <w:jc w:val="both"/>
    </w:pPr>
    <w:rPr>
      <w:rFonts w:ascii="Arial Narrow" w:eastAsia="Times New Roman" w:hAnsi="Arial Narrow" w:cs="Tahoma"/>
      <w:sz w:val="18"/>
      <w:lang w:eastAsia="en-AU"/>
    </w:rPr>
  </w:style>
  <w:style w:type="character" w:customStyle="1" w:styleId="TableTextChar1">
    <w:name w:val="TableText Char"/>
    <w:link w:val="TableText1"/>
    <w:rsid w:val="001C2A48"/>
    <w:rPr>
      <w:rFonts w:ascii="Arial Narrow" w:eastAsia="Times New Roman" w:hAnsi="Arial Narrow" w:cs="Tahoma"/>
      <w:sz w:val="18"/>
      <w:lang w:eastAsia="en-AU"/>
    </w:rPr>
  </w:style>
  <w:style w:type="paragraph" w:customStyle="1" w:styleId="References">
    <w:name w:val="References"/>
    <w:basedOn w:val="Normal"/>
    <w:rsid w:val="001C2A48"/>
    <w:pPr>
      <w:keepLines/>
      <w:spacing w:after="240" w:line="312" w:lineRule="auto"/>
      <w:ind w:left="1440" w:hanging="720"/>
    </w:pPr>
    <w:rPr>
      <w:rFonts w:ascii="Calibri" w:eastAsia="Times New Roman" w:hAnsi="Calibri" w:cs="Tahoma"/>
      <w:lang w:eastAsia="en-AU"/>
    </w:rPr>
  </w:style>
  <w:style w:type="paragraph" w:styleId="Title">
    <w:name w:val="Title"/>
    <w:basedOn w:val="Normal"/>
    <w:next w:val="Normal"/>
    <w:link w:val="TitleChar"/>
    <w:qFormat/>
    <w:rsid w:val="00772829"/>
    <w:pPr>
      <w:spacing w:before="480" w:after="240" w:line="240" w:lineRule="auto"/>
      <w:jc w:val="center"/>
    </w:pPr>
    <w:rPr>
      <w:rFonts w:ascii="Arial" w:eastAsia="Times New Roman" w:hAnsi="Arial" w:cs="Arial"/>
      <w:b/>
      <w:bCs/>
      <w:color w:val="000080"/>
      <w:sz w:val="36"/>
      <w:szCs w:val="36"/>
      <w:lang w:eastAsia="en-AU"/>
    </w:rPr>
  </w:style>
  <w:style w:type="character" w:customStyle="1" w:styleId="TitleChar">
    <w:name w:val="Title Char"/>
    <w:basedOn w:val="DefaultParagraphFont"/>
    <w:link w:val="Title"/>
    <w:rsid w:val="00772829"/>
    <w:rPr>
      <w:rFonts w:ascii="Arial" w:eastAsia="Times New Roman" w:hAnsi="Arial" w:cs="Arial"/>
      <w:b/>
      <w:bCs/>
      <w:color w:val="000080"/>
      <w:sz w:val="36"/>
      <w:szCs w:val="36"/>
      <w:lang w:eastAsia="en-AU"/>
    </w:rPr>
  </w:style>
  <w:style w:type="paragraph" w:styleId="Subtitle">
    <w:name w:val="Subtitle"/>
    <w:basedOn w:val="Normal"/>
    <w:next w:val="Normal"/>
    <w:link w:val="SubtitleChar"/>
    <w:qFormat/>
    <w:rsid w:val="00772829"/>
    <w:pPr>
      <w:spacing w:after="240" w:line="240" w:lineRule="auto"/>
      <w:jc w:val="center"/>
    </w:pPr>
    <w:rPr>
      <w:rFonts w:ascii="Arial" w:eastAsia="Times New Roman" w:hAnsi="Arial" w:cs="Arial"/>
      <w:b/>
      <w:bCs/>
      <w:i/>
      <w:color w:val="000080"/>
      <w:sz w:val="28"/>
      <w:szCs w:val="28"/>
      <w:lang w:eastAsia="en-AU"/>
    </w:rPr>
  </w:style>
  <w:style w:type="character" w:customStyle="1" w:styleId="SubtitleChar">
    <w:name w:val="Subtitle Char"/>
    <w:basedOn w:val="DefaultParagraphFont"/>
    <w:link w:val="Subtitle"/>
    <w:rsid w:val="00772829"/>
    <w:rPr>
      <w:rFonts w:ascii="Arial" w:eastAsia="Times New Roman" w:hAnsi="Arial" w:cs="Arial"/>
      <w:b/>
      <w:bCs/>
      <w:i/>
      <w:color w:val="000080"/>
      <w:sz w:val="28"/>
      <w:szCs w:val="28"/>
      <w:lang w:eastAsia="en-AU"/>
    </w:rPr>
  </w:style>
  <w:style w:type="paragraph" w:customStyle="1" w:styleId="ESHeading1">
    <w:name w:val="ES Heading1"/>
    <w:basedOn w:val="Heading2"/>
    <w:next w:val="Normal"/>
    <w:qFormat/>
    <w:rsid w:val="002C70CE"/>
    <w:pPr>
      <w:numPr>
        <w:ilvl w:val="0"/>
        <w:numId w:val="7"/>
      </w:numPr>
      <w:spacing w:before="240"/>
      <w:ind w:left="2154" w:hanging="357"/>
    </w:pPr>
  </w:style>
  <w:style w:type="paragraph" w:customStyle="1" w:styleId="NormalBeforeBullet">
    <w:name w:val="Normal Before Bullet"/>
    <w:basedOn w:val="Normal"/>
    <w:qFormat/>
    <w:rsid w:val="00091C59"/>
    <w:pPr>
      <w:keepNext/>
      <w:spacing w:after="120" w:line="240" w:lineRule="auto"/>
    </w:pPr>
    <w:rPr>
      <w:rFonts w:asciiTheme="minorHAnsi" w:hAnsiTheme="minorHAnsi"/>
    </w:rPr>
  </w:style>
  <w:style w:type="paragraph" w:customStyle="1" w:styleId="Dash">
    <w:name w:val="Dash"/>
    <w:basedOn w:val="Bullet"/>
    <w:qFormat/>
    <w:rsid w:val="00091C59"/>
    <w:pPr>
      <w:numPr>
        <w:numId w:val="8"/>
      </w:numPr>
      <w:spacing w:after="40"/>
      <w:ind w:left="714" w:hanging="357"/>
    </w:pPr>
  </w:style>
  <w:style w:type="paragraph" w:customStyle="1" w:styleId="Instructionaltext">
    <w:name w:val="Instructional text"/>
    <w:basedOn w:val="Normal"/>
    <w:link w:val="InstructionaltextChar"/>
    <w:qFormat/>
    <w:rsid w:val="00E436A2"/>
    <w:rPr>
      <w:color w:val="258221"/>
    </w:rPr>
  </w:style>
  <w:style w:type="character" w:customStyle="1" w:styleId="UnresolvedMention1">
    <w:name w:val="Unresolved Mention1"/>
    <w:basedOn w:val="DefaultParagraphFont"/>
    <w:uiPriority w:val="99"/>
    <w:semiHidden/>
    <w:unhideWhenUsed/>
    <w:rsid w:val="00997BA8"/>
    <w:rPr>
      <w:color w:val="605E5C"/>
      <w:shd w:val="clear" w:color="auto" w:fill="E1DFDD"/>
    </w:rPr>
  </w:style>
  <w:style w:type="character" w:customStyle="1" w:styleId="InstructionaltextChar">
    <w:name w:val="Instructional text Char"/>
    <w:basedOn w:val="DefaultParagraphFont"/>
    <w:link w:val="Instructionaltext"/>
    <w:rsid w:val="00DF39E9"/>
    <w:rPr>
      <w:rFonts w:ascii="Franklin Gothic Book" w:hAnsi="Franklin Gothic Book"/>
      <w:color w:val="258221"/>
    </w:rPr>
  </w:style>
  <w:style w:type="paragraph" w:customStyle="1" w:styleId="Instructionaltext-bullet">
    <w:name w:val="Instructional text - bullet"/>
    <w:basedOn w:val="Instructionaltext"/>
    <w:qFormat/>
    <w:rsid w:val="002463A6"/>
    <w:pPr>
      <w:numPr>
        <w:numId w:val="9"/>
      </w:numPr>
      <w:spacing w:before="0" w:after="0"/>
      <w:ind w:left="714" w:hanging="357"/>
    </w:pPr>
  </w:style>
  <w:style w:type="paragraph" w:customStyle="1" w:styleId="Instructionaltext-afterfiguretable">
    <w:name w:val="Instructional text - after figure/table"/>
    <w:basedOn w:val="Instructionaltext"/>
    <w:qFormat/>
    <w:rsid w:val="00B151CF"/>
    <w:pPr>
      <w:spacing w:before="360"/>
    </w:pPr>
  </w:style>
  <w:style w:type="paragraph" w:customStyle="1" w:styleId="Guidelinescross-ref">
    <w:name w:val="Guidelines cross-ref"/>
    <w:basedOn w:val="Normal"/>
    <w:qFormat/>
    <w:rsid w:val="005B7D6C"/>
    <w:pPr>
      <w:spacing w:before="240" w:after="240"/>
    </w:pPr>
    <w:rPr>
      <w:b/>
      <w:color w:val="0070C0"/>
      <w:sz w:val="24"/>
    </w:rPr>
  </w:style>
  <w:style w:type="paragraph" w:styleId="Revision">
    <w:name w:val="Revision"/>
    <w:hidden/>
    <w:uiPriority w:val="99"/>
    <w:semiHidden/>
    <w:rsid w:val="00610ABA"/>
    <w:pPr>
      <w:spacing w:after="0" w:line="240" w:lineRule="auto"/>
    </w:pPr>
    <w:rPr>
      <w:rFonts w:ascii="Franklin Gothic Book" w:hAnsi="Franklin Gothic Book"/>
    </w:rPr>
  </w:style>
  <w:style w:type="character" w:customStyle="1" w:styleId="UnresolvedMention2">
    <w:name w:val="Unresolved Mention2"/>
    <w:basedOn w:val="DefaultParagraphFont"/>
    <w:uiPriority w:val="99"/>
    <w:semiHidden/>
    <w:unhideWhenUsed/>
    <w:rsid w:val="00223664"/>
    <w:rPr>
      <w:color w:val="605E5C"/>
      <w:shd w:val="clear" w:color="auto" w:fill="E1DFDD"/>
    </w:rPr>
  </w:style>
  <w:style w:type="character" w:styleId="UnresolvedMention">
    <w:name w:val="Unresolved Mention"/>
    <w:basedOn w:val="DefaultParagraphFont"/>
    <w:uiPriority w:val="99"/>
    <w:semiHidden/>
    <w:unhideWhenUsed/>
    <w:rsid w:val="00D13865"/>
    <w:rPr>
      <w:color w:val="605E5C"/>
      <w:shd w:val="clear" w:color="auto" w:fill="E1DFDD"/>
    </w:rPr>
  </w:style>
  <w:style w:type="paragraph" w:customStyle="1" w:styleId="EndNoteBibliographyTitle">
    <w:name w:val="EndNote Bibliography Title"/>
    <w:basedOn w:val="Normal"/>
    <w:link w:val="EndNoteBibliographyTitleChar"/>
    <w:rsid w:val="00D86A05"/>
    <w:pPr>
      <w:spacing w:after="0"/>
      <w:jc w:val="center"/>
    </w:pPr>
    <w:rPr>
      <w:noProof/>
      <w:lang w:val="en-US"/>
    </w:rPr>
  </w:style>
  <w:style w:type="character" w:customStyle="1" w:styleId="EndNoteBibliographyTitleChar">
    <w:name w:val="EndNote Bibliography Title Char"/>
    <w:basedOn w:val="TableTextChar"/>
    <w:link w:val="EndNoteBibliographyTitle"/>
    <w:rsid w:val="00D86A05"/>
    <w:rPr>
      <w:rFonts w:ascii="Franklin Gothic Book" w:hAnsi="Franklin Gothic Book"/>
      <w:noProof/>
      <w:sz w:val="20"/>
      <w:lang w:val="en-US"/>
    </w:rPr>
  </w:style>
  <w:style w:type="paragraph" w:customStyle="1" w:styleId="EndNoteBibliography">
    <w:name w:val="EndNote Bibliography"/>
    <w:basedOn w:val="Normal"/>
    <w:link w:val="EndNoteBibliographyChar"/>
    <w:rsid w:val="00D86A05"/>
    <w:pPr>
      <w:spacing w:line="240" w:lineRule="auto"/>
    </w:pPr>
    <w:rPr>
      <w:noProof/>
      <w:lang w:val="en-US"/>
    </w:rPr>
  </w:style>
  <w:style w:type="character" w:customStyle="1" w:styleId="EndNoteBibliographyChar">
    <w:name w:val="EndNote Bibliography Char"/>
    <w:basedOn w:val="TableTextChar"/>
    <w:link w:val="EndNoteBibliography"/>
    <w:rsid w:val="00D86A05"/>
    <w:rPr>
      <w:rFonts w:ascii="Franklin Gothic Book" w:hAnsi="Franklin Gothic Book"/>
      <w:noProof/>
      <w:sz w:val="20"/>
      <w:lang w:val="en-US"/>
    </w:rPr>
  </w:style>
  <w:style w:type="table" w:customStyle="1" w:styleId="ASDTable1">
    <w:name w:val="ASD Table1"/>
    <w:basedOn w:val="TableNormal"/>
    <w:next w:val="TableGrid"/>
    <w:uiPriority w:val="39"/>
    <w:rsid w:val="004B16BE"/>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2">
    <w:name w:val="ASD Table2"/>
    <w:basedOn w:val="TableNormal"/>
    <w:next w:val="TableGrid"/>
    <w:uiPriority w:val="39"/>
    <w:rsid w:val="0071485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3">
    <w:name w:val="ASD Table3"/>
    <w:basedOn w:val="TableNormal"/>
    <w:next w:val="TableGrid"/>
    <w:uiPriority w:val="39"/>
    <w:rsid w:val="00767591"/>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4">
    <w:name w:val="ASD Table4"/>
    <w:basedOn w:val="TableNormal"/>
    <w:next w:val="TableGrid"/>
    <w:uiPriority w:val="39"/>
    <w:rsid w:val="00724AC6"/>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5">
    <w:name w:val="ASD Table5"/>
    <w:basedOn w:val="TableNormal"/>
    <w:next w:val="TableGrid"/>
    <w:uiPriority w:val="39"/>
    <w:rsid w:val="0023570A"/>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6">
    <w:name w:val="ASD Table6"/>
    <w:basedOn w:val="TableNormal"/>
    <w:next w:val="TableGrid"/>
    <w:uiPriority w:val="39"/>
    <w:rsid w:val="00E92B23"/>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7">
    <w:name w:val="ASD Table7"/>
    <w:basedOn w:val="TableNormal"/>
    <w:next w:val="TableGrid"/>
    <w:uiPriority w:val="39"/>
    <w:rsid w:val="00B07952"/>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Table8">
    <w:name w:val="ASD Table8"/>
    <w:basedOn w:val="TableNormal"/>
    <w:next w:val="TableGrid"/>
    <w:uiPriority w:val="39"/>
    <w:rsid w:val="009233F9"/>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4236B"/>
    <w:rPr>
      <w:color w:val="2B579A"/>
      <w:shd w:val="clear" w:color="auto" w:fill="E1DFDD"/>
    </w:rPr>
  </w:style>
  <w:style w:type="character" w:customStyle="1" w:styleId="wacimagecontainer">
    <w:name w:val="wacimagecontainer"/>
    <w:basedOn w:val="DefaultParagraphFont"/>
    <w:rsid w:val="00D400D1"/>
  </w:style>
  <w:style w:type="character" w:customStyle="1" w:styleId="Heading5Char">
    <w:name w:val="Heading 5 Char"/>
    <w:basedOn w:val="DefaultParagraphFont"/>
    <w:link w:val="Heading5"/>
    <w:uiPriority w:val="9"/>
    <w:rsid w:val="00C73EA6"/>
    <w:rPr>
      <w:rFonts w:ascii="Franklin Gothic Book" w:eastAsiaTheme="majorEastAsia" w:hAnsi="Franklin Gothic Book" w:cstheme="majorBidi"/>
      <w:b/>
    </w:rPr>
  </w:style>
  <w:style w:type="character" w:customStyle="1" w:styleId="Heading6Char">
    <w:name w:val="Heading 6 Char"/>
    <w:basedOn w:val="DefaultParagraphFont"/>
    <w:link w:val="Heading6"/>
    <w:uiPriority w:val="9"/>
    <w:rsid w:val="00BB1D05"/>
    <w:rPr>
      <w:rFonts w:asciiTheme="majorHAnsi" w:eastAsiaTheme="majorEastAsia" w:hAnsiTheme="majorHAnsi" w:cstheme="majorBidi"/>
      <w:color w:val="1F4D78" w:themeColor="accent1" w:themeShade="7F"/>
    </w:rPr>
  </w:style>
  <w:style w:type="paragraph" w:customStyle="1" w:styleId="VABodyText">
    <w:name w:val="VA: Body Text"/>
    <w:basedOn w:val="Normal"/>
    <w:qFormat/>
    <w:rsid w:val="004352F7"/>
    <w:pPr>
      <w:spacing w:before="0" w:after="240" w:line="240" w:lineRule="auto"/>
      <w:ind w:left="357"/>
    </w:pPr>
    <w:rPr>
      <w:rFonts w:asciiTheme="minorHAnsi" w:eastAsiaTheme="minorEastAsia" w:hAnsiTheme="minorHAnsi"/>
      <w:color w:val="A5A5A5" w:themeColor="accent3"/>
      <w:sz w:val="24"/>
      <w:szCs w:val="24"/>
      <w:lang w:val="en-GB"/>
    </w:rPr>
  </w:style>
  <w:style w:type="paragraph" w:customStyle="1" w:styleId="ADARbodytext">
    <w:name w:val="ADAR body text"/>
    <w:basedOn w:val="Normal"/>
    <w:link w:val="ADARbodytextChar"/>
    <w:qFormat/>
    <w:rsid w:val="00151E6C"/>
    <w:rPr>
      <w:rFonts w:asciiTheme="minorHAnsi" w:hAnsiTheme="minorHAnsi" w:cstheme="minorHAnsi"/>
    </w:rPr>
  </w:style>
  <w:style w:type="character" w:customStyle="1" w:styleId="ADARbodytextChar">
    <w:name w:val="ADAR body text Char"/>
    <w:basedOn w:val="DefaultParagraphFont"/>
    <w:link w:val="ADARbodytext"/>
    <w:rsid w:val="00151E6C"/>
    <w:rPr>
      <w:rFonts w:cstheme="minorHAnsi"/>
    </w:rPr>
  </w:style>
  <w:style w:type="paragraph" w:styleId="NormalWeb">
    <w:name w:val="Normal (Web)"/>
    <w:basedOn w:val="Normal"/>
    <w:uiPriority w:val="99"/>
    <w:semiHidden/>
    <w:unhideWhenUsed/>
    <w:rsid w:val="004B5C5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VAHeading1">
    <w:name w:val="VA: Heading 1"/>
    <w:basedOn w:val="Heading1"/>
    <w:next w:val="Normal"/>
    <w:qFormat/>
    <w:rsid w:val="001E2607"/>
    <w:pPr>
      <w:keepNext w:val="0"/>
      <w:keepLines w:val="0"/>
      <w:pageBreakBefore/>
      <w:numPr>
        <w:numId w:val="13"/>
      </w:numPr>
      <w:pBdr>
        <w:bottom w:val="none" w:sz="0" w:space="0" w:color="auto"/>
      </w:pBdr>
      <w:spacing w:before="0" w:after="240"/>
    </w:pPr>
    <w:rPr>
      <w:rFonts w:ascii="Graebenbach" w:eastAsiaTheme="minorEastAsia" w:hAnsi="Graebenbach" w:cs="Graebenbach"/>
      <w:b/>
      <w:bCs/>
      <w:caps/>
      <w:noProof/>
      <w:color w:val="A5A5A5" w:themeColor="accent3"/>
      <w:spacing w:val="60"/>
      <w:sz w:val="40"/>
      <w:szCs w:val="40"/>
      <w:u w:val="single"/>
      <w:lang w:val="en-GB"/>
    </w:rPr>
  </w:style>
  <w:style w:type="paragraph" w:customStyle="1" w:styleId="VAHeading2">
    <w:name w:val="VA: Heading 2"/>
    <w:basedOn w:val="Heading2"/>
    <w:next w:val="Normal"/>
    <w:link w:val="VAHeading2Char"/>
    <w:qFormat/>
    <w:rsid w:val="001E2607"/>
    <w:pPr>
      <w:numPr>
        <w:numId w:val="13"/>
      </w:numPr>
      <w:spacing w:before="40" w:after="120"/>
    </w:pPr>
    <w:rPr>
      <w:rFonts w:ascii="Graebenbach" w:hAnsi="Graebenbach"/>
      <w:sz w:val="28"/>
      <w:lang w:val="en-GB"/>
    </w:rPr>
  </w:style>
  <w:style w:type="paragraph" w:customStyle="1" w:styleId="VAHeading3">
    <w:name w:val="VA: Heading 3"/>
    <w:basedOn w:val="Heading3"/>
    <w:next w:val="Normal"/>
    <w:qFormat/>
    <w:rsid w:val="001E2607"/>
    <w:pPr>
      <w:numPr>
        <w:ilvl w:val="2"/>
        <w:numId w:val="13"/>
      </w:numPr>
      <w:tabs>
        <w:tab w:val="clear" w:pos="851"/>
      </w:tabs>
      <w:spacing w:before="40" w:after="120"/>
    </w:pPr>
    <w:rPr>
      <w:rFonts w:ascii="Graebenbach" w:hAnsi="Graebenbach"/>
      <w:color w:val="1F4D78" w:themeColor="accent1" w:themeShade="7F"/>
      <w:lang w:val="en-GB"/>
    </w:rPr>
  </w:style>
  <w:style w:type="character" w:customStyle="1" w:styleId="VAHeading2Char">
    <w:name w:val="VA: Heading 2 Char"/>
    <w:basedOn w:val="Heading2Char"/>
    <w:link w:val="VAHeading2"/>
    <w:rsid w:val="008B4EE1"/>
    <w:rPr>
      <w:rFonts w:ascii="Graebenbach" w:eastAsiaTheme="majorEastAsia" w:hAnsi="Graebenbach" w:cstheme="majorBidi"/>
      <w:color w:val="000000" w:themeColor="text1"/>
      <w:sz w:val="28"/>
      <w:szCs w:val="26"/>
      <w:lang w:val="en-GB"/>
    </w:rPr>
  </w:style>
  <w:style w:type="paragraph" w:customStyle="1" w:styleId="VAHeading4">
    <w:name w:val="VA: Heading 4"/>
    <w:basedOn w:val="Heading4"/>
    <w:next w:val="Normal"/>
    <w:qFormat/>
    <w:rsid w:val="00604CC8"/>
    <w:pPr>
      <w:numPr>
        <w:ilvl w:val="3"/>
        <w:numId w:val="13"/>
      </w:numPr>
      <w:tabs>
        <w:tab w:val="clear" w:pos="851"/>
      </w:tabs>
      <w:spacing w:before="40" w:after="120"/>
    </w:pPr>
    <w:rPr>
      <w:rFonts w:ascii="Franklin Gothic Book" w:hAnsi="Franklin Gothic Book"/>
      <w:iCs/>
      <w:sz w:val="22"/>
      <w:lang w:val="en-GB"/>
    </w:rPr>
  </w:style>
  <w:style w:type="paragraph" w:customStyle="1" w:styleId="VAHeading5">
    <w:name w:val="VA: Heading 5"/>
    <w:basedOn w:val="Heading5"/>
    <w:next w:val="Normal"/>
    <w:qFormat/>
    <w:rsid w:val="008B4EE1"/>
    <w:pPr>
      <w:numPr>
        <w:ilvl w:val="4"/>
        <w:numId w:val="13"/>
      </w:numPr>
      <w:spacing w:after="120" w:line="240" w:lineRule="auto"/>
    </w:pPr>
    <w:rPr>
      <w:rFonts w:ascii="Graebenbach" w:hAnsi="Graebenbach"/>
      <w:i/>
      <w:sz w:val="24"/>
      <w:szCs w:val="24"/>
      <w:lang w:val="en-GB"/>
    </w:rPr>
  </w:style>
  <w:style w:type="character" w:customStyle="1" w:styleId="normaltextrun">
    <w:name w:val="normaltextrun"/>
    <w:basedOn w:val="DefaultParagraphFont"/>
    <w:rsid w:val="007D1A0E"/>
  </w:style>
  <w:style w:type="character" w:customStyle="1" w:styleId="ui-provider">
    <w:name w:val="ui-provider"/>
    <w:basedOn w:val="DefaultParagraphFont"/>
    <w:rsid w:val="00880DC9"/>
  </w:style>
  <w:style w:type="paragraph" w:styleId="DocumentMap">
    <w:name w:val="Document Map"/>
    <w:basedOn w:val="Normal"/>
    <w:link w:val="DocumentMapChar"/>
    <w:uiPriority w:val="99"/>
    <w:semiHidden/>
    <w:rsid w:val="00CC667C"/>
    <w:pPr>
      <w:shd w:val="clear" w:color="auto" w:fill="000080"/>
      <w:spacing w:before="0" w:after="0" w:line="240" w:lineRule="auto"/>
    </w:pPr>
    <w:rPr>
      <w:rFonts w:ascii="Tahoma" w:eastAsia="SimSun" w:hAnsi="Tahoma" w:cs="Tahoma"/>
      <w:sz w:val="24"/>
      <w:szCs w:val="20"/>
      <w:lang w:val="en-US"/>
    </w:rPr>
  </w:style>
  <w:style w:type="character" w:customStyle="1" w:styleId="DocumentMapChar">
    <w:name w:val="Document Map Char"/>
    <w:basedOn w:val="DefaultParagraphFont"/>
    <w:link w:val="DocumentMap"/>
    <w:uiPriority w:val="99"/>
    <w:semiHidden/>
    <w:rsid w:val="00CC667C"/>
    <w:rPr>
      <w:rFonts w:ascii="Tahoma" w:eastAsia="SimSun" w:hAnsi="Tahoma" w:cs="Tahoma"/>
      <w:sz w:val="24"/>
      <w:szCs w:val="20"/>
      <w:shd w:val="clear" w:color="auto" w:fill="000080"/>
      <w:lang w:val="en-US"/>
    </w:rPr>
  </w:style>
  <w:style w:type="paragraph" w:styleId="TableofFigures">
    <w:name w:val="table of figures"/>
    <w:basedOn w:val="Normal"/>
    <w:next w:val="Normal"/>
    <w:uiPriority w:val="99"/>
    <w:unhideWhenUsed/>
    <w:rsid w:val="00F27F88"/>
    <w:pPr>
      <w:spacing w:after="0"/>
    </w:pPr>
  </w:style>
  <w:style w:type="paragraph" w:customStyle="1" w:styleId="Numberedheading1">
    <w:name w:val="Numbered heading 1"/>
    <w:basedOn w:val="Heading1"/>
    <w:next w:val="Normal"/>
    <w:rsid w:val="005B71B0"/>
    <w:pPr>
      <w:keepLines w:val="0"/>
      <w:numPr>
        <w:ilvl w:val="3"/>
        <w:numId w:val="17"/>
      </w:numPr>
      <w:pBdr>
        <w:bottom w:val="none" w:sz="0" w:space="0" w:color="auto"/>
      </w:pBdr>
      <w:spacing w:before="240" w:after="120" w:line="360" w:lineRule="auto"/>
    </w:pPr>
    <w:rPr>
      <w:rFonts w:ascii="Arial" w:eastAsia="Times New Roman" w:hAnsi="Arial" w:cs="Arial"/>
      <w:b/>
      <w:bCs/>
      <w:kern w:val="32"/>
      <w:sz w:val="32"/>
      <w:szCs w:val="24"/>
      <w:lang w:val="en-US"/>
    </w:rPr>
  </w:style>
  <w:style w:type="paragraph" w:customStyle="1" w:styleId="Numberedlevel2text">
    <w:name w:val="Numbered level 2 text"/>
    <w:basedOn w:val="Normal"/>
    <w:link w:val="Numberedlevel2textChar"/>
    <w:qFormat/>
    <w:rsid w:val="005B71B0"/>
    <w:pPr>
      <w:numPr>
        <w:ilvl w:val="1"/>
        <w:numId w:val="17"/>
      </w:numPr>
      <w:spacing w:before="0" w:after="240" w:line="360" w:lineRule="auto"/>
    </w:pPr>
    <w:rPr>
      <w:rFonts w:ascii="Arial" w:eastAsia="Times New Roman" w:hAnsi="Arial" w:cs="Times New Roman"/>
      <w:bCs/>
      <w:iCs/>
      <w:sz w:val="24"/>
      <w:szCs w:val="28"/>
      <w:lang w:val="x-none"/>
    </w:rPr>
  </w:style>
  <w:style w:type="character" w:customStyle="1" w:styleId="Numberedlevel2textChar">
    <w:name w:val="Numbered level 2 text Char"/>
    <w:link w:val="Numberedlevel2text"/>
    <w:rsid w:val="005B71B0"/>
    <w:rPr>
      <w:rFonts w:ascii="Arial" w:eastAsia="Times New Roman" w:hAnsi="Arial" w:cs="Times New Roman"/>
      <w:bCs/>
      <w:iCs/>
      <w:sz w:val="24"/>
      <w:szCs w:val="28"/>
      <w:lang w:val="x-none"/>
    </w:rPr>
  </w:style>
  <w:style w:type="character" w:customStyle="1" w:styleId="eop">
    <w:name w:val="eop"/>
    <w:basedOn w:val="DefaultParagraphFont"/>
    <w:rsid w:val="005B71B0"/>
  </w:style>
  <w:style w:type="paragraph" w:customStyle="1" w:styleId="TableDotPoint">
    <w:name w:val="Table Dot Point"/>
    <w:basedOn w:val="TableText"/>
    <w:link w:val="TableDotPointChar"/>
    <w:qFormat/>
    <w:rsid w:val="00A863F4"/>
    <w:pPr>
      <w:numPr>
        <w:numId w:val="19"/>
      </w:numPr>
    </w:pPr>
    <w:rPr>
      <w:szCs w:val="18"/>
      <w:lang w:val="en-GB"/>
    </w:rPr>
  </w:style>
  <w:style w:type="character" w:customStyle="1" w:styleId="TableDotPointChar">
    <w:name w:val="Table Dot Point Char"/>
    <w:basedOn w:val="TableTextChar"/>
    <w:link w:val="TableDotPoint"/>
    <w:rsid w:val="00A863F4"/>
    <w:rPr>
      <w:rFonts w:ascii="Arial Narrow" w:hAnsi="Arial Narrow"/>
      <w:sz w:val="20"/>
      <w:szCs w:val="18"/>
      <w:lang w:val="en-GB"/>
    </w:rPr>
  </w:style>
  <w:style w:type="character" w:customStyle="1" w:styleId="cf01">
    <w:name w:val="cf01"/>
    <w:basedOn w:val="DefaultParagraphFont"/>
    <w:rsid w:val="000210FD"/>
    <w:rPr>
      <w:rFonts w:ascii="Segoe UI" w:hAnsi="Segoe UI" w:cs="Segoe UI" w:hint="default"/>
      <w:sz w:val="18"/>
      <w:szCs w:val="18"/>
      <w:u w:val="single"/>
    </w:rPr>
  </w:style>
  <w:style w:type="paragraph" w:customStyle="1" w:styleId="TableDash">
    <w:name w:val="TableDash"/>
    <w:basedOn w:val="TableText1"/>
    <w:rsid w:val="008150D8"/>
    <w:pPr>
      <w:numPr>
        <w:numId w:val="27"/>
      </w:numPr>
      <w:tabs>
        <w:tab w:val="num" w:pos="360"/>
        <w:tab w:val="num" w:pos="432"/>
      </w:tabs>
      <w:spacing w:before="60" w:after="60" w:line="240" w:lineRule="auto"/>
      <w:ind w:left="0" w:firstLine="0"/>
      <w:jc w:val="left"/>
    </w:pPr>
    <w:rPr>
      <w:rFonts w:ascii="Franklin Gothic Book" w:hAnsi="Franklin Gothic Book" w:cs="Times New Roman"/>
      <w:color w:val="000000"/>
      <w:sz w:val="21"/>
      <w:szCs w:val="21"/>
    </w:rPr>
  </w:style>
  <w:style w:type="character" w:styleId="SubtleReference">
    <w:name w:val="Subtle Reference"/>
    <w:basedOn w:val="DefaultParagraphFont"/>
    <w:uiPriority w:val="31"/>
    <w:qFormat/>
    <w:rsid w:val="00624BA7"/>
    <w:rPr>
      <w:smallCaps/>
      <w:color w:val="5A5A5A" w:themeColor="text1" w:themeTint="A5"/>
    </w:rPr>
  </w:style>
  <w:style w:type="paragraph" w:styleId="BodyText">
    <w:name w:val="Body Text"/>
    <w:basedOn w:val="Normal"/>
    <w:link w:val="BodyTextChar"/>
    <w:rsid w:val="001B421A"/>
    <w:pPr>
      <w:widowControl w:val="0"/>
      <w:spacing w:after="0" w:line="240" w:lineRule="auto"/>
      <w:jc w:val="both"/>
    </w:pPr>
    <w:rPr>
      <w:rFonts w:ascii="Book Antiqua" w:eastAsia="Times New Roman" w:hAnsi="Book Antiqua" w:cs="Times New Roman"/>
      <w:sz w:val="24"/>
      <w:szCs w:val="20"/>
    </w:rPr>
  </w:style>
  <w:style w:type="character" w:customStyle="1" w:styleId="BodyTextChar">
    <w:name w:val="Body Text Char"/>
    <w:basedOn w:val="DefaultParagraphFont"/>
    <w:link w:val="BodyText"/>
    <w:rsid w:val="001B421A"/>
    <w:rPr>
      <w:rFonts w:ascii="Book Antiqua" w:eastAsia="Times New Roman" w:hAnsi="Book Antiqua" w:cs="Times New Roman"/>
      <w:sz w:val="24"/>
      <w:szCs w:val="20"/>
    </w:rPr>
  </w:style>
  <w:style w:type="character" w:customStyle="1" w:styleId="cf11">
    <w:name w:val="cf11"/>
    <w:basedOn w:val="DefaultParagraphFont"/>
    <w:rsid w:val="003441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65403">
      <w:bodyDiv w:val="1"/>
      <w:marLeft w:val="0"/>
      <w:marRight w:val="0"/>
      <w:marTop w:val="0"/>
      <w:marBottom w:val="0"/>
      <w:divBdr>
        <w:top w:val="none" w:sz="0" w:space="0" w:color="auto"/>
        <w:left w:val="none" w:sz="0" w:space="0" w:color="auto"/>
        <w:bottom w:val="none" w:sz="0" w:space="0" w:color="auto"/>
        <w:right w:val="none" w:sz="0" w:space="0" w:color="auto"/>
      </w:divBdr>
    </w:div>
    <w:div w:id="68576171">
      <w:bodyDiv w:val="1"/>
      <w:marLeft w:val="0"/>
      <w:marRight w:val="0"/>
      <w:marTop w:val="0"/>
      <w:marBottom w:val="0"/>
      <w:divBdr>
        <w:top w:val="none" w:sz="0" w:space="0" w:color="auto"/>
        <w:left w:val="none" w:sz="0" w:space="0" w:color="auto"/>
        <w:bottom w:val="none" w:sz="0" w:space="0" w:color="auto"/>
        <w:right w:val="none" w:sz="0" w:space="0" w:color="auto"/>
      </w:divBdr>
      <w:divsChild>
        <w:div w:id="53896741">
          <w:marLeft w:val="0"/>
          <w:marRight w:val="0"/>
          <w:marTop w:val="0"/>
          <w:marBottom w:val="0"/>
          <w:divBdr>
            <w:top w:val="none" w:sz="0" w:space="0" w:color="auto"/>
            <w:left w:val="none" w:sz="0" w:space="0" w:color="auto"/>
            <w:bottom w:val="none" w:sz="0" w:space="0" w:color="auto"/>
            <w:right w:val="none" w:sz="0" w:space="0" w:color="auto"/>
          </w:divBdr>
        </w:div>
        <w:div w:id="898175688">
          <w:marLeft w:val="0"/>
          <w:marRight w:val="0"/>
          <w:marTop w:val="0"/>
          <w:marBottom w:val="0"/>
          <w:divBdr>
            <w:top w:val="none" w:sz="0" w:space="0" w:color="auto"/>
            <w:left w:val="none" w:sz="0" w:space="0" w:color="auto"/>
            <w:bottom w:val="none" w:sz="0" w:space="0" w:color="auto"/>
            <w:right w:val="none" w:sz="0" w:space="0" w:color="auto"/>
          </w:divBdr>
        </w:div>
        <w:div w:id="919800291">
          <w:marLeft w:val="0"/>
          <w:marRight w:val="0"/>
          <w:marTop w:val="0"/>
          <w:marBottom w:val="0"/>
          <w:divBdr>
            <w:top w:val="none" w:sz="0" w:space="0" w:color="auto"/>
            <w:left w:val="none" w:sz="0" w:space="0" w:color="auto"/>
            <w:bottom w:val="none" w:sz="0" w:space="0" w:color="auto"/>
            <w:right w:val="none" w:sz="0" w:space="0" w:color="auto"/>
          </w:divBdr>
        </w:div>
        <w:div w:id="1275476263">
          <w:marLeft w:val="0"/>
          <w:marRight w:val="0"/>
          <w:marTop w:val="0"/>
          <w:marBottom w:val="0"/>
          <w:divBdr>
            <w:top w:val="none" w:sz="0" w:space="0" w:color="auto"/>
            <w:left w:val="none" w:sz="0" w:space="0" w:color="auto"/>
            <w:bottom w:val="none" w:sz="0" w:space="0" w:color="auto"/>
            <w:right w:val="none" w:sz="0" w:space="0" w:color="auto"/>
          </w:divBdr>
        </w:div>
      </w:divsChild>
    </w:div>
    <w:div w:id="71199265">
      <w:bodyDiv w:val="1"/>
      <w:marLeft w:val="0"/>
      <w:marRight w:val="0"/>
      <w:marTop w:val="0"/>
      <w:marBottom w:val="0"/>
      <w:divBdr>
        <w:top w:val="none" w:sz="0" w:space="0" w:color="auto"/>
        <w:left w:val="none" w:sz="0" w:space="0" w:color="auto"/>
        <w:bottom w:val="none" w:sz="0" w:space="0" w:color="auto"/>
        <w:right w:val="none" w:sz="0" w:space="0" w:color="auto"/>
      </w:divBdr>
    </w:div>
    <w:div w:id="74130392">
      <w:bodyDiv w:val="1"/>
      <w:marLeft w:val="0"/>
      <w:marRight w:val="0"/>
      <w:marTop w:val="0"/>
      <w:marBottom w:val="0"/>
      <w:divBdr>
        <w:top w:val="none" w:sz="0" w:space="0" w:color="auto"/>
        <w:left w:val="none" w:sz="0" w:space="0" w:color="auto"/>
        <w:bottom w:val="none" w:sz="0" w:space="0" w:color="auto"/>
        <w:right w:val="none" w:sz="0" w:space="0" w:color="auto"/>
      </w:divBdr>
    </w:div>
    <w:div w:id="159003847">
      <w:bodyDiv w:val="1"/>
      <w:marLeft w:val="0"/>
      <w:marRight w:val="0"/>
      <w:marTop w:val="0"/>
      <w:marBottom w:val="0"/>
      <w:divBdr>
        <w:top w:val="none" w:sz="0" w:space="0" w:color="auto"/>
        <w:left w:val="none" w:sz="0" w:space="0" w:color="auto"/>
        <w:bottom w:val="none" w:sz="0" w:space="0" w:color="auto"/>
        <w:right w:val="none" w:sz="0" w:space="0" w:color="auto"/>
      </w:divBdr>
    </w:div>
    <w:div w:id="160198125">
      <w:bodyDiv w:val="1"/>
      <w:marLeft w:val="0"/>
      <w:marRight w:val="0"/>
      <w:marTop w:val="0"/>
      <w:marBottom w:val="0"/>
      <w:divBdr>
        <w:top w:val="none" w:sz="0" w:space="0" w:color="auto"/>
        <w:left w:val="none" w:sz="0" w:space="0" w:color="auto"/>
        <w:bottom w:val="none" w:sz="0" w:space="0" w:color="auto"/>
        <w:right w:val="none" w:sz="0" w:space="0" w:color="auto"/>
      </w:divBdr>
    </w:div>
    <w:div w:id="174998036">
      <w:bodyDiv w:val="1"/>
      <w:marLeft w:val="0"/>
      <w:marRight w:val="0"/>
      <w:marTop w:val="0"/>
      <w:marBottom w:val="0"/>
      <w:divBdr>
        <w:top w:val="none" w:sz="0" w:space="0" w:color="auto"/>
        <w:left w:val="none" w:sz="0" w:space="0" w:color="auto"/>
        <w:bottom w:val="none" w:sz="0" w:space="0" w:color="auto"/>
        <w:right w:val="none" w:sz="0" w:space="0" w:color="auto"/>
      </w:divBdr>
    </w:div>
    <w:div w:id="182397907">
      <w:bodyDiv w:val="1"/>
      <w:marLeft w:val="0"/>
      <w:marRight w:val="0"/>
      <w:marTop w:val="0"/>
      <w:marBottom w:val="0"/>
      <w:divBdr>
        <w:top w:val="none" w:sz="0" w:space="0" w:color="auto"/>
        <w:left w:val="none" w:sz="0" w:space="0" w:color="auto"/>
        <w:bottom w:val="none" w:sz="0" w:space="0" w:color="auto"/>
        <w:right w:val="none" w:sz="0" w:space="0" w:color="auto"/>
      </w:divBdr>
    </w:div>
    <w:div w:id="184029289">
      <w:bodyDiv w:val="1"/>
      <w:marLeft w:val="0"/>
      <w:marRight w:val="0"/>
      <w:marTop w:val="0"/>
      <w:marBottom w:val="0"/>
      <w:divBdr>
        <w:top w:val="none" w:sz="0" w:space="0" w:color="auto"/>
        <w:left w:val="none" w:sz="0" w:space="0" w:color="auto"/>
        <w:bottom w:val="none" w:sz="0" w:space="0" w:color="auto"/>
        <w:right w:val="none" w:sz="0" w:space="0" w:color="auto"/>
      </w:divBdr>
    </w:div>
    <w:div w:id="206991689">
      <w:bodyDiv w:val="1"/>
      <w:marLeft w:val="0"/>
      <w:marRight w:val="0"/>
      <w:marTop w:val="0"/>
      <w:marBottom w:val="0"/>
      <w:divBdr>
        <w:top w:val="none" w:sz="0" w:space="0" w:color="auto"/>
        <w:left w:val="none" w:sz="0" w:space="0" w:color="auto"/>
        <w:bottom w:val="none" w:sz="0" w:space="0" w:color="auto"/>
        <w:right w:val="none" w:sz="0" w:space="0" w:color="auto"/>
      </w:divBdr>
    </w:div>
    <w:div w:id="240987840">
      <w:bodyDiv w:val="1"/>
      <w:marLeft w:val="0"/>
      <w:marRight w:val="0"/>
      <w:marTop w:val="0"/>
      <w:marBottom w:val="0"/>
      <w:divBdr>
        <w:top w:val="none" w:sz="0" w:space="0" w:color="auto"/>
        <w:left w:val="none" w:sz="0" w:space="0" w:color="auto"/>
        <w:bottom w:val="none" w:sz="0" w:space="0" w:color="auto"/>
        <w:right w:val="none" w:sz="0" w:space="0" w:color="auto"/>
      </w:divBdr>
    </w:div>
    <w:div w:id="241067677">
      <w:bodyDiv w:val="1"/>
      <w:marLeft w:val="0"/>
      <w:marRight w:val="0"/>
      <w:marTop w:val="0"/>
      <w:marBottom w:val="0"/>
      <w:divBdr>
        <w:top w:val="none" w:sz="0" w:space="0" w:color="auto"/>
        <w:left w:val="none" w:sz="0" w:space="0" w:color="auto"/>
        <w:bottom w:val="none" w:sz="0" w:space="0" w:color="auto"/>
        <w:right w:val="none" w:sz="0" w:space="0" w:color="auto"/>
      </w:divBdr>
    </w:div>
    <w:div w:id="259148225">
      <w:bodyDiv w:val="1"/>
      <w:marLeft w:val="0"/>
      <w:marRight w:val="0"/>
      <w:marTop w:val="0"/>
      <w:marBottom w:val="0"/>
      <w:divBdr>
        <w:top w:val="none" w:sz="0" w:space="0" w:color="auto"/>
        <w:left w:val="none" w:sz="0" w:space="0" w:color="auto"/>
        <w:bottom w:val="none" w:sz="0" w:space="0" w:color="auto"/>
        <w:right w:val="none" w:sz="0" w:space="0" w:color="auto"/>
      </w:divBdr>
    </w:div>
    <w:div w:id="262110926">
      <w:bodyDiv w:val="1"/>
      <w:marLeft w:val="0"/>
      <w:marRight w:val="0"/>
      <w:marTop w:val="0"/>
      <w:marBottom w:val="0"/>
      <w:divBdr>
        <w:top w:val="none" w:sz="0" w:space="0" w:color="auto"/>
        <w:left w:val="none" w:sz="0" w:space="0" w:color="auto"/>
        <w:bottom w:val="none" w:sz="0" w:space="0" w:color="auto"/>
        <w:right w:val="none" w:sz="0" w:space="0" w:color="auto"/>
      </w:divBdr>
    </w:div>
    <w:div w:id="296033206">
      <w:bodyDiv w:val="1"/>
      <w:marLeft w:val="0"/>
      <w:marRight w:val="0"/>
      <w:marTop w:val="0"/>
      <w:marBottom w:val="0"/>
      <w:divBdr>
        <w:top w:val="none" w:sz="0" w:space="0" w:color="auto"/>
        <w:left w:val="none" w:sz="0" w:space="0" w:color="auto"/>
        <w:bottom w:val="none" w:sz="0" w:space="0" w:color="auto"/>
        <w:right w:val="none" w:sz="0" w:space="0" w:color="auto"/>
      </w:divBdr>
      <w:divsChild>
        <w:div w:id="1106080229">
          <w:marLeft w:val="0"/>
          <w:marRight w:val="0"/>
          <w:marTop w:val="0"/>
          <w:marBottom w:val="0"/>
          <w:divBdr>
            <w:top w:val="none" w:sz="0" w:space="0" w:color="auto"/>
            <w:left w:val="none" w:sz="0" w:space="0" w:color="auto"/>
            <w:bottom w:val="none" w:sz="0" w:space="0" w:color="auto"/>
            <w:right w:val="none" w:sz="0" w:space="0" w:color="auto"/>
          </w:divBdr>
        </w:div>
        <w:div w:id="1350449007">
          <w:marLeft w:val="0"/>
          <w:marRight w:val="0"/>
          <w:marTop w:val="0"/>
          <w:marBottom w:val="0"/>
          <w:divBdr>
            <w:top w:val="none" w:sz="0" w:space="0" w:color="auto"/>
            <w:left w:val="none" w:sz="0" w:space="0" w:color="auto"/>
            <w:bottom w:val="none" w:sz="0" w:space="0" w:color="auto"/>
            <w:right w:val="none" w:sz="0" w:space="0" w:color="auto"/>
          </w:divBdr>
        </w:div>
        <w:div w:id="2121223626">
          <w:marLeft w:val="0"/>
          <w:marRight w:val="0"/>
          <w:marTop w:val="0"/>
          <w:marBottom w:val="0"/>
          <w:divBdr>
            <w:top w:val="none" w:sz="0" w:space="0" w:color="auto"/>
            <w:left w:val="none" w:sz="0" w:space="0" w:color="auto"/>
            <w:bottom w:val="none" w:sz="0" w:space="0" w:color="auto"/>
            <w:right w:val="none" w:sz="0" w:space="0" w:color="auto"/>
          </w:divBdr>
        </w:div>
      </w:divsChild>
    </w:div>
    <w:div w:id="341050904">
      <w:bodyDiv w:val="1"/>
      <w:marLeft w:val="0"/>
      <w:marRight w:val="0"/>
      <w:marTop w:val="0"/>
      <w:marBottom w:val="0"/>
      <w:divBdr>
        <w:top w:val="none" w:sz="0" w:space="0" w:color="auto"/>
        <w:left w:val="none" w:sz="0" w:space="0" w:color="auto"/>
        <w:bottom w:val="none" w:sz="0" w:space="0" w:color="auto"/>
        <w:right w:val="none" w:sz="0" w:space="0" w:color="auto"/>
      </w:divBdr>
    </w:div>
    <w:div w:id="369041164">
      <w:bodyDiv w:val="1"/>
      <w:marLeft w:val="0"/>
      <w:marRight w:val="0"/>
      <w:marTop w:val="0"/>
      <w:marBottom w:val="0"/>
      <w:divBdr>
        <w:top w:val="none" w:sz="0" w:space="0" w:color="auto"/>
        <w:left w:val="none" w:sz="0" w:space="0" w:color="auto"/>
        <w:bottom w:val="none" w:sz="0" w:space="0" w:color="auto"/>
        <w:right w:val="none" w:sz="0" w:space="0" w:color="auto"/>
      </w:divBdr>
    </w:div>
    <w:div w:id="381249859">
      <w:bodyDiv w:val="1"/>
      <w:marLeft w:val="0"/>
      <w:marRight w:val="0"/>
      <w:marTop w:val="0"/>
      <w:marBottom w:val="0"/>
      <w:divBdr>
        <w:top w:val="none" w:sz="0" w:space="0" w:color="auto"/>
        <w:left w:val="none" w:sz="0" w:space="0" w:color="auto"/>
        <w:bottom w:val="none" w:sz="0" w:space="0" w:color="auto"/>
        <w:right w:val="none" w:sz="0" w:space="0" w:color="auto"/>
      </w:divBdr>
    </w:div>
    <w:div w:id="388959748">
      <w:bodyDiv w:val="1"/>
      <w:marLeft w:val="0"/>
      <w:marRight w:val="0"/>
      <w:marTop w:val="0"/>
      <w:marBottom w:val="0"/>
      <w:divBdr>
        <w:top w:val="none" w:sz="0" w:space="0" w:color="auto"/>
        <w:left w:val="none" w:sz="0" w:space="0" w:color="auto"/>
        <w:bottom w:val="none" w:sz="0" w:space="0" w:color="auto"/>
        <w:right w:val="none" w:sz="0" w:space="0" w:color="auto"/>
      </w:divBdr>
    </w:div>
    <w:div w:id="393283070">
      <w:bodyDiv w:val="1"/>
      <w:marLeft w:val="0"/>
      <w:marRight w:val="0"/>
      <w:marTop w:val="0"/>
      <w:marBottom w:val="0"/>
      <w:divBdr>
        <w:top w:val="none" w:sz="0" w:space="0" w:color="auto"/>
        <w:left w:val="none" w:sz="0" w:space="0" w:color="auto"/>
        <w:bottom w:val="none" w:sz="0" w:space="0" w:color="auto"/>
        <w:right w:val="none" w:sz="0" w:space="0" w:color="auto"/>
      </w:divBdr>
    </w:div>
    <w:div w:id="414280912">
      <w:bodyDiv w:val="1"/>
      <w:marLeft w:val="0"/>
      <w:marRight w:val="0"/>
      <w:marTop w:val="0"/>
      <w:marBottom w:val="0"/>
      <w:divBdr>
        <w:top w:val="none" w:sz="0" w:space="0" w:color="auto"/>
        <w:left w:val="none" w:sz="0" w:space="0" w:color="auto"/>
        <w:bottom w:val="none" w:sz="0" w:space="0" w:color="auto"/>
        <w:right w:val="none" w:sz="0" w:space="0" w:color="auto"/>
      </w:divBdr>
    </w:div>
    <w:div w:id="425276192">
      <w:bodyDiv w:val="1"/>
      <w:marLeft w:val="0"/>
      <w:marRight w:val="0"/>
      <w:marTop w:val="0"/>
      <w:marBottom w:val="0"/>
      <w:divBdr>
        <w:top w:val="none" w:sz="0" w:space="0" w:color="auto"/>
        <w:left w:val="none" w:sz="0" w:space="0" w:color="auto"/>
        <w:bottom w:val="none" w:sz="0" w:space="0" w:color="auto"/>
        <w:right w:val="none" w:sz="0" w:space="0" w:color="auto"/>
      </w:divBdr>
    </w:div>
    <w:div w:id="440762048">
      <w:bodyDiv w:val="1"/>
      <w:marLeft w:val="0"/>
      <w:marRight w:val="0"/>
      <w:marTop w:val="0"/>
      <w:marBottom w:val="0"/>
      <w:divBdr>
        <w:top w:val="none" w:sz="0" w:space="0" w:color="auto"/>
        <w:left w:val="none" w:sz="0" w:space="0" w:color="auto"/>
        <w:bottom w:val="none" w:sz="0" w:space="0" w:color="auto"/>
        <w:right w:val="none" w:sz="0" w:space="0" w:color="auto"/>
      </w:divBdr>
    </w:div>
    <w:div w:id="445393862">
      <w:bodyDiv w:val="1"/>
      <w:marLeft w:val="0"/>
      <w:marRight w:val="0"/>
      <w:marTop w:val="0"/>
      <w:marBottom w:val="0"/>
      <w:divBdr>
        <w:top w:val="none" w:sz="0" w:space="0" w:color="auto"/>
        <w:left w:val="none" w:sz="0" w:space="0" w:color="auto"/>
        <w:bottom w:val="none" w:sz="0" w:space="0" w:color="auto"/>
        <w:right w:val="none" w:sz="0" w:space="0" w:color="auto"/>
      </w:divBdr>
    </w:div>
    <w:div w:id="497383534">
      <w:bodyDiv w:val="1"/>
      <w:marLeft w:val="0"/>
      <w:marRight w:val="0"/>
      <w:marTop w:val="0"/>
      <w:marBottom w:val="0"/>
      <w:divBdr>
        <w:top w:val="none" w:sz="0" w:space="0" w:color="auto"/>
        <w:left w:val="none" w:sz="0" w:space="0" w:color="auto"/>
        <w:bottom w:val="none" w:sz="0" w:space="0" w:color="auto"/>
        <w:right w:val="none" w:sz="0" w:space="0" w:color="auto"/>
      </w:divBdr>
    </w:div>
    <w:div w:id="520899115">
      <w:bodyDiv w:val="1"/>
      <w:marLeft w:val="0"/>
      <w:marRight w:val="0"/>
      <w:marTop w:val="0"/>
      <w:marBottom w:val="0"/>
      <w:divBdr>
        <w:top w:val="none" w:sz="0" w:space="0" w:color="auto"/>
        <w:left w:val="none" w:sz="0" w:space="0" w:color="auto"/>
        <w:bottom w:val="none" w:sz="0" w:space="0" w:color="auto"/>
        <w:right w:val="none" w:sz="0" w:space="0" w:color="auto"/>
      </w:divBdr>
    </w:div>
    <w:div w:id="547684622">
      <w:bodyDiv w:val="1"/>
      <w:marLeft w:val="0"/>
      <w:marRight w:val="0"/>
      <w:marTop w:val="0"/>
      <w:marBottom w:val="0"/>
      <w:divBdr>
        <w:top w:val="none" w:sz="0" w:space="0" w:color="auto"/>
        <w:left w:val="none" w:sz="0" w:space="0" w:color="auto"/>
        <w:bottom w:val="none" w:sz="0" w:space="0" w:color="auto"/>
        <w:right w:val="none" w:sz="0" w:space="0" w:color="auto"/>
      </w:divBdr>
    </w:div>
    <w:div w:id="551235121">
      <w:bodyDiv w:val="1"/>
      <w:marLeft w:val="0"/>
      <w:marRight w:val="0"/>
      <w:marTop w:val="0"/>
      <w:marBottom w:val="0"/>
      <w:divBdr>
        <w:top w:val="none" w:sz="0" w:space="0" w:color="auto"/>
        <w:left w:val="none" w:sz="0" w:space="0" w:color="auto"/>
        <w:bottom w:val="none" w:sz="0" w:space="0" w:color="auto"/>
        <w:right w:val="none" w:sz="0" w:space="0" w:color="auto"/>
      </w:divBdr>
    </w:div>
    <w:div w:id="553857340">
      <w:bodyDiv w:val="1"/>
      <w:marLeft w:val="0"/>
      <w:marRight w:val="0"/>
      <w:marTop w:val="0"/>
      <w:marBottom w:val="0"/>
      <w:divBdr>
        <w:top w:val="none" w:sz="0" w:space="0" w:color="auto"/>
        <w:left w:val="none" w:sz="0" w:space="0" w:color="auto"/>
        <w:bottom w:val="none" w:sz="0" w:space="0" w:color="auto"/>
        <w:right w:val="none" w:sz="0" w:space="0" w:color="auto"/>
      </w:divBdr>
    </w:div>
    <w:div w:id="575938846">
      <w:bodyDiv w:val="1"/>
      <w:marLeft w:val="0"/>
      <w:marRight w:val="0"/>
      <w:marTop w:val="0"/>
      <w:marBottom w:val="0"/>
      <w:divBdr>
        <w:top w:val="none" w:sz="0" w:space="0" w:color="auto"/>
        <w:left w:val="none" w:sz="0" w:space="0" w:color="auto"/>
        <w:bottom w:val="none" w:sz="0" w:space="0" w:color="auto"/>
        <w:right w:val="none" w:sz="0" w:space="0" w:color="auto"/>
      </w:divBdr>
    </w:div>
    <w:div w:id="630671558">
      <w:bodyDiv w:val="1"/>
      <w:marLeft w:val="0"/>
      <w:marRight w:val="0"/>
      <w:marTop w:val="0"/>
      <w:marBottom w:val="0"/>
      <w:divBdr>
        <w:top w:val="none" w:sz="0" w:space="0" w:color="auto"/>
        <w:left w:val="none" w:sz="0" w:space="0" w:color="auto"/>
        <w:bottom w:val="none" w:sz="0" w:space="0" w:color="auto"/>
        <w:right w:val="none" w:sz="0" w:space="0" w:color="auto"/>
      </w:divBdr>
    </w:div>
    <w:div w:id="633798868">
      <w:bodyDiv w:val="1"/>
      <w:marLeft w:val="0"/>
      <w:marRight w:val="0"/>
      <w:marTop w:val="0"/>
      <w:marBottom w:val="0"/>
      <w:divBdr>
        <w:top w:val="none" w:sz="0" w:space="0" w:color="auto"/>
        <w:left w:val="none" w:sz="0" w:space="0" w:color="auto"/>
        <w:bottom w:val="none" w:sz="0" w:space="0" w:color="auto"/>
        <w:right w:val="none" w:sz="0" w:space="0" w:color="auto"/>
      </w:divBdr>
    </w:div>
    <w:div w:id="650017405">
      <w:bodyDiv w:val="1"/>
      <w:marLeft w:val="0"/>
      <w:marRight w:val="0"/>
      <w:marTop w:val="0"/>
      <w:marBottom w:val="0"/>
      <w:divBdr>
        <w:top w:val="none" w:sz="0" w:space="0" w:color="auto"/>
        <w:left w:val="none" w:sz="0" w:space="0" w:color="auto"/>
        <w:bottom w:val="none" w:sz="0" w:space="0" w:color="auto"/>
        <w:right w:val="none" w:sz="0" w:space="0" w:color="auto"/>
      </w:divBdr>
    </w:div>
    <w:div w:id="686174714">
      <w:bodyDiv w:val="1"/>
      <w:marLeft w:val="0"/>
      <w:marRight w:val="0"/>
      <w:marTop w:val="0"/>
      <w:marBottom w:val="0"/>
      <w:divBdr>
        <w:top w:val="none" w:sz="0" w:space="0" w:color="auto"/>
        <w:left w:val="none" w:sz="0" w:space="0" w:color="auto"/>
        <w:bottom w:val="none" w:sz="0" w:space="0" w:color="auto"/>
        <w:right w:val="none" w:sz="0" w:space="0" w:color="auto"/>
      </w:divBdr>
    </w:div>
    <w:div w:id="719669662">
      <w:bodyDiv w:val="1"/>
      <w:marLeft w:val="0"/>
      <w:marRight w:val="0"/>
      <w:marTop w:val="0"/>
      <w:marBottom w:val="0"/>
      <w:divBdr>
        <w:top w:val="none" w:sz="0" w:space="0" w:color="auto"/>
        <w:left w:val="none" w:sz="0" w:space="0" w:color="auto"/>
        <w:bottom w:val="none" w:sz="0" w:space="0" w:color="auto"/>
        <w:right w:val="none" w:sz="0" w:space="0" w:color="auto"/>
      </w:divBdr>
    </w:div>
    <w:div w:id="733554141">
      <w:bodyDiv w:val="1"/>
      <w:marLeft w:val="0"/>
      <w:marRight w:val="0"/>
      <w:marTop w:val="0"/>
      <w:marBottom w:val="0"/>
      <w:divBdr>
        <w:top w:val="none" w:sz="0" w:space="0" w:color="auto"/>
        <w:left w:val="none" w:sz="0" w:space="0" w:color="auto"/>
        <w:bottom w:val="none" w:sz="0" w:space="0" w:color="auto"/>
        <w:right w:val="none" w:sz="0" w:space="0" w:color="auto"/>
      </w:divBdr>
    </w:div>
    <w:div w:id="815755281">
      <w:bodyDiv w:val="1"/>
      <w:marLeft w:val="0"/>
      <w:marRight w:val="0"/>
      <w:marTop w:val="0"/>
      <w:marBottom w:val="0"/>
      <w:divBdr>
        <w:top w:val="none" w:sz="0" w:space="0" w:color="auto"/>
        <w:left w:val="none" w:sz="0" w:space="0" w:color="auto"/>
        <w:bottom w:val="none" w:sz="0" w:space="0" w:color="auto"/>
        <w:right w:val="none" w:sz="0" w:space="0" w:color="auto"/>
      </w:divBdr>
    </w:div>
    <w:div w:id="850949379">
      <w:bodyDiv w:val="1"/>
      <w:marLeft w:val="0"/>
      <w:marRight w:val="0"/>
      <w:marTop w:val="0"/>
      <w:marBottom w:val="0"/>
      <w:divBdr>
        <w:top w:val="none" w:sz="0" w:space="0" w:color="auto"/>
        <w:left w:val="none" w:sz="0" w:space="0" w:color="auto"/>
        <w:bottom w:val="none" w:sz="0" w:space="0" w:color="auto"/>
        <w:right w:val="none" w:sz="0" w:space="0" w:color="auto"/>
      </w:divBdr>
    </w:div>
    <w:div w:id="854612763">
      <w:bodyDiv w:val="1"/>
      <w:marLeft w:val="0"/>
      <w:marRight w:val="0"/>
      <w:marTop w:val="0"/>
      <w:marBottom w:val="0"/>
      <w:divBdr>
        <w:top w:val="none" w:sz="0" w:space="0" w:color="auto"/>
        <w:left w:val="none" w:sz="0" w:space="0" w:color="auto"/>
        <w:bottom w:val="none" w:sz="0" w:space="0" w:color="auto"/>
        <w:right w:val="none" w:sz="0" w:space="0" w:color="auto"/>
      </w:divBdr>
    </w:div>
    <w:div w:id="873614060">
      <w:bodyDiv w:val="1"/>
      <w:marLeft w:val="0"/>
      <w:marRight w:val="0"/>
      <w:marTop w:val="0"/>
      <w:marBottom w:val="0"/>
      <w:divBdr>
        <w:top w:val="none" w:sz="0" w:space="0" w:color="auto"/>
        <w:left w:val="none" w:sz="0" w:space="0" w:color="auto"/>
        <w:bottom w:val="none" w:sz="0" w:space="0" w:color="auto"/>
        <w:right w:val="none" w:sz="0" w:space="0" w:color="auto"/>
      </w:divBdr>
    </w:div>
    <w:div w:id="877818187">
      <w:bodyDiv w:val="1"/>
      <w:marLeft w:val="0"/>
      <w:marRight w:val="0"/>
      <w:marTop w:val="0"/>
      <w:marBottom w:val="0"/>
      <w:divBdr>
        <w:top w:val="none" w:sz="0" w:space="0" w:color="auto"/>
        <w:left w:val="none" w:sz="0" w:space="0" w:color="auto"/>
        <w:bottom w:val="none" w:sz="0" w:space="0" w:color="auto"/>
        <w:right w:val="none" w:sz="0" w:space="0" w:color="auto"/>
      </w:divBdr>
    </w:div>
    <w:div w:id="883716246">
      <w:bodyDiv w:val="1"/>
      <w:marLeft w:val="0"/>
      <w:marRight w:val="0"/>
      <w:marTop w:val="0"/>
      <w:marBottom w:val="0"/>
      <w:divBdr>
        <w:top w:val="none" w:sz="0" w:space="0" w:color="auto"/>
        <w:left w:val="none" w:sz="0" w:space="0" w:color="auto"/>
        <w:bottom w:val="none" w:sz="0" w:space="0" w:color="auto"/>
        <w:right w:val="none" w:sz="0" w:space="0" w:color="auto"/>
      </w:divBdr>
    </w:div>
    <w:div w:id="893082509">
      <w:bodyDiv w:val="1"/>
      <w:marLeft w:val="0"/>
      <w:marRight w:val="0"/>
      <w:marTop w:val="0"/>
      <w:marBottom w:val="0"/>
      <w:divBdr>
        <w:top w:val="none" w:sz="0" w:space="0" w:color="auto"/>
        <w:left w:val="none" w:sz="0" w:space="0" w:color="auto"/>
        <w:bottom w:val="none" w:sz="0" w:space="0" w:color="auto"/>
        <w:right w:val="none" w:sz="0" w:space="0" w:color="auto"/>
      </w:divBdr>
    </w:div>
    <w:div w:id="895051929">
      <w:bodyDiv w:val="1"/>
      <w:marLeft w:val="0"/>
      <w:marRight w:val="0"/>
      <w:marTop w:val="0"/>
      <w:marBottom w:val="0"/>
      <w:divBdr>
        <w:top w:val="none" w:sz="0" w:space="0" w:color="auto"/>
        <w:left w:val="none" w:sz="0" w:space="0" w:color="auto"/>
        <w:bottom w:val="none" w:sz="0" w:space="0" w:color="auto"/>
        <w:right w:val="none" w:sz="0" w:space="0" w:color="auto"/>
      </w:divBdr>
      <w:divsChild>
        <w:div w:id="1924218806">
          <w:marLeft w:val="547"/>
          <w:marRight w:val="0"/>
          <w:marTop w:val="96"/>
          <w:marBottom w:val="0"/>
          <w:divBdr>
            <w:top w:val="none" w:sz="0" w:space="0" w:color="auto"/>
            <w:left w:val="none" w:sz="0" w:space="0" w:color="auto"/>
            <w:bottom w:val="none" w:sz="0" w:space="0" w:color="auto"/>
            <w:right w:val="none" w:sz="0" w:space="0" w:color="auto"/>
          </w:divBdr>
        </w:div>
      </w:divsChild>
    </w:div>
    <w:div w:id="912742429">
      <w:bodyDiv w:val="1"/>
      <w:marLeft w:val="0"/>
      <w:marRight w:val="0"/>
      <w:marTop w:val="0"/>
      <w:marBottom w:val="0"/>
      <w:divBdr>
        <w:top w:val="none" w:sz="0" w:space="0" w:color="auto"/>
        <w:left w:val="none" w:sz="0" w:space="0" w:color="auto"/>
        <w:bottom w:val="none" w:sz="0" w:space="0" w:color="auto"/>
        <w:right w:val="none" w:sz="0" w:space="0" w:color="auto"/>
      </w:divBdr>
    </w:div>
    <w:div w:id="921065123">
      <w:bodyDiv w:val="1"/>
      <w:marLeft w:val="0"/>
      <w:marRight w:val="0"/>
      <w:marTop w:val="0"/>
      <w:marBottom w:val="0"/>
      <w:divBdr>
        <w:top w:val="none" w:sz="0" w:space="0" w:color="auto"/>
        <w:left w:val="none" w:sz="0" w:space="0" w:color="auto"/>
        <w:bottom w:val="none" w:sz="0" w:space="0" w:color="auto"/>
        <w:right w:val="none" w:sz="0" w:space="0" w:color="auto"/>
      </w:divBdr>
    </w:div>
    <w:div w:id="944847599">
      <w:bodyDiv w:val="1"/>
      <w:marLeft w:val="0"/>
      <w:marRight w:val="0"/>
      <w:marTop w:val="0"/>
      <w:marBottom w:val="0"/>
      <w:divBdr>
        <w:top w:val="none" w:sz="0" w:space="0" w:color="auto"/>
        <w:left w:val="none" w:sz="0" w:space="0" w:color="auto"/>
        <w:bottom w:val="none" w:sz="0" w:space="0" w:color="auto"/>
        <w:right w:val="none" w:sz="0" w:space="0" w:color="auto"/>
      </w:divBdr>
    </w:div>
    <w:div w:id="974605149">
      <w:bodyDiv w:val="1"/>
      <w:marLeft w:val="0"/>
      <w:marRight w:val="0"/>
      <w:marTop w:val="0"/>
      <w:marBottom w:val="0"/>
      <w:divBdr>
        <w:top w:val="none" w:sz="0" w:space="0" w:color="auto"/>
        <w:left w:val="none" w:sz="0" w:space="0" w:color="auto"/>
        <w:bottom w:val="none" w:sz="0" w:space="0" w:color="auto"/>
        <w:right w:val="none" w:sz="0" w:space="0" w:color="auto"/>
      </w:divBdr>
    </w:div>
    <w:div w:id="976447681">
      <w:bodyDiv w:val="1"/>
      <w:marLeft w:val="0"/>
      <w:marRight w:val="0"/>
      <w:marTop w:val="0"/>
      <w:marBottom w:val="0"/>
      <w:divBdr>
        <w:top w:val="none" w:sz="0" w:space="0" w:color="auto"/>
        <w:left w:val="none" w:sz="0" w:space="0" w:color="auto"/>
        <w:bottom w:val="none" w:sz="0" w:space="0" w:color="auto"/>
        <w:right w:val="none" w:sz="0" w:space="0" w:color="auto"/>
      </w:divBdr>
    </w:div>
    <w:div w:id="996688657">
      <w:bodyDiv w:val="1"/>
      <w:marLeft w:val="0"/>
      <w:marRight w:val="0"/>
      <w:marTop w:val="0"/>
      <w:marBottom w:val="0"/>
      <w:divBdr>
        <w:top w:val="none" w:sz="0" w:space="0" w:color="auto"/>
        <w:left w:val="none" w:sz="0" w:space="0" w:color="auto"/>
        <w:bottom w:val="none" w:sz="0" w:space="0" w:color="auto"/>
        <w:right w:val="none" w:sz="0" w:space="0" w:color="auto"/>
      </w:divBdr>
    </w:div>
    <w:div w:id="1019160309">
      <w:bodyDiv w:val="1"/>
      <w:marLeft w:val="0"/>
      <w:marRight w:val="0"/>
      <w:marTop w:val="0"/>
      <w:marBottom w:val="0"/>
      <w:divBdr>
        <w:top w:val="none" w:sz="0" w:space="0" w:color="auto"/>
        <w:left w:val="none" w:sz="0" w:space="0" w:color="auto"/>
        <w:bottom w:val="none" w:sz="0" w:space="0" w:color="auto"/>
        <w:right w:val="none" w:sz="0" w:space="0" w:color="auto"/>
      </w:divBdr>
    </w:div>
    <w:div w:id="1076704787">
      <w:bodyDiv w:val="1"/>
      <w:marLeft w:val="0"/>
      <w:marRight w:val="0"/>
      <w:marTop w:val="0"/>
      <w:marBottom w:val="0"/>
      <w:divBdr>
        <w:top w:val="none" w:sz="0" w:space="0" w:color="auto"/>
        <w:left w:val="none" w:sz="0" w:space="0" w:color="auto"/>
        <w:bottom w:val="none" w:sz="0" w:space="0" w:color="auto"/>
        <w:right w:val="none" w:sz="0" w:space="0" w:color="auto"/>
      </w:divBdr>
    </w:div>
    <w:div w:id="1115448293">
      <w:bodyDiv w:val="1"/>
      <w:marLeft w:val="0"/>
      <w:marRight w:val="0"/>
      <w:marTop w:val="0"/>
      <w:marBottom w:val="0"/>
      <w:divBdr>
        <w:top w:val="none" w:sz="0" w:space="0" w:color="auto"/>
        <w:left w:val="none" w:sz="0" w:space="0" w:color="auto"/>
        <w:bottom w:val="none" w:sz="0" w:space="0" w:color="auto"/>
        <w:right w:val="none" w:sz="0" w:space="0" w:color="auto"/>
      </w:divBdr>
    </w:div>
    <w:div w:id="1117408241">
      <w:bodyDiv w:val="1"/>
      <w:marLeft w:val="0"/>
      <w:marRight w:val="0"/>
      <w:marTop w:val="0"/>
      <w:marBottom w:val="0"/>
      <w:divBdr>
        <w:top w:val="none" w:sz="0" w:space="0" w:color="auto"/>
        <w:left w:val="none" w:sz="0" w:space="0" w:color="auto"/>
        <w:bottom w:val="none" w:sz="0" w:space="0" w:color="auto"/>
        <w:right w:val="none" w:sz="0" w:space="0" w:color="auto"/>
      </w:divBdr>
    </w:div>
    <w:div w:id="1140272256">
      <w:bodyDiv w:val="1"/>
      <w:marLeft w:val="0"/>
      <w:marRight w:val="0"/>
      <w:marTop w:val="0"/>
      <w:marBottom w:val="0"/>
      <w:divBdr>
        <w:top w:val="none" w:sz="0" w:space="0" w:color="auto"/>
        <w:left w:val="none" w:sz="0" w:space="0" w:color="auto"/>
        <w:bottom w:val="none" w:sz="0" w:space="0" w:color="auto"/>
        <w:right w:val="none" w:sz="0" w:space="0" w:color="auto"/>
      </w:divBdr>
    </w:div>
    <w:div w:id="1146821201">
      <w:bodyDiv w:val="1"/>
      <w:marLeft w:val="0"/>
      <w:marRight w:val="0"/>
      <w:marTop w:val="0"/>
      <w:marBottom w:val="0"/>
      <w:divBdr>
        <w:top w:val="none" w:sz="0" w:space="0" w:color="auto"/>
        <w:left w:val="none" w:sz="0" w:space="0" w:color="auto"/>
        <w:bottom w:val="none" w:sz="0" w:space="0" w:color="auto"/>
        <w:right w:val="none" w:sz="0" w:space="0" w:color="auto"/>
      </w:divBdr>
    </w:div>
    <w:div w:id="1171220333">
      <w:bodyDiv w:val="1"/>
      <w:marLeft w:val="0"/>
      <w:marRight w:val="0"/>
      <w:marTop w:val="0"/>
      <w:marBottom w:val="0"/>
      <w:divBdr>
        <w:top w:val="none" w:sz="0" w:space="0" w:color="auto"/>
        <w:left w:val="none" w:sz="0" w:space="0" w:color="auto"/>
        <w:bottom w:val="none" w:sz="0" w:space="0" w:color="auto"/>
        <w:right w:val="none" w:sz="0" w:space="0" w:color="auto"/>
      </w:divBdr>
    </w:div>
    <w:div w:id="1191458007">
      <w:bodyDiv w:val="1"/>
      <w:marLeft w:val="0"/>
      <w:marRight w:val="0"/>
      <w:marTop w:val="0"/>
      <w:marBottom w:val="0"/>
      <w:divBdr>
        <w:top w:val="none" w:sz="0" w:space="0" w:color="auto"/>
        <w:left w:val="none" w:sz="0" w:space="0" w:color="auto"/>
        <w:bottom w:val="none" w:sz="0" w:space="0" w:color="auto"/>
        <w:right w:val="none" w:sz="0" w:space="0" w:color="auto"/>
      </w:divBdr>
    </w:div>
    <w:div w:id="1224098787">
      <w:bodyDiv w:val="1"/>
      <w:marLeft w:val="0"/>
      <w:marRight w:val="0"/>
      <w:marTop w:val="0"/>
      <w:marBottom w:val="0"/>
      <w:divBdr>
        <w:top w:val="none" w:sz="0" w:space="0" w:color="auto"/>
        <w:left w:val="none" w:sz="0" w:space="0" w:color="auto"/>
        <w:bottom w:val="none" w:sz="0" w:space="0" w:color="auto"/>
        <w:right w:val="none" w:sz="0" w:space="0" w:color="auto"/>
      </w:divBdr>
    </w:div>
    <w:div w:id="1229151570">
      <w:bodyDiv w:val="1"/>
      <w:marLeft w:val="0"/>
      <w:marRight w:val="0"/>
      <w:marTop w:val="0"/>
      <w:marBottom w:val="0"/>
      <w:divBdr>
        <w:top w:val="none" w:sz="0" w:space="0" w:color="auto"/>
        <w:left w:val="none" w:sz="0" w:space="0" w:color="auto"/>
        <w:bottom w:val="none" w:sz="0" w:space="0" w:color="auto"/>
        <w:right w:val="none" w:sz="0" w:space="0" w:color="auto"/>
      </w:divBdr>
    </w:div>
    <w:div w:id="1236865773">
      <w:bodyDiv w:val="1"/>
      <w:marLeft w:val="0"/>
      <w:marRight w:val="0"/>
      <w:marTop w:val="0"/>
      <w:marBottom w:val="0"/>
      <w:divBdr>
        <w:top w:val="none" w:sz="0" w:space="0" w:color="auto"/>
        <w:left w:val="none" w:sz="0" w:space="0" w:color="auto"/>
        <w:bottom w:val="none" w:sz="0" w:space="0" w:color="auto"/>
        <w:right w:val="none" w:sz="0" w:space="0" w:color="auto"/>
      </w:divBdr>
    </w:div>
    <w:div w:id="1244218186">
      <w:bodyDiv w:val="1"/>
      <w:marLeft w:val="0"/>
      <w:marRight w:val="0"/>
      <w:marTop w:val="0"/>
      <w:marBottom w:val="0"/>
      <w:divBdr>
        <w:top w:val="none" w:sz="0" w:space="0" w:color="auto"/>
        <w:left w:val="none" w:sz="0" w:space="0" w:color="auto"/>
        <w:bottom w:val="none" w:sz="0" w:space="0" w:color="auto"/>
        <w:right w:val="none" w:sz="0" w:space="0" w:color="auto"/>
      </w:divBdr>
    </w:div>
    <w:div w:id="1256019463">
      <w:bodyDiv w:val="1"/>
      <w:marLeft w:val="0"/>
      <w:marRight w:val="0"/>
      <w:marTop w:val="0"/>
      <w:marBottom w:val="0"/>
      <w:divBdr>
        <w:top w:val="none" w:sz="0" w:space="0" w:color="auto"/>
        <w:left w:val="none" w:sz="0" w:space="0" w:color="auto"/>
        <w:bottom w:val="none" w:sz="0" w:space="0" w:color="auto"/>
        <w:right w:val="none" w:sz="0" w:space="0" w:color="auto"/>
      </w:divBdr>
    </w:div>
    <w:div w:id="1257448350">
      <w:bodyDiv w:val="1"/>
      <w:marLeft w:val="0"/>
      <w:marRight w:val="0"/>
      <w:marTop w:val="0"/>
      <w:marBottom w:val="0"/>
      <w:divBdr>
        <w:top w:val="none" w:sz="0" w:space="0" w:color="auto"/>
        <w:left w:val="none" w:sz="0" w:space="0" w:color="auto"/>
        <w:bottom w:val="none" w:sz="0" w:space="0" w:color="auto"/>
        <w:right w:val="none" w:sz="0" w:space="0" w:color="auto"/>
      </w:divBdr>
    </w:div>
    <w:div w:id="1260408255">
      <w:bodyDiv w:val="1"/>
      <w:marLeft w:val="0"/>
      <w:marRight w:val="0"/>
      <w:marTop w:val="0"/>
      <w:marBottom w:val="0"/>
      <w:divBdr>
        <w:top w:val="none" w:sz="0" w:space="0" w:color="auto"/>
        <w:left w:val="none" w:sz="0" w:space="0" w:color="auto"/>
        <w:bottom w:val="none" w:sz="0" w:space="0" w:color="auto"/>
        <w:right w:val="none" w:sz="0" w:space="0" w:color="auto"/>
      </w:divBdr>
    </w:div>
    <w:div w:id="1261797108">
      <w:bodyDiv w:val="1"/>
      <w:marLeft w:val="0"/>
      <w:marRight w:val="0"/>
      <w:marTop w:val="0"/>
      <w:marBottom w:val="0"/>
      <w:divBdr>
        <w:top w:val="none" w:sz="0" w:space="0" w:color="auto"/>
        <w:left w:val="none" w:sz="0" w:space="0" w:color="auto"/>
        <w:bottom w:val="none" w:sz="0" w:space="0" w:color="auto"/>
        <w:right w:val="none" w:sz="0" w:space="0" w:color="auto"/>
      </w:divBdr>
    </w:div>
    <w:div w:id="1269849576">
      <w:bodyDiv w:val="1"/>
      <w:marLeft w:val="0"/>
      <w:marRight w:val="0"/>
      <w:marTop w:val="0"/>
      <w:marBottom w:val="0"/>
      <w:divBdr>
        <w:top w:val="none" w:sz="0" w:space="0" w:color="auto"/>
        <w:left w:val="none" w:sz="0" w:space="0" w:color="auto"/>
        <w:bottom w:val="none" w:sz="0" w:space="0" w:color="auto"/>
        <w:right w:val="none" w:sz="0" w:space="0" w:color="auto"/>
      </w:divBdr>
    </w:div>
    <w:div w:id="1275331743">
      <w:bodyDiv w:val="1"/>
      <w:marLeft w:val="0"/>
      <w:marRight w:val="0"/>
      <w:marTop w:val="0"/>
      <w:marBottom w:val="0"/>
      <w:divBdr>
        <w:top w:val="none" w:sz="0" w:space="0" w:color="auto"/>
        <w:left w:val="none" w:sz="0" w:space="0" w:color="auto"/>
        <w:bottom w:val="none" w:sz="0" w:space="0" w:color="auto"/>
        <w:right w:val="none" w:sz="0" w:space="0" w:color="auto"/>
      </w:divBdr>
    </w:div>
    <w:div w:id="1285310076">
      <w:bodyDiv w:val="1"/>
      <w:marLeft w:val="0"/>
      <w:marRight w:val="0"/>
      <w:marTop w:val="0"/>
      <w:marBottom w:val="0"/>
      <w:divBdr>
        <w:top w:val="none" w:sz="0" w:space="0" w:color="auto"/>
        <w:left w:val="none" w:sz="0" w:space="0" w:color="auto"/>
        <w:bottom w:val="none" w:sz="0" w:space="0" w:color="auto"/>
        <w:right w:val="none" w:sz="0" w:space="0" w:color="auto"/>
      </w:divBdr>
    </w:div>
    <w:div w:id="1291789928">
      <w:bodyDiv w:val="1"/>
      <w:marLeft w:val="0"/>
      <w:marRight w:val="0"/>
      <w:marTop w:val="0"/>
      <w:marBottom w:val="0"/>
      <w:divBdr>
        <w:top w:val="none" w:sz="0" w:space="0" w:color="auto"/>
        <w:left w:val="none" w:sz="0" w:space="0" w:color="auto"/>
        <w:bottom w:val="none" w:sz="0" w:space="0" w:color="auto"/>
        <w:right w:val="none" w:sz="0" w:space="0" w:color="auto"/>
      </w:divBdr>
    </w:div>
    <w:div w:id="1309745875">
      <w:bodyDiv w:val="1"/>
      <w:marLeft w:val="0"/>
      <w:marRight w:val="0"/>
      <w:marTop w:val="0"/>
      <w:marBottom w:val="0"/>
      <w:divBdr>
        <w:top w:val="none" w:sz="0" w:space="0" w:color="auto"/>
        <w:left w:val="none" w:sz="0" w:space="0" w:color="auto"/>
        <w:bottom w:val="none" w:sz="0" w:space="0" w:color="auto"/>
        <w:right w:val="none" w:sz="0" w:space="0" w:color="auto"/>
      </w:divBdr>
    </w:div>
    <w:div w:id="1320118329">
      <w:bodyDiv w:val="1"/>
      <w:marLeft w:val="0"/>
      <w:marRight w:val="0"/>
      <w:marTop w:val="0"/>
      <w:marBottom w:val="0"/>
      <w:divBdr>
        <w:top w:val="none" w:sz="0" w:space="0" w:color="auto"/>
        <w:left w:val="none" w:sz="0" w:space="0" w:color="auto"/>
        <w:bottom w:val="none" w:sz="0" w:space="0" w:color="auto"/>
        <w:right w:val="none" w:sz="0" w:space="0" w:color="auto"/>
      </w:divBdr>
    </w:div>
    <w:div w:id="1338461236">
      <w:bodyDiv w:val="1"/>
      <w:marLeft w:val="0"/>
      <w:marRight w:val="0"/>
      <w:marTop w:val="0"/>
      <w:marBottom w:val="0"/>
      <w:divBdr>
        <w:top w:val="none" w:sz="0" w:space="0" w:color="auto"/>
        <w:left w:val="none" w:sz="0" w:space="0" w:color="auto"/>
        <w:bottom w:val="none" w:sz="0" w:space="0" w:color="auto"/>
        <w:right w:val="none" w:sz="0" w:space="0" w:color="auto"/>
      </w:divBdr>
    </w:div>
    <w:div w:id="1339045467">
      <w:bodyDiv w:val="1"/>
      <w:marLeft w:val="0"/>
      <w:marRight w:val="0"/>
      <w:marTop w:val="0"/>
      <w:marBottom w:val="0"/>
      <w:divBdr>
        <w:top w:val="none" w:sz="0" w:space="0" w:color="auto"/>
        <w:left w:val="none" w:sz="0" w:space="0" w:color="auto"/>
        <w:bottom w:val="none" w:sz="0" w:space="0" w:color="auto"/>
        <w:right w:val="none" w:sz="0" w:space="0" w:color="auto"/>
      </w:divBdr>
    </w:div>
    <w:div w:id="1411778870">
      <w:bodyDiv w:val="1"/>
      <w:marLeft w:val="0"/>
      <w:marRight w:val="0"/>
      <w:marTop w:val="0"/>
      <w:marBottom w:val="0"/>
      <w:divBdr>
        <w:top w:val="none" w:sz="0" w:space="0" w:color="auto"/>
        <w:left w:val="none" w:sz="0" w:space="0" w:color="auto"/>
        <w:bottom w:val="none" w:sz="0" w:space="0" w:color="auto"/>
        <w:right w:val="none" w:sz="0" w:space="0" w:color="auto"/>
      </w:divBdr>
    </w:div>
    <w:div w:id="1423407664">
      <w:bodyDiv w:val="1"/>
      <w:marLeft w:val="0"/>
      <w:marRight w:val="0"/>
      <w:marTop w:val="0"/>
      <w:marBottom w:val="0"/>
      <w:divBdr>
        <w:top w:val="none" w:sz="0" w:space="0" w:color="auto"/>
        <w:left w:val="none" w:sz="0" w:space="0" w:color="auto"/>
        <w:bottom w:val="none" w:sz="0" w:space="0" w:color="auto"/>
        <w:right w:val="none" w:sz="0" w:space="0" w:color="auto"/>
      </w:divBdr>
    </w:div>
    <w:div w:id="1443648755">
      <w:bodyDiv w:val="1"/>
      <w:marLeft w:val="0"/>
      <w:marRight w:val="0"/>
      <w:marTop w:val="0"/>
      <w:marBottom w:val="0"/>
      <w:divBdr>
        <w:top w:val="none" w:sz="0" w:space="0" w:color="auto"/>
        <w:left w:val="none" w:sz="0" w:space="0" w:color="auto"/>
        <w:bottom w:val="none" w:sz="0" w:space="0" w:color="auto"/>
        <w:right w:val="none" w:sz="0" w:space="0" w:color="auto"/>
      </w:divBdr>
    </w:div>
    <w:div w:id="1446995807">
      <w:bodyDiv w:val="1"/>
      <w:marLeft w:val="0"/>
      <w:marRight w:val="0"/>
      <w:marTop w:val="0"/>
      <w:marBottom w:val="0"/>
      <w:divBdr>
        <w:top w:val="none" w:sz="0" w:space="0" w:color="auto"/>
        <w:left w:val="none" w:sz="0" w:space="0" w:color="auto"/>
        <w:bottom w:val="none" w:sz="0" w:space="0" w:color="auto"/>
        <w:right w:val="none" w:sz="0" w:space="0" w:color="auto"/>
      </w:divBdr>
    </w:div>
    <w:div w:id="1454251950">
      <w:bodyDiv w:val="1"/>
      <w:marLeft w:val="0"/>
      <w:marRight w:val="0"/>
      <w:marTop w:val="0"/>
      <w:marBottom w:val="0"/>
      <w:divBdr>
        <w:top w:val="none" w:sz="0" w:space="0" w:color="auto"/>
        <w:left w:val="none" w:sz="0" w:space="0" w:color="auto"/>
        <w:bottom w:val="none" w:sz="0" w:space="0" w:color="auto"/>
        <w:right w:val="none" w:sz="0" w:space="0" w:color="auto"/>
      </w:divBdr>
    </w:div>
    <w:div w:id="1463307564">
      <w:bodyDiv w:val="1"/>
      <w:marLeft w:val="0"/>
      <w:marRight w:val="0"/>
      <w:marTop w:val="0"/>
      <w:marBottom w:val="0"/>
      <w:divBdr>
        <w:top w:val="none" w:sz="0" w:space="0" w:color="auto"/>
        <w:left w:val="none" w:sz="0" w:space="0" w:color="auto"/>
        <w:bottom w:val="none" w:sz="0" w:space="0" w:color="auto"/>
        <w:right w:val="none" w:sz="0" w:space="0" w:color="auto"/>
      </w:divBdr>
    </w:div>
    <w:div w:id="1590624353">
      <w:bodyDiv w:val="1"/>
      <w:marLeft w:val="0"/>
      <w:marRight w:val="0"/>
      <w:marTop w:val="0"/>
      <w:marBottom w:val="0"/>
      <w:divBdr>
        <w:top w:val="none" w:sz="0" w:space="0" w:color="auto"/>
        <w:left w:val="none" w:sz="0" w:space="0" w:color="auto"/>
        <w:bottom w:val="none" w:sz="0" w:space="0" w:color="auto"/>
        <w:right w:val="none" w:sz="0" w:space="0" w:color="auto"/>
      </w:divBdr>
    </w:div>
    <w:div w:id="1596087102">
      <w:bodyDiv w:val="1"/>
      <w:marLeft w:val="0"/>
      <w:marRight w:val="0"/>
      <w:marTop w:val="0"/>
      <w:marBottom w:val="0"/>
      <w:divBdr>
        <w:top w:val="none" w:sz="0" w:space="0" w:color="auto"/>
        <w:left w:val="none" w:sz="0" w:space="0" w:color="auto"/>
        <w:bottom w:val="none" w:sz="0" w:space="0" w:color="auto"/>
        <w:right w:val="none" w:sz="0" w:space="0" w:color="auto"/>
      </w:divBdr>
    </w:div>
    <w:div w:id="1606306867">
      <w:bodyDiv w:val="1"/>
      <w:marLeft w:val="0"/>
      <w:marRight w:val="0"/>
      <w:marTop w:val="0"/>
      <w:marBottom w:val="0"/>
      <w:divBdr>
        <w:top w:val="none" w:sz="0" w:space="0" w:color="auto"/>
        <w:left w:val="none" w:sz="0" w:space="0" w:color="auto"/>
        <w:bottom w:val="none" w:sz="0" w:space="0" w:color="auto"/>
        <w:right w:val="none" w:sz="0" w:space="0" w:color="auto"/>
      </w:divBdr>
    </w:div>
    <w:div w:id="1656181121">
      <w:bodyDiv w:val="1"/>
      <w:marLeft w:val="0"/>
      <w:marRight w:val="0"/>
      <w:marTop w:val="0"/>
      <w:marBottom w:val="0"/>
      <w:divBdr>
        <w:top w:val="none" w:sz="0" w:space="0" w:color="auto"/>
        <w:left w:val="none" w:sz="0" w:space="0" w:color="auto"/>
        <w:bottom w:val="none" w:sz="0" w:space="0" w:color="auto"/>
        <w:right w:val="none" w:sz="0" w:space="0" w:color="auto"/>
      </w:divBdr>
    </w:div>
    <w:div w:id="1659113082">
      <w:bodyDiv w:val="1"/>
      <w:marLeft w:val="0"/>
      <w:marRight w:val="0"/>
      <w:marTop w:val="0"/>
      <w:marBottom w:val="0"/>
      <w:divBdr>
        <w:top w:val="none" w:sz="0" w:space="0" w:color="auto"/>
        <w:left w:val="none" w:sz="0" w:space="0" w:color="auto"/>
        <w:bottom w:val="none" w:sz="0" w:space="0" w:color="auto"/>
        <w:right w:val="none" w:sz="0" w:space="0" w:color="auto"/>
      </w:divBdr>
    </w:div>
    <w:div w:id="1677538021">
      <w:bodyDiv w:val="1"/>
      <w:marLeft w:val="0"/>
      <w:marRight w:val="0"/>
      <w:marTop w:val="0"/>
      <w:marBottom w:val="0"/>
      <w:divBdr>
        <w:top w:val="none" w:sz="0" w:space="0" w:color="auto"/>
        <w:left w:val="none" w:sz="0" w:space="0" w:color="auto"/>
        <w:bottom w:val="none" w:sz="0" w:space="0" w:color="auto"/>
        <w:right w:val="none" w:sz="0" w:space="0" w:color="auto"/>
      </w:divBdr>
    </w:div>
    <w:div w:id="1788818186">
      <w:bodyDiv w:val="1"/>
      <w:marLeft w:val="0"/>
      <w:marRight w:val="0"/>
      <w:marTop w:val="0"/>
      <w:marBottom w:val="0"/>
      <w:divBdr>
        <w:top w:val="none" w:sz="0" w:space="0" w:color="auto"/>
        <w:left w:val="none" w:sz="0" w:space="0" w:color="auto"/>
        <w:bottom w:val="none" w:sz="0" w:space="0" w:color="auto"/>
        <w:right w:val="none" w:sz="0" w:space="0" w:color="auto"/>
      </w:divBdr>
    </w:div>
    <w:div w:id="1812365276">
      <w:bodyDiv w:val="1"/>
      <w:marLeft w:val="0"/>
      <w:marRight w:val="0"/>
      <w:marTop w:val="0"/>
      <w:marBottom w:val="0"/>
      <w:divBdr>
        <w:top w:val="none" w:sz="0" w:space="0" w:color="auto"/>
        <w:left w:val="none" w:sz="0" w:space="0" w:color="auto"/>
        <w:bottom w:val="none" w:sz="0" w:space="0" w:color="auto"/>
        <w:right w:val="none" w:sz="0" w:space="0" w:color="auto"/>
      </w:divBdr>
    </w:div>
    <w:div w:id="1821579227">
      <w:bodyDiv w:val="1"/>
      <w:marLeft w:val="0"/>
      <w:marRight w:val="0"/>
      <w:marTop w:val="0"/>
      <w:marBottom w:val="0"/>
      <w:divBdr>
        <w:top w:val="none" w:sz="0" w:space="0" w:color="auto"/>
        <w:left w:val="none" w:sz="0" w:space="0" w:color="auto"/>
        <w:bottom w:val="none" w:sz="0" w:space="0" w:color="auto"/>
        <w:right w:val="none" w:sz="0" w:space="0" w:color="auto"/>
      </w:divBdr>
    </w:div>
    <w:div w:id="1825900015">
      <w:bodyDiv w:val="1"/>
      <w:marLeft w:val="0"/>
      <w:marRight w:val="0"/>
      <w:marTop w:val="0"/>
      <w:marBottom w:val="0"/>
      <w:divBdr>
        <w:top w:val="none" w:sz="0" w:space="0" w:color="auto"/>
        <w:left w:val="none" w:sz="0" w:space="0" w:color="auto"/>
        <w:bottom w:val="none" w:sz="0" w:space="0" w:color="auto"/>
        <w:right w:val="none" w:sz="0" w:space="0" w:color="auto"/>
      </w:divBdr>
    </w:div>
    <w:div w:id="1839031648">
      <w:bodyDiv w:val="1"/>
      <w:marLeft w:val="0"/>
      <w:marRight w:val="0"/>
      <w:marTop w:val="0"/>
      <w:marBottom w:val="0"/>
      <w:divBdr>
        <w:top w:val="none" w:sz="0" w:space="0" w:color="auto"/>
        <w:left w:val="none" w:sz="0" w:space="0" w:color="auto"/>
        <w:bottom w:val="none" w:sz="0" w:space="0" w:color="auto"/>
        <w:right w:val="none" w:sz="0" w:space="0" w:color="auto"/>
      </w:divBdr>
    </w:div>
    <w:div w:id="1872720001">
      <w:bodyDiv w:val="1"/>
      <w:marLeft w:val="0"/>
      <w:marRight w:val="0"/>
      <w:marTop w:val="0"/>
      <w:marBottom w:val="0"/>
      <w:divBdr>
        <w:top w:val="none" w:sz="0" w:space="0" w:color="auto"/>
        <w:left w:val="none" w:sz="0" w:space="0" w:color="auto"/>
        <w:bottom w:val="none" w:sz="0" w:space="0" w:color="auto"/>
        <w:right w:val="none" w:sz="0" w:space="0" w:color="auto"/>
      </w:divBdr>
    </w:div>
    <w:div w:id="1877547360">
      <w:bodyDiv w:val="1"/>
      <w:marLeft w:val="0"/>
      <w:marRight w:val="0"/>
      <w:marTop w:val="0"/>
      <w:marBottom w:val="0"/>
      <w:divBdr>
        <w:top w:val="none" w:sz="0" w:space="0" w:color="auto"/>
        <w:left w:val="none" w:sz="0" w:space="0" w:color="auto"/>
        <w:bottom w:val="none" w:sz="0" w:space="0" w:color="auto"/>
        <w:right w:val="none" w:sz="0" w:space="0" w:color="auto"/>
      </w:divBdr>
    </w:div>
    <w:div w:id="1889032779">
      <w:bodyDiv w:val="1"/>
      <w:marLeft w:val="0"/>
      <w:marRight w:val="0"/>
      <w:marTop w:val="0"/>
      <w:marBottom w:val="0"/>
      <w:divBdr>
        <w:top w:val="none" w:sz="0" w:space="0" w:color="auto"/>
        <w:left w:val="none" w:sz="0" w:space="0" w:color="auto"/>
        <w:bottom w:val="none" w:sz="0" w:space="0" w:color="auto"/>
        <w:right w:val="none" w:sz="0" w:space="0" w:color="auto"/>
      </w:divBdr>
    </w:div>
    <w:div w:id="1897084583">
      <w:bodyDiv w:val="1"/>
      <w:marLeft w:val="0"/>
      <w:marRight w:val="0"/>
      <w:marTop w:val="0"/>
      <w:marBottom w:val="0"/>
      <w:divBdr>
        <w:top w:val="none" w:sz="0" w:space="0" w:color="auto"/>
        <w:left w:val="none" w:sz="0" w:space="0" w:color="auto"/>
        <w:bottom w:val="none" w:sz="0" w:space="0" w:color="auto"/>
        <w:right w:val="none" w:sz="0" w:space="0" w:color="auto"/>
      </w:divBdr>
    </w:div>
    <w:div w:id="1948385904">
      <w:bodyDiv w:val="1"/>
      <w:marLeft w:val="0"/>
      <w:marRight w:val="0"/>
      <w:marTop w:val="0"/>
      <w:marBottom w:val="0"/>
      <w:divBdr>
        <w:top w:val="none" w:sz="0" w:space="0" w:color="auto"/>
        <w:left w:val="none" w:sz="0" w:space="0" w:color="auto"/>
        <w:bottom w:val="none" w:sz="0" w:space="0" w:color="auto"/>
        <w:right w:val="none" w:sz="0" w:space="0" w:color="auto"/>
      </w:divBdr>
    </w:div>
    <w:div w:id="1966886888">
      <w:bodyDiv w:val="1"/>
      <w:marLeft w:val="0"/>
      <w:marRight w:val="0"/>
      <w:marTop w:val="0"/>
      <w:marBottom w:val="0"/>
      <w:divBdr>
        <w:top w:val="none" w:sz="0" w:space="0" w:color="auto"/>
        <w:left w:val="none" w:sz="0" w:space="0" w:color="auto"/>
        <w:bottom w:val="none" w:sz="0" w:space="0" w:color="auto"/>
        <w:right w:val="none" w:sz="0" w:space="0" w:color="auto"/>
      </w:divBdr>
    </w:div>
    <w:div w:id="2010130949">
      <w:bodyDiv w:val="1"/>
      <w:marLeft w:val="0"/>
      <w:marRight w:val="0"/>
      <w:marTop w:val="0"/>
      <w:marBottom w:val="0"/>
      <w:divBdr>
        <w:top w:val="none" w:sz="0" w:space="0" w:color="auto"/>
        <w:left w:val="none" w:sz="0" w:space="0" w:color="auto"/>
        <w:bottom w:val="none" w:sz="0" w:space="0" w:color="auto"/>
        <w:right w:val="none" w:sz="0" w:space="0" w:color="auto"/>
      </w:divBdr>
    </w:div>
    <w:div w:id="2044671851">
      <w:bodyDiv w:val="1"/>
      <w:marLeft w:val="0"/>
      <w:marRight w:val="0"/>
      <w:marTop w:val="0"/>
      <w:marBottom w:val="0"/>
      <w:divBdr>
        <w:top w:val="none" w:sz="0" w:space="0" w:color="auto"/>
        <w:left w:val="none" w:sz="0" w:space="0" w:color="auto"/>
        <w:bottom w:val="none" w:sz="0" w:space="0" w:color="auto"/>
        <w:right w:val="none" w:sz="0" w:space="0" w:color="auto"/>
      </w:divBdr>
    </w:div>
    <w:div w:id="2068530871">
      <w:bodyDiv w:val="1"/>
      <w:marLeft w:val="0"/>
      <w:marRight w:val="0"/>
      <w:marTop w:val="0"/>
      <w:marBottom w:val="0"/>
      <w:divBdr>
        <w:top w:val="none" w:sz="0" w:space="0" w:color="auto"/>
        <w:left w:val="none" w:sz="0" w:space="0" w:color="auto"/>
        <w:bottom w:val="none" w:sz="0" w:space="0" w:color="auto"/>
        <w:right w:val="none" w:sz="0" w:space="0" w:color="auto"/>
      </w:divBdr>
    </w:div>
    <w:div w:id="2069499678">
      <w:bodyDiv w:val="1"/>
      <w:marLeft w:val="0"/>
      <w:marRight w:val="0"/>
      <w:marTop w:val="0"/>
      <w:marBottom w:val="0"/>
      <w:divBdr>
        <w:top w:val="none" w:sz="0" w:space="0" w:color="auto"/>
        <w:left w:val="none" w:sz="0" w:space="0" w:color="auto"/>
        <w:bottom w:val="none" w:sz="0" w:space="0" w:color="auto"/>
        <w:right w:val="none" w:sz="0" w:space="0" w:color="auto"/>
      </w:divBdr>
    </w:div>
    <w:div w:id="2095008379">
      <w:bodyDiv w:val="1"/>
      <w:marLeft w:val="0"/>
      <w:marRight w:val="0"/>
      <w:marTop w:val="0"/>
      <w:marBottom w:val="0"/>
      <w:divBdr>
        <w:top w:val="none" w:sz="0" w:space="0" w:color="auto"/>
        <w:left w:val="none" w:sz="0" w:space="0" w:color="auto"/>
        <w:bottom w:val="none" w:sz="0" w:space="0" w:color="auto"/>
        <w:right w:val="none" w:sz="0" w:space="0" w:color="auto"/>
      </w:divBdr>
    </w:div>
    <w:div w:id="2104757405">
      <w:bodyDiv w:val="1"/>
      <w:marLeft w:val="0"/>
      <w:marRight w:val="0"/>
      <w:marTop w:val="0"/>
      <w:marBottom w:val="0"/>
      <w:divBdr>
        <w:top w:val="none" w:sz="0" w:space="0" w:color="auto"/>
        <w:left w:val="none" w:sz="0" w:space="0" w:color="auto"/>
        <w:bottom w:val="none" w:sz="0" w:space="0" w:color="auto"/>
        <w:right w:val="none" w:sz="0" w:space="0" w:color="auto"/>
      </w:divBdr>
    </w:div>
    <w:div w:id="2118210892">
      <w:bodyDiv w:val="1"/>
      <w:marLeft w:val="0"/>
      <w:marRight w:val="0"/>
      <w:marTop w:val="0"/>
      <w:marBottom w:val="0"/>
      <w:divBdr>
        <w:top w:val="none" w:sz="0" w:space="0" w:color="auto"/>
        <w:left w:val="none" w:sz="0" w:space="0" w:color="auto"/>
        <w:bottom w:val="none" w:sz="0" w:space="0" w:color="auto"/>
        <w:right w:val="none" w:sz="0" w:space="0" w:color="auto"/>
      </w:divBdr>
    </w:div>
    <w:div w:id="2129932481">
      <w:bodyDiv w:val="1"/>
      <w:marLeft w:val="0"/>
      <w:marRight w:val="0"/>
      <w:marTop w:val="0"/>
      <w:marBottom w:val="0"/>
      <w:divBdr>
        <w:top w:val="none" w:sz="0" w:space="0" w:color="auto"/>
        <w:left w:val="none" w:sz="0" w:space="0" w:color="auto"/>
        <w:bottom w:val="none" w:sz="0" w:space="0" w:color="auto"/>
        <w:right w:val="none" w:sz="0" w:space="0" w:color="auto"/>
      </w:divBdr>
      <w:divsChild>
        <w:div w:id="367224115">
          <w:marLeft w:val="288"/>
          <w:marRight w:val="0"/>
          <w:marTop w:val="86"/>
          <w:marBottom w:val="0"/>
          <w:divBdr>
            <w:top w:val="none" w:sz="0" w:space="0" w:color="auto"/>
            <w:left w:val="none" w:sz="0" w:space="0" w:color="auto"/>
            <w:bottom w:val="none" w:sz="0" w:space="0" w:color="auto"/>
            <w:right w:val="none" w:sz="0" w:space="0" w:color="auto"/>
          </w:divBdr>
        </w:div>
      </w:divsChild>
    </w:div>
    <w:div w:id="213123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inicaltrials.gov/study/NCT02230176"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bs.gov.au/industry/listing/elements/pbac-meetings/psd/2013-08/sunitinib-psd-08-2013.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9.health.gov.au/mbs/fullDisplay.cfm?type=item&amp;q=61647&amp;qt=item&amp;criteria=61647" TargetMode="External"/><Relationship Id="rId17" Type="http://schemas.openxmlformats.org/officeDocument/2006/relationships/image" Target="media/image4.pn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sac.gov.au/" TargetMode="External"/><Relationship Id="rId24" Type="http://schemas.openxmlformats.org/officeDocument/2006/relationships/header" Target="header2.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msac.gov.au/internet/msac/publishing.nsf/Content/Home-1" TargetMode="External"/><Relationship Id="rId27" Type="http://schemas.openxmlformats.org/officeDocument/2006/relationships/header" Target="header3.xml"/><Relationship Id="rId30"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s://www.ema.europa.eu/en/medicines/human/EPAR/lutathera" TargetMode="External"/><Relationship Id="rId1" Type="http://schemas.openxmlformats.org/officeDocument/2006/relationships/hyperlink" Target="https://ascopubs.org/doi/10.1200/JCO.2021.39.15_suppl.e161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E4A37BE997BE34FBB7D5057D341D123" ma:contentTypeVersion="13" ma:contentTypeDescription="Create a new document." ma:contentTypeScope="" ma:versionID="3fe6a9a36f47368fc1700838102d75b8">
  <xsd:schema xmlns:xsd="http://www.w3.org/2001/XMLSchema" xmlns:xs="http://www.w3.org/2001/XMLSchema" xmlns:p="http://schemas.microsoft.com/office/2006/metadata/properties" xmlns:ns2="7513b557-581c-46d3-8cc7-77c65017dc6f" xmlns:ns3="e7d54a9e-4aca-451b-99db-b94fe438e987" targetNamespace="http://schemas.microsoft.com/office/2006/metadata/properties" ma:root="true" ma:fieldsID="1e7cf07b4405444414bd2c3ff46db4be" ns2:_="" ns3:_="">
    <xsd:import namespace="7513b557-581c-46d3-8cc7-77c65017dc6f"/>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3b557-581c-46d3-8cc7-77c65017dc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b094059-5103-4cd0-8820-a17a44f45f06}"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13b557-581c-46d3-8cc7-77c65017dc6f">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69252C99-277C-4274-9326-F388E7F14AA7}">
  <ds:schemaRefs>
    <ds:schemaRef ds:uri="http://schemas.microsoft.com/sharepoint/v3/contenttype/forms"/>
  </ds:schemaRefs>
</ds:datastoreItem>
</file>

<file path=customXml/itemProps2.xml><?xml version="1.0" encoding="utf-8"?>
<ds:datastoreItem xmlns:ds="http://schemas.openxmlformats.org/officeDocument/2006/customXml" ds:itemID="{AA2E83F6-1C39-4091-985A-21C7DD0F77FF}">
  <ds:schemaRefs>
    <ds:schemaRef ds:uri="http://schemas.openxmlformats.org/officeDocument/2006/bibliography"/>
  </ds:schemaRefs>
</ds:datastoreItem>
</file>

<file path=customXml/itemProps3.xml><?xml version="1.0" encoding="utf-8"?>
<ds:datastoreItem xmlns:ds="http://schemas.openxmlformats.org/officeDocument/2006/customXml" ds:itemID="{68B0F577-E65C-4C35-B401-78439DCC2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3b557-581c-46d3-8cc7-77c65017dc6f"/>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D726B8-FB92-4511-A4EB-71501B1CF333}">
  <ds:schemaRefs>
    <ds:schemaRef ds:uri="http://schemas.microsoft.com/office/2006/metadata/properties"/>
    <ds:schemaRef ds:uri="http://schemas.microsoft.com/office/infopath/2007/PartnerControls"/>
    <ds:schemaRef ds:uri="7513b557-581c-46d3-8cc7-77c65017dc6f"/>
    <ds:schemaRef ds:uri="e7d54a9e-4aca-451b-99db-b94fe438e98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24916</Words>
  <Characters>142022</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166605</CharactersWithSpaces>
  <SharedDoc>false</SharedDoc>
  <HLinks>
    <vt:vector size="48" baseType="variant">
      <vt:variant>
        <vt:i4>6684716</vt:i4>
      </vt:variant>
      <vt:variant>
        <vt:i4>191</vt:i4>
      </vt:variant>
      <vt:variant>
        <vt:i4>0</vt:i4>
      </vt:variant>
      <vt:variant>
        <vt:i4>5</vt:i4>
      </vt:variant>
      <vt:variant>
        <vt:lpwstr>http://msac.gov.au/internet/msac/publishing.nsf/Content/Home-1</vt:lpwstr>
      </vt:variant>
      <vt:variant>
        <vt:lpwstr/>
      </vt:variant>
      <vt:variant>
        <vt:i4>1572947</vt:i4>
      </vt:variant>
      <vt:variant>
        <vt:i4>155</vt:i4>
      </vt:variant>
      <vt:variant>
        <vt:i4>0</vt:i4>
      </vt:variant>
      <vt:variant>
        <vt:i4>5</vt:i4>
      </vt:variant>
      <vt:variant>
        <vt:lpwstr>https://www.pbs.gov.au/industry/listing/elements/pbac-meetings/psd/2013-08/sunitinib-psd-08-2013.pdf</vt:lpwstr>
      </vt:variant>
      <vt:variant>
        <vt:lpwstr/>
      </vt:variant>
      <vt:variant>
        <vt:i4>917508</vt:i4>
      </vt:variant>
      <vt:variant>
        <vt:i4>12</vt:i4>
      </vt:variant>
      <vt:variant>
        <vt:i4>0</vt:i4>
      </vt:variant>
      <vt:variant>
        <vt:i4>5</vt:i4>
      </vt:variant>
      <vt:variant>
        <vt:lpwstr>https://clinicaltrials.gov/study/NCT02230176</vt:lpwstr>
      </vt:variant>
      <vt:variant>
        <vt:lpwstr/>
      </vt:variant>
      <vt:variant>
        <vt:i4>2949224</vt:i4>
      </vt:variant>
      <vt:variant>
        <vt:i4>9</vt:i4>
      </vt:variant>
      <vt:variant>
        <vt:i4>0</vt:i4>
      </vt:variant>
      <vt:variant>
        <vt:i4>5</vt:i4>
      </vt:variant>
      <vt:variant>
        <vt:lpwstr>https://www9.health.gov.au/mbs/fullDisplay.cfm?type=item&amp;q=61647&amp;qt=item&amp;criteria=61647</vt:lpwstr>
      </vt:variant>
      <vt:variant>
        <vt:lpwstr/>
      </vt:variant>
      <vt:variant>
        <vt:i4>3997744</vt:i4>
      </vt:variant>
      <vt:variant>
        <vt:i4>0</vt:i4>
      </vt:variant>
      <vt:variant>
        <vt:i4>0</vt:i4>
      </vt:variant>
      <vt:variant>
        <vt:i4>5</vt:i4>
      </vt:variant>
      <vt:variant>
        <vt:lpwstr>http://www.msac.gov.au/</vt:lpwstr>
      </vt:variant>
      <vt:variant>
        <vt:lpwstr/>
      </vt:variant>
      <vt:variant>
        <vt:i4>7143469</vt:i4>
      </vt:variant>
      <vt:variant>
        <vt:i4>3</vt:i4>
      </vt:variant>
      <vt:variant>
        <vt:i4>0</vt:i4>
      </vt:variant>
      <vt:variant>
        <vt:i4>5</vt:i4>
      </vt:variant>
      <vt:variant>
        <vt:lpwstr>https://www.ema.europa.eu/en/medicines/human/EPAR/lutathera</vt:lpwstr>
      </vt:variant>
      <vt:variant>
        <vt:lpwstr/>
      </vt:variant>
      <vt:variant>
        <vt:i4>8126492</vt:i4>
      </vt:variant>
      <vt:variant>
        <vt:i4>0</vt:i4>
      </vt:variant>
      <vt:variant>
        <vt:i4>0</vt:i4>
      </vt:variant>
      <vt:variant>
        <vt:i4>5</vt:i4>
      </vt:variant>
      <vt:variant>
        <vt:lpwstr>https://ascopubs.org/doi/10.1200/JCO.2021.39.15_suppl.e16198</vt:lpwstr>
      </vt:variant>
      <vt:variant>
        <vt:lpwstr/>
      </vt:variant>
      <vt:variant>
        <vt:i4>2686980</vt:i4>
      </vt:variant>
      <vt:variant>
        <vt:i4>0</vt:i4>
      </vt:variant>
      <vt:variant>
        <vt:i4>0</vt:i4>
      </vt:variant>
      <vt:variant>
        <vt:i4>5</vt:i4>
      </vt:variant>
      <vt:variant>
        <vt:lpwstr>mailto:Dinusha.Vithanachchi@health.gov.au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2025-01-23T03:57:00Z</dcterms:created>
  <dcterms:modified xsi:type="dcterms:W3CDTF">2025-02-10T22:17:00Z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0x0101005E4A37BE997BE34FBB7D5057D341D123</vt:lpwstr>
  </property>
</Properties>
</file>