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77E1" w14:textId="615E8FDE" w:rsidR="00860C5F" w:rsidRPr="00CC5607" w:rsidRDefault="00EF0E90" w:rsidP="00EF0E90">
      <w:pPr>
        <w:keepNext/>
        <w:keepLines/>
        <w:spacing w:before="0" w:after="360" w:line="259" w:lineRule="auto"/>
        <w:ind w:left="788"/>
        <w:jc w:val="center"/>
        <w:outlineLvl w:val="0"/>
        <w:rPr>
          <w:rFonts w:ascii="Arial" w:hAnsi="Arial" w:cs="Arial"/>
          <w:b/>
          <w:bCs/>
          <w:color w:val="000080"/>
          <w:sz w:val="36"/>
          <w:szCs w:val="36"/>
        </w:rPr>
      </w:pPr>
      <w:r w:rsidRPr="00EF0E90">
        <w:rPr>
          <w:rFonts w:ascii="Arial" w:eastAsiaTheme="majorEastAsia" w:hAnsi="Arial" w:cs="Arial"/>
          <w:b/>
          <w:bCs/>
          <w:color w:val="000080"/>
          <w:sz w:val="36"/>
          <w:szCs w:val="36"/>
          <w:lang w:eastAsia="en-US"/>
        </w:rPr>
        <w:t>Medical Services Advisory Committee (MSAC)</w:t>
      </w:r>
      <w:r w:rsidRPr="00EF0E90">
        <w:rPr>
          <w:rFonts w:ascii="Arial" w:eastAsiaTheme="majorEastAsia" w:hAnsi="Arial" w:cs="Arial"/>
          <w:b/>
          <w:bCs/>
          <w:color w:val="000080"/>
          <w:sz w:val="36"/>
          <w:szCs w:val="36"/>
          <w:lang w:eastAsia="en-US"/>
        </w:rPr>
        <w:br/>
        <w:t>Public Summary Document</w:t>
      </w:r>
    </w:p>
    <w:p w14:paraId="3A3344FB" w14:textId="15F02775" w:rsidR="009D421E" w:rsidRDefault="00772829" w:rsidP="00860C5F">
      <w:pPr>
        <w:pStyle w:val="Subtitle"/>
        <w:spacing w:after="360"/>
      </w:pPr>
      <w:r w:rsidRPr="00CE28E3">
        <w:t xml:space="preserve">Application No. </w:t>
      </w:r>
      <w:r w:rsidR="003D42F3">
        <w:t>1760</w:t>
      </w:r>
      <w:r w:rsidRPr="003D42F3">
        <w:t xml:space="preserve"> – </w:t>
      </w:r>
      <w:r w:rsidR="00CD73DB" w:rsidRPr="00CD73DB">
        <w:t>DPYD</w:t>
      </w:r>
      <w:r w:rsidR="0077710B" w:rsidRPr="0077710B">
        <w:t xml:space="preserve"> genotyping to predict fluoropyrimidine-induced toxicity</w:t>
      </w:r>
    </w:p>
    <w:p w14:paraId="35263561" w14:textId="1CCAD65C" w:rsidR="00772829" w:rsidRPr="00AE2784" w:rsidRDefault="00772829" w:rsidP="00EF0E90">
      <w:pPr>
        <w:tabs>
          <w:tab w:val="left" w:pos="3261"/>
        </w:tabs>
        <w:ind w:left="1440" w:hanging="1440"/>
        <w:rPr>
          <w:rFonts w:ascii="Arial" w:eastAsiaTheme="minorHAnsi" w:hAnsi="Arial" w:cs="Arial"/>
          <w:b/>
          <w:bCs/>
          <w:lang w:eastAsia="en-US"/>
        </w:rPr>
      </w:pPr>
      <w:r w:rsidRPr="00AE2784">
        <w:rPr>
          <w:rFonts w:ascii="Arial" w:eastAsiaTheme="minorHAnsi" w:hAnsi="Arial" w:cs="Arial"/>
          <w:b/>
          <w:bCs/>
          <w:lang w:eastAsia="en-US"/>
        </w:rPr>
        <w:t>Applicant:</w:t>
      </w:r>
      <w:r w:rsidR="00EF0E90">
        <w:rPr>
          <w:rFonts w:ascii="Arial" w:eastAsiaTheme="minorHAnsi" w:hAnsi="Arial" w:cs="Arial"/>
          <w:b/>
          <w:bCs/>
          <w:lang w:eastAsia="en-US"/>
        </w:rPr>
        <w:tab/>
      </w:r>
      <w:r w:rsidR="009D421E" w:rsidRPr="00AE2784">
        <w:rPr>
          <w:rFonts w:ascii="Arial" w:eastAsiaTheme="minorHAnsi" w:hAnsi="Arial" w:cs="Arial"/>
          <w:b/>
          <w:bCs/>
          <w:lang w:eastAsia="en-US"/>
        </w:rPr>
        <w:t>T</w:t>
      </w:r>
      <w:r w:rsidR="008027D1" w:rsidRPr="00AE2784">
        <w:rPr>
          <w:rFonts w:ascii="Arial" w:eastAsiaTheme="minorHAnsi" w:hAnsi="Arial" w:cs="Arial"/>
          <w:b/>
          <w:bCs/>
          <w:lang w:eastAsia="en-US"/>
        </w:rPr>
        <w:t>he Royal College of Pathologists of Australasia</w:t>
      </w:r>
      <w:r w:rsidR="008219C7">
        <w:rPr>
          <w:rFonts w:ascii="Arial" w:eastAsiaTheme="minorHAnsi" w:hAnsi="Arial" w:cs="Arial"/>
          <w:b/>
          <w:bCs/>
          <w:lang w:eastAsia="en-US"/>
        </w:rPr>
        <w:t xml:space="preserve"> (RCPA)</w:t>
      </w:r>
    </w:p>
    <w:p w14:paraId="15DA9C4A" w14:textId="12DE821E" w:rsidR="009A3778" w:rsidRDefault="00772829" w:rsidP="004D13DD">
      <w:pPr>
        <w:tabs>
          <w:tab w:val="left" w:pos="3261"/>
        </w:tabs>
        <w:spacing w:after="240"/>
        <w:rPr>
          <w:rFonts w:ascii="Arial" w:eastAsiaTheme="minorEastAsia" w:hAnsi="Arial" w:cs="Arial"/>
          <w:b/>
          <w:bCs/>
          <w:lang w:eastAsia="en-US"/>
        </w:rPr>
      </w:pPr>
      <w:r w:rsidRPr="719BEA2F">
        <w:rPr>
          <w:rFonts w:ascii="Arial" w:eastAsiaTheme="minorEastAsia" w:hAnsi="Arial" w:cs="Arial"/>
          <w:b/>
          <w:bCs/>
          <w:lang w:eastAsia="en-US"/>
        </w:rPr>
        <w:t xml:space="preserve">Date of </w:t>
      </w:r>
      <w:r w:rsidR="00EF0E90">
        <w:rPr>
          <w:rFonts w:ascii="Arial" w:eastAsiaTheme="minorEastAsia" w:hAnsi="Arial" w:cs="Arial"/>
          <w:b/>
          <w:bCs/>
          <w:lang w:eastAsia="en-US"/>
        </w:rPr>
        <w:t>MSAC</w:t>
      </w:r>
      <w:r w:rsidRPr="719BEA2F">
        <w:rPr>
          <w:rFonts w:ascii="Arial" w:eastAsiaTheme="minorEastAsia" w:hAnsi="Arial" w:cs="Arial"/>
          <w:b/>
          <w:bCs/>
          <w:lang w:eastAsia="en-US"/>
        </w:rPr>
        <w:t xml:space="preserve"> consideration:</w:t>
      </w:r>
      <w:r>
        <w:tab/>
      </w:r>
      <w:r w:rsidR="00EF0E90">
        <w:rPr>
          <w:rFonts w:ascii="Arial" w:eastAsiaTheme="minorEastAsia" w:hAnsi="Arial" w:cs="Arial"/>
          <w:b/>
          <w:bCs/>
          <w:lang w:eastAsia="en-US"/>
        </w:rPr>
        <w:t>29 November</w:t>
      </w:r>
      <w:r w:rsidR="00B533F9" w:rsidRPr="719BEA2F">
        <w:rPr>
          <w:rFonts w:ascii="Arial" w:eastAsiaTheme="minorEastAsia" w:hAnsi="Arial" w:cs="Arial"/>
          <w:b/>
          <w:bCs/>
          <w:lang w:eastAsia="en-US"/>
        </w:rPr>
        <w:t xml:space="preserve"> 2024</w:t>
      </w:r>
    </w:p>
    <w:p w14:paraId="672979E1" w14:textId="6646465D" w:rsidR="00476193" w:rsidRPr="00201854" w:rsidRDefault="00476193" w:rsidP="00476193">
      <w:pPr>
        <w:spacing w:after="360"/>
        <w:rPr>
          <w:color w:val="0000FF"/>
          <w:u w:val="single"/>
        </w:rPr>
      </w:pPr>
      <w:r w:rsidRPr="00201854">
        <w:t xml:space="preserve">Context for decision: MSAC makes its advice in accordance with its Terms of Reference, </w:t>
      </w:r>
      <w:hyperlink r:id="rId8" w:tooltip="Link to Medical Services Advisory Committee website" w:history="1">
        <w:r w:rsidRPr="00201854">
          <w:rPr>
            <w:rStyle w:val="Hyperlink"/>
          </w:rPr>
          <w:t>visit the MSAC website</w:t>
        </w:r>
      </w:hyperlink>
    </w:p>
    <w:p w14:paraId="7EAA7262" w14:textId="77335A16" w:rsidR="00772829" w:rsidRPr="00CE28E3" w:rsidRDefault="00C36633" w:rsidP="00FF160D">
      <w:pPr>
        <w:pStyle w:val="Heading2"/>
      </w:pPr>
      <w:bookmarkStart w:id="0" w:name="_Toc175815800"/>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197C703F" w:rsidR="00772829" w:rsidRDefault="00AD1FF5" w:rsidP="00FF160D">
      <w:bookmarkStart w:id="1" w:name="_Hlk69734469"/>
      <w:r w:rsidRPr="00AD1FF5">
        <w:t xml:space="preserve">An application requesting Medicare Benefits Schedule (MBS) listing of </w:t>
      </w:r>
      <w:proofErr w:type="spellStart"/>
      <w:r w:rsidR="00082C6C" w:rsidRPr="007A66EA">
        <w:rPr>
          <w:i/>
          <w:iCs/>
        </w:rPr>
        <w:t>dihydropyrimidine</w:t>
      </w:r>
      <w:proofErr w:type="spellEnd"/>
      <w:r w:rsidR="00082C6C" w:rsidRPr="007A66EA">
        <w:rPr>
          <w:i/>
          <w:iCs/>
        </w:rPr>
        <w:t xml:space="preserve"> dehydrogenase</w:t>
      </w:r>
      <w:r w:rsidR="00082C6C" w:rsidRPr="007A66EA">
        <w:t xml:space="preserve"> </w:t>
      </w:r>
      <w:r w:rsidR="00082C6C">
        <w:t>(</w:t>
      </w:r>
      <w:r w:rsidR="00CD73DB" w:rsidRPr="00CD73DB">
        <w:rPr>
          <w:i/>
        </w:rPr>
        <w:t>DPYD</w:t>
      </w:r>
      <w:r w:rsidR="00082C6C">
        <w:rPr>
          <w:i/>
        </w:rPr>
        <w:t>)</w:t>
      </w:r>
      <w:r w:rsidRPr="00AD1FF5">
        <w:t xml:space="preserve"> genotyping to predict </w:t>
      </w:r>
      <w:r w:rsidR="00A5301E">
        <w:t>fluoro</w:t>
      </w:r>
      <w:r w:rsidR="00082C6C">
        <w:t>pyrimidine (</w:t>
      </w:r>
      <w:r w:rsidRPr="00AD1FF5">
        <w:t>FP</w:t>
      </w:r>
      <w:r w:rsidR="00082C6C">
        <w:t>)</w:t>
      </w:r>
      <w:r w:rsidRPr="00AD1FF5">
        <w:t>-induced toxicity in patients with solid tumours who are about to commence a treatment protocol that includes oral or intravenous FP was received from the Royal College of Pathologists of Australasia (RCPA) by the Department of Health and Aged Care.</w:t>
      </w:r>
    </w:p>
    <w:p w14:paraId="4957DDFD" w14:textId="5C20DD88" w:rsidR="00476193" w:rsidRPr="00476193" w:rsidRDefault="00476193" w:rsidP="00476193">
      <w:pPr>
        <w:pStyle w:val="Heading2"/>
      </w:pPr>
      <w:r>
        <w:t>2.</w:t>
      </w:r>
      <w:r>
        <w:tab/>
      </w:r>
      <w:r w:rsidRPr="00201854">
        <w:t>MSAC’s advice to the Minister</w:t>
      </w:r>
    </w:p>
    <w:p w14:paraId="27A55080" w14:textId="77777777" w:rsidR="00522A0F" w:rsidRDefault="00E51B09" w:rsidP="00522A0F">
      <w:pPr>
        <w:rPr>
          <w:rFonts w:cstheme="minorBidi"/>
          <w:szCs w:val="22"/>
        </w:rPr>
      </w:pPr>
      <w:r>
        <w:t xml:space="preserve">After considering the strength of the available evidence in relation to comparative safety, clinical effectiveness, cost-effectiveness and total cost, </w:t>
      </w:r>
      <w:r w:rsidR="00522A0F" w:rsidRPr="718DB931">
        <w:rPr>
          <w:rFonts w:eastAsia="Franklin Gothic Book" w:cs="Franklin Gothic Book"/>
          <w:color w:val="000000" w:themeColor="text1"/>
          <w:szCs w:val="22"/>
        </w:rPr>
        <w:t xml:space="preserve">MSAC supported the public funding of </w:t>
      </w:r>
      <w:proofErr w:type="spellStart"/>
      <w:r w:rsidR="00522A0F" w:rsidRPr="718DB931">
        <w:rPr>
          <w:rFonts w:eastAsia="Franklin Gothic Book" w:cs="Franklin Gothic Book"/>
          <w:i/>
          <w:iCs/>
          <w:color w:val="000000" w:themeColor="text1"/>
          <w:szCs w:val="22"/>
        </w:rPr>
        <w:t>dihydropyrimidine</w:t>
      </w:r>
      <w:proofErr w:type="spellEnd"/>
      <w:r w:rsidR="00522A0F" w:rsidRPr="718DB931">
        <w:rPr>
          <w:rFonts w:eastAsia="Franklin Gothic Book" w:cs="Franklin Gothic Book"/>
          <w:i/>
          <w:iCs/>
          <w:color w:val="000000" w:themeColor="text1"/>
          <w:szCs w:val="22"/>
        </w:rPr>
        <w:t xml:space="preserve"> dehydrogenase</w:t>
      </w:r>
      <w:r w:rsidR="00522A0F" w:rsidRPr="718DB931">
        <w:rPr>
          <w:rFonts w:eastAsia="Franklin Gothic Book" w:cs="Franklin Gothic Book"/>
          <w:color w:val="000000" w:themeColor="text1"/>
          <w:szCs w:val="22"/>
        </w:rPr>
        <w:t xml:space="preserve"> (</w:t>
      </w:r>
      <w:r w:rsidR="00522A0F" w:rsidRPr="718DB931">
        <w:rPr>
          <w:rFonts w:cstheme="minorBidi"/>
          <w:i/>
          <w:iCs/>
          <w:szCs w:val="22"/>
        </w:rPr>
        <w:t>DPYD)</w:t>
      </w:r>
      <w:r w:rsidR="00522A0F" w:rsidRPr="718DB931">
        <w:rPr>
          <w:rFonts w:cstheme="minorBidi"/>
          <w:szCs w:val="22"/>
        </w:rPr>
        <w:t xml:space="preserve"> genotyping to predict or diagnose toxicity from fluoropyrimidine (FP) chemotherapy. MSAC considered there is a high clinical need for </w:t>
      </w:r>
      <w:r w:rsidR="00522A0F" w:rsidRPr="718DB931">
        <w:rPr>
          <w:rFonts w:cstheme="minorBidi"/>
          <w:i/>
          <w:iCs/>
          <w:szCs w:val="22"/>
        </w:rPr>
        <w:t>DPYD</w:t>
      </w:r>
      <w:r w:rsidR="00522A0F" w:rsidRPr="718DB931">
        <w:rPr>
          <w:rFonts w:cstheme="minorBidi"/>
          <w:szCs w:val="22"/>
        </w:rPr>
        <w:t xml:space="preserve"> testing as it can identify patients who are highly likely to experience life-threatening toxicity from FP-chemotherapy and require a lower dose of FP chemotherapy. MSAC considered </w:t>
      </w:r>
      <w:r w:rsidR="00522A0F" w:rsidRPr="718DB931">
        <w:rPr>
          <w:rFonts w:cstheme="minorBidi"/>
          <w:i/>
          <w:iCs/>
          <w:szCs w:val="22"/>
        </w:rPr>
        <w:t xml:space="preserve">DPYD </w:t>
      </w:r>
      <w:r w:rsidR="00522A0F" w:rsidRPr="718DB931">
        <w:rPr>
          <w:rFonts w:cstheme="minorBidi"/>
          <w:szCs w:val="22"/>
        </w:rPr>
        <w:t xml:space="preserve">genotyping has superior clinical effectiveness and non-inferior safety compared with usual care (no testing), however there were limitations in the clinical evidence. MSAC considered </w:t>
      </w:r>
      <w:r w:rsidR="00522A0F" w:rsidRPr="718DB931">
        <w:rPr>
          <w:rFonts w:cstheme="minorBidi"/>
          <w:i/>
          <w:iCs/>
          <w:szCs w:val="22"/>
        </w:rPr>
        <w:t>DPYD</w:t>
      </w:r>
      <w:r w:rsidR="00522A0F" w:rsidRPr="718DB931">
        <w:rPr>
          <w:rFonts w:cstheme="minorBidi"/>
          <w:szCs w:val="22"/>
        </w:rPr>
        <w:t xml:space="preserve"> genotyping is cost-effective as it is expected to be cost saving to Australian governments as it will reduce the likelihood of severe toxicity and therefore costs of treating severe toxicity from FP chemotherapy.</w:t>
      </w:r>
    </w:p>
    <w:p w14:paraId="408D9278" w14:textId="2C0ACDD8" w:rsidR="004824ED" w:rsidRPr="004824ED" w:rsidRDefault="001A6190" w:rsidP="007A66EA">
      <w:r>
        <w:rPr>
          <w:rFonts w:cstheme="minorBidi"/>
          <w:szCs w:val="22"/>
        </w:rPr>
        <w:t>MSAC noted testing for</w:t>
      </w:r>
      <w:r w:rsidRPr="00E10857">
        <w:rPr>
          <w:rFonts w:cstheme="minorBidi"/>
          <w:szCs w:val="22"/>
        </w:rPr>
        <w:t xml:space="preserve"> the four </w:t>
      </w:r>
      <w:r w:rsidRPr="008316EC">
        <w:rPr>
          <w:rFonts w:cstheme="minorBidi"/>
          <w:i/>
          <w:szCs w:val="22"/>
        </w:rPr>
        <w:t>DPYD</w:t>
      </w:r>
      <w:r w:rsidRPr="00E10857">
        <w:rPr>
          <w:rFonts w:cstheme="minorBidi"/>
          <w:szCs w:val="22"/>
        </w:rPr>
        <w:t xml:space="preserve"> variants </w:t>
      </w:r>
      <w:r>
        <w:rPr>
          <w:rFonts w:cstheme="minorBidi"/>
          <w:szCs w:val="22"/>
        </w:rPr>
        <w:t xml:space="preserve">identified in the application </w:t>
      </w:r>
      <w:r w:rsidRPr="00E10857">
        <w:rPr>
          <w:rFonts w:cstheme="minorBidi"/>
          <w:szCs w:val="22"/>
        </w:rPr>
        <w:t xml:space="preserve">will not identify all patients who </w:t>
      </w:r>
      <w:r w:rsidRPr="1BF03AFD">
        <w:rPr>
          <w:rFonts w:cstheme="minorBidi"/>
          <w:szCs w:val="22"/>
        </w:rPr>
        <w:t>may</w:t>
      </w:r>
      <w:r>
        <w:rPr>
          <w:rFonts w:cstheme="minorBidi"/>
          <w:szCs w:val="22"/>
        </w:rPr>
        <w:t xml:space="preserve"> </w:t>
      </w:r>
      <w:r w:rsidRPr="00E10857">
        <w:rPr>
          <w:rFonts w:cstheme="minorBidi"/>
          <w:szCs w:val="22"/>
        </w:rPr>
        <w:t xml:space="preserve">develop toxicity </w:t>
      </w:r>
      <w:r>
        <w:rPr>
          <w:rFonts w:cstheme="minorBidi"/>
          <w:szCs w:val="22"/>
        </w:rPr>
        <w:t>from</w:t>
      </w:r>
      <w:r w:rsidRPr="00E10857">
        <w:rPr>
          <w:rFonts w:cstheme="minorBidi"/>
          <w:szCs w:val="22"/>
        </w:rPr>
        <w:t xml:space="preserve"> </w:t>
      </w:r>
      <w:r>
        <w:rPr>
          <w:rFonts w:cstheme="minorBidi"/>
          <w:szCs w:val="22"/>
        </w:rPr>
        <w:t>FP-based</w:t>
      </w:r>
      <w:r w:rsidRPr="00E10857">
        <w:rPr>
          <w:rFonts w:cstheme="minorBidi"/>
          <w:szCs w:val="22"/>
        </w:rPr>
        <w:t xml:space="preserve"> chemotherapy</w:t>
      </w:r>
      <w:r>
        <w:rPr>
          <w:rFonts w:cstheme="minorBidi"/>
          <w:szCs w:val="22"/>
        </w:rPr>
        <w:t xml:space="preserve">. </w:t>
      </w:r>
      <w:r w:rsidRPr="008A2EC4">
        <w:rPr>
          <w:rFonts w:cstheme="minorBidi"/>
          <w:szCs w:val="22"/>
        </w:rPr>
        <w:t xml:space="preserve">MSAC </w:t>
      </w:r>
      <w:r>
        <w:rPr>
          <w:rFonts w:cstheme="minorBidi"/>
          <w:szCs w:val="22"/>
        </w:rPr>
        <w:t>considered</w:t>
      </w:r>
      <w:r w:rsidRPr="008A2EC4">
        <w:rPr>
          <w:rFonts w:cstheme="minorBidi"/>
          <w:szCs w:val="22"/>
        </w:rPr>
        <w:t xml:space="preserve"> that while the currently identified variants are mainly prevalent in Caucasian populations, ongoing </w:t>
      </w:r>
      <w:r>
        <w:rPr>
          <w:rFonts w:cstheme="minorBidi"/>
          <w:szCs w:val="22"/>
        </w:rPr>
        <w:t>Australian clinical trials may</w:t>
      </w:r>
      <w:r w:rsidRPr="008A2EC4">
        <w:rPr>
          <w:rFonts w:cstheme="minorBidi"/>
          <w:szCs w:val="22"/>
        </w:rPr>
        <w:t xml:space="preserve"> lead to the </w:t>
      </w:r>
      <w:r>
        <w:rPr>
          <w:rFonts w:cstheme="minorBidi"/>
          <w:szCs w:val="22"/>
        </w:rPr>
        <w:t>identification</w:t>
      </w:r>
      <w:r w:rsidRPr="008A2EC4">
        <w:rPr>
          <w:rFonts w:cstheme="minorBidi"/>
          <w:szCs w:val="22"/>
        </w:rPr>
        <w:t xml:space="preserve"> of variants</w:t>
      </w:r>
      <w:r>
        <w:rPr>
          <w:rFonts w:cstheme="minorBidi"/>
          <w:szCs w:val="22"/>
        </w:rPr>
        <w:t xml:space="preserve"> in people of non-European ancestry</w:t>
      </w:r>
      <w:r w:rsidRPr="008A2EC4">
        <w:rPr>
          <w:rFonts w:cstheme="minorBidi"/>
          <w:szCs w:val="22"/>
        </w:rPr>
        <w:t>, including First Nations people</w:t>
      </w:r>
      <w:r>
        <w:rPr>
          <w:rFonts w:cstheme="minorBidi"/>
          <w:szCs w:val="22"/>
        </w:rPr>
        <w:t>. Therefore</w:t>
      </w:r>
      <w:r w:rsidRPr="619716FB">
        <w:rPr>
          <w:rFonts w:cstheme="minorBidi"/>
          <w:szCs w:val="22"/>
        </w:rPr>
        <w:t>,</w:t>
      </w:r>
      <w:r>
        <w:rPr>
          <w:rFonts w:cstheme="minorBidi"/>
          <w:szCs w:val="22"/>
        </w:rPr>
        <w:t xml:space="preserve"> MSAC considered the MBS item should be futureproofed to enable testing of additional variants as they are identified</w:t>
      </w:r>
      <w:r w:rsidRPr="00E10857">
        <w:rPr>
          <w:rFonts w:cstheme="minorBidi"/>
          <w:szCs w:val="22"/>
        </w:rPr>
        <w:t>.</w:t>
      </w:r>
    </w:p>
    <w:p w14:paraId="7E75F9B5" w14:textId="69A05775" w:rsidR="00E5409F" w:rsidRDefault="00E5409F" w:rsidP="00BC566D">
      <w:pPr>
        <w:pStyle w:val="Caption"/>
      </w:pPr>
      <w:r>
        <w:lastRenderedPageBreak/>
        <w:t xml:space="preserve">Table </w:t>
      </w:r>
      <w:r>
        <w:fldChar w:fldCharType="begin"/>
      </w:r>
      <w:r>
        <w:instrText xml:space="preserve"> SEQ Table \* ARABIC </w:instrText>
      </w:r>
      <w:r>
        <w:fldChar w:fldCharType="separate"/>
      </w:r>
      <w:r w:rsidR="00835345">
        <w:rPr>
          <w:noProof/>
        </w:rPr>
        <w:t>1</w:t>
      </w:r>
      <w:r>
        <w:fldChar w:fldCharType="end"/>
      </w:r>
      <w:r>
        <w:t xml:space="preserve"> MSAC</w:t>
      </w:r>
      <w:r w:rsidR="000519CF">
        <w:t>’s supported MBS item descriptor</w:t>
      </w:r>
    </w:p>
    <w:tbl>
      <w:tblPr>
        <w:tblStyle w:val="TableGrid"/>
        <w:tblW w:w="9067" w:type="dxa"/>
        <w:tblLook w:val="04A0" w:firstRow="1" w:lastRow="0" w:firstColumn="1" w:lastColumn="0" w:noHBand="0" w:noVBand="1"/>
      </w:tblPr>
      <w:tblGrid>
        <w:gridCol w:w="9067"/>
      </w:tblGrid>
      <w:tr w:rsidR="00B044D1" w14:paraId="5906A12A" w14:textId="77777777" w:rsidTr="0D6B1448">
        <w:trPr>
          <w:cantSplit/>
          <w:trHeight w:val="294"/>
          <w:tblHeader/>
        </w:trPr>
        <w:tc>
          <w:tcPr>
            <w:tcW w:w="9067" w:type="dxa"/>
            <w:tcBorders>
              <w:top w:val="single" w:sz="4" w:space="0" w:color="auto"/>
              <w:left w:val="single" w:sz="4" w:space="0" w:color="auto"/>
              <w:bottom w:val="single" w:sz="4" w:space="0" w:color="auto"/>
              <w:right w:val="single" w:sz="4" w:space="0" w:color="auto"/>
            </w:tcBorders>
            <w:vAlign w:val="center"/>
          </w:tcPr>
          <w:p w14:paraId="1546D283" w14:textId="7FAF3970" w:rsidR="00B044D1" w:rsidRDefault="00B044D1" w:rsidP="0D6B1448">
            <w:pPr>
              <w:pStyle w:val="paragraph"/>
              <w:spacing w:before="0" w:beforeAutospacing="0" w:after="0" w:afterAutospacing="0"/>
              <w:textAlignment w:val="baseline"/>
              <w:rPr>
                <w:rStyle w:val="normaltextrun"/>
                <w:rFonts w:ascii="Arial Narrow" w:hAnsi="Arial Narrow" w:cs="Segoe UI"/>
                <w:b/>
                <w:bCs/>
                <w:sz w:val="18"/>
                <w:szCs w:val="18"/>
                <w:lang w:val="en-US" w:eastAsia="en-US"/>
              </w:rPr>
            </w:pPr>
            <w:r w:rsidRPr="0D6B1448">
              <w:rPr>
                <w:rStyle w:val="normaltextrun"/>
                <w:rFonts w:ascii="Arial Narrow" w:hAnsi="Arial Narrow" w:cs="Segoe UI"/>
                <w:b/>
                <w:bCs/>
                <w:sz w:val="18"/>
                <w:szCs w:val="18"/>
                <w:lang w:val="en-US" w:eastAsia="en-US"/>
              </w:rPr>
              <w:t xml:space="preserve">Category 6 – PATHOLOGY SERVICES                                                                                            </w:t>
            </w:r>
            <w:r w:rsidR="00D0379A" w:rsidRPr="0D6B1448">
              <w:rPr>
                <w:rStyle w:val="normaltextrun"/>
                <w:rFonts w:ascii="Arial Narrow" w:hAnsi="Arial Narrow" w:cs="Segoe UI"/>
                <w:b/>
                <w:bCs/>
                <w:sz w:val="18"/>
                <w:szCs w:val="18"/>
                <w:lang w:val="en-US" w:eastAsia="en-US"/>
              </w:rPr>
              <w:t xml:space="preserve"> </w:t>
            </w:r>
            <w:r w:rsidR="00D0379A" w:rsidRPr="0D6B1448">
              <w:rPr>
                <w:rStyle w:val="normaltextrun"/>
                <w:rFonts w:ascii="Arial Narrow" w:hAnsi="Arial Narrow" w:cs="Segoe UI"/>
                <w:b/>
                <w:bCs/>
                <w:sz w:val="18"/>
                <w:szCs w:val="18"/>
                <w:lang w:val="en-US"/>
              </w:rPr>
              <w:t xml:space="preserve">                 </w:t>
            </w:r>
            <w:r w:rsidRPr="0D6B1448">
              <w:rPr>
                <w:rStyle w:val="normaltextrun"/>
                <w:rFonts w:ascii="Arial Narrow" w:hAnsi="Arial Narrow" w:cs="Segoe UI"/>
                <w:b/>
                <w:bCs/>
                <w:sz w:val="18"/>
                <w:szCs w:val="18"/>
                <w:lang w:val="en-US" w:eastAsia="en-US"/>
              </w:rPr>
              <w:t>Group P7 – Genetics</w:t>
            </w:r>
          </w:p>
        </w:tc>
      </w:tr>
      <w:tr w:rsidR="00E51B09" w14:paraId="02C5B6A1" w14:textId="77777777" w:rsidTr="0D6B1448">
        <w:trPr>
          <w:cantSplit/>
          <w:tblHeader/>
        </w:trPr>
        <w:tc>
          <w:tcPr>
            <w:tcW w:w="9067" w:type="dxa"/>
            <w:tcBorders>
              <w:top w:val="single" w:sz="4" w:space="0" w:color="auto"/>
              <w:left w:val="single" w:sz="4" w:space="0" w:color="auto"/>
              <w:bottom w:val="single" w:sz="4" w:space="0" w:color="auto"/>
              <w:right w:val="single" w:sz="4" w:space="0" w:color="auto"/>
            </w:tcBorders>
          </w:tcPr>
          <w:p w14:paraId="35D2EFAA" w14:textId="1EA3EF4A" w:rsidR="00E51B09" w:rsidRDefault="00E51B09">
            <w:pPr>
              <w:pStyle w:val="paragraph"/>
              <w:spacing w:before="0" w:beforeAutospacing="0" w:after="0" w:afterAutospacing="0"/>
              <w:textAlignment w:val="baseline"/>
              <w:rPr>
                <w:rStyle w:val="normaltextrun"/>
                <w:rFonts w:ascii="Arial Narrow" w:hAnsi="Arial Narrow" w:cs="Segoe UI"/>
                <w:b/>
                <w:bCs/>
                <w:sz w:val="18"/>
                <w:szCs w:val="18"/>
                <w:lang w:eastAsia="en-US"/>
              </w:rPr>
            </w:pPr>
            <w:r>
              <w:rPr>
                <w:rStyle w:val="normaltextrun"/>
                <w:rFonts w:ascii="Arial Narrow" w:hAnsi="Arial Narrow" w:cs="Segoe UI"/>
                <w:b/>
                <w:bCs/>
                <w:sz w:val="18"/>
                <w:szCs w:val="18"/>
                <w:lang w:val="en-US" w:eastAsia="en-US"/>
              </w:rPr>
              <w:t>MBS item AAAA</w:t>
            </w:r>
          </w:p>
          <w:p w14:paraId="78411F07" w14:textId="77777777" w:rsidR="00E51B09" w:rsidRDefault="00E51B09">
            <w:pPr>
              <w:pStyle w:val="paragraph"/>
              <w:spacing w:before="0" w:beforeAutospacing="0" w:after="0" w:afterAutospacing="0"/>
              <w:textAlignment w:val="baseline"/>
              <w:rPr>
                <w:rFonts w:ascii="Segoe UI" w:hAnsi="Segoe UI"/>
                <w:sz w:val="16"/>
                <w:szCs w:val="16"/>
              </w:rPr>
            </w:pPr>
          </w:p>
          <w:p w14:paraId="75503A50" w14:textId="4CF933EA" w:rsidR="00E51B09" w:rsidRPr="009F2EBE" w:rsidRDefault="00E51B09" w:rsidP="00AC4BEC">
            <w:pPr>
              <w:pStyle w:val="paragraph"/>
              <w:spacing w:before="0" w:beforeAutospacing="0" w:after="0" w:afterAutospacing="0"/>
              <w:textAlignment w:val="baseline"/>
              <w:rPr>
                <w:rFonts w:ascii="Segoe UI" w:hAnsi="Segoe UI" w:cs="Segoe UI"/>
                <w:sz w:val="16"/>
                <w:szCs w:val="16"/>
                <w:lang w:eastAsia="en-US"/>
              </w:rPr>
            </w:pPr>
            <w:r w:rsidRPr="61A19AEA">
              <w:rPr>
                <w:rStyle w:val="normaltextrun"/>
                <w:rFonts w:ascii="Arial Narrow" w:hAnsi="Arial Narrow" w:cs="Segoe UI"/>
                <w:sz w:val="18"/>
                <w:szCs w:val="18"/>
                <w:lang w:eastAsia="en-US"/>
              </w:rPr>
              <w:t xml:space="preserve">Genetic testing in the </w:t>
            </w:r>
            <w:r w:rsidRPr="61A19AEA">
              <w:rPr>
                <w:rStyle w:val="normaltextrun"/>
                <w:rFonts w:ascii="Arial Narrow" w:hAnsi="Arial Narrow" w:cs="Segoe UI"/>
                <w:i/>
                <w:iCs/>
                <w:sz w:val="18"/>
                <w:szCs w:val="18"/>
                <w:lang w:eastAsia="en-US"/>
              </w:rPr>
              <w:t>DPYD</w:t>
            </w:r>
            <w:r w:rsidRPr="61A19AEA">
              <w:rPr>
                <w:rStyle w:val="normaltextrun"/>
                <w:rFonts w:ascii="Arial Narrow" w:hAnsi="Arial Narrow" w:cs="Segoe UI"/>
                <w:sz w:val="18"/>
                <w:szCs w:val="18"/>
                <w:lang w:eastAsia="en-US"/>
              </w:rPr>
              <w:t xml:space="preserve"> gene </w:t>
            </w:r>
            <w:r w:rsidRPr="009F2EBE">
              <w:rPr>
                <w:rStyle w:val="normaltextrun"/>
                <w:rFonts w:ascii="Arial Narrow" w:hAnsi="Arial Narrow" w:cs="Segoe UI"/>
                <w:sz w:val="18"/>
                <w:szCs w:val="18"/>
                <w:lang w:eastAsia="en-US"/>
              </w:rPr>
              <w:t xml:space="preserve">to </w:t>
            </w:r>
            <w:r w:rsidR="152B9C56" w:rsidRPr="009F2EBE">
              <w:rPr>
                <w:rFonts w:ascii="Arial Narrow" w:eastAsia="Arial Narrow" w:hAnsi="Arial Narrow" w:cs="Arial Narrow"/>
                <w:sz w:val="18"/>
                <w:szCs w:val="18"/>
              </w:rPr>
              <w:t>diagnose or</w:t>
            </w:r>
            <w:r w:rsidR="152B9C56" w:rsidRPr="009F2EBE">
              <w:t xml:space="preserve"> </w:t>
            </w:r>
            <w:r w:rsidRPr="009F2EBE">
              <w:rPr>
                <w:rStyle w:val="normaltextrun"/>
                <w:rFonts w:ascii="Arial Narrow" w:hAnsi="Arial Narrow" w:cs="Segoe UI"/>
                <w:sz w:val="18"/>
                <w:szCs w:val="18"/>
                <w:lang w:eastAsia="en-US"/>
              </w:rPr>
              <w:t>predict fluoropyrimidine-induced toxicity in a patient, where:</w:t>
            </w:r>
            <w:r w:rsidRPr="009F2EBE">
              <w:rPr>
                <w:rStyle w:val="eop"/>
                <w:rFonts w:ascii="Arial Narrow" w:hAnsi="Arial Narrow" w:cs="Segoe UI"/>
                <w:sz w:val="18"/>
                <w:szCs w:val="18"/>
                <w:lang w:eastAsia="en-US"/>
              </w:rPr>
              <w:t> </w:t>
            </w:r>
          </w:p>
          <w:p w14:paraId="21DA091F" w14:textId="77777777" w:rsidR="00E51B09" w:rsidRPr="009F2EBE" w:rsidRDefault="00E51B09">
            <w:pPr>
              <w:pStyle w:val="paragraph"/>
              <w:spacing w:before="0" w:beforeAutospacing="0" w:after="0" w:afterAutospacing="0"/>
              <w:textAlignment w:val="baseline"/>
              <w:rPr>
                <w:rFonts w:ascii="Segoe UI" w:hAnsi="Segoe UI" w:cs="Segoe UI"/>
                <w:sz w:val="16"/>
                <w:szCs w:val="16"/>
                <w:lang w:eastAsia="en-US"/>
              </w:rPr>
            </w:pPr>
            <w:r w:rsidRPr="009F2EBE">
              <w:rPr>
                <w:rStyle w:val="eop"/>
                <w:rFonts w:ascii="Arial Narrow" w:hAnsi="Arial Narrow" w:cs="Segoe UI"/>
                <w:sz w:val="18"/>
                <w:szCs w:val="18"/>
                <w:lang w:eastAsia="en-US"/>
              </w:rPr>
              <w:t> </w:t>
            </w:r>
          </w:p>
          <w:p w14:paraId="449CC00E" w14:textId="77777777" w:rsidR="00E51B09" w:rsidRPr="009F2EBE" w:rsidRDefault="00E51B09" w:rsidP="00E51B09">
            <w:pPr>
              <w:pStyle w:val="paragraph"/>
              <w:numPr>
                <w:ilvl w:val="0"/>
                <w:numId w:val="34"/>
              </w:numPr>
              <w:spacing w:before="0" w:beforeAutospacing="0" w:after="0" w:afterAutospacing="0"/>
              <w:textAlignment w:val="baseline"/>
              <w:rPr>
                <w:rFonts w:ascii="Arial Narrow" w:hAnsi="Arial Narrow" w:cs="Segoe UI"/>
                <w:sz w:val="18"/>
                <w:szCs w:val="18"/>
                <w:lang w:eastAsia="en-US"/>
              </w:rPr>
            </w:pPr>
            <w:r w:rsidRPr="009F2EBE">
              <w:rPr>
                <w:rStyle w:val="normaltextrun"/>
                <w:rFonts w:ascii="Arial Narrow" w:hAnsi="Arial Narrow" w:cs="Segoe UI"/>
                <w:sz w:val="18"/>
                <w:szCs w:val="18"/>
                <w:lang w:eastAsia="en-US"/>
              </w:rPr>
              <w:t>the service is requested by a specialist or consultant physician; and</w:t>
            </w:r>
            <w:r w:rsidRPr="009F2EBE">
              <w:rPr>
                <w:rStyle w:val="eop"/>
                <w:rFonts w:ascii="Arial Narrow" w:hAnsi="Arial Narrow" w:cs="Segoe UI"/>
                <w:sz w:val="18"/>
                <w:szCs w:val="18"/>
                <w:lang w:eastAsia="en-US"/>
              </w:rPr>
              <w:t> </w:t>
            </w:r>
          </w:p>
          <w:p w14:paraId="4C80B21A" w14:textId="6BAD72AD" w:rsidR="00E51B09" w:rsidRDefault="00E51B09" w:rsidP="61A19AEA">
            <w:pPr>
              <w:pStyle w:val="paragraph"/>
              <w:numPr>
                <w:ilvl w:val="0"/>
                <w:numId w:val="34"/>
              </w:numPr>
              <w:spacing w:before="0" w:beforeAutospacing="0" w:after="0" w:afterAutospacing="0"/>
              <w:textAlignment w:val="baseline"/>
              <w:rPr>
                <w:rFonts w:ascii="Arial Narrow" w:hAnsi="Arial Narrow" w:cs="Segoe UI"/>
                <w:sz w:val="18"/>
                <w:szCs w:val="18"/>
                <w:lang w:eastAsia="en-US"/>
              </w:rPr>
            </w:pPr>
            <w:r w:rsidRPr="009F2EBE">
              <w:rPr>
                <w:rStyle w:val="normaltextrun"/>
                <w:rFonts w:ascii="Arial Narrow" w:hAnsi="Arial Narrow" w:cs="Segoe UI"/>
                <w:sz w:val="18"/>
                <w:szCs w:val="18"/>
                <w:lang w:eastAsia="en-US"/>
              </w:rPr>
              <w:t xml:space="preserve">the service is conducted </w:t>
            </w:r>
            <w:r w:rsidR="28FB3DB2" w:rsidRPr="009F2EBE">
              <w:rPr>
                <w:rFonts w:ascii="Arial Narrow" w:eastAsia="Arial Narrow" w:hAnsi="Arial Narrow" w:cs="Arial Narrow"/>
                <w:sz w:val="18"/>
                <w:szCs w:val="18"/>
              </w:rPr>
              <w:t xml:space="preserve">before, during or after </w:t>
            </w:r>
            <w:r w:rsidR="002C4A09" w:rsidRPr="61A19AEA">
              <w:rPr>
                <w:rStyle w:val="normaltextrun"/>
                <w:rFonts w:ascii="Arial Narrow" w:hAnsi="Arial Narrow" w:cs="Segoe UI"/>
                <w:sz w:val="18"/>
                <w:szCs w:val="18"/>
              </w:rPr>
              <w:t>systemic administration</w:t>
            </w:r>
            <w:r w:rsidR="00580A44" w:rsidRPr="61A19AEA">
              <w:rPr>
                <w:rStyle w:val="normaltextrun"/>
                <w:rFonts w:ascii="Arial Narrow" w:hAnsi="Arial Narrow" w:cs="Segoe UI"/>
                <w:sz w:val="18"/>
                <w:szCs w:val="18"/>
              </w:rPr>
              <w:t xml:space="preserve"> of</w:t>
            </w:r>
            <w:r w:rsidRPr="61A19AEA">
              <w:rPr>
                <w:rStyle w:val="normaltextrun"/>
                <w:rFonts w:ascii="Arial Narrow" w:hAnsi="Arial Narrow" w:cs="Segoe UI"/>
                <w:sz w:val="18"/>
                <w:szCs w:val="18"/>
                <w:lang w:eastAsia="en-US"/>
              </w:rPr>
              <w:t xml:space="preserve"> chemotherapy or radio-sensitisation, with a fluoropyrimidine; and</w:t>
            </w:r>
            <w:r w:rsidRPr="61A19AEA">
              <w:rPr>
                <w:rStyle w:val="eop"/>
                <w:rFonts w:ascii="Arial Narrow" w:hAnsi="Arial Narrow" w:cs="Segoe UI"/>
                <w:sz w:val="18"/>
                <w:szCs w:val="18"/>
                <w:lang w:eastAsia="en-US"/>
              </w:rPr>
              <w:t> </w:t>
            </w:r>
          </w:p>
          <w:p w14:paraId="003D6132" w14:textId="5B3B2522" w:rsidR="00E51B09" w:rsidRDefault="00E51B09" w:rsidP="00E51B09">
            <w:pPr>
              <w:pStyle w:val="paragraph"/>
              <w:numPr>
                <w:ilvl w:val="0"/>
                <w:numId w:val="34"/>
              </w:numPr>
              <w:spacing w:before="0" w:beforeAutospacing="0" w:after="0" w:afterAutospacing="0"/>
              <w:textAlignment w:val="baseline"/>
              <w:rPr>
                <w:rFonts w:ascii="Arial Narrow" w:hAnsi="Arial Narrow" w:cs="Segoe UI"/>
                <w:sz w:val="18"/>
                <w:szCs w:val="18"/>
                <w:lang w:eastAsia="en-US"/>
              </w:rPr>
            </w:pPr>
            <w:r>
              <w:rPr>
                <w:rStyle w:val="normaltextrun"/>
                <w:rFonts w:ascii="Arial Narrow" w:hAnsi="Arial Narrow" w:cs="Segoe UI"/>
                <w:sz w:val="18"/>
                <w:szCs w:val="18"/>
                <w:lang w:eastAsia="en-US"/>
              </w:rPr>
              <w:t xml:space="preserve">genotyping is conducted to detect </w:t>
            </w:r>
            <w:r>
              <w:rPr>
                <w:rStyle w:val="normaltextrun"/>
                <w:rFonts w:ascii="Arial Narrow" w:hAnsi="Arial Narrow" w:cs="Segoe UI"/>
                <w:i/>
                <w:iCs/>
                <w:sz w:val="18"/>
                <w:szCs w:val="18"/>
                <w:lang w:eastAsia="en-US"/>
              </w:rPr>
              <w:t>DPYD</w:t>
            </w:r>
            <w:r>
              <w:rPr>
                <w:rStyle w:val="normaltextrun"/>
                <w:rFonts w:ascii="Arial Narrow" w:hAnsi="Arial Narrow" w:cs="Segoe UI"/>
                <w:sz w:val="18"/>
                <w:szCs w:val="18"/>
                <w:lang w:eastAsia="en-US"/>
              </w:rPr>
              <w:t xml:space="preserve"> variants linked to reduced or absent </w:t>
            </w:r>
            <w:proofErr w:type="spellStart"/>
            <w:r>
              <w:rPr>
                <w:rStyle w:val="normaltextrun"/>
                <w:rFonts w:ascii="Arial Narrow" w:hAnsi="Arial Narrow" w:cs="Segoe UI"/>
                <w:sz w:val="18"/>
                <w:szCs w:val="18"/>
                <w:lang w:eastAsia="en-US"/>
              </w:rPr>
              <w:t>dihydropyrimidine</w:t>
            </w:r>
            <w:proofErr w:type="spellEnd"/>
            <w:r>
              <w:rPr>
                <w:rStyle w:val="normaltextrun"/>
                <w:rFonts w:ascii="Arial Narrow" w:hAnsi="Arial Narrow" w:cs="Segoe UI"/>
                <w:sz w:val="18"/>
                <w:szCs w:val="18"/>
                <w:lang w:eastAsia="en-US"/>
              </w:rPr>
              <w:t xml:space="preserve"> dehydrogenase (DPD) activity.</w:t>
            </w:r>
            <w:r>
              <w:rPr>
                <w:rStyle w:val="eop"/>
                <w:rFonts w:ascii="Arial Narrow" w:hAnsi="Arial Narrow" w:cs="Segoe UI"/>
                <w:sz w:val="18"/>
                <w:szCs w:val="18"/>
                <w:lang w:eastAsia="en-US"/>
              </w:rPr>
              <w:t> </w:t>
            </w:r>
          </w:p>
          <w:p w14:paraId="4DC67528" w14:textId="77777777" w:rsidR="00E51B09" w:rsidRDefault="00E51B09">
            <w:pPr>
              <w:pStyle w:val="paragraph"/>
              <w:spacing w:before="0" w:beforeAutospacing="0" w:after="0" w:afterAutospacing="0"/>
              <w:textAlignment w:val="baseline"/>
              <w:rPr>
                <w:rFonts w:ascii="Segoe UI" w:hAnsi="Segoe UI" w:cs="Segoe UI"/>
                <w:sz w:val="16"/>
                <w:szCs w:val="16"/>
                <w:lang w:eastAsia="en-US"/>
              </w:rPr>
            </w:pPr>
            <w:r>
              <w:rPr>
                <w:rStyle w:val="eop"/>
                <w:rFonts w:ascii="Arial Narrow" w:hAnsi="Arial Narrow" w:cs="Segoe UI"/>
                <w:sz w:val="18"/>
                <w:szCs w:val="18"/>
                <w:lang w:eastAsia="en-US"/>
              </w:rPr>
              <w:t> </w:t>
            </w:r>
          </w:p>
          <w:p w14:paraId="51897000" w14:textId="77777777" w:rsidR="00E51B09" w:rsidRDefault="00E51B09">
            <w:pPr>
              <w:pStyle w:val="paragraph"/>
              <w:spacing w:before="0" w:beforeAutospacing="0" w:after="0" w:afterAutospacing="0"/>
              <w:textAlignment w:val="baseline"/>
              <w:rPr>
                <w:rStyle w:val="eop"/>
                <w:rFonts w:ascii="Arial Narrow" w:hAnsi="Arial Narrow"/>
                <w:sz w:val="18"/>
                <w:szCs w:val="18"/>
              </w:rPr>
            </w:pPr>
            <w:r>
              <w:rPr>
                <w:rStyle w:val="normaltextrun"/>
                <w:rFonts w:ascii="Arial Narrow" w:hAnsi="Arial Narrow" w:cs="Segoe UI"/>
                <w:sz w:val="18"/>
                <w:szCs w:val="18"/>
                <w:lang w:eastAsia="en-US"/>
              </w:rPr>
              <w:t>Once per lifetime.</w:t>
            </w:r>
            <w:r>
              <w:rPr>
                <w:rStyle w:val="eop"/>
                <w:rFonts w:ascii="Arial Narrow" w:hAnsi="Arial Narrow" w:cs="Segoe UI"/>
                <w:sz w:val="18"/>
                <w:szCs w:val="18"/>
                <w:lang w:eastAsia="en-US"/>
              </w:rPr>
              <w:t> </w:t>
            </w:r>
          </w:p>
          <w:p w14:paraId="209A8A84" w14:textId="77777777" w:rsidR="00E51B09" w:rsidRDefault="00E51B09">
            <w:pPr>
              <w:pStyle w:val="paragraph"/>
              <w:spacing w:before="0" w:beforeAutospacing="0" w:after="0" w:afterAutospacing="0"/>
              <w:textAlignment w:val="baseline"/>
              <w:rPr>
                <w:rFonts w:ascii="Segoe UI" w:hAnsi="Segoe UI"/>
                <w:sz w:val="16"/>
                <w:szCs w:val="16"/>
              </w:rPr>
            </w:pPr>
          </w:p>
          <w:p w14:paraId="63C0AD9D" w14:textId="77777777" w:rsidR="00E51B09" w:rsidRDefault="00E51B09">
            <w:pPr>
              <w:pStyle w:val="paragraph"/>
              <w:spacing w:before="0" w:beforeAutospacing="0" w:after="0" w:afterAutospacing="0"/>
              <w:textAlignment w:val="baseline"/>
              <w:rPr>
                <w:rFonts w:ascii="Arial Narrow" w:hAnsi="Arial Narrow"/>
                <w:sz w:val="18"/>
                <w:szCs w:val="18"/>
                <w:lang w:eastAsia="en-US"/>
              </w:rPr>
            </w:pPr>
            <w:r>
              <w:rPr>
                <w:rFonts w:ascii="Arial Narrow" w:hAnsi="Arial Narrow"/>
                <w:sz w:val="18"/>
                <w:szCs w:val="18"/>
                <w:lang w:eastAsia="en-US"/>
              </w:rPr>
              <w:t>Fee: $182.00</w:t>
            </w:r>
          </w:p>
          <w:p w14:paraId="71D13AB2" w14:textId="77777777" w:rsidR="00E51B09" w:rsidRDefault="00E51B09">
            <w:pPr>
              <w:pStyle w:val="paragraph"/>
              <w:spacing w:before="0" w:beforeAutospacing="0" w:after="0" w:afterAutospacing="0"/>
              <w:textAlignment w:val="baseline"/>
              <w:rPr>
                <w:rStyle w:val="normaltextrun"/>
                <w:rFonts w:cs="Segoe UI"/>
                <w:b/>
                <w:bCs/>
                <w:lang w:val="en-US"/>
              </w:rPr>
            </w:pPr>
            <w:r>
              <w:rPr>
                <w:rFonts w:ascii="Arial Narrow" w:hAnsi="Arial Narrow"/>
                <w:sz w:val="18"/>
                <w:szCs w:val="18"/>
                <w:lang w:eastAsia="en-US"/>
              </w:rPr>
              <w:t>Benefit</w:t>
            </w:r>
            <w:r>
              <w:rPr>
                <w:rFonts w:ascii="Arial Narrow" w:hAnsi="Arial Narrow"/>
                <w:b/>
                <w:bCs/>
                <w:sz w:val="18"/>
                <w:szCs w:val="18"/>
                <w:lang w:eastAsia="en-US"/>
              </w:rPr>
              <w:t>:</w:t>
            </w:r>
            <w:r>
              <w:rPr>
                <w:rFonts w:ascii="Arial Narrow" w:hAnsi="Arial Narrow"/>
                <w:sz w:val="18"/>
                <w:szCs w:val="18"/>
                <w:lang w:eastAsia="en-US"/>
              </w:rPr>
              <w:t xml:space="preserve"> 75% = $136.50   85% = $154.70</w:t>
            </w:r>
          </w:p>
        </w:tc>
      </w:tr>
      <w:tr w:rsidR="00E51B09" w14:paraId="30CE8C63" w14:textId="77777777" w:rsidTr="0D6B1448">
        <w:trPr>
          <w:cantSplit/>
          <w:tblHeader/>
        </w:trPr>
        <w:tc>
          <w:tcPr>
            <w:tcW w:w="9067" w:type="dxa"/>
            <w:tcBorders>
              <w:top w:val="single" w:sz="4" w:space="0" w:color="auto"/>
              <w:left w:val="single" w:sz="4" w:space="0" w:color="auto"/>
              <w:bottom w:val="single" w:sz="4" w:space="0" w:color="auto"/>
              <w:right w:val="single" w:sz="4" w:space="0" w:color="auto"/>
            </w:tcBorders>
          </w:tcPr>
          <w:p w14:paraId="75FBEA9E" w14:textId="77777777" w:rsidR="00E51B09" w:rsidRDefault="00E51B09">
            <w:pPr>
              <w:spacing w:before="40" w:after="40"/>
              <w:rPr>
                <w:rFonts w:cstheme="minorBidi"/>
              </w:rPr>
            </w:pPr>
            <w:r>
              <w:rPr>
                <w:rFonts w:ascii="Arial Narrow" w:hAnsi="Arial Narrow"/>
                <w:b/>
                <w:bCs/>
                <w:sz w:val="18"/>
                <w:szCs w:val="18"/>
              </w:rPr>
              <w:t>Explanatory note PN.7. XX - DPYD genotyping to predict fluoropyrimidine-induced toxicity - Item AAAA</w:t>
            </w:r>
          </w:p>
          <w:p w14:paraId="5C64AF14" w14:textId="77777777" w:rsidR="00E51B09" w:rsidRDefault="00E51B09">
            <w:pPr>
              <w:spacing w:before="40" w:after="40"/>
              <w:rPr>
                <w:rFonts w:ascii="Arial Narrow" w:hAnsi="Arial Narrow"/>
                <w:b/>
                <w:bCs/>
                <w:sz w:val="18"/>
                <w:szCs w:val="18"/>
              </w:rPr>
            </w:pPr>
          </w:p>
          <w:p w14:paraId="1D9D709A" w14:textId="4BA91F26" w:rsidR="00E51B09" w:rsidRDefault="00E51B09">
            <w:pPr>
              <w:spacing w:before="40" w:after="40"/>
              <w:rPr>
                <w:rFonts w:ascii="Arial Narrow" w:hAnsi="Arial Narrow"/>
                <w:sz w:val="18"/>
                <w:szCs w:val="18"/>
              </w:rPr>
            </w:pPr>
            <w:r>
              <w:rPr>
                <w:rFonts w:ascii="Arial Narrow" w:hAnsi="Arial Narrow"/>
                <w:sz w:val="18"/>
                <w:szCs w:val="18"/>
              </w:rPr>
              <w:t xml:space="preserve">The list of gene variants analysed should be selected in line with current clinical guidelines, </w:t>
            </w:r>
            <w:r w:rsidRPr="00BC566D">
              <w:rPr>
                <w:rFonts w:ascii="Arial Narrow" w:hAnsi="Arial Narrow"/>
                <w:sz w:val="18"/>
                <w:szCs w:val="18"/>
              </w:rPr>
              <w:t xml:space="preserve">such as the </w:t>
            </w:r>
            <w:proofErr w:type="spellStart"/>
            <w:r w:rsidRPr="00BC566D">
              <w:rPr>
                <w:rFonts w:ascii="Arial Narrow" w:hAnsi="Arial Narrow"/>
                <w:sz w:val="18"/>
                <w:szCs w:val="18"/>
              </w:rPr>
              <w:t>eviQ</w:t>
            </w:r>
            <w:proofErr w:type="spellEnd"/>
            <w:r w:rsidRPr="00BC566D">
              <w:rPr>
                <w:rFonts w:ascii="Arial Narrow" w:hAnsi="Arial Narrow"/>
                <w:sz w:val="18"/>
                <w:szCs w:val="18"/>
              </w:rPr>
              <w:t xml:space="preserve"> guidelines, </w:t>
            </w:r>
            <w:r>
              <w:rPr>
                <w:rFonts w:ascii="Arial Narrow" w:hAnsi="Arial Narrow"/>
                <w:sz w:val="18"/>
                <w:szCs w:val="18"/>
              </w:rPr>
              <w:t>and should include</w:t>
            </w:r>
            <w:r w:rsidR="00332D53">
              <w:rPr>
                <w:rFonts w:ascii="Arial Narrow" w:hAnsi="Arial Narrow"/>
                <w:sz w:val="18"/>
                <w:szCs w:val="18"/>
              </w:rPr>
              <w:t xml:space="preserve"> direct detection of</w:t>
            </w:r>
            <w:r>
              <w:rPr>
                <w:rFonts w:ascii="Arial Narrow" w:hAnsi="Arial Narrow"/>
                <w:sz w:val="18"/>
                <w:szCs w:val="18"/>
              </w:rPr>
              <w:t xml:space="preserve"> at least the following variants: </w:t>
            </w:r>
          </w:p>
          <w:p w14:paraId="3BF591B9" w14:textId="77777777" w:rsidR="00E51B09" w:rsidRDefault="00E51B09" w:rsidP="00E51B09">
            <w:pPr>
              <w:widowControl w:val="0"/>
              <w:numPr>
                <w:ilvl w:val="0"/>
                <w:numId w:val="35"/>
              </w:numPr>
              <w:spacing w:before="40" w:after="40"/>
              <w:rPr>
                <w:rFonts w:ascii="Arial Narrow" w:hAnsi="Arial Narrow"/>
                <w:sz w:val="18"/>
                <w:szCs w:val="18"/>
              </w:rPr>
            </w:pPr>
            <w:r>
              <w:rPr>
                <w:rFonts w:ascii="Arial Narrow" w:hAnsi="Arial Narrow"/>
                <w:sz w:val="18"/>
                <w:szCs w:val="18"/>
              </w:rPr>
              <w:t>NM_000110.4(</w:t>
            </w:r>
            <w:r>
              <w:rPr>
                <w:rFonts w:ascii="Arial Narrow" w:hAnsi="Arial Narrow"/>
                <w:i/>
                <w:iCs/>
                <w:sz w:val="18"/>
                <w:szCs w:val="18"/>
              </w:rPr>
              <w:t>DPYD</w:t>
            </w:r>
            <w:proofErr w:type="gramStart"/>
            <w:r>
              <w:rPr>
                <w:rFonts w:ascii="Arial Narrow" w:hAnsi="Arial Narrow"/>
                <w:sz w:val="18"/>
                <w:szCs w:val="18"/>
              </w:rPr>
              <w:t>):c.</w:t>
            </w:r>
            <w:proofErr w:type="gramEnd"/>
            <w:r>
              <w:rPr>
                <w:rFonts w:ascii="Arial Narrow" w:hAnsi="Arial Narrow"/>
                <w:sz w:val="18"/>
                <w:szCs w:val="18"/>
              </w:rPr>
              <w:t>1905+1G&gt;A  </w:t>
            </w:r>
          </w:p>
          <w:p w14:paraId="56E42E83" w14:textId="77777777" w:rsidR="00E51B09" w:rsidRDefault="00E51B09" w:rsidP="00E51B09">
            <w:pPr>
              <w:widowControl w:val="0"/>
              <w:numPr>
                <w:ilvl w:val="0"/>
                <w:numId w:val="36"/>
              </w:numPr>
              <w:spacing w:before="40" w:after="40"/>
              <w:rPr>
                <w:rFonts w:ascii="Arial Narrow" w:hAnsi="Arial Narrow"/>
                <w:sz w:val="18"/>
                <w:szCs w:val="18"/>
              </w:rPr>
            </w:pPr>
            <w:r>
              <w:rPr>
                <w:rFonts w:ascii="Arial Narrow" w:hAnsi="Arial Narrow"/>
                <w:sz w:val="18"/>
                <w:szCs w:val="18"/>
              </w:rPr>
              <w:t>NM_000110.4(</w:t>
            </w:r>
            <w:r>
              <w:rPr>
                <w:rFonts w:ascii="Arial Narrow" w:hAnsi="Arial Narrow"/>
                <w:i/>
                <w:iCs/>
                <w:sz w:val="18"/>
                <w:szCs w:val="18"/>
              </w:rPr>
              <w:t>DPYD</w:t>
            </w:r>
            <w:proofErr w:type="gramStart"/>
            <w:r>
              <w:rPr>
                <w:rFonts w:ascii="Arial Narrow" w:hAnsi="Arial Narrow"/>
                <w:sz w:val="18"/>
                <w:szCs w:val="18"/>
              </w:rPr>
              <w:t>):c.</w:t>
            </w:r>
            <w:proofErr w:type="gramEnd"/>
            <w:r>
              <w:rPr>
                <w:rFonts w:ascii="Arial Narrow" w:hAnsi="Arial Narrow"/>
                <w:sz w:val="18"/>
                <w:szCs w:val="18"/>
              </w:rPr>
              <w:t>1679T&gt;G  </w:t>
            </w:r>
          </w:p>
          <w:p w14:paraId="0AD93C4C" w14:textId="77777777" w:rsidR="00E51B09" w:rsidRDefault="00E51B09" w:rsidP="00E51B09">
            <w:pPr>
              <w:widowControl w:val="0"/>
              <w:numPr>
                <w:ilvl w:val="0"/>
                <w:numId w:val="37"/>
              </w:numPr>
              <w:spacing w:before="40" w:after="40"/>
              <w:rPr>
                <w:rFonts w:ascii="Arial Narrow" w:hAnsi="Arial Narrow"/>
                <w:sz w:val="18"/>
                <w:szCs w:val="18"/>
              </w:rPr>
            </w:pPr>
            <w:r>
              <w:rPr>
                <w:rFonts w:ascii="Arial Narrow" w:hAnsi="Arial Narrow"/>
                <w:sz w:val="18"/>
                <w:szCs w:val="18"/>
              </w:rPr>
              <w:t>NM_000110.4(</w:t>
            </w:r>
            <w:r>
              <w:rPr>
                <w:rFonts w:ascii="Arial Narrow" w:hAnsi="Arial Narrow"/>
                <w:i/>
                <w:iCs/>
                <w:sz w:val="18"/>
                <w:szCs w:val="18"/>
              </w:rPr>
              <w:t>DPYD</w:t>
            </w:r>
            <w:proofErr w:type="gramStart"/>
            <w:r>
              <w:rPr>
                <w:rFonts w:ascii="Arial Narrow" w:hAnsi="Arial Narrow"/>
                <w:sz w:val="18"/>
                <w:szCs w:val="18"/>
              </w:rPr>
              <w:t>):c.</w:t>
            </w:r>
            <w:proofErr w:type="gramEnd"/>
            <w:r>
              <w:rPr>
                <w:rFonts w:ascii="Arial Narrow" w:hAnsi="Arial Narrow"/>
                <w:sz w:val="18"/>
                <w:szCs w:val="18"/>
              </w:rPr>
              <w:t>2846A&gt;T </w:t>
            </w:r>
          </w:p>
          <w:p w14:paraId="4AEAE7E1" w14:textId="77777777" w:rsidR="00E51B09" w:rsidRDefault="00E51B09" w:rsidP="00E51B09">
            <w:pPr>
              <w:widowControl w:val="0"/>
              <w:numPr>
                <w:ilvl w:val="0"/>
                <w:numId w:val="37"/>
              </w:numPr>
              <w:spacing w:before="40" w:after="40"/>
              <w:rPr>
                <w:rFonts w:ascii="Arial Narrow" w:hAnsi="Arial Narrow"/>
                <w:sz w:val="18"/>
                <w:szCs w:val="18"/>
              </w:rPr>
            </w:pPr>
            <w:r>
              <w:rPr>
                <w:rFonts w:ascii="Arial Narrow" w:hAnsi="Arial Narrow"/>
                <w:sz w:val="18"/>
                <w:szCs w:val="18"/>
              </w:rPr>
              <w:t>NM_000110.4(</w:t>
            </w:r>
            <w:r>
              <w:rPr>
                <w:rFonts w:ascii="Arial Narrow" w:hAnsi="Arial Narrow"/>
                <w:i/>
                <w:iCs/>
                <w:sz w:val="18"/>
                <w:szCs w:val="18"/>
              </w:rPr>
              <w:t>DPYD</w:t>
            </w:r>
            <w:proofErr w:type="gramStart"/>
            <w:r>
              <w:rPr>
                <w:rFonts w:ascii="Arial Narrow" w:hAnsi="Arial Narrow"/>
                <w:sz w:val="18"/>
                <w:szCs w:val="18"/>
              </w:rPr>
              <w:t>):c.</w:t>
            </w:r>
            <w:proofErr w:type="gramEnd"/>
            <w:r>
              <w:rPr>
                <w:rFonts w:ascii="Arial Narrow" w:hAnsi="Arial Narrow"/>
                <w:sz w:val="18"/>
                <w:szCs w:val="18"/>
              </w:rPr>
              <w:t>1129-5923C&gt;G  </w:t>
            </w:r>
          </w:p>
        </w:tc>
      </w:tr>
    </w:tbl>
    <w:p w14:paraId="4D105A0D" w14:textId="77777777" w:rsidR="00E51B09" w:rsidRDefault="00E51B09" w:rsidP="00E51B09"/>
    <w:tbl>
      <w:tblPr>
        <w:tblStyle w:val="TableGrid"/>
        <w:tblW w:w="0" w:type="auto"/>
        <w:tblLook w:val="04A0" w:firstRow="1" w:lastRow="0" w:firstColumn="1" w:lastColumn="0" w:noHBand="0" w:noVBand="1"/>
        <w:tblDescription w:val="Consumer summary of MSAC consideration"/>
      </w:tblPr>
      <w:tblGrid>
        <w:gridCol w:w="9016"/>
      </w:tblGrid>
      <w:tr w:rsidR="00E51B09" w14:paraId="716B6546" w14:textId="77777777" w:rsidTr="373064EB">
        <w:trPr>
          <w:tblHeader/>
        </w:trPr>
        <w:tc>
          <w:tcPr>
            <w:tcW w:w="9016" w:type="dxa"/>
            <w:tcBorders>
              <w:top w:val="single" w:sz="4" w:space="0" w:color="auto"/>
              <w:left w:val="single" w:sz="4" w:space="0" w:color="auto"/>
              <w:bottom w:val="single" w:sz="4" w:space="0" w:color="auto"/>
              <w:right w:val="single" w:sz="4" w:space="0" w:color="auto"/>
            </w:tcBorders>
            <w:hideMark/>
          </w:tcPr>
          <w:p w14:paraId="5462E802" w14:textId="77777777" w:rsidR="00E51B09" w:rsidRDefault="00E51B09">
            <w:pPr>
              <w:pStyle w:val="Heading3"/>
              <w:rPr>
                <w:rFonts w:eastAsiaTheme="minorHAnsi" w:cstheme="minorBidi"/>
                <w:iCs/>
              </w:rPr>
            </w:pPr>
            <w:r>
              <w:t>Consumer summary</w:t>
            </w:r>
          </w:p>
        </w:tc>
      </w:tr>
      <w:tr w:rsidR="00E51B09" w14:paraId="3926C9ED" w14:textId="77777777" w:rsidTr="373064EB">
        <w:tc>
          <w:tcPr>
            <w:tcW w:w="9016" w:type="dxa"/>
            <w:tcBorders>
              <w:top w:val="single" w:sz="4" w:space="0" w:color="auto"/>
              <w:left w:val="single" w:sz="4" w:space="0" w:color="auto"/>
              <w:bottom w:val="single" w:sz="4" w:space="0" w:color="auto"/>
              <w:right w:val="single" w:sz="4" w:space="0" w:color="auto"/>
            </w:tcBorders>
            <w:hideMark/>
          </w:tcPr>
          <w:p w14:paraId="40191262" w14:textId="074D9DE9" w:rsidR="00E51B09" w:rsidRDefault="00E51B09" w:rsidP="373064EB">
            <w:pPr>
              <w:spacing w:after="0"/>
              <w:rPr>
                <w:rFonts w:eastAsiaTheme="minorEastAsia" w:cstheme="minorBidi"/>
              </w:rPr>
            </w:pPr>
            <w:r>
              <w:t xml:space="preserve">This application from the Royal College of Pathologists of Australasia (RCPA) </w:t>
            </w:r>
            <w:r w:rsidR="00276FD8">
              <w:t>requested</w:t>
            </w:r>
            <w:r>
              <w:t xml:space="preserve"> Medicare Benefits Schedule (MBS) listing of </w:t>
            </w:r>
            <w:proofErr w:type="spellStart"/>
            <w:r w:rsidRPr="373064EB">
              <w:rPr>
                <w:i/>
                <w:iCs/>
              </w:rPr>
              <w:t>dihydropyrimidine</w:t>
            </w:r>
            <w:proofErr w:type="spellEnd"/>
            <w:r w:rsidRPr="373064EB">
              <w:rPr>
                <w:i/>
                <w:iCs/>
              </w:rPr>
              <w:t xml:space="preserve"> dehydrogenase</w:t>
            </w:r>
            <w:r>
              <w:t xml:space="preserve"> (</w:t>
            </w:r>
            <w:r w:rsidRPr="373064EB">
              <w:rPr>
                <w:i/>
                <w:iCs/>
              </w:rPr>
              <w:t>DP</w:t>
            </w:r>
            <w:r w:rsidR="0036555B" w:rsidRPr="373064EB">
              <w:rPr>
                <w:i/>
                <w:iCs/>
              </w:rPr>
              <w:t>Y</w:t>
            </w:r>
            <w:r w:rsidRPr="373064EB">
              <w:rPr>
                <w:i/>
                <w:iCs/>
              </w:rPr>
              <w:t>D</w:t>
            </w:r>
            <w:r>
              <w:t xml:space="preserve">) </w:t>
            </w:r>
            <w:r w:rsidR="00F254E8">
              <w:t>genetic testing</w:t>
            </w:r>
            <w:r w:rsidR="00771DCF">
              <w:t>. This test may</w:t>
            </w:r>
            <w:r w:rsidR="00F254E8">
              <w:t xml:space="preserve"> </w:t>
            </w:r>
            <w:r w:rsidR="00CE7685">
              <w:t xml:space="preserve">identify patients </w:t>
            </w:r>
            <w:r w:rsidR="00A94025">
              <w:t xml:space="preserve">who are likely to have severe side effects </w:t>
            </w:r>
            <w:r w:rsidR="002B0FE2">
              <w:t xml:space="preserve">(toxicity) </w:t>
            </w:r>
            <w:r w:rsidR="00A94025">
              <w:t xml:space="preserve">with a type of cancer chemotherapy called </w:t>
            </w:r>
            <w:r>
              <w:t>fluoropyrimidine</w:t>
            </w:r>
            <w:r w:rsidR="00A94025">
              <w:t>s</w:t>
            </w:r>
            <w:r>
              <w:t xml:space="preserve"> (FP).</w:t>
            </w:r>
            <w:r w:rsidR="00C91E91">
              <w:t xml:space="preserve"> </w:t>
            </w:r>
            <w:r w:rsidR="2F3728B2">
              <w:t xml:space="preserve">MSAC </w:t>
            </w:r>
            <w:r w:rsidR="433DC144">
              <w:t>supported</w:t>
            </w:r>
            <w:r w:rsidR="1C4A9E33">
              <w:t xml:space="preserve"> </w:t>
            </w:r>
            <w:r w:rsidR="502D5710">
              <w:t>funding for this test</w:t>
            </w:r>
            <w:r w:rsidR="5BBA2562">
              <w:t xml:space="preserve"> in patients who are about to commence </w:t>
            </w:r>
            <w:r w:rsidR="7ECC3264">
              <w:t xml:space="preserve">FP-based treatment. </w:t>
            </w:r>
            <w:r w:rsidR="008216AB">
              <w:t xml:space="preserve">MSAC also supported </w:t>
            </w:r>
            <w:r w:rsidR="00F4102A">
              <w:t xml:space="preserve">expanding the </w:t>
            </w:r>
            <w:r w:rsidR="001B3D1D">
              <w:t>proposed patient population to include</w:t>
            </w:r>
            <w:r w:rsidR="001D5058">
              <w:t xml:space="preserve"> patients who are </w:t>
            </w:r>
            <w:r w:rsidR="00265C59">
              <w:t xml:space="preserve">currently </w:t>
            </w:r>
            <w:r w:rsidR="001D5058">
              <w:t xml:space="preserve">undergoing </w:t>
            </w:r>
            <w:r w:rsidR="00262717">
              <w:t xml:space="preserve">or </w:t>
            </w:r>
            <w:r w:rsidR="007D0D05">
              <w:t>have previously</w:t>
            </w:r>
            <w:r w:rsidR="00265C59">
              <w:t xml:space="preserve"> </w:t>
            </w:r>
            <w:r w:rsidR="00262717">
              <w:t xml:space="preserve">received </w:t>
            </w:r>
            <w:r w:rsidR="001D5058">
              <w:t>FP-based treatme</w:t>
            </w:r>
            <w:r w:rsidR="003C2BAD">
              <w:t>nt</w:t>
            </w:r>
            <w:r w:rsidR="007D0D05">
              <w:t xml:space="preserve">, </w:t>
            </w:r>
            <w:r w:rsidR="00262717">
              <w:t xml:space="preserve">to </w:t>
            </w:r>
            <w:r w:rsidR="002D4FD1">
              <w:t>p</w:t>
            </w:r>
            <w:r w:rsidR="0092054D">
              <w:t>redict</w:t>
            </w:r>
            <w:r w:rsidR="003C2BAD">
              <w:t xml:space="preserve"> or </w:t>
            </w:r>
            <w:r w:rsidR="00012526">
              <w:t>ascertain</w:t>
            </w:r>
            <w:r w:rsidR="00FF1FD9">
              <w:t xml:space="preserve"> FP-induced toxicity.</w:t>
            </w:r>
          </w:p>
          <w:p w14:paraId="6AD19C65" w14:textId="4B2A2E28" w:rsidR="00322C25" w:rsidRDefault="007C4129">
            <w:pPr>
              <w:spacing w:after="0"/>
            </w:pPr>
            <w:r w:rsidRPr="007C4129">
              <w:t xml:space="preserve">FPs are chemotherapy agents </w:t>
            </w:r>
            <w:r w:rsidR="00ED7C96">
              <w:t xml:space="preserve">used </w:t>
            </w:r>
            <w:r w:rsidR="00BA4873">
              <w:t xml:space="preserve">to treat solid tumours </w:t>
            </w:r>
            <w:r w:rsidR="007E7303">
              <w:t>such as breast, colorectal or pancreatic cancers. FPs can also be used</w:t>
            </w:r>
            <w:r w:rsidR="000B02EF">
              <w:t xml:space="preserve"> as</w:t>
            </w:r>
            <w:r w:rsidR="007E7303">
              <w:t xml:space="preserve"> </w:t>
            </w:r>
            <w:r w:rsidR="00A72E12" w:rsidRPr="00A72E12">
              <w:t>radio</w:t>
            </w:r>
            <w:r w:rsidR="00FB39D8">
              <w:t>-</w:t>
            </w:r>
            <w:r w:rsidR="00A72E12" w:rsidRPr="00A72E12">
              <w:t>sensitising agents for radiotherapy</w:t>
            </w:r>
            <w:r w:rsidR="00A72E12">
              <w:t>. Commonly used FPs are 5-</w:t>
            </w:r>
            <w:r w:rsidR="00255639" w:rsidRPr="00255639">
              <w:t xml:space="preserve"> fluorouracil </w:t>
            </w:r>
            <w:r w:rsidR="007F5A2D">
              <w:t>(5-FU)</w:t>
            </w:r>
            <w:r w:rsidR="00A72E12">
              <w:t xml:space="preserve"> (administered intravenously) and capecitabine </w:t>
            </w:r>
            <w:r w:rsidR="00C006B5">
              <w:t xml:space="preserve">(a precursor of 5-FU) </w:t>
            </w:r>
            <w:r w:rsidR="00A72E12">
              <w:t>(administered orally).</w:t>
            </w:r>
            <w:r w:rsidR="00D943E4">
              <w:t xml:space="preserve"> </w:t>
            </w:r>
            <w:r w:rsidR="00B63758" w:rsidRPr="00B63758">
              <w:t xml:space="preserve">The enzyme </w:t>
            </w:r>
            <w:proofErr w:type="spellStart"/>
            <w:r w:rsidR="00B63758" w:rsidRPr="00B63758">
              <w:t>dihydropyrimidine</w:t>
            </w:r>
            <w:proofErr w:type="spellEnd"/>
            <w:r w:rsidR="00B63758" w:rsidRPr="00B63758">
              <w:t xml:space="preserve"> dehydrogenase (DPD) is </w:t>
            </w:r>
            <w:r w:rsidR="00EE2FE6">
              <w:t>needed to</w:t>
            </w:r>
            <w:r w:rsidR="00B63758" w:rsidRPr="00B63758">
              <w:t xml:space="preserve"> break down 5-FU</w:t>
            </w:r>
            <w:r w:rsidR="00037004">
              <w:t xml:space="preserve"> and removing it from the body</w:t>
            </w:r>
            <w:r w:rsidR="00B63758">
              <w:t xml:space="preserve">. </w:t>
            </w:r>
            <w:r w:rsidR="00194192">
              <w:t>Decrease</w:t>
            </w:r>
            <w:r w:rsidR="00CB2C0A">
              <w:t xml:space="preserve">d </w:t>
            </w:r>
            <w:r w:rsidR="00194192">
              <w:t>DPD enzyme activity can lead to</w:t>
            </w:r>
            <w:r w:rsidR="004B7ECD">
              <w:t xml:space="preserve"> </w:t>
            </w:r>
            <w:r w:rsidR="002B0FE2">
              <w:t xml:space="preserve">higher levels of </w:t>
            </w:r>
            <w:r w:rsidR="004B7ECD">
              <w:t>FP</w:t>
            </w:r>
            <w:r w:rsidR="002B0FE2">
              <w:t xml:space="preserve"> in the body</w:t>
            </w:r>
            <w:r w:rsidR="004B7ECD">
              <w:t>, subsequently resulting in</w:t>
            </w:r>
            <w:r w:rsidR="00194192">
              <w:t xml:space="preserve"> </w:t>
            </w:r>
            <w:r w:rsidR="00B206AA" w:rsidRPr="00B206AA">
              <w:t>increased toxicity risk from FPs</w:t>
            </w:r>
            <w:r w:rsidR="00C53BB4">
              <w:t xml:space="preserve">. </w:t>
            </w:r>
            <w:r w:rsidR="00125EBE">
              <w:t>Individuals</w:t>
            </w:r>
            <w:r w:rsidR="00E51B09">
              <w:t xml:space="preserve"> with </w:t>
            </w:r>
            <w:r w:rsidR="00E26A6B">
              <w:t xml:space="preserve">adverse events related to </w:t>
            </w:r>
            <w:r w:rsidR="00E51B09">
              <w:t xml:space="preserve">FP sensitivity </w:t>
            </w:r>
            <w:r w:rsidR="0013663C">
              <w:t>require admission to hospital</w:t>
            </w:r>
            <w:r w:rsidR="00A53171">
              <w:t xml:space="preserve"> for management</w:t>
            </w:r>
            <w:r w:rsidR="00E51B09">
              <w:t>, and in some cases</w:t>
            </w:r>
            <w:r w:rsidR="001125A7">
              <w:t xml:space="preserve"> the FP toxicity</w:t>
            </w:r>
            <w:r w:rsidR="00E51B09">
              <w:t xml:space="preserve"> can </w:t>
            </w:r>
            <w:r w:rsidR="00322C25">
              <w:t>lead to death</w:t>
            </w:r>
            <w:r w:rsidR="00E51B09">
              <w:t>.</w:t>
            </w:r>
            <w:r w:rsidR="000F3614">
              <w:t xml:space="preserve"> </w:t>
            </w:r>
            <w:r w:rsidR="00E51B09">
              <w:t xml:space="preserve">The </w:t>
            </w:r>
            <w:r w:rsidR="00E51B09">
              <w:rPr>
                <w:i/>
                <w:iCs/>
              </w:rPr>
              <w:t>DPYD</w:t>
            </w:r>
            <w:r w:rsidR="00E51B09">
              <w:t xml:space="preserve"> gene is responsible for DPD enzyme activity. </w:t>
            </w:r>
            <w:r w:rsidR="00EB70FA" w:rsidRPr="002C5FB1">
              <w:rPr>
                <w:i/>
                <w:iCs/>
              </w:rPr>
              <w:t>DPYD</w:t>
            </w:r>
            <w:r w:rsidR="00EB70FA">
              <w:t xml:space="preserve"> genotyping is a genetic test (a type of medical test) </w:t>
            </w:r>
            <w:r w:rsidR="00FC2DED">
              <w:t xml:space="preserve">that </w:t>
            </w:r>
            <w:r w:rsidR="00FC2DED" w:rsidRPr="00FC2DED">
              <w:t>looks at a person’s deoxyribonucleic acid (DNA) for differences in genes (called genetic variants) that could explain why a person has a certain condition</w:t>
            </w:r>
            <w:r w:rsidR="00A75443">
              <w:t xml:space="preserve"> or in this case </w:t>
            </w:r>
            <w:r w:rsidR="0025535C">
              <w:t xml:space="preserve">severe </w:t>
            </w:r>
            <w:r w:rsidR="00A75443">
              <w:t>adverse reaction to FP-treatment.</w:t>
            </w:r>
          </w:p>
          <w:p w14:paraId="13BCD201" w14:textId="1095AB16" w:rsidR="006E686F" w:rsidRDefault="7754D6FE">
            <w:pPr>
              <w:spacing w:after="0"/>
            </w:pPr>
            <w:r w:rsidRPr="01FD6F0F">
              <w:rPr>
                <w:i/>
                <w:iCs/>
              </w:rPr>
              <w:t>DPYD</w:t>
            </w:r>
            <w:r>
              <w:t xml:space="preserve"> </w:t>
            </w:r>
            <w:r w:rsidR="332E85E7">
              <w:t xml:space="preserve">genotyping </w:t>
            </w:r>
            <w:r w:rsidR="1E0AF366">
              <w:t>i</w:t>
            </w:r>
            <w:r w:rsidR="33EE9574">
              <w:t xml:space="preserve">n patients </w:t>
            </w:r>
            <w:r w:rsidR="2131E391">
              <w:t>who</w:t>
            </w:r>
            <w:r w:rsidR="13DBD744">
              <w:t xml:space="preserve"> are about to</w:t>
            </w:r>
            <w:r w:rsidR="2131E391">
              <w:t xml:space="preserve"> </w:t>
            </w:r>
            <w:r w:rsidR="1EF813B9">
              <w:t>receive</w:t>
            </w:r>
            <w:r w:rsidR="390BAE14">
              <w:t xml:space="preserve"> or received</w:t>
            </w:r>
            <w:r w:rsidR="2131E391">
              <w:t xml:space="preserve"> </w:t>
            </w:r>
            <w:r w:rsidR="091E1CA7">
              <w:t>FP-based treatment would</w:t>
            </w:r>
            <w:r w:rsidR="33EE9574">
              <w:t xml:space="preserve"> </w:t>
            </w:r>
            <w:r w:rsidR="6DDD796A">
              <w:t>enable</w:t>
            </w:r>
            <w:r w:rsidR="38D420E1">
              <w:t xml:space="preserve"> </w:t>
            </w:r>
            <w:r w:rsidR="61201138">
              <w:t>clinicians</w:t>
            </w:r>
            <w:r w:rsidR="6DDD796A">
              <w:t xml:space="preserve"> to predict FP-induced toxicity</w:t>
            </w:r>
            <w:r w:rsidR="236818B9">
              <w:t xml:space="preserve"> in many individuals</w:t>
            </w:r>
            <w:r w:rsidR="39BDA9A7">
              <w:t xml:space="preserve">. Patients </w:t>
            </w:r>
            <w:r w:rsidR="61E5F0A6">
              <w:t xml:space="preserve">with positive test results </w:t>
            </w:r>
            <w:r w:rsidR="7F73D504">
              <w:t>will either have their FP treatment dose lowered, or a</w:t>
            </w:r>
            <w:r w:rsidR="2FB92E66">
              <w:t xml:space="preserve">n alternative </w:t>
            </w:r>
            <w:r w:rsidR="00E9EF3F">
              <w:t>treatment option may be selected.</w:t>
            </w:r>
          </w:p>
          <w:p w14:paraId="465981FB" w14:textId="6BE80F61" w:rsidR="009924B4" w:rsidRDefault="00892789">
            <w:pPr>
              <w:spacing w:after="0"/>
            </w:pPr>
            <w:r w:rsidRPr="00BC566D">
              <w:t>MSAC acknowledged that</w:t>
            </w:r>
            <w:r>
              <w:rPr>
                <w:i/>
                <w:iCs/>
              </w:rPr>
              <w:t xml:space="preserve"> </w:t>
            </w:r>
            <w:r w:rsidR="00E51B09" w:rsidRPr="00BC566D">
              <w:rPr>
                <w:i/>
                <w:iCs/>
              </w:rPr>
              <w:t>DP</w:t>
            </w:r>
            <w:r w:rsidR="00E764B1" w:rsidRPr="00BC566D">
              <w:rPr>
                <w:i/>
                <w:iCs/>
              </w:rPr>
              <w:t>Y</w:t>
            </w:r>
            <w:r w:rsidR="00E51B09" w:rsidRPr="00BC566D">
              <w:rPr>
                <w:i/>
                <w:iCs/>
              </w:rPr>
              <w:t>D</w:t>
            </w:r>
            <w:r w:rsidR="00E51B09">
              <w:t xml:space="preserve"> </w:t>
            </w:r>
            <w:r w:rsidR="008B18CE">
              <w:t xml:space="preserve">testing </w:t>
            </w:r>
            <w:r w:rsidR="00E51B09">
              <w:t xml:space="preserve">does not identify all people who </w:t>
            </w:r>
            <w:r w:rsidR="00A430EC">
              <w:t xml:space="preserve">may </w:t>
            </w:r>
            <w:r w:rsidR="00E51B09">
              <w:t xml:space="preserve">have FP </w:t>
            </w:r>
            <w:r w:rsidR="006430E5">
              <w:t>toxicity</w:t>
            </w:r>
            <w:r w:rsidR="00E51B09">
              <w:t xml:space="preserve">. </w:t>
            </w:r>
            <w:r w:rsidR="00C561A3">
              <w:t>MSAC noted that</w:t>
            </w:r>
            <w:r w:rsidR="00281EEE">
              <w:t xml:space="preserve"> approximately </w:t>
            </w:r>
            <w:r w:rsidR="00E51B09">
              <w:t xml:space="preserve">25% of </w:t>
            </w:r>
            <w:r w:rsidR="00281EEE">
              <w:t xml:space="preserve">patients </w:t>
            </w:r>
            <w:r w:rsidR="00E51B09">
              <w:t xml:space="preserve">who test negative </w:t>
            </w:r>
            <w:r w:rsidR="00892ACE">
              <w:t xml:space="preserve">may still </w:t>
            </w:r>
            <w:r w:rsidR="0050384B">
              <w:t>have toxicity from</w:t>
            </w:r>
            <w:r w:rsidR="00E51B09">
              <w:t xml:space="preserve"> </w:t>
            </w:r>
            <w:r w:rsidR="00E51B09">
              <w:lastRenderedPageBreak/>
              <w:t xml:space="preserve">FP-based </w:t>
            </w:r>
            <w:r w:rsidR="0050384B">
              <w:t>chemotherapy.</w:t>
            </w:r>
            <w:r w:rsidR="00F25FCA">
              <w:t xml:space="preserve"> This is because</w:t>
            </w:r>
            <w:r w:rsidR="0050384B">
              <w:t xml:space="preserve"> </w:t>
            </w:r>
            <w:r w:rsidR="00D20C95" w:rsidRPr="00D20C95">
              <w:t>testing for the four</w:t>
            </w:r>
            <w:r w:rsidR="006430E5">
              <w:t xml:space="preserve"> common</w:t>
            </w:r>
            <w:r w:rsidR="00D20C95" w:rsidRPr="00D20C95">
              <w:t xml:space="preserve"> </w:t>
            </w:r>
            <w:r w:rsidR="00D20C95" w:rsidRPr="00D20C95">
              <w:rPr>
                <w:i/>
              </w:rPr>
              <w:t>DPYD</w:t>
            </w:r>
            <w:r w:rsidR="00D20C95" w:rsidRPr="00D20C95">
              <w:t xml:space="preserve"> </w:t>
            </w:r>
            <w:r w:rsidR="000677FD">
              <w:t xml:space="preserve">genetic </w:t>
            </w:r>
            <w:r w:rsidR="00D20C95" w:rsidRPr="00D20C95">
              <w:t xml:space="preserve">variants </w:t>
            </w:r>
            <w:r w:rsidR="0003401B">
              <w:t>proposed</w:t>
            </w:r>
            <w:r w:rsidR="00D20C95" w:rsidRPr="00D20C95">
              <w:t xml:space="preserve"> in the application will not identify all patients who may develop toxicity from FP-based chemotherapy</w:t>
            </w:r>
            <w:r w:rsidR="00D20C95">
              <w:t>.</w:t>
            </w:r>
          </w:p>
          <w:p w14:paraId="7EC97ED5" w14:textId="04CCEC98" w:rsidR="000C7811" w:rsidRPr="000C7811" w:rsidRDefault="009924B4" w:rsidP="000C7811">
            <w:pPr>
              <w:spacing w:after="0"/>
            </w:pPr>
            <w:r>
              <w:t xml:space="preserve">MSAC noted that </w:t>
            </w:r>
            <w:r w:rsidR="004F467C" w:rsidRPr="373064EB">
              <w:rPr>
                <w:i/>
                <w:iCs/>
              </w:rPr>
              <w:t>DPYD</w:t>
            </w:r>
            <w:r w:rsidR="004F467C">
              <w:t xml:space="preserve"> </w:t>
            </w:r>
            <w:r w:rsidR="00EE6F03">
              <w:t>test</w:t>
            </w:r>
            <w:r w:rsidR="00E51B09">
              <w:t xml:space="preserve">ing </w:t>
            </w:r>
            <w:r w:rsidR="00683520">
              <w:t xml:space="preserve">aligns with </w:t>
            </w:r>
            <w:r w:rsidR="00E51B09">
              <w:t xml:space="preserve">international and national guidelines recommending the test before </w:t>
            </w:r>
            <w:r w:rsidR="007D0D05">
              <w:t xml:space="preserve">patients </w:t>
            </w:r>
            <w:r w:rsidR="00E51B09">
              <w:t>start FP-based treatment.</w:t>
            </w:r>
            <w:r w:rsidR="00892D53">
              <w:t xml:space="preserve"> </w:t>
            </w:r>
            <w:r w:rsidR="00E51B09">
              <w:t xml:space="preserve">MSAC </w:t>
            </w:r>
            <w:r w:rsidR="00E13731">
              <w:t>considered that</w:t>
            </w:r>
            <w:r w:rsidR="00F5594E">
              <w:t xml:space="preserve"> although</w:t>
            </w:r>
            <w:r w:rsidR="00E13731">
              <w:t xml:space="preserve"> </w:t>
            </w:r>
            <w:r w:rsidR="004F467C" w:rsidRPr="373064EB">
              <w:rPr>
                <w:i/>
                <w:iCs/>
              </w:rPr>
              <w:t>DPYD</w:t>
            </w:r>
            <w:r w:rsidR="004F467C">
              <w:t xml:space="preserve"> </w:t>
            </w:r>
            <w:r w:rsidR="009C50C7">
              <w:t>test</w:t>
            </w:r>
            <w:r w:rsidR="00E51B09">
              <w:t xml:space="preserve">ing </w:t>
            </w:r>
            <w:r w:rsidR="00F5594E">
              <w:t xml:space="preserve">would be </w:t>
            </w:r>
            <w:r w:rsidR="00E51B09">
              <w:t xml:space="preserve">beneficial for a small </w:t>
            </w:r>
            <w:r w:rsidR="00D8290E">
              <w:t xml:space="preserve">number </w:t>
            </w:r>
            <w:r w:rsidR="00E51B09">
              <w:t>of patients</w:t>
            </w:r>
            <w:r w:rsidR="00F5594E">
              <w:t xml:space="preserve">, </w:t>
            </w:r>
            <w:r w:rsidR="00567FBB">
              <w:t>it</w:t>
            </w:r>
            <w:r w:rsidR="00F5594E">
              <w:t xml:space="preserve"> has significant clinical impact</w:t>
            </w:r>
            <w:r w:rsidR="00CC0545">
              <w:t xml:space="preserve"> </w:t>
            </w:r>
            <w:r w:rsidR="00216A08">
              <w:t xml:space="preserve">and will </w:t>
            </w:r>
            <w:r w:rsidR="00877DAF">
              <w:t>improve</w:t>
            </w:r>
            <w:r w:rsidR="00CC0545">
              <w:t xml:space="preserve"> health outcomes</w:t>
            </w:r>
            <w:r w:rsidR="00BA2080">
              <w:t xml:space="preserve"> </w:t>
            </w:r>
            <w:r w:rsidR="000315B2">
              <w:t>for these patients</w:t>
            </w:r>
            <w:r w:rsidR="00E51B09">
              <w:t xml:space="preserve">. </w:t>
            </w:r>
            <w:r w:rsidR="34DA6028">
              <w:t>MSAC noted</w:t>
            </w:r>
            <w:r w:rsidR="10DB17C9">
              <w:t xml:space="preserve"> that </w:t>
            </w:r>
            <w:r w:rsidR="10DB17C9" w:rsidRPr="373064EB">
              <w:rPr>
                <w:i/>
                <w:iCs/>
              </w:rPr>
              <w:t xml:space="preserve">DPYD </w:t>
            </w:r>
            <w:r w:rsidR="10DB17C9">
              <w:t xml:space="preserve">testing is not expected to reduce the </w:t>
            </w:r>
            <w:r w:rsidR="76837BAF">
              <w:t xml:space="preserve">effectiveness of </w:t>
            </w:r>
            <w:r w:rsidR="688C55D5">
              <w:t xml:space="preserve">FP-based </w:t>
            </w:r>
            <w:r w:rsidR="76837BAF">
              <w:t>chemotherapy in treating cancer.</w:t>
            </w:r>
            <w:r w:rsidR="10DB17C9">
              <w:t xml:space="preserve"> </w:t>
            </w:r>
            <w:r w:rsidR="3BCAD2EE">
              <w:t xml:space="preserve">Additionally, </w:t>
            </w:r>
            <w:r w:rsidR="00892D53">
              <w:t xml:space="preserve">MSAC </w:t>
            </w:r>
            <w:r w:rsidR="1B07C6E9">
              <w:t>anticipated that the</w:t>
            </w:r>
            <w:r w:rsidR="000C7811">
              <w:t xml:space="preserve"> </w:t>
            </w:r>
            <w:r w:rsidR="006C60C7">
              <w:t xml:space="preserve">testing </w:t>
            </w:r>
            <w:r w:rsidR="000C7811">
              <w:t>to be cost saving to Australian government as it will reduce hospitalisations</w:t>
            </w:r>
            <w:r w:rsidR="00F94A67">
              <w:t xml:space="preserve"> and the cost</w:t>
            </w:r>
            <w:r w:rsidR="000C7811">
              <w:t xml:space="preserve"> to treat severe toxicity from FP chemotherapy.</w:t>
            </w:r>
            <w:r w:rsidR="00A06914">
              <w:t xml:space="preserve"> </w:t>
            </w:r>
            <w:r w:rsidR="000F2897">
              <w:t xml:space="preserve">However, </w:t>
            </w:r>
            <w:r w:rsidR="00A06914">
              <w:t xml:space="preserve">MSAC </w:t>
            </w:r>
            <w:r w:rsidR="000F2897">
              <w:t xml:space="preserve">considered </w:t>
            </w:r>
            <w:r w:rsidR="004714F0">
              <w:t xml:space="preserve">there was uncertainty in the estimated financial impact as utilisation may </w:t>
            </w:r>
            <w:r w:rsidR="00961D48">
              <w:t xml:space="preserve">have </w:t>
            </w:r>
            <w:r w:rsidR="004714F0">
              <w:t>be</w:t>
            </w:r>
            <w:r w:rsidR="00961D48">
              <w:t>en</w:t>
            </w:r>
            <w:r w:rsidR="004714F0">
              <w:t xml:space="preserve"> underestimated </w:t>
            </w:r>
            <w:r w:rsidR="00961D48">
              <w:t>and</w:t>
            </w:r>
            <w:r w:rsidR="000F2897">
              <w:t xml:space="preserve"> the</w:t>
            </w:r>
            <w:r w:rsidR="00961D48">
              <w:t xml:space="preserve">refore </w:t>
            </w:r>
            <w:r w:rsidR="00A06914">
              <w:t>advised that a review of utilisation should be conducted.</w:t>
            </w:r>
          </w:p>
          <w:p w14:paraId="0593C1A7" w14:textId="6738625D" w:rsidR="00E51B09" w:rsidRDefault="00AE7805" w:rsidP="00753DCF">
            <w:pPr>
              <w:spacing w:after="0"/>
            </w:pPr>
            <w:r>
              <w:t xml:space="preserve">MSAC noted that </w:t>
            </w:r>
            <w:r w:rsidR="00FB558E">
              <w:t xml:space="preserve">as </w:t>
            </w:r>
            <w:r w:rsidR="00E51B09">
              <w:t xml:space="preserve">this test does not identify everyone who is sensitive to FP-based treatment, </w:t>
            </w:r>
            <w:r w:rsidR="00F06042">
              <w:t>clini</w:t>
            </w:r>
            <w:r w:rsidR="00F06042" w:rsidRPr="00FB558E">
              <w:t xml:space="preserve">cian </w:t>
            </w:r>
            <w:r w:rsidR="00FB558E" w:rsidRPr="00FB558E">
              <w:t>and patient education</w:t>
            </w:r>
            <w:r w:rsidR="00753DCF">
              <w:t xml:space="preserve"> </w:t>
            </w:r>
            <w:r w:rsidR="00FB558E" w:rsidRPr="00FB558E">
              <w:t>about the test limitations is essential</w:t>
            </w:r>
            <w:r w:rsidR="00753DCF">
              <w:t xml:space="preserve"> prior to undergoing </w:t>
            </w:r>
            <w:r w:rsidR="00753DCF">
              <w:rPr>
                <w:i/>
                <w:iCs/>
              </w:rPr>
              <w:t xml:space="preserve">DPYD </w:t>
            </w:r>
            <w:r w:rsidR="00753DCF">
              <w:t xml:space="preserve">genotyping. </w:t>
            </w:r>
          </w:p>
          <w:p w14:paraId="1078D726" w14:textId="77777777" w:rsidR="00E51B09" w:rsidRDefault="00E51B09">
            <w:pPr>
              <w:pStyle w:val="Heading3"/>
            </w:pPr>
            <w:r>
              <w:t xml:space="preserve">MSAC’s advice to the </w:t>
            </w:r>
            <w:proofErr w:type="gramStart"/>
            <w:r>
              <w:t>Commonwealth Minister</w:t>
            </w:r>
            <w:proofErr w:type="gramEnd"/>
            <w:r>
              <w:t xml:space="preserve"> for Health and Aged Care</w:t>
            </w:r>
          </w:p>
          <w:p w14:paraId="06E2781E" w14:textId="75DBED46" w:rsidR="00E51B09" w:rsidRDefault="00582D08" w:rsidP="002C5FB1">
            <w:pPr>
              <w:spacing w:after="0"/>
              <w:jc w:val="both"/>
            </w:pPr>
            <w:r>
              <w:t xml:space="preserve">MSAC supported </w:t>
            </w:r>
            <w:r w:rsidRPr="001230D2">
              <w:t xml:space="preserve">the public funding </w:t>
            </w:r>
            <w:r w:rsidR="00C375E0" w:rsidRPr="00C375E0">
              <w:t xml:space="preserve">of </w:t>
            </w:r>
            <w:proofErr w:type="spellStart"/>
            <w:r w:rsidR="00C375E0" w:rsidRPr="00C375E0">
              <w:rPr>
                <w:i/>
                <w:iCs/>
              </w:rPr>
              <w:t>dihydropyrimidine</w:t>
            </w:r>
            <w:proofErr w:type="spellEnd"/>
            <w:r w:rsidR="00C375E0" w:rsidRPr="00C375E0">
              <w:rPr>
                <w:i/>
                <w:iCs/>
              </w:rPr>
              <w:t xml:space="preserve"> dehydrogenase</w:t>
            </w:r>
            <w:r w:rsidR="00C375E0" w:rsidRPr="00C375E0">
              <w:t xml:space="preserve"> (</w:t>
            </w:r>
            <w:r w:rsidR="00C375E0" w:rsidRPr="00C375E0">
              <w:rPr>
                <w:i/>
                <w:iCs/>
              </w:rPr>
              <w:t>DPYD)</w:t>
            </w:r>
            <w:r w:rsidR="00C375E0" w:rsidRPr="00C375E0">
              <w:t xml:space="preserve"> genotyping to predict or diagnose toxicity from fluoropyrimidine (FP) chemotherapy.</w:t>
            </w:r>
            <w:r w:rsidR="007031F8">
              <w:t xml:space="preserve"> </w:t>
            </w:r>
            <w:r w:rsidR="008208D1" w:rsidRPr="009E4BB7">
              <w:t xml:space="preserve">MSAC considered there is a high clinical need for </w:t>
            </w:r>
            <w:r w:rsidR="008208D1" w:rsidRPr="009E4BB7">
              <w:rPr>
                <w:i/>
                <w:iCs/>
              </w:rPr>
              <w:t>DPYD</w:t>
            </w:r>
            <w:r w:rsidR="008208D1" w:rsidRPr="009E4BB7">
              <w:t xml:space="preserve"> testing </w:t>
            </w:r>
            <w:r w:rsidR="00CC1804">
              <w:t xml:space="preserve">due to the </w:t>
            </w:r>
            <w:r w:rsidR="00300EEA">
              <w:t>life</w:t>
            </w:r>
            <w:r w:rsidR="00A069C9">
              <w:t>-</w:t>
            </w:r>
            <w:r w:rsidR="00300EEA">
              <w:t xml:space="preserve">threatening </w:t>
            </w:r>
            <w:r w:rsidR="00C51730">
              <w:t>consequences</w:t>
            </w:r>
            <w:r w:rsidR="00300EEA">
              <w:t xml:space="preserve"> </w:t>
            </w:r>
            <w:r w:rsidR="00143C56">
              <w:t>associated with FP-induced toxicity</w:t>
            </w:r>
            <w:r w:rsidR="00C51730">
              <w:t xml:space="preserve">. MSAC further considered </w:t>
            </w:r>
            <w:r w:rsidR="00297550">
              <w:rPr>
                <w:i/>
                <w:iCs/>
              </w:rPr>
              <w:t xml:space="preserve">DPYD </w:t>
            </w:r>
            <w:r w:rsidR="00297550">
              <w:t>testing</w:t>
            </w:r>
            <w:r w:rsidR="007B58C7" w:rsidRPr="009E4BB7">
              <w:t xml:space="preserve"> is </w:t>
            </w:r>
            <w:r w:rsidR="00634AA6">
              <w:t xml:space="preserve">safe, </w:t>
            </w:r>
            <w:r w:rsidR="007B58C7" w:rsidRPr="009E4BB7">
              <w:t>cost-effective</w:t>
            </w:r>
            <w:r w:rsidR="008746E8">
              <w:t>,</w:t>
            </w:r>
            <w:r w:rsidR="007B58C7" w:rsidRPr="009E4BB7">
              <w:t xml:space="preserve"> improves health outcomes</w:t>
            </w:r>
            <w:r w:rsidR="008746E8">
              <w:t xml:space="preserve">, and </w:t>
            </w:r>
            <w:r w:rsidR="00757F1C">
              <w:t>subsequently is</w:t>
            </w:r>
            <w:r w:rsidR="007B58C7" w:rsidRPr="009E4BB7">
              <w:t xml:space="preserve"> expected to be cost saving to Australian government </w:t>
            </w:r>
            <w:r w:rsidR="008E5E07">
              <w:t>as it will</w:t>
            </w:r>
            <w:r w:rsidR="007B58C7" w:rsidRPr="009E4BB7">
              <w:t xml:space="preserve"> </w:t>
            </w:r>
            <w:r w:rsidR="008E5E07">
              <w:t>reduce</w:t>
            </w:r>
            <w:r w:rsidR="007B58C7" w:rsidRPr="009E4BB7">
              <w:t xml:space="preserve"> the cost of treating severe toxicity from FP</w:t>
            </w:r>
            <w:r w:rsidR="00605764">
              <w:t xml:space="preserve"> </w:t>
            </w:r>
            <w:r w:rsidR="007B58C7" w:rsidRPr="009E4BB7">
              <w:t>chemotherapy</w:t>
            </w:r>
            <w:r w:rsidR="00605764">
              <w:t>.</w:t>
            </w:r>
            <w:r w:rsidR="007B58C7" w:rsidRPr="009E4BB7">
              <w:t> </w:t>
            </w:r>
            <w:r w:rsidR="00605764">
              <w:t xml:space="preserve"> </w:t>
            </w:r>
          </w:p>
        </w:tc>
      </w:tr>
    </w:tbl>
    <w:p w14:paraId="50BF4B85" w14:textId="77EC2D33" w:rsidR="00476193" w:rsidRPr="00476193" w:rsidRDefault="00476193" w:rsidP="00476193">
      <w:pPr>
        <w:pStyle w:val="Heading2"/>
      </w:pPr>
      <w:r>
        <w:lastRenderedPageBreak/>
        <w:t>3.</w:t>
      </w:r>
      <w:r>
        <w:tab/>
      </w:r>
      <w:r w:rsidRPr="003F6F2A">
        <w:t>Summary of consideration and rationale for MSAC’s advice</w:t>
      </w:r>
    </w:p>
    <w:p w14:paraId="4BA8678C" w14:textId="5DA09B77" w:rsidR="00CB2E7D" w:rsidRPr="00CB2E7D" w:rsidRDefault="00CB2E7D" w:rsidP="00BC566D">
      <w:pPr>
        <w:spacing w:after="0"/>
      </w:pPr>
      <w:r>
        <w:t xml:space="preserve">MSAC noted that this application from the Royal College of Pathologists of Australasia (RCPA) </w:t>
      </w:r>
      <w:r w:rsidR="00AD2E79">
        <w:t>requested</w:t>
      </w:r>
      <w:r>
        <w:t xml:space="preserve"> Medicare Benefits Schedule (MBS) listing of </w:t>
      </w:r>
      <w:proofErr w:type="spellStart"/>
      <w:r w:rsidRPr="61A19AEA">
        <w:rPr>
          <w:i/>
          <w:iCs/>
        </w:rPr>
        <w:t>dihydropyrimidine</w:t>
      </w:r>
      <w:proofErr w:type="spellEnd"/>
      <w:r w:rsidRPr="61A19AEA">
        <w:rPr>
          <w:i/>
          <w:iCs/>
        </w:rPr>
        <w:t xml:space="preserve"> dehydrogenase</w:t>
      </w:r>
      <w:r>
        <w:t xml:space="preserve"> (</w:t>
      </w:r>
      <w:r w:rsidRPr="61A19AEA">
        <w:rPr>
          <w:i/>
          <w:iCs/>
        </w:rPr>
        <w:t>DP</w:t>
      </w:r>
      <w:r w:rsidR="00E27BCE" w:rsidRPr="61A19AEA">
        <w:rPr>
          <w:i/>
          <w:iCs/>
        </w:rPr>
        <w:t>Y</w:t>
      </w:r>
      <w:r w:rsidRPr="61A19AEA">
        <w:rPr>
          <w:i/>
          <w:iCs/>
        </w:rPr>
        <w:t>D</w:t>
      </w:r>
      <w:r>
        <w:t xml:space="preserve">) genotyping </w:t>
      </w:r>
      <w:r w:rsidR="008B6D09">
        <w:t xml:space="preserve">to predict fluoropyrimidine (FP)-induced toxicity in patients with </w:t>
      </w:r>
      <w:r w:rsidR="00C660EA">
        <w:t xml:space="preserve">solid tumours who are about to commence a treatment protocol that includes oral or intravenous FP </w:t>
      </w:r>
      <w:r w:rsidR="008B6D09">
        <w:t>-based treatment.</w:t>
      </w:r>
      <w:r w:rsidR="00F35755">
        <w:t xml:space="preserve"> MSAC </w:t>
      </w:r>
      <w:r w:rsidR="00C73E5D">
        <w:t>supporte</w:t>
      </w:r>
      <w:r w:rsidR="00F35755">
        <w:t xml:space="preserve">d expanding the proposed patient population to include patients who are currently undergoing </w:t>
      </w:r>
      <w:r w:rsidR="0078469B">
        <w:t>FP-chemotherapy</w:t>
      </w:r>
      <w:r w:rsidR="00F16E6C">
        <w:t xml:space="preserve">, </w:t>
      </w:r>
      <w:proofErr w:type="gramStart"/>
      <w:r w:rsidR="00F16E6C">
        <w:t>and also</w:t>
      </w:r>
      <w:proofErr w:type="gramEnd"/>
      <w:r w:rsidR="00F16E6C">
        <w:t xml:space="preserve"> to </w:t>
      </w:r>
      <w:r w:rsidR="00AC621C">
        <w:t xml:space="preserve">include </w:t>
      </w:r>
      <w:r w:rsidR="00F16E6C">
        <w:t xml:space="preserve">patients who </w:t>
      </w:r>
      <w:r w:rsidR="008526AF">
        <w:t>had</w:t>
      </w:r>
      <w:r w:rsidR="00B82895">
        <w:t xml:space="preserve"> </w:t>
      </w:r>
      <w:r w:rsidR="77C1930B">
        <w:t xml:space="preserve">previously </w:t>
      </w:r>
      <w:r w:rsidR="0052056D">
        <w:t>experienced</w:t>
      </w:r>
      <w:r w:rsidR="00F16E6C">
        <w:t xml:space="preserve"> </w:t>
      </w:r>
      <w:r w:rsidR="000857D6">
        <w:t>FP-chemotherapy</w:t>
      </w:r>
      <w:r w:rsidR="00586974">
        <w:t xml:space="preserve"> </w:t>
      </w:r>
      <w:r w:rsidR="00877DAF">
        <w:t>related adverse</w:t>
      </w:r>
      <w:r w:rsidR="0078469B">
        <w:t xml:space="preserve"> reactions.</w:t>
      </w:r>
    </w:p>
    <w:p w14:paraId="3C83DED5" w14:textId="042B001F" w:rsidR="00A8303C" w:rsidRDefault="005E54EC" w:rsidP="003E62CA">
      <w:r>
        <w:t xml:space="preserve">MSAC noted that </w:t>
      </w:r>
      <w:r w:rsidR="00CB2E7D" w:rsidRPr="00CB2E7D">
        <w:t>FP chemotherapy and FP-based radio</w:t>
      </w:r>
      <w:r w:rsidR="009E27A2">
        <w:t>-</w:t>
      </w:r>
      <w:r w:rsidR="00CB2E7D" w:rsidRPr="00CB2E7D">
        <w:t xml:space="preserve">sensitisation are widely used, especially in the treatment of colorectal, pancreatic and breast cancers. </w:t>
      </w:r>
      <w:r w:rsidR="001973C4">
        <w:t>C</w:t>
      </w:r>
      <w:r w:rsidR="00E92F54">
        <w:t xml:space="preserve">ommonly used FPs are </w:t>
      </w:r>
      <w:r w:rsidR="005C204D" w:rsidRPr="005C204D">
        <w:t>fluorouracil</w:t>
      </w:r>
      <w:r w:rsidR="005C204D">
        <w:t xml:space="preserve"> (5-FU) and</w:t>
      </w:r>
      <w:r w:rsidR="00653C06" w:rsidRPr="00653C06">
        <w:t xml:space="preserve"> capecitabine, a precursor of 5-FU</w:t>
      </w:r>
      <w:r w:rsidR="00653C06">
        <w:t xml:space="preserve">. </w:t>
      </w:r>
      <w:r w:rsidR="00CB2E7D" w:rsidRPr="00CB2E7D">
        <w:t xml:space="preserve">The therapeutic effect of 5-FU is mediated by a </w:t>
      </w:r>
      <w:r w:rsidR="003F68F8">
        <w:t>small</w:t>
      </w:r>
      <w:r w:rsidR="003F68F8" w:rsidRPr="00CB2E7D">
        <w:t xml:space="preserve"> </w:t>
      </w:r>
      <w:r w:rsidR="00CB2E7D" w:rsidRPr="00CB2E7D">
        <w:t xml:space="preserve">fraction (1–3%) of the administered dose that is anabolised into cytotoxic metabolites. </w:t>
      </w:r>
      <w:r w:rsidR="003E62CA" w:rsidRPr="003E62CA">
        <w:t xml:space="preserve">The enzyme </w:t>
      </w:r>
      <w:proofErr w:type="spellStart"/>
      <w:r w:rsidR="003E62CA" w:rsidRPr="003E62CA">
        <w:t>dihydropyrimidine</w:t>
      </w:r>
      <w:proofErr w:type="spellEnd"/>
      <w:r w:rsidR="003E62CA" w:rsidRPr="003E62CA">
        <w:t xml:space="preserve"> dehydrogenase (DPD) is crucial for breaking down 5-FU, </w:t>
      </w:r>
      <w:r w:rsidR="008E25DE">
        <w:t>mediat</w:t>
      </w:r>
      <w:r w:rsidR="003E62CA" w:rsidRPr="003E62CA">
        <w:t>ing about 8</w:t>
      </w:r>
      <w:r w:rsidR="00CB49AF">
        <w:t>5</w:t>
      </w:r>
      <w:r w:rsidR="003E62CA" w:rsidRPr="003E62CA">
        <w:t>% of its catabolism</w:t>
      </w:r>
      <w:r w:rsidR="001A40D0">
        <w:t xml:space="preserve"> in the </w:t>
      </w:r>
      <w:r w:rsidR="001A40D0" w:rsidRPr="003E62CA">
        <w:t>liver</w:t>
      </w:r>
      <w:r w:rsidR="00416A1F">
        <w:rPr>
          <w:rStyle w:val="FootnoteReference"/>
        </w:rPr>
        <w:footnoteReference w:id="2"/>
      </w:r>
      <w:r w:rsidR="003E62CA" w:rsidRPr="003E62CA">
        <w:t xml:space="preserve">. </w:t>
      </w:r>
      <w:r w:rsidR="00F73555">
        <w:t>Patients with reduced</w:t>
      </w:r>
      <w:r w:rsidR="003E62CA" w:rsidRPr="003E62CA">
        <w:t xml:space="preserve"> DPD enzyme activity </w:t>
      </w:r>
      <w:r w:rsidR="002C513B">
        <w:t xml:space="preserve">due to </w:t>
      </w:r>
      <w:r w:rsidR="00A8303C" w:rsidRPr="00A8303C">
        <w:rPr>
          <w:i/>
          <w:iCs/>
        </w:rPr>
        <w:t>DPYD</w:t>
      </w:r>
      <w:r w:rsidR="00A8303C" w:rsidRPr="00A8303C">
        <w:t xml:space="preserve"> gene</w:t>
      </w:r>
      <w:r w:rsidR="002C513B">
        <w:t>tic</w:t>
      </w:r>
      <w:r w:rsidR="00A8303C" w:rsidRPr="00A8303C">
        <w:t xml:space="preserve"> variations experience increased drug exposure and </w:t>
      </w:r>
      <w:r w:rsidR="00CC02CB">
        <w:t xml:space="preserve">therefore </w:t>
      </w:r>
      <w:r w:rsidR="00A8303C" w:rsidRPr="00A8303C">
        <w:t>5-FU toxicity.</w:t>
      </w:r>
    </w:p>
    <w:p w14:paraId="125E0E7C" w14:textId="0F92DB75" w:rsidR="00CB2E7D" w:rsidRPr="00CB2E7D" w:rsidRDefault="73DCC424" w:rsidP="00CB2E7D">
      <w:r>
        <w:lastRenderedPageBreak/>
        <w:t>MSAC noted that</w:t>
      </w:r>
      <w:r w:rsidR="70D5F297">
        <w:t xml:space="preserve"> approximately</w:t>
      </w:r>
      <w:r>
        <w:t xml:space="preserve"> 3–8% of the Caucasian population have low DPD enzyme activity</w:t>
      </w:r>
      <w:r w:rsidR="00AB07D0">
        <w:rPr>
          <w:rStyle w:val="FootnoteReference"/>
        </w:rPr>
        <w:footnoteReference w:id="3"/>
      </w:r>
      <w:r>
        <w:t>, and 0.3% have no DPD enzyme activity</w:t>
      </w:r>
      <w:r w:rsidR="000B469C">
        <w:rPr>
          <w:rStyle w:val="FootnoteReference"/>
        </w:rPr>
        <w:footnoteReference w:id="4"/>
      </w:r>
      <w:r>
        <w:t xml:space="preserve">. These patients accumulate the active drug metabolite, leading to FP </w:t>
      </w:r>
      <w:r w:rsidR="6DBCD13B">
        <w:t xml:space="preserve">related </w:t>
      </w:r>
      <w:r>
        <w:t>toxicity.</w:t>
      </w:r>
      <w:r w:rsidR="442AFD46">
        <w:t xml:space="preserve"> MSAC noted that</w:t>
      </w:r>
      <w:r>
        <w:t xml:space="preserve"> </w:t>
      </w:r>
      <w:r w:rsidRPr="61A9A45C">
        <w:rPr>
          <w:i/>
          <w:iCs/>
        </w:rPr>
        <w:t>DPYD</w:t>
      </w:r>
      <w:r>
        <w:t xml:space="preserve"> genotyping of the </w:t>
      </w:r>
      <w:r w:rsidR="5EB698D5">
        <w:t>four</w:t>
      </w:r>
      <w:r>
        <w:t xml:space="preserve"> most common genetic variants predicts 20–30% of early onset life-threatening 5-FU toxicities. </w:t>
      </w:r>
      <w:r w:rsidR="22B67721">
        <w:t>MSAC considered that results</w:t>
      </w:r>
      <w:r w:rsidR="28AECDD0">
        <w:t xml:space="preserve"> from the </w:t>
      </w:r>
      <w:r w:rsidR="28AECDD0" w:rsidRPr="61A9A45C">
        <w:rPr>
          <w:i/>
          <w:iCs/>
        </w:rPr>
        <w:t xml:space="preserve">DPYD </w:t>
      </w:r>
      <w:r w:rsidR="28AECDD0">
        <w:t>genotyping can</w:t>
      </w:r>
      <w:r w:rsidR="73F557A7">
        <w:t xml:space="preserve"> inform the development of personalised treatment strategies, including dose optimisation of FP</w:t>
      </w:r>
      <w:r w:rsidR="1827EB00">
        <w:t xml:space="preserve">, </w:t>
      </w:r>
      <w:r w:rsidR="256EBB26">
        <w:t xml:space="preserve">or </w:t>
      </w:r>
      <w:r w:rsidR="6169C906">
        <w:t xml:space="preserve">use of </w:t>
      </w:r>
      <w:r w:rsidR="256EBB26">
        <w:t>an alternative non-FP-based treatment.</w:t>
      </w:r>
      <w:r w:rsidR="1827EB00">
        <w:t xml:space="preserve"> </w:t>
      </w:r>
      <w:r w:rsidR="5A0672CB">
        <w:t xml:space="preserve">However, </w:t>
      </w:r>
      <w:r>
        <w:t xml:space="preserve">MSAC noted that severe FP-related toxicity still occurs in approximately 25% of wildtype </w:t>
      </w:r>
      <w:r w:rsidR="6E6B9F49" w:rsidRPr="61A9A45C">
        <w:rPr>
          <w:i/>
          <w:iCs/>
        </w:rPr>
        <w:t xml:space="preserve">DPYD </w:t>
      </w:r>
      <w:r>
        <w:t>carrier</w:t>
      </w:r>
      <w:r w:rsidR="6E6B9F49">
        <w:t>s</w:t>
      </w:r>
      <w:r w:rsidR="4CD3C469">
        <w:t xml:space="preserve">, </w:t>
      </w:r>
      <w:r w:rsidR="00F9EBCD">
        <w:t>indicating</w:t>
      </w:r>
      <w:r w:rsidR="4CD3C469">
        <w:t xml:space="preserve"> </w:t>
      </w:r>
      <w:r w:rsidR="7CD6E354">
        <w:t xml:space="preserve">the absence of the four </w:t>
      </w:r>
      <w:r w:rsidR="3B8A4550" w:rsidRPr="61A9A45C">
        <w:rPr>
          <w:i/>
          <w:iCs/>
        </w:rPr>
        <w:t xml:space="preserve">DPYD </w:t>
      </w:r>
      <w:r w:rsidR="7CD6E354">
        <w:t xml:space="preserve">variants does not eliminate </w:t>
      </w:r>
      <w:r w:rsidR="3B8A4550">
        <w:t>risk of developing FP-related toxicity</w:t>
      </w:r>
      <w:r w:rsidR="4C32D4B1">
        <w:t xml:space="preserve"> and additional factors</w:t>
      </w:r>
      <w:r w:rsidR="1C395A08">
        <w:t xml:space="preserve"> such as other deleterious </w:t>
      </w:r>
      <w:r w:rsidR="1C395A08" w:rsidRPr="61A9A45C">
        <w:rPr>
          <w:i/>
          <w:iCs/>
        </w:rPr>
        <w:t xml:space="preserve">DPYD </w:t>
      </w:r>
      <w:r w:rsidR="1C395A08">
        <w:t>variants may contribute to toxicity</w:t>
      </w:r>
      <w:r w:rsidR="3B8A4550">
        <w:t>.</w:t>
      </w:r>
    </w:p>
    <w:p w14:paraId="3D5E6019" w14:textId="57A7C9BD" w:rsidR="00CB2E7D" w:rsidRPr="00CB2E7D" w:rsidRDefault="00CB2E7D" w:rsidP="00CB2E7D">
      <w:r w:rsidRPr="00CB2E7D">
        <w:t xml:space="preserve">MSAC </w:t>
      </w:r>
      <w:r w:rsidR="00B456D7">
        <w:t xml:space="preserve">further </w:t>
      </w:r>
      <w:r w:rsidRPr="00CB2E7D">
        <w:t xml:space="preserve">noted that </w:t>
      </w:r>
      <w:r w:rsidRPr="00CB2E7D">
        <w:rPr>
          <w:i/>
          <w:iCs/>
        </w:rPr>
        <w:t>DPYD</w:t>
      </w:r>
      <w:r w:rsidRPr="00CB2E7D">
        <w:t xml:space="preserve"> genotyping is recommended by several international and national guidelines, including </w:t>
      </w:r>
      <w:proofErr w:type="spellStart"/>
      <w:r w:rsidR="00140F2E" w:rsidRPr="00BC566D">
        <w:t>eviQ</w:t>
      </w:r>
      <w:proofErr w:type="spellEnd"/>
      <w:r w:rsidR="00140F2E">
        <w:rPr>
          <w:rStyle w:val="FootnoteReference"/>
          <w:color w:val="0070C0"/>
          <w:u w:val="single"/>
        </w:rPr>
        <w:footnoteReference w:id="5"/>
      </w:r>
      <w:r w:rsidRPr="00CB2E7D">
        <w:t xml:space="preserve">. </w:t>
      </w:r>
      <w:r w:rsidR="00357D71">
        <w:t xml:space="preserve">MSAC noted that </w:t>
      </w:r>
      <w:r w:rsidRPr="00CB2E7D">
        <w:rPr>
          <w:i/>
          <w:iCs/>
        </w:rPr>
        <w:t>DPYD</w:t>
      </w:r>
      <w:r w:rsidRPr="00CB2E7D">
        <w:t xml:space="preserve"> genotyping is not yet widely available in Australia, </w:t>
      </w:r>
      <w:r w:rsidR="00BE3393">
        <w:t xml:space="preserve">and testing is offered </w:t>
      </w:r>
      <w:r w:rsidR="00820C8F">
        <w:t xml:space="preserve">mostly through private pathology laboratories. MSAC further noted </w:t>
      </w:r>
      <w:r w:rsidRPr="00CB2E7D">
        <w:t>a RCPA Quality Assurance Program</w:t>
      </w:r>
      <w:r w:rsidR="00893D5D">
        <w:t xml:space="preserve"> (QAP)</w:t>
      </w:r>
      <w:r w:rsidRPr="00CB2E7D">
        <w:t xml:space="preserve"> </w:t>
      </w:r>
      <w:r w:rsidR="00934731">
        <w:t>i</w:t>
      </w:r>
      <w:r w:rsidR="00934731" w:rsidRPr="00CB2E7D">
        <w:t xml:space="preserve">s </w:t>
      </w:r>
      <w:r w:rsidRPr="00CB2E7D">
        <w:t>planned for 2025.</w:t>
      </w:r>
    </w:p>
    <w:p w14:paraId="5AEA3758" w14:textId="45AEE36B" w:rsidR="00773031" w:rsidRDefault="00773031" w:rsidP="005447C5">
      <w:r w:rsidRPr="005447C5">
        <w:t xml:space="preserve">MSAC noted that the consultation feedback was supportive </w:t>
      </w:r>
      <w:r>
        <w:t>for the</w:t>
      </w:r>
      <w:r w:rsidRPr="00CB2E7D">
        <w:t xml:space="preserve"> listing </w:t>
      </w:r>
      <w:r>
        <w:t xml:space="preserve">of </w:t>
      </w:r>
      <w:r w:rsidRPr="00CB2E7D">
        <w:rPr>
          <w:i/>
          <w:iCs/>
        </w:rPr>
        <w:t>DPYD</w:t>
      </w:r>
      <w:r w:rsidRPr="00CB2E7D">
        <w:t xml:space="preserve"> genotyping</w:t>
      </w:r>
      <w:r>
        <w:t xml:space="preserve">, including </w:t>
      </w:r>
      <w:r w:rsidR="002F1350">
        <w:t xml:space="preserve">from </w:t>
      </w:r>
      <w:r w:rsidRPr="00CB2E7D">
        <w:t>Bowel Cancer Australia</w:t>
      </w:r>
      <w:r>
        <w:t xml:space="preserve"> (BCA) </w:t>
      </w:r>
      <w:r w:rsidRPr="00CB2E7D">
        <w:t>which highlighted the impact of</w:t>
      </w:r>
      <w:r>
        <w:t xml:space="preserve"> FP-induced</w:t>
      </w:r>
      <w:r w:rsidRPr="00CB2E7D">
        <w:t xml:space="preserve"> toxicity on </w:t>
      </w:r>
      <w:r>
        <w:t xml:space="preserve">the </w:t>
      </w:r>
      <w:r w:rsidRPr="00CB2E7D">
        <w:t>quality of life</w:t>
      </w:r>
      <w:r w:rsidR="002F1350">
        <w:t xml:space="preserve"> of patients</w:t>
      </w:r>
      <w:r>
        <w:t xml:space="preserve">. MSAC further noted </w:t>
      </w:r>
      <w:r>
        <w:rPr>
          <w:rStyle w:val="Strong"/>
          <w:b w:val="0"/>
          <w:bCs w:val="0"/>
        </w:rPr>
        <w:t>feedback from</w:t>
      </w:r>
      <w:r w:rsidRPr="00717D3C">
        <w:rPr>
          <w:rStyle w:val="Strong"/>
          <w:b w:val="0"/>
          <w:bCs w:val="0"/>
        </w:rPr>
        <w:t xml:space="preserve"> Australian Genomics</w:t>
      </w:r>
      <w:r>
        <w:rPr>
          <w:rStyle w:val="Strong"/>
          <w:b w:val="0"/>
          <w:bCs w:val="0"/>
        </w:rPr>
        <w:t xml:space="preserve"> highlighting the lack </w:t>
      </w:r>
      <w:r w:rsidR="00063E90">
        <w:rPr>
          <w:rStyle w:val="Strong"/>
          <w:b w:val="0"/>
          <w:bCs w:val="0"/>
        </w:rPr>
        <w:t xml:space="preserve">data from </w:t>
      </w:r>
      <w:r w:rsidRPr="00CB2E7D">
        <w:t xml:space="preserve">First Nations </w:t>
      </w:r>
      <w:r w:rsidR="00063E90">
        <w:t>peoples</w:t>
      </w:r>
      <w:r w:rsidR="00063E90" w:rsidRPr="00CB2E7D">
        <w:t xml:space="preserve"> </w:t>
      </w:r>
      <w:r w:rsidRPr="00CB2E7D">
        <w:t xml:space="preserve">in </w:t>
      </w:r>
      <w:r w:rsidR="00063E90">
        <w:t>genetic</w:t>
      </w:r>
      <w:r w:rsidR="00063E90" w:rsidRPr="00CB2E7D">
        <w:t xml:space="preserve"> </w:t>
      </w:r>
      <w:r w:rsidRPr="00CB2E7D">
        <w:t>databases</w:t>
      </w:r>
      <w:r>
        <w:t xml:space="preserve">, </w:t>
      </w:r>
      <w:r w:rsidRPr="00CB2E7D">
        <w:t>and that testing negative for a variant does not exclude risk of toxicity</w:t>
      </w:r>
      <w:r>
        <w:t>.</w:t>
      </w:r>
      <w:r w:rsidRPr="00CB2E7D">
        <w:t xml:space="preserve"> </w:t>
      </w:r>
    </w:p>
    <w:p w14:paraId="24D7263A" w14:textId="511D22A3" w:rsidR="000B4021" w:rsidRDefault="00773031" w:rsidP="00993E87">
      <w:r w:rsidRPr="0027184D">
        <w:t>MSAC noted the population, intervention, comparator and outcome (PICO) that had been ratified by the PICO Advisory Subcommittee</w:t>
      </w:r>
      <w:r>
        <w:t xml:space="preserve">. </w:t>
      </w:r>
      <w:r w:rsidR="007A5F69">
        <w:t xml:space="preserve">MSAC </w:t>
      </w:r>
      <w:r w:rsidR="00AE00DE">
        <w:t xml:space="preserve">noted that the </w:t>
      </w:r>
      <w:r w:rsidR="00547EC1">
        <w:t>proposed population had no specific age restriction</w:t>
      </w:r>
      <w:r w:rsidR="00E205D1">
        <w:t>s</w:t>
      </w:r>
      <w:r w:rsidR="00547EC1">
        <w:t xml:space="preserve">, </w:t>
      </w:r>
      <w:r w:rsidR="00E205D1">
        <w:t xml:space="preserve">which </w:t>
      </w:r>
      <w:r w:rsidR="000B4021">
        <w:t>was considered</w:t>
      </w:r>
      <w:r w:rsidR="00E205D1">
        <w:t xml:space="preserve"> appropriate </w:t>
      </w:r>
      <w:r w:rsidR="000122E1">
        <w:t>as</w:t>
      </w:r>
      <w:r w:rsidR="00547EC1">
        <w:t xml:space="preserve"> </w:t>
      </w:r>
      <w:r w:rsidR="000B4021">
        <w:t xml:space="preserve">it included </w:t>
      </w:r>
      <w:r w:rsidR="00E205D1">
        <w:t xml:space="preserve">both adults and paediatric patients. </w:t>
      </w:r>
      <w:r w:rsidR="000B4021">
        <w:t xml:space="preserve">MSAC noted </w:t>
      </w:r>
      <w:r w:rsidR="00AE00DE">
        <w:t>the</w:t>
      </w:r>
      <w:r w:rsidR="00B01C77">
        <w:t xml:space="preserve"> proposed</w:t>
      </w:r>
      <w:r w:rsidR="00AE00DE">
        <w:t xml:space="preserve"> clinical</w:t>
      </w:r>
      <w:r w:rsidR="000B4021">
        <w:t xml:space="preserve"> management algorithm.</w:t>
      </w:r>
    </w:p>
    <w:p w14:paraId="665A0D59" w14:textId="08060D68" w:rsidR="00773031" w:rsidRDefault="00773031" w:rsidP="00993E87">
      <w:r w:rsidRPr="00CB2E7D">
        <w:t xml:space="preserve">MSAC agreed with </w:t>
      </w:r>
      <w:r>
        <w:t xml:space="preserve">Evaluation </w:t>
      </w:r>
      <w:r w:rsidRPr="0027184D">
        <w:t>Subcommittee</w:t>
      </w:r>
      <w:r w:rsidR="00C14E64">
        <w:t xml:space="preserve"> </w:t>
      </w:r>
      <w:r>
        <w:t xml:space="preserve">(ESC) that </w:t>
      </w:r>
      <w:r w:rsidRPr="00CB2E7D">
        <w:t xml:space="preserve">the clinical claim </w:t>
      </w:r>
      <w:r>
        <w:t>was</w:t>
      </w:r>
      <w:r w:rsidRPr="00CB2E7D">
        <w:t xml:space="preserve"> non-inferior safety compared with no testing. However, MSAC noted that education about the test limitations is essential, since</w:t>
      </w:r>
      <w:r>
        <w:t xml:space="preserve"> </w:t>
      </w:r>
      <w:r>
        <w:rPr>
          <w:i/>
          <w:iCs/>
        </w:rPr>
        <w:t>DPYD</w:t>
      </w:r>
      <w:r w:rsidRPr="00CB2E7D">
        <w:t xml:space="preserve"> genotyping will not detect all</w:t>
      </w:r>
      <w:r>
        <w:t xml:space="preserve"> </w:t>
      </w:r>
      <w:r w:rsidRPr="00CD73DB">
        <w:rPr>
          <w:i/>
        </w:rPr>
        <w:t>DPYD</w:t>
      </w:r>
      <w:r w:rsidRPr="00141636">
        <w:t xml:space="preserve"> variant-associated </w:t>
      </w:r>
      <w:r>
        <w:t>FP-induced</w:t>
      </w:r>
      <w:r w:rsidRPr="00CB2E7D">
        <w:t xml:space="preserve"> </w:t>
      </w:r>
      <w:r>
        <w:t>toxicity</w:t>
      </w:r>
      <w:r w:rsidRPr="00CB2E7D">
        <w:t>. MSAC noted the concern that the turnaround time (TAT) for the test could delay the start of treatment, especially in rural or remote areas</w:t>
      </w:r>
      <w:r w:rsidR="00714CBE">
        <w:t xml:space="preserve">. However, MSAC </w:t>
      </w:r>
      <w:r w:rsidR="00EB3C40">
        <w:t>noted</w:t>
      </w:r>
      <w:r w:rsidRPr="00CB2E7D">
        <w:t xml:space="preserve"> a small study suggest</w:t>
      </w:r>
      <w:r>
        <w:t>ed</w:t>
      </w:r>
      <w:r w:rsidRPr="00CB2E7D">
        <w:t xml:space="preserve"> that the TAT </w:t>
      </w:r>
      <w:r>
        <w:t>i</w:t>
      </w:r>
      <w:r w:rsidRPr="00CB2E7D">
        <w:t>s within 5 days for most samples</w:t>
      </w:r>
      <w:r>
        <w:t xml:space="preserve"> and typically FP treatment commenced about 1-2 weeks post-diagnosis</w:t>
      </w:r>
      <w:r w:rsidRPr="00CB2E7D">
        <w:t xml:space="preserve">. MSAC </w:t>
      </w:r>
      <w:r w:rsidR="00EB3C40">
        <w:t>further</w:t>
      </w:r>
      <w:r w:rsidR="00EB3C40" w:rsidRPr="00CB2E7D">
        <w:t xml:space="preserve"> </w:t>
      </w:r>
      <w:r w:rsidRPr="00CB2E7D">
        <w:t xml:space="preserve">noted that safety </w:t>
      </w:r>
      <w:r w:rsidR="00A903E2">
        <w:t>i</w:t>
      </w:r>
      <w:r w:rsidRPr="00CB2E7D">
        <w:t xml:space="preserve">s not adversely affected by </w:t>
      </w:r>
      <w:r w:rsidR="000A0322">
        <w:t xml:space="preserve">FP </w:t>
      </w:r>
      <w:r w:rsidRPr="00CB2E7D">
        <w:t>dose reductions.</w:t>
      </w:r>
    </w:p>
    <w:p w14:paraId="27BEFC21" w14:textId="4A2EE7E2" w:rsidR="00773031" w:rsidRPr="00CB2E7D" w:rsidRDefault="00773031" w:rsidP="00993E87">
      <w:r w:rsidRPr="00CB2E7D">
        <w:t xml:space="preserve">MSAC noted </w:t>
      </w:r>
      <w:r>
        <w:t xml:space="preserve">that </w:t>
      </w:r>
      <w:r w:rsidRPr="00CB2E7D">
        <w:t xml:space="preserve">the clinical evidence </w:t>
      </w:r>
      <w:r>
        <w:t>for this application was informed by</w:t>
      </w:r>
      <w:r w:rsidRPr="00CB2E7D">
        <w:t xml:space="preserve"> 4 direct comparative studies and 3 direct non-comparative studies (all single arm studies for the intervention). </w:t>
      </w:r>
      <w:r>
        <w:t>MSAC noted that a</w:t>
      </w:r>
      <w:r w:rsidRPr="00CB2E7D">
        <w:t>lthough the studies all had serious or critical risk of bias</w:t>
      </w:r>
      <w:r>
        <w:t xml:space="preserve"> as they were </w:t>
      </w:r>
      <w:r w:rsidRPr="00CB2E7D">
        <w:t xml:space="preserve">underpowered and </w:t>
      </w:r>
      <w:r>
        <w:t>used</w:t>
      </w:r>
      <w:r w:rsidRPr="00CB2E7D">
        <w:t xml:space="preserve"> retrospective control cohorts, MSAC </w:t>
      </w:r>
      <w:r>
        <w:t>acknowledged</w:t>
      </w:r>
      <w:r w:rsidRPr="00CB2E7D">
        <w:t xml:space="preserve"> that </w:t>
      </w:r>
      <w:r w:rsidR="008E0591">
        <w:t xml:space="preserve">presence of </w:t>
      </w:r>
      <w:r w:rsidR="008E0591" w:rsidRPr="00BC566D">
        <w:rPr>
          <w:i/>
          <w:iCs/>
        </w:rPr>
        <w:t>DPYD</w:t>
      </w:r>
      <w:r w:rsidR="008E0591">
        <w:t xml:space="preserve"> variants had</w:t>
      </w:r>
      <w:r w:rsidRPr="00CB2E7D">
        <w:t xml:space="preserve"> a significant clinical impact for a small </w:t>
      </w:r>
      <w:r w:rsidR="007C59FF">
        <w:t>number</w:t>
      </w:r>
      <w:r w:rsidR="007C59FF" w:rsidRPr="00CB2E7D">
        <w:t xml:space="preserve"> </w:t>
      </w:r>
      <w:r w:rsidRPr="00CB2E7D">
        <w:t>of patients receiving FP-based chemotherapy.</w:t>
      </w:r>
    </w:p>
    <w:p w14:paraId="4B7637FA" w14:textId="68308196" w:rsidR="00773031" w:rsidRPr="00CB2E7D" w:rsidRDefault="00773031" w:rsidP="006205FA">
      <w:r w:rsidRPr="00CB2E7D">
        <w:t xml:space="preserve">MSAC noted ESC’s concern regarding the </w:t>
      </w:r>
      <w:r w:rsidR="005B6D08">
        <w:t xml:space="preserve">use of </w:t>
      </w:r>
      <w:r w:rsidR="002E5474">
        <w:t xml:space="preserve">proposed </w:t>
      </w:r>
      <w:r w:rsidR="005B6D08" w:rsidRPr="373064EB">
        <w:rPr>
          <w:i/>
          <w:iCs/>
        </w:rPr>
        <w:t>DPYD</w:t>
      </w:r>
      <w:r w:rsidR="005B6D08" w:rsidRPr="00D04772">
        <w:t xml:space="preserve"> </w:t>
      </w:r>
      <w:r w:rsidR="005B6D08">
        <w:t xml:space="preserve">proxy </w:t>
      </w:r>
      <w:r w:rsidR="005B6D08" w:rsidRPr="00D04772">
        <w:t xml:space="preserve">variant c.1236G&gt;A </w:t>
      </w:r>
      <w:r w:rsidR="005B6D08">
        <w:t>which is</w:t>
      </w:r>
      <w:r w:rsidR="005B6D08" w:rsidRPr="00D04772">
        <w:t xml:space="preserve"> not in complete linkage disequilibrium</w:t>
      </w:r>
      <w:r w:rsidR="005B6D08">
        <w:t xml:space="preserve"> with </w:t>
      </w:r>
      <w:r w:rsidR="00CF466F">
        <w:t xml:space="preserve">causal variant </w:t>
      </w:r>
      <w:r w:rsidR="005B6D08" w:rsidRPr="00D04772">
        <w:t>c.1129-5923C&gt;G</w:t>
      </w:r>
      <w:r w:rsidR="003C1B02">
        <w:t xml:space="preserve"> (</w:t>
      </w:r>
      <w:r w:rsidRPr="373064EB">
        <w:rPr>
          <w:i/>
          <w:iCs/>
        </w:rPr>
        <w:t>HapB3</w:t>
      </w:r>
      <w:r w:rsidRPr="00CB2E7D">
        <w:t xml:space="preserve"> variant</w:t>
      </w:r>
      <w:r w:rsidR="003C1B02">
        <w:t>)</w:t>
      </w:r>
      <w:r w:rsidR="00A92C7A">
        <w:t xml:space="preserve"> according to a recent study</w:t>
      </w:r>
      <w:r w:rsidR="00D8246F">
        <w:rPr>
          <w:rStyle w:val="FootnoteReference"/>
        </w:rPr>
        <w:footnoteReference w:id="6"/>
      </w:r>
      <w:r w:rsidR="003C1B02">
        <w:t>.</w:t>
      </w:r>
      <w:r w:rsidRPr="00CB2E7D">
        <w:t xml:space="preserve"> </w:t>
      </w:r>
      <w:r>
        <w:t xml:space="preserve">MSAC noted that most direct evidence studies used the </w:t>
      </w:r>
      <w:r w:rsidR="00FB2EBD">
        <w:t>proxy</w:t>
      </w:r>
      <w:r>
        <w:t xml:space="preserve"> variant. However, recent literature identified that </w:t>
      </w:r>
      <w:r w:rsidRPr="00CB2E7D">
        <w:t>c.1236G&gt;A</w:t>
      </w:r>
      <w:r>
        <w:t xml:space="preserve"> is not a suitable proxy for the </w:t>
      </w:r>
      <w:r w:rsidRPr="00CB2E7D">
        <w:t>c.1129-5923C&gt;G</w:t>
      </w:r>
      <w:r>
        <w:t xml:space="preserve"> variant. </w:t>
      </w:r>
      <w:r w:rsidRPr="00CB2E7D">
        <w:t xml:space="preserve">MSAC noted that this </w:t>
      </w:r>
      <w:r w:rsidR="00B850D2" w:rsidRPr="00CB2E7D">
        <w:t>emphasise</w:t>
      </w:r>
      <w:r w:rsidR="00B850D2">
        <w:t>d</w:t>
      </w:r>
      <w:r w:rsidR="00B850D2" w:rsidRPr="00CB2E7D">
        <w:t xml:space="preserve"> </w:t>
      </w:r>
      <w:r w:rsidRPr="00CB2E7D">
        <w:t xml:space="preserve">the importance of </w:t>
      </w:r>
      <w:r w:rsidR="00215CE2">
        <w:t>directly detecting</w:t>
      </w:r>
      <w:r w:rsidRPr="00CB2E7D">
        <w:t xml:space="preserve"> the </w:t>
      </w:r>
      <w:r w:rsidR="00797DC8">
        <w:t>causal</w:t>
      </w:r>
      <w:r w:rsidR="00797DC8" w:rsidRPr="00CB2E7D">
        <w:t xml:space="preserve"> </w:t>
      </w:r>
      <w:r w:rsidRPr="00CB2E7D">
        <w:t xml:space="preserve">variant that </w:t>
      </w:r>
      <w:r w:rsidR="00215CE2">
        <w:t>is responsible for</w:t>
      </w:r>
      <w:r w:rsidR="00215CE2" w:rsidRPr="00CB2E7D">
        <w:t xml:space="preserve"> </w:t>
      </w:r>
      <w:r w:rsidRPr="00CB2E7D">
        <w:t xml:space="preserve">decreased </w:t>
      </w:r>
      <w:r w:rsidR="007670EF">
        <w:t xml:space="preserve">DPD </w:t>
      </w:r>
      <w:r w:rsidRPr="00CB2E7D">
        <w:t>activity (</w:t>
      </w:r>
      <w:r>
        <w:t>i.e.</w:t>
      </w:r>
      <w:r w:rsidRPr="00CB2E7D">
        <w:t xml:space="preserve"> the c.1129-5923C&gt;G variant). MSAC </w:t>
      </w:r>
      <w:r w:rsidR="002B3E38">
        <w:t xml:space="preserve">therefore </w:t>
      </w:r>
      <w:r w:rsidRPr="00CB2E7D">
        <w:t xml:space="preserve">recommended </w:t>
      </w:r>
      <w:r w:rsidR="000825A2" w:rsidRPr="373064EB">
        <w:rPr>
          <w:i/>
          <w:iCs/>
        </w:rPr>
        <w:t>DPYD</w:t>
      </w:r>
      <w:r w:rsidR="000825A2" w:rsidRPr="000825A2">
        <w:t xml:space="preserve"> genotyping should include the variant c.1129</w:t>
      </w:r>
      <w:r w:rsidR="000825A2" w:rsidRPr="000825A2">
        <w:rPr>
          <w:rFonts w:ascii="Cambria Math" w:hAnsi="Cambria Math" w:cs="Cambria Math"/>
        </w:rPr>
        <w:t>‐</w:t>
      </w:r>
      <w:r w:rsidR="000825A2" w:rsidRPr="000825A2">
        <w:lastRenderedPageBreak/>
        <w:t>5923C&gt;G, and not the c.1236G&gt;A proxy</w:t>
      </w:r>
      <w:r w:rsidRPr="00CB2E7D">
        <w:t>.</w:t>
      </w:r>
      <w:r w:rsidR="00CE155C" w:rsidRPr="373064EB">
        <w:rPr>
          <w:rFonts w:asciiTheme="minorHAnsi" w:eastAsiaTheme="minorEastAsia" w:hAnsi="Arial" w:cstheme="minorBidi"/>
          <w:color w:val="000000" w:themeColor="text1"/>
          <w:sz w:val="28"/>
          <w:szCs w:val="28"/>
        </w:rPr>
        <w:t xml:space="preserve"> </w:t>
      </w:r>
      <w:r w:rsidR="000E3647" w:rsidRPr="009C07A8">
        <w:rPr>
          <w:rFonts w:eastAsiaTheme="minorEastAsia" w:cstheme="minorBidi"/>
          <w:color w:val="000000" w:themeColor="text1"/>
        </w:rPr>
        <w:t xml:space="preserve">Although MSAC supported </w:t>
      </w:r>
      <w:r w:rsidR="00F07BBB" w:rsidRPr="373064EB">
        <w:rPr>
          <w:rFonts w:eastAsiaTheme="minorEastAsia" w:cstheme="minorBidi"/>
          <w:color w:val="000000" w:themeColor="text1"/>
        </w:rPr>
        <w:t xml:space="preserve">the use of </w:t>
      </w:r>
      <w:r w:rsidR="000E3647" w:rsidRPr="009C07A8">
        <w:rPr>
          <w:rFonts w:eastAsiaTheme="minorEastAsia" w:cstheme="minorBidi"/>
          <w:color w:val="000000" w:themeColor="text1"/>
        </w:rPr>
        <w:t>direct</w:t>
      </w:r>
      <w:r w:rsidR="00C94C61" w:rsidRPr="373064EB">
        <w:rPr>
          <w:rFonts w:eastAsiaTheme="minorEastAsia" w:cstheme="minorBidi"/>
          <w:color w:val="000000" w:themeColor="text1"/>
        </w:rPr>
        <w:t xml:space="preserve"> testing of the causal variant</w:t>
      </w:r>
      <w:r w:rsidR="00063693" w:rsidRPr="373064EB">
        <w:rPr>
          <w:rFonts w:eastAsiaTheme="minorEastAsia" w:cstheme="minorBidi"/>
          <w:color w:val="000000" w:themeColor="text1"/>
        </w:rPr>
        <w:t xml:space="preserve"> for </w:t>
      </w:r>
      <w:r w:rsidR="00063693" w:rsidRPr="009C07A8">
        <w:rPr>
          <w:rFonts w:eastAsiaTheme="minorEastAsia" w:cstheme="minorBidi"/>
          <w:i/>
          <w:iCs/>
          <w:color w:val="000000" w:themeColor="text1"/>
        </w:rPr>
        <w:t>DPYD</w:t>
      </w:r>
      <w:r w:rsidR="00063693" w:rsidRPr="373064EB">
        <w:rPr>
          <w:rFonts w:eastAsiaTheme="minorEastAsia" w:cstheme="minorBidi"/>
          <w:color w:val="000000" w:themeColor="text1"/>
        </w:rPr>
        <w:t xml:space="preserve"> genotyping</w:t>
      </w:r>
      <w:r w:rsidR="00B75358" w:rsidRPr="373064EB">
        <w:rPr>
          <w:rFonts w:eastAsiaTheme="minorEastAsia" w:cstheme="minorBidi"/>
          <w:color w:val="000000" w:themeColor="text1"/>
        </w:rPr>
        <w:t>;</w:t>
      </w:r>
      <w:r w:rsidR="00C94C61" w:rsidRPr="373064EB">
        <w:rPr>
          <w:rFonts w:eastAsiaTheme="minorEastAsia" w:cstheme="minorBidi"/>
          <w:color w:val="000000" w:themeColor="text1"/>
        </w:rPr>
        <w:t xml:space="preserve"> </w:t>
      </w:r>
      <w:r w:rsidR="0035636C" w:rsidRPr="373064EB">
        <w:rPr>
          <w:rFonts w:eastAsiaTheme="minorEastAsia" w:cstheme="minorBidi"/>
          <w:color w:val="000000" w:themeColor="text1"/>
        </w:rPr>
        <w:t>however</w:t>
      </w:r>
      <w:r w:rsidR="00B75358" w:rsidRPr="373064EB">
        <w:rPr>
          <w:rFonts w:eastAsiaTheme="minorEastAsia" w:cstheme="minorBidi"/>
          <w:color w:val="000000" w:themeColor="text1"/>
        </w:rPr>
        <w:t>,</w:t>
      </w:r>
      <w:r w:rsidR="000E3647" w:rsidRPr="009C07A8">
        <w:rPr>
          <w:rFonts w:asciiTheme="minorHAnsi" w:eastAsiaTheme="minorEastAsia" w:hAnsi="Arial" w:cstheme="minorBidi"/>
          <w:color w:val="000000" w:themeColor="text1"/>
        </w:rPr>
        <w:t xml:space="preserve"> </w:t>
      </w:r>
      <w:r w:rsidR="00B75358">
        <w:t>it</w:t>
      </w:r>
      <w:r w:rsidR="00CE155C">
        <w:t xml:space="preserve"> </w:t>
      </w:r>
      <w:r w:rsidR="00705D7D">
        <w:t xml:space="preserve">also </w:t>
      </w:r>
      <w:r w:rsidR="00CE155C">
        <w:t xml:space="preserve">considered </w:t>
      </w:r>
      <w:r w:rsidR="00705D7D">
        <w:t xml:space="preserve">that </w:t>
      </w:r>
      <w:r w:rsidR="00B75358">
        <w:t xml:space="preserve">if </w:t>
      </w:r>
      <w:r w:rsidR="00CE155C" w:rsidRPr="00CE155C">
        <w:t xml:space="preserve">laboratories </w:t>
      </w:r>
      <w:r w:rsidR="00705D7D">
        <w:t xml:space="preserve">choose to </w:t>
      </w:r>
      <w:r w:rsidR="00194A97">
        <w:t xml:space="preserve">use </w:t>
      </w:r>
      <w:r w:rsidR="00CE155C" w:rsidRPr="00CE155C">
        <w:t>th</w:t>
      </w:r>
      <w:r w:rsidR="008368B9">
        <w:t>e</w:t>
      </w:r>
      <w:r w:rsidR="00CE155C" w:rsidRPr="00CE155C">
        <w:t xml:space="preserve"> </w:t>
      </w:r>
      <w:r w:rsidR="008368B9">
        <w:t xml:space="preserve">proxy variant </w:t>
      </w:r>
      <w:r w:rsidR="00801B49">
        <w:t xml:space="preserve">for </w:t>
      </w:r>
      <w:r w:rsidR="00801B49" w:rsidRPr="373064EB">
        <w:rPr>
          <w:i/>
          <w:iCs/>
        </w:rPr>
        <w:t>DPYD</w:t>
      </w:r>
      <w:r w:rsidR="00801B49">
        <w:t xml:space="preserve"> testing</w:t>
      </w:r>
      <w:r w:rsidR="00C4639A">
        <w:t>,</w:t>
      </w:r>
      <w:r w:rsidR="6EADD3D0">
        <w:t xml:space="preserve"> </w:t>
      </w:r>
      <w:r w:rsidR="003C4B94">
        <w:t xml:space="preserve">it would be good clinical practice </w:t>
      </w:r>
      <w:r w:rsidR="6EADD3D0">
        <w:t>to</w:t>
      </w:r>
      <w:r w:rsidR="00C64E62">
        <w:t xml:space="preserve"> </w:t>
      </w:r>
      <w:r w:rsidR="00CE155C" w:rsidRPr="00CE155C">
        <w:t>include a limitation in their report acknowledging the incomplete LD</w:t>
      </w:r>
      <w:r w:rsidR="68FD2ACB">
        <w:t>,</w:t>
      </w:r>
      <w:r w:rsidR="00CE155C" w:rsidRPr="00CE155C">
        <w:t xml:space="preserve"> as well as information pertaining to c.1129-5923C&gt;G as the underlying causal variant.</w:t>
      </w:r>
    </w:p>
    <w:p w14:paraId="526829C5" w14:textId="1676947E" w:rsidR="00412434" w:rsidRPr="00EC5388" w:rsidRDefault="00773031" w:rsidP="00821C3B">
      <w:r w:rsidRPr="00BC566D">
        <w:t xml:space="preserve">MSAC noted that there </w:t>
      </w:r>
      <w:r w:rsidR="00734087">
        <w:t>wer</w:t>
      </w:r>
      <w:r w:rsidRPr="00BC566D">
        <w:t>e no Australian studies or international studies that accurately reflect</w:t>
      </w:r>
      <w:r w:rsidR="00734087">
        <w:t>ed</w:t>
      </w:r>
      <w:r w:rsidRPr="00BC566D">
        <w:t xml:space="preserve"> the ethnic diversity of Australia's population, limiting </w:t>
      </w:r>
      <w:r w:rsidR="00FD1691">
        <w:t xml:space="preserve">the available </w:t>
      </w:r>
      <w:r w:rsidRPr="00BC566D">
        <w:t xml:space="preserve">evidence on the effectiveness of </w:t>
      </w:r>
      <w:r w:rsidRPr="00BC566D">
        <w:rPr>
          <w:i/>
        </w:rPr>
        <w:t>DPYD</w:t>
      </w:r>
      <w:r w:rsidRPr="00BC566D">
        <w:t xml:space="preserve"> genotyping in </w:t>
      </w:r>
      <w:r w:rsidR="001845DD">
        <w:t xml:space="preserve">the </w:t>
      </w:r>
      <w:r w:rsidRPr="00BC566D">
        <w:t xml:space="preserve">Australian </w:t>
      </w:r>
      <w:r w:rsidR="001845DD">
        <w:t>context</w:t>
      </w:r>
      <w:r w:rsidRPr="00BC566D">
        <w:t xml:space="preserve">. </w:t>
      </w:r>
      <w:r w:rsidR="00D36088">
        <w:t xml:space="preserve">However, </w:t>
      </w:r>
      <w:r w:rsidR="0088467C">
        <w:t>MSA</w:t>
      </w:r>
      <w:r w:rsidR="00987313">
        <w:t>C</w:t>
      </w:r>
      <w:r w:rsidR="0088467C">
        <w:t xml:space="preserve"> noted, </w:t>
      </w:r>
      <w:r w:rsidRPr="00BC566D">
        <w:t xml:space="preserve">4 Australian trials </w:t>
      </w:r>
      <w:r w:rsidR="00E84132">
        <w:t xml:space="preserve">on </w:t>
      </w:r>
      <w:r w:rsidRPr="00BC566D">
        <w:rPr>
          <w:i/>
          <w:iCs/>
        </w:rPr>
        <w:t xml:space="preserve">DPYD </w:t>
      </w:r>
      <w:r w:rsidRPr="00BC566D">
        <w:t xml:space="preserve">genotyping </w:t>
      </w:r>
      <w:r w:rsidR="00E84132">
        <w:t xml:space="preserve">were </w:t>
      </w:r>
      <w:r w:rsidR="00E84132" w:rsidRPr="0048190E">
        <w:t xml:space="preserve">being conducted </w:t>
      </w:r>
      <w:r w:rsidRPr="00BC566D">
        <w:t xml:space="preserve">with some preliminary </w:t>
      </w:r>
      <w:r w:rsidR="000B1BA0">
        <w:t>results</w:t>
      </w:r>
      <w:r w:rsidRPr="00BC566D">
        <w:t xml:space="preserve"> available from the Nalder</w:t>
      </w:r>
      <w:r w:rsidR="006816A9">
        <w:t xml:space="preserve"> et al</w:t>
      </w:r>
      <w:r w:rsidRPr="00BC566D">
        <w:t xml:space="preserve">, 2021 study and the GENESCREEN pilot study. </w:t>
      </w:r>
      <w:r w:rsidRPr="00BC566D">
        <w:rPr>
          <w:rStyle w:val="FootnoteReference"/>
        </w:rPr>
        <w:footnoteReference w:id="7"/>
      </w:r>
      <w:r w:rsidRPr="00BC566D">
        <w:rPr>
          <w:vertAlign w:val="superscript"/>
        </w:rPr>
        <w:t>,</w:t>
      </w:r>
      <w:r>
        <w:rPr>
          <w:vertAlign w:val="superscript"/>
        </w:rPr>
        <w:t xml:space="preserve"> </w:t>
      </w:r>
      <w:r w:rsidRPr="00BC566D">
        <w:rPr>
          <w:rStyle w:val="FootnoteReference"/>
        </w:rPr>
        <w:footnoteReference w:id="8"/>
      </w:r>
      <w:r w:rsidRPr="00BC566D">
        <w:rPr>
          <w:vertAlign w:val="superscript"/>
        </w:rPr>
        <w:t xml:space="preserve"> </w:t>
      </w:r>
      <w:r w:rsidRPr="00BC566D">
        <w:t xml:space="preserve">MSAC noted that preliminary </w:t>
      </w:r>
      <w:r w:rsidR="005B1B18">
        <w:t>finding</w:t>
      </w:r>
      <w:r w:rsidR="00780BEB">
        <w:t>s</w:t>
      </w:r>
      <w:r w:rsidRPr="00BC566D">
        <w:t xml:space="preserve"> from the Nalder</w:t>
      </w:r>
      <w:r w:rsidR="003228C6">
        <w:t xml:space="preserve"> et al</w:t>
      </w:r>
      <w:r w:rsidRPr="00BC566D">
        <w:t xml:space="preserve">, 2021 study indicated a modest reduction in the risk of FP related severe toxicity </w:t>
      </w:r>
      <w:r w:rsidRPr="00EC5388">
        <w:t xml:space="preserve">and hospital admission </w:t>
      </w:r>
      <w:r w:rsidR="0001607C">
        <w:t>when</w:t>
      </w:r>
      <w:r w:rsidRPr="00EC5388">
        <w:t xml:space="preserve"> </w:t>
      </w:r>
      <w:r w:rsidR="0001607C">
        <w:t xml:space="preserve">dosing was </w:t>
      </w:r>
      <w:r w:rsidRPr="00EC5388">
        <w:t xml:space="preserve">guided </w:t>
      </w:r>
      <w:r w:rsidR="0001607C">
        <w:t xml:space="preserve">by </w:t>
      </w:r>
      <w:r w:rsidR="0001607C" w:rsidRPr="0048190E">
        <w:rPr>
          <w:i/>
          <w:iCs/>
        </w:rPr>
        <w:t>DPYD</w:t>
      </w:r>
      <w:r w:rsidR="0001607C" w:rsidRPr="00EC5388">
        <w:t xml:space="preserve"> genotyping </w:t>
      </w:r>
      <w:r w:rsidRPr="00EC5388">
        <w:t xml:space="preserve">in comparison to the untested cohort. </w:t>
      </w:r>
      <w:r w:rsidRPr="00BC566D">
        <w:t xml:space="preserve">MSAC </w:t>
      </w:r>
      <w:r w:rsidR="009707CA">
        <w:t xml:space="preserve">highlighted the </w:t>
      </w:r>
      <w:r w:rsidRPr="00BC566D">
        <w:t xml:space="preserve">need for further Australian-specific studies to </w:t>
      </w:r>
      <w:r w:rsidR="001D43CC">
        <w:t xml:space="preserve">better </w:t>
      </w:r>
      <w:r w:rsidR="00780BEB">
        <w:t>understand</w:t>
      </w:r>
      <w:r w:rsidRPr="00BC566D">
        <w:t xml:space="preserve"> the prevalence of the 4 common variants across </w:t>
      </w:r>
      <w:r w:rsidR="006760D8">
        <w:t xml:space="preserve">the </w:t>
      </w:r>
      <w:r w:rsidRPr="00BC566D">
        <w:t xml:space="preserve">diverse ancestry groups in Australia, and to identify and determine the prevalence of other rare </w:t>
      </w:r>
      <w:r w:rsidRPr="00BC566D">
        <w:rPr>
          <w:i/>
          <w:iCs/>
        </w:rPr>
        <w:t>DPYD</w:t>
      </w:r>
      <w:r w:rsidRPr="00BC566D">
        <w:t xml:space="preserve"> variants and their impact on DPD activity. MSAC </w:t>
      </w:r>
      <w:r w:rsidR="00025252">
        <w:t xml:space="preserve">also </w:t>
      </w:r>
      <w:r w:rsidRPr="00BC566D">
        <w:t>noted th</w:t>
      </w:r>
      <w:r w:rsidR="00025252">
        <w:t>e</w:t>
      </w:r>
      <w:r w:rsidRPr="00BC566D">
        <w:t xml:space="preserve"> </w:t>
      </w:r>
      <w:r w:rsidR="00025252">
        <w:t xml:space="preserve">evolving </w:t>
      </w:r>
      <w:r w:rsidR="003B594B">
        <w:t xml:space="preserve">evidence base for </w:t>
      </w:r>
      <w:r w:rsidR="003B594B" w:rsidRPr="00BC566D">
        <w:rPr>
          <w:i/>
          <w:iCs/>
        </w:rPr>
        <w:t>DPYD</w:t>
      </w:r>
      <w:r w:rsidR="003B594B">
        <w:t xml:space="preserve"> variants</w:t>
      </w:r>
      <w:r w:rsidR="00C05A01">
        <w:t>,</w:t>
      </w:r>
      <w:r w:rsidR="003B594B">
        <w:t xml:space="preserve"> </w:t>
      </w:r>
      <w:r w:rsidR="00C05A01">
        <w:t>with</w:t>
      </w:r>
      <w:r w:rsidR="003B594B">
        <w:t xml:space="preserve"> </w:t>
      </w:r>
      <w:r w:rsidRPr="00BC566D">
        <w:t xml:space="preserve">more than 1,600 variants </w:t>
      </w:r>
      <w:r w:rsidR="008F5654">
        <w:t>described</w:t>
      </w:r>
      <w:r w:rsidR="00D35BC0">
        <w:t xml:space="preserve"> so far</w:t>
      </w:r>
      <w:r w:rsidR="00C05A01">
        <w:t>, although</w:t>
      </w:r>
      <w:r w:rsidRPr="00BC566D">
        <w:t xml:space="preserve"> the functional </w:t>
      </w:r>
      <w:r w:rsidR="00181C1B">
        <w:t>significance</w:t>
      </w:r>
      <w:r w:rsidRPr="00BC566D">
        <w:t xml:space="preserve"> of many </w:t>
      </w:r>
      <w:r w:rsidR="004F3E13">
        <w:t xml:space="preserve">of these </w:t>
      </w:r>
      <w:r w:rsidRPr="00BC566D">
        <w:t>remains un</w:t>
      </w:r>
      <w:r w:rsidR="00181C1B">
        <w:t>clear</w:t>
      </w:r>
      <w:r w:rsidRPr="00BC566D">
        <w:t xml:space="preserve">. </w:t>
      </w:r>
      <w:r w:rsidR="00181C1B">
        <w:t>As a result</w:t>
      </w:r>
      <w:r w:rsidR="00412434">
        <w:t xml:space="preserve">, </w:t>
      </w:r>
      <w:r w:rsidR="00412434" w:rsidRPr="00EC5388">
        <w:t xml:space="preserve">MSAC </w:t>
      </w:r>
      <w:r w:rsidR="00412434">
        <w:t>considered that</w:t>
      </w:r>
      <w:r w:rsidR="00412434" w:rsidRPr="00EC5388">
        <w:t xml:space="preserve"> </w:t>
      </w:r>
      <w:r w:rsidR="00412434" w:rsidRPr="0048190E">
        <w:t xml:space="preserve">the </w:t>
      </w:r>
      <w:r w:rsidR="00412434">
        <w:t xml:space="preserve">MBS item descriptor </w:t>
      </w:r>
      <w:r w:rsidR="008353E9">
        <w:t xml:space="preserve">of </w:t>
      </w:r>
      <w:r w:rsidR="008353E9" w:rsidRPr="00BC566D">
        <w:rPr>
          <w:i/>
          <w:iCs/>
        </w:rPr>
        <w:t>DPYD</w:t>
      </w:r>
      <w:r w:rsidR="008353E9">
        <w:t xml:space="preserve"> genotyping should remain</w:t>
      </w:r>
      <w:r w:rsidR="00412434" w:rsidRPr="0048190E">
        <w:t xml:space="preserve"> dynamic</w:t>
      </w:r>
      <w:r w:rsidR="008353E9">
        <w:t xml:space="preserve"> and adaptable</w:t>
      </w:r>
      <w:r w:rsidR="00ED488F">
        <w:t xml:space="preserve"> to accommodate </w:t>
      </w:r>
      <w:r w:rsidR="00412434" w:rsidRPr="0048190E">
        <w:t>future</w:t>
      </w:r>
      <w:r w:rsidR="00ED488F">
        <w:t xml:space="preserve"> developments</w:t>
      </w:r>
      <w:r w:rsidR="004F3E13">
        <w:t xml:space="preserve"> in this space</w:t>
      </w:r>
      <w:r w:rsidR="00412434" w:rsidRPr="00EC5388">
        <w:t>.</w:t>
      </w:r>
    </w:p>
    <w:p w14:paraId="024974A0" w14:textId="16370374" w:rsidR="00773031" w:rsidRPr="00CB2E7D" w:rsidRDefault="00773031" w:rsidP="005447C5">
      <w:r>
        <w:t xml:space="preserve">MSAC noted </w:t>
      </w:r>
      <w:r w:rsidR="00F122CB">
        <w:t xml:space="preserve">the </w:t>
      </w:r>
      <w:r w:rsidR="00FD5101">
        <w:t xml:space="preserve">applicant’s pre-MSAC response </w:t>
      </w:r>
      <w:r w:rsidR="00F122CB">
        <w:t xml:space="preserve">which acknowledged </w:t>
      </w:r>
      <w:r>
        <w:t>that</w:t>
      </w:r>
      <w:r w:rsidR="00FD5101">
        <w:t xml:space="preserve"> </w:t>
      </w:r>
      <w:r w:rsidR="00EF0221">
        <w:t xml:space="preserve">factors </w:t>
      </w:r>
      <w:r w:rsidR="00486AA9">
        <w:t>beyond</w:t>
      </w:r>
      <w:r w:rsidR="00EF0221">
        <w:t xml:space="preserve"> the four listed </w:t>
      </w:r>
      <w:r w:rsidR="00EF0221" w:rsidRPr="373064EB">
        <w:rPr>
          <w:i/>
          <w:iCs/>
        </w:rPr>
        <w:t xml:space="preserve">DPYD </w:t>
      </w:r>
      <w:r w:rsidR="00EF0221">
        <w:t>variants m</w:t>
      </w:r>
      <w:r w:rsidR="00486AA9">
        <w:t>ay</w:t>
      </w:r>
      <w:r w:rsidR="00EF0221">
        <w:t xml:space="preserve"> contribute to </w:t>
      </w:r>
      <w:r w:rsidR="00D0753D">
        <w:t>FP related toxicity</w:t>
      </w:r>
      <w:r w:rsidR="006B765F">
        <w:t xml:space="preserve"> However, </w:t>
      </w:r>
      <w:r>
        <w:t xml:space="preserve">it </w:t>
      </w:r>
      <w:r w:rsidR="006B765F">
        <w:t>emphasized</w:t>
      </w:r>
      <w:r w:rsidR="008872CA">
        <w:t xml:space="preserve"> </w:t>
      </w:r>
      <w:r w:rsidR="003C19E3">
        <w:t>t</w:t>
      </w:r>
      <w:r w:rsidR="00B569E4">
        <w:t xml:space="preserve">hat it </w:t>
      </w:r>
      <w:r w:rsidR="008872CA">
        <w:t xml:space="preserve">would be </w:t>
      </w:r>
      <w:r w:rsidR="00712466">
        <w:t xml:space="preserve">more </w:t>
      </w:r>
      <w:r w:rsidR="008872CA">
        <w:t xml:space="preserve">pragmatic to support </w:t>
      </w:r>
      <w:r w:rsidR="008872CA" w:rsidRPr="373064EB">
        <w:rPr>
          <w:i/>
          <w:iCs/>
        </w:rPr>
        <w:t>DPYD</w:t>
      </w:r>
      <w:r w:rsidR="008872CA">
        <w:t xml:space="preserve"> testing </w:t>
      </w:r>
      <w:r w:rsidR="00871D14">
        <w:t xml:space="preserve">based on existing evidence </w:t>
      </w:r>
      <w:r w:rsidR="00A957C8">
        <w:t>to mitigate</w:t>
      </w:r>
      <w:r w:rsidR="00E65551">
        <w:t xml:space="preserve"> the severe effect</w:t>
      </w:r>
      <w:r w:rsidR="00885F55">
        <w:t>s</w:t>
      </w:r>
      <w:r w:rsidR="00E65551">
        <w:t xml:space="preserve"> </w:t>
      </w:r>
      <w:r w:rsidR="00885F55">
        <w:t>for the</w:t>
      </w:r>
      <w:r w:rsidR="00E65551">
        <w:t xml:space="preserve"> small number of affected patients</w:t>
      </w:r>
      <w:r w:rsidR="00980EC9">
        <w:t xml:space="preserve">. </w:t>
      </w:r>
      <w:r w:rsidR="002915BD">
        <w:t xml:space="preserve">MSAC </w:t>
      </w:r>
      <w:r w:rsidR="00F64D4C">
        <w:t xml:space="preserve">also </w:t>
      </w:r>
      <w:r w:rsidR="002915BD">
        <w:t>noted the applicant agreed to the revised fee</w:t>
      </w:r>
      <w:r w:rsidR="00D50834">
        <w:t xml:space="preserve"> </w:t>
      </w:r>
      <w:r w:rsidR="00F64D4C">
        <w:t xml:space="preserve">proposed </w:t>
      </w:r>
      <w:r w:rsidR="002915BD">
        <w:t>by ESC</w:t>
      </w:r>
      <w:r w:rsidR="00F262CA">
        <w:t>.</w:t>
      </w:r>
      <w:r w:rsidR="002915BD">
        <w:t xml:space="preserve"> </w:t>
      </w:r>
      <w:r>
        <w:t>S</w:t>
      </w:r>
      <w:r w:rsidR="005364EA">
        <w:t xml:space="preserve">ubsequently, </w:t>
      </w:r>
      <w:r w:rsidR="00D435CE">
        <w:t xml:space="preserve">MSAC agreed with ESC that a revised fee of $182 was appropriate for </w:t>
      </w:r>
      <w:r w:rsidR="00D435CE" w:rsidRPr="373064EB">
        <w:rPr>
          <w:i/>
          <w:iCs/>
        </w:rPr>
        <w:t>DPYD</w:t>
      </w:r>
      <w:r w:rsidR="00D435CE">
        <w:t xml:space="preserve"> genotyping. </w:t>
      </w:r>
      <w:r w:rsidR="00CA7568">
        <w:t xml:space="preserve">To futureproof the item, </w:t>
      </w:r>
      <w:r w:rsidR="00926E2A">
        <w:t xml:space="preserve">MSAC </w:t>
      </w:r>
      <w:r>
        <w:t>agreed with the department</w:t>
      </w:r>
      <w:r w:rsidR="005364EA">
        <w:t xml:space="preserve">’s proposal of </w:t>
      </w:r>
      <w:r>
        <w:t>remov</w:t>
      </w:r>
      <w:r w:rsidR="005364EA">
        <w:t>ing</w:t>
      </w:r>
      <w:r>
        <w:t xml:space="preserve"> </w:t>
      </w:r>
      <w:r w:rsidR="00BC71C6">
        <w:t xml:space="preserve">specific </w:t>
      </w:r>
      <w:r>
        <w:t xml:space="preserve">reference to the number of variants to be tested. </w:t>
      </w:r>
      <w:r w:rsidR="00851377">
        <w:t xml:space="preserve">Additionally, MSAC considered the </w:t>
      </w:r>
      <w:r w:rsidR="00E2545F">
        <w:t>department</w:t>
      </w:r>
      <w:r w:rsidR="00F4727E">
        <w:t>’s</w:t>
      </w:r>
      <w:r w:rsidR="00E2545F">
        <w:t xml:space="preserve"> proposed amendment to the explanatory note to refer to ‘current clinical guidelines, such as the </w:t>
      </w:r>
      <w:proofErr w:type="spellStart"/>
      <w:r w:rsidR="00E2545F">
        <w:t>eviQ</w:t>
      </w:r>
      <w:proofErr w:type="spellEnd"/>
      <w:r w:rsidR="00E2545F">
        <w:t xml:space="preserve"> guidelines’ was reasonable.</w:t>
      </w:r>
    </w:p>
    <w:p w14:paraId="1259FA7B" w14:textId="31E76DDE" w:rsidR="00A11B80" w:rsidRDefault="00CB2E7D" w:rsidP="00CB2E7D">
      <w:r w:rsidRPr="004C1D35">
        <w:t>MSAC noted that the economic evaluation included a cost-effectiveness analysis</w:t>
      </w:r>
      <w:r w:rsidR="00640C0A" w:rsidRPr="00BC566D">
        <w:t xml:space="preserve"> (CEA)</w:t>
      </w:r>
      <w:r w:rsidRPr="004C1D35">
        <w:t xml:space="preserve"> and a cost-utility analysis</w:t>
      </w:r>
      <w:r w:rsidR="002163B6" w:rsidRPr="00BC566D">
        <w:t xml:space="preserve"> (CUA)</w:t>
      </w:r>
      <w:r w:rsidRPr="004C1D35">
        <w:t xml:space="preserve">. </w:t>
      </w:r>
      <w:r w:rsidR="00DE3C3D">
        <w:t>MSAC further noted that t</w:t>
      </w:r>
      <w:r w:rsidRPr="004C1D35">
        <w:t xml:space="preserve">he incremental cost-effectiveness ratio (ICER) was $67,910 per patient to avoid severe FP-related toxicity, </w:t>
      </w:r>
      <w:r w:rsidR="00173A93">
        <w:t>an</w:t>
      </w:r>
      <w:r w:rsidR="00165292">
        <w:t xml:space="preserve">d </w:t>
      </w:r>
      <w:r w:rsidR="001F2ED1">
        <w:t xml:space="preserve">the test </w:t>
      </w:r>
      <w:r w:rsidR="00DF4B02">
        <w:t>wa</w:t>
      </w:r>
      <w:r w:rsidR="001F2ED1">
        <w:t xml:space="preserve">s </w:t>
      </w:r>
      <w:r w:rsidR="00FD36E8">
        <w:t xml:space="preserve">considered a dominant strategy </w:t>
      </w:r>
      <w:r w:rsidR="00982E52">
        <w:t>in the cost-utility analysis</w:t>
      </w:r>
      <w:r w:rsidR="00FD36E8">
        <w:t>. However, MSAC acknowledged th</w:t>
      </w:r>
      <w:r w:rsidR="00AB0F3A">
        <w:t>e</w:t>
      </w:r>
      <w:r w:rsidR="00FD36E8">
        <w:t xml:space="preserve"> </w:t>
      </w:r>
      <w:r w:rsidR="00BC3B23">
        <w:t>uncertainty in the</w:t>
      </w:r>
      <w:r w:rsidR="00A04571">
        <w:t xml:space="preserve"> economic </w:t>
      </w:r>
      <w:r w:rsidR="006C6957">
        <w:t>model</w:t>
      </w:r>
      <w:r w:rsidR="009A04EA">
        <w:t>,</w:t>
      </w:r>
      <w:r w:rsidR="00BC3B23">
        <w:t xml:space="preserve"> as it</w:t>
      </w:r>
      <w:r w:rsidR="00A04571">
        <w:t xml:space="preserve"> largely </w:t>
      </w:r>
      <w:r w:rsidRPr="004C1D35">
        <w:t xml:space="preserve">relied on </w:t>
      </w:r>
      <w:r w:rsidR="009A04EA">
        <w:t>assumptions</w:t>
      </w:r>
      <w:r w:rsidR="00A11B80">
        <w:t xml:space="preserve"> such </w:t>
      </w:r>
      <w:r w:rsidR="000B237E">
        <w:t xml:space="preserve">as </w:t>
      </w:r>
      <w:r w:rsidR="00BC3B23" w:rsidRPr="004C1D35">
        <w:t>reduced length of stay in hospital due to FP-related adverse events (AEs)</w:t>
      </w:r>
      <w:r w:rsidR="00781CFC">
        <w:t xml:space="preserve"> and </w:t>
      </w:r>
      <w:r w:rsidR="00A00B60">
        <w:t xml:space="preserve">the predicted </w:t>
      </w:r>
      <w:r w:rsidR="00781CFC" w:rsidRPr="00CB2E7D">
        <w:t>uptake of testing</w:t>
      </w:r>
      <w:r w:rsidR="00BC3B23">
        <w:t>.</w:t>
      </w:r>
    </w:p>
    <w:p w14:paraId="4E5FC4B7" w14:textId="0A98D237" w:rsidR="00CD2A54" w:rsidRDefault="00CB2E7D" w:rsidP="00CD2A54">
      <w:r w:rsidRPr="00CB2E7D">
        <w:t>MSAC noted the</w:t>
      </w:r>
      <w:r w:rsidR="004C1D35">
        <w:t xml:space="preserve"> estimated</w:t>
      </w:r>
      <w:r w:rsidRPr="00CB2E7D">
        <w:t xml:space="preserve"> financial impact </w:t>
      </w:r>
      <w:r w:rsidR="005B0BB3">
        <w:t>on</w:t>
      </w:r>
      <w:r w:rsidR="005B0BB3" w:rsidRPr="00CB2E7D">
        <w:t xml:space="preserve"> </w:t>
      </w:r>
      <w:r w:rsidRPr="00CB2E7D">
        <w:t xml:space="preserve">the MBS </w:t>
      </w:r>
      <w:r w:rsidR="0019529A">
        <w:t xml:space="preserve">using the supported fee of $182 </w:t>
      </w:r>
      <w:r w:rsidRPr="00CB2E7D">
        <w:t>would be $1.</w:t>
      </w:r>
      <w:r w:rsidR="008B227F">
        <w:t>5</w:t>
      </w:r>
      <w:r w:rsidR="00A00B60" w:rsidRPr="00CB2E7D">
        <w:t> </w:t>
      </w:r>
      <w:r w:rsidRPr="00CB2E7D">
        <w:t xml:space="preserve">million in </w:t>
      </w:r>
      <w:r w:rsidR="000B217F">
        <w:t>Y</w:t>
      </w:r>
      <w:r w:rsidRPr="00CB2E7D">
        <w:t>ear 1, increasing to $3.</w:t>
      </w:r>
      <w:r w:rsidR="00772D43">
        <w:t>4</w:t>
      </w:r>
      <w:r w:rsidRPr="00CB2E7D">
        <w:t xml:space="preserve"> million by </w:t>
      </w:r>
      <w:r w:rsidR="000B217F">
        <w:t>Y</w:t>
      </w:r>
      <w:r w:rsidRPr="00CB2E7D">
        <w:t>ear 6 as</w:t>
      </w:r>
      <w:r w:rsidR="00613186">
        <w:t xml:space="preserve"> </w:t>
      </w:r>
      <w:r w:rsidR="00766B0D">
        <w:t xml:space="preserve">the </w:t>
      </w:r>
      <w:r w:rsidR="00613186">
        <w:t>uptake of genotyping increase</w:t>
      </w:r>
      <w:r w:rsidR="00FA48B1">
        <w:t>s</w:t>
      </w:r>
      <w:r w:rsidRPr="00CB2E7D">
        <w:t xml:space="preserve"> </w:t>
      </w:r>
      <w:r w:rsidR="00F90FE7">
        <w:t xml:space="preserve">over time with </w:t>
      </w:r>
      <w:r w:rsidR="00FA48B1">
        <w:t>greater</w:t>
      </w:r>
      <w:r w:rsidR="00F90FE7" w:rsidRPr="00CB2E7D">
        <w:t xml:space="preserve"> </w:t>
      </w:r>
      <w:r w:rsidR="0057236A">
        <w:t>patient</w:t>
      </w:r>
      <w:r w:rsidR="00FA48B1">
        <w:t xml:space="preserve"> awareness of</w:t>
      </w:r>
      <w:r w:rsidRPr="00CB2E7D">
        <w:t xml:space="preserve"> testing. </w:t>
      </w:r>
      <w:r w:rsidR="00C35F02" w:rsidRPr="00C35F02">
        <w:t xml:space="preserve">MSAC considered </w:t>
      </w:r>
      <w:r w:rsidR="00C35F02" w:rsidRPr="00C35F02">
        <w:rPr>
          <w:i/>
          <w:iCs/>
        </w:rPr>
        <w:t>DPYD</w:t>
      </w:r>
      <w:r w:rsidR="00C35F02" w:rsidRPr="00C35F02">
        <w:t xml:space="preserve"> genotyping </w:t>
      </w:r>
      <w:r w:rsidR="0022258A">
        <w:t>to be</w:t>
      </w:r>
      <w:r w:rsidR="00C35F02" w:rsidRPr="00C35F02">
        <w:t xml:space="preserve"> cost-effective as it is expected to </w:t>
      </w:r>
      <w:r w:rsidR="0022258A">
        <w:t>result in</w:t>
      </w:r>
      <w:r w:rsidR="00C35F02" w:rsidRPr="00C35F02">
        <w:t xml:space="preserve"> cost saving</w:t>
      </w:r>
      <w:r w:rsidR="0022258A">
        <w:t>s</w:t>
      </w:r>
      <w:r w:rsidR="00C35F02" w:rsidRPr="00C35F02">
        <w:t xml:space="preserve"> to Australian government </w:t>
      </w:r>
      <w:r w:rsidR="00F362A4">
        <w:t>by</w:t>
      </w:r>
      <w:r w:rsidR="00C35F02" w:rsidRPr="00C35F02">
        <w:t xml:space="preserve"> reduc</w:t>
      </w:r>
      <w:r w:rsidR="00F362A4">
        <w:t>ing</w:t>
      </w:r>
      <w:r w:rsidR="00C35F02" w:rsidRPr="00C35F02">
        <w:t xml:space="preserve"> the likelihood of severe toxicity and the</w:t>
      </w:r>
      <w:r w:rsidR="00F362A4">
        <w:t xml:space="preserve"> associated</w:t>
      </w:r>
      <w:r w:rsidR="00C35F02" w:rsidRPr="00C35F02">
        <w:t xml:space="preserve"> costs of treating severe toxicity from FP chemotherapy. </w:t>
      </w:r>
      <w:r w:rsidRPr="00CB2E7D">
        <w:t xml:space="preserve">However, MSAC </w:t>
      </w:r>
      <w:r w:rsidR="00C611EC">
        <w:t>noted</w:t>
      </w:r>
      <w:r w:rsidRPr="00CB2E7D">
        <w:t xml:space="preserve"> </w:t>
      </w:r>
      <w:r w:rsidR="006A12DB">
        <w:t xml:space="preserve">ESC’s concerns regarding </w:t>
      </w:r>
      <w:r w:rsidRPr="00CB2E7D">
        <w:t xml:space="preserve">the clinical uncertainty around the </w:t>
      </w:r>
      <w:r w:rsidR="008848D9" w:rsidRPr="008848D9">
        <w:t xml:space="preserve">effectiveness of </w:t>
      </w:r>
      <w:r w:rsidR="008848D9" w:rsidRPr="00BC566D">
        <w:rPr>
          <w:i/>
          <w:iCs/>
        </w:rPr>
        <w:t>DPYD</w:t>
      </w:r>
      <w:r w:rsidR="008848D9" w:rsidRPr="008848D9">
        <w:t xml:space="preserve"> genotyping</w:t>
      </w:r>
      <w:r w:rsidR="00845A96">
        <w:t xml:space="preserve"> and the </w:t>
      </w:r>
      <w:r w:rsidRPr="00CB2E7D">
        <w:t xml:space="preserve">large impacts </w:t>
      </w:r>
      <w:r w:rsidR="00C958F1">
        <w:t xml:space="preserve">uptake rate had </w:t>
      </w:r>
      <w:r w:rsidRPr="00CB2E7D">
        <w:t>on the financials</w:t>
      </w:r>
      <w:r w:rsidR="00F734BE">
        <w:t>.</w:t>
      </w:r>
      <w:r w:rsidR="00F734BE" w:rsidRPr="00F734BE">
        <w:rPr>
          <w:rFonts w:ascii="Calibri" w:hAnsi="Calibri" w:cs="Calibri"/>
          <w:color w:val="000000"/>
          <w:shd w:val="clear" w:color="auto" w:fill="FFFFFF"/>
        </w:rPr>
        <w:t xml:space="preserve"> </w:t>
      </w:r>
      <w:r w:rsidR="00F734BE" w:rsidRPr="00F734BE">
        <w:t>MSAC noted that these uncertainties m</w:t>
      </w:r>
      <w:r w:rsidR="00C55EF1">
        <w:t>ay have</w:t>
      </w:r>
      <w:r w:rsidR="00F734BE" w:rsidRPr="00F734BE">
        <w:t xml:space="preserve"> </w:t>
      </w:r>
      <w:r w:rsidR="00877DAF" w:rsidRPr="00F734BE">
        <w:t>led</w:t>
      </w:r>
      <w:r w:rsidR="00F734BE" w:rsidRPr="00F734BE">
        <w:t xml:space="preserve"> to an overestimation of the savings attributed to the listing of </w:t>
      </w:r>
      <w:r w:rsidR="00F734BE" w:rsidRPr="00BC566D">
        <w:rPr>
          <w:i/>
          <w:iCs/>
        </w:rPr>
        <w:t>DPYD</w:t>
      </w:r>
      <w:r w:rsidR="00F734BE" w:rsidRPr="00F734BE">
        <w:t xml:space="preserve"> genotyping.</w:t>
      </w:r>
      <w:r w:rsidR="005B0C3F">
        <w:t xml:space="preserve"> </w:t>
      </w:r>
      <w:r w:rsidR="0040500B">
        <w:t xml:space="preserve">Subsequently, </w:t>
      </w:r>
      <w:r w:rsidR="005B0C3F" w:rsidRPr="00A06914">
        <w:t xml:space="preserve">MSAC advised that a review of utilisation </w:t>
      </w:r>
      <w:r w:rsidR="00F86597">
        <w:t xml:space="preserve">of </w:t>
      </w:r>
      <w:r w:rsidR="00F86597" w:rsidRPr="002C5FB1">
        <w:rPr>
          <w:i/>
          <w:iCs/>
        </w:rPr>
        <w:t>DPYD</w:t>
      </w:r>
      <w:r w:rsidR="00F86597">
        <w:t xml:space="preserve"> testing </w:t>
      </w:r>
      <w:r w:rsidR="005B0C3F" w:rsidRPr="00A06914">
        <w:t>should be conducted</w:t>
      </w:r>
      <w:r w:rsidR="00F86597">
        <w:t xml:space="preserve"> following </w:t>
      </w:r>
      <w:r w:rsidR="005124BC">
        <w:t>implementation</w:t>
      </w:r>
      <w:r w:rsidR="005B0C3F">
        <w:t>.</w:t>
      </w:r>
      <w:r w:rsidR="002C5FB1">
        <w:t xml:space="preserve"> </w:t>
      </w:r>
      <w:r w:rsidR="008D575C">
        <w:t xml:space="preserve">Overall, </w:t>
      </w:r>
      <w:r w:rsidRPr="00CB2E7D">
        <w:t xml:space="preserve">MSAC </w:t>
      </w:r>
      <w:r w:rsidR="00527EDA">
        <w:t>support</w:t>
      </w:r>
      <w:r w:rsidR="00527EDA" w:rsidRPr="00CB2E7D">
        <w:t xml:space="preserve">ed </w:t>
      </w:r>
      <w:r w:rsidRPr="00CB2E7D">
        <w:t xml:space="preserve">listing </w:t>
      </w:r>
      <w:r w:rsidRPr="00CB2E7D">
        <w:rPr>
          <w:i/>
          <w:iCs/>
        </w:rPr>
        <w:t>DPYD</w:t>
      </w:r>
      <w:r w:rsidRPr="00CB2E7D">
        <w:t xml:space="preserve"> genotyping on the MBS, as it has significant </w:t>
      </w:r>
      <w:r w:rsidR="00C114CD">
        <w:t xml:space="preserve">clinical </w:t>
      </w:r>
      <w:r w:rsidRPr="00CB2E7D">
        <w:t>benefit</w:t>
      </w:r>
      <w:r w:rsidR="00C114CD">
        <w:t>s</w:t>
      </w:r>
      <w:r w:rsidRPr="00CB2E7D">
        <w:t xml:space="preserve"> to some patients who may otherwise have life-threatening AEs due to FP-induced toxicity. </w:t>
      </w:r>
      <w:r w:rsidR="00BC16FC">
        <w:t xml:space="preserve">MSAC further noted that as </w:t>
      </w:r>
      <w:r w:rsidRPr="00CB2E7D">
        <w:rPr>
          <w:i/>
          <w:iCs/>
        </w:rPr>
        <w:t>DPYD</w:t>
      </w:r>
      <w:r w:rsidRPr="00CB2E7D">
        <w:t xml:space="preserve"> genotyping is standard clinical practice and is recommended in international </w:t>
      </w:r>
      <w:r w:rsidRPr="00CB2E7D">
        <w:lastRenderedPageBreak/>
        <w:t xml:space="preserve">and national guidelines, it </w:t>
      </w:r>
      <w:r w:rsidR="000C5163">
        <w:t xml:space="preserve">is </w:t>
      </w:r>
      <w:r w:rsidRPr="00CB2E7D">
        <w:t>important that the MBS aligns with these guidelines.</w:t>
      </w:r>
      <w:r w:rsidR="000C5163">
        <w:t xml:space="preserve"> </w:t>
      </w:r>
      <w:r w:rsidR="000602DB" w:rsidRPr="000602DB">
        <w:t xml:space="preserve">MSAC </w:t>
      </w:r>
      <w:r w:rsidR="000B6E21">
        <w:t>further</w:t>
      </w:r>
      <w:r w:rsidR="000602DB" w:rsidRPr="000602DB">
        <w:t xml:space="preserve"> noted the GENESCREEN trial</w:t>
      </w:r>
      <w:r w:rsidR="00A2483E">
        <w:t>,</w:t>
      </w:r>
      <w:r w:rsidR="00A2483E" w:rsidRPr="00A2483E">
        <w:t xml:space="preserve"> </w:t>
      </w:r>
      <w:r w:rsidR="00A2483E" w:rsidRPr="000602DB">
        <w:t xml:space="preserve">which is investigating </w:t>
      </w:r>
      <w:r w:rsidR="00A2483E" w:rsidRPr="000602DB">
        <w:rPr>
          <w:i/>
          <w:iCs/>
        </w:rPr>
        <w:t>DPYD</w:t>
      </w:r>
      <w:r w:rsidR="00A2483E" w:rsidRPr="000602DB">
        <w:t xml:space="preserve"> genotyping</w:t>
      </w:r>
      <w:r w:rsidR="00A2483E">
        <w:t>,</w:t>
      </w:r>
      <w:r w:rsidR="000602DB" w:rsidRPr="000602DB">
        <w:t xml:space="preserve"> is funded by the Medical Research Future Fund (MRFF)</w:t>
      </w:r>
      <w:r w:rsidR="00DC51C5">
        <w:t>, and advised</w:t>
      </w:r>
      <w:r w:rsidR="00A25D0E">
        <w:t xml:space="preserve"> </w:t>
      </w:r>
      <w:r w:rsidR="00C0448A">
        <w:t xml:space="preserve">the department </w:t>
      </w:r>
      <w:r w:rsidR="00DC51C5">
        <w:t>that</w:t>
      </w:r>
      <w:r w:rsidR="00A25D0E">
        <w:t xml:space="preserve"> </w:t>
      </w:r>
      <w:r w:rsidR="000602DB" w:rsidRPr="000602DB">
        <w:t>the funding body be informed about MSAC’s</w:t>
      </w:r>
      <w:r w:rsidR="00441F22">
        <w:t xml:space="preserve"> </w:t>
      </w:r>
      <w:r w:rsidR="00A2483E">
        <w:t>decision</w:t>
      </w:r>
      <w:r w:rsidR="000602DB" w:rsidRPr="000602DB">
        <w:t>.</w:t>
      </w:r>
    </w:p>
    <w:p w14:paraId="6710B69D" w14:textId="17980410" w:rsidR="00772829" w:rsidRPr="00CE28E3" w:rsidRDefault="00476193" w:rsidP="00FF160D">
      <w:pPr>
        <w:pStyle w:val="Heading2"/>
      </w:pPr>
      <w:bookmarkStart w:id="2" w:name="_Toc175815801"/>
      <w:bookmarkEnd w:id="1"/>
      <w:r>
        <w:t>4</w:t>
      </w:r>
      <w:r w:rsidR="00C36633">
        <w:t>.</w:t>
      </w:r>
      <w:r w:rsidR="00C36633">
        <w:tab/>
      </w:r>
      <w:r w:rsidR="00772829" w:rsidRPr="00CE28E3">
        <w:t>Background</w:t>
      </w:r>
      <w:bookmarkEnd w:id="2"/>
    </w:p>
    <w:p w14:paraId="6E7E94AD" w14:textId="465C1003" w:rsidR="00476193" w:rsidRPr="00476193" w:rsidRDefault="00CA42D6" w:rsidP="00476193">
      <w:bookmarkStart w:id="3" w:name="_Hlk69734494"/>
      <w:r w:rsidRPr="00CE28E3">
        <w:t>MSAC has not previously considered</w:t>
      </w:r>
      <w:r w:rsidR="00BE5374" w:rsidRPr="00CE28E3">
        <w:t xml:space="preserve"> </w:t>
      </w:r>
      <w:r w:rsidR="00CD73DB" w:rsidRPr="00CD73DB">
        <w:rPr>
          <w:i/>
        </w:rPr>
        <w:t>DPYD</w:t>
      </w:r>
      <w:r w:rsidR="00E47F00" w:rsidRPr="00E47F00">
        <w:t xml:space="preserve"> genotyping to predict FP-induced toxicity in patients with solid tumours who are about to commence a treatment protocol that includes oral or intravenous FP</w:t>
      </w:r>
      <w:r w:rsidR="000E230B">
        <w:t>-based therapy</w:t>
      </w:r>
      <w:r w:rsidR="00BE5374" w:rsidRPr="00CE28E3">
        <w:t>.</w:t>
      </w:r>
    </w:p>
    <w:p w14:paraId="6F52500A" w14:textId="0C32417C" w:rsidR="00772829" w:rsidRPr="00CE28E3" w:rsidRDefault="00476193" w:rsidP="00FF160D">
      <w:pPr>
        <w:pStyle w:val="Heading2"/>
      </w:pPr>
      <w:bookmarkStart w:id="4" w:name="_Toc175815802"/>
      <w:bookmarkEnd w:id="3"/>
      <w:r>
        <w:t>5</w:t>
      </w:r>
      <w:r w:rsidR="00C36633">
        <w:t>.</w:t>
      </w:r>
      <w:r w:rsidR="00C36633">
        <w:tab/>
      </w:r>
      <w:r w:rsidR="00772829" w:rsidRPr="00CE28E3">
        <w:t>Prerequisites to implementation of any funding advice</w:t>
      </w:r>
      <w:bookmarkEnd w:id="4"/>
    </w:p>
    <w:p w14:paraId="6CF61B57" w14:textId="77777777" w:rsidR="007B0ABC" w:rsidRDefault="007B0ABC" w:rsidP="007B0ABC">
      <w:r>
        <w:t>There are no prerequisites to be met.</w:t>
      </w:r>
    </w:p>
    <w:p w14:paraId="44C3B242" w14:textId="46DF5482" w:rsidR="00772829" w:rsidRPr="00CE28E3" w:rsidRDefault="00476193" w:rsidP="00FF160D">
      <w:pPr>
        <w:pStyle w:val="Heading2"/>
      </w:pPr>
      <w:bookmarkStart w:id="5" w:name="_Toc175815803"/>
      <w:r>
        <w:t>6</w:t>
      </w:r>
      <w:r w:rsidR="00C36633">
        <w:t>.</w:t>
      </w:r>
      <w:r w:rsidR="00C36633">
        <w:tab/>
      </w:r>
      <w:r w:rsidR="00772829" w:rsidRPr="00CE28E3">
        <w:t>Proposal for public funding</w:t>
      </w:r>
      <w:bookmarkEnd w:id="5"/>
    </w:p>
    <w:p w14:paraId="0D9F37F8" w14:textId="53B6018B" w:rsidR="00B26622" w:rsidRDefault="00F6171D" w:rsidP="00697140">
      <w:r w:rsidRPr="00F6171D">
        <w:t xml:space="preserve">The intervention proposed </w:t>
      </w:r>
      <w:r w:rsidR="00FF75A3">
        <w:t>is</w:t>
      </w:r>
      <w:r w:rsidRPr="00F6171D">
        <w:t xml:space="preserve"> </w:t>
      </w:r>
      <w:r w:rsidR="00CD73DB" w:rsidRPr="00CD73DB">
        <w:rPr>
          <w:i/>
        </w:rPr>
        <w:t>DPYD</w:t>
      </w:r>
      <w:r w:rsidRPr="00F6171D">
        <w:t xml:space="preserve"> genotyping </w:t>
      </w:r>
      <w:r w:rsidR="00773DD1" w:rsidRPr="00773DD1">
        <w:t xml:space="preserve">targeting at least four </w:t>
      </w:r>
      <w:r w:rsidR="00CD73DB" w:rsidRPr="00CD73DB">
        <w:rPr>
          <w:i/>
        </w:rPr>
        <w:t>DPYD</w:t>
      </w:r>
      <w:r w:rsidR="00773DD1" w:rsidRPr="00773DD1">
        <w:t xml:space="preserve"> gene variants </w:t>
      </w:r>
      <w:r w:rsidRPr="00F6171D">
        <w:t>before the commencement of FP-based chemotherapy (to identify patients at risk of severe FP-related toxicity).</w:t>
      </w:r>
      <w:r>
        <w:t xml:space="preserve"> T</w:t>
      </w:r>
      <w:r w:rsidR="006459EF" w:rsidRPr="00330A0A">
        <w:t xml:space="preserve">he proposal intends to create </w:t>
      </w:r>
      <w:r>
        <w:t xml:space="preserve">a </w:t>
      </w:r>
      <w:r w:rsidR="006459EF" w:rsidRPr="00330A0A">
        <w:t>new MBS item</w:t>
      </w:r>
      <w:r w:rsidR="00A8049D">
        <w:t xml:space="preserve"> (</w:t>
      </w:r>
      <w:r w:rsidR="0000109A">
        <w:fldChar w:fldCharType="begin"/>
      </w:r>
      <w:r w:rsidR="0000109A">
        <w:instrText xml:space="preserve"> REF _Ref69481033 \h </w:instrText>
      </w:r>
      <w:r w:rsidR="00697140">
        <w:instrText xml:space="preserve"> \* MERGEFORMAT </w:instrText>
      </w:r>
      <w:r w:rsidR="0000109A">
        <w:fldChar w:fldCharType="separate"/>
      </w:r>
      <w:r w:rsidR="00835345">
        <w:t>Table 2</w:t>
      </w:r>
      <w:r w:rsidR="0000109A">
        <w:fldChar w:fldCharType="end"/>
      </w:r>
      <w:r w:rsidR="00A8049D">
        <w:t>)</w:t>
      </w:r>
      <w:r w:rsidR="00B26622" w:rsidRPr="00330A0A">
        <w:t>.</w:t>
      </w:r>
      <w:r w:rsidR="00AC3B96" w:rsidRPr="00AC3B96">
        <w:t xml:space="preserve"> </w:t>
      </w:r>
    </w:p>
    <w:p w14:paraId="39392CFD" w14:textId="54DD357D" w:rsidR="003328A9" w:rsidRPr="00CE28E3" w:rsidRDefault="00310C3F" w:rsidP="00FF160D">
      <w:pPr>
        <w:pStyle w:val="Caption"/>
      </w:pPr>
      <w:bookmarkStart w:id="6" w:name="_Ref69481033"/>
      <w:r>
        <w:t>Table</w:t>
      </w:r>
      <w:r w:rsidR="004A4FDF">
        <w:t> </w:t>
      </w:r>
      <w:r w:rsidR="005915FD">
        <w:fldChar w:fldCharType="begin"/>
      </w:r>
      <w:r w:rsidR="005915FD">
        <w:instrText xml:space="preserve"> SEQ Table \* ARABIC </w:instrText>
      </w:r>
      <w:r w:rsidR="005915FD">
        <w:fldChar w:fldCharType="separate"/>
      </w:r>
      <w:r w:rsidR="00835345">
        <w:rPr>
          <w:noProof/>
        </w:rPr>
        <w:t>2</w:t>
      </w:r>
      <w:r w:rsidR="005915FD">
        <w:rPr>
          <w:noProof/>
        </w:rPr>
        <w:fldChar w:fldCharType="end"/>
      </w:r>
      <w:bookmarkEnd w:id="6"/>
      <w:r w:rsidR="003328A9" w:rsidRPr="00CE28E3">
        <w:tab/>
      </w:r>
      <w:r w:rsidR="00B26622" w:rsidRPr="00CE28E3">
        <w:t>Presentation of an existing, amended or newly proposed MBS item</w:t>
      </w:r>
      <w:r w:rsidR="003328A9" w:rsidRPr="00CE28E3">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016"/>
      </w:tblGrid>
      <w:tr w:rsidR="003328A9" w:rsidRPr="00CE28E3" w14:paraId="7A70B700" w14:textId="77777777" w:rsidTr="007754A6">
        <w:trPr>
          <w:trHeight w:val="52"/>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5D34FAA1" w:rsidR="003328A9" w:rsidRPr="001223CD" w:rsidRDefault="003328A9" w:rsidP="007754A6">
            <w:pPr>
              <w:pStyle w:val="2024TABLETEXT"/>
              <w:rPr>
                <w:sz w:val="24"/>
              </w:rPr>
            </w:pPr>
            <w:bookmarkStart w:id="7" w:name="_Hlk184800096"/>
            <w:r w:rsidRPr="001223CD">
              <w:t xml:space="preserve">Category </w:t>
            </w:r>
            <w:r w:rsidR="00A407B2" w:rsidRPr="001223CD">
              <w:t>6 – PATHOLOGY SERVICES                                                                                            Group P7 – Genetics</w:t>
            </w:r>
          </w:p>
        </w:tc>
      </w:tr>
      <w:bookmarkEnd w:id="7"/>
      <w:tr w:rsidR="003328A9" w:rsidRPr="00CE28E3" w14:paraId="05A9B76F" w14:textId="77777777" w:rsidTr="007754A6">
        <w:tc>
          <w:tcPr>
            <w:tcW w:w="5000" w:type="pct"/>
            <w:tcBorders>
              <w:top w:val="single" w:sz="4" w:space="0" w:color="000000"/>
              <w:left w:val="single" w:sz="4" w:space="0" w:color="000000"/>
              <w:bottom w:val="single" w:sz="4" w:space="0" w:color="000000"/>
              <w:right w:val="single" w:sz="4" w:space="0" w:color="000000"/>
            </w:tcBorders>
            <w:hideMark/>
          </w:tcPr>
          <w:p w14:paraId="562DD428" w14:textId="19219E65" w:rsidR="00E3330E" w:rsidRPr="00170D5B" w:rsidRDefault="00E3330E" w:rsidP="007754A6">
            <w:pPr>
              <w:pStyle w:val="2024TABLETEXT"/>
              <w:rPr>
                <w:lang w:val="en-US" w:eastAsia="ja-JP"/>
              </w:rPr>
            </w:pPr>
            <w:r w:rsidRPr="00170D5B">
              <w:rPr>
                <w:lang w:val="en-US" w:eastAsia="ja-JP"/>
              </w:rPr>
              <w:t xml:space="preserve">MBS item </w:t>
            </w:r>
            <w:r w:rsidR="00BB7BEA">
              <w:rPr>
                <w:lang w:val="en-US" w:eastAsia="ja-JP"/>
              </w:rPr>
              <w:t>AAAA</w:t>
            </w:r>
          </w:p>
          <w:p w14:paraId="3E29E183" w14:textId="2130BF21" w:rsidR="0090455D" w:rsidRDefault="0090455D" w:rsidP="007754A6">
            <w:pPr>
              <w:pStyle w:val="2024TABLETEXT"/>
            </w:pPr>
            <w:r>
              <w:t xml:space="preserve">Genetic </w:t>
            </w:r>
            <w:r w:rsidRPr="00BD209E">
              <w:t xml:space="preserve">testing </w:t>
            </w:r>
            <w:r w:rsidRPr="00CE120E">
              <w:t xml:space="preserve">for </w:t>
            </w:r>
            <w:r w:rsidRPr="0D630ABE">
              <w:t>four</w:t>
            </w:r>
            <w:r w:rsidRPr="00BA5FED">
              <w:t xml:space="preserve"> or more </w:t>
            </w:r>
            <w:r>
              <w:t xml:space="preserve">variants in the </w:t>
            </w:r>
            <w:r w:rsidR="00CD73DB" w:rsidRPr="00CD73DB">
              <w:rPr>
                <w:i/>
              </w:rPr>
              <w:t>DPYD</w:t>
            </w:r>
            <w:r>
              <w:t xml:space="preserve"> gene </w:t>
            </w:r>
            <w:r w:rsidRPr="00BD209E">
              <w:t>to predict fluoropyrimidine-induced toxicity in a patient, where:</w:t>
            </w:r>
          </w:p>
          <w:p w14:paraId="211A3337" w14:textId="77777777" w:rsidR="0060573E" w:rsidRPr="00BD209E" w:rsidRDefault="0060573E" w:rsidP="007754A6">
            <w:pPr>
              <w:pStyle w:val="2024TABLETEXT"/>
            </w:pPr>
          </w:p>
          <w:p w14:paraId="67BD367B" w14:textId="77777777" w:rsidR="0090455D" w:rsidRDefault="0090455D" w:rsidP="00E9485A">
            <w:pPr>
              <w:pStyle w:val="2024TABLETEXT"/>
              <w:numPr>
                <w:ilvl w:val="0"/>
                <w:numId w:val="16"/>
              </w:numPr>
            </w:pPr>
            <w:r>
              <w:t>t</w:t>
            </w:r>
            <w:r w:rsidRPr="00CE120E">
              <w:t>he service is requested by a specialist or consultant physician; and</w:t>
            </w:r>
          </w:p>
          <w:p w14:paraId="60DFE8FE" w14:textId="21E8E92E" w:rsidR="0090455D" w:rsidRDefault="0090455D" w:rsidP="00E9485A">
            <w:pPr>
              <w:pStyle w:val="2024TABLETEXT"/>
              <w:numPr>
                <w:ilvl w:val="0"/>
                <w:numId w:val="16"/>
              </w:numPr>
            </w:pPr>
            <w:r w:rsidRPr="52294686">
              <w:t>the service is conducted prior to the initiation of chemotherapy, or radio-sensitisation, with a fluoropyrimidine, administered systemically; and</w:t>
            </w:r>
          </w:p>
          <w:p w14:paraId="08FA5016" w14:textId="21115812" w:rsidR="0090455D" w:rsidRPr="004F1B8D" w:rsidRDefault="0090455D" w:rsidP="00E9485A">
            <w:pPr>
              <w:pStyle w:val="2024TABLETEXT"/>
              <w:numPr>
                <w:ilvl w:val="0"/>
                <w:numId w:val="16"/>
              </w:numPr>
            </w:pPr>
            <w:r w:rsidRPr="344B0F93">
              <w:t xml:space="preserve">genotyping is conducted to detect at least four </w:t>
            </w:r>
            <w:r w:rsidR="00CD73DB" w:rsidRPr="00CD73DB">
              <w:rPr>
                <w:i/>
              </w:rPr>
              <w:t>DPYD</w:t>
            </w:r>
            <w:r w:rsidRPr="344B0F93">
              <w:t xml:space="preserve"> variants that can lead to reduced or completely absent </w:t>
            </w:r>
            <w:proofErr w:type="spellStart"/>
            <w:r w:rsidRPr="344B0F93">
              <w:t>dihydropyrimidine</w:t>
            </w:r>
            <w:proofErr w:type="spellEnd"/>
            <w:r w:rsidRPr="344B0F93">
              <w:t xml:space="preserve"> dehydrogenase (DPD) activity.</w:t>
            </w:r>
          </w:p>
          <w:p w14:paraId="13D3F473" w14:textId="77777777" w:rsidR="0060573E" w:rsidRDefault="0060573E" w:rsidP="007754A6">
            <w:pPr>
              <w:pStyle w:val="2024TABLETEXT"/>
            </w:pPr>
          </w:p>
          <w:p w14:paraId="3EEC2DE6" w14:textId="49C13325" w:rsidR="003328A9" w:rsidRPr="00170D5B" w:rsidRDefault="0090455D" w:rsidP="007754A6">
            <w:pPr>
              <w:pStyle w:val="2024TABLETEXT"/>
              <w:rPr>
                <w:lang w:val="en-US" w:eastAsia="ja-JP"/>
              </w:rPr>
            </w:pPr>
            <w:r w:rsidRPr="000E3FFF">
              <w:t>Once per lifetime</w:t>
            </w:r>
            <w:r>
              <w:t>.</w:t>
            </w:r>
          </w:p>
        </w:tc>
      </w:tr>
      <w:tr w:rsidR="003328A9" w:rsidRPr="005D749D" w14:paraId="190EE027" w14:textId="77777777" w:rsidTr="007754A6">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31982C3B" w:rsidR="003328A9" w:rsidRPr="005D749D" w:rsidRDefault="00E03E9C" w:rsidP="007754A6">
            <w:pPr>
              <w:pStyle w:val="2024TABLETEXT"/>
            </w:pPr>
            <w:r w:rsidRPr="00E03E9C">
              <w:t>Fee: $188.00 Benefit: 75%=$141.00       85%=$159.80</w:t>
            </w:r>
          </w:p>
        </w:tc>
      </w:tr>
      <w:tr w:rsidR="00E03E9C" w:rsidRPr="005D749D" w14:paraId="402570AE" w14:textId="77777777" w:rsidTr="007754A6">
        <w:tc>
          <w:tcPr>
            <w:tcW w:w="5000" w:type="pct"/>
            <w:tcBorders>
              <w:top w:val="single" w:sz="4" w:space="0" w:color="000000"/>
              <w:left w:val="single" w:sz="4" w:space="0" w:color="000000"/>
              <w:bottom w:val="single" w:sz="4" w:space="0" w:color="000000"/>
              <w:right w:val="single" w:sz="4" w:space="0" w:color="000000"/>
            </w:tcBorders>
            <w:vAlign w:val="center"/>
          </w:tcPr>
          <w:p w14:paraId="7382CBE2" w14:textId="77777777" w:rsidR="003539F7" w:rsidRDefault="003539F7" w:rsidP="007754A6">
            <w:pPr>
              <w:pStyle w:val="2024TABLETEXT"/>
            </w:pPr>
            <w:r>
              <w:t>Explanatory note:</w:t>
            </w:r>
          </w:p>
          <w:p w14:paraId="7BD4A4B8" w14:textId="77777777" w:rsidR="003539F7" w:rsidRPr="00C96F51" w:rsidRDefault="003539F7" w:rsidP="007754A6">
            <w:pPr>
              <w:pStyle w:val="2024TABLETEXT"/>
            </w:pPr>
            <w:r w:rsidRPr="00C96F51">
              <w:t xml:space="preserve">The variants analysed </w:t>
            </w:r>
            <w:r>
              <w:t xml:space="preserve">should be selected in line with current guidelines, and </w:t>
            </w:r>
            <w:r w:rsidRPr="00C96F51">
              <w:t>must include</w:t>
            </w:r>
            <w:r>
              <w:t xml:space="preserve"> at least</w:t>
            </w:r>
            <w:r w:rsidRPr="00C96F51">
              <w:t>:</w:t>
            </w:r>
          </w:p>
          <w:p w14:paraId="27C01E5B" w14:textId="27E933E6" w:rsidR="003539F7" w:rsidRPr="00C96F51" w:rsidRDefault="003539F7" w:rsidP="00E9485A">
            <w:pPr>
              <w:pStyle w:val="2024TABLETEXT"/>
              <w:numPr>
                <w:ilvl w:val="0"/>
                <w:numId w:val="17"/>
              </w:numPr>
            </w:pPr>
            <w:r w:rsidRPr="1006DA23">
              <w:t>NM_000110.4(</w:t>
            </w:r>
            <w:r w:rsidR="00CD73DB" w:rsidRPr="00CD73DB">
              <w:rPr>
                <w:i/>
              </w:rPr>
              <w:t>DPYD</w:t>
            </w:r>
            <w:proofErr w:type="gramStart"/>
            <w:r w:rsidRPr="1006DA23">
              <w:t>):c.</w:t>
            </w:r>
            <w:proofErr w:type="gramEnd"/>
            <w:r w:rsidRPr="1006DA23">
              <w:t xml:space="preserve">1905+1G&gt;A </w:t>
            </w:r>
          </w:p>
          <w:p w14:paraId="1059581C" w14:textId="0D68FF82" w:rsidR="003539F7" w:rsidRPr="00C96F51" w:rsidRDefault="003539F7" w:rsidP="00E9485A">
            <w:pPr>
              <w:pStyle w:val="2024TABLETEXT"/>
              <w:numPr>
                <w:ilvl w:val="0"/>
                <w:numId w:val="17"/>
              </w:numPr>
            </w:pPr>
            <w:r w:rsidRPr="1006DA23">
              <w:t>NM_000110.4(</w:t>
            </w:r>
            <w:r w:rsidR="00CD73DB" w:rsidRPr="00CD73DB">
              <w:rPr>
                <w:i/>
              </w:rPr>
              <w:t>DPYD</w:t>
            </w:r>
            <w:proofErr w:type="gramStart"/>
            <w:r w:rsidRPr="1006DA23">
              <w:t>):c.</w:t>
            </w:r>
            <w:proofErr w:type="gramEnd"/>
            <w:r w:rsidRPr="1006DA23">
              <w:t xml:space="preserve">1679T&gt;G </w:t>
            </w:r>
          </w:p>
          <w:p w14:paraId="4E95F5D9" w14:textId="08B8FF91" w:rsidR="003539F7" w:rsidRPr="00C96F51" w:rsidRDefault="003539F7" w:rsidP="00E9485A">
            <w:pPr>
              <w:pStyle w:val="2024TABLETEXT"/>
              <w:numPr>
                <w:ilvl w:val="0"/>
                <w:numId w:val="17"/>
              </w:numPr>
            </w:pPr>
            <w:r w:rsidRPr="1006DA23">
              <w:t>NM_000110.4(</w:t>
            </w:r>
            <w:r w:rsidR="00CD73DB" w:rsidRPr="00CD73DB">
              <w:rPr>
                <w:i/>
              </w:rPr>
              <w:t>DPYD</w:t>
            </w:r>
            <w:proofErr w:type="gramStart"/>
            <w:r w:rsidRPr="1006DA23">
              <w:t>):c.</w:t>
            </w:r>
            <w:proofErr w:type="gramEnd"/>
            <w:r w:rsidRPr="1006DA23">
              <w:t>2846A&gt;T</w:t>
            </w:r>
          </w:p>
          <w:p w14:paraId="6A057134" w14:textId="42ADC85B" w:rsidR="003539F7" w:rsidRDefault="003539F7" w:rsidP="00E9485A">
            <w:pPr>
              <w:pStyle w:val="2024TABLETEXT"/>
              <w:numPr>
                <w:ilvl w:val="0"/>
                <w:numId w:val="17"/>
              </w:numPr>
            </w:pPr>
            <w:r w:rsidRPr="1006DA23">
              <w:t>NM_000110.4(</w:t>
            </w:r>
            <w:r w:rsidR="00CD73DB" w:rsidRPr="00CD73DB">
              <w:rPr>
                <w:i/>
              </w:rPr>
              <w:t>DPYD</w:t>
            </w:r>
            <w:proofErr w:type="gramStart"/>
            <w:r w:rsidRPr="1006DA23">
              <w:t>):c.</w:t>
            </w:r>
            <w:proofErr w:type="gramEnd"/>
            <w:r w:rsidRPr="1006DA23">
              <w:t xml:space="preserve">1129-5923C&gt;G </w:t>
            </w:r>
          </w:p>
          <w:p w14:paraId="760F3306" w14:textId="6DD4BCE4" w:rsidR="00E03E9C" w:rsidRPr="00E03E9C" w:rsidRDefault="003539F7" w:rsidP="007754A6">
            <w:pPr>
              <w:pStyle w:val="2024TABLETEXT"/>
            </w:pPr>
            <w:r>
              <w:rPr>
                <w:szCs w:val="20"/>
              </w:rPr>
              <w:t>Published evidence for the association of presence of t</w:t>
            </w:r>
            <w:r w:rsidRPr="00C96F51">
              <w:rPr>
                <w:szCs w:val="20"/>
              </w:rPr>
              <w:t xml:space="preserve">hese </w:t>
            </w:r>
            <w:r>
              <w:rPr>
                <w:szCs w:val="20"/>
              </w:rPr>
              <w:t xml:space="preserve">four </w:t>
            </w:r>
            <w:r w:rsidRPr="00C96F51">
              <w:rPr>
                <w:szCs w:val="20"/>
              </w:rPr>
              <w:t xml:space="preserve">variants </w:t>
            </w:r>
            <w:r>
              <w:rPr>
                <w:szCs w:val="20"/>
              </w:rPr>
              <w:t xml:space="preserve">with severe fluoropyrimidine-related toxicity, is based on people with </w:t>
            </w:r>
            <w:r w:rsidRPr="00C96F51">
              <w:rPr>
                <w:szCs w:val="20"/>
              </w:rPr>
              <w:t xml:space="preserve">Caucasian </w:t>
            </w:r>
            <w:r>
              <w:rPr>
                <w:szCs w:val="20"/>
              </w:rPr>
              <w:t>ancestry only</w:t>
            </w:r>
            <w:r w:rsidRPr="00C96F51">
              <w:rPr>
                <w:szCs w:val="20"/>
              </w:rPr>
              <w:t>.</w:t>
            </w:r>
          </w:p>
        </w:tc>
      </w:tr>
    </w:tbl>
    <w:p w14:paraId="6211B5B7" w14:textId="6F8F6E8D" w:rsidR="001C5F07" w:rsidRDefault="001C5F07" w:rsidP="00D23AAA">
      <w:pPr>
        <w:pStyle w:val="Tablenotes"/>
        <w:spacing w:before="0"/>
      </w:pPr>
      <w:r>
        <w:t>Source: p</w:t>
      </w:r>
      <w:r w:rsidR="00B05C48">
        <w:t>3</w:t>
      </w:r>
      <w:r>
        <w:t xml:space="preserve">0 </w:t>
      </w:r>
      <w:r>
        <w:rPr>
          <w:iCs/>
        </w:rPr>
        <w:t>of the</w:t>
      </w:r>
      <w:hyperlink r:id="rId9" w:history="1">
        <w:r w:rsidR="0008080E" w:rsidRPr="00A01194">
          <w:rPr>
            <w:rStyle w:val="Hyperlink"/>
            <w:iCs/>
          </w:rPr>
          <w:t xml:space="preserve"> PICO</w:t>
        </w:r>
      </w:hyperlink>
      <w:r w:rsidR="005F11F4">
        <w:rPr>
          <w:rStyle w:val="Hyperlink"/>
          <w:iCs/>
        </w:rPr>
        <w:t xml:space="preserve"> confirmation</w:t>
      </w:r>
      <w:r w:rsidR="0008080E">
        <w:t>.</w:t>
      </w:r>
    </w:p>
    <w:p w14:paraId="4732F427" w14:textId="41112012" w:rsidR="001223CD" w:rsidRDefault="001C5F07" w:rsidP="005918CF">
      <w:pPr>
        <w:pStyle w:val="Tablenotes"/>
        <w:spacing w:after="360"/>
      </w:pPr>
      <w:r>
        <w:t>DPD</w:t>
      </w:r>
      <w:r w:rsidR="005E4491">
        <w:t>=</w:t>
      </w:r>
      <w:proofErr w:type="spellStart"/>
      <w:r w:rsidR="005E4491" w:rsidRPr="00E5401C">
        <w:t>Dihydropyrimidine</w:t>
      </w:r>
      <w:proofErr w:type="spellEnd"/>
      <w:r>
        <w:t xml:space="preserve"> dehydrogenase</w:t>
      </w:r>
      <w:r w:rsidR="005D577E">
        <w:t xml:space="preserve"> enzyme</w:t>
      </w:r>
      <w:r>
        <w:t xml:space="preserve">; </w:t>
      </w:r>
      <w:r w:rsidR="00CD73DB" w:rsidRPr="00CD73DB">
        <w:rPr>
          <w:i/>
        </w:rPr>
        <w:t>DPYD</w:t>
      </w:r>
      <w:r w:rsidR="005E4491">
        <w:t>=</w:t>
      </w:r>
      <w:proofErr w:type="spellStart"/>
      <w:r w:rsidR="005E4491" w:rsidRPr="005C7732">
        <w:rPr>
          <w:i/>
          <w:iCs/>
        </w:rPr>
        <w:t>Dihydropyrimidine</w:t>
      </w:r>
      <w:proofErr w:type="spellEnd"/>
      <w:r w:rsidRPr="005C7732">
        <w:rPr>
          <w:i/>
          <w:iCs/>
        </w:rPr>
        <w:t xml:space="preserve"> dehydrogenase</w:t>
      </w:r>
      <w:r w:rsidR="00F05336">
        <w:t xml:space="preserve"> gene</w:t>
      </w:r>
      <w:r>
        <w:t>; MBS=Medicare Benefits Schedule.</w:t>
      </w:r>
    </w:p>
    <w:p w14:paraId="4714CF93" w14:textId="3C46E19D" w:rsidR="00371012" w:rsidRPr="005D2A65" w:rsidRDefault="00FC5EF0" w:rsidP="00371012">
      <w:r w:rsidRPr="005D2A65">
        <w:t>PASC considered that the variants recommended for testing may change over time and that the inclusion of the four proposed variants (based on current guidelines) in the testing will be ensured through the external quality assessment (EQA) process.</w:t>
      </w:r>
      <w:r w:rsidR="00371012" w:rsidRPr="005D2A65">
        <w:t xml:space="preserve"> PASC considered that the item descriptor </w:t>
      </w:r>
      <w:r w:rsidR="00045FE3" w:rsidRPr="005D2A65">
        <w:t>be</w:t>
      </w:r>
      <w:r w:rsidR="00371012" w:rsidRPr="005D2A65">
        <w:t xml:space="preserve"> phrased adequately to allow testing for newly identified gene variants in</w:t>
      </w:r>
      <w:r w:rsidR="0044041F" w:rsidRPr="005D2A65">
        <w:t xml:space="preserve"> the</w:t>
      </w:r>
      <w:r w:rsidR="00371012" w:rsidRPr="005D2A65">
        <w:t xml:space="preserve"> future as evidence emerge on new genetic variants associated with severe FP-related toxicity and in population groups with ancestry other than Caucasian. </w:t>
      </w:r>
      <w:r w:rsidR="001E07DB" w:rsidRPr="005D2A65">
        <w:t xml:space="preserve">PASC considered that specifying the </w:t>
      </w:r>
      <w:r w:rsidR="001E07DB" w:rsidRPr="005D2A65">
        <w:lastRenderedPageBreak/>
        <w:t xml:space="preserve">variants in the item descriptor was therefore not necessary, and the four currently specified variants should be moved to an explanatory note. </w:t>
      </w:r>
      <w:r w:rsidR="00371012" w:rsidRPr="005D2A65">
        <w:t xml:space="preserve">PASC considered the explanatory note should further state that these variants are based on studies in Caucasian populations only, to convey to laboratories that additional variants may also be appropriate in patients of ancestries with other relevant variants. </w:t>
      </w:r>
    </w:p>
    <w:p w14:paraId="4E84FF4A" w14:textId="57566B9E" w:rsidR="00B26750" w:rsidRPr="003369F1" w:rsidRDefault="00B26750" w:rsidP="00C268CC">
      <w:pPr>
        <w:rPr>
          <w:i/>
          <w:iCs/>
        </w:rPr>
      </w:pPr>
      <w:r w:rsidRPr="003369F1">
        <w:t xml:space="preserve">The proposed MBS fee for </w:t>
      </w:r>
      <w:r w:rsidR="00CD73DB" w:rsidRPr="00CD73DB">
        <w:rPr>
          <w:i/>
        </w:rPr>
        <w:t>DPYD</w:t>
      </w:r>
      <w:r w:rsidRPr="003369F1">
        <w:t xml:space="preserve"> genotyping is $188. The applicant advised that the proposed fee included a commercially available kit, specimen collection and transportation, sample processing and consumables, technician labour, genomic analysis, interpretation and report generation, and pre-analytical steps required such as DNA extraction (</w:t>
      </w:r>
      <w:hyperlink r:id="rId10" w:history="1">
        <w:r w:rsidR="00F04031" w:rsidRPr="00F04031">
          <w:rPr>
            <w:rStyle w:val="Hyperlink"/>
          </w:rPr>
          <w:t>PICO confir</w:t>
        </w:r>
        <w:bookmarkStart w:id="8" w:name="_Hlt185577167"/>
        <w:bookmarkStart w:id="9" w:name="_Hlt185577168"/>
        <w:r w:rsidR="00F04031" w:rsidRPr="00F04031">
          <w:rPr>
            <w:rStyle w:val="Hyperlink"/>
          </w:rPr>
          <w:t>m</w:t>
        </w:r>
        <w:bookmarkEnd w:id="8"/>
        <w:bookmarkEnd w:id="9"/>
        <w:r w:rsidR="00F04031" w:rsidRPr="00F04031">
          <w:rPr>
            <w:rStyle w:val="Hyperlink"/>
          </w:rPr>
          <w:t>ation</w:t>
        </w:r>
      </w:hyperlink>
      <w:r w:rsidRPr="00D637B4">
        <w:t>)</w:t>
      </w:r>
      <w:r w:rsidRPr="003369F1">
        <w:rPr>
          <w:i/>
          <w:iCs/>
        </w:rPr>
        <w:t xml:space="preserve">. PASC considered that this fee was </w:t>
      </w:r>
      <w:proofErr w:type="gramStart"/>
      <w:r w:rsidRPr="003369F1">
        <w:rPr>
          <w:i/>
          <w:iCs/>
        </w:rPr>
        <w:t>similar to</w:t>
      </w:r>
      <w:proofErr w:type="gramEnd"/>
      <w:r w:rsidRPr="003369F1">
        <w:rPr>
          <w:i/>
          <w:iCs/>
        </w:rPr>
        <w:t xml:space="preserve"> the range of current fees for this testing in private laboratories in Australia ($95-$160, as described by </w:t>
      </w:r>
      <w:proofErr w:type="spellStart"/>
      <w:r w:rsidRPr="003369F1">
        <w:rPr>
          <w:i/>
          <w:iCs/>
        </w:rPr>
        <w:t>eviQ</w:t>
      </w:r>
      <w:proofErr w:type="spellEnd"/>
      <w:r w:rsidRPr="003369F1">
        <w:rPr>
          <w:i/>
          <w:iCs/>
        </w:rPr>
        <w:t xml:space="preserve">). PASC noted the fee was also </w:t>
      </w:r>
      <w:proofErr w:type="gramStart"/>
      <w:r w:rsidRPr="003369F1">
        <w:rPr>
          <w:i/>
          <w:iCs/>
        </w:rPr>
        <w:t>similar to</w:t>
      </w:r>
      <w:proofErr w:type="gramEnd"/>
      <w:r w:rsidRPr="003369F1">
        <w:rPr>
          <w:i/>
          <w:iCs/>
        </w:rPr>
        <w:t xml:space="preserve"> that for MBS item 73397 (Fee $200) for characterisation of variants in the CALR and MPL genes, although much higher than MBS item 73317 ($36) for detecting genetic mutations for haemochromatosis. On balance, PASC considered the proposed fee of $188 appeared reasonable.</w:t>
      </w:r>
    </w:p>
    <w:p w14:paraId="34E0B08F" w14:textId="72A14BAD" w:rsidR="00772829" w:rsidRPr="00CE28E3" w:rsidRDefault="00476193" w:rsidP="00FF160D">
      <w:pPr>
        <w:pStyle w:val="Heading2"/>
      </w:pPr>
      <w:bookmarkStart w:id="10" w:name="_Toc175815804"/>
      <w:r>
        <w:t>7</w:t>
      </w:r>
      <w:r w:rsidR="00C36633">
        <w:t>.</w:t>
      </w:r>
      <w:r w:rsidR="00C36633">
        <w:tab/>
      </w:r>
      <w:r w:rsidR="00772829" w:rsidRPr="00CE28E3">
        <w:t>Population</w:t>
      </w:r>
      <w:bookmarkEnd w:id="10"/>
      <w:r w:rsidR="00772829" w:rsidRPr="00CE28E3">
        <w:t xml:space="preserve"> </w:t>
      </w:r>
    </w:p>
    <w:p w14:paraId="56E99BD8" w14:textId="53BFA0A2" w:rsidR="003B3736" w:rsidRDefault="00BE7BF3" w:rsidP="00EA4190">
      <w:r>
        <w:t xml:space="preserve">There </w:t>
      </w:r>
      <w:r w:rsidR="00EA6EA1">
        <w:t>wa</w:t>
      </w:r>
      <w:r>
        <w:t xml:space="preserve">s </w:t>
      </w:r>
      <w:r w:rsidR="005E2702" w:rsidRPr="0000109A">
        <w:t>one PICO set</w:t>
      </w:r>
      <w:r w:rsidR="00E56B14">
        <w:t xml:space="preserve"> provided, defining the population as </w:t>
      </w:r>
      <w:r w:rsidR="00E56B14" w:rsidRPr="00E56B14">
        <w:t xml:space="preserve">all patients with solid tumours who are about to commence a treatment protocol that includes oral or intravenous FP. </w:t>
      </w:r>
      <w:r w:rsidR="00E920E3" w:rsidRPr="00E920E3">
        <w:t xml:space="preserve">Systemic </w:t>
      </w:r>
      <w:r w:rsidR="006C0975">
        <w:t>FPs</w:t>
      </w:r>
      <w:r w:rsidR="00E920E3" w:rsidRPr="00E920E3">
        <w:t xml:space="preserve"> </w:t>
      </w:r>
      <w:r w:rsidR="00EF422B">
        <w:t>are</w:t>
      </w:r>
      <w:r w:rsidR="00E920E3" w:rsidRPr="00E920E3">
        <w:t xml:space="preserve"> used to treat solid</w:t>
      </w:r>
      <w:r w:rsidR="00A2667E">
        <w:t xml:space="preserve"> tumours </w:t>
      </w:r>
      <w:r w:rsidR="00E920E3" w:rsidRPr="00E920E3">
        <w:t xml:space="preserve">of </w:t>
      </w:r>
      <w:r w:rsidR="00E920E3">
        <w:t>(</w:t>
      </w:r>
      <w:r w:rsidR="00A2667E">
        <w:t>but not limited to</w:t>
      </w:r>
      <w:r w:rsidR="00E920E3">
        <w:t>)</w:t>
      </w:r>
      <w:r w:rsidR="00A2667E">
        <w:t xml:space="preserve"> colorectal, upper gastrointestinal, head and neck, breast, and pancreatic cancers. </w:t>
      </w:r>
      <w:r w:rsidR="00894B63">
        <w:t>The p</w:t>
      </w:r>
      <w:r w:rsidR="00144AD5">
        <w:t>opulation also include</w:t>
      </w:r>
      <w:r w:rsidR="00894B63">
        <w:t>s</w:t>
      </w:r>
      <w:r w:rsidR="00144AD5">
        <w:t xml:space="preserve"> all patients requiring FPs as </w:t>
      </w:r>
      <w:proofErr w:type="spellStart"/>
      <w:r w:rsidR="00144AD5">
        <w:t>radiosensitising</w:t>
      </w:r>
      <w:proofErr w:type="spellEnd"/>
      <w:r w:rsidR="00144AD5">
        <w:t xml:space="preserve"> agents for radiotherapy. </w:t>
      </w:r>
    </w:p>
    <w:p w14:paraId="5081B358" w14:textId="77777777" w:rsidR="00A2667E" w:rsidRDefault="00A2667E" w:rsidP="00A2667E">
      <w:r>
        <w:t>FPs are chemotherapy agents used to treat solid tumours. Commonly used FPs are:</w:t>
      </w:r>
    </w:p>
    <w:p w14:paraId="1ACA1B3A" w14:textId="77777777" w:rsidR="00A2667E" w:rsidRDefault="00A2667E" w:rsidP="00E9485A">
      <w:pPr>
        <w:pStyle w:val="ListParagraph"/>
        <w:numPr>
          <w:ilvl w:val="0"/>
          <w:numId w:val="13"/>
        </w:numPr>
      </w:pPr>
      <w:r>
        <w:t>fluorouracil, or 5-fluorouracil (5-FU), administered intravenously, and</w:t>
      </w:r>
    </w:p>
    <w:p w14:paraId="170687CD" w14:textId="08368328" w:rsidR="00A2667E" w:rsidRDefault="00A2667E" w:rsidP="00E9485A">
      <w:pPr>
        <w:pStyle w:val="ListParagraph"/>
        <w:numPr>
          <w:ilvl w:val="0"/>
          <w:numId w:val="13"/>
        </w:numPr>
      </w:pPr>
      <w:r>
        <w:t>capecitabine, a precursor of 5-FU, administered orally.</w:t>
      </w:r>
    </w:p>
    <w:p w14:paraId="0B80563C" w14:textId="151B166C" w:rsidR="0005641C" w:rsidRDefault="00C36105" w:rsidP="00EA4190">
      <w:r w:rsidRPr="00C36105">
        <w:t>The enzyme DPD is crucial for breaking down 5-FU, handling about 80% of its liver catabolism</w:t>
      </w:r>
      <w:r>
        <w:t>.</w:t>
      </w:r>
      <w:r w:rsidRPr="00C36105">
        <w:t xml:space="preserve"> </w:t>
      </w:r>
      <w:r w:rsidR="002406E3">
        <w:t>C</w:t>
      </w:r>
      <w:r w:rsidR="002406E3" w:rsidRPr="0042036F">
        <w:t xml:space="preserve">atabolism is a key factor in the elimination of 5-FU from the body </w:t>
      </w:r>
      <w:r w:rsidR="002406E3">
        <w:t>and</w:t>
      </w:r>
      <w:r w:rsidR="002406E3" w:rsidRPr="0042036F">
        <w:t xml:space="preserve"> any decrease in DPD enzyme activity can lead to prolonged </w:t>
      </w:r>
      <w:r w:rsidR="002406E3">
        <w:t>exposure to the cytotoxic metabolites of FPs</w:t>
      </w:r>
      <w:r w:rsidR="002406E3" w:rsidRPr="0042036F">
        <w:t xml:space="preserve"> </w:t>
      </w:r>
      <w:r w:rsidR="002406E3">
        <w:t xml:space="preserve">with consequent </w:t>
      </w:r>
      <w:r w:rsidR="002406E3" w:rsidRPr="0042036F">
        <w:t xml:space="preserve">increased toxicity </w:t>
      </w:r>
      <w:r w:rsidR="002406E3">
        <w:t xml:space="preserve">risk from FPs. </w:t>
      </w:r>
      <w:r w:rsidR="00175B5E" w:rsidRPr="00175B5E">
        <w:rPr>
          <w:i/>
          <w:iCs/>
        </w:rPr>
        <w:t>DPYD</w:t>
      </w:r>
      <w:r w:rsidR="00175B5E" w:rsidRPr="00175B5E">
        <w:t xml:space="preserve"> variant carriers are at increased</w:t>
      </w:r>
      <w:r w:rsidR="008A2AED" w:rsidRPr="008A2AED">
        <w:t xml:space="preserve"> </w:t>
      </w:r>
      <w:r w:rsidR="008A2AED">
        <w:t>risk of d</w:t>
      </w:r>
      <w:r w:rsidR="008A2AED" w:rsidRPr="008A2AED">
        <w:t>iminished DPD enzyme activity</w:t>
      </w:r>
      <w:r w:rsidR="0005641C">
        <w:t xml:space="preserve"> and hence increased </w:t>
      </w:r>
      <w:r w:rsidR="004622CA">
        <w:t xml:space="preserve">risk of </w:t>
      </w:r>
      <w:r w:rsidR="0005641C">
        <w:t xml:space="preserve">toxicity </w:t>
      </w:r>
      <w:r w:rsidR="004622CA">
        <w:t>to 5-FU.</w:t>
      </w:r>
      <w:r w:rsidR="00175B5E" w:rsidRPr="00175B5E">
        <w:t xml:space="preserve"> </w:t>
      </w:r>
    </w:p>
    <w:p w14:paraId="406A1843" w14:textId="3568AB4C" w:rsidR="005E2702" w:rsidRPr="00330A0A" w:rsidRDefault="00CD73DB" w:rsidP="00EA4190">
      <w:r w:rsidRPr="00CD73DB">
        <w:rPr>
          <w:i/>
          <w:iCs/>
        </w:rPr>
        <w:t>DPYD</w:t>
      </w:r>
      <w:r w:rsidR="00850202" w:rsidRPr="00324441">
        <w:t xml:space="preserve"> genotyping to predict FP-induced toxicity in patients with solid tumours</w:t>
      </w:r>
      <w:r w:rsidR="00850202">
        <w:t xml:space="preserve"> would be </w:t>
      </w:r>
      <w:r w:rsidR="00E971F6">
        <w:t>i</w:t>
      </w:r>
      <w:r w:rsidR="005E2702" w:rsidRPr="00330A0A">
        <w:t xml:space="preserve">n addition to </w:t>
      </w:r>
      <w:r w:rsidR="00D43944" w:rsidRPr="00D43944">
        <w:t>FP-based chemotherapy</w:t>
      </w:r>
      <w:r w:rsidR="00D43944">
        <w:t xml:space="preserve"> and take place </w:t>
      </w:r>
      <w:r w:rsidR="00D43944" w:rsidRPr="00D43944">
        <w:t xml:space="preserve">before the commencement of </w:t>
      </w:r>
      <w:r w:rsidR="00273ED5">
        <w:t xml:space="preserve">the </w:t>
      </w:r>
      <w:r w:rsidR="00D43944" w:rsidRPr="00D43944">
        <w:t>FP-based chemotherapy</w:t>
      </w:r>
      <w:r w:rsidR="00273ED5">
        <w:t>.</w:t>
      </w:r>
    </w:p>
    <w:p w14:paraId="66BDFCC1" w14:textId="472AA59D" w:rsidR="00772829" w:rsidRPr="00CE28E3" w:rsidRDefault="00476193" w:rsidP="00FF160D">
      <w:pPr>
        <w:pStyle w:val="Heading2"/>
      </w:pPr>
      <w:bookmarkStart w:id="11" w:name="_Toc175815805"/>
      <w:r>
        <w:t>8</w:t>
      </w:r>
      <w:r w:rsidR="00C36633">
        <w:t>.</w:t>
      </w:r>
      <w:r w:rsidR="00C36633">
        <w:tab/>
      </w:r>
      <w:r w:rsidR="00772829" w:rsidRPr="00CE28E3">
        <w:t>Comparator</w:t>
      </w:r>
      <w:bookmarkEnd w:id="11"/>
    </w:p>
    <w:p w14:paraId="314017C2" w14:textId="5812F067" w:rsidR="00D51F36" w:rsidRDefault="00D51F36" w:rsidP="00D51F36">
      <w:r>
        <w:t xml:space="preserve">The comparator </w:t>
      </w:r>
      <w:r w:rsidR="00657C07">
        <w:t>is</w:t>
      </w:r>
      <w:r w:rsidDel="00657C07">
        <w:t xml:space="preserve"> </w:t>
      </w:r>
      <w:r>
        <w:t xml:space="preserve">no pre-treatment </w:t>
      </w:r>
      <w:r w:rsidR="00CD73DB" w:rsidRPr="00CD73DB">
        <w:rPr>
          <w:i/>
          <w:iCs/>
        </w:rPr>
        <w:t>DPYD</w:t>
      </w:r>
      <w:r>
        <w:rPr>
          <w:i/>
          <w:iCs/>
        </w:rPr>
        <w:t xml:space="preserve"> </w:t>
      </w:r>
      <w:r>
        <w:t xml:space="preserve">genotyping. </w:t>
      </w:r>
    </w:p>
    <w:p w14:paraId="02DC4825" w14:textId="517774D7" w:rsidR="00D51F36" w:rsidRDefault="00D51F36" w:rsidP="00D51F36">
      <w:pPr>
        <w:rPr>
          <w:rStyle w:val="normaltextrun"/>
          <w:rFonts w:cs="Calibri"/>
        </w:rPr>
      </w:pPr>
      <w:r>
        <w:t xml:space="preserve">Currently (in the absence of </w:t>
      </w:r>
      <w:r w:rsidRPr="00894B63">
        <w:rPr>
          <w:i/>
          <w:iCs/>
        </w:rPr>
        <w:t>DP</w:t>
      </w:r>
      <w:r w:rsidR="00A773E7" w:rsidRPr="00894B63">
        <w:rPr>
          <w:i/>
          <w:iCs/>
        </w:rPr>
        <w:t>Y</w:t>
      </w:r>
      <w:r w:rsidRPr="00894B63">
        <w:rPr>
          <w:i/>
          <w:iCs/>
        </w:rPr>
        <w:t>D</w:t>
      </w:r>
      <w:r>
        <w:t xml:space="preserve"> genotyping) a</w:t>
      </w:r>
      <w:r w:rsidRPr="000535B6">
        <w:rPr>
          <w:rStyle w:val="normaltextrun"/>
          <w:rFonts w:cs="Calibri"/>
        </w:rPr>
        <w:t>ll patients receive standard-dose</w:t>
      </w:r>
      <w:r w:rsidRPr="299C12F8">
        <w:rPr>
          <w:rStyle w:val="normaltextrun"/>
          <w:rFonts w:cs="Calibri"/>
        </w:rPr>
        <w:t xml:space="preserve"> systemic</w:t>
      </w:r>
      <w:r w:rsidRPr="000535B6">
        <w:rPr>
          <w:rStyle w:val="normaltextrun"/>
          <w:rFonts w:cs="Calibri"/>
        </w:rPr>
        <w:t xml:space="preserve"> FP</w:t>
      </w:r>
      <w:r w:rsidRPr="009C07A8">
        <w:rPr>
          <w:rStyle w:val="normaltextrun"/>
          <w:rFonts w:cs="Calibri"/>
          <w:vertAlign w:val="subscript"/>
        </w:rPr>
        <w:t>-</w:t>
      </w:r>
      <w:r>
        <w:rPr>
          <w:rStyle w:val="normaltextrun"/>
          <w:rFonts w:cs="Calibri"/>
        </w:rPr>
        <w:t>based</w:t>
      </w:r>
      <w:r w:rsidRPr="000535B6">
        <w:rPr>
          <w:rStyle w:val="normaltextrun"/>
          <w:rFonts w:cs="Calibri"/>
        </w:rPr>
        <w:t xml:space="preserve"> chemotherapy unless </w:t>
      </w:r>
      <w:r>
        <w:rPr>
          <w:rStyle w:val="normaltextrun"/>
          <w:rFonts w:cs="Calibri"/>
        </w:rPr>
        <w:t>they experienced</w:t>
      </w:r>
      <w:r w:rsidRPr="000535B6">
        <w:rPr>
          <w:rStyle w:val="normaltextrun"/>
          <w:rFonts w:cs="Calibri"/>
        </w:rPr>
        <w:t xml:space="preserve"> a previous episode of toxicity or </w:t>
      </w:r>
      <w:r>
        <w:rPr>
          <w:rStyle w:val="normaltextrun"/>
          <w:rFonts w:cs="Calibri"/>
        </w:rPr>
        <w:t>are</w:t>
      </w:r>
      <w:r w:rsidRPr="000535B6">
        <w:rPr>
          <w:rStyle w:val="normaltextrun"/>
          <w:rFonts w:cs="Calibri"/>
        </w:rPr>
        <w:t xml:space="preserve"> deemed unfit to receive full</w:t>
      </w:r>
      <w:r>
        <w:rPr>
          <w:rStyle w:val="normaltextrun"/>
          <w:rFonts w:cs="Calibri"/>
        </w:rPr>
        <w:t>-</w:t>
      </w:r>
      <w:r w:rsidRPr="000535B6">
        <w:rPr>
          <w:rStyle w:val="normaltextrun"/>
          <w:rFonts w:cs="Calibri"/>
        </w:rPr>
        <w:t xml:space="preserve">dose chemotherapy following medical assessment by </w:t>
      </w:r>
      <w:r w:rsidRPr="009B7833">
        <w:rPr>
          <w:rStyle w:val="normaltextrun"/>
          <w:rFonts w:cs="Calibri"/>
        </w:rPr>
        <w:t xml:space="preserve">an oncologist. </w:t>
      </w:r>
    </w:p>
    <w:p w14:paraId="4839C96E" w14:textId="4282D711" w:rsidR="00476193" w:rsidRPr="00476193" w:rsidRDefault="00476193" w:rsidP="00476193">
      <w:pPr>
        <w:pStyle w:val="Heading2"/>
      </w:pPr>
      <w:bookmarkStart w:id="12" w:name="_Toc69491421"/>
      <w:r>
        <w:t>9.</w:t>
      </w:r>
      <w:r>
        <w:tab/>
      </w:r>
      <w:r w:rsidRPr="003F6F2A">
        <w:t>Summary of public consultation input</w:t>
      </w:r>
      <w:bookmarkEnd w:id="12"/>
    </w:p>
    <w:p w14:paraId="5DA37696" w14:textId="10669E04" w:rsidR="00DB023C" w:rsidRDefault="00251837" w:rsidP="00DB023C">
      <w:pPr>
        <w:pStyle w:val="paragraph"/>
        <w:spacing w:before="0" w:beforeAutospacing="0" w:after="0" w:afterAutospacing="0"/>
        <w:textAlignment w:val="baseline"/>
        <w:rPr>
          <w:rFonts w:ascii="Segoe UI" w:hAnsi="Segoe UI" w:cs="Segoe UI"/>
          <w:sz w:val="18"/>
          <w:szCs w:val="18"/>
        </w:rPr>
      </w:pPr>
      <w:bookmarkStart w:id="13" w:name="_Toc175815806"/>
      <w:r>
        <w:rPr>
          <w:rFonts w:ascii="Franklin Gothic Book" w:hAnsi="Franklin Gothic Book"/>
          <w:sz w:val="22"/>
        </w:rPr>
        <w:t xml:space="preserve">The MSAC welcomed consultation input received for this application and noted the period for public consultation closed on 11 October 2024. </w:t>
      </w:r>
      <w:r w:rsidR="00DB023C">
        <w:rPr>
          <w:rStyle w:val="normaltextrun"/>
          <w:rFonts w:ascii="Franklin Gothic Book" w:hAnsi="Franklin Gothic Book" w:cs="Segoe UI"/>
          <w:sz w:val="22"/>
          <w:szCs w:val="22"/>
        </w:rPr>
        <w:t>Consultation input was welcomed from ten professional organisations, one consumer organisation and three individuals, two of whom were medical specialists and one consumer.</w:t>
      </w:r>
      <w:r w:rsidR="00DB023C">
        <w:rPr>
          <w:rStyle w:val="eop"/>
          <w:rFonts w:ascii="Franklin Gothic Book" w:hAnsi="Franklin Gothic Book" w:cs="Segoe UI"/>
          <w:sz w:val="22"/>
          <w:szCs w:val="22"/>
        </w:rPr>
        <w:t> </w:t>
      </w:r>
    </w:p>
    <w:p w14:paraId="63093E51" w14:textId="77777777" w:rsidR="00DB023C" w:rsidRDefault="00DB023C" w:rsidP="00EC453A">
      <w:pPr>
        <w:pStyle w:val="paragraph"/>
        <w:spacing w:before="240" w:beforeAutospacing="0" w:after="120" w:afterAutospacing="0"/>
        <w:textAlignment w:val="baseline"/>
        <w:rPr>
          <w:rFonts w:ascii="Segoe UI" w:hAnsi="Segoe UI" w:cs="Segoe UI"/>
          <w:sz w:val="18"/>
          <w:szCs w:val="18"/>
        </w:rPr>
      </w:pPr>
      <w:r>
        <w:rPr>
          <w:rStyle w:val="normaltextrun"/>
          <w:rFonts w:ascii="Franklin Gothic Book" w:hAnsi="Franklin Gothic Book" w:cs="Segoe UI"/>
          <w:sz w:val="22"/>
          <w:szCs w:val="22"/>
        </w:rPr>
        <w:lastRenderedPageBreak/>
        <w:t>The organisations that submitted input were:</w:t>
      </w:r>
      <w:r>
        <w:rPr>
          <w:rStyle w:val="eop"/>
          <w:rFonts w:ascii="Franklin Gothic Book" w:hAnsi="Franklin Gothic Book" w:cs="Segoe UI"/>
          <w:sz w:val="22"/>
          <w:szCs w:val="22"/>
        </w:rPr>
        <w:t> </w:t>
      </w:r>
    </w:p>
    <w:p w14:paraId="74A8A3DB"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Therapeutic Goods Administration (TGA)</w:t>
      </w:r>
      <w:r>
        <w:rPr>
          <w:rStyle w:val="eop"/>
          <w:rFonts w:ascii="Franklin Gothic Book" w:hAnsi="Franklin Gothic Book" w:cs="Segoe UI"/>
          <w:sz w:val="22"/>
          <w:szCs w:val="22"/>
        </w:rPr>
        <w:t> </w:t>
      </w:r>
    </w:p>
    <w:p w14:paraId="04A3011F"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National Pathology Accreditation Advisory Council (NPAAC)</w:t>
      </w:r>
      <w:r>
        <w:rPr>
          <w:rStyle w:val="eop"/>
          <w:rFonts w:ascii="Franklin Gothic Book" w:hAnsi="Franklin Gothic Book" w:cs="Segoe UI"/>
          <w:sz w:val="22"/>
          <w:szCs w:val="22"/>
        </w:rPr>
        <w:t> </w:t>
      </w:r>
    </w:p>
    <w:p w14:paraId="7C6EBFC6"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The Royal College of Pathologists of Australasia (RCPA)</w:t>
      </w:r>
      <w:r>
        <w:rPr>
          <w:rStyle w:val="eop"/>
          <w:rFonts w:ascii="Franklin Gothic Book" w:hAnsi="Franklin Gothic Book" w:cs="Segoe UI"/>
          <w:sz w:val="22"/>
          <w:szCs w:val="22"/>
        </w:rPr>
        <w:t> </w:t>
      </w:r>
    </w:p>
    <w:p w14:paraId="3FC01401"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Australasian Society of Clinical and Experimental Pharmacologists and Toxicologists (ASCEPT)</w:t>
      </w:r>
      <w:r>
        <w:rPr>
          <w:rStyle w:val="eop"/>
          <w:rFonts w:ascii="Franklin Gothic Book" w:hAnsi="Franklin Gothic Book" w:cs="Segoe UI"/>
          <w:sz w:val="22"/>
          <w:szCs w:val="22"/>
        </w:rPr>
        <w:t> </w:t>
      </w:r>
    </w:p>
    <w:p w14:paraId="46CC349E"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Australian Pathology </w:t>
      </w:r>
      <w:r>
        <w:rPr>
          <w:rStyle w:val="eop"/>
          <w:rFonts w:ascii="Franklin Gothic Book" w:hAnsi="Franklin Gothic Book" w:cs="Segoe UI"/>
          <w:sz w:val="22"/>
          <w:szCs w:val="22"/>
        </w:rPr>
        <w:t> </w:t>
      </w:r>
    </w:p>
    <w:p w14:paraId="230B6B77"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proofErr w:type="spellStart"/>
      <w:r>
        <w:rPr>
          <w:rStyle w:val="normaltextrun"/>
          <w:rFonts w:ascii="Franklin Gothic Book" w:hAnsi="Franklin Gothic Book" w:cs="Segoe UI"/>
          <w:sz w:val="22"/>
          <w:szCs w:val="22"/>
        </w:rPr>
        <w:t>PathWest</w:t>
      </w:r>
      <w:proofErr w:type="spellEnd"/>
      <w:r>
        <w:rPr>
          <w:rStyle w:val="normaltextrun"/>
          <w:rFonts w:ascii="Franklin Gothic Book" w:hAnsi="Franklin Gothic Book" w:cs="Segoe UI"/>
          <w:sz w:val="22"/>
          <w:szCs w:val="22"/>
        </w:rPr>
        <w:t xml:space="preserve"> Laboratory Medicine, QEII Medical Centre, Nedlands</w:t>
      </w:r>
      <w:r>
        <w:rPr>
          <w:rStyle w:val="eop"/>
          <w:rFonts w:ascii="Franklin Gothic Book" w:hAnsi="Franklin Gothic Book" w:cs="Segoe UI"/>
          <w:sz w:val="22"/>
          <w:szCs w:val="22"/>
        </w:rPr>
        <w:t> </w:t>
      </w:r>
    </w:p>
    <w:p w14:paraId="08267473"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The Society of Hospital Pharmacists of Australia (SHPA)</w:t>
      </w:r>
      <w:r>
        <w:rPr>
          <w:rStyle w:val="eop"/>
          <w:rFonts w:ascii="Franklin Gothic Book" w:hAnsi="Franklin Gothic Book" w:cs="Segoe UI"/>
          <w:sz w:val="22"/>
          <w:szCs w:val="22"/>
        </w:rPr>
        <w:t> </w:t>
      </w:r>
    </w:p>
    <w:p w14:paraId="464E0671"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Consumer Representatives from Melbourne Genomics Health Alliance</w:t>
      </w:r>
      <w:r>
        <w:rPr>
          <w:rStyle w:val="eop"/>
          <w:rFonts w:ascii="Franklin Gothic Book" w:hAnsi="Franklin Gothic Book" w:cs="Segoe UI"/>
          <w:sz w:val="22"/>
          <w:szCs w:val="22"/>
        </w:rPr>
        <w:t> </w:t>
      </w:r>
    </w:p>
    <w:p w14:paraId="3A59EC67"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Australian Genomics</w:t>
      </w:r>
      <w:r>
        <w:rPr>
          <w:rStyle w:val="eop"/>
          <w:rFonts w:ascii="Franklin Gothic Book" w:hAnsi="Franklin Gothic Book" w:cs="Segoe UI"/>
          <w:sz w:val="22"/>
          <w:szCs w:val="22"/>
        </w:rPr>
        <w:t> </w:t>
      </w:r>
    </w:p>
    <w:p w14:paraId="26CEEC9C" w14:textId="77777777" w:rsidR="00DB023C"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Bowel Cancer Australia (BCA)</w:t>
      </w:r>
      <w:r>
        <w:rPr>
          <w:rStyle w:val="eop"/>
          <w:rFonts w:ascii="Franklin Gothic Book" w:hAnsi="Franklin Gothic Book" w:cs="Segoe UI"/>
          <w:sz w:val="22"/>
          <w:szCs w:val="22"/>
        </w:rPr>
        <w:t> </w:t>
      </w:r>
    </w:p>
    <w:p w14:paraId="230151AB" w14:textId="071BEE84" w:rsidR="00DB023C" w:rsidRPr="00EC453A" w:rsidRDefault="00DB023C" w:rsidP="00E9485A">
      <w:pPr>
        <w:pStyle w:val="paragraph"/>
        <w:numPr>
          <w:ilvl w:val="0"/>
          <w:numId w:val="3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Australasian Gastro-Intestinal Trials Group (AGITG)</w:t>
      </w:r>
      <w:r>
        <w:rPr>
          <w:rStyle w:val="eop"/>
          <w:rFonts w:ascii="Franklin Gothic Book" w:hAnsi="Franklin Gothic Book" w:cs="Segoe UI"/>
          <w:sz w:val="22"/>
          <w:szCs w:val="22"/>
        </w:rPr>
        <w:t> </w:t>
      </w:r>
    </w:p>
    <w:p w14:paraId="04A6D32F" w14:textId="486648A2" w:rsidR="00DB023C" w:rsidRPr="002E6815" w:rsidRDefault="00DB023C" w:rsidP="00CC7A88">
      <w:pPr>
        <w:pStyle w:val="paragraph"/>
        <w:keepNext/>
        <w:keepLines/>
        <w:spacing w:before="240" w:beforeAutospacing="0" w:after="0" w:afterAutospacing="0"/>
        <w:textAlignment w:val="baseline"/>
        <w:rPr>
          <w:rFonts w:ascii="Franklin Gothic Book" w:hAnsi="Franklin Gothic Book" w:cs="Segoe UI"/>
          <w:sz w:val="22"/>
          <w:szCs w:val="22"/>
        </w:rPr>
      </w:pPr>
      <w:r w:rsidRPr="002E6815">
        <w:rPr>
          <w:rStyle w:val="normaltextrun"/>
          <w:rFonts w:ascii="Franklin Gothic Book" w:hAnsi="Franklin Gothic Book" w:cs="Arial"/>
          <w:b/>
          <w:bCs/>
          <w:sz w:val="22"/>
          <w:szCs w:val="22"/>
        </w:rPr>
        <w:t>Benefits</w:t>
      </w:r>
    </w:p>
    <w:p w14:paraId="0F005F2F" w14:textId="77777777" w:rsidR="00DB023C" w:rsidRDefault="00DB023C" w:rsidP="00E9485A">
      <w:pPr>
        <w:pStyle w:val="paragraph"/>
        <w:keepNext/>
        <w:keepLines/>
        <w:numPr>
          <w:ilvl w:val="0"/>
          <w:numId w:val="32"/>
        </w:numPr>
        <w:spacing w:before="0" w:beforeAutospacing="0" w:after="0" w:afterAutospacing="0"/>
        <w:textAlignment w:val="baseline"/>
        <w:rPr>
          <w:rFonts w:ascii="Franklin Gothic Book" w:hAnsi="Franklin Gothic Book" w:cs="Segoe UI"/>
          <w:sz w:val="22"/>
          <w:szCs w:val="22"/>
        </w:rPr>
      </w:pPr>
      <w:proofErr w:type="spellStart"/>
      <w:r>
        <w:rPr>
          <w:rStyle w:val="normaltextrun"/>
          <w:rFonts w:ascii="Franklin Gothic Book" w:hAnsi="Franklin Gothic Book" w:cs="Segoe UI"/>
          <w:i/>
          <w:iCs/>
          <w:sz w:val="22"/>
          <w:szCs w:val="22"/>
        </w:rPr>
        <w:t>Dihydropyrimidine</w:t>
      </w:r>
      <w:proofErr w:type="spellEnd"/>
      <w:r>
        <w:rPr>
          <w:rStyle w:val="normaltextrun"/>
          <w:rFonts w:ascii="Franklin Gothic Book" w:hAnsi="Franklin Gothic Book" w:cs="Segoe UI"/>
          <w:i/>
          <w:iCs/>
          <w:sz w:val="22"/>
          <w:szCs w:val="22"/>
        </w:rPr>
        <w:t xml:space="preserve"> dehydrogenase gene (DPYD) </w:t>
      </w:r>
      <w:r>
        <w:rPr>
          <w:rStyle w:val="normaltextrun"/>
          <w:rFonts w:ascii="Franklin Gothic Book" w:hAnsi="Franklin Gothic Book" w:cs="Segoe UI"/>
          <w:sz w:val="22"/>
          <w:szCs w:val="22"/>
        </w:rPr>
        <w:t>testing may identify at-risk patients allowing to tailor their treatments to avoid potential significant/catastrophic toxicity.</w:t>
      </w:r>
      <w:r>
        <w:rPr>
          <w:rStyle w:val="eop"/>
          <w:rFonts w:ascii="Franklin Gothic Book" w:hAnsi="Franklin Gothic Book" w:cs="Segoe UI"/>
          <w:sz w:val="22"/>
          <w:szCs w:val="22"/>
        </w:rPr>
        <w:t> </w:t>
      </w:r>
    </w:p>
    <w:p w14:paraId="4FEF38E0" w14:textId="1C3EDF54" w:rsidR="00DB023C" w:rsidRPr="004F5AD5" w:rsidRDefault="00DB023C" w:rsidP="00E9485A">
      <w:pPr>
        <w:pStyle w:val="paragraph"/>
        <w:numPr>
          <w:ilvl w:val="0"/>
          <w:numId w:val="32"/>
        </w:numPr>
        <w:spacing w:before="0" w:beforeAutospacing="0" w:after="24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 xml:space="preserve">Public funding of </w:t>
      </w:r>
      <w:r>
        <w:rPr>
          <w:rStyle w:val="normaltextrun"/>
          <w:rFonts w:ascii="Franklin Gothic Book" w:hAnsi="Franklin Gothic Book" w:cs="Segoe UI"/>
          <w:i/>
          <w:iCs/>
          <w:sz w:val="22"/>
          <w:szCs w:val="22"/>
        </w:rPr>
        <w:t>DPYD</w:t>
      </w:r>
      <w:r>
        <w:rPr>
          <w:rStyle w:val="normaltextrun"/>
          <w:rFonts w:ascii="Franklin Gothic Book" w:hAnsi="Franklin Gothic Book" w:cs="Segoe UI"/>
          <w:sz w:val="22"/>
          <w:szCs w:val="22"/>
        </w:rPr>
        <w:t xml:space="preserve"> genotyping will promote equity of access for all Australians, particularly benefitting rural patients who face geographical barriers. In addition, it would remove any financial barriers to patient access for this vulnerable patient group.</w:t>
      </w:r>
    </w:p>
    <w:p w14:paraId="2765BE1F" w14:textId="77777777" w:rsidR="00DB023C" w:rsidRPr="002E6815" w:rsidRDefault="00DB023C" w:rsidP="002E6815">
      <w:pPr>
        <w:pStyle w:val="paragraph"/>
        <w:keepNext/>
        <w:keepLines/>
        <w:spacing w:before="0" w:beforeAutospacing="0" w:after="0" w:afterAutospacing="0"/>
        <w:textAlignment w:val="baseline"/>
        <w:rPr>
          <w:rStyle w:val="normaltextrun"/>
          <w:rFonts w:ascii="Franklin Gothic Book" w:hAnsi="Franklin Gothic Book" w:cs="Arial"/>
          <w:b/>
          <w:bCs/>
          <w:sz w:val="22"/>
          <w:szCs w:val="22"/>
        </w:rPr>
      </w:pPr>
      <w:r w:rsidRPr="002E6815">
        <w:rPr>
          <w:rStyle w:val="normaltextrun"/>
          <w:rFonts w:ascii="Franklin Gothic Book" w:hAnsi="Franklin Gothic Book" w:cs="Arial"/>
          <w:b/>
          <w:bCs/>
          <w:sz w:val="22"/>
          <w:szCs w:val="22"/>
        </w:rPr>
        <w:t>Disadvantages </w:t>
      </w:r>
      <w:r w:rsidRPr="002E6815">
        <w:rPr>
          <w:rStyle w:val="normaltextrun"/>
          <w:rFonts w:ascii="Franklin Gothic Book" w:hAnsi="Franklin Gothic Book"/>
          <w:b/>
          <w:bCs/>
          <w:sz w:val="22"/>
          <w:szCs w:val="22"/>
        </w:rPr>
        <w:t> </w:t>
      </w:r>
    </w:p>
    <w:p w14:paraId="053B6F73" w14:textId="77777777" w:rsidR="00DB023C" w:rsidRDefault="00DB023C" w:rsidP="00E9485A">
      <w:pPr>
        <w:pStyle w:val="paragraph"/>
        <w:numPr>
          <w:ilvl w:val="0"/>
          <w:numId w:val="33"/>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There may be delays in treatment commencement due to the turnaround time for the test results to the clinician.</w:t>
      </w:r>
      <w:r>
        <w:rPr>
          <w:rStyle w:val="eop"/>
          <w:rFonts w:ascii="Franklin Gothic Book" w:hAnsi="Franklin Gothic Book" w:cs="Segoe UI"/>
          <w:sz w:val="22"/>
          <w:szCs w:val="22"/>
        </w:rPr>
        <w:t> </w:t>
      </w:r>
    </w:p>
    <w:p w14:paraId="239A9A83" w14:textId="7B086551" w:rsidR="00DB023C" w:rsidRPr="002E6815" w:rsidRDefault="00DB023C" w:rsidP="00E9485A">
      <w:pPr>
        <w:pStyle w:val="paragraph"/>
        <w:numPr>
          <w:ilvl w:val="0"/>
          <w:numId w:val="33"/>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 xml:space="preserve">Targeted </w:t>
      </w:r>
      <w:r>
        <w:rPr>
          <w:rStyle w:val="normaltextrun"/>
          <w:rFonts w:ascii="Franklin Gothic Book" w:hAnsi="Franklin Gothic Book" w:cs="Segoe UI"/>
          <w:i/>
          <w:iCs/>
          <w:sz w:val="22"/>
          <w:szCs w:val="22"/>
        </w:rPr>
        <w:t>DPYD</w:t>
      </w:r>
      <w:r>
        <w:rPr>
          <w:rStyle w:val="normaltextrun"/>
          <w:rFonts w:ascii="Franklin Gothic Book" w:hAnsi="Franklin Gothic Book" w:cs="Segoe UI"/>
          <w:sz w:val="22"/>
          <w:szCs w:val="22"/>
        </w:rPr>
        <w:t xml:space="preserve"> genotyping as a standalone test to prospectively screen for DPD deficiency has poor sensitivity. Furthermore, testing negative for a </w:t>
      </w:r>
      <w:r>
        <w:rPr>
          <w:rStyle w:val="normaltextrun"/>
          <w:rFonts w:ascii="Franklin Gothic Book" w:hAnsi="Franklin Gothic Book" w:cs="Segoe UI"/>
          <w:i/>
          <w:iCs/>
          <w:sz w:val="22"/>
          <w:szCs w:val="22"/>
        </w:rPr>
        <w:t>DPYD</w:t>
      </w:r>
      <w:r>
        <w:rPr>
          <w:rStyle w:val="normaltextrun"/>
          <w:rFonts w:ascii="Franklin Gothic Book" w:hAnsi="Franklin Gothic Book" w:cs="Segoe UI"/>
          <w:sz w:val="22"/>
          <w:szCs w:val="22"/>
        </w:rPr>
        <w:t xml:space="preserve"> variant does not eliminate the possibility of experiencing FP-related toxicity.</w:t>
      </w:r>
      <w:r>
        <w:rPr>
          <w:rStyle w:val="eop"/>
          <w:rFonts w:ascii="Franklin Gothic Book" w:hAnsi="Franklin Gothic Book" w:cs="Segoe UI"/>
          <w:sz w:val="22"/>
          <w:szCs w:val="22"/>
        </w:rPr>
        <w:t> </w:t>
      </w:r>
    </w:p>
    <w:p w14:paraId="7D264D48" w14:textId="77777777" w:rsidR="00DB023C" w:rsidRPr="002E6815" w:rsidRDefault="00DB023C" w:rsidP="002E6815">
      <w:pPr>
        <w:pStyle w:val="paragraph"/>
        <w:keepNext/>
        <w:keepLines/>
        <w:spacing w:before="240" w:beforeAutospacing="0" w:after="0" w:afterAutospacing="0"/>
        <w:textAlignment w:val="baseline"/>
        <w:rPr>
          <w:rStyle w:val="normaltextrun"/>
          <w:rFonts w:ascii="Franklin Gothic Book" w:hAnsi="Franklin Gothic Book" w:cs="Arial"/>
          <w:b/>
          <w:bCs/>
          <w:sz w:val="22"/>
          <w:szCs w:val="22"/>
        </w:rPr>
      </w:pPr>
      <w:r w:rsidRPr="002E6815">
        <w:rPr>
          <w:rStyle w:val="normaltextrun"/>
          <w:rFonts w:ascii="Franklin Gothic Book" w:hAnsi="Franklin Gothic Book" w:cs="Arial"/>
          <w:b/>
          <w:bCs/>
          <w:sz w:val="22"/>
          <w:szCs w:val="22"/>
        </w:rPr>
        <w:t>Additional Comments </w:t>
      </w:r>
      <w:r w:rsidRPr="002E6815">
        <w:rPr>
          <w:rStyle w:val="normaltextrun"/>
          <w:rFonts w:ascii="Franklin Gothic Book" w:hAnsi="Franklin Gothic Book"/>
          <w:b/>
          <w:bCs/>
          <w:sz w:val="22"/>
          <w:szCs w:val="22"/>
        </w:rPr>
        <w:t> </w:t>
      </w:r>
    </w:p>
    <w:p w14:paraId="416FBE1D" w14:textId="77777777" w:rsidR="00DB023C" w:rsidRDefault="00DB023C" w:rsidP="00DB023C">
      <w:pPr>
        <w:pStyle w:val="paragraph"/>
        <w:spacing w:before="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 xml:space="preserve">The RCPA noted the test is in line with the Clinical Pharmacogenetics Implementation Consortium (CPIC) guidelines from 2017 for Fluoropyrimidine Dosing in cancer patients and the ASCEPT noted that screening for a panel of </w:t>
      </w:r>
      <w:r>
        <w:rPr>
          <w:rStyle w:val="normaltextrun"/>
          <w:rFonts w:ascii="Franklin Gothic Book" w:hAnsi="Franklin Gothic Book" w:cs="Segoe UI"/>
          <w:i/>
          <w:iCs/>
          <w:sz w:val="22"/>
          <w:szCs w:val="22"/>
        </w:rPr>
        <w:t>DPYD</w:t>
      </w:r>
      <w:r>
        <w:rPr>
          <w:rStyle w:val="normaltextrun"/>
          <w:rFonts w:ascii="Franklin Gothic Book" w:hAnsi="Franklin Gothic Book" w:cs="Segoe UI"/>
          <w:sz w:val="22"/>
          <w:szCs w:val="22"/>
        </w:rPr>
        <w:t xml:space="preserve"> gene variants is recommended by the European Medicines Agency and the </w:t>
      </w:r>
      <w:r w:rsidRPr="009C07A8">
        <w:rPr>
          <w:rStyle w:val="normaltextrun"/>
          <w:rFonts w:ascii="Arial" w:hAnsi="Arial" w:cs="Arial"/>
          <w:sz w:val="21"/>
          <w:szCs w:val="21"/>
          <w:shd w:val="clear" w:color="auto" w:fill="FFFFFF"/>
        </w:rPr>
        <w:t>National Health Service</w:t>
      </w:r>
      <w:r w:rsidRPr="00B272A6">
        <w:rPr>
          <w:rStyle w:val="normaltextrun"/>
          <w:rFonts w:ascii="Franklin Gothic Book" w:hAnsi="Franklin Gothic Book" w:cs="Segoe UI"/>
          <w:sz w:val="22"/>
          <w:szCs w:val="22"/>
        </w:rPr>
        <w:t xml:space="preserve"> (</w:t>
      </w:r>
      <w:r>
        <w:rPr>
          <w:rStyle w:val="normaltextrun"/>
          <w:rFonts w:ascii="Franklin Gothic Book" w:hAnsi="Franklin Gothic Book" w:cs="Segoe UI"/>
          <w:sz w:val="22"/>
          <w:szCs w:val="22"/>
        </w:rPr>
        <w:t xml:space="preserve">NHS) and is considered safe practice by </w:t>
      </w:r>
      <w:proofErr w:type="spellStart"/>
      <w:r>
        <w:rPr>
          <w:rStyle w:val="normaltextrun"/>
          <w:rFonts w:ascii="Franklin Gothic Book" w:hAnsi="Franklin Gothic Book" w:cs="Segoe UI"/>
          <w:sz w:val="22"/>
          <w:szCs w:val="22"/>
        </w:rPr>
        <w:t>eviQ</w:t>
      </w:r>
      <w:proofErr w:type="spellEnd"/>
      <w:r>
        <w:rPr>
          <w:rStyle w:val="normaltextrun"/>
          <w:rFonts w:ascii="Franklin Gothic Book" w:hAnsi="Franklin Gothic Book" w:cs="Segoe UI"/>
          <w:sz w:val="22"/>
          <w:szCs w:val="22"/>
        </w:rPr>
        <w:t>.</w:t>
      </w:r>
      <w:r>
        <w:rPr>
          <w:rStyle w:val="eop"/>
          <w:rFonts w:ascii="Franklin Gothic Book" w:hAnsi="Franklin Gothic Book" w:cs="Segoe UI"/>
          <w:sz w:val="22"/>
          <w:szCs w:val="22"/>
        </w:rPr>
        <w:t> </w:t>
      </w:r>
    </w:p>
    <w:p w14:paraId="2035C7A2" w14:textId="7AC9D6E3" w:rsidR="00DB023C" w:rsidRDefault="00DB023C" w:rsidP="002E6815">
      <w:pPr>
        <w:pStyle w:val="paragraph"/>
        <w:spacing w:before="240" w:beforeAutospacing="0" w:after="0" w:afterAutospacing="0"/>
        <w:textAlignment w:val="baseline"/>
        <w:rPr>
          <w:rFonts w:ascii="Segoe UI" w:hAnsi="Segoe UI" w:cs="Segoe UI"/>
          <w:color w:val="000000"/>
          <w:sz w:val="18"/>
          <w:szCs w:val="18"/>
        </w:rPr>
      </w:pPr>
      <w:r>
        <w:rPr>
          <w:rStyle w:val="normaltextrun"/>
          <w:rFonts w:ascii="Franklin Gothic Book" w:hAnsi="Franklin Gothic Book" w:cs="Segoe UI"/>
          <w:sz w:val="22"/>
          <w:szCs w:val="22"/>
        </w:rPr>
        <w:t xml:space="preserve">ASCEPT further noted that currently no other screening procedures have the high-quality evidence-base that has been reported for </w:t>
      </w:r>
      <w:r>
        <w:rPr>
          <w:rStyle w:val="normaltextrun"/>
          <w:rFonts w:ascii="Franklin Gothic Book" w:hAnsi="Franklin Gothic Book" w:cs="Segoe UI"/>
          <w:i/>
          <w:iCs/>
          <w:sz w:val="22"/>
          <w:szCs w:val="22"/>
        </w:rPr>
        <w:t>DPYD</w:t>
      </w:r>
      <w:r>
        <w:rPr>
          <w:rStyle w:val="normaltextrun"/>
          <w:rFonts w:ascii="Franklin Gothic Book" w:hAnsi="Franklin Gothic Book" w:cs="Segoe UI"/>
          <w:sz w:val="22"/>
          <w:szCs w:val="22"/>
        </w:rPr>
        <w:t xml:space="preserve"> single nucleotide polymorphism (SNP) panel testing. The economic costs of severe adverse events following 5-fluorouracil and capecitabine treatment to the Australian health system are likely substantial.</w:t>
      </w:r>
      <w:r>
        <w:rPr>
          <w:rStyle w:val="eop"/>
          <w:rFonts w:ascii="Franklin Gothic Book" w:hAnsi="Franklin Gothic Book" w:cs="Segoe UI"/>
          <w:sz w:val="22"/>
          <w:szCs w:val="22"/>
        </w:rPr>
        <w:t> </w:t>
      </w:r>
    </w:p>
    <w:p w14:paraId="70FE3D2D" w14:textId="0986BC2D" w:rsidR="00DB023C" w:rsidRPr="002E6815" w:rsidRDefault="00DB023C" w:rsidP="002E6815">
      <w:pPr>
        <w:pStyle w:val="paragraph"/>
        <w:keepNext/>
        <w:keepLines/>
        <w:spacing w:before="240" w:beforeAutospacing="0" w:after="0" w:afterAutospacing="0"/>
        <w:textAlignment w:val="baseline"/>
        <w:rPr>
          <w:rStyle w:val="normaltextrun"/>
          <w:rFonts w:ascii="Franklin Gothic Book" w:hAnsi="Franklin Gothic Book" w:cs="Arial"/>
          <w:b/>
          <w:bCs/>
          <w:sz w:val="22"/>
          <w:szCs w:val="22"/>
        </w:rPr>
      </w:pPr>
      <w:r w:rsidRPr="002E6815">
        <w:rPr>
          <w:rStyle w:val="normaltextrun"/>
          <w:rFonts w:ascii="Franklin Gothic Book" w:hAnsi="Franklin Gothic Book" w:cs="Arial"/>
          <w:b/>
          <w:bCs/>
          <w:sz w:val="22"/>
          <w:szCs w:val="22"/>
        </w:rPr>
        <w:t>Feedback following ESC consideration</w:t>
      </w:r>
      <w:r w:rsidRPr="002E6815">
        <w:rPr>
          <w:rStyle w:val="normaltextrun"/>
          <w:rFonts w:ascii="Franklin Gothic Book" w:hAnsi="Franklin Gothic Book"/>
          <w:b/>
          <w:bCs/>
          <w:sz w:val="22"/>
          <w:szCs w:val="22"/>
        </w:rPr>
        <w:t> </w:t>
      </w:r>
    </w:p>
    <w:p w14:paraId="647DED18" w14:textId="77777777" w:rsidR="00DB023C" w:rsidRDefault="00DB023C" w:rsidP="00DB023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shd w:val="clear" w:color="auto" w:fill="FFFFFF"/>
        </w:rPr>
        <w:t xml:space="preserve">ESC requested further information on the current usage of </w:t>
      </w:r>
      <w:r>
        <w:rPr>
          <w:rStyle w:val="normaltextrun"/>
          <w:rFonts w:ascii="Franklin Gothic Book" w:hAnsi="Franklin Gothic Book" w:cs="Segoe UI"/>
          <w:i/>
          <w:iCs/>
          <w:sz w:val="22"/>
          <w:szCs w:val="22"/>
          <w:shd w:val="clear" w:color="auto" w:fill="FFFFFF"/>
        </w:rPr>
        <w:t>DPYD</w:t>
      </w:r>
      <w:r>
        <w:rPr>
          <w:rStyle w:val="normaltextrun"/>
          <w:rFonts w:ascii="Franklin Gothic Book" w:hAnsi="Franklin Gothic Book" w:cs="Segoe UI"/>
          <w:sz w:val="22"/>
          <w:szCs w:val="22"/>
          <w:shd w:val="clear" w:color="auto" w:fill="FFFFFF"/>
        </w:rPr>
        <w:t xml:space="preserve"> testing in Australian clinical practice, as this test is currently available to some patients in Australia.</w:t>
      </w:r>
      <w:r>
        <w:rPr>
          <w:rStyle w:val="normaltextrun"/>
          <w:rFonts w:ascii="Arial" w:hAnsi="Arial" w:cs="Arial"/>
          <w:sz w:val="22"/>
          <w:szCs w:val="22"/>
          <w:shd w:val="clear" w:color="auto" w:fill="FFFFFF"/>
        </w:rPr>
        <w:t> </w:t>
      </w:r>
      <w:r>
        <w:rPr>
          <w:rStyle w:val="normaltextrun"/>
          <w:rFonts w:ascii="Franklin Gothic Book" w:hAnsi="Franklin Gothic Book" w:cs="Segoe UI"/>
          <w:sz w:val="22"/>
          <w:szCs w:val="22"/>
          <w:shd w:val="clear" w:color="auto" w:fill="FFFFFF"/>
        </w:rPr>
        <w:t>ESC also sought information on therapeutic drug monitoring (TDM) and its utilisation. The department sought feedback from</w:t>
      </w:r>
      <w:r>
        <w:rPr>
          <w:rStyle w:val="normaltextrun"/>
          <w:rFonts w:ascii="Arial" w:hAnsi="Arial" w:cs="Arial"/>
          <w:sz w:val="22"/>
          <w:szCs w:val="22"/>
          <w:shd w:val="clear" w:color="auto" w:fill="FFFFFF"/>
        </w:rPr>
        <w:t> </w:t>
      </w:r>
      <w:r>
        <w:rPr>
          <w:rStyle w:val="normaltextrun"/>
          <w:rFonts w:ascii="Franklin Gothic Book" w:hAnsi="Franklin Gothic Book" w:cs="Segoe UI"/>
          <w:sz w:val="22"/>
          <w:szCs w:val="22"/>
          <w:shd w:val="clear" w:color="auto" w:fill="FFFFFF"/>
        </w:rPr>
        <w:t>Medical Oncology Group of Australia (MOGA) and Clinical Oncology Society of Australia (COSA). </w:t>
      </w:r>
      <w:r>
        <w:rPr>
          <w:rStyle w:val="eop"/>
          <w:rFonts w:ascii="Franklin Gothic Book" w:hAnsi="Franklin Gothic Book" w:cs="Segoe UI"/>
          <w:color w:val="000000"/>
          <w:sz w:val="22"/>
          <w:szCs w:val="22"/>
        </w:rPr>
        <w:t> </w:t>
      </w:r>
    </w:p>
    <w:p w14:paraId="4DFD9466" w14:textId="2D398A83" w:rsidR="00DB023C" w:rsidRDefault="00DB023C" w:rsidP="002E6815">
      <w:pPr>
        <w:pStyle w:val="paragraph"/>
        <w:spacing w:before="24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shd w:val="clear" w:color="auto" w:fill="FFFFFF"/>
        </w:rPr>
        <w:t xml:space="preserve">Three expert members </w:t>
      </w:r>
      <w:r w:rsidR="00617F74" w:rsidRPr="292AEB94">
        <w:rPr>
          <w:rStyle w:val="normaltextrun"/>
          <w:rFonts w:ascii="Franklin Gothic Book" w:hAnsi="Franklin Gothic Book" w:cs="Segoe UI"/>
          <w:sz w:val="22"/>
          <w:szCs w:val="22"/>
        </w:rPr>
        <w:t xml:space="preserve">identified by </w:t>
      </w:r>
      <w:r>
        <w:rPr>
          <w:rStyle w:val="normaltextrun"/>
          <w:rFonts w:ascii="Franklin Gothic Book" w:hAnsi="Franklin Gothic Book" w:cs="Segoe UI"/>
          <w:sz w:val="22"/>
          <w:szCs w:val="22"/>
          <w:shd w:val="clear" w:color="auto" w:fill="FFFFFF"/>
        </w:rPr>
        <w:t xml:space="preserve">MOGA provided input. Overall, routine </w:t>
      </w:r>
      <w:r>
        <w:rPr>
          <w:rStyle w:val="normaltextrun"/>
          <w:rFonts w:ascii="Franklin Gothic Book" w:hAnsi="Franklin Gothic Book" w:cs="Segoe UI"/>
          <w:i/>
          <w:iCs/>
          <w:sz w:val="22"/>
          <w:szCs w:val="22"/>
          <w:shd w:val="clear" w:color="auto" w:fill="FFFFFF"/>
        </w:rPr>
        <w:t>DPYD</w:t>
      </w:r>
      <w:r>
        <w:rPr>
          <w:rStyle w:val="normaltextrun"/>
          <w:rFonts w:ascii="Franklin Gothic Book" w:hAnsi="Franklin Gothic Book" w:cs="Segoe UI"/>
          <w:sz w:val="22"/>
          <w:szCs w:val="22"/>
          <w:shd w:val="clear" w:color="auto" w:fill="FFFFFF"/>
        </w:rPr>
        <w:t xml:space="preserve"> testing for all patients anticipated to receive FP anticancer treatment is not currently considered standard practice in Australia as protocols vary between organisations. </w:t>
      </w:r>
      <w:r>
        <w:rPr>
          <w:rStyle w:val="normaltextrun"/>
          <w:rFonts w:ascii="Franklin Gothic Book" w:hAnsi="Franklin Gothic Book" w:cs="Segoe UI"/>
          <w:i/>
          <w:iCs/>
          <w:sz w:val="22"/>
          <w:szCs w:val="22"/>
          <w:shd w:val="clear" w:color="auto" w:fill="FFFFFF"/>
        </w:rPr>
        <w:t>DPYD</w:t>
      </w:r>
      <w:r>
        <w:rPr>
          <w:rStyle w:val="normaltextrun"/>
          <w:rFonts w:ascii="Franklin Gothic Book" w:hAnsi="Franklin Gothic Book" w:cs="Segoe UI"/>
          <w:sz w:val="22"/>
          <w:szCs w:val="22"/>
          <w:shd w:val="clear" w:color="auto" w:fill="FFFFFF"/>
        </w:rPr>
        <w:t xml:space="preserve"> testing is not funded on the MBS and is thus either is self-funded by patients or funded by the treatment centre. While some organizations routinely conduct </w:t>
      </w:r>
      <w:r>
        <w:rPr>
          <w:rStyle w:val="normaltextrun"/>
          <w:rFonts w:ascii="Franklin Gothic Book" w:hAnsi="Franklin Gothic Book" w:cs="Segoe UI"/>
          <w:i/>
          <w:iCs/>
          <w:sz w:val="22"/>
          <w:szCs w:val="22"/>
          <w:shd w:val="clear" w:color="auto" w:fill="FFFFFF"/>
        </w:rPr>
        <w:t>DPYD</w:t>
      </w:r>
      <w:r>
        <w:rPr>
          <w:rStyle w:val="normaltextrun"/>
          <w:rFonts w:ascii="Franklin Gothic Book" w:hAnsi="Franklin Gothic Book" w:cs="Segoe UI"/>
          <w:sz w:val="22"/>
          <w:szCs w:val="22"/>
          <w:shd w:val="clear" w:color="auto" w:fill="FFFFFF"/>
        </w:rPr>
        <w:t xml:space="preserve"> testing before administering FP anticancer treatment, others may selectively test based on treatment regimen risk or patient willingness to cover costs. Although the current </w:t>
      </w:r>
      <w:proofErr w:type="spellStart"/>
      <w:r>
        <w:rPr>
          <w:rStyle w:val="normaltextrun"/>
          <w:rFonts w:ascii="Franklin Gothic Book" w:hAnsi="Franklin Gothic Book" w:cs="Segoe UI"/>
          <w:sz w:val="22"/>
          <w:szCs w:val="22"/>
          <w:shd w:val="clear" w:color="auto" w:fill="FFFFFF"/>
        </w:rPr>
        <w:t>eviQ</w:t>
      </w:r>
      <w:proofErr w:type="spellEnd"/>
      <w:r>
        <w:rPr>
          <w:rStyle w:val="normaltextrun"/>
          <w:rFonts w:ascii="Franklin Gothic Book" w:hAnsi="Franklin Gothic Book" w:cs="Segoe UI"/>
          <w:sz w:val="22"/>
          <w:szCs w:val="22"/>
          <w:shd w:val="clear" w:color="auto" w:fill="FFFFFF"/>
        </w:rPr>
        <w:t xml:space="preserve"> guidelines does not mandate the test</w:t>
      </w:r>
      <w:r w:rsidR="00B0724E">
        <w:rPr>
          <w:rStyle w:val="normaltextrun"/>
          <w:rFonts w:ascii="Franklin Gothic Book" w:hAnsi="Franklin Gothic Book" w:cs="Segoe UI"/>
          <w:sz w:val="22"/>
          <w:szCs w:val="22"/>
          <w:shd w:val="clear" w:color="auto" w:fill="FFFFFF"/>
        </w:rPr>
        <w:t>,</w:t>
      </w:r>
      <w:r>
        <w:rPr>
          <w:rStyle w:val="normaltextrun"/>
          <w:rFonts w:ascii="Franklin Gothic Book" w:hAnsi="Franklin Gothic Book" w:cs="Segoe UI"/>
          <w:sz w:val="22"/>
          <w:szCs w:val="22"/>
          <w:shd w:val="clear" w:color="auto" w:fill="FFFFFF"/>
        </w:rPr>
        <w:t xml:space="preserve"> it is recommended, and with the </w:t>
      </w:r>
      <w:r>
        <w:rPr>
          <w:rStyle w:val="normaltextrun"/>
          <w:rFonts w:ascii="Franklin Gothic Book" w:hAnsi="Franklin Gothic Book" w:cs="Segoe UI"/>
          <w:sz w:val="22"/>
          <w:szCs w:val="22"/>
          <w:shd w:val="clear" w:color="auto" w:fill="FFFFFF"/>
        </w:rPr>
        <w:lastRenderedPageBreak/>
        <w:t xml:space="preserve">increasing trend in usage of </w:t>
      </w:r>
      <w:r>
        <w:rPr>
          <w:rStyle w:val="normaltextrun"/>
          <w:rFonts w:ascii="Franklin Gothic Book" w:hAnsi="Franklin Gothic Book" w:cs="Segoe UI"/>
          <w:i/>
          <w:iCs/>
          <w:sz w:val="22"/>
          <w:szCs w:val="22"/>
          <w:shd w:val="clear" w:color="auto" w:fill="FFFFFF"/>
        </w:rPr>
        <w:t xml:space="preserve">DPYD </w:t>
      </w:r>
      <w:r>
        <w:rPr>
          <w:rStyle w:val="normaltextrun"/>
          <w:rFonts w:ascii="Franklin Gothic Book" w:hAnsi="Franklin Gothic Book" w:cs="Segoe UI"/>
          <w:sz w:val="22"/>
          <w:szCs w:val="22"/>
          <w:shd w:val="clear" w:color="auto" w:fill="FFFFFF"/>
        </w:rPr>
        <w:t xml:space="preserve">testing prior to FP-based anticancer treatment, it is anticipated that the guidelines will evolve to recommend the testing. Currently, TDM is not routinely performed for patients receiving pre-treatment </w:t>
      </w:r>
      <w:r>
        <w:rPr>
          <w:rStyle w:val="normaltextrun"/>
          <w:rFonts w:ascii="Franklin Gothic Book" w:hAnsi="Franklin Gothic Book" w:cs="Segoe UI"/>
          <w:i/>
          <w:iCs/>
          <w:sz w:val="22"/>
          <w:szCs w:val="22"/>
          <w:shd w:val="clear" w:color="auto" w:fill="FFFFFF"/>
        </w:rPr>
        <w:t>DPYD</w:t>
      </w:r>
      <w:r>
        <w:rPr>
          <w:rStyle w:val="normaltextrun"/>
          <w:rFonts w:ascii="Franklin Gothic Book" w:hAnsi="Franklin Gothic Book" w:cs="Segoe UI"/>
          <w:sz w:val="22"/>
          <w:szCs w:val="22"/>
          <w:shd w:val="clear" w:color="auto" w:fill="FFFFFF"/>
        </w:rPr>
        <w:t xml:space="preserve"> genotyping for FP-based anticancer treatment. TDM can be achieved by using commercial kits on standard biochemical analysers, however it is not currently funded and is primarily used as part of clinical trials. Since TDM is not funded, its usage would remain unchanged with </w:t>
      </w:r>
      <w:r>
        <w:rPr>
          <w:rStyle w:val="normaltextrun"/>
          <w:rFonts w:ascii="Franklin Gothic Book" w:hAnsi="Franklin Gothic Book" w:cs="Segoe UI"/>
          <w:i/>
          <w:iCs/>
          <w:sz w:val="22"/>
          <w:szCs w:val="22"/>
          <w:shd w:val="clear" w:color="auto" w:fill="FFFFFF"/>
        </w:rPr>
        <w:t xml:space="preserve">DPYD </w:t>
      </w:r>
      <w:r>
        <w:rPr>
          <w:rStyle w:val="normaltextrun"/>
          <w:rFonts w:ascii="Franklin Gothic Book" w:hAnsi="Franklin Gothic Book" w:cs="Segoe UI"/>
          <w:sz w:val="22"/>
          <w:szCs w:val="22"/>
          <w:shd w:val="clear" w:color="auto" w:fill="FFFFFF"/>
        </w:rPr>
        <w:t>testing.</w:t>
      </w:r>
      <w:r>
        <w:rPr>
          <w:rStyle w:val="eop"/>
          <w:rFonts w:ascii="Franklin Gothic Book" w:hAnsi="Franklin Gothic Book" w:cs="Segoe UI"/>
          <w:color w:val="000000"/>
          <w:sz w:val="22"/>
          <w:szCs w:val="22"/>
        </w:rPr>
        <w:t> </w:t>
      </w:r>
    </w:p>
    <w:p w14:paraId="03C7A1F1" w14:textId="3DED5D79" w:rsidR="00772829" w:rsidRPr="00CE28E3" w:rsidRDefault="00476193" w:rsidP="00FF160D">
      <w:pPr>
        <w:pStyle w:val="Heading2"/>
      </w:pPr>
      <w:r>
        <w:t>10</w:t>
      </w:r>
      <w:r w:rsidR="00C36633">
        <w:t>.</w:t>
      </w:r>
      <w:r w:rsidR="00C36633">
        <w:tab/>
      </w:r>
      <w:r w:rsidR="00772829" w:rsidRPr="00CE28E3">
        <w:t>Characteristics of the evidence base</w:t>
      </w:r>
      <w:bookmarkEnd w:id="13"/>
    </w:p>
    <w:p w14:paraId="6AB7F239" w14:textId="41BD2141" w:rsidR="00FB660A" w:rsidRDefault="00672B20" w:rsidP="00FB660A">
      <w:r>
        <w:t>Seven</w:t>
      </w:r>
      <w:r w:rsidR="00FB660A" w:rsidRPr="00A47E4B">
        <w:t xml:space="preserve"> studies</w:t>
      </w:r>
      <w:bookmarkStart w:id="14" w:name="_Ref175162441"/>
      <w:bookmarkStart w:id="15" w:name="_Ref172295979"/>
      <w:r w:rsidR="004A3E32">
        <w:rPr>
          <w:rStyle w:val="FootnoteReference"/>
        </w:rPr>
        <w:footnoteReference w:id="9"/>
      </w:r>
      <w:bookmarkEnd w:id="14"/>
      <w:r w:rsidR="004A3E32">
        <w:rPr>
          <w:vertAlign w:val="superscript"/>
        </w:rPr>
        <w:t>,</w:t>
      </w:r>
      <w:bookmarkStart w:id="16" w:name="_Ref175162448"/>
      <w:r w:rsidR="004A3E32">
        <w:rPr>
          <w:rStyle w:val="FootnoteReference"/>
        </w:rPr>
        <w:footnoteReference w:id="10"/>
      </w:r>
      <w:bookmarkEnd w:id="16"/>
      <w:r w:rsidR="004A3E32">
        <w:rPr>
          <w:vertAlign w:val="superscript"/>
        </w:rPr>
        <w:t>,</w:t>
      </w:r>
      <w:bookmarkStart w:id="17" w:name="_Ref175162386"/>
      <w:r w:rsidR="004A3E32">
        <w:rPr>
          <w:rStyle w:val="FootnoteReference"/>
        </w:rPr>
        <w:footnoteReference w:id="11"/>
      </w:r>
      <w:bookmarkEnd w:id="17"/>
      <w:r w:rsidR="004A3E32">
        <w:rPr>
          <w:vertAlign w:val="superscript"/>
        </w:rPr>
        <w:t>,</w:t>
      </w:r>
      <w:bookmarkStart w:id="18" w:name="_Ref175162400"/>
      <w:r w:rsidR="004A3E32">
        <w:rPr>
          <w:rStyle w:val="FootnoteReference"/>
        </w:rPr>
        <w:footnoteReference w:id="12"/>
      </w:r>
      <w:bookmarkEnd w:id="18"/>
      <w:r w:rsidR="00342165">
        <w:rPr>
          <w:vertAlign w:val="superscript"/>
        </w:rPr>
        <w:t>,</w:t>
      </w:r>
      <w:bookmarkStart w:id="19" w:name="_Ref175162506"/>
      <w:r w:rsidR="00342165">
        <w:rPr>
          <w:rStyle w:val="FootnoteReference"/>
        </w:rPr>
        <w:footnoteReference w:id="13"/>
      </w:r>
      <w:bookmarkEnd w:id="19"/>
      <w:r w:rsidR="00030AE1">
        <w:rPr>
          <w:vertAlign w:val="superscript"/>
        </w:rPr>
        <w:t>,</w:t>
      </w:r>
      <w:bookmarkStart w:id="20" w:name="_Ref175162428"/>
      <w:r w:rsidR="00625DF4">
        <w:rPr>
          <w:rStyle w:val="FootnoteReference"/>
        </w:rPr>
        <w:footnoteReference w:id="14"/>
      </w:r>
      <w:bookmarkEnd w:id="15"/>
      <w:bookmarkEnd w:id="20"/>
      <w:r w:rsidR="00B53F5E">
        <w:rPr>
          <w:vertAlign w:val="superscript"/>
        </w:rPr>
        <w:t>,</w:t>
      </w:r>
      <w:bookmarkStart w:id="21" w:name="_Ref175162371"/>
      <w:r w:rsidR="003D16B9">
        <w:rPr>
          <w:rStyle w:val="FootnoteReference"/>
        </w:rPr>
        <w:footnoteReference w:id="15"/>
      </w:r>
      <w:bookmarkEnd w:id="21"/>
      <w:r w:rsidR="00FB660A">
        <w:rPr>
          <w:vertAlign w:val="superscript"/>
        </w:rPr>
        <w:t xml:space="preserve"> </w:t>
      </w:r>
      <w:r>
        <w:t>provided</w:t>
      </w:r>
      <w:r w:rsidR="00FB660A" w:rsidRPr="00A47E4B">
        <w:t xml:space="preserve"> direct test to health outcomes evidence of </w:t>
      </w:r>
      <w:r w:rsidR="00CD73DB" w:rsidRPr="00CD73DB">
        <w:rPr>
          <w:i/>
        </w:rPr>
        <w:t>DPYD</w:t>
      </w:r>
      <w:r w:rsidR="00FB660A" w:rsidRPr="00A47E4B">
        <w:t xml:space="preserve"> genotyping before the commencement of systemic FP-based chemotherapy to identify patients at risk of severe FP-related toxicity</w:t>
      </w:r>
      <w:r w:rsidR="00FB660A">
        <w:t>. Four</w:t>
      </w:r>
      <w:r w:rsidR="00FB660A" w:rsidRPr="00A47E4B">
        <w:t xml:space="preserve"> studies</w:t>
      </w:r>
      <w:r w:rsidR="00FB660A">
        <w:t xml:space="preserve"> provided direct comparative evidence (comparing the intervention with </w:t>
      </w:r>
      <w:r w:rsidR="00D63A06">
        <w:t>the comparator</w:t>
      </w:r>
      <w:r w:rsidR="00FB660A">
        <w:t>), and an additional 3 studies provided evidence for the intervention only.</w:t>
      </w:r>
      <w:r w:rsidR="00FB660A" w:rsidRPr="00FB660A">
        <w:t xml:space="preserve"> </w:t>
      </w:r>
      <w:r w:rsidR="00FB660A" w:rsidRPr="00A47E4B">
        <w:t xml:space="preserve">A summary of the key features of the studies providing direct from test to health outcome evidence is provided in </w:t>
      </w:r>
      <w:r w:rsidR="00A35D23">
        <w:t>Table 3</w:t>
      </w:r>
      <w:r w:rsidR="00B23B67">
        <w:fldChar w:fldCharType="begin"/>
      </w:r>
      <w:r w:rsidR="00B23B67">
        <w:instrText xml:space="preserve"> REF _Ref69725659 \h </w:instrText>
      </w:r>
      <w:r w:rsidR="00B23B67">
        <w:fldChar w:fldCharType="separate"/>
      </w:r>
      <w:r w:rsidR="00B23B67">
        <w:fldChar w:fldCharType="end"/>
      </w:r>
      <w:r w:rsidR="00FB660A" w:rsidRPr="00A47E4B">
        <w:t>.</w:t>
      </w:r>
    </w:p>
    <w:p w14:paraId="57F09359" w14:textId="2DB7F431" w:rsidR="00341063" w:rsidRPr="002D7643" w:rsidRDefault="00341063" w:rsidP="00FB660A">
      <w:r>
        <w:t xml:space="preserve">Given that the intervention described in the PICO only has clinical utility when treatment management decisions are made using the results, the “intervention” group in direct evidence studies </w:t>
      </w:r>
      <w:proofErr w:type="gramStart"/>
      <w:r>
        <w:t>are considered to be</w:t>
      </w:r>
      <w:proofErr w:type="gramEnd"/>
      <w:r>
        <w:t xml:space="preserve"> </w:t>
      </w:r>
      <w:r w:rsidR="00CD73DB" w:rsidRPr="00CD73DB">
        <w:rPr>
          <w:i/>
        </w:rPr>
        <w:t>DPYD</w:t>
      </w:r>
      <w:r>
        <w:t xml:space="preserve"> </w:t>
      </w:r>
      <w:r w:rsidR="00CF0C0C">
        <w:t xml:space="preserve">variant </w:t>
      </w:r>
      <w:r>
        <w:t xml:space="preserve">carriers with pre-treatment </w:t>
      </w:r>
      <w:r w:rsidR="00CD73DB" w:rsidRPr="00CD73DB">
        <w:rPr>
          <w:i/>
        </w:rPr>
        <w:t>DPYD</w:t>
      </w:r>
      <w:r>
        <w:t xml:space="preserve"> genotyping </w:t>
      </w:r>
      <w:r w:rsidRPr="002D7643">
        <w:t>who receive an initial reduced dose of FP-based chemotherapy.</w:t>
      </w:r>
      <w:r w:rsidR="00DD4E60" w:rsidRPr="002D7643">
        <w:t xml:space="preserve"> </w:t>
      </w:r>
    </w:p>
    <w:p w14:paraId="005968B3" w14:textId="7301BECB" w:rsidR="00956ACE" w:rsidRDefault="00956ACE" w:rsidP="00AD703B">
      <w:pPr>
        <w:pStyle w:val="Caption"/>
        <w:keepLines/>
        <w:rPr>
          <w:color w:val="258221"/>
        </w:rPr>
      </w:pPr>
      <w:bookmarkStart w:id="22" w:name="_Ref69725659"/>
      <w:r w:rsidRPr="00CE28E3">
        <w:lastRenderedPageBreak/>
        <w:t>Table</w:t>
      </w:r>
      <w:r w:rsidR="004A4FDF">
        <w:t> </w:t>
      </w:r>
      <w:r w:rsidR="005915FD">
        <w:fldChar w:fldCharType="begin"/>
      </w:r>
      <w:r w:rsidR="005915FD">
        <w:instrText xml:space="preserve"> SEQ Table \* ARABIC </w:instrText>
      </w:r>
      <w:r w:rsidR="005915FD">
        <w:fldChar w:fldCharType="separate"/>
      </w:r>
      <w:r w:rsidR="00835345">
        <w:rPr>
          <w:noProof/>
        </w:rPr>
        <w:t>3</w:t>
      </w:r>
      <w:r w:rsidR="005915FD">
        <w:rPr>
          <w:noProof/>
        </w:rPr>
        <w:fldChar w:fldCharType="end"/>
      </w:r>
      <w:bookmarkEnd w:id="22"/>
      <w:r w:rsidRPr="00CE28E3">
        <w:tab/>
        <w:t xml:space="preserve">Key features of the </w:t>
      </w:r>
      <w:r w:rsidR="00712A65">
        <w:t>direct</w:t>
      </w:r>
      <w:r w:rsidRPr="00CE28E3">
        <w:t xml:space="preserve">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414"/>
        <w:gridCol w:w="992"/>
        <w:gridCol w:w="1134"/>
        <w:gridCol w:w="1417"/>
        <w:gridCol w:w="851"/>
        <w:gridCol w:w="988"/>
        <w:gridCol w:w="2220"/>
      </w:tblGrid>
      <w:tr w:rsidR="000A7813" w:rsidRPr="00CE28E3" w14:paraId="13E40F6D" w14:textId="77777777" w:rsidTr="00330E55">
        <w:trPr>
          <w:trHeight w:val="129"/>
        </w:trPr>
        <w:tc>
          <w:tcPr>
            <w:tcW w:w="784" w:type="pct"/>
            <w:shd w:val="clear" w:color="auto" w:fill="D9D9D9" w:themeFill="background1" w:themeFillShade="D9"/>
          </w:tcPr>
          <w:p w14:paraId="5EA8D2AB" w14:textId="77777777" w:rsidR="00712A65" w:rsidRDefault="00712A65" w:rsidP="00AD703B">
            <w:pPr>
              <w:pStyle w:val="2024TABLEHEADING"/>
              <w:keepLines/>
            </w:pPr>
            <w:r w:rsidRPr="00CE28E3">
              <w:t>Trial/Study</w:t>
            </w:r>
          </w:p>
          <w:p w14:paraId="0DA6C636" w14:textId="2C3F35FC" w:rsidR="00712A65" w:rsidRPr="00CE28E3" w:rsidRDefault="00712A65" w:rsidP="00AD703B">
            <w:pPr>
              <w:pStyle w:val="2024TABLEHEADING"/>
              <w:keepLines/>
            </w:pPr>
          </w:p>
        </w:tc>
        <w:tc>
          <w:tcPr>
            <w:tcW w:w="550" w:type="pct"/>
            <w:shd w:val="clear" w:color="auto" w:fill="D9D9D9" w:themeFill="background1" w:themeFillShade="D9"/>
          </w:tcPr>
          <w:p w14:paraId="43016A4B" w14:textId="1006C630" w:rsidR="002745AA" w:rsidRDefault="002745AA" w:rsidP="00AD703B">
            <w:pPr>
              <w:pStyle w:val="2024TABLEHEADING"/>
              <w:keepLines/>
            </w:pPr>
            <w:r>
              <w:t>Country</w:t>
            </w:r>
          </w:p>
        </w:tc>
        <w:tc>
          <w:tcPr>
            <w:tcW w:w="629" w:type="pct"/>
            <w:shd w:val="clear" w:color="auto" w:fill="D9D9D9" w:themeFill="background1" w:themeFillShade="D9"/>
          </w:tcPr>
          <w:p w14:paraId="1B3B6FBF" w14:textId="6259F656" w:rsidR="00712A65" w:rsidRPr="00CE28E3" w:rsidRDefault="00712A65" w:rsidP="00AD703B">
            <w:pPr>
              <w:pStyle w:val="2024TABLEHEADING"/>
              <w:keepLines/>
            </w:pPr>
            <w:r w:rsidRPr="00CE28E3">
              <w:t>Study design</w:t>
            </w:r>
          </w:p>
        </w:tc>
        <w:tc>
          <w:tcPr>
            <w:tcW w:w="786" w:type="pct"/>
            <w:shd w:val="clear" w:color="auto" w:fill="D9D9D9" w:themeFill="background1" w:themeFillShade="D9"/>
          </w:tcPr>
          <w:p w14:paraId="2EEB819B" w14:textId="59A4A6BE" w:rsidR="00712A65" w:rsidRPr="00CE28E3" w:rsidRDefault="002745AA" w:rsidP="00AD703B">
            <w:pPr>
              <w:pStyle w:val="2024TABLEHEADING"/>
              <w:keepLines/>
            </w:pPr>
            <w:r>
              <w:t>N</w:t>
            </w:r>
            <w:r w:rsidR="005E4491">
              <w:t>umber of Participants</w:t>
            </w:r>
            <w:r w:rsidR="00E82F77">
              <w:t>^</w:t>
            </w:r>
          </w:p>
        </w:tc>
        <w:tc>
          <w:tcPr>
            <w:tcW w:w="472" w:type="pct"/>
            <w:shd w:val="clear" w:color="auto" w:fill="D9D9D9" w:themeFill="background1" w:themeFillShade="D9"/>
          </w:tcPr>
          <w:p w14:paraId="1BED6E48" w14:textId="2435F9ED" w:rsidR="00712A65" w:rsidRPr="00CE28E3" w:rsidRDefault="00CD3483" w:rsidP="00AD703B">
            <w:pPr>
              <w:pStyle w:val="2024TABLEHEADING"/>
              <w:keepLines/>
            </w:pPr>
            <w:r w:rsidRPr="00CD3483">
              <w:t xml:space="preserve">c.1129-5923C&gt;G </w:t>
            </w:r>
            <w:r w:rsidR="002745AA">
              <w:t>proxy</w:t>
            </w:r>
            <w:r>
              <w:t>?</w:t>
            </w:r>
          </w:p>
        </w:tc>
        <w:tc>
          <w:tcPr>
            <w:tcW w:w="548" w:type="pct"/>
            <w:shd w:val="clear" w:color="auto" w:fill="D9D9D9" w:themeFill="background1" w:themeFillShade="D9"/>
          </w:tcPr>
          <w:p w14:paraId="7EAC8011" w14:textId="5B7B9FAC" w:rsidR="00712A65" w:rsidRPr="00CE28E3" w:rsidRDefault="000B427F" w:rsidP="00AD703B">
            <w:pPr>
              <w:pStyle w:val="2024TABLEHEADING"/>
              <w:keepLines/>
            </w:pPr>
            <w:r>
              <w:t>Risk of bias</w:t>
            </w:r>
          </w:p>
        </w:tc>
        <w:tc>
          <w:tcPr>
            <w:tcW w:w="1231" w:type="pct"/>
            <w:shd w:val="clear" w:color="auto" w:fill="D9D9D9" w:themeFill="background1" w:themeFillShade="D9"/>
          </w:tcPr>
          <w:p w14:paraId="0E209AEC" w14:textId="77777777" w:rsidR="00712A65" w:rsidRPr="00CE28E3" w:rsidRDefault="00712A65" w:rsidP="00AD703B">
            <w:pPr>
              <w:pStyle w:val="2024TABLEHEADING"/>
              <w:keepLines/>
            </w:pPr>
            <w:r w:rsidRPr="00CE28E3">
              <w:t>Key outcome(s)</w:t>
            </w:r>
          </w:p>
        </w:tc>
      </w:tr>
      <w:tr w:rsidR="00BD59FB" w:rsidRPr="00CE28E3" w14:paraId="6CCDA6C7" w14:textId="77777777" w:rsidTr="005E4491">
        <w:trPr>
          <w:trHeight w:val="52"/>
        </w:trPr>
        <w:tc>
          <w:tcPr>
            <w:tcW w:w="5000" w:type="pct"/>
            <w:gridSpan w:val="7"/>
            <w:shd w:val="clear" w:color="auto" w:fill="F2F2F2" w:themeFill="background1" w:themeFillShade="F2"/>
          </w:tcPr>
          <w:p w14:paraId="281FF383" w14:textId="06F23E26" w:rsidR="000B427F" w:rsidRPr="00CE28E3" w:rsidRDefault="00524AF8" w:rsidP="00AD703B">
            <w:pPr>
              <w:pStyle w:val="2024TABLEHEADING"/>
              <w:keepLines/>
            </w:pPr>
            <w:r>
              <w:t>Direct comparative evidence</w:t>
            </w:r>
          </w:p>
        </w:tc>
      </w:tr>
      <w:tr w:rsidR="000A7813" w:rsidRPr="00CE28E3" w14:paraId="764393D3" w14:textId="77777777" w:rsidTr="00330E55">
        <w:trPr>
          <w:trHeight w:val="52"/>
        </w:trPr>
        <w:tc>
          <w:tcPr>
            <w:tcW w:w="784" w:type="pct"/>
            <w:shd w:val="clear" w:color="auto" w:fill="auto"/>
          </w:tcPr>
          <w:p w14:paraId="183497A5" w14:textId="2153B274" w:rsidR="00C02058" w:rsidRDefault="00C02058" w:rsidP="00AD703B">
            <w:pPr>
              <w:pStyle w:val="2024TABLETEXT"/>
              <w:keepNext/>
              <w:keepLines/>
            </w:pPr>
            <w:r w:rsidRPr="00C02058">
              <w:t>Henricks et al. (2018)</w:t>
            </w:r>
            <w:r w:rsidR="006F6101" w:rsidRPr="006F6101">
              <w:rPr>
                <w:vertAlign w:val="superscript"/>
              </w:rPr>
              <w:fldChar w:fldCharType="begin"/>
            </w:r>
            <w:r w:rsidR="006F6101" w:rsidRPr="006F6101">
              <w:rPr>
                <w:vertAlign w:val="superscript"/>
              </w:rPr>
              <w:instrText xml:space="preserve"> NOTEREF _Ref175162371 \h </w:instrText>
            </w:r>
            <w:r w:rsidR="006F6101">
              <w:rPr>
                <w:vertAlign w:val="superscript"/>
              </w:rPr>
              <w:instrText xml:space="preserve"> \* MERGEFORMAT </w:instrText>
            </w:r>
            <w:r w:rsidR="006F6101" w:rsidRPr="006F6101">
              <w:rPr>
                <w:vertAlign w:val="superscript"/>
              </w:rPr>
            </w:r>
            <w:r w:rsidR="006F6101" w:rsidRPr="006F6101">
              <w:rPr>
                <w:vertAlign w:val="superscript"/>
              </w:rPr>
              <w:fldChar w:fldCharType="separate"/>
            </w:r>
            <w:r w:rsidR="00835345">
              <w:rPr>
                <w:vertAlign w:val="superscript"/>
              </w:rPr>
              <w:t>12</w:t>
            </w:r>
            <w:r w:rsidR="006F6101" w:rsidRPr="006F6101">
              <w:rPr>
                <w:vertAlign w:val="superscript"/>
              </w:rPr>
              <w:fldChar w:fldCharType="end"/>
            </w:r>
          </w:p>
          <w:p w14:paraId="64EEC901" w14:textId="0DC9F7D0" w:rsidR="00712A65" w:rsidRPr="00557A78" w:rsidRDefault="00712A65" w:rsidP="00AD703B">
            <w:pPr>
              <w:pStyle w:val="2024TABLETEXT"/>
              <w:keepNext/>
              <w:keepLines/>
            </w:pPr>
            <w:r w:rsidRPr="00C051D3">
              <w:t>NCT02324452</w:t>
            </w:r>
          </w:p>
        </w:tc>
        <w:tc>
          <w:tcPr>
            <w:tcW w:w="550" w:type="pct"/>
          </w:tcPr>
          <w:p w14:paraId="2EA68322" w14:textId="2AC96300" w:rsidR="002745AA" w:rsidRDefault="002745AA" w:rsidP="00AD703B">
            <w:pPr>
              <w:pStyle w:val="2024TABLETEXT"/>
              <w:keepNext/>
              <w:keepLines/>
            </w:pPr>
            <w:r>
              <w:t>Netherlands</w:t>
            </w:r>
          </w:p>
        </w:tc>
        <w:tc>
          <w:tcPr>
            <w:tcW w:w="629" w:type="pct"/>
            <w:shd w:val="clear" w:color="auto" w:fill="auto"/>
          </w:tcPr>
          <w:p w14:paraId="67E98581" w14:textId="5E5DC1BC" w:rsidR="00712A65" w:rsidRPr="00557A78" w:rsidRDefault="00712A65" w:rsidP="00AD703B">
            <w:pPr>
              <w:pStyle w:val="2024TABLETEXT"/>
              <w:keepNext/>
              <w:keepLines/>
            </w:pPr>
            <w:r w:rsidRPr="00117667">
              <w:t>Prospective</w:t>
            </w:r>
            <w:r>
              <w:t>, multicentre</w:t>
            </w:r>
          </w:p>
        </w:tc>
        <w:tc>
          <w:tcPr>
            <w:tcW w:w="786" w:type="pct"/>
          </w:tcPr>
          <w:p w14:paraId="05F76B3F" w14:textId="3126A333" w:rsidR="002745AA" w:rsidRPr="00524AF8" w:rsidRDefault="002745AA" w:rsidP="00AD703B">
            <w:pPr>
              <w:pStyle w:val="2024TABLETEXT"/>
              <w:keepNext/>
              <w:keepLines/>
            </w:pPr>
            <w:r w:rsidRPr="00524AF8">
              <w:t>Intervention=85</w:t>
            </w:r>
          </w:p>
          <w:p w14:paraId="670B4A23" w14:textId="7A46797B" w:rsidR="00712A65" w:rsidRPr="00557A78" w:rsidRDefault="002745AA" w:rsidP="00AD703B">
            <w:pPr>
              <w:pStyle w:val="2024TABLETEXT"/>
              <w:keepNext/>
              <w:keepLines/>
            </w:pPr>
            <w:r w:rsidRPr="00CE28E3">
              <w:t>Comparator</w:t>
            </w:r>
            <w:r>
              <w:t>=333</w:t>
            </w:r>
          </w:p>
        </w:tc>
        <w:tc>
          <w:tcPr>
            <w:tcW w:w="472" w:type="pct"/>
          </w:tcPr>
          <w:p w14:paraId="0B69F464" w14:textId="0F8CD824" w:rsidR="00712A65" w:rsidRPr="008D48B3" w:rsidRDefault="000B427F" w:rsidP="00AD703B">
            <w:pPr>
              <w:pStyle w:val="2024TABLETEXT"/>
              <w:keepNext/>
              <w:keepLines/>
            </w:pPr>
            <w:r>
              <w:t>Yes</w:t>
            </w:r>
          </w:p>
        </w:tc>
        <w:tc>
          <w:tcPr>
            <w:tcW w:w="548" w:type="pct"/>
          </w:tcPr>
          <w:p w14:paraId="4007F0D6" w14:textId="7FA7B6E4" w:rsidR="00712A65" w:rsidRPr="00C0018F" w:rsidRDefault="000B427F" w:rsidP="00AD703B">
            <w:pPr>
              <w:pStyle w:val="2024TABLETEXT"/>
              <w:keepNext/>
              <w:keepLines/>
            </w:pPr>
            <w:r>
              <w:t>Critical</w:t>
            </w:r>
          </w:p>
        </w:tc>
        <w:tc>
          <w:tcPr>
            <w:tcW w:w="1231" w:type="pct"/>
            <w:shd w:val="clear" w:color="auto" w:fill="auto"/>
          </w:tcPr>
          <w:p w14:paraId="6CC0C0DB" w14:textId="77777777" w:rsidR="002745AA" w:rsidRDefault="00AC3164" w:rsidP="00AD703B">
            <w:pPr>
              <w:pStyle w:val="2024TABLETEXT"/>
              <w:keepNext/>
              <w:keepLines/>
            </w:pPr>
            <w:r>
              <w:t>G</w:t>
            </w:r>
            <w:r w:rsidRPr="005158D5">
              <w:t>rade ≥3 FP-related toxicit</w:t>
            </w:r>
            <w:r>
              <w:t>y</w:t>
            </w:r>
          </w:p>
          <w:p w14:paraId="7A4F1076" w14:textId="77777777" w:rsidR="00AC3164" w:rsidRDefault="00AC3164" w:rsidP="00AD703B">
            <w:pPr>
              <w:pStyle w:val="2024TABLETEXT"/>
              <w:keepNext/>
              <w:keepLines/>
            </w:pPr>
            <w:r>
              <w:t>Hospitalisation</w:t>
            </w:r>
          </w:p>
          <w:p w14:paraId="54525995" w14:textId="396F3F97" w:rsidR="00712A65" w:rsidRPr="002561EC" w:rsidRDefault="00AC3164" w:rsidP="00AD703B">
            <w:pPr>
              <w:pStyle w:val="2024TABLETEXT"/>
              <w:keepNext/>
              <w:keepLines/>
            </w:pPr>
            <w:r>
              <w:t>Treatment stopping</w:t>
            </w:r>
          </w:p>
        </w:tc>
      </w:tr>
      <w:tr w:rsidR="000A7813" w:rsidRPr="00CE28E3" w14:paraId="69848E65" w14:textId="77777777" w:rsidTr="00330E55">
        <w:trPr>
          <w:trHeight w:val="52"/>
        </w:trPr>
        <w:tc>
          <w:tcPr>
            <w:tcW w:w="784" w:type="pct"/>
            <w:shd w:val="clear" w:color="auto" w:fill="auto"/>
          </w:tcPr>
          <w:p w14:paraId="5C4DE7F0" w14:textId="4F08582D" w:rsidR="00712A65" w:rsidRPr="00CD5CFE" w:rsidRDefault="00C02058" w:rsidP="00AD703B">
            <w:pPr>
              <w:pStyle w:val="2024TABLETEXT"/>
              <w:keepNext/>
              <w:keepLines/>
            </w:pPr>
            <w:r w:rsidRPr="00C02058">
              <w:t>Lunenburg et al. (2018)</w:t>
            </w:r>
            <w:r w:rsidR="00F6127B">
              <w:rPr>
                <w:vertAlign w:val="superscript"/>
              </w:rPr>
              <w:t>8</w:t>
            </w:r>
            <w:r w:rsidR="003E4407" w:rsidRPr="006F6101">
              <w:rPr>
                <w:vertAlign w:val="superscript"/>
              </w:rPr>
              <w:t xml:space="preserve"> </w:t>
            </w:r>
          </w:p>
        </w:tc>
        <w:tc>
          <w:tcPr>
            <w:tcW w:w="550" w:type="pct"/>
          </w:tcPr>
          <w:p w14:paraId="2196801A" w14:textId="751E2286" w:rsidR="002745AA" w:rsidRPr="00C909E8" w:rsidRDefault="002745AA" w:rsidP="00AD703B">
            <w:pPr>
              <w:pStyle w:val="2024TABLETEXT"/>
              <w:keepNext/>
              <w:keepLines/>
            </w:pPr>
            <w:r w:rsidRPr="00C909E8">
              <w:t>Netherlands</w:t>
            </w:r>
            <w:r>
              <w:t>, Italy</w:t>
            </w:r>
          </w:p>
        </w:tc>
        <w:tc>
          <w:tcPr>
            <w:tcW w:w="629" w:type="pct"/>
            <w:shd w:val="clear" w:color="auto" w:fill="auto"/>
          </w:tcPr>
          <w:p w14:paraId="718A0C95" w14:textId="38415ED3" w:rsidR="00712A65" w:rsidRPr="00117667" w:rsidRDefault="00712A65" w:rsidP="00AD703B">
            <w:pPr>
              <w:pStyle w:val="2024TABLETEXT"/>
              <w:keepNext/>
              <w:keepLines/>
              <w:rPr>
                <w:rFonts w:eastAsia="Times New Roman" w:cs="Tahoma"/>
                <w:szCs w:val="20"/>
              </w:rPr>
            </w:pPr>
            <w:r w:rsidRPr="00327765">
              <w:t>Retrospective</w:t>
            </w:r>
            <w:r>
              <w:t>, multicentre</w:t>
            </w:r>
          </w:p>
        </w:tc>
        <w:tc>
          <w:tcPr>
            <w:tcW w:w="786" w:type="pct"/>
          </w:tcPr>
          <w:p w14:paraId="69BA4CC2" w14:textId="7E727F2A" w:rsidR="002745AA" w:rsidRPr="003F2CB7" w:rsidRDefault="002745AA" w:rsidP="00AD703B">
            <w:pPr>
              <w:pStyle w:val="2024TABLETEXT"/>
              <w:keepNext/>
              <w:keepLines/>
            </w:pPr>
            <w:r w:rsidRPr="00524AF8">
              <w:t>Intervention=</w:t>
            </w:r>
            <w:r w:rsidRPr="003F2CB7">
              <w:t>23</w:t>
            </w:r>
          </w:p>
          <w:p w14:paraId="64BEEBA8" w14:textId="4D890FEA" w:rsidR="00712A65" w:rsidRDefault="002745AA" w:rsidP="00AD703B">
            <w:pPr>
              <w:pStyle w:val="2024TABLETEXT"/>
              <w:keepNext/>
              <w:keepLines/>
            </w:pPr>
            <w:r w:rsidRPr="00CE28E3">
              <w:t>Comparator</w:t>
            </w:r>
            <w:r>
              <w:t>=34</w:t>
            </w:r>
          </w:p>
        </w:tc>
        <w:tc>
          <w:tcPr>
            <w:tcW w:w="472" w:type="pct"/>
          </w:tcPr>
          <w:p w14:paraId="380C56E3" w14:textId="18FFEC25" w:rsidR="00712A65" w:rsidRPr="008D48B3" w:rsidRDefault="000B427F" w:rsidP="00AD703B">
            <w:pPr>
              <w:pStyle w:val="2024TABLETEXT"/>
              <w:keepNext/>
              <w:keepLines/>
            </w:pPr>
            <w:r>
              <w:t>Yes</w:t>
            </w:r>
          </w:p>
        </w:tc>
        <w:tc>
          <w:tcPr>
            <w:tcW w:w="548" w:type="pct"/>
          </w:tcPr>
          <w:p w14:paraId="4C6E19C2" w14:textId="21C7F33E" w:rsidR="00712A65" w:rsidRPr="0028178D" w:rsidRDefault="000B427F" w:rsidP="00AD703B">
            <w:pPr>
              <w:pStyle w:val="2024TABLETEXT"/>
              <w:keepNext/>
              <w:keepLines/>
            </w:pPr>
            <w:r>
              <w:t>Critical</w:t>
            </w:r>
          </w:p>
        </w:tc>
        <w:tc>
          <w:tcPr>
            <w:tcW w:w="1231" w:type="pct"/>
            <w:shd w:val="clear" w:color="auto" w:fill="auto"/>
          </w:tcPr>
          <w:p w14:paraId="028FD865" w14:textId="77777777" w:rsidR="00AC3164" w:rsidRDefault="00AC3164" w:rsidP="00AD703B">
            <w:pPr>
              <w:pStyle w:val="2024TABLETEXT"/>
              <w:keepNext/>
              <w:keepLines/>
            </w:pPr>
            <w:r>
              <w:t>G</w:t>
            </w:r>
            <w:r w:rsidRPr="005158D5">
              <w:t>rade ≥3 FP-related toxicit</w:t>
            </w:r>
            <w:r>
              <w:t>y</w:t>
            </w:r>
          </w:p>
          <w:p w14:paraId="730031D4" w14:textId="7A521CDC" w:rsidR="00712A65" w:rsidRPr="00902963" w:rsidRDefault="00AC3164" w:rsidP="00AD703B">
            <w:pPr>
              <w:pStyle w:val="2024TABLETEXT"/>
              <w:keepNext/>
              <w:keepLines/>
            </w:pPr>
            <w:r>
              <w:t>Hospitalisation</w:t>
            </w:r>
          </w:p>
        </w:tc>
      </w:tr>
      <w:tr w:rsidR="000A7813" w:rsidRPr="00CE28E3" w14:paraId="11ACB302" w14:textId="77777777" w:rsidTr="00330E55">
        <w:trPr>
          <w:trHeight w:val="52"/>
        </w:trPr>
        <w:tc>
          <w:tcPr>
            <w:tcW w:w="784" w:type="pct"/>
            <w:shd w:val="clear" w:color="auto" w:fill="auto"/>
          </w:tcPr>
          <w:p w14:paraId="0FF0C61D" w14:textId="281B75CC" w:rsidR="00C02058" w:rsidRDefault="00C02058" w:rsidP="00AD703B">
            <w:pPr>
              <w:pStyle w:val="2024TABLETEXT"/>
              <w:keepNext/>
              <w:keepLines/>
              <w:rPr>
                <w:lang w:eastAsia="zh-CN"/>
              </w:rPr>
            </w:pPr>
            <w:r w:rsidRPr="00C02058">
              <w:rPr>
                <w:lang w:eastAsia="zh-CN"/>
              </w:rPr>
              <w:t>Paulsen et al. (2023)</w:t>
            </w:r>
            <w:r w:rsidR="00EB6801">
              <w:rPr>
                <w:vertAlign w:val="superscript"/>
                <w:lang w:eastAsia="zh-CN"/>
              </w:rPr>
              <w:t>9</w:t>
            </w:r>
            <w:r w:rsidR="00EB6801" w:rsidRPr="00090CCA">
              <w:rPr>
                <w:vertAlign w:val="superscript"/>
                <w:lang w:eastAsia="zh-CN"/>
              </w:rPr>
              <w:t xml:space="preserve"> </w:t>
            </w:r>
          </w:p>
          <w:p w14:paraId="6D594E98" w14:textId="29E9F88B" w:rsidR="00712A65" w:rsidRPr="00440AD5" w:rsidRDefault="00712A65" w:rsidP="00AD703B">
            <w:pPr>
              <w:pStyle w:val="2024TABLETEXT"/>
              <w:keepNext/>
              <w:keepLines/>
              <w:rPr>
                <w:lang w:eastAsia="zh-CN"/>
              </w:rPr>
            </w:pPr>
            <w:r w:rsidRPr="00652F32">
              <w:rPr>
                <w:lang w:eastAsia="zh-CN"/>
              </w:rPr>
              <w:t>NCT05266300</w:t>
            </w:r>
          </w:p>
        </w:tc>
        <w:tc>
          <w:tcPr>
            <w:tcW w:w="550" w:type="pct"/>
          </w:tcPr>
          <w:p w14:paraId="0CCC191E" w14:textId="62967BB5" w:rsidR="002745AA" w:rsidRDefault="002745AA" w:rsidP="00AD703B">
            <w:pPr>
              <w:pStyle w:val="2024TABLETEXT"/>
              <w:keepNext/>
              <w:keepLines/>
              <w:rPr>
                <w:lang w:eastAsia="zh-CN"/>
              </w:rPr>
            </w:pPr>
            <w:r>
              <w:rPr>
                <w:lang w:eastAsia="zh-CN"/>
              </w:rPr>
              <w:t>Denmark</w:t>
            </w:r>
          </w:p>
        </w:tc>
        <w:tc>
          <w:tcPr>
            <w:tcW w:w="629" w:type="pct"/>
            <w:shd w:val="clear" w:color="auto" w:fill="auto"/>
          </w:tcPr>
          <w:p w14:paraId="0AD2E0CC" w14:textId="3EDF9128" w:rsidR="00712A65" w:rsidRPr="00943991" w:rsidRDefault="00712A65" w:rsidP="00AD703B">
            <w:pPr>
              <w:pStyle w:val="2024TABLETEXT"/>
              <w:keepNext/>
              <w:keepLines/>
              <w:rPr>
                <w:lang w:eastAsia="zh-CN"/>
              </w:rPr>
            </w:pPr>
            <w:r w:rsidRPr="00CD5CFE">
              <w:t>Prospective</w:t>
            </w:r>
            <w:r>
              <w:t>, single centre</w:t>
            </w:r>
          </w:p>
        </w:tc>
        <w:tc>
          <w:tcPr>
            <w:tcW w:w="786" w:type="pct"/>
          </w:tcPr>
          <w:p w14:paraId="74D1C871" w14:textId="6AC2EF06" w:rsidR="002745AA" w:rsidRPr="003F2CB7" w:rsidRDefault="002745AA" w:rsidP="00AD703B">
            <w:pPr>
              <w:pStyle w:val="2024TABLETEXT"/>
              <w:keepNext/>
              <w:keepLines/>
            </w:pPr>
            <w:r w:rsidRPr="00524AF8">
              <w:t>Intervention=</w:t>
            </w:r>
            <w:r w:rsidRPr="003F2CB7">
              <w:t>22</w:t>
            </w:r>
          </w:p>
          <w:p w14:paraId="0B7487DD" w14:textId="59040879" w:rsidR="00712A65" w:rsidRPr="00350D61" w:rsidRDefault="002745AA" w:rsidP="00AD703B">
            <w:pPr>
              <w:pStyle w:val="2024TABLETEXT"/>
              <w:keepNext/>
              <w:keepLines/>
              <w:rPr>
                <w:lang w:eastAsia="zh-CN"/>
              </w:rPr>
            </w:pPr>
            <w:r w:rsidRPr="00CE28E3">
              <w:t>Comparator</w:t>
            </w:r>
            <w:r>
              <w:t>=42</w:t>
            </w:r>
          </w:p>
        </w:tc>
        <w:tc>
          <w:tcPr>
            <w:tcW w:w="472" w:type="pct"/>
          </w:tcPr>
          <w:p w14:paraId="00876491" w14:textId="6127367D" w:rsidR="00712A65" w:rsidRPr="00902963" w:rsidRDefault="002745AA" w:rsidP="00AD703B">
            <w:pPr>
              <w:pStyle w:val="2024TABLETEXT"/>
              <w:keepNext/>
              <w:keepLines/>
            </w:pPr>
            <w:r>
              <w:t>No</w:t>
            </w:r>
          </w:p>
        </w:tc>
        <w:tc>
          <w:tcPr>
            <w:tcW w:w="548" w:type="pct"/>
          </w:tcPr>
          <w:p w14:paraId="0CA2D403" w14:textId="79A3164B" w:rsidR="00712A65" w:rsidRPr="008416FB" w:rsidRDefault="002745AA" w:rsidP="00AD703B">
            <w:pPr>
              <w:pStyle w:val="2024TABLETEXT"/>
              <w:keepNext/>
              <w:keepLines/>
            </w:pPr>
            <w:r>
              <w:t>Critical</w:t>
            </w:r>
          </w:p>
        </w:tc>
        <w:tc>
          <w:tcPr>
            <w:tcW w:w="1231" w:type="pct"/>
            <w:shd w:val="clear" w:color="auto" w:fill="auto"/>
          </w:tcPr>
          <w:p w14:paraId="12A5A7FB" w14:textId="77777777" w:rsidR="00AC3164" w:rsidRDefault="00AC3164" w:rsidP="00AD703B">
            <w:pPr>
              <w:pStyle w:val="2024TABLETEXT"/>
              <w:keepNext/>
              <w:keepLines/>
            </w:pPr>
            <w:r>
              <w:t>Survival outcomes (OS, PFS)</w:t>
            </w:r>
          </w:p>
          <w:p w14:paraId="6E06DEFB" w14:textId="77777777" w:rsidR="00AC3164" w:rsidRDefault="00AC3164" w:rsidP="00AD703B">
            <w:pPr>
              <w:pStyle w:val="2024TABLETEXT"/>
              <w:keepNext/>
              <w:keepLines/>
            </w:pPr>
            <w:r>
              <w:t>G</w:t>
            </w:r>
            <w:r w:rsidRPr="005158D5">
              <w:t>rade ≥3 FP-related toxicit</w:t>
            </w:r>
            <w:r>
              <w:t>y</w:t>
            </w:r>
          </w:p>
          <w:p w14:paraId="5CC1CB9A" w14:textId="78F721E5" w:rsidR="00712A65" w:rsidRPr="00B83752" w:rsidRDefault="00AC3164" w:rsidP="00AD703B">
            <w:pPr>
              <w:pStyle w:val="2024TABLETEXT"/>
              <w:keepNext/>
              <w:keepLines/>
            </w:pPr>
            <w:r>
              <w:t>Treatment discontinuation</w:t>
            </w:r>
          </w:p>
        </w:tc>
      </w:tr>
      <w:tr w:rsidR="000A7813" w:rsidRPr="00CE28E3" w14:paraId="18C41222" w14:textId="77777777" w:rsidTr="00330E55">
        <w:trPr>
          <w:trHeight w:val="52"/>
        </w:trPr>
        <w:tc>
          <w:tcPr>
            <w:tcW w:w="784" w:type="pct"/>
            <w:shd w:val="clear" w:color="auto" w:fill="auto"/>
          </w:tcPr>
          <w:p w14:paraId="0398116D" w14:textId="0D5ACF40" w:rsidR="00712A65" w:rsidRPr="00440AD5" w:rsidRDefault="002727AF" w:rsidP="00AD703B">
            <w:pPr>
              <w:pStyle w:val="2024TABLETEXT"/>
              <w:keepNext/>
              <w:keepLines/>
            </w:pPr>
            <w:r>
              <w:fldChar w:fldCharType="begin">
                <w:fldData xml:space="preserve">PEVuZE5vdGU+PENpdGUgQXV0aG9yWWVhcj0iMSI+PEF1dGhvcj5XaWdsZTwvQXV0aG9yPjxZZWFy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</w:fldData>
              </w:fldChar>
            </w:r>
            <w:r w:rsidR="0077538B">
              <w:instrText xml:space="preserve"> ADDIN EN.CITE </w:instrText>
            </w:r>
            <w:r w:rsidR="0077538B">
              <w:fldChar w:fldCharType="begin">
                <w:fldData xml:space="preserve">PEVuZE5vdGU+PENpdGUgQXV0aG9yWWVhcj0iMSI+PEF1dGhvcj5XaWdsZTwvQXV0aG9yPjxZZWFy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</w:fldData>
              </w:fldChar>
            </w:r>
            <w:r w:rsidR="0077538B">
              <w:instrText xml:space="preserve"> ADDIN EN.CITE.DATA </w:instrText>
            </w:r>
            <w:r w:rsidR="0077538B">
              <w:fldChar w:fldCharType="end"/>
            </w:r>
            <w:r>
              <w:fldChar w:fldCharType="separate"/>
            </w:r>
            <w:r w:rsidR="0077538B">
              <w:rPr>
                <w:noProof/>
              </w:rPr>
              <w:t>Wigle et al. (2021)</w:t>
            </w:r>
            <w:r>
              <w:fldChar w:fldCharType="end"/>
            </w:r>
            <w:r w:rsidR="00EB6801">
              <w:rPr>
                <w:vertAlign w:val="superscript"/>
              </w:rPr>
              <w:t>11</w:t>
            </w:r>
            <w:r w:rsidR="00EB6801">
              <w:t xml:space="preserve"> </w:t>
            </w:r>
          </w:p>
        </w:tc>
        <w:tc>
          <w:tcPr>
            <w:tcW w:w="550" w:type="pct"/>
          </w:tcPr>
          <w:p w14:paraId="4765144B" w14:textId="77777777" w:rsidR="002745AA" w:rsidRDefault="002745AA" w:rsidP="00AD703B">
            <w:pPr>
              <w:pStyle w:val="2024TABLETEXT"/>
              <w:keepNext/>
              <w:keepLines/>
            </w:pPr>
            <w:r>
              <w:t>Canada</w:t>
            </w:r>
          </w:p>
          <w:p w14:paraId="0C929116" w14:textId="77777777" w:rsidR="002745AA" w:rsidRDefault="002745AA" w:rsidP="00AD703B">
            <w:pPr>
              <w:pStyle w:val="2024TABLETEXT"/>
              <w:keepNext/>
              <w:keepLines/>
            </w:pPr>
          </w:p>
        </w:tc>
        <w:tc>
          <w:tcPr>
            <w:tcW w:w="629" w:type="pct"/>
            <w:shd w:val="clear" w:color="auto" w:fill="auto"/>
          </w:tcPr>
          <w:p w14:paraId="02017184" w14:textId="21D07078" w:rsidR="00712A65" w:rsidRPr="00CD5CFE" w:rsidRDefault="00712A65" w:rsidP="00AD703B">
            <w:pPr>
              <w:pStyle w:val="2024TABLETEXT"/>
              <w:keepNext/>
              <w:keepLines/>
            </w:pPr>
            <w:r w:rsidRPr="00327765">
              <w:t>Retrospective</w:t>
            </w:r>
            <w:r>
              <w:t>, single centre</w:t>
            </w:r>
          </w:p>
        </w:tc>
        <w:tc>
          <w:tcPr>
            <w:tcW w:w="786" w:type="pct"/>
          </w:tcPr>
          <w:p w14:paraId="67A1282C" w14:textId="3812C0FF" w:rsidR="002745AA" w:rsidRPr="003F2CB7" w:rsidRDefault="002745AA" w:rsidP="00AD703B">
            <w:pPr>
              <w:pStyle w:val="2024TABLETEXT"/>
              <w:keepNext/>
              <w:keepLines/>
            </w:pPr>
            <w:r w:rsidRPr="00524AF8">
              <w:t>Intervention=</w:t>
            </w:r>
            <w:r w:rsidRPr="003F2CB7">
              <w:t>47</w:t>
            </w:r>
          </w:p>
          <w:p w14:paraId="0076E6C9" w14:textId="2C8EFE8C" w:rsidR="00712A65" w:rsidRDefault="002745AA" w:rsidP="00AD703B">
            <w:pPr>
              <w:pStyle w:val="2024TABLETEXT"/>
              <w:keepNext/>
              <w:keepLines/>
            </w:pPr>
            <w:r w:rsidRPr="00CE28E3">
              <w:t>Comparator</w:t>
            </w:r>
            <w:r>
              <w:t>=333</w:t>
            </w:r>
          </w:p>
        </w:tc>
        <w:tc>
          <w:tcPr>
            <w:tcW w:w="472" w:type="pct"/>
          </w:tcPr>
          <w:p w14:paraId="29D15C3D" w14:textId="599DD5A4" w:rsidR="00712A65" w:rsidRPr="007A08B5" w:rsidRDefault="002745AA" w:rsidP="00AD703B">
            <w:pPr>
              <w:pStyle w:val="2024TABLETEXT"/>
              <w:keepNext/>
              <w:keepLines/>
              <w:rPr>
                <w:lang w:eastAsia="zh-CN"/>
              </w:rPr>
            </w:pPr>
            <w:r>
              <w:t>Yes</w:t>
            </w:r>
          </w:p>
        </w:tc>
        <w:tc>
          <w:tcPr>
            <w:tcW w:w="548" w:type="pct"/>
          </w:tcPr>
          <w:p w14:paraId="234ABC84" w14:textId="5DA383C4" w:rsidR="00712A65" w:rsidRPr="0028178D" w:rsidRDefault="002745AA" w:rsidP="00AD703B">
            <w:pPr>
              <w:pStyle w:val="2024TABLETEXT"/>
              <w:keepNext/>
              <w:keepLines/>
            </w:pPr>
            <w:r>
              <w:t>Serious</w:t>
            </w:r>
          </w:p>
        </w:tc>
        <w:tc>
          <w:tcPr>
            <w:tcW w:w="1231" w:type="pct"/>
            <w:shd w:val="clear" w:color="auto" w:fill="auto"/>
          </w:tcPr>
          <w:p w14:paraId="0081105A" w14:textId="77777777" w:rsidR="00AC3164" w:rsidRDefault="00AC3164" w:rsidP="00AD703B">
            <w:pPr>
              <w:pStyle w:val="2024TABLETEXT"/>
              <w:keepNext/>
              <w:keepLines/>
            </w:pPr>
            <w:r>
              <w:t>G</w:t>
            </w:r>
            <w:r w:rsidRPr="005158D5">
              <w:t>rade ≥3 FP-related toxicit</w:t>
            </w:r>
            <w:r>
              <w:t>y</w:t>
            </w:r>
          </w:p>
          <w:p w14:paraId="7F73CE73" w14:textId="0AE7FAB4" w:rsidR="00712A65" w:rsidRPr="00902963" w:rsidRDefault="00AC3164" w:rsidP="00AD703B">
            <w:pPr>
              <w:pStyle w:val="2024TABLETEXT"/>
              <w:keepNext/>
              <w:keepLines/>
            </w:pPr>
            <w:r>
              <w:t>Treatment discontinuation</w:t>
            </w:r>
          </w:p>
        </w:tc>
      </w:tr>
      <w:tr w:rsidR="003F2CB7" w:rsidRPr="00CE28E3" w14:paraId="67B090C8" w14:textId="77777777" w:rsidTr="005E4491">
        <w:trPr>
          <w:trHeight w:val="52"/>
        </w:trPr>
        <w:tc>
          <w:tcPr>
            <w:tcW w:w="5000" w:type="pct"/>
            <w:gridSpan w:val="7"/>
            <w:shd w:val="clear" w:color="auto" w:fill="F2F2F2" w:themeFill="background1" w:themeFillShade="F2"/>
          </w:tcPr>
          <w:p w14:paraId="1E4F6A5F" w14:textId="6BE15679" w:rsidR="003F2CB7" w:rsidRPr="00902963" w:rsidRDefault="00A9712D" w:rsidP="00AD703B">
            <w:pPr>
              <w:pStyle w:val="2024TABLEHEADING"/>
              <w:keepLines/>
            </w:pPr>
            <w:r>
              <w:t>Direct non-comparative evidence</w:t>
            </w:r>
          </w:p>
        </w:tc>
      </w:tr>
      <w:tr w:rsidR="00A9712D" w:rsidRPr="00CE28E3" w14:paraId="1A21AB2C" w14:textId="77777777" w:rsidTr="00330E55">
        <w:trPr>
          <w:trHeight w:val="52"/>
        </w:trPr>
        <w:tc>
          <w:tcPr>
            <w:tcW w:w="784" w:type="pct"/>
            <w:shd w:val="clear" w:color="auto" w:fill="auto"/>
          </w:tcPr>
          <w:p w14:paraId="167FD88D" w14:textId="4ED66D0F" w:rsidR="00A9712D" w:rsidRDefault="00A9712D" w:rsidP="00AD703B">
            <w:pPr>
              <w:pStyle w:val="2024TABLETEXT"/>
              <w:keepNext/>
              <w:keepLines/>
            </w:pPr>
            <w:r>
              <w:t xml:space="preserve">Kleinjan </w:t>
            </w:r>
            <w:r w:rsidR="00B05D24" w:rsidRPr="00B05D24">
              <w:t>et al. (</w:t>
            </w:r>
            <w:r>
              <w:t>2019</w:t>
            </w:r>
            <w:r w:rsidR="00090CCA">
              <w:t>)</w:t>
            </w:r>
            <w:r w:rsidR="00EB6801">
              <w:rPr>
                <w:vertAlign w:val="superscript"/>
              </w:rPr>
              <w:t>6</w:t>
            </w:r>
          </w:p>
        </w:tc>
        <w:tc>
          <w:tcPr>
            <w:tcW w:w="550" w:type="pct"/>
          </w:tcPr>
          <w:p w14:paraId="41A366A0" w14:textId="73F38873" w:rsidR="00A9712D" w:rsidRDefault="00A9712D" w:rsidP="00AD703B">
            <w:pPr>
              <w:pStyle w:val="2024TABLETEXT"/>
              <w:keepNext/>
              <w:keepLines/>
            </w:pPr>
            <w:r w:rsidRPr="009F1363">
              <w:t>Netherlands</w:t>
            </w:r>
          </w:p>
        </w:tc>
        <w:tc>
          <w:tcPr>
            <w:tcW w:w="629" w:type="pct"/>
            <w:shd w:val="clear" w:color="auto" w:fill="auto"/>
          </w:tcPr>
          <w:p w14:paraId="34A4D3F4" w14:textId="0327FFF9" w:rsidR="00A9712D" w:rsidRPr="00327765" w:rsidRDefault="00A9712D" w:rsidP="00AD703B">
            <w:pPr>
              <w:pStyle w:val="2024TABLETEXT"/>
              <w:keepNext/>
              <w:keepLines/>
            </w:pPr>
            <w:r w:rsidRPr="00327765">
              <w:t>Retrospective</w:t>
            </w:r>
            <w:r>
              <w:t>, single centre</w:t>
            </w:r>
          </w:p>
        </w:tc>
        <w:tc>
          <w:tcPr>
            <w:tcW w:w="786" w:type="pct"/>
          </w:tcPr>
          <w:p w14:paraId="13527346" w14:textId="6009EA1E" w:rsidR="00A9712D" w:rsidRPr="003F2CB7" w:rsidRDefault="00A9712D" w:rsidP="00AD703B">
            <w:pPr>
              <w:pStyle w:val="2024TABLETEXT"/>
              <w:keepNext/>
              <w:keepLines/>
            </w:pPr>
            <w:r w:rsidRPr="003F2CB7">
              <w:t>Intervention=</w:t>
            </w:r>
            <w:r>
              <w:t>11</w:t>
            </w:r>
          </w:p>
          <w:p w14:paraId="32640A96" w14:textId="77777777" w:rsidR="00A9712D" w:rsidRPr="003F2CB7" w:rsidRDefault="00A9712D" w:rsidP="00AD703B">
            <w:pPr>
              <w:pStyle w:val="2024TABLETEXT"/>
              <w:keepNext/>
              <w:keepLines/>
            </w:pPr>
          </w:p>
        </w:tc>
        <w:tc>
          <w:tcPr>
            <w:tcW w:w="472" w:type="pct"/>
          </w:tcPr>
          <w:p w14:paraId="42F6F941" w14:textId="67FC0596" w:rsidR="00A9712D" w:rsidRDefault="00A9712D" w:rsidP="00AD703B">
            <w:pPr>
              <w:pStyle w:val="2024TABLETEXT"/>
              <w:keepNext/>
              <w:keepLines/>
            </w:pPr>
            <w:r>
              <w:t>Yes</w:t>
            </w:r>
          </w:p>
        </w:tc>
        <w:tc>
          <w:tcPr>
            <w:tcW w:w="548" w:type="pct"/>
          </w:tcPr>
          <w:p w14:paraId="17C50783" w14:textId="4B595E0B" w:rsidR="00A9712D" w:rsidRDefault="00A9712D" w:rsidP="00AD703B">
            <w:pPr>
              <w:pStyle w:val="2024TABLETEXT"/>
              <w:keepNext/>
              <w:keepLines/>
            </w:pPr>
            <w:r>
              <w:t>Serious</w:t>
            </w:r>
          </w:p>
        </w:tc>
        <w:tc>
          <w:tcPr>
            <w:tcW w:w="1231" w:type="pct"/>
            <w:shd w:val="clear" w:color="auto" w:fill="auto"/>
          </w:tcPr>
          <w:p w14:paraId="1AE14CBF" w14:textId="77777777" w:rsidR="00AC3164" w:rsidRDefault="00AC3164" w:rsidP="00AD703B">
            <w:pPr>
              <w:pStyle w:val="2024TABLETEXT"/>
              <w:keepNext/>
              <w:keepLines/>
            </w:pPr>
            <w:r>
              <w:t>G</w:t>
            </w:r>
            <w:r w:rsidRPr="005158D5">
              <w:t>rade ≥3 FP-related toxicit</w:t>
            </w:r>
            <w:r>
              <w:t>y</w:t>
            </w:r>
          </w:p>
          <w:p w14:paraId="7CBDD858" w14:textId="504A01E5" w:rsidR="00A9712D" w:rsidRPr="00902963" w:rsidRDefault="00AC3164" w:rsidP="00AD703B">
            <w:pPr>
              <w:pStyle w:val="2024TABLETEXT"/>
              <w:keepNext/>
              <w:keepLines/>
            </w:pPr>
            <w:r>
              <w:t>Hospitalisation</w:t>
            </w:r>
          </w:p>
        </w:tc>
      </w:tr>
      <w:tr w:rsidR="00A9712D" w:rsidRPr="00CE28E3" w14:paraId="37AD171F" w14:textId="77777777" w:rsidTr="00330E55">
        <w:trPr>
          <w:trHeight w:val="52"/>
        </w:trPr>
        <w:tc>
          <w:tcPr>
            <w:tcW w:w="784" w:type="pct"/>
            <w:shd w:val="clear" w:color="auto" w:fill="auto"/>
          </w:tcPr>
          <w:p w14:paraId="6DE8F636" w14:textId="08D62F61" w:rsidR="00B05D24" w:rsidRPr="00142D6D" w:rsidRDefault="00B05D24" w:rsidP="00AD703B">
            <w:pPr>
              <w:pStyle w:val="2024TABLETEXT"/>
              <w:keepNext/>
              <w:keepLines/>
              <w:rPr>
                <w:vertAlign w:val="superscript"/>
              </w:rPr>
            </w:pPr>
            <w:proofErr w:type="spellStart"/>
            <w:r w:rsidRPr="00B05D24">
              <w:t>Knikman</w:t>
            </w:r>
            <w:proofErr w:type="spellEnd"/>
            <w:r w:rsidRPr="00B05D24">
              <w:t xml:space="preserve"> et al. (2023)</w:t>
            </w:r>
            <w:r w:rsidR="002B5D20">
              <w:rPr>
                <w:vertAlign w:val="superscript"/>
              </w:rPr>
              <w:t>7</w:t>
            </w:r>
          </w:p>
          <w:p w14:paraId="2402D449" w14:textId="660BCDF4" w:rsidR="00A9712D" w:rsidRDefault="00A9712D" w:rsidP="00AD703B">
            <w:pPr>
              <w:pStyle w:val="2024TABLETEXT"/>
              <w:keepNext/>
              <w:keepLines/>
            </w:pPr>
            <w:r w:rsidRPr="00C051D3">
              <w:t>NCT02324452</w:t>
            </w:r>
          </w:p>
        </w:tc>
        <w:tc>
          <w:tcPr>
            <w:tcW w:w="550" w:type="pct"/>
          </w:tcPr>
          <w:p w14:paraId="1B96C465" w14:textId="60C6A10E" w:rsidR="00A9712D" w:rsidRDefault="00A9712D" w:rsidP="00AD703B">
            <w:pPr>
              <w:pStyle w:val="2024TABLETEXT"/>
              <w:keepNext/>
              <w:keepLines/>
            </w:pPr>
            <w:r w:rsidRPr="009F1363">
              <w:t>Netherlands</w:t>
            </w:r>
          </w:p>
        </w:tc>
        <w:tc>
          <w:tcPr>
            <w:tcW w:w="629" w:type="pct"/>
            <w:shd w:val="clear" w:color="auto" w:fill="auto"/>
          </w:tcPr>
          <w:p w14:paraId="01F9224C" w14:textId="650406C8" w:rsidR="00A9712D" w:rsidRPr="00327765" w:rsidRDefault="00A9712D" w:rsidP="00AD703B">
            <w:pPr>
              <w:pStyle w:val="2024TABLETEXT"/>
              <w:keepNext/>
              <w:keepLines/>
            </w:pPr>
            <w:r w:rsidRPr="00327765">
              <w:t xml:space="preserve">Retrospective </w:t>
            </w:r>
            <w:r>
              <w:t>matched-pair survival analysis, multicentre</w:t>
            </w:r>
          </w:p>
        </w:tc>
        <w:tc>
          <w:tcPr>
            <w:tcW w:w="786" w:type="pct"/>
          </w:tcPr>
          <w:p w14:paraId="3E44EF96" w14:textId="776DAA76" w:rsidR="00A9712D" w:rsidRPr="003F2CB7" w:rsidRDefault="00A9712D" w:rsidP="00AD703B">
            <w:pPr>
              <w:pStyle w:val="2024TABLETEXT"/>
              <w:keepNext/>
              <w:keepLines/>
            </w:pPr>
            <w:r w:rsidRPr="003F2CB7">
              <w:t>Intervention=</w:t>
            </w:r>
            <w:r>
              <w:t>93</w:t>
            </w:r>
          </w:p>
          <w:p w14:paraId="4DA57BA6" w14:textId="77777777" w:rsidR="00A9712D" w:rsidRPr="003F2CB7" w:rsidRDefault="00A9712D" w:rsidP="00AD703B">
            <w:pPr>
              <w:pStyle w:val="2024TABLETEXT"/>
              <w:keepNext/>
              <w:keepLines/>
            </w:pPr>
          </w:p>
        </w:tc>
        <w:tc>
          <w:tcPr>
            <w:tcW w:w="472" w:type="pct"/>
          </w:tcPr>
          <w:p w14:paraId="6085786E" w14:textId="4A6F2F5F" w:rsidR="00A9712D" w:rsidRDefault="00A9712D" w:rsidP="00AD703B">
            <w:pPr>
              <w:pStyle w:val="2024TABLETEXT"/>
              <w:keepNext/>
              <w:keepLines/>
            </w:pPr>
            <w:r>
              <w:t>Yes</w:t>
            </w:r>
          </w:p>
        </w:tc>
        <w:tc>
          <w:tcPr>
            <w:tcW w:w="548" w:type="pct"/>
          </w:tcPr>
          <w:p w14:paraId="7B69FEBB" w14:textId="3E79ABAE" w:rsidR="00A9712D" w:rsidRDefault="00A9712D" w:rsidP="00AD703B">
            <w:pPr>
              <w:pStyle w:val="2024TABLETEXT"/>
              <w:keepNext/>
              <w:keepLines/>
            </w:pPr>
            <w:r>
              <w:t>Serious</w:t>
            </w:r>
          </w:p>
        </w:tc>
        <w:tc>
          <w:tcPr>
            <w:tcW w:w="1231" w:type="pct"/>
            <w:shd w:val="clear" w:color="auto" w:fill="auto"/>
          </w:tcPr>
          <w:p w14:paraId="1118C61C" w14:textId="77777777" w:rsidR="00AC3164" w:rsidRDefault="00AC3164" w:rsidP="00AD703B">
            <w:pPr>
              <w:pStyle w:val="2024TABLETEXT"/>
              <w:keepNext/>
              <w:keepLines/>
            </w:pPr>
            <w:r>
              <w:t>G</w:t>
            </w:r>
            <w:r w:rsidRPr="005158D5">
              <w:t>rade ≥3 FP-related toxicit</w:t>
            </w:r>
            <w:r>
              <w:t>y</w:t>
            </w:r>
          </w:p>
          <w:p w14:paraId="647A8D0F" w14:textId="77777777" w:rsidR="00A9712D" w:rsidRDefault="00AC3164" w:rsidP="00AD703B">
            <w:pPr>
              <w:pStyle w:val="2024TABLETEXT"/>
              <w:keepNext/>
              <w:keepLines/>
            </w:pPr>
            <w:r>
              <w:t>Survival outcomes (OS, PFS)</w:t>
            </w:r>
          </w:p>
          <w:p w14:paraId="2C5E45EB" w14:textId="2589413A" w:rsidR="00A9712D" w:rsidRPr="00902963" w:rsidRDefault="00AC3164" w:rsidP="00AD703B">
            <w:pPr>
              <w:pStyle w:val="2024TABLETEXT"/>
              <w:keepNext/>
              <w:keepLines/>
            </w:pPr>
            <w:r>
              <w:t>Treatment discontinuation</w:t>
            </w:r>
          </w:p>
        </w:tc>
      </w:tr>
      <w:tr w:rsidR="00A9712D" w:rsidRPr="00CE28E3" w14:paraId="108E4C53" w14:textId="77777777" w:rsidTr="00330E55">
        <w:trPr>
          <w:trHeight w:val="52"/>
        </w:trPr>
        <w:tc>
          <w:tcPr>
            <w:tcW w:w="784" w:type="pct"/>
            <w:shd w:val="clear" w:color="auto" w:fill="auto"/>
          </w:tcPr>
          <w:p w14:paraId="042271AB" w14:textId="26592109" w:rsidR="00A9712D" w:rsidRPr="00142D6D" w:rsidRDefault="00FC49CA" w:rsidP="00AD703B">
            <w:pPr>
              <w:pStyle w:val="2024TABLETEXT"/>
              <w:keepNext/>
              <w:keepLines/>
              <w:rPr>
                <w:vertAlign w:val="superscript"/>
              </w:rPr>
            </w:pPr>
            <w:r w:rsidRPr="00FC49CA">
              <w:t>Wang et al. (2022)</w:t>
            </w:r>
            <w:r w:rsidR="00E265B7">
              <w:rPr>
                <w:vertAlign w:val="superscript"/>
              </w:rPr>
              <w:t>10</w:t>
            </w:r>
          </w:p>
        </w:tc>
        <w:tc>
          <w:tcPr>
            <w:tcW w:w="550" w:type="pct"/>
          </w:tcPr>
          <w:p w14:paraId="386F6F22" w14:textId="5A7ECC87" w:rsidR="00A9712D" w:rsidRDefault="00A9712D" w:rsidP="00AD703B">
            <w:pPr>
              <w:pStyle w:val="2024TABLETEXT"/>
              <w:keepNext/>
              <w:keepLines/>
            </w:pPr>
            <w:r>
              <w:t>United Kingdom</w:t>
            </w:r>
          </w:p>
        </w:tc>
        <w:tc>
          <w:tcPr>
            <w:tcW w:w="629" w:type="pct"/>
            <w:shd w:val="clear" w:color="auto" w:fill="auto"/>
          </w:tcPr>
          <w:p w14:paraId="2607462B" w14:textId="43BD4BBA" w:rsidR="00A9712D" w:rsidRPr="00327765" w:rsidRDefault="00A9712D" w:rsidP="00AD703B">
            <w:pPr>
              <w:pStyle w:val="2024TABLETEXT"/>
              <w:keepNext/>
              <w:keepLines/>
            </w:pPr>
            <w:r w:rsidRPr="00327765">
              <w:t>Retrospective</w:t>
            </w:r>
            <w:r>
              <w:t>, single centre</w:t>
            </w:r>
          </w:p>
        </w:tc>
        <w:tc>
          <w:tcPr>
            <w:tcW w:w="786" w:type="pct"/>
          </w:tcPr>
          <w:p w14:paraId="508C2772" w14:textId="513D1267" w:rsidR="00A9712D" w:rsidRPr="003F2CB7" w:rsidRDefault="00A9712D" w:rsidP="00AD703B">
            <w:pPr>
              <w:pStyle w:val="2024TABLETEXT"/>
              <w:keepNext/>
              <w:keepLines/>
            </w:pPr>
            <w:r w:rsidRPr="003F2CB7">
              <w:t>Intervention=</w:t>
            </w:r>
            <w:r>
              <w:t>23</w:t>
            </w:r>
          </w:p>
          <w:p w14:paraId="001B98CC" w14:textId="77777777" w:rsidR="00A9712D" w:rsidRPr="003F2CB7" w:rsidRDefault="00A9712D" w:rsidP="00AD703B">
            <w:pPr>
              <w:pStyle w:val="2024TABLETEXT"/>
              <w:keepNext/>
              <w:keepLines/>
            </w:pPr>
          </w:p>
        </w:tc>
        <w:tc>
          <w:tcPr>
            <w:tcW w:w="472" w:type="pct"/>
          </w:tcPr>
          <w:p w14:paraId="3DC16DED" w14:textId="26792E39" w:rsidR="00A9712D" w:rsidRDefault="00A9712D" w:rsidP="00AD703B">
            <w:pPr>
              <w:pStyle w:val="2024TABLETEXT"/>
              <w:keepNext/>
              <w:keepLines/>
            </w:pPr>
            <w:r>
              <w:t>Yes</w:t>
            </w:r>
          </w:p>
        </w:tc>
        <w:tc>
          <w:tcPr>
            <w:tcW w:w="548" w:type="pct"/>
          </w:tcPr>
          <w:p w14:paraId="40A2F032" w14:textId="5F5B4AAC" w:rsidR="00A9712D" w:rsidRDefault="00A9712D" w:rsidP="00AD703B">
            <w:pPr>
              <w:pStyle w:val="2024TABLETEXT"/>
              <w:keepNext/>
              <w:keepLines/>
            </w:pPr>
            <w:r>
              <w:t>Critical</w:t>
            </w:r>
          </w:p>
        </w:tc>
        <w:tc>
          <w:tcPr>
            <w:tcW w:w="1231" w:type="pct"/>
            <w:shd w:val="clear" w:color="auto" w:fill="auto"/>
          </w:tcPr>
          <w:p w14:paraId="7731D7DC" w14:textId="77777777" w:rsidR="00AC3164" w:rsidRDefault="00AC3164" w:rsidP="00AD703B">
            <w:pPr>
              <w:pStyle w:val="2024TABLETEXT"/>
              <w:keepNext/>
              <w:keepLines/>
            </w:pPr>
            <w:r>
              <w:t>G</w:t>
            </w:r>
            <w:r w:rsidRPr="005158D5">
              <w:t>rade ≥3 FP-related toxicit</w:t>
            </w:r>
            <w:r>
              <w:t>y</w:t>
            </w:r>
          </w:p>
          <w:p w14:paraId="4E330CD4" w14:textId="77777777" w:rsidR="00AC3164" w:rsidRDefault="00AC3164" w:rsidP="00AD703B">
            <w:pPr>
              <w:pStyle w:val="2024TABLETEXT"/>
              <w:keepNext/>
              <w:keepLines/>
            </w:pPr>
            <w:r>
              <w:t>Hospitalisation</w:t>
            </w:r>
          </w:p>
          <w:p w14:paraId="45E580E3" w14:textId="759D72F4" w:rsidR="00A9712D" w:rsidRPr="00902963" w:rsidRDefault="00AC3164" w:rsidP="00AD703B">
            <w:pPr>
              <w:pStyle w:val="2024TABLETEXT"/>
              <w:keepNext/>
              <w:keepLines/>
            </w:pPr>
            <w:r>
              <w:t>Treatment response</w:t>
            </w:r>
          </w:p>
        </w:tc>
      </w:tr>
    </w:tbl>
    <w:p w14:paraId="105741FF" w14:textId="46059E9C" w:rsidR="005E4491" w:rsidRDefault="005E4491" w:rsidP="00AD703B">
      <w:pPr>
        <w:pStyle w:val="TableFooter"/>
        <w:keepNext/>
        <w:keepLines/>
        <w:spacing w:before="0" w:after="0"/>
      </w:pPr>
      <w:r>
        <w:t>FP=</w:t>
      </w:r>
      <w:r w:rsidRPr="006D2188">
        <w:t>Fluoropyrimidine</w:t>
      </w:r>
      <w:r>
        <w:t xml:space="preserve">; OS=Overall survival; PFS=Progression-free </w:t>
      </w:r>
      <w:proofErr w:type="gramStart"/>
      <w:r>
        <w:t>survival;</w:t>
      </w:r>
      <w:proofErr w:type="gramEnd"/>
      <w:r>
        <w:t xml:space="preserve"> </w:t>
      </w:r>
    </w:p>
    <w:p w14:paraId="25DD3EF1" w14:textId="149766D5" w:rsidR="00C156F3" w:rsidRDefault="00E82F77" w:rsidP="00AD703B">
      <w:pPr>
        <w:pStyle w:val="TableFigureFooter"/>
        <w:keepNext/>
        <w:keepLines/>
        <w:spacing w:after="360"/>
      </w:pPr>
      <w:r>
        <w:t xml:space="preserve">^Where the intervention group are </w:t>
      </w:r>
      <w:r w:rsidR="00CD73DB" w:rsidRPr="00CD73DB">
        <w:rPr>
          <w:i/>
        </w:rPr>
        <w:t>DPYD</w:t>
      </w:r>
      <w:r>
        <w:t xml:space="preserve"> </w:t>
      </w:r>
      <w:r w:rsidR="002D7643">
        <w:t xml:space="preserve">variant </w:t>
      </w:r>
      <w:r>
        <w:t xml:space="preserve">carriers with pre-treatment </w:t>
      </w:r>
      <w:r w:rsidR="00CD73DB" w:rsidRPr="00CD73DB">
        <w:rPr>
          <w:i/>
        </w:rPr>
        <w:t>DPYD</w:t>
      </w:r>
      <w:r>
        <w:t xml:space="preserve"> genotyping </w:t>
      </w:r>
      <w:r w:rsidRPr="003F2335">
        <w:t>who receive an initial reduced dose of FP-based chemotherapy</w:t>
      </w:r>
      <w:r w:rsidR="003F2335" w:rsidRPr="003F2335">
        <w:t xml:space="preserve">, and the comparator group are </w:t>
      </w:r>
      <w:r w:rsidR="00CD73DB" w:rsidRPr="00CD73DB">
        <w:rPr>
          <w:i/>
        </w:rPr>
        <w:t>DPYD</w:t>
      </w:r>
      <w:r w:rsidR="003F2335">
        <w:t xml:space="preserve"> </w:t>
      </w:r>
      <w:r w:rsidR="002D7643">
        <w:t xml:space="preserve">variant </w:t>
      </w:r>
      <w:r w:rsidR="003F2335">
        <w:t xml:space="preserve">carriers with </w:t>
      </w:r>
      <w:r w:rsidR="003F2335" w:rsidRPr="00D81BB1">
        <w:t xml:space="preserve">no pre-treatment </w:t>
      </w:r>
      <w:r w:rsidR="00CD73DB" w:rsidRPr="00CD73DB">
        <w:rPr>
          <w:i/>
        </w:rPr>
        <w:t>DPYD</w:t>
      </w:r>
      <w:r w:rsidR="003F2335" w:rsidRPr="00D81BB1">
        <w:t xml:space="preserve"> genotypin</w:t>
      </w:r>
      <w:r w:rsidR="003F2335">
        <w:t>g and receipt of standard dosing</w:t>
      </w:r>
      <w:r w:rsidR="002A565B">
        <w:t>.</w:t>
      </w:r>
    </w:p>
    <w:p w14:paraId="566DD0F4" w14:textId="6D5FC185" w:rsidR="00AC08CA" w:rsidRDefault="00DD4E60" w:rsidP="00BC5E67">
      <w:r>
        <w:t xml:space="preserve">Findings for outcomes of interest were summarised and assessed using GRADE. </w:t>
      </w:r>
      <w:r w:rsidR="007833B2">
        <w:t xml:space="preserve">All included studies were </w:t>
      </w:r>
      <w:r w:rsidR="00857D55">
        <w:t>non</w:t>
      </w:r>
      <w:r w:rsidR="0057733D">
        <w:t>-randomised studies</w:t>
      </w:r>
      <w:r w:rsidR="00035BE6">
        <w:t xml:space="preserve"> of interventions</w:t>
      </w:r>
      <w:r w:rsidR="0057733D">
        <w:t xml:space="preserve"> (NSRI),</w:t>
      </w:r>
      <w:r w:rsidR="00857D55">
        <w:t xml:space="preserve"> assessed as having critical </w:t>
      </w:r>
      <w:r w:rsidR="0057733D">
        <w:t>or</w:t>
      </w:r>
      <w:r w:rsidR="00857D55">
        <w:t xml:space="preserve"> serious risk of bias using ROBINS-I. </w:t>
      </w:r>
      <w:r w:rsidR="009860D7">
        <w:t xml:space="preserve">The main issues </w:t>
      </w:r>
      <w:r w:rsidR="00CB1819">
        <w:t>contributing to risk of bias</w:t>
      </w:r>
      <w:r w:rsidR="00E13E76">
        <w:t xml:space="preserve"> </w:t>
      </w:r>
      <w:r w:rsidR="00857D55">
        <w:t>result</w:t>
      </w:r>
      <w:r w:rsidR="00E13E76">
        <w:t>ed from</w:t>
      </w:r>
      <w:r w:rsidR="00857D55" w:rsidDel="00E13E76">
        <w:t xml:space="preserve"> </w:t>
      </w:r>
      <w:r w:rsidR="007E5588">
        <w:t xml:space="preserve">a </w:t>
      </w:r>
      <w:r w:rsidR="00BC2D79">
        <w:t>combination</w:t>
      </w:r>
      <w:r w:rsidR="00857D55">
        <w:t xml:space="preserve"> of the </w:t>
      </w:r>
      <w:r w:rsidR="00313416">
        <w:t>limitation</w:t>
      </w:r>
      <w:r w:rsidR="00181898">
        <w:t xml:space="preserve">s inherent </w:t>
      </w:r>
      <w:r w:rsidR="007E5588">
        <w:t>to</w:t>
      </w:r>
      <w:r w:rsidR="00181898">
        <w:t xml:space="preserve"> NSRI</w:t>
      </w:r>
      <w:r w:rsidR="008C27BC">
        <w:t>s</w:t>
      </w:r>
      <w:r w:rsidR="00857D55" w:rsidDel="00181898">
        <w:t xml:space="preserve"> </w:t>
      </w:r>
      <w:r w:rsidR="007E5588">
        <w:t xml:space="preserve">and </w:t>
      </w:r>
      <w:r w:rsidR="00BC2D79">
        <w:t xml:space="preserve">poor </w:t>
      </w:r>
      <w:r w:rsidR="00857D55">
        <w:t>study design</w:t>
      </w:r>
      <w:r w:rsidR="00BC2D79">
        <w:t xml:space="preserve"> in some </w:t>
      </w:r>
      <w:r w:rsidR="008C27BC">
        <w:t>studies.</w:t>
      </w:r>
      <w:r w:rsidR="0057733D">
        <w:t xml:space="preserve"> </w:t>
      </w:r>
      <w:r w:rsidR="008C27BC">
        <w:t>as well as</w:t>
      </w:r>
      <w:r w:rsidR="0057733D">
        <w:t xml:space="preserve"> underpowered sample sizes</w:t>
      </w:r>
      <w:r w:rsidR="00857D55">
        <w:t xml:space="preserve"> and use of retrospective control cohorts.</w:t>
      </w:r>
    </w:p>
    <w:p w14:paraId="535281D8" w14:textId="09F378C0" w:rsidR="00AC08CA" w:rsidRDefault="0057733D" w:rsidP="00BC5E67">
      <w:r>
        <w:t xml:space="preserve">Overall, </w:t>
      </w:r>
      <w:r w:rsidR="00DD2169">
        <w:t xml:space="preserve">the </w:t>
      </w:r>
      <w:r w:rsidR="00DD2169" w:rsidRPr="00DD2169">
        <w:t xml:space="preserve">department contracted assessment report (DCAR) </w:t>
      </w:r>
      <w:r w:rsidR="00DD2169">
        <w:t xml:space="preserve">considered </w:t>
      </w:r>
      <w:r>
        <w:t>there were significant issues with transitivity and applicability of the direct</w:t>
      </w:r>
      <w:r w:rsidRPr="00CE28E3">
        <w:t xml:space="preserve"> from test to health outcomes evidence</w:t>
      </w:r>
      <w:r>
        <w:t xml:space="preserve"> found in the literature. </w:t>
      </w:r>
      <w:r w:rsidR="00AC08CA">
        <w:t>Primarily:</w:t>
      </w:r>
    </w:p>
    <w:p w14:paraId="6AE72E29" w14:textId="4C38033F" w:rsidR="00C21C01" w:rsidRPr="00321D39" w:rsidRDefault="00AC08CA" w:rsidP="00E9485A">
      <w:pPr>
        <w:pStyle w:val="paragraph"/>
        <w:numPr>
          <w:ilvl w:val="0"/>
          <w:numId w:val="28"/>
        </w:numPr>
        <w:spacing w:before="0" w:beforeAutospacing="0" w:after="0" w:afterAutospacing="0"/>
        <w:textAlignment w:val="baseline"/>
        <w:rPr>
          <w:rFonts w:ascii="Franklin Gothic Book" w:hAnsi="Franklin Gothic Book"/>
          <w:sz w:val="22"/>
          <w:szCs w:val="22"/>
        </w:rPr>
      </w:pPr>
      <w:r w:rsidRPr="005C65FB">
        <w:rPr>
          <w:rFonts w:ascii="Franklin Gothic Book" w:hAnsi="Franklin Gothic Book"/>
          <w:sz w:val="22"/>
          <w:szCs w:val="22"/>
        </w:rPr>
        <w:t xml:space="preserve">There </w:t>
      </w:r>
      <w:r w:rsidR="0006321B" w:rsidRPr="005C65FB">
        <w:rPr>
          <w:rFonts w:ascii="Franklin Gothic Book" w:hAnsi="Franklin Gothic Book"/>
          <w:sz w:val="22"/>
          <w:szCs w:val="22"/>
        </w:rPr>
        <w:t>were no</w:t>
      </w:r>
      <w:r w:rsidR="0057733D" w:rsidRPr="005C65FB">
        <w:rPr>
          <w:rFonts w:ascii="Franklin Gothic Book" w:hAnsi="Franklin Gothic Book"/>
          <w:sz w:val="22"/>
          <w:szCs w:val="22"/>
        </w:rPr>
        <w:t xml:space="preserve"> Australian studies or studies representative of the ethnic make-up of the Australian population.</w:t>
      </w:r>
      <w:r w:rsidR="00F2040C" w:rsidRPr="005C65FB">
        <w:rPr>
          <w:rFonts w:ascii="Franklin Gothic Book" w:hAnsi="Franklin Gothic Book"/>
          <w:sz w:val="22"/>
          <w:szCs w:val="22"/>
        </w:rPr>
        <w:t xml:space="preserve"> </w:t>
      </w:r>
      <w:r w:rsidR="00C71914" w:rsidRPr="00321D39">
        <w:rPr>
          <w:rFonts w:ascii="Franklin Gothic Book" w:hAnsi="Franklin Gothic Book"/>
          <w:sz w:val="22"/>
          <w:szCs w:val="22"/>
        </w:rPr>
        <w:t>Of note,</w:t>
      </w:r>
      <w:r w:rsidR="00F2040C" w:rsidRPr="00321D39">
        <w:rPr>
          <w:rFonts w:ascii="Franklin Gothic Book" w:hAnsi="Franklin Gothic Book"/>
          <w:sz w:val="22"/>
          <w:szCs w:val="22"/>
        </w:rPr>
        <w:t xml:space="preserve"> </w:t>
      </w:r>
      <w:r w:rsidR="002E652D" w:rsidRPr="00321D39">
        <w:rPr>
          <w:rStyle w:val="normaltextrun"/>
          <w:rFonts w:ascii="Franklin Gothic Book" w:hAnsi="Franklin Gothic Book" w:cs="Segoe UI"/>
          <w:sz w:val="22"/>
          <w:szCs w:val="22"/>
          <w:shd w:val="clear" w:color="auto" w:fill="FFFFFF"/>
        </w:rPr>
        <w:t xml:space="preserve">four Australian trials are currently underway, and one has </w:t>
      </w:r>
      <w:r w:rsidR="002E652D" w:rsidRPr="00321D39">
        <w:rPr>
          <w:rStyle w:val="normaltextrun"/>
          <w:rFonts w:ascii="Franklin Gothic Book" w:hAnsi="Franklin Gothic Book" w:cs="Segoe UI"/>
          <w:sz w:val="22"/>
          <w:szCs w:val="22"/>
          <w:shd w:val="clear" w:color="auto" w:fill="FFFFFF"/>
        </w:rPr>
        <w:lastRenderedPageBreak/>
        <w:t>recently presented interim results</w:t>
      </w:r>
      <w:r w:rsidR="000F4CFB">
        <w:rPr>
          <w:rStyle w:val="FootnoteReference"/>
          <w:rFonts w:ascii="Franklin Gothic Book" w:hAnsi="Franklin Gothic Book" w:cs="Segoe UI"/>
          <w:sz w:val="22"/>
          <w:szCs w:val="22"/>
          <w:shd w:val="clear" w:color="auto" w:fill="FFFFFF"/>
        </w:rPr>
        <w:footnoteReference w:id="16"/>
      </w:r>
      <w:r w:rsidR="00B0154E">
        <w:rPr>
          <w:rStyle w:val="normaltextrun"/>
          <w:rFonts w:ascii="Franklin Gothic Book" w:hAnsi="Franklin Gothic Book" w:cs="Segoe UI"/>
          <w:sz w:val="22"/>
          <w:szCs w:val="22"/>
          <w:shd w:val="clear" w:color="auto" w:fill="FFFFFF"/>
          <w:vertAlign w:val="superscript"/>
        </w:rPr>
        <w:t>,</w:t>
      </w:r>
      <w:r w:rsidR="00ED386F" w:rsidRPr="00321D39">
        <w:rPr>
          <w:rStyle w:val="FootnoteReference"/>
          <w:rFonts w:ascii="Franklin Gothic Book" w:hAnsi="Franklin Gothic Book" w:cs="Segoe UI"/>
          <w:sz w:val="22"/>
          <w:szCs w:val="22"/>
          <w:shd w:val="clear" w:color="auto" w:fill="FFFFFF"/>
        </w:rPr>
        <w:footnoteReference w:id="17"/>
      </w:r>
      <w:r w:rsidR="006B080C" w:rsidRPr="00321D39">
        <w:rPr>
          <w:rStyle w:val="normaltextrun"/>
          <w:rFonts w:ascii="Franklin Gothic Book" w:hAnsi="Franklin Gothic Book" w:cs="Segoe UI"/>
          <w:sz w:val="22"/>
          <w:szCs w:val="22"/>
          <w:shd w:val="clear" w:color="auto" w:fill="FFFFFF"/>
          <w:vertAlign w:val="superscript"/>
        </w:rPr>
        <w:t>,</w:t>
      </w:r>
      <w:r w:rsidR="00475944" w:rsidRPr="00321D39">
        <w:rPr>
          <w:rStyle w:val="FootnoteReference"/>
          <w:rFonts w:ascii="Franklin Gothic Book" w:hAnsi="Franklin Gothic Book" w:cs="Segoe UI"/>
          <w:sz w:val="22"/>
          <w:szCs w:val="22"/>
          <w:shd w:val="clear" w:color="auto" w:fill="FFFFFF"/>
        </w:rPr>
        <w:footnoteReference w:id="18"/>
      </w:r>
      <w:r w:rsidR="00AF72F7">
        <w:rPr>
          <w:rStyle w:val="normaltextrun"/>
          <w:rFonts w:ascii="Franklin Gothic Book" w:hAnsi="Franklin Gothic Book" w:cs="Segoe UI"/>
          <w:sz w:val="22"/>
          <w:szCs w:val="22"/>
          <w:shd w:val="clear" w:color="auto" w:fill="FFFFFF"/>
          <w:vertAlign w:val="superscript"/>
        </w:rPr>
        <w:t>,18</w:t>
      </w:r>
      <w:r w:rsidR="002E652D" w:rsidRPr="00321D39">
        <w:rPr>
          <w:rStyle w:val="normaltextrun"/>
          <w:rFonts w:ascii="Franklin Gothic Book" w:hAnsi="Franklin Gothic Book"/>
          <w:sz w:val="22"/>
          <w:szCs w:val="22"/>
          <w:shd w:val="clear" w:color="auto" w:fill="FFFFFF"/>
        </w:rPr>
        <w:t xml:space="preserve"> </w:t>
      </w:r>
      <w:r w:rsidR="00C03BF4" w:rsidRPr="001B3631">
        <w:rPr>
          <w:rStyle w:val="normaltextrun"/>
          <w:rFonts w:ascii="Franklin Gothic Book" w:hAnsi="Franklin Gothic Book" w:cs="Segoe UI"/>
          <w:sz w:val="22"/>
          <w:szCs w:val="22"/>
        </w:rPr>
        <w:t>(White et al., 2023, Michael, 2020, Alexander, 2024, Na</w:t>
      </w:r>
      <w:r w:rsidR="00C92723">
        <w:rPr>
          <w:rStyle w:val="normaltextrun"/>
          <w:rFonts w:ascii="Franklin Gothic Book" w:hAnsi="Franklin Gothic Book" w:cs="Segoe UI"/>
          <w:sz w:val="22"/>
          <w:szCs w:val="22"/>
        </w:rPr>
        <w:t>l</w:t>
      </w:r>
      <w:r w:rsidR="00C03BF4" w:rsidRPr="001B3631">
        <w:rPr>
          <w:rStyle w:val="normaltextrun"/>
          <w:rFonts w:ascii="Franklin Gothic Book" w:hAnsi="Franklin Gothic Book" w:cs="Segoe UI"/>
          <w:sz w:val="22"/>
          <w:szCs w:val="22"/>
        </w:rPr>
        <w:t>der, 2021).</w:t>
      </w:r>
      <w:r w:rsidR="00C03BF4" w:rsidRPr="001B3631">
        <w:rPr>
          <w:rStyle w:val="normaltextrun"/>
          <w:rFonts w:ascii="Franklin Gothic Book" w:hAnsi="Franklin Gothic Book"/>
          <w:sz w:val="22"/>
          <w:szCs w:val="22"/>
        </w:rPr>
        <w:t xml:space="preserve"> </w:t>
      </w:r>
      <w:r w:rsidR="00C03BF4" w:rsidRPr="001B3631">
        <w:rPr>
          <w:rFonts w:ascii="Franklin Gothic Book" w:hAnsi="Franklin Gothic Book"/>
          <w:sz w:val="22"/>
          <w:szCs w:val="22"/>
        </w:rPr>
        <w:t>The Australian trial (GENESCREEN) is currently underway following a pilot feasibility study (</w:t>
      </w:r>
      <w:r w:rsidR="00C03BF4" w:rsidRPr="001B3631">
        <w:rPr>
          <w:rStyle w:val="normaltextrun"/>
          <w:rFonts w:ascii="Franklin Gothic Book" w:hAnsi="Franklin Gothic Book" w:cs="Segoe UI"/>
          <w:sz w:val="22"/>
          <w:szCs w:val="22"/>
        </w:rPr>
        <w:t>White et al., 2023)</w:t>
      </w:r>
      <w:r w:rsidR="00C03BF4" w:rsidRPr="001B3631">
        <w:rPr>
          <w:rFonts w:ascii="Franklin Gothic Book" w:hAnsi="Franklin Gothic Book"/>
          <w:sz w:val="22"/>
          <w:szCs w:val="22"/>
        </w:rPr>
        <w:t>. This aims to recruit 5,000 patients including all ethnic groups, and specifically target all eligible cases with Aboriginal and Torres Strait Islander ancestry</w:t>
      </w:r>
      <w:r w:rsidR="00CD621E">
        <w:rPr>
          <w:rStyle w:val="FootnoteReference"/>
          <w:rFonts w:ascii="Franklin Gothic Book" w:hAnsi="Franklin Gothic Book"/>
          <w:sz w:val="22"/>
          <w:szCs w:val="22"/>
        </w:rPr>
        <w:footnoteReference w:id="19"/>
      </w:r>
      <w:r w:rsidR="00C03BF4" w:rsidRPr="001B3631">
        <w:rPr>
          <w:rFonts w:ascii="Franklin Gothic Book" w:hAnsi="Franklin Gothic Book"/>
          <w:sz w:val="22"/>
          <w:szCs w:val="22"/>
        </w:rPr>
        <w:t>. The study will evaluate key outcomes of toxicity at 60-day post initiation of FP-based chemotherapy and long-term cancer outcomes.</w:t>
      </w:r>
      <w:r w:rsidR="00C03BF4" w:rsidRPr="001B3631">
        <w:rPr>
          <w:rStyle w:val="normaltextrun"/>
          <w:rFonts w:ascii="Franklin Gothic Book" w:hAnsi="Franklin Gothic Book"/>
          <w:sz w:val="22"/>
          <w:szCs w:val="22"/>
        </w:rPr>
        <w:t xml:space="preserve"> The interim trial results Michael (2020) (n=</w:t>
      </w:r>
      <w:r w:rsidR="00C03BF4" w:rsidRPr="00C10F6B">
        <w:rPr>
          <w:rStyle w:val="normaltextrun"/>
          <w:rFonts w:ascii="Franklin Gothic Book" w:hAnsi="Franklin Gothic Book"/>
          <w:sz w:val="22"/>
          <w:szCs w:val="22"/>
        </w:rPr>
        <w:t xml:space="preserve">493) examined the feasibility of the implementation </w:t>
      </w:r>
      <w:r w:rsidR="00C03BF4" w:rsidRPr="001B3631">
        <w:rPr>
          <w:rStyle w:val="normaltextrun"/>
          <w:rFonts w:ascii="Franklin Gothic Book" w:hAnsi="Franklin Gothic Book"/>
          <w:i/>
          <w:iCs/>
          <w:sz w:val="22"/>
          <w:szCs w:val="22"/>
        </w:rPr>
        <w:t>DPYD</w:t>
      </w:r>
      <w:r w:rsidR="00C03BF4" w:rsidRPr="00C10F6B">
        <w:rPr>
          <w:rStyle w:val="normaltextrun"/>
          <w:rFonts w:ascii="Franklin Gothic Book" w:hAnsi="Franklin Gothic Book"/>
          <w:sz w:val="22"/>
          <w:szCs w:val="22"/>
        </w:rPr>
        <w:t xml:space="preserve"> pre-emptive screening. Secondary endpoints included safety outcomes and Quality of Life (QoL). Exploratory examination of cancer outcomes was also conducted. The interim results demonstrated that:</w:t>
      </w:r>
      <w:r w:rsidR="00C03BF4" w:rsidRPr="00C10F6B">
        <w:rPr>
          <w:rStyle w:val="eop"/>
          <w:rFonts w:ascii="Franklin Gothic Book" w:hAnsi="Franklin Gothic Book"/>
          <w:sz w:val="22"/>
          <w:szCs w:val="22"/>
        </w:rPr>
        <w:t> </w:t>
      </w:r>
    </w:p>
    <w:p w14:paraId="41E2BABA" w14:textId="77777777" w:rsidR="00C21C01" w:rsidRPr="00321D39" w:rsidRDefault="00C21C01" w:rsidP="00E9485A">
      <w:pPr>
        <w:pStyle w:val="paragraph"/>
        <w:numPr>
          <w:ilvl w:val="0"/>
          <w:numId w:val="19"/>
        </w:numPr>
        <w:spacing w:before="0" w:beforeAutospacing="0" w:after="0" w:afterAutospacing="0"/>
        <w:ind w:left="108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4% of patients were DPYD intermediate metabolisers requiring upfront dose reduction</w:t>
      </w:r>
      <w:r w:rsidRPr="00321D39">
        <w:rPr>
          <w:rStyle w:val="eop"/>
          <w:rFonts w:ascii="Franklin Gothic Book" w:hAnsi="Franklin Gothic Book"/>
          <w:sz w:val="22"/>
          <w:szCs w:val="22"/>
        </w:rPr>
        <w:t> </w:t>
      </w:r>
    </w:p>
    <w:p w14:paraId="322257B3" w14:textId="77777777" w:rsidR="00C21C01" w:rsidRPr="00321D39" w:rsidRDefault="00C21C01" w:rsidP="00E9485A">
      <w:pPr>
        <w:pStyle w:val="paragraph"/>
        <w:numPr>
          <w:ilvl w:val="0"/>
          <w:numId w:val="20"/>
        </w:numPr>
        <w:spacing w:before="0" w:beforeAutospacing="0" w:after="0" w:afterAutospacing="0"/>
        <w:ind w:left="108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8% of patients were UGT1A1*28 poor metabolisers requiring upfront dose reduction</w:t>
      </w:r>
      <w:r w:rsidRPr="00321D39">
        <w:rPr>
          <w:rStyle w:val="eop"/>
          <w:rFonts w:ascii="Franklin Gothic Book" w:hAnsi="Franklin Gothic Book"/>
          <w:sz w:val="22"/>
          <w:szCs w:val="22"/>
        </w:rPr>
        <w:t> </w:t>
      </w:r>
    </w:p>
    <w:p w14:paraId="6A8B379B" w14:textId="77777777" w:rsidR="00C21C01" w:rsidRPr="00321D39" w:rsidRDefault="00C21C01" w:rsidP="00E9485A">
      <w:pPr>
        <w:pStyle w:val="paragraph"/>
        <w:numPr>
          <w:ilvl w:val="0"/>
          <w:numId w:val="21"/>
        </w:numPr>
        <w:spacing w:before="0" w:beforeAutospacing="0" w:after="0" w:afterAutospacing="0"/>
        <w:ind w:left="108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96% of gene test results (for DPYD and UGT1A1*28) reported prior to cycle 1, allowing us to dose adjust prior to patients commencing fluoropyrimidines or irinotecan to prevent severe toxicities. </w:t>
      </w:r>
      <w:r w:rsidRPr="00321D39">
        <w:rPr>
          <w:rStyle w:val="eop"/>
          <w:rFonts w:ascii="Franklin Gothic Book" w:hAnsi="Franklin Gothic Book"/>
          <w:sz w:val="22"/>
          <w:szCs w:val="22"/>
        </w:rPr>
        <w:t> </w:t>
      </w:r>
    </w:p>
    <w:p w14:paraId="79E11D61" w14:textId="77777777" w:rsidR="00C21C01" w:rsidRPr="00321D39" w:rsidRDefault="00C21C01" w:rsidP="00E9485A">
      <w:pPr>
        <w:pStyle w:val="paragraph"/>
        <w:numPr>
          <w:ilvl w:val="0"/>
          <w:numId w:val="22"/>
        </w:numPr>
        <w:spacing w:before="0" w:beforeAutospacing="0" w:after="0" w:afterAutospacing="0"/>
        <w:ind w:left="108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Average days from sample collection to reporting of gene test results:</w:t>
      </w:r>
      <w:r w:rsidRPr="00321D39">
        <w:rPr>
          <w:rStyle w:val="eop"/>
          <w:rFonts w:ascii="Franklin Gothic Book" w:hAnsi="Franklin Gothic Book"/>
          <w:sz w:val="22"/>
          <w:szCs w:val="22"/>
        </w:rPr>
        <w:t> </w:t>
      </w:r>
    </w:p>
    <w:p w14:paraId="4C311DE7" w14:textId="77777777" w:rsidR="00C21C01" w:rsidRPr="00321D39" w:rsidRDefault="00C21C01" w:rsidP="00E9485A">
      <w:pPr>
        <w:pStyle w:val="paragraph"/>
        <w:numPr>
          <w:ilvl w:val="0"/>
          <w:numId w:val="23"/>
        </w:numPr>
        <w:spacing w:before="0" w:beforeAutospacing="0" w:after="0" w:afterAutospacing="0"/>
        <w:ind w:left="180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 xml:space="preserve">Approx. 5 days for </w:t>
      </w:r>
      <w:r w:rsidRPr="00382889">
        <w:rPr>
          <w:rStyle w:val="normaltextrun"/>
          <w:rFonts w:ascii="Franklin Gothic Book" w:hAnsi="Franklin Gothic Book"/>
          <w:i/>
          <w:sz w:val="22"/>
          <w:szCs w:val="22"/>
        </w:rPr>
        <w:t>DPYD</w:t>
      </w:r>
      <w:r w:rsidRPr="00321D39">
        <w:rPr>
          <w:rStyle w:val="normaltextrun"/>
          <w:rFonts w:ascii="Franklin Gothic Book" w:hAnsi="Franklin Gothic Book"/>
          <w:sz w:val="22"/>
          <w:szCs w:val="22"/>
        </w:rPr>
        <w:t xml:space="preserve"> genotyping</w:t>
      </w:r>
      <w:r w:rsidRPr="00321D39">
        <w:rPr>
          <w:rStyle w:val="eop"/>
          <w:rFonts w:ascii="Franklin Gothic Book" w:hAnsi="Franklin Gothic Book"/>
          <w:sz w:val="22"/>
          <w:szCs w:val="22"/>
        </w:rPr>
        <w:t> </w:t>
      </w:r>
    </w:p>
    <w:p w14:paraId="00BD22D6" w14:textId="61FBC0BE" w:rsidR="00BC5E67" w:rsidRPr="005A673A" w:rsidRDefault="00C21C01" w:rsidP="00E9485A">
      <w:pPr>
        <w:pStyle w:val="paragraph"/>
        <w:numPr>
          <w:ilvl w:val="0"/>
          <w:numId w:val="24"/>
        </w:numPr>
        <w:spacing w:before="0" w:beforeAutospacing="0" w:after="0" w:afterAutospacing="0"/>
        <w:ind w:left="1800" w:firstLine="0"/>
        <w:textAlignment w:val="baseline"/>
        <w:rPr>
          <w:rFonts w:ascii="Franklin Gothic Book" w:hAnsi="Franklin Gothic Book"/>
          <w:sz w:val="22"/>
          <w:szCs w:val="22"/>
        </w:rPr>
      </w:pPr>
      <w:r w:rsidRPr="00321D39">
        <w:rPr>
          <w:rStyle w:val="normaltextrun"/>
          <w:rFonts w:ascii="Franklin Gothic Book" w:hAnsi="Franklin Gothic Book"/>
          <w:sz w:val="22"/>
          <w:szCs w:val="22"/>
        </w:rPr>
        <w:t>7 days for UGT1A1*28 genotyping that are available do not influence the overall findings of this report. </w:t>
      </w:r>
      <w:r w:rsidRPr="00321D39">
        <w:rPr>
          <w:rStyle w:val="eop"/>
          <w:rFonts w:ascii="Franklin Gothic Book" w:hAnsi="Franklin Gothic Book"/>
          <w:sz w:val="22"/>
          <w:szCs w:val="22"/>
        </w:rPr>
        <w:t> </w:t>
      </w:r>
    </w:p>
    <w:p w14:paraId="07C71714" w14:textId="0F960F33" w:rsidR="00AC08CA" w:rsidRDefault="00AC08CA" w:rsidP="00E9485A">
      <w:pPr>
        <w:pStyle w:val="ListParagraph"/>
        <w:numPr>
          <w:ilvl w:val="0"/>
          <w:numId w:val="18"/>
        </w:numPr>
      </w:pPr>
      <w:r>
        <w:t xml:space="preserve">Key direct clinical evidence studies excluded poor </w:t>
      </w:r>
      <w:r w:rsidRPr="00CD73DB">
        <w:rPr>
          <w:i/>
        </w:rPr>
        <w:t>DPYD</w:t>
      </w:r>
      <w:r>
        <w:t xml:space="preserve"> metabolisers. </w:t>
      </w:r>
      <w:r w:rsidRPr="007E0174">
        <w:t>These patients are at the highest risk of FP-associated toxicity</w:t>
      </w:r>
      <w:r w:rsidR="000407BF">
        <w:t>,</w:t>
      </w:r>
      <w:r w:rsidR="00810BF1">
        <w:t xml:space="preserve"> </w:t>
      </w:r>
      <w:r w:rsidRPr="007E0174">
        <w:t xml:space="preserve">though </w:t>
      </w:r>
      <w:r>
        <w:t>estimated population prevalence</w:t>
      </w:r>
      <w:r w:rsidR="00810BF1">
        <w:t>s</w:t>
      </w:r>
      <w:r>
        <w:t xml:space="preserve"> are low (0.1%).</w:t>
      </w:r>
    </w:p>
    <w:p w14:paraId="13A50555" w14:textId="2AEBD84C" w:rsidR="00AC08CA" w:rsidRPr="00BC5E67" w:rsidRDefault="00AC08CA" w:rsidP="00E9485A">
      <w:pPr>
        <w:pStyle w:val="ListParagraph"/>
        <w:numPr>
          <w:ilvl w:val="0"/>
          <w:numId w:val="18"/>
        </w:numPr>
      </w:pPr>
      <w:r w:rsidRPr="00D04772">
        <w:t xml:space="preserve">Most direct evidence studies used </w:t>
      </w:r>
      <w:r w:rsidRPr="00CD73DB">
        <w:rPr>
          <w:i/>
          <w:iCs/>
        </w:rPr>
        <w:t>DPYD</w:t>
      </w:r>
      <w:r w:rsidRPr="00D04772">
        <w:t xml:space="preserve"> </w:t>
      </w:r>
      <w:r>
        <w:t xml:space="preserve">proxy </w:t>
      </w:r>
      <w:r w:rsidRPr="00D04772">
        <w:t xml:space="preserve">variant c.1236G&gt;A </w:t>
      </w:r>
      <w:r>
        <w:t>which is</w:t>
      </w:r>
      <w:r w:rsidRPr="00D04772">
        <w:t xml:space="preserve"> not in complete linkage disequilibrium</w:t>
      </w:r>
      <w:r>
        <w:t xml:space="preserve"> with </w:t>
      </w:r>
      <w:r w:rsidRPr="00D04772">
        <w:t>c.1129-5923C&gt;G</w:t>
      </w:r>
      <w:r>
        <w:t xml:space="preserve">. In these studies, there is a risk of </w:t>
      </w:r>
      <w:r w:rsidRPr="00171CDE">
        <w:t>false negative</w:t>
      </w:r>
      <w:r>
        <w:t xml:space="preserve"> results (though there is no documented case of this in the literature)</w:t>
      </w:r>
      <w:r w:rsidR="002E4486" w:rsidRPr="002E4486">
        <w:rPr>
          <w:vertAlign w:val="superscript"/>
        </w:rPr>
        <w:t>1</w:t>
      </w:r>
      <w:r>
        <w:t>.</w:t>
      </w:r>
    </w:p>
    <w:p w14:paraId="3B9FC2AD" w14:textId="339196F7" w:rsidR="00772829" w:rsidRPr="00CE28E3" w:rsidRDefault="00476193" w:rsidP="00FF160D">
      <w:pPr>
        <w:pStyle w:val="Heading2"/>
      </w:pPr>
      <w:bookmarkStart w:id="23" w:name="_Toc175815807"/>
      <w:r>
        <w:t>11</w:t>
      </w:r>
      <w:r w:rsidR="00C36633">
        <w:t>.</w:t>
      </w:r>
      <w:r w:rsidR="00C36633">
        <w:tab/>
      </w:r>
      <w:r w:rsidR="00772829" w:rsidRPr="00CE28E3">
        <w:t>Comparative safety</w:t>
      </w:r>
      <w:bookmarkEnd w:id="23"/>
    </w:p>
    <w:p w14:paraId="2FECABF6" w14:textId="2842F7EF" w:rsidR="00A17D2D" w:rsidRDefault="00A17D2D" w:rsidP="00A17D2D">
      <w:r>
        <w:t xml:space="preserve">There was no direct evidence for safety related to </w:t>
      </w:r>
      <w:r w:rsidR="00CD73DB" w:rsidRPr="00CD73DB">
        <w:rPr>
          <w:i/>
        </w:rPr>
        <w:t>DPYD</w:t>
      </w:r>
      <w:r w:rsidRPr="00A66752">
        <w:t xml:space="preserve"> genotyping</w:t>
      </w:r>
      <w:r>
        <w:t xml:space="preserve">, </w:t>
      </w:r>
      <w:r w:rsidR="00DD4E60">
        <w:t>though a</w:t>
      </w:r>
      <w:r>
        <w:t xml:space="preserve">dverse events of the genotyping test itself are expected to be minimal. Genotyping is </w:t>
      </w:r>
      <w:r w:rsidR="00144189">
        <w:t>not</w:t>
      </w:r>
      <w:r>
        <w:t xml:space="preserve"> invasive</w:t>
      </w:r>
      <w:r w:rsidR="00DD4E60">
        <w:t xml:space="preserve"> and w</w:t>
      </w:r>
      <w:r w:rsidR="00144189">
        <w:t>hile</w:t>
      </w:r>
      <w:r>
        <w:t xml:space="preserve"> psychosocial harms of </w:t>
      </w:r>
      <w:r w:rsidR="004339B2">
        <w:t>genetic</w:t>
      </w:r>
      <w:r>
        <w:t xml:space="preserve"> information are reported in other </w:t>
      </w:r>
      <w:r w:rsidR="00294B26">
        <w:t xml:space="preserve">clinical </w:t>
      </w:r>
      <w:r>
        <w:t xml:space="preserve">contexts, given that </w:t>
      </w:r>
      <w:r w:rsidR="00CD73DB" w:rsidRPr="00CD73DB">
        <w:rPr>
          <w:i/>
        </w:rPr>
        <w:t>DPYD</w:t>
      </w:r>
      <w:r>
        <w:t xml:space="preserve"> genotyping </w:t>
      </w:r>
      <w:r w:rsidR="003A0E5D">
        <w:t>does not have other clinical utilities or applications</w:t>
      </w:r>
      <w:r>
        <w:t>, these are not expected to be significant.</w:t>
      </w:r>
    </w:p>
    <w:p w14:paraId="1DC28B46" w14:textId="36472AE6" w:rsidR="009D42C4" w:rsidRDefault="00BF6F3C" w:rsidP="00BF6F3C">
      <w:r>
        <w:t>Adverse events</w:t>
      </w:r>
      <w:r w:rsidRPr="00A66752">
        <w:t xml:space="preserve"> from</w:t>
      </w:r>
      <w:r>
        <w:t xml:space="preserve"> </w:t>
      </w:r>
      <w:r w:rsidRPr="00A66752">
        <w:t>change in patient management (</w:t>
      </w:r>
      <w:r>
        <w:t xml:space="preserve">e.g., </w:t>
      </w:r>
      <w:r w:rsidRPr="00A66752">
        <w:t>treatment modifications</w:t>
      </w:r>
      <w:r w:rsidR="009D42C4">
        <w:t>, monitoring</w:t>
      </w:r>
      <w:r w:rsidRPr="00A66752">
        <w:t>)</w:t>
      </w:r>
      <w:r>
        <w:t xml:space="preserve"> from </w:t>
      </w:r>
      <w:r w:rsidR="00CD73DB" w:rsidRPr="00CD73DB">
        <w:rPr>
          <w:i/>
        </w:rPr>
        <w:t>DPYD</w:t>
      </w:r>
      <w:r>
        <w:t xml:space="preserve"> genotyping are </w:t>
      </w:r>
      <w:r w:rsidR="009D42C4">
        <w:t>also expected</w:t>
      </w:r>
      <w:r>
        <w:t xml:space="preserve"> to </w:t>
      </w:r>
      <w:r w:rsidR="009D42C4">
        <w:t>be minimal</w:t>
      </w:r>
      <w:r w:rsidR="00BB64B9">
        <w:t xml:space="preserve"> because t</w:t>
      </w:r>
      <w:r w:rsidR="00C16A6E">
        <w:t xml:space="preserve">reatment modification protocols </w:t>
      </w:r>
      <w:r w:rsidR="004B74E7">
        <w:t>recommend</w:t>
      </w:r>
      <w:r w:rsidR="00096F68">
        <w:t xml:space="preserve"> dose reductions only, </w:t>
      </w:r>
      <w:r w:rsidR="0018388F">
        <w:t>which would reduce toxicity</w:t>
      </w:r>
      <w:r w:rsidR="00BB64B9">
        <w:t>.</w:t>
      </w:r>
      <w:r w:rsidR="004B74E7">
        <w:t xml:space="preserve"> </w:t>
      </w:r>
      <w:r w:rsidR="00BB64B9">
        <w:t>However, there are concerns that dose reductions could</w:t>
      </w:r>
      <w:r w:rsidR="004B74E7">
        <w:t xml:space="preserve"> compromise therapeutic effectiveness</w:t>
      </w:r>
      <w:r w:rsidR="0018388F">
        <w:t xml:space="preserve">. </w:t>
      </w:r>
      <w:r w:rsidR="00BB64B9">
        <w:t>This was assessed in two direct non-comparative studies reporting t</w:t>
      </w:r>
      <w:r w:rsidR="004B74E7">
        <w:t xml:space="preserve">reatment response </w:t>
      </w:r>
      <w:r w:rsidR="00EA6E7A">
        <w:t xml:space="preserve">and survival outcomes </w:t>
      </w:r>
      <w:r w:rsidR="00BB64B9">
        <w:t xml:space="preserve">for </w:t>
      </w:r>
      <w:r w:rsidR="00E64CAF">
        <w:rPr>
          <w:i/>
        </w:rPr>
        <w:t>DPYD</w:t>
      </w:r>
      <w:r w:rsidR="002D7643">
        <w:rPr>
          <w:i/>
        </w:rPr>
        <w:t xml:space="preserve"> </w:t>
      </w:r>
      <w:r w:rsidR="002D7643" w:rsidRPr="00CA6700">
        <w:rPr>
          <w:iCs/>
        </w:rPr>
        <w:t>variant carriers</w:t>
      </w:r>
      <w:r w:rsidR="00BB64B9">
        <w:t xml:space="preserve"> receiving the intervention</w:t>
      </w:r>
      <w:r w:rsidR="006F371A">
        <w:t xml:space="preserve">; results, interpretation, key uncertainties and GRADE assessments are presented in </w:t>
      </w:r>
      <w:r w:rsidR="0081625B">
        <w:fldChar w:fldCharType="begin"/>
      </w:r>
      <w:r w:rsidR="0081625B">
        <w:instrText xml:space="preserve"> REF _Ref172123311 </w:instrText>
      </w:r>
      <w:r w:rsidR="0081625B">
        <w:fldChar w:fldCharType="separate"/>
      </w:r>
      <w:r w:rsidR="00306F34" w:rsidRPr="00F57762">
        <w:rPr>
          <w:snapToGrid w:val="0"/>
        </w:rPr>
        <w:t>Table </w:t>
      </w:r>
      <w:r w:rsidR="00306F34">
        <w:rPr>
          <w:noProof/>
          <w:snapToGrid w:val="0"/>
        </w:rPr>
        <w:t>4</w:t>
      </w:r>
      <w:r w:rsidR="0081625B">
        <w:rPr>
          <w:snapToGrid w:val="0"/>
        </w:rPr>
        <w:fldChar w:fldCharType="end"/>
      </w:r>
      <w:r w:rsidR="003074CC">
        <w:t xml:space="preserve"> under comparative effectiveness</w:t>
      </w:r>
      <w:r w:rsidR="006F371A">
        <w:t>.</w:t>
      </w:r>
    </w:p>
    <w:p w14:paraId="7A5B50C7" w14:textId="6345780B" w:rsidR="003D1165" w:rsidRPr="003D1165" w:rsidRDefault="003D1165" w:rsidP="00BF6F3C">
      <w:pPr>
        <w:rPr>
          <w:rFonts w:cs="Calibri"/>
        </w:rPr>
      </w:pPr>
      <w:r w:rsidRPr="00D7618D">
        <w:lastRenderedPageBreak/>
        <w:t xml:space="preserve">There is the potential for </w:t>
      </w:r>
      <w:r>
        <w:t>t</w:t>
      </w:r>
      <w:r w:rsidRPr="00D7618D">
        <w:t xml:space="preserve">est turnaround time </w:t>
      </w:r>
      <w:r>
        <w:t xml:space="preserve">(5-10 days) </w:t>
      </w:r>
      <w:r w:rsidRPr="00D7618D">
        <w:t>to result in delay to treatment commencement</w:t>
      </w:r>
      <w:r>
        <w:t>, which has been expressed as a concern by oncology clinicians qualitatively</w:t>
      </w:r>
      <w:bookmarkStart w:id="24" w:name="_Ref172292431"/>
      <w:r w:rsidR="005A3DD5">
        <w:rPr>
          <w:vertAlign w:val="superscript"/>
        </w:rPr>
        <w:t>2</w:t>
      </w:r>
      <w:r w:rsidR="00D4551F">
        <w:rPr>
          <w:rStyle w:val="FootnoteReference"/>
        </w:rPr>
        <w:t>,</w:t>
      </w:r>
      <w:bookmarkStart w:id="25" w:name="_Ref172295736"/>
      <w:r w:rsidR="00F359DA">
        <w:rPr>
          <w:rStyle w:val="FootnoteReference"/>
        </w:rPr>
        <w:footnoteReference w:id="20"/>
      </w:r>
      <w:bookmarkEnd w:id="24"/>
      <w:bookmarkEnd w:id="25"/>
      <w:r>
        <w:t xml:space="preserve">, though no evidence was identified to support whether this </w:t>
      </w:r>
      <w:r w:rsidR="00CB3B35">
        <w:t>has</w:t>
      </w:r>
      <w:r>
        <w:t xml:space="preserve"> clinically relevant impacts</w:t>
      </w:r>
      <w:r w:rsidRPr="00D7618D">
        <w:t xml:space="preserve">. This </w:t>
      </w:r>
      <w:r>
        <w:t>may be</w:t>
      </w:r>
      <w:r w:rsidRPr="00D7618D">
        <w:t xml:space="preserve"> a particular concern in regional, rural and remote areas, where </w:t>
      </w:r>
      <w:r>
        <w:t>there are additional access delays.</w:t>
      </w:r>
      <w:r w:rsidR="00C85419">
        <w:t xml:space="preserve"> In addition, improved </w:t>
      </w:r>
      <w:r w:rsidR="003070A2">
        <w:t>procedures for blood collection, transportation and laboratory handling of samples</w:t>
      </w:r>
      <w:r w:rsidR="00C62185">
        <w:t xml:space="preserve"> may reduce TATs</w:t>
      </w:r>
      <w:r w:rsidR="001F5AFE" w:rsidRPr="001F5AFE">
        <w:rPr>
          <w:vertAlign w:val="superscript"/>
        </w:rPr>
        <w:t>14</w:t>
      </w:r>
      <w:r w:rsidR="00C62185">
        <w:t>.</w:t>
      </w:r>
    </w:p>
    <w:p w14:paraId="3717AA01" w14:textId="0FD07937" w:rsidR="00772829" w:rsidRPr="00CE28E3" w:rsidRDefault="00476193" w:rsidP="00FF160D">
      <w:pPr>
        <w:pStyle w:val="Heading2"/>
      </w:pPr>
      <w:bookmarkStart w:id="26" w:name="_Toc175815808"/>
      <w:r>
        <w:t>12</w:t>
      </w:r>
      <w:r w:rsidR="00C36633">
        <w:t>.</w:t>
      </w:r>
      <w:r w:rsidR="00C36633">
        <w:tab/>
      </w:r>
      <w:r w:rsidR="00772829" w:rsidRPr="00CE28E3">
        <w:t>Comparative effectiveness</w:t>
      </w:r>
      <w:bookmarkEnd w:id="26"/>
    </w:p>
    <w:p w14:paraId="0FBF73DA" w14:textId="31D69DF4" w:rsidR="0097375A" w:rsidRDefault="001915DE" w:rsidP="00B83C68">
      <w:pPr>
        <w:pStyle w:val="NormalWeb"/>
      </w:pPr>
      <w:r>
        <w:t>Seven</w:t>
      </w:r>
      <w:r w:rsidRPr="00A47E4B">
        <w:t xml:space="preserve"> studies </w:t>
      </w:r>
      <w:r>
        <w:t>reported</w:t>
      </w:r>
      <w:r w:rsidRPr="00A47E4B">
        <w:t xml:space="preserve"> direct </w:t>
      </w:r>
      <w:r>
        <w:t xml:space="preserve">evidence of clinical effectiveness outcomes; results, interpretation, key </w:t>
      </w:r>
      <w:r w:rsidR="006D4883">
        <w:t>uncertainties,</w:t>
      </w:r>
      <w:r>
        <w:t xml:space="preserve"> and GRADE assessments are presented in </w:t>
      </w:r>
      <w:r w:rsidR="00B23B67">
        <w:fldChar w:fldCharType="begin"/>
      </w:r>
      <w:r w:rsidR="00B23B67">
        <w:instrText xml:space="preserve"> REF _Ref172123311 \h </w:instrText>
      </w:r>
      <w:r w:rsidR="00B23B67">
        <w:fldChar w:fldCharType="separate"/>
      </w:r>
      <w:r w:rsidR="00306F34" w:rsidRPr="00F57762">
        <w:rPr>
          <w:snapToGrid w:val="0"/>
        </w:rPr>
        <w:t>Table </w:t>
      </w:r>
      <w:r w:rsidR="00306F34">
        <w:rPr>
          <w:noProof/>
          <w:snapToGrid w:val="0"/>
        </w:rPr>
        <w:t>4</w:t>
      </w:r>
      <w:r w:rsidR="00B23B67">
        <w:fldChar w:fldCharType="end"/>
      </w:r>
      <w:r>
        <w:t xml:space="preserve">. For all </w:t>
      </w:r>
      <w:r w:rsidR="00932F08">
        <w:t>toxicity outcomes</w:t>
      </w:r>
      <w:r>
        <w:t>,</w:t>
      </w:r>
      <w:r w:rsidR="00DE6C99">
        <w:t xml:space="preserve"> p</w:t>
      </w:r>
      <w:r w:rsidR="00DE6C99" w:rsidRPr="00521250">
        <w:t>ooled results were not possible due to differences in study design and measurement of outcomes</w:t>
      </w:r>
      <w:r w:rsidR="00DE6C99">
        <w:t xml:space="preserve">, particularly dose reduction algorithms. Due to </w:t>
      </w:r>
      <w:r w:rsidR="00903AA7">
        <w:t xml:space="preserve">very small </w:t>
      </w:r>
      <w:r w:rsidR="00DE6C99">
        <w:t>sample size</w:t>
      </w:r>
      <w:r w:rsidR="00903AA7">
        <w:t>s</w:t>
      </w:r>
      <w:r w:rsidR="00DE6C99">
        <w:t xml:space="preserve">, </w:t>
      </w:r>
      <w:r w:rsidR="00903AA7">
        <w:t>statistical comparison was generally not appropriate</w:t>
      </w:r>
      <w:bookmarkStart w:id="27" w:name="_Ref172295570"/>
      <w:r w:rsidR="00311881">
        <w:rPr>
          <w:rStyle w:val="FootnoteReference"/>
        </w:rPr>
        <w:footnoteReference w:id="21"/>
      </w:r>
      <w:bookmarkEnd w:id="27"/>
      <w:r w:rsidR="00B83C68">
        <w:t xml:space="preserve">. Narrative interpretation of results is </w:t>
      </w:r>
      <w:r w:rsidR="00002BAB">
        <w:t>therefore</w:t>
      </w:r>
      <w:r w:rsidR="00B83C68">
        <w:t xml:space="preserve"> required which has significant limitations</w:t>
      </w:r>
      <w:r w:rsidR="00002BAB">
        <w:t>,</w:t>
      </w:r>
      <w:r w:rsidR="00B83C68">
        <w:t xml:space="preserve"> and it is not possible to rule out confounders</w:t>
      </w:r>
      <w:r w:rsidR="00002BAB">
        <w:t xml:space="preserve"> for all reported effects</w:t>
      </w:r>
      <w:r w:rsidR="005B391A" w:rsidRPr="005B391A">
        <w:rPr>
          <w:vertAlign w:val="superscript"/>
        </w:rPr>
        <w:fldChar w:fldCharType="begin"/>
      </w:r>
      <w:r w:rsidR="005B391A" w:rsidRPr="005B391A">
        <w:rPr>
          <w:vertAlign w:val="superscript"/>
        </w:rPr>
        <w:instrText xml:space="preserve"> NOTEREF _Ref172295570 </w:instrText>
      </w:r>
      <w:r w:rsidR="005B391A">
        <w:rPr>
          <w:vertAlign w:val="superscript"/>
        </w:rPr>
        <w:instrText xml:space="preserve"> \* MERGEFORMAT </w:instrText>
      </w:r>
      <w:r w:rsidR="005B391A" w:rsidRPr="005B391A">
        <w:rPr>
          <w:vertAlign w:val="superscript"/>
        </w:rPr>
        <w:fldChar w:fldCharType="separate"/>
      </w:r>
      <w:r w:rsidR="00306F34">
        <w:rPr>
          <w:vertAlign w:val="superscript"/>
        </w:rPr>
        <w:t>16</w:t>
      </w:r>
      <w:r w:rsidR="005B391A" w:rsidRPr="005B391A">
        <w:rPr>
          <w:vertAlign w:val="superscript"/>
        </w:rPr>
        <w:fldChar w:fldCharType="end"/>
      </w:r>
      <w:r w:rsidR="00B83C68">
        <w:t>.</w:t>
      </w:r>
    </w:p>
    <w:p w14:paraId="24EE5C59" w14:textId="73FAF907" w:rsidR="00737720" w:rsidRDefault="00737720" w:rsidP="00B83C68">
      <w:pPr>
        <w:pStyle w:val="NormalWeb"/>
      </w:pPr>
      <w:r w:rsidRPr="00637B21">
        <w:t xml:space="preserve">Overall, </w:t>
      </w:r>
      <w:r w:rsidR="00CF5D3C">
        <w:t xml:space="preserve">the </w:t>
      </w:r>
      <w:r w:rsidR="00DD2169">
        <w:t>DCAR</w:t>
      </w:r>
      <w:r w:rsidR="00CF5D3C">
        <w:t xml:space="preserve"> considered </w:t>
      </w:r>
      <w:r w:rsidRPr="00637B21">
        <w:t>there was insufficient evidence to support conclusions about clinical</w:t>
      </w:r>
      <w:r w:rsidR="008C1D4F" w:rsidRPr="00637B21">
        <w:t xml:space="preserve">ly </w:t>
      </w:r>
      <w:r w:rsidR="00A63134" w:rsidRPr="00637B21">
        <w:t>meaningful</w:t>
      </w:r>
      <w:r w:rsidR="008C1D4F" w:rsidRPr="00637B21">
        <w:t xml:space="preserve"> </w:t>
      </w:r>
      <w:r w:rsidRPr="00637B21">
        <w:t xml:space="preserve">efficacy of the </w:t>
      </w:r>
      <w:r w:rsidR="008C1D4F" w:rsidRPr="00637B21">
        <w:t>intervention</w:t>
      </w:r>
      <w:r w:rsidRPr="00637B21">
        <w:t xml:space="preserve">. </w:t>
      </w:r>
      <w:r w:rsidR="00626203">
        <w:t>The DCAR considered the t</w:t>
      </w:r>
      <w:r w:rsidRPr="00637B21">
        <w:t xml:space="preserve">rue effect size </w:t>
      </w:r>
      <w:r w:rsidR="008C1D4F" w:rsidRPr="00637B21">
        <w:t xml:space="preserve">would require </w:t>
      </w:r>
      <w:r w:rsidR="00021527" w:rsidRPr="00637B21">
        <w:t>appropriately powered, randomised controlled trials.</w:t>
      </w:r>
      <w:r w:rsidR="008C1D4F" w:rsidRPr="00637B21">
        <w:t xml:space="preserve"> </w:t>
      </w:r>
      <w:r w:rsidR="00637B21">
        <w:t xml:space="preserve">However, it is noted that given the level of evidence for </w:t>
      </w:r>
      <w:r w:rsidR="00BA031F">
        <w:t>the association of</w:t>
      </w:r>
      <w:r w:rsidR="00637B21">
        <w:t xml:space="preserve"> </w:t>
      </w:r>
      <w:r w:rsidR="00CD73DB" w:rsidRPr="00CD73DB">
        <w:rPr>
          <w:i/>
        </w:rPr>
        <w:t>DPYD</w:t>
      </w:r>
      <w:r w:rsidR="00F62B3E">
        <w:t xml:space="preserve"> variants and </w:t>
      </w:r>
      <w:r w:rsidR="00BA031F">
        <w:t xml:space="preserve">increased </w:t>
      </w:r>
      <w:r w:rsidR="00F62B3E">
        <w:t xml:space="preserve">toxicity, </w:t>
      </w:r>
      <w:r w:rsidR="00BA031F">
        <w:t>prospective</w:t>
      </w:r>
      <w:r w:rsidR="00F62B3E">
        <w:t xml:space="preserve"> RCTs would be </w:t>
      </w:r>
      <w:r w:rsidR="00BA031F">
        <w:t>considered</w:t>
      </w:r>
      <w:r w:rsidR="00F62B3E">
        <w:t xml:space="preserve"> unethical</w:t>
      </w:r>
      <w:r w:rsidR="00D02EBF">
        <w:t xml:space="preserve"> </w:t>
      </w:r>
      <w:r w:rsidR="00FA6E6B">
        <w:t>and impractical</w:t>
      </w:r>
      <w:r w:rsidR="00D02EBF" w:rsidRPr="00225F1B">
        <w:rPr>
          <w:rFonts w:hint="eastAsia"/>
        </w:rPr>
        <w:t>.</w:t>
      </w:r>
    </w:p>
    <w:p w14:paraId="3ECC3114" w14:textId="10B5C30D" w:rsidR="0097375A" w:rsidRPr="00F57762" w:rsidRDefault="0097375A" w:rsidP="0097375A">
      <w:pPr>
        <w:pStyle w:val="Caption"/>
        <w:rPr>
          <w:snapToGrid w:val="0"/>
        </w:rPr>
      </w:pPr>
      <w:bookmarkStart w:id="28" w:name="_Ref172123311"/>
      <w:r w:rsidRPr="00F57762">
        <w:rPr>
          <w:snapToGrid w:val="0"/>
        </w:rPr>
        <w:t>Table </w:t>
      </w:r>
      <w:r w:rsidRPr="00F57762">
        <w:rPr>
          <w:snapToGrid w:val="0"/>
        </w:rPr>
        <w:fldChar w:fldCharType="begin"/>
      </w:r>
      <w:r w:rsidRPr="00F57762">
        <w:rPr>
          <w:snapToGrid w:val="0"/>
        </w:rPr>
        <w:instrText xml:space="preserve"> SEQ Table \* ARABIC </w:instrText>
      </w:r>
      <w:r w:rsidRPr="00F57762">
        <w:rPr>
          <w:snapToGrid w:val="0"/>
        </w:rPr>
        <w:fldChar w:fldCharType="separate"/>
      </w:r>
      <w:r w:rsidR="00835345">
        <w:rPr>
          <w:noProof/>
          <w:snapToGrid w:val="0"/>
        </w:rPr>
        <w:t>4</w:t>
      </w:r>
      <w:r w:rsidRPr="00F57762">
        <w:rPr>
          <w:snapToGrid w:val="0"/>
        </w:rPr>
        <w:fldChar w:fldCharType="end"/>
      </w:r>
      <w:bookmarkEnd w:id="28"/>
      <w:r w:rsidRPr="00F57762">
        <w:rPr>
          <w:snapToGrid w:val="0"/>
        </w:rPr>
        <w:t xml:space="preserve"> </w:t>
      </w:r>
      <w:r w:rsidRPr="00F57762">
        <w:rPr>
          <w:snapToGrid w:val="0"/>
        </w:rPr>
        <w:tab/>
        <w:t>Summary of findings table</w:t>
      </w:r>
      <w:r w:rsidR="003328AC">
        <w:rPr>
          <w:snapToGrid w:val="0"/>
        </w:rPr>
        <w:t xml:space="preserve"> – clinical effectiveness outcomes</w:t>
      </w:r>
    </w:p>
    <w:tbl>
      <w:tblPr>
        <w:tblStyle w:val="TableGrid"/>
        <w:tblW w:w="4950" w:type="pct"/>
        <w:tblLayout w:type="fixed"/>
        <w:tblCellMar>
          <w:top w:w="28" w:type="dxa"/>
          <w:left w:w="57" w:type="dxa"/>
          <w:bottom w:w="28" w:type="dxa"/>
          <w:right w:w="28" w:type="dxa"/>
        </w:tblCellMar>
        <w:tblLook w:val="04A0" w:firstRow="1" w:lastRow="0" w:firstColumn="1" w:lastColumn="0" w:noHBand="0" w:noVBand="1"/>
        <w:tblDescription w:val="Summary of findings table"/>
      </w:tblPr>
      <w:tblGrid>
        <w:gridCol w:w="1275"/>
        <w:gridCol w:w="1135"/>
        <w:gridCol w:w="4675"/>
        <w:gridCol w:w="1841"/>
      </w:tblGrid>
      <w:tr w:rsidR="006766FD" w:rsidRPr="00CE28E3" w14:paraId="402987B7" w14:textId="77777777" w:rsidTr="00AE3488">
        <w:trPr>
          <w:trHeight w:val="45"/>
          <w:tblHeader/>
        </w:trPr>
        <w:tc>
          <w:tcPr>
            <w:tcW w:w="714" w:type="pct"/>
            <w:shd w:val="clear" w:color="auto" w:fill="D9D9D9" w:themeFill="background1" w:themeFillShade="D9"/>
            <w:vAlign w:val="center"/>
          </w:tcPr>
          <w:p w14:paraId="3A83AD78" w14:textId="77777777" w:rsidR="0097375A" w:rsidRPr="00CE28E3" w:rsidRDefault="0097375A">
            <w:pPr>
              <w:pStyle w:val="2024TABLEHEADING"/>
            </w:pPr>
            <w:r w:rsidRPr="00CE28E3">
              <w:t>Outcomes</w:t>
            </w:r>
          </w:p>
        </w:tc>
        <w:tc>
          <w:tcPr>
            <w:tcW w:w="636" w:type="pct"/>
            <w:shd w:val="clear" w:color="auto" w:fill="D9D9D9" w:themeFill="background1" w:themeFillShade="D9"/>
            <w:vAlign w:val="center"/>
          </w:tcPr>
          <w:p w14:paraId="68A296C1" w14:textId="77777777" w:rsidR="0097375A" w:rsidRPr="00CE28E3" w:rsidRDefault="0097375A">
            <w:pPr>
              <w:pStyle w:val="2024TABLEHEADING"/>
            </w:pPr>
            <w:r w:rsidRPr="00CE28E3">
              <w:t xml:space="preserve">Participants </w:t>
            </w:r>
            <w:r>
              <w:t>and</w:t>
            </w:r>
            <w:r w:rsidRPr="00CE28E3">
              <w:t xml:space="preserve"> studies</w:t>
            </w:r>
          </w:p>
        </w:tc>
        <w:tc>
          <w:tcPr>
            <w:tcW w:w="2619" w:type="pct"/>
            <w:shd w:val="clear" w:color="auto" w:fill="D9D9D9" w:themeFill="background1" w:themeFillShade="D9"/>
            <w:vAlign w:val="center"/>
          </w:tcPr>
          <w:p w14:paraId="407E52DD" w14:textId="77777777" w:rsidR="0097375A" w:rsidRPr="00CE28E3" w:rsidRDefault="0097375A">
            <w:pPr>
              <w:pStyle w:val="2024TABLEHEADING"/>
            </w:pPr>
            <w:r>
              <w:t>Results, interpretation and key uncertainties</w:t>
            </w:r>
          </w:p>
        </w:tc>
        <w:tc>
          <w:tcPr>
            <w:tcW w:w="1031" w:type="pct"/>
            <w:shd w:val="clear" w:color="auto" w:fill="D9D9D9" w:themeFill="background1" w:themeFillShade="D9"/>
            <w:vAlign w:val="center"/>
          </w:tcPr>
          <w:p w14:paraId="6B78B29F" w14:textId="2486B326" w:rsidR="000B45F8" w:rsidRDefault="000B45F8">
            <w:pPr>
              <w:pStyle w:val="2024TABLEHEADING"/>
            </w:pPr>
            <w:r w:rsidRPr="0054775B">
              <w:t>Certainty of the evidence</w:t>
            </w:r>
            <w:r>
              <w:t xml:space="preserve"> </w:t>
            </w:r>
            <w:r w:rsidRPr="0054775B">
              <w:t>(GRADE)</w:t>
            </w:r>
          </w:p>
          <w:p w14:paraId="493DBF94" w14:textId="5FDE3A8A" w:rsidR="0097375A" w:rsidRPr="00CE28E3" w:rsidRDefault="0097375A">
            <w:pPr>
              <w:pStyle w:val="2024TABLEHEADING"/>
            </w:pPr>
            <w:r w:rsidRPr="0054775B">
              <w:t>Evidence statement</w:t>
            </w:r>
          </w:p>
        </w:tc>
      </w:tr>
      <w:tr w:rsidR="00352512" w:rsidRPr="00CE28E3" w14:paraId="7174799A" w14:textId="77777777" w:rsidTr="00DE72B1">
        <w:trPr>
          <w:trHeight w:val="444"/>
        </w:trPr>
        <w:tc>
          <w:tcPr>
            <w:tcW w:w="714" w:type="pct"/>
            <w:vMerge w:val="restart"/>
            <w:vAlign w:val="center"/>
          </w:tcPr>
          <w:p w14:paraId="14485F56" w14:textId="465023AC" w:rsidR="0097375A" w:rsidRPr="00F77F0E" w:rsidRDefault="0097375A">
            <w:pPr>
              <w:pStyle w:val="2024TABLETEXT"/>
            </w:pPr>
            <w:r w:rsidRPr="00F77F0E">
              <w:t xml:space="preserve">Incidence of </w:t>
            </w:r>
            <w:r w:rsidR="003157AD">
              <w:t>G</w:t>
            </w:r>
            <w:r w:rsidR="000B45F8" w:rsidRPr="00222B0C">
              <w:t xml:space="preserve">rade </w:t>
            </w:r>
            <w:r w:rsidR="003157AD" w:rsidRPr="005158D5">
              <w:t>≥</w:t>
            </w:r>
            <w:r w:rsidRPr="00222B0C">
              <w:t>3</w:t>
            </w:r>
            <w:r w:rsidR="003157AD" w:rsidRPr="005158D5">
              <w:t xml:space="preserve"> </w:t>
            </w:r>
            <w:r w:rsidRPr="00F77F0E">
              <w:t>FP-related toxicity</w:t>
            </w:r>
          </w:p>
        </w:tc>
        <w:tc>
          <w:tcPr>
            <w:tcW w:w="636" w:type="pct"/>
            <w:vAlign w:val="center"/>
          </w:tcPr>
          <w:p w14:paraId="377E1047" w14:textId="77777777" w:rsidR="0097375A" w:rsidRDefault="0097375A">
            <w:pPr>
              <w:pStyle w:val="2024TABLETEXT"/>
            </w:pPr>
            <w:r>
              <w:t>Comparative evidence (4 studies)</w:t>
            </w:r>
          </w:p>
          <w:p w14:paraId="7A4349CF" w14:textId="77777777" w:rsidR="0097375A" w:rsidRDefault="0097375A">
            <w:pPr>
              <w:pStyle w:val="2024TABLETEXT"/>
            </w:pPr>
          </w:p>
          <w:p w14:paraId="02737820" w14:textId="77777777" w:rsidR="0097375A" w:rsidRDefault="0097375A">
            <w:pPr>
              <w:pStyle w:val="2024TABLETEXT"/>
            </w:pPr>
            <w:r>
              <w:t>Intervention: N=177</w:t>
            </w:r>
          </w:p>
          <w:p w14:paraId="22D402B9" w14:textId="77777777" w:rsidR="0097375A" w:rsidRPr="00F77F0E" w:rsidRDefault="0097375A">
            <w:pPr>
              <w:pStyle w:val="2024TABLETEXT"/>
            </w:pPr>
            <w:r>
              <w:t xml:space="preserve">Comparator: N=859* </w:t>
            </w:r>
          </w:p>
        </w:tc>
        <w:tc>
          <w:tcPr>
            <w:tcW w:w="2619" w:type="pct"/>
            <w:vAlign w:val="center"/>
          </w:tcPr>
          <w:p w14:paraId="28B4C590" w14:textId="1D8CF6B3" w:rsidR="00DA4692" w:rsidRDefault="0097375A" w:rsidP="006D3C70">
            <w:pPr>
              <w:pStyle w:val="2024TABLEBULLET"/>
              <w:ind w:left="215" w:hanging="219"/>
            </w:pPr>
            <w:r>
              <w:t xml:space="preserve">The </w:t>
            </w:r>
            <w:r w:rsidR="00F57762">
              <w:t>proportion</w:t>
            </w:r>
            <w:r>
              <w:t xml:space="preserve"> of patients with </w:t>
            </w:r>
            <w:r w:rsidR="003157AD">
              <w:t>Grade ≥</w:t>
            </w:r>
            <w:r>
              <w:t xml:space="preserve">3 toxicity </w:t>
            </w:r>
            <w:r w:rsidR="00DA4692">
              <w:t xml:space="preserve">was </w:t>
            </w:r>
            <w:r>
              <w:t xml:space="preserve">generally </w:t>
            </w:r>
            <w:r w:rsidR="00397FFE">
              <w:t>lower in</w:t>
            </w:r>
            <w:r>
              <w:t xml:space="preserve"> the intervention cohorts, though studies were not powered to detect significant differences. </w:t>
            </w:r>
            <w:r w:rsidR="00F57762">
              <w:t>D</w:t>
            </w:r>
            <w:r>
              <w:t xml:space="preserve">ue to very small sample sizes and lack of adjustment, results could be confounded or mediated. </w:t>
            </w:r>
          </w:p>
          <w:p w14:paraId="7B294040" w14:textId="6D8765BD" w:rsidR="0097375A" w:rsidRPr="00653019" w:rsidRDefault="0097375A" w:rsidP="006D3C70">
            <w:pPr>
              <w:pStyle w:val="2024TABLEBULLET"/>
              <w:ind w:left="215" w:hanging="219"/>
            </w:pPr>
            <w:r>
              <w:t xml:space="preserve">One key concern is that distribution of specific alleles across intervention and control cohorts </w:t>
            </w:r>
            <w:r w:rsidR="00DA4692">
              <w:t xml:space="preserve">in multiple studies </w:t>
            </w:r>
            <w:r>
              <w:t xml:space="preserve">was not comparable. For example, </w:t>
            </w:r>
            <w:r w:rsidR="00577A08" w:rsidRPr="00577A08">
              <w:t>Paulsen et al. (2023)</w:t>
            </w:r>
            <w:r w:rsidR="00577A08">
              <w:t xml:space="preserve"> </w:t>
            </w:r>
            <w:r>
              <w:t xml:space="preserve">reported 23% (5/22) patients experienced toxicity in the intervention group, versus 29% (11/42) in the control group. However, there were less </w:t>
            </w:r>
            <w:r w:rsidR="0078783C">
              <w:t>c</w:t>
            </w:r>
            <w:r w:rsidR="004B0F45">
              <w:t xml:space="preserve">.1905+1G&gt;A </w:t>
            </w:r>
            <w:r>
              <w:t>carriers in the intervention group (4.6% (1/22</w:t>
            </w:r>
            <w:r w:rsidR="00F57762">
              <w:t>)</w:t>
            </w:r>
            <w:r>
              <w:t xml:space="preserve">) than the control group </w:t>
            </w:r>
            <w:r w:rsidR="00F57762">
              <w:t>(</w:t>
            </w:r>
            <w:r>
              <w:t>16.7% (7/42</w:t>
            </w:r>
            <w:r w:rsidR="00F57762">
              <w:t>)</w:t>
            </w:r>
            <w:r>
              <w:t xml:space="preserve">), and most (6/9) </w:t>
            </w:r>
            <w:r w:rsidR="0078783C">
              <w:t>c</w:t>
            </w:r>
            <w:r w:rsidR="004B0F45">
              <w:t xml:space="preserve">.1905+1G&gt;A </w:t>
            </w:r>
            <w:r>
              <w:t xml:space="preserve">carriers experienced severe toxicity. This limits capacity to draw conclusions about the efficacy of </w:t>
            </w:r>
            <w:r w:rsidR="00CD73DB" w:rsidRPr="00CD73DB">
              <w:rPr>
                <w:i/>
              </w:rPr>
              <w:t>DPYD</w:t>
            </w:r>
            <w:r>
              <w:t xml:space="preserve"> genotyping for 4 variants on a population level</w:t>
            </w:r>
            <w:r w:rsidR="005F248B">
              <w:t>.</w:t>
            </w:r>
          </w:p>
        </w:tc>
        <w:tc>
          <w:tcPr>
            <w:tcW w:w="1031" w:type="pct"/>
            <w:vMerge w:val="restart"/>
            <w:vAlign w:val="center"/>
          </w:tcPr>
          <w:p w14:paraId="6DAA8E54" w14:textId="77777777" w:rsidR="000B45F8" w:rsidRDefault="000B45F8" w:rsidP="000B45F8">
            <w:pPr>
              <w:pStyle w:val="2024TABLETEXT"/>
            </w:pPr>
            <w:r w:rsidRPr="006C32F4">
              <w:rPr>
                <w:rFonts w:ascii="Cambria Math" w:hAnsi="Cambria Math" w:cs="Cambria Math"/>
                <w:color w:val="388600"/>
              </w:rPr>
              <w:t>⨁</w:t>
            </w:r>
            <w:r w:rsidRPr="00CE28E3">
              <w:rPr>
                <w:rFonts w:ascii="Cambria Math" w:hAnsi="Cambria Math" w:cs="Cambria Math"/>
              </w:rPr>
              <w:t>⨀⨀⨀</w:t>
            </w:r>
            <w:r w:rsidRPr="0054775B">
              <w:t xml:space="preserve"> </w:t>
            </w:r>
          </w:p>
          <w:p w14:paraId="1CF29AF5" w14:textId="16EFCCD3" w:rsidR="000B45F8" w:rsidRDefault="000B45F8" w:rsidP="000B45F8">
            <w:pPr>
              <w:pStyle w:val="2024TABLETEXT"/>
            </w:pPr>
            <w:r w:rsidRPr="00A4581A">
              <w:t>VERY LOW</w:t>
            </w:r>
            <w:r w:rsidRPr="00A4581A">
              <w:rPr>
                <w:rStyle w:val="FootnoteReference"/>
                <w:b/>
                <w:bCs/>
              </w:rPr>
              <w:t xml:space="preserve"> a</w:t>
            </w:r>
            <w:r w:rsidRPr="00326C50">
              <w:t xml:space="preserve"> </w:t>
            </w:r>
          </w:p>
          <w:p w14:paraId="7892C8FD" w14:textId="1F151EC2" w:rsidR="0097375A" w:rsidRPr="00653019" w:rsidRDefault="0097375A">
            <w:pPr>
              <w:pStyle w:val="2024TABLETEXT"/>
            </w:pPr>
            <w:r w:rsidRPr="00326C50">
              <w:t xml:space="preserve">The evidence is very uncertain about the effect of </w:t>
            </w:r>
            <w:r w:rsidR="00CD73DB" w:rsidRPr="00CD73DB">
              <w:rPr>
                <w:i/>
              </w:rPr>
              <w:t>DPYD</w:t>
            </w:r>
            <w:r w:rsidRPr="00EB493D">
              <w:t xml:space="preserve"> genotyping before the commencement of systemic FP-based</w:t>
            </w:r>
            <w:r>
              <w:t xml:space="preserve"> </w:t>
            </w:r>
            <w:r w:rsidRPr="00EB493D">
              <w:t xml:space="preserve">chemotherapy compared to no </w:t>
            </w:r>
            <w:r w:rsidR="00CD73DB" w:rsidRPr="00CD73DB">
              <w:rPr>
                <w:i/>
              </w:rPr>
              <w:t>DPYD</w:t>
            </w:r>
            <w:r w:rsidRPr="00EB493D">
              <w:t xml:space="preserve"> genotyping </w:t>
            </w:r>
            <w:r w:rsidRPr="00326C50">
              <w:t xml:space="preserve">on </w:t>
            </w:r>
            <w:r>
              <w:t>i</w:t>
            </w:r>
            <w:r w:rsidRPr="00F77F0E">
              <w:t xml:space="preserve">ncidence of </w:t>
            </w:r>
            <w:r w:rsidR="003157AD">
              <w:t>Grade ≥</w:t>
            </w:r>
            <w:r w:rsidRPr="00222B0C">
              <w:t xml:space="preserve">3 </w:t>
            </w:r>
            <w:r w:rsidRPr="00F77F0E">
              <w:t>FP-related toxicity</w:t>
            </w:r>
            <w:r w:rsidRPr="00326C50">
              <w:t>.</w:t>
            </w:r>
          </w:p>
        </w:tc>
      </w:tr>
      <w:tr w:rsidR="00352512" w:rsidRPr="00CE28E3" w14:paraId="47C85183" w14:textId="77777777" w:rsidTr="00DE72B1">
        <w:trPr>
          <w:trHeight w:val="444"/>
        </w:trPr>
        <w:tc>
          <w:tcPr>
            <w:tcW w:w="714" w:type="pct"/>
            <w:vMerge/>
            <w:vAlign w:val="center"/>
          </w:tcPr>
          <w:p w14:paraId="1C69EC14" w14:textId="77777777" w:rsidR="0097375A" w:rsidRPr="00F77F0E" w:rsidRDefault="0097375A">
            <w:pPr>
              <w:pStyle w:val="2024TABLETEXT"/>
            </w:pPr>
          </w:p>
        </w:tc>
        <w:tc>
          <w:tcPr>
            <w:tcW w:w="636" w:type="pct"/>
            <w:vAlign w:val="center"/>
          </w:tcPr>
          <w:p w14:paraId="26927ABB" w14:textId="77777777" w:rsidR="0097375A" w:rsidRDefault="0097375A">
            <w:pPr>
              <w:pStyle w:val="2024TABLETEXT"/>
            </w:pPr>
            <w:r>
              <w:t>Non-comparative evidence (7 studies)</w:t>
            </w:r>
          </w:p>
          <w:p w14:paraId="5C7B2C00" w14:textId="77777777" w:rsidR="0097375A" w:rsidRDefault="0097375A">
            <w:pPr>
              <w:pStyle w:val="2024TABLETEXT"/>
            </w:pPr>
          </w:p>
          <w:p w14:paraId="7C53F48E" w14:textId="77777777" w:rsidR="0097375A" w:rsidRDefault="0097375A">
            <w:pPr>
              <w:pStyle w:val="2024TABLETEXT"/>
            </w:pPr>
            <w:r>
              <w:lastRenderedPageBreak/>
              <w:t>Intervention: N=304</w:t>
            </w:r>
          </w:p>
        </w:tc>
        <w:tc>
          <w:tcPr>
            <w:tcW w:w="2619" w:type="pct"/>
            <w:vAlign w:val="center"/>
          </w:tcPr>
          <w:p w14:paraId="3BD9F5C1" w14:textId="4929F001" w:rsidR="0097375A" w:rsidRPr="00653019" w:rsidRDefault="00742BE0" w:rsidP="006D3C70">
            <w:pPr>
              <w:pStyle w:val="2024TABLEBULLET"/>
              <w:ind w:left="215" w:hanging="219"/>
            </w:pPr>
            <w:r>
              <w:lastRenderedPageBreak/>
              <w:t xml:space="preserve">Comparing </w:t>
            </w:r>
            <w:r w:rsidR="00E64CAF">
              <w:rPr>
                <w:i/>
              </w:rPr>
              <w:t>DPYD</w:t>
            </w:r>
            <w:r w:rsidR="002D7643">
              <w:t xml:space="preserve"> variant carriers</w:t>
            </w:r>
            <w:r>
              <w:t xml:space="preserve"> receiving reduced dose to wildtypes</w:t>
            </w:r>
            <w:r w:rsidR="000B45F8">
              <w:t xml:space="preserve">, </w:t>
            </w:r>
            <w:r>
              <w:t xml:space="preserve">studies </w:t>
            </w:r>
            <w:r w:rsidR="00FD071E">
              <w:t>generally reported</w:t>
            </w:r>
            <w:r w:rsidR="0097375A">
              <w:t xml:space="preserve"> no significant difference in severe FP-related toxicity. This may suggest </w:t>
            </w:r>
            <w:r w:rsidR="0097375A" w:rsidRPr="00FF50F9">
              <w:t xml:space="preserve">that </w:t>
            </w:r>
            <w:r w:rsidR="00E64CAF">
              <w:rPr>
                <w:i/>
              </w:rPr>
              <w:t>DPYD</w:t>
            </w:r>
            <w:r w:rsidR="002D7643">
              <w:t xml:space="preserve"> variant carriers</w:t>
            </w:r>
            <w:r w:rsidR="0097375A">
              <w:t xml:space="preserve"> receiving dose reduction </w:t>
            </w:r>
            <w:r w:rsidR="0097375A" w:rsidRPr="00FF50F9">
              <w:t xml:space="preserve">do not experience increased risk of </w:t>
            </w:r>
            <w:r w:rsidR="0097375A">
              <w:t>severe FP</w:t>
            </w:r>
            <w:r w:rsidR="0097375A" w:rsidRPr="00FF50F9">
              <w:t>-related AEs compared with non</w:t>
            </w:r>
            <w:r w:rsidR="0097375A">
              <w:t>-</w:t>
            </w:r>
            <w:r w:rsidR="0097375A" w:rsidRPr="00FF50F9">
              <w:t xml:space="preserve">carriers </w:t>
            </w:r>
            <w:r w:rsidR="0097375A" w:rsidRPr="00B46D40">
              <w:t xml:space="preserve">receiving the standard of care. </w:t>
            </w:r>
            <w:r w:rsidR="0097375A" w:rsidRPr="0098475A">
              <w:lastRenderedPageBreak/>
              <w:t xml:space="preserve">However, </w:t>
            </w:r>
            <w:r w:rsidR="0097375A">
              <w:t xml:space="preserve">small sample sizes, key differences in study characteristics (such as carrier frequencies </w:t>
            </w:r>
            <w:r>
              <w:t>of alleles</w:t>
            </w:r>
            <w:r w:rsidR="0097375A">
              <w:t xml:space="preserve"> and dose reduction protocols) and serious to critical risk of bias concerns for all studies </w:t>
            </w:r>
            <w:r>
              <w:t>limits reliability of conclusions</w:t>
            </w:r>
            <w:r w:rsidR="0097375A">
              <w:t>.</w:t>
            </w:r>
          </w:p>
        </w:tc>
        <w:tc>
          <w:tcPr>
            <w:tcW w:w="1031" w:type="pct"/>
            <w:vMerge/>
            <w:vAlign w:val="center"/>
          </w:tcPr>
          <w:p w14:paraId="33B5C4DB" w14:textId="77777777" w:rsidR="0097375A" w:rsidRPr="00326C50" w:rsidRDefault="0097375A">
            <w:pPr>
              <w:pStyle w:val="2024TABLETEXT"/>
            </w:pPr>
          </w:p>
        </w:tc>
      </w:tr>
      <w:tr w:rsidR="00352512" w:rsidRPr="00AD0E1F" w14:paraId="36652589" w14:textId="77777777" w:rsidTr="00DE72B1">
        <w:trPr>
          <w:trHeight w:val="49"/>
        </w:trPr>
        <w:tc>
          <w:tcPr>
            <w:tcW w:w="714" w:type="pct"/>
            <w:vMerge w:val="restart"/>
            <w:vAlign w:val="center"/>
          </w:tcPr>
          <w:p w14:paraId="6AEBF8B0" w14:textId="77777777" w:rsidR="0097375A" w:rsidRPr="00AD0E1F" w:rsidRDefault="0097375A">
            <w:pPr>
              <w:pStyle w:val="2024TABLETEXT"/>
            </w:pPr>
            <w:r w:rsidRPr="00AD0E1F">
              <w:t>FP-related hospitalisations</w:t>
            </w:r>
          </w:p>
        </w:tc>
        <w:tc>
          <w:tcPr>
            <w:tcW w:w="636" w:type="pct"/>
            <w:vAlign w:val="center"/>
          </w:tcPr>
          <w:p w14:paraId="79B05991" w14:textId="77777777" w:rsidR="0097375A" w:rsidRPr="00AD0E1F" w:rsidRDefault="0097375A">
            <w:pPr>
              <w:pStyle w:val="2024TABLETEXT"/>
            </w:pPr>
            <w:r w:rsidRPr="00AD0E1F">
              <w:t>Comparative evidence (2 studies)</w:t>
            </w:r>
          </w:p>
          <w:p w14:paraId="7D690396" w14:textId="77777777" w:rsidR="0097375A" w:rsidRPr="00AD0E1F" w:rsidRDefault="0097375A">
            <w:pPr>
              <w:pStyle w:val="2024TABLETEXT"/>
            </w:pPr>
          </w:p>
          <w:p w14:paraId="40BB91B2" w14:textId="77777777" w:rsidR="0097375A" w:rsidRPr="00AD0E1F" w:rsidRDefault="0097375A">
            <w:pPr>
              <w:pStyle w:val="2024TABLETEXT"/>
            </w:pPr>
            <w:r w:rsidRPr="00AD0E1F">
              <w:t>Intervention: N=55</w:t>
            </w:r>
          </w:p>
          <w:p w14:paraId="76D12B68" w14:textId="77777777" w:rsidR="0097375A" w:rsidRPr="00AD0E1F" w:rsidRDefault="0097375A">
            <w:pPr>
              <w:pStyle w:val="2024TABLETEXT"/>
            </w:pPr>
            <w:r w:rsidRPr="00AD0E1F">
              <w:t>Comparator: N=76</w:t>
            </w:r>
          </w:p>
        </w:tc>
        <w:tc>
          <w:tcPr>
            <w:tcW w:w="2619" w:type="pct"/>
            <w:vAlign w:val="center"/>
          </w:tcPr>
          <w:p w14:paraId="517B3B80" w14:textId="1FD516DC" w:rsidR="0097375A" w:rsidRPr="00AD0E1F" w:rsidRDefault="0097375A" w:rsidP="006D3C70">
            <w:pPr>
              <w:pStyle w:val="2024TABLEBULLET"/>
              <w:ind w:left="215" w:hanging="219"/>
            </w:pPr>
            <w:r w:rsidRPr="00AD0E1F">
              <w:t>Results were conflicting</w:t>
            </w:r>
            <w:r w:rsidR="000B45F8" w:rsidRPr="00AD0E1F">
              <w:t xml:space="preserve">; one </w:t>
            </w:r>
            <w:r w:rsidR="00FD071E" w:rsidRPr="00AD0E1F">
              <w:t>study</w:t>
            </w:r>
            <w:r w:rsidRPr="00AD0E1F">
              <w:t xml:space="preserve"> suggested </w:t>
            </w:r>
            <w:r w:rsidR="00D93B6B" w:rsidRPr="00AD0E1F">
              <w:t>lower rates of</w:t>
            </w:r>
            <w:r w:rsidRPr="00AD0E1F">
              <w:t xml:space="preserve"> hospitalisation for the intervention group</w:t>
            </w:r>
            <w:r w:rsidR="00B70CDA" w:rsidRPr="00AD0E1F">
              <w:t xml:space="preserve"> Paulsen et al. (2023)</w:t>
            </w:r>
            <w:r w:rsidR="00B16B23" w:rsidRPr="00AD0E1F">
              <w:t>,</w:t>
            </w:r>
            <w:r w:rsidRPr="00AD0E1F">
              <w:t xml:space="preserve"> where the other suggested no difference </w:t>
            </w:r>
            <w:r w:rsidR="00161F55" w:rsidRPr="00AD0E1F">
              <w:t>Lunenburg et al. (2018)</w:t>
            </w:r>
            <w:r w:rsidR="00B16B23" w:rsidRPr="00AD0E1F">
              <w:t>.</w:t>
            </w:r>
            <w:r w:rsidRPr="00AD0E1F">
              <w:t xml:space="preserve"> For the former, as with toxicity, there were less </w:t>
            </w:r>
            <w:r w:rsidR="0078783C" w:rsidRPr="00AD0E1F">
              <w:t>c</w:t>
            </w:r>
            <w:r w:rsidR="004B0F45" w:rsidRPr="00AD0E1F">
              <w:t>.1905+1G&gt;A</w:t>
            </w:r>
            <w:r w:rsidRPr="00AD0E1F">
              <w:t xml:space="preserve"> carriers in the intervention group (4.6% (1/22</w:t>
            </w:r>
            <w:r w:rsidR="00742BE0" w:rsidRPr="00AD0E1F">
              <w:t>)</w:t>
            </w:r>
            <w:r w:rsidRPr="00AD0E1F">
              <w:t xml:space="preserve">) than the control group </w:t>
            </w:r>
            <w:r w:rsidR="00742BE0" w:rsidRPr="00AD0E1F">
              <w:t>(</w:t>
            </w:r>
            <w:r w:rsidRPr="00AD0E1F">
              <w:t>16.7% (7/42</w:t>
            </w:r>
            <w:r w:rsidR="00742BE0" w:rsidRPr="00AD0E1F">
              <w:t>)</w:t>
            </w:r>
            <w:r w:rsidRPr="00AD0E1F">
              <w:t>), and most (</w:t>
            </w:r>
            <w:r w:rsidR="000B45F8" w:rsidRPr="00AD0E1F">
              <w:t>6/9</w:t>
            </w:r>
            <w:r w:rsidRPr="00AD0E1F">
              <w:t xml:space="preserve">) </w:t>
            </w:r>
            <w:r w:rsidR="0078783C" w:rsidRPr="00AD0E1F">
              <w:t>c</w:t>
            </w:r>
            <w:r w:rsidR="004B0F45" w:rsidRPr="00AD0E1F">
              <w:t>.1905+1G&gt;A</w:t>
            </w:r>
            <w:r w:rsidRPr="00AD0E1F">
              <w:t xml:space="preserve"> </w:t>
            </w:r>
            <w:r w:rsidR="0082381C" w:rsidRPr="00AD0E1F">
              <w:t>carrier’s</w:t>
            </w:r>
            <w:r w:rsidRPr="00AD0E1F">
              <w:t xml:space="preserve"> experienced hospitalisation. Both studies were assessed as having critical risk of bias. Together, this suggests results are not reliable.</w:t>
            </w:r>
          </w:p>
        </w:tc>
        <w:tc>
          <w:tcPr>
            <w:tcW w:w="1031" w:type="pct"/>
            <w:vMerge w:val="restart"/>
            <w:vAlign w:val="center"/>
          </w:tcPr>
          <w:p w14:paraId="39C33EDE" w14:textId="77777777" w:rsidR="000B45F8" w:rsidRPr="00AD0E1F" w:rsidRDefault="000B45F8" w:rsidP="000B45F8">
            <w:pPr>
              <w:pStyle w:val="2024TABLETEXT"/>
            </w:pPr>
            <w:r w:rsidRPr="006C32F4">
              <w:rPr>
                <w:rFonts w:ascii="Cambria Math" w:hAnsi="Cambria Math" w:cs="Cambria Math"/>
                <w:color w:val="388600"/>
              </w:rPr>
              <w:t>⨁</w:t>
            </w:r>
            <w:r w:rsidRPr="00AD0E1F">
              <w:rPr>
                <w:rFonts w:ascii="Cambria Math" w:hAnsi="Cambria Math" w:cs="Cambria Math"/>
              </w:rPr>
              <w:t>⨀⨀⨀</w:t>
            </w:r>
            <w:r w:rsidRPr="00AD0E1F">
              <w:t xml:space="preserve"> </w:t>
            </w:r>
          </w:p>
          <w:p w14:paraId="057C8AF9" w14:textId="7CF5E79A" w:rsidR="000B45F8" w:rsidRPr="00AD0E1F" w:rsidRDefault="000B45F8" w:rsidP="000B45F8">
            <w:pPr>
              <w:pStyle w:val="2024TABLETEXT"/>
            </w:pPr>
            <w:r w:rsidRPr="00AD0E1F">
              <w:t>VERY LOW</w:t>
            </w:r>
            <w:r w:rsidRPr="00AD0E1F">
              <w:rPr>
                <w:rStyle w:val="FootnoteReference"/>
                <w:b/>
                <w:bCs/>
              </w:rPr>
              <w:t xml:space="preserve"> </w:t>
            </w:r>
            <w:r w:rsidR="00740203" w:rsidRPr="00AD0E1F">
              <w:rPr>
                <w:rStyle w:val="FootnoteReference"/>
                <w:b/>
                <w:bCs/>
              </w:rPr>
              <w:t>a</w:t>
            </w:r>
            <w:r w:rsidRPr="00AD0E1F">
              <w:t xml:space="preserve"> </w:t>
            </w:r>
          </w:p>
          <w:p w14:paraId="7FA68DF7" w14:textId="644AB82D" w:rsidR="0097375A" w:rsidRPr="00AD0E1F" w:rsidRDefault="0097375A">
            <w:pPr>
              <w:pStyle w:val="2024TABLETEXT"/>
            </w:pPr>
            <w:r w:rsidRPr="00AD0E1F">
              <w:t xml:space="preserve">The evidence is very uncertain about the effect of </w:t>
            </w:r>
            <w:r w:rsidR="00CD73DB" w:rsidRPr="00AD0E1F">
              <w:rPr>
                <w:i/>
              </w:rPr>
              <w:t>DPYD</w:t>
            </w:r>
            <w:r w:rsidRPr="00AD0E1F">
              <w:t xml:space="preserve"> genotyping before the commencement of systemic FP-based chemotherapy compared to no </w:t>
            </w:r>
            <w:r w:rsidR="00CD73DB" w:rsidRPr="00AD0E1F">
              <w:rPr>
                <w:i/>
              </w:rPr>
              <w:t>DPYD</w:t>
            </w:r>
            <w:r w:rsidRPr="00AD0E1F">
              <w:t xml:space="preserve"> genotyping on FP-related hospitalisations.</w:t>
            </w:r>
          </w:p>
        </w:tc>
      </w:tr>
      <w:tr w:rsidR="00352512" w:rsidRPr="00AD0E1F" w14:paraId="17CF85BE" w14:textId="77777777" w:rsidTr="00DE72B1">
        <w:trPr>
          <w:trHeight w:val="729"/>
        </w:trPr>
        <w:tc>
          <w:tcPr>
            <w:tcW w:w="714" w:type="pct"/>
            <w:vMerge/>
            <w:vAlign w:val="center"/>
          </w:tcPr>
          <w:p w14:paraId="615DCF29" w14:textId="77777777" w:rsidR="0097375A" w:rsidRPr="00AD0E1F" w:rsidRDefault="0097375A">
            <w:pPr>
              <w:pStyle w:val="2024TABLETEXT"/>
            </w:pPr>
          </w:p>
        </w:tc>
        <w:tc>
          <w:tcPr>
            <w:tcW w:w="636" w:type="pct"/>
            <w:vAlign w:val="center"/>
          </w:tcPr>
          <w:p w14:paraId="66E1424A" w14:textId="77777777" w:rsidR="0097375A" w:rsidRPr="00AD0E1F" w:rsidRDefault="0097375A">
            <w:pPr>
              <w:pStyle w:val="2024TABLETEXT"/>
            </w:pPr>
            <w:r w:rsidRPr="00AD0E1F">
              <w:t>Non-comparative evidence (4 studies)</w:t>
            </w:r>
          </w:p>
          <w:p w14:paraId="6AB90E63" w14:textId="77777777" w:rsidR="0097375A" w:rsidRPr="00AD0E1F" w:rsidRDefault="0097375A">
            <w:pPr>
              <w:pStyle w:val="2024TABLETEXT"/>
            </w:pPr>
          </w:p>
          <w:p w14:paraId="5869CF52" w14:textId="77777777" w:rsidR="0097375A" w:rsidRPr="00AD0E1F" w:rsidRDefault="0097375A">
            <w:pPr>
              <w:pStyle w:val="2024TABLETEXT"/>
            </w:pPr>
            <w:r w:rsidRPr="00AD0E1F">
              <w:t>Intervention: N=164</w:t>
            </w:r>
          </w:p>
        </w:tc>
        <w:tc>
          <w:tcPr>
            <w:tcW w:w="2619" w:type="pct"/>
            <w:vAlign w:val="center"/>
          </w:tcPr>
          <w:p w14:paraId="6E435115" w14:textId="532D809B" w:rsidR="0097375A" w:rsidRPr="00AD0E1F" w:rsidRDefault="0097375A" w:rsidP="006D3C70">
            <w:pPr>
              <w:pStyle w:val="2024TABLEBULLET"/>
              <w:ind w:left="215" w:hanging="219"/>
            </w:pPr>
            <w:r w:rsidRPr="00AD0E1F">
              <w:t xml:space="preserve">There were marked differences in reported proportions of patients hospitalised; hospital admission for </w:t>
            </w:r>
            <w:r w:rsidR="00E64CAF" w:rsidRPr="00AD0E1F">
              <w:rPr>
                <w:i/>
              </w:rPr>
              <w:t>DPYD</w:t>
            </w:r>
            <w:r w:rsidR="002D7643" w:rsidRPr="00AD0E1F">
              <w:t xml:space="preserve"> variant carriers</w:t>
            </w:r>
            <w:r w:rsidRPr="00AD0E1F">
              <w:t xml:space="preserve"> receiving a reduced dose ranged from </w:t>
            </w:r>
            <w:r w:rsidRPr="00AD0E1F">
              <w:rPr>
                <w:lang w:eastAsia="en-US"/>
              </w:rPr>
              <w:t>0% (0/22</w:t>
            </w:r>
            <w:r w:rsidR="00C573DD" w:rsidRPr="00AD0E1F">
              <w:rPr>
                <w:lang w:eastAsia="en-US"/>
              </w:rPr>
              <w:t>; 95% CI 0% - 15.4%)</w:t>
            </w:r>
            <w:r w:rsidRPr="00AD0E1F">
              <w:rPr>
                <w:lang w:eastAsia="en-US"/>
              </w:rPr>
              <w:t xml:space="preserve"> </w:t>
            </w:r>
            <w:r w:rsidRPr="00AD0E1F">
              <w:rPr>
                <w:rFonts w:eastAsia="ScalaLancetPro"/>
              </w:rPr>
              <w:t xml:space="preserve">to </w:t>
            </w:r>
            <w:r w:rsidRPr="00AD0E1F">
              <w:rPr>
                <w:lang w:eastAsia="en-US"/>
              </w:rPr>
              <w:t>43.5% (10/23</w:t>
            </w:r>
            <w:r w:rsidR="00C573DD" w:rsidRPr="00AD0E1F">
              <w:rPr>
                <w:lang w:eastAsia="en-US"/>
              </w:rPr>
              <w:t>; 95% CI 23.2% - 65.5%</w:t>
            </w:r>
            <w:r w:rsidR="00C573DD" w:rsidRPr="00AD0E1F">
              <w:rPr>
                <w:rFonts w:eastAsia="ScalaLancetPro"/>
              </w:rPr>
              <w:t>)</w:t>
            </w:r>
            <w:r w:rsidR="000B45F8" w:rsidRPr="00AD0E1F">
              <w:t>.</w:t>
            </w:r>
            <w:r w:rsidRPr="00AD0E1F">
              <w:t xml:space="preserve"> Extremely small sample sizes are likely key drivers </w:t>
            </w:r>
            <w:r w:rsidR="00C573DD" w:rsidRPr="00AD0E1F">
              <w:t>of</w:t>
            </w:r>
            <w:r w:rsidR="000B45F8" w:rsidRPr="00AD0E1F">
              <w:t xml:space="preserve"> </w:t>
            </w:r>
            <w:r w:rsidRPr="00AD0E1F">
              <w:t xml:space="preserve">differences </w:t>
            </w:r>
            <w:r w:rsidR="00C573DD" w:rsidRPr="00AD0E1F">
              <w:t>in</w:t>
            </w:r>
            <w:r w:rsidRPr="00AD0E1F">
              <w:t xml:space="preserve"> results and directions of effect</w:t>
            </w:r>
            <w:r w:rsidR="00C573DD" w:rsidRPr="00AD0E1F">
              <w:t>, and most</w:t>
            </w:r>
            <w:r w:rsidRPr="00AD0E1F">
              <w:t xml:space="preserve"> studies were assessed at critical risk of bias.</w:t>
            </w:r>
          </w:p>
        </w:tc>
        <w:tc>
          <w:tcPr>
            <w:tcW w:w="1031" w:type="pct"/>
            <w:vMerge/>
            <w:vAlign w:val="center"/>
          </w:tcPr>
          <w:p w14:paraId="278A79BB" w14:textId="77777777" w:rsidR="0097375A" w:rsidRPr="00AD0E1F" w:rsidRDefault="0097375A">
            <w:pPr>
              <w:pStyle w:val="2024TABLETEXT"/>
            </w:pPr>
          </w:p>
        </w:tc>
      </w:tr>
      <w:tr w:rsidR="00352512" w:rsidRPr="00AD0E1F" w14:paraId="6DADBBD0" w14:textId="77777777" w:rsidTr="0082381C">
        <w:trPr>
          <w:trHeight w:val="1506"/>
        </w:trPr>
        <w:tc>
          <w:tcPr>
            <w:tcW w:w="714" w:type="pct"/>
            <w:vMerge w:val="restart"/>
            <w:vAlign w:val="center"/>
          </w:tcPr>
          <w:p w14:paraId="0F4A8DD6" w14:textId="77777777" w:rsidR="0097375A" w:rsidRPr="00AD0E1F" w:rsidRDefault="0097375A">
            <w:pPr>
              <w:pStyle w:val="2024TABLETEXT"/>
            </w:pPr>
            <w:r w:rsidRPr="00AD0E1F">
              <w:t>FP-related treatment intervention (stopping, delay or dose reduction)</w:t>
            </w:r>
          </w:p>
        </w:tc>
        <w:tc>
          <w:tcPr>
            <w:tcW w:w="636" w:type="pct"/>
            <w:vAlign w:val="center"/>
          </w:tcPr>
          <w:p w14:paraId="3A300CFB" w14:textId="77777777" w:rsidR="0097375A" w:rsidRPr="00AD0E1F" w:rsidRDefault="0097375A">
            <w:pPr>
              <w:pStyle w:val="2024TABLETEXT"/>
            </w:pPr>
            <w:r w:rsidRPr="00AD0E1F">
              <w:t>Comparative evidence (2 studies)</w:t>
            </w:r>
          </w:p>
          <w:p w14:paraId="606EC289" w14:textId="77777777" w:rsidR="0097375A" w:rsidRPr="00AD0E1F" w:rsidRDefault="0097375A">
            <w:pPr>
              <w:pStyle w:val="2024TABLETEXT"/>
            </w:pPr>
          </w:p>
          <w:p w14:paraId="1429FB4E" w14:textId="77777777" w:rsidR="0097375A" w:rsidRPr="00AD0E1F" w:rsidRDefault="0097375A">
            <w:pPr>
              <w:pStyle w:val="2024TABLETEXT"/>
            </w:pPr>
            <w:r w:rsidRPr="00AD0E1F">
              <w:t>Intervention: N=55</w:t>
            </w:r>
          </w:p>
          <w:p w14:paraId="299AAAA4" w14:textId="77777777" w:rsidR="0097375A" w:rsidRPr="00AD0E1F" w:rsidRDefault="0097375A">
            <w:pPr>
              <w:pStyle w:val="2024TABLETEXT"/>
            </w:pPr>
            <w:r w:rsidRPr="00AD0E1F">
              <w:t>Comparator: N=76</w:t>
            </w:r>
          </w:p>
        </w:tc>
        <w:tc>
          <w:tcPr>
            <w:tcW w:w="2619" w:type="pct"/>
            <w:vAlign w:val="center"/>
          </w:tcPr>
          <w:p w14:paraId="2D911E1C" w14:textId="724D3875" w:rsidR="0097375A" w:rsidRPr="00AD0E1F" w:rsidRDefault="0097375A" w:rsidP="006D3C70">
            <w:pPr>
              <w:pStyle w:val="2024TABLEBULLET"/>
              <w:ind w:left="215" w:hanging="219"/>
            </w:pPr>
            <w:r w:rsidRPr="00AD0E1F">
              <w:t xml:space="preserve">Results </w:t>
            </w:r>
            <w:r w:rsidR="00E66765" w:rsidRPr="00AD0E1F">
              <w:t>of two studies</w:t>
            </w:r>
            <w:r w:rsidRPr="00AD0E1F">
              <w:t xml:space="preserve"> suggested </w:t>
            </w:r>
            <w:r w:rsidR="00571BAE" w:rsidRPr="00AD0E1F">
              <w:t xml:space="preserve">minimal, if any, </w:t>
            </w:r>
            <w:r w:rsidR="00E66765" w:rsidRPr="00AD0E1F">
              <w:t>differences in toxicity related</w:t>
            </w:r>
            <w:r w:rsidRPr="00AD0E1F">
              <w:t xml:space="preserve"> treatment </w:t>
            </w:r>
            <w:r w:rsidR="00E66765" w:rsidRPr="00AD0E1F">
              <w:t xml:space="preserve">stopping and dose reduction </w:t>
            </w:r>
            <w:r w:rsidR="00571BAE" w:rsidRPr="00AD0E1F">
              <w:t>between the intervention</w:t>
            </w:r>
            <w:r w:rsidRPr="00AD0E1F">
              <w:t xml:space="preserve"> and </w:t>
            </w:r>
            <w:r w:rsidR="00571BAE" w:rsidRPr="00AD0E1F">
              <w:t>comparator</w:t>
            </w:r>
            <w:r w:rsidR="000B45F8" w:rsidRPr="00AD0E1F">
              <w:t>.</w:t>
            </w:r>
            <w:r w:rsidRPr="00AD0E1F">
              <w:t xml:space="preserve"> However, small sample sizes and critical risk of bias make results </w:t>
            </w:r>
            <w:r w:rsidR="00EF126E" w:rsidRPr="00AD0E1F">
              <w:t>un</w:t>
            </w:r>
            <w:r w:rsidR="000B45F8" w:rsidRPr="00AD0E1F">
              <w:t>reliable.</w:t>
            </w:r>
          </w:p>
        </w:tc>
        <w:tc>
          <w:tcPr>
            <w:tcW w:w="1031" w:type="pct"/>
            <w:vMerge w:val="restart"/>
            <w:vAlign w:val="center"/>
          </w:tcPr>
          <w:p w14:paraId="74A2CF8B" w14:textId="77777777" w:rsidR="000B45F8" w:rsidRPr="00AD0E1F" w:rsidRDefault="000B45F8" w:rsidP="000B45F8">
            <w:pPr>
              <w:pStyle w:val="2024TABLETEXT"/>
            </w:pPr>
            <w:r w:rsidRPr="006C32F4">
              <w:rPr>
                <w:rFonts w:ascii="Cambria Math" w:hAnsi="Cambria Math" w:cs="Cambria Math"/>
                <w:color w:val="388600"/>
              </w:rPr>
              <w:t>⨁</w:t>
            </w:r>
            <w:r w:rsidRPr="00AD0E1F">
              <w:rPr>
                <w:rFonts w:ascii="Cambria Math" w:hAnsi="Cambria Math" w:cs="Cambria Math"/>
              </w:rPr>
              <w:t>⨀⨀⨀</w:t>
            </w:r>
          </w:p>
          <w:p w14:paraId="4C9D0F2B" w14:textId="43507531" w:rsidR="000B45F8" w:rsidRPr="00AD0E1F" w:rsidRDefault="000B45F8" w:rsidP="000B45F8">
            <w:pPr>
              <w:pStyle w:val="2024TABLETEXT"/>
            </w:pPr>
            <w:r w:rsidRPr="00AD0E1F">
              <w:t>VERY LOW</w:t>
            </w:r>
            <w:r w:rsidRPr="00AD0E1F">
              <w:rPr>
                <w:rStyle w:val="FootnoteReference"/>
                <w:b/>
                <w:bCs/>
              </w:rPr>
              <w:t xml:space="preserve"> </w:t>
            </w:r>
            <w:r w:rsidR="00B26FD7" w:rsidRPr="00AD0E1F">
              <w:rPr>
                <w:rStyle w:val="FootnoteReference"/>
                <w:b/>
                <w:bCs/>
              </w:rPr>
              <w:t>a</w:t>
            </w:r>
            <w:r w:rsidRPr="00AD0E1F">
              <w:t xml:space="preserve"> </w:t>
            </w:r>
          </w:p>
          <w:p w14:paraId="333CEB6B" w14:textId="1DBBCA0C" w:rsidR="0097375A" w:rsidRPr="00AD0E1F" w:rsidRDefault="0097375A">
            <w:pPr>
              <w:pStyle w:val="2024TABLETEXT"/>
            </w:pPr>
            <w:r w:rsidRPr="00AD0E1F">
              <w:t xml:space="preserve">The evidence is very uncertain about the effect of </w:t>
            </w:r>
            <w:r w:rsidR="00CD73DB" w:rsidRPr="00AD0E1F">
              <w:rPr>
                <w:i/>
              </w:rPr>
              <w:t>DPYD</w:t>
            </w:r>
            <w:r w:rsidRPr="00AD0E1F">
              <w:t xml:space="preserve"> genotyping before the commencement of systemic FP-based chemotherapy compared to no </w:t>
            </w:r>
            <w:r w:rsidR="00CD73DB" w:rsidRPr="00AD0E1F">
              <w:rPr>
                <w:i/>
              </w:rPr>
              <w:t>DPYD</w:t>
            </w:r>
            <w:r w:rsidRPr="00AD0E1F">
              <w:t xml:space="preserve"> genotyping on FP-related hospitalisations.</w:t>
            </w:r>
          </w:p>
        </w:tc>
      </w:tr>
      <w:tr w:rsidR="00352512" w:rsidRPr="00AD0E1F" w14:paraId="754B358F" w14:textId="77777777" w:rsidTr="00DE72B1">
        <w:trPr>
          <w:trHeight w:val="81"/>
        </w:trPr>
        <w:tc>
          <w:tcPr>
            <w:tcW w:w="714" w:type="pct"/>
            <w:vMerge/>
            <w:vAlign w:val="center"/>
          </w:tcPr>
          <w:p w14:paraId="3D0B0FAD" w14:textId="77777777" w:rsidR="0097375A" w:rsidRPr="00AD0E1F" w:rsidRDefault="0097375A">
            <w:pPr>
              <w:pStyle w:val="2024TABLETEXT"/>
            </w:pPr>
          </w:p>
        </w:tc>
        <w:tc>
          <w:tcPr>
            <w:tcW w:w="636" w:type="pct"/>
            <w:vAlign w:val="center"/>
          </w:tcPr>
          <w:p w14:paraId="6C653616" w14:textId="77777777" w:rsidR="0097375A" w:rsidRPr="00AD0E1F" w:rsidRDefault="0097375A">
            <w:pPr>
              <w:pStyle w:val="2024TABLETEXT"/>
            </w:pPr>
            <w:r w:rsidRPr="00AD0E1F">
              <w:t>Non-comparative evidence (6 studies)</w:t>
            </w:r>
          </w:p>
          <w:p w14:paraId="01D8ECD2" w14:textId="77777777" w:rsidR="0097375A" w:rsidRPr="00AD0E1F" w:rsidRDefault="0097375A">
            <w:pPr>
              <w:pStyle w:val="2024TABLETEXT"/>
            </w:pPr>
          </w:p>
          <w:p w14:paraId="7A01ED4E" w14:textId="77777777" w:rsidR="0097375A" w:rsidRPr="00AD0E1F" w:rsidRDefault="0097375A">
            <w:pPr>
              <w:pStyle w:val="2024TABLETEXT"/>
            </w:pPr>
            <w:r w:rsidRPr="00AD0E1F">
              <w:t>Intervention: N=252</w:t>
            </w:r>
          </w:p>
        </w:tc>
        <w:tc>
          <w:tcPr>
            <w:tcW w:w="2619" w:type="pct"/>
            <w:vAlign w:val="center"/>
          </w:tcPr>
          <w:p w14:paraId="36F9D24F" w14:textId="3C0B3D30" w:rsidR="0097375A" w:rsidRPr="00AD0E1F" w:rsidRDefault="0097375A" w:rsidP="006D3C70">
            <w:pPr>
              <w:pStyle w:val="2024TABLEBULLET"/>
              <w:ind w:left="215" w:hanging="219"/>
            </w:pPr>
            <w:r w:rsidRPr="00AD0E1F">
              <w:t xml:space="preserve">Four studies </w:t>
            </w:r>
            <w:r w:rsidR="00571BAE" w:rsidRPr="00AD0E1F">
              <w:t>reported</w:t>
            </w:r>
            <w:r w:rsidRPr="00AD0E1F">
              <w:t xml:space="preserve"> no significant difference in the proportion of patients with treatment stopping for </w:t>
            </w:r>
            <w:r w:rsidR="00E64CAF" w:rsidRPr="00AD0E1F">
              <w:rPr>
                <w:i/>
              </w:rPr>
              <w:t>DPYD</w:t>
            </w:r>
            <w:r w:rsidR="002D7643" w:rsidRPr="00AD0E1F">
              <w:t xml:space="preserve"> variant carriers</w:t>
            </w:r>
            <w:r w:rsidRPr="00AD0E1F">
              <w:t xml:space="preserve"> with reduced FP-dose compared to wildtypes; two studies reported no difference in further dose reduction. This may suggest that </w:t>
            </w:r>
            <w:r w:rsidR="00E64CAF" w:rsidRPr="00AD0E1F">
              <w:rPr>
                <w:i/>
              </w:rPr>
              <w:t>DPYD</w:t>
            </w:r>
            <w:r w:rsidR="002D7643" w:rsidRPr="00AD0E1F">
              <w:t xml:space="preserve"> variant carriers</w:t>
            </w:r>
            <w:r w:rsidRPr="00AD0E1F">
              <w:t xml:space="preserve"> receiving dose reduction do not experience increased risk of treatment non-completion compared with non-carriers receiving the standard of care. However, small sample sizes, key differences in study characteristics (such as carrier frequencies and dose reduction protocols) and serious to critical risk of bias concerns for all studies should be considered</w:t>
            </w:r>
            <w:r w:rsidR="00571BAE" w:rsidRPr="00AD0E1F">
              <w:t>.</w:t>
            </w:r>
          </w:p>
        </w:tc>
        <w:tc>
          <w:tcPr>
            <w:tcW w:w="1031" w:type="pct"/>
            <w:vMerge/>
            <w:vAlign w:val="center"/>
          </w:tcPr>
          <w:p w14:paraId="2905EC9A" w14:textId="77777777" w:rsidR="0097375A" w:rsidRPr="00AD0E1F" w:rsidRDefault="0097375A">
            <w:pPr>
              <w:pStyle w:val="2024TABLETEXT"/>
            </w:pPr>
          </w:p>
        </w:tc>
      </w:tr>
      <w:tr w:rsidR="006766FD" w:rsidRPr="00AD0E1F" w14:paraId="4CD5B080" w14:textId="77777777" w:rsidTr="00DE72B1">
        <w:trPr>
          <w:trHeight w:val="729"/>
        </w:trPr>
        <w:tc>
          <w:tcPr>
            <w:tcW w:w="714" w:type="pct"/>
            <w:vAlign w:val="center"/>
          </w:tcPr>
          <w:p w14:paraId="6152AA94" w14:textId="77777777" w:rsidR="0097375A" w:rsidRPr="00AD0E1F" w:rsidRDefault="0097375A">
            <w:pPr>
              <w:pStyle w:val="2024TABLETEXT"/>
            </w:pPr>
            <w:r w:rsidRPr="00AD0E1F">
              <w:t>Survival outcomes (OS, PFS)</w:t>
            </w:r>
          </w:p>
        </w:tc>
        <w:tc>
          <w:tcPr>
            <w:tcW w:w="636" w:type="pct"/>
            <w:vAlign w:val="center"/>
          </w:tcPr>
          <w:p w14:paraId="3B66E4BB" w14:textId="77777777" w:rsidR="0097375A" w:rsidRPr="00AD0E1F" w:rsidRDefault="0097375A">
            <w:pPr>
              <w:pStyle w:val="2024TABLETEXT"/>
            </w:pPr>
            <w:r w:rsidRPr="00AD0E1F">
              <w:t>Non-comparative evidence (1 study)</w:t>
            </w:r>
          </w:p>
          <w:p w14:paraId="7561A229" w14:textId="77777777" w:rsidR="0097375A" w:rsidRPr="00AD0E1F" w:rsidRDefault="0097375A">
            <w:pPr>
              <w:pStyle w:val="2024TABLETEXT"/>
            </w:pPr>
          </w:p>
          <w:p w14:paraId="3D9702FE" w14:textId="77777777" w:rsidR="0097375A" w:rsidRPr="00AD0E1F" w:rsidRDefault="0097375A">
            <w:pPr>
              <w:pStyle w:val="2024TABLETEXT"/>
            </w:pPr>
            <w:r w:rsidRPr="00AD0E1F">
              <w:t>Intervention: N=93</w:t>
            </w:r>
          </w:p>
        </w:tc>
        <w:tc>
          <w:tcPr>
            <w:tcW w:w="2619" w:type="pct"/>
            <w:vAlign w:val="center"/>
          </w:tcPr>
          <w:p w14:paraId="655AAD1A" w14:textId="3C4D9BF3" w:rsidR="0097375A" w:rsidRPr="00AD0E1F" w:rsidRDefault="0097375A" w:rsidP="006D3C70">
            <w:pPr>
              <w:pStyle w:val="2024TABLEBULLET"/>
              <w:ind w:left="215" w:hanging="219"/>
            </w:pPr>
            <w:r w:rsidRPr="00AD0E1F">
              <w:t>One study conducted a retrospective matched-pair survival analysis</w:t>
            </w:r>
            <w:r w:rsidR="003074CC" w:rsidRPr="00AD0E1F">
              <w:t>,</w:t>
            </w:r>
            <w:r w:rsidRPr="00AD0E1F">
              <w:t xml:space="preserve"> reporting no significant differences in overall survival (OS) or progression-free survival (PFS) </w:t>
            </w:r>
            <w:r w:rsidR="003074CC" w:rsidRPr="00AD0E1F">
              <w:t xml:space="preserve">for </w:t>
            </w:r>
            <w:r w:rsidR="00CD73DB" w:rsidRPr="00AD0E1F">
              <w:rPr>
                <w:i/>
              </w:rPr>
              <w:t>DPYD</w:t>
            </w:r>
            <w:r w:rsidR="003074CC" w:rsidRPr="00AD0E1F">
              <w:t xml:space="preserve"> variant carriers receiving reduced doses </w:t>
            </w:r>
            <w:r w:rsidRPr="00AD0E1F">
              <w:t>compared to wildtypes</w:t>
            </w:r>
            <w:r w:rsidR="003074CC" w:rsidRPr="00AD0E1F">
              <w:t>.</w:t>
            </w:r>
            <w:r w:rsidRPr="00AD0E1F">
              <w:t xml:space="preserve"> This would suggest that, overall, dose reduction based on </w:t>
            </w:r>
            <w:r w:rsidR="00CD73DB" w:rsidRPr="00AD0E1F">
              <w:rPr>
                <w:i/>
              </w:rPr>
              <w:t>DPYD</w:t>
            </w:r>
            <w:r w:rsidRPr="00AD0E1F">
              <w:t xml:space="preserve"> genotyping </w:t>
            </w:r>
            <w:r w:rsidR="003074CC" w:rsidRPr="00AD0E1F">
              <w:t>may</w:t>
            </w:r>
            <w:r w:rsidRPr="00AD0E1F">
              <w:t xml:space="preserve"> not compromise treatment effectiveness. </w:t>
            </w:r>
            <w:r w:rsidR="003074CC" w:rsidRPr="00AD0E1F">
              <w:t>However,</w:t>
            </w:r>
            <w:r w:rsidRPr="00AD0E1F">
              <w:t xml:space="preserve"> PFS outcomes were borderline significant and trending towards shorter PFS for </w:t>
            </w:r>
            <w:r w:rsidR="00E64CAF" w:rsidRPr="00AD0E1F">
              <w:rPr>
                <w:i/>
              </w:rPr>
              <w:t>DPYD</w:t>
            </w:r>
            <w:r w:rsidR="002D7643" w:rsidRPr="00AD0E1F">
              <w:t xml:space="preserve"> variant carriers</w:t>
            </w:r>
            <w:r w:rsidRPr="00AD0E1F">
              <w:t xml:space="preserve">. Secondary analyses suggested that this was likely driven by survival results in the c.1236G&gt; subgroup. In this group, over 75% of c.1236G&gt;A carriers were kept on a consistent 75% dose over all treatment cycles. As dose escalation was not completed according to the protocol, this may have impacted treatment </w:t>
            </w:r>
            <w:r w:rsidRPr="00AD0E1F">
              <w:lastRenderedPageBreak/>
              <w:t>effectiveness. Overall, the study was judged as having a critical risk of bias with post-hoc power analysis showing the study was significantly underpowered for PFS events (and likely for OS).</w:t>
            </w:r>
          </w:p>
        </w:tc>
        <w:tc>
          <w:tcPr>
            <w:tcW w:w="1031" w:type="pct"/>
            <w:vAlign w:val="center"/>
          </w:tcPr>
          <w:p w14:paraId="62B938CD" w14:textId="77777777" w:rsidR="00036A3C" w:rsidRPr="00AD0E1F" w:rsidRDefault="003074CC" w:rsidP="003074CC">
            <w:pPr>
              <w:pStyle w:val="2024TABLETEXT"/>
            </w:pPr>
            <w:r w:rsidRPr="006C32F4">
              <w:rPr>
                <w:rFonts w:ascii="Cambria Math" w:hAnsi="Cambria Math"/>
                <w:color w:val="388600"/>
              </w:rPr>
              <w:lastRenderedPageBreak/>
              <w:t>⨁</w:t>
            </w:r>
            <w:r w:rsidR="00B26FD7" w:rsidRPr="00AD0E1F">
              <w:rPr>
                <w:rFonts w:ascii="Cambria Math" w:hAnsi="Cambria Math"/>
              </w:rPr>
              <w:t>⨀</w:t>
            </w:r>
            <w:r w:rsidRPr="00AD0E1F">
              <w:rPr>
                <w:rFonts w:ascii="Cambria Math" w:hAnsi="Cambria Math"/>
              </w:rPr>
              <w:t>⨀⨀</w:t>
            </w:r>
            <w:r w:rsidRPr="00AD0E1F">
              <w:t xml:space="preserve"> </w:t>
            </w:r>
          </w:p>
          <w:p w14:paraId="53221550" w14:textId="7F371B10" w:rsidR="000B45F8" w:rsidRPr="00AD0E1F" w:rsidRDefault="00B26FD7">
            <w:pPr>
              <w:pStyle w:val="2024TABLETEXT"/>
            </w:pPr>
            <w:r w:rsidRPr="00AD0E1F">
              <w:t xml:space="preserve">VERY </w:t>
            </w:r>
            <w:r w:rsidR="003074CC" w:rsidRPr="00AD0E1F">
              <w:t>LOW</w:t>
            </w:r>
            <w:r w:rsidR="007714CB" w:rsidRPr="00AD0E1F">
              <w:t xml:space="preserve"> </w:t>
            </w:r>
            <w:r w:rsidRPr="00AD0E1F">
              <w:rPr>
                <w:vertAlign w:val="superscript"/>
              </w:rPr>
              <w:t>a</w:t>
            </w:r>
          </w:p>
          <w:p w14:paraId="62AFAEB0" w14:textId="1A375327" w:rsidR="0097375A" w:rsidRPr="00AD0E1F" w:rsidRDefault="0097375A">
            <w:pPr>
              <w:pStyle w:val="2024TABLETEXT"/>
            </w:pPr>
            <w:r w:rsidRPr="00AD0E1F">
              <w:t xml:space="preserve">The evidence </w:t>
            </w:r>
            <w:r w:rsidR="00036A3C" w:rsidRPr="00AD0E1F">
              <w:t xml:space="preserve">is very uncertain about the effect of </w:t>
            </w:r>
            <w:r w:rsidR="00CD73DB" w:rsidRPr="00AD0E1F">
              <w:rPr>
                <w:i/>
              </w:rPr>
              <w:t>DPYD</w:t>
            </w:r>
            <w:r w:rsidRPr="00AD0E1F">
              <w:t xml:space="preserve"> genotyping before the commencement of systemic FP-based chemotherapy </w:t>
            </w:r>
            <w:r w:rsidR="00036A3C" w:rsidRPr="00AD0E1F">
              <w:t>compared on</w:t>
            </w:r>
            <w:r w:rsidRPr="00AD0E1F">
              <w:t xml:space="preserve"> survival outcomes.</w:t>
            </w:r>
          </w:p>
        </w:tc>
      </w:tr>
      <w:tr w:rsidR="006766FD" w:rsidRPr="00AD0E1F" w14:paraId="04E1DA79" w14:textId="77777777" w:rsidTr="00DE72B1">
        <w:trPr>
          <w:trHeight w:val="729"/>
        </w:trPr>
        <w:tc>
          <w:tcPr>
            <w:tcW w:w="714" w:type="pct"/>
            <w:vAlign w:val="center"/>
          </w:tcPr>
          <w:p w14:paraId="3CE0E9A7" w14:textId="77777777" w:rsidR="0097375A" w:rsidRPr="00AD0E1F" w:rsidRDefault="0097375A">
            <w:pPr>
              <w:pStyle w:val="2024TABLETEXT"/>
            </w:pPr>
            <w:r w:rsidRPr="00AD0E1F">
              <w:t>Treatment response</w:t>
            </w:r>
          </w:p>
        </w:tc>
        <w:tc>
          <w:tcPr>
            <w:tcW w:w="636" w:type="pct"/>
            <w:vAlign w:val="center"/>
          </w:tcPr>
          <w:p w14:paraId="188533C2" w14:textId="77777777" w:rsidR="0097375A" w:rsidRPr="00AD0E1F" w:rsidRDefault="0097375A">
            <w:pPr>
              <w:pStyle w:val="2024TABLETEXT"/>
            </w:pPr>
            <w:r w:rsidRPr="00AD0E1F">
              <w:t>Non-comparative evidence (1 study)</w:t>
            </w:r>
          </w:p>
          <w:p w14:paraId="429D068A" w14:textId="77777777" w:rsidR="0063732E" w:rsidRPr="00AD0E1F" w:rsidRDefault="0063732E">
            <w:pPr>
              <w:pStyle w:val="2024TABLETEXT"/>
            </w:pPr>
          </w:p>
          <w:p w14:paraId="1B708CA1" w14:textId="1BE82D48" w:rsidR="0097375A" w:rsidRPr="00AD0E1F" w:rsidRDefault="00D91E3C">
            <w:pPr>
              <w:pStyle w:val="2024TABLETEXT"/>
            </w:pPr>
            <w:r w:rsidRPr="00AD0E1F">
              <w:t>Intervention: N=23</w:t>
            </w:r>
          </w:p>
        </w:tc>
        <w:tc>
          <w:tcPr>
            <w:tcW w:w="2619" w:type="pct"/>
            <w:vAlign w:val="center"/>
          </w:tcPr>
          <w:p w14:paraId="47CFB19D" w14:textId="2E2D09E1" w:rsidR="0097375A" w:rsidRPr="00AD0E1F" w:rsidRDefault="0097375A" w:rsidP="0082381C">
            <w:pPr>
              <w:pStyle w:val="2024TABLEBULLET"/>
              <w:ind w:left="215" w:hanging="221"/>
            </w:pPr>
            <w:r w:rsidRPr="00AD0E1F">
              <w:t xml:space="preserve">Treatment response outcomes were reported in one small </w:t>
            </w:r>
            <w:r w:rsidR="003074CC" w:rsidRPr="00AD0E1F">
              <w:t>retrospective study.</w:t>
            </w:r>
            <w:r w:rsidRPr="00AD0E1F">
              <w:t xml:space="preserve"> Most patients (N=11/15) with measurable disease had at least a partial response to treatment despite dose reductions</w:t>
            </w:r>
            <w:r w:rsidR="003074CC" w:rsidRPr="00AD0E1F">
              <w:t xml:space="preserve">. This may suggest reduced dosing in </w:t>
            </w:r>
            <w:r w:rsidR="00CD73DB" w:rsidRPr="00AD0E1F">
              <w:rPr>
                <w:i/>
              </w:rPr>
              <w:t>DPYD</w:t>
            </w:r>
            <w:r w:rsidR="003074CC" w:rsidRPr="00AD0E1F">
              <w:t xml:space="preserve"> does not impair antitumor efficacy of FP, supporting conclusions from</w:t>
            </w:r>
            <w:r w:rsidR="00161F55" w:rsidRPr="00AD0E1F">
              <w:t xml:space="preserve"> </w:t>
            </w:r>
            <w:proofErr w:type="spellStart"/>
            <w:r w:rsidR="00577A08" w:rsidRPr="00AD0E1F">
              <w:t>Knikman</w:t>
            </w:r>
            <w:proofErr w:type="spellEnd"/>
            <w:r w:rsidR="00577A08" w:rsidRPr="00AD0E1F">
              <w:t xml:space="preserve"> et al. (2023)</w:t>
            </w:r>
            <w:r w:rsidR="003074CC" w:rsidRPr="00AD0E1F">
              <w:t>. However, this was a small, retrospective study assessed at critical risk of bias. Further research is needed on treatment response of reduced FP doses.</w:t>
            </w:r>
          </w:p>
        </w:tc>
        <w:tc>
          <w:tcPr>
            <w:tcW w:w="1031" w:type="pct"/>
            <w:vAlign w:val="center"/>
          </w:tcPr>
          <w:p w14:paraId="296E8D89" w14:textId="77777777" w:rsidR="000B45F8" w:rsidRPr="00AD0E1F" w:rsidRDefault="000B45F8" w:rsidP="000B45F8">
            <w:pPr>
              <w:pStyle w:val="2024TABLETEXT"/>
            </w:pPr>
            <w:r w:rsidRPr="006C32F4">
              <w:rPr>
                <w:rFonts w:ascii="Cambria Math" w:hAnsi="Cambria Math" w:cs="Cambria Math"/>
                <w:color w:val="388600"/>
              </w:rPr>
              <w:t>⨁</w:t>
            </w:r>
            <w:r w:rsidRPr="00AD0E1F">
              <w:rPr>
                <w:rFonts w:ascii="Cambria Math" w:hAnsi="Cambria Math" w:cs="Cambria Math"/>
              </w:rPr>
              <w:t>⨀⨀⨀</w:t>
            </w:r>
          </w:p>
          <w:p w14:paraId="42DDEC5D" w14:textId="195C851C" w:rsidR="000B45F8" w:rsidRPr="00AD0E1F" w:rsidRDefault="000B45F8" w:rsidP="000B45F8">
            <w:pPr>
              <w:pStyle w:val="2024TABLETEXT"/>
            </w:pPr>
            <w:r w:rsidRPr="00AD0E1F">
              <w:t xml:space="preserve">VERY </w:t>
            </w:r>
            <w:r w:rsidR="003074CC" w:rsidRPr="00AD0E1F">
              <w:t>LOW</w:t>
            </w:r>
            <w:r w:rsidR="00FA0374" w:rsidRPr="00AD0E1F">
              <w:t xml:space="preserve"> </w:t>
            </w:r>
            <w:r w:rsidR="00B26FD7" w:rsidRPr="00AD0E1F">
              <w:rPr>
                <w:vertAlign w:val="superscript"/>
              </w:rPr>
              <w:t>a</w:t>
            </w:r>
            <w:r w:rsidRPr="00AD0E1F">
              <w:rPr>
                <w:vertAlign w:val="superscript"/>
              </w:rPr>
              <w:t xml:space="preserve"> </w:t>
            </w:r>
          </w:p>
          <w:p w14:paraId="05DDA590" w14:textId="155F2DD7" w:rsidR="0097375A" w:rsidRPr="00AD0E1F" w:rsidRDefault="0097375A">
            <w:pPr>
              <w:pStyle w:val="2024TABLETEXT"/>
            </w:pPr>
            <w:r w:rsidRPr="00AD0E1F">
              <w:t xml:space="preserve">The evidence is very uncertain about the effect of </w:t>
            </w:r>
            <w:r w:rsidR="00CD73DB" w:rsidRPr="00AD0E1F">
              <w:rPr>
                <w:i/>
              </w:rPr>
              <w:t>DPYD</w:t>
            </w:r>
            <w:r w:rsidRPr="00AD0E1F">
              <w:t xml:space="preserve"> genotyping before the commencement of systemic FP-based chemotherapy on treatment response.</w:t>
            </w:r>
          </w:p>
        </w:tc>
      </w:tr>
    </w:tbl>
    <w:p w14:paraId="7B57E1F6" w14:textId="71E35095" w:rsidR="000B45ED" w:rsidRPr="00AD0E1F" w:rsidRDefault="00F21604" w:rsidP="00952468">
      <w:pPr>
        <w:pStyle w:val="TableFooter"/>
      </w:pPr>
      <w:r w:rsidRPr="00E01033">
        <w:rPr>
          <w:iCs/>
        </w:rPr>
        <w:t xml:space="preserve">AE=Adverse </w:t>
      </w:r>
      <w:r w:rsidR="00F92FF9" w:rsidRPr="00E01033">
        <w:rPr>
          <w:iCs/>
        </w:rPr>
        <w:t>event</w:t>
      </w:r>
      <w:r w:rsidR="00185983" w:rsidRPr="00AD0E1F">
        <w:rPr>
          <w:i/>
        </w:rPr>
        <w:t xml:space="preserve">; </w:t>
      </w:r>
      <w:r w:rsidR="00CD73DB" w:rsidRPr="00AD0E1F">
        <w:rPr>
          <w:i/>
        </w:rPr>
        <w:t>DPYD</w:t>
      </w:r>
      <w:r w:rsidR="00DE72B1" w:rsidRPr="00AD0E1F">
        <w:t>=</w:t>
      </w:r>
      <w:proofErr w:type="spellStart"/>
      <w:r w:rsidR="00DE72B1" w:rsidRPr="00E01033">
        <w:rPr>
          <w:i/>
          <w:iCs/>
        </w:rPr>
        <w:t>Dihydropyrimidine</w:t>
      </w:r>
      <w:proofErr w:type="spellEnd"/>
      <w:r w:rsidR="00DE72B1" w:rsidRPr="00E01033">
        <w:rPr>
          <w:i/>
          <w:iCs/>
        </w:rPr>
        <w:t xml:space="preserve"> dehydrogenase</w:t>
      </w:r>
      <w:r w:rsidR="00DE72B1" w:rsidRPr="00AD0E1F">
        <w:t xml:space="preserve"> gene;</w:t>
      </w:r>
      <w:r w:rsidR="0078783C" w:rsidRPr="00AD0E1F">
        <w:t xml:space="preserve"> </w:t>
      </w:r>
      <w:r w:rsidR="00DE72B1" w:rsidRPr="00AD0E1F">
        <w:t xml:space="preserve">FP=Fluoropyrimidine; OS=Overall survival; PFS=Progression-free survival; </w:t>
      </w:r>
      <w:r w:rsidR="000B45ED" w:rsidRPr="00AD0E1F">
        <w:t xml:space="preserve">Critical/serious risk of bias in all studies (downgraded </w:t>
      </w:r>
      <w:r w:rsidR="00892FD3" w:rsidRPr="00AD0E1F">
        <w:t>one</w:t>
      </w:r>
      <w:r w:rsidR="000B45ED" w:rsidRPr="00AD0E1F">
        <w:t xml:space="preserve"> for risk of bias). Not enough participant characteristics reported to assess applicability to Australian context</w:t>
      </w:r>
      <w:r w:rsidR="007E7D08" w:rsidRPr="00AD0E1F">
        <w:t>, dose reduction protocols not aligned with current CPIC guidelines</w:t>
      </w:r>
      <w:r w:rsidR="000B45ED" w:rsidRPr="00AD0E1F">
        <w:t xml:space="preserve"> (downgrade one for indirectness). </w:t>
      </w:r>
      <w:r w:rsidR="00B26FD7" w:rsidRPr="00AD0E1F">
        <w:t>Not appropriately powered to detect significant differences in effect sizes (downgraded one for imprecision).</w:t>
      </w:r>
    </w:p>
    <w:p w14:paraId="25D45B77" w14:textId="08A082B4" w:rsidR="00AB03AD" w:rsidRPr="00AD0E1F" w:rsidRDefault="00E127E0" w:rsidP="00AB03AD">
      <w:r w:rsidRPr="00AD0E1F">
        <w:t>As part of the systematic review procedure, linked evidence was also identified and was presented as supporting information</w:t>
      </w:r>
      <w:r w:rsidR="00851430" w:rsidRPr="00AD0E1F">
        <w:t>. Key results</w:t>
      </w:r>
      <w:r w:rsidRPr="00AD0E1F">
        <w:t xml:space="preserve"> for </w:t>
      </w:r>
      <w:r w:rsidR="00851430" w:rsidRPr="00AD0E1F">
        <w:t xml:space="preserve">PICO-specified outcomes </w:t>
      </w:r>
      <w:r w:rsidR="003328AC" w:rsidRPr="00AD0E1F">
        <w:t xml:space="preserve">are summarised in </w:t>
      </w:r>
      <w:r w:rsidR="00B23B67" w:rsidRPr="00AD0E1F">
        <w:fldChar w:fldCharType="begin"/>
      </w:r>
      <w:r w:rsidR="00B23B67" w:rsidRPr="00AD0E1F">
        <w:instrText xml:space="preserve"> REF _Ref172123330 </w:instrText>
      </w:r>
      <w:r w:rsidR="00AD0E1F">
        <w:instrText xml:space="preserve"> \* MERGEFORMAT </w:instrText>
      </w:r>
      <w:r w:rsidR="00B23B67" w:rsidRPr="00AD0E1F">
        <w:fldChar w:fldCharType="separate"/>
      </w:r>
      <w:r w:rsidR="00306F34" w:rsidRPr="00AD0E1F">
        <w:rPr>
          <w:snapToGrid w:val="0"/>
        </w:rPr>
        <w:t>Table </w:t>
      </w:r>
      <w:r w:rsidR="00306F34">
        <w:rPr>
          <w:snapToGrid w:val="0"/>
        </w:rPr>
        <w:t>5</w:t>
      </w:r>
      <w:r w:rsidR="00B23B67" w:rsidRPr="00AD0E1F">
        <w:rPr>
          <w:snapToGrid w:val="0"/>
        </w:rPr>
        <w:fldChar w:fldCharType="end"/>
      </w:r>
      <w:r w:rsidR="003328AC" w:rsidRPr="00AD0E1F">
        <w:t xml:space="preserve"> below.</w:t>
      </w:r>
    </w:p>
    <w:p w14:paraId="12CDACD1" w14:textId="491D9703" w:rsidR="003328AC" w:rsidRPr="00AD0E1F" w:rsidRDefault="003328AC" w:rsidP="003328AC">
      <w:pPr>
        <w:pStyle w:val="Caption"/>
        <w:rPr>
          <w:snapToGrid w:val="0"/>
        </w:rPr>
      </w:pPr>
      <w:bookmarkStart w:id="29" w:name="_Ref172123330"/>
      <w:r w:rsidRPr="00AD0E1F">
        <w:rPr>
          <w:snapToGrid w:val="0"/>
        </w:rPr>
        <w:t>Table </w:t>
      </w:r>
      <w:r w:rsidRPr="00AD0E1F">
        <w:rPr>
          <w:snapToGrid w:val="0"/>
        </w:rPr>
        <w:fldChar w:fldCharType="begin"/>
      </w:r>
      <w:r w:rsidRPr="00AD0E1F">
        <w:rPr>
          <w:snapToGrid w:val="0"/>
        </w:rPr>
        <w:instrText xml:space="preserve"> SEQ Table \* ARABIC </w:instrText>
      </w:r>
      <w:r w:rsidRPr="00AD0E1F">
        <w:rPr>
          <w:snapToGrid w:val="0"/>
        </w:rPr>
        <w:fldChar w:fldCharType="separate"/>
      </w:r>
      <w:r w:rsidR="00835345">
        <w:rPr>
          <w:noProof/>
          <w:snapToGrid w:val="0"/>
        </w:rPr>
        <w:t>5</w:t>
      </w:r>
      <w:r w:rsidRPr="00AD0E1F">
        <w:rPr>
          <w:snapToGrid w:val="0"/>
        </w:rPr>
        <w:fldChar w:fldCharType="end"/>
      </w:r>
      <w:bookmarkEnd w:id="29"/>
      <w:r w:rsidRPr="00AD0E1F">
        <w:rPr>
          <w:snapToGrid w:val="0"/>
        </w:rPr>
        <w:t xml:space="preserve"> </w:t>
      </w:r>
      <w:r w:rsidRPr="00AD0E1F">
        <w:rPr>
          <w:snapToGrid w:val="0"/>
        </w:rPr>
        <w:tab/>
        <w:t>Summary of findings table</w:t>
      </w:r>
      <w:r w:rsidR="00197011" w:rsidRPr="00AD0E1F">
        <w:rPr>
          <w:snapToGrid w:val="0"/>
        </w:rPr>
        <w:t xml:space="preserve"> – test performance and change in management outcomes. </w:t>
      </w:r>
    </w:p>
    <w:tbl>
      <w:tblPr>
        <w:tblStyle w:val="TableGrid"/>
        <w:tblW w:w="8926" w:type="dxa"/>
        <w:tblCellMar>
          <w:top w:w="28" w:type="dxa"/>
          <w:left w:w="57" w:type="dxa"/>
          <w:bottom w:w="28" w:type="dxa"/>
          <w:right w:w="28" w:type="dxa"/>
        </w:tblCellMar>
        <w:tblLook w:val="04A0" w:firstRow="1" w:lastRow="0" w:firstColumn="1" w:lastColumn="0" w:noHBand="0" w:noVBand="1"/>
      </w:tblPr>
      <w:tblGrid>
        <w:gridCol w:w="1262"/>
        <w:gridCol w:w="7664"/>
      </w:tblGrid>
      <w:tr w:rsidR="00A26F27" w:rsidRPr="00AD0E1F" w14:paraId="43BD29E6" w14:textId="77777777" w:rsidTr="00B318ED">
        <w:trPr>
          <w:trHeight w:val="198"/>
        </w:trPr>
        <w:tc>
          <w:tcPr>
            <w:tcW w:w="1262" w:type="dxa"/>
            <w:shd w:val="clear" w:color="auto" w:fill="D9D9D9" w:themeFill="background1" w:themeFillShade="D9"/>
            <w:vAlign w:val="center"/>
          </w:tcPr>
          <w:p w14:paraId="042E136E" w14:textId="77777777" w:rsidR="00B318ED" w:rsidRPr="00AD0E1F" w:rsidRDefault="00A26F27" w:rsidP="006E1759">
            <w:pPr>
              <w:pStyle w:val="2024TABLEHEADING"/>
              <w:spacing w:before="0" w:after="0"/>
            </w:pPr>
            <w:r w:rsidRPr="00AD0E1F">
              <w:t>Outcomes</w:t>
            </w:r>
          </w:p>
          <w:p w14:paraId="117ABAD0" w14:textId="18215DFA" w:rsidR="00A26F27" w:rsidRPr="00AD0E1F" w:rsidRDefault="003328AC" w:rsidP="006E1759">
            <w:pPr>
              <w:pStyle w:val="2024TABLEHEADING"/>
              <w:spacing w:before="0" w:after="0"/>
            </w:pPr>
            <w:r w:rsidRPr="00AD0E1F">
              <w:t>Studies, N</w:t>
            </w:r>
          </w:p>
        </w:tc>
        <w:tc>
          <w:tcPr>
            <w:tcW w:w="7664" w:type="dxa"/>
            <w:shd w:val="clear" w:color="auto" w:fill="D9D9D9" w:themeFill="background1" w:themeFillShade="D9"/>
            <w:vAlign w:val="center"/>
          </w:tcPr>
          <w:p w14:paraId="182AF9C8" w14:textId="1CAE2301" w:rsidR="00A26F27" w:rsidRPr="00AD0E1F" w:rsidRDefault="00A26F27" w:rsidP="006E1759">
            <w:pPr>
              <w:pStyle w:val="2024TABLEHEADING"/>
              <w:spacing w:before="0" w:after="0"/>
            </w:pPr>
            <w:r w:rsidRPr="00AD0E1F">
              <w:t>Results, interpretation and key uncertainties</w:t>
            </w:r>
          </w:p>
        </w:tc>
      </w:tr>
      <w:tr w:rsidR="00851430" w:rsidRPr="00CE28E3" w14:paraId="32870D79" w14:textId="77777777" w:rsidTr="00B318ED">
        <w:trPr>
          <w:trHeight w:val="198"/>
        </w:trPr>
        <w:tc>
          <w:tcPr>
            <w:tcW w:w="1262" w:type="dxa"/>
            <w:vAlign w:val="center"/>
          </w:tcPr>
          <w:p w14:paraId="2178C47F" w14:textId="729028F2" w:rsidR="00B318ED" w:rsidRPr="00AD0E1F" w:rsidRDefault="00851430" w:rsidP="006E1759">
            <w:pPr>
              <w:pStyle w:val="2024TABLETEXT"/>
            </w:pPr>
            <w:r w:rsidRPr="00AD0E1F">
              <w:t xml:space="preserve">Test </w:t>
            </w:r>
            <w:r w:rsidR="008926BC" w:rsidRPr="00AD0E1F">
              <w:t>performance</w:t>
            </w:r>
            <w:r w:rsidR="003328AC" w:rsidRPr="00AD0E1F">
              <w:t xml:space="preserve"> outcomes</w:t>
            </w:r>
          </w:p>
          <w:p w14:paraId="5BA20149" w14:textId="77777777" w:rsidR="00B318ED" w:rsidRPr="00AD0E1F" w:rsidRDefault="00B318ED" w:rsidP="006E1759">
            <w:pPr>
              <w:pStyle w:val="2024TABLETEXT"/>
            </w:pPr>
          </w:p>
          <w:p w14:paraId="43B5B7BD" w14:textId="0E79A558" w:rsidR="00B318ED" w:rsidRPr="00AD0E1F" w:rsidRDefault="00B318ED" w:rsidP="006E1759">
            <w:pPr>
              <w:pStyle w:val="2024TABLETEXT"/>
            </w:pPr>
            <w:r w:rsidRPr="00AD0E1F">
              <w:t>10 studies (observational)</w:t>
            </w:r>
          </w:p>
          <w:p w14:paraId="0D60DFA5" w14:textId="4B00542C" w:rsidR="00851430" w:rsidRPr="00AD0E1F" w:rsidRDefault="00B318ED" w:rsidP="006E1759">
            <w:pPr>
              <w:pStyle w:val="2024TABLETEXT"/>
            </w:pPr>
            <w:r w:rsidRPr="00AD0E1F">
              <w:t>N=15037</w:t>
            </w:r>
          </w:p>
        </w:tc>
        <w:tc>
          <w:tcPr>
            <w:tcW w:w="7664" w:type="dxa"/>
            <w:vAlign w:val="center"/>
          </w:tcPr>
          <w:p w14:paraId="37CC45DC" w14:textId="2878B4DF" w:rsidR="00C057D6" w:rsidRPr="00AD0E1F" w:rsidRDefault="00851430" w:rsidP="006E1759">
            <w:pPr>
              <w:pStyle w:val="2024TABLEBULLET"/>
              <w:ind w:left="370"/>
            </w:pPr>
            <w:r w:rsidRPr="00AD0E1F">
              <w:t xml:space="preserve">The pooled total carrier rate across 10 studies of any </w:t>
            </w:r>
            <w:r w:rsidR="00CD73DB" w:rsidRPr="00AD0E1F">
              <w:rPr>
                <w:i/>
              </w:rPr>
              <w:t>DPYD</w:t>
            </w:r>
            <w:r w:rsidRPr="00AD0E1F">
              <w:t xml:space="preserve"> variant was 5.5% (823/15037). Naïve comparison of results with two reviews found in the literature (but did not fit the PICO) suggests results are reasonable. </w:t>
            </w:r>
          </w:p>
          <w:p w14:paraId="37E0935B" w14:textId="02546DEE" w:rsidR="00851430" w:rsidRPr="00AD0E1F" w:rsidRDefault="00851430" w:rsidP="006E1759">
            <w:pPr>
              <w:pStyle w:val="2024TABLEBULLET"/>
              <w:ind w:left="370"/>
            </w:pPr>
            <w:r w:rsidRPr="00AD0E1F">
              <w:t>One study contributed over half of the sample to the pooled carrier rate</w:t>
            </w:r>
            <w:r w:rsidR="00E83E49" w:rsidRPr="00AD0E1F">
              <w:t xml:space="preserve"> and</w:t>
            </w:r>
            <w:r w:rsidRPr="00AD0E1F">
              <w:t xml:space="preserve"> reported a lower </w:t>
            </w:r>
            <w:r w:rsidR="0093121D" w:rsidRPr="00AD0E1F">
              <w:t>c</w:t>
            </w:r>
            <w:r w:rsidR="004B0F45" w:rsidRPr="00AD0E1F">
              <w:t>.1905+1G&gt;A</w:t>
            </w:r>
            <w:r w:rsidRPr="00AD0E1F">
              <w:t xml:space="preserve"> </w:t>
            </w:r>
            <w:r w:rsidR="00E83E49" w:rsidRPr="00AD0E1F">
              <w:t>carrier rate</w:t>
            </w:r>
            <w:r w:rsidRPr="00AD0E1F">
              <w:t xml:space="preserve"> when compared to one of the reviews (0.9% versus 1.9%). Given </w:t>
            </w:r>
            <w:r w:rsidR="0093121D" w:rsidRPr="00AD0E1F">
              <w:t>c</w:t>
            </w:r>
            <w:r w:rsidR="004B0F45" w:rsidRPr="00AD0E1F">
              <w:t>.1905+1G&gt;A</w:t>
            </w:r>
            <w:r w:rsidRPr="00AD0E1F">
              <w:t xml:space="preserve"> is a no function variant which potentially drove key clinical outcomes (e.g., toxicity and hospitalisation in </w:t>
            </w:r>
            <w:r w:rsidR="00577A08" w:rsidRPr="00AD0E1F">
              <w:t>Paulsen et al. (2023)</w:t>
            </w:r>
            <w:r w:rsidRPr="00AD0E1F">
              <w:t xml:space="preserve"> in the direct evidence, this variance may have important implications for clinical and cost-effectiveness outcomes. There </w:t>
            </w:r>
            <w:proofErr w:type="gramStart"/>
            <w:r w:rsidRPr="00AD0E1F">
              <w:t>were</w:t>
            </w:r>
            <w:proofErr w:type="gramEnd"/>
            <w:r w:rsidRPr="00AD0E1F">
              <w:t xml:space="preserve"> some potential risk of bias concerns as assessed using QUADAS 2</w:t>
            </w:r>
            <w:r w:rsidR="000E2D74" w:rsidRPr="00AD0E1F">
              <w:rPr>
                <w:rStyle w:val="FootnoteReference"/>
              </w:rPr>
              <w:footnoteReference w:id="22"/>
            </w:r>
            <w:r w:rsidR="00B318ED" w:rsidRPr="00AD0E1F">
              <w:t>,</w:t>
            </w:r>
            <w:r w:rsidRPr="00AD0E1F">
              <w:t xml:space="preserve"> primarily related to non-consecutive or random sampling and inappropriate exclusions.</w:t>
            </w:r>
          </w:p>
          <w:p w14:paraId="73273189" w14:textId="0DF42B81" w:rsidR="00851430" w:rsidRPr="00AD0E1F" w:rsidRDefault="00851430" w:rsidP="006E1759">
            <w:pPr>
              <w:pStyle w:val="2024TABLEBULLET"/>
              <w:ind w:left="370"/>
            </w:pPr>
            <w:r w:rsidRPr="00AD0E1F">
              <w:t xml:space="preserve">Only 4 of </w:t>
            </w:r>
            <w:r w:rsidR="00951B46" w:rsidRPr="00AD0E1F">
              <w:t>10</w:t>
            </w:r>
            <w:r w:rsidRPr="00AD0E1F">
              <w:t xml:space="preserve"> included studies reported patient ethnicity, which were between 90.4% and 99% Caucasian. This precluded analysis of any differences in diagnostic yield across race or ancestry. Without any studies conducted in an Australian setting, and in absence of reported ethnicity, applicability of the calculated variant frequencies may therefore be different in an Australian setting.</w:t>
            </w:r>
          </w:p>
          <w:p w14:paraId="4CE97053" w14:textId="0702D8CA" w:rsidR="00851430" w:rsidRPr="00AD0E1F" w:rsidRDefault="00C238A5" w:rsidP="006E1759">
            <w:pPr>
              <w:pStyle w:val="2024TABLEBULLET"/>
              <w:ind w:left="370"/>
            </w:pPr>
            <w:r w:rsidRPr="00AD0E1F">
              <w:t xml:space="preserve">Published evidence suggests </w:t>
            </w:r>
            <w:r w:rsidR="00CD73DB" w:rsidRPr="00AD0E1F">
              <w:rPr>
                <w:i/>
              </w:rPr>
              <w:t>DPYD</w:t>
            </w:r>
            <w:r w:rsidRPr="00AD0E1F">
              <w:t xml:space="preserve"> genotyping has very low sensitivity but high specificity to predict FP-related toxicity</w:t>
            </w:r>
            <w:r w:rsidR="00EB0412" w:rsidRPr="00AD0E1F">
              <w:rPr>
                <w:vertAlign w:val="superscript"/>
              </w:rPr>
              <w:footnoteReference w:id="23"/>
            </w:r>
            <w:r w:rsidR="00B318ED" w:rsidRPr="00AD0E1F">
              <w:t>,</w:t>
            </w:r>
            <w:r w:rsidRPr="00AD0E1F">
              <w:t xml:space="preserve"> which was supported by one study identified in the systematic literature search</w:t>
            </w:r>
            <w:r w:rsidR="0011706A" w:rsidRPr="00AD0E1F">
              <w:rPr>
                <w:rStyle w:val="FootnoteReference"/>
              </w:rPr>
              <w:footnoteReference w:id="24"/>
            </w:r>
            <w:r w:rsidRPr="00AD0E1F">
              <w:t>. Low sensitivity would result in a high number of false negative results, potentially missing patients at high risk of developing FP-related toxicity. On developing FP-related toxicity these patients will require treatment, and thereafter dose titration or therapy switching based on the type of cancer.</w:t>
            </w:r>
          </w:p>
        </w:tc>
      </w:tr>
      <w:tr w:rsidR="00851430" w:rsidRPr="00CE28E3" w14:paraId="26C59A67" w14:textId="77777777" w:rsidTr="00B318ED">
        <w:trPr>
          <w:trHeight w:val="45"/>
        </w:trPr>
        <w:tc>
          <w:tcPr>
            <w:tcW w:w="1262" w:type="dxa"/>
            <w:vAlign w:val="center"/>
          </w:tcPr>
          <w:p w14:paraId="576922B5" w14:textId="62BF5AF6" w:rsidR="00B318ED" w:rsidRDefault="00203500" w:rsidP="006E1759">
            <w:pPr>
              <w:pStyle w:val="2024TABLETEXT"/>
            </w:pPr>
            <w:r>
              <w:lastRenderedPageBreak/>
              <w:t>Change in management</w:t>
            </w:r>
            <w:r w:rsidR="003328AC">
              <w:t xml:space="preserve"> outcomes</w:t>
            </w:r>
          </w:p>
          <w:p w14:paraId="09AE6D12" w14:textId="77777777" w:rsidR="00203500" w:rsidRDefault="00203500" w:rsidP="006E1759">
            <w:pPr>
              <w:pStyle w:val="2024TABLETEXT"/>
            </w:pPr>
          </w:p>
          <w:p w14:paraId="4A67826D" w14:textId="77777777" w:rsidR="00203500" w:rsidRDefault="00203500" w:rsidP="006E1759">
            <w:pPr>
              <w:pStyle w:val="2024TABLETEXT"/>
            </w:pPr>
            <w:r>
              <w:t>7 studies (observational)</w:t>
            </w:r>
          </w:p>
          <w:p w14:paraId="4E99F6B8" w14:textId="77D9C95B" w:rsidR="00851430" w:rsidRPr="009D271E" w:rsidRDefault="00203500" w:rsidP="006E1759">
            <w:pPr>
              <w:pStyle w:val="2024TABLETEXT"/>
            </w:pPr>
            <w:r>
              <w:t>N=</w:t>
            </w:r>
            <w:r w:rsidR="00197011">
              <w:t>304</w:t>
            </w:r>
          </w:p>
        </w:tc>
        <w:tc>
          <w:tcPr>
            <w:tcW w:w="7664" w:type="dxa"/>
            <w:vAlign w:val="center"/>
          </w:tcPr>
          <w:p w14:paraId="1587678C" w14:textId="77777777" w:rsidR="00203500" w:rsidRDefault="00851430" w:rsidP="006E1759">
            <w:pPr>
              <w:pStyle w:val="2024TABLEBULLET"/>
              <w:ind w:left="370"/>
            </w:pPr>
            <w:r>
              <w:t xml:space="preserve">There was variation in initial dose reduction protocols across studies, </w:t>
            </w:r>
            <w:r w:rsidR="00203500">
              <w:t xml:space="preserve">likely </w:t>
            </w:r>
            <w:r>
              <w:t xml:space="preserve">aligning with the CPIC guidelines, other jurisdiction-based guidelines and best available evidence at the time of each study. </w:t>
            </w:r>
          </w:p>
          <w:p w14:paraId="2058DA5D" w14:textId="1A9B98A2" w:rsidR="00B318ED" w:rsidRDefault="00851430" w:rsidP="006E1759">
            <w:pPr>
              <w:pStyle w:val="2024TABLEBULLET"/>
              <w:ind w:left="370"/>
            </w:pPr>
            <w:r>
              <w:t xml:space="preserve">According to CPIC guidelines, only poor metabolisers (GAS score 0 or 0.5) are recommended to avoid use of FP-based treatment regimens. Based on calculated estimates from Section 2B.2.4 (linked evidence of diagnostic yield), the frequency of poor metabolisers in the population is </w:t>
            </w:r>
            <w:r w:rsidRPr="00503D0B">
              <w:t>0.1% (ranging from 0% to 0.2</w:t>
            </w:r>
            <w:r w:rsidR="00B318ED" w:rsidRPr="00503D0B">
              <w:t>%)</w:t>
            </w:r>
            <w:r w:rsidR="00B63128">
              <w:t>.</w:t>
            </w:r>
            <w:r>
              <w:t xml:space="preserve"> Initial changes in intended treatment </w:t>
            </w:r>
            <w:proofErr w:type="gramStart"/>
            <w:r>
              <w:t>as a result of</w:t>
            </w:r>
            <w:proofErr w:type="gramEnd"/>
            <w:r>
              <w:t xml:space="preserve"> </w:t>
            </w:r>
            <w:r w:rsidR="00CD73DB" w:rsidRPr="00CD73DB">
              <w:rPr>
                <w:i/>
              </w:rPr>
              <w:t>DPYD</w:t>
            </w:r>
            <w:r>
              <w:t xml:space="preserve"> testing will therefore be limited. As this outcome is descriptive, risk of bias concerns </w:t>
            </w:r>
            <w:proofErr w:type="gramStart"/>
            <w:r>
              <w:t>are</w:t>
            </w:r>
            <w:proofErr w:type="gramEnd"/>
            <w:r>
              <w:t xml:space="preserve"> minimal.</w:t>
            </w:r>
          </w:p>
          <w:p w14:paraId="235098E9" w14:textId="1202240C" w:rsidR="00203500" w:rsidRDefault="00203500" w:rsidP="006E1759">
            <w:pPr>
              <w:pStyle w:val="2024TABLEBULLET"/>
              <w:ind w:left="370"/>
            </w:pPr>
            <w:r>
              <w:t xml:space="preserve">Dose escalation protocols differed slightly (possibly due to reporting </w:t>
            </w:r>
            <w:r w:rsidR="00064D63">
              <w:t xml:space="preserve">omissions in study </w:t>
            </w:r>
            <w:r w:rsidR="003A47FB">
              <w:t>papers</w:t>
            </w:r>
            <w:r>
              <w:t>). The number of patients receiving dose escalation (or cumulative dose escalation) varied widely. This is expected given escalation protocols are personalised, based on multiple individual factors, and ultimately at the clinician’s discretion</w:t>
            </w:r>
            <w:r w:rsidR="00617FED">
              <w:rPr>
                <w:rStyle w:val="FootnoteReference"/>
              </w:rPr>
              <w:footnoteReference w:id="25"/>
            </w:r>
            <w:r w:rsidR="009A0DC4" w:rsidRPr="00D23AAA">
              <w:rPr>
                <w:vertAlign w:val="superscript"/>
              </w:rPr>
              <w:t>,</w:t>
            </w:r>
            <w:r>
              <w:t>.</w:t>
            </w:r>
          </w:p>
          <w:p w14:paraId="1D4F5AB6" w14:textId="38F0E1F1" w:rsidR="00812B27" w:rsidRDefault="00A364B3" w:rsidP="006E1759">
            <w:pPr>
              <w:pStyle w:val="2024TABLEBULLET"/>
              <w:ind w:left="370"/>
              <w:rPr>
                <w:lang w:eastAsia="en-GB"/>
              </w:rPr>
            </w:pPr>
            <w:proofErr w:type="spellStart"/>
            <w:r w:rsidRPr="00AD0E1F">
              <w:t>Knikman</w:t>
            </w:r>
            <w:proofErr w:type="spellEnd"/>
            <w:r w:rsidRPr="00AD0E1F">
              <w:t xml:space="preserve"> et al. (</w:t>
            </w:r>
            <w:proofErr w:type="gramStart"/>
            <w:r w:rsidRPr="00AD0E1F">
              <w:t>2023</w:t>
            </w:r>
            <w:r>
              <w:t>)</w:t>
            </w:r>
            <w:r w:rsidR="00F90311">
              <w:t>s</w:t>
            </w:r>
            <w:proofErr w:type="gramEnd"/>
            <w:r w:rsidR="00F90311">
              <w:t>’</w:t>
            </w:r>
            <w:r w:rsidR="00812B27">
              <w:rPr>
                <w:lang w:eastAsia="en-GB"/>
              </w:rPr>
              <w:t xml:space="preserve"> publication attributed reduced treatment effectiveness to </w:t>
            </w:r>
            <w:r w:rsidR="00CD73DB" w:rsidRPr="00CD73DB">
              <w:rPr>
                <w:i/>
                <w:lang w:eastAsia="en-GB"/>
              </w:rPr>
              <w:t>DPYD</w:t>
            </w:r>
            <w:r w:rsidR="00812B27" w:rsidRPr="00797EA8">
              <w:rPr>
                <w:lang w:eastAsia="en-GB"/>
              </w:rPr>
              <w:t xml:space="preserve"> c.1236G&gt;A carriers (who received dosing reduced by 25%) not receiving titration (i.e., </w:t>
            </w:r>
            <w:r w:rsidR="00812B27">
              <w:rPr>
                <w:lang w:eastAsia="en-GB"/>
              </w:rPr>
              <w:t xml:space="preserve">most patients </w:t>
            </w:r>
            <w:r w:rsidR="00812B27" w:rsidRPr="00797EA8">
              <w:rPr>
                <w:lang w:eastAsia="en-GB"/>
              </w:rPr>
              <w:t>remaining at 75%). CPIC has since published an update based on these results</w:t>
            </w:r>
            <w:r w:rsidRPr="260B5C12">
              <w:rPr>
                <w:rStyle w:val="FootnoteReference"/>
                <w:lang w:eastAsia="en-GB"/>
              </w:rPr>
              <w:footnoteReference w:id="26"/>
            </w:r>
            <w:r w:rsidR="00625DEE" w:rsidRPr="00625DEE">
              <w:rPr>
                <w:vertAlign w:val="superscript"/>
                <w:lang w:eastAsia="en-GB"/>
              </w:rPr>
              <w:fldChar w:fldCharType="begin"/>
            </w:r>
            <w:r w:rsidR="00625DEE" w:rsidRPr="00625DEE">
              <w:rPr>
                <w:vertAlign w:val="superscript"/>
                <w:lang w:eastAsia="en-GB"/>
              </w:rPr>
              <w:instrText xml:space="preserve"> NOTEREF _Ref173489636 \h </w:instrText>
            </w:r>
            <w:r w:rsidR="00625DEE">
              <w:rPr>
                <w:vertAlign w:val="superscript"/>
                <w:lang w:eastAsia="en-GB"/>
              </w:rPr>
              <w:instrText xml:space="preserve"> \* MERGEFORMAT </w:instrText>
            </w:r>
            <w:r w:rsidR="00625DEE" w:rsidRPr="00625DEE">
              <w:rPr>
                <w:vertAlign w:val="superscript"/>
                <w:lang w:eastAsia="en-GB"/>
              </w:rPr>
            </w:r>
            <w:r w:rsidR="00625DEE" w:rsidRPr="00625DEE">
              <w:rPr>
                <w:vertAlign w:val="superscript"/>
                <w:lang w:eastAsia="en-GB"/>
              </w:rPr>
              <w:fldChar w:fldCharType="separate"/>
            </w:r>
            <w:r w:rsidR="00625DEE" w:rsidRPr="00625DEE">
              <w:rPr>
                <w:vertAlign w:val="superscript"/>
                <w:lang w:eastAsia="en-GB"/>
              </w:rPr>
              <w:fldChar w:fldCharType="end"/>
            </w:r>
            <w:r w:rsidR="00812B27" w:rsidRPr="00797EA8">
              <w:rPr>
                <w:lang w:eastAsia="en-GB"/>
              </w:rPr>
              <w:t>, citing that “particular emphasis should be placed on dose titration after the initial dosing in this patient group”, and that the guideline is in the process of being updated.</w:t>
            </w:r>
            <w:r w:rsidR="00812B27">
              <w:rPr>
                <w:lang w:eastAsia="en-GB"/>
              </w:rPr>
              <w:t xml:space="preserve"> The role of dose escalation following initial dose reduction </w:t>
            </w:r>
            <w:proofErr w:type="gramStart"/>
            <w:r w:rsidR="00812B27">
              <w:rPr>
                <w:lang w:eastAsia="en-GB"/>
              </w:rPr>
              <w:t>as a result of</w:t>
            </w:r>
            <w:proofErr w:type="gramEnd"/>
            <w:r w:rsidR="00812B27">
              <w:rPr>
                <w:lang w:eastAsia="en-GB"/>
              </w:rPr>
              <w:t xml:space="preserve"> the intervention may play an important moderating role in health outcomes. However, further evidence is needed to evaluate this.</w:t>
            </w:r>
          </w:p>
          <w:p w14:paraId="0A096DCA" w14:textId="25A71F9C" w:rsidR="00851430" w:rsidRPr="00CE28E3" w:rsidRDefault="00353EBF" w:rsidP="006E1759">
            <w:pPr>
              <w:pStyle w:val="2024TABLEBULLET"/>
              <w:ind w:left="370"/>
            </w:pPr>
            <w:r>
              <w:t xml:space="preserve">Adherence to </w:t>
            </w:r>
            <w:r w:rsidR="00CD73DB" w:rsidRPr="00CD73DB">
              <w:rPr>
                <w:i/>
              </w:rPr>
              <w:t>DPYD</w:t>
            </w:r>
            <w:r w:rsidRPr="002631D8">
              <w:t xml:space="preserve"> genotype-guided dosing </w:t>
            </w:r>
            <w:r>
              <w:t xml:space="preserve">in practice was reported narratively in </w:t>
            </w:r>
            <w:r w:rsidR="00BD6731">
              <w:t>two</w:t>
            </w:r>
            <w:r>
              <w:t xml:space="preserve"> studies</w:t>
            </w:r>
            <w:r w:rsidR="00490DCC">
              <w:t xml:space="preserve"> </w:t>
            </w:r>
            <w:r w:rsidR="00A26818" w:rsidRPr="00A26818">
              <w:t>(Wigle et al. 2021, Wang et al. 2022)</w:t>
            </w:r>
            <w:r>
              <w:t xml:space="preserve">. While one study reported that </w:t>
            </w:r>
            <w:r w:rsidRPr="00193BA6">
              <w:t xml:space="preserve">carriers were treated according to the dose recommendations provided to the </w:t>
            </w:r>
            <w:r>
              <w:t>clinician</w:t>
            </w:r>
            <w:r w:rsidRPr="00193BA6">
              <w:t xml:space="preserve"> (verified by mean initial dose intensities</w:t>
            </w:r>
            <w:r w:rsidR="00BC1B7B">
              <w:t>; Wigle 2021)</w:t>
            </w:r>
            <w:r>
              <w:t>), the other study reported that their protocol was not adhered to in most (19/23) cases</w:t>
            </w:r>
            <w:r w:rsidR="00BC1B7B">
              <w:t>; Wang 2022</w:t>
            </w:r>
            <w:r>
              <w:t>). Treatment and dosing of FP-based therapies are ultimately based on clinician judgement and discretion, and while guidelines may be available and advocated, they may not be used in practice.</w:t>
            </w:r>
          </w:p>
        </w:tc>
      </w:tr>
    </w:tbl>
    <w:p w14:paraId="664660C0" w14:textId="6C62FEA1" w:rsidR="00DE72B1" w:rsidRDefault="0078783C" w:rsidP="00D23AAA">
      <w:pPr>
        <w:pStyle w:val="TableFooter"/>
        <w:spacing w:before="0"/>
      </w:pPr>
      <w:r>
        <w:t>CPIC=</w:t>
      </w:r>
      <w:r w:rsidRPr="0078783C">
        <w:t>Clinical Pharmacogenetics Implementation Consortium</w:t>
      </w:r>
      <w:r>
        <w:t>;</w:t>
      </w:r>
      <w:r w:rsidR="004771D0">
        <w:t xml:space="preserve"> </w:t>
      </w:r>
      <w:r w:rsidR="00CD73DB" w:rsidRPr="00CD73DB">
        <w:rPr>
          <w:i/>
        </w:rPr>
        <w:t>DPYD</w:t>
      </w:r>
      <w:r w:rsidR="00DE72B1">
        <w:t>=</w:t>
      </w:r>
      <w:proofErr w:type="spellStart"/>
      <w:r w:rsidR="00DE72B1" w:rsidRPr="005E4491">
        <w:t>Dihydropyrimidine</w:t>
      </w:r>
      <w:proofErr w:type="spellEnd"/>
      <w:r w:rsidR="00DE72B1" w:rsidRPr="005E4491">
        <w:t xml:space="preserve"> dehydrogenase gene</w:t>
      </w:r>
      <w:r w:rsidR="00DE72B1">
        <w:t>; FP=</w:t>
      </w:r>
      <w:r w:rsidR="00DE72B1" w:rsidRPr="006D2188">
        <w:t>Fluoropyrimidine</w:t>
      </w:r>
      <w:r w:rsidR="004771D0">
        <w:t>; GAS=gene activity score</w:t>
      </w:r>
      <w:r w:rsidR="00F32DFC">
        <w:t>; PICO=Population, Intervention, Comparator, Outcome</w:t>
      </w:r>
    </w:p>
    <w:p w14:paraId="18BD2C23" w14:textId="6C62FEA1" w:rsidR="000B45ED" w:rsidRPr="003C5B2A" w:rsidRDefault="000B45ED" w:rsidP="003C5B2A">
      <w:pPr>
        <w:rPr>
          <w:b/>
          <w:bCs/>
        </w:rPr>
      </w:pPr>
      <w:r w:rsidRPr="003C5B2A">
        <w:rPr>
          <w:b/>
          <w:bCs/>
        </w:rPr>
        <w:t xml:space="preserve">Conclusion of the clinical claim </w:t>
      </w:r>
    </w:p>
    <w:p w14:paraId="712242D2" w14:textId="2A703252" w:rsidR="0078783C" w:rsidRPr="00CE28E3" w:rsidRDefault="0078783C" w:rsidP="0078783C">
      <w:r w:rsidRPr="00CE28E3">
        <w:t xml:space="preserve">The use of </w:t>
      </w:r>
      <w:r w:rsidR="00CD73DB" w:rsidRPr="00CD73DB">
        <w:rPr>
          <w:i/>
          <w:iCs/>
        </w:rPr>
        <w:t>DPYD</w:t>
      </w:r>
      <w:r>
        <w:t xml:space="preserve"> genotyping before the commencement of systemic FP-based chemotherapy </w:t>
      </w:r>
      <w:r w:rsidRPr="00CE28E3">
        <w:t xml:space="preserve">results in </w:t>
      </w:r>
      <w:r w:rsidRPr="001A4578">
        <w:t>superior</w:t>
      </w:r>
      <w:r w:rsidRPr="00CE28E3">
        <w:t xml:space="preserve"> effectiveness </w:t>
      </w:r>
      <w:r>
        <w:t xml:space="preserve">in terms of predicting </w:t>
      </w:r>
      <w:r w:rsidRPr="00D241B8">
        <w:t xml:space="preserve">fluoropyrimidine-induced toxicity </w:t>
      </w:r>
      <w:r w:rsidRPr="00CE28E3">
        <w:t xml:space="preserve">compared with </w:t>
      </w:r>
      <w:r>
        <w:t>no pre-treatment</w:t>
      </w:r>
      <w:r w:rsidRPr="00AD1765">
        <w:rPr>
          <w:i/>
          <w:iCs/>
        </w:rPr>
        <w:t xml:space="preserve"> </w:t>
      </w:r>
      <w:r w:rsidR="00CD73DB" w:rsidRPr="00CD73DB">
        <w:rPr>
          <w:i/>
          <w:iCs/>
        </w:rPr>
        <w:t>DPYD</w:t>
      </w:r>
      <w:r>
        <w:t xml:space="preserve"> genotyping.</w:t>
      </w:r>
    </w:p>
    <w:p w14:paraId="4A6A7184" w14:textId="1D74F36A" w:rsidR="0078783C" w:rsidRDefault="000B45ED" w:rsidP="0078783C">
      <w:r w:rsidRPr="00CE28E3">
        <w:t xml:space="preserve">The use of </w:t>
      </w:r>
      <w:r w:rsidR="00CD73DB" w:rsidRPr="00CD73DB">
        <w:rPr>
          <w:i/>
          <w:iCs/>
        </w:rPr>
        <w:t>DPYD</w:t>
      </w:r>
      <w:r>
        <w:t xml:space="preserve"> genotyping before the commencement of systemic FP-based chemotherapy results </w:t>
      </w:r>
      <w:r w:rsidRPr="00CE28E3">
        <w:t xml:space="preserve">in </w:t>
      </w:r>
      <w:r>
        <w:t xml:space="preserve">noninferior </w:t>
      </w:r>
      <w:r w:rsidRPr="00CE28E3">
        <w:t xml:space="preserve">safety compared with </w:t>
      </w:r>
      <w:r>
        <w:t>no pre-treatment</w:t>
      </w:r>
      <w:r w:rsidRPr="00AD1765">
        <w:rPr>
          <w:i/>
          <w:iCs/>
        </w:rPr>
        <w:t xml:space="preserve"> </w:t>
      </w:r>
      <w:r w:rsidR="00CD73DB" w:rsidRPr="00CD73DB">
        <w:rPr>
          <w:i/>
          <w:iCs/>
        </w:rPr>
        <w:t>DPYD</w:t>
      </w:r>
      <w:r>
        <w:t xml:space="preserve"> genotyping.</w:t>
      </w:r>
    </w:p>
    <w:p w14:paraId="7091BF20" w14:textId="33EC7168" w:rsidR="0078783C" w:rsidRDefault="0078783C" w:rsidP="0078783C">
      <w:r>
        <w:t xml:space="preserve">The </w:t>
      </w:r>
      <w:r w:rsidR="00FC27E8">
        <w:t xml:space="preserve">DCAR considered </w:t>
      </w:r>
      <w:r w:rsidR="4C410673">
        <w:t xml:space="preserve">that the </w:t>
      </w:r>
      <w:r>
        <w:t>evidence base is not strong enough to determine the</w:t>
      </w:r>
      <w:r w:rsidRPr="00CE28E3">
        <w:t xml:space="preserve"> effectiveness </w:t>
      </w:r>
      <w:r>
        <w:t>of pre-treatment</w:t>
      </w:r>
      <w:r w:rsidRPr="00AD1765">
        <w:rPr>
          <w:i/>
          <w:iCs/>
        </w:rPr>
        <w:t xml:space="preserve"> </w:t>
      </w:r>
      <w:r w:rsidR="00CD73DB" w:rsidRPr="00CD73DB">
        <w:rPr>
          <w:i/>
          <w:iCs/>
        </w:rPr>
        <w:t>DPYD</w:t>
      </w:r>
      <w:r>
        <w:t xml:space="preserve"> genotyping compared to no pre-treatment</w:t>
      </w:r>
      <w:r w:rsidRPr="00AD1765">
        <w:rPr>
          <w:i/>
          <w:iCs/>
        </w:rPr>
        <w:t xml:space="preserve"> </w:t>
      </w:r>
      <w:r w:rsidR="00CD73DB" w:rsidRPr="00CD73DB">
        <w:rPr>
          <w:i/>
          <w:iCs/>
        </w:rPr>
        <w:t>DPYD</w:t>
      </w:r>
      <w:r>
        <w:t xml:space="preserve"> genotyping in terms of:</w:t>
      </w:r>
    </w:p>
    <w:p w14:paraId="225E173A" w14:textId="0A59FD89" w:rsidR="0078783C" w:rsidRDefault="0078783C" w:rsidP="00E9485A">
      <w:pPr>
        <w:pStyle w:val="ListParagraph"/>
        <w:numPr>
          <w:ilvl w:val="0"/>
          <w:numId w:val="15"/>
        </w:numPr>
      </w:pPr>
      <w:r>
        <w:t xml:space="preserve">preventing </w:t>
      </w:r>
      <w:r w:rsidRPr="00D241B8">
        <w:t xml:space="preserve">fluoropyrimidine-induced toxicity </w:t>
      </w:r>
      <w:r>
        <w:t>(because of reduced FP dosing) though the evidence tends towards superior effectiveness (without statistical confirmation),</w:t>
      </w:r>
    </w:p>
    <w:p w14:paraId="1831372D" w14:textId="77777777" w:rsidR="0078783C" w:rsidRDefault="0078783C" w:rsidP="00E9485A">
      <w:pPr>
        <w:pStyle w:val="ListParagraph"/>
        <w:numPr>
          <w:ilvl w:val="0"/>
          <w:numId w:val="15"/>
        </w:numPr>
      </w:pPr>
      <w:r>
        <w:t>cancer response rates, and</w:t>
      </w:r>
    </w:p>
    <w:p w14:paraId="5EAD6A4B" w14:textId="6EE66803" w:rsidR="0078783C" w:rsidRDefault="0078783C" w:rsidP="00E9485A">
      <w:pPr>
        <w:pStyle w:val="ListParagraph"/>
        <w:numPr>
          <w:ilvl w:val="0"/>
          <w:numId w:val="15"/>
        </w:numPr>
      </w:pPr>
      <w:r>
        <w:t>overall survival.</w:t>
      </w:r>
    </w:p>
    <w:p w14:paraId="0D09C9E4" w14:textId="29CE794E" w:rsidR="00772829" w:rsidRPr="00CE28E3" w:rsidRDefault="00C36633" w:rsidP="00AD703B">
      <w:pPr>
        <w:pStyle w:val="Heading2"/>
      </w:pPr>
      <w:bookmarkStart w:id="30" w:name="_Toc175815809"/>
      <w:r>
        <w:lastRenderedPageBreak/>
        <w:t>1</w:t>
      </w:r>
      <w:r w:rsidR="00476193">
        <w:t>3</w:t>
      </w:r>
      <w:r>
        <w:t>.</w:t>
      </w:r>
      <w:r>
        <w:tab/>
      </w:r>
      <w:r w:rsidR="00772829" w:rsidRPr="00CE28E3">
        <w:t>Economic evaluation</w:t>
      </w:r>
      <w:bookmarkEnd w:id="30"/>
    </w:p>
    <w:p w14:paraId="554389DA" w14:textId="20D1DC4E" w:rsidR="00AE15ED" w:rsidRPr="00AE15ED" w:rsidRDefault="00AE15ED" w:rsidP="00AD703B">
      <w:pPr>
        <w:keepNext/>
        <w:keepLines/>
        <w:rPr>
          <w:rFonts w:eastAsiaTheme="minorEastAsia"/>
          <w:lang w:eastAsia="zh-CN"/>
        </w:rPr>
      </w:pPr>
      <w:r w:rsidRPr="00F46FF1">
        <w:t xml:space="preserve">Based on the clinical claim of </w:t>
      </w:r>
      <w:r w:rsidRPr="0020651D">
        <w:t>superiority</w:t>
      </w:r>
      <w:r w:rsidRPr="00F46FF1">
        <w:t xml:space="preserve"> in clinical effectiveness, </w:t>
      </w:r>
      <w:r w:rsidR="009D1FF6" w:rsidRPr="00F46FF1">
        <w:t xml:space="preserve">the economic evaluation </w:t>
      </w:r>
      <w:r w:rsidR="00DB5C78">
        <w:t>conducted was</w:t>
      </w:r>
      <w:r w:rsidR="009D1FF6" w:rsidRPr="00F46FF1">
        <w:t xml:space="preserve"> a</w:t>
      </w:r>
      <w:r w:rsidR="00AA26C8" w:rsidRPr="00F46FF1">
        <w:rPr>
          <w:rFonts w:eastAsiaTheme="minorEastAsia" w:hint="eastAsia"/>
        </w:rPr>
        <w:t xml:space="preserve"> </w:t>
      </w:r>
      <w:r w:rsidR="00AA26C8">
        <w:rPr>
          <w:rFonts w:eastAsiaTheme="minorEastAsia" w:hint="eastAsia"/>
          <w:lang w:eastAsia="zh-CN"/>
        </w:rPr>
        <w:t>cost-effectiveness analysis (</w:t>
      </w:r>
      <w:r w:rsidR="009D1FF6" w:rsidRPr="00F46FF1">
        <w:t>CEA</w:t>
      </w:r>
      <w:r w:rsidR="00AA26C8">
        <w:rPr>
          <w:rFonts w:eastAsiaTheme="minorEastAsia" w:hint="eastAsia"/>
          <w:lang w:eastAsia="zh-CN"/>
        </w:rPr>
        <w:t>)</w:t>
      </w:r>
      <w:r w:rsidR="009D1FF6" w:rsidRPr="00F46FF1">
        <w:t xml:space="preserve"> (cost per patient with a </w:t>
      </w:r>
      <w:r w:rsidR="00CD73DB" w:rsidRPr="00CD73DB">
        <w:rPr>
          <w:i/>
        </w:rPr>
        <w:t>DPYD</w:t>
      </w:r>
      <w:r w:rsidR="009D1FF6" w:rsidRPr="00F46FF1">
        <w:t xml:space="preserve"> variant identified and cost per patient avoiding severe (</w:t>
      </w:r>
      <w:r w:rsidR="009D1FF6" w:rsidRPr="00F46FF1">
        <w:rPr>
          <w:rFonts w:hint="eastAsia"/>
        </w:rPr>
        <w:t>≥grade 3</w:t>
      </w:r>
      <w:r w:rsidR="009D1FF6" w:rsidRPr="00F46FF1">
        <w:t xml:space="preserve">) FP-related toxicity), and a </w:t>
      </w:r>
      <w:r w:rsidR="00AA26C8">
        <w:rPr>
          <w:rFonts w:eastAsiaTheme="minorEastAsia" w:hint="eastAsia"/>
          <w:lang w:eastAsia="zh-CN"/>
        </w:rPr>
        <w:t>cost-utility analysis (</w:t>
      </w:r>
      <w:r w:rsidR="009D1FF6" w:rsidRPr="00F46FF1">
        <w:t>CUA</w:t>
      </w:r>
      <w:r w:rsidR="00AA26C8">
        <w:rPr>
          <w:rFonts w:eastAsiaTheme="minorEastAsia" w:hint="eastAsia"/>
          <w:lang w:eastAsia="zh-CN"/>
        </w:rPr>
        <w:t>)</w:t>
      </w:r>
      <w:r w:rsidR="009D1FF6" w:rsidRPr="00F46FF1">
        <w:t xml:space="preserve"> (cost per quality-adjusted life years (QALY) gained).</w:t>
      </w:r>
      <w:r w:rsidR="009D1FF6">
        <w:rPr>
          <w:rFonts w:eastAsiaTheme="minorEastAsia" w:hint="eastAsia"/>
          <w:lang w:eastAsia="zh-CN"/>
        </w:rPr>
        <w:t xml:space="preserve"> </w:t>
      </w:r>
      <w:r w:rsidR="00B23B67" w:rsidRPr="00B23B67">
        <w:fldChar w:fldCharType="begin"/>
      </w:r>
      <w:r w:rsidR="00B23B67" w:rsidRPr="00B23B67">
        <w:instrText xml:space="preserve"> </w:instrText>
      </w:r>
      <w:r w:rsidR="00B23B67" w:rsidRPr="00B23B67">
        <w:rPr>
          <w:rFonts w:hint="eastAsia"/>
        </w:rPr>
        <w:instrText>REF _Ref69725820</w:instrText>
      </w:r>
      <w:r w:rsidR="00B23B67" w:rsidRPr="00B23B67">
        <w:instrText xml:space="preserve"> </w:instrText>
      </w:r>
      <w:r w:rsidR="00B23B67">
        <w:instrText xml:space="preserve"> \* MERGEFORMAT </w:instrText>
      </w:r>
      <w:r w:rsidR="00B23B67" w:rsidRPr="00B23B67">
        <w:fldChar w:fldCharType="separate"/>
      </w:r>
      <w:r w:rsidR="00306F34" w:rsidRPr="00CE28E3">
        <w:t>Table</w:t>
      </w:r>
      <w:r w:rsidR="00306F34">
        <w:t> 6</w:t>
      </w:r>
      <w:r w:rsidR="00B23B67" w:rsidRPr="00B23B67">
        <w:fldChar w:fldCharType="end"/>
      </w:r>
      <w:r w:rsidR="006032E8">
        <w:rPr>
          <w:rFonts w:eastAsiaTheme="minorEastAsia" w:hint="eastAsia"/>
          <w:lang w:eastAsia="zh-CN"/>
        </w:rPr>
        <w:t xml:space="preserve"> provides a brief overview of the model parameters. </w:t>
      </w:r>
    </w:p>
    <w:p w14:paraId="7832FEBA" w14:textId="48125CAC" w:rsidR="00C107C3" w:rsidRDefault="00C107C3" w:rsidP="00FF160D">
      <w:pPr>
        <w:pStyle w:val="Caption"/>
        <w:rPr>
          <w:rFonts w:eastAsiaTheme="minorEastAsia"/>
          <w:lang w:eastAsia="zh-CN"/>
        </w:rPr>
      </w:pPr>
      <w:bookmarkStart w:id="31" w:name="_Ref6972582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835345">
        <w:rPr>
          <w:noProof/>
        </w:rPr>
        <w:t>6</w:t>
      </w:r>
      <w:r w:rsidRPr="00CE28E3">
        <w:rPr>
          <w:noProof/>
        </w:rPr>
        <w:fldChar w:fldCharType="end"/>
      </w:r>
      <w:bookmarkEnd w:id="31"/>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263"/>
        <w:gridCol w:w="6663"/>
      </w:tblGrid>
      <w:tr w:rsidR="00243C1F" w:rsidRPr="00CE28E3" w14:paraId="5D90530F" w14:textId="77777777" w:rsidTr="00B23B67">
        <w:trPr>
          <w:tblHeader/>
        </w:trPr>
        <w:tc>
          <w:tcPr>
            <w:tcW w:w="2263" w:type="dxa"/>
            <w:shd w:val="clear" w:color="auto" w:fill="D9D9D9" w:themeFill="background1" w:themeFillShade="D9"/>
          </w:tcPr>
          <w:p w14:paraId="37B91E63" w14:textId="77777777" w:rsidR="00243C1F" w:rsidRPr="000449D1" w:rsidRDefault="00243C1F">
            <w:pPr>
              <w:pStyle w:val="TableHeading"/>
            </w:pPr>
            <w:r w:rsidRPr="000449D1">
              <w:t>Component</w:t>
            </w:r>
          </w:p>
        </w:tc>
        <w:tc>
          <w:tcPr>
            <w:tcW w:w="6663" w:type="dxa"/>
            <w:shd w:val="clear" w:color="auto" w:fill="D9D9D9" w:themeFill="background1" w:themeFillShade="D9"/>
          </w:tcPr>
          <w:p w14:paraId="53CF94E7" w14:textId="77777777" w:rsidR="00243C1F" w:rsidRPr="000449D1" w:rsidRDefault="00243C1F">
            <w:pPr>
              <w:pStyle w:val="TableHeading"/>
            </w:pPr>
            <w:r w:rsidRPr="000449D1">
              <w:t>Description</w:t>
            </w:r>
          </w:p>
        </w:tc>
      </w:tr>
      <w:tr w:rsidR="00243C1F" w:rsidRPr="000449D1" w14:paraId="33496573" w14:textId="77777777" w:rsidTr="00B23B67">
        <w:tc>
          <w:tcPr>
            <w:tcW w:w="2263" w:type="dxa"/>
          </w:tcPr>
          <w:p w14:paraId="04CF4AEF" w14:textId="77777777" w:rsidR="00243C1F" w:rsidRPr="000449D1" w:rsidRDefault="00243C1F">
            <w:pPr>
              <w:pStyle w:val="TableText"/>
            </w:pPr>
            <w:r w:rsidRPr="000449D1">
              <w:t>Perspective</w:t>
            </w:r>
          </w:p>
        </w:tc>
        <w:tc>
          <w:tcPr>
            <w:tcW w:w="6663" w:type="dxa"/>
          </w:tcPr>
          <w:p w14:paraId="1F7A5631" w14:textId="77777777" w:rsidR="00243C1F" w:rsidRPr="000449D1" w:rsidRDefault="00243C1F">
            <w:pPr>
              <w:pStyle w:val="TableText"/>
            </w:pPr>
            <w:r w:rsidRPr="000449D1">
              <w:t>Health care system perspective</w:t>
            </w:r>
          </w:p>
        </w:tc>
      </w:tr>
      <w:tr w:rsidR="00243C1F" w:rsidRPr="000449D1" w14:paraId="2975EE3B" w14:textId="77777777" w:rsidTr="00C003ED">
        <w:trPr>
          <w:trHeight w:val="33"/>
          <w:tblHeader/>
        </w:trPr>
        <w:tc>
          <w:tcPr>
            <w:tcW w:w="2263" w:type="dxa"/>
          </w:tcPr>
          <w:p w14:paraId="21C5C9D7" w14:textId="77777777" w:rsidR="00243C1F" w:rsidRPr="000449D1" w:rsidRDefault="00243C1F">
            <w:pPr>
              <w:pStyle w:val="TableText"/>
            </w:pPr>
            <w:r w:rsidRPr="000449D1">
              <w:t>Population</w:t>
            </w:r>
          </w:p>
        </w:tc>
        <w:tc>
          <w:tcPr>
            <w:tcW w:w="6663" w:type="dxa"/>
          </w:tcPr>
          <w:p w14:paraId="3BDD0783" w14:textId="6618BDDB" w:rsidR="00243C1F" w:rsidRPr="00D56DFA" w:rsidRDefault="00243C1F">
            <w:pPr>
              <w:pStyle w:val="TableText"/>
              <w:rPr>
                <w:color w:val="258221"/>
              </w:rPr>
            </w:pPr>
            <w:r w:rsidRPr="002E66C3">
              <w:t>All patients including adults and children</w:t>
            </w:r>
            <w:r w:rsidR="00713E62">
              <w:t xml:space="preserve"> </w:t>
            </w:r>
            <w:r w:rsidR="0060177C">
              <w:t>who are about to commence FP-based chemotherapy</w:t>
            </w:r>
            <w:r w:rsidR="00C17054">
              <w:t xml:space="preserve"> for the treatment of solid tumours</w:t>
            </w:r>
          </w:p>
        </w:tc>
      </w:tr>
      <w:tr w:rsidR="00243C1F" w:rsidRPr="000449D1" w14:paraId="25E21A42" w14:textId="77777777" w:rsidTr="00B23B67">
        <w:tc>
          <w:tcPr>
            <w:tcW w:w="2263" w:type="dxa"/>
          </w:tcPr>
          <w:p w14:paraId="2C410568" w14:textId="77777777" w:rsidR="00243C1F" w:rsidRPr="000449D1" w:rsidRDefault="00243C1F">
            <w:pPr>
              <w:pStyle w:val="TableText"/>
            </w:pPr>
            <w:r w:rsidRPr="000449D1">
              <w:t>Prior testing</w:t>
            </w:r>
          </w:p>
        </w:tc>
        <w:tc>
          <w:tcPr>
            <w:tcW w:w="6663" w:type="dxa"/>
          </w:tcPr>
          <w:p w14:paraId="5579348E" w14:textId="77777777" w:rsidR="00243C1F" w:rsidRPr="000449D1" w:rsidRDefault="00243C1F">
            <w:pPr>
              <w:pStyle w:val="TableText"/>
            </w:pPr>
            <w:r>
              <w:t>N/A</w:t>
            </w:r>
          </w:p>
        </w:tc>
      </w:tr>
      <w:tr w:rsidR="00243C1F" w:rsidRPr="000449D1" w14:paraId="518A972C" w14:textId="77777777" w:rsidTr="00B23B67">
        <w:tc>
          <w:tcPr>
            <w:tcW w:w="2263" w:type="dxa"/>
          </w:tcPr>
          <w:p w14:paraId="6E161450" w14:textId="77777777" w:rsidR="00243C1F" w:rsidRPr="000449D1" w:rsidRDefault="00243C1F">
            <w:pPr>
              <w:pStyle w:val="TableText"/>
            </w:pPr>
            <w:r w:rsidRPr="000449D1">
              <w:t>Comparator</w:t>
            </w:r>
          </w:p>
        </w:tc>
        <w:tc>
          <w:tcPr>
            <w:tcW w:w="6663" w:type="dxa"/>
          </w:tcPr>
          <w:p w14:paraId="6016460F" w14:textId="77777777" w:rsidR="00243C1F" w:rsidRPr="000449D1" w:rsidRDefault="00243C1F">
            <w:pPr>
              <w:pStyle w:val="TableText"/>
            </w:pPr>
            <w:r>
              <w:t>No testing</w:t>
            </w:r>
          </w:p>
        </w:tc>
      </w:tr>
      <w:tr w:rsidR="00243C1F" w:rsidRPr="000449D1" w14:paraId="5CC41B08" w14:textId="77777777" w:rsidTr="00B23B67">
        <w:tc>
          <w:tcPr>
            <w:tcW w:w="2263" w:type="dxa"/>
          </w:tcPr>
          <w:p w14:paraId="4CD65823" w14:textId="77777777" w:rsidR="00243C1F" w:rsidRPr="000449D1" w:rsidRDefault="00243C1F">
            <w:pPr>
              <w:pStyle w:val="TableText"/>
            </w:pPr>
            <w:r w:rsidRPr="000449D1">
              <w:t>Type(s) of analysis</w:t>
            </w:r>
          </w:p>
        </w:tc>
        <w:tc>
          <w:tcPr>
            <w:tcW w:w="6663" w:type="dxa"/>
          </w:tcPr>
          <w:p w14:paraId="560018CC" w14:textId="77777777" w:rsidR="00243C1F" w:rsidRPr="000449D1" w:rsidRDefault="00243C1F">
            <w:pPr>
              <w:pStyle w:val="TableText"/>
            </w:pPr>
            <w:r>
              <w:t>CEA and CUA</w:t>
            </w:r>
          </w:p>
        </w:tc>
      </w:tr>
      <w:tr w:rsidR="00243C1F" w:rsidRPr="000449D1" w14:paraId="43F8971A" w14:textId="77777777" w:rsidTr="00B23B67">
        <w:tc>
          <w:tcPr>
            <w:tcW w:w="2263" w:type="dxa"/>
          </w:tcPr>
          <w:p w14:paraId="6A4DE256" w14:textId="77777777" w:rsidR="00243C1F" w:rsidRPr="000449D1" w:rsidRDefault="00243C1F">
            <w:pPr>
              <w:pStyle w:val="TableText"/>
            </w:pPr>
            <w:r w:rsidRPr="000449D1">
              <w:t>Outcomes</w:t>
            </w:r>
          </w:p>
        </w:tc>
        <w:tc>
          <w:tcPr>
            <w:tcW w:w="6663" w:type="dxa"/>
          </w:tcPr>
          <w:p w14:paraId="48F0F4AD" w14:textId="70DEFE3F" w:rsidR="00243C1F" w:rsidRDefault="00243C1F">
            <w:pPr>
              <w:pStyle w:val="TableText"/>
            </w:pPr>
            <w:r>
              <w:t xml:space="preserve">Number of patients with a </w:t>
            </w:r>
            <w:r w:rsidR="00CD73DB" w:rsidRPr="00CD73DB">
              <w:rPr>
                <w:i/>
              </w:rPr>
              <w:t>DPYD</w:t>
            </w:r>
            <w:r>
              <w:t xml:space="preserve"> variant identified</w:t>
            </w:r>
          </w:p>
          <w:p w14:paraId="5EE77F37" w14:textId="77777777" w:rsidR="00243C1F" w:rsidRDefault="00243C1F">
            <w:pPr>
              <w:pStyle w:val="TableText"/>
            </w:pPr>
            <w:r>
              <w:t>Number of patients avoiding severe (</w:t>
            </w:r>
            <w:r w:rsidRPr="003067D9">
              <w:rPr>
                <w:rFonts w:hint="eastAsia"/>
              </w:rPr>
              <w:t>≥</w:t>
            </w:r>
            <w:r w:rsidRPr="003067D9">
              <w:rPr>
                <w:rFonts w:hint="eastAsia"/>
              </w:rPr>
              <w:t>grade 3</w:t>
            </w:r>
            <w:r>
              <w:t>) FP-related toxicity</w:t>
            </w:r>
          </w:p>
          <w:p w14:paraId="7208502C" w14:textId="77777777" w:rsidR="00243C1F" w:rsidRPr="000449D1" w:rsidRDefault="00243C1F">
            <w:pPr>
              <w:pStyle w:val="TableText"/>
            </w:pPr>
            <w:r>
              <w:t>QALYs gained</w:t>
            </w:r>
          </w:p>
        </w:tc>
      </w:tr>
      <w:tr w:rsidR="00243C1F" w:rsidRPr="000449D1" w14:paraId="4B4D0032" w14:textId="77777777" w:rsidTr="00B23B67">
        <w:tc>
          <w:tcPr>
            <w:tcW w:w="2263" w:type="dxa"/>
          </w:tcPr>
          <w:p w14:paraId="32C9A8AC" w14:textId="77777777" w:rsidR="00243C1F" w:rsidRPr="000449D1" w:rsidRDefault="00243C1F">
            <w:pPr>
              <w:pStyle w:val="TableText"/>
            </w:pPr>
            <w:r w:rsidRPr="000449D1">
              <w:t>Time horizon</w:t>
            </w:r>
          </w:p>
        </w:tc>
        <w:tc>
          <w:tcPr>
            <w:tcW w:w="6663" w:type="dxa"/>
          </w:tcPr>
          <w:p w14:paraId="7D589B5B" w14:textId="77777777" w:rsidR="00243C1F" w:rsidRPr="000449D1" w:rsidRDefault="00243C1F">
            <w:pPr>
              <w:pStyle w:val="TableText"/>
            </w:pPr>
            <w:r>
              <w:t>6 months</w:t>
            </w:r>
          </w:p>
        </w:tc>
      </w:tr>
      <w:tr w:rsidR="00243C1F" w:rsidRPr="000449D1" w14:paraId="10E3FE84" w14:textId="77777777" w:rsidTr="00B23B67">
        <w:tc>
          <w:tcPr>
            <w:tcW w:w="2263" w:type="dxa"/>
          </w:tcPr>
          <w:p w14:paraId="640D6E08" w14:textId="77777777" w:rsidR="00243C1F" w:rsidRPr="000449D1" w:rsidRDefault="00243C1F">
            <w:pPr>
              <w:pStyle w:val="TableText"/>
            </w:pPr>
            <w:r w:rsidRPr="000449D1">
              <w:t>Computational method</w:t>
            </w:r>
          </w:p>
        </w:tc>
        <w:tc>
          <w:tcPr>
            <w:tcW w:w="6663" w:type="dxa"/>
          </w:tcPr>
          <w:p w14:paraId="72430A03" w14:textId="77777777" w:rsidR="00243C1F" w:rsidRPr="000449D1" w:rsidRDefault="00243C1F">
            <w:pPr>
              <w:pStyle w:val="TableText"/>
            </w:pPr>
            <w:r>
              <w:t>Decision tree model</w:t>
            </w:r>
          </w:p>
        </w:tc>
      </w:tr>
      <w:tr w:rsidR="00243C1F" w:rsidRPr="000449D1" w14:paraId="6FBC6A50" w14:textId="77777777" w:rsidTr="00B23B67">
        <w:tc>
          <w:tcPr>
            <w:tcW w:w="2263" w:type="dxa"/>
          </w:tcPr>
          <w:p w14:paraId="15A7D750" w14:textId="77777777" w:rsidR="00243C1F" w:rsidRPr="000449D1" w:rsidRDefault="00243C1F">
            <w:pPr>
              <w:pStyle w:val="TableText"/>
            </w:pPr>
            <w:r w:rsidRPr="000449D1">
              <w:t>Generation of the base case</w:t>
            </w:r>
          </w:p>
        </w:tc>
        <w:tc>
          <w:tcPr>
            <w:tcW w:w="6663" w:type="dxa"/>
          </w:tcPr>
          <w:p w14:paraId="62FBC4DE" w14:textId="77777777" w:rsidR="00243C1F" w:rsidRPr="000449D1" w:rsidRDefault="00243C1F">
            <w:pPr>
              <w:pStyle w:val="TableText"/>
            </w:pPr>
            <w:r>
              <w:t>Modelled</w:t>
            </w:r>
          </w:p>
        </w:tc>
      </w:tr>
      <w:tr w:rsidR="00243C1F" w:rsidRPr="000449D1" w14:paraId="171F2086" w14:textId="77777777" w:rsidTr="00B23B67">
        <w:tc>
          <w:tcPr>
            <w:tcW w:w="2263" w:type="dxa"/>
          </w:tcPr>
          <w:p w14:paraId="2A476DF5" w14:textId="77777777" w:rsidR="00243C1F" w:rsidRPr="000449D1" w:rsidRDefault="00243C1F">
            <w:pPr>
              <w:pStyle w:val="TableText"/>
            </w:pPr>
            <w:r w:rsidRPr="000449D1">
              <w:t>Health states</w:t>
            </w:r>
          </w:p>
        </w:tc>
        <w:tc>
          <w:tcPr>
            <w:tcW w:w="6663" w:type="dxa"/>
          </w:tcPr>
          <w:p w14:paraId="11522341" w14:textId="77777777" w:rsidR="00243C1F" w:rsidRPr="000449D1" w:rsidRDefault="00243C1F">
            <w:pPr>
              <w:pStyle w:val="TableText"/>
            </w:pPr>
            <w:r>
              <w:t>N/A</w:t>
            </w:r>
          </w:p>
        </w:tc>
      </w:tr>
      <w:tr w:rsidR="00243C1F" w:rsidRPr="000449D1" w14:paraId="72F45791" w14:textId="77777777" w:rsidTr="00B23B67">
        <w:tc>
          <w:tcPr>
            <w:tcW w:w="2263" w:type="dxa"/>
          </w:tcPr>
          <w:p w14:paraId="202F7917" w14:textId="77777777" w:rsidR="00243C1F" w:rsidRPr="000449D1" w:rsidRDefault="00243C1F">
            <w:pPr>
              <w:pStyle w:val="TableText"/>
            </w:pPr>
            <w:r w:rsidRPr="000449D1">
              <w:t>Cycle length</w:t>
            </w:r>
          </w:p>
        </w:tc>
        <w:tc>
          <w:tcPr>
            <w:tcW w:w="6663" w:type="dxa"/>
          </w:tcPr>
          <w:p w14:paraId="58453AF9" w14:textId="77777777" w:rsidR="00243C1F" w:rsidRPr="000449D1" w:rsidRDefault="00243C1F">
            <w:pPr>
              <w:pStyle w:val="TableText"/>
            </w:pPr>
            <w:r>
              <w:t>N/A</w:t>
            </w:r>
          </w:p>
        </w:tc>
      </w:tr>
      <w:tr w:rsidR="00243C1F" w:rsidRPr="000449D1" w14:paraId="43AAF976" w14:textId="77777777" w:rsidTr="00B23B67">
        <w:tc>
          <w:tcPr>
            <w:tcW w:w="2263" w:type="dxa"/>
          </w:tcPr>
          <w:p w14:paraId="22D05235" w14:textId="77777777" w:rsidR="00243C1F" w:rsidRPr="000449D1" w:rsidRDefault="00243C1F">
            <w:pPr>
              <w:pStyle w:val="TableText"/>
            </w:pPr>
            <w:r w:rsidRPr="000449D1">
              <w:t>Transition probabilities</w:t>
            </w:r>
          </w:p>
        </w:tc>
        <w:tc>
          <w:tcPr>
            <w:tcW w:w="6663" w:type="dxa"/>
          </w:tcPr>
          <w:p w14:paraId="2CEE90E6" w14:textId="77777777" w:rsidR="00243C1F" w:rsidRDefault="00243C1F">
            <w:pPr>
              <w:pStyle w:val="TableText"/>
            </w:pPr>
            <w:r>
              <w:t>All transition probabilities were from the clinical evidence (Section 2)</w:t>
            </w:r>
            <w:r>
              <w:rPr>
                <w:rFonts w:eastAsiaTheme="minorEastAsia" w:hint="eastAsia"/>
                <w:lang w:eastAsia="zh-CN"/>
              </w:rPr>
              <w:t>, published literature and assumptions</w:t>
            </w:r>
            <w:r>
              <w:t>:</w:t>
            </w:r>
          </w:p>
          <w:p w14:paraId="573992A2" w14:textId="77777777" w:rsidR="00243C1F" w:rsidRDefault="00243C1F" w:rsidP="00E9485A">
            <w:pPr>
              <w:pStyle w:val="TableText"/>
              <w:numPr>
                <w:ilvl w:val="0"/>
                <w:numId w:val="10"/>
              </w:numPr>
            </w:pPr>
            <w:r>
              <w:t xml:space="preserve">Prevalence of normal/intermediate/poor metabolisers </w:t>
            </w:r>
          </w:p>
          <w:p w14:paraId="56BB2AD7" w14:textId="77777777" w:rsidR="00243C1F" w:rsidRDefault="00243C1F" w:rsidP="00E9485A">
            <w:pPr>
              <w:pStyle w:val="TableText"/>
              <w:numPr>
                <w:ilvl w:val="0"/>
                <w:numId w:val="10"/>
              </w:numPr>
            </w:pPr>
            <w:r w:rsidRPr="0056023C">
              <w:t>Probabilit</w:t>
            </w:r>
            <w:r>
              <w:t>ies</w:t>
            </w:r>
            <w:r w:rsidRPr="0056023C">
              <w:t xml:space="preserve"> of hospitalisation</w:t>
            </w:r>
            <w:r>
              <w:t xml:space="preserve"> for normal/intermediate/poor metabolisers with standard/reduced doses of FP-related treatments or alternative </w:t>
            </w:r>
            <w:proofErr w:type="gramStart"/>
            <w:r>
              <w:t>treatment</w:t>
            </w:r>
            <w:proofErr w:type="gramEnd"/>
          </w:p>
          <w:p w14:paraId="656759B6" w14:textId="77777777" w:rsidR="00243C1F" w:rsidRDefault="00243C1F" w:rsidP="00E9485A">
            <w:pPr>
              <w:pStyle w:val="TableText"/>
              <w:numPr>
                <w:ilvl w:val="0"/>
                <w:numId w:val="10"/>
              </w:numPr>
            </w:pPr>
            <w:r>
              <w:t xml:space="preserve">Probabilities of severe toxicities for normal/intermediate/poor metabolisers with standard/reduced doses of FP-related treatments or alternative </w:t>
            </w:r>
            <w:proofErr w:type="gramStart"/>
            <w:r>
              <w:t>treatment</w:t>
            </w:r>
            <w:proofErr w:type="gramEnd"/>
          </w:p>
          <w:p w14:paraId="48E992A1" w14:textId="77777777" w:rsidR="00243C1F" w:rsidRPr="000449D1" w:rsidRDefault="00243C1F" w:rsidP="00E9485A">
            <w:pPr>
              <w:pStyle w:val="TableText"/>
              <w:numPr>
                <w:ilvl w:val="0"/>
                <w:numId w:val="10"/>
              </w:numPr>
            </w:pPr>
            <w:r>
              <w:t xml:space="preserve">Probabilities of death due to toxicities for normal/intermediate/poor metabolisers with standard/reduced doses of FP-related treatments or alternative </w:t>
            </w:r>
            <w:proofErr w:type="gramStart"/>
            <w:r>
              <w:t>treatment</w:t>
            </w:r>
            <w:proofErr w:type="gramEnd"/>
          </w:p>
        </w:tc>
      </w:tr>
      <w:tr w:rsidR="00243C1F" w:rsidRPr="000449D1" w14:paraId="66E883D6" w14:textId="77777777" w:rsidTr="00B23B67">
        <w:tc>
          <w:tcPr>
            <w:tcW w:w="2263" w:type="dxa"/>
          </w:tcPr>
          <w:p w14:paraId="11310EF1" w14:textId="77777777" w:rsidR="00243C1F" w:rsidRPr="000449D1" w:rsidRDefault="00243C1F">
            <w:pPr>
              <w:pStyle w:val="TableText"/>
            </w:pPr>
            <w:r w:rsidRPr="000449D1">
              <w:t>Discount rate</w:t>
            </w:r>
          </w:p>
        </w:tc>
        <w:tc>
          <w:tcPr>
            <w:tcW w:w="6663" w:type="dxa"/>
          </w:tcPr>
          <w:p w14:paraId="2216FCAF" w14:textId="77777777" w:rsidR="00243C1F" w:rsidRPr="000449D1" w:rsidRDefault="00243C1F">
            <w:pPr>
              <w:pStyle w:val="TableText"/>
            </w:pPr>
            <w:r>
              <w:t>N/A</w:t>
            </w:r>
          </w:p>
        </w:tc>
      </w:tr>
      <w:tr w:rsidR="00243C1F" w:rsidRPr="000449D1" w14:paraId="33EDDE0E" w14:textId="77777777" w:rsidTr="00B23B67">
        <w:tc>
          <w:tcPr>
            <w:tcW w:w="2263" w:type="dxa"/>
          </w:tcPr>
          <w:p w14:paraId="0116A6C7" w14:textId="77777777" w:rsidR="00243C1F" w:rsidRPr="000449D1" w:rsidRDefault="00243C1F">
            <w:pPr>
              <w:pStyle w:val="TableText"/>
            </w:pPr>
            <w:r w:rsidRPr="000449D1">
              <w:t>Software</w:t>
            </w:r>
          </w:p>
        </w:tc>
        <w:tc>
          <w:tcPr>
            <w:tcW w:w="6663" w:type="dxa"/>
          </w:tcPr>
          <w:p w14:paraId="5D08C156" w14:textId="77777777" w:rsidR="00243C1F" w:rsidRPr="000449D1" w:rsidRDefault="00243C1F">
            <w:pPr>
              <w:pStyle w:val="TableText"/>
            </w:pPr>
            <w:r w:rsidRPr="000449D1">
              <w:t>Excel</w:t>
            </w:r>
            <w:r>
              <w:t xml:space="preserve"> and</w:t>
            </w:r>
            <w:r w:rsidRPr="000449D1">
              <w:t xml:space="preserve"> TreeAge Pro</w:t>
            </w:r>
          </w:p>
        </w:tc>
      </w:tr>
    </w:tbl>
    <w:p w14:paraId="4B4236AC" w14:textId="091D2498" w:rsidR="00587639" w:rsidRPr="00243C1F" w:rsidRDefault="00243C1F" w:rsidP="00D23AAA">
      <w:pPr>
        <w:pStyle w:val="Tablenotes"/>
        <w:spacing w:before="0"/>
        <w:rPr>
          <w:rFonts w:eastAsiaTheme="minorEastAsia"/>
          <w:lang w:eastAsia="zh-CN"/>
        </w:rPr>
      </w:pPr>
      <w:r w:rsidRPr="00490FBB">
        <w:t>CEA=cost-effectiveness analysis; CUA=cost-utility analysis</w:t>
      </w:r>
      <w:r>
        <w:t xml:space="preserve">; </w:t>
      </w:r>
      <w:r w:rsidR="00CD73DB" w:rsidRPr="00CD73DB">
        <w:rPr>
          <w:i/>
        </w:rPr>
        <w:t>DPYD</w:t>
      </w:r>
      <w:r w:rsidR="00DE72B1">
        <w:t>=</w:t>
      </w:r>
      <w:proofErr w:type="spellStart"/>
      <w:r w:rsidR="00DE72B1" w:rsidRPr="005E4491">
        <w:t>Dihydropyrimidine</w:t>
      </w:r>
      <w:proofErr w:type="spellEnd"/>
      <w:r w:rsidR="00DE72B1" w:rsidRPr="005E4491">
        <w:t xml:space="preserve"> dehydrogenase gene</w:t>
      </w:r>
      <w:r w:rsidR="00DE72B1">
        <w:t xml:space="preserve">; </w:t>
      </w:r>
      <w:r>
        <w:t>FP=fluoropyrimidine</w:t>
      </w:r>
      <w:bookmarkStart w:id="32" w:name="Title_Table5"/>
      <w:bookmarkStart w:id="33" w:name="_Hlk68276459"/>
      <w:bookmarkEnd w:id="32"/>
      <w:r w:rsidR="00DE72B1">
        <w:t xml:space="preserve">; </w:t>
      </w:r>
      <w:r w:rsidR="00056780">
        <w:t xml:space="preserve">N/A=Not applicable; </w:t>
      </w:r>
      <w:r w:rsidR="00DE72B1">
        <w:t>QALY=Quality-adjusted life year</w:t>
      </w:r>
    </w:p>
    <w:bookmarkEnd w:id="33"/>
    <w:p w14:paraId="086F3283" w14:textId="303CBA69" w:rsidR="00F51D13" w:rsidRPr="009F748B" w:rsidRDefault="00480E6F" w:rsidP="00C003ED">
      <w:pPr>
        <w:rPr>
          <w:rFonts w:eastAsiaTheme="minorEastAsia"/>
          <w:lang w:eastAsia="zh-CN"/>
        </w:rPr>
      </w:pPr>
      <w:r w:rsidRPr="00F46FF1">
        <w:t xml:space="preserve">The model was conducted using a stepped approach considering the absence of robust evidence. Step 1 considered the cost of </w:t>
      </w:r>
      <w:r w:rsidR="00CD73DB" w:rsidRPr="00CD73DB">
        <w:rPr>
          <w:i/>
        </w:rPr>
        <w:t>DPYD</w:t>
      </w:r>
      <w:r w:rsidRPr="00F46FF1">
        <w:t xml:space="preserve"> genotyping and the prevalence of normal, intermediate, and poor metabolisers. Step 2 considered the probabilities of severe toxicities for normal, intermediate, and poor metabolisers with various doses or alternative treatments</w:t>
      </w:r>
      <w:r w:rsidRPr="00F46FF1">
        <w:rPr>
          <w:rFonts w:eastAsiaTheme="minorEastAsia"/>
        </w:rPr>
        <w:t xml:space="preserve">. </w:t>
      </w:r>
      <w:r w:rsidR="005E7DED">
        <w:rPr>
          <w:rFonts w:eastAsiaTheme="minorEastAsia" w:hint="eastAsia"/>
          <w:lang w:eastAsia="zh-CN"/>
        </w:rPr>
        <w:t xml:space="preserve">The stepped results are </w:t>
      </w:r>
      <w:r w:rsidR="005E7DED">
        <w:rPr>
          <w:rFonts w:eastAsiaTheme="minorEastAsia"/>
          <w:lang w:eastAsia="zh-CN"/>
        </w:rPr>
        <w:t>presented</w:t>
      </w:r>
      <w:r w:rsidR="005E7DED">
        <w:rPr>
          <w:rFonts w:eastAsiaTheme="minorEastAsia" w:hint="eastAsia"/>
          <w:lang w:eastAsia="zh-CN"/>
        </w:rPr>
        <w:t xml:space="preserve"> in </w:t>
      </w:r>
      <w:r w:rsidR="00CC2926">
        <w:rPr>
          <w:rFonts w:eastAsiaTheme="minorEastAsia"/>
          <w:lang w:eastAsia="zh-CN"/>
        </w:rPr>
        <w:fldChar w:fldCharType="begin"/>
      </w:r>
      <w:r w:rsidR="00CC2926">
        <w:rPr>
          <w:rFonts w:eastAsiaTheme="minorEastAsia"/>
          <w:lang w:eastAsia="zh-CN"/>
        </w:rPr>
        <w:instrText xml:space="preserve"> </w:instrText>
      </w:r>
      <w:r w:rsidR="00CC2926">
        <w:rPr>
          <w:rFonts w:eastAsiaTheme="minorEastAsia" w:hint="eastAsia"/>
          <w:lang w:eastAsia="zh-CN"/>
        </w:rPr>
        <w:instrText>REF _Ref69725870 \h</w:instrText>
      </w:r>
      <w:r w:rsidR="00CC2926">
        <w:rPr>
          <w:rFonts w:eastAsiaTheme="minorEastAsia"/>
          <w:lang w:eastAsia="zh-CN"/>
        </w:rPr>
        <w:instrText xml:space="preserve"> </w:instrText>
      </w:r>
      <w:r w:rsidR="00CC2926">
        <w:rPr>
          <w:rFonts w:eastAsiaTheme="minorEastAsia"/>
          <w:lang w:eastAsia="zh-CN"/>
        </w:rPr>
      </w:r>
      <w:r w:rsidR="00CC2926">
        <w:rPr>
          <w:rFonts w:eastAsiaTheme="minorEastAsia"/>
          <w:lang w:eastAsia="zh-CN"/>
        </w:rPr>
        <w:fldChar w:fldCharType="separate"/>
      </w:r>
      <w:r w:rsidR="00306F34" w:rsidRPr="00CE28E3">
        <w:t>Table</w:t>
      </w:r>
      <w:r w:rsidR="00306F34">
        <w:t> </w:t>
      </w:r>
      <w:r w:rsidR="00306F34">
        <w:rPr>
          <w:noProof/>
        </w:rPr>
        <w:t>7</w:t>
      </w:r>
      <w:r w:rsidR="00CC2926">
        <w:rPr>
          <w:rFonts w:eastAsiaTheme="minorEastAsia"/>
          <w:lang w:eastAsia="zh-CN"/>
        </w:rPr>
        <w:fldChar w:fldCharType="end"/>
      </w:r>
      <w:r w:rsidR="00E7115C">
        <w:rPr>
          <w:rFonts w:eastAsiaTheme="minorEastAsia"/>
          <w:lang w:eastAsia="zh-CN"/>
        </w:rPr>
        <w:t>.</w:t>
      </w:r>
      <w:r w:rsidR="00CC2926">
        <w:rPr>
          <w:rFonts w:eastAsiaTheme="minorEastAsia" w:hint="eastAsia"/>
          <w:lang w:eastAsia="zh-CN"/>
        </w:rPr>
        <w:t xml:space="preserve"> </w:t>
      </w:r>
      <w:r w:rsidR="00A31FDD">
        <w:rPr>
          <w:rFonts w:eastAsiaTheme="minorEastAsia" w:hint="eastAsia"/>
          <w:lang w:eastAsia="zh-CN"/>
        </w:rPr>
        <w:t xml:space="preserve">The overall results of the </w:t>
      </w:r>
      <w:r w:rsidR="00A31FDD">
        <w:rPr>
          <w:rFonts w:eastAsiaTheme="minorEastAsia"/>
          <w:lang w:eastAsia="zh-CN"/>
        </w:rPr>
        <w:t>economic</w:t>
      </w:r>
      <w:r w:rsidR="00A31FDD">
        <w:rPr>
          <w:rFonts w:eastAsiaTheme="minorEastAsia" w:hint="eastAsia"/>
          <w:lang w:eastAsia="zh-CN"/>
        </w:rPr>
        <w:t xml:space="preserve"> </w:t>
      </w:r>
      <w:r w:rsidR="00A31FDD">
        <w:rPr>
          <w:rFonts w:eastAsiaTheme="minorEastAsia"/>
          <w:lang w:eastAsia="zh-CN"/>
        </w:rPr>
        <w:t>evaluation</w:t>
      </w:r>
      <w:r w:rsidR="00A31FDD">
        <w:rPr>
          <w:rFonts w:eastAsiaTheme="minorEastAsia" w:hint="eastAsia"/>
          <w:lang w:eastAsia="zh-CN"/>
        </w:rPr>
        <w:t xml:space="preserve"> </w:t>
      </w:r>
      <w:r w:rsidRPr="00F46FF1">
        <w:t>considered the additional costs associated with hospitalisations due to toxicities, and the probabilities of hospitalisation and death due to toxicities for normal, intermediate, and poor metabolisers with various doses or alternative treatments.</w:t>
      </w:r>
      <w:r w:rsidR="00F25897">
        <w:rPr>
          <w:rFonts w:eastAsiaTheme="minorEastAsia" w:hint="eastAsia"/>
          <w:lang w:eastAsia="zh-CN"/>
        </w:rPr>
        <w:t xml:space="preserve"> QALYs was used as health outcomes. The </w:t>
      </w:r>
      <w:r w:rsidR="00F25897">
        <w:rPr>
          <w:rFonts w:eastAsiaTheme="minorEastAsia"/>
          <w:lang w:eastAsia="zh-CN"/>
        </w:rPr>
        <w:t>results</w:t>
      </w:r>
      <w:r w:rsidR="00F25897">
        <w:rPr>
          <w:rFonts w:eastAsiaTheme="minorEastAsia" w:hint="eastAsia"/>
          <w:lang w:eastAsia="zh-CN"/>
        </w:rPr>
        <w:t xml:space="preserve"> are presented in</w:t>
      </w:r>
      <w:r w:rsidR="00CB1838">
        <w:rPr>
          <w:rFonts w:eastAsiaTheme="minorEastAsia"/>
          <w:lang w:eastAsia="zh-CN"/>
        </w:rPr>
        <w:t xml:space="preserve"> </w:t>
      </w:r>
      <w:r w:rsidR="00CB1838">
        <w:rPr>
          <w:rFonts w:eastAsiaTheme="minorEastAsia"/>
          <w:lang w:eastAsia="zh-CN"/>
        </w:rPr>
        <w:fldChar w:fldCharType="begin"/>
      </w:r>
      <w:r w:rsidR="00CB1838">
        <w:rPr>
          <w:rFonts w:eastAsiaTheme="minorEastAsia"/>
          <w:lang w:eastAsia="zh-CN"/>
        </w:rPr>
        <w:instrText xml:space="preserve"> REF _Ref69726284 \h </w:instrText>
      </w:r>
      <w:r w:rsidR="00CB1838">
        <w:rPr>
          <w:rFonts w:eastAsiaTheme="minorEastAsia"/>
          <w:lang w:eastAsia="zh-CN"/>
        </w:rPr>
      </w:r>
      <w:r w:rsidR="00CB1838">
        <w:rPr>
          <w:rFonts w:eastAsiaTheme="minorEastAsia"/>
          <w:lang w:eastAsia="zh-CN"/>
        </w:rPr>
        <w:fldChar w:fldCharType="separate"/>
      </w:r>
      <w:r w:rsidR="00306F34" w:rsidRPr="00CE28E3">
        <w:t>Table</w:t>
      </w:r>
      <w:r w:rsidR="00306F34">
        <w:t> </w:t>
      </w:r>
      <w:r w:rsidR="00306F34">
        <w:rPr>
          <w:noProof/>
        </w:rPr>
        <w:t>8</w:t>
      </w:r>
      <w:r w:rsidR="00CB1838">
        <w:rPr>
          <w:rFonts w:eastAsiaTheme="minorEastAsia"/>
          <w:lang w:eastAsia="zh-CN"/>
        </w:rPr>
        <w:fldChar w:fldCharType="end"/>
      </w:r>
      <w:r w:rsidR="00CB1838">
        <w:rPr>
          <w:rFonts w:eastAsiaTheme="minorEastAsia"/>
          <w:lang w:eastAsia="zh-CN"/>
        </w:rPr>
        <w:t>.</w:t>
      </w:r>
    </w:p>
    <w:p w14:paraId="3650A475" w14:textId="52FADA6E" w:rsidR="00FC5603" w:rsidRPr="00E05079" w:rsidRDefault="00FC5603" w:rsidP="00FF160D">
      <w:pPr>
        <w:pStyle w:val="Caption"/>
        <w:rPr>
          <w:rFonts w:eastAsiaTheme="minorEastAsia"/>
          <w:lang w:eastAsia="zh-CN"/>
        </w:rPr>
      </w:pPr>
      <w:bookmarkStart w:id="34" w:name="_Ref6972587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835345">
        <w:rPr>
          <w:noProof/>
        </w:rPr>
        <w:t>7</w:t>
      </w:r>
      <w:r w:rsidRPr="00CE28E3">
        <w:rPr>
          <w:noProof/>
        </w:rPr>
        <w:fldChar w:fldCharType="end"/>
      </w:r>
      <w:bookmarkEnd w:id="34"/>
      <w:r w:rsidRPr="00CE28E3">
        <w:t xml:space="preserve"> </w:t>
      </w:r>
      <w:r w:rsidRPr="00CE28E3">
        <w:tab/>
        <w:t>Results of the stepped economic analysis</w:t>
      </w:r>
    </w:p>
    <w:tbl>
      <w:tblPr>
        <w:tblStyle w:val="TableGrid1"/>
        <w:tblW w:w="5000" w:type="pct"/>
        <w:tblLayout w:type="fixed"/>
        <w:tblCellMar>
          <w:top w:w="57" w:type="dxa"/>
          <w:left w:w="28" w:type="dxa"/>
          <w:bottom w:w="57" w:type="dxa"/>
          <w:right w:w="28" w:type="dxa"/>
        </w:tblCellMar>
        <w:tblLook w:val="04A0" w:firstRow="1" w:lastRow="0" w:firstColumn="1" w:lastColumn="0" w:noHBand="0" w:noVBand="1"/>
        <w:tblCaption w:val="Results of the stepped economic analyses"/>
      </w:tblPr>
      <w:tblGrid>
        <w:gridCol w:w="4106"/>
        <w:gridCol w:w="1560"/>
        <w:gridCol w:w="994"/>
        <w:gridCol w:w="1132"/>
        <w:gridCol w:w="1224"/>
      </w:tblGrid>
      <w:tr w:rsidR="00A74226" w:rsidRPr="00CE28E3" w14:paraId="74A67C2B" w14:textId="77777777" w:rsidTr="00DE72B1">
        <w:trPr>
          <w:cnfStyle w:val="100000000000" w:firstRow="1" w:lastRow="0" w:firstColumn="0" w:lastColumn="0" w:oddVBand="0" w:evenVBand="0" w:oddHBand="0" w:evenHBand="0" w:firstRowFirstColumn="0" w:firstRowLastColumn="0" w:lastRowFirstColumn="0" w:lastRowLastColumn="0"/>
          <w:cantSplit/>
          <w:trHeight w:val="300"/>
          <w:tblHeader/>
        </w:trPr>
        <w:tc>
          <w:tcPr>
            <w:tcW w:w="2277" w:type="pct"/>
            <w:shd w:val="clear" w:color="auto" w:fill="D9D9D9" w:themeFill="background1" w:themeFillShade="D9"/>
            <w:noWrap/>
            <w:hideMark/>
          </w:tcPr>
          <w:p w14:paraId="69924570" w14:textId="4A3FE106" w:rsidR="00A74226" w:rsidRPr="00CE28E3" w:rsidRDefault="00A74226" w:rsidP="001E2A01">
            <w:pPr>
              <w:pStyle w:val="TableHeading"/>
              <w:spacing w:before="0" w:after="0"/>
            </w:pPr>
            <w:bookmarkStart w:id="35" w:name="Title_Table6"/>
            <w:bookmarkStart w:id="36" w:name="_Hlk68276518"/>
            <w:bookmarkEnd w:id="35"/>
            <w:r>
              <w:t>Step</w:t>
            </w:r>
          </w:p>
        </w:tc>
        <w:tc>
          <w:tcPr>
            <w:tcW w:w="865" w:type="pct"/>
            <w:shd w:val="clear" w:color="auto" w:fill="D9D9D9" w:themeFill="background1" w:themeFillShade="D9"/>
            <w:noWrap/>
            <w:hideMark/>
          </w:tcPr>
          <w:p w14:paraId="2B7EDBFD" w14:textId="01EA9449" w:rsidR="00A74226" w:rsidRPr="00CE28E3" w:rsidRDefault="005E7DED" w:rsidP="001E2A01">
            <w:pPr>
              <w:pStyle w:val="TableHeading"/>
              <w:spacing w:before="0" w:after="0"/>
            </w:pPr>
            <w:r w:rsidRPr="00CB1838">
              <w:rPr>
                <w:rFonts w:eastAsiaTheme="minorEastAsia" w:hint="eastAsia"/>
                <w:i/>
                <w:lang w:eastAsia="zh-CN"/>
              </w:rPr>
              <w:t>DP</w:t>
            </w:r>
            <w:r w:rsidR="00CC2926" w:rsidRPr="00CB1838">
              <w:rPr>
                <w:rFonts w:eastAsiaTheme="minorEastAsia" w:hint="eastAsia"/>
                <w:i/>
                <w:lang w:eastAsia="zh-CN"/>
              </w:rPr>
              <w:t>Y</w:t>
            </w:r>
            <w:r w:rsidRPr="00CB1838">
              <w:rPr>
                <w:rFonts w:eastAsiaTheme="minorEastAsia" w:hint="eastAsia"/>
                <w:i/>
                <w:lang w:eastAsia="zh-CN"/>
              </w:rPr>
              <w:t xml:space="preserve">D </w:t>
            </w:r>
            <w:r>
              <w:rPr>
                <w:rFonts w:eastAsiaTheme="minorEastAsia" w:hint="eastAsia"/>
                <w:lang w:eastAsia="zh-CN"/>
              </w:rPr>
              <w:t>genotyping</w:t>
            </w:r>
          </w:p>
        </w:tc>
        <w:tc>
          <w:tcPr>
            <w:tcW w:w="551" w:type="pct"/>
            <w:shd w:val="clear" w:color="auto" w:fill="D9D9D9" w:themeFill="background1" w:themeFillShade="D9"/>
            <w:noWrap/>
            <w:hideMark/>
          </w:tcPr>
          <w:p w14:paraId="3CCA4DE1" w14:textId="2FF20CA2" w:rsidR="00A74226" w:rsidRPr="00CE28E3" w:rsidRDefault="005E7DED" w:rsidP="001E2A01">
            <w:pPr>
              <w:pStyle w:val="TableHeading"/>
              <w:spacing w:before="0" w:after="0"/>
            </w:pPr>
            <w:r>
              <w:rPr>
                <w:rFonts w:eastAsiaTheme="minorEastAsia" w:hint="eastAsia"/>
                <w:lang w:eastAsia="zh-CN"/>
              </w:rPr>
              <w:t>No testing</w:t>
            </w:r>
          </w:p>
        </w:tc>
        <w:tc>
          <w:tcPr>
            <w:tcW w:w="628" w:type="pct"/>
            <w:shd w:val="clear" w:color="auto" w:fill="D9D9D9" w:themeFill="background1" w:themeFillShade="D9"/>
            <w:noWrap/>
            <w:hideMark/>
          </w:tcPr>
          <w:p w14:paraId="381A89D4" w14:textId="77777777" w:rsidR="00A74226" w:rsidRPr="00CE28E3" w:rsidRDefault="00A74226" w:rsidP="001E2A01">
            <w:pPr>
              <w:pStyle w:val="TableHeading"/>
              <w:spacing w:before="0" w:after="0"/>
            </w:pPr>
            <w:r w:rsidRPr="009E23EC">
              <w:t>Increment</w:t>
            </w:r>
          </w:p>
        </w:tc>
        <w:tc>
          <w:tcPr>
            <w:tcW w:w="679" w:type="pct"/>
            <w:shd w:val="clear" w:color="auto" w:fill="D9D9D9" w:themeFill="background1" w:themeFillShade="D9"/>
          </w:tcPr>
          <w:p w14:paraId="6D2662BA" w14:textId="77777777" w:rsidR="00A74226" w:rsidRPr="00CE28E3" w:rsidRDefault="00A74226" w:rsidP="001E2A01">
            <w:pPr>
              <w:pStyle w:val="TableHeading"/>
              <w:spacing w:before="0" w:after="0"/>
            </w:pPr>
            <w:r w:rsidRPr="00CE28E3">
              <w:t>ICER</w:t>
            </w:r>
          </w:p>
        </w:tc>
      </w:tr>
      <w:tr w:rsidR="00A74226" w:rsidRPr="00CE28E3" w14:paraId="55FB73C8" w14:textId="77777777" w:rsidTr="00B23B67">
        <w:trPr>
          <w:cantSplit/>
          <w:trHeight w:val="300"/>
        </w:trPr>
        <w:tc>
          <w:tcPr>
            <w:tcW w:w="5000" w:type="pct"/>
            <w:gridSpan w:val="5"/>
            <w:tcBorders>
              <w:bottom w:val="single" w:sz="4" w:space="0" w:color="auto"/>
            </w:tcBorders>
            <w:noWrap/>
            <w:hideMark/>
          </w:tcPr>
          <w:p w14:paraId="31F66E8A" w14:textId="21CB1C53" w:rsidR="00A74226" w:rsidRPr="00CE28E3" w:rsidRDefault="00A74226" w:rsidP="001E2A01">
            <w:pPr>
              <w:pStyle w:val="Tabletext0"/>
              <w:spacing w:before="0" w:after="0"/>
            </w:pPr>
            <w:r w:rsidRPr="00CE28E3">
              <w:t xml:space="preserve">Step 1 – </w:t>
            </w:r>
            <w:r w:rsidR="00E05079" w:rsidRPr="00E05079">
              <w:t xml:space="preserve">Cost per patient with a </w:t>
            </w:r>
            <w:r w:rsidR="00CD73DB" w:rsidRPr="00CD73DB">
              <w:rPr>
                <w:i/>
              </w:rPr>
              <w:t>DPYD</w:t>
            </w:r>
            <w:r w:rsidR="00E05079" w:rsidRPr="00E05079">
              <w:t xml:space="preserve"> variant identified</w:t>
            </w:r>
          </w:p>
        </w:tc>
      </w:tr>
      <w:tr w:rsidR="00A74226" w:rsidRPr="00CE28E3" w14:paraId="6313908E" w14:textId="77777777" w:rsidTr="00DE72B1">
        <w:trPr>
          <w:cantSplit/>
          <w:trHeight w:val="300"/>
        </w:trPr>
        <w:tc>
          <w:tcPr>
            <w:tcW w:w="2277" w:type="pct"/>
            <w:tcBorders>
              <w:bottom w:val="nil"/>
            </w:tcBorders>
            <w:noWrap/>
          </w:tcPr>
          <w:p w14:paraId="2A959CB8" w14:textId="77777777" w:rsidR="00A74226" w:rsidRPr="00CE28E3" w:rsidRDefault="00A74226" w:rsidP="001E2A01">
            <w:pPr>
              <w:pStyle w:val="Tabletext0"/>
              <w:spacing w:before="0" w:after="0"/>
            </w:pPr>
            <w:r>
              <w:t>Costs</w:t>
            </w:r>
          </w:p>
        </w:tc>
        <w:tc>
          <w:tcPr>
            <w:tcW w:w="865" w:type="pct"/>
            <w:tcBorders>
              <w:bottom w:val="nil"/>
            </w:tcBorders>
            <w:noWrap/>
          </w:tcPr>
          <w:p w14:paraId="48AA093F" w14:textId="7B0C3244" w:rsidR="00A74226" w:rsidRPr="00CE28E3" w:rsidRDefault="005E7DED" w:rsidP="001E2A01">
            <w:pPr>
              <w:pStyle w:val="Tabletext0"/>
              <w:spacing w:before="0" w:after="0"/>
            </w:pPr>
            <w:r>
              <w:rPr>
                <w:rFonts w:eastAsiaTheme="minorEastAsia" w:hint="eastAsia"/>
                <w:lang w:eastAsia="zh-CN"/>
              </w:rPr>
              <w:t>$188</w:t>
            </w:r>
          </w:p>
        </w:tc>
        <w:tc>
          <w:tcPr>
            <w:tcW w:w="551" w:type="pct"/>
            <w:tcBorders>
              <w:bottom w:val="nil"/>
            </w:tcBorders>
            <w:noWrap/>
          </w:tcPr>
          <w:p w14:paraId="3E319DE3" w14:textId="4BDAEED3" w:rsidR="00A74226" w:rsidRPr="00CE28E3" w:rsidRDefault="005E7DED" w:rsidP="001E2A01">
            <w:pPr>
              <w:pStyle w:val="Tabletext0"/>
              <w:spacing w:before="0" w:after="0"/>
            </w:pPr>
            <w:r>
              <w:rPr>
                <w:rFonts w:eastAsiaTheme="minorEastAsia" w:hint="eastAsia"/>
                <w:lang w:eastAsia="zh-CN"/>
              </w:rPr>
              <w:t>0</w:t>
            </w:r>
          </w:p>
        </w:tc>
        <w:tc>
          <w:tcPr>
            <w:tcW w:w="628" w:type="pct"/>
            <w:tcBorders>
              <w:bottom w:val="nil"/>
            </w:tcBorders>
            <w:noWrap/>
          </w:tcPr>
          <w:p w14:paraId="1082EBCE" w14:textId="58DE7D8B" w:rsidR="00A74226" w:rsidRPr="00CE28E3" w:rsidRDefault="005E7DED" w:rsidP="001E2A01">
            <w:pPr>
              <w:pStyle w:val="Tabletext0"/>
              <w:spacing w:before="0" w:after="0"/>
            </w:pPr>
            <w:r>
              <w:rPr>
                <w:rFonts w:eastAsiaTheme="minorEastAsia" w:hint="eastAsia"/>
                <w:lang w:eastAsia="zh-CN"/>
              </w:rPr>
              <w:t>$188</w:t>
            </w:r>
          </w:p>
        </w:tc>
        <w:tc>
          <w:tcPr>
            <w:tcW w:w="679" w:type="pct"/>
            <w:tcBorders>
              <w:bottom w:val="nil"/>
            </w:tcBorders>
          </w:tcPr>
          <w:p w14:paraId="099CE540" w14:textId="77777777" w:rsidR="00A74226" w:rsidRPr="00CE28E3" w:rsidRDefault="00A74226" w:rsidP="001E2A01">
            <w:pPr>
              <w:pStyle w:val="Tabletext0"/>
              <w:spacing w:before="0" w:after="0"/>
            </w:pPr>
          </w:p>
        </w:tc>
      </w:tr>
      <w:tr w:rsidR="00A74226" w:rsidRPr="00CE28E3" w14:paraId="74A5D67F" w14:textId="77777777" w:rsidTr="00DE72B1">
        <w:trPr>
          <w:cantSplit/>
          <w:trHeight w:val="300"/>
        </w:trPr>
        <w:tc>
          <w:tcPr>
            <w:tcW w:w="2277" w:type="pct"/>
            <w:tcBorders>
              <w:top w:val="nil"/>
            </w:tcBorders>
            <w:noWrap/>
          </w:tcPr>
          <w:p w14:paraId="009D7C4B" w14:textId="0F193F9A" w:rsidR="00A74226" w:rsidRDefault="00A74226" w:rsidP="001E2A01">
            <w:pPr>
              <w:pStyle w:val="Tabletext0"/>
              <w:spacing w:before="0" w:after="0"/>
            </w:pPr>
            <w:r>
              <w:t>Outcome 1 (</w:t>
            </w:r>
            <w:r w:rsidR="008A78A1">
              <w:rPr>
                <w:rFonts w:eastAsiaTheme="minorEastAsia"/>
                <w:lang w:eastAsia="zh-CN"/>
              </w:rPr>
              <w:t>proportion</w:t>
            </w:r>
            <w:r w:rsidR="005E7DED">
              <w:rPr>
                <w:rFonts w:eastAsiaTheme="minorEastAsia" w:hint="eastAsia"/>
                <w:lang w:eastAsia="zh-CN"/>
              </w:rPr>
              <w:t xml:space="preserve"> of patients with a </w:t>
            </w:r>
            <w:r w:rsidR="00CD73DB" w:rsidRPr="00CD73DB">
              <w:rPr>
                <w:rFonts w:eastAsiaTheme="minorEastAsia" w:hint="eastAsia"/>
                <w:i/>
                <w:lang w:eastAsia="zh-CN"/>
              </w:rPr>
              <w:t>DPYD</w:t>
            </w:r>
            <w:r w:rsidR="005E7DED">
              <w:rPr>
                <w:rFonts w:eastAsiaTheme="minorEastAsia" w:hint="eastAsia"/>
                <w:lang w:eastAsia="zh-CN"/>
              </w:rPr>
              <w:t xml:space="preserve"> variant identified</w:t>
            </w:r>
            <w:r>
              <w:t>)</w:t>
            </w:r>
          </w:p>
        </w:tc>
        <w:tc>
          <w:tcPr>
            <w:tcW w:w="865" w:type="pct"/>
            <w:tcBorders>
              <w:top w:val="nil"/>
            </w:tcBorders>
            <w:noWrap/>
          </w:tcPr>
          <w:p w14:paraId="34B60185" w14:textId="4843D80E" w:rsidR="00A74226" w:rsidRPr="00CE28E3" w:rsidRDefault="0020651D" w:rsidP="001E2A01">
            <w:pPr>
              <w:pStyle w:val="Tabletext0"/>
              <w:spacing w:before="0" w:after="0"/>
            </w:pPr>
            <w:r>
              <w:rPr>
                <w:rFonts w:eastAsiaTheme="minorEastAsia"/>
                <w:lang w:eastAsia="zh-CN"/>
              </w:rPr>
              <w:t>0.0705</w:t>
            </w:r>
          </w:p>
        </w:tc>
        <w:tc>
          <w:tcPr>
            <w:tcW w:w="551" w:type="pct"/>
            <w:tcBorders>
              <w:top w:val="nil"/>
            </w:tcBorders>
            <w:noWrap/>
          </w:tcPr>
          <w:p w14:paraId="45650E9A" w14:textId="5FE3F8F1" w:rsidR="00A74226" w:rsidRPr="00CE28E3" w:rsidRDefault="005E7DED" w:rsidP="001E2A01">
            <w:pPr>
              <w:pStyle w:val="Tabletext0"/>
              <w:spacing w:before="0" w:after="0"/>
            </w:pPr>
            <w:r>
              <w:rPr>
                <w:rFonts w:eastAsiaTheme="minorEastAsia" w:hint="eastAsia"/>
                <w:lang w:eastAsia="zh-CN"/>
              </w:rPr>
              <w:t>0</w:t>
            </w:r>
          </w:p>
        </w:tc>
        <w:tc>
          <w:tcPr>
            <w:tcW w:w="628" w:type="pct"/>
            <w:tcBorders>
              <w:top w:val="nil"/>
            </w:tcBorders>
            <w:noWrap/>
          </w:tcPr>
          <w:p w14:paraId="50EE13A2" w14:textId="215E2DC2" w:rsidR="00A74226" w:rsidRPr="00CE28E3" w:rsidRDefault="0020651D" w:rsidP="001E2A01">
            <w:pPr>
              <w:pStyle w:val="Tabletext0"/>
              <w:spacing w:before="0" w:after="0"/>
            </w:pPr>
            <w:r>
              <w:rPr>
                <w:rFonts w:eastAsiaTheme="minorEastAsia"/>
                <w:lang w:eastAsia="zh-CN"/>
              </w:rPr>
              <w:t>0.0705</w:t>
            </w:r>
          </w:p>
        </w:tc>
        <w:tc>
          <w:tcPr>
            <w:tcW w:w="679" w:type="pct"/>
            <w:tcBorders>
              <w:top w:val="nil"/>
            </w:tcBorders>
          </w:tcPr>
          <w:p w14:paraId="5873FC60" w14:textId="00E69066" w:rsidR="00A74226" w:rsidRPr="00CE28E3" w:rsidRDefault="0020651D" w:rsidP="001E2A01">
            <w:pPr>
              <w:pStyle w:val="Tabletext0"/>
              <w:spacing w:before="0" w:after="0"/>
            </w:pPr>
            <w:r w:rsidRPr="00555687">
              <w:rPr>
                <w:rFonts w:eastAsiaTheme="minorEastAsia" w:hint="eastAsia"/>
                <w:lang w:eastAsia="zh-CN"/>
              </w:rPr>
              <w:t>$</w:t>
            </w:r>
            <w:r>
              <w:rPr>
                <w:rFonts w:eastAsiaTheme="minorEastAsia"/>
                <w:lang w:eastAsia="zh-CN"/>
              </w:rPr>
              <w:t>2,666.67</w:t>
            </w:r>
          </w:p>
        </w:tc>
      </w:tr>
      <w:tr w:rsidR="00A74226" w:rsidRPr="00CE28E3" w14:paraId="67535B96" w14:textId="77777777" w:rsidTr="00B23B67">
        <w:trPr>
          <w:cantSplit/>
          <w:trHeight w:val="300"/>
        </w:trPr>
        <w:tc>
          <w:tcPr>
            <w:tcW w:w="5000" w:type="pct"/>
            <w:gridSpan w:val="5"/>
            <w:tcBorders>
              <w:bottom w:val="single" w:sz="4" w:space="0" w:color="auto"/>
            </w:tcBorders>
            <w:noWrap/>
            <w:hideMark/>
          </w:tcPr>
          <w:p w14:paraId="1922CE5C" w14:textId="4A8F7744" w:rsidR="00A74226" w:rsidRPr="00CE28E3" w:rsidRDefault="00A74226" w:rsidP="001E2A01">
            <w:pPr>
              <w:pStyle w:val="Tabletext0"/>
              <w:spacing w:before="0" w:after="0"/>
            </w:pPr>
            <w:r w:rsidRPr="00CE28E3">
              <w:t xml:space="preserve">Step </w:t>
            </w:r>
            <w:r>
              <w:t>2</w:t>
            </w:r>
            <w:r w:rsidRPr="00CE28E3">
              <w:t xml:space="preserve"> – </w:t>
            </w:r>
            <w:r w:rsidR="009F748B" w:rsidRPr="009F748B">
              <w:t>Cost per patient avoiding severe (≥grade 3) FP-related toxicity</w:t>
            </w:r>
            <w:r w:rsidR="009F748B">
              <w:rPr>
                <w:rFonts w:eastAsiaTheme="minorEastAsia" w:hint="eastAsia"/>
                <w:lang w:eastAsia="zh-CN"/>
              </w:rPr>
              <w:t xml:space="preserve"> </w:t>
            </w:r>
          </w:p>
        </w:tc>
      </w:tr>
      <w:tr w:rsidR="00A74226" w:rsidRPr="00CE28E3" w14:paraId="153612A0" w14:textId="77777777" w:rsidTr="00DE72B1">
        <w:trPr>
          <w:cantSplit/>
          <w:trHeight w:val="300"/>
        </w:trPr>
        <w:tc>
          <w:tcPr>
            <w:tcW w:w="2277" w:type="pct"/>
            <w:tcBorders>
              <w:bottom w:val="nil"/>
            </w:tcBorders>
            <w:noWrap/>
          </w:tcPr>
          <w:p w14:paraId="03ED843B" w14:textId="77777777" w:rsidR="00A74226" w:rsidRPr="00CE28E3" w:rsidRDefault="00A74226" w:rsidP="001E2A01">
            <w:pPr>
              <w:pStyle w:val="Tabletext0"/>
              <w:spacing w:before="0" w:after="0"/>
            </w:pPr>
            <w:r>
              <w:t>Costs</w:t>
            </w:r>
          </w:p>
        </w:tc>
        <w:tc>
          <w:tcPr>
            <w:tcW w:w="865" w:type="pct"/>
            <w:tcBorders>
              <w:bottom w:val="nil"/>
            </w:tcBorders>
            <w:noWrap/>
          </w:tcPr>
          <w:p w14:paraId="49F66CC7" w14:textId="00859BDD" w:rsidR="00A74226" w:rsidRPr="00CE28E3" w:rsidRDefault="00A673B4" w:rsidP="001E2A01">
            <w:pPr>
              <w:pStyle w:val="Tabletext0"/>
              <w:spacing w:before="0" w:after="0"/>
            </w:pPr>
            <w:r>
              <w:rPr>
                <w:rFonts w:eastAsiaTheme="minorEastAsia" w:hint="eastAsia"/>
                <w:lang w:eastAsia="zh-CN"/>
              </w:rPr>
              <w:t>$188</w:t>
            </w:r>
          </w:p>
        </w:tc>
        <w:tc>
          <w:tcPr>
            <w:tcW w:w="551" w:type="pct"/>
            <w:tcBorders>
              <w:bottom w:val="nil"/>
            </w:tcBorders>
            <w:noWrap/>
          </w:tcPr>
          <w:p w14:paraId="0DB7E19E" w14:textId="78C8EEE8" w:rsidR="00A74226" w:rsidRPr="00CE28E3" w:rsidRDefault="00A673B4" w:rsidP="001E2A01">
            <w:pPr>
              <w:pStyle w:val="Tabletext0"/>
              <w:spacing w:before="0" w:after="0"/>
            </w:pPr>
            <w:r>
              <w:rPr>
                <w:rFonts w:eastAsiaTheme="minorEastAsia" w:hint="eastAsia"/>
                <w:lang w:eastAsia="zh-CN"/>
              </w:rPr>
              <w:t>0</w:t>
            </w:r>
          </w:p>
        </w:tc>
        <w:tc>
          <w:tcPr>
            <w:tcW w:w="628" w:type="pct"/>
            <w:tcBorders>
              <w:bottom w:val="nil"/>
            </w:tcBorders>
            <w:noWrap/>
          </w:tcPr>
          <w:p w14:paraId="62571D46" w14:textId="51B2CCC6" w:rsidR="00A74226" w:rsidRPr="00CE28E3" w:rsidRDefault="00A673B4" w:rsidP="001E2A01">
            <w:pPr>
              <w:pStyle w:val="Tabletext0"/>
              <w:spacing w:before="0" w:after="0"/>
            </w:pPr>
            <w:r>
              <w:rPr>
                <w:rFonts w:eastAsiaTheme="minorEastAsia" w:hint="eastAsia"/>
                <w:lang w:eastAsia="zh-CN"/>
              </w:rPr>
              <w:t>$188</w:t>
            </w:r>
          </w:p>
        </w:tc>
        <w:tc>
          <w:tcPr>
            <w:tcW w:w="679" w:type="pct"/>
            <w:tcBorders>
              <w:bottom w:val="nil"/>
            </w:tcBorders>
          </w:tcPr>
          <w:p w14:paraId="430AED15" w14:textId="77777777" w:rsidR="00A74226" w:rsidRPr="00CE28E3" w:rsidRDefault="00A74226" w:rsidP="001E2A01">
            <w:pPr>
              <w:pStyle w:val="Tabletext0"/>
              <w:spacing w:before="0" w:after="0"/>
            </w:pPr>
          </w:p>
        </w:tc>
      </w:tr>
      <w:tr w:rsidR="00A74226" w:rsidRPr="00CE28E3" w14:paraId="648F33B2" w14:textId="77777777" w:rsidTr="00DE72B1">
        <w:trPr>
          <w:cantSplit/>
          <w:trHeight w:val="300"/>
        </w:trPr>
        <w:tc>
          <w:tcPr>
            <w:tcW w:w="2277" w:type="pct"/>
            <w:tcBorders>
              <w:top w:val="nil"/>
            </w:tcBorders>
            <w:noWrap/>
          </w:tcPr>
          <w:p w14:paraId="56754F5A" w14:textId="3A0EAEC9" w:rsidR="00A74226" w:rsidRDefault="00A74226" w:rsidP="001E2A01">
            <w:pPr>
              <w:pStyle w:val="Tabletext0"/>
              <w:spacing w:before="0" w:after="0"/>
            </w:pPr>
            <w:r>
              <w:t xml:space="preserve">Outcome </w:t>
            </w:r>
            <w:r w:rsidR="00A673B4">
              <w:rPr>
                <w:rFonts w:eastAsiaTheme="minorEastAsia" w:hint="eastAsia"/>
                <w:lang w:eastAsia="zh-CN"/>
              </w:rPr>
              <w:t>2</w:t>
            </w:r>
            <w:r>
              <w:t xml:space="preserve"> (</w:t>
            </w:r>
            <w:r w:rsidR="00A740EF">
              <w:rPr>
                <w:rFonts w:eastAsiaTheme="minorEastAsia"/>
                <w:lang w:eastAsia="zh-CN"/>
              </w:rPr>
              <w:t>proportion</w:t>
            </w:r>
            <w:r w:rsidR="005E7DED">
              <w:rPr>
                <w:rFonts w:eastAsiaTheme="minorEastAsia" w:hint="eastAsia"/>
                <w:lang w:eastAsia="zh-CN"/>
              </w:rPr>
              <w:t xml:space="preserve"> of </w:t>
            </w:r>
            <w:r w:rsidR="00A673B4" w:rsidRPr="00A673B4">
              <w:rPr>
                <w:rFonts w:eastAsiaTheme="minorEastAsia"/>
                <w:lang w:eastAsia="zh-CN"/>
              </w:rPr>
              <w:t>patient</w:t>
            </w:r>
            <w:r w:rsidR="00A673B4">
              <w:rPr>
                <w:rFonts w:eastAsiaTheme="minorEastAsia" w:hint="eastAsia"/>
                <w:lang w:eastAsia="zh-CN"/>
              </w:rPr>
              <w:t>s</w:t>
            </w:r>
            <w:r w:rsidR="00A740EF">
              <w:rPr>
                <w:rFonts w:eastAsiaTheme="minorEastAsia"/>
                <w:lang w:eastAsia="zh-CN"/>
              </w:rPr>
              <w:t xml:space="preserve"> with</w:t>
            </w:r>
            <w:r w:rsidR="00A673B4" w:rsidRPr="00A673B4">
              <w:rPr>
                <w:rFonts w:eastAsiaTheme="minorEastAsia"/>
                <w:lang w:eastAsia="zh-CN"/>
              </w:rPr>
              <w:t xml:space="preserve"> severe (≥grade 3) FP-related toxicity</w:t>
            </w:r>
            <w:r w:rsidR="00A673B4">
              <w:rPr>
                <w:rFonts w:eastAsiaTheme="minorEastAsia" w:hint="eastAsia"/>
                <w:lang w:eastAsia="zh-CN"/>
              </w:rPr>
              <w:t xml:space="preserve">; the difference </w:t>
            </w:r>
            <w:r w:rsidR="00A740EF">
              <w:rPr>
                <w:rFonts w:eastAsiaTheme="minorEastAsia"/>
                <w:lang w:eastAsia="zh-CN"/>
              </w:rPr>
              <w:t xml:space="preserve">in </w:t>
            </w:r>
            <w:r w:rsidR="00A673B4">
              <w:rPr>
                <w:rFonts w:eastAsiaTheme="minorEastAsia" w:hint="eastAsia"/>
                <w:lang w:eastAsia="zh-CN"/>
              </w:rPr>
              <w:t xml:space="preserve">patients avoiding </w:t>
            </w:r>
            <w:r w:rsidR="00A673B4" w:rsidRPr="00A673B4">
              <w:rPr>
                <w:rFonts w:eastAsiaTheme="minorEastAsia"/>
                <w:lang w:eastAsia="zh-CN"/>
              </w:rPr>
              <w:t>severe (≥grade 3) FP-related toxicity</w:t>
            </w:r>
            <w:r>
              <w:t>)</w:t>
            </w:r>
          </w:p>
        </w:tc>
        <w:tc>
          <w:tcPr>
            <w:tcW w:w="865" w:type="pct"/>
            <w:tcBorders>
              <w:top w:val="nil"/>
            </w:tcBorders>
            <w:noWrap/>
          </w:tcPr>
          <w:p w14:paraId="6D72179E" w14:textId="4DB16C5A" w:rsidR="00A74226" w:rsidRPr="00CE28E3" w:rsidRDefault="00156938" w:rsidP="001E2A01">
            <w:pPr>
              <w:pStyle w:val="Tabletext0"/>
              <w:spacing w:before="0" w:after="0"/>
            </w:pPr>
            <w:r w:rsidRPr="007E796D">
              <w:rPr>
                <w:rFonts w:eastAsiaTheme="minorEastAsia"/>
                <w:lang w:eastAsia="zh-CN"/>
              </w:rPr>
              <w:t>0.21336</w:t>
            </w:r>
          </w:p>
        </w:tc>
        <w:tc>
          <w:tcPr>
            <w:tcW w:w="551" w:type="pct"/>
            <w:tcBorders>
              <w:top w:val="nil"/>
            </w:tcBorders>
            <w:noWrap/>
          </w:tcPr>
          <w:p w14:paraId="4D010621" w14:textId="58BC0846" w:rsidR="00A74226" w:rsidRPr="00CE28E3" w:rsidRDefault="00156938" w:rsidP="001E2A01">
            <w:pPr>
              <w:pStyle w:val="Tabletext0"/>
              <w:spacing w:before="0" w:after="0"/>
            </w:pPr>
            <w:r w:rsidRPr="007E796D">
              <w:rPr>
                <w:rFonts w:eastAsiaTheme="minorEastAsia"/>
                <w:lang w:eastAsia="zh-CN"/>
              </w:rPr>
              <w:t>0.21604</w:t>
            </w:r>
          </w:p>
        </w:tc>
        <w:tc>
          <w:tcPr>
            <w:tcW w:w="628" w:type="pct"/>
            <w:tcBorders>
              <w:top w:val="nil"/>
            </w:tcBorders>
            <w:noWrap/>
          </w:tcPr>
          <w:p w14:paraId="3B54F209" w14:textId="4AA50B47" w:rsidR="00A74226" w:rsidRPr="00CE28E3" w:rsidRDefault="00156938" w:rsidP="001E2A01">
            <w:pPr>
              <w:pStyle w:val="Tabletext0"/>
              <w:spacing w:before="0" w:after="0"/>
            </w:pPr>
            <w:r w:rsidRPr="007E796D">
              <w:rPr>
                <w:rFonts w:eastAsiaTheme="minorEastAsia"/>
                <w:lang w:eastAsia="zh-CN"/>
              </w:rPr>
              <w:t>0.00268</w:t>
            </w:r>
          </w:p>
        </w:tc>
        <w:tc>
          <w:tcPr>
            <w:tcW w:w="679" w:type="pct"/>
            <w:tcBorders>
              <w:top w:val="nil"/>
            </w:tcBorders>
          </w:tcPr>
          <w:p w14:paraId="44D61923" w14:textId="10BB3B55" w:rsidR="00A74226" w:rsidRPr="00CE28E3" w:rsidRDefault="00156938" w:rsidP="001E2A01">
            <w:pPr>
              <w:pStyle w:val="Tabletext0"/>
              <w:spacing w:before="0" w:after="0"/>
            </w:pPr>
            <w:r>
              <w:rPr>
                <w:rFonts w:eastAsiaTheme="minorEastAsia"/>
                <w:lang w:eastAsia="zh-CN"/>
              </w:rPr>
              <w:t>$</w:t>
            </w:r>
            <w:r w:rsidR="00F874FC">
              <w:rPr>
                <w:rFonts w:eastAsiaTheme="minorEastAsia" w:hint="eastAsia"/>
                <w:lang w:eastAsia="zh-CN"/>
              </w:rPr>
              <w:t>70,148.99</w:t>
            </w:r>
          </w:p>
        </w:tc>
      </w:tr>
    </w:tbl>
    <w:p w14:paraId="18B60A0A" w14:textId="1DF5874F" w:rsidR="00FC5603" w:rsidRPr="00B23B67" w:rsidRDefault="00CD73DB" w:rsidP="00A740EF">
      <w:pPr>
        <w:pStyle w:val="TableFigureFooter"/>
        <w:rPr>
          <w:rFonts w:eastAsia="Calibri"/>
        </w:rPr>
      </w:pPr>
      <w:r w:rsidRPr="00CD73DB">
        <w:rPr>
          <w:i/>
        </w:rPr>
        <w:t>DPYD</w:t>
      </w:r>
      <w:r w:rsidR="00DE72B1">
        <w:t>=</w:t>
      </w:r>
      <w:proofErr w:type="spellStart"/>
      <w:r w:rsidR="00DE72B1" w:rsidRPr="00D23AAA">
        <w:rPr>
          <w:i/>
        </w:rPr>
        <w:t>Dihydropyrimidine</w:t>
      </w:r>
      <w:proofErr w:type="spellEnd"/>
      <w:r w:rsidR="00DE72B1" w:rsidRPr="00D23AAA">
        <w:rPr>
          <w:i/>
        </w:rPr>
        <w:t xml:space="preserve"> dehydrogenase</w:t>
      </w:r>
      <w:r w:rsidR="00DE72B1" w:rsidRPr="005E4491">
        <w:t xml:space="preserve"> gene</w:t>
      </w:r>
      <w:r w:rsidR="00DE72B1">
        <w:t xml:space="preserve">; </w:t>
      </w:r>
      <w:r w:rsidR="00FC5603" w:rsidRPr="00CE28E3">
        <w:t>ICER=</w:t>
      </w:r>
      <w:r w:rsidR="00DE72B1">
        <w:t>I</w:t>
      </w:r>
      <w:r w:rsidR="00FC5603" w:rsidRPr="00CE28E3">
        <w:t>ncremental cost-effectiveness ratio; QALY=quality-adjusted life year</w:t>
      </w:r>
      <w:r w:rsidR="00B83A1B">
        <w:t>; F</w:t>
      </w:r>
      <w:r w:rsidR="000E7AEC">
        <w:t>P</w:t>
      </w:r>
      <w:r w:rsidR="00C9009D">
        <w:t>=</w:t>
      </w:r>
      <w:r w:rsidR="00AD61C6" w:rsidRPr="00AD61C6">
        <w:rPr>
          <w:rFonts w:ascii="JansonTextLTStd-Roman" w:eastAsia="JansonTextLTStd-Roman" w:hAnsiTheme="minorHAnsi" w:cs="JansonTextLTStd-Roman"/>
          <w:snapToGrid/>
          <w:szCs w:val="18"/>
          <w:lang w:eastAsia="en-US"/>
        </w:rPr>
        <w:t xml:space="preserve"> </w:t>
      </w:r>
      <w:r w:rsidR="00AD61C6">
        <w:t>F</w:t>
      </w:r>
      <w:r w:rsidR="00AD61C6" w:rsidRPr="00AD61C6">
        <w:t>luoropyrimidine</w:t>
      </w:r>
    </w:p>
    <w:p w14:paraId="3254ED56" w14:textId="718E7322" w:rsidR="00A74226" w:rsidRPr="00CE28E3" w:rsidRDefault="00A74226" w:rsidP="00A740EF">
      <w:pPr>
        <w:pStyle w:val="TableFigureFooter"/>
      </w:pPr>
      <w:r>
        <w:t>Note: Multiple outcomes may be informative for MSAC decision</w:t>
      </w:r>
      <w:r w:rsidR="00A662DC">
        <w:t xml:space="preserve"> </w:t>
      </w:r>
      <w:r>
        <w:t>making</w:t>
      </w:r>
      <w:r w:rsidR="00A662DC">
        <w:t>-</w:t>
      </w:r>
      <w:r>
        <w:t>within each step.</w:t>
      </w:r>
    </w:p>
    <w:p w14:paraId="1B770181" w14:textId="0A7BEC2A" w:rsidR="002F32FB" w:rsidRPr="00CE28E3" w:rsidRDefault="002F32FB" w:rsidP="00CC7A88">
      <w:pPr>
        <w:pStyle w:val="Caption"/>
        <w:keepLines/>
      </w:pPr>
      <w:bookmarkStart w:id="37" w:name="_Ref69726284"/>
      <w:bookmarkEnd w:id="36"/>
      <w:r w:rsidRPr="00CE28E3">
        <w:t>Table</w:t>
      </w:r>
      <w:r w:rsidR="003571C2">
        <w:t> </w:t>
      </w:r>
      <w:r w:rsidR="005915FD">
        <w:fldChar w:fldCharType="begin"/>
      </w:r>
      <w:r w:rsidR="005915FD">
        <w:instrText xml:space="preserve"> SEQ Table \* ARABIC </w:instrText>
      </w:r>
      <w:r w:rsidR="005915FD">
        <w:fldChar w:fldCharType="separate"/>
      </w:r>
      <w:r w:rsidR="00835345">
        <w:rPr>
          <w:noProof/>
        </w:rPr>
        <w:t>8</w:t>
      </w:r>
      <w:r w:rsidR="005915FD">
        <w:rPr>
          <w:noProof/>
        </w:rPr>
        <w:fldChar w:fldCharType="end"/>
      </w:r>
      <w:bookmarkEnd w:id="37"/>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28" w:type="dxa"/>
          <w:bottom w:w="57" w:type="dxa"/>
          <w:right w:w="28" w:type="dxa"/>
        </w:tblCellMar>
        <w:tblLook w:val="04A0" w:firstRow="1" w:lastRow="0" w:firstColumn="1" w:lastColumn="0" w:noHBand="0" w:noVBand="1"/>
      </w:tblPr>
      <w:tblGrid>
        <w:gridCol w:w="1699"/>
        <w:gridCol w:w="2440"/>
        <w:gridCol w:w="1810"/>
        <w:gridCol w:w="3067"/>
      </w:tblGrid>
      <w:tr w:rsidR="002F32FB" w:rsidRPr="00CE28E3" w14:paraId="6C9AAE3F" w14:textId="77777777" w:rsidTr="00B23B67">
        <w:trPr>
          <w:cantSplit/>
          <w:tblHeader/>
        </w:trPr>
        <w:tc>
          <w:tcPr>
            <w:tcW w:w="942" w:type="pct"/>
            <w:shd w:val="clear" w:color="auto" w:fill="D9D9D9" w:themeFill="background1" w:themeFillShade="D9"/>
          </w:tcPr>
          <w:p w14:paraId="3F81650A" w14:textId="250DA9C9" w:rsidR="002F32FB" w:rsidRPr="00CE28E3" w:rsidRDefault="00037302" w:rsidP="00CC7A88">
            <w:pPr>
              <w:pStyle w:val="In-tableHeading"/>
              <w:keepLines/>
            </w:pPr>
            <w:bookmarkStart w:id="38" w:name="Title_Table9" w:colFirst="0" w:colLast="0"/>
            <w:bookmarkStart w:id="39" w:name="_Hlk68276590"/>
            <w:r>
              <w:t>Parameter</w:t>
            </w:r>
            <w:r w:rsidR="00B8535F">
              <w:t xml:space="preserve"> </w:t>
            </w:r>
          </w:p>
        </w:tc>
        <w:tc>
          <w:tcPr>
            <w:tcW w:w="1353" w:type="pct"/>
            <w:shd w:val="clear" w:color="auto" w:fill="D9D9D9" w:themeFill="background1" w:themeFillShade="D9"/>
          </w:tcPr>
          <w:p w14:paraId="620E0CCB" w14:textId="569436B7" w:rsidR="002F32FB" w:rsidRPr="00CE28E3" w:rsidRDefault="00F25897" w:rsidP="00CC7A88">
            <w:pPr>
              <w:pStyle w:val="In-tableHeading"/>
              <w:keepLines/>
              <w:jc w:val="center"/>
            </w:pPr>
            <w:r w:rsidRPr="00E756D5">
              <w:rPr>
                <w:rFonts w:eastAsiaTheme="minorEastAsia" w:hint="eastAsia"/>
                <w:i/>
                <w:iCs/>
                <w:lang w:eastAsia="zh-CN"/>
              </w:rPr>
              <w:t>DP</w:t>
            </w:r>
            <w:r w:rsidR="00E756D5" w:rsidRPr="00E756D5">
              <w:rPr>
                <w:rFonts w:eastAsiaTheme="minorEastAsia"/>
                <w:i/>
                <w:iCs/>
                <w:lang w:eastAsia="zh-CN"/>
              </w:rPr>
              <w:t>Y</w:t>
            </w:r>
            <w:r w:rsidRPr="00E756D5">
              <w:rPr>
                <w:rFonts w:eastAsiaTheme="minorEastAsia" w:hint="eastAsia"/>
                <w:i/>
                <w:iCs/>
                <w:lang w:eastAsia="zh-CN"/>
              </w:rPr>
              <w:t>D</w:t>
            </w:r>
            <w:r>
              <w:rPr>
                <w:rFonts w:eastAsiaTheme="minorEastAsia" w:hint="eastAsia"/>
                <w:lang w:eastAsia="zh-CN"/>
              </w:rPr>
              <w:t xml:space="preserve"> genotyping</w:t>
            </w:r>
          </w:p>
        </w:tc>
        <w:tc>
          <w:tcPr>
            <w:tcW w:w="1004" w:type="pct"/>
            <w:shd w:val="clear" w:color="auto" w:fill="D9D9D9" w:themeFill="background1" w:themeFillShade="D9"/>
          </w:tcPr>
          <w:p w14:paraId="500DB19E" w14:textId="5F9880B4" w:rsidR="002F32FB" w:rsidRPr="00CE28E3" w:rsidRDefault="00F25897" w:rsidP="00CC7A88">
            <w:pPr>
              <w:pStyle w:val="In-tableHeading"/>
              <w:keepLines/>
              <w:jc w:val="center"/>
            </w:pPr>
            <w:r>
              <w:rPr>
                <w:rFonts w:eastAsiaTheme="minorEastAsia" w:hint="eastAsia"/>
                <w:lang w:eastAsia="zh-CN"/>
              </w:rPr>
              <w:t>No testing</w:t>
            </w:r>
          </w:p>
        </w:tc>
        <w:tc>
          <w:tcPr>
            <w:tcW w:w="1701" w:type="pct"/>
            <w:shd w:val="clear" w:color="auto" w:fill="D9D9D9" w:themeFill="background1" w:themeFillShade="D9"/>
            <w:vAlign w:val="center"/>
          </w:tcPr>
          <w:p w14:paraId="3863ED7D" w14:textId="77777777" w:rsidR="002F32FB" w:rsidRPr="00CE28E3" w:rsidRDefault="002F32FB" w:rsidP="00CC7A88">
            <w:pPr>
              <w:pStyle w:val="In-tableHeading"/>
              <w:keepLines/>
              <w:jc w:val="center"/>
            </w:pPr>
            <w:r w:rsidRPr="00CE28E3">
              <w:t>Increment</w:t>
            </w:r>
          </w:p>
        </w:tc>
      </w:tr>
      <w:bookmarkEnd w:id="38"/>
      <w:tr w:rsidR="002F32FB" w:rsidRPr="00CE28E3" w14:paraId="369EE6BC" w14:textId="77777777" w:rsidTr="00B23B67">
        <w:trPr>
          <w:cantSplit/>
        </w:trPr>
        <w:tc>
          <w:tcPr>
            <w:tcW w:w="942" w:type="pct"/>
            <w:shd w:val="clear" w:color="auto" w:fill="auto"/>
          </w:tcPr>
          <w:p w14:paraId="051B9EED" w14:textId="77777777" w:rsidR="002F32FB" w:rsidRPr="00CE28E3" w:rsidRDefault="002F32FB" w:rsidP="00CC7A88">
            <w:pPr>
              <w:pStyle w:val="TableText"/>
              <w:keepNext/>
              <w:keepLines/>
            </w:pPr>
            <w:r w:rsidRPr="00CE28E3">
              <w:t>Costs</w:t>
            </w:r>
          </w:p>
        </w:tc>
        <w:tc>
          <w:tcPr>
            <w:tcW w:w="1353" w:type="pct"/>
            <w:shd w:val="clear" w:color="auto" w:fill="auto"/>
          </w:tcPr>
          <w:p w14:paraId="0FAC9D47" w14:textId="41472D6E" w:rsidR="002F32FB" w:rsidRPr="00CE28E3" w:rsidRDefault="00F25897" w:rsidP="00CC7A88">
            <w:pPr>
              <w:pStyle w:val="TableText"/>
              <w:keepNext/>
              <w:keepLines/>
            </w:pPr>
            <w:r w:rsidRPr="000E0FBD">
              <w:rPr>
                <w:rFonts w:eastAsiaTheme="minorEastAsia" w:hint="eastAsia"/>
                <w:lang w:eastAsia="zh-CN"/>
              </w:rPr>
              <w:t>$</w:t>
            </w:r>
            <w:r w:rsidRPr="000E0FBD">
              <w:rPr>
                <w:rFonts w:eastAsiaTheme="minorEastAsia"/>
                <w:lang w:eastAsia="zh-CN"/>
              </w:rPr>
              <w:t>3</w:t>
            </w:r>
            <w:r w:rsidRPr="000E0FBD">
              <w:rPr>
                <w:rFonts w:eastAsiaTheme="minorEastAsia" w:hint="eastAsia"/>
                <w:lang w:eastAsia="zh-CN"/>
              </w:rPr>
              <w:t>,</w:t>
            </w:r>
            <w:r w:rsidR="00156938" w:rsidRPr="00C71D59">
              <w:rPr>
                <w:rFonts w:eastAsiaTheme="minorEastAsia"/>
                <w:lang w:eastAsia="zh-CN"/>
              </w:rPr>
              <w:t>395.28</w:t>
            </w:r>
          </w:p>
        </w:tc>
        <w:tc>
          <w:tcPr>
            <w:tcW w:w="1004" w:type="pct"/>
            <w:shd w:val="clear" w:color="auto" w:fill="auto"/>
          </w:tcPr>
          <w:p w14:paraId="6C1A6297" w14:textId="6C77126A" w:rsidR="002F32FB" w:rsidRPr="00CE28E3" w:rsidRDefault="00156938" w:rsidP="00CC7A88">
            <w:pPr>
              <w:pStyle w:val="TableText"/>
              <w:keepNext/>
              <w:keepLines/>
            </w:pPr>
            <w:r w:rsidRPr="000E0FBD">
              <w:rPr>
                <w:rFonts w:eastAsiaTheme="minorEastAsia" w:hint="eastAsia"/>
                <w:lang w:eastAsia="zh-CN"/>
              </w:rPr>
              <w:t>$</w:t>
            </w:r>
            <w:r w:rsidRPr="00C71D59">
              <w:rPr>
                <w:rFonts w:eastAsiaTheme="minorEastAsia"/>
                <w:lang w:eastAsia="zh-CN"/>
              </w:rPr>
              <w:t>3</w:t>
            </w:r>
            <w:r>
              <w:rPr>
                <w:rFonts w:eastAsiaTheme="minorEastAsia"/>
                <w:lang w:eastAsia="zh-CN"/>
              </w:rPr>
              <w:t>,</w:t>
            </w:r>
            <w:r w:rsidRPr="00C71D59">
              <w:rPr>
                <w:rFonts w:eastAsiaTheme="minorEastAsia"/>
                <w:lang w:eastAsia="zh-CN"/>
              </w:rPr>
              <w:t>931.09</w:t>
            </w:r>
          </w:p>
        </w:tc>
        <w:tc>
          <w:tcPr>
            <w:tcW w:w="1701" w:type="pct"/>
            <w:shd w:val="clear" w:color="auto" w:fill="auto"/>
          </w:tcPr>
          <w:p w14:paraId="4B4524BB" w14:textId="058FBA63" w:rsidR="002F32FB" w:rsidRPr="00CE28E3" w:rsidRDefault="00156938" w:rsidP="00CC7A88">
            <w:pPr>
              <w:pStyle w:val="TableText"/>
              <w:keepNext/>
              <w:keepLines/>
            </w:pPr>
            <w:r>
              <w:rPr>
                <w:rFonts w:eastAsiaTheme="minorEastAsia" w:hint="eastAsia"/>
                <w:lang w:eastAsia="zh-CN"/>
              </w:rPr>
              <w:t>-</w:t>
            </w:r>
            <w:r w:rsidRPr="000E0FBD">
              <w:rPr>
                <w:rFonts w:eastAsiaTheme="minorEastAsia" w:hint="eastAsia"/>
                <w:lang w:eastAsia="zh-CN"/>
              </w:rPr>
              <w:t>$</w:t>
            </w:r>
            <w:r>
              <w:rPr>
                <w:rFonts w:eastAsiaTheme="minorEastAsia"/>
                <w:lang w:eastAsia="zh-CN"/>
              </w:rPr>
              <w:t>535.81</w:t>
            </w:r>
          </w:p>
        </w:tc>
      </w:tr>
      <w:tr w:rsidR="002F32FB" w:rsidRPr="00CE28E3" w14:paraId="24736DA2" w14:textId="77777777" w:rsidTr="00B23B67">
        <w:trPr>
          <w:cantSplit/>
        </w:trPr>
        <w:tc>
          <w:tcPr>
            <w:tcW w:w="942" w:type="pct"/>
            <w:shd w:val="clear" w:color="auto" w:fill="auto"/>
          </w:tcPr>
          <w:p w14:paraId="6D2D1BB4" w14:textId="77777777" w:rsidR="002F32FB" w:rsidRPr="00CE28E3" w:rsidRDefault="002F32FB" w:rsidP="00CC7A88">
            <w:pPr>
              <w:pStyle w:val="TableText"/>
              <w:keepNext/>
              <w:keepLines/>
            </w:pPr>
            <w:r w:rsidRPr="00CE28E3">
              <w:t>QALYS</w:t>
            </w:r>
          </w:p>
        </w:tc>
        <w:tc>
          <w:tcPr>
            <w:tcW w:w="1353" w:type="pct"/>
            <w:shd w:val="clear" w:color="auto" w:fill="auto"/>
          </w:tcPr>
          <w:p w14:paraId="768CBE06" w14:textId="7BCA75CA" w:rsidR="002F32FB" w:rsidRPr="00CE28E3" w:rsidRDefault="00F25897" w:rsidP="00CC7A88">
            <w:pPr>
              <w:pStyle w:val="TableText"/>
              <w:keepNext/>
              <w:keepLines/>
            </w:pPr>
            <w:r w:rsidRPr="000E0FBD">
              <w:rPr>
                <w:rFonts w:eastAsiaTheme="minorEastAsia"/>
                <w:lang w:eastAsia="zh-CN"/>
              </w:rPr>
              <w:t>0.367</w:t>
            </w:r>
            <w:r w:rsidRPr="000E0FBD">
              <w:rPr>
                <w:rFonts w:eastAsiaTheme="minorEastAsia" w:hint="eastAsia"/>
                <w:lang w:eastAsia="zh-CN"/>
              </w:rPr>
              <w:t>9</w:t>
            </w:r>
          </w:p>
        </w:tc>
        <w:tc>
          <w:tcPr>
            <w:tcW w:w="1004" w:type="pct"/>
            <w:shd w:val="clear" w:color="auto" w:fill="auto"/>
          </w:tcPr>
          <w:p w14:paraId="1062F347" w14:textId="5FE2CA44" w:rsidR="002F32FB" w:rsidRPr="00CE28E3" w:rsidRDefault="00F25897" w:rsidP="00CC7A88">
            <w:pPr>
              <w:pStyle w:val="TableText"/>
              <w:keepNext/>
              <w:keepLines/>
            </w:pPr>
            <w:r w:rsidRPr="000E0FBD">
              <w:rPr>
                <w:rFonts w:eastAsiaTheme="minorEastAsia"/>
                <w:lang w:eastAsia="zh-CN"/>
              </w:rPr>
              <w:t>0.366</w:t>
            </w:r>
            <w:r w:rsidRPr="000E0FBD">
              <w:rPr>
                <w:rFonts w:eastAsiaTheme="minorEastAsia" w:hint="eastAsia"/>
                <w:lang w:eastAsia="zh-CN"/>
              </w:rPr>
              <w:t>5</w:t>
            </w:r>
          </w:p>
        </w:tc>
        <w:tc>
          <w:tcPr>
            <w:tcW w:w="1701" w:type="pct"/>
            <w:shd w:val="clear" w:color="auto" w:fill="auto"/>
          </w:tcPr>
          <w:p w14:paraId="3F1BB173" w14:textId="7EACA14A" w:rsidR="002F32FB" w:rsidRPr="00CE28E3" w:rsidRDefault="00F25897" w:rsidP="00CC7A88">
            <w:pPr>
              <w:pStyle w:val="TableText"/>
              <w:keepNext/>
              <w:keepLines/>
            </w:pPr>
            <w:r w:rsidRPr="000E0FBD">
              <w:rPr>
                <w:rFonts w:eastAsiaTheme="minorEastAsia"/>
                <w:lang w:eastAsia="zh-CN"/>
              </w:rPr>
              <w:t>0.001</w:t>
            </w:r>
            <w:r w:rsidRPr="000E0FBD">
              <w:rPr>
                <w:rFonts w:eastAsiaTheme="minorEastAsia" w:hint="eastAsia"/>
                <w:lang w:eastAsia="zh-CN"/>
              </w:rPr>
              <w:t>4</w:t>
            </w:r>
          </w:p>
        </w:tc>
      </w:tr>
      <w:tr w:rsidR="002F32FB" w:rsidRPr="00CE28E3" w14:paraId="4C386061" w14:textId="77777777" w:rsidTr="00B23B67">
        <w:trPr>
          <w:cantSplit/>
        </w:trPr>
        <w:tc>
          <w:tcPr>
            <w:tcW w:w="3299" w:type="pct"/>
            <w:gridSpan w:val="3"/>
            <w:tcBorders>
              <w:right w:val="single" w:sz="4" w:space="0" w:color="000000"/>
            </w:tcBorders>
            <w:shd w:val="clear" w:color="auto" w:fill="auto"/>
          </w:tcPr>
          <w:p w14:paraId="10510EF0" w14:textId="77777777" w:rsidR="002F32FB" w:rsidRPr="00CE28E3" w:rsidRDefault="002F32FB" w:rsidP="00CC7A88">
            <w:pPr>
              <w:pStyle w:val="In-tableHeading"/>
              <w:keepLines/>
            </w:pPr>
            <w:r w:rsidRPr="00CE28E3">
              <w:t>Incremental cost per QALY gained</w:t>
            </w:r>
          </w:p>
        </w:tc>
        <w:tc>
          <w:tcPr>
            <w:tcW w:w="1701" w:type="pct"/>
            <w:tcBorders>
              <w:left w:val="single" w:sz="4" w:space="0" w:color="000000"/>
            </w:tcBorders>
            <w:shd w:val="clear" w:color="auto" w:fill="auto"/>
          </w:tcPr>
          <w:p w14:paraId="10B6B487" w14:textId="3E0526BB" w:rsidR="002F32FB" w:rsidRPr="00CE28E3" w:rsidRDefault="00CD73DB" w:rsidP="00CC7A88">
            <w:pPr>
              <w:pStyle w:val="TableText"/>
              <w:keepNext/>
              <w:keepLines/>
              <w:rPr>
                <w:rFonts w:eastAsia="Calibri"/>
              </w:rPr>
            </w:pPr>
            <w:r w:rsidRPr="00CD73DB">
              <w:rPr>
                <w:rFonts w:eastAsiaTheme="minorEastAsia" w:hint="eastAsia"/>
                <w:i/>
                <w:lang w:eastAsia="zh-CN"/>
              </w:rPr>
              <w:t>DPYD</w:t>
            </w:r>
            <w:r w:rsidR="00F25897">
              <w:rPr>
                <w:rFonts w:eastAsiaTheme="minorEastAsia" w:hint="eastAsia"/>
                <w:lang w:eastAsia="zh-CN"/>
              </w:rPr>
              <w:t xml:space="preserve"> genotyping is a dominant </w:t>
            </w:r>
            <w:r w:rsidR="00F25897">
              <w:rPr>
                <w:rFonts w:eastAsiaTheme="minorEastAsia"/>
                <w:lang w:eastAsia="zh-CN"/>
              </w:rPr>
              <w:t>strategy</w:t>
            </w:r>
          </w:p>
        </w:tc>
      </w:tr>
    </w:tbl>
    <w:p w14:paraId="29D65211" w14:textId="65138122" w:rsidR="002F32FB" w:rsidRPr="00CE28E3" w:rsidRDefault="00CD73DB" w:rsidP="00CC7A88">
      <w:pPr>
        <w:pStyle w:val="TableFigureFooter"/>
        <w:keepNext/>
        <w:keepLines/>
        <w:rPr>
          <w:rFonts w:eastAsia="Calibri"/>
          <w:szCs w:val="20"/>
        </w:rPr>
      </w:pPr>
      <w:bookmarkStart w:id="40" w:name="_Hlk68276600"/>
      <w:bookmarkEnd w:id="39"/>
      <w:r w:rsidRPr="00CD73DB">
        <w:rPr>
          <w:i/>
        </w:rPr>
        <w:t>DPYD</w:t>
      </w:r>
      <w:r w:rsidR="00DE72B1">
        <w:t>=</w:t>
      </w:r>
      <w:proofErr w:type="spellStart"/>
      <w:r w:rsidR="00DE72B1" w:rsidRPr="00D23AAA">
        <w:rPr>
          <w:i/>
        </w:rPr>
        <w:t>Dihydropyrimidine</w:t>
      </w:r>
      <w:proofErr w:type="spellEnd"/>
      <w:r w:rsidR="00DE72B1" w:rsidRPr="00D23AAA">
        <w:rPr>
          <w:i/>
        </w:rPr>
        <w:t xml:space="preserve"> dehydrogenase</w:t>
      </w:r>
      <w:r w:rsidR="00DE72B1" w:rsidRPr="005E4491">
        <w:t xml:space="preserve"> gene</w:t>
      </w:r>
      <w:r w:rsidR="00DE72B1">
        <w:t xml:space="preserve">; </w:t>
      </w:r>
      <w:r w:rsidR="002F32FB" w:rsidRPr="00CE28E3">
        <w:rPr>
          <w:rFonts w:eastAsia="Calibri"/>
          <w:szCs w:val="20"/>
        </w:rPr>
        <w:t>QALY=quality</w:t>
      </w:r>
      <w:r w:rsidR="0045093D">
        <w:rPr>
          <w:rFonts w:eastAsia="Calibri"/>
          <w:szCs w:val="20"/>
        </w:rPr>
        <w:t>-</w:t>
      </w:r>
      <w:r w:rsidR="002F32FB" w:rsidRPr="00CE28E3">
        <w:rPr>
          <w:rFonts w:eastAsia="Calibri"/>
          <w:szCs w:val="20"/>
        </w:rPr>
        <w:t>adjusted life year.</w:t>
      </w:r>
      <w:r w:rsidR="0045093D">
        <w:rPr>
          <w:rFonts w:eastAsia="Calibri"/>
          <w:szCs w:val="20"/>
        </w:rPr>
        <w:t xml:space="preserve"> </w:t>
      </w:r>
    </w:p>
    <w:bookmarkEnd w:id="40"/>
    <w:p w14:paraId="4ADA88FE" w14:textId="68A9A799" w:rsidR="009C1A5F" w:rsidRPr="001E7DDB" w:rsidRDefault="009C1A5F" w:rsidP="00664D56">
      <w:pPr>
        <w:rPr>
          <w:rFonts w:eastAsiaTheme="minorEastAsia"/>
          <w:lang w:eastAsia="zh-CN"/>
        </w:rPr>
      </w:pPr>
      <w:r w:rsidRPr="001E7DDB">
        <w:rPr>
          <w:rFonts w:eastAsiaTheme="minorEastAsia" w:hint="eastAsia"/>
          <w:lang w:eastAsia="zh-CN"/>
        </w:rPr>
        <w:t xml:space="preserve">The key drivers (top </w:t>
      </w:r>
      <w:r w:rsidR="001E7DDB" w:rsidRPr="001E7DDB">
        <w:rPr>
          <w:rFonts w:eastAsiaTheme="minorEastAsia" w:hint="eastAsia"/>
          <w:lang w:eastAsia="zh-CN"/>
        </w:rPr>
        <w:t>five</w:t>
      </w:r>
      <w:r w:rsidRPr="001E7DDB">
        <w:rPr>
          <w:rFonts w:eastAsiaTheme="minorEastAsia" w:hint="eastAsia"/>
          <w:lang w:eastAsia="zh-CN"/>
        </w:rPr>
        <w:t xml:space="preserve"> </w:t>
      </w:r>
      <w:r w:rsidRPr="001E7DDB">
        <w:rPr>
          <w:rFonts w:eastAsiaTheme="minorEastAsia"/>
          <w:lang w:eastAsia="zh-CN"/>
        </w:rPr>
        <w:t>parameters</w:t>
      </w:r>
      <w:r w:rsidR="001E7DDB" w:rsidRPr="001E7DDB">
        <w:rPr>
          <w:rFonts w:eastAsiaTheme="minorEastAsia" w:hint="eastAsia"/>
          <w:lang w:eastAsia="zh-CN"/>
        </w:rPr>
        <w:t>)</w:t>
      </w:r>
      <w:r w:rsidRPr="001E7DDB">
        <w:rPr>
          <w:rFonts w:eastAsiaTheme="minorEastAsia" w:hint="eastAsia"/>
          <w:lang w:eastAsia="zh-CN"/>
        </w:rPr>
        <w:t xml:space="preserve"> from the one-way </w:t>
      </w:r>
      <w:r w:rsidR="001E7DDB" w:rsidRPr="001E7DDB">
        <w:rPr>
          <w:rFonts w:eastAsiaTheme="minorEastAsia"/>
          <w:lang w:eastAsia="zh-CN"/>
        </w:rPr>
        <w:t>sensitivity</w:t>
      </w:r>
      <w:r w:rsidRPr="001E7DDB">
        <w:rPr>
          <w:rFonts w:eastAsiaTheme="minorEastAsia" w:hint="eastAsia"/>
          <w:lang w:eastAsia="zh-CN"/>
        </w:rPr>
        <w:t xml:space="preserve"> </w:t>
      </w:r>
      <w:r w:rsidR="001E7DDB" w:rsidRPr="001E7DDB">
        <w:rPr>
          <w:rFonts w:eastAsiaTheme="minorEastAsia" w:hint="eastAsia"/>
          <w:lang w:eastAsia="zh-CN"/>
        </w:rPr>
        <w:t xml:space="preserve">analysis are presented in </w:t>
      </w:r>
      <w:r w:rsidR="00B23B67" w:rsidRPr="00B23B67">
        <w:rPr>
          <w:rFonts w:eastAsiaTheme="minorEastAsia"/>
          <w:lang w:eastAsia="zh-CN"/>
        </w:rPr>
        <w:fldChar w:fldCharType="begin"/>
      </w:r>
      <w:r w:rsidR="00B23B67">
        <w:rPr>
          <w:rFonts w:eastAsiaTheme="minorEastAsia"/>
          <w:lang w:eastAsia="zh-CN"/>
        </w:rPr>
        <w:instrText xml:space="preserve"> </w:instrText>
      </w:r>
      <w:r w:rsidR="00B23B67">
        <w:rPr>
          <w:rFonts w:eastAsiaTheme="minorEastAsia" w:hint="eastAsia"/>
          <w:lang w:eastAsia="zh-CN"/>
        </w:rPr>
        <w:instrText>REF _Ref69726321</w:instrText>
      </w:r>
      <w:r w:rsidR="00B23B67">
        <w:rPr>
          <w:rFonts w:eastAsiaTheme="minorEastAsia"/>
          <w:lang w:eastAsia="zh-CN"/>
        </w:rPr>
        <w:instrText xml:space="preserve">  \* MERGEFORMAT </w:instrText>
      </w:r>
      <w:r w:rsidR="00B23B67" w:rsidRPr="00B23B67">
        <w:rPr>
          <w:rFonts w:eastAsiaTheme="minorEastAsia"/>
          <w:lang w:eastAsia="zh-CN"/>
        </w:rPr>
        <w:fldChar w:fldCharType="separate"/>
      </w:r>
      <w:r w:rsidR="00306F34" w:rsidRPr="002C5FB1">
        <w:rPr>
          <w:rFonts w:eastAsiaTheme="minorEastAsia"/>
          <w:lang w:eastAsia="zh-CN"/>
        </w:rPr>
        <w:t>Table 9</w:t>
      </w:r>
      <w:r w:rsidR="00B23B67" w:rsidRPr="00B23B67">
        <w:rPr>
          <w:rFonts w:eastAsiaTheme="minorEastAsia"/>
          <w:lang w:eastAsia="zh-CN"/>
        </w:rPr>
        <w:fldChar w:fldCharType="end"/>
      </w:r>
      <w:r w:rsidR="001E7DDB" w:rsidRPr="001E7DDB">
        <w:rPr>
          <w:rFonts w:eastAsiaTheme="minorEastAsia" w:hint="eastAsia"/>
          <w:lang w:eastAsia="zh-CN"/>
        </w:rPr>
        <w:t>.</w:t>
      </w:r>
    </w:p>
    <w:p w14:paraId="708EBBC4" w14:textId="3365FEB7" w:rsidR="002F32FB" w:rsidRPr="00CE28E3" w:rsidRDefault="002F32FB" w:rsidP="00AD703B">
      <w:pPr>
        <w:pStyle w:val="Caption"/>
        <w:keepLines/>
      </w:pPr>
      <w:bookmarkStart w:id="41" w:name="_Ref69726321"/>
      <w:r w:rsidRPr="00CE28E3">
        <w:lastRenderedPageBreak/>
        <w:t>Table</w:t>
      </w:r>
      <w:r w:rsidR="003571C2">
        <w:t> </w:t>
      </w:r>
      <w:r w:rsidR="005915FD">
        <w:fldChar w:fldCharType="begin"/>
      </w:r>
      <w:r w:rsidR="005915FD">
        <w:instrText xml:space="preserve"> SEQ Table \* ARABIC </w:instrText>
      </w:r>
      <w:r w:rsidR="005915FD">
        <w:fldChar w:fldCharType="separate"/>
      </w:r>
      <w:r w:rsidR="00835345">
        <w:rPr>
          <w:noProof/>
        </w:rPr>
        <w:t>9</w:t>
      </w:r>
      <w:r w:rsidR="005915FD">
        <w:rPr>
          <w:noProof/>
        </w:rPr>
        <w:fldChar w:fldCharType="end"/>
      </w:r>
      <w:bookmarkEnd w:id="41"/>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2405"/>
        <w:gridCol w:w="4254"/>
        <w:gridCol w:w="2357"/>
      </w:tblGrid>
      <w:tr w:rsidR="00156938" w:rsidRPr="00CE28E3" w14:paraId="4595BF16" w14:textId="77777777">
        <w:trPr>
          <w:tblHeader/>
        </w:trPr>
        <w:tc>
          <w:tcPr>
            <w:tcW w:w="1334" w:type="pct"/>
            <w:shd w:val="clear" w:color="auto" w:fill="D9D9D9" w:themeFill="background1" w:themeFillShade="D9"/>
            <w:vAlign w:val="center"/>
          </w:tcPr>
          <w:p w14:paraId="1CE292BD" w14:textId="77777777" w:rsidR="00156938" w:rsidRPr="00CE28E3" w:rsidRDefault="00156938" w:rsidP="001E2A01">
            <w:pPr>
              <w:pStyle w:val="2024TABLEHEADING"/>
              <w:keepLines/>
              <w:spacing w:before="0" w:after="0"/>
            </w:pPr>
            <w:bookmarkStart w:id="42" w:name="_Hlk68276635"/>
            <w:r w:rsidRPr="00CE28E3">
              <w:t>Description</w:t>
            </w:r>
          </w:p>
        </w:tc>
        <w:tc>
          <w:tcPr>
            <w:tcW w:w="2359" w:type="pct"/>
            <w:shd w:val="clear" w:color="auto" w:fill="D9D9D9" w:themeFill="background1" w:themeFillShade="D9"/>
            <w:vAlign w:val="center"/>
          </w:tcPr>
          <w:p w14:paraId="3B240E30" w14:textId="77777777" w:rsidR="00156938" w:rsidRPr="00CE28E3" w:rsidRDefault="00156938" w:rsidP="001E2A01">
            <w:pPr>
              <w:pStyle w:val="2024TABLEHEADING"/>
              <w:keepLines/>
              <w:spacing w:before="0" w:after="0"/>
            </w:pPr>
            <w:r w:rsidRPr="00CE28E3">
              <w:t>Method/Value</w:t>
            </w:r>
          </w:p>
        </w:tc>
        <w:tc>
          <w:tcPr>
            <w:tcW w:w="1307" w:type="pct"/>
            <w:shd w:val="clear" w:color="auto" w:fill="D9D9D9" w:themeFill="background1" w:themeFillShade="D9"/>
            <w:vAlign w:val="center"/>
          </w:tcPr>
          <w:p w14:paraId="714123BF" w14:textId="77777777" w:rsidR="00156938" w:rsidRPr="00CE28E3" w:rsidRDefault="00156938" w:rsidP="001E2A01">
            <w:pPr>
              <w:pStyle w:val="2024TABLEHEADING"/>
              <w:keepLines/>
              <w:spacing w:before="0" w:after="0"/>
            </w:pPr>
            <w:r w:rsidRPr="00CE28E3">
              <w:t>Impact</w:t>
            </w:r>
          </w:p>
          <w:p w14:paraId="6B054E32" w14:textId="7572EA77" w:rsidR="00156938" w:rsidRPr="00CE28E3" w:rsidRDefault="00156938" w:rsidP="001E2A01">
            <w:pPr>
              <w:pStyle w:val="2024TABLEHEADING"/>
              <w:keepLines/>
              <w:spacing w:before="0" w:after="0"/>
            </w:pPr>
            <w:r w:rsidRPr="00CE28E3">
              <w:rPr>
                <w:rFonts w:cs="Arial"/>
                <w:szCs w:val="20"/>
              </w:rPr>
              <w:t xml:space="preserve">Base case: </w:t>
            </w:r>
            <w:r w:rsidR="00CD73DB" w:rsidRPr="00CD73DB">
              <w:rPr>
                <w:rFonts w:cs="Arial"/>
                <w:i/>
                <w:szCs w:val="20"/>
              </w:rPr>
              <w:t>DPYD</w:t>
            </w:r>
            <w:r w:rsidRPr="000858AA">
              <w:rPr>
                <w:rFonts w:cs="Arial"/>
                <w:szCs w:val="20"/>
              </w:rPr>
              <w:t xml:space="preserve"> genotyping is a dominant strategy</w:t>
            </w:r>
            <w:r>
              <w:rPr>
                <w:rFonts w:cs="Arial" w:hint="eastAsia"/>
                <w:szCs w:val="20"/>
                <w:lang w:eastAsia="zh-CN"/>
              </w:rPr>
              <w:t>: less costly and more effective</w:t>
            </w:r>
          </w:p>
        </w:tc>
      </w:tr>
      <w:tr w:rsidR="00156938" w:rsidRPr="00CE28E3" w14:paraId="6BB5E4D8" w14:textId="77777777">
        <w:tc>
          <w:tcPr>
            <w:tcW w:w="1334" w:type="pct"/>
            <w:shd w:val="clear" w:color="auto" w:fill="auto"/>
            <w:vAlign w:val="center"/>
          </w:tcPr>
          <w:p w14:paraId="1CD090A0" w14:textId="77777777" w:rsidR="00156938" w:rsidRPr="007A0EB0" w:rsidRDefault="00156938" w:rsidP="001E2A01">
            <w:pPr>
              <w:pStyle w:val="2024TABLETEXT"/>
              <w:keepNext/>
              <w:keepLines/>
              <w:rPr>
                <w:highlight w:val="cyan"/>
                <w:lang w:val="en-US"/>
              </w:rPr>
            </w:pPr>
            <w:r w:rsidRPr="00353AD5">
              <w:t>Number of days of hospitalisation for intermediate metabolisers, standard dose</w:t>
            </w:r>
          </w:p>
        </w:tc>
        <w:tc>
          <w:tcPr>
            <w:tcW w:w="2359" w:type="pct"/>
            <w:shd w:val="clear" w:color="auto" w:fill="auto"/>
            <w:vAlign w:val="center"/>
          </w:tcPr>
          <w:p w14:paraId="0849179B" w14:textId="2957C3BB" w:rsidR="00156938" w:rsidRPr="00F2075B" w:rsidRDefault="00A26818" w:rsidP="001E2A01">
            <w:pPr>
              <w:pStyle w:val="2024TABLETEXT"/>
              <w:keepNext/>
              <w:keepLines/>
              <w:rPr>
                <w:rFonts w:eastAsiaTheme="minorEastAsia"/>
                <w:highlight w:val="cyan"/>
                <w:lang w:val="en-US" w:eastAsia="zh-CN"/>
              </w:rPr>
            </w:pPr>
            <w:r w:rsidRPr="00A26818">
              <w:rPr>
                <w:rFonts w:eastAsiaTheme="minorEastAsia"/>
                <w:lang w:val="en-US" w:eastAsia="zh-CN"/>
              </w:rPr>
              <w:t>This value for the model taken from Lunenburg et al. (2018).</w:t>
            </w:r>
            <w:r w:rsidR="00934143">
              <w:rPr>
                <w:rFonts w:eastAsiaTheme="minorEastAsia"/>
                <w:vertAlign w:val="superscript"/>
                <w:lang w:val="en-US" w:eastAsia="zh-CN"/>
              </w:rPr>
              <w:t>8</w:t>
            </w:r>
            <w:r w:rsidR="00934143" w:rsidRPr="009C07A8">
              <w:rPr>
                <w:rFonts w:eastAsiaTheme="minorEastAsia"/>
                <w:lang w:val="en-US" w:eastAsia="zh-CN"/>
              </w:rPr>
              <w:t xml:space="preserve"> </w:t>
            </w:r>
          </w:p>
        </w:tc>
        <w:tc>
          <w:tcPr>
            <w:tcW w:w="1307" w:type="pct"/>
            <w:shd w:val="clear" w:color="auto" w:fill="auto"/>
            <w:vAlign w:val="center"/>
          </w:tcPr>
          <w:p w14:paraId="771B41BD" w14:textId="29FF30B3" w:rsidR="00156938" w:rsidRPr="00765EEC" w:rsidRDefault="00156938" w:rsidP="001E2A01">
            <w:pPr>
              <w:pStyle w:val="2024TABLETEXT"/>
              <w:keepNext/>
              <w:keepLines/>
              <w:rPr>
                <w:rFonts w:eastAsiaTheme="minorEastAsia"/>
                <w:lang w:val="en-US" w:eastAsia="zh-CN"/>
              </w:rPr>
            </w:pPr>
            <w:r w:rsidRPr="00D95E82">
              <w:rPr>
                <w:rFonts w:eastAsiaTheme="minorEastAsia"/>
                <w:lang w:val="en-US" w:eastAsia="zh-CN"/>
              </w:rPr>
              <w:t xml:space="preserve">High, </w:t>
            </w:r>
            <w:proofErr w:type="spellStart"/>
            <w:r w:rsidRPr="00D95E82">
              <w:rPr>
                <w:rFonts w:eastAsiaTheme="minorEastAsia"/>
                <w:lang w:val="en-US" w:eastAsia="zh-CN"/>
              </w:rPr>
              <w:t>favours</w:t>
            </w:r>
            <w:proofErr w:type="spellEnd"/>
            <w:r w:rsidRPr="00D95E82">
              <w:rPr>
                <w:rFonts w:eastAsiaTheme="minorEastAsia"/>
                <w:lang w:val="en-US" w:eastAsia="zh-CN"/>
              </w:rPr>
              <w:t xml:space="preserve"> </w:t>
            </w:r>
            <w:r w:rsidR="00CD73DB" w:rsidRPr="00CD73DB">
              <w:rPr>
                <w:rFonts w:eastAsiaTheme="minorEastAsia" w:hint="eastAsia"/>
                <w:i/>
                <w:lang w:val="en-US" w:eastAsia="zh-CN"/>
              </w:rPr>
              <w:t>DPYD</w:t>
            </w:r>
            <w:r w:rsidRPr="00D95E82">
              <w:rPr>
                <w:rFonts w:eastAsiaTheme="minorEastAsia" w:hint="eastAsia"/>
                <w:lang w:val="en-US" w:eastAsia="zh-CN"/>
              </w:rPr>
              <w:t xml:space="preserve"> genotyping when this value</w:t>
            </w:r>
            <w:r w:rsidRPr="00D95E82">
              <w:rPr>
                <w:rFonts w:eastAsiaTheme="minorEastAsia"/>
                <w:lang w:val="en-US" w:eastAsia="zh-CN"/>
              </w:rPr>
              <w:t xml:space="preserve"> increased</w:t>
            </w:r>
            <w:r w:rsidRPr="00D95E82">
              <w:rPr>
                <w:rFonts w:eastAsiaTheme="minorEastAsia" w:hint="eastAsia"/>
                <w:lang w:val="en-US" w:eastAsia="zh-CN"/>
              </w:rPr>
              <w:t>.</w:t>
            </w:r>
          </w:p>
        </w:tc>
      </w:tr>
      <w:tr w:rsidR="00156938" w:rsidRPr="00CE28E3" w14:paraId="0569CBC7" w14:textId="77777777">
        <w:trPr>
          <w:trHeight w:val="33"/>
        </w:trPr>
        <w:tc>
          <w:tcPr>
            <w:tcW w:w="1334" w:type="pct"/>
            <w:shd w:val="clear" w:color="auto" w:fill="auto"/>
            <w:vAlign w:val="center"/>
          </w:tcPr>
          <w:p w14:paraId="3C1935F8" w14:textId="77777777" w:rsidR="00156938" w:rsidRPr="00500DB8" w:rsidRDefault="00156938" w:rsidP="001E2A01">
            <w:pPr>
              <w:pStyle w:val="2024TABLETEXT"/>
              <w:keepNext/>
              <w:keepLines/>
              <w:rPr>
                <w:lang w:val="en-US"/>
              </w:rPr>
            </w:pPr>
            <w:r>
              <w:rPr>
                <w:rFonts w:eastAsiaTheme="minorEastAsia"/>
                <w:lang w:eastAsia="zh-CN"/>
              </w:rPr>
              <w:t>P</w:t>
            </w:r>
            <w:r>
              <w:rPr>
                <w:rFonts w:eastAsiaTheme="minorEastAsia" w:hint="eastAsia"/>
                <w:lang w:eastAsia="zh-CN"/>
              </w:rPr>
              <w:t xml:space="preserve">robability of hospitalisation for </w:t>
            </w:r>
            <w:r>
              <w:rPr>
                <w:rFonts w:eastAsiaTheme="minorEastAsia"/>
                <w:lang w:eastAsia="zh-CN"/>
              </w:rPr>
              <w:t>intermediate</w:t>
            </w:r>
            <w:r>
              <w:rPr>
                <w:rFonts w:eastAsiaTheme="minorEastAsia" w:hint="eastAsia"/>
                <w:lang w:eastAsia="zh-CN"/>
              </w:rPr>
              <w:t xml:space="preserve"> metabolisers having severe toxicities, standard dose</w:t>
            </w:r>
          </w:p>
        </w:tc>
        <w:tc>
          <w:tcPr>
            <w:tcW w:w="2359" w:type="pct"/>
            <w:shd w:val="clear" w:color="auto" w:fill="auto"/>
            <w:vAlign w:val="center"/>
          </w:tcPr>
          <w:p w14:paraId="2E383C8B" w14:textId="26FCAB76" w:rsidR="00156938" w:rsidRPr="00142D6D" w:rsidRDefault="00A26818" w:rsidP="001E2A01">
            <w:pPr>
              <w:pStyle w:val="2024TABLETEXT"/>
              <w:keepNext/>
              <w:keepLines/>
              <w:rPr>
                <w:rFonts w:eastAsiaTheme="minorEastAsia"/>
                <w:vertAlign w:val="superscript"/>
                <w:lang w:val="en-US" w:eastAsia="zh-CN"/>
              </w:rPr>
            </w:pPr>
            <w:r w:rsidRPr="00A26818">
              <w:rPr>
                <w:rFonts w:eastAsiaTheme="minorEastAsia"/>
                <w:lang w:val="en-US" w:eastAsia="zh-CN"/>
              </w:rPr>
              <w:t>This value was pooled estimate from Lunenburg et al. (2018) and Paulsen et al. (2023)</w:t>
            </w:r>
            <w:r w:rsidR="00AF6825">
              <w:rPr>
                <w:rFonts w:eastAsiaTheme="minorEastAsia"/>
                <w:lang w:val="en-US" w:eastAsia="zh-CN"/>
              </w:rPr>
              <w:t>.</w:t>
            </w:r>
            <w:r w:rsidR="004462D3">
              <w:rPr>
                <w:rFonts w:eastAsiaTheme="minorEastAsia"/>
                <w:vertAlign w:val="superscript"/>
                <w:lang w:val="en-US" w:eastAsia="zh-CN"/>
              </w:rPr>
              <w:t>9</w:t>
            </w:r>
          </w:p>
        </w:tc>
        <w:tc>
          <w:tcPr>
            <w:tcW w:w="1307" w:type="pct"/>
            <w:shd w:val="clear" w:color="auto" w:fill="auto"/>
            <w:vAlign w:val="center"/>
          </w:tcPr>
          <w:p w14:paraId="3E7764FB" w14:textId="06BF1DF1" w:rsidR="00156938" w:rsidRPr="00CE28E3" w:rsidRDefault="00156938" w:rsidP="001E2A01">
            <w:pPr>
              <w:pStyle w:val="2024TABLETEXT"/>
              <w:keepNext/>
              <w:keepLines/>
              <w:rPr>
                <w:lang w:val="en-US"/>
              </w:rPr>
            </w:pPr>
            <w:r w:rsidRPr="00D95E82">
              <w:rPr>
                <w:rFonts w:eastAsiaTheme="minorEastAsia" w:hint="eastAsia"/>
                <w:lang w:val="en-US" w:eastAsia="zh-CN"/>
              </w:rPr>
              <w:t xml:space="preserve">High, </w:t>
            </w:r>
            <w:proofErr w:type="spellStart"/>
            <w:r w:rsidRPr="00D95E82">
              <w:rPr>
                <w:rFonts w:eastAsiaTheme="minorEastAsia" w:hint="eastAsia"/>
                <w:lang w:val="en-US" w:eastAsia="zh-CN"/>
              </w:rPr>
              <w:t>favours</w:t>
            </w:r>
            <w:proofErr w:type="spellEnd"/>
            <w:r w:rsidRPr="00D95E82">
              <w:rPr>
                <w:rFonts w:eastAsiaTheme="minorEastAsia" w:hint="eastAsia"/>
                <w:lang w:val="en-US" w:eastAsia="zh-CN"/>
              </w:rPr>
              <w:t xml:space="preserve"> </w:t>
            </w:r>
            <w:r w:rsidR="00CD73DB" w:rsidRPr="00CD73DB">
              <w:rPr>
                <w:rFonts w:eastAsiaTheme="minorEastAsia" w:hint="eastAsia"/>
                <w:i/>
                <w:lang w:val="en-US" w:eastAsia="zh-CN"/>
              </w:rPr>
              <w:t>DPYD</w:t>
            </w:r>
            <w:r w:rsidRPr="00D95E82">
              <w:rPr>
                <w:rFonts w:eastAsiaTheme="minorEastAsia" w:hint="eastAsia"/>
                <w:lang w:val="en-US" w:eastAsia="zh-CN"/>
              </w:rPr>
              <w:t xml:space="preserve"> genotyping when this value </w:t>
            </w:r>
            <w:r w:rsidRPr="00D95E82">
              <w:rPr>
                <w:rFonts w:eastAsiaTheme="minorEastAsia"/>
                <w:lang w:val="en-US" w:eastAsia="zh-CN"/>
              </w:rPr>
              <w:t>increased</w:t>
            </w:r>
            <w:r w:rsidRPr="00D95E82">
              <w:rPr>
                <w:rFonts w:eastAsiaTheme="minorEastAsia" w:hint="eastAsia"/>
                <w:lang w:val="en-US" w:eastAsia="zh-CN"/>
              </w:rPr>
              <w:t>.</w:t>
            </w:r>
          </w:p>
        </w:tc>
      </w:tr>
      <w:tr w:rsidR="00156938" w:rsidRPr="00CE28E3" w14:paraId="526AE249" w14:textId="77777777">
        <w:tc>
          <w:tcPr>
            <w:tcW w:w="1334" w:type="pct"/>
            <w:shd w:val="clear" w:color="auto" w:fill="auto"/>
            <w:vAlign w:val="center"/>
          </w:tcPr>
          <w:p w14:paraId="46BB358F" w14:textId="77777777" w:rsidR="00156938" w:rsidRDefault="00156938" w:rsidP="001E2A01">
            <w:pPr>
              <w:pStyle w:val="2024TABLETEXT"/>
              <w:keepNext/>
              <w:keepLines/>
              <w:rPr>
                <w:rFonts w:eastAsiaTheme="minorEastAsia"/>
                <w:lang w:eastAsia="zh-CN"/>
              </w:rPr>
            </w:pPr>
            <w:r w:rsidRPr="00B77833">
              <w:rPr>
                <w:rFonts w:eastAsiaTheme="minorEastAsia"/>
                <w:lang w:eastAsia="zh-CN"/>
              </w:rPr>
              <w:t xml:space="preserve">Cost of hospitalisation per day </w:t>
            </w:r>
            <w:r>
              <w:rPr>
                <w:rFonts w:eastAsiaTheme="minorEastAsia"/>
                <w:lang w:eastAsia="zh-CN"/>
              </w:rPr>
              <w:t>per</w:t>
            </w:r>
            <w:r w:rsidRPr="00B77833">
              <w:rPr>
                <w:rFonts w:eastAsiaTheme="minorEastAsia"/>
                <w:lang w:eastAsia="zh-CN"/>
              </w:rPr>
              <w:t xml:space="preserve"> severe toxicit</w:t>
            </w:r>
            <w:r>
              <w:rPr>
                <w:rFonts w:eastAsiaTheme="minorEastAsia"/>
                <w:lang w:eastAsia="zh-CN"/>
              </w:rPr>
              <w:t>y</w:t>
            </w:r>
          </w:p>
        </w:tc>
        <w:tc>
          <w:tcPr>
            <w:tcW w:w="2359" w:type="pct"/>
            <w:shd w:val="clear" w:color="auto" w:fill="auto"/>
            <w:vAlign w:val="center"/>
          </w:tcPr>
          <w:p w14:paraId="1702857F" w14:textId="3561C6D8" w:rsidR="00156938" w:rsidRDefault="00156938" w:rsidP="001E2A01">
            <w:pPr>
              <w:pStyle w:val="2024TABLETEXT"/>
              <w:keepNext/>
              <w:keepLines/>
              <w:rPr>
                <w:rFonts w:eastAsiaTheme="minorEastAsia"/>
                <w:lang w:val="en-US" w:eastAsia="zh-CN"/>
              </w:rPr>
            </w:pPr>
            <w:r w:rsidRPr="0052445A">
              <w:rPr>
                <w:rFonts w:eastAsiaTheme="minorEastAsia" w:hint="eastAsia"/>
                <w:lang w:val="en-US" w:eastAsia="zh-CN"/>
              </w:rPr>
              <w:t xml:space="preserve">This value was </w:t>
            </w:r>
            <w:r>
              <w:rPr>
                <w:rFonts w:eastAsiaTheme="minorEastAsia"/>
                <w:lang w:val="en-US" w:eastAsia="zh-CN"/>
              </w:rPr>
              <w:t>calculated</w:t>
            </w:r>
            <w:r w:rsidRPr="0052445A">
              <w:rPr>
                <w:rFonts w:eastAsiaTheme="minorEastAsia" w:hint="eastAsia"/>
                <w:lang w:val="en-US" w:eastAsia="zh-CN"/>
              </w:rPr>
              <w:t xml:space="preserve"> </w:t>
            </w:r>
            <w:r>
              <w:t>based on the AR-DRG used in Australia</w:t>
            </w:r>
            <w:r w:rsidR="0004373B">
              <w:rPr>
                <w:rStyle w:val="FootnoteReference"/>
              </w:rPr>
              <w:footnoteReference w:id="27"/>
            </w:r>
            <w:r>
              <w:t xml:space="preserve"> and proportions of severe toxicities published in </w:t>
            </w:r>
            <w:r w:rsidR="00AF6825" w:rsidRPr="00A26818">
              <w:rPr>
                <w:rFonts w:eastAsiaTheme="minorEastAsia"/>
                <w:lang w:val="en-US" w:eastAsia="zh-CN"/>
              </w:rPr>
              <w:t>Paulsen et al. (2023)</w:t>
            </w:r>
            <w:r w:rsidR="00AF6825">
              <w:rPr>
                <w:rFonts w:eastAsiaTheme="minorEastAsia"/>
                <w:lang w:val="en-US" w:eastAsia="zh-CN"/>
              </w:rPr>
              <w:t>,</w:t>
            </w:r>
            <w:r w:rsidR="000431F7">
              <w:rPr>
                <w:rFonts w:eastAsiaTheme="minorEastAsia"/>
                <w:vertAlign w:val="superscript"/>
                <w:lang w:val="en-US" w:eastAsia="zh-CN"/>
              </w:rPr>
              <w:t>9</w:t>
            </w:r>
            <w:r w:rsidR="000431F7">
              <w:t xml:space="preserve"> </w:t>
            </w:r>
            <w:r>
              <w:t xml:space="preserve">which was a weighted </w:t>
            </w:r>
            <w:r w:rsidRPr="0052445A">
              <w:t>cost</w:t>
            </w:r>
            <w:r>
              <w:t>.</w:t>
            </w:r>
          </w:p>
        </w:tc>
        <w:tc>
          <w:tcPr>
            <w:tcW w:w="1307" w:type="pct"/>
            <w:shd w:val="clear" w:color="auto" w:fill="auto"/>
            <w:vAlign w:val="center"/>
          </w:tcPr>
          <w:p w14:paraId="56C804BE" w14:textId="4534CE76" w:rsidR="00156938" w:rsidRDefault="00156938" w:rsidP="001E2A01">
            <w:pPr>
              <w:pStyle w:val="2024TABLETEXT"/>
              <w:keepNext/>
              <w:keepLines/>
              <w:rPr>
                <w:rFonts w:eastAsiaTheme="minorEastAsia"/>
                <w:lang w:val="en-US" w:eastAsia="zh-CN"/>
              </w:rPr>
            </w:pPr>
            <w:r w:rsidRPr="0044745C">
              <w:rPr>
                <w:rFonts w:eastAsiaTheme="minorEastAsia" w:hint="eastAsia"/>
                <w:lang w:val="en-US" w:eastAsia="zh-CN"/>
              </w:rPr>
              <w:t xml:space="preserve">High, </w:t>
            </w:r>
            <w:proofErr w:type="spellStart"/>
            <w:r w:rsidRPr="0044745C">
              <w:rPr>
                <w:rFonts w:eastAsiaTheme="minorEastAsia" w:hint="eastAsia"/>
                <w:lang w:val="en-US" w:eastAsia="zh-CN"/>
              </w:rPr>
              <w:t>favours</w:t>
            </w:r>
            <w:proofErr w:type="spellEnd"/>
            <w:r w:rsidRPr="0044745C">
              <w:rPr>
                <w:rFonts w:eastAsiaTheme="minorEastAsia" w:hint="eastAsia"/>
                <w:lang w:val="en-US" w:eastAsia="zh-CN"/>
              </w:rPr>
              <w:t xml:space="preserve"> </w:t>
            </w:r>
            <w:r w:rsidR="00CD73DB" w:rsidRPr="00CD73DB">
              <w:rPr>
                <w:rFonts w:eastAsiaTheme="minorEastAsia" w:hint="eastAsia"/>
                <w:i/>
                <w:lang w:val="en-US" w:eastAsia="zh-CN"/>
              </w:rPr>
              <w:t>DPYD</w:t>
            </w:r>
            <w:r w:rsidRPr="0044745C">
              <w:rPr>
                <w:rFonts w:eastAsiaTheme="minorEastAsia" w:hint="eastAsia"/>
                <w:lang w:val="en-US" w:eastAsia="zh-CN"/>
              </w:rPr>
              <w:t xml:space="preserve"> genotyping when this value </w:t>
            </w:r>
            <w:r w:rsidRPr="0044745C">
              <w:rPr>
                <w:rFonts w:eastAsiaTheme="minorEastAsia"/>
                <w:lang w:val="en-US" w:eastAsia="zh-CN"/>
              </w:rPr>
              <w:t>increased</w:t>
            </w:r>
            <w:r w:rsidRPr="0044745C">
              <w:rPr>
                <w:rFonts w:eastAsiaTheme="minorEastAsia" w:hint="eastAsia"/>
                <w:lang w:val="en-US" w:eastAsia="zh-CN"/>
              </w:rPr>
              <w:t>.</w:t>
            </w:r>
          </w:p>
        </w:tc>
      </w:tr>
      <w:tr w:rsidR="00156938" w:rsidRPr="00CE28E3" w14:paraId="5B977D2D" w14:textId="77777777">
        <w:tc>
          <w:tcPr>
            <w:tcW w:w="1334" w:type="pct"/>
            <w:shd w:val="clear" w:color="auto" w:fill="auto"/>
            <w:vAlign w:val="center"/>
          </w:tcPr>
          <w:p w14:paraId="6977EE9F" w14:textId="77777777" w:rsidR="00156938" w:rsidRDefault="00156938" w:rsidP="001E2A01">
            <w:pPr>
              <w:pStyle w:val="2024TABLETEXT"/>
              <w:keepNext/>
              <w:keepLines/>
              <w:rPr>
                <w:rFonts w:eastAsiaTheme="minorEastAsia"/>
                <w:lang w:eastAsia="zh-CN"/>
              </w:rPr>
            </w:pPr>
            <w:r w:rsidRPr="00D95E82">
              <w:rPr>
                <w:rFonts w:eastAsiaTheme="minorEastAsia"/>
                <w:lang w:eastAsia="zh-CN"/>
              </w:rPr>
              <w:t>Number of severe toxicities for intermediate metabolisers, standard dose</w:t>
            </w:r>
          </w:p>
        </w:tc>
        <w:tc>
          <w:tcPr>
            <w:tcW w:w="2359" w:type="pct"/>
            <w:shd w:val="clear" w:color="auto" w:fill="auto"/>
            <w:vAlign w:val="center"/>
          </w:tcPr>
          <w:p w14:paraId="390A3D60" w14:textId="03162EDB" w:rsidR="00156938" w:rsidRDefault="00156938" w:rsidP="001E2A01">
            <w:pPr>
              <w:pStyle w:val="2024TABLETEXT"/>
              <w:keepNext/>
              <w:keepLines/>
              <w:rPr>
                <w:rFonts w:eastAsiaTheme="minorEastAsia"/>
                <w:lang w:val="en-US" w:eastAsia="zh-CN"/>
              </w:rPr>
            </w:pPr>
            <w:r w:rsidRPr="009D5A89">
              <w:rPr>
                <w:rFonts w:eastAsiaTheme="minorEastAsia" w:hint="eastAsia"/>
                <w:lang w:val="en-US" w:eastAsia="zh-CN"/>
              </w:rPr>
              <w:t xml:space="preserve">This value for the model taken from </w:t>
            </w:r>
            <w:r w:rsidR="00D36D05" w:rsidRPr="00A26818">
              <w:rPr>
                <w:rFonts w:eastAsiaTheme="minorEastAsia"/>
                <w:lang w:val="en-US" w:eastAsia="zh-CN"/>
              </w:rPr>
              <w:t>Lunenburg et al. (2018).</w:t>
            </w:r>
            <w:r w:rsidR="000431F7">
              <w:rPr>
                <w:rFonts w:eastAsiaTheme="minorEastAsia"/>
                <w:vertAlign w:val="superscript"/>
                <w:lang w:val="en-US" w:eastAsia="zh-CN"/>
              </w:rPr>
              <w:t>8</w:t>
            </w:r>
          </w:p>
        </w:tc>
        <w:tc>
          <w:tcPr>
            <w:tcW w:w="1307" w:type="pct"/>
            <w:shd w:val="clear" w:color="auto" w:fill="auto"/>
            <w:vAlign w:val="center"/>
          </w:tcPr>
          <w:p w14:paraId="58E17021" w14:textId="01B61A89" w:rsidR="00156938" w:rsidRPr="007F7C0F" w:rsidRDefault="00156938" w:rsidP="001E2A01">
            <w:pPr>
              <w:pStyle w:val="2024TABLETEXT"/>
              <w:keepNext/>
              <w:keepLines/>
              <w:rPr>
                <w:rFonts w:eastAsiaTheme="minorEastAsia"/>
                <w:highlight w:val="cyan"/>
                <w:lang w:val="en-US" w:eastAsia="zh-CN"/>
              </w:rPr>
            </w:pPr>
            <w:r w:rsidRPr="0044745C">
              <w:rPr>
                <w:rFonts w:eastAsiaTheme="minorEastAsia" w:hint="eastAsia"/>
                <w:lang w:val="en-US" w:eastAsia="zh-CN"/>
              </w:rPr>
              <w:t xml:space="preserve">High, </w:t>
            </w:r>
            <w:proofErr w:type="spellStart"/>
            <w:r w:rsidRPr="0044745C">
              <w:rPr>
                <w:rFonts w:eastAsiaTheme="minorEastAsia" w:hint="eastAsia"/>
                <w:lang w:val="en-US" w:eastAsia="zh-CN"/>
              </w:rPr>
              <w:t>favours</w:t>
            </w:r>
            <w:proofErr w:type="spellEnd"/>
            <w:r w:rsidRPr="0044745C">
              <w:rPr>
                <w:rFonts w:eastAsiaTheme="minorEastAsia" w:hint="eastAsia"/>
                <w:lang w:val="en-US" w:eastAsia="zh-CN"/>
              </w:rPr>
              <w:t xml:space="preserve"> </w:t>
            </w:r>
            <w:r w:rsidR="00CD73DB" w:rsidRPr="00CD73DB">
              <w:rPr>
                <w:rFonts w:eastAsiaTheme="minorEastAsia" w:hint="eastAsia"/>
                <w:i/>
                <w:lang w:val="en-US" w:eastAsia="zh-CN"/>
              </w:rPr>
              <w:t>DPYD</w:t>
            </w:r>
            <w:r w:rsidRPr="0044745C">
              <w:rPr>
                <w:rFonts w:eastAsiaTheme="minorEastAsia" w:hint="eastAsia"/>
                <w:lang w:val="en-US" w:eastAsia="zh-CN"/>
              </w:rPr>
              <w:t xml:space="preserve"> genotyping when this value </w:t>
            </w:r>
            <w:r w:rsidRPr="0044745C">
              <w:rPr>
                <w:rFonts w:eastAsiaTheme="minorEastAsia"/>
                <w:lang w:val="en-US" w:eastAsia="zh-CN"/>
              </w:rPr>
              <w:t>increased</w:t>
            </w:r>
            <w:r w:rsidRPr="0044745C">
              <w:rPr>
                <w:rFonts w:eastAsiaTheme="minorEastAsia" w:hint="eastAsia"/>
                <w:lang w:val="en-US" w:eastAsia="zh-CN"/>
              </w:rPr>
              <w:t>.</w:t>
            </w:r>
          </w:p>
        </w:tc>
      </w:tr>
      <w:tr w:rsidR="00156938" w:rsidRPr="00CE28E3" w14:paraId="15A1D76C" w14:textId="77777777">
        <w:trPr>
          <w:trHeight w:val="33"/>
        </w:trPr>
        <w:tc>
          <w:tcPr>
            <w:tcW w:w="1334" w:type="pct"/>
            <w:shd w:val="clear" w:color="auto" w:fill="auto"/>
            <w:vAlign w:val="center"/>
          </w:tcPr>
          <w:p w14:paraId="5DAA035C" w14:textId="77777777" w:rsidR="00156938" w:rsidRPr="00CE28E3" w:rsidRDefault="00156938" w:rsidP="001E2A01">
            <w:pPr>
              <w:pStyle w:val="2024TABLETEXT"/>
              <w:keepNext/>
              <w:keepLines/>
              <w:rPr>
                <w:lang w:val="en-US"/>
              </w:rPr>
            </w:pPr>
            <w:r w:rsidRPr="00500DB8">
              <w:rPr>
                <w:lang w:val="en-US"/>
              </w:rPr>
              <w:t xml:space="preserve">Probability of death for intermediate </w:t>
            </w:r>
            <w:proofErr w:type="spellStart"/>
            <w:r w:rsidRPr="00500DB8">
              <w:rPr>
                <w:lang w:val="en-US"/>
              </w:rPr>
              <w:t>metabolisers</w:t>
            </w:r>
            <w:proofErr w:type="spellEnd"/>
            <w:r w:rsidRPr="00500DB8">
              <w:rPr>
                <w:lang w:val="en-US"/>
              </w:rPr>
              <w:t xml:space="preserve"> having severe toxicities, standard dose</w:t>
            </w:r>
          </w:p>
        </w:tc>
        <w:tc>
          <w:tcPr>
            <w:tcW w:w="2359" w:type="pct"/>
            <w:shd w:val="clear" w:color="auto" w:fill="auto"/>
            <w:vAlign w:val="center"/>
          </w:tcPr>
          <w:p w14:paraId="5E4FBC5B" w14:textId="051027A2" w:rsidR="00156938" w:rsidRPr="00A605E5" w:rsidRDefault="00BD6731" w:rsidP="001E2A01">
            <w:pPr>
              <w:pStyle w:val="2024TABLETEXT"/>
              <w:keepNext/>
              <w:keepLines/>
              <w:rPr>
                <w:rFonts w:eastAsiaTheme="minorEastAsia"/>
                <w:lang w:val="en-US" w:eastAsia="zh-CN"/>
              </w:rPr>
            </w:pPr>
            <w:r>
              <w:rPr>
                <w:rFonts w:eastAsiaTheme="minorEastAsia" w:hint="eastAsia"/>
                <w:lang w:val="en-US" w:eastAsia="zh-CN"/>
              </w:rPr>
              <w:t xml:space="preserve">This value was </w:t>
            </w:r>
            <w:r w:rsidRPr="008A4472">
              <w:rPr>
                <w:rFonts w:eastAsiaTheme="minorEastAsia"/>
                <w:lang w:val="en-US" w:eastAsia="zh-CN"/>
              </w:rPr>
              <w:t xml:space="preserve">pooled estimate from </w:t>
            </w:r>
            <w:r w:rsidR="00D36D05" w:rsidRPr="00A26818">
              <w:rPr>
                <w:rFonts w:eastAsiaTheme="minorEastAsia"/>
                <w:lang w:val="en-US" w:eastAsia="zh-CN"/>
              </w:rPr>
              <w:t>Paulsen et al. (2023)</w:t>
            </w:r>
            <w:r w:rsidR="00D36D05">
              <w:rPr>
                <w:rFonts w:eastAsiaTheme="minorEastAsia"/>
                <w:lang w:val="en-US" w:eastAsia="zh-CN"/>
              </w:rPr>
              <w:t>.</w:t>
            </w:r>
            <w:r w:rsidR="0038175D">
              <w:rPr>
                <w:rFonts w:eastAsiaTheme="minorEastAsia"/>
                <w:vertAlign w:val="superscript"/>
                <w:lang w:val="en-US" w:eastAsia="zh-CN"/>
              </w:rPr>
              <w:t>9</w:t>
            </w:r>
            <w:r w:rsidR="0038175D" w:rsidDel="0038175D">
              <w:rPr>
                <w:rFonts w:eastAsiaTheme="minorEastAsia"/>
                <w:lang w:val="en-US" w:eastAsia="zh-CN"/>
              </w:rPr>
              <w:t xml:space="preserve"> </w:t>
            </w:r>
          </w:p>
        </w:tc>
        <w:tc>
          <w:tcPr>
            <w:tcW w:w="1307" w:type="pct"/>
            <w:shd w:val="clear" w:color="auto" w:fill="auto"/>
            <w:vAlign w:val="center"/>
          </w:tcPr>
          <w:p w14:paraId="33F9EA64" w14:textId="77777777" w:rsidR="00156938" w:rsidRPr="008E34F0" w:rsidRDefault="00156938" w:rsidP="001E2A01">
            <w:pPr>
              <w:pStyle w:val="2024TABLETEXT"/>
              <w:keepNext/>
              <w:keepLines/>
              <w:rPr>
                <w:rFonts w:eastAsiaTheme="minorEastAsia"/>
                <w:lang w:eastAsia="zh-CN"/>
              </w:rPr>
            </w:pPr>
            <w:r w:rsidRPr="0044745C">
              <w:rPr>
                <w:lang w:val="en-US"/>
              </w:rPr>
              <w:t xml:space="preserve">High, </w:t>
            </w:r>
            <w:proofErr w:type="spellStart"/>
            <w:r w:rsidRPr="0044745C">
              <w:rPr>
                <w:lang w:val="en-US"/>
              </w:rPr>
              <w:t>favours</w:t>
            </w:r>
            <w:proofErr w:type="spellEnd"/>
            <w:r w:rsidRPr="0044745C">
              <w:rPr>
                <w:lang w:val="en-US"/>
              </w:rPr>
              <w:t xml:space="preserve"> </w:t>
            </w:r>
            <w:r w:rsidRPr="0044745C">
              <w:rPr>
                <w:rFonts w:eastAsiaTheme="minorEastAsia" w:hint="eastAsia"/>
                <w:lang w:val="en-US" w:eastAsia="zh-CN"/>
              </w:rPr>
              <w:t>no testing</w:t>
            </w:r>
            <w:r w:rsidRPr="0044745C">
              <w:t xml:space="preserve"> </w:t>
            </w:r>
            <w:r w:rsidRPr="0044745C">
              <w:rPr>
                <w:rFonts w:eastAsiaTheme="minorEastAsia" w:hint="eastAsia"/>
                <w:lang w:eastAsia="zh-CN"/>
              </w:rPr>
              <w:t>when this probability</w:t>
            </w:r>
            <w:r w:rsidRPr="0044745C">
              <w:rPr>
                <w:rFonts w:eastAsiaTheme="minorEastAsia"/>
                <w:lang w:eastAsia="zh-CN"/>
              </w:rPr>
              <w:t xml:space="preserve"> increased</w:t>
            </w:r>
            <w:r w:rsidRPr="0044745C">
              <w:rPr>
                <w:rFonts w:eastAsiaTheme="minorEastAsia" w:hint="eastAsia"/>
                <w:lang w:eastAsia="zh-CN"/>
              </w:rPr>
              <w:t>.</w:t>
            </w:r>
          </w:p>
        </w:tc>
      </w:tr>
    </w:tbl>
    <w:p w14:paraId="467AA379" w14:textId="429AD22E" w:rsidR="00BD6731" w:rsidRPr="005A673A" w:rsidRDefault="00285ED7" w:rsidP="00AD703B">
      <w:pPr>
        <w:pStyle w:val="TableFigureFooter"/>
        <w:keepNext/>
        <w:keepLines/>
        <w:rPr>
          <w:rFonts w:eastAsiaTheme="minorEastAsia"/>
          <w:lang w:eastAsia="zh-CN"/>
        </w:rPr>
      </w:pPr>
      <w:r w:rsidRPr="00D23AAA">
        <w:t>AR-DRG</w:t>
      </w:r>
      <w:r w:rsidR="001A317A">
        <w:rPr>
          <w:iCs/>
        </w:rPr>
        <w:t>=</w:t>
      </w:r>
      <w:proofErr w:type="spellStart"/>
      <w:r w:rsidR="001A317A">
        <w:rPr>
          <w:iCs/>
        </w:rPr>
        <w:t>Australain</w:t>
      </w:r>
      <w:proofErr w:type="spellEnd"/>
      <w:r w:rsidR="001A317A">
        <w:rPr>
          <w:iCs/>
        </w:rPr>
        <w:t>-refined</w:t>
      </w:r>
      <w:r w:rsidR="00A37729">
        <w:rPr>
          <w:iCs/>
        </w:rPr>
        <w:t>-Diagnostic Related Group</w:t>
      </w:r>
      <w:r w:rsidR="00D630E4">
        <w:rPr>
          <w:iCs/>
        </w:rPr>
        <w:t>s</w:t>
      </w:r>
      <w:r w:rsidR="007C3D13">
        <w:rPr>
          <w:iCs/>
        </w:rPr>
        <w:t>;</w:t>
      </w:r>
      <w:r>
        <w:rPr>
          <w:i/>
        </w:rPr>
        <w:t xml:space="preserve"> </w:t>
      </w:r>
      <w:r w:rsidR="00CD73DB" w:rsidRPr="00CD73DB">
        <w:rPr>
          <w:i/>
        </w:rPr>
        <w:t>DPYD</w:t>
      </w:r>
      <w:r w:rsidR="00DE72B1">
        <w:t>=</w:t>
      </w:r>
      <w:proofErr w:type="spellStart"/>
      <w:r w:rsidR="00DE72B1" w:rsidRPr="00D23AAA">
        <w:rPr>
          <w:i/>
        </w:rPr>
        <w:t>Dihydropyrimidine</w:t>
      </w:r>
      <w:proofErr w:type="spellEnd"/>
      <w:r w:rsidR="00DE72B1" w:rsidRPr="00D23AAA">
        <w:rPr>
          <w:i/>
        </w:rPr>
        <w:t xml:space="preserve"> dehydrogenase</w:t>
      </w:r>
      <w:r w:rsidR="00DE72B1" w:rsidRPr="005E4491">
        <w:t xml:space="preserve"> gene</w:t>
      </w:r>
      <w:r w:rsidR="0045093D">
        <w:t>.</w:t>
      </w:r>
      <w:bookmarkEnd w:id="42"/>
    </w:p>
    <w:p w14:paraId="56EB7C23" w14:textId="1B09092F" w:rsidR="00610ABA" w:rsidRPr="00DC3F65" w:rsidRDefault="008B5B67" w:rsidP="00FF160D">
      <w:pPr>
        <w:rPr>
          <w:rFonts w:eastAsiaTheme="minorEastAsia"/>
          <w:lang w:eastAsia="zh-CN"/>
        </w:rPr>
      </w:pPr>
      <w:r w:rsidRPr="00CE28E3">
        <w:t xml:space="preserve">The results of key </w:t>
      </w:r>
      <w:r w:rsidRPr="006D163F">
        <w:rPr>
          <w:rStyle w:val="InstructionaltextChar"/>
          <w:color w:val="auto"/>
        </w:rPr>
        <w:t>univariate</w:t>
      </w:r>
      <w:r w:rsidRPr="00330A0A">
        <w:rPr>
          <w:color w:val="538135" w:themeColor="accent6" w:themeShade="BF"/>
        </w:rPr>
        <w:t xml:space="preserve"> </w:t>
      </w:r>
      <w:r w:rsidRPr="00CE28E3">
        <w:t>sensitivity analys</w:t>
      </w:r>
      <w:r w:rsidR="001E7DDB">
        <w:rPr>
          <w:rFonts w:eastAsiaTheme="minorEastAsia" w:hint="eastAsia"/>
          <w:lang w:eastAsia="zh-CN"/>
        </w:rPr>
        <w:t>i</w:t>
      </w:r>
      <w:r w:rsidRPr="00CE28E3">
        <w:t>s</w:t>
      </w:r>
      <w:r w:rsidR="001E7DDB">
        <w:rPr>
          <w:rFonts w:eastAsiaTheme="minorEastAsia" w:hint="eastAsia"/>
          <w:lang w:eastAsia="zh-CN"/>
        </w:rPr>
        <w:t xml:space="preserve"> (one-way sensitivity analysis)</w:t>
      </w:r>
      <w:r w:rsidRPr="00CE28E3">
        <w:t xml:space="preserve"> are summarised below</w:t>
      </w:r>
      <w:r w:rsidR="001E7DDB">
        <w:rPr>
          <w:rFonts w:eastAsiaTheme="minorEastAsia" w:hint="eastAsia"/>
          <w:lang w:eastAsia="zh-CN"/>
        </w:rPr>
        <w:t xml:space="preserve"> (</w:t>
      </w:r>
      <w:r w:rsidR="00555605">
        <w:rPr>
          <w:rFonts w:eastAsiaTheme="minorEastAsia"/>
          <w:lang w:eastAsia="zh-CN"/>
        </w:rPr>
        <w:t>Table 10</w:t>
      </w:r>
      <w:r w:rsidR="00B9036F">
        <w:rPr>
          <w:rFonts w:eastAsiaTheme="minorEastAsia"/>
          <w:lang w:eastAsia="zh-CN"/>
        </w:rPr>
        <w:fldChar w:fldCharType="begin"/>
      </w:r>
      <w:r w:rsidR="00B9036F">
        <w:rPr>
          <w:rFonts w:eastAsiaTheme="minorEastAsia"/>
          <w:lang w:eastAsia="zh-CN"/>
        </w:rPr>
        <w:instrText xml:space="preserve"> </w:instrText>
      </w:r>
      <w:r w:rsidR="00B9036F">
        <w:rPr>
          <w:rFonts w:eastAsiaTheme="minorEastAsia" w:hint="eastAsia"/>
          <w:lang w:eastAsia="zh-CN"/>
        </w:rPr>
        <w:instrText>REF _Ref69726347</w:instrText>
      </w:r>
      <w:r w:rsidR="00B9036F">
        <w:rPr>
          <w:rFonts w:eastAsiaTheme="minorEastAsia"/>
          <w:lang w:eastAsia="zh-CN"/>
        </w:rPr>
        <w:instrText xml:space="preserve"> </w:instrText>
      </w:r>
      <w:r w:rsidR="00B9036F">
        <w:rPr>
          <w:rFonts w:eastAsiaTheme="minorEastAsia"/>
          <w:lang w:eastAsia="zh-CN"/>
        </w:rPr>
        <w:fldChar w:fldCharType="separate"/>
      </w:r>
      <w:r w:rsidR="00B9036F">
        <w:rPr>
          <w:rFonts w:eastAsiaTheme="minorEastAsia"/>
          <w:lang w:eastAsia="zh-CN"/>
        </w:rPr>
        <w:fldChar w:fldCharType="end"/>
      </w:r>
      <w:r w:rsidR="001E7DDB">
        <w:rPr>
          <w:rFonts w:eastAsiaTheme="minorEastAsia" w:hint="eastAsia"/>
          <w:lang w:eastAsia="zh-CN"/>
        </w:rPr>
        <w:t>)</w:t>
      </w:r>
      <w:r w:rsidR="00DC3F65">
        <w:rPr>
          <w:rFonts w:eastAsiaTheme="minorEastAsia" w:hint="eastAsia"/>
          <w:lang w:eastAsia="zh-CN"/>
        </w:rPr>
        <w:t xml:space="preserve">, using the top </w:t>
      </w:r>
      <w:r w:rsidR="00DC3F65">
        <w:rPr>
          <w:rFonts w:eastAsiaTheme="minorEastAsia"/>
          <w:lang w:eastAsia="zh-CN"/>
        </w:rPr>
        <w:t>drive</w:t>
      </w:r>
      <w:r w:rsidR="00DC3F65">
        <w:rPr>
          <w:rFonts w:eastAsiaTheme="minorEastAsia" w:hint="eastAsia"/>
          <w:lang w:eastAsia="zh-CN"/>
        </w:rPr>
        <w:t xml:space="preserve">r (i.e., number of days of hospitalisation for intermediate metabolisers, standard dose) as an </w:t>
      </w:r>
      <w:r w:rsidR="00DC3F65">
        <w:rPr>
          <w:rFonts w:eastAsiaTheme="minorEastAsia"/>
          <w:lang w:eastAsia="zh-CN"/>
        </w:rPr>
        <w:t>example</w:t>
      </w:r>
      <w:r w:rsidR="00DC3F65">
        <w:rPr>
          <w:rFonts w:eastAsiaTheme="minorEastAsia" w:hint="eastAsia"/>
          <w:lang w:eastAsia="zh-CN"/>
        </w:rPr>
        <w:t>.</w:t>
      </w:r>
      <w:r>
        <w:rPr>
          <w:rFonts w:eastAsiaTheme="minorEastAsia"/>
          <w:lang w:eastAsia="zh-CN"/>
        </w:rPr>
        <w:t xml:space="preserve"> </w:t>
      </w:r>
    </w:p>
    <w:p w14:paraId="2C785A4C" w14:textId="0DEE30C1" w:rsidR="008B5B67" w:rsidRPr="00CE28E3" w:rsidRDefault="008B5B67" w:rsidP="00CC7A88">
      <w:pPr>
        <w:pStyle w:val="Caption"/>
        <w:keepLines/>
      </w:pPr>
      <w:bookmarkStart w:id="43" w:name="_Ref69726347"/>
      <w:r w:rsidRPr="00CE28E3">
        <w:t>Table</w:t>
      </w:r>
      <w:r w:rsidR="003571C2">
        <w:t> </w:t>
      </w:r>
      <w:r w:rsidR="005915FD">
        <w:fldChar w:fldCharType="begin"/>
      </w:r>
      <w:r w:rsidR="005915FD">
        <w:instrText xml:space="preserve"> SEQ Table \* ARABIC </w:instrText>
      </w:r>
      <w:r w:rsidR="005915FD">
        <w:fldChar w:fldCharType="separate"/>
      </w:r>
      <w:r w:rsidR="00835345">
        <w:rPr>
          <w:noProof/>
        </w:rPr>
        <w:t>10</w:t>
      </w:r>
      <w:r w:rsidR="005915FD">
        <w:rPr>
          <w:noProof/>
        </w:rPr>
        <w:fldChar w:fldCharType="end"/>
      </w:r>
      <w:bookmarkEnd w:id="43"/>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29"/>
        <w:gridCol w:w="1417"/>
        <w:gridCol w:w="1560"/>
        <w:gridCol w:w="4910"/>
      </w:tblGrid>
      <w:tr w:rsidR="008B5B67" w:rsidRPr="00CE28E3" w14:paraId="69171B90" w14:textId="77777777" w:rsidTr="00B9036F">
        <w:trPr>
          <w:cantSplit/>
          <w:trHeight w:val="420"/>
          <w:tblHeader/>
        </w:trPr>
        <w:tc>
          <w:tcPr>
            <w:tcW w:w="626" w:type="pct"/>
            <w:shd w:val="clear" w:color="auto" w:fill="D9D9D9" w:themeFill="background1" w:themeFillShade="D9"/>
            <w:vAlign w:val="center"/>
          </w:tcPr>
          <w:p w14:paraId="202CD84C" w14:textId="77777777" w:rsidR="008B5B67" w:rsidRPr="00CE28E3" w:rsidRDefault="008B5B67" w:rsidP="00CC7A88">
            <w:pPr>
              <w:pStyle w:val="In-tableHeading"/>
              <w:keepLines/>
            </w:pPr>
            <w:bookmarkStart w:id="44" w:name="Title_Table11" w:colFirst="0" w:colLast="0"/>
            <w:bookmarkStart w:id="45" w:name="_Hlk68276702"/>
            <w:r w:rsidRPr="00CE28E3">
              <w:t>Analyses</w:t>
            </w:r>
          </w:p>
        </w:tc>
        <w:tc>
          <w:tcPr>
            <w:tcW w:w="786" w:type="pct"/>
            <w:shd w:val="clear" w:color="auto" w:fill="D9D9D9" w:themeFill="background1" w:themeFillShade="D9"/>
            <w:vAlign w:val="center"/>
          </w:tcPr>
          <w:p w14:paraId="7372A868" w14:textId="77777777" w:rsidR="008B5B67" w:rsidRPr="00CE28E3" w:rsidRDefault="008B5B67" w:rsidP="00CC7A88">
            <w:pPr>
              <w:pStyle w:val="In-tableHeading"/>
              <w:keepLines/>
              <w:jc w:val="center"/>
            </w:pPr>
            <w:r w:rsidRPr="00CE28E3">
              <w:t>Incremental cost</w:t>
            </w:r>
          </w:p>
        </w:tc>
        <w:tc>
          <w:tcPr>
            <w:tcW w:w="865" w:type="pct"/>
            <w:shd w:val="clear" w:color="auto" w:fill="D9D9D9" w:themeFill="background1" w:themeFillShade="D9"/>
            <w:vAlign w:val="center"/>
          </w:tcPr>
          <w:p w14:paraId="10B3A4F5" w14:textId="77777777" w:rsidR="008B5B67" w:rsidRPr="00CE28E3" w:rsidRDefault="008B5B67" w:rsidP="00CC7A88">
            <w:pPr>
              <w:pStyle w:val="In-tableHeading"/>
              <w:keepLines/>
              <w:jc w:val="center"/>
            </w:pPr>
            <w:r w:rsidRPr="00CE28E3">
              <w:t>Incremental QALY</w:t>
            </w:r>
          </w:p>
        </w:tc>
        <w:tc>
          <w:tcPr>
            <w:tcW w:w="2723" w:type="pct"/>
            <w:shd w:val="clear" w:color="auto" w:fill="D9D9D9" w:themeFill="background1" w:themeFillShade="D9"/>
            <w:vAlign w:val="center"/>
          </w:tcPr>
          <w:p w14:paraId="56CBF231" w14:textId="77777777" w:rsidR="008B5B67" w:rsidRPr="00CE28E3" w:rsidRDefault="008B5B67" w:rsidP="00CC7A88">
            <w:pPr>
              <w:pStyle w:val="In-tableHeading"/>
              <w:keepLines/>
              <w:jc w:val="center"/>
            </w:pPr>
            <w:r w:rsidRPr="00CE28E3">
              <w:t>ICER</w:t>
            </w:r>
          </w:p>
        </w:tc>
      </w:tr>
      <w:bookmarkEnd w:id="44"/>
      <w:tr w:rsidR="008B5B67" w:rsidRPr="00CE28E3" w14:paraId="451EB8ED" w14:textId="77777777" w:rsidTr="00B9036F">
        <w:trPr>
          <w:cantSplit/>
        </w:trPr>
        <w:tc>
          <w:tcPr>
            <w:tcW w:w="626" w:type="pct"/>
          </w:tcPr>
          <w:p w14:paraId="36895461" w14:textId="77777777" w:rsidR="008B5B67" w:rsidRPr="00CE28E3" w:rsidRDefault="008B5B67" w:rsidP="00CC7A88">
            <w:pPr>
              <w:pStyle w:val="TableText"/>
              <w:keepNext/>
              <w:keepLines/>
            </w:pPr>
            <w:r w:rsidRPr="00CE28E3">
              <w:t>Base case</w:t>
            </w:r>
          </w:p>
        </w:tc>
        <w:tc>
          <w:tcPr>
            <w:tcW w:w="786" w:type="pct"/>
          </w:tcPr>
          <w:p w14:paraId="4D76EAC0" w14:textId="15E4BCE0" w:rsidR="008B5B67" w:rsidRPr="00D23AAA" w:rsidRDefault="00156DF7" w:rsidP="00CC7A88">
            <w:pPr>
              <w:pStyle w:val="TableText"/>
              <w:keepNext/>
              <w:keepLines/>
              <w:rPr>
                <w:rFonts w:eastAsiaTheme="minorEastAsia"/>
                <w:lang w:eastAsia="zh-CN"/>
              </w:rPr>
            </w:pPr>
            <w:r w:rsidRPr="00E6785D">
              <w:rPr>
                <w:rFonts w:hint="eastAsia"/>
              </w:rPr>
              <w:t>-$</w:t>
            </w:r>
            <w:r w:rsidRPr="00E6785D">
              <w:t>5</w:t>
            </w:r>
            <w:r w:rsidR="00484A95">
              <w:rPr>
                <w:rFonts w:eastAsiaTheme="minorEastAsia" w:hint="eastAsia"/>
                <w:lang w:eastAsia="zh-CN"/>
              </w:rPr>
              <w:t>35</w:t>
            </w:r>
            <w:r w:rsidRPr="00E6785D">
              <w:t>.</w:t>
            </w:r>
            <w:r w:rsidR="00484A95">
              <w:rPr>
                <w:rFonts w:eastAsiaTheme="minorEastAsia" w:hint="eastAsia"/>
                <w:lang w:eastAsia="zh-CN"/>
              </w:rPr>
              <w:t>81</w:t>
            </w:r>
          </w:p>
        </w:tc>
        <w:tc>
          <w:tcPr>
            <w:tcW w:w="865" w:type="pct"/>
          </w:tcPr>
          <w:p w14:paraId="66189599" w14:textId="1EA1D7F8" w:rsidR="008B5B67" w:rsidRPr="00CE28E3" w:rsidRDefault="00156DF7" w:rsidP="00CC7A88">
            <w:pPr>
              <w:pStyle w:val="TableText"/>
              <w:keepNext/>
              <w:keepLines/>
            </w:pPr>
            <w:r w:rsidRPr="00E6785D">
              <w:t>0.001</w:t>
            </w:r>
            <w:r w:rsidRPr="00E6785D">
              <w:rPr>
                <w:rFonts w:hint="eastAsia"/>
              </w:rPr>
              <w:t>4</w:t>
            </w:r>
          </w:p>
        </w:tc>
        <w:tc>
          <w:tcPr>
            <w:tcW w:w="2723" w:type="pct"/>
          </w:tcPr>
          <w:p w14:paraId="58300438" w14:textId="1561A937" w:rsidR="008B5B67" w:rsidRPr="00E6785D" w:rsidRDefault="00CD73DB" w:rsidP="00CC7A88">
            <w:pPr>
              <w:pStyle w:val="TableText"/>
              <w:keepNext/>
              <w:keepLines/>
            </w:pPr>
            <w:r w:rsidRPr="00CD73DB">
              <w:rPr>
                <w:rFonts w:hint="eastAsia"/>
                <w:i/>
              </w:rPr>
              <w:t>DPYD</w:t>
            </w:r>
            <w:r w:rsidR="00156DF7" w:rsidRPr="00E6785D">
              <w:rPr>
                <w:rFonts w:hint="eastAsia"/>
              </w:rPr>
              <w:t xml:space="preserve"> genotyping is a dominant </w:t>
            </w:r>
            <w:r w:rsidR="00156DF7" w:rsidRPr="00E6785D">
              <w:t>strategy</w:t>
            </w:r>
          </w:p>
        </w:tc>
      </w:tr>
      <w:tr w:rsidR="008B5B67" w:rsidRPr="00CE28E3" w14:paraId="654D60EF" w14:textId="77777777" w:rsidTr="00B9036F">
        <w:trPr>
          <w:cantSplit/>
        </w:trPr>
        <w:tc>
          <w:tcPr>
            <w:tcW w:w="5000" w:type="pct"/>
            <w:gridSpan w:val="4"/>
          </w:tcPr>
          <w:p w14:paraId="46A93B1B" w14:textId="1A73B465" w:rsidR="008B5B67" w:rsidRPr="00CE28E3" w:rsidRDefault="00353AD5" w:rsidP="00CC7A88">
            <w:pPr>
              <w:pStyle w:val="TableText"/>
              <w:keepNext/>
              <w:keepLines/>
            </w:pPr>
            <w:r w:rsidRPr="00353AD5">
              <w:t xml:space="preserve">Number of days of hospitalisation for intermediate metabolisers, standard dose </w:t>
            </w:r>
            <w:r w:rsidR="008B5B67" w:rsidRPr="00CE28E3">
              <w:t xml:space="preserve">(base case </w:t>
            </w:r>
            <w:r w:rsidRPr="00E6785D">
              <w:rPr>
                <w:rFonts w:hint="eastAsia"/>
              </w:rPr>
              <w:t>23</w:t>
            </w:r>
            <w:r w:rsidR="008B5B67" w:rsidRPr="00CE28E3">
              <w:t xml:space="preserve"> </w:t>
            </w:r>
            <w:r w:rsidRPr="00E6785D">
              <w:rPr>
                <w:rFonts w:hint="eastAsia"/>
              </w:rPr>
              <w:t>days</w:t>
            </w:r>
            <w:r w:rsidR="009F410A" w:rsidRPr="00E6785D">
              <w:rPr>
                <w:rFonts w:hint="eastAsia"/>
              </w:rPr>
              <w:t xml:space="preserve">; </w:t>
            </w:r>
            <w:r w:rsidR="006F4C23" w:rsidRPr="00E6785D">
              <w:t>±</w:t>
            </w:r>
            <w:r w:rsidR="006F4C23" w:rsidRPr="00E6785D">
              <w:rPr>
                <w:rFonts w:hint="eastAsia"/>
              </w:rPr>
              <w:t>20%</w:t>
            </w:r>
            <w:r w:rsidR="008B5B67" w:rsidRPr="00CE28E3">
              <w:t>)</w:t>
            </w:r>
          </w:p>
        </w:tc>
      </w:tr>
      <w:tr w:rsidR="008B5B67" w:rsidRPr="00CE28E3" w14:paraId="00742E59" w14:textId="77777777" w:rsidTr="00B9036F">
        <w:trPr>
          <w:cantSplit/>
        </w:trPr>
        <w:tc>
          <w:tcPr>
            <w:tcW w:w="626" w:type="pct"/>
          </w:tcPr>
          <w:p w14:paraId="648CA0C4" w14:textId="01F26E63" w:rsidR="008B5B67" w:rsidRPr="00CE28E3" w:rsidRDefault="00682B09" w:rsidP="00CC7A88">
            <w:pPr>
              <w:pStyle w:val="TableText"/>
              <w:keepNext/>
              <w:keepLines/>
            </w:pPr>
            <w:r w:rsidRPr="00E6785D">
              <w:rPr>
                <w:rFonts w:hint="eastAsia"/>
              </w:rPr>
              <w:t>27.6 days</w:t>
            </w:r>
          </w:p>
        </w:tc>
        <w:tc>
          <w:tcPr>
            <w:tcW w:w="786" w:type="pct"/>
          </w:tcPr>
          <w:p w14:paraId="02006748" w14:textId="028B9607" w:rsidR="008B5B67" w:rsidRPr="00E6785D" w:rsidRDefault="00F9593C" w:rsidP="00CC7A88">
            <w:pPr>
              <w:pStyle w:val="TableText"/>
              <w:keepNext/>
              <w:keepLines/>
            </w:pPr>
            <w:r w:rsidRPr="00E6785D">
              <w:rPr>
                <w:rFonts w:hint="eastAsia"/>
              </w:rPr>
              <w:t>-</w:t>
            </w:r>
            <w:r w:rsidR="008B5B67" w:rsidRPr="00E6785D">
              <w:t>$</w:t>
            </w:r>
            <w:r w:rsidR="001D320C">
              <w:t>690</w:t>
            </w:r>
            <w:r w:rsidR="00E119BC">
              <w:t>.88</w:t>
            </w:r>
          </w:p>
        </w:tc>
        <w:tc>
          <w:tcPr>
            <w:tcW w:w="865" w:type="pct"/>
          </w:tcPr>
          <w:p w14:paraId="6486F418" w14:textId="5290E03C" w:rsidR="008B5B67" w:rsidRPr="00E6785D" w:rsidRDefault="0049475A" w:rsidP="00CC7A88">
            <w:pPr>
              <w:pStyle w:val="TableText"/>
              <w:keepNext/>
              <w:keepLines/>
            </w:pPr>
            <w:r w:rsidRPr="00E6785D">
              <w:t>0.001</w:t>
            </w:r>
            <w:r w:rsidRPr="00E6785D">
              <w:rPr>
                <w:rFonts w:hint="eastAsia"/>
              </w:rPr>
              <w:t>4</w:t>
            </w:r>
          </w:p>
        </w:tc>
        <w:tc>
          <w:tcPr>
            <w:tcW w:w="2723" w:type="pct"/>
          </w:tcPr>
          <w:p w14:paraId="284F2CBE" w14:textId="083D54D1" w:rsidR="008B5B67" w:rsidRPr="00E6785D" w:rsidRDefault="00CD73DB" w:rsidP="00CC7A88">
            <w:pPr>
              <w:pStyle w:val="TableText"/>
              <w:keepNext/>
              <w:keepLines/>
            </w:pPr>
            <w:r w:rsidRPr="00CD73DB">
              <w:rPr>
                <w:rFonts w:hint="eastAsia"/>
                <w:i/>
              </w:rPr>
              <w:t>DPYD</w:t>
            </w:r>
            <w:r w:rsidR="00C65CCA" w:rsidRPr="00E6785D">
              <w:rPr>
                <w:rFonts w:hint="eastAsia"/>
              </w:rPr>
              <w:t xml:space="preserve"> genotyping is a dominant </w:t>
            </w:r>
            <w:r w:rsidR="00C65CCA" w:rsidRPr="00E6785D">
              <w:t>strategy</w:t>
            </w:r>
            <w:r w:rsidR="00B245E1" w:rsidRPr="00E6785D">
              <w:rPr>
                <w:rFonts w:hint="eastAsia"/>
              </w:rPr>
              <w:t xml:space="preserve">, </w:t>
            </w:r>
            <w:r w:rsidR="008F1FF9">
              <w:t>with a greater absolute value of incremental cost</w:t>
            </w:r>
            <w:r w:rsidR="003D197D" w:rsidRPr="00E6785D">
              <w:rPr>
                <w:rFonts w:hint="eastAsia"/>
              </w:rPr>
              <w:t xml:space="preserve"> compared to base case</w:t>
            </w:r>
            <w:r w:rsidR="008F1FF9">
              <w:t xml:space="preserve"> analysis</w:t>
            </w:r>
          </w:p>
        </w:tc>
      </w:tr>
      <w:tr w:rsidR="008B5B67" w:rsidRPr="00CE28E3" w14:paraId="4520D3D7" w14:textId="77777777" w:rsidTr="00B9036F">
        <w:trPr>
          <w:cantSplit/>
          <w:trHeight w:val="283"/>
        </w:trPr>
        <w:tc>
          <w:tcPr>
            <w:tcW w:w="626" w:type="pct"/>
          </w:tcPr>
          <w:p w14:paraId="0422BE17" w14:textId="426DD7BB" w:rsidR="008B5B67" w:rsidRPr="00E6785D" w:rsidRDefault="009F410A" w:rsidP="00CC7A88">
            <w:pPr>
              <w:pStyle w:val="TableText"/>
              <w:keepNext/>
              <w:keepLines/>
            </w:pPr>
            <w:r w:rsidRPr="00E6785D">
              <w:rPr>
                <w:rFonts w:hint="eastAsia"/>
              </w:rPr>
              <w:t>18.4</w:t>
            </w:r>
            <w:r w:rsidR="008B5B67" w:rsidRPr="00CE28E3">
              <w:t xml:space="preserve"> </w:t>
            </w:r>
            <w:r w:rsidRPr="00E6785D">
              <w:rPr>
                <w:rFonts w:hint="eastAsia"/>
              </w:rPr>
              <w:t>days</w:t>
            </w:r>
          </w:p>
        </w:tc>
        <w:tc>
          <w:tcPr>
            <w:tcW w:w="786" w:type="pct"/>
          </w:tcPr>
          <w:p w14:paraId="43E31CD9" w14:textId="553B0C13" w:rsidR="008B5B67" w:rsidRPr="00E6785D" w:rsidRDefault="001E7DDB" w:rsidP="00CC7A88">
            <w:pPr>
              <w:pStyle w:val="TableText"/>
              <w:keepNext/>
              <w:keepLines/>
            </w:pPr>
            <w:r w:rsidRPr="00E6785D">
              <w:rPr>
                <w:rFonts w:hint="eastAsia"/>
              </w:rPr>
              <w:t>-</w:t>
            </w:r>
            <w:r w:rsidR="008B5B67" w:rsidRPr="00CE28E3">
              <w:t>$</w:t>
            </w:r>
            <w:r w:rsidR="003B7716">
              <w:t>390.13</w:t>
            </w:r>
          </w:p>
        </w:tc>
        <w:tc>
          <w:tcPr>
            <w:tcW w:w="865" w:type="pct"/>
          </w:tcPr>
          <w:p w14:paraId="7AD68169" w14:textId="5B2DE67B" w:rsidR="008B5B67" w:rsidRPr="00CE28E3" w:rsidRDefault="001E7DDB" w:rsidP="00CC7A88">
            <w:pPr>
              <w:pStyle w:val="TableText"/>
              <w:keepNext/>
              <w:keepLines/>
            </w:pPr>
            <w:r w:rsidRPr="00E6785D">
              <w:t>0.001</w:t>
            </w:r>
            <w:r w:rsidRPr="00E6785D">
              <w:rPr>
                <w:rFonts w:hint="eastAsia"/>
              </w:rPr>
              <w:t>4</w:t>
            </w:r>
          </w:p>
        </w:tc>
        <w:tc>
          <w:tcPr>
            <w:tcW w:w="2723" w:type="pct"/>
          </w:tcPr>
          <w:p w14:paraId="122F8C2A" w14:textId="6F227928" w:rsidR="008B5B67" w:rsidRPr="00E6785D" w:rsidRDefault="00CD73DB" w:rsidP="00CC7A88">
            <w:pPr>
              <w:pStyle w:val="TableText"/>
              <w:keepNext/>
              <w:keepLines/>
            </w:pPr>
            <w:r w:rsidRPr="00CD73DB">
              <w:rPr>
                <w:rFonts w:hint="eastAsia"/>
                <w:i/>
              </w:rPr>
              <w:t>DPYD</w:t>
            </w:r>
            <w:r w:rsidR="001E7DDB" w:rsidRPr="00E6785D">
              <w:rPr>
                <w:rFonts w:hint="eastAsia"/>
              </w:rPr>
              <w:t xml:space="preserve"> genotyping is a dominant </w:t>
            </w:r>
            <w:r w:rsidR="001E7DDB" w:rsidRPr="00E6785D">
              <w:t>strategy</w:t>
            </w:r>
            <w:r w:rsidR="001E7DDB" w:rsidRPr="00E6785D">
              <w:rPr>
                <w:rFonts w:hint="eastAsia"/>
              </w:rPr>
              <w:t xml:space="preserve">, </w:t>
            </w:r>
            <w:r w:rsidR="003B7716">
              <w:t>with a smaller absolute value of incremental cost</w:t>
            </w:r>
            <w:r w:rsidR="001E7DDB" w:rsidRPr="00E6785D">
              <w:rPr>
                <w:rFonts w:hint="eastAsia"/>
              </w:rPr>
              <w:t xml:space="preserve"> compared to base case</w:t>
            </w:r>
            <w:r w:rsidR="003B7716">
              <w:t xml:space="preserve"> analysis</w:t>
            </w:r>
          </w:p>
        </w:tc>
      </w:tr>
    </w:tbl>
    <w:p w14:paraId="1449AA11" w14:textId="3AD3B6F7" w:rsidR="008B5B67" w:rsidRPr="00CE28E3" w:rsidRDefault="00CD73DB" w:rsidP="00CC7A88">
      <w:pPr>
        <w:pStyle w:val="TableFigureFooter"/>
        <w:keepNext/>
        <w:keepLines/>
        <w:rPr>
          <w:rFonts w:eastAsia="Calibri"/>
        </w:rPr>
      </w:pPr>
      <w:bookmarkStart w:id="46" w:name="_Hlk68276759"/>
      <w:bookmarkEnd w:id="45"/>
      <w:r w:rsidRPr="00CD73DB">
        <w:rPr>
          <w:i/>
        </w:rPr>
        <w:t>DPYD</w:t>
      </w:r>
      <w:r w:rsidR="00E6785D">
        <w:t>=</w:t>
      </w:r>
      <w:proofErr w:type="spellStart"/>
      <w:r w:rsidR="00E6785D" w:rsidRPr="00D23AAA">
        <w:rPr>
          <w:i/>
        </w:rPr>
        <w:t>Dihydropyrimidine</w:t>
      </w:r>
      <w:proofErr w:type="spellEnd"/>
      <w:r w:rsidR="00E6785D" w:rsidRPr="00D23AAA">
        <w:rPr>
          <w:i/>
        </w:rPr>
        <w:t xml:space="preserve"> dehydrogenase</w:t>
      </w:r>
      <w:r w:rsidR="00E6785D" w:rsidRPr="005E4491">
        <w:t xml:space="preserve"> gene</w:t>
      </w:r>
      <w:r w:rsidR="00E6785D">
        <w:t xml:space="preserve">; </w:t>
      </w:r>
      <w:r w:rsidR="0045093D" w:rsidRPr="0045093D">
        <w:rPr>
          <w:rFonts w:eastAsia="Calibri"/>
        </w:rPr>
        <w:t>ICER=</w:t>
      </w:r>
      <w:r w:rsidR="00E6785D">
        <w:rPr>
          <w:rFonts w:eastAsia="Calibri"/>
        </w:rPr>
        <w:t>I</w:t>
      </w:r>
      <w:r w:rsidR="0045093D" w:rsidRPr="0045093D">
        <w:rPr>
          <w:rFonts w:eastAsia="Calibri"/>
        </w:rPr>
        <w:t xml:space="preserve">ncremental cost-effectiveness ratio; </w:t>
      </w:r>
      <w:r w:rsidR="008B5B67" w:rsidRPr="00CE28E3">
        <w:rPr>
          <w:rFonts w:eastAsia="Calibri"/>
        </w:rPr>
        <w:t>QALY=quality adjusted life year.</w:t>
      </w:r>
      <w:r w:rsidR="0045093D">
        <w:rPr>
          <w:rFonts w:eastAsia="Calibri"/>
        </w:rPr>
        <w:t xml:space="preserve"> </w:t>
      </w:r>
    </w:p>
    <w:p w14:paraId="25AE2BAC" w14:textId="1ED22B35" w:rsidR="00772829" w:rsidRPr="00CE28E3" w:rsidRDefault="00C36633" w:rsidP="00FF160D">
      <w:pPr>
        <w:pStyle w:val="Heading2"/>
      </w:pPr>
      <w:bookmarkStart w:id="47" w:name="_Toc175815810"/>
      <w:bookmarkEnd w:id="46"/>
      <w:r>
        <w:t>1</w:t>
      </w:r>
      <w:r w:rsidR="00476193">
        <w:t>4</w:t>
      </w:r>
      <w:r>
        <w:t>.</w:t>
      </w:r>
      <w:r>
        <w:tab/>
      </w:r>
      <w:r w:rsidR="00772829">
        <w:t>Financial/budgetary impacts</w:t>
      </w:r>
      <w:bookmarkEnd w:id="47"/>
    </w:p>
    <w:p w14:paraId="39D8C805" w14:textId="571B93CE" w:rsidR="00FF4BE1" w:rsidRDefault="00813AF9" w:rsidP="00D612EF">
      <w:r w:rsidRPr="00813AF9">
        <w:t xml:space="preserve">An incidence-based epidemiological approach was used to estimate the financial implications of the introduction of </w:t>
      </w:r>
      <w:r w:rsidR="00CD73DB" w:rsidRPr="00CD73DB">
        <w:rPr>
          <w:i/>
        </w:rPr>
        <w:t>DPYD</w:t>
      </w:r>
      <w:r w:rsidRPr="00813AF9">
        <w:t xml:space="preserve"> genotyping</w:t>
      </w:r>
      <w:r>
        <w:t>.</w:t>
      </w:r>
      <w:r w:rsidR="00B35AFD">
        <w:t xml:space="preserve"> </w:t>
      </w:r>
      <w:r w:rsidR="00FF4BE1" w:rsidRPr="00617F67">
        <w:t xml:space="preserve">Information on data sources and their application in the budget impact assessment </w:t>
      </w:r>
      <w:r w:rsidR="00FF4BE1" w:rsidRPr="008826F8">
        <w:t>are provided in</w:t>
      </w:r>
      <w:r w:rsidR="00FF4BE1">
        <w:t xml:space="preserve"> </w:t>
      </w:r>
      <w:r w:rsidR="00FF4BE1">
        <w:fldChar w:fldCharType="begin"/>
      </w:r>
      <w:r w:rsidR="00FF4BE1">
        <w:instrText xml:space="preserve"> REF _Ref172298923 \h </w:instrText>
      </w:r>
      <w:r w:rsidR="00FF4BE1">
        <w:fldChar w:fldCharType="separate"/>
      </w:r>
      <w:r w:rsidR="00835345">
        <w:t xml:space="preserve">Table </w:t>
      </w:r>
      <w:r w:rsidR="00835345">
        <w:rPr>
          <w:noProof/>
        </w:rPr>
        <w:t>11</w:t>
      </w:r>
      <w:r w:rsidR="00FF4BE1">
        <w:fldChar w:fldCharType="end"/>
      </w:r>
      <w:r w:rsidR="00FF4BE1">
        <w:t>.</w:t>
      </w:r>
    </w:p>
    <w:p w14:paraId="37EB7CD9" w14:textId="3B054D87" w:rsidR="00FF4BE1" w:rsidRDefault="00FF4BE1" w:rsidP="00AD703B">
      <w:pPr>
        <w:pStyle w:val="Caption"/>
        <w:spacing w:after="0"/>
      </w:pPr>
      <w:bookmarkStart w:id="48" w:name="_Ref172298923"/>
      <w:r>
        <w:lastRenderedPageBreak/>
        <w:t xml:space="preserve">Table </w:t>
      </w:r>
      <w:r>
        <w:fldChar w:fldCharType="begin"/>
      </w:r>
      <w:r>
        <w:instrText xml:space="preserve"> SEQ Table \* ARABIC </w:instrText>
      </w:r>
      <w:r>
        <w:fldChar w:fldCharType="separate"/>
      </w:r>
      <w:r w:rsidR="00835345">
        <w:rPr>
          <w:noProof/>
        </w:rPr>
        <w:t>11</w:t>
      </w:r>
      <w:r>
        <w:fldChar w:fldCharType="end"/>
      </w:r>
      <w:bookmarkEnd w:id="48"/>
      <w:r>
        <w:t xml:space="preserve"> </w:t>
      </w:r>
      <w:r w:rsidRPr="00B955E5">
        <w:t>Data sources and parameter values applied in the utilisation and financial estimates.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F4BE1" w:rsidRPr="00FF4BE1" w14:paraId="55CDAA3F" w14:textId="77777777" w:rsidTr="005343D7">
        <w:tc>
          <w:tcPr>
            <w:tcW w:w="3823" w:type="dxa"/>
            <w:shd w:val="clear" w:color="auto" w:fill="D9D9D9" w:themeFill="background1" w:themeFillShade="D9"/>
          </w:tcPr>
          <w:p w14:paraId="183F15A6" w14:textId="77777777" w:rsidR="00FF4BE1" w:rsidRPr="00FF4BE1" w:rsidRDefault="00FF4BE1" w:rsidP="00AD703B">
            <w:pPr>
              <w:pStyle w:val="TableHeading"/>
              <w:spacing w:before="0" w:after="0"/>
              <w:rPr>
                <w:szCs w:val="20"/>
              </w:rPr>
            </w:pPr>
            <w:r w:rsidRPr="00FF4BE1">
              <w:rPr>
                <w:szCs w:val="20"/>
              </w:rPr>
              <w:t>Data source</w:t>
            </w:r>
          </w:p>
        </w:tc>
        <w:tc>
          <w:tcPr>
            <w:tcW w:w="5670" w:type="dxa"/>
            <w:shd w:val="clear" w:color="auto" w:fill="D9D9D9" w:themeFill="background1" w:themeFillShade="D9"/>
          </w:tcPr>
          <w:p w14:paraId="472E49AF" w14:textId="77777777" w:rsidR="00FF4BE1" w:rsidRPr="00FF4BE1" w:rsidRDefault="00FF4BE1" w:rsidP="00AD703B">
            <w:pPr>
              <w:pStyle w:val="TableHeading"/>
              <w:spacing w:before="0" w:after="0"/>
              <w:rPr>
                <w:szCs w:val="20"/>
              </w:rPr>
            </w:pPr>
            <w:r w:rsidRPr="00FF4BE1">
              <w:rPr>
                <w:szCs w:val="20"/>
              </w:rPr>
              <w:t>Justification</w:t>
            </w:r>
          </w:p>
        </w:tc>
      </w:tr>
      <w:tr w:rsidR="00FF4BE1" w:rsidRPr="00FF4BE1" w14:paraId="19BE1ADF" w14:textId="77777777" w:rsidTr="005343D7">
        <w:tc>
          <w:tcPr>
            <w:tcW w:w="3823" w:type="dxa"/>
          </w:tcPr>
          <w:p w14:paraId="4E090D66" w14:textId="58021ACE" w:rsidR="00FF4BE1" w:rsidRPr="00FF4BE1" w:rsidRDefault="00FF4BE1" w:rsidP="00AD703B">
            <w:pPr>
              <w:pStyle w:val="TableText"/>
              <w:rPr>
                <w:szCs w:val="20"/>
              </w:rPr>
            </w:pPr>
            <w:r w:rsidRPr="00FF4BE1">
              <w:rPr>
                <w:szCs w:val="20"/>
              </w:rPr>
              <w:t>Cancer Data in Australia 2022 – Book 8 – Cancer incidence and survival by stage</w:t>
            </w:r>
            <w:r w:rsidR="00256A00">
              <w:rPr>
                <w:szCs w:val="20"/>
              </w:rPr>
              <w:fldChar w:fldCharType="begin"/>
            </w:r>
            <w:r w:rsidR="00256A00">
              <w:rPr>
                <w:szCs w:val="20"/>
              </w:rPr>
              <w:instrText xml:space="preserve"> NOTEREF _Ref174454733 \f \h </w:instrText>
            </w:r>
            <w:r w:rsidR="00256A00">
              <w:rPr>
                <w:szCs w:val="20"/>
              </w:rPr>
            </w:r>
            <w:r w:rsidR="00256A00">
              <w:rPr>
                <w:szCs w:val="20"/>
              </w:rPr>
              <w:fldChar w:fldCharType="separate"/>
            </w:r>
            <w:r w:rsidR="00306F34" w:rsidRPr="002C5FB1">
              <w:rPr>
                <w:rStyle w:val="FootnoteReference"/>
              </w:rPr>
              <w:t>22</w:t>
            </w:r>
            <w:r w:rsidR="00256A00">
              <w:rPr>
                <w:szCs w:val="20"/>
              </w:rPr>
              <w:fldChar w:fldCharType="end"/>
            </w:r>
          </w:p>
          <w:p w14:paraId="4A9495EE" w14:textId="104485A1" w:rsidR="00FF4BE1" w:rsidRPr="00FF4BE1" w:rsidRDefault="00FF4BE1" w:rsidP="00AD703B">
            <w:pPr>
              <w:pStyle w:val="Default"/>
              <w:rPr>
                <w:rFonts w:ascii="Arial Narrow" w:hAnsi="Arial Narrow"/>
                <w:sz w:val="20"/>
                <w:szCs w:val="20"/>
              </w:rPr>
            </w:pPr>
            <w:r w:rsidRPr="00FF4BE1">
              <w:rPr>
                <w:rFonts w:ascii="Arial Narrow" w:hAnsi="Arial Narrow"/>
                <w:sz w:val="20"/>
                <w:szCs w:val="20"/>
              </w:rPr>
              <w:t xml:space="preserve"> </w:t>
            </w:r>
          </w:p>
        </w:tc>
        <w:tc>
          <w:tcPr>
            <w:tcW w:w="5670" w:type="dxa"/>
          </w:tcPr>
          <w:p w14:paraId="41489D0F" w14:textId="2BA9762F" w:rsidR="00FF4BE1" w:rsidRPr="00FF4BE1" w:rsidRDefault="00FF4BE1" w:rsidP="00AD703B">
            <w:pPr>
              <w:pStyle w:val="TableText"/>
              <w:rPr>
                <w:szCs w:val="20"/>
              </w:rPr>
            </w:pPr>
            <w:r w:rsidRPr="00FF4BE1">
              <w:rPr>
                <w:szCs w:val="20"/>
              </w:rPr>
              <w:t>Projected counts of incident cases are required as genotyping is performed prior to commencement of FP-based treatment. The type and stage at diagnosis are important as the proportion of patients who receive FP-based treatment varies significantly across these cancer characteristics. For example, chemotherapy of any type is not indicated for patients with stage I colorectal carcinoma whereas FPs are the backbone of locally advanced and metastatic CRC (high risk stage II and beyond). Values for estimated numbers of eligible patients are presented in Table 51</w:t>
            </w:r>
          </w:p>
        </w:tc>
      </w:tr>
      <w:tr w:rsidR="00FF4BE1" w:rsidRPr="00FF4BE1" w14:paraId="6C502BC6" w14:textId="77777777" w:rsidTr="005343D7">
        <w:tc>
          <w:tcPr>
            <w:tcW w:w="3823" w:type="dxa"/>
          </w:tcPr>
          <w:p w14:paraId="2D19AF5C" w14:textId="2E7AF9BA" w:rsidR="00FF4BE1" w:rsidRPr="00FF4BE1" w:rsidRDefault="00FF4BE1" w:rsidP="00AD703B">
            <w:pPr>
              <w:pStyle w:val="TableText"/>
              <w:rPr>
                <w:szCs w:val="20"/>
              </w:rPr>
            </w:pPr>
            <w:r w:rsidRPr="00FF4BE1">
              <w:rPr>
                <w:szCs w:val="20"/>
              </w:rPr>
              <w:t>Expert opinion ratified PICO for 1760</w:t>
            </w:r>
          </w:p>
          <w:p w14:paraId="4D6927CD" w14:textId="77777777" w:rsidR="00FF4BE1" w:rsidRPr="00FF4BE1" w:rsidRDefault="00FF4BE1" w:rsidP="00AD703B">
            <w:pPr>
              <w:pStyle w:val="TableText"/>
              <w:rPr>
                <w:szCs w:val="20"/>
              </w:rPr>
            </w:pPr>
          </w:p>
        </w:tc>
        <w:tc>
          <w:tcPr>
            <w:tcW w:w="5670" w:type="dxa"/>
          </w:tcPr>
          <w:p w14:paraId="5628B2F8" w14:textId="75A747E2" w:rsidR="00FF4BE1" w:rsidRPr="00FF4BE1" w:rsidRDefault="00FF4BE1" w:rsidP="00AD703B">
            <w:pPr>
              <w:pStyle w:val="TableText"/>
              <w:rPr>
                <w:szCs w:val="20"/>
              </w:rPr>
            </w:pPr>
            <w:r w:rsidRPr="260B5C12">
              <w:t>Estimates of stage at diagnosis. The applicant reported that the proportions of incidents cancer patients at each stage at diagnosis were based on expert opinion. No information about the collection and collation of these opinions was reported. During assessment summation of incident cases of each cancer type by stage using data from Cancer in Australia confirmed these estimates were close to proportions obtained from the most recent collection of observed cases reported by stage at diagnosis (Table S8.1: Incidence of selected cancers diagnosed in 2011, by sex, age group and RD-stage)</w:t>
            </w:r>
            <w:bookmarkStart w:id="49" w:name="_Ref174454733"/>
            <w:r w:rsidR="00331F0F" w:rsidRPr="260B5C12">
              <w:rPr>
                <w:rStyle w:val="FootnoteReference"/>
              </w:rPr>
              <w:footnoteReference w:id="28"/>
            </w:r>
            <w:bookmarkEnd w:id="49"/>
            <w:r w:rsidR="00311153">
              <w:rPr>
                <w:szCs w:val="20"/>
              </w:rPr>
              <w:t xml:space="preserve"> </w:t>
            </w:r>
          </w:p>
          <w:p w14:paraId="7266C994" w14:textId="0C76464A" w:rsidR="00FF4BE1" w:rsidRPr="00FF4BE1" w:rsidRDefault="00FF4BE1" w:rsidP="00AD703B">
            <w:pPr>
              <w:pStyle w:val="TableText"/>
              <w:rPr>
                <w:szCs w:val="20"/>
              </w:rPr>
            </w:pPr>
            <w:r w:rsidRPr="00FF4BE1">
              <w:rPr>
                <w:szCs w:val="20"/>
              </w:rPr>
              <w:t xml:space="preserve">Estimates of the proportion of incident cancer patients likely to receive FP-based chemotherapy. These estimates are based on expert opinion. No information about the methods of collecting and collating these opinions was provided. </w:t>
            </w:r>
            <w:r w:rsidR="00920A4A">
              <w:rPr>
                <w:szCs w:val="20"/>
              </w:rPr>
              <w:t xml:space="preserve">A scoping review of the literature </w:t>
            </w:r>
            <w:r w:rsidR="00E77D39">
              <w:rPr>
                <w:szCs w:val="20"/>
              </w:rPr>
              <w:t xml:space="preserve">confirmed that these </w:t>
            </w:r>
            <w:r w:rsidR="00B40DA3">
              <w:rPr>
                <w:szCs w:val="20"/>
              </w:rPr>
              <w:t>proportions</w:t>
            </w:r>
            <w:r w:rsidR="00E77D39">
              <w:rPr>
                <w:szCs w:val="20"/>
              </w:rPr>
              <w:t xml:space="preserve"> </w:t>
            </w:r>
            <w:r w:rsidR="00DD7FA4">
              <w:rPr>
                <w:szCs w:val="20"/>
              </w:rPr>
              <w:t xml:space="preserve">are </w:t>
            </w:r>
            <w:r w:rsidR="007C72B1">
              <w:rPr>
                <w:szCs w:val="20"/>
              </w:rPr>
              <w:t xml:space="preserve">comparable to current clinical practice </w:t>
            </w:r>
            <w:r w:rsidR="0013039B">
              <w:rPr>
                <w:szCs w:val="20"/>
              </w:rPr>
              <w:t>in Australia</w:t>
            </w:r>
            <w:r w:rsidR="00AF7F1D">
              <w:rPr>
                <w:szCs w:val="20"/>
              </w:rPr>
              <w:t xml:space="preserve">. However, due to the paucity of </w:t>
            </w:r>
            <w:r w:rsidR="00B40DA3">
              <w:rPr>
                <w:szCs w:val="20"/>
              </w:rPr>
              <w:t>Australian studies</w:t>
            </w:r>
            <w:r w:rsidR="00710185">
              <w:rPr>
                <w:szCs w:val="20"/>
              </w:rPr>
              <w:t xml:space="preserve"> for certain cancers,</w:t>
            </w:r>
            <w:r w:rsidR="008742B1">
              <w:rPr>
                <w:szCs w:val="20"/>
              </w:rPr>
              <w:t xml:space="preserve"> international </w:t>
            </w:r>
            <w:r w:rsidR="00182C2B">
              <w:rPr>
                <w:szCs w:val="20"/>
              </w:rPr>
              <w:t xml:space="preserve">studies </w:t>
            </w:r>
            <w:r w:rsidR="008742B1">
              <w:rPr>
                <w:szCs w:val="20"/>
              </w:rPr>
              <w:t>were</w:t>
            </w:r>
            <w:r w:rsidR="005336E2">
              <w:rPr>
                <w:szCs w:val="20"/>
              </w:rPr>
              <w:t xml:space="preserve"> required to supplant data </w:t>
            </w:r>
            <w:r w:rsidR="00454B1B">
              <w:rPr>
                <w:szCs w:val="20"/>
              </w:rPr>
              <w:t xml:space="preserve">about treatment in the Australian context. </w:t>
            </w:r>
            <w:r w:rsidR="00955D16">
              <w:rPr>
                <w:szCs w:val="20"/>
              </w:rPr>
              <w:t xml:space="preserve">Whilst these estimates are </w:t>
            </w:r>
            <w:r w:rsidR="00200957">
              <w:rPr>
                <w:szCs w:val="20"/>
              </w:rPr>
              <w:t xml:space="preserve">reasonably representative of practice in Australia and there are </w:t>
            </w:r>
            <w:r w:rsidR="00F27A4D">
              <w:rPr>
                <w:szCs w:val="20"/>
              </w:rPr>
              <w:t xml:space="preserve">widely accepted </w:t>
            </w:r>
            <w:r w:rsidR="00991E7B">
              <w:rPr>
                <w:szCs w:val="20"/>
              </w:rPr>
              <w:t xml:space="preserve">first line regimes for some cancers e.g., metastatic CRC </w:t>
            </w:r>
            <w:r w:rsidR="009C5381">
              <w:rPr>
                <w:szCs w:val="20"/>
              </w:rPr>
              <w:t xml:space="preserve">the treatment of </w:t>
            </w:r>
            <w:r w:rsidR="004A5FD3">
              <w:rPr>
                <w:szCs w:val="20"/>
              </w:rPr>
              <w:t>other cancers continues to change</w:t>
            </w:r>
            <w:r w:rsidR="00A61BAF">
              <w:rPr>
                <w:szCs w:val="20"/>
              </w:rPr>
              <w:t xml:space="preserve"> based on a </w:t>
            </w:r>
            <w:r w:rsidR="00D37911">
              <w:rPr>
                <w:szCs w:val="20"/>
              </w:rPr>
              <w:t xml:space="preserve">constant stream of studies investigating </w:t>
            </w:r>
            <w:r w:rsidR="0071167C">
              <w:rPr>
                <w:szCs w:val="20"/>
              </w:rPr>
              <w:t xml:space="preserve">regimes </w:t>
            </w:r>
            <w:r w:rsidR="006957C1">
              <w:rPr>
                <w:szCs w:val="20"/>
              </w:rPr>
              <w:t xml:space="preserve">that uses </w:t>
            </w:r>
            <w:r w:rsidR="001A6319">
              <w:rPr>
                <w:szCs w:val="20"/>
              </w:rPr>
              <w:t xml:space="preserve">different </w:t>
            </w:r>
            <w:r w:rsidR="006957C1">
              <w:rPr>
                <w:szCs w:val="20"/>
              </w:rPr>
              <w:t xml:space="preserve">FP </w:t>
            </w:r>
            <w:r w:rsidR="001A6319">
              <w:rPr>
                <w:szCs w:val="20"/>
              </w:rPr>
              <w:t>dos</w:t>
            </w:r>
            <w:r w:rsidR="009F6153">
              <w:rPr>
                <w:szCs w:val="20"/>
              </w:rPr>
              <w:t>es</w:t>
            </w:r>
            <w:r w:rsidR="00762543">
              <w:rPr>
                <w:szCs w:val="20"/>
              </w:rPr>
              <w:t xml:space="preserve"> alone or </w:t>
            </w:r>
            <w:r w:rsidR="00B8342D">
              <w:rPr>
                <w:szCs w:val="20"/>
              </w:rPr>
              <w:t xml:space="preserve">in </w:t>
            </w:r>
            <w:r w:rsidR="00105E55">
              <w:rPr>
                <w:szCs w:val="20"/>
              </w:rPr>
              <w:t>combination</w:t>
            </w:r>
            <w:r w:rsidR="0094028F">
              <w:rPr>
                <w:szCs w:val="20"/>
              </w:rPr>
              <w:t xml:space="preserve"> with established </w:t>
            </w:r>
            <w:r w:rsidR="005F362A">
              <w:rPr>
                <w:szCs w:val="20"/>
              </w:rPr>
              <w:t>chemotherapeutic</w:t>
            </w:r>
            <w:r w:rsidR="0094028F">
              <w:rPr>
                <w:szCs w:val="20"/>
              </w:rPr>
              <w:t xml:space="preserve"> agents such cisplatin and </w:t>
            </w:r>
            <w:r w:rsidR="005F362A">
              <w:rPr>
                <w:szCs w:val="20"/>
              </w:rPr>
              <w:t>irinotecan</w:t>
            </w:r>
            <w:r w:rsidR="0094028F">
              <w:rPr>
                <w:szCs w:val="20"/>
              </w:rPr>
              <w:t xml:space="preserve"> </w:t>
            </w:r>
            <w:r w:rsidR="005C3784">
              <w:rPr>
                <w:szCs w:val="20"/>
              </w:rPr>
              <w:t xml:space="preserve">and often </w:t>
            </w:r>
            <w:r w:rsidR="007C4D9F">
              <w:rPr>
                <w:szCs w:val="20"/>
              </w:rPr>
              <w:t xml:space="preserve">newer targeted therapies including </w:t>
            </w:r>
            <w:r w:rsidR="00F9763D">
              <w:rPr>
                <w:szCs w:val="20"/>
              </w:rPr>
              <w:t>anti-angiogenic</w:t>
            </w:r>
            <w:r w:rsidR="00AA23BB">
              <w:rPr>
                <w:szCs w:val="20"/>
              </w:rPr>
              <w:t xml:space="preserve"> agents</w:t>
            </w:r>
            <w:r w:rsidR="00F9763D">
              <w:rPr>
                <w:szCs w:val="20"/>
              </w:rPr>
              <w:t xml:space="preserve">, </w:t>
            </w:r>
            <w:r w:rsidR="006E36F8">
              <w:rPr>
                <w:szCs w:val="20"/>
              </w:rPr>
              <w:t xml:space="preserve">immunotherapeutic </w:t>
            </w:r>
            <w:r w:rsidR="00AA23BB">
              <w:rPr>
                <w:szCs w:val="20"/>
              </w:rPr>
              <w:t xml:space="preserve">agents </w:t>
            </w:r>
            <w:r w:rsidR="00C77F97">
              <w:rPr>
                <w:szCs w:val="20"/>
              </w:rPr>
              <w:t xml:space="preserve">and </w:t>
            </w:r>
            <w:r w:rsidR="00F9763D">
              <w:rPr>
                <w:szCs w:val="20"/>
              </w:rPr>
              <w:t>chec</w:t>
            </w:r>
            <w:r w:rsidR="00C77F97">
              <w:rPr>
                <w:szCs w:val="20"/>
              </w:rPr>
              <w:t>kpoint inhibito</w:t>
            </w:r>
            <w:r w:rsidR="005F362A">
              <w:rPr>
                <w:szCs w:val="20"/>
              </w:rPr>
              <w:t>rs</w:t>
            </w:r>
            <w:r w:rsidR="009A6423">
              <w:rPr>
                <w:szCs w:val="20"/>
              </w:rPr>
              <w:t>. Thus</w:t>
            </w:r>
            <w:r w:rsidR="00C40912">
              <w:rPr>
                <w:szCs w:val="20"/>
              </w:rPr>
              <w:t xml:space="preserve">, </w:t>
            </w:r>
            <w:r w:rsidR="00D563B2">
              <w:rPr>
                <w:szCs w:val="20"/>
              </w:rPr>
              <w:t>there</w:t>
            </w:r>
            <w:r w:rsidR="00B777A8">
              <w:rPr>
                <w:szCs w:val="20"/>
              </w:rPr>
              <w:t xml:space="preserve"> </w:t>
            </w:r>
            <w:r w:rsidR="008C1D22">
              <w:rPr>
                <w:szCs w:val="20"/>
              </w:rPr>
              <w:t xml:space="preserve">are </w:t>
            </w:r>
            <w:r w:rsidR="00B777A8">
              <w:rPr>
                <w:szCs w:val="20"/>
              </w:rPr>
              <w:t xml:space="preserve">variations </w:t>
            </w:r>
            <w:r w:rsidR="003134A1">
              <w:rPr>
                <w:szCs w:val="20"/>
              </w:rPr>
              <w:t>in accepted treatment</w:t>
            </w:r>
            <w:r w:rsidR="00FF184E">
              <w:rPr>
                <w:szCs w:val="20"/>
              </w:rPr>
              <w:t xml:space="preserve">s for some cancers based of factors other than </w:t>
            </w:r>
            <w:r w:rsidR="008B65F5">
              <w:rPr>
                <w:szCs w:val="20"/>
              </w:rPr>
              <w:t>cancer and patient characteristics such as regionality and the preference of each oncologist.</w:t>
            </w:r>
          </w:p>
        </w:tc>
      </w:tr>
      <w:tr w:rsidR="00FF4BE1" w:rsidRPr="00FF4BE1" w14:paraId="2B2B6DC9" w14:textId="77777777" w:rsidTr="005343D7">
        <w:tc>
          <w:tcPr>
            <w:tcW w:w="3823" w:type="dxa"/>
          </w:tcPr>
          <w:p w14:paraId="6FA330BD" w14:textId="348338A1" w:rsidR="00FF4BE1" w:rsidRPr="00FF4BE1" w:rsidRDefault="00FF4BE1" w:rsidP="00AD703B">
            <w:pPr>
              <w:pStyle w:val="TableText"/>
              <w:rPr>
                <w:szCs w:val="20"/>
              </w:rPr>
            </w:pPr>
            <w:r w:rsidRPr="260B5C12">
              <w:t>Requested PBS and RPBS items processed from July 2022 to 2023</w:t>
            </w:r>
            <w:r w:rsidR="00A60313" w:rsidRPr="260B5C12">
              <w:rPr>
                <w:rStyle w:val="FootnoteReference"/>
              </w:rPr>
              <w:footnoteReference w:id="29"/>
            </w:r>
          </w:p>
        </w:tc>
        <w:tc>
          <w:tcPr>
            <w:tcW w:w="5670" w:type="dxa"/>
          </w:tcPr>
          <w:p w14:paraId="6291A9D6" w14:textId="77777777" w:rsidR="00FF4BE1" w:rsidRPr="00FF4BE1" w:rsidRDefault="00FF4BE1" w:rsidP="00AD703B">
            <w:pPr>
              <w:pStyle w:val="TableText"/>
              <w:rPr>
                <w:szCs w:val="20"/>
              </w:rPr>
            </w:pPr>
            <w:r w:rsidRPr="00FF4BE1">
              <w:rPr>
                <w:szCs w:val="20"/>
              </w:rPr>
              <w:t>Proportion of prescriptions dispensed for either capecitabine or 5-FU FP drug costs</w:t>
            </w:r>
          </w:p>
          <w:p w14:paraId="092D553B" w14:textId="77777777" w:rsidR="00FF4BE1" w:rsidRPr="00FF4BE1" w:rsidRDefault="00FF4BE1" w:rsidP="00AD703B">
            <w:pPr>
              <w:pStyle w:val="TableText"/>
              <w:rPr>
                <w:szCs w:val="20"/>
              </w:rPr>
            </w:pPr>
            <w:r w:rsidRPr="00FF4BE1">
              <w:rPr>
                <w:szCs w:val="20"/>
              </w:rPr>
              <w:t>Alternate chemotherapy costs</w:t>
            </w:r>
          </w:p>
        </w:tc>
      </w:tr>
      <w:tr w:rsidR="00FF4BE1" w:rsidRPr="00FF4BE1" w14:paraId="5379AAFB" w14:textId="77777777" w:rsidTr="005343D7">
        <w:tc>
          <w:tcPr>
            <w:tcW w:w="3823" w:type="dxa"/>
            <w:vAlign w:val="center"/>
          </w:tcPr>
          <w:p w14:paraId="4B28805F" w14:textId="03741BD8" w:rsidR="00FF4BE1" w:rsidRPr="00FF4BE1" w:rsidRDefault="00FF4BE1" w:rsidP="00AD703B">
            <w:pPr>
              <w:pStyle w:val="TableText"/>
              <w:rPr>
                <w:szCs w:val="20"/>
              </w:rPr>
            </w:pPr>
            <w:r w:rsidRPr="260B5C12">
              <w:t>Australian refined diagnosis-related groups (AR-DRG) data cubes</w:t>
            </w:r>
            <w:r w:rsidR="00256A00">
              <w:rPr>
                <w:szCs w:val="20"/>
              </w:rPr>
              <w:t xml:space="preserve"> </w:t>
            </w:r>
            <w:r w:rsidR="00720A54" w:rsidRPr="260B5C12">
              <w:rPr>
                <w:rStyle w:val="FootnoteReference"/>
              </w:rPr>
              <w:footnoteReference w:id="30"/>
            </w:r>
          </w:p>
        </w:tc>
        <w:tc>
          <w:tcPr>
            <w:tcW w:w="5670" w:type="dxa"/>
          </w:tcPr>
          <w:p w14:paraId="64D4D198" w14:textId="2F667BC3" w:rsidR="00FF4BE1" w:rsidRPr="00FF4BE1" w:rsidRDefault="00FF4BE1" w:rsidP="00AD703B">
            <w:pPr>
              <w:pStyle w:val="TableText"/>
              <w:rPr>
                <w:szCs w:val="20"/>
              </w:rPr>
            </w:pPr>
            <w:r w:rsidRPr="00FF4BE1">
              <w:rPr>
                <w:szCs w:val="20"/>
              </w:rPr>
              <w:t>Costs associated with severe FP-related toxicities were based on weighted averages of the three severe toxicities identified in Section 2 (GIT, haematological and cardiac)</w:t>
            </w:r>
          </w:p>
        </w:tc>
      </w:tr>
      <w:tr w:rsidR="00FF4BE1" w:rsidRPr="00FF4BE1" w14:paraId="01A7EDAA" w14:textId="77777777" w:rsidTr="005343D7">
        <w:tc>
          <w:tcPr>
            <w:tcW w:w="3823" w:type="dxa"/>
            <w:vAlign w:val="center"/>
          </w:tcPr>
          <w:p w14:paraId="7DA13533" w14:textId="77777777" w:rsidR="00FF4BE1" w:rsidRDefault="00FF4BE1" w:rsidP="00AD703B">
            <w:pPr>
              <w:pStyle w:val="TableText"/>
              <w:rPr>
                <w:szCs w:val="20"/>
              </w:rPr>
            </w:pPr>
            <w:r w:rsidRPr="00FF4BE1">
              <w:rPr>
                <w:szCs w:val="20"/>
              </w:rPr>
              <w:t>Published literature including reports by:</w:t>
            </w:r>
          </w:p>
          <w:p w14:paraId="0BC175AF" w14:textId="2CCA304D" w:rsidR="00FC49CA" w:rsidRDefault="00FC49CA" w:rsidP="00AD703B">
            <w:pPr>
              <w:pStyle w:val="2024TABLETEXT"/>
              <w:rPr>
                <w:vertAlign w:val="superscript"/>
              </w:rPr>
            </w:pPr>
            <w:r w:rsidRPr="00C02058">
              <w:t>Henricks et al. (2018)</w:t>
            </w:r>
            <w:r w:rsidR="00F54276">
              <w:rPr>
                <w:vertAlign w:val="superscript"/>
              </w:rPr>
              <w:t>12</w:t>
            </w:r>
          </w:p>
          <w:p w14:paraId="17CC7CE3" w14:textId="63ABCB7E" w:rsidR="00FC49CA" w:rsidRDefault="00FC49CA" w:rsidP="00AD703B">
            <w:pPr>
              <w:pStyle w:val="2024TABLETEXT"/>
              <w:rPr>
                <w:vertAlign w:val="superscript"/>
              </w:rPr>
            </w:pPr>
            <w:r w:rsidRPr="00C02058">
              <w:t>Lunenburg et al. (2018)</w:t>
            </w:r>
            <w:r w:rsidR="001277C3">
              <w:rPr>
                <w:vertAlign w:val="superscript"/>
              </w:rPr>
              <w:t>8</w:t>
            </w:r>
          </w:p>
          <w:p w14:paraId="1ADFE0CA" w14:textId="50AA9297" w:rsidR="00FC49CA" w:rsidRDefault="00FC49CA" w:rsidP="00AD703B">
            <w:pPr>
              <w:pStyle w:val="2024TABLETEXT"/>
              <w:rPr>
                <w:vertAlign w:val="superscript"/>
                <w:lang w:eastAsia="zh-CN"/>
              </w:rPr>
            </w:pPr>
            <w:r w:rsidRPr="00C02058">
              <w:rPr>
                <w:lang w:eastAsia="zh-CN"/>
              </w:rPr>
              <w:t>Paulsen et al. (2023)</w:t>
            </w:r>
            <w:r w:rsidR="003875F3">
              <w:rPr>
                <w:vertAlign w:val="superscript"/>
                <w:lang w:eastAsia="zh-CN"/>
              </w:rPr>
              <w:t>9</w:t>
            </w:r>
          </w:p>
          <w:p w14:paraId="19BF746F" w14:textId="3AC68153" w:rsidR="00FC49CA" w:rsidRDefault="00FC49CA" w:rsidP="00AD703B">
            <w:pPr>
              <w:pStyle w:val="2024TABLETEXT"/>
            </w:pPr>
            <w:r w:rsidRPr="00FC49CA">
              <w:t>Wigle et al. (2021)</w:t>
            </w:r>
            <w:r w:rsidR="003875F3">
              <w:rPr>
                <w:vertAlign w:val="superscript"/>
              </w:rPr>
              <w:t>11</w:t>
            </w:r>
            <w:r w:rsidR="003875F3" w:rsidDel="003875F3">
              <w:t xml:space="preserve"> </w:t>
            </w:r>
          </w:p>
          <w:p w14:paraId="60E29200" w14:textId="6C5C1827" w:rsidR="00FC49CA" w:rsidRDefault="00FC49CA" w:rsidP="00AD703B">
            <w:pPr>
              <w:pStyle w:val="2024TABLETEXT"/>
            </w:pPr>
            <w:r>
              <w:t xml:space="preserve">Kleinjan </w:t>
            </w:r>
            <w:r w:rsidRPr="00B05D24">
              <w:t>et al. (</w:t>
            </w:r>
            <w:r>
              <w:t>2019)</w:t>
            </w:r>
            <w:r w:rsidR="002619FF">
              <w:rPr>
                <w:vertAlign w:val="superscript"/>
              </w:rPr>
              <w:t>6</w:t>
            </w:r>
            <w:r w:rsidR="002619FF" w:rsidDel="002619FF">
              <w:t xml:space="preserve"> </w:t>
            </w:r>
          </w:p>
          <w:p w14:paraId="6F07F55F" w14:textId="2417898E" w:rsidR="00FC49CA" w:rsidRDefault="00FC49CA" w:rsidP="00AD703B">
            <w:pPr>
              <w:pStyle w:val="2024TABLETEXT"/>
            </w:pPr>
            <w:proofErr w:type="spellStart"/>
            <w:r w:rsidRPr="00B05D24">
              <w:t>Knikman</w:t>
            </w:r>
            <w:proofErr w:type="spellEnd"/>
            <w:r w:rsidRPr="00B05D24">
              <w:t xml:space="preserve"> et al. (2023)</w:t>
            </w:r>
            <w:r w:rsidR="00DA6FBC">
              <w:rPr>
                <w:vertAlign w:val="superscript"/>
              </w:rPr>
              <w:t>7</w:t>
            </w:r>
            <w:r w:rsidR="00DA6FBC" w:rsidDel="00DA6FBC">
              <w:t xml:space="preserve"> </w:t>
            </w:r>
          </w:p>
          <w:p w14:paraId="26388989" w14:textId="3604C9F4" w:rsidR="00FF4BE1" w:rsidRPr="00FF4BE1" w:rsidRDefault="00FC49CA" w:rsidP="00AD703B">
            <w:pPr>
              <w:pStyle w:val="TableText"/>
              <w:rPr>
                <w:szCs w:val="20"/>
              </w:rPr>
            </w:pPr>
            <w:r w:rsidRPr="00727E62">
              <w:t xml:space="preserve">Wang </w:t>
            </w:r>
            <w:r w:rsidRPr="00B05D24">
              <w:t>et al. (</w:t>
            </w:r>
            <w:r w:rsidRPr="00727E62">
              <w:t>2022</w:t>
            </w:r>
            <w:r w:rsidRPr="00B05D24">
              <w:t>)</w:t>
            </w:r>
            <w:r w:rsidR="00054392">
              <w:rPr>
                <w:vertAlign w:val="superscript"/>
              </w:rPr>
              <w:t>10</w:t>
            </w:r>
          </w:p>
        </w:tc>
        <w:tc>
          <w:tcPr>
            <w:tcW w:w="5670" w:type="dxa"/>
          </w:tcPr>
          <w:p w14:paraId="6201172C" w14:textId="7EC8583D" w:rsidR="00FF4BE1" w:rsidRPr="00FF4BE1" w:rsidRDefault="00FF4BE1" w:rsidP="00AD703B">
            <w:pPr>
              <w:pStyle w:val="TableText"/>
              <w:rPr>
                <w:szCs w:val="20"/>
              </w:rPr>
            </w:pPr>
            <w:r w:rsidRPr="00FF4BE1">
              <w:rPr>
                <w:szCs w:val="20"/>
              </w:rPr>
              <w:t xml:space="preserve">Prevalence of normal, intermediate and poor </w:t>
            </w:r>
            <w:r w:rsidR="00CD73DB" w:rsidRPr="00CD73DB">
              <w:rPr>
                <w:i/>
                <w:szCs w:val="20"/>
              </w:rPr>
              <w:t>DPYD</w:t>
            </w:r>
            <w:r w:rsidRPr="00FF4BE1">
              <w:rPr>
                <w:szCs w:val="20"/>
              </w:rPr>
              <w:t xml:space="preserve"> metabolisers</w:t>
            </w:r>
          </w:p>
          <w:p w14:paraId="5EE2DAFC" w14:textId="77777777" w:rsidR="00FF4BE1" w:rsidRPr="00FF4BE1" w:rsidRDefault="00FF4BE1" w:rsidP="00AD703B">
            <w:pPr>
              <w:pStyle w:val="TableText"/>
              <w:rPr>
                <w:szCs w:val="20"/>
              </w:rPr>
            </w:pPr>
            <w:r w:rsidRPr="00FF4BE1">
              <w:rPr>
                <w:szCs w:val="20"/>
              </w:rPr>
              <w:t>Probability of severe (Grade ≥3) FP-related toxicity</w:t>
            </w:r>
          </w:p>
          <w:p w14:paraId="3FF7D3E2" w14:textId="77777777" w:rsidR="00FF4BE1" w:rsidRPr="00FF4BE1" w:rsidRDefault="00FF4BE1" w:rsidP="00AD703B">
            <w:pPr>
              <w:pStyle w:val="TableText"/>
              <w:rPr>
                <w:szCs w:val="20"/>
              </w:rPr>
            </w:pPr>
            <w:r w:rsidRPr="00FF4BE1">
              <w:rPr>
                <w:szCs w:val="20"/>
              </w:rPr>
              <w:t>LOS for hospitalisations due severe toxicities</w:t>
            </w:r>
          </w:p>
          <w:p w14:paraId="218852E1" w14:textId="77777777" w:rsidR="00FF4BE1" w:rsidRPr="00FF4BE1" w:rsidRDefault="00FF4BE1" w:rsidP="00AD703B">
            <w:pPr>
              <w:pStyle w:val="TableText"/>
              <w:rPr>
                <w:szCs w:val="20"/>
              </w:rPr>
            </w:pPr>
            <w:r w:rsidRPr="00FF4BE1">
              <w:rPr>
                <w:szCs w:val="20"/>
              </w:rPr>
              <w:t>Number of treatment cycles</w:t>
            </w:r>
          </w:p>
          <w:p w14:paraId="05E04A0C" w14:textId="77777777" w:rsidR="00FF4BE1" w:rsidRPr="00FF4BE1" w:rsidRDefault="00FF4BE1" w:rsidP="00AD703B">
            <w:pPr>
              <w:pStyle w:val="TableText"/>
              <w:rPr>
                <w:szCs w:val="20"/>
              </w:rPr>
            </w:pPr>
            <w:r w:rsidRPr="00FF4BE1">
              <w:rPr>
                <w:szCs w:val="20"/>
              </w:rPr>
              <w:t>Rates of uptake of genotype testing</w:t>
            </w:r>
          </w:p>
          <w:p w14:paraId="08856CB4" w14:textId="77777777" w:rsidR="00FF4BE1" w:rsidRPr="00FF4BE1" w:rsidRDefault="00FF4BE1" w:rsidP="00AD703B">
            <w:pPr>
              <w:pStyle w:val="TableText"/>
              <w:rPr>
                <w:szCs w:val="20"/>
              </w:rPr>
            </w:pPr>
          </w:p>
        </w:tc>
      </w:tr>
    </w:tbl>
    <w:p w14:paraId="0EFF5CFC" w14:textId="57FCB382" w:rsidR="0028420D" w:rsidRPr="00EF2A20" w:rsidRDefault="0028420D" w:rsidP="0028420D">
      <w:pPr>
        <w:pStyle w:val="TableFigureFooter"/>
      </w:pPr>
      <w:r w:rsidRPr="00CD73DB">
        <w:rPr>
          <w:i/>
          <w:iCs/>
        </w:rPr>
        <w:t>DPYD</w:t>
      </w:r>
      <w:r w:rsidRPr="00330298">
        <w:rPr>
          <w:i/>
          <w:iCs/>
        </w:rPr>
        <w:t>=</w:t>
      </w:r>
      <w:proofErr w:type="spellStart"/>
      <w:r w:rsidRPr="00330298">
        <w:rPr>
          <w:i/>
          <w:iCs/>
        </w:rPr>
        <w:t>Dihydropyrimidine</w:t>
      </w:r>
      <w:proofErr w:type="spellEnd"/>
      <w:r w:rsidRPr="00330298">
        <w:rPr>
          <w:i/>
          <w:iCs/>
        </w:rPr>
        <w:t xml:space="preserve"> dehydrogenase</w:t>
      </w:r>
      <w:r w:rsidRPr="004D48AA">
        <w:t xml:space="preserve"> </w:t>
      </w:r>
      <w:r>
        <w:t>gene; MBS=Medical Benefits Scheme</w:t>
      </w:r>
      <w:r w:rsidR="0067479A">
        <w:t>; FP</w:t>
      </w:r>
      <w:r w:rsidR="00E47A3E">
        <w:t>=</w:t>
      </w:r>
      <w:r w:rsidR="008742B1">
        <w:t xml:space="preserve">fluoropyrimidine; </w:t>
      </w:r>
      <w:r w:rsidR="005D6769" w:rsidRPr="00FF4BE1">
        <w:rPr>
          <w:szCs w:val="20"/>
        </w:rPr>
        <w:t>RPBS</w:t>
      </w:r>
      <w:r w:rsidR="00381D99">
        <w:rPr>
          <w:szCs w:val="20"/>
        </w:rPr>
        <w:t>=</w:t>
      </w:r>
      <w:r w:rsidR="00B13501">
        <w:rPr>
          <w:szCs w:val="20"/>
        </w:rPr>
        <w:t>Repatriation</w:t>
      </w:r>
      <w:r w:rsidR="00381D99">
        <w:rPr>
          <w:szCs w:val="20"/>
        </w:rPr>
        <w:t xml:space="preserve"> </w:t>
      </w:r>
      <w:r w:rsidR="00B13501">
        <w:rPr>
          <w:szCs w:val="20"/>
        </w:rPr>
        <w:t>pharmaceutical</w:t>
      </w:r>
      <w:r w:rsidR="00381D99">
        <w:rPr>
          <w:szCs w:val="20"/>
        </w:rPr>
        <w:t xml:space="preserve"> Benefits Scheme; </w:t>
      </w:r>
      <w:r w:rsidR="00E16709">
        <w:rPr>
          <w:szCs w:val="20"/>
        </w:rPr>
        <w:t xml:space="preserve">LOS=length of stay; </w:t>
      </w:r>
      <w:r w:rsidR="00437018">
        <w:rPr>
          <w:szCs w:val="20"/>
        </w:rPr>
        <w:t>AR-DRG=Australian-refined Diagnostic Related Groups; GIT=gastrointestinal trac</w:t>
      </w:r>
      <w:r w:rsidR="00F84B4B">
        <w:rPr>
          <w:szCs w:val="20"/>
        </w:rPr>
        <w:t>t.</w:t>
      </w:r>
    </w:p>
    <w:p w14:paraId="58D9E6D5" w14:textId="182DA4CD" w:rsidR="00D612EF" w:rsidRPr="003251C2" w:rsidRDefault="00D612EF" w:rsidP="005A673A">
      <w:pPr>
        <w:spacing w:before="240"/>
      </w:pPr>
      <w:r>
        <w:lastRenderedPageBreak/>
        <w:t xml:space="preserve">A </w:t>
      </w:r>
      <w:r w:rsidRPr="003251C2">
        <w:t xml:space="preserve">table summarising the net financial implications for the </w:t>
      </w:r>
      <w:r>
        <w:t>MBS</w:t>
      </w:r>
      <w:r w:rsidRPr="003251C2">
        <w:t xml:space="preserve"> </w:t>
      </w:r>
      <w:r w:rsidR="00B35AFD" w:rsidRPr="00CE28E3">
        <w:t>from the proposed listing of</w:t>
      </w:r>
      <w:r w:rsidR="00B35AFD" w:rsidRPr="00287994">
        <w:t xml:space="preserve"> </w:t>
      </w:r>
      <w:r w:rsidR="00CD73DB" w:rsidRPr="00CD73DB">
        <w:rPr>
          <w:i/>
          <w:iCs/>
        </w:rPr>
        <w:t>DPYD</w:t>
      </w:r>
      <w:r w:rsidR="00B35AFD" w:rsidRPr="00287994">
        <w:t xml:space="preserve"> genotyping</w:t>
      </w:r>
      <w:r w:rsidR="00B35AFD" w:rsidRPr="00CE28E3">
        <w:t xml:space="preserve"> </w:t>
      </w:r>
      <w:r w:rsidRPr="003251C2">
        <w:t xml:space="preserve">over </w:t>
      </w:r>
      <w:r>
        <w:t>6 </w:t>
      </w:r>
      <w:r w:rsidRPr="003251C2">
        <w:t>years</w:t>
      </w:r>
      <w:r>
        <w:t xml:space="preserve"> is presented in</w:t>
      </w:r>
      <w:r w:rsidR="007A07CA">
        <w:t xml:space="preserve"> </w:t>
      </w:r>
      <w:r w:rsidR="007A07CA">
        <w:fldChar w:fldCharType="begin"/>
      </w:r>
      <w:r w:rsidR="007A07CA">
        <w:instrText xml:space="preserve"> REF _Ref172297976 \h </w:instrText>
      </w:r>
      <w:r w:rsidR="007A07CA">
        <w:fldChar w:fldCharType="separate"/>
      </w:r>
      <w:r w:rsidR="00306F34" w:rsidRPr="00CE28E3">
        <w:t>Table</w:t>
      </w:r>
      <w:r w:rsidR="00306F34">
        <w:t> </w:t>
      </w:r>
      <w:r w:rsidR="00306F34">
        <w:rPr>
          <w:noProof/>
        </w:rPr>
        <w:t>12</w:t>
      </w:r>
      <w:r w:rsidR="007A07CA">
        <w:fldChar w:fldCharType="end"/>
      </w:r>
      <w:r w:rsidRPr="003251C2">
        <w:t>, accounting for the estimated cost of the proposed health technology</w:t>
      </w:r>
      <w:r>
        <w:t xml:space="preserve">. There were no implications identified to </w:t>
      </w:r>
      <w:r w:rsidRPr="003251C2">
        <w:t>other health technologies</w:t>
      </w:r>
      <w:r>
        <w:t xml:space="preserve"> funded under the MBS. </w:t>
      </w:r>
    </w:p>
    <w:p w14:paraId="3A794CDA" w14:textId="646151AB" w:rsidR="00D612EF" w:rsidRPr="00CE28E3" w:rsidRDefault="00D612EF" w:rsidP="00974AFF">
      <w:pPr>
        <w:pStyle w:val="Caption"/>
        <w:spacing w:after="0"/>
      </w:pPr>
      <w:bookmarkStart w:id="50" w:name="_Ref172297976"/>
      <w:r w:rsidRPr="00CE28E3">
        <w:t>Table</w:t>
      </w:r>
      <w:r>
        <w:t> </w:t>
      </w:r>
      <w:r>
        <w:fldChar w:fldCharType="begin"/>
      </w:r>
      <w:r>
        <w:instrText xml:space="preserve"> SEQ Table \* ARABIC </w:instrText>
      </w:r>
      <w:r>
        <w:fldChar w:fldCharType="separate"/>
      </w:r>
      <w:r w:rsidR="00835345">
        <w:rPr>
          <w:noProof/>
        </w:rPr>
        <w:t>12</w:t>
      </w:r>
      <w:r>
        <w:rPr>
          <w:noProof/>
        </w:rPr>
        <w:fldChar w:fldCharType="end"/>
      </w:r>
      <w:bookmarkEnd w:id="50"/>
      <w:r w:rsidRPr="00CE28E3">
        <w:tab/>
        <w:t xml:space="preserve">Net financial implications of </w:t>
      </w:r>
      <w:r w:rsidR="00CD73DB" w:rsidRPr="00CD73DB">
        <w:rPr>
          <w:i/>
          <w:iCs/>
        </w:rPr>
        <w:t>DPYD</w:t>
      </w:r>
      <w:r>
        <w:t xml:space="preserve"> genotyping</w:t>
      </w:r>
      <w:r w:rsidRPr="00CE28E3">
        <w:t xml:space="preserve"> to </w:t>
      </w:r>
      <w:r>
        <w:t>MBS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3"/>
        <w:gridCol w:w="1276"/>
        <w:gridCol w:w="1134"/>
        <w:gridCol w:w="1134"/>
        <w:gridCol w:w="1134"/>
        <w:gridCol w:w="1134"/>
        <w:gridCol w:w="1361"/>
      </w:tblGrid>
      <w:tr w:rsidR="005C7732" w:rsidRPr="00CE28E3" w14:paraId="322F0DE7" w14:textId="77777777" w:rsidTr="58B904DA">
        <w:trPr>
          <w:tblHeader/>
        </w:trPr>
        <w:tc>
          <w:tcPr>
            <w:tcW w:w="1833" w:type="dxa"/>
            <w:tcMar>
              <w:top w:w="0" w:type="dxa"/>
              <w:left w:w="108" w:type="dxa"/>
              <w:bottom w:w="0" w:type="dxa"/>
              <w:right w:w="108" w:type="dxa"/>
            </w:tcMar>
          </w:tcPr>
          <w:p w14:paraId="5A860802" w14:textId="77777777" w:rsidR="00D612EF" w:rsidRPr="009C07A8" w:rsidRDefault="00D612EF">
            <w:pPr>
              <w:pStyle w:val="TableText"/>
              <w:rPr>
                <w:b/>
              </w:rPr>
            </w:pPr>
            <w:r w:rsidRPr="009C07A8">
              <w:rPr>
                <w:b/>
              </w:rPr>
              <w:t xml:space="preserve">Parameter </w:t>
            </w:r>
          </w:p>
        </w:tc>
        <w:tc>
          <w:tcPr>
            <w:tcW w:w="1276" w:type="dxa"/>
            <w:shd w:val="clear" w:color="auto" w:fill="auto"/>
            <w:tcMar>
              <w:top w:w="0" w:type="dxa"/>
              <w:left w:w="108" w:type="dxa"/>
              <w:bottom w:w="0" w:type="dxa"/>
              <w:right w:w="108" w:type="dxa"/>
            </w:tcMar>
            <w:hideMark/>
          </w:tcPr>
          <w:p w14:paraId="62EE1322" w14:textId="77777777" w:rsidR="00D612EF" w:rsidRPr="009C07A8" w:rsidRDefault="00D612EF">
            <w:pPr>
              <w:pStyle w:val="TableText"/>
              <w:rPr>
                <w:b/>
              </w:rPr>
            </w:pPr>
            <w:r w:rsidRPr="009C07A8">
              <w:rPr>
                <w:b/>
              </w:rPr>
              <w:t>2025</w:t>
            </w:r>
          </w:p>
        </w:tc>
        <w:tc>
          <w:tcPr>
            <w:tcW w:w="1134" w:type="dxa"/>
            <w:shd w:val="clear" w:color="auto" w:fill="auto"/>
            <w:tcMar>
              <w:top w:w="0" w:type="dxa"/>
              <w:left w:w="108" w:type="dxa"/>
              <w:bottom w:w="0" w:type="dxa"/>
              <w:right w:w="108" w:type="dxa"/>
            </w:tcMar>
            <w:hideMark/>
          </w:tcPr>
          <w:p w14:paraId="6260FA75" w14:textId="77777777" w:rsidR="00D612EF" w:rsidRPr="009C07A8" w:rsidRDefault="00D612EF">
            <w:pPr>
              <w:pStyle w:val="TableText"/>
              <w:rPr>
                <w:b/>
              </w:rPr>
            </w:pPr>
            <w:r w:rsidRPr="009C07A8">
              <w:rPr>
                <w:b/>
              </w:rPr>
              <w:t>2026</w:t>
            </w:r>
          </w:p>
        </w:tc>
        <w:tc>
          <w:tcPr>
            <w:tcW w:w="1134" w:type="dxa"/>
            <w:shd w:val="clear" w:color="auto" w:fill="auto"/>
            <w:tcMar>
              <w:top w:w="0" w:type="dxa"/>
              <w:left w:w="108" w:type="dxa"/>
              <w:bottom w:w="0" w:type="dxa"/>
              <w:right w:w="108" w:type="dxa"/>
            </w:tcMar>
            <w:hideMark/>
          </w:tcPr>
          <w:p w14:paraId="3D75450D" w14:textId="77777777" w:rsidR="00D612EF" w:rsidRPr="009C07A8" w:rsidRDefault="00D612EF">
            <w:pPr>
              <w:pStyle w:val="TableText"/>
              <w:rPr>
                <w:b/>
              </w:rPr>
            </w:pPr>
            <w:r w:rsidRPr="009C07A8">
              <w:rPr>
                <w:b/>
              </w:rPr>
              <w:t>2027</w:t>
            </w:r>
          </w:p>
        </w:tc>
        <w:tc>
          <w:tcPr>
            <w:tcW w:w="1134" w:type="dxa"/>
            <w:shd w:val="clear" w:color="auto" w:fill="auto"/>
            <w:tcMar>
              <w:top w:w="0" w:type="dxa"/>
              <w:left w:w="108" w:type="dxa"/>
              <w:bottom w:w="0" w:type="dxa"/>
              <w:right w:w="108" w:type="dxa"/>
            </w:tcMar>
            <w:hideMark/>
          </w:tcPr>
          <w:p w14:paraId="56E6E8CD" w14:textId="77777777" w:rsidR="00D612EF" w:rsidRPr="009C07A8" w:rsidRDefault="00D612EF">
            <w:pPr>
              <w:pStyle w:val="TableText"/>
              <w:rPr>
                <w:b/>
              </w:rPr>
            </w:pPr>
            <w:r w:rsidRPr="009C07A8">
              <w:rPr>
                <w:b/>
              </w:rPr>
              <w:t>2028</w:t>
            </w:r>
          </w:p>
        </w:tc>
        <w:tc>
          <w:tcPr>
            <w:tcW w:w="1134" w:type="dxa"/>
            <w:shd w:val="clear" w:color="auto" w:fill="auto"/>
            <w:tcMar>
              <w:top w:w="0" w:type="dxa"/>
              <w:left w:w="108" w:type="dxa"/>
              <w:bottom w:w="0" w:type="dxa"/>
              <w:right w:w="108" w:type="dxa"/>
            </w:tcMar>
            <w:hideMark/>
          </w:tcPr>
          <w:p w14:paraId="737DDB95" w14:textId="77777777" w:rsidR="00D612EF" w:rsidRPr="009C07A8" w:rsidRDefault="00D612EF">
            <w:pPr>
              <w:pStyle w:val="TableText"/>
              <w:rPr>
                <w:b/>
              </w:rPr>
            </w:pPr>
            <w:r w:rsidRPr="009C07A8">
              <w:rPr>
                <w:b/>
              </w:rPr>
              <w:t>2029</w:t>
            </w:r>
          </w:p>
        </w:tc>
        <w:tc>
          <w:tcPr>
            <w:tcW w:w="1361" w:type="dxa"/>
            <w:shd w:val="clear" w:color="auto" w:fill="auto"/>
            <w:tcMar>
              <w:top w:w="0" w:type="dxa"/>
              <w:left w:w="108" w:type="dxa"/>
              <w:bottom w:w="0" w:type="dxa"/>
              <w:right w:w="108" w:type="dxa"/>
            </w:tcMar>
            <w:hideMark/>
          </w:tcPr>
          <w:p w14:paraId="3E5DDE89" w14:textId="77777777" w:rsidR="00D612EF" w:rsidRPr="009C07A8" w:rsidRDefault="00D612EF">
            <w:pPr>
              <w:pStyle w:val="TableText"/>
              <w:rPr>
                <w:b/>
              </w:rPr>
            </w:pPr>
            <w:r w:rsidRPr="009C07A8">
              <w:rPr>
                <w:b/>
              </w:rPr>
              <w:t>2030</w:t>
            </w:r>
          </w:p>
        </w:tc>
      </w:tr>
      <w:tr w:rsidR="00D612EF" w:rsidRPr="00CE28E3" w14:paraId="5DDE712C" w14:textId="77777777" w:rsidTr="00F8304D">
        <w:tc>
          <w:tcPr>
            <w:tcW w:w="9006" w:type="dxa"/>
            <w:gridSpan w:val="7"/>
            <w:tcMar>
              <w:top w:w="0" w:type="dxa"/>
              <w:left w:w="108" w:type="dxa"/>
              <w:bottom w:w="0" w:type="dxa"/>
              <w:right w:w="108" w:type="dxa"/>
            </w:tcMar>
            <w:hideMark/>
          </w:tcPr>
          <w:p w14:paraId="5235327B" w14:textId="77777777" w:rsidR="00D612EF" w:rsidRPr="009C07A8" w:rsidRDefault="00D612EF">
            <w:pPr>
              <w:pStyle w:val="TableText"/>
              <w:rPr>
                <w:b/>
              </w:rPr>
            </w:pPr>
            <w:r w:rsidRPr="009C07A8">
              <w:rPr>
                <w:b/>
              </w:rPr>
              <w:t>Estimated use and cost of the proposed health technology</w:t>
            </w:r>
          </w:p>
        </w:tc>
      </w:tr>
      <w:tr w:rsidR="005C7732" w:rsidRPr="004830D4" w14:paraId="7B9FB255" w14:textId="77777777" w:rsidTr="58B904DA">
        <w:tc>
          <w:tcPr>
            <w:tcW w:w="1833" w:type="dxa"/>
            <w:tcMar>
              <w:top w:w="0" w:type="dxa"/>
              <w:left w:w="108" w:type="dxa"/>
              <w:bottom w:w="0" w:type="dxa"/>
              <w:right w:w="108" w:type="dxa"/>
            </w:tcMar>
            <w:hideMark/>
          </w:tcPr>
          <w:p w14:paraId="39A892AE" w14:textId="41D4B44C" w:rsidR="00D612EF" w:rsidRPr="00CE28E3" w:rsidRDefault="00D612EF">
            <w:pPr>
              <w:pStyle w:val="TableText"/>
            </w:pPr>
            <w:r w:rsidRPr="00CE28E3">
              <w:t xml:space="preserve">Number of people eligible for </w:t>
            </w:r>
            <w:r w:rsidR="00CD73DB" w:rsidRPr="00CD73DB">
              <w:rPr>
                <w:i/>
                <w:iCs/>
              </w:rPr>
              <w:t>DPYD</w:t>
            </w:r>
            <w:r>
              <w:t xml:space="preserve"> genotyping</w:t>
            </w:r>
          </w:p>
        </w:tc>
        <w:tc>
          <w:tcPr>
            <w:tcW w:w="1276" w:type="dxa"/>
            <w:shd w:val="clear" w:color="auto" w:fill="FFFFFF" w:themeFill="background1"/>
            <w:tcMar>
              <w:top w:w="0" w:type="dxa"/>
              <w:left w:w="108" w:type="dxa"/>
              <w:bottom w:w="0" w:type="dxa"/>
              <w:right w:w="108" w:type="dxa"/>
            </w:tcMar>
            <w:vAlign w:val="center"/>
          </w:tcPr>
          <w:p w14:paraId="130FF40E" w14:textId="77777777" w:rsidR="00D612EF" w:rsidRPr="004830D4" w:rsidRDefault="00D612EF">
            <w:pPr>
              <w:pStyle w:val="TableText"/>
              <w:jc w:val="center"/>
              <w:rPr>
                <w:szCs w:val="20"/>
              </w:rPr>
            </w:pPr>
            <w:r w:rsidRPr="004830D4">
              <w:rPr>
                <w:rFonts w:cs="Arial"/>
                <w:color w:val="000000"/>
                <w:szCs w:val="20"/>
              </w:rPr>
              <w:t>22,449</w:t>
            </w:r>
          </w:p>
        </w:tc>
        <w:tc>
          <w:tcPr>
            <w:tcW w:w="1134" w:type="dxa"/>
            <w:shd w:val="clear" w:color="auto" w:fill="FFFFFF" w:themeFill="background1"/>
            <w:tcMar>
              <w:top w:w="0" w:type="dxa"/>
              <w:left w:w="108" w:type="dxa"/>
              <w:bottom w:w="0" w:type="dxa"/>
              <w:right w:w="108" w:type="dxa"/>
            </w:tcMar>
            <w:vAlign w:val="center"/>
          </w:tcPr>
          <w:p w14:paraId="66128491" w14:textId="77777777" w:rsidR="00D612EF" w:rsidRPr="004830D4" w:rsidRDefault="00D612EF">
            <w:pPr>
              <w:pStyle w:val="TableText"/>
              <w:jc w:val="center"/>
              <w:rPr>
                <w:szCs w:val="20"/>
              </w:rPr>
            </w:pPr>
            <w:r w:rsidRPr="004830D4">
              <w:rPr>
                <w:rFonts w:cs="Arial"/>
                <w:color w:val="000000"/>
                <w:szCs w:val="20"/>
              </w:rPr>
              <w:t>22,916</w:t>
            </w:r>
          </w:p>
        </w:tc>
        <w:tc>
          <w:tcPr>
            <w:tcW w:w="1134" w:type="dxa"/>
            <w:shd w:val="clear" w:color="auto" w:fill="FFFFFF" w:themeFill="background1"/>
            <w:tcMar>
              <w:top w:w="0" w:type="dxa"/>
              <w:left w:w="108" w:type="dxa"/>
              <w:bottom w:w="0" w:type="dxa"/>
              <w:right w:w="108" w:type="dxa"/>
            </w:tcMar>
            <w:vAlign w:val="center"/>
          </w:tcPr>
          <w:p w14:paraId="6F749374" w14:textId="77777777" w:rsidR="00D612EF" w:rsidRPr="004830D4" w:rsidRDefault="00D612EF">
            <w:pPr>
              <w:pStyle w:val="TableText"/>
              <w:jc w:val="center"/>
              <w:rPr>
                <w:szCs w:val="20"/>
              </w:rPr>
            </w:pPr>
            <w:r w:rsidRPr="004830D4">
              <w:rPr>
                <w:rFonts w:cs="Arial"/>
                <w:color w:val="000000"/>
                <w:szCs w:val="20"/>
              </w:rPr>
              <w:t>23,377</w:t>
            </w:r>
          </w:p>
        </w:tc>
        <w:tc>
          <w:tcPr>
            <w:tcW w:w="1134" w:type="dxa"/>
            <w:shd w:val="clear" w:color="auto" w:fill="FFFFFF" w:themeFill="background1"/>
            <w:tcMar>
              <w:top w:w="0" w:type="dxa"/>
              <w:left w:w="108" w:type="dxa"/>
              <w:bottom w:w="0" w:type="dxa"/>
              <w:right w:w="108" w:type="dxa"/>
            </w:tcMar>
            <w:vAlign w:val="center"/>
          </w:tcPr>
          <w:p w14:paraId="6649AEBE" w14:textId="77777777" w:rsidR="00D612EF" w:rsidRPr="004830D4" w:rsidRDefault="00D612EF">
            <w:pPr>
              <w:pStyle w:val="TableText"/>
              <w:jc w:val="center"/>
              <w:rPr>
                <w:szCs w:val="20"/>
              </w:rPr>
            </w:pPr>
            <w:r w:rsidRPr="004830D4">
              <w:rPr>
                <w:rFonts w:cs="Arial"/>
                <w:color w:val="000000"/>
                <w:szCs w:val="20"/>
              </w:rPr>
              <w:t>23,880</w:t>
            </w:r>
          </w:p>
        </w:tc>
        <w:tc>
          <w:tcPr>
            <w:tcW w:w="1134" w:type="dxa"/>
            <w:shd w:val="clear" w:color="auto" w:fill="FFFFFF" w:themeFill="background1"/>
            <w:tcMar>
              <w:top w:w="0" w:type="dxa"/>
              <w:left w:w="108" w:type="dxa"/>
              <w:bottom w:w="0" w:type="dxa"/>
              <w:right w:w="108" w:type="dxa"/>
            </w:tcMar>
            <w:vAlign w:val="center"/>
          </w:tcPr>
          <w:p w14:paraId="33C1948D" w14:textId="77777777" w:rsidR="00D612EF" w:rsidRPr="004830D4" w:rsidRDefault="00D612EF">
            <w:pPr>
              <w:pStyle w:val="TableText"/>
              <w:jc w:val="center"/>
              <w:rPr>
                <w:szCs w:val="20"/>
              </w:rPr>
            </w:pPr>
            <w:r w:rsidRPr="004830D4">
              <w:rPr>
                <w:rFonts w:cs="Arial"/>
                <w:color w:val="000000"/>
                <w:szCs w:val="20"/>
              </w:rPr>
              <w:t>24,381</w:t>
            </w:r>
          </w:p>
        </w:tc>
        <w:tc>
          <w:tcPr>
            <w:tcW w:w="1361" w:type="dxa"/>
            <w:shd w:val="clear" w:color="auto" w:fill="FFFFFF" w:themeFill="background1"/>
            <w:tcMar>
              <w:top w:w="0" w:type="dxa"/>
              <w:left w:w="108" w:type="dxa"/>
              <w:bottom w:w="0" w:type="dxa"/>
              <w:right w:w="108" w:type="dxa"/>
            </w:tcMar>
            <w:vAlign w:val="center"/>
          </w:tcPr>
          <w:p w14:paraId="246CC3C9" w14:textId="77777777" w:rsidR="00D612EF" w:rsidRPr="004830D4" w:rsidRDefault="00D612EF">
            <w:pPr>
              <w:pStyle w:val="TableText"/>
              <w:jc w:val="center"/>
              <w:rPr>
                <w:szCs w:val="20"/>
              </w:rPr>
            </w:pPr>
            <w:r w:rsidRPr="004830D4">
              <w:rPr>
                <w:rFonts w:cs="Arial"/>
                <w:color w:val="000000"/>
                <w:szCs w:val="20"/>
              </w:rPr>
              <w:t>24,869</w:t>
            </w:r>
          </w:p>
        </w:tc>
      </w:tr>
      <w:tr w:rsidR="005C7732" w:rsidRPr="004830D4" w14:paraId="43B4B029" w14:textId="77777777" w:rsidTr="58B904DA">
        <w:tc>
          <w:tcPr>
            <w:tcW w:w="1833" w:type="dxa"/>
            <w:tcMar>
              <w:top w:w="0" w:type="dxa"/>
              <w:left w:w="108" w:type="dxa"/>
              <w:bottom w:w="0" w:type="dxa"/>
              <w:right w:w="108" w:type="dxa"/>
            </w:tcMar>
          </w:tcPr>
          <w:p w14:paraId="2F271D1C" w14:textId="38A8E2C7" w:rsidR="00175A76" w:rsidRPr="00961C60" w:rsidRDefault="00961C60">
            <w:pPr>
              <w:pStyle w:val="TableText"/>
            </w:pPr>
            <w:r>
              <w:t xml:space="preserve">Estimated uptake of </w:t>
            </w:r>
            <w:r>
              <w:rPr>
                <w:i/>
                <w:iCs/>
              </w:rPr>
              <w:t>DPYD</w:t>
            </w:r>
            <w:r>
              <w:t xml:space="preserve"> genotyping</w:t>
            </w:r>
          </w:p>
        </w:tc>
        <w:tc>
          <w:tcPr>
            <w:tcW w:w="1276" w:type="dxa"/>
            <w:shd w:val="clear" w:color="auto" w:fill="FFFFFF" w:themeFill="background1"/>
            <w:tcMar>
              <w:top w:w="0" w:type="dxa"/>
              <w:left w:w="108" w:type="dxa"/>
              <w:bottom w:w="0" w:type="dxa"/>
              <w:right w:w="108" w:type="dxa"/>
            </w:tcMar>
            <w:vAlign w:val="center"/>
          </w:tcPr>
          <w:p w14:paraId="0A948C8C" w14:textId="1A52E296" w:rsidR="00175A76" w:rsidRPr="004830D4" w:rsidRDefault="00D17705">
            <w:pPr>
              <w:pStyle w:val="TableText"/>
              <w:jc w:val="center"/>
              <w:rPr>
                <w:rFonts w:cs="Arial"/>
                <w:color w:val="000000"/>
                <w:szCs w:val="20"/>
              </w:rPr>
            </w:pPr>
            <w:r>
              <w:rPr>
                <w:rFonts w:cs="Arial"/>
                <w:color w:val="000000"/>
                <w:szCs w:val="20"/>
              </w:rPr>
              <w:t>50%</w:t>
            </w:r>
          </w:p>
        </w:tc>
        <w:tc>
          <w:tcPr>
            <w:tcW w:w="1134" w:type="dxa"/>
            <w:shd w:val="clear" w:color="auto" w:fill="FFFFFF" w:themeFill="background1"/>
            <w:tcMar>
              <w:top w:w="0" w:type="dxa"/>
              <w:left w:w="108" w:type="dxa"/>
              <w:bottom w:w="0" w:type="dxa"/>
              <w:right w:w="108" w:type="dxa"/>
            </w:tcMar>
            <w:vAlign w:val="center"/>
          </w:tcPr>
          <w:p w14:paraId="7FE0945F" w14:textId="4C1F3924" w:rsidR="00175A76" w:rsidRPr="004830D4" w:rsidRDefault="00D17705">
            <w:pPr>
              <w:pStyle w:val="TableText"/>
              <w:jc w:val="center"/>
              <w:rPr>
                <w:rFonts w:cs="Arial"/>
                <w:color w:val="000000"/>
                <w:szCs w:val="20"/>
              </w:rPr>
            </w:pPr>
            <w:r>
              <w:rPr>
                <w:rFonts w:cs="Arial"/>
                <w:color w:val="000000"/>
                <w:szCs w:val="20"/>
              </w:rPr>
              <w:t>60%</w:t>
            </w:r>
          </w:p>
        </w:tc>
        <w:tc>
          <w:tcPr>
            <w:tcW w:w="1134" w:type="dxa"/>
            <w:shd w:val="clear" w:color="auto" w:fill="FFFFFF" w:themeFill="background1"/>
            <w:tcMar>
              <w:top w:w="0" w:type="dxa"/>
              <w:left w:w="108" w:type="dxa"/>
              <w:bottom w:w="0" w:type="dxa"/>
              <w:right w:w="108" w:type="dxa"/>
            </w:tcMar>
            <w:vAlign w:val="center"/>
          </w:tcPr>
          <w:p w14:paraId="65A90595" w14:textId="28988025" w:rsidR="00175A76" w:rsidRPr="004830D4" w:rsidRDefault="00D17705">
            <w:pPr>
              <w:pStyle w:val="TableText"/>
              <w:jc w:val="center"/>
              <w:rPr>
                <w:rFonts w:cs="Arial"/>
                <w:color w:val="000000"/>
                <w:szCs w:val="20"/>
              </w:rPr>
            </w:pPr>
            <w:r>
              <w:rPr>
                <w:rFonts w:cs="Arial"/>
                <w:color w:val="000000"/>
                <w:szCs w:val="20"/>
              </w:rPr>
              <w:t>70%</w:t>
            </w:r>
          </w:p>
        </w:tc>
        <w:tc>
          <w:tcPr>
            <w:tcW w:w="1134" w:type="dxa"/>
            <w:shd w:val="clear" w:color="auto" w:fill="FFFFFF" w:themeFill="background1"/>
            <w:tcMar>
              <w:top w:w="0" w:type="dxa"/>
              <w:left w:w="108" w:type="dxa"/>
              <w:bottom w:w="0" w:type="dxa"/>
              <w:right w:w="108" w:type="dxa"/>
            </w:tcMar>
            <w:vAlign w:val="center"/>
          </w:tcPr>
          <w:p w14:paraId="204815C0" w14:textId="211E31E6" w:rsidR="00175A76" w:rsidRPr="004830D4" w:rsidRDefault="00D17705">
            <w:pPr>
              <w:pStyle w:val="TableText"/>
              <w:jc w:val="center"/>
              <w:rPr>
                <w:rFonts w:cs="Arial"/>
                <w:color w:val="000000"/>
                <w:szCs w:val="20"/>
              </w:rPr>
            </w:pPr>
            <w:r>
              <w:rPr>
                <w:rFonts w:cs="Arial"/>
                <w:color w:val="000000"/>
                <w:szCs w:val="20"/>
              </w:rPr>
              <w:t>80%</w:t>
            </w:r>
          </w:p>
        </w:tc>
        <w:tc>
          <w:tcPr>
            <w:tcW w:w="1134" w:type="dxa"/>
            <w:shd w:val="clear" w:color="auto" w:fill="FFFFFF" w:themeFill="background1"/>
            <w:tcMar>
              <w:top w:w="0" w:type="dxa"/>
              <w:left w:w="108" w:type="dxa"/>
              <w:bottom w:w="0" w:type="dxa"/>
              <w:right w:w="108" w:type="dxa"/>
            </w:tcMar>
            <w:vAlign w:val="center"/>
          </w:tcPr>
          <w:p w14:paraId="08771A74" w14:textId="5B92E9BD" w:rsidR="00175A76" w:rsidRPr="004830D4" w:rsidRDefault="00D17705">
            <w:pPr>
              <w:pStyle w:val="TableText"/>
              <w:jc w:val="center"/>
              <w:rPr>
                <w:rFonts w:cs="Arial"/>
                <w:color w:val="000000"/>
                <w:szCs w:val="20"/>
              </w:rPr>
            </w:pPr>
            <w:r>
              <w:rPr>
                <w:rFonts w:cs="Arial"/>
                <w:color w:val="000000"/>
                <w:szCs w:val="20"/>
              </w:rPr>
              <w:t>90%</w:t>
            </w:r>
          </w:p>
        </w:tc>
        <w:tc>
          <w:tcPr>
            <w:tcW w:w="1361" w:type="dxa"/>
            <w:shd w:val="clear" w:color="auto" w:fill="FFFFFF" w:themeFill="background1"/>
            <w:tcMar>
              <w:top w:w="0" w:type="dxa"/>
              <w:left w:w="108" w:type="dxa"/>
              <w:bottom w:w="0" w:type="dxa"/>
              <w:right w:w="108" w:type="dxa"/>
            </w:tcMar>
            <w:vAlign w:val="center"/>
          </w:tcPr>
          <w:p w14:paraId="5C3E945A" w14:textId="68BE7E8E" w:rsidR="00175A76" w:rsidRPr="004830D4" w:rsidRDefault="00D17705">
            <w:pPr>
              <w:pStyle w:val="TableText"/>
              <w:jc w:val="center"/>
              <w:rPr>
                <w:rFonts w:cs="Arial"/>
                <w:color w:val="000000"/>
                <w:szCs w:val="20"/>
              </w:rPr>
            </w:pPr>
            <w:r>
              <w:rPr>
                <w:rFonts w:cs="Arial"/>
                <w:color w:val="000000"/>
                <w:szCs w:val="20"/>
              </w:rPr>
              <w:t>100%</w:t>
            </w:r>
          </w:p>
        </w:tc>
      </w:tr>
      <w:tr w:rsidR="00727AA5" w:rsidRPr="00CE28E3" w14:paraId="6D707196" w14:textId="77777777" w:rsidTr="58B904DA">
        <w:tc>
          <w:tcPr>
            <w:tcW w:w="1833" w:type="dxa"/>
            <w:tcMar>
              <w:top w:w="0" w:type="dxa"/>
              <w:left w:w="108" w:type="dxa"/>
              <w:bottom w:w="0" w:type="dxa"/>
              <w:right w:w="108" w:type="dxa"/>
            </w:tcMar>
            <w:hideMark/>
          </w:tcPr>
          <w:p w14:paraId="38896F8D" w14:textId="0F5E5BC8" w:rsidR="00D612EF" w:rsidRPr="00CE28E3" w:rsidRDefault="00D612EF">
            <w:pPr>
              <w:pStyle w:val="TableText"/>
            </w:pPr>
            <w:r w:rsidRPr="00CE28E3">
              <w:t xml:space="preserve">Number of people who receive </w:t>
            </w:r>
            <w:r w:rsidR="00CD73DB" w:rsidRPr="00CD73DB">
              <w:rPr>
                <w:i/>
                <w:iCs/>
              </w:rPr>
              <w:t>DPYD</w:t>
            </w:r>
            <w:r>
              <w:t xml:space="preserve"> genotyping</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B8933B1" w14:textId="185CE8AA" w:rsidR="00D612EF" w:rsidRPr="00B55624" w:rsidRDefault="003C7B4B">
            <w:pPr>
              <w:pStyle w:val="TableText"/>
              <w:jc w:val="center"/>
              <w:rPr>
                <w:szCs w:val="20"/>
              </w:rPr>
            </w:pPr>
            <w:r>
              <w:rPr>
                <w:rFonts w:cs="Arial"/>
                <w:color w:val="000000"/>
                <w:szCs w:val="20"/>
              </w:rPr>
              <w:t xml:space="preserve">                   11,224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990BB02" w14:textId="3F568844" w:rsidR="00D612EF" w:rsidRPr="00B55624" w:rsidRDefault="003C7B4B">
            <w:pPr>
              <w:pStyle w:val="TableText"/>
              <w:jc w:val="center"/>
              <w:rPr>
                <w:szCs w:val="20"/>
              </w:rPr>
            </w:pPr>
            <w:r>
              <w:rPr>
                <w:rFonts w:cs="Arial"/>
                <w:color w:val="000000"/>
                <w:szCs w:val="20"/>
              </w:rPr>
              <w:t xml:space="preserve">                       13,749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0630DED" w14:textId="75B66F9E" w:rsidR="00D612EF" w:rsidRPr="00B55624" w:rsidRDefault="003C7B4B">
            <w:pPr>
              <w:pStyle w:val="TableText"/>
              <w:jc w:val="center"/>
              <w:rPr>
                <w:szCs w:val="20"/>
              </w:rPr>
            </w:pPr>
            <w:r>
              <w:rPr>
                <w:rFonts w:cs="Arial"/>
                <w:color w:val="000000"/>
                <w:szCs w:val="20"/>
              </w:rPr>
              <w:t xml:space="preserve">             16,364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319FA89" w14:textId="72E4F535" w:rsidR="00D612EF" w:rsidRPr="00B55624" w:rsidRDefault="003C7B4B">
            <w:pPr>
              <w:pStyle w:val="TableText"/>
              <w:jc w:val="center"/>
              <w:rPr>
                <w:szCs w:val="20"/>
              </w:rPr>
            </w:pPr>
            <w:r>
              <w:rPr>
                <w:rFonts w:cs="Arial"/>
                <w:color w:val="000000"/>
                <w:szCs w:val="20"/>
              </w:rPr>
              <w:t xml:space="preserve">             19,104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6AD57DF" w14:textId="549FF959" w:rsidR="00D612EF" w:rsidRPr="00B55624" w:rsidRDefault="003C7B4B">
            <w:pPr>
              <w:pStyle w:val="TableText"/>
              <w:jc w:val="center"/>
              <w:rPr>
                <w:szCs w:val="20"/>
              </w:rPr>
            </w:pPr>
            <w:r>
              <w:rPr>
                <w:rFonts w:cs="Arial"/>
                <w:color w:val="000000"/>
                <w:szCs w:val="20"/>
              </w:rPr>
              <w:t xml:space="preserve">             21,943 </w:t>
            </w:r>
          </w:p>
        </w:tc>
        <w:tc>
          <w:tcPr>
            <w:tcW w:w="13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310FABF" w14:textId="2D06398D" w:rsidR="00D612EF" w:rsidRPr="00B55624" w:rsidRDefault="003C7B4B">
            <w:pPr>
              <w:pStyle w:val="TableText"/>
              <w:jc w:val="center"/>
              <w:rPr>
                <w:szCs w:val="20"/>
              </w:rPr>
            </w:pPr>
            <w:r>
              <w:rPr>
                <w:rFonts w:cs="Arial"/>
                <w:color w:val="000000"/>
                <w:szCs w:val="20"/>
              </w:rPr>
              <w:t xml:space="preserve">               </w:t>
            </w:r>
            <w:r w:rsidR="00D612EF" w:rsidRPr="00B55624">
              <w:rPr>
                <w:rFonts w:cs="Arial"/>
                <w:color w:val="000000"/>
                <w:szCs w:val="20"/>
              </w:rPr>
              <w:t>24,869</w:t>
            </w:r>
            <w:r>
              <w:rPr>
                <w:rFonts w:cs="Arial"/>
                <w:color w:val="000000"/>
                <w:szCs w:val="20"/>
              </w:rPr>
              <w:t xml:space="preserve"> </w:t>
            </w:r>
          </w:p>
        </w:tc>
      </w:tr>
      <w:tr w:rsidR="00727AA5" w:rsidRPr="00CE28E3" w14:paraId="3ECB0868" w14:textId="77777777" w:rsidTr="00382889">
        <w:trPr>
          <w:trHeight w:val="886"/>
        </w:trPr>
        <w:tc>
          <w:tcPr>
            <w:tcW w:w="1833" w:type="dxa"/>
            <w:tcMar>
              <w:top w:w="0" w:type="dxa"/>
              <w:left w:w="108" w:type="dxa"/>
              <w:bottom w:w="0" w:type="dxa"/>
              <w:right w:w="108" w:type="dxa"/>
            </w:tcMar>
            <w:hideMark/>
          </w:tcPr>
          <w:p w14:paraId="0DC27F9B" w14:textId="77777777" w:rsidR="00D612EF" w:rsidRPr="00CE28E3" w:rsidRDefault="00D612EF">
            <w:pPr>
              <w:pStyle w:val="TableText"/>
            </w:pPr>
            <w:r w:rsidRPr="00CE28E3">
              <w:t xml:space="preserve">Cost to the </w:t>
            </w:r>
            <w:r>
              <w:t>MBS</w:t>
            </w:r>
            <w:r w:rsidRPr="00CE28E3">
              <w:t xml:space="preserve"> (with appropriate copayments excluded)</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9A61760" w14:textId="62DA9C6E" w:rsidR="00D612EF" w:rsidRPr="00CE28E3" w:rsidRDefault="003C531F">
            <w:pPr>
              <w:pStyle w:val="TableText"/>
            </w:pPr>
            <w:r>
              <w:rPr>
                <w:rFonts w:cs="Arial"/>
                <w:color w:val="000000"/>
                <w:szCs w:val="20"/>
              </w:rPr>
              <w:t>$1,582,584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3DBB54F" w14:textId="77B0095D" w:rsidR="00D612EF" w:rsidRPr="00CE28E3" w:rsidRDefault="003C531F">
            <w:pPr>
              <w:pStyle w:val="TableText"/>
            </w:pPr>
            <w:r>
              <w:rPr>
                <w:rFonts w:cs="Arial"/>
                <w:color w:val="000000"/>
                <w:szCs w:val="20"/>
              </w:rPr>
              <w:t>$1,938,609</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EC78638" w14:textId="37643A15" w:rsidR="00D612EF" w:rsidRPr="00CE28E3" w:rsidRDefault="003C531F">
            <w:pPr>
              <w:pStyle w:val="TableText"/>
            </w:pPr>
            <w:r>
              <w:rPr>
                <w:rFonts w:cs="Arial"/>
                <w:color w:val="000000"/>
                <w:szCs w:val="20"/>
              </w:rPr>
              <w:t>$2,307,324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774E92F" w14:textId="1B1516DE" w:rsidR="00D612EF" w:rsidRPr="00CE28E3" w:rsidRDefault="003C531F">
            <w:pPr>
              <w:pStyle w:val="TableText"/>
            </w:pPr>
            <w:r>
              <w:rPr>
                <w:rFonts w:cs="Arial"/>
                <w:color w:val="000000"/>
                <w:szCs w:val="20"/>
              </w:rPr>
              <w:t>$2,693,664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B229DEB" w14:textId="131AF0F5" w:rsidR="00D612EF" w:rsidRPr="00CE28E3" w:rsidRDefault="003C531F">
            <w:pPr>
              <w:pStyle w:val="TableText"/>
            </w:pPr>
            <w:r>
              <w:rPr>
                <w:rFonts w:cs="Arial"/>
                <w:color w:val="000000"/>
                <w:szCs w:val="20"/>
              </w:rPr>
              <w:t>$3,093,963</w:t>
            </w:r>
          </w:p>
        </w:tc>
        <w:tc>
          <w:tcPr>
            <w:tcW w:w="13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A112526" w14:textId="0B9AA439" w:rsidR="00D612EF" w:rsidRPr="00CE28E3" w:rsidRDefault="003C531F">
            <w:pPr>
              <w:pStyle w:val="TableText"/>
            </w:pPr>
            <w:r>
              <w:rPr>
                <w:rFonts w:cs="Arial"/>
                <w:color w:val="000000"/>
                <w:szCs w:val="20"/>
              </w:rPr>
              <w:t>$3,506,529</w:t>
            </w:r>
          </w:p>
        </w:tc>
      </w:tr>
      <w:tr w:rsidR="002F0C04" w:rsidRPr="00CE28E3" w14:paraId="1436943D" w14:textId="77777777" w:rsidTr="00382889">
        <w:trPr>
          <w:trHeight w:val="526"/>
        </w:trPr>
        <w:tc>
          <w:tcPr>
            <w:tcW w:w="1833" w:type="dxa"/>
            <w:tcMar>
              <w:top w:w="0" w:type="dxa"/>
              <w:left w:w="108" w:type="dxa"/>
              <w:bottom w:w="0" w:type="dxa"/>
              <w:right w:w="108" w:type="dxa"/>
            </w:tcMar>
          </w:tcPr>
          <w:p w14:paraId="297637CD" w14:textId="1AB22868" w:rsidR="002F0C04" w:rsidRPr="00382889" w:rsidRDefault="002F0C04" w:rsidP="002F0C04">
            <w:pPr>
              <w:pStyle w:val="TableText"/>
              <w:rPr>
                <w:b/>
                <w:bCs/>
              </w:rPr>
            </w:pPr>
            <w:r w:rsidRPr="00382889">
              <w:rPr>
                <w:b/>
                <w:bCs/>
              </w:rPr>
              <w:t xml:space="preserve">Revised </w:t>
            </w:r>
            <w:r w:rsidR="00F9694C">
              <w:rPr>
                <w:b/>
                <w:bCs/>
              </w:rPr>
              <w:t xml:space="preserve">cost to the </w:t>
            </w:r>
            <w:r w:rsidRPr="00382889">
              <w:rPr>
                <w:b/>
                <w:bCs/>
              </w:rPr>
              <w:t xml:space="preserve">MBS </w:t>
            </w:r>
            <w:r w:rsidR="00CA1550">
              <w:rPr>
                <w:b/>
                <w:bCs/>
              </w:rPr>
              <w:t>(with 85% rebate)</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37478EF6" w14:textId="07C235DF" w:rsidR="002F0C04" w:rsidRPr="00382889" w:rsidRDefault="002F0C04" w:rsidP="002F0C04">
            <w:pPr>
              <w:pStyle w:val="TableText"/>
              <w:rPr>
                <w:rFonts w:cs="Arial"/>
                <w:b/>
                <w:bCs/>
                <w:color w:val="000000"/>
                <w:szCs w:val="20"/>
              </w:rPr>
            </w:pPr>
            <w:r w:rsidRPr="00382889">
              <w:rPr>
                <w:rStyle w:val="normaltextrun"/>
                <w:rFonts w:cs="Segoe UI"/>
                <w:b/>
                <w:bCs/>
                <w:szCs w:val="20"/>
              </w:rPr>
              <w:t>$1,532,076</w:t>
            </w:r>
            <w:r w:rsidRPr="00382889">
              <w:rPr>
                <w:rStyle w:val="eop"/>
                <w:rFonts w:cs="Segoe UI"/>
                <w:b/>
                <w:bCs/>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4F4444E3" w14:textId="40995B24" w:rsidR="002F0C04" w:rsidRPr="00382889" w:rsidRDefault="002F0C04" w:rsidP="002F0C04">
            <w:pPr>
              <w:pStyle w:val="TableText"/>
              <w:rPr>
                <w:rFonts w:cs="Arial"/>
                <w:b/>
                <w:bCs/>
                <w:color w:val="000000"/>
                <w:szCs w:val="20"/>
              </w:rPr>
            </w:pPr>
            <w:r w:rsidRPr="00382889">
              <w:rPr>
                <w:rStyle w:val="normaltextrun"/>
                <w:rFonts w:cs="Segoe UI"/>
                <w:b/>
                <w:bCs/>
                <w:szCs w:val="20"/>
              </w:rPr>
              <w:t>$1,876,739</w:t>
            </w:r>
            <w:r w:rsidRPr="00382889">
              <w:rPr>
                <w:rStyle w:val="eop"/>
                <w:rFonts w:cs="Segoe UI"/>
                <w:b/>
                <w:bCs/>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0913AA49" w14:textId="564A5795" w:rsidR="002F0C04" w:rsidRPr="00382889" w:rsidRDefault="002F0C04" w:rsidP="002F0C04">
            <w:pPr>
              <w:pStyle w:val="TableText"/>
              <w:rPr>
                <w:rFonts w:cs="Arial"/>
                <w:b/>
                <w:bCs/>
                <w:color w:val="000000"/>
                <w:szCs w:val="20"/>
              </w:rPr>
            </w:pPr>
            <w:r w:rsidRPr="00382889">
              <w:rPr>
                <w:rStyle w:val="normaltextrun"/>
                <w:rFonts w:cs="Segoe UI"/>
                <w:b/>
                <w:bCs/>
                <w:szCs w:val="20"/>
              </w:rPr>
              <w:t>$2,233,686</w:t>
            </w:r>
            <w:r w:rsidRPr="00382889">
              <w:rPr>
                <w:rStyle w:val="eop"/>
                <w:rFonts w:cs="Segoe UI"/>
                <w:b/>
                <w:bCs/>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5278629F" w14:textId="7D0ED15B" w:rsidR="002F0C04" w:rsidRPr="00382889" w:rsidRDefault="002F0C04" w:rsidP="002F0C04">
            <w:pPr>
              <w:pStyle w:val="TableText"/>
              <w:rPr>
                <w:rFonts w:cs="Arial"/>
                <w:b/>
                <w:bCs/>
                <w:color w:val="000000"/>
                <w:szCs w:val="20"/>
              </w:rPr>
            </w:pPr>
            <w:r w:rsidRPr="00382889">
              <w:rPr>
                <w:rStyle w:val="normaltextrun"/>
                <w:rFonts w:cs="Segoe UI"/>
                <w:b/>
                <w:bCs/>
                <w:szCs w:val="20"/>
              </w:rPr>
              <w:t>$2,607,696</w:t>
            </w:r>
            <w:r w:rsidRPr="00382889">
              <w:rPr>
                <w:rStyle w:val="eop"/>
                <w:rFonts w:cs="Segoe UI"/>
                <w:b/>
                <w:bCs/>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6F6C5F20" w14:textId="3C829548" w:rsidR="002F0C04" w:rsidRPr="00382889" w:rsidRDefault="002F0C04" w:rsidP="002F0C04">
            <w:pPr>
              <w:pStyle w:val="TableText"/>
              <w:rPr>
                <w:rFonts w:cs="Arial"/>
                <w:b/>
                <w:bCs/>
                <w:color w:val="000000"/>
                <w:szCs w:val="20"/>
              </w:rPr>
            </w:pPr>
            <w:r w:rsidRPr="00382889">
              <w:rPr>
                <w:rStyle w:val="normaltextrun"/>
                <w:rFonts w:cs="Segoe UI"/>
                <w:b/>
                <w:bCs/>
                <w:szCs w:val="20"/>
              </w:rPr>
              <w:t>$2,995,220</w:t>
            </w:r>
            <w:r w:rsidRPr="00382889">
              <w:rPr>
                <w:rStyle w:val="eop"/>
                <w:rFonts w:cs="Segoe UI"/>
                <w:b/>
                <w:bCs/>
                <w:szCs w:val="20"/>
              </w:rPr>
              <w:t> </w:t>
            </w:r>
          </w:p>
        </w:tc>
        <w:tc>
          <w:tcPr>
            <w:tcW w:w="136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2B8A4803" w14:textId="78A5C37E" w:rsidR="002F0C04" w:rsidRPr="00382889" w:rsidRDefault="002F0C04" w:rsidP="002F0C04">
            <w:pPr>
              <w:pStyle w:val="TableText"/>
              <w:rPr>
                <w:rFonts w:cs="Arial"/>
                <w:b/>
                <w:bCs/>
                <w:color w:val="000000"/>
                <w:szCs w:val="20"/>
              </w:rPr>
            </w:pPr>
            <w:r w:rsidRPr="00382889">
              <w:rPr>
                <w:rStyle w:val="normaltextrun"/>
                <w:rFonts w:cs="Segoe UI"/>
                <w:b/>
                <w:bCs/>
                <w:szCs w:val="20"/>
              </w:rPr>
              <w:t>$3,394,619</w:t>
            </w:r>
            <w:r w:rsidRPr="00382889">
              <w:rPr>
                <w:rStyle w:val="eop"/>
                <w:rFonts w:cs="Segoe UI"/>
                <w:b/>
                <w:bCs/>
                <w:szCs w:val="20"/>
              </w:rPr>
              <w:t> </w:t>
            </w:r>
          </w:p>
        </w:tc>
      </w:tr>
      <w:tr w:rsidR="00D612EF" w:rsidRPr="00CE28E3" w14:paraId="5904AC42" w14:textId="77777777" w:rsidTr="00F8304D">
        <w:tc>
          <w:tcPr>
            <w:tcW w:w="9006" w:type="dxa"/>
            <w:gridSpan w:val="7"/>
            <w:tcMar>
              <w:top w:w="0" w:type="dxa"/>
              <w:left w:w="108" w:type="dxa"/>
              <w:bottom w:w="0" w:type="dxa"/>
              <w:right w:w="108" w:type="dxa"/>
            </w:tcMar>
            <w:hideMark/>
          </w:tcPr>
          <w:p w14:paraId="0E0E6350" w14:textId="77777777" w:rsidR="00D612EF" w:rsidRPr="009C07A8" w:rsidRDefault="00D612EF">
            <w:pPr>
              <w:pStyle w:val="TableText"/>
              <w:rPr>
                <w:b/>
              </w:rPr>
            </w:pPr>
            <w:r w:rsidRPr="009C07A8">
              <w:rPr>
                <w:b/>
              </w:rPr>
              <w:t>Change in use and cost of other health technologies</w:t>
            </w:r>
          </w:p>
        </w:tc>
      </w:tr>
      <w:tr w:rsidR="00D612EF" w:rsidRPr="00CE28E3" w14:paraId="2E5BAA80" w14:textId="77777777" w:rsidTr="00F8304D">
        <w:tc>
          <w:tcPr>
            <w:tcW w:w="1833" w:type="dxa"/>
            <w:tcMar>
              <w:top w:w="0" w:type="dxa"/>
              <w:left w:w="108" w:type="dxa"/>
              <w:bottom w:w="0" w:type="dxa"/>
              <w:right w:w="108" w:type="dxa"/>
            </w:tcMar>
            <w:hideMark/>
          </w:tcPr>
          <w:p w14:paraId="235142A9" w14:textId="77777777" w:rsidR="00D612EF" w:rsidRPr="00CE28E3" w:rsidRDefault="00D612EF">
            <w:pPr>
              <w:pStyle w:val="TableText"/>
            </w:pPr>
            <w:r w:rsidRPr="00CE28E3">
              <w:t xml:space="preserve">Change in use of </w:t>
            </w:r>
            <w:r>
              <w:t>no testing</w:t>
            </w:r>
          </w:p>
        </w:tc>
        <w:tc>
          <w:tcPr>
            <w:tcW w:w="1276" w:type="dxa"/>
            <w:tcMar>
              <w:top w:w="0" w:type="dxa"/>
              <w:left w:w="108" w:type="dxa"/>
              <w:bottom w:w="0" w:type="dxa"/>
              <w:right w:w="108" w:type="dxa"/>
            </w:tcMar>
          </w:tcPr>
          <w:p w14:paraId="7F770955"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14AE0E13"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745E9CAE"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6CADBEBD"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607B387E" w14:textId="77777777" w:rsidR="00D612EF" w:rsidRPr="00CE28E3" w:rsidRDefault="00D612EF" w:rsidP="00D23AAA">
            <w:pPr>
              <w:pStyle w:val="TableText"/>
              <w:jc w:val="center"/>
            </w:pPr>
            <w:r>
              <w:t>0</w:t>
            </w:r>
          </w:p>
        </w:tc>
        <w:tc>
          <w:tcPr>
            <w:tcW w:w="1361" w:type="dxa"/>
            <w:tcMar>
              <w:top w:w="0" w:type="dxa"/>
              <w:left w:w="108" w:type="dxa"/>
              <w:bottom w:w="0" w:type="dxa"/>
              <w:right w:w="108" w:type="dxa"/>
            </w:tcMar>
          </w:tcPr>
          <w:p w14:paraId="72331FE6" w14:textId="77777777" w:rsidR="00D612EF" w:rsidRPr="00CE28E3" w:rsidRDefault="00D612EF" w:rsidP="00D23AAA">
            <w:pPr>
              <w:pStyle w:val="TableText"/>
              <w:jc w:val="center"/>
            </w:pPr>
            <w:r>
              <w:t>0</w:t>
            </w:r>
          </w:p>
        </w:tc>
      </w:tr>
      <w:tr w:rsidR="00D612EF" w:rsidRPr="00CE28E3" w14:paraId="56217826" w14:textId="77777777" w:rsidTr="00F8304D">
        <w:tc>
          <w:tcPr>
            <w:tcW w:w="1833" w:type="dxa"/>
            <w:tcMar>
              <w:top w:w="0" w:type="dxa"/>
              <w:left w:w="108" w:type="dxa"/>
              <w:bottom w:w="0" w:type="dxa"/>
              <w:right w:w="108" w:type="dxa"/>
            </w:tcMar>
            <w:hideMark/>
          </w:tcPr>
          <w:p w14:paraId="0DA8B25E" w14:textId="77777777" w:rsidR="00D612EF" w:rsidRPr="00CE28E3" w:rsidRDefault="00D612EF">
            <w:pPr>
              <w:pStyle w:val="TableText"/>
            </w:pPr>
            <w:r w:rsidRPr="00CE28E3">
              <w:t>Change in use of other</w:t>
            </w:r>
            <w:r>
              <w:t xml:space="preserve"> MBS</w:t>
            </w:r>
            <w:r w:rsidRPr="00CE28E3">
              <w:t xml:space="preserve"> affected health technologies</w:t>
            </w:r>
          </w:p>
        </w:tc>
        <w:tc>
          <w:tcPr>
            <w:tcW w:w="1276" w:type="dxa"/>
            <w:tcMar>
              <w:top w:w="0" w:type="dxa"/>
              <w:left w:w="108" w:type="dxa"/>
              <w:bottom w:w="0" w:type="dxa"/>
              <w:right w:w="108" w:type="dxa"/>
            </w:tcMar>
          </w:tcPr>
          <w:p w14:paraId="1BCF66AA"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7EA2492B"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32DDE66A"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05DD4AA7"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1585897D" w14:textId="77777777" w:rsidR="00D612EF" w:rsidRPr="00CE28E3" w:rsidRDefault="00D612EF" w:rsidP="00D23AAA">
            <w:pPr>
              <w:pStyle w:val="TableText"/>
              <w:jc w:val="center"/>
            </w:pPr>
            <w:r>
              <w:t>0</w:t>
            </w:r>
          </w:p>
        </w:tc>
        <w:tc>
          <w:tcPr>
            <w:tcW w:w="1361" w:type="dxa"/>
            <w:tcMar>
              <w:top w:w="0" w:type="dxa"/>
              <w:left w:w="108" w:type="dxa"/>
              <w:bottom w:w="0" w:type="dxa"/>
              <w:right w:w="108" w:type="dxa"/>
            </w:tcMar>
          </w:tcPr>
          <w:p w14:paraId="3EF84951" w14:textId="77777777" w:rsidR="00D612EF" w:rsidRPr="00CE28E3" w:rsidRDefault="00D612EF" w:rsidP="00D23AAA">
            <w:pPr>
              <w:pStyle w:val="TableText"/>
              <w:jc w:val="center"/>
            </w:pPr>
            <w:r>
              <w:t>0</w:t>
            </w:r>
          </w:p>
        </w:tc>
      </w:tr>
      <w:tr w:rsidR="00D612EF" w:rsidRPr="00CE28E3" w14:paraId="0BADE27D" w14:textId="77777777" w:rsidTr="00F8304D">
        <w:tc>
          <w:tcPr>
            <w:tcW w:w="1833" w:type="dxa"/>
            <w:tcMar>
              <w:top w:w="0" w:type="dxa"/>
              <w:left w:w="108" w:type="dxa"/>
              <w:bottom w:w="0" w:type="dxa"/>
              <w:right w:w="108" w:type="dxa"/>
            </w:tcMar>
            <w:hideMark/>
          </w:tcPr>
          <w:p w14:paraId="5D0B2DD5" w14:textId="77777777" w:rsidR="00D612EF" w:rsidRPr="00CE28E3" w:rsidRDefault="00D612EF">
            <w:pPr>
              <w:pStyle w:val="TableText"/>
            </w:pPr>
            <w:r w:rsidRPr="00CE28E3">
              <w:t xml:space="preserve">Net change in costs to the </w:t>
            </w:r>
            <w:r>
              <w:t>MBS</w:t>
            </w:r>
            <w:r w:rsidRPr="00CE28E3">
              <w:t xml:space="preserve"> (with appropriate copayments excluded)</w:t>
            </w:r>
          </w:p>
        </w:tc>
        <w:tc>
          <w:tcPr>
            <w:tcW w:w="1276" w:type="dxa"/>
            <w:tcMar>
              <w:top w:w="0" w:type="dxa"/>
              <w:left w:w="108" w:type="dxa"/>
              <w:bottom w:w="0" w:type="dxa"/>
              <w:right w:w="108" w:type="dxa"/>
            </w:tcMar>
          </w:tcPr>
          <w:p w14:paraId="10EA3107"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03679B8F"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38C77166"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56563596" w14:textId="77777777" w:rsidR="00D612EF" w:rsidRPr="00CE28E3" w:rsidRDefault="00D612EF" w:rsidP="00D23AAA">
            <w:pPr>
              <w:pStyle w:val="TableText"/>
              <w:jc w:val="center"/>
            </w:pPr>
            <w:r>
              <w:t>0</w:t>
            </w:r>
          </w:p>
        </w:tc>
        <w:tc>
          <w:tcPr>
            <w:tcW w:w="1134" w:type="dxa"/>
            <w:tcMar>
              <w:top w:w="0" w:type="dxa"/>
              <w:left w:w="108" w:type="dxa"/>
              <w:bottom w:w="0" w:type="dxa"/>
              <w:right w:w="108" w:type="dxa"/>
            </w:tcMar>
          </w:tcPr>
          <w:p w14:paraId="4452AC09" w14:textId="77777777" w:rsidR="00D612EF" w:rsidRPr="00CE28E3" w:rsidRDefault="00D612EF" w:rsidP="00D23AAA">
            <w:pPr>
              <w:pStyle w:val="TableText"/>
              <w:jc w:val="center"/>
            </w:pPr>
            <w:r>
              <w:t>0</w:t>
            </w:r>
          </w:p>
        </w:tc>
        <w:tc>
          <w:tcPr>
            <w:tcW w:w="1361" w:type="dxa"/>
            <w:tcMar>
              <w:top w:w="0" w:type="dxa"/>
              <w:left w:w="108" w:type="dxa"/>
              <w:bottom w:w="0" w:type="dxa"/>
              <w:right w:w="108" w:type="dxa"/>
            </w:tcMar>
          </w:tcPr>
          <w:p w14:paraId="329EA85E" w14:textId="77777777" w:rsidR="00D612EF" w:rsidRPr="00CE28E3" w:rsidRDefault="00D612EF" w:rsidP="00D23AAA">
            <w:pPr>
              <w:pStyle w:val="TableText"/>
              <w:jc w:val="center"/>
            </w:pPr>
            <w:r>
              <w:t>0</w:t>
            </w:r>
          </w:p>
        </w:tc>
      </w:tr>
      <w:tr w:rsidR="00D612EF" w:rsidRPr="00CE28E3" w14:paraId="07C6FC75" w14:textId="77777777" w:rsidTr="00F8304D">
        <w:tc>
          <w:tcPr>
            <w:tcW w:w="1833" w:type="dxa"/>
            <w:tcMar>
              <w:top w:w="0" w:type="dxa"/>
              <w:left w:w="108" w:type="dxa"/>
              <w:bottom w:w="0" w:type="dxa"/>
              <w:right w:w="108" w:type="dxa"/>
            </w:tcMar>
            <w:hideMark/>
          </w:tcPr>
          <w:p w14:paraId="28D67BB3" w14:textId="77777777" w:rsidR="00D612EF" w:rsidRPr="00CE28E3" w:rsidRDefault="00D612EF">
            <w:pPr>
              <w:pStyle w:val="TableText"/>
            </w:pPr>
            <w:r w:rsidRPr="00CE28E3">
              <w:t xml:space="preserve">Net financial impact to the </w:t>
            </w:r>
            <w:r>
              <w:t>MBS</w:t>
            </w:r>
          </w:p>
        </w:tc>
        <w:tc>
          <w:tcPr>
            <w:tcW w:w="1276" w:type="dxa"/>
            <w:tcMar>
              <w:top w:w="0" w:type="dxa"/>
              <w:left w:w="108" w:type="dxa"/>
              <w:bottom w:w="0" w:type="dxa"/>
              <w:right w:w="108" w:type="dxa"/>
            </w:tcMar>
            <w:vAlign w:val="center"/>
          </w:tcPr>
          <w:p w14:paraId="475454E6" w14:textId="469AE18B" w:rsidR="00D612EF" w:rsidRPr="00CE28E3" w:rsidRDefault="00362FC9" w:rsidP="00D23AAA">
            <w:pPr>
              <w:pStyle w:val="TableText"/>
              <w:jc w:val="center"/>
            </w:pPr>
            <w:r w:rsidRPr="00721311">
              <w:t>$1,582,584</w:t>
            </w:r>
          </w:p>
        </w:tc>
        <w:tc>
          <w:tcPr>
            <w:tcW w:w="1134" w:type="dxa"/>
            <w:tcMar>
              <w:top w:w="0" w:type="dxa"/>
              <w:left w:w="108" w:type="dxa"/>
              <w:bottom w:w="0" w:type="dxa"/>
              <w:right w:w="108" w:type="dxa"/>
            </w:tcMar>
            <w:vAlign w:val="center"/>
          </w:tcPr>
          <w:p w14:paraId="0949D15A" w14:textId="3ECB6C3C" w:rsidR="00D612EF" w:rsidRPr="00CE28E3" w:rsidRDefault="00362FC9" w:rsidP="00D23AAA">
            <w:pPr>
              <w:pStyle w:val="TableText"/>
              <w:jc w:val="center"/>
            </w:pPr>
            <w:r w:rsidRPr="00721311">
              <w:t>$1,938,609</w:t>
            </w:r>
          </w:p>
        </w:tc>
        <w:tc>
          <w:tcPr>
            <w:tcW w:w="1134" w:type="dxa"/>
            <w:tcMar>
              <w:top w:w="0" w:type="dxa"/>
              <w:left w:w="108" w:type="dxa"/>
              <w:bottom w:w="0" w:type="dxa"/>
              <w:right w:w="108" w:type="dxa"/>
            </w:tcMar>
            <w:vAlign w:val="center"/>
          </w:tcPr>
          <w:p w14:paraId="6FF11C58" w14:textId="1D04125D" w:rsidR="00D612EF" w:rsidRPr="00CE28E3" w:rsidRDefault="00362FC9" w:rsidP="00D23AAA">
            <w:pPr>
              <w:pStyle w:val="TableText"/>
              <w:jc w:val="center"/>
            </w:pPr>
            <w:r w:rsidRPr="00721311">
              <w:t>$2,307,324</w:t>
            </w:r>
          </w:p>
        </w:tc>
        <w:tc>
          <w:tcPr>
            <w:tcW w:w="1134" w:type="dxa"/>
            <w:tcMar>
              <w:top w:w="0" w:type="dxa"/>
              <w:left w:w="108" w:type="dxa"/>
              <w:bottom w:w="0" w:type="dxa"/>
              <w:right w:w="108" w:type="dxa"/>
            </w:tcMar>
            <w:vAlign w:val="center"/>
          </w:tcPr>
          <w:p w14:paraId="0FD95415" w14:textId="40414816" w:rsidR="00D612EF" w:rsidRPr="00CE28E3" w:rsidRDefault="00362FC9" w:rsidP="00D23AAA">
            <w:pPr>
              <w:pStyle w:val="TableText"/>
              <w:jc w:val="center"/>
            </w:pPr>
            <w:r w:rsidRPr="00721311">
              <w:t>$2,693,664</w:t>
            </w:r>
          </w:p>
        </w:tc>
        <w:tc>
          <w:tcPr>
            <w:tcW w:w="1134" w:type="dxa"/>
            <w:tcMar>
              <w:top w:w="0" w:type="dxa"/>
              <w:left w:w="108" w:type="dxa"/>
              <w:bottom w:w="0" w:type="dxa"/>
              <w:right w:w="108" w:type="dxa"/>
            </w:tcMar>
            <w:vAlign w:val="center"/>
          </w:tcPr>
          <w:p w14:paraId="1F7B63B3" w14:textId="237746B7" w:rsidR="00D612EF" w:rsidRPr="00CE28E3" w:rsidRDefault="00362FC9" w:rsidP="00D23AAA">
            <w:pPr>
              <w:pStyle w:val="TableText"/>
              <w:jc w:val="center"/>
            </w:pPr>
            <w:r w:rsidRPr="00721311">
              <w:t>$3,093,963</w:t>
            </w:r>
          </w:p>
        </w:tc>
        <w:tc>
          <w:tcPr>
            <w:tcW w:w="1361" w:type="dxa"/>
            <w:tcMar>
              <w:top w:w="0" w:type="dxa"/>
              <w:left w:w="108" w:type="dxa"/>
              <w:bottom w:w="0" w:type="dxa"/>
              <w:right w:w="108" w:type="dxa"/>
            </w:tcMar>
            <w:vAlign w:val="center"/>
          </w:tcPr>
          <w:p w14:paraId="5BAC9B19" w14:textId="31E0A256" w:rsidR="00D612EF" w:rsidRPr="00CE28E3" w:rsidRDefault="00362FC9" w:rsidP="00D23AAA">
            <w:pPr>
              <w:pStyle w:val="TableText"/>
              <w:jc w:val="center"/>
            </w:pPr>
            <w:r w:rsidRPr="00721311">
              <w:t>$3,506,529</w:t>
            </w:r>
          </w:p>
        </w:tc>
      </w:tr>
      <w:tr w:rsidR="002F0C04" w:rsidRPr="00CE28E3" w14:paraId="11342058" w14:textId="77777777" w:rsidTr="48B3BBF9">
        <w:tc>
          <w:tcPr>
            <w:tcW w:w="1833" w:type="dxa"/>
            <w:tcMar>
              <w:top w:w="0" w:type="dxa"/>
              <w:left w:w="108" w:type="dxa"/>
              <w:bottom w:w="0" w:type="dxa"/>
              <w:right w:w="108" w:type="dxa"/>
            </w:tcMar>
          </w:tcPr>
          <w:p w14:paraId="47626426" w14:textId="01DC48CE" w:rsidR="002F0C04" w:rsidRPr="00CE28E3" w:rsidRDefault="002F0C04" w:rsidP="002F0C04">
            <w:pPr>
              <w:pStyle w:val="TableText"/>
            </w:pPr>
            <w:r w:rsidRPr="006319C7">
              <w:rPr>
                <w:b/>
                <w:bCs/>
              </w:rPr>
              <w:t xml:space="preserve">Revised </w:t>
            </w:r>
            <w:r w:rsidR="00FD35FF">
              <w:rPr>
                <w:b/>
                <w:bCs/>
              </w:rPr>
              <w:t xml:space="preserve">net financial impact to the </w:t>
            </w:r>
            <w:r w:rsidRPr="006319C7">
              <w:rPr>
                <w:b/>
                <w:bCs/>
              </w:rPr>
              <w:t xml:space="preserve">MBS </w:t>
            </w:r>
          </w:p>
        </w:tc>
        <w:tc>
          <w:tcPr>
            <w:tcW w:w="1276" w:type="dxa"/>
            <w:tcMar>
              <w:top w:w="0" w:type="dxa"/>
              <w:left w:w="108" w:type="dxa"/>
              <w:bottom w:w="0" w:type="dxa"/>
              <w:right w:w="108" w:type="dxa"/>
            </w:tcMar>
            <w:vAlign w:val="center"/>
          </w:tcPr>
          <w:p w14:paraId="24A8E7D0" w14:textId="59DEB729" w:rsidR="002F0C04" w:rsidRPr="00721311" w:rsidRDefault="002F0C04" w:rsidP="002F0C04">
            <w:pPr>
              <w:pStyle w:val="TableText"/>
              <w:jc w:val="center"/>
            </w:pPr>
            <w:r w:rsidRPr="006319C7">
              <w:rPr>
                <w:rStyle w:val="normaltextrun"/>
                <w:rFonts w:cs="Segoe UI"/>
                <w:b/>
                <w:bCs/>
                <w:szCs w:val="20"/>
              </w:rPr>
              <w:t>$1,532,076</w:t>
            </w:r>
            <w:r w:rsidRPr="006319C7">
              <w:rPr>
                <w:rStyle w:val="eop"/>
                <w:rFonts w:cs="Segoe UI"/>
                <w:b/>
                <w:bCs/>
                <w:szCs w:val="20"/>
              </w:rPr>
              <w:t> </w:t>
            </w:r>
          </w:p>
        </w:tc>
        <w:tc>
          <w:tcPr>
            <w:tcW w:w="1134" w:type="dxa"/>
            <w:tcMar>
              <w:top w:w="0" w:type="dxa"/>
              <w:left w:w="108" w:type="dxa"/>
              <w:bottom w:w="0" w:type="dxa"/>
              <w:right w:w="108" w:type="dxa"/>
            </w:tcMar>
            <w:vAlign w:val="center"/>
          </w:tcPr>
          <w:p w14:paraId="7ED1E083" w14:textId="5025954E" w:rsidR="002F0C04" w:rsidRPr="00721311" w:rsidRDefault="002F0C04" w:rsidP="002F0C04">
            <w:pPr>
              <w:pStyle w:val="TableText"/>
              <w:jc w:val="center"/>
            </w:pPr>
            <w:r w:rsidRPr="006319C7">
              <w:rPr>
                <w:rStyle w:val="normaltextrun"/>
                <w:rFonts w:cs="Segoe UI"/>
                <w:b/>
                <w:bCs/>
                <w:szCs w:val="20"/>
              </w:rPr>
              <w:t>$1,876,739</w:t>
            </w:r>
            <w:r w:rsidRPr="006319C7">
              <w:rPr>
                <w:rStyle w:val="eop"/>
                <w:rFonts w:cs="Segoe UI"/>
                <w:b/>
                <w:bCs/>
                <w:szCs w:val="20"/>
              </w:rPr>
              <w:t> </w:t>
            </w:r>
          </w:p>
        </w:tc>
        <w:tc>
          <w:tcPr>
            <w:tcW w:w="1134" w:type="dxa"/>
            <w:tcMar>
              <w:top w:w="0" w:type="dxa"/>
              <w:left w:w="108" w:type="dxa"/>
              <w:bottom w:w="0" w:type="dxa"/>
              <w:right w:w="108" w:type="dxa"/>
            </w:tcMar>
            <w:vAlign w:val="center"/>
          </w:tcPr>
          <w:p w14:paraId="549F0C82" w14:textId="4CDDC360" w:rsidR="002F0C04" w:rsidRPr="00721311" w:rsidRDefault="002F0C04" w:rsidP="002F0C04">
            <w:pPr>
              <w:pStyle w:val="TableText"/>
              <w:jc w:val="center"/>
            </w:pPr>
            <w:r w:rsidRPr="006319C7">
              <w:rPr>
                <w:rStyle w:val="normaltextrun"/>
                <w:rFonts w:cs="Segoe UI"/>
                <w:b/>
                <w:bCs/>
                <w:szCs w:val="20"/>
              </w:rPr>
              <w:t>$2,233,686</w:t>
            </w:r>
            <w:r w:rsidRPr="006319C7">
              <w:rPr>
                <w:rStyle w:val="eop"/>
                <w:rFonts w:cs="Segoe UI"/>
                <w:b/>
                <w:bCs/>
                <w:szCs w:val="20"/>
              </w:rPr>
              <w:t> </w:t>
            </w:r>
          </w:p>
        </w:tc>
        <w:tc>
          <w:tcPr>
            <w:tcW w:w="1134" w:type="dxa"/>
            <w:tcMar>
              <w:top w:w="0" w:type="dxa"/>
              <w:left w:w="108" w:type="dxa"/>
              <w:bottom w:w="0" w:type="dxa"/>
              <w:right w:w="108" w:type="dxa"/>
            </w:tcMar>
            <w:vAlign w:val="center"/>
          </w:tcPr>
          <w:p w14:paraId="74AFA812" w14:textId="729D253F" w:rsidR="002F0C04" w:rsidRPr="00721311" w:rsidRDefault="002F0C04" w:rsidP="002F0C04">
            <w:pPr>
              <w:pStyle w:val="TableText"/>
              <w:jc w:val="center"/>
            </w:pPr>
            <w:r w:rsidRPr="006319C7">
              <w:rPr>
                <w:rStyle w:val="normaltextrun"/>
                <w:rFonts w:cs="Segoe UI"/>
                <w:b/>
                <w:bCs/>
                <w:szCs w:val="20"/>
              </w:rPr>
              <w:t>$2,607,696</w:t>
            </w:r>
            <w:r w:rsidRPr="006319C7">
              <w:rPr>
                <w:rStyle w:val="eop"/>
                <w:rFonts w:cs="Segoe UI"/>
                <w:b/>
                <w:bCs/>
                <w:szCs w:val="20"/>
              </w:rPr>
              <w:t> </w:t>
            </w:r>
          </w:p>
        </w:tc>
        <w:tc>
          <w:tcPr>
            <w:tcW w:w="1134" w:type="dxa"/>
            <w:tcMar>
              <w:top w:w="0" w:type="dxa"/>
              <w:left w:w="108" w:type="dxa"/>
              <w:bottom w:w="0" w:type="dxa"/>
              <w:right w:w="108" w:type="dxa"/>
            </w:tcMar>
            <w:vAlign w:val="center"/>
          </w:tcPr>
          <w:p w14:paraId="11CFBA5F" w14:textId="11AAC6E5" w:rsidR="002F0C04" w:rsidRPr="00721311" w:rsidRDefault="002F0C04" w:rsidP="002F0C04">
            <w:pPr>
              <w:pStyle w:val="TableText"/>
              <w:jc w:val="center"/>
            </w:pPr>
            <w:r w:rsidRPr="006319C7">
              <w:rPr>
                <w:rStyle w:val="normaltextrun"/>
                <w:rFonts w:cs="Segoe UI"/>
                <w:b/>
                <w:bCs/>
                <w:szCs w:val="20"/>
              </w:rPr>
              <w:t>$2,995,220</w:t>
            </w:r>
            <w:r w:rsidRPr="006319C7">
              <w:rPr>
                <w:rStyle w:val="eop"/>
                <w:rFonts w:cs="Segoe UI"/>
                <w:b/>
                <w:bCs/>
                <w:szCs w:val="20"/>
              </w:rPr>
              <w:t> </w:t>
            </w:r>
          </w:p>
        </w:tc>
        <w:tc>
          <w:tcPr>
            <w:tcW w:w="1361" w:type="dxa"/>
            <w:tcMar>
              <w:top w:w="0" w:type="dxa"/>
              <w:left w:w="108" w:type="dxa"/>
              <w:bottom w:w="0" w:type="dxa"/>
              <w:right w:w="108" w:type="dxa"/>
            </w:tcMar>
            <w:vAlign w:val="center"/>
          </w:tcPr>
          <w:p w14:paraId="692D7D7D" w14:textId="5F9CECF9" w:rsidR="002F0C04" w:rsidRPr="00721311" w:rsidRDefault="002F0C04" w:rsidP="002F0C04">
            <w:pPr>
              <w:pStyle w:val="TableText"/>
              <w:jc w:val="center"/>
            </w:pPr>
            <w:r w:rsidRPr="006319C7">
              <w:rPr>
                <w:rStyle w:val="normaltextrun"/>
                <w:rFonts w:cs="Segoe UI"/>
                <w:b/>
                <w:bCs/>
                <w:szCs w:val="20"/>
              </w:rPr>
              <w:t>$3,394,619</w:t>
            </w:r>
            <w:r w:rsidRPr="006319C7">
              <w:rPr>
                <w:rStyle w:val="eop"/>
                <w:rFonts w:cs="Segoe UI"/>
                <w:b/>
                <w:bCs/>
                <w:szCs w:val="20"/>
              </w:rPr>
              <w:t> </w:t>
            </w:r>
          </w:p>
        </w:tc>
      </w:tr>
    </w:tbl>
    <w:p w14:paraId="4489E6C7" w14:textId="1EE8EB11" w:rsidR="009A1B7D" w:rsidRDefault="00CF1BBF" w:rsidP="00903B07">
      <w:pPr>
        <w:pStyle w:val="TableFigureFooter"/>
      </w:pPr>
      <w:r>
        <w:t xml:space="preserve">Source: </w:t>
      </w:r>
      <w:r w:rsidR="0041163E">
        <w:t>Excel sheet ‘4. Net cost to</w:t>
      </w:r>
      <w:r w:rsidR="00DA7A56">
        <w:t xml:space="preserve"> Government</w:t>
      </w:r>
      <w:r w:rsidR="008E6346">
        <w:t xml:space="preserve">’ </w:t>
      </w:r>
      <w:r w:rsidR="009A1B7D">
        <w:t xml:space="preserve">of </w:t>
      </w:r>
      <w:r w:rsidR="00F157FE">
        <w:t xml:space="preserve">Utilisation and Cost </w:t>
      </w:r>
      <w:proofErr w:type="spellStart"/>
      <w:r w:rsidR="00F157FE">
        <w:t>Model</w:t>
      </w:r>
      <w:r w:rsidR="000C3F67">
        <w:t>_updated</w:t>
      </w:r>
      <w:proofErr w:type="spellEnd"/>
      <w:r w:rsidR="00F157FE">
        <w:t xml:space="preserve"> workbook</w:t>
      </w:r>
      <w:r w:rsidR="009A1B7D">
        <w:t>.</w:t>
      </w:r>
      <w:r w:rsidR="0052235F">
        <w:t xml:space="preserve"> </w:t>
      </w:r>
      <w:r w:rsidR="00A769A0">
        <w:t xml:space="preserve">Bold </w:t>
      </w:r>
      <w:r w:rsidR="00792A39">
        <w:t>text</w:t>
      </w:r>
      <w:r w:rsidR="00A769A0">
        <w:t xml:space="preserve"> indicates</w:t>
      </w:r>
      <w:r w:rsidR="00792A39">
        <w:t xml:space="preserve"> updated </w:t>
      </w:r>
      <w:r w:rsidR="004A257C">
        <w:t xml:space="preserve">calculation based on the </w:t>
      </w:r>
      <w:r w:rsidR="00664400">
        <w:t>MSAC</w:t>
      </w:r>
      <w:r w:rsidR="007B4E68">
        <w:t>’s</w:t>
      </w:r>
      <w:r w:rsidR="00664400">
        <w:t xml:space="preserve"> supported </w:t>
      </w:r>
      <w:r w:rsidR="004A257C">
        <w:t>revised MBS item fee of $182.00</w:t>
      </w:r>
    </w:p>
    <w:p w14:paraId="76AB3736" w14:textId="36CDD20D" w:rsidR="00D612EF" w:rsidRDefault="00903B07" w:rsidP="00D612EF">
      <w:pPr>
        <w:pStyle w:val="TableFigureFooter"/>
      </w:pPr>
      <w:r>
        <w:t xml:space="preserve">Abbreviations: </w:t>
      </w:r>
      <w:r w:rsidR="00CD73DB" w:rsidRPr="00CD73DB">
        <w:rPr>
          <w:i/>
          <w:iCs/>
        </w:rPr>
        <w:t>DPYD</w:t>
      </w:r>
      <w:r w:rsidRPr="00D23AAA">
        <w:rPr>
          <w:i/>
        </w:rPr>
        <w:t>=</w:t>
      </w:r>
      <w:proofErr w:type="spellStart"/>
      <w:r w:rsidRPr="00D23AAA">
        <w:rPr>
          <w:i/>
        </w:rPr>
        <w:t>Dihydropyrimidine</w:t>
      </w:r>
      <w:proofErr w:type="spellEnd"/>
      <w:r w:rsidRPr="00D23AAA">
        <w:rPr>
          <w:i/>
        </w:rPr>
        <w:t xml:space="preserve"> dehydrogenase</w:t>
      </w:r>
      <w:r w:rsidRPr="004D48AA">
        <w:t xml:space="preserve"> </w:t>
      </w:r>
      <w:r w:rsidR="00DC5233">
        <w:t>gene</w:t>
      </w:r>
      <w:r>
        <w:t>; MBS = Medical Benefits Scheme</w:t>
      </w:r>
      <w:r w:rsidR="00E47A3E">
        <w:t xml:space="preserve">; </w:t>
      </w:r>
      <w:r w:rsidR="00664C6F">
        <w:t xml:space="preserve">PICO=Population, Intervention, Comparator, Outcome; </w:t>
      </w:r>
      <w:r w:rsidR="00311153">
        <w:t>MSAC=Medical Services Advisory Committee; CRC=Colorectal carcinoma; PBS=</w:t>
      </w:r>
      <w:r w:rsidR="003D035F">
        <w:t>Pharmaceutical</w:t>
      </w:r>
      <w:r w:rsidR="00311153">
        <w:t xml:space="preserve"> Benefits </w:t>
      </w:r>
      <w:r w:rsidR="003D035F">
        <w:t>Scheme.</w:t>
      </w:r>
      <w:r w:rsidR="00311153">
        <w:t xml:space="preserve"> </w:t>
      </w:r>
    </w:p>
    <w:p w14:paraId="2171FAD8" w14:textId="659A0CDF" w:rsidR="00D612EF" w:rsidRDefault="00D612EF" w:rsidP="00D612EF">
      <w:r w:rsidRPr="00F13EFD">
        <w:t xml:space="preserve">It was estimated that </w:t>
      </w:r>
      <w:r>
        <w:t>in the first year of listing the new MBS item would have a net financial implication of $1.</w:t>
      </w:r>
      <w:r w:rsidR="004B5864">
        <w:t>6</w:t>
      </w:r>
      <w:r>
        <w:t xml:space="preserve"> million, rising to $3.5 million in </w:t>
      </w:r>
      <w:r w:rsidR="00FB5009">
        <w:t>Y</w:t>
      </w:r>
      <w:r>
        <w:t>ear 6. This equates to a net six-year financial implication of approximately $15.</w:t>
      </w:r>
      <w:r w:rsidR="003650A2">
        <w:t>1</w:t>
      </w:r>
      <w:r>
        <w:t xml:space="preserve"> million. </w:t>
      </w:r>
    </w:p>
    <w:p w14:paraId="0EFB6CA1" w14:textId="2F7B646C" w:rsidR="006D0EC2" w:rsidRPr="00AB5CCB" w:rsidRDefault="006D0EC2" w:rsidP="00770084">
      <w:pPr>
        <w:pStyle w:val="Instructionaltext"/>
        <w:numPr>
          <w:ilvl w:val="0"/>
          <w:numId w:val="7"/>
        </w:numPr>
        <w:rPr>
          <w:color w:val="auto"/>
        </w:rPr>
      </w:pPr>
      <w:r w:rsidRPr="00AB5CCB">
        <w:rPr>
          <w:color w:val="auto"/>
        </w:rPr>
        <w:t xml:space="preserve">The average cost of the proposed technology per patient per </w:t>
      </w:r>
      <w:r w:rsidR="00721EA7" w:rsidRPr="00AB5CCB">
        <w:rPr>
          <w:color w:val="auto"/>
        </w:rPr>
        <w:t>once in a lifetime</w:t>
      </w:r>
      <w:r w:rsidRPr="00AB5CCB">
        <w:rPr>
          <w:color w:val="auto"/>
        </w:rPr>
        <w:t xml:space="preserve"> is $</w:t>
      </w:r>
      <w:r w:rsidR="00721EA7" w:rsidRPr="00AB5CCB">
        <w:rPr>
          <w:color w:val="auto"/>
        </w:rPr>
        <w:t>188</w:t>
      </w:r>
      <w:r w:rsidR="005342C3" w:rsidRPr="00AB5CCB">
        <w:rPr>
          <w:color w:val="auto"/>
        </w:rPr>
        <w:t>.</w:t>
      </w:r>
    </w:p>
    <w:p w14:paraId="01215E54" w14:textId="1FF90682" w:rsidR="006D0EC2" w:rsidRPr="00AB5CCB" w:rsidRDefault="006D0EC2" w:rsidP="00770084">
      <w:pPr>
        <w:pStyle w:val="Instructionaltext"/>
        <w:numPr>
          <w:ilvl w:val="0"/>
          <w:numId w:val="7"/>
        </w:numPr>
        <w:rPr>
          <w:color w:val="auto"/>
        </w:rPr>
      </w:pPr>
      <w:r w:rsidRPr="00AB5CCB">
        <w:rPr>
          <w:color w:val="auto"/>
        </w:rPr>
        <w:t xml:space="preserve">The average frequency of use of the proposed technology </w:t>
      </w:r>
      <w:r w:rsidR="00AB5CCB" w:rsidRPr="00AB5CCB">
        <w:rPr>
          <w:color w:val="auto"/>
        </w:rPr>
        <w:t>is</w:t>
      </w:r>
      <w:r w:rsidRPr="00AB5CCB">
        <w:rPr>
          <w:color w:val="auto"/>
        </w:rPr>
        <w:t xml:space="preserve"> </w:t>
      </w:r>
      <w:r w:rsidR="003E5BFA" w:rsidRPr="00AB5CCB">
        <w:rPr>
          <w:color w:val="auto"/>
        </w:rPr>
        <w:t xml:space="preserve">once </w:t>
      </w:r>
      <w:r w:rsidRPr="00AB5CCB">
        <w:rPr>
          <w:color w:val="auto"/>
        </w:rPr>
        <w:t>per lifetime.</w:t>
      </w:r>
    </w:p>
    <w:p w14:paraId="43B2CCBE" w14:textId="5D170586" w:rsidR="001D3A64" w:rsidRPr="00AB5CCB" w:rsidRDefault="006D0EC2" w:rsidP="00770084">
      <w:pPr>
        <w:pStyle w:val="Instructionaltext"/>
        <w:numPr>
          <w:ilvl w:val="0"/>
          <w:numId w:val="7"/>
        </w:numPr>
        <w:rPr>
          <w:color w:val="auto"/>
        </w:rPr>
      </w:pPr>
      <w:r w:rsidRPr="00AB5CCB">
        <w:rPr>
          <w:color w:val="auto"/>
        </w:rPr>
        <w:t xml:space="preserve">The average out-of-pocket </w:t>
      </w:r>
      <w:r w:rsidR="00C83D84" w:rsidRPr="00AB5CCB">
        <w:rPr>
          <w:color w:val="auto"/>
        </w:rPr>
        <w:t>cost per patient per course is: $</w:t>
      </w:r>
      <w:r w:rsidR="00AB5CCB" w:rsidRPr="00AB5CCB">
        <w:rPr>
          <w:color w:val="auto"/>
        </w:rPr>
        <w:t>47</w:t>
      </w:r>
      <w:r w:rsidR="005342C3" w:rsidRPr="00AB5CCB">
        <w:rPr>
          <w:color w:val="auto"/>
        </w:rPr>
        <w:t>.</w:t>
      </w:r>
    </w:p>
    <w:p w14:paraId="26B32D30" w14:textId="7935573E" w:rsidR="00D612EF" w:rsidRDefault="007A07CA" w:rsidP="00D612EF">
      <w:r>
        <w:fldChar w:fldCharType="begin"/>
      </w:r>
      <w:r>
        <w:instrText xml:space="preserve"> REF _Ref172297989 \h </w:instrText>
      </w:r>
      <w:r>
        <w:fldChar w:fldCharType="separate"/>
      </w:r>
      <w:r w:rsidR="00835345">
        <w:t xml:space="preserve">Table </w:t>
      </w:r>
      <w:r w:rsidR="00835345">
        <w:rPr>
          <w:noProof/>
        </w:rPr>
        <w:t>13</w:t>
      </w:r>
      <w:r>
        <w:fldChar w:fldCharType="end"/>
      </w:r>
      <w:r>
        <w:t xml:space="preserve"> </w:t>
      </w:r>
      <w:r w:rsidR="00D612EF">
        <w:t xml:space="preserve">summarises the total cost to state/territory and commonwealth government health budgets. </w:t>
      </w:r>
      <w:r w:rsidR="000D6B7F">
        <w:t xml:space="preserve">With the listing of </w:t>
      </w:r>
      <w:r w:rsidR="000D6B7F" w:rsidRPr="00CD73DB">
        <w:rPr>
          <w:i/>
        </w:rPr>
        <w:t>DPYD</w:t>
      </w:r>
      <w:r w:rsidR="000D6B7F">
        <w:t xml:space="preserve"> genotyping, there should be a decrease in the demand for hospital admissions and extended hospitalisations due to grade 3 FP related toxicities</w:t>
      </w:r>
      <w:r w:rsidR="00D612EF">
        <w:t xml:space="preserve"> lead</w:t>
      </w:r>
      <w:r w:rsidR="000D6B7F">
        <w:t>ing</w:t>
      </w:r>
      <w:r w:rsidR="00D612EF">
        <w:t xml:space="preserve"> to </w:t>
      </w:r>
      <w:r w:rsidR="00D612EF">
        <w:lastRenderedPageBreak/>
        <w:t>a saving to the government health budgets of $</w:t>
      </w:r>
      <w:r w:rsidR="00AE4A05">
        <w:t>17</w:t>
      </w:r>
      <w:r w:rsidR="00E64379">
        <w:t>.</w:t>
      </w:r>
      <w:r w:rsidR="003F3A5E">
        <w:t>7</w:t>
      </w:r>
      <w:r w:rsidR="00D612EF">
        <w:t xml:space="preserve"> million in year one, rising to $</w:t>
      </w:r>
      <w:r w:rsidR="00E82E3C">
        <w:t>3</w:t>
      </w:r>
      <w:r w:rsidR="00D612EF">
        <w:t>9</w:t>
      </w:r>
      <w:r w:rsidR="00E82E3C">
        <w:t>.1</w:t>
      </w:r>
      <w:r w:rsidR="00983002">
        <w:t xml:space="preserve"> </w:t>
      </w:r>
      <w:r w:rsidR="00D612EF">
        <w:t xml:space="preserve">million by year six. </w:t>
      </w:r>
      <w:r w:rsidR="004E13A9">
        <w:t>The</w:t>
      </w:r>
      <w:r w:rsidR="00D612EF" w:rsidRPr="00EE7A7A">
        <w:t xml:space="preserve"> total </w:t>
      </w:r>
      <w:r w:rsidR="00D612EF">
        <w:t>saving</w:t>
      </w:r>
      <w:r w:rsidR="00D612EF" w:rsidRPr="00EE7A7A">
        <w:t xml:space="preserve"> </w:t>
      </w:r>
      <w:r w:rsidR="004E13A9" w:rsidRPr="00EE7A7A">
        <w:t xml:space="preserve">over the first </w:t>
      </w:r>
      <w:r w:rsidR="004E13A9">
        <w:t>six</w:t>
      </w:r>
      <w:r w:rsidR="004E13A9" w:rsidRPr="00EE7A7A">
        <w:t xml:space="preserve"> years of listing </w:t>
      </w:r>
      <w:r w:rsidR="004E13A9">
        <w:t>is</w:t>
      </w:r>
      <w:r w:rsidR="00D612EF" w:rsidRPr="00EE7A7A">
        <w:t xml:space="preserve"> </w:t>
      </w:r>
      <w:r w:rsidR="00D612EF">
        <w:t>approximately</w:t>
      </w:r>
      <w:r w:rsidR="00D612EF" w:rsidRPr="00EE7A7A">
        <w:t xml:space="preserve"> $</w:t>
      </w:r>
      <w:r w:rsidR="00D06CD4">
        <w:t>168.7</w:t>
      </w:r>
      <w:r w:rsidR="00D612EF" w:rsidRPr="00EE7A7A">
        <w:t xml:space="preserve"> million</w:t>
      </w:r>
      <w:r w:rsidR="00D612EF">
        <w:t>.</w:t>
      </w:r>
    </w:p>
    <w:p w14:paraId="42D95EBB" w14:textId="36BA2D84" w:rsidR="00D612EF" w:rsidRDefault="00D612EF" w:rsidP="00D612EF">
      <w:pPr>
        <w:pStyle w:val="TableHeading0"/>
      </w:pPr>
      <w:bookmarkStart w:id="51" w:name="_Ref172297989"/>
      <w:r>
        <w:t xml:space="preserve">Table </w:t>
      </w:r>
      <w:r>
        <w:fldChar w:fldCharType="begin"/>
      </w:r>
      <w:r>
        <w:instrText xml:space="preserve"> SEQ Table \* ARABIC </w:instrText>
      </w:r>
      <w:r>
        <w:fldChar w:fldCharType="separate"/>
      </w:r>
      <w:r w:rsidR="00835345">
        <w:rPr>
          <w:noProof/>
        </w:rPr>
        <w:t>13</w:t>
      </w:r>
      <w:r>
        <w:rPr>
          <w:noProof/>
        </w:rPr>
        <w:fldChar w:fldCharType="end"/>
      </w:r>
      <w:bookmarkEnd w:id="51"/>
      <w:r>
        <w:t xml:space="preserve"> Total cost to government health budgets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78"/>
        <w:gridCol w:w="1176"/>
        <w:gridCol w:w="1176"/>
        <w:gridCol w:w="1176"/>
        <w:gridCol w:w="1176"/>
        <w:gridCol w:w="1176"/>
        <w:gridCol w:w="1172"/>
      </w:tblGrid>
      <w:tr w:rsidR="00D673BF" w:rsidRPr="00D673BF" w14:paraId="6F6BCE4A" w14:textId="77777777">
        <w:trPr>
          <w:trHeight w:val="200"/>
        </w:trPr>
        <w:tc>
          <w:tcPr>
            <w:tcW w:w="1095" w:type="pct"/>
            <w:shd w:val="clear" w:color="auto" w:fill="D9D9D9" w:themeFill="background1" w:themeFillShade="D9"/>
            <w:noWrap/>
            <w:vAlign w:val="bottom"/>
            <w:hideMark/>
          </w:tcPr>
          <w:p w14:paraId="28141309" w14:textId="77777777" w:rsidR="00D612EF" w:rsidRPr="00D673BF" w:rsidRDefault="00D612EF">
            <w:pPr>
              <w:pStyle w:val="TableText"/>
              <w:rPr>
                <w:b/>
              </w:rPr>
            </w:pPr>
            <w:r w:rsidRPr="00D673BF">
              <w:rPr>
                <w:b/>
              </w:rPr>
              <w:t> </w:t>
            </w:r>
          </w:p>
        </w:tc>
        <w:tc>
          <w:tcPr>
            <w:tcW w:w="651" w:type="pct"/>
            <w:shd w:val="clear" w:color="auto" w:fill="D9D9D9" w:themeFill="background1" w:themeFillShade="D9"/>
            <w:noWrap/>
            <w:vAlign w:val="center"/>
            <w:hideMark/>
          </w:tcPr>
          <w:p w14:paraId="252B17B6" w14:textId="77777777" w:rsidR="00D612EF" w:rsidRPr="00D673BF" w:rsidRDefault="00D612EF">
            <w:pPr>
              <w:pStyle w:val="TableText"/>
              <w:jc w:val="center"/>
              <w:rPr>
                <w:b/>
              </w:rPr>
            </w:pPr>
            <w:r w:rsidRPr="00D673BF">
              <w:rPr>
                <w:rFonts w:cs="Arial"/>
                <w:b/>
                <w:bCs/>
                <w:szCs w:val="20"/>
                <w:lang w:eastAsia="en-AU"/>
              </w:rPr>
              <w:t>2025</w:t>
            </w:r>
          </w:p>
        </w:tc>
        <w:tc>
          <w:tcPr>
            <w:tcW w:w="651" w:type="pct"/>
            <w:shd w:val="clear" w:color="auto" w:fill="D9D9D9" w:themeFill="background1" w:themeFillShade="D9"/>
            <w:noWrap/>
            <w:vAlign w:val="center"/>
            <w:hideMark/>
          </w:tcPr>
          <w:p w14:paraId="013979FC" w14:textId="77777777" w:rsidR="00D612EF" w:rsidRPr="00D673BF" w:rsidRDefault="00D612EF">
            <w:pPr>
              <w:pStyle w:val="TableText"/>
              <w:jc w:val="center"/>
              <w:rPr>
                <w:b/>
              </w:rPr>
            </w:pPr>
            <w:r w:rsidRPr="00D673BF">
              <w:rPr>
                <w:rFonts w:cs="Arial"/>
                <w:b/>
                <w:bCs/>
                <w:szCs w:val="20"/>
                <w:lang w:eastAsia="en-AU"/>
              </w:rPr>
              <w:t>2026</w:t>
            </w:r>
          </w:p>
        </w:tc>
        <w:tc>
          <w:tcPr>
            <w:tcW w:w="651" w:type="pct"/>
            <w:shd w:val="clear" w:color="auto" w:fill="D9D9D9" w:themeFill="background1" w:themeFillShade="D9"/>
            <w:noWrap/>
            <w:vAlign w:val="center"/>
            <w:hideMark/>
          </w:tcPr>
          <w:p w14:paraId="15097C5C" w14:textId="77777777" w:rsidR="00D612EF" w:rsidRPr="00D673BF" w:rsidRDefault="00D612EF">
            <w:pPr>
              <w:pStyle w:val="TableText"/>
              <w:jc w:val="center"/>
              <w:rPr>
                <w:b/>
              </w:rPr>
            </w:pPr>
            <w:r w:rsidRPr="00D673BF">
              <w:rPr>
                <w:rFonts w:cs="Arial"/>
                <w:b/>
                <w:bCs/>
                <w:szCs w:val="20"/>
                <w:lang w:eastAsia="en-AU"/>
              </w:rPr>
              <w:t>2027</w:t>
            </w:r>
          </w:p>
        </w:tc>
        <w:tc>
          <w:tcPr>
            <w:tcW w:w="651" w:type="pct"/>
            <w:shd w:val="clear" w:color="auto" w:fill="D9D9D9" w:themeFill="background1" w:themeFillShade="D9"/>
            <w:noWrap/>
            <w:vAlign w:val="center"/>
            <w:hideMark/>
          </w:tcPr>
          <w:p w14:paraId="27F497A9" w14:textId="77777777" w:rsidR="00D612EF" w:rsidRPr="00D673BF" w:rsidRDefault="00D612EF">
            <w:pPr>
              <w:pStyle w:val="TableText"/>
              <w:jc w:val="center"/>
              <w:rPr>
                <w:b/>
              </w:rPr>
            </w:pPr>
            <w:r w:rsidRPr="00D673BF">
              <w:rPr>
                <w:rFonts w:cs="Arial"/>
                <w:b/>
                <w:bCs/>
                <w:szCs w:val="20"/>
                <w:lang w:eastAsia="en-AU"/>
              </w:rPr>
              <w:t>2028</w:t>
            </w:r>
          </w:p>
        </w:tc>
        <w:tc>
          <w:tcPr>
            <w:tcW w:w="651" w:type="pct"/>
            <w:shd w:val="clear" w:color="auto" w:fill="D9D9D9" w:themeFill="background1" w:themeFillShade="D9"/>
            <w:noWrap/>
            <w:vAlign w:val="center"/>
            <w:hideMark/>
          </w:tcPr>
          <w:p w14:paraId="6D6B0340" w14:textId="77777777" w:rsidR="00D612EF" w:rsidRPr="00D673BF" w:rsidRDefault="00D612EF">
            <w:pPr>
              <w:pStyle w:val="TableText"/>
              <w:jc w:val="center"/>
              <w:rPr>
                <w:b/>
              </w:rPr>
            </w:pPr>
            <w:r w:rsidRPr="00D673BF">
              <w:rPr>
                <w:rFonts w:cs="Arial"/>
                <w:b/>
                <w:bCs/>
                <w:szCs w:val="20"/>
                <w:lang w:eastAsia="en-AU"/>
              </w:rPr>
              <w:t>2029</w:t>
            </w:r>
          </w:p>
        </w:tc>
        <w:tc>
          <w:tcPr>
            <w:tcW w:w="649" w:type="pct"/>
            <w:shd w:val="clear" w:color="auto" w:fill="D9D9D9" w:themeFill="background1" w:themeFillShade="D9"/>
            <w:noWrap/>
            <w:vAlign w:val="center"/>
            <w:hideMark/>
          </w:tcPr>
          <w:p w14:paraId="3D689012" w14:textId="77777777" w:rsidR="00D612EF" w:rsidRPr="00D673BF" w:rsidRDefault="00D612EF">
            <w:pPr>
              <w:pStyle w:val="TableText"/>
              <w:jc w:val="center"/>
              <w:rPr>
                <w:b/>
              </w:rPr>
            </w:pPr>
            <w:r w:rsidRPr="00D673BF">
              <w:rPr>
                <w:rFonts w:cs="Arial"/>
                <w:b/>
                <w:bCs/>
                <w:szCs w:val="20"/>
                <w:lang w:eastAsia="en-AU"/>
              </w:rPr>
              <w:t>2030</w:t>
            </w:r>
          </w:p>
        </w:tc>
      </w:tr>
      <w:tr w:rsidR="00D673BF" w:rsidRPr="00D673BF" w14:paraId="717BFF3E" w14:textId="77777777" w:rsidTr="005C7732">
        <w:trPr>
          <w:trHeight w:val="200"/>
        </w:trPr>
        <w:tc>
          <w:tcPr>
            <w:tcW w:w="1095" w:type="pct"/>
            <w:shd w:val="clear" w:color="000000" w:fill="FFFFFF"/>
            <w:noWrap/>
            <w:vAlign w:val="center"/>
            <w:hideMark/>
          </w:tcPr>
          <w:p w14:paraId="15D5DF3A" w14:textId="77777777" w:rsidR="00D612EF" w:rsidRPr="00D673BF" w:rsidRDefault="00D612EF">
            <w:pPr>
              <w:pStyle w:val="TableText"/>
            </w:pPr>
            <w:r w:rsidRPr="00D673BF">
              <w:t>Total cost to state governments</w:t>
            </w:r>
          </w:p>
        </w:tc>
        <w:tc>
          <w:tcPr>
            <w:tcW w:w="651" w:type="pct"/>
            <w:tcBorders>
              <w:top w:val="nil"/>
              <w:left w:val="nil"/>
              <w:bottom w:val="single" w:sz="8" w:space="0" w:color="auto"/>
              <w:right w:val="single" w:sz="8" w:space="0" w:color="auto"/>
            </w:tcBorders>
            <w:shd w:val="clear" w:color="000000" w:fill="FFFFFF"/>
            <w:noWrap/>
            <w:vAlign w:val="center"/>
          </w:tcPr>
          <w:p w14:paraId="48E16EBD" w14:textId="57458981" w:rsidR="00D612EF" w:rsidRPr="00D673BF" w:rsidRDefault="00B61FAB">
            <w:pPr>
              <w:pStyle w:val="TableText"/>
              <w:jc w:val="right"/>
            </w:pPr>
            <w:r w:rsidRPr="00D673BF">
              <w:rPr>
                <w:rFonts w:cs="Arial"/>
                <w:szCs w:val="20"/>
              </w:rPr>
              <w:t>-$</w:t>
            </w:r>
            <w:r w:rsidR="008F3F75" w:rsidRPr="00D673BF">
              <w:rPr>
                <w:rFonts w:cs="Arial"/>
                <w:szCs w:val="20"/>
              </w:rPr>
              <w:t>19,102,689</w:t>
            </w:r>
          </w:p>
        </w:tc>
        <w:tc>
          <w:tcPr>
            <w:tcW w:w="651" w:type="pct"/>
            <w:tcBorders>
              <w:top w:val="nil"/>
              <w:left w:val="nil"/>
              <w:bottom w:val="single" w:sz="8" w:space="0" w:color="auto"/>
              <w:right w:val="single" w:sz="8" w:space="0" w:color="auto"/>
            </w:tcBorders>
            <w:shd w:val="clear" w:color="000000" w:fill="FFFFFF"/>
            <w:noWrap/>
            <w:vAlign w:val="center"/>
          </w:tcPr>
          <w:p w14:paraId="0B622B1F" w14:textId="509DA439" w:rsidR="00D612EF" w:rsidRPr="00D673BF" w:rsidRDefault="00B61FAB">
            <w:pPr>
              <w:pStyle w:val="TableText"/>
              <w:jc w:val="right"/>
            </w:pPr>
            <w:r w:rsidRPr="00D673BF">
              <w:rPr>
                <w:rFonts w:cs="Arial"/>
                <w:szCs w:val="20"/>
              </w:rPr>
              <w:t>-$</w:t>
            </w:r>
            <w:r w:rsidR="008F3F75" w:rsidRPr="00D673BF">
              <w:rPr>
                <w:rFonts w:cs="Arial"/>
                <w:szCs w:val="20"/>
              </w:rPr>
              <w:t>23,400,113</w:t>
            </w:r>
          </w:p>
        </w:tc>
        <w:tc>
          <w:tcPr>
            <w:tcW w:w="651" w:type="pct"/>
            <w:tcBorders>
              <w:top w:val="nil"/>
              <w:left w:val="nil"/>
              <w:bottom w:val="single" w:sz="8" w:space="0" w:color="auto"/>
              <w:right w:val="single" w:sz="8" w:space="0" w:color="auto"/>
            </w:tcBorders>
            <w:shd w:val="clear" w:color="000000" w:fill="FFFFFF"/>
            <w:noWrap/>
            <w:vAlign w:val="center"/>
          </w:tcPr>
          <w:p w14:paraId="501CEB4C" w14:textId="2B7023D0" w:rsidR="00D612EF" w:rsidRPr="00D673BF" w:rsidRDefault="00B61FAB">
            <w:pPr>
              <w:pStyle w:val="TableText"/>
              <w:jc w:val="right"/>
            </w:pPr>
            <w:r w:rsidRPr="00D673BF">
              <w:rPr>
                <w:rFonts w:cs="Arial"/>
                <w:szCs w:val="20"/>
              </w:rPr>
              <w:t>-$</w:t>
            </w:r>
            <w:r w:rsidR="008F3F75" w:rsidRPr="00D673BF">
              <w:rPr>
                <w:rFonts w:cs="Arial"/>
                <w:szCs w:val="20"/>
              </w:rPr>
              <w:t>27,850,712</w:t>
            </w:r>
          </w:p>
        </w:tc>
        <w:tc>
          <w:tcPr>
            <w:tcW w:w="651" w:type="pct"/>
            <w:tcBorders>
              <w:top w:val="nil"/>
              <w:left w:val="nil"/>
              <w:bottom w:val="single" w:sz="8" w:space="0" w:color="auto"/>
              <w:right w:val="single" w:sz="8" w:space="0" w:color="auto"/>
            </w:tcBorders>
            <w:shd w:val="clear" w:color="000000" w:fill="FFFFFF"/>
            <w:noWrap/>
            <w:vAlign w:val="center"/>
          </w:tcPr>
          <w:p w14:paraId="007BB4CE" w14:textId="03A3B9A3" w:rsidR="00D612EF" w:rsidRPr="00D673BF" w:rsidRDefault="00B61FAB">
            <w:pPr>
              <w:pStyle w:val="TableText"/>
              <w:jc w:val="right"/>
            </w:pPr>
            <w:r w:rsidRPr="00D673BF">
              <w:rPr>
                <w:rFonts w:cs="Arial"/>
                <w:szCs w:val="20"/>
              </w:rPr>
              <w:t>-$</w:t>
            </w:r>
            <w:r w:rsidR="008F3F75" w:rsidRPr="00D673BF">
              <w:rPr>
                <w:rFonts w:cs="Arial"/>
                <w:szCs w:val="20"/>
              </w:rPr>
              <w:t>32,514,056</w:t>
            </w:r>
          </w:p>
        </w:tc>
        <w:tc>
          <w:tcPr>
            <w:tcW w:w="651" w:type="pct"/>
            <w:tcBorders>
              <w:top w:val="nil"/>
              <w:left w:val="nil"/>
              <w:bottom w:val="single" w:sz="8" w:space="0" w:color="auto"/>
              <w:right w:val="single" w:sz="8" w:space="0" w:color="auto"/>
            </w:tcBorders>
            <w:shd w:val="clear" w:color="000000" w:fill="FFFFFF"/>
            <w:noWrap/>
            <w:vAlign w:val="center"/>
          </w:tcPr>
          <w:p w14:paraId="24D3EF6C" w14:textId="3EDDFDF2" w:rsidR="00D612EF" w:rsidRPr="00D673BF" w:rsidRDefault="00B61FAB">
            <w:pPr>
              <w:pStyle w:val="TableText"/>
              <w:jc w:val="right"/>
            </w:pPr>
            <w:r w:rsidRPr="00D673BF">
              <w:rPr>
                <w:rFonts w:cs="Arial"/>
                <w:szCs w:val="20"/>
              </w:rPr>
              <w:t>-$</w:t>
            </w:r>
            <w:r w:rsidR="008F3F75" w:rsidRPr="00D673BF">
              <w:rPr>
                <w:rFonts w:cs="Arial"/>
                <w:szCs w:val="20"/>
              </w:rPr>
              <w:t>37,345,892</w:t>
            </w:r>
          </w:p>
        </w:tc>
        <w:tc>
          <w:tcPr>
            <w:tcW w:w="649" w:type="pct"/>
            <w:tcBorders>
              <w:top w:val="nil"/>
              <w:left w:val="nil"/>
              <w:bottom w:val="single" w:sz="8" w:space="0" w:color="auto"/>
              <w:right w:val="single" w:sz="8" w:space="0" w:color="auto"/>
            </w:tcBorders>
            <w:shd w:val="clear" w:color="000000" w:fill="FFFFFF"/>
            <w:noWrap/>
            <w:vAlign w:val="center"/>
          </w:tcPr>
          <w:p w14:paraId="7194B8A1" w14:textId="46BAAA6F" w:rsidR="00D612EF" w:rsidRPr="00D673BF" w:rsidRDefault="00B61FAB">
            <w:pPr>
              <w:pStyle w:val="TableText"/>
              <w:jc w:val="right"/>
            </w:pPr>
            <w:r w:rsidRPr="00D673BF">
              <w:rPr>
                <w:rFonts w:cs="Arial"/>
                <w:szCs w:val="20"/>
              </w:rPr>
              <w:t>-$</w:t>
            </w:r>
            <w:r w:rsidR="008F3F75" w:rsidRPr="00D673BF">
              <w:rPr>
                <w:rFonts w:cs="Arial"/>
                <w:szCs w:val="20"/>
              </w:rPr>
              <w:t>42,325,798</w:t>
            </w:r>
          </w:p>
        </w:tc>
      </w:tr>
      <w:tr w:rsidR="00D673BF" w:rsidRPr="00D673BF" w14:paraId="4ACD5297" w14:textId="77777777" w:rsidTr="005C7732">
        <w:trPr>
          <w:trHeight w:val="200"/>
        </w:trPr>
        <w:tc>
          <w:tcPr>
            <w:tcW w:w="1095" w:type="pct"/>
            <w:shd w:val="clear" w:color="000000" w:fill="FFFFFF"/>
            <w:noWrap/>
            <w:vAlign w:val="center"/>
            <w:hideMark/>
          </w:tcPr>
          <w:p w14:paraId="3CFBF4C5" w14:textId="77777777" w:rsidR="00D612EF" w:rsidRPr="00D673BF" w:rsidRDefault="00D612EF">
            <w:pPr>
              <w:pStyle w:val="TableText"/>
            </w:pPr>
            <w:r w:rsidRPr="00D673BF">
              <w:t>Total cost to Commonwealth government</w:t>
            </w:r>
          </w:p>
        </w:tc>
        <w:tc>
          <w:tcPr>
            <w:tcW w:w="651" w:type="pct"/>
            <w:tcBorders>
              <w:top w:val="nil"/>
              <w:left w:val="nil"/>
              <w:bottom w:val="single" w:sz="8" w:space="0" w:color="auto"/>
              <w:right w:val="single" w:sz="8" w:space="0" w:color="auto"/>
            </w:tcBorders>
            <w:shd w:val="clear" w:color="000000" w:fill="FFFFFF"/>
            <w:noWrap/>
            <w:vAlign w:val="center"/>
          </w:tcPr>
          <w:p w14:paraId="28E9FE2A" w14:textId="02294F53" w:rsidR="00D612EF" w:rsidRPr="00D673BF" w:rsidRDefault="0004666C">
            <w:pPr>
              <w:pStyle w:val="TableText"/>
              <w:jc w:val="right"/>
            </w:pPr>
            <w:r w:rsidRPr="00D673BF">
              <w:rPr>
                <w:rFonts w:cs="Arial"/>
                <w:szCs w:val="20"/>
              </w:rPr>
              <w:t>$1,</w:t>
            </w:r>
            <w:r w:rsidR="00DD73A3" w:rsidRPr="00D673BF">
              <w:rPr>
                <w:rFonts w:cs="Arial"/>
                <w:szCs w:val="20"/>
              </w:rPr>
              <w:t>443,486</w:t>
            </w:r>
          </w:p>
        </w:tc>
        <w:tc>
          <w:tcPr>
            <w:tcW w:w="651" w:type="pct"/>
            <w:tcBorders>
              <w:top w:val="nil"/>
              <w:left w:val="nil"/>
              <w:bottom w:val="single" w:sz="8" w:space="0" w:color="auto"/>
              <w:right w:val="single" w:sz="8" w:space="0" w:color="auto"/>
            </w:tcBorders>
            <w:shd w:val="clear" w:color="000000" w:fill="FFFFFF"/>
            <w:noWrap/>
            <w:vAlign w:val="center"/>
          </w:tcPr>
          <w:p w14:paraId="33C84782" w14:textId="05D4E551" w:rsidR="00D612EF" w:rsidRPr="00D673BF" w:rsidRDefault="0004666C">
            <w:pPr>
              <w:pStyle w:val="TableText"/>
              <w:jc w:val="right"/>
            </w:pPr>
            <w:r w:rsidRPr="00D673BF">
              <w:rPr>
                <w:rFonts w:cs="Arial"/>
                <w:szCs w:val="20"/>
              </w:rPr>
              <w:t>$1,</w:t>
            </w:r>
            <w:r w:rsidR="00DD73A3" w:rsidRPr="00D673BF">
              <w:rPr>
                <w:rFonts w:cs="Arial"/>
                <w:szCs w:val="20"/>
              </w:rPr>
              <w:t>768,219</w:t>
            </w:r>
          </w:p>
        </w:tc>
        <w:tc>
          <w:tcPr>
            <w:tcW w:w="651" w:type="pct"/>
            <w:tcBorders>
              <w:top w:val="nil"/>
              <w:left w:val="nil"/>
              <w:bottom w:val="single" w:sz="8" w:space="0" w:color="auto"/>
              <w:right w:val="single" w:sz="8" w:space="0" w:color="auto"/>
            </w:tcBorders>
            <w:shd w:val="clear" w:color="000000" w:fill="FFFFFF"/>
            <w:noWrap/>
            <w:vAlign w:val="center"/>
          </w:tcPr>
          <w:p w14:paraId="256C0D30" w14:textId="536E16D0" w:rsidR="00D612EF" w:rsidRPr="00D673BF" w:rsidRDefault="0004666C">
            <w:pPr>
              <w:pStyle w:val="TableText"/>
              <w:jc w:val="right"/>
            </w:pPr>
            <w:r w:rsidRPr="00D673BF">
              <w:rPr>
                <w:rFonts w:cs="Arial"/>
                <w:szCs w:val="20"/>
              </w:rPr>
              <w:t>$2,</w:t>
            </w:r>
            <w:r w:rsidR="00DD73A3" w:rsidRPr="00D673BF">
              <w:rPr>
                <w:rFonts w:cs="Arial"/>
                <w:szCs w:val="20"/>
              </w:rPr>
              <w:t>104,526</w:t>
            </w:r>
          </w:p>
        </w:tc>
        <w:tc>
          <w:tcPr>
            <w:tcW w:w="651" w:type="pct"/>
            <w:tcBorders>
              <w:top w:val="nil"/>
              <w:left w:val="nil"/>
              <w:bottom w:val="single" w:sz="8" w:space="0" w:color="auto"/>
              <w:right w:val="single" w:sz="8" w:space="0" w:color="auto"/>
            </w:tcBorders>
            <w:shd w:val="clear" w:color="000000" w:fill="FFFFFF"/>
            <w:noWrap/>
            <w:vAlign w:val="center"/>
          </w:tcPr>
          <w:p w14:paraId="3D429E70" w14:textId="416E17D9" w:rsidR="00D612EF" w:rsidRPr="00D673BF" w:rsidRDefault="0004666C" w:rsidP="00D23AAA">
            <w:pPr>
              <w:pStyle w:val="TableText"/>
              <w:jc w:val="center"/>
            </w:pPr>
            <w:r w:rsidRPr="00D673BF">
              <w:rPr>
                <w:rFonts w:cs="Arial"/>
                <w:szCs w:val="20"/>
              </w:rPr>
              <w:t>$2,</w:t>
            </w:r>
            <w:r w:rsidR="00DD73A3" w:rsidRPr="00D673BF">
              <w:rPr>
                <w:rFonts w:cs="Arial"/>
                <w:szCs w:val="20"/>
              </w:rPr>
              <w:t>456,910</w:t>
            </w:r>
          </w:p>
        </w:tc>
        <w:tc>
          <w:tcPr>
            <w:tcW w:w="651" w:type="pct"/>
            <w:tcBorders>
              <w:top w:val="nil"/>
              <w:left w:val="nil"/>
              <w:bottom w:val="single" w:sz="8" w:space="0" w:color="auto"/>
              <w:right w:val="single" w:sz="8" w:space="0" w:color="auto"/>
            </w:tcBorders>
            <w:shd w:val="clear" w:color="000000" w:fill="FFFFFF"/>
            <w:noWrap/>
            <w:vAlign w:val="center"/>
          </w:tcPr>
          <w:p w14:paraId="3FC50AC6" w14:textId="3795B8C6" w:rsidR="00D612EF" w:rsidRPr="00D673BF" w:rsidRDefault="00DD73A3">
            <w:pPr>
              <w:pStyle w:val="TableText"/>
              <w:jc w:val="right"/>
            </w:pPr>
            <w:r w:rsidRPr="00D673BF">
              <w:rPr>
                <w:rFonts w:cs="Arial"/>
                <w:szCs w:val="20"/>
              </w:rPr>
              <w:t>$2,822,025</w:t>
            </w:r>
          </w:p>
        </w:tc>
        <w:tc>
          <w:tcPr>
            <w:tcW w:w="649" w:type="pct"/>
            <w:tcBorders>
              <w:top w:val="nil"/>
              <w:left w:val="nil"/>
              <w:bottom w:val="single" w:sz="8" w:space="0" w:color="auto"/>
              <w:right w:val="single" w:sz="8" w:space="0" w:color="auto"/>
            </w:tcBorders>
            <w:shd w:val="clear" w:color="000000" w:fill="FFFFFF"/>
            <w:noWrap/>
            <w:vAlign w:val="center"/>
          </w:tcPr>
          <w:p w14:paraId="053B30D7" w14:textId="05DE4EB6" w:rsidR="00D612EF" w:rsidRPr="00D673BF" w:rsidRDefault="00DD73A3">
            <w:pPr>
              <w:pStyle w:val="TableText"/>
              <w:jc w:val="right"/>
            </w:pPr>
            <w:r w:rsidRPr="00D673BF">
              <w:rPr>
                <w:rFonts w:cs="Arial"/>
                <w:szCs w:val="20"/>
              </w:rPr>
              <w:t>$3,198,329</w:t>
            </w:r>
          </w:p>
        </w:tc>
      </w:tr>
      <w:tr w:rsidR="00D673BF" w:rsidRPr="00D673BF" w14:paraId="11453154" w14:textId="77777777" w:rsidTr="006D4710">
        <w:trPr>
          <w:trHeight w:val="200"/>
        </w:trPr>
        <w:tc>
          <w:tcPr>
            <w:tcW w:w="1095" w:type="pct"/>
            <w:shd w:val="clear" w:color="auto" w:fill="FFFFFF" w:themeFill="background1"/>
            <w:noWrap/>
            <w:vAlign w:val="center"/>
            <w:hideMark/>
          </w:tcPr>
          <w:p w14:paraId="41E64452" w14:textId="77777777" w:rsidR="00D612EF" w:rsidRPr="00D673BF" w:rsidRDefault="00D612EF">
            <w:pPr>
              <w:pStyle w:val="TableText"/>
              <w:rPr>
                <w:b/>
              </w:rPr>
            </w:pPr>
            <w:r w:rsidRPr="00D673BF">
              <w:rPr>
                <w:b/>
              </w:rPr>
              <w:t>Net cost to government</w:t>
            </w:r>
          </w:p>
        </w:tc>
        <w:tc>
          <w:tcPr>
            <w:tcW w:w="651" w:type="pct"/>
            <w:tcBorders>
              <w:top w:val="nil"/>
              <w:left w:val="nil"/>
              <w:bottom w:val="single" w:sz="8" w:space="0" w:color="auto"/>
              <w:right w:val="single" w:sz="8" w:space="0" w:color="auto"/>
            </w:tcBorders>
            <w:shd w:val="clear" w:color="000000" w:fill="FFFFFF"/>
            <w:noWrap/>
            <w:vAlign w:val="center"/>
          </w:tcPr>
          <w:p w14:paraId="39D7D2FC" w14:textId="3C7E5A3C" w:rsidR="00D612EF" w:rsidRPr="00D673BF" w:rsidRDefault="00E64379">
            <w:pPr>
              <w:pStyle w:val="TableText"/>
              <w:jc w:val="right"/>
              <w:rPr>
                <w:b/>
              </w:rPr>
            </w:pPr>
            <w:r w:rsidRPr="00D673BF">
              <w:rPr>
                <w:rFonts w:cs="Arial"/>
                <w:szCs w:val="20"/>
              </w:rPr>
              <w:t>-$</w:t>
            </w:r>
            <w:r w:rsidR="00DD73A3" w:rsidRPr="00D673BF">
              <w:rPr>
                <w:rFonts w:cs="Arial"/>
                <w:szCs w:val="20"/>
              </w:rPr>
              <w:t>17,659,203</w:t>
            </w:r>
          </w:p>
        </w:tc>
        <w:tc>
          <w:tcPr>
            <w:tcW w:w="651" w:type="pct"/>
            <w:tcBorders>
              <w:top w:val="nil"/>
              <w:left w:val="nil"/>
              <w:bottom w:val="single" w:sz="8" w:space="0" w:color="auto"/>
              <w:right w:val="single" w:sz="8" w:space="0" w:color="auto"/>
            </w:tcBorders>
            <w:shd w:val="clear" w:color="000000" w:fill="FFFFFF"/>
            <w:noWrap/>
            <w:vAlign w:val="center"/>
          </w:tcPr>
          <w:p w14:paraId="27C5D52E" w14:textId="56587986" w:rsidR="00D612EF" w:rsidRPr="00D673BF" w:rsidRDefault="00E64379">
            <w:pPr>
              <w:pStyle w:val="TableText"/>
              <w:jc w:val="right"/>
              <w:rPr>
                <w:b/>
              </w:rPr>
            </w:pPr>
            <w:r w:rsidRPr="00D673BF">
              <w:rPr>
                <w:rFonts w:cs="Arial"/>
                <w:szCs w:val="20"/>
              </w:rPr>
              <w:t>-$</w:t>
            </w:r>
            <w:r w:rsidR="00DD73A3" w:rsidRPr="00D673BF">
              <w:rPr>
                <w:rFonts w:cs="Arial"/>
                <w:szCs w:val="20"/>
              </w:rPr>
              <w:t>21,631,894</w:t>
            </w:r>
          </w:p>
        </w:tc>
        <w:tc>
          <w:tcPr>
            <w:tcW w:w="651" w:type="pct"/>
            <w:tcBorders>
              <w:top w:val="nil"/>
              <w:left w:val="nil"/>
              <w:bottom w:val="single" w:sz="8" w:space="0" w:color="auto"/>
              <w:right w:val="single" w:sz="8" w:space="0" w:color="auto"/>
            </w:tcBorders>
            <w:shd w:val="clear" w:color="000000" w:fill="FFFFFF"/>
            <w:noWrap/>
            <w:vAlign w:val="center"/>
          </w:tcPr>
          <w:p w14:paraId="6B90120F" w14:textId="1B3AFFB2" w:rsidR="00D612EF" w:rsidRPr="00D673BF" w:rsidRDefault="00E64379">
            <w:pPr>
              <w:pStyle w:val="TableText"/>
              <w:jc w:val="right"/>
              <w:rPr>
                <w:b/>
              </w:rPr>
            </w:pPr>
            <w:r w:rsidRPr="00D673BF">
              <w:rPr>
                <w:rFonts w:cs="Arial"/>
                <w:szCs w:val="20"/>
              </w:rPr>
              <w:t>-$</w:t>
            </w:r>
            <w:r w:rsidR="00DD73A3" w:rsidRPr="00D673BF">
              <w:rPr>
                <w:rFonts w:cs="Arial"/>
                <w:szCs w:val="20"/>
              </w:rPr>
              <w:t>25,746,186</w:t>
            </w:r>
          </w:p>
        </w:tc>
        <w:tc>
          <w:tcPr>
            <w:tcW w:w="651" w:type="pct"/>
            <w:tcBorders>
              <w:top w:val="nil"/>
              <w:left w:val="nil"/>
              <w:bottom w:val="single" w:sz="8" w:space="0" w:color="auto"/>
              <w:right w:val="single" w:sz="8" w:space="0" w:color="auto"/>
            </w:tcBorders>
            <w:shd w:val="clear" w:color="000000" w:fill="FFFFFF"/>
            <w:noWrap/>
            <w:vAlign w:val="center"/>
          </w:tcPr>
          <w:p w14:paraId="1111CD2D" w14:textId="4170065D" w:rsidR="00D612EF" w:rsidRPr="00D673BF" w:rsidRDefault="00E64379">
            <w:pPr>
              <w:pStyle w:val="TableText"/>
              <w:jc w:val="right"/>
              <w:rPr>
                <w:b/>
              </w:rPr>
            </w:pPr>
            <w:r w:rsidRPr="00D673BF">
              <w:rPr>
                <w:rFonts w:cs="Arial"/>
                <w:szCs w:val="20"/>
              </w:rPr>
              <w:t>-$</w:t>
            </w:r>
            <w:r w:rsidR="00DD73A3" w:rsidRPr="00D673BF">
              <w:rPr>
                <w:rFonts w:cs="Arial"/>
                <w:szCs w:val="20"/>
              </w:rPr>
              <w:t>30,057,146</w:t>
            </w:r>
          </w:p>
        </w:tc>
        <w:tc>
          <w:tcPr>
            <w:tcW w:w="651" w:type="pct"/>
            <w:tcBorders>
              <w:top w:val="nil"/>
              <w:left w:val="nil"/>
              <w:bottom w:val="single" w:sz="8" w:space="0" w:color="auto"/>
              <w:right w:val="single" w:sz="8" w:space="0" w:color="auto"/>
            </w:tcBorders>
            <w:shd w:val="clear" w:color="000000" w:fill="FFFFFF"/>
            <w:noWrap/>
            <w:vAlign w:val="center"/>
          </w:tcPr>
          <w:p w14:paraId="72F8F769" w14:textId="01B0E831" w:rsidR="00D612EF" w:rsidRPr="00D673BF" w:rsidRDefault="00E64379">
            <w:pPr>
              <w:pStyle w:val="TableText"/>
              <w:jc w:val="right"/>
              <w:rPr>
                <w:b/>
              </w:rPr>
            </w:pPr>
            <w:r w:rsidRPr="00D673BF">
              <w:rPr>
                <w:rFonts w:cs="Arial"/>
                <w:szCs w:val="20"/>
              </w:rPr>
              <w:t>-$</w:t>
            </w:r>
            <w:r w:rsidR="00DD73A3" w:rsidRPr="00D673BF">
              <w:rPr>
                <w:rFonts w:cs="Arial"/>
                <w:szCs w:val="20"/>
              </w:rPr>
              <w:t>34,523,867</w:t>
            </w:r>
          </w:p>
        </w:tc>
        <w:tc>
          <w:tcPr>
            <w:tcW w:w="649" w:type="pct"/>
            <w:tcBorders>
              <w:top w:val="nil"/>
              <w:left w:val="nil"/>
              <w:bottom w:val="single" w:sz="8" w:space="0" w:color="auto"/>
              <w:right w:val="single" w:sz="8" w:space="0" w:color="auto"/>
            </w:tcBorders>
            <w:shd w:val="clear" w:color="000000" w:fill="FFFFFF"/>
            <w:noWrap/>
            <w:vAlign w:val="center"/>
          </w:tcPr>
          <w:p w14:paraId="54385C99" w14:textId="7AC8616F" w:rsidR="00D612EF" w:rsidRPr="00D673BF" w:rsidRDefault="00E64379">
            <w:pPr>
              <w:pStyle w:val="TableText"/>
              <w:jc w:val="right"/>
              <w:rPr>
                <w:b/>
              </w:rPr>
            </w:pPr>
            <w:r w:rsidRPr="00D673BF">
              <w:rPr>
                <w:rFonts w:cs="Arial"/>
                <w:szCs w:val="20"/>
              </w:rPr>
              <w:t>-$</w:t>
            </w:r>
            <w:r w:rsidR="00DD73A3" w:rsidRPr="00D673BF">
              <w:rPr>
                <w:rFonts w:cs="Arial"/>
                <w:szCs w:val="20"/>
              </w:rPr>
              <w:t>39,127,469</w:t>
            </w:r>
          </w:p>
        </w:tc>
      </w:tr>
      <w:tr w:rsidR="00EF53B5" w:rsidRPr="00D673BF" w14:paraId="7BC51D77" w14:textId="77777777" w:rsidTr="00B05D24">
        <w:trPr>
          <w:trHeight w:val="200"/>
        </w:trPr>
        <w:tc>
          <w:tcPr>
            <w:tcW w:w="1095" w:type="pct"/>
            <w:shd w:val="clear" w:color="auto" w:fill="FFFFFF" w:themeFill="background1"/>
            <w:noWrap/>
            <w:vAlign w:val="center"/>
          </w:tcPr>
          <w:p w14:paraId="33C2A8C0" w14:textId="64A6105C" w:rsidR="006D4710" w:rsidRPr="00EF53B5" w:rsidRDefault="006D4710" w:rsidP="006D4710">
            <w:pPr>
              <w:pStyle w:val="TableText"/>
              <w:rPr>
                <w:b/>
                <w:i/>
                <w:iCs/>
              </w:rPr>
            </w:pPr>
            <w:r w:rsidRPr="00EF53B5">
              <w:rPr>
                <w:b/>
                <w:i/>
                <w:iCs/>
              </w:rPr>
              <w:t>Revised net cost to government*</w:t>
            </w:r>
          </w:p>
        </w:tc>
        <w:tc>
          <w:tcPr>
            <w:tcW w:w="651" w:type="pct"/>
            <w:tcBorders>
              <w:top w:val="nil"/>
              <w:left w:val="nil"/>
              <w:bottom w:val="single" w:sz="8" w:space="0" w:color="auto"/>
              <w:right w:val="single" w:sz="8" w:space="0" w:color="auto"/>
            </w:tcBorders>
            <w:shd w:val="clear" w:color="000000" w:fill="FFFFFF"/>
            <w:noWrap/>
            <w:vAlign w:val="center"/>
          </w:tcPr>
          <w:p w14:paraId="4DD09D53" w14:textId="189B95CE" w:rsidR="006D4710" w:rsidRPr="00EF53B5" w:rsidRDefault="006D4710" w:rsidP="006D4710">
            <w:pPr>
              <w:pStyle w:val="TableText"/>
              <w:jc w:val="right"/>
              <w:rPr>
                <w:rFonts w:cs="Arial"/>
                <w:b/>
                <w:i/>
                <w:iCs/>
                <w:szCs w:val="20"/>
              </w:rPr>
            </w:pPr>
            <w:r w:rsidRPr="00EF53B5">
              <w:rPr>
                <w:rFonts w:cs="Arial"/>
                <w:b/>
                <w:i/>
                <w:iCs/>
                <w:szCs w:val="20"/>
              </w:rPr>
              <w:t>-$17,709,694</w:t>
            </w:r>
          </w:p>
        </w:tc>
        <w:tc>
          <w:tcPr>
            <w:tcW w:w="651" w:type="pct"/>
            <w:tcBorders>
              <w:top w:val="nil"/>
              <w:left w:val="nil"/>
              <w:bottom w:val="single" w:sz="8" w:space="0" w:color="auto"/>
              <w:right w:val="single" w:sz="8" w:space="0" w:color="auto"/>
            </w:tcBorders>
            <w:shd w:val="clear" w:color="000000" w:fill="FFFFFF"/>
            <w:noWrap/>
            <w:vAlign w:val="center"/>
          </w:tcPr>
          <w:p w14:paraId="57304F3E" w14:textId="23CECEBD" w:rsidR="006D4710" w:rsidRPr="00EF53B5" w:rsidRDefault="006D4710" w:rsidP="006D4710">
            <w:pPr>
              <w:pStyle w:val="TableText"/>
              <w:jc w:val="right"/>
              <w:rPr>
                <w:rFonts w:cs="Arial"/>
                <w:b/>
                <w:i/>
                <w:iCs/>
                <w:szCs w:val="20"/>
              </w:rPr>
            </w:pPr>
            <w:r w:rsidRPr="00EF53B5">
              <w:rPr>
                <w:rFonts w:cs="Arial"/>
                <w:b/>
                <w:i/>
                <w:iCs/>
                <w:szCs w:val="20"/>
              </w:rPr>
              <w:t>-$21,694,353</w:t>
            </w:r>
          </w:p>
        </w:tc>
        <w:tc>
          <w:tcPr>
            <w:tcW w:w="651" w:type="pct"/>
            <w:tcBorders>
              <w:top w:val="nil"/>
              <w:left w:val="nil"/>
              <w:bottom w:val="single" w:sz="8" w:space="0" w:color="auto"/>
              <w:right w:val="single" w:sz="8" w:space="0" w:color="auto"/>
            </w:tcBorders>
            <w:shd w:val="clear" w:color="000000" w:fill="FFFFFF"/>
            <w:noWrap/>
            <w:vAlign w:val="center"/>
          </w:tcPr>
          <w:p w14:paraId="735CF269" w14:textId="4FDDE667" w:rsidR="006D4710" w:rsidRPr="00EF53B5" w:rsidRDefault="006D4710" w:rsidP="006D4710">
            <w:pPr>
              <w:pStyle w:val="TableText"/>
              <w:jc w:val="right"/>
              <w:rPr>
                <w:rFonts w:cs="Arial"/>
                <w:b/>
                <w:i/>
                <w:iCs/>
                <w:szCs w:val="20"/>
              </w:rPr>
            </w:pPr>
            <w:r w:rsidRPr="00EF53B5">
              <w:rPr>
                <w:rFonts w:cs="Arial"/>
                <w:b/>
                <w:i/>
                <w:iCs/>
                <w:szCs w:val="20"/>
              </w:rPr>
              <w:t>-$25,819,310</w:t>
            </w:r>
          </w:p>
        </w:tc>
        <w:tc>
          <w:tcPr>
            <w:tcW w:w="651" w:type="pct"/>
            <w:tcBorders>
              <w:top w:val="nil"/>
              <w:left w:val="nil"/>
              <w:bottom w:val="single" w:sz="8" w:space="0" w:color="auto"/>
              <w:right w:val="single" w:sz="8" w:space="0" w:color="auto"/>
            </w:tcBorders>
            <w:shd w:val="clear" w:color="000000" w:fill="FFFFFF"/>
            <w:noWrap/>
            <w:vAlign w:val="center"/>
          </w:tcPr>
          <w:p w14:paraId="4FCC8DC5" w14:textId="0EDCCAAC" w:rsidR="006D4710" w:rsidRPr="00EF53B5" w:rsidRDefault="006D4710" w:rsidP="006D4710">
            <w:pPr>
              <w:pStyle w:val="TableText"/>
              <w:jc w:val="right"/>
              <w:rPr>
                <w:rFonts w:cs="Arial"/>
                <w:b/>
                <w:i/>
                <w:iCs/>
                <w:szCs w:val="20"/>
              </w:rPr>
            </w:pPr>
            <w:r w:rsidRPr="00EF53B5">
              <w:rPr>
                <w:rFonts w:cs="Arial"/>
                <w:b/>
                <w:i/>
                <w:iCs/>
                <w:szCs w:val="20"/>
              </w:rPr>
              <w:t>-$30,143,333</w:t>
            </w:r>
          </w:p>
        </w:tc>
        <w:tc>
          <w:tcPr>
            <w:tcW w:w="651" w:type="pct"/>
            <w:tcBorders>
              <w:top w:val="nil"/>
              <w:left w:val="nil"/>
              <w:bottom w:val="single" w:sz="8" w:space="0" w:color="auto"/>
              <w:right w:val="single" w:sz="8" w:space="0" w:color="auto"/>
            </w:tcBorders>
            <w:shd w:val="clear" w:color="000000" w:fill="FFFFFF"/>
            <w:noWrap/>
            <w:vAlign w:val="center"/>
          </w:tcPr>
          <w:p w14:paraId="7567A07F" w14:textId="4757E660" w:rsidR="006D4710" w:rsidRPr="00EF53B5" w:rsidRDefault="006D4710" w:rsidP="006D4710">
            <w:pPr>
              <w:pStyle w:val="TableText"/>
              <w:jc w:val="right"/>
              <w:rPr>
                <w:rFonts w:cs="Arial"/>
                <w:b/>
                <w:i/>
                <w:iCs/>
                <w:szCs w:val="20"/>
              </w:rPr>
            </w:pPr>
            <w:r w:rsidRPr="00EF53B5">
              <w:rPr>
                <w:rFonts w:cs="Arial"/>
                <w:b/>
                <w:i/>
                <w:iCs/>
                <w:szCs w:val="20"/>
              </w:rPr>
              <w:t>-$34,622,457</w:t>
            </w:r>
          </w:p>
        </w:tc>
        <w:tc>
          <w:tcPr>
            <w:tcW w:w="649" w:type="pct"/>
            <w:tcBorders>
              <w:top w:val="nil"/>
              <w:left w:val="nil"/>
              <w:bottom w:val="single" w:sz="8" w:space="0" w:color="auto"/>
              <w:right w:val="single" w:sz="8" w:space="0" w:color="auto"/>
            </w:tcBorders>
            <w:shd w:val="clear" w:color="000000" w:fill="FFFFFF"/>
            <w:noWrap/>
            <w:vAlign w:val="center"/>
          </w:tcPr>
          <w:p w14:paraId="2385117D" w14:textId="122DCC11" w:rsidR="006D4710" w:rsidRPr="00EF53B5" w:rsidRDefault="006D4710" w:rsidP="006D4710">
            <w:pPr>
              <w:pStyle w:val="TableText"/>
              <w:jc w:val="right"/>
              <w:rPr>
                <w:rFonts w:cs="Arial"/>
                <w:b/>
                <w:i/>
                <w:iCs/>
                <w:szCs w:val="20"/>
              </w:rPr>
            </w:pPr>
            <w:r w:rsidRPr="00EF53B5">
              <w:rPr>
                <w:rFonts w:cs="Arial"/>
                <w:b/>
                <w:i/>
                <w:iCs/>
                <w:szCs w:val="20"/>
              </w:rPr>
              <w:t>-$39,239,005</w:t>
            </w:r>
          </w:p>
        </w:tc>
      </w:tr>
    </w:tbl>
    <w:p w14:paraId="18A0D018" w14:textId="63BE432B" w:rsidR="005C416A" w:rsidRDefault="005C416A" w:rsidP="005C416A">
      <w:pPr>
        <w:pStyle w:val="TableFigureFooter"/>
      </w:pPr>
      <w:r>
        <w:t>Source: Excel sheet ‘4. Net cost to Government’ of Utilisation and Cost Model workbook.</w:t>
      </w:r>
    </w:p>
    <w:p w14:paraId="767AD1F3" w14:textId="6F9D6D68" w:rsidR="006D4710" w:rsidRDefault="006D4710" w:rsidP="005C416A">
      <w:pPr>
        <w:pStyle w:val="TableFigureFooter"/>
      </w:pPr>
      <w:r>
        <w:t>*</w:t>
      </w:r>
      <w:r w:rsidR="00921520">
        <w:t>Bold</w:t>
      </w:r>
      <w:r>
        <w:t xml:space="preserve"> </w:t>
      </w:r>
      <w:r w:rsidR="00157279">
        <w:t xml:space="preserve">italics </w:t>
      </w:r>
      <w:r>
        <w:t xml:space="preserve">text indicates revised net cost to government </w:t>
      </w:r>
      <w:r w:rsidR="005239E1">
        <w:t>using MSAC</w:t>
      </w:r>
      <w:r w:rsidR="007B4E68">
        <w:t>’s</w:t>
      </w:r>
      <w:r w:rsidR="005239E1">
        <w:t xml:space="preserve"> supported</w:t>
      </w:r>
      <w:r w:rsidR="00921520">
        <w:t xml:space="preserve"> MBS item </w:t>
      </w:r>
      <w:r w:rsidR="005239E1">
        <w:t>fee of $182</w:t>
      </w:r>
      <w:r w:rsidR="00EF53B5">
        <w:t>.00</w:t>
      </w:r>
    </w:p>
    <w:p w14:paraId="7514A950" w14:textId="36684199" w:rsidR="0068276A" w:rsidRPr="00AB0A49" w:rsidRDefault="0068276A" w:rsidP="00D23AAA">
      <w:pPr>
        <w:spacing w:before="240"/>
      </w:pPr>
      <w:r>
        <w:t>A</w:t>
      </w:r>
      <w:r w:rsidRPr="00AB0A49">
        <w:t xml:space="preserve"> sensitivity analysis </w:t>
      </w:r>
      <w:r>
        <w:t>was conducted due to some uncertainties</w:t>
      </w:r>
      <w:r w:rsidRPr="00AB0A49">
        <w:t xml:space="preserve"> </w:t>
      </w:r>
      <w:r>
        <w:t xml:space="preserve">and is presented in </w:t>
      </w:r>
      <w:r w:rsidR="007A07CA">
        <w:fldChar w:fldCharType="begin"/>
      </w:r>
      <w:r w:rsidR="007A07CA">
        <w:instrText xml:space="preserve"> REF _Ref172298006 \h </w:instrText>
      </w:r>
      <w:r w:rsidR="007A07CA">
        <w:fldChar w:fldCharType="separate"/>
      </w:r>
      <w:r w:rsidR="00835345">
        <w:t xml:space="preserve">Table </w:t>
      </w:r>
      <w:r w:rsidR="00835345">
        <w:rPr>
          <w:noProof/>
        </w:rPr>
        <w:t>14</w:t>
      </w:r>
      <w:r w:rsidR="007A07CA">
        <w:fldChar w:fldCharType="end"/>
      </w:r>
      <w:r w:rsidR="007A07CA">
        <w:t xml:space="preserve"> </w:t>
      </w:r>
      <w:r w:rsidRPr="00AB0A49">
        <w:t>below.</w:t>
      </w:r>
      <w:r>
        <w:t xml:space="preserve"> Sensitivity analysis demonstrated that the budget impact is most sensitive to the difference in the severity of the adverse events, which can change the estimates from cost saving to having a budget impact of costing up to $1.5</w:t>
      </w:r>
      <w:r w:rsidR="0078241C">
        <w:t xml:space="preserve"> </w:t>
      </w:r>
      <w:r>
        <w:t>million in year six.</w:t>
      </w:r>
    </w:p>
    <w:p w14:paraId="34B048F1" w14:textId="492FAE21" w:rsidR="0068276A" w:rsidRDefault="0068276A" w:rsidP="00974AFF">
      <w:pPr>
        <w:pStyle w:val="Caption"/>
        <w:tabs>
          <w:tab w:val="left" w:pos="1134"/>
        </w:tabs>
        <w:spacing w:after="0"/>
        <w:ind w:left="851" w:hanging="851"/>
      </w:pPr>
      <w:bookmarkStart w:id="52" w:name="_Ref172298006"/>
      <w:r>
        <w:t xml:space="preserve">Table </w:t>
      </w:r>
      <w:r>
        <w:fldChar w:fldCharType="begin"/>
      </w:r>
      <w:r>
        <w:instrText>SEQ Table \* ARABIC</w:instrText>
      </w:r>
      <w:r>
        <w:fldChar w:fldCharType="separate"/>
      </w:r>
      <w:r w:rsidR="00835345">
        <w:rPr>
          <w:noProof/>
        </w:rPr>
        <w:t>14</w:t>
      </w:r>
      <w:r>
        <w:fldChar w:fldCharType="end"/>
      </w:r>
      <w:bookmarkEnd w:id="52"/>
      <w:r>
        <w:t xml:space="preserve"> </w:t>
      </w:r>
      <w:r>
        <w:tab/>
      </w:r>
      <w:r w:rsidRPr="000436CD">
        <w:t xml:space="preserve">Results of sensitivity analysis for net budget impact of making </w:t>
      </w:r>
      <w:r w:rsidRPr="00D23AAA">
        <w:rPr>
          <w:i/>
        </w:rPr>
        <w:t>DPYD</w:t>
      </w:r>
      <w:r>
        <w:t xml:space="preserve"> genotyping </w:t>
      </w:r>
      <w:r w:rsidRPr="000436CD">
        <w:t xml:space="preserve">available for patients </w:t>
      </w:r>
      <w:r>
        <w:t>about to receive FP</w:t>
      </w:r>
      <w:r w:rsidRPr="000436CD">
        <w:t xml:space="preserve"> chem</w:t>
      </w:r>
      <w:r w:rsidR="007840AA">
        <w:t>o</w:t>
      </w:r>
      <w:r w:rsidRPr="00093208">
        <w:t>therapy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85" w:type="dxa"/>
          <w:bottom w:w="28" w:type="dxa"/>
          <w:right w:w="57" w:type="dxa"/>
        </w:tblCellMar>
        <w:tblLook w:val="04A0" w:firstRow="1" w:lastRow="0" w:firstColumn="1" w:lastColumn="0" w:noHBand="0" w:noVBand="1"/>
      </w:tblPr>
      <w:tblGrid>
        <w:gridCol w:w="1271"/>
        <w:gridCol w:w="1134"/>
        <w:gridCol w:w="1277"/>
        <w:gridCol w:w="1214"/>
        <w:gridCol w:w="1196"/>
        <w:gridCol w:w="1417"/>
        <w:gridCol w:w="1507"/>
      </w:tblGrid>
      <w:tr w:rsidR="00D673BF" w:rsidRPr="00D673BF" w14:paraId="73DB5E04" w14:textId="77777777" w:rsidTr="005C65FB">
        <w:trPr>
          <w:trHeight w:val="200"/>
        </w:trPr>
        <w:tc>
          <w:tcPr>
            <w:tcW w:w="705" w:type="pct"/>
            <w:shd w:val="clear" w:color="auto" w:fill="FFFFFF" w:themeFill="background1"/>
            <w:vAlign w:val="center"/>
            <w:hideMark/>
          </w:tcPr>
          <w:p w14:paraId="69EB0829" w14:textId="77777777" w:rsidR="0068276A" w:rsidRPr="00D673BF" w:rsidRDefault="0068276A">
            <w:pPr>
              <w:pStyle w:val="TableText"/>
              <w:rPr>
                <w:b/>
                <w:bCs/>
                <w:szCs w:val="20"/>
              </w:rPr>
            </w:pPr>
          </w:p>
        </w:tc>
        <w:tc>
          <w:tcPr>
            <w:tcW w:w="629" w:type="pct"/>
            <w:shd w:val="clear" w:color="auto" w:fill="FFFFFF" w:themeFill="background1"/>
            <w:vAlign w:val="center"/>
            <w:hideMark/>
          </w:tcPr>
          <w:p w14:paraId="78A4F916" w14:textId="77777777" w:rsidR="0068276A" w:rsidRPr="00D673BF" w:rsidRDefault="0068276A">
            <w:pPr>
              <w:pStyle w:val="TableText"/>
              <w:rPr>
                <w:b/>
                <w:bCs/>
                <w:szCs w:val="20"/>
              </w:rPr>
            </w:pPr>
            <w:r w:rsidRPr="00D673BF">
              <w:rPr>
                <w:b/>
                <w:bCs/>
                <w:szCs w:val="20"/>
              </w:rPr>
              <w:t>2025</w:t>
            </w:r>
          </w:p>
        </w:tc>
        <w:tc>
          <w:tcPr>
            <w:tcW w:w="708" w:type="pct"/>
            <w:shd w:val="clear" w:color="auto" w:fill="FFFFFF" w:themeFill="background1"/>
            <w:vAlign w:val="center"/>
            <w:hideMark/>
          </w:tcPr>
          <w:p w14:paraId="6BF4CC48" w14:textId="77777777" w:rsidR="0068276A" w:rsidRPr="00D673BF" w:rsidRDefault="0068276A">
            <w:pPr>
              <w:pStyle w:val="TableText"/>
              <w:rPr>
                <w:b/>
                <w:bCs/>
                <w:szCs w:val="20"/>
              </w:rPr>
            </w:pPr>
            <w:r w:rsidRPr="00D673BF">
              <w:rPr>
                <w:b/>
                <w:bCs/>
                <w:szCs w:val="20"/>
              </w:rPr>
              <w:t>2026</w:t>
            </w:r>
          </w:p>
        </w:tc>
        <w:tc>
          <w:tcPr>
            <w:tcW w:w="673" w:type="pct"/>
            <w:shd w:val="clear" w:color="auto" w:fill="FFFFFF" w:themeFill="background1"/>
            <w:vAlign w:val="center"/>
            <w:hideMark/>
          </w:tcPr>
          <w:p w14:paraId="294DD9C6" w14:textId="77777777" w:rsidR="0068276A" w:rsidRPr="00D673BF" w:rsidRDefault="0068276A">
            <w:pPr>
              <w:pStyle w:val="TableText"/>
              <w:rPr>
                <w:b/>
                <w:bCs/>
                <w:szCs w:val="20"/>
              </w:rPr>
            </w:pPr>
            <w:r w:rsidRPr="00D673BF">
              <w:rPr>
                <w:b/>
                <w:bCs/>
                <w:szCs w:val="20"/>
              </w:rPr>
              <w:t>2027</w:t>
            </w:r>
          </w:p>
        </w:tc>
        <w:tc>
          <w:tcPr>
            <w:tcW w:w="663" w:type="pct"/>
            <w:shd w:val="clear" w:color="auto" w:fill="FFFFFF" w:themeFill="background1"/>
            <w:vAlign w:val="center"/>
            <w:hideMark/>
          </w:tcPr>
          <w:p w14:paraId="2AA83EE6" w14:textId="77777777" w:rsidR="0068276A" w:rsidRPr="00D673BF" w:rsidRDefault="0068276A">
            <w:pPr>
              <w:pStyle w:val="TableText"/>
              <w:rPr>
                <w:b/>
                <w:bCs/>
                <w:szCs w:val="20"/>
              </w:rPr>
            </w:pPr>
            <w:r w:rsidRPr="00D673BF">
              <w:rPr>
                <w:b/>
                <w:bCs/>
                <w:szCs w:val="20"/>
              </w:rPr>
              <w:t>2028</w:t>
            </w:r>
          </w:p>
        </w:tc>
        <w:tc>
          <w:tcPr>
            <w:tcW w:w="786" w:type="pct"/>
            <w:shd w:val="clear" w:color="auto" w:fill="FFFFFF" w:themeFill="background1"/>
            <w:vAlign w:val="center"/>
            <w:hideMark/>
          </w:tcPr>
          <w:p w14:paraId="1381B95A" w14:textId="77777777" w:rsidR="0068276A" w:rsidRPr="00D673BF" w:rsidRDefault="0068276A">
            <w:pPr>
              <w:pStyle w:val="TableText"/>
              <w:rPr>
                <w:b/>
                <w:bCs/>
                <w:szCs w:val="20"/>
              </w:rPr>
            </w:pPr>
            <w:r w:rsidRPr="00D673BF">
              <w:rPr>
                <w:b/>
                <w:bCs/>
                <w:szCs w:val="20"/>
              </w:rPr>
              <w:t>2029</w:t>
            </w:r>
          </w:p>
        </w:tc>
        <w:tc>
          <w:tcPr>
            <w:tcW w:w="836" w:type="pct"/>
            <w:shd w:val="clear" w:color="auto" w:fill="FFFFFF" w:themeFill="background1"/>
            <w:vAlign w:val="center"/>
            <w:hideMark/>
          </w:tcPr>
          <w:p w14:paraId="72B06338" w14:textId="77777777" w:rsidR="0068276A" w:rsidRPr="00D673BF" w:rsidRDefault="0068276A">
            <w:pPr>
              <w:pStyle w:val="TableText"/>
              <w:rPr>
                <w:b/>
                <w:bCs/>
                <w:szCs w:val="20"/>
              </w:rPr>
            </w:pPr>
            <w:r w:rsidRPr="00D673BF">
              <w:rPr>
                <w:b/>
                <w:bCs/>
                <w:szCs w:val="20"/>
              </w:rPr>
              <w:t>2030</w:t>
            </w:r>
          </w:p>
        </w:tc>
      </w:tr>
      <w:tr w:rsidR="00D673BF" w:rsidRPr="00D673BF" w14:paraId="4033FDE3" w14:textId="77777777" w:rsidTr="005C65FB">
        <w:trPr>
          <w:trHeight w:val="19"/>
        </w:trPr>
        <w:tc>
          <w:tcPr>
            <w:tcW w:w="705" w:type="pct"/>
            <w:shd w:val="clear" w:color="auto" w:fill="FFFFFF" w:themeFill="background1"/>
            <w:vAlign w:val="center"/>
          </w:tcPr>
          <w:p w14:paraId="41B2B744" w14:textId="77777777" w:rsidR="0068276A" w:rsidRPr="00D673BF" w:rsidRDefault="0068276A">
            <w:pPr>
              <w:pStyle w:val="TableText"/>
              <w:rPr>
                <w:b/>
                <w:bCs/>
                <w:szCs w:val="20"/>
              </w:rPr>
            </w:pPr>
            <w:r w:rsidRPr="00D673BF">
              <w:rPr>
                <w:b/>
                <w:bCs/>
                <w:szCs w:val="20"/>
              </w:rPr>
              <w:t>Base case</w:t>
            </w:r>
          </w:p>
        </w:tc>
        <w:tc>
          <w:tcPr>
            <w:tcW w:w="629" w:type="pct"/>
            <w:tcBorders>
              <w:top w:val="nil"/>
              <w:left w:val="nil"/>
              <w:bottom w:val="single" w:sz="8" w:space="0" w:color="auto"/>
              <w:right w:val="single" w:sz="8" w:space="0" w:color="auto"/>
            </w:tcBorders>
            <w:shd w:val="clear" w:color="000000" w:fill="FFFFFF"/>
            <w:noWrap/>
            <w:vAlign w:val="center"/>
          </w:tcPr>
          <w:p w14:paraId="002D7044" w14:textId="744EE406" w:rsidR="0068276A" w:rsidRPr="00D673BF" w:rsidRDefault="00253E01">
            <w:pPr>
              <w:pStyle w:val="TableText"/>
              <w:rPr>
                <w:b/>
                <w:szCs w:val="20"/>
              </w:rPr>
            </w:pPr>
            <w:r w:rsidRPr="00D673BF">
              <w:rPr>
                <w:rFonts w:cs="Arial"/>
                <w:szCs w:val="20"/>
              </w:rPr>
              <w:t>-$</w:t>
            </w:r>
            <w:r w:rsidR="00852644" w:rsidRPr="00D673BF">
              <w:rPr>
                <w:rFonts w:cs="Arial"/>
                <w:szCs w:val="20"/>
              </w:rPr>
              <w:t>17,659,203</w:t>
            </w:r>
          </w:p>
        </w:tc>
        <w:tc>
          <w:tcPr>
            <w:tcW w:w="708" w:type="pct"/>
            <w:tcBorders>
              <w:top w:val="nil"/>
              <w:left w:val="nil"/>
              <w:bottom w:val="single" w:sz="8" w:space="0" w:color="auto"/>
              <w:right w:val="single" w:sz="8" w:space="0" w:color="auto"/>
            </w:tcBorders>
            <w:shd w:val="clear" w:color="000000" w:fill="FFFFFF"/>
            <w:noWrap/>
            <w:vAlign w:val="center"/>
          </w:tcPr>
          <w:p w14:paraId="6A389BE5" w14:textId="118E9EF6" w:rsidR="0068276A" w:rsidRPr="00D673BF" w:rsidRDefault="00253E01">
            <w:pPr>
              <w:pStyle w:val="TableText"/>
              <w:rPr>
                <w:b/>
                <w:szCs w:val="20"/>
              </w:rPr>
            </w:pPr>
            <w:r w:rsidRPr="00D673BF">
              <w:rPr>
                <w:rFonts w:cs="Arial"/>
                <w:szCs w:val="20"/>
              </w:rPr>
              <w:t>-$</w:t>
            </w:r>
            <w:r w:rsidR="00852644" w:rsidRPr="00D673BF">
              <w:rPr>
                <w:rFonts w:cs="Arial"/>
                <w:szCs w:val="20"/>
              </w:rPr>
              <w:t>21,631,894</w:t>
            </w:r>
          </w:p>
        </w:tc>
        <w:tc>
          <w:tcPr>
            <w:tcW w:w="673" w:type="pct"/>
            <w:tcBorders>
              <w:top w:val="nil"/>
              <w:left w:val="nil"/>
              <w:bottom w:val="single" w:sz="8" w:space="0" w:color="auto"/>
              <w:right w:val="single" w:sz="8" w:space="0" w:color="auto"/>
            </w:tcBorders>
            <w:shd w:val="clear" w:color="000000" w:fill="FFFFFF"/>
            <w:noWrap/>
            <w:vAlign w:val="center"/>
          </w:tcPr>
          <w:p w14:paraId="18C18D11" w14:textId="277502AF" w:rsidR="0068276A" w:rsidRPr="00D673BF" w:rsidRDefault="00253E01">
            <w:pPr>
              <w:pStyle w:val="TableText"/>
              <w:rPr>
                <w:b/>
                <w:szCs w:val="20"/>
              </w:rPr>
            </w:pPr>
            <w:r w:rsidRPr="00D673BF">
              <w:rPr>
                <w:rFonts w:cs="Arial"/>
                <w:szCs w:val="20"/>
              </w:rPr>
              <w:t>-$</w:t>
            </w:r>
            <w:r w:rsidR="00852644" w:rsidRPr="00D673BF">
              <w:rPr>
                <w:rFonts w:cs="Arial"/>
                <w:szCs w:val="20"/>
              </w:rPr>
              <w:t>25,746,186</w:t>
            </w:r>
          </w:p>
        </w:tc>
        <w:tc>
          <w:tcPr>
            <w:tcW w:w="663" w:type="pct"/>
            <w:tcBorders>
              <w:top w:val="nil"/>
              <w:left w:val="nil"/>
              <w:bottom w:val="single" w:sz="8" w:space="0" w:color="auto"/>
              <w:right w:val="single" w:sz="8" w:space="0" w:color="auto"/>
            </w:tcBorders>
            <w:shd w:val="clear" w:color="000000" w:fill="FFFFFF"/>
            <w:noWrap/>
            <w:vAlign w:val="center"/>
          </w:tcPr>
          <w:p w14:paraId="544D841D" w14:textId="4EF4B9B5" w:rsidR="0068276A" w:rsidRPr="00D673BF" w:rsidRDefault="00253E01">
            <w:pPr>
              <w:pStyle w:val="TableText"/>
              <w:rPr>
                <w:b/>
                <w:szCs w:val="20"/>
              </w:rPr>
            </w:pPr>
            <w:r w:rsidRPr="00D673BF">
              <w:rPr>
                <w:rFonts w:cs="Arial"/>
                <w:szCs w:val="20"/>
              </w:rPr>
              <w:t>-$</w:t>
            </w:r>
            <w:r w:rsidR="00852644" w:rsidRPr="00D673BF">
              <w:rPr>
                <w:rFonts w:cs="Arial"/>
                <w:szCs w:val="20"/>
              </w:rPr>
              <w:t>30,057,146</w:t>
            </w:r>
          </w:p>
        </w:tc>
        <w:tc>
          <w:tcPr>
            <w:tcW w:w="786" w:type="pct"/>
            <w:tcBorders>
              <w:top w:val="nil"/>
              <w:left w:val="nil"/>
              <w:bottom w:val="single" w:sz="8" w:space="0" w:color="auto"/>
              <w:right w:val="single" w:sz="8" w:space="0" w:color="auto"/>
            </w:tcBorders>
            <w:shd w:val="clear" w:color="000000" w:fill="FFFFFF"/>
            <w:noWrap/>
            <w:vAlign w:val="center"/>
          </w:tcPr>
          <w:p w14:paraId="3CD23C8E" w14:textId="1D852F32" w:rsidR="0068276A" w:rsidRPr="00D673BF" w:rsidRDefault="00253E01">
            <w:pPr>
              <w:pStyle w:val="TableText"/>
              <w:rPr>
                <w:b/>
                <w:szCs w:val="20"/>
              </w:rPr>
            </w:pPr>
            <w:r w:rsidRPr="00D673BF">
              <w:rPr>
                <w:rFonts w:cs="Arial"/>
                <w:szCs w:val="20"/>
              </w:rPr>
              <w:t>-$</w:t>
            </w:r>
            <w:r w:rsidR="00852644" w:rsidRPr="00D673BF">
              <w:rPr>
                <w:rFonts w:cs="Arial"/>
                <w:szCs w:val="20"/>
              </w:rPr>
              <w:t>34,523,867</w:t>
            </w:r>
          </w:p>
        </w:tc>
        <w:tc>
          <w:tcPr>
            <w:tcW w:w="836" w:type="pct"/>
            <w:tcBorders>
              <w:top w:val="nil"/>
              <w:left w:val="nil"/>
              <w:bottom w:val="single" w:sz="8" w:space="0" w:color="auto"/>
              <w:right w:val="single" w:sz="8" w:space="0" w:color="auto"/>
            </w:tcBorders>
            <w:shd w:val="clear" w:color="000000" w:fill="FFFFFF"/>
            <w:noWrap/>
            <w:vAlign w:val="center"/>
          </w:tcPr>
          <w:p w14:paraId="6869DC44" w14:textId="19704DDC" w:rsidR="0068276A" w:rsidRPr="00D673BF" w:rsidRDefault="00253E01">
            <w:pPr>
              <w:pStyle w:val="TableText"/>
              <w:rPr>
                <w:b/>
                <w:szCs w:val="20"/>
              </w:rPr>
            </w:pPr>
            <w:r w:rsidRPr="00D673BF">
              <w:rPr>
                <w:rFonts w:cs="Arial"/>
                <w:szCs w:val="20"/>
              </w:rPr>
              <w:t>-$</w:t>
            </w:r>
            <w:r w:rsidR="00852644" w:rsidRPr="00D673BF">
              <w:rPr>
                <w:rFonts w:cs="Arial"/>
                <w:szCs w:val="20"/>
              </w:rPr>
              <w:t>39,127,469</w:t>
            </w:r>
          </w:p>
        </w:tc>
      </w:tr>
      <w:tr w:rsidR="00D673BF" w:rsidRPr="00D673BF" w14:paraId="7B4F484B" w14:textId="77777777" w:rsidTr="00852644">
        <w:trPr>
          <w:trHeight w:val="19"/>
        </w:trPr>
        <w:tc>
          <w:tcPr>
            <w:tcW w:w="5000" w:type="pct"/>
            <w:gridSpan w:val="7"/>
            <w:tcBorders>
              <w:bottom w:val="single" w:sz="4" w:space="0" w:color="auto"/>
              <w:right w:val="single" w:sz="4" w:space="0" w:color="auto"/>
            </w:tcBorders>
            <w:shd w:val="clear" w:color="auto" w:fill="FFFFFF" w:themeFill="background1"/>
            <w:vAlign w:val="center"/>
          </w:tcPr>
          <w:p w14:paraId="259FB77F" w14:textId="0467A959" w:rsidR="0068276A" w:rsidRPr="00D673BF" w:rsidRDefault="00CD73DB">
            <w:pPr>
              <w:pStyle w:val="TableText"/>
              <w:rPr>
                <w:rFonts w:cs="Calibri"/>
                <w:b/>
                <w:szCs w:val="20"/>
              </w:rPr>
            </w:pPr>
            <w:r w:rsidRPr="00D673BF">
              <w:rPr>
                <w:rFonts w:cs="Calibri"/>
                <w:b/>
                <w:i/>
                <w:szCs w:val="20"/>
              </w:rPr>
              <w:t>DPYD</w:t>
            </w:r>
            <w:r w:rsidR="0068276A" w:rsidRPr="00D673BF">
              <w:rPr>
                <w:rFonts w:cs="Calibri"/>
                <w:b/>
                <w:bCs/>
                <w:szCs w:val="20"/>
              </w:rPr>
              <w:t xml:space="preserve"> genotyping uptake (base case = </w:t>
            </w:r>
            <w:r w:rsidR="00852644" w:rsidRPr="00D673BF">
              <w:rPr>
                <w:rFonts w:cs="Calibri"/>
                <w:b/>
                <w:bCs/>
                <w:szCs w:val="20"/>
              </w:rPr>
              <w:t>50</w:t>
            </w:r>
            <w:r w:rsidR="0068276A" w:rsidRPr="00D673BF">
              <w:rPr>
                <w:rFonts w:cs="Calibri"/>
                <w:b/>
                <w:bCs/>
                <w:szCs w:val="20"/>
              </w:rPr>
              <w:t>% in 2025 rising to 100% in 2030)</w:t>
            </w:r>
          </w:p>
        </w:tc>
      </w:tr>
      <w:tr w:rsidR="00D673BF" w:rsidRPr="00D673BF" w14:paraId="3C55CDA1" w14:textId="77777777" w:rsidTr="005C65FB">
        <w:trPr>
          <w:trHeight w:val="19"/>
        </w:trPr>
        <w:tc>
          <w:tcPr>
            <w:tcW w:w="705" w:type="pct"/>
            <w:tcBorders>
              <w:top w:val="single" w:sz="4" w:space="0" w:color="auto"/>
            </w:tcBorders>
            <w:shd w:val="clear" w:color="auto" w:fill="FFFFFF" w:themeFill="background1"/>
            <w:vAlign w:val="center"/>
          </w:tcPr>
          <w:p w14:paraId="2B955830" w14:textId="587BAB2C" w:rsidR="0068276A" w:rsidRPr="00D673BF" w:rsidRDefault="0068276A">
            <w:pPr>
              <w:pStyle w:val="TableText"/>
              <w:rPr>
                <w:szCs w:val="20"/>
              </w:rPr>
            </w:pPr>
            <w:r w:rsidRPr="00D673BF">
              <w:rPr>
                <w:rFonts w:cs="Calibri"/>
                <w:szCs w:val="20"/>
              </w:rPr>
              <w:t>100% uptake all years</w:t>
            </w:r>
          </w:p>
        </w:tc>
        <w:tc>
          <w:tcPr>
            <w:tcW w:w="629" w:type="pct"/>
            <w:tcBorders>
              <w:top w:val="single" w:sz="4" w:space="0" w:color="auto"/>
              <w:left w:val="nil"/>
              <w:bottom w:val="single" w:sz="8" w:space="0" w:color="auto"/>
              <w:right w:val="single" w:sz="8" w:space="0" w:color="auto"/>
            </w:tcBorders>
            <w:shd w:val="clear" w:color="000000" w:fill="FFFFFF"/>
            <w:noWrap/>
            <w:vAlign w:val="center"/>
          </w:tcPr>
          <w:p w14:paraId="1B64F57E" w14:textId="17D86632" w:rsidR="0068276A" w:rsidRPr="00D673BF" w:rsidRDefault="00991FEA">
            <w:pPr>
              <w:pStyle w:val="TableText"/>
              <w:rPr>
                <w:rFonts w:cs="Calibri"/>
                <w:szCs w:val="20"/>
              </w:rPr>
            </w:pPr>
            <w:r w:rsidRPr="00D673BF">
              <w:rPr>
                <w:rFonts w:cs="Arial"/>
                <w:szCs w:val="20"/>
              </w:rPr>
              <w:t>-$35,319,979</w:t>
            </w:r>
          </w:p>
        </w:tc>
        <w:tc>
          <w:tcPr>
            <w:tcW w:w="708" w:type="pct"/>
            <w:tcBorders>
              <w:top w:val="single" w:sz="4" w:space="0" w:color="auto"/>
              <w:left w:val="nil"/>
              <w:bottom w:val="single" w:sz="8" w:space="0" w:color="auto"/>
              <w:right w:val="single" w:sz="8" w:space="0" w:color="auto"/>
            </w:tcBorders>
            <w:shd w:val="clear" w:color="000000" w:fill="FFFFFF"/>
            <w:noWrap/>
            <w:vAlign w:val="center"/>
          </w:tcPr>
          <w:p w14:paraId="0B2AA444" w14:textId="63D53BBE" w:rsidR="0068276A" w:rsidRPr="00D673BF" w:rsidRDefault="00991FEA">
            <w:pPr>
              <w:pStyle w:val="TableText"/>
              <w:rPr>
                <w:rFonts w:cs="Calibri"/>
                <w:szCs w:val="20"/>
              </w:rPr>
            </w:pPr>
            <w:r w:rsidRPr="00D673BF">
              <w:rPr>
                <w:rFonts w:cs="Arial"/>
                <w:szCs w:val="20"/>
              </w:rPr>
              <w:t>-$36,054,730</w:t>
            </w:r>
          </w:p>
        </w:tc>
        <w:tc>
          <w:tcPr>
            <w:tcW w:w="673" w:type="pct"/>
            <w:tcBorders>
              <w:top w:val="single" w:sz="4" w:space="0" w:color="auto"/>
              <w:left w:val="nil"/>
              <w:bottom w:val="single" w:sz="8" w:space="0" w:color="auto"/>
              <w:right w:val="single" w:sz="8" w:space="0" w:color="auto"/>
            </w:tcBorders>
            <w:shd w:val="clear" w:color="000000" w:fill="FFFFFF"/>
            <w:noWrap/>
            <w:vAlign w:val="center"/>
          </w:tcPr>
          <w:p w14:paraId="7DEC6EBC" w14:textId="0661CEFB" w:rsidR="0068276A" w:rsidRPr="00D673BF" w:rsidRDefault="00991FEA">
            <w:pPr>
              <w:pStyle w:val="TableText"/>
              <w:rPr>
                <w:rFonts w:cs="Calibri"/>
                <w:szCs w:val="20"/>
              </w:rPr>
            </w:pPr>
            <w:r w:rsidRPr="00D673BF">
              <w:rPr>
                <w:rFonts w:cs="Arial"/>
                <w:szCs w:val="20"/>
              </w:rPr>
              <w:t>-$36,780,041</w:t>
            </w:r>
          </w:p>
        </w:tc>
        <w:tc>
          <w:tcPr>
            <w:tcW w:w="663" w:type="pct"/>
            <w:tcBorders>
              <w:top w:val="single" w:sz="4" w:space="0" w:color="auto"/>
              <w:left w:val="nil"/>
              <w:bottom w:val="single" w:sz="8" w:space="0" w:color="auto"/>
              <w:right w:val="single" w:sz="8" w:space="0" w:color="auto"/>
            </w:tcBorders>
            <w:shd w:val="clear" w:color="000000" w:fill="FFFFFF"/>
            <w:noWrap/>
            <w:vAlign w:val="center"/>
          </w:tcPr>
          <w:p w14:paraId="72611EAD" w14:textId="714E1653" w:rsidR="0068276A" w:rsidRPr="00D673BF" w:rsidRDefault="00991FEA">
            <w:pPr>
              <w:pStyle w:val="TableText"/>
              <w:rPr>
                <w:rFonts w:cs="Calibri"/>
                <w:szCs w:val="20"/>
              </w:rPr>
            </w:pPr>
            <w:r w:rsidRPr="00D673BF">
              <w:rPr>
                <w:rFonts w:cs="Arial"/>
                <w:szCs w:val="20"/>
              </w:rPr>
              <w:t>-$37,571,433</w:t>
            </w:r>
          </w:p>
        </w:tc>
        <w:tc>
          <w:tcPr>
            <w:tcW w:w="786" w:type="pct"/>
            <w:tcBorders>
              <w:top w:val="single" w:sz="4" w:space="0" w:color="auto"/>
              <w:left w:val="nil"/>
              <w:bottom w:val="single" w:sz="8" w:space="0" w:color="auto"/>
              <w:right w:val="single" w:sz="8" w:space="0" w:color="auto"/>
            </w:tcBorders>
            <w:shd w:val="clear" w:color="000000" w:fill="FFFFFF"/>
            <w:noWrap/>
            <w:vAlign w:val="center"/>
          </w:tcPr>
          <w:p w14:paraId="12E2C0C5" w14:textId="5BBB4F42" w:rsidR="0068276A" w:rsidRPr="00D673BF" w:rsidRDefault="00991FEA">
            <w:pPr>
              <w:pStyle w:val="TableText"/>
              <w:rPr>
                <w:rFonts w:cs="Calibri"/>
                <w:szCs w:val="20"/>
              </w:rPr>
            </w:pPr>
            <w:r w:rsidRPr="00D673BF">
              <w:rPr>
                <w:rFonts w:cs="Arial"/>
                <w:szCs w:val="20"/>
              </w:rPr>
              <w:t>-$38,359,678</w:t>
            </w:r>
          </w:p>
        </w:tc>
        <w:tc>
          <w:tcPr>
            <w:tcW w:w="836" w:type="pct"/>
            <w:tcBorders>
              <w:top w:val="single" w:sz="4" w:space="0" w:color="auto"/>
              <w:left w:val="nil"/>
              <w:bottom w:val="single" w:sz="8" w:space="0" w:color="auto"/>
              <w:right w:val="single" w:sz="8" w:space="0" w:color="auto"/>
            </w:tcBorders>
            <w:shd w:val="clear" w:color="000000" w:fill="FFFFFF"/>
            <w:noWrap/>
            <w:vAlign w:val="center"/>
          </w:tcPr>
          <w:p w14:paraId="200A0B07" w14:textId="3BDC8067" w:rsidR="0068276A" w:rsidRPr="00D673BF" w:rsidRDefault="00991FEA">
            <w:pPr>
              <w:pStyle w:val="TableText"/>
              <w:rPr>
                <w:rFonts w:cs="Calibri"/>
                <w:szCs w:val="20"/>
              </w:rPr>
            </w:pPr>
            <w:r w:rsidRPr="00D673BF">
              <w:rPr>
                <w:rFonts w:cs="Arial"/>
                <w:szCs w:val="20"/>
              </w:rPr>
              <w:t>-$39,127,469</w:t>
            </w:r>
          </w:p>
        </w:tc>
      </w:tr>
      <w:tr w:rsidR="00D673BF" w:rsidRPr="00D673BF" w14:paraId="208BE17B" w14:textId="77777777" w:rsidTr="00852644">
        <w:trPr>
          <w:trHeight w:val="120"/>
        </w:trPr>
        <w:tc>
          <w:tcPr>
            <w:tcW w:w="5000" w:type="pct"/>
            <w:gridSpan w:val="7"/>
            <w:shd w:val="clear" w:color="auto" w:fill="FFFFFF" w:themeFill="background1"/>
            <w:vAlign w:val="center"/>
          </w:tcPr>
          <w:p w14:paraId="42BE7B45" w14:textId="77777777" w:rsidR="0068276A" w:rsidRPr="00D673BF" w:rsidRDefault="0068276A">
            <w:pPr>
              <w:pStyle w:val="TableText"/>
              <w:rPr>
                <w:b/>
                <w:bCs/>
                <w:szCs w:val="20"/>
              </w:rPr>
            </w:pPr>
            <w:r w:rsidRPr="00D673BF">
              <w:rPr>
                <w:b/>
                <w:bCs/>
                <w:szCs w:val="20"/>
              </w:rPr>
              <w:t>Number of 5-FU chemotherapy cycles (base case = 5)</w:t>
            </w:r>
          </w:p>
        </w:tc>
      </w:tr>
      <w:tr w:rsidR="00D673BF" w:rsidRPr="00D673BF" w14:paraId="5A352F15" w14:textId="77777777" w:rsidTr="005C65FB">
        <w:trPr>
          <w:trHeight w:val="217"/>
        </w:trPr>
        <w:tc>
          <w:tcPr>
            <w:tcW w:w="705" w:type="pct"/>
            <w:shd w:val="clear" w:color="auto" w:fill="FFFFFF" w:themeFill="background1"/>
            <w:vAlign w:val="center"/>
          </w:tcPr>
          <w:p w14:paraId="3155F63D" w14:textId="77777777" w:rsidR="0068276A" w:rsidRPr="00D673BF" w:rsidRDefault="0068276A">
            <w:pPr>
              <w:pStyle w:val="TableText"/>
              <w:rPr>
                <w:szCs w:val="20"/>
              </w:rPr>
            </w:pPr>
            <w:r w:rsidRPr="00D673BF">
              <w:rPr>
                <w:szCs w:val="20"/>
              </w:rPr>
              <w:t>7</w:t>
            </w:r>
          </w:p>
        </w:tc>
        <w:tc>
          <w:tcPr>
            <w:tcW w:w="629" w:type="pct"/>
            <w:tcBorders>
              <w:top w:val="nil"/>
              <w:left w:val="nil"/>
              <w:bottom w:val="single" w:sz="8" w:space="0" w:color="auto"/>
              <w:right w:val="single" w:sz="8" w:space="0" w:color="auto"/>
            </w:tcBorders>
            <w:shd w:val="clear" w:color="000000" w:fill="FFFFFF"/>
            <w:noWrap/>
            <w:vAlign w:val="center"/>
          </w:tcPr>
          <w:p w14:paraId="49D451BC" w14:textId="1536B8B3" w:rsidR="0068276A" w:rsidRPr="00D673BF" w:rsidRDefault="00510F7F">
            <w:pPr>
              <w:pStyle w:val="TableText"/>
              <w:rPr>
                <w:szCs w:val="20"/>
              </w:rPr>
            </w:pPr>
            <w:r w:rsidRPr="00D673BF">
              <w:rPr>
                <w:rFonts w:cs="Arial"/>
                <w:szCs w:val="20"/>
              </w:rPr>
              <w:t>-$17,741,621</w:t>
            </w:r>
          </w:p>
        </w:tc>
        <w:tc>
          <w:tcPr>
            <w:tcW w:w="708" w:type="pct"/>
            <w:tcBorders>
              <w:top w:val="nil"/>
              <w:left w:val="nil"/>
              <w:bottom w:val="single" w:sz="8" w:space="0" w:color="auto"/>
              <w:right w:val="single" w:sz="8" w:space="0" w:color="auto"/>
            </w:tcBorders>
            <w:shd w:val="clear" w:color="000000" w:fill="FFFFFF"/>
            <w:noWrap/>
            <w:vAlign w:val="center"/>
          </w:tcPr>
          <w:p w14:paraId="71506F63" w14:textId="6F58773A" w:rsidR="0068276A" w:rsidRPr="00D673BF" w:rsidRDefault="00510F7F">
            <w:pPr>
              <w:pStyle w:val="TableText"/>
              <w:rPr>
                <w:szCs w:val="20"/>
              </w:rPr>
            </w:pPr>
            <w:r w:rsidRPr="00D673BF">
              <w:rPr>
                <w:rFonts w:cs="Arial"/>
                <w:szCs w:val="20"/>
              </w:rPr>
              <w:t>-$21,732,853</w:t>
            </w:r>
          </w:p>
        </w:tc>
        <w:tc>
          <w:tcPr>
            <w:tcW w:w="673" w:type="pct"/>
            <w:tcBorders>
              <w:top w:val="nil"/>
              <w:left w:val="nil"/>
              <w:bottom w:val="single" w:sz="8" w:space="0" w:color="auto"/>
              <w:right w:val="single" w:sz="8" w:space="0" w:color="auto"/>
            </w:tcBorders>
            <w:shd w:val="clear" w:color="000000" w:fill="FFFFFF"/>
            <w:noWrap/>
            <w:vAlign w:val="center"/>
          </w:tcPr>
          <w:p w14:paraId="35CE1DDB" w14:textId="2FE2E1DC" w:rsidR="0068276A" w:rsidRPr="00D673BF" w:rsidRDefault="00510F7F">
            <w:pPr>
              <w:pStyle w:val="TableText"/>
              <w:rPr>
                <w:szCs w:val="20"/>
              </w:rPr>
            </w:pPr>
            <w:r w:rsidRPr="00D673BF">
              <w:rPr>
                <w:rFonts w:cs="Arial"/>
                <w:szCs w:val="20"/>
              </w:rPr>
              <w:t>-$25,866,348</w:t>
            </w:r>
          </w:p>
        </w:tc>
        <w:tc>
          <w:tcPr>
            <w:tcW w:w="663" w:type="pct"/>
            <w:tcBorders>
              <w:top w:val="nil"/>
              <w:left w:val="nil"/>
              <w:bottom w:val="single" w:sz="8" w:space="0" w:color="auto"/>
              <w:right w:val="single" w:sz="8" w:space="0" w:color="auto"/>
            </w:tcBorders>
            <w:shd w:val="clear" w:color="000000" w:fill="FFFFFF"/>
            <w:noWrap/>
            <w:vAlign w:val="center"/>
          </w:tcPr>
          <w:p w14:paraId="3F5C1BD2" w14:textId="2DFF7D14" w:rsidR="0068276A" w:rsidRPr="00D673BF" w:rsidRDefault="00510F7F">
            <w:pPr>
              <w:pStyle w:val="TableText"/>
              <w:rPr>
                <w:szCs w:val="20"/>
              </w:rPr>
            </w:pPr>
            <w:r w:rsidRPr="00D673BF">
              <w:rPr>
                <w:rFonts w:cs="Arial"/>
                <w:szCs w:val="20"/>
              </w:rPr>
              <w:t>-$30,197,428</w:t>
            </w:r>
          </w:p>
        </w:tc>
        <w:tc>
          <w:tcPr>
            <w:tcW w:w="786" w:type="pct"/>
            <w:tcBorders>
              <w:top w:val="nil"/>
              <w:left w:val="nil"/>
              <w:bottom w:val="single" w:sz="8" w:space="0" w:color="auto"/>
              <w:right w:val="single" w:sz="8" w:space="0" w:color="auto"/>
            </w:tcBorders>
            <w:shd w:val="clear" w:color="000000" w:fill="FFFFFF"/>
            <w:noWrap/>
            <w:vAlign w:val="center"/>
          </w:tcPr>
          <w:p w14:paraId="4BA42925" w14:textId="3D6E3F08" w:rsidR="0068276A" w:rsidRPr="00D673BF" w:rsidRDefault="00510F7F">
            <w:pPr>
              <w:pStyle w:val="TableText"/>
              <w:rPr>
                <w:szCs w:val="20"/>
              </w:rPr>
            </w:pPr>
            <w:r w:rsidRPr="00D673BF">
              <w:rPr>
                <w:rFonts w:cs="Arial"/>
                <w:szCs w:val="20"/>
              </w:rPr>
              <w:t>-$34,684,995</w:t>
            </w:r>
          </w:p>
        </w:tc>
        <w:tc>
          <w:tcPr>
            <w:tcW w:w="836" w:type="pct"/>
            <w:tcBorders>
              <w:top w:val="nil"/>
              <w:left w:val="nil"/>
              <w:bottom w:val="single" w:sz="8" w:space="0" w:color="auto"/>
              <w:right w:val="single" w:sz="8" w:space="0" w:color="auto"/>
            </w:tcBorders>
            <w:shd w:val="clear" w:color="000000" w:fill="FFFFFF"/>
            <w:noWrap/>
            <w:vAlign w:val="center"/>
          </w:tcPr>
          <w:p w14:paraId="73CB52D2" w14:textId="4974FCC8" w:rsidR="0068276A" w:rsidRPr="00D673BF" w:rsidRDefault="00510F7F">
            <w:pPr>
              <w:pStyle w:val="TableText"/>
              <w:rPr>
                <w:szCs w:val="20"/>
              </w:rPr>
            </w:pPr>
            <w:r w:rsidRPr="00D673BF">
              <w:rPr>
                <w:rFonts w:cs="Arial"/>
                <w:szCs w:val="20"/>
              </w:rPr>
              <w:t>-$39,310,083</w:t>
            </w:r>
          </w:p>
        </w:tc>
      </w:tr>
      <w:tr w:rsidR="00D673BF" w:rsidRPr="00D673BF" w14:paraId="7C81A61E" w14:textId="77777777" w:rsidTr="00852644">
        <w:trPr>
          <w:trHeight w:val="120"/>
        </w:trPr>
        <w:tc>
          <w:tcPr>
            <w:tcW w:w="5000" w:type="pct"/>
            <w:gridSpan w:val="7"/>
            <w:shd w:val="clear" w:color="auto" w:fill="FFFFFF" w:themeFill="background1"/>
            <w:vAlign w:val="center"/>
          </w:tcPr>
          <w:p w14:paraId="455C2EF1" w14:textId="77777777" w:rsidR="0068276A" w:rsidRPr="00D673BF" w:rsidRDefault="0068276A">
            <w:pPr>
              <w:pStyle w:val="TableText"/>
              <w:rPr>
                <w:b/>
                <w:bCs/>
                <w:szCs w:val="20"/>
              </w:rPr>
            </w:pPr>
            <w:r w:rsidRPr="00D673BF">
              <w:rPr>
                <w:b/>
                <w:bCs/>
                <w:szCs w:val="20"/>
              </w:rPr>
              <w:t>Addition of a consultant oncologist for reduced metabolisers (base case = 0)</w:t>
            </w:r>
          </w:p>
        </w:tc>
      </w:tr>
      <w:tr w:rsidR="00D673BF" w:rsidRPr="00D673BF" w14:paraId="4CD72E48" w14:textId="77777777" w:rsidTr="005C65FB">
        <w:trPr>
          <w:trHeight w:val="120"/>
        </w:trPr>
        <w:tc>
          <w:tcPr>
            <w:tcW w:w="705" w:type="pct"/>
            <w:shd w:val="clear" w:color="auto" w:fill="FFFFFF" w:themeFill="background1"/>
            <w:vAlign w:val="center"/>
          </w:tcPr>
          <w:p w14:paraId="14CED38C" w14:textId="77777777" w:rsidR="0068276A" w:rsidRPr="00D673BF" w:rsidRDefault="0068276A">
            <w:pPr>
              <w:pStyle w:val="TableText"/>
              <w:rPr>
                <w:szCs w:val="20"/>
              </w:rPr>
            </w:pPr>
            <w:r w:rsidRPr="00D673BF">
              <w:rPr>
                <w:szCs w:val="20"/>
              </w:rPr>
              <w:t xml:space="preserve">1 x MBS item 108 per reduced metaboliser </w:t>
            </w:r>
          </w:p>
        </w:tc>
        <w:tc>
          <w:tcPr>
            <w:tcW w:w="629" w:type="pct"/>
            <w:tcBorders>
              <w:top w:val="nil"/>
              <w:left w:val="nil"/>
              <w:bottom w:val="single" w:sz="8" w:space="0" w:color="auto"/>
              <w:right w:val="single" w:sz="8" w:space="0" w:color="auto"/>
            </w:tcBorders>
            <w:shd w:val="clear" w:color="000000" w:fill="FFFFFF"/>
            <w:noWrap/>
            <w:vAlign w:val="center"/>
          </w:tcPr>
          <w:p w14:paraId="5D966512" w14:textId="28126D8F" w:rsidR="0068276A" w:rsidRPr="00D673BF" w:rsidRDefault="00462918">
            <w:pPr>
              <w:pStyle w:val="TableText"/>
              <w:rPr>
                <w:szCs w:val="20"/>
              </w:rPr>
            </w:pPr>
            <w:r w:rsidRPr="00D673BF">
              <w:rPr>
                <w:rFonts w:cs="Arial"/>
                <w:szCs w:val="20"/>
              </w:rPr>
              <w:t>-$17,604,663</w:t>
            </w:r>
          </w:p>
        </w:tc>
        <w:tc>
          <w:tcPr>
            <w:tcW w:w="708" w:type="pct"/>
            <w:tcBorders>
              <w:top w:val="nil"/>
              <w:left w:val="nil"/>
              <w:bottom w:val="single" w:sz="8" w:space="0" w:color="auto"/>
              <w:right w:val="single" w:sz="8" w:space="0" w:color="auto"/>
            </w:tcBorders>
            <w:shd w:val="clear" w:color="000000" w:fill="FFFFFF"/>
            <w:noWrap/>
            <w:vAlign w:val="center"/>
          </w:tcPr>
          <w:p w14:paraId="6DB03AC1" w14:textId="6601C5D0" w:rsidR="0068276A" w:rsidRPr="00D673BF" w:rsidRDefault="00462918">
            <w:pPr>
              <w:pStyle w:val="TableText"/>
              <w:rPr>
                <w:szCs w:val="20"/>
              </w:rPr>
            </w:pPr>
            <w:r w:rsidRPr="00D673BF">
              <w:rPr>
                <w:rFonts w:cs="Arial"/>
                <w:szCs w:val="20"/>
              </w:rPr>
              <w:t>-$21,565,085</w:t>
            </w:r>
          </w:p>
        </w:tc>
        <w:tc>
          <w:tcPr>
            <w:tcW w:w="673" w:type="pct"/>
            <w:tcBorders>
              <w:top w:val="nil"/>
              <w:left w:val="nil"/>
              <w:bottom w:val="single" w:sz="8" w:space="0" w:color="auto"/>
              <w:right w:val="single" w:sz="8" w:space="0" w:color="auto"/>
            </w:tcBorders>
            <w:shd w:val="clear" w:color="000000" w:fill="FFFFFF"/>
            <w:noWrap/>
            <w:vAlign w:val="center"/>
          </w:tcPr>
          <w:p w14:paraId="1CCAE870" w14:textId="6D0EA59C" w:rsidR="0068276A" w:rsidRPr="00D673BF" w:rsidRDefault="00462918">
            <w:pPr>
              <w:pStyle w:val="TableText"/>
              <w:rPr>
                <w:szCs w:val="20"/>
              </w:rPr>
            </w:pPr>
            <w:r w:rsidRPr="00D673BF">
              <w:rPr>
                <w:rFonts w:cs="Arial"/>
                <w:szCs w:val="20"/>
              </w:rPr>
              <w:t>-$25,666,670</w:t>
            </w:r>
          </w:p>
        </w:tc>
        <w:tc>
          <w:tcPr>
            <w:tcW w:w="663" w:type="pct"/>
            <w:tcBorders>
              <w:top w:val="nil"/>
              <w:left w:val="nil"/>
              <w:bottom w:val="single" w:sz="8" w:space="0" w:color="auto"/>
              <w:right w:val="single" w:sz="8" w:space="0" w:color="auto"/>
            </w:tcBorders>
            <w:shd w:val="clear" w:color="000000" w:fill="FFFFFF"/>
            <w:noWrap/>
            <w:vAlign w:val="center"/>
          </w:tcPr>
          <w:p w14:paraId="2F43E0F0" w14:textId="65F444D6" w:rsidR="0068276A" w:rsidRPr="00D673BF" w:rsidRDefault="00462918">
            <w:pPr>
              <w:pStyle w:val="TableText"/>
              <w:rPr>
                <w:szCs w:val="20"/>
              </w:rPr>
            </w:pPr>
            <w:r w:rsidRPr="00D673BF">
              <w:rPr>
                <w:rFonts w:cs="Arial"/>
                <w:szCs w:val="20"/>
              </w:rPr>
              <w:t>-$29,964,316</w:t>
            </w:r>
          </w:p>
        </w:tc>
        <w:tc>
          <w:tcPr>
            <w:tcW w:w="786" w:type="pct"/>
            <w:tcBorders>
              <w:top w:val="nil"/>
              <w:left w:val="nil"/>
              <w:bottom w:val="single" w:sz="8" w:space="0" w:color="auto"/>
              <w:right w:val="single" w:sz="8" w:space="0" w:color="auto"/>
            </w:tcBorders>
            <w:shd w:val="clear" w:color="000000" w:fill="FFFFFF"/>
            <w:noWrap/>
            <w:vAlign w:val="center"/>
          </w:tcPr>
          <w:p w14:paraId="5A191F44" w14:textId="6701A69F" w:rsidR="0068276A" w:rsidRPr="00D673BF" w:rsidRDefault="00462918">
            <w:pPr>
              <w:pStyle w:val="TableText"/>
              <w:rPr>
                <w:szCs w:val="20"/>
              </w:rPr>
            </w:pPr>
            <w:r w:rsidRPr="00D673BF">
              <w:rPr>
                <w:rFonts w:cs="Arial"/>
                <w:szCs w:val="20"/>
              </w:rPr>
              <w:t>-$34,417,241</w:t>
            </w:r>
          </w:p>
        </w:tc>
        <w:tc>
          <w:tcPr>
            <w:tcW w:w="836" w:type="pct"/>
            <w:tcBorders>
              <w:top w:val="nil"/>
              <w:left w:val="nil"/>
              <w:bottom w:val="single" w:sz="8" w:space="0" w:color="auto"/>
              <w:right w:val="single" w:sz="8" w:space="0" w:color="auto"/>
            </w:tcBorders>
            <w:shd w:val="clear" w:color="000000" w:fill="FFFFFF"/>
            <w:noWrap/>
            <w:vAlign w:val="center"/>
          </w:tcPr>
          <w:p w14:paraId="10D169DE" w14:textId="45621CA5" w:rsidR="0068276A" w:rsidRPr="00D673BF" w:rsidRDefault="00462918">
            <w:pPr>
              <w:pStyle w:val="TableText"/>
              <w:rPr>
                <w:szCs w:val="20"/>
              </w:rPr>
            </w:pPr>
            <w:r w:rsidRPr="00D673BF">
              <w:rPr>
                <w:rFonts w:cs="Arial"/>
                <w:szCs w:val="20"/>
              </w:rPr>
              <w:t>-$39,006,625</w:t>
            </w:r>
          </w:p>
        </w:tc>
      </w:tr>
      <w:tr w:rsidR="00D673BF" w:rsidRPr="00D673BF" w14:paraId="7B17C3F5" w14:textId="77777777" w:rsidTr="00852644">
        <w:trPr>
          <w:trHeight w:val="120"/>
        </w:trPr>
        <w:tc>
          <w:tcPr>
            <w:tcW w:w="5000" w:type="pct"/>
            <w:gridSpan w:val="7"/>
            <w:shd w:val="clear" w:color="auto" w:fill="FFFFFF" w:themeFill="background1"/>
            <w:vAlign w:val="center"/>
          </w:tcPr>
          <w:p w14:paraId="761768AE" w14:textId="62E32827" w:rsidR="0068276A" w:rsidRPr="00D673BF" w:rsidRDefault="0068276A">
            <w:pPr>
              <w:pStyle w:val="TableText"/>
              <w:rPr>
                <w:b/>
                <w:bCs/>
                <w:szCs w:val="20"/>
              </w:rPr>
            </w:pPr>
            <w:r w:rsidRPr="00D673BF">
              <w:rPr>
                <w:b/>
                <w:bCs/>
                <w:szCs w:val="20"/>
              </w:rPr>
              <w:t>Length of hospitalisation for toxic events (base case = variable)</w:t>
            </w:r>
          </w:p>
        </w:tc>
      </w:tr>
      <w:tr w:rsidR="00D673BF" w:rsidRPr="00D673BF" w14:paraId="5EA9353D" w14:textId="77777777" w:rsidTr="005C65FB">
        <w:trPr>
          <w:trHeight w:val="29"/>
        </w:trPr>
        <w:tc>
          <w:tcPr>
            <w:tcW w:w="705" w:type="pct"/>
            <w:tcBorders>
              <w:bottom w:val="single" w:sz="4" w:space="0" w:color="auto"/>
            </w:tcBorders>
            <w:shd w:val="clear" w:color="auto" w:fill="FFFFFF" w:themeFill="background1"/>
            <w:vAlign w:val="center"/>
          </w:tcPr>
          <w:p w14:paraId="59C58BCF" w14:textId="51BF71EA" w:rsidR="0068276A" w:rsidRPr="00D673BF" w:rsidRDefault="0068276A">
            <w:pPr>
              <w:pStyle w:val="TableText"/>
              <w:rPr>
                <w:szCs w:val="20"/>
              </w:rPr>
            </w:pPr>
            <w:r w:rsidRPr="00D673BF">
              <w:rPr>
                <w:szCs w:val="20"/>
              </w:rPr>
              <w:t xml:space="preserve">Length of hospitalisation for toxic events </w:t>
            </w:r>
            <w:r w:rsidR="002D1A93" w:rsidRPr="00D673BF">
              <w:rPr>
                <w:szCs w:val="20"/>
              </w:rPr>
              <w:t xml:space="preserve">and number of toxic events are </w:t>
            </w:r>
            <w:r w:rsidRPr="00D673BF">
              <w:rPr>
                <w:szCs w:val="20"/>
              </w:rPr>
              <w:t xml:space="preserve">the same for </w:t>
            </w:r>
            <w:r w:rsidR="002D1A93" w:rsidRPr="00D673BF">
              <w:rPr>
                <w:szCs w:val="20"/>
              </w:rPr>
              <w:t>intervention and control.</w:t>
            </w:r>
          </w:p>
        </w:tc>
        <w:tc>
          <w:tcPr>
            <w:tcW w:w="629" w:type="pct"/>
            <w:tcBorders>
              <w:top w:val="nil"/>
              <w:left w:val="nil"/>
              <w:bottom w:val="single" w:sz="8" w:space="0" w:color="auto"/>
              <w:right w:val="single" w:sz="8" w:space="0" w:color="auto"/>
            </w:tcBorders>
            <w:shd w:val="clear" w:color="000000" w:fill="FFFFFF"/>
            <w:noWrap/>
            <w:vAlign w:val="center"/>
          </w:tcPr>
          <w:p w14:paraId="0A915D25" w14:textId="5FF1BB95" w:rsidR="0068276A" w:rsidRPr="00D673BF" w:rsidRDefault="002D1A93">
            <w:pPr>
              <w:pStyle w:val="TableText"/>
              <w:rPr>
                <w:szCs w:val="20"/>
              </w:rPr>
            </w:pPr>
            <w:r w:rsidRPr="00D673BF">
              <w:rPr>
                <w:rFonts w:cs="Arial"/>
                <w:szCs w:val="20"/>
              </w:rPr>
              <w:t>$664,968</w:t>
            </w:r>
          </w:p>
        </w:tc>
        <w:tc>
          <w:tcPr>
            <w:tcW w:w="708" w:type="pct"/>
            <w:tcBorders>
              <w:top w:val="nil"/>
              <w:left w:val="nil"/>
              <w:bottom w:val="single" w:sz="8" w:space="0" w:color="auto"/>
              <w:right w:val="single" w:sz="8" w:space="0" w:color="auto"/>
            </w:tcBorders>
            <w:shd w:val="clear" w:color="000000" w:fill="FFFFFF"/>
            <w:noWrap/>
            <w:vAlign w:val="center"/>
          </w:tcPr>
          <w:p w14:paraId="05AEF8DC" w14:textId="57B63492" w:rsidR="0068276A" w:rsidRPr="00D673BF" w:rsidRDefault="002D1A93">
            <w:pPr>
              <w:pStyle w:val="TableText"/>
              <w:rPr>
                <w:szCs w:val="20"/>
              </w:rPr>
            </w:pPr>
            <w:r w:rsidRPr="00D673BF">
              <w:rPr>
                <w:rFonts w:cs="Arial"/>
                <w:szCs w:val="20"/>
              </w:rPr>
              <w:t>$814,562</w:t>
            </w:r>
          </w:p>
        </w:tc>
        <w:tc>
          <w:tcPr>
            <w:tcW w:w="673" w:type="pct"/>
            <w:tcBorders>
              <w:top w:val="nil"/>
              <w:left w:val="nil"/>
              <w:bottom w:val="single" w:sz="8" w:space="0" w:color="auto"/>
              <w:right w:val="single" w:sz="8" w:space="0" w:color="auto"/>
            </w:tcBorders>
            <w:shd w:val="clear" w:color="000000" w:fill="FFFFFF"/>
            <w:noWrap/>
            <w:vAlign w:val="center"/>
          </w:tcPr>
          <w:p w14:paraId="248DCE0A" w14:textId="040B9F08" w:rsidR="0068276A" w:rsidRPr="00D673BF" w:rsidRDefault="002D1A93">
            <w:pPr>
              <w:pStyle w:val="TableText"/>
              <w:rPr>
                <w:szCs w:val="20"/>
              </w:rPr>
            </w:pPr>
            <w:r w:rsidRPr="00D673BF">
              <w:rPr>
                <w:rFonts w:cs="Arial"/>
                <w:szCs w:val="20"/>
              </w:rPr>
              <w:t>$969,488</w:t>
            </w:r>
          </w:p>
        </w:tc>
        <w:tc>
          <w:tcPr>
            <w:tcW w:w="663" w:type="pct"/>
            <w:tcBorders>
              <w:top w:val="nil"/>
              <w:left w:val="nil"/>
              <w:bottom w:val="single" w:sz="8" w:space="0" w:color="auto"/>
              <w:right w:val="single" w:sz="8" w:space="0" w:color="auto"/>
            </w:tcBorders>
            <w:shd w:val="clear" w:color="000000" w:fill="FFFFFF"/>
            <w:noWrap/>
            <w:vAlign w:val="center"/>
          </w:tcPr>
          <w:p w14:paraId="6F261F5C" w14:textId="4CE0AF27" w:rsidR="0068276A" w:rsidRPr="00D673BF" w:rsidRDefault="002D1A93">
            <w:pPr>
              <w:pStyle w:val="TableText"/>
              <w:rPr>
                <w:szCs w:val="20"/>
              </w:rPr>
            </w:pPr>
            <w:r w:rsidRPr="00D673BF">
              <w:rPr>
                <w:rFonts w:cs="Arial"/>
                <w:szCs w:val="20"/>
              </w:rPr>
              <w:t>$1,131,819</w:t>
            </w:r>
          </w:p>
        </w:tc>
        <w:tc>
          <w:tcPr>
            <w:tcW w:w="786" w:type="pct"/>
            <w:tcBorders>
              <w:top w:val="nil"/>
              <w:left w:val="nil"/>
              <w:bottom w:val="single" w:sz="8" w:space="0" w:color="auto"/>
              <w:right w:val="single" w:sz="8" w:space="0" w:color="auto"/>
            </w:tcBorders>
            <w:shd w:val="clear" w:color="000000" w:fill="FFFFFF"/>
            <w:noWrap/>
            <w:vAlign w:val="center"/>
          </w:tcPr>
          <w:p w14:paraId="248E0270" w14:textId="62AC3C50" w:rsidR="0068276A" w:rsidRPr="00D673BF" w:rsidRDefault="002D1A93">
            <w:pPr>
              <w:pStyle w:val="TableText"/>
              <w:rPr>
                <w:szCs w:val="20"/>
              </w:rPr>
            </w:pPr>
            <w:r w:rsidRPr="00D673BF">
              <w:rPr>
                <w:rFonts w:cs="Arial"/>
                <w:szCs w:val="20"/>
              </w:rPr>
              <w:t>$1,300,016</w:t>
            </w:r>
          </w:p>
        </w:tc>
        <w:tc>
          <w:tcPr>
            <w:tcW w:w="836" w:type="pct"/>
            <w:tcBorders>
              <w:top w:val="nil"/>
              <w:left w:val="nil"/>
              <w:bottom w:val="single" w:sz="8" w:space="0" w:color="auto"/>
              <w:right w:val="single" w:sz="8" w:space="0" w:color="auto"/>
            </w:tcBorders>
            <w:shd w:val="clear" w:color="000000" w:fill="FFFFFF"/>
            <w:noWrap/>
            <w:vAlign w:val="center"/>
          </w:tcPr>
          <w:p w14:paraId="77003975" w14:textId="0492BE67" w:rsidR="0068276A" w:rsidRPr="00D673BF" w:rsidRDefault="002D1A93">
            <w:pPr>
              <w:pStyle w:val="TableText"/>
              <w:rPr>
                <w:szCs w:val="20"/>
              </w:rPr>
            </w:pPr>
            <w:r w:rsidRPr="00D673BF">
              <w:rPr>
                <w:rFonts w:cs="Arial"/>
                <w:szCs w:val="20"/>
              </w:rPr>
              <w:t>$1,473,368</w:t>
            </w:r>
          </w:p>
        </w:tc>
      </w:tr>
      <w:tr w:rsidR="00D673BF" w:rsidRPr="00D673BF" w14:paraId="254EB5FE" w14:textId="77777777" w:rsidTr="002D1A93">
        <w:trPr>
          <w:trHeight w:val="29"/>
        </w:trPr>
        <w:tc>
          <w:tcPr>
            <w:tcW w:w="5000" w:type="pct"/>
            <w:gridSpan w:val="7"/>
            <w:tcBorders>
              <w:top w:val="single" w:sz="4" w:space="0" w:color="auto"/>
              <w:bottom w:val="single" w:sz="4" w:space="0" w:color="auto"/>
              <w:right w:val="single" w:sz="4" w:space="0" w:color="auto"/>
            </w:tcBorders>
            <w:shd w:val="clear" w:color="auto" w:fill="FFFFFF" w:themeFill="background1"/>
            <w:vAlign w:val="center"/>
          </w:tcPr>
          <w:p w14:paraId="29C27D54" w14:textId="4E263CCD" w:rsidR="00FA47AF" w:rsidRPr="00D673BF" w:rsidRDefault="00FA47AF" w:rsidP="00FA47AF">
            <w:pPr>
              <w:pStyle w:val="TableText"/>
              <w:rPr>
                <w:rFonts w:cs="Arial"/>
                <w:szCs w:val="20"/>
              </w:rPr>
            </w:pPr>
            <w:r w:rsidRPr="00D673BF">
              <w:rPr>
                <w:rFonts w:cs="Arial"/>
                <w:b/>
                <w:bCs/>
                <w:szCs w:val="20"/>
              </w:rPr>
              <w:t>Mean Benefit (base case = 75%)</w:t>
            </w:r>
          </w:p>
        </w:tc>
      </w:tr>
      <w:tr w:rsidR="00D673BF" w:rsidRPr="00D673BF" w14:paraId="60B60EBB" w14:textId="77777777" w:rsidTr="005C65FB">
        <w:trPr>
          <w:trHeight w:val="29"/>
        </w:trPr>
        <w:tc>
          <w:tcPr>
            <w:tcW w:w="705" w:type="pct"/>
            <w:tcBorders>
              <w:top w:val="single" w:sz="4" w:space="0" w:color="auto"/>
              <w:bottom w:val="single" w:sz="4" w:space="0" w:color="auto"/>
              <w:right w:val="single" w:sz="4" w:space="0" w:color="auto"/>
            </w:tcBorders>
            <w:shd w:val="clear" w:color="auto" w:fill="FFFFFF" w:themeFill="background1"/>
            <w:vAlign w:val="center"/>
          </w:tcPr>
          <w:p w14:paraId="5CDC038F" w14:textId="0704B523" w:rsidR="00FA47AF" w:rsidRPr="00D673BF" w:rsidRDefault="00FA47AF" w:rsidP="00FA47AF">
            <w:pPr>
              <w:pStyle w:val="TableText"/>
              <w:rPr>
                <w:szCs w:val="20"/>
              </w:rPr>
            </w:pPr>
            <w:r w:rsidRPr="00D673BF">
              <w:rPr>
                <w:rFonts w:cs="Arial"/>
                <w:b/>
                <w:bCs/>
                <w:szCs w:val="20"/>
              </w:rPr>
              <w:t xml:space="preserve">Mean Benefit a mix of hospital </w:t>
            </w:r>
            <w:r w:rsidR="00FC49CA" w:rsidRPr="00D673BF">
              <w:rPr>
                <w:rFonts w:cs="Arial"/>
                <w:b/>
                <w:bCs/>
                <w:szCs w:val="20"/>
              </w:rPr>
              <w:t>inpatients and</w:t>
            </w:r>
            <w:r w:rsidRPr="00D673BF">
              <w:rPr>
                <w:rFonts w:cs="Arial"/>
                <w:b/>
                <w:bCs/>
                <w:szCs w:val="20"/>
              </w:rPr>
              <w:t xml:space="preserve"> outpatients based on Item 73332 (82%)</w:t>
            </w:r>
          </w:p>
        </w:tc>
        <w:tc>
          <w:tcPr>
            <w:tcW w:w="62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81709E" w14:textId="06EE7047" w:rsidR="00FA47AF" w:rsidRPr="00D673BF" w:rsidRDefault="00FA47AF" w:rsidP="00FA47AF">
            <w:pPr>
              <w:pStyle w:val="TableText"/>
              <w:rPr>
                <w:rFonts w:cs="Arial"/>
                <w:szCs w:val="20"/>
              </w:rPr>
            </w:pPr>
            <w:r w:rsidRPr="00D673BF">
              <w:rPr>
                <w:rFonts w:cs="Arial"/>
                <w:szCs w:val="20"/>
              </w:rPr>
              <w:t>-$17,508,909</w:t>
            </w:r>
          </w:p>
        </w:tc>
        <w:tc>
          <w:tcPr>
            <w:tcW w:w="7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CA5E47" w14:textId="0455F836" w:rsidR="00FA47AF" w:rsidRPr="00D673BF" w:rsidRDefault="00FA47AF" w:rsidP="00FA47AF">
            <w:pPr>
              <w:pStyle w:val="TableText"/>
              <w:rPr>
                <w:rFonts w:cs="Arial"/>
                <w:szCs w:val="20"/>
              </w:rPr>
            </w:pPr>
            <w:r w:rsidRPr="00D673BF">
              <w:rPr>
                <w:rFonts w:cs="Arial"/>
                <w:szCs w:val="20"/>
              </w:rPr>
              <w:t>-$21,447,790</w:t>
            </w:r>
          </w:p>
        </w:tc>
        <w:tc>
          <w:tcPr>
            <w:tcW w:w="6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8F8D75" w14:textId="711FEDBB" w:rsidR="00FA47AF" w:rsidRPr="00D673BF" w:rsidRDefault="00FA47AF" w:rsidP="00FA47AF">
            <w:pPr>
              <w:pStyle w:val="TableText"/>
              <w:rPr>
                <w:rFonts w:cs="Arial"/>
                <w:szCs w:val="20"/>
              </w:rPr>
            </w:pPr>
            <w:r w:rsidRPr="00D673BF">
              <w:rPr>
                <w:rFonts w:cs="Arial"/>
                <w:szCs w:val="20"/>
              </w:rPr>
              <w:t>-$25,527,066</w:t>
            </w:r>
          </w:p>
        </w:tc>
        <w:tc>
          <w:tcPr>
            <w:tcW w:w="66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3275CF" w14:textId="70F00F06" w:rsidR="00FA47AF" w:rsidRPr="00D673BF" w:rsidRDefault="00FA47AF" w:rsidP="00FA47AF">
            <w:pPr>
              <w:pStyle w:val="TableText"/>
              <w:rPr>
                <w:rFonts w:cs="Arial"/>
                <w:szCs w:val="20"/>
              </w:rPr>
            </w:pPr>
            <w:r w:rsidRPr="00D673BF">
              <w:rPr>
                <w:rFonts w:cs="Arial"/>
                <w:szCs w:val="20"/>
              </w:rPr>
              <w:t>-$29,801,337</w:t>
            </w:r>
          </w:p>
        </w:tc>
        <w:tc>
          <w:tcPr>
            <w:tcW w:w="7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DE316F" w14:textId="447D4F31" w:rsidR="00FA47AF" w:rsidRPr="00D673BF" w:rsidRDefault="00FA47AF" w:rsidP="00FA47AF">
            <w:pPr>
              <w:pStyle w:val="TableText"/>
              <w:rPr>
                <w:rFonts w:cs="Arial"/>
                <w:szCs w:val="20"/>
              </w:rPr>
            </w:pPr>
            <w:r w:rsidRPr="00D673BF">
              <w:rPr>
                <w:rFonts w:cs="Arial"/>
                <w:szCs w:val="20"/>
              </w:rPr>
              <w:t>-$34,230,043</w:t>
            </w:r>
          </w:p>
        </w:tc>
        <w:tc>
          <w:tcPr>
            <w:tcW w:w="8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1B41BE" w14:textId="1653E7F1" w:rsidR="00FA47AF" w:rsidRPr="00D673BF" w:rsidRDefault="00FA47AF" w:rsidP="00FA47AF">
            <w:pPr>
              <w:pStyle w:val="TableText"/>
              <w:rPr>
                <w:rFonts w:cs="Arial"/>
                <w:szCs w:val="20"/>
              </w:rPr>
            </w:pPr>
            <w:r w:rsidRPr="00D673BF">
              <w:rPr>
                <w:rFonts w:cs="Arial"/>
                <w:szCs w:val="20"/>
              </w:rPr>
              <w:t>-$38,794,464</w:t>
            </w:r>
          </w:p>
        </w:tc>
      </w:tr>
    </w:tbl>
    <w:p w14:paraId="1C6C4931" w14:textId="77777777" w:rsidR="0068276A" w:rsidRDefault="0068276A" w:rsidP="0068276A">
      <w:pPr>
        <w:pStyle w:val="TableFigureFooter"/>
        <w:rPr>
          <w:rFonts w:eastAsiaTheme="minorEastAsia"/>
          <w:lang w:eastAsia="zh-CN"/>
        </w:rPr>
      </w:pPr>
      <w:r>
        <w:rPr>
          <w:rFonts w:eastAsiaTheme="minorEastAsia"/>
          <w:lang w:eastAsia="zh-CN"/>
        </w:rPr>
        <w:t xml:space="preserve">Source: </w:t>
      </w:r>
      <w:r w:rsidRPr="00B36086">
        <w:rPr>
          <w:rFonts w:eastAsiaTheme="minorEastAsia"/>
          <w:lang w:eastAsia="zh-CN"/>
        </w:rPr>
        <w:t xml:space="preserve">Excel workbook “Utilisation and Cost </w:t>
      </w:r>
      <w:proofErr w:type="spellStart"/>
      <w:r w:rsidRPr="00B36086">
        <w:rPr>
          <w:rFonts w:eastAsiaTheme="minorEastAsia"/>
          <w:lang w:eastAsia="zh-CN"/>
        </w:rPr>
        <w:t>Model_basecase</w:t>
      </w:r>
      <w:proofErr w:type="spellEnd"/>
      <w:r w:rsidRPr="00B36086">
        <w:rPr>
          <w:rFonts w:eastAsiaTheme="minorEastAsia"/>
          <w:lang w:eastAsia="zh-CN"/>
        </w:rPr>
        <w:t>”</w:t>
      </w:r>
    </w:p>
    <w:p w14:paraId="0140A316" w14:textId="30CE5252" w:rsidR="0068276A" w:rsidRPr="00EF2A20" w:rsidRDefault="0068276A" w:rsidP="0068276A">
      <w:pPr>
        <w:pStyle w:val="TableFigureFooter"/>
      </w:pPr>
      <w:r>
        <w:t xml:space="preserve">Abbreviations: </w:t>
      </w:r>
      <w:r w:rsidR="00CD73DB" w:rsidRPr="00CD73DB">
        <w:rPr>
          <w:i/>
          <w:iCs/>
        </w:rPr>
        <w:t>DPYD</w:t>
      </w:r>
      <w:r w:rsidRPr="008B6934">
        <w:rPr>
          <w:i/>
          <w:iCs/>
        </w:rPr>
        <w:t>=</w:t>
      </w:r>
      <w:proofErr w:type="spellStart"/>
      <w:r w:rsidRPr="008B6934">
        <w:rPr>
          <w:i/>
          <w:iCs/>
        </w:rPr>
        <w:t>Dihydropyrimidine</w:t>
      </w:r>
      <w:proofErr w:type="spellEnd"/>
      <w:r w:rsidRPr="008B6934">
        <w:rPr>
          <w:i/>
          <w:iCs/>
        </w:rPr>
        <w:t xml:space="preserve"> dehydrogenase</w:t>
      </w:r>
      <w:r w:rsidRPr="004D48AA">
        <w:t xml:space="preserve"> </w:t>
      </w:r>
      <w:r w:rsidR="00010F7D">
        <w:t>gene</w:t>
      </w:r>
      <w:r>
        <w:t>; 5-FU=</w:t>
      </w:r>
      <w:r w:rsidRPr="00147AAB">
        <w:t xml:space="preserve"> 5-fluorouracil</w:t>
      </w:r>
      <w:r>
        <w:t>.</w:t>
      </w:r>
    </w:p>
    <w:p w14:paraId="5B4B5BFC" w14:textId="67BE3E35" w:rsidR="0068276A" w:rsidRPr="00CE28E3" w:rsidRDefault="004A1E2D" w:rsidP="005A673A">
      <w:r>
        <w:lastRenderedPageBreak/>
        <w:t xml:space="preserve">The clinical uncertainty around the efficacy of </w:t>
      </w:r>
      <w:r w:rsidR="00CD73DB" w:rsidRPr="00CD73DB">
        <w:rPr>
          <w:i/>
          <w:iCs/>
        </w:rPr>
        <w:t>DPYD</w:t>
      </w:r>
      <w:r>
        <w:t xml:space="preserve"> genotyping and the ability of reduced dosing being able to reduce toxicity has the biggest impact on the financial implications and is likely to overestimate the savings attributed to listing </w:t>
      </w:r>
      <w:r w:rsidR="00CD73DB" w:rsidRPr="00CD73DB">
        <w:rPr>
          <w:i/>
          <w:iCs/>
        </w:rPr>
        <w:t>DPYD</w:t>
      </w:r>
      <w:r>
        <w:t xml:space="preserve"> genotyping.</w:t>
      </w:r>
    </w:p>
    <w:p w14:paraId="7838A9FF" w14:textId="7436296E" w:rsidR="00772829" w:rsidRPr="00CE28E3" w:rsidRDefault="00C36633" w:rsidP="00FF160D">
      <w:pPr>
        <w:pStyle w:val="Heading2"/>
      </w:pPr>
      <w:bookmarkStart w:id="53" w:name="_Toc175815811"/>
      <w:r>
        <w:t>1</w:t>
      </w:r>
      <w:r w:rsidR="00476193">
        <w:t>5</w:t>
      </w:r>
      <w:r>
        <w:t>.</w:t>
      </w:r>
      <w:r>
        <w:tab/>
      </w:r>
      <w:r w:rsidR="00772829" w:rsidRPr="00CE28E3">
        <w:t xml:space="preserve">Other relevant </w:t>
      </w:r>
      <w:r w:rsidR="00FA5766">
        <w:t>information</w:t>
      </w:r>
      <w:bookmarkEnd w:id="53"/>
    </w:p>
    <w:p w14:paraId="7EEB9EEE" w14:textId="77777777" w:rsidR="00FD4631" w:rsidRDefault="00FD4631" w:rsidP="00F05692">
      <w:r>
        <w:t>Other considerations include:</w:t>
      </w:r>
    </w:p>
    <w:p w14:paraId="66F412FC" w14:textId="03C491A8" w:rsidR="00F05692" w:rsidRDefault="00FD4631" w:rsidP="00E9485A">
      <w:pPr>
        <w:pStyle w:val="ListParagraph"/>
        <w:numPr>
          <w:ilvl w:val="0"/>
          <w:numId w:val="14"/>
        </w:numPr>
      </w:pPr>
      <w:r>
        <w:t xml:space="preserve">Equity </w:t>
      </w:r>
      <w:r w:rsidR="00F05692">
        <w:t xml:space="preserve">related to access: </w:t>
      </w:r>
      <w:r w:rsidR="00CD73DB" w:rsidRPr="00CD73DB">
        <w:rPr>
          <w:i/>
        </w:rPr>
        <w:t>DPYD</w:t>
      </w:r>
      <w:r w:rsidRPr="00F05692">
        <w:t xml:space="preserve"> genotype testing is </w:t>
      </w:r>
      <w:r w:rsidR="00D16184">
        <w:t>currently</w:t>
      </w:r>
      <w:r w:rsidRPr="00F05692">
        <w:t xml:space="preserve"> not widely available</w:t>
      </w:r>
      <w:r w:rsidR="00F05692">
        <w:t>, t</w:t>
      </w:r>
      <w:r w:rsidRPr="00F05692">
        <w:t>herefore, specimens may need to be sent interregional or interstate</w:t>
      </w:r>
      <w:r w:rsidRPr="00F05692">
        <w:rPr>
          <w:rFonts w:cs="Calibri"/>
        </w:rPr>
        <w:t>.</w:t>
      </w:r>
      <w:r w:rsidR="00DD372D">
        <w:rPr>
          <w:rFonts w:cs="Calibri"/>
        </w:rPr>
        <w:fldChar w:fldCharType="begin"/>
      </w:r>
      <w:r w:rsidR="00DD372D">
        <w:rPr>
          <w:rFonts w:cs="Calibri"/>
        </w:rPr>
        <w:instrText xml:space="preserve"> NOTEREF _Ref172295736 \f \h </w:instrText>
      </w:r>
      <w:r w:rsidR="00DD372D">
        <w:rPr>
          <w:rFonts w:cs="Calibri"/>
        </w:rPr>
      </w:r>
      <w:r w:rsidR="00DD372D">
        <w:rPr>
          <w:rFonts w:cs="Calibri"/>
        </w:rPr>
        <w:fldChar w:fldCharType="separate"/>
      </w:r>
      <w:r w:rsidR="00306F34" w:rsidRPr="002C5FB1">
        <w:rPr>
          <w:rStyle w:val="FootnoteReference"/>
        </w:rPr>
        <w:t>15</w:t>
      </w:r>
      <w:r w:rsidR="00DD372D">
        <w:rPr>
          <w:rFonts w:cs="Calibri"/>
        </w:rPr>
        <w:fldChar w:fldCharType="end"/>
      </w:r>
      <w:r w:rsidRPr="00FD4631">
        <w:rPr>
          <w:rFonts w:cs="Calibri"/>
        </w:rPr>
        <w:t xml:space="preserve"> This may have implications for equity of access for those in rural, regional or remote areas. </w:t>
      </w:r>
      <w:r w:rsidRPr="00F05692">
        <w:rPr>
          <w:rFonts w:cs="Calibri"/>
        </w:rPr>
        <w:t xml:space="preserve">There is also the potential that </w:t>
      </w:r>
      <w:r w:rsidR="00CD73DB" w:rsidRPr="00CD73DB">
        <w:rPr>
          <w:rFonts w:cs="Calibri"/>
          <w:i/>
        </w:rPr>
        <w:t>DPYD</w:t>
      </w:r>
      <w:r w:rsidRPr="00F05692">
        <w:rPr>
          <w:rFonts w:cs="Calibri"/>
        </w:rPr>
        <w:t xml:space="preserve"> testing may delay treatment commencement</w:t>
      </w:r>
      <w:r w:rsidR="00AA41CF">
        <w:rPr>
          <w:rFonts w:cs="Calibri"/>
        </w:rPr>
        <w:t>;</w:t>
      </w:r>
      <w:r w:rsidRPr="00F05692">
        <w:rPr>
          <w:rFonts w:cs="Calibri"/>
        </w:rPr>
        <w:t xml:space="preserve"> availability and access of the test – particularly for those outside metro areas – may results in further delays. </w:t>
      </w:r>
    </w:p>
    <w:p w14:paraId="5B584214" w14:textId="5A6A05AD" w:rsidR="00F05692" w:rsidRDefault="00F05692" w:rsidP="00E9485A">
      <w:pPr>
        <w:pStyle w:val="ListParagraph"/>
        <w:numPr>
          <w:ilvl w:val="0"/>
          <w:numId w:val="14"/>
        </w:numPr>
      </w:pPr>
      <w:r>
        <w:t>Equity related</w:t>
      </w:r>
      <w:r w:rsidR="00FD4631" w:rsidRPr="00FD4631">
        <w:rPr>
          <w:rFonts w:cs="Calibri"/>
        </w:rPr>
        <w:t xml:space="preserve"> to </w:t>
      </w:r>
      <w:r>
        <w:t>n</w:t>
      </w:r>
      <w:r w:rsidR="00FD4631">
        <w:t>on-Caucasian populations</w:t>
      </w:r>
      <w:r>
        <w:t>: There</w:t>
      </w:r>
      <w:r w:rsidR="00FD4631" w:rsidRPr="00BF5B13">
        <w:t xml:space="preserve"> is currently a lack of evidence for </w:t>
      </w:r>
      <w:r w:rsidR="00FD4631">
        <w:t>all outcomes</w:t>
      </w:r>
      <w:r w:rsidR="00FD4631" w:rsidRPr="00BF5B13">
        <w:t xml:space="preserve"> in non-Caucasian populations. </w:t>
      </w:r>
      <w:r w:rsidR="00FD4631">
        <w:t>As there were no</w:t>
      </w:r>
      <w:r w:rsidR="0036627A">
        <w:t xml:space="preserve"> published</w:t>
      </w:r>
      <w:r w:rsidR="00FD4631">
        <w:t xml:space="preserve"> studies identified which were conducted in an Australian sample, the applicability of the reported results for the Australian population may be limited. </w:t>
      </w:r>
      <w:r w:rsidR="00FD4631" w:rsidRPr="003B09AA">
        <w:t xml:space="preserve">PASC </w:t>
      </w:r>
      <w:r>
        <w:t xml:space="preserve">also </w:t>
      </w:r>
      <w:r w:rsidR="00FD4631" w:rsidRPr="003B09AA">
        <w:t xml:space="preserve">considered that more research may be </w:t>
      </w:r>
      <w:r w:rsidR="00FD4631">
        <w:t>required</w:t>
      </w:r>
      <w:r w:rsidR="00FD4631" w:rsidRPr="003B09AA">
        <w:t xml:space="preserve"> to determine relevant alleles in non-Caucasian populations, such as Aboriginal and Torres Strait Islande</w:t>
      </w:r>
      <w:r w:rsidR="00FD4631">
        <w:t>r people</w:t>
      </w:r>
      <w:r w:rsidR="00FD4631" w:rsidRPr="003B09AA">
        <w:t>.</w:t>
      </w:r>
      <w:r w:rsidR="00FD4631">
        <w:t xml:space="preserve"> In the PICO, </w:t>
      </w:r>
      <w:r w:rsidR="00FD4631" w:rsidRPr="003B09AA">
        <w:t xml:space="preserve">PASC considered that </w:t>
      </w:r>
      <w:r w:rsidR="00FD4631">
        <w:t>including the option to test for</w:t>
      </w:r>
      <w:r w:rsidR="00FD4631" w:rsidRPr="003B09AA">
        <w:t xml:space="preserve"> “four or more variants” would </w:t>
      </w:r>
      <w:r w:rsidR="00FD4631">
        <w:t>allow</w:t>
      </w:r>
      <w:r w:rsidR="00FD4631" w:rsidRPr="003B09AA">
        <w:t xml:space="preserve"> </w:t>
      </w:r>
      <w:r w:rsidR="00FD4631">
        <w:t>additional</w:t>
      </w:r>
      <w:r w:rsidR="00FD4631" w:rsidRPr="003B09AA">
        <w:t xml:space="preserve"> variants with relevant clinical utility (including those in </w:t>
      </w:r>
      <w:r w:rsidR="00FD4631">
        <w:t>non-Caucasian</w:t>
      </w:r>
      <w:r w:rsidR="00FD4631" w:rsidRPr="003B09AA">
        <w:t xml:space="preserve"> populations, and those discovered in the future)</w:t>
      </w:r>
      <w:r w:rsidR="00FD4631" w:rsidRPr="003B09AA" w:rsidDel="0058250D">
        <w:t xml:space="preserve"> </w:t>
      </w:r>
      <w:r w:rsidR="00FD4631" w:rsidRPr="003B09AA">
        <w:t xml:space="preserve">to be included as </w:t>
      </w:r>
      <w:r w:rsidR="00FD4631">
        <w:t>required</w:t>
      </w:r>
      <w:r w:rsidR="00FD4631" w:rsidRPr="003B09AA">
        <w:t>.</w:t>
      </w:r>
    </w:p>
    <w:p w14:paraId="48363486" w14:textId="68BA5448" w:rsidR="00F05692" w:rsidRDefault="00FD4631" w:rsidP="00E9485A">
      <w:pPr>
        <w:pStyle w:val="ListParagraph"/>
        <w:numPr>
          <w:ilvl w:val="0"/>
          <w:numId w:val="14"/>
        </w:numPr>
      </w:pPr>
      <w:r>
        <w:t>Ethical considerations</w:t>
      </w:r>
      <w:r w:rsidR="00F05692">
        <w:t xml:space="preserve">: </w:t>
      </w:r>
      <w:r w:rsidR="00CD73DB" w:rsidRPr="00CD73DB">
        <w:rPr>
          <w:i/>
        </w:rPr>
        <w:t>DPYD</w:t>
      </w:r>
      <w:r w:rsidRPr="001B6C12">
        <w:t xml:space="preserve"> genotyping does not have the same ethical considerations as other types of genetic testing. </w:t>
      </w:r>
      <w:r w:rsidRPr="00EB2805">
        <w:t xml:space="preserve">This test </w:t>
      </w:r>
      <w:r w:rsidRPr="001B6C12">
        <w:t>only provides useful information for an individual about their ability to breakdown a specific type of cancer drug. As such, findings with any other clinical utility or meaning are highly unlikely. In addition, it provides little information for family or relatives, and cascade testing is not recommended.</w:t>
      </w:r>
    </w:p>
    <w:p w14:paraId="56E62115" w14:textId="79DBBDD0" w:rsidR="00FD4631" w:rsidRPr="00887770" w:rsidRDefault="00FD4631" w:rsidP="00E9485A">
      <w:pPr>
        <w:pStyle w:val="ListParagraph"/>
        <w:numPr>
          <w:ilvl w:val="0"/>
          <w:numId w:val="14"/>
        </w:numPr>
        <w:rPr>
          <w:rFonts w:cs="Calibri"/>
        </w:rPr>
      </w:pPr>
      <w:r w:rsidRPr="00F411B5">
        <w:t>Uptake</w:t>
      </w:r>
      <w:r w:rsidR="00F05692">
        <w:t xml:space="preserve">: </w:t>
      </w:r>
      <w:r>
        <w:t xml:space="preserve">In public consultation, </w:t>
      </w:r>
      <w:r w:rsidRPr="00CB5796">
        <w:t xml:space="preserve">Australian Genomics </w:t>
      </w:r>
      <w:r>
        <w:t xml:space="preserve">noted that the intervention risks low </w:t>
      </w:r>
      <w:r w:rsidRPr="00CB5796">
        <w:t>uptake due to a lack of awareness and suitable educational programs.</w:t>
      </w:r>
      <w:r>
        <w:t xml:space="preserve"> These issues were also identified in qualitative studies of barriers and enables to genetic testing </w:t>
      </w:r>
      <w:r w:rsidR="002F6C41">
        <w:t>implementation</w:t>
      </w:r>
      <w:r w:rsidR="00696E7B">
        <w:t>.</w:t>
      </w:r>
      <w:r w:rsidR="00696E7B">
        <w:rPr>
          <w:vertAlign w:val="superscript"/>
        </w:rPr>
        <w:t>1</w:t>
      </w:r>
      <w:r w:rsidR="00681116">
        <w:rPr>
          <w:vertAlign w:val="superscript"/>
        </w:rPr>
        <w:t>3</w:t>
      </w:r>
      <w:r w:rsidR="002F6C41">
        <w:fldChar w:fldCharType="begin"/>
      </w:r>
      <w:r w:rsidR="002F6C41">
        <w:rPr>
          <w:vertAlign w:val="superscript"/>
        </w:rPr>
        <w:instrText xml:space="preserve"> NOTEREF _Ref172295736 \f \h </w:instrText>
      </w:r>
      <w:r w:rsidR="002F6C41">
        <w:fldChar w:fldCharType="separate"/>
      </w:r>
      <w:r w:rsidR="002F6C41">
        <w:fldChar w:fldCharType="end"/>
      </w:r>
      <w:r>
        <w:t xml:space="preserve"> Effective education campaigns for oncologists and other treating clinicians will be important to ensure pre-treatment </w:t>
      </w:r>
      <w:r w:rsidR="00CD73DB" w:rsidRPr="00CD73DB">
        <w:rPr>
          <w:i/>
        </w:rPr>
        <w:t>DPYD</w:t>
      </w:r>
      <w:r>
        <w:t xml:space="preserve"> testing is used in practice.</w:t>
      </w:r>
    </w:p>
    <w:p w14:paraId="0C824345" w14:textId="08A38430" w:rsidR="00037302" w:rsidRDefault="00487C85" w:rsidP="00122196">
      <w:pPr>
        <w:pStyle w:val="Heading3"/>
      </w:pPr>
      <w:bookmarkStart w:id="54" w:name="_Toc175815812"/>
      <w:r>
        <w:tab/>
      </w:r>
      <w:bookmarkEnd w:id="54"/>
      <w:r w:rsidR="00194E56">
        <w:t>Additional analyses</w:t>
      </w:r>
    </w:p>
    <w:p w14:paraId="0D55E53B" w14:textId="1E3088BC" w:rsidR="00D66B02" w:rsidRPr="00122196" w:rsidRDefault="00D66B02" w:rsidP="00D66B02">
      <w:r w:rsidRPr="00122196">
        <w:t xml:space="preserve">A sensitivity analysis using a market share approach was used to estimate the financial implications of the introduction of </w:t>
      </w:r>
      <w:r w:rsidRPr="00122196">
        <w:rPr>
          <w:i/>
        </w:rPr>
        <w:t>DPYD</w:t>
      </w:r>
      <w:r w:rsidRPr="00122196">
        <w:t xml:space="preserve"> genotyping. Information on data sources and their application in the budget impact assessment are provided in</w:t>
      </w:r>
      <w:r w:rsidR="00084C69" w:rsidRPr="00122196">
        <w:t xml:space="preserve"> </w:t>
      </w:r>
      <w:r w:rsidR="00084C69" w:rsidRPr="00122196">
        <w:fldChar w:fldCharType="begin"/>
      </w:r>
      <w:r w:rsidR="00084C69" w:rsidRPr="00122196">
        <w:instrText xml:space="preserve"> REF _Ref175140694 \h </w:instrText>
      </w:r>
      <w:r w:rsidR="002F1EDB" w:rsidRPr="00122196">
        <w:instrText xml:space="preserve"> \* MERGEFORMAT </w:instrText>
      </w:r>
      <w:r w:rsidR="00084C69" w:rsidRPr="00122196">
        <w:fldChar w:fldCharType="separate"/>
      </w:r>
      <w:r w:rsidR="00306F34" w:rsidRPr="00122196" w:rsidDel="00835345">
        <w:t xml:space="preserve">Table </w:t>
      </w:r>
      <w:r w:rsidR="00306F34" w:rsidRPr="00122196" w:rsidDel="00835345">
        <w:rPr>
          <w:noProof/>
        </w:rPr>
        <w:t>15</w:t>
      </w:r>
      <w:r w:rsidR="00084C69" w:rsidRPr="00122196">
        <w:fldChar w:fldCharType="end"/>
      </w:r>
      <w:r w:rsidRPr="00122196">
        <w:t>.</w:t>
      </w:r>
    </w:p>
    <w:p w14:paraId="3347CF2B" w14:textId="679BB9AD" w:rsidR="00D66B02" w:rsidRPr="00122196" w:rsidRDefault="00D66B02" w:rsidP="00AD703B">
      <w:pPr>
        <w:pStyle w:val="Caption"/>
        <w:keepLines/>
      </w:pPr>
      <w:bookmarkStart w:id="55" w:name="_Ref175140694"/>
      <w:r w:rsidRPr="00122196">
        <w:lastRenderedPageBreak/>
        <w:t xml:space="preserve">Table </w:t>
      </w:r>
      <w:r w:rsidRPr="00122196">
        <w:fldChar w:fldCharType="begin"/>
      </w:r>
      <w:r w:rsidRPr="00122196">
        <w:instrText xml:space="preserve"> SEQ Table \* ARABIC </w:instrText>
      </w:r>
      <w:r w:rsidRPr="00122196">
        <w:fldChar w:fldCharType="separate"/>
      </w:r>
      <w:r w:rsidR="00835345" w:rsidRPr="00122196">
        <w:rPr>
          <w:noProof/>
        </w:rPr>
        <w:t>15</w:t>
      </w:r>
      <w:r w:rsidRPr="00122196">
        <w:fldChar w:fldCharType="end"/>
      </w:r>
      <w:bookmarkEnd w:id="55"/>
      <w:r w:rsidRPr="00122196">
        <w:t xml:space="preserve"> Data sources and parameter values applied in the utilisation and financial estimates.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245"/>
      </w:tblGrid>
      <w:tr w:rsidR="00D66B02" w:rsidRPr="00595B13" w14:paraId="7E097342" w14:textId="77777777" w:rsidTr="00B05D24">
        <w:tc>
          <w:tcPr>
            <w:tcW w:w="4248" w:type="dxa"/>
            <w:shd w:val="clear" w:color="auto" w:fill="D9D9D9" w:themeFill="background1" w:themeFillShade="D9"/>
          </w:tcPr>
          <w:p w14:paraId="64E36A14" w14:textId="77777777" w:rsidR="00D66B02" w:rsidRPr="00122196" w:rsidRDefault="00D66B02" w:rsidP="00AD703B">
            <w:pPr>
              <w:pStyle w:val="TableHeading"/>
              <w:keepLines/>
              <w:rPr>
                <w:szCs w:val="20"/>
              </w:rPr>
            </w:pPr>
            <w:r w:rsidRPr="00122196">
              <w:rPr>
                <w:szCs w:val="20"/>
              </w:rPr>
              <w:t>Data source</w:t>
            </w:r>
          </w:p>
        </w:tc>
        <w:tc>
          <w:tcPr>
            <w:tcW w:w="5245" w:type="dxa"/>
            <w:shd w:val="clear" w:color="auto" w:fill="D9D9D9" w:themeFill="background1" w:themeFillShade="D9"/>
          </w:tcPr>
          <w:p w14:paraId="036969B8" w14:textId="77777777" w:rsidR="00D66B02" w:rsidRPr="00122196" w:rsidRDefault="00D66B02" w:rsidP="00AD703B">
            <w:pPr>
              <w:pStyle w:val="TableHeading"/>
              <w:keepLines/>
              <w:rPr>
                <w:szCs w:val="20"/>
              </w:rPr>
            </w:pPr>
            <w:r w:rsidRPr="00122196">
              <w:rPr>
                <w:szCs w:val="20"/>
              </w:rPr>
              <w:t>Justification</w:t>
            </w:r>
          </w:p>
        </w:tc>
      </w:tr>
      <w:tr w:rsidR="00D66B02" w:rsidRPr="00595B13" w14:paraId="34F83C01" w14:textId="77777777" w:rsidTr="00B05D24">
        <w:tc>
          <w:tcPr>
            <w:tcW w:w="4248" w:type="dxa"/>
          </w:tcPr>
          <w:p w14:paraId="526399B2" w14:textId="2D4715BA" w:rsidR="00D66B02" w:rsidRPr="00122196" w:rsidRDefault="009503A6" w:rsidP="00AD703B">
            <w:pPr>
              <w:pStyle w:val="Default"/>
              <w:keepNext/>
              <w:keepLines/>
              <w:rPr>
                <w:rFonts w:ascii="Arial Narrow" w:hAnsi="Arial Narrow"/>
                <w:sz w:val="20"/>
                <w:szCs w:val="20"/>
              </w:rPr>
            </w:pPr>
            <w:r w:rsidRPr="00122196">
              <w:rPr>
                <w:rFonts w:ascii="Arial Narrow" w:hAnsi="Arial Narrow"/>
                <w:sz w:val="20"/>
                <w:szCs w:val="20"/>
              </w:rPr>
              <w:t>PBS</w:t>
            </w:r>
          </w:p>
        </w:tc>
        <w:tc>
          <w:tcPr>
            <w:tcW w:w="5245" w:type="dxa"/>
          </w:tcPr>
          <w:p w14:paraId="520C17C2" w14:textId="5C03EDA1" w:rsidR="00D66B02" w:rsidRPr="00122196" w:rsidRDefault="00394107" w:rsidP="00AD703B">
            <w:pPr>
              <w:pStyle w:val="TableText"/>
              <w:keepNext/>
              <w:keepLines/>
              <w:rPr>
                <w:szCs w:val="20"/>
              </w:rPr>
            </w:pPr>
            <w:r w:rsidRPr="00122196">
              <w:rPr>
                <w:szCs w:val="20"/>
              </w:rPr>
              <w:t>PBS patient quarterly data who received their first script (only patients that initiated treatment) for systemic treatment of drugs Capecitabine or Fluorouracil from 2016-17 to 2022-23. Patients were only counted once (the first time they initiated a systemic fluoropyrimidine treatment) for the period 1 July 2016 to 30 June 2023 and were not counted if they had received treatment prior to 1 July 2016. Attached data to inform the DCAR – 1760: “Updated Quarterly PBS data: patient counts by quarter”.</w:t>
            </w:r>
          </w:p>
        </w:tc>
      </w:tr>
      <w:tr w:rsidR="00D66B02" w:rsidRPr="00595B13" w14:paraId="20CB161C" w14:textId="77777777" w:rsidTr="00B05D24">
        <w:tc>
          <w:tcPr>
            <w:tcW w:w="4248" w:type="dxa"/>
          </w:tcPr>
          <w:p w14:paraId="7FA69277" w14:textId="5557D943" w:rsidR="00D66B02" w:rsidRPr="00122196" w:rsidRDefault="00D66B02" w:rsidP="00AD703B">
            <w:pPr>
              <w:pStyle w:val="TableText"/>
              <w:keepNext/>
              <w:keepLines/>
              <w:rPr>
                <w:szCs w:val="20"/>
              </w:rPr>
            </w:pPr>
            <w:r w:rsidRPr="00122196">
              <w:t>PBS and RPBS items processed from July 2022 to 2023</w:t>
            </w:r>
            <w:r w:rsidRPr="00122196">
              <w:rPr>
                <w:rStyle w:val="FootnoteReference"/>
              </w:rPr>
              <w:footnoteReference w:id="31"/>
            </w:r>
          </w:p>
        </w:tc>
        <w:tc>
          <w:tcPr>
            <w:tcW w:w="5245" w:type="dxa"/>
          </w:tcPr>
          <w:p w14:paraId="344DCC1A" w14:textId="77777777" w:rsidR="00D66B02" w:rsidRPr="00122196" w:rsidRDefault="00D66B02" w:rsidP="00AD703B">
            <w:pPr>
              <w:pStyle w:val="TableText"/>
              <w:keepNext/>
              <w:keepLines/>
              <w:rPr>
                <w:szCs w:val="20"/>
              </w:rPr>
            </w:pPr>
            <w:r w:rsidRPr="00122196">
              <w:rPr>
                <w:szCs w:val="20"/>
              </w:rPr>
              <w:t>Proportion of prescriptions dispensed for either capecitabine or 5-FU FP drug costs</w:t>
            </w:r>
          </w:p>
          <w:p w14:paraId="279BD870" w14:textId="77777777" w:rsidR="00D66B02" w:rsidRPr="00122196" w:rsidRDefault="00D66B02" w:rsidP="00AD703B">
            <w:pPr>
              <w:pStyle w:val="TableText"/>
              <w:keepNext/>
              <w:keepLines/>
              <w:rPr>
                <w:szCs w:val="20"/>
              </w:rPr>
            </w:pPr>
            <w:r w:rsidRPr="00122196">
              <w:rPr>
                <w:szCs w:val="20"/>
              </w:rPr>
              <w:t>Alternate chemotherapy costs</w:t>
            </w:r>
          </w:p>
        </w:tc>
      </w:tr>
      <w:tr w:rsidR="00D66B02" w:rsidRPr="00595B13" w14:paraId="63910650" w14:textId="77777777" w:rsidTr="00B05D24">
        <w:tc>
          <w:tcPr>
            <w:tcW w:w="4248" w:type="dxa"/>
            <w:vAlign w:val="center"/>
          </w:tcPr>
          <w:p w14:paraId="158CBC47" w14:textId="2636C432" w:rsidR="00D66B02" w:rsidRPr="00122196" w:rsidRDefault="00D66B02" w:rsidP="00AD703B">
            <w:pPr>
              <w:pStyle w:val="TableText"/>
              <w:keepNext/>
              <w:keepLines/>
              <w:rPr>
                <w:szCs w:val="20"/>
              </w:rPr>
            </w:pPr>
            <w:r w:rsidRPr="00122196">
              <w:t>Australian refined diagnosis-related groups (AR-DRG) data cubes</w:t>
            </w:r>
            <w:r w:rsidRPr="00122196">
              <w:rPr>
                <w:rStyle w:val="FootnoteReference"/>
              </w:rPr>
              <w:footnoteReference w:id="32"/>
            </w:r>
          </w:p>
        </w:tc>
        <w:tc>
          <w:tcPr>
            <w:tcW w:w="5245" w:type="dxa"/>
          </w:tcPr>
          <w:p w14:paraId="531FA524" w14:textId="77777777" w:rsidR="00D66B02" w:rsidRPr="00122196" w:rsidRDefault="00D66B02" w:rsidP="00AD703B">
            <w:pPr>
              <w:pStyle w:val="TableText"/>
              <w:keepNext/>
              <w:keepLines/>
              <w:rPr>
                <w:szCs w:val="20"/>
              </w:rPr>
            </w:pPr>
            <w:r w:rsidRPr="00122196">
              <w:rPr>
                <w:szCs w:val="20"/>
              </w:rPr>
              <w:t>Costs associated with severe FP-related toxicities were based on weighted averages of the three severe toxicities identified in Section 2 (GIT, haematological and cardiac)</w:t>
            </w:r>
          </w:p>
          <w:p w14:paraId="000F3C82" w14:textId="77777777" w:rsidR="00D66B02" w:rsidRPr="00122196" w:rsidRDefault="00D66B02" w:rsidP="00AD703B">
            <w:pPr>
              <w:pStyle w:val="TableText"/>
              <w:keepNext/>
              <w:keepLines/>
              <w:rPr>
                <w:szCs w:val="20"/>
              </w:rPr>
            </w:pPr>
          </w:p>
        </w:tc>
      </w:tr>
      <w:tr w:rsidR="00D66B02" w:rsidRPr="00595B13" w14:paraId="7A1756E4" w14:textId="77777777" w:rsidTr="00B05D24">
        <w:tc>
          <w:tcPr>
            <w:tcW w:w="4248" w:type="dxa"/>
            <w:vAlign w:val="center"/>
          </w:tcPr>
          <w:p w14:paraId="4DAC2905" w14:textId="77777777" w:rsidR="00D66B02" w:rsidRPr="00122196" w:rsidRDefault="00D66B02" w:rsidP="00AD703B">
            <w:pPr>
              <w:pStyle w:val="TableText"/>
              <w:keepNext/>
              <w:keepLines/>
              <w:rPr>
                <w:szCs w:val="20"/>
              </w:rPr>
            </w:pPr>
            <w:r w:rsidRPr="00122196">
              <w:rPr>
                <w:szCs w:val="20"/>
              </w:rPr>
              <w:t>Published literature including reports by:</w:t>
            </w:r>
          </w:p>
          <w:p w14:paraId="74E26273" w14:textId="46FA5842" w:rsidR="00B848BF" w:rsidRPr="00122196" w:rsidRDefault="00B848BF" w:rsidP="00AD703B">
            <w:pPr>
              <w:pStyle w:val="2024TABLETEXT"/>
              <w:keepNext/>
              <w:keepLines/>
              <w:rPr>
                <w:vertAlign w:val="superscript"/>
              </w:rPr>
            </w:pPr>
            <w:r w:rsidRPr="00122196">
              <w:t>Henricks et al. (2018)</w:t>
            </w:r>
          </w:p>
          <w:p w14:paraId="2BE7D9E1" w14:textId="0D18AC27" w:rsidR="00B848BF" w:rsidRPr="00122196" w:rsidRDefault="00B848BF" w:rsidP="00AD703B">
            <w:pPr>
              <w:pStyle w:val="2024TABLETEXT"/>
              <w:keepNext/>
              <w:keepLines/>
              <w:rPr>
                <w:vertAlign w:val="superscript"/>
              </w:rPr>
            </w:pPr>
            <w:r w:rsidRPr="00122196">
              <w:t>Lunenburg et al. (2018)</w:t>
            </w:r>
          </w:p>
          <w:p w14:paraId="789E4934" w14:textId="06911549" w:rsidR="00B848BF" w:rsidRPr="00122196" w:rsidRDefault="00B848BF" w:rsidP="00AD703B">
            <w:pPr>
              <w:pStyle w:val="2024TABLETEXT"/>
              <w:keepNext/>
              <w:keepLines/>
              <w:rPr>
                <w:vertAlign w:val="superscript"/>
                <w:lang w:eastAsia="zh-CN"/>
              </w:rPr>
            </w:pPr>
            <w:r w:rsidRPr="00122196">
              <w:rPr>
                <w:lang w:eastAsia="zh-CN"/>
              </w:rPr>
              <w:t>Paulsen et al. (2023)</w:t>
            </w:r>
          </w:p>
          <w:p w14:paraId="6B6B4022" w14:textId="06EA3F14" w:rsidR="00B848BF" w:rsidRPr="00122196" w:rsidRDefault="00B848BF" w:rsidP="00AD703B">
            <w:pPr>
              <w:pStyle w:val="2024TABLETEXT"/>
              <w:keepNext/>
              <w:keepLines/>
              <w:rPr>
                <w:vertAlign w:val="superscript"/>
              </w:rPr>
            </w:pPr>
            <w:r w:rsidRPr="00122196">
              <w:t>Wigle et al. (2021)</w:t>
            </w:r>
          </w:p>
          <w:p w14:paraId="0C883617" w14:textId="6382A686" w:rsidR="00B848BF" w:rsidRPr="00122196" w:rsidRDefault="00B848BF" w:rsidP="00AD703B">
            <w:pPr>
              <w:pStyle w:val="2024TABLETEXT"/>
              <w:keepNext/>
              <w:keepLines/>
            </w:pPr>
            <w:r w:rsidRPr="00122196">
              <w:t>Kleinjan et al. (2019)</w:t>
            </w:r>
          </w:p>
          <w:p w14:paraId="608FCCD2" w14:textId="263B4EBA" w:rsidR="00B848BF" w:rsidRPr="00122196" w:rsidRDefault="00B848BF" w:rsidP="00AD703B">
            <w:pPr>
              <w:pStyle w:val="2024TABLETEXT"/>
              <w:keepNext/>
              <w:keepLines/>
            </w:pPr>
            <w:proofErr w:type="spellStart"/>
            <w:r w:rsidRPr="00122196">
              <w:t>Knikman</w:t>
            </w:r>
            <w:proofErr w:type="spellEnd"/>
            <w:r w:rsidRPr="00122196">
              <w:t xml:space="preserve"> et al. (2023)</w:t>
            </w:r>
          </w:p>
          <w:p w14:paraId="54B95C42" w14:textId="4C480C90" w:rsidR="00D66B02" w:rsidRPr="00122196" w:rsidRDefault="00B848BF" w:rsidP="00AD703B">
            <w:pPr>
              <w:pStyle w:val="TableText"/>
              <w:keepNext/>
              <w:keepLines/>
              <w:rPr>
                <w:szCs w:val="20"/>
                <w:vertAlign w:val="superscript"/>
              </w:rPr>
            </w:pPr>
            <w:r w:rsidRPr="00122196">
              <w:t>Wang et al. (2022)</w:t>
            </w:r>
          </w:p>
        </w:tc>
        <w:tc>
          <w:tcPr>
            <w:tcW w:w="5245" w:type="dxa"/>
          </w:tcPr>
          <w:p w14:paraId="66153DD2" w14:textId="77777777" w:rsidR="00D66B02" w:rsidRPr="00122196" w:rsidRDefault="00D66B02" w:rsidP="00AD703B">
            <w:pPr>
              <w:pStyle w:val="TableText"/>
              <w:keepNext/>
              <w:keepLines/>
              <w:rPr>
                <w:szCs w:val="20"/>
              </w:rPr>
            </w:pPr>
            <w:r w:rsidRPr="00122196">
              <w:rPr>
                <w:szCs w:val="20"/>
              </w:rPr>
              <w:t xml:space="preserve">Prevalence of normal, intermediate and poor </w:t>
            </w:r>
            <w:r w:rsidRPr="00122196">
              <w:rPr>
                <w:i/>
                <w:szCs w:val="20"/>
              </w:rPr>
              <w:t>DPYD</w:t>
            </w:r>
            <w:r w:rsidRPr="00122196">
              <w:rPr>
                <w:szCs w:val="20"/>
              </w:rPr>
              <w:t xml:space="preserve"> metabolisers</w:t>
            </w:r>
          </w:p>
          <w:p w14:paraId="57F18611" w14:textId="77777777" w:rsidR="00D66B02" w:rsidRPr="00122196" w:rsidRDefault="00D66B02" w:rsidP="00AD703B">
            <w:pPr>
              <w:pStyle w:val="TableText"/>
              <w:keepNext/>
              <w:keepLines/>
              <w:rPr>
                <w:szCs w:val="20"/>
              </w:rPr>
            </w:pPr>
            <w:r w:rsidRPr="00122196">
              <w:rPr>
                <w:szCs w:val="20"/>
              </w:rPr>
              <w:t>Probability of severe (Grade ≥3) FP-related toxicity</w:t>
            </w:r>
          </w:p>
          <w:p w14:paraId="67B11FC7" w14:textId="77777777" w:rsidR="00D66B02" w:rsidRPr="00122196" w:rsidRDefault="00D66B02" w:rsidP="00AD703B">
            <w:pPr>
              <w:pStyle w:val="TableText"/>
              <w:keepNext/>
              <w:keepLines/>
              <w:rPr>
                <w:szCs w:val="20"/>
              </w:rPr>
            </w:pPr>
            <w:r w:rsidRPr="00122196">
              <w:rPr>
                <w:szCs w:val="20"/>
              </w:rPr>
              <w:t>LOS for hospitalisations due severe toxicities</w:t>
            </w:r>
          </w:p>
          <w:p w14:paraId="111CFAD3" w14:textId="77777777" w:rsidR="00D66B02" w:rsidRPr="00122196" w:rsidRDefault="00D66B02" w:rsidP="00AD703B">
            <w:pPr>
              <w:pStyle w:val="TableText"/>
              <w:keepNext/>
              <w:keepLines/>
              <w:rPr>
                <w:szCs w:val="20"/>
              </w:rPr>
            </w:pPr>
            <w:r w:rsidRPr="00122196">
              <w:rPr>
                <w:szCs w:val="20"/>
              </w:rPr>
              <w:t>Number of treatment cycles</w:t>
            </w:r>
          </w:p>
          <w:p w14:paraId="1FCF28DA" w14:textId="77777777" w:rsidR="00D66B02" w:rsidRPr="00122196" w:rsidRDefault="00D66B02" w:rsidP="00AD703B">
            <w:pPr>
              <w:pStyle w:val="TableText"/>
              <w:keepNext/>
              <w:keepLines/>
              <w:rPr>
                <w:szCs w:val="20"/>
              </w:rPr>
            </w:pPr>
            <w:r w:rsidRPr="00122196">
              <w:rPr>
                <w:szCs w:val="20"/>
              </w:rPr>
              <w:t>Rates of uptake of genotype testing</w:t>
            </w:r>
          </w:p>
          <w:p w14:paraId="695EEF83" w14:textId="77777777" w:rsidR="00D66B02" w:rsidRPr="00122196" w:rsidRDefault="00D66B02" w:rsidP="00AD703B">
            <w:pPr>
              <w:pStyle w:val="TableText"/>
              <w:keepNext/>
              <w:keepLines/>
              <w:rPr>
                <w:szCs w:val="20"/>
              </w:rPr>
            </w:pPr>
          </w:p>
        </w:tc>
      </w:tr>
    </w:tbl>
    <w:p w14:paraId="6C6D7504" w14:textId="5DD071C8" w:rsidR="00D66B02" w:rsidRPr="00122196" w:rsidRDefault="00394107" w:rsidP="00AD703B">
      <w:pPr>
        <w:pStyle w:val="TableFigureFooter"/>
        <w:keepNext/>
        <w:keepLines/>
      </w:pPr>
      <w:r w:rsidRPr="00122196">
        <w:rPr>
          <w:szCs w:val="20"/>
        </w:rPr>
        <w:t xml:space="preserve">AR-DRG=Australian-refined Diagnostic Related Groups; </w:t>
      </w:r>
      <w:r w:rsidR="00D66B02" w:rsidRPr="00122196">
        <w:rPr>
          <w:i/>
          <w:iCs/>
        </w:rPr>
        <w:t>DPYD=</w:t>
      </w:r>
      <w:proofErr w:type="spellStart"/>
      <w:r w:rsidR="00D66B02" w:rsidRPr="00122196">
        <w:rPr>
          <w:i/>
          <w:iCs/>
        </w:rPr>
        <w:t>Dihydropyrimidine</w:t>
      </w:r>
      <w:proofErr w:type="spellEnd"/>
      <w:r w:rsidR="00D66B02" w:rsidRPr="00122196">
        <w:rPr>
          <w:i/>
          <w:iCs/>
        </w:rPr>
        <w:t xml:space="preserve"> dehydrogenase</w:t>
      </w:r>
      <w:r w:rsidR="00D66B02" w:rsidRPr="00122196">
        <w:t xml:space="preserve"> gene; </w:t>
      </w:r>
      <w:r w:rsidRPr="00122196">
        <w:t xml:space="preserve">FP=fluoropyrimidine; </w:t>
      </w:r>
      <w:r w:rsidRPr="00122196">
        <w:rPr>
          <w:szCs w:val="20"/>
        </w:rPr>
        <w:t>GIT=gastrointestinal tract; LOS=length of stay;</w:t>
      </w:r>
      <w:r w:rsidRPr="00122196">
        <w:t xml:space="preserve"> </w:t>
      </w:r>
      <w:r w:rsidR="00D66B02" w:rsidRPr="00122196">
        <w:t>MBS=Medical Benefits Scheme;</w:t>
      </w:r>
      <w:r w:rsidRPr="00122196">
        <w:t xml:space="preserve"> </w:t>
      </w:r>
      <w:r w:rsidRPr="00122196">
        <w:rPr>
          <w:szCs w:val="20"/>
        </w:rPr>
        <w:t>PBS= Pharmaceutical Benefits Scheme:</w:t>
      </w:r>
      <w:r w:rsidR="00D66B02" w:rsidRPr="00122196">
        <w:t xml:space="preserve"> </w:t>
      </w:r>
      <w:r w:rsidR="00D66B02" w:rsidRPr="00122196">
        <w:rPr>
          <w:szCs w:val="20"/>
        </w:rPr>
        <w:t xml:space="preserve">RPBS=Repatriation </w:t>
      </w:r>
      <w:r w:rsidR="00AD703B">
        <w:rPr>
          <w:szCs w:val="20"/>
        </w:rPr>
        <w:t>P</w:t>
      </w:r>
      <w:r w:rsidR="00D66B02" w:rsidRPr="00122196">
        <w:rPr>
          <w:szCs w:val="20"/>
        </w:rPr>
        <w:t>harmaceutical Benefits Scheme.</w:t>
      </w:r>
    </w:p>
    <w:p w14:paraId="3E2F14F6" w14:textId="1BAC7379" w:rsidR="00D66B02" w:rsidRPr="00122196" w:rsidRDefault="00D66B02" w:rsidP="00AD703B">
      <w:pPr>
        <w:spacing w:before="240"/>
      </w:pPr>
      <w:r w:rsidRPr="00122196">
        <w:t xml:space="preserve">A table summarising the net financial implications for the MBS from the proposed listing of </w:t>
      </w:r>
      <w:r w:rsidRPr="00122196">
        <w:rPr>
          <w:i/>
          <w:iCs/>
        </w:rPr>
        <w:t>DPYD</w:t>
      </w:r>
      <w:r w:rsidRPr="00122196">
        <w:t xml:space="preserve"> genotyping over 6 years is presented in</w:t>
      </w:r>
      <w:r w:rsidR="00394107" w:rsidRPr="00122196">
        <w:t xml:space="preserve"> </w:t>
      </w:r>
      <w:r w:rsidR="00394107" w:rsidRPr="00122196">
        <w:fldChar w:fldCharType="begin"/>
      </w:r>
      <w:r w:rsidR="00394107" w:rsidRPr="00122196">
        <w:instrText xml:space="preserve"> REF _Ref175140366 \h </w:instrText>
      </w:r>
      <w:r w:rsidR="002F1EDB" w:rsidRPr="00122196">
        <w:instrText xml:space="preserve"> \* MERGEFORMAT </w:instrText>
      </w:r>
      <w:r w:rsidR="00394107" w:rsidRPr="00122196">
        <w:fldChar w:fldCharType="separate"/>
      </w:r>
      <w:r w:rsidR="00306F34" w:rsidRPr="00122196" w:rsidDel="00835345">
        <w:t>Table 16</w:t>
      </w:r>
      <w:r w:rsidR="00394107" w:rsidRPr="00122196">
        <w:fldChar w:fldCharType="end"/>
      </w:r>
      <w:r w:rsidRPr="00122196">
        <w:t xml:space="preserve">, accounting for the estimated cost of the proposed health technology. There were no implications identified to other health technologies funded under the MBS. </w:t>
      </w:r>
    </w:p>
    <w:p w14:paraId="2F43FA9C" w14:textId="349103EE" w:rsidR="00D66B02" w:rsidRPr="00122196" w:rsidRDefault="00D66B02" w:rsidP="00AD703B">
      <w:pPr>
        <w:pStyle w:val="Caption"/>
        <w:keepLines/>
        <w:spacing w:after="0"/>
      </w:pPr>
      <w:bookmarkStart w:id="56" w:name="_Ref175140366"/>
      <w:r w:rsidRPr="00122196">
        <w:lastRenderedPageBreak/>
        <w:t>Table </w:t>
      </w:r>
      <w:r w:rsidRPr="00122196">
        <w:fldChar w:fldCharType="begin"/>
      </w:r>
      <w:r w:rsidRPr="00122196">
        <w:instrText xml:space="preserve"> SEQ Table \* ARABIC </w:instrText>
      </w:r>
      <w:r w:rsidRPr="00122196">
        <w:fldChar w:fldCharType="separate"/>
      </w:r>
      <w:r w:rsidR="00835345" w:rsidRPr="00122196">
        <w:rPr>
          <w:noProof/>
        </w:rPr>
        <w:t>16</w:t>
      </w:r>
      <w:r w:rsidRPr="00122196">
        <w:rPr>
          <w:noProof/>
        </w:rPr>
        <w:fldChar w:fldCharType="end"/>
      </w:r>
      <w:bookmarkEnd w:id="56"/>
      <w:r w:rsidR="00084C69" w:rsidRPr="00122196">
        <w:rPr>
          <w:noProof/>
        </w:rPr>
        <w:t xml:space="preserve"> </w:t>
      </w:r>
      <w:r w:rsidRPr="00122196">
        <w:t xml:space="preserve">Net financial implications of </w:t>
      </w:r>
      <w:r w:rsidRPr="00122196">
        <w:rPr>
          <w:i/>
          <w:iCs/>
        </w:rPr>
        <w:t>DPYD</w:t>
      </w:r>
      <w:r w:rsidRPr="00122196">
        <w:t xml:space="preserve"> genotyping to MBS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3"/>
        <w:gridCol w:w="1276"/>
        <w:gridCol w:w="1134"/>
        <w:gridCol w:w="1134"/>
        <w:gridCol w:w="1134"/>
        <w:gridCol w:w="1134"/>
        <w:gridCol w:w="1361"/>
      </w:tblGrid>
      <w:tr w:rsidR="00E863A2" w:rsidRPr="00595B13" w14:paraId="01492A53" w14:textId="77777777" w:rsidTr="00E863A2">
        <w:trPr>
          <w:tblHeader/>
        </w:trPr>
        <w:tc>
          <w:tcPr>
            <w:tcW w:w="1833" w:type="dxa"/>
            <w:tcMar>
              <w:top w:w="0" w:type="dxa"/>
              <w:left w:w="108" w:type="dxa"/>
              <w:bottom w:w="0" w:type="dxa"/>
              <w:right w:w="108" w:type="dxa"/>
            </w:tcMar>
          </w:tcPr>
          <w:p w14:paraId="5DF1F2F5" w14:textId="77777777" w:rsidR="00D66B02" w:rsidRPr="00122196" w:rsidRDefault="00D66B02" w:rsidP="00617D76">
            <w:pPr>
              <w:pStyle w:val="TableText"/>
              <w:keepNext/>
              <w:keepLines/>
            </w:pPr>
            <w:r w:rsidRPr="00122196">
              <w:t xml:space="preserve">Parameter </w:t>
            </w:r>
          </w:p>
        </w:tc>
        <w:tc>
          <w:tcPr>
            <w:tcW w:w="1276" w:type="dxa"/>
            <w:shd w:val="pct10" w:color="auto" w:fill="auto"/>
            <w:tcMar>
              <w:top w:w="0" w:type="dxa"/>
              <w:left w:w="108" w:type="dxa"/>
              <w:bottom w:w="0" w:type="dxa"/>
              <w:right w:w="108" w:type="dxa"/>
            </w:tcMar>
            <w:hideMark/>
          </w:tcPr>
          <w:p w14:paraId="26029B5D" w14:textId="77777777" w:rsidR="00D66B02" w:rsidRPr="00122196" w:rsidRDefault="00D66B02" w:rsidP="00617D76">
            <w:pPr>
              <w:pStyle w:val="TableText"/>
              <w:keepNext/>
              <w:keepLines/>
            </w:pPr>
            <w:r w:rsidRPr="00122196">
              <w:t>2025</w:t>
            </w:r>
          </w:p>
        </w:tc>
        <w:tc>
          <w:tcPr>
            <w:tcW w:w="1134" w:type="dxa"/>
            <w:shd w:val="pct10" w:color="auto" w:fill="auto"/>
            <w:tcMar>
              <w:top w:w="0" w:type="dxa"/>
              <w:left w:w="108" w:type="dxa"/>
              <w:bottom w:w="0" w:type="dxa"/>
              <w:right w:w="108" w:type="dxa"/>
            </w:tcMar>
            <w:hideMark/>
          </w:tcPr>
          <w:p w14:paraId="4D0F0A03" w14:textId="77777777" w:rsidR="00D66B02" w:rsidRPr="00122196" w:rsidRDefault="00D66B02" w:rsidP="00617D76">
            <w:pPr>
              <w:pStyle w:val="TableText"/>
              <w:keepNext/>
              <w:keepLines/>
            </w:pPr>
            <w:r w:rsidRPr="00122196">
              <w:t>2026</w:t>
            </w:r>
          </w:p>
        </w:tc>
        <w:tc>
          <w:tcPr>
            <w:tcW w:w="1134" w:type="dxa"/>
            <w:shd w:val="pct10" w:color="auto" w:fill="auto"/>
            <w:tcMar>
              <w:top w:w="0" w:type="dxa"/>
              <w:left w:w="108" w:type="dxa"/>
              <w:bottom w:w="0" w:type="dxa"/>
              <w:right w:w="108" w:type="dxa"/>
            </w:tcMar>
            <w:hideMark/>
          </w:tcPr>
          <w:p w14:paraId="54FFFD04" w14:textId="77777777" w:rsidR="00D66B02" w:rsidRPr="00122196" w:rsidRDefault="00D66B02" w:rsidP="00617D76">
            <w:pPr>
              <w:pStyle w:val="TableText"/>
              <w:keepNext/>
              <w:keepLines/>
            </w:pPr>
            <w:r w:rsidRPr="00122196">
              <w:t>2027</w:t>
            </w:r>
          </w:p>
        </w:tc>
        <w:tc>
          <w:tcPr>
            <w:tcW w:w="1134" w:type="dxa"/>
            <w:shd w:val="pct10" w:color="auto" w:fill="auto"/>
            <w:tcMar>
              <w:top w:w="0" w:type="dxa"/>
              <w:left w:w="108" w:type="dxa"/>
              <w:bottom w:w="0" w:type="dxa"/>
              <w:right w:w="108" w:type="dxa"/>
            </w:tcMar>
            <w:hideMark/>
          </w:tcPr>
          <w:p w14:paraId="7B9A59D1" w14:textId="77777777" w:rsidR="00D66B02" w:rsidRPr="00122196" w:rsidRDefault="00D66B02" w:rsidP="00617D76">
            <w:pPr>
              <w:pStyle w:val="TableText"/>
              <w:keepNext/>
              <w:keepLines/>
            </w:pPr>
            <w:r w:rsidRPr="00122196">
              <w:t>2028</w:t>
            </w:r>
          </w:p>
        </w:tc>
        <w:tc>
          <w:tcPr>
            <w:tcW w:w="1134" w:type="dxa"/>
            <w:shd w:val="pct10" w:color="auto" w:fill="auto"/>
            <w:tcMar>
              <w:top w:w="0" w:type="dxa"/>
              <w:left w:w="108" w:type="dxa"/>
              <w:bottom w:w="0" w:type="dxa"/>
              <w:right w:w="108" w:type="dxa"/>
            </w:tcMar>
            <w:hideMark/>
          </w:tcPr>
          <w:p w14:paraId="6B749F2F" w14:textId="77777777" w:rsidR="00D66B02" w:rsidRPr="00122196" w:rsidRDefault="00D66B02" w:rsidP="00617D76">
            <w:pPr>
              <w:pStyle w:val="TableText"/>
              <w:keepNext/>
              <w:keepLines/>
            </w:pPr>
            <w:r w:rsidRPr="00122196">
              <w:t>2029</w:t>
            </w:r>
          </w:p>
        </w:tc>
        <w:tc>
          <w:tcPr>
            <w:tcW w:w="1361" w:type="dxa"/>
            <w:shd w:val="pct10" w:color="auto" w:fill="auto"/>
            <w:tcMar>
              <w:top w:w="0" w:type="dxa"/>
              <w:left w:w="108" w:type="dxa"/>
              <w:bottom w:w="0" w:type="dxa"/>
              <w:right w:w="108" w:type="dxa"/>
            </w:tcMar>
            <w:hideMark/>
          </w:tcPr>
          <w:p w14:paraId="740BBC71" w14:textId="77777777" w:rsidR="00D66B02" w:rsidRPr="00122196" w:rsidRDefault="00D66B02" w:rsidP="00617D76">
            <w:pPr>
              <w:pStyle w:val="TableText"/>
              <w:keepNext/>
              <w:keepLines/>
            </w:pPr>
            <w:r w:rsidRPr="00122196">
              <w:t>2030</w:t>
            </w:r>
          </w:p>
        </w:tc>
      </w:tr>
      <w:tr w:rsidR="00D66B02" w:rsidRPr="00595B13" w14:paraId="096B747F" w14:textId="77777777" w:rsidTr="00E863A2">
        <w:tc>
          <w:tcPr>
            <w:tcW w:w="9006" w:type="dxa"/>
            <w:gridSpan w:val="7"/>
            <w:tcMar>
              <w:top w:w="0" w:type="dxa"/>
              <w:left w:w="108" w:type="dxa"/>
              <w:bottom w:w="0" w:type="dxa"/>
              <w:right w:w="108" w:type="dxa"/>
            </w:tcMar>
            <w:hideMark/>
          </w:tcPr>
          <w:p w14:paraId="6EE95B96" w14:textId="77777777" w:rsidR="00D66B02" w:rsidRPr="00122196" w:rsidRDefault="00D66B02" w:rsidP="00617D76">
            <w:pPr>
              <w:pStyle w:val="TableText"/>
              <w:keepNext/>
              <w:keepLines/>
            </w:pPr>
            <w:r w:rsidRPr="00122196">
              <w:t>Estimated use and cost of the proposed health technology</w:t>
            </w:r>
          </w:p>
        </w:tc>
      </w:tr>
      <w:tr w:rsidR="003A1D9B" w:rsidRPr="00595B13" w14:paraId="606996CF" w14:textId="77777777" w:rsidTr="00B05D24">
        <w:tc>
          <w:tcPr>
            <w:tcW w:w="1833" w:type="dxa"/>
            <w:tcMar>
              <w:top w:w="0" w:type="dxa"/>
              <w:left w:w="108" w:type="dxa"/>
              <w:bottom w:w="0" w:type="dxa"/>
              <w:right w:w="108" w:type="dxa"/>
            </w:tcMar>
            <w:hideMark/>
          </w:tcPr>
          <w:p w14:paraId="7A60D379" w14:textId="77777777" w:rsidR="00D66B02" w:rsidRPr="00122196" w:rsidRDefault="00D66B02" w:rsidP="00617D76">
            <w:pPr>
              <w:pStyle w:val="TableText"/>
              <w:keepNext/>
              <w:keepLines/>
            </w:pPr>
            <w:r w:rsidRPr="00122196">
              <w:t xml:space="preserve">Number of people eligible for </w:t>
            </w:r>
            <w:r w:rsidRPr="00122196">
              <w:rPr>
                <w:i/>
                <w:iCs/>
              </w:rPr>
              <w:t>DPYD</w:t>
            </w:r>
            <w:r w:rsidRPr="00122196">
              <w:t xml:space="preserve"> genotyping</w:t>
            </w:r>
          </w:p>
        </w:tc>
        <w:tc>
          <w:tcPr>
            <w:tcW w:w="1276" w:type="dxa"/>
            <w:shd w:val="clear" w:color="000000" w:fill="FFFFFF"/>
            <w:tcMar>
              <w:top w:w="0" w:type="dxa"/>
              <w:left w:w="108" w:type="dxa"/>
              <w:bottom w:w="0" w:type="dxa"/>
              <w:right w:w="108" w:type="dxa"/>
            </w:tcMar>
            <w:vAlign w:val="center"/>
          </w:tcPr>
          <w:p w14:paraId="6F9DB0A8" w14:textId="4DA94516" w:rsidR="00D66B02" w:rsidRPr="00122196" w:rsidRDefault="00487F08" w:rsidP="00617D76">
            <w:pPr>
              <w:pStyle w:val="TableText"/>
              <w:keepNext/>
              <w:keepLines/>
              <w:jc w:val="center"/>
              <w:rPr>
                <w:szCs w:val="20"/>
              </w:rPr>
            </w:pPr>
            <w:r w:rsidRPr="00122196">
              <w:rPr>
                <w:rFonts w:cs="Arial"/>
                <w:color w:val="000000"/>
                <w:szCs w:val="20"/>
              </w:rPr>
              <w:t>12,264</w:t>
            </w:r>
          </w:p>
        </w:tc>
        <w:tc>
          <w:tcPr>
            <w:tcW w:w="1134" w:type="dxa"/>
            <w:shd w:val="clear" w:color="000000" w:fill="FFFFFF"/>
            <w:tcMar>
              <w:top w:w="0" w:type="dxa"/>
              <w:left w:w="108" w:type="dxa"/>
              <w:bottom w:w="0" w:type="dxa"/>
              <w:right w:w="108" w:type="dxa"/>
            </w:tcMar>
            <w:vAlign w:val="center"/>
          </w:tcPr>
          <w:p w14:paraId="0F8F05DC" w14:textId="242B9DF8" w:rsidR="00D66B02" w:rsidRPr="00122196" w:rsidRDefault="00487F08" w:rsidP="00617D76">
            <w:pPr>
              <w:pStyle w:val="TableText"/>
              <w:keepNext/>
              <w:keepLines/>
              <w:jc w:val="center"/>
              <w:rPr>
                <w:szCs w:val="20"/>
              </w:rPr>
            </w:pPr>
            <w:r w:rsidRPr="00122196">
              <w:rPr>
                <w:rFonts w:cs="Arial"/>
                <w:color w:val="000000"/>
                <w:szCs w:val="20"/>
              </w:rPr>
              <w:t>12,263</w:t>
            </w:r>
          </w:p>
        </w:tc>
        <w:tc>
          <w:tcPr>
            <w:tcW w:w="1134" w:type="dxa"/>
            <w:shd w:val="clear" w:color="000000" w:fill="FFFFFF"/>
            <w:tcMar>
              <w:top w:w="0" w:type="dxa"/>
              <w:left w:w="108" w:type="dxa"/>
              <w:bottom w:w="0" w:type="dxa"/>
              <w:right w:w="108" w:type="dxa"/>
            </w:tcMar>
            <w:vAlign w:val="center"/>
          </w:tcPr>
          <w:p w14:paraId="7CE080E4" w14:textId="43EE8AA1" w:rsidR="00D66B02" w:rsidRPr="00122196" w:rsidRDefault="00487F08" w:rsidP="00617D76">
            <w:pPr>
              <w:pStyle w:val="TableText"/>
              <w:keepNext/>
              <w:keepLines/>
              <w:jc w:val="center"/>
              <w:rPr>
                <w:szCs w:val="20"/>
              </w:rPr>
            </w:pPr>
            <w:r w:rsidRPr="00122196">
              <w:rPr>
                <w:rFonts w:cs="Arial"/>
                <w:color w:val="000000"/>
                <w:szCs w:val="20"/>
              </w:rPr>
              <w:t>12,262</w:t>
            </w:r>
          </w:p>
        </w:tc>
        <w:tc>
          <w:tcPr>
            <w:tcW w:w="1134" w:type="dxa"/>
            <w:shd w:val="clear" w:color="000000" w:fill="FFFFFF"/>
            <w:tcMar>
              <w:top w:w="0" w:type="dxa"/>
              <w:left w:w="108" w:type="dxa"/>
              <w:bottom w:w="0" w:type="dxa"/>
              <w:right w:w="108" w:type="dxa"/>
            </w:tcMar>
            <w:vAlign w:val="center"/>
          </w:tcPr>
          <w:p w14:paraId="4BBD9EF7" w14:textId="12ADDB6B" w:rsidR="00D66B02" w:rsidRPr="00122196" w:rsidRDefault="00487F08" w:rsidP="00617D76">
            <w:pPr>
              <w:pStyle w:val="TableText"/>
              <w:keepNext/>
              <w:keepLines/>
              <w:jc w:val="center"/>
              <w:rPr>
                <w:szCs w:val="20"/>
              </w:rPr>
            </w:pPr>
            <w:r w:rsidRPr="00122196">
              <w:rPr>
                <w:rFonts w:cs="Arial"/>
                <w:color w:val="000000"/>
                <w:szCs w:val="20"/>
              </w:rPr>
              <w:t>12,261</w:t>
            </w:r>
          </w:p>
        </w:tc>
        <w:tc>
          <w:tcPr>
            <w:tcW w:w="1134" w:type="dxa"/>
            <w:shd w:val="clear" w:color="000000" w:fill="FFFFFF"/>
            <w:tcMar>
              <w:top w:w="0" w:type="dxa"/>
              <w:left w:w="108" w:type="dxa"/>
              <w:bottom w:w="0" w:type="dxa"/>
              <w:right w:w="108" w:type="dxa"/>
            </w:tcMar>
            <w:vAlign w:val="center"/>
          </w:tcPr>
          <w:p w14:paraId="4488588D" w14:textId="51F4F3CD" w:rsidR="00D66B02" w:rsidRPr="00122196" w:rsidRDefault="00487F08" w:rsidP="00617D76">
            <w:pPr>
              <w:pStyle w:val="TableText"/>
              <w:keepNext/>
              <w:keepLines/>
              <w:jc w:val="center"/>
              <w:rPr>
                <w:szCs w:val="20"/>
              </w:rPr>
            </w:pPr>
            <w:r w:rsidRPr="00122196">
              <w:rPr>
                <w:rFonts w:cs="Arial"/>
                <w:color w:val="000000"/>
                <w:szCs w:val="20"/>
              </w:rPr>
              <w:t>12,260</w:t>
            </w:r>
          </w:p>
        </w:tc>
        <w:tc>
          <w:tcPr>
            <w:tcW w:w="1361" w:type="dxa"/>
            <w:shd w:val="clear" w:color="000000" w:fill="FFFFFF"/>
            <w:tcMar>
              <w:top w:w="0" w:type="dxa"/>
              <w:left w:w="108" w:type="dxa"/>
              <w:bottom w:w="0" w:type="dxa"/>
              <w:right w:w="108" w:type="dxa"/>
            </w:tcMar>
            <w:vAlign w:val="center"/>
          </w:tcPr>
          <w:p w14:paraId="3DB9E580" w14:textId="58F92005" w:rsidR="00D66B02" w:rsidRPr="00122196" w:rsidRDefault="00487F08" w:rsidP="00617D76">
            <w:pPr>
              <w:pStyle w:val="TableText"/>
              <w:keepNext/>
              <w:keepLines/>
              <w:jc w:val="center"/>
              <w:rPr>
                <w:szCs w:val="20"/>
              </w:rPr>
            </w:pPr>
            <w:r w:rsidRPr="00122196">
              <w:rPr>
                <w:rFonts w:cs="Arial"/>
                <w:color w:val="000000"/>
                <w:szCs w:val="20"/>
              </w:rPr>
              <w:t>12,258</w:t>
            </w:r>
          </w:p>
        </w:tc>
      </w:tr>
      <w:tr w:rsidR="00E863A2" w:rsidRPr="00595B13" w14:paraId="2D83F171" w14:textId="77777777" w:rsidTr="00E863A2">
        <w:tc>
          <w:tcPr>
            <w:tcW w:w="1833" w:type="dxa"/>
            <w:tcMar>
              <w:top w:w="0" w:type="dxa"/>
              <w:left w:w="108" w:type="dxa"/>
              <w:bottom w:w="0" w:type="dxa"/>
              <w:right w:w="108" w:type="dxa"/>
            </w:tcMar>
          </w:tcPr>
          <w:p w14:paraId="466E563A" w14:textId="77777777" w:rsidR="00D66B02" w:rsidRPr="00122196" w:rsidRDefault="00D66B02" w:rsidP="00617D76">
            <w:pPr>
              <w:pStyle w:val="TableText"/>
              <w:keepNext/>
              <w:keepLines/>
            </w:pPr>
            <w:r w:rsidRPr="00122196">
              <w:t xml:space="preserve">Estimated uptake of </w:t>
            </w:r>
            <w:r w:rsidRPr="00122196">
              <w:rPr>
                <w:i/>
                <w:iCs/>
              </w:rPr>
              <w:t>DPYD</w:t>
            </w:r>
            <w:r w:rsidRPr="00122196">
              <w:t xml:space="preserve"> genotyping</w:t>
            </w:r>
          </w:p>
        </w:tc>
        <w:tc>
          <w:tcPr>
            <w:tcW w:w="1276" w:type="dxa"/>
            <w:shd w:val="clear" w:color="000000" w:fill="FFFFFF"/>
            <w:tcMar>
              <w:top w:w="0" w:type="dxa"/>
              <w:left w:w="108" w:type="dxa"/>
              <w:bottom w:w="0" w:type="dxa"/>
              <w:right w:w="108" w:type="dxa"/>
            </w:tcMar>
            <w:vAlign w:val="center"/>
          </w:tcPr>
          <w:p w14:paraId="11EEC637"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50%</w:t>
            </w:r>
          </w:p>
        </w:tc>
        <w:tc>
          <w:tcPr>
            <w:tcW w:w="1134" w:type="dxa"/>
            <w:shd w:val="clear" w:color="000000" w:fill="FFFFFF"/>
            <w:tcMar>
              <w:top w:w="0" w:type="dxa"/>
              <w:left w:w="108" w:type="dxa"/>
              <w:bottom w:w="0" w:type="dxa"/>
              <w:right w:w="108" w:type="dxa"/>
            </w:tcMar>
            <w:vAlign w:val="center"/>
          </w:tcPr>
          <w:p w14:paraId="1036E8FA"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60%</w:t>
            </w:r>
          </w:p>
        </w:tc>
        <w:tc>
          <w:tcPr>
            <w:tcW w:w="1134" w:type="dxa"/>
            <w:shd w:val="clear" w:color="000000" w:fill="FFFFFF"/>
            <w:tcMar>
              <w:top w:w="0" w:type="dxa"/>
              <w:left w:w="108" w:type="dxa"/>
              <w:bottom w:w="0" w:type="dxa"/>
              <w:right w:w="108" w:type="dxa"/>
            </w:tcMar>
            <w:vAlign w:val="center"/>
          </w:tcPr>
          <w:p w14:paraId="25946CC1"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70%</w:t>
            </w:r>
          </w:p>
        </w:tc>
        <w:tc>
          <w:tcPr>
            <w:tcW w:w="1134" w:type="dxa"/>
            <w:shd w:val="clear" w:color="000000" w:fill="FFFFFF"/>
            <w:tcMar>
              <w:top w:w="0" w:type="dxa"/>
              <w:left w:w="108" w:type="dxa"/>
              <w:bottom w:w="0" w:type="dxa"/>
              <w:right w:w="108" w:type="dxa"/>
            </w:tcMar>
            <w:vAlign w:val="center"/>
          </w:tcPr>
          <w:p w14:paraId="4A1CE8DA"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80%</w:t>
            </w:r>
          </w:p>
        </w:tc>
        <w:tc>
          <w:tcPr>
            <w:tcW w:w="1134" w:type="dxa"/>
            <w:shd w:val="clear" w:color="000000" w:fill="FFFFFF"/>
            <w:tcMar>
              <w:top w:w="0" w:type="dxa"/>
              <w:left w:w="108" w:type="dxa"/>
              <w:bottom w:w="0" w:type="dxa"/>
              <w:right w:w="108" w:type="dxa"/>
            </w:tcMar>
            <w:vAlign w:val="center"/>
          </w:tcPr>
          <w:p w14:paraId="521DCAA3"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90%</w:t>
            </w:r>
          </w:p>
        </w:tc>
        <w:tc>
          <w:tcPr>
            <w:tcW w:w="1361" w:type="dxa"/>
            <w:shd w:val="clear" w:color="000000" w:fill="FFFFFF"/>
            <w:tcMar>
              <w:top w:w="0" w:type="dxa"/>
              <w:left w:w="108" w:type="dxa"/>
              <w:bottom w:w="0" w:type="dxa"/>
              <w:right w:w="108" w:type="dxa"/>
            </w:tcMar>
            <w:vAlign w:val="center"/>
          </w:tcPr>
          <w:p w14:paraId="5BF3A814" w14:textId="77777777" w:rsidR="00D66B02" w:rsidRPr="00122196" w:rsidRDefault="00D66B02" w:rsidP="00617D76">
            <w:pPr>
              <w:pStyle w:val="TableText"/>
              <w:keepNext/>
              <w:keepLines/>
              <w:jc w:val="center"/>
              <w:rPr>
                <w:rFonts w:cs="Arial"/>
                <w:color w:val="000000"/>
                <w:szCs w:val="20"/>
              </w:rPr>
            </w:pPr>
            <w:r w:rsidRPr="00122196">
              <w:rPr>
                <w:rFonts w:cs="Arial"/>
                <w:color w:val="000000"/>
                <w:szCs w:val="20"/>
              </w:rPr>
              <w:t>100%</w:t>
            </w:r>
          </w:p>
        </w:tc>
      </w:tr>
      <w:tr w:rsidR="00E863A2" w:rsidRPr="00595B13" w14:paraId="128B2C2B" w14:textId="77777777" w:rsidTr="00E863A2">
        <w:tc>
          <w:tcPr>
            <w:tcW w:w="1833" w:type="dxa"/>
            <w:tcMar>
              <w:top w:w="0" w:type="dxa"/>
              <w:left w:w="108" w:type="dxa"/>
              <w:bottom w:w="0" w:type="dxa"/>
              <w:right w:w="108" w:type="dxa"/>
            </w:tcMar>
            <w:hideMark/>
          </w:tcPr>
          <w:p w14:paraId="39D23E4A" w14:textId="77777777" w:rsidR="00E863A2" w:rsidRPr="00122196" w:rsidRDefault="00E863A2" w:rsidP="00617D76">
            <w:pPr>
              <w:pStyle w:val="TableText"/>
              <w:keepNext/>
              <w:keepLines/>
            </w:pPr>
            <w:r w:rsidRPr="00122196">
              <w:t xml:space="preserve">Number of people who receive </w:t>
            </w:r>
            <w:r w:rsidRPr="00122196">
              <w:rPr>
                <w:i/>
                <w:iCs/>
              </w:rPr>
              <w:t>DPYD</w:t>
            </w:r>
            <w:r w:rsidRPr="00122196">
              <w:t xml:space="preserve"> genotyping</w:t>
            </w:r>
          </w:p>
        </w:tc>
        <w:tc>
          <w:tcPr>
            <w:tcW w:w="1276" w:type="dxa"/>
            <w:shd w:val="clear" w:color="000000" w:fill="FFFFFF"/>
            <w:tcMar>
              <w:top w:w="0" w:type="dxa"/>
              <w:left w:w="108" w:type="dxa"/>
              <w:bottom w:w="0" w:type="dxa"/>
              <w:right w:w="108" w:type="dxa"/>
            </w:tcMar>
            <w:vAlign w:val="center"/>
          </w:tcPr>
          <w:p w14:paraId="51AC663D" w14:textId="490F8063" w:rsidR="00E863A2" w:rsidRPr="00122196" w:rsidRDefault="00E863A2" w:rsidP="00617D76">
            <w:pPr>
              <w:pStyle w:val="TableText"/>
              <w:keepNext/>
              <w:keepLines/>
              <w:jc w:val="center"/>
              <w:rPr>
                <w:szCs w:val="20"/>
              </w:rPr>
            </w:pPr>
            <w:r w:rsidRPr="00122196">
              <w:rPr>
                <w:rFonts w:cs="Arial"/>
                <w:color w:val="000000"/>
                <w:szCs w:val="20"/>
              </w:rPr>
              <w:t xml:space="preserve">                     6,132 </w:t>
            </w:r>
          </w:p>
        </w:tc>
        <w:tc>
          <w:tcPr>
            <w:tcW w:w="1134" w:type="dxa"/>
            <w:shd w:val="clear" w:color="000000" w:fill="FFFFFF"/>
            <w:tcMar>
              <w:top w:w="0" w:type="dxa"/>
              <w:left w:w="108" w:type="dxa"/>
              <w:bottom w:w="0" w:type="dxa"/>
              <w:right w:w="108" w:type="dxa"/>
            </w:tcMar>
            <w:vAlign w:val="center"/>
          </w:tcPr>
          <w:p w14:paraId="5DDB0554" w14:textId="72BD3113" w:rsidR="00E863A2" w:rsidRPr="00122196" w:rsidRDefault="00E863A2" w:rsidP="00617D76">
            <w:pPr>
              <w:pStyle w:val="TableText"/>
              <w:keepNext/>
              <w:keepLines/>
              <w:jc w:val="center"/>
              <w:rPr>
                <w:szCs w:val="20"/>
              </w:rPr>
            </w:pPr>
            <w:r w:rsidRPr="00122196">
              <w:rPr>
                <w:rFonts w:cs="Arial"/>
                <w:color w:val="000000"/>
                <w:szCs w:val="20"/>
              </w:rPr>
              <w:t xml:space="preserve">                         7,358 </w:t>
            </w:r>
          </w:p>
        </w:tc>
        <w:tc>
          <w:tcPr>
            <w:tcW w:w="1134" w:type="dxa"/>
            <w:shd w:val="clear" w:color="000000" w:fill="FFFFFF"/>
            <w:tcMar>
              <w:top w:w="0" w:type="dxa"/>
              <w:left w:w="108" w:type="dxa"/>
              <w:bottom w:w="0" w:type="dxa"/>
              <w:right w:w="108" w:type="dxa"/>
            </w:tcMar>
            <w:vAlign w:val="center"/>
          </w:tcPr>
          <w:p w14:paraId="3668592F" w14:textId="5F10A14F" w:rsidR="00E863A2" w:rsidRPr="00122196" w:rsidRDefault="00E863A2" w:rsidP="00617D76">
            <w:pPr>
              <w:pStyle w:val="TableText"/>
              <w:keepNext/>
              <w:keepLines/>
              <w:jc w:val="center"/>
              <w:rPr>
                <w:szCs w:val="20"/>
              </w:rPr>
            </w:pPr>
            <w:r w:rsidRPr="00122196">
              <w:rPr>
                <w:rFonts w:cs="Arial"/>
                <w:color w:val="000000"/>
                <w:szCs w:val="20"/>
              </w:rPr>
              <w:t xml:space="preserve">               8,583 </w:t>
            </w:r>
          </w:p>
        </w:tc>
        <w:tc>
          <w:tcPr>
            <w:tcW w:w="1134" w:type="dxa"/>
            <w:shd w:val="clear" w:color="000000" w:fill="FFFFFF"/>
            <w:tcMar>
              <w:top w:w="0" w:type="dxa"/>
              <w:left w:w="108" w:type="dxa"/>
              <w:bottom w:w="0" w:type="dxa"/>
              <w:right w:w="108" w:type="dxa"/>
            </w:tcMar>
            <w:vAlign w:val="center"/>
          </w:tcPr>
          <w:p w14:paraId="5C32289A" w14:textId="1C0933D6" w:rsidR="00E863A2" w:rsidRPr="00122196" w:rsidRDefault="00E863A2" w:rsidP="00617D76">
            <w:pPr>
              <w:pStyle w:val="TableText"/>
              <w:keepNext/>
              <w:keepLines/>
              <w:jc w:val="center"/>
              <w:rPr>
                <w:szCs w:val="20"/>
              </w:rPr>
            </w:pPr>
            <w:r w:rsidRPr="00122196">
              <w:rPr>
                <w:rFonts w:cs="Arial"/>
                <w:color w:val="000000"/>
                <w:szCs w:val="20"/>
              </w:rPr>
              <w:t xml:space="preserve">               9,809 </w:t>
            </w:r>
          </w:p>
        </w:tc>
        <w:tc>
          <w:tcPr>
            <w:tcW w:w="1134" w:type="dxa"/>
            <w:shd w:val="clear" w:color="000000" w:fill="FFFFFF"/>
            <w:tcMar>
              <w:top w:w="0" w:type="dxa"/>
              <w:left w:w="108" w:type="dxa"/>
              <w:bottom w:w="0" w:type="dxa"/>
              <w:right w:w="108" w:type="dxa"/>
            </w:tcMar>
            <w:vAlign w:val="center"/>
          </w:tcPr>
          <w:p w14:paraId="0B4C958F" w14:textId="28164DF1" w:rsidR="00E863A2" w:rsidRPr="00122196" w:rsidRDefault="00E863A2" w:rsidP="00617D76">
            <w:pPr>
              <w:pStyle w:val="TableText"/>
              <w:keepNext/>
              <w:keepLines/>
              <w:jc w:val="center"/>
              <w:rPr>
                <w:szCs w:val="20"/>
              </w:rPr>
            </w:pPr>
            <w:r w:rsidRPr="00122196">
              <w:rPr>
                <w:rFonts w:cs="Arial"/>
                <w:color w:val="000000"/>
                <w:szCs w:val="20"/>
              </w:rPr>
              <w:t xml:space="preserve">             11,034 </w:t>
            </w:r>
          </w:p>
        </w:tc>
        <w:tc>
          <w:tcPr>
            <w:tcW w:w="1361" w:type="dxa"/>
            <w:shd w:val="clear" w:color="000000" w:fill="FFFFFF"/>
            <w:tcMar>
              <w:top w:w="0" w:type="dxa"/>
              <w:left w:w="108" w:type="dxa"/>
              <w:bottom w:w="0" w:type="dxa"/>
              <w:right w:w="108" w:type="dxa"/>
            </w:tcMar>
            <w:vAlign w:val="center"/>
          </w:tcPr>
          <w:p w14:paraId="14123ADC" w14:textId="7AB8EF0A" w:rsidR="00E863A2" w:rsidRPr="00122196" w:rsidRDefault="00E863A2" w:rsidP="00617D76">
            <w:pPr>
              <w:pStyle w:val="TableText"/>
              <w:keepNext/>
              <w:keepLines/>
              <w:jc w:val="center"/>
              <w:rPr>
                <w:szCs w:val="20"/>
              </w:rPr>
            </w:pPr>
            <w:r w:rsidRPr="00122196">
              <w:rPr>
                <w:rFonts w:cs="Arial"/>
                <w:color w:val="000000"/>
                <w:szCs w:val="20"/>
              </w:rPr>
              <w:t xml:space="preserve">               12,258 </w:t>
            </w:r>
          </w:p>
        </w:tc>
      </w:tr>
      <w:tr w:rsidR="005F23B1" w:rsidRPr="00595B13" w14:paraId="3A5704CF" w14:textId="77777777" w:rsidTr="005F23B1">
        <w:tc>
          <w:tcPr>
            <w:tcW w:w="1833" w:type="dxa"/>
            <w:tcMar>
              <w:top w:w="0" w:type="dxa"/>
              <w:left w:w="108" w:type="dxa"/>
              <w:bottom w:w="0" w:type="dxa"/>
              <w:right w:w="108" w:type="dxa"/>
            </w:tcMar>
            <w:hideMark/>
          </w:tcPr>
          <w:p w14:paraId="41C06680" w14:textId="77777777" w:rsidR="005F23B1" w:rsidRPr="00122196" w:rsidRDefault="005F23B1" w:rsidP="00617D76">
            <w:pPr>
              <w:pStyle w:val="TableText"/>
              <w:keepNext/>
              <w:keepLines/>
            </w:pPr>
            <w:r w:rsidRPr="00122196">
              <w:t>Cost to the MBS (with appropriate copayments excluded)</w:t>
            </w:r>
          </w:p>
        </w:tc>
        <w:tc>
          <w:tcPr>
            <w:tcW w:w="1276" w:type="dxa"/>
            <w:shd w:val="clear" w:color="000000" w:fill="FFFFFF"/>
            <w:tcMar>
              <w:top w:w="0" w:type="dxa"/>
              <w:left w:w="108" w:type="dxa"/>
              <w:bottom w:w="0" w:type="dxa"/>
              <w:right w:w="108" w:type="dxa"/>
            </w:tcMar>
            <w:vAlign w:val="center"/>
          </w:tcPr>
          <w:p w14:paraId="0D290B41" w14:textId="3919B1CC" w:rsidR="005F23B1" w:rsidRPr="00122196" w:rsidRDefault="005F23B1" w:rsidP="00617D76">
            <w:pPr>
              <w:pStyle w:val="TableText"/>
              <w:keepNext/>
              <w:keepLines/>
            </w:pPr>
            <w:r w:rsidRPr="00122196">
              <w:rPr>
                <w:rFonts w:cs="Arial"/>
                <w:color w:val="000000"/>
                <w:szCs w:val="20"/>
              </w:rPr>
              <w:t>$864,612</w:t>
            </w:r>
          </w:p>
        </w:tc>
        <w:tc>
          <w:tcPr>
            <w:tcW w:w="1134" w:type="dxa"/>
            <w:shd w:val="clear" w:color="000000" w:fill="FFFFFF"/>
            <w:tcMar>
              <w:top w:w="0" w:type="dxa"/>
              <w:left w:w="108" w:type="dxa"/>
              <w:bottom w:w="0" w:type="dxa"/>
              <w:right w:w="108" w:type="dxa"/>
            </w:tcMar>
            <w:vAlign w:val="center"/>
          </w:tcPr>
          <w:p w14:paraId="7AA16C6A" w14:textId="29C6B820" w:rsidR="005F23B1" w:rsidRPr="00122196" w:rsidRDefault="005F23B1" w:rsidP="00617D76">
            <w:pPr>
              <w:pStyle w:val="TableText"/>
              <w:keepNext/>
              <w:keepLines/>
            </w:pPr>
            <w:r w:rsidRPr="00122196">
              <w:rPr>
                <w:rFonts w:cs="Arial"/>
                <w:color w:val="000000"/>
                <w:szCs w:val="20"/>
              </w:rPr>
              <w:t>$1,037,478</w:t>
            </w:r>
          </w:p>
        </w:tc>
        <w:tc>
          <w:tcPr>
            <w:tcW w:w="1134" w:type="dxa"/>
            <w:shd w:val="clear" w:color="000000" w:fill="FFFFFF"/>
            <w:tcMar>
              <w:top w:w="0" w:type="dxa"/>
              <w:left w:w="108" w:type="dxa"/>
              <w:bottom w:w="0" w:type="dxa"/>
              <w:right w:w="108" w:type="dxa"/>
            </w:tcMar>
            <w:vAlign w:val="center"/>
          </w:tcPr>
          <w:p w14:paraId="1DC91A5E" w14:textId="4792755F" w:rsidR="005F23B1" w:rsidRPr="00122196" w:rsidRDefault="005F23B1" w:rsidP="00617D76">
            <w:pPr>
              <w:pStyle w:val="TableText"/>
              <w:keepNext/>
              <w:keepLines/>
            </w:pPr>
            <w:r w:rsidRPr="00122196">
              <w:rPr>
                <w:rFonts w:cs="Arial"/>
                <w:color w:val="000000"/>
                <w:szCs w:val="20"/>
              </w:rPr>
              <w:t>$1,210,203</w:t>
            </w:r>
          </w:p>
        </w:tc>
        <w:tc>
          <w:tcPr>
            <w:tcW w:w="1134" w:type="dxa"/>
            <w:shd w:val="clear" w:color="000000" w:fill="FFFFFF"/>
            <w:tcMar>
              <w:top w:w="0" w:type="dxa"/>
              <w:left w:w="108" w:type="dxa"/>
              <w:bottom w:w="0" w:type="dxa"/>
              <w:right w:w="108" w:type="dxa"/>
            </w:tcMar>
            <w:vAlign w:val="center"/>
          </w:tcPr>
          <w:p w14:paraId="4705455D" w14:textId="58AD9DDE" w:rsidR="005F23B1" w:rsidRPr="00122196" w:rsidRDefault="005F23B1" w:rsidP="00617D76">
            <w:pPr>
              <w:pStyle w:val="TableText"/>
              <w:keepNext/>
              <w:keepLines/>
            </w:pPr>
            <w:r w:rsidRPr="00122196">
              <w:rPr>
                <w:rFonts w:cs="Arial"/>
                <w:color w:val="000000"/>
                <w:szCs w:val="20"/>
              </w:rPr>
              <w:t>$1,383,069</w:t>
            </w:r>
          </w:p>
        </w:tc>
        <w:tc>
          <w:tcPr>
            <w:tcW w:w="1134" w:type="dxa"/>
            <w:shd w:val="clear" w:color="000000" w:fill="FFFFFF"/>
            <w:tcMar>
              <w:top w:w="0" w:type="dxa"/>
              <w:left w:w="108" w:type="dxa"/>
              <w:bottom w:w="0" w:type="dxa"/>
              <w:right w:w="108" w:type="dxa"/>
            </w:tcMar>
            <w:vAlign w:val="center"/>
          </w:tcPr>
          <w:p w14:paraId="3042E9FC" w14:textId="178E3E1E" w:rsidR="005F23B1" w:rsidRPr="00122196" w:rsidRDefault="005F23B1" w:rsidP="00617D76">
            <w:pPr>
              <w:pStyle w:val="TableText"/>
              <w:keepNext/>
              <w:keepLines/>
            </w:pPr>
            <w:r w:rsidRPr="00122196">
              <w:rPr>
                <w:rFonts w:cs="Arial"/>
                <w:color w:val="000000"/>
                <w:szCs w:val="20"/>
              </w:rPr>
              <w:t>$1,555,794</w:t>
            </w:r>
          </w:p>
        </w:tc>
        <w:tc>
          <w:tcPr>
            <w:tcW w:w="1361" w:type="dxa"/>
            <w:shd w:val="clear" w:color="000000" w:fill="FFFFFF"/>
            <w:tcMar>
              <w:top w:w="0" w:type="dxa"/>
              <w:left w:w="108" w:type="dxa"/>
              <w:bottom w:w="0" w:type="dxa"/>
              <w:right w:w="108" w:type="dxa"/>
            </w:tcMar>
            <w:vAlign w:val="center"/>
          </w:tcPr>
          <w:p w14:paraId="1217434A" w14:textId="46F1D107" w:rsidR="005F23B1" w:rsidRPr="00122196" w:rsidRDefault="005F23B1" w:rsidP="00617D76">
            <w:pPr>
              <w:pStyle w:val="TableText"/>
              <w:keepNext/>
              <w:keepLines/>
            </w:pPr>
            <w:r w:rsidRPr="00122196">
              <w:rPr>
                <w:rFonts w:cs="Arial"/>
                <w:color w:val="000000"/>
                <w:szCs w:val="20"/>
              </w:rPr>
              <w:t>$1,728,378</w:t>
            </w:r>
          </w:p>
        </w:tc>
      </w:tr>
      <w:tr w:rsidR="005F23B1" w:rsidRPr="00595B13" w14:paraId="5FABA1F7" w14:textId="77777777" w:rsidTr="00E863A2">
        <w:tc>
          <w:tcPr>
            <w:tcW w:w="9006" w:type="dxa"/>
            <w:gridSpan w:val="7"/>
            <w:tcMar>
              <w:top w:w="0" w:type="dxa"/>
              <w:left w:w="108" w:type="dxa"/>
              <w:bottom w:w="0" w:type="dxa"/>
              <w:right w:w="108" w:type="dxa"/>
            </w:tcMar>
            <w:hideMark/>
          </w:tcPr>
          <w:p w14:paraId="5844BA4B" w14:textId="77777777" w:rsidR="005F23B1" w:rsidRPr="00122196" w:rsidRDefault="005F23B1" w:rsidP="00617D76">
            <w:pPr>
              <w:pStyle w:val="TableText"/>
              <w:keepNext/>
              <w:keepLines/>
            </w:pPr>
            <w:r w:rsidRPr="00122196">
              <w:t>Change in use and cost of other health technologies</w:t>
            </w:r>
          </w:p>
        </w:tc>
      </w:tr>
      <w:tr w:rsidR="005F23B1" w:rsidRPr="00595B13" w14:paraId="57D76477" w14:textId="77777777" w:rsidTr="00E863A2">
        <w:tc>
          <w:tcPr>
            <w:tcW w:w="1833" w:type="dxa"/>
            <w:tcMar>
              <w:top w:w="0" w:type="dxa"/>
              <w:left w:w="108" w:type="dxa"/>
              <w:bottom w:w="0" w:type="dxa"/>
              <w:right w:w="108" w:type="dxa"/>
            </w:tcMar>
            <w:hideMark/>
          </w:tcPr>
          <w:p w14:paraId="56716EF3" w14:textId="77777777" w:rsidR="005F23B1" w:rsidRPr="00122196" w:rsidRDefault="005F23B1" w:rsidP="00617D76">
            <w:pPr>
              <w:pStyle w:val="TableText"/>
              <w:keepNext/>
              <w:keepLines/>
            </w:pPr>
            <w:r w:rsidRPr="00122196">
              <w:t>Change in use of no testing</w:t>
            </w:r>
          </w:p>
        </w:tc>
        <w:tc>
          <w:tcPr>
            <w:tcW w:w="1276" w:type="dxa"/>
            <w:tcMar>
              <w:top w:w="0" w:type="dxa"/>
              <w:left w:w="108" w:type="dxa"/>
              <w:bottom w:w="0" w:type="dxa"/>
              <w:right w:w="108" w:type="dxa"/>
            </w:tcMar>
          </w:tcPr>
          <w:p w14:paraId="58BA4188"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7C70F5C3"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1491479B"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2474D243"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30B31CB9" w14:textId="77777777" w:rsidR="005F23B1" w:rsidRPr="00122196" w:rsidRDefault="005F23B1" w:rsidP="00617D76">
            <w:pPr>
              <w:pStyle w:val="TableText"/>
              <w:keepNext/>
              <w:keepLines/>
              <w:jc w:val="center"/>
            </w:pPr>
            <w:r w:rsidRPr="00122196">
              <w:t>0</w:t>
            </w:r>
          </w:p>
        </w:tc>
        <w:tc>
          <w:tcPr>
            <w:tcW w:w="1361" w:type="dxa"/>
            <w:tcMar>
              <w:top w:w="0" w:type="dxa"/>
              <w:left w:w="108" w:type="dxa"/>
              <w:bottom w:w="0" w:type="dxa"/>
              <w:right w:w="108" w:type="dxa"/>
            </w:tcMar>
          </w:tcPr>
          <w:p w14:paraId="6261AA84" w14:textId="77777777" w:rsidR="005F23B1" w:rsidRPr="00122196" w:rsidRDefault="005F23B1" w:rsidP="00617D76">
            <w:pPr>
              <w:pStyle w:val="TableText"/>
              <w:keepNext/>
              <w:keepLines/>
              <w:jc w:val="center"/>
            </w:pPr>
            <w:r w:rsidRPr="00122196">
              <w:t>0</w:t>
            </w:r>
          </w:p>
        </w:tc>
      </w:tr>
      <w:tr w:rsidR="005F23B1" w:rsidRPr="00595B13" w14:paraId="1B576917" w14:textId="77777777" w:rsidTr="00E863A2">
        <w:tc>
          <w:tcPr>
            <w:tcW w:w="1833" w:type="dxa"/>
            <w:tcMar>
              <w:top w:w="0" w:type="dxa"/>
              <w:left w:w="108" w:type="dxa"/>
              <w:bottom w:w="0" w:type="dxa"/>
              <w:right w:w="108" w:type="dxa"/>
            </w:tcMar>
            <w:hideMark/>
          </w:tcPr>
          <w:p w14:paraId="7D361340" w14:textId="77777777" w:rsidR="005F23B1" w:rsidRPr="00122196" w:rsidRDefault="005F23B1" w:rsidP="00617D76">
            <w:pPr>
              <w:pStyle w:val="TableText"/>
              <w:keepNext/>
              <w:keepLines/>
            </w:pPr>
            <w:r w:rsidRPr="00122196">
              <w:t>Change in use of other MBS affected health technologies</w:t>
            </w:r>
          </w:p>
        </w:tc>
        <w:tc>
          <w:tcPr>
            <w:tcW w:w="1276" w:type="dxa"/>
            <w:tcMar>
              <w:top w:w="0" w:type="dxa"/>
              <w:left w:w="108" w:type="dxa"/>
              <w:bottom w:w="0" w:type="dxa"/>
              <w:right w:w="108" w:type="dxa"/>
            </w:tcMar>
          </w:tcPr>
          <w:p w14:paraId="1E8D7F47"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3558988A"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22E0C67E"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242B99E1"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37BB18DE" w14:textId="77777777" w:rsidR="005F23B1" w:rsidRPr="00122196" w:rsidRDefault="005F23B1" w:rsidP="00617D76">
            <w:pPr>
              <w:pStyle w:val="TableText"/>
              <w:keepNext/>
              <w:keepLines/>
              <w:jc w:val="center"/>
            </w:pPr>
            <w:r w:rsidRPr="00122196">
              <w:t>0</w:t>
            </w:r>
          </w:p>
        </w:tc>
        <w:tc>
          <w:tcPr>
            <w:tcW w:w="1361" w:type="dxa"/>
            <w:tcMar>
              <w:top w:w="0" w:type="dxa"/>
              <w:left w:w="108" w:type="dxa"/>
              <w:bottom w:w="0" w:type="dxa"/>
              <w:right w:w="108" w:type="dxa"/>
            </w:tcMar>
          </w:tcPr>
          <w:p w14:paraId="1FB5C51B" w14:textId="77777777" w:rsidR="005F23B1" w:rsidRPr="00122196" w:rsidRDefault="005F23B1" w:rsidP="00617D76">
            <w:pPr>
              <w:pStyle w:val="TableText"/>
              <w:keepNext/>
              <w:keepLines/>
              <w:jc w:val="center"/>
            </w:pPr>
            <w:r w:rsidRPr="00122196">
              <w:t>0</w:t>
            </w:r>
          </w:p>
        </w:tc>
      </w:tr>
      <w:tr w:rsidR="005F23B1" w:rsidRPr="00595B13" w14:paraId="12C8B0D4" w14:textId="77777777" w:rsidTr="00E863A2">
        <w:tc>
          <w:tcPr>
            <w:tcW w:w="1833" w:type="dxa"/>
            <w:tcMar>
              <w:top w:w="0" w:type="dxa"/>
              <w:left w:w="108" w:type="dxa"/>
              <w:bottom w:w="0" w:type="dxa"/>
              <w:right w:w="108" w:type="dxa"/>
            </w:tcMar>
            <w:hideMark/>
          </w:tcPr>
          <w:p w14:paraId="03674763" w14:textId="77777777" w:rsidR="005F23B1" w:rsidRPr="00122196" w:rsidRDefault="005F23B1" w:rsidP="00617D76">
            <w:pPr>
              <w:pStyle w:val="TableText"/>
              <w:keepNext/>
              <w:keepLines/>
            </w:pPr>
            <w:r w:rsidRPr="00122196">
              <w:t>Net change in costs to the MBS (with appropriate copayments excluded)</w:t>
            </w:r>
          </w:p>
        </w:tc>
        <w:tc>
          <w:tcPr>
            <w:tcW w:w="1276" w:type="dxa"/>
            <w:tcMar>
              <w:top w:w="0" w:type="dxa"/>
              <w:left w:w="108" w:type="dxa"/>
              <w:bottom w:w="0" w:type="dxa"/>
              <w:right w:w="108" w:type="dxa"/>
            </w:tcMar>
          </w:tcPr>
          <w:p w14:paraId="2C2A6500"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71718824"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2B80B06F"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02FD66C6" w14:textId="77777777" w:rsidR="005F23B1" w:rsidRPr="00122196" w:rsidRDefault="005F23B1" w:rsidP="00617D76">
            <w:pPr>
              <w:pStyle w:val="TableText"/>
              <w:keepNext/>
              <w:keepLines/>
              <w:jc w:val="center"/>
            </w:pPr>
            <w:r w:rsidRPr="00122196">
              <w:t>0</w:t>
            </w:r>
          </w:p>
        </w:tc>
        <w:tc>
          <w:tcPr>
            <w:tcW w:w="1134" w:type="dxa"/>
            <w:tcMar>
              <w:top w:w="0" w:type="dxa"/>
              <w:left w:w="108" w:type="dxa"/>
              <w:bottom w:w="0" w:type="dxa"/>
              <w:right w:w="108" w:type="dxa"/>
            </w:tcMar>
          </w:tcPr>
          <w:p w14:paraId="4E5C623E" w14:textId="77777777" w:rsidR="005F23B1" w:rsidRPr="00122196" w:rsidRDefault="005F23B1" w:rsidP="00617D76">
            <w:pPr>
              <w:pStyle w:val="TableText"/>
              <w:keepNext/>
              <w:keepLines/>
              <w:jc w:val="center"/>
            </w:pPr>
            <w:r w:rsidRPr="00122196">
              <w:t>0</w:t>
            </w:r>
          </w:p>
        </w:tc>
        <w:tc>
          <w:tcPr>
            <w:tcW w:w="1361" w:type="dxa"/>
            <w:tcMar>
              <w:top w:w="0" w:type="dxa"/>
              <w:left w:w="108" w:type="dxa"/>
              <w:bottom w:w="0" w:type="dxa"/>
              <w:right w:w="108" w:type="dxa"/>
            </w:tcMar>
          </w:tcPr>
          <w:p w14:paraId="4931B3BA" w14:textId="77777777" w:rsidR="005F23B1" w:rsidRPr="00122196" w:rsidRDefault="005F23B1" w:rsidP="00617D76">
            <w:pPr>
              <w:pStyle w:val="TableText"/>
              <w:keepNext/>
              <w:keepLines/>
              <w:jc w:val="center"/>
            </w:pPr>
            <w:r w:rsidRPr="00122196">
              <w:t>0</w:t>
            </w:r>
          </w:p>
        </w:tc>
      </w:tr>
      <w:tr w:rsidR="005F23B1" w:rsidRPr="00595B13" w14:paraId="5C97F746" w14:textId="77777777" w:rsidTr="00B05D24">
        <w:tc>
          <w:tcPr>
            <w:tcW w:w="1833" w:type="dxa"/>
            <w:tcMar>
              <w:top w:w="0" w:type="dxa"/>
              <w:left w:w="108" w:type="dxa"/>
              <w:bottom w:w="0" w:type="dxa"/>
              <w:right w:w="108" w:type="dxa"/>
            </w:tcMar>
            <w:hideMark/>
          </w:tcPr>
          <w:p w14:paraId="383468B8" w14:textId="77777777" w:rsidR="005F23B1" w:rsidRPr="00122196" w:rsidRDefault="005F23B1" w:rsidP="00617D76">
            <w:pPr>
              <w:pStyle w:val="TableText"/>
              <w:keepNext/>
              <w:keepLines/>
            </w:pPr>
            <w:r w:rsidRPr="00122196">
              <w:t>Net financial impact to the MBS</w:t>
            </w:r>
          </w:p>
        </w:tc>
        <w:tc>
          <w:tcPr>
            <w:tcW w:w="1276"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4DA21B0F" w14:textId="3DA3FD1C" w:rsidR="005F23B1" w:rsidRPr="00122196" w:rsidRDefault="005F23B1" w:rsidP="00617D76">
            <w:pPr>
              <w:pStyle w:val="TableText"/>
              <w:keepNext/>
              <w:keepLines/>
              <w:jc w:val="center"/>
            </w:pPr>
            <w:r w:rsidRPr="00122196">
              <w:rPr>
                <w:rFonts w:cs="Arial"/>
                <w:color w:val="000000"/>
                <w:szCs w:val="20"/>
              </w:rPr>
              <w:t>$864,612</w:t>
            </w:r>
          </w:p>
        </w:tc>
        <w:tc>
          <w:tcPr>
            <w:tcW w:w="1134"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5EF4DB79" w14:textId="5989D7AB" w:rsidR="005F23B1" w:rsidRPr="00122196" w:rsidRDefault="005F23B1" w:rsidP="00617D76">
            <w:pPr>
              <w:pStyle w:val="TableText"/>
              <w:keepNext/>
              <w:keepLines/>
              <w:jc w:val="center"/>
            </w:pPr>
            <w:r w:rsidRPr="00122196">
              <w:rPr>
                <w:rFonts w:cs="Arial"/>
                <w:color w:val="000000"/>
                <w:szCs w:val="20"/>
              </w:rPr>
              <w:t>$1,037,478</w:t>
            </w:r>
          </w:p>
        </w:tc>
        <w:tc>
          <w:tcPr>
            <w:tcW w:w="1134"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7294A6AB" w14:textId="7BBFA940" w:rsidR="005F23B1" w:rsidRPr="00122196" w:rsidRDefault="005F23B1" w:rsidP="00617D76">
            <w:pPr>
              <w:pStyle w:val="TableText"/>
              <w:keepNext/>
              <w:keepLines/>
              <w:jc w:val="center"/>
            </w:pPr>
            <w:r w:rsidRPr="00122196">
              <w:rPr>
                <w:rFonts w:cs="Arial"/>
                <w:color w:val="000000"/>
                <w:szCs w:val="20"/>
              </w:rPr>
              <w:t>$1,210,203</w:t>
            </w:r>
          </w:p>
        </w:tc>
        <w:tc>
          <w:tcPr>
            <w:tcW w:w="1134"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4BCAD5AC" w14:textId="7BF260BC" w:rsidR="005F23B1" w:rsidRPr="00122196" w:rsidRDefault="005F23B1" w:rsidP="00617D76">
            <w:pPr>
              <w:pStyle w:val="TableText"/>
              <w:keepNext/>
              <w:keepLines/>
              <w:jc w:val="center"/>
            </w:pPr>
            <w:r w:rsidRPr="00122196">
              <w:rPr>
                <w:rFonts w:cs="Arial"/>
                <w:color w:val="000000"/>
                <w:szCs w:val="20"/>
              </w:rPr>
              <w:t>$1,383,069</w:t>
            </w:r>
          </w:p>
        </w:tc>
        <w:tc>
          <w:tcPr>
            <w:tcW w:w="1134"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3F740286" w14:textId="36F50092" w:rsidR="005F23B1" w:rsidRPr="00122196" w:rsidRDefault="005F23B1" w:rsidP="00617D76">
            <w:pPr>
              <w:pStyle w:val="TableText"/>
              <w:keepNext/>
              <w:keepLines/>
              <w:jc w:val="center"/>
            </w:pPr>
            <w:r w:rsidRPr="00122196">
              <w:rPr>
                <w:rFonts w:cs="Arial"/>
                <w:color w:val="000000"/>
                <w:szCs w:val="20"/>
              </w:rPr>
              <w:t>$1,555,794</w:t>
            </w:r>
          </w:p>
        </w:tc>
        <w:tc>
          <w:tcPr>
            <w:tcW w:w="1361" w:type="dxa"/>
            <w:tcBorders>
              <w:top w:val="nil"/>
              <w:left w:val="nil"/>
              <w:bottom w:val="single" w:sz="8" w:space="0" w:color="auto"/>
              <w:right w:val="single" w:sz="8" w:space="0" w:color="auto"/>
            </w:tcBorders>
            <w:shd w:val="clear" w:color="000000" w:fill="FFFFFF"/>
            <w:tcMar>
              <w:top w:w="0" w:type="dxa"/>
              <w:left w:w="108" w:type="dxa"/>
              <w:bottom w:w="0" w:type="dxa"/>
              <w:right w:w="108" w:type="dxa"/>
            </w:tcMar>
            <w:vAlign w:val="center"/>
          </w:tcPr>
          <w:p w14:paraId="60919CC1" w14:textId="041EEBAF" w:rsidR="005F23B1" w:rsidRPr="00122196" w:rsidRDefault="005F23B1" w:rsidP="00617D76">
            <w:pPr>
              <w:pStyle w:val="TableText"/>
              <w:keepNext/>
              <w:keepLines/>
              <w:jc w:val="center"/>
            </w:pPr>
            <w:r w:rsidRPr="00122196">
              <w:rPr>
                <w:rFonts w:cs="Arial"/>
                <w:color w:val="000000"/>
                <w:szCs w:val="20"/>
              </w:rPr>
              <w:t>$1,728,378</w:t>
            </w:r>
          </w:p>
        </w:tc>
      </w:tr>
    </w:tbl>
    <w:p w14:paraId="64A81D77" w14:textId="39D9E9BF" w:rsidR="00D66B02" w:rsidRPr="00122196" w:rsidRDefault="00D66B02" w:rsidP="00AD703B">
      <w:pPr>
        <w:pStyle w:val="TableFigureFooter"/>
        <w:keepNext/>
        <w:keepLines/>
      </w:pPr>
      <w:r w:rsidRPr="00122196">
        <w:t>Source: Excel sheet ‘4. Net cost to Government’ of Utilisation and Cost Model workbook</w:t>
      </w:r>
      <w:r w:rsidR="008E2211" w:rsidRPr="00122196">
        <w:t xml:space="preserve"> and Excel Workbook “R2024-057 Patient counts for drugs Capecitabine or Fluorouracil by quarter”, provided by the </w:t>
      </w:r>
      <w:r w:rsidR="00E863A2" w:rsidRPr="00122196">
        <w:t>Department.</w:t>
      </w:r>
    </w:p>
    <w:p w14:paraId="24A59BD3" w14:textId="124CAD3C" w:rsidR="00D66B02" w:rsidRPr="00122196" w:rsidRDefault="00D66B02" w:rsidP="00D66B02">
      <w:pPr>
        <w:pStyle w:val="TableFigureFooter"/>
      </w:pPr>
      <w:r w:rsidRPr="00122196">
        <w:t xml:space="preserve">Abbreviations: </w:t>
      </w:r>
      <w:r w:rsidRPr="00122196">
        <w:rPr>
          <w:i/>
          <w:iCs/>
        </w:rPr>
        <w:t>DPYD</w:t>
      </w:r>
      <w:r w:rsidRPr="00122196">
        <w:rPr>
          <w:i/>
        </w:rPr>
        <w:t>=</w:t>
      </w:r>
      <w:proofErr w:type="spellStart"/>
      <w:r w:rsidRPr="00122196">
        <w:rPr>
          <w:i/>
        </w:rPr>
        <w:t>Dihydropyrimidine</w:t>
      </w:r>
      <w:proofErr w:type="spellEnd"/>
      <w:r w:rsidRPr="00122196">
        <w:rPr>
          <w:i/>
        </w:rPr>
        <w:t xml:space="preserve"> dehydrogenase</w:t>
      </w:r>
      <w:r w:rsidRPr="00122196">
        <w:t xml:space="preserve"> gene; MBS = Medical Benefits Scheme; PICO=Population, Intervention, Comparator, Outcome; MSAC=Medical Services Advisory Committee; CRC=Colorectal carcinoma; PBS=Pharmaceutical Benefits Scheme. </w:t>
      </w:r>
    </w:p>
    <w:p w14:paraId="0057B4FD" w14:textId="1E9EC478" w:rsidR="00D66B02" w:rsidRPr="00122196" w:rsidRDefault="00D66B02" w:rsidP="00D66B02">
      <w:r w:rsidRPr="00122196">
        <w:t>It was estimated that in the first year of listing the new MBS item would have a net financial implication of $</w:t>
      </w:r>
      <w:r w:rsidR="00781B20" w:rsidRPr="00122196">
        <w:t>8</w:t>
      </w:r>
      <w:r w:rsidR="00576B36" w:rsidRPr="00122196">
        <w:t>65K</w:t>
      </w:r>
      <w:r w:rsidRPr="00122196">
        <w:t>, rising to $</w:t>
      </w:r>
      <w:r w:rsidR="00067A25" w:rsidRPr="00122196">
        <w:t>1.7</w:t>
      </w:r>
      <w:r w:rsidRPr="00122196">
        <w:t xml:space="preserve"> million in year 6. This equates to a net six-year financial implication of approximately $</w:t>
      </w:r>
      <w:r w:rsidR="00067A25" w:rsidRPr="00122196">
        <w:t>7.8</w:t>
      </w:r>
      <w:r w:rsidRPr="00122196">
        <w:t xml:space="preserve"> million. </w:t>
      </w:r>
    </w:p>
    <w:p w14:paraId="3FC6FE64" w14:textId="0AC24788" w:rsidR="00D66B02" w:rsidRPr="00122196" w:rsidRDefault="00D66B02" w:rsidP="00D66B02">
      <w:pPr>
        <w:pStyle w:val="Instructionaltext"/>
        <w:numPr>
          <w:ilvl w:val="0"/>
          <w:numId w:val="7"/>
        </w:numPr>
        <w:rPr>
          <w:color w:val="auto"/>
        </w:rPr>
      </w:pPr>
      <w:r w:rsidRPr="00122196">
        <w:rPr>
          <w:color w:val="auto"/>
        </w:rPr>
        <w:t>The average cost of the proposed technology per patient per once in a lifetime is $188.</w:t>
      </w:r>
    </w:p>
    <w:p w14:paraId="501A09CF" w14:textId="77777777" w:rsidR="00D66B02" w:rsidRPr="00122196" w:rsidRDefault="00D66B02" w:rsidP="00D66B02">
      <w:pPr>
        <w:pStyle w:val="Instructionaltext"/>
        <w:numPr>
          <w:ilvl w:val="0"/>
          <w:numId w:val="7"/>
        </w:numPr>
        <w:rPr>
          <w:color w:val="auto"/>
        </w:rPr>
      </w:pPr>
      <w:r w:rsidRPr="00122196">
        <w:rPr>
          <w:color w:val="auto"/>
        </w:rPr>
        <w:t>The average frequency of use of the proposed technology is once per lifetime.</w:t>
      </w:r>
    </w:p>
    <w:p w14:paraId="11F73D5E" w14:textId="77777777" w:rsidR="00D66B02" w:rsidRPr="00122196" w:rsidRDefault="00D66B02" w:rsidP="00D66B02">
      <w:pPr>
        <w:pStyle w:val="Instructionaltext"/>
        <w:numPr>
          <w:ilvl w:val="0"/>
          <w:numId w:val="7"/>
        </w:numPr>
        <w:rPr>
          <w:color w:val="auto"/>
        </w:rPr>
      </w:pPr>
      <w:r w:rsidRPr="00122196">
        <w:rPr>
          <w:color w:val="auto"/>
        </w:rPr>
        <w:t>The average out-of-pocket cost per patient per course is: $47.</w:t>
      </w:r>
    </w:p>
    <w:p w14:paraId="54F9F997" w14:textId="631C4166" w:rsidR="00D66B02" w:rsidRPr="00122196" w:rsidRDefault="0060621B" w:rsidP="00D66B02">
      <w:r w:rsidRPr="00122196">
        <w:fldChar w:fldCharType="begin"/>
      </w:r>
      <w:r w:rsidRPr="00122196">
        <w:instrText xml:space="preserve"> REF _Ref175141021 \h </w:instrText>
      </w:r>
      <w:r w:rsidR="002F1EDB" w:rsidRPr="00122196">
        <w:instrText xml:space="preserve"> \* MERGEFORMAT </w:instrText>
      </w:r>
      <w:r w:rsidRPr="00122196">
        <w:fldChar w:fldCharType="separate"/>
      </w:r>
      <w:r w:rsidR="00306F34" w:rsidRPr="00122196" w:rsidDel="00835345">
        <w:t xml:space="preserve">Table </w:t>
      </w:r>
      <w:r w:rsidR="00306F34" w:rsidRPr="00122196" w:rsidDel="00835345">
        <w:rPr>
          <w:noProof/>
        </w:rPr>
        <w:t>17</w:t>
      </w:r>
      <w:r w:rsidRPr="00122196">
        <w:fldChar w:fldCharType="end"/>
      </w:r>
      <w:r w:rsidRPr="00122196">
        <w:t xml:space="preserve"> </w:t>
      </w:r>
      <w:r w:rsidR="00D66B02" w:rsidRPr="00122196">
        <w:t xml:space="preserve">summarises the total cost to state/territory and commonwealth government health budgets. The listing of </w:t>
      </w:r>
      <w:r w:rsidR="00D66B02" w:rsidRPr="00122196">
        <w:rPr>
          <w:i/>
          <w:iCs/>
        </w:rPr>
        <w:t>DPYD</w:t>
      </w:r>
      <w:r w:rsidR="00D66B02" w:rsidRPr="00122196">
        <w:t xml:space="preserve"> genotyping will lead to a saving to the government health budgets of $</w:t>
      </w:r>
      <w:r w:rsidR="00C972AA" w:rsidRPr="00122196">
        <w:t>9.7</w:t>
      </w:r>
      <w:r w:rsidR="00D66B02" w:rsidRPr="00122196">
        <w:t xml:space="preserve"> million in year one, rising to $19.</w:t>
      </w:r>
      <w:r w:rsidR="000E1B14" w:rsidRPr="00122196">
        <w:t>3</w:t>
      </w:r>
      <w:r w:rsidR="00D66B02" w:rsidRPr="00122196">
        <w:t xml:space="preserve"> million by year six. total saving over the first six years of listing is approximately $</w:t>
      </w:r>
      <w:r w:rsidR="000E1B14" w:rsidRPr="00122196">
        <w:t>86.8</w:t>
      </w:r>
      <w:r w:rsidR="00D66B02" w:rsidRPr="00122196">
        <w:t xml:space="preserve"> million.</w:t>
      </w:r>
    </w:p>
    <w:p w14:paraId="14E909C6" w14:textId="79389074" w:rsidR="00D66B02" w:rsidRPr="00122196" w:rsidRDefault="00D66B02" w:rsidP="00D66B02">
      <w:pPr>
        <w:pStyle w:val="TableHeading0"/>
      </w:pPr>
      <w:bookmarkStart w:id="57" w:name="_Ref175141021"/>
      <w:r w:rsidRPr="00122196">
        <w:t xml:space="preserve">Table </w:t>
      </w:r>
      <w:r w:rsidRPr="00122196">
        <w:fldChar w:fldCharType="begin"/>
      </w:r>
      <w:r w:rsidRPr="00122196">
        <w:instrText xml:space="preserve"> SEQ Table \* ARABIC </w:instrText>
      </w:r>
      <w:r w:rsidRPr="00122196">
        <w:fldChar w:fldCharType="separate"/>
      </w:r>
      <w:r w:rsidR="00835345" w:rsidRPr="00122196">
        <w:rPr>
          <w:noProof/>
        </w:rPr>
        <w:t>17</w:t>
      </w:r>
      <w:r w:rsidRPr="00122196">
        <w:rPr>
          <w:noProof/>
        </w:rPr>
        <w:fldChar w:fldCharType="end"/>
      </w:r>
      <w:bookmarkEnd w:id="57"/>
      <w:r w:rsidRPr="00122196">
        <w:t xml:space="preserve"> Total cost to government health budgets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78"/>
        <w:gridCol w:w="1176"/>
        <w:gridCol w:w="1176"/>
        <w:gridCol w:w="1176"/>
        <w:gridCol w:w="1176"/>
        <w:gridCol w:w="1176"/>
        <w:gridCol w:w="1172"/>
      </w:tblGrid>
      <w:tr w:rsidR="00D66B02" w:rsidRPr="00595B13" w14:paraId="7C7EE8CB" w14:textId="77777777" w:rsidTr="00B05D24">
        <w:trPr>
          <w:trHeight w:val="200"/>
        </w:trPr>
        <w:tc>
          <w:tcPr>
            <w:tcW w:w="1095" w:type="pct"/>
            <w:shd w:val="clear" w:color="auto" w:fill="D9D9D9" w:themeFill="background1" w:themeFillShade="D9"/>
            <w:noWrap/>
            <w:vAlign w:val="bottom"/>
            <w:hideMark/>
          </w:tcPr>
          <w:p w14:paraId="4B28A455" w14:textId="77777777" w:rsidR="00D66B02" w:rsidRPr="00122196" w:rsidRDefault="00D66B02" w:rsidP="00B05D24">
            <w:pPr>
              <w:pStyle w:val="TableText"/>
              <w:rPr>
                <w:b/>
              </w:rPr>
            </w:pPr>
            <w:r w:rsidRPr="00122196">
              <w:rPr>
                <w:b/>
              </w:rPr>
              <w:t> </w:t>
            </w:r>
          </w:p>
        </w:tc>
        <w:tc>
          <w:tcPr>
            <w:tcW w:w="651" w:type="pct"/>
            <w:shd w:val="clear" w:color="auto" w:fill="D9D9D9" w:themeFill="background1" w:themeFillShade="D9"/>
            <w:noWrap/>
            <w:vAlign w:val="center"/>
            <w:hideMark/>
          </w:tcPr>
          <w:p w14:paraId="71351B94" w14:textId="77777777" w:rsidR="00D66B02" w:rsidRPr="00122196" w:rsidRDefault="00D66B02" w:rsidP="00B05D24">
            <w:pPr>
              <w:pStyle w:val="TableText"/>
              <w:jc w:val="center"/>
              <w:rPr>
                <w:b/>
              </w:rPr>
            </w:pPr>
            <w:r w:rsidRPr="00122196">
              <w:rPr>
                <w:rFonts w:cs="Arial"/>
                <w:b/>
                <w:bCs/>
                <w:szCs w:val="20"/>
                <w:lang w:eastAsia="en-AU"/>
              </w:rPr>
              <w:t>2025</w:t>
            </w:r>
          </w:p>
        </w:tc>
        <w:tc>
          <w:tcPr>
            <w:tcW w:w="651" w:type="pct"/>
            <w:shd w:val="clear" w:color="auto" w:fill="D9D9D9" w:themeFill="background1" w:themeFillShade="D9"/>
            <w:noWrap/>
            <w:vAlign w:val="center"/>
            <w:hideMark/>
          </w:tcPr>
          <w:p w14:paraId="1D7000A4" w14:textId="77777777" w:rsidR="00D66B02" w:rsidRPr="00122196" w:rsidRDefault="00D66B02" w:rsidP="00B05D24">
            <w:pPr>
              <w:pStyle w:val="TableText"/>
              <w:jc w:val="center"/>
              <w:rPr>
                <w:b/>
              </w:rPr>
            </w:pPr>
            <w:r w:rsidRPr="00122196">
              <w:rPr>
                <w:rFonts w:cs="Arial"/>
                <w:b/>
                <w:bCs/>
                <w:szCs w:val="20"/>
                <w:lang w:eastAsia="en-AU"/>
              </w:rPr>
              <w:t>2026</w:t>
            </w:r>
          </w:p>
        </w:tc>
        <w:tc>
          <w:tcPr>
            <w:tcW w:w="651" w:type="pct"/>
            <w:shd w:val="clear" w:color="auto" w:fill="D9D9D9" w:themeFill="background1" w:themeFillShade="D9"/>
            <w:noWrap/>
            <w:vAlign w:val="center"/>
            <w:hideMark/>
          </w:tcPr>
          <w:p w14:paraId="6CD5616D" w14:textId="77777777" w:rsidR="00D66B02" w:rsidRPr="00122196" w:rsidRDefault="00D66B02" w:rsidP="00B05D24">
            <w:pPr>
              <w:pStyle w:val="TableText"/>
              <w:jc w:val="center"/>
              <w:rPr>
                <w:b/>
              </w:rPr>
            </w:pPr>
            <w:r w:rsidRPr="00122196">
              <w:rPr>
                <w:rFonts w:cs="Arial"/>
                <w:b/>
                <w:bCs/>
                <w:szCs w:val="20"/>
                <w:lang w:eastAsia="en-AU"/>
              </w:rPr>
              <w:t>2027</w:t>
            </w:r>
          </w:p>
        </w:tc>
        <w:tc>
          <w:tcPr>
            <w:tcW w:w="651" w:type="pct"/>
            <w:shd w:val="clear" w:color="auto" w:fill="D9D9D9" w:themeFill="background1" w:themeFillShade="D9"/>
            <w:noWrap/>
            <w:vAlign w:val="center"/>
            <w:hideMark/>
          </w:tcPr>
          <w:p w14:paraId="5107883C" w14:textId="77777777" w:rsidR="00D66B02" w:rsidRPr="00122196" w:rsidRDefault="00D66B02" w:rsidP="00B05D24">
            <w:pPr>
              <w:pStyle w:val="TableText"/>
              <w:jc w:val="center"/>
              <w:rPr>
                <w:b/>
              </w:rPr>
            </w:pPr>
            <w:r w:rsidRPr="00122196">
              <w:rPr>
                <w:rFonts w:cs="Arial"/>
                <w:b/>
                <w:bCs/>
                <w:szCs w:val="20"/>
                <w:lang w:eastAsia="en-AU"/>
              </w:rPr>
              <w:t>2028</w:t>
            </w:r>
          </w:p>
        </w:tc>
        <w:tc>
          <w:tcPr>
            <w:tcW w:w="651" w:type="pct"/>
            <w:shd w:val="clear" w:color="auto" w:fill="D9D9D9" w:themeFill="background1" w:themeFillShade="D9"/>
            <w:noWrap/>
            <w:vAlign w:val="center"/>
            <w:hideMark/>
          </w:tcPr>
          <w:p w14:paraId="29024688" w14:textId="77777777" w:rsidR="00D66B02" w:rsidRPr="00122196" w:rsidRDefault="00D66B02" w:rsidP="00B05D24">
            <w:pPr>
              <w:pStyle w:val="TableText"/>
              <w:jc w:val="center"/>
              <w:rPr>
                <w:b/>
              </w:rPr>
            </w:pPr>
            <w:r w:rsidRPr="00122196">
              <w:rPr>
                <w:rFonts w:cs="Arial"/>
                <w:b/>
                <w:bCs/>
                <w:szCs w:val="20"/>
                <w:lang w:eastAsia="en-AU"/>
              </w:rPr>
              <w:t>2029</w:t>
            </w:r>
          </w:p>
        </w:tc>
        <w:tc>
          <w:tcPr>
            <w:tcW w:w="649" w:type="pct"/>
            <w:shd w:val="clear" w:color="auto" w:fill="D9D9D9" w:themeFill="background1" w:themeFillShade="D9"/>
            <w:noWrap/>
            <w:vAlign w:val="center"/>
            <w:hideMark/>
          </w:tcPr>
          <w:p w14:paraId="575895FD" w14:textId="77777777" w:rsidR="00D66B02" w:rsidRPr="00122196" w:rsidRDefault="00D66B02" w:rsidP="00B05D24">
            <w:pPr>
              <w:pStyle w:val="TableText"/>
              <w:jc w:val="center"/>
              <w:rPr>
                <w:b/>
              </w:rPr>
            </w:pPr>
            <w:r w:rsidRPr="00122196">
              <w:rPr>
                <w:rFonts w:cs="Arial"/>
                <w:b/>
                <w:bCs/>
                <w:szCs w:val="20"/>
                <w:lang w:eastAsia="en-AU"/>
              </w:rPr>
              <w:t>2030</w:t>
            </w:r>
          </w:p>
        </w:tc>
      </w:tr>
      <w:tr w:rsidR="006F5240" w:rsidRPr="00595B13" w14:paraId="4274C8FF" w14:textId="77777777" w:rsidTr="00B05D24">
        <w:trPr>
          <w:trHeight w:val="200"/>
        </w:trPr>
        <w:tc>
          <w:tcPr>
            <w:tcW w:w="1095" w:type="pct"/>
            <w:shd w:val="clear" w:color="000000" w:fill="FFFFFF"/>
            <w:noWrap/>
            <w:vAlign w:val="center"/>
            <w:hideMark/>
          </w:tcPr>
          <w:p w14:paraId="2BB5A471" w14:textId="77777777" w:rsidR="006F5240" w:rsidRPr="00122196" w:rsidRDefault="006F5240" w:rsidP="006F5240">
            <w:pPr>
              <w:pStyle w:val="TableText"/>
            </w:pPr>
            <w:r w:rsidRPr="00122196">
              <w:t>Total cost to state governments</w:t>
            </w:r>
          </w:p>
        </w:tc>
        <w:tc>
          <w:tcPr>
            <w:tcW w:w="651" w:type="pct"/>
            <w:tcBorders>
              <w:top w:val="nil"/>
              <w:left w:val="nil"/>
              <w:bottom w:val="single" w:sz="8" w:space="0" w:color="auto"/>
              <w:right w:val="single" w:sz="8" w:space="0" w:color="auto"/>
            </w:tcBorders>
            <w:shd w:val="clear" w:color="000000" w:fill="FFFFFF"/>
            <w:noWrap/>
            <w:vAlign w:val="center"/>
          </w:tcPr>
          <w:p w14:paraId="72723DB8" w14:textId="7DA8119B" w:rsidR="006F5240" w:rsidRPr="00122196" w:rsidRDefault="006F5240" w:rsidP="006F5240">
            <w:pPr>
              <w:pStyle w:val="TableText"/>
              <w:jc w:val="right"/>
            </w:pPr>
            <w:r w:rsidRPr="00122196">
              <w:rPr>
                <w:rFonts w:cs="Arial"/>
                <w:szCs w:val="20"/>
              </w:rPr>
              <w:t>-$10,436,358</w:t>
            </w:r>
          </w:p>
        </w:tc>
        <w:tc>
          <w:tcPr>
            <w:tcW w:w="651" w:type="pct"/>
            <w:tcBorders>
              <w:top w:val="nil"/>
              <w:left w:val="nil"/>
              <w:bottom w:val="single" w:sz="8" w:space="0" w:color="auto"/>
              <w:right w:val="single" w:sz="8" w:space="0" w:color="auto"/>
            </w:tcBorders>
            <w:shd w:val="clear" w:color="000000" w:fill="FFFFFF"/>
            <w:noWrap/>
            <w:vAlign w:val="center"/>
          </w:tcPr>
          <w:p w14:paraId="23B69E4D" w14:textId="44AFBB07" w:rsidR="006F5240" w:rsidRPr="00122196" w:rsidRDefault="006F5240" w:rsidP="006F5240">
            <w:pPr>
              <w:pStyle w:val="TableText"/>
              <w:jc w:val="right"/>
            </w:pPr>
            <w:r w:rsidRPr="00122196">
              <w:rPr>
                <w:rFonts w:cs="Arial"/>
                <w:szCs w:val="20"/>
              </w:rPr>
              <w:t>-$12,522,949</w:t>
            </w:r>
          </w:p>
        </w:tc>
        <w:tc>
          <w:tcPr>
            <w:tcW w:w="651" w:type="pct"/>
            <w:tcBorders>
              <w:top w:val="nil"/>
              <w:left w:val="nil"/>
              <w:bottom w:val="single" w:sz="8" w:space="0" w:color="auto"/>
              <w:right w:val="single" w:sz="8" w:space="0" w:color="auto"/>
            </w:tcBorders>
            <w:shd w:val="clear" w:color="000000" w:fill="FFFFFF"/>
            <w:noWrap/>
            <w:vAlign w:val="center"/>
          </w:tcPr>
          <w:p w14:paraId="2FE3BD86" w14:textId="31126E3B" w:rsidR="006F5240" w:rsidRPr="00122196" w:rsidRDefault="006F5240" w:rsidP="006F5240">
            <w:pPr>
              <w:pStyle w:val="TableText"/>
              <w:jc w:val="right"/>
            </w:pPr>
            <w:r w:rsidRPr="00122196">
              <w:rPr>
                <w:rFonts w:cs="Arial"/>
                <w:szCs w:val="20"/>
              </w:rPr>
              <w:t>-$14,607,838</w:t>
            </w:r>
          </w:p>
        </w:tc>
        <w:tc>
          <w:tcPr>
            <w:tcW w:w="651" w:type="pct"/>
            <w:tcBorders>
              <w:top w:val="nil"/>
              <w:left w:val="nil"/>
              <w:bottom w:val="single" w:sz="8" w:space="0" w:color="auto"/>
              <w:right w:val="single" w:sz="8" w:space="0" w:color="auto"/>
            </w:tcBorders>
            <w:shd w:val="clear" w:color="000000" w:fill="FFFFFF"/>
            <w:noWrap/>
            <w:vAlign w:val="center"/>
          </w:tcPr>
          <w:p w14:paraId="4EEA9771" w14:textId="5B1E85F1" w:rsidR="006F5240" w:rsidRPr="00122196" w:rsidRDefault="006F5240" w:rsidP="006F5240">
            <w:pPr>
              <w:pStyle w:val="TableText"/>
              <w:jc w:val="right"/>
            </w:pPr>
            <w:r w:rsidRPr="00122196">
              <w:rPr>
                <w:rFonts w:cs="Arial"/>
                <w:szCs w:val="20"/>
              </w:rPr>
              <w:t>-$16,694,429</w:t>
            </w:r>
          </w:p>
        </w:tc>
        <w:tc>
          <w:tcPr>
            <w:tcW w:w="651" w:type="pct"/>
            <w:tcBorders>
              <w:top w:val="nil"/>
              <w:left w:val="nil"/>
              <w:bottom w:val="single" w:sz="8" w:space="0" w:color="auto"/>
              <w:right w:val="single" w:sz="8" w:space="0" w:color="auto"/>
            </w:tcBorders>
            <w:shd w:val="clear" w:color="000000" w:fill="FFFFFF"/>
            <w:noWrap/>
            <w:vAlign w:val="center"/>
          </w:tcPr>
          <w:p w14:paraId="18C0BB1F" w14:textId="1109FB3C" w:rsidR="006F5240" w:rsidRPr="00122196" w:rsidRDefault="006F5240" w:rsidP="006F5240">
            <w:pPr>
              <w:pStyle w:val="TableText"/>
              <w:jc w:val="right"/>
            </w:pPr>
            <w:r w:rsidRPr="00122196">
              <w:rPr>
                <w:rFonts w:cs="Arial"/>
                <w:szCs w:val="20"/>
              </w:rPr>
              <w:t>-$18,779,318</w:t>
            </w:r>
          </w:p>
        </w:tc>
        <w:tc>
          <w:tcPr>
            <w:tcW w:w="649" w:type="pct"/>
            <w:tcBorders>
              <w:top w:val="nil"/>
              <w:left w:val="nil"/>
              <w:bottom w:val="single" w:sz="8" w:space="0" w:color="auto"/>
              <w:right w:val="single" w:sz="8" w:space="0" w:color="auto"/>
            </w:tcBorders>
            <w:shd w:val="clear" w:color="000000" w:fill="FFFFFF"/>
            <w:noWrap/>
            <w:vAlign w:val="center"/>
          </w:tcPr>
          <w:p w14:paraId="34D74B69" w14:textId="2CF69F87" w:rsidR="006F5240" w:rsidRPr="00122196" w:rsidRDefault="006F5240" w:rsidP="006F5240">
            <w:pPr>
              <w:pStyle w:val="TableText"/>
              <w:jc w:val="right"/>
            </w:pPr>
            <w:r w:rsidRPr="00122196">
              <w:rPr>
                <w:rFonts w:cs="Arial"/>
                <w:szCs w:val="20"/>
              </w:rPr>
              <w:t>-$20,862,505</w:t>
            </w:r>
          </w:p>
        </w:tc>
      </w:tr>
      <w:tr w:rsidR="006F5240" w:rsidRPr="00595B13" w14:paraId="7F528B09" w14:textId="77777777" w:rsidTr="00B05D24">
        <w:trPr>
          <w:trHeight w:val="200"/>
        </w:trPr>
        <w:tc>
          <w:tcPr>
            <w:tcW w:w="1095" w:type="pct"/>
            <w:shd w:val="clear" w:color="000000" w:fill="FFFFFF"/>
            <w:noWrap/>
            <w:vAlign w:val="center"/>
            <w:hideMark/>
          </w:tcPr>
          <w:p w14:paraId="154FADEA" w14:textId="77777777" w:rsidR="006F5240" w:rsidRPr="00122196" w:rsidRDefault="006F5240" w:rsidP="006F5240">
            <w:pPr>
              <w:pStyle w:val="TableText"/>
            </w:pPr>
            <w:r w:rsidRPr="00122196">
              <w:t>Total cost to Commonwealth government</w:t>
            </w:r>
          </w:p>
        </w:tc>
        <w:tc>
          <w:tcPr>
            <w:tcW w:w="651" w:type="pct"/>
            <w:tcBorders>
              <w:top w:val="nil"/>
              <w:left w:val="nil"/>
              <w:bottom w:val="single" w:sz="8" w:space="0" w:color="auto"/>
              <w:right w:val="single" w:sz="8" w:space="0" w:color="auto"/>
            </w:tcBorders>
            <w:shd w:val="clear" w:color="000000" w:fill="FFFFFF"/>
            <w:noWrap/>
            <w:vAlign w:val="center"/>
          </w:tcPr>
          <w:p w14:paraId="2CCFA43B" w14:textId="4265DA46" w:rsidR="006F5240" w:rsidRPr="00122196" w:rsidRDefault="006F5240" w:rsidP="006F5240">
            <w:pPr>
              <w:pStyle w:val="TableText"/>
              <w:jc w:val="right"/>
            </w:pPr>
            <w:r w:rsidRPr="00122196">
              <w:rPr>
                <w:rFonts w:cs="Arial"/>
                <w:szCs w:val="20"/>
              </w:rPr>
              <w:t>$788,619</w:t>
            </w:r>
          </w:p>
        </w:tc>
        <w:tc>
          <w:tcPr>
            <w:tcW w:w="651" w:type="pct"/>
            <w:tcBorders>
              <w:top w:val="nil"/>
              <w:left w:val="nil"/>
              <w:bottom w:val="single" w:sz="8" w:space="0" w:color="auto"/>
              <w:right w:val="single" w:sz="8" w:space="0" w:color="auto"/>
            </w:tcBorders>
            <w:shd w:val="clear" w:color="000000" w:fill="FFFFFF"/>
            <w:noWrap/>
            <w:vAlign w:val="center"/>
          </w:tcPr>
          <w:p w14:paraId="34DC2415" w14:textId="4CD5CF8F" w:rsidR="006F5240" w:rsidRPr="00122196" w:rsidRDefault="006F5240" w:rsidP="006F5240">
            <w:pPr>
              <w:pStyle w:val="TableText"/>
              <w:jc w:val="right"/>
            </w:pPr>
            <w:r w:rsidRPr="00122196">
              <w:rPr>
                <w:rFonts w:cs="Arial"/>
                <w:szCs w:val="20"/>
              </w:rPr>
              <w:t>$946,291</w:t>
            </w:r>
          </w:p>
        </w:tc>
        <w:tc>
          <w:tcPr>
            <w:tcW w:w="651" w:type="pct"/>
            <w:tcBorders>
              <w:top w:val="nil"/>
              <w:left w:val="nil"/>
              <w:bottom w:val="single" w:sz="8" w:space="0" w:color="auto"/>
              <w:right w:val="single" w:sz="8" w:space="0" w:color="auto"/>
            </w:tcBorders>
            <w:shd w:val="clear" w:color="000000" w:fill="FFFFFF"/>
            <w:noWrap/>
            <w:vAlign w:val="center"/>
          </w:tcPr>
          <w:p w14:paraId="7C60F964" w14:textId="36B53F03" w:rsidR="006F5240" w:rsidRPr="00122196" w:rsidRDefault="006F5240" w:rsidP="006F5240">
            <w:pPr>
              <w:pStyle w:val="TableText"/>
              <w:jc w:val="right"/>
            </w:pPr>
            <w:r w:rsidRPr="00122196">
              <w:rPr>
                <w:rFonts w:cs="Arial"/>
                <w:szCs w:val="20"/>
              </w:rPr>
              <w:t>$1,103,835</w:t>
            </w:r>
          </w:p>
        </w:tc>
        <w:tc>
          <w:tcPr>
            <w:tcW w:w="651" w:type="pct"/>
            <w:tcBorders>
              <w:top w:val="nil"/>
              <w:left w:val="nil"/>
              <w:bottom w:val="single" w:sz="8" w:space="0" w:color="auto"/>
              <w:right w:val="single" w:sz="8" w:space="0" w:color="auto"/>
            </w:tcBorders>
            <w:shd w:val="clear" w:color="000000" w:fill="FFFFFF"/>
            <w:noWrap/>
            <w:vAlign w:val="center"/>
          </w:tcPr>
          <w:p w14:paraId="2F4C6146" w14:textId="3FB7C559" w:rsidR="006F5240" w:rsidRPr="00122196" w:rsidRDefault="006F5240" w:rsidP="006F5240">
            <w:pPr>
              <w:pStyle w:val="TableText"/>
              <w:jc w:val="center"/>
            </w:pPr>
            <w:r w:rsidRPr="00122196">
              <w:rPr>
                <w:rFonts w:cs="Arial"/>
                <w:szCs w:val="20"/>
              </w:rPr>
              <w:t>$1,261,507</w:t>
            </w:r>
          </w:p>
        </w:tc>
        <w:tc>
          <w:tcPr>
            <w:tcW w:w="651" w:type="pct"/>
            <w:tcBorders>
              <w:top w:val="nil"/>
              <w:left w:val="nil"/>
              <w:bottom w:val="single" w:sz="8" w:space="0" w:color="auto"/>
              <w:right w:val="single" w:sz="8" w:space="0" w:color="auto"/>
            </w:tcBorders>
            <w:shd w:val="clear" w:color="000000" w:fill="FFFFFF"/>
            <w:noWrap/>
            <w:vAlign w:val="center"/>
          </w:tcPr>
          <w:p w14:paraId="203C7C4B" w14:textId="4C12C26A" w:rsidR="006F5240" w:rsidRPr="00122196" w:rsidRDefault="006F5240" w:rsidP="006F5240">
            <w:pPr>
              <w:pStyle w:val="TableText"/>
              <w:jc w:val="right"/>
            </w:pPr>
            <w:r w:rsidRPr="00122196">
              <w:rPr>
                <w:rFonts w:cs="Arial"/>
                <w:szCs w:val="20"/>
              </w:rPr>
              <w:t>$1,419,050</w:t>
            </w:r>
          </w:p>
        </w:tc>
        <w:tc>
          <w:tcPr>
            <w:tcW w:w="649" w:type="pct"/>
            <w:tcBorders>
              <w:top w:val="nil"/>
              <w:left w:val="nil"/>
              <w:bottom w:val="single" w:sz="8" w:space="0" w:color="auto"/>
              <w:right w:val="single" w:sz="8" w:space="0" w:color="auto"/>
            </w:tcBorders>
            <w:shd w:val="clear" w:color="000000" w:fill="FFFFFF"/>
            <w:noWrap/>
            <w:vAlign w:val="center"/>
          </w:tcPr>
          <w:p w14:paraId="4B79161F" w14:textId="48C3A6B7" w:rsidR="006F5240" w:rsidRPr="00122196" w:rsidRDefault="006F5240" w:rsidP="006F5240">
            <w:pPr>
              <w:pStyle w:val="TableText"/>
              <w:jc w:val="right"/>
            </w:pPr>
            <w:r w:rsidRPr="00122196">
              <w:rPr>
                <w:rFonts w:cs="Arial"/>
                <w:szCs w:val="20"/>
              </w:rPr>
              <w:t>$1,576,466</w:t>
            </w:r>
          </w:p>
        </w:tc>
      </w:tr>
      <w:tr w:rsidR="00607D85" w:rsidRPr="00595B13" w14:paraId="754EA85F" w14:textId="77777777" w:rsidTr="00B05D24">
        <w:trPr>
          <w:trHeight w:val="200"/>
        </w:trPr>
        <w:tc>
          <w:tcPr>
            <w:tcW w:w="1095" w:type="pct"/>
            <w:shd w:val="clear" w:color="auto" w:fill="FFFFFF" w:themeFill="background1"/>
            <w:noWrap/>
            <w:vAlign w:val="center"/>
            <w:hideMark/>
          </w:tcPr>
          <w:p w14:paraId="1CACC811" w14:textId="77777777" w:rsidR="00607D85" w:rsidRPr="00122196" w:rsidRDefault="00607D85" w:rsidP="00607D85">
            <w:pPr>
              <w:pStyle w:val="TableText"/>
              <w:rPr>
                <w:b/>
              </w:rPr>
            </w:pPr>
            <w:r w:rsidRPr="00122196">
              <w:rPr>
                <w:b/>
              </w:rPr>
              <w:t>Net cost to government</w:t>
            </w:r>
          </w:p>
        </w:tc>
        <w:tc>
          <w:tcPr>
            <w:tcW w:w="651" w:type="pct"/>
            <w:tcBorders>
              <w:top w:val="nil"/>
              <w:left w:val="nil"/>
              <w:bottom w:val="single" w:sz="8" w:space="0" w:color="auto"/>
              <w:right w:val="single" w:sz="8" w:space="0" w:color="auto"/>
            </w:tcBorders>
            <w:shd w:val="clear" w:color="000000" w:fill="FFFFFF"/>
            <w:noWrap/>
            <w:vAlign w:val="center"/>
          </w:tcPr>
          <w:p w14:paraId="2B83E7F4" w14:textId="7AA0D32C" w:rsidR="00607D85" w:rsidRPr="00122196" w:rsidRDefault="00607D85" w:rsidP="00607D85">
            <w:pPr>
              <w:pStyle w:val="TableText"/>
              <w:jc w:val="right"/>
              <w:rPr>
                <w:b/>
              </w:rPr>
            </w:pPr>
            <w:r w:rsidRPr="00122196">
              <w:rPr>
                <w:rFonts w:cs="Arial"/>
                <w:b/>
                <w:szCs w:val="20"/>
              </w:rPr>
              <w:t>-$9,647,740</w:t>
            </w:r>
          </w:p>
        </w:tc>
        <w:tc>
          <w:tcPr>
            <w:tcW w:w="651" w:type="pct"/>
            <w:tcBorders>
              <w:top w:val="nil"/>
              <w:left w:val="nil"/>
              <w:bottom w:val="single" w:sz="8" w:space="0" w:color="auto"/>
              <w:right w:val="single" w:sz="8" w:space="0" w:color="auto"/>
            </w:tcBorders>
            <w:shd w:val="clear" w:color="000000" w:fill="FFFFFF"/>
            <w:noWrap/>
            <w:vAlign w:val="center"/>
          </w:tcPr>
          <w:p w14:paraId="7E6642D2" w14:textId="478D4BB0" w:rsidR="00607D85" w:rsidRPr="00122196" w:rsidRDefault="00607D85" w:rsidP="00607D85">
            <w:pPr>
              <w:pStyle w:val="TableText"/>
              <w:jc w:val="right"/>
              <w:rPr>
                <w:b/>
              </w:rPr>
            </w:pPr>
            <w:r w:rsidRPr="00122196">
              <w:rPr>
                <w:rFonts w:cs="Arial"/>
                <w:b/>
                <w:szCs w:val="20"/>
              </w:rPr>
              <w:t>-$11,576,658</w:t>
            </w:r>
          </w:p>
        </w:tc>
        <w:tc>
          <w:tcPr>
            <w:tcW w:w="651" w:type="pct"/>
            <w:tcBorders>
              <w:top w:val="nil"/>
              <w:left w:val="nil"/>
              <w:bottom w:val="single" w:sz="8" w:space="0" w:color="auto"/>
              <w:right w:val="single" w:sz="8" w:space="0" w:color="auto"/>
            </w:tcBorders>
            <w:shd w:val="clear" w:color="000000" w:fill="FFFFFF"/>
            <w:noWrap/>
            <w:vAlign w:val="center"/>
          </w:tcPr>
          <w:p w14:paraId="341E618F" w14:textId="400986A0" w:rsidR="00607D85" w:rsidRPr="00122196" w:rsidRDefault="00607D85" w:rsidP="00607D85">
            <w:pPr>
              <w:pStyle w:val="TableText"/>
              <w:jc w:val="right"/>
              <w:rPr>
                <w:b/>
              </w:rPr>
            </w:pPr>
            <w:r w:rsidRPr="00122196">
              <w:rPr>
                <w:rFonts w:cs="Arial"/>
                <w:b/>
                <w:szCs w:val="20"/>
              </w:rPr>
              <w:t>-$13,504,004</w:t>
            </w:r>
          </w:p>
        </w:tc>
        <w:tc>
          <w:tcPr>
            <w:tcW w:w="651" w:type="pct"/>
            <w:tcBorders>
              <w:top w:val="nil"/>
              <w:left w:val="nil"/>
              <w:bottom w:val="single" w:sz="8" w:space="0" w:color="auto"/>
              <w:right w:val="single" w:sz="8" w:space="0" w:color="auto"/>
            </w:tcBorders>
            <w:shd w:val="clear" w:color="000000" w:fill="FFFFFF"/>
            <w:noWrap/>
            <w:vAlign w:val="center"/>
          </w:tcPr>
          <w:p w14:paraId="0C917AC0" w14:textId="39D0C0F2" w:rsidR="00607D85" w:rsidRPr="00122196" w:rsidRDefault="00607D85" w:rsidP="00607D85">
            <w:pPr>
              <w:pStyle w:val="TableText"/>
              <w:jc w:val="right"/>
              <w:rPr>
                <w:b/>
              </w:rPr>
            </w:pPr>
            <w:r w:rsidRPr="00122196">
              <w:rPr>
                <w:rFonts w:cs="Arial"/>
                <w:b/>
                <w:szCs w:val="20"/>
              </w:rPr>
              <w:t>-$15,432,922</w:t>
            </w:r>
          </w:p>
        </w:tc>
        <w:tc>
          <w:tcPr>
            <w:tcW w:w="651" w:type="pct"/>
            <w:tcBorders>
              <w:top w:val="nil"/>
              <w:left w:val="nil"/>
              <w:bottom w:val="single" w:sz="8" w:space="0" w:color="auto"/>
              <w:right w:val="single" w:sz="8" w:space="0" w:color="auto"/>
            </w:tcBorders>
            <w:shd w:val="clear" w:color="000000" w:fill="FFFFFF"/>
            <w:noWrap/>
            <w:vAlign w:val="center"/>
          </w:tcPr>
          <w:p w14:paraId="441EDC62" w14:textId="060208CD" w:rsidR="00607D85" w:rsidRPr="00122196" w:rsidRDefault="00607D85" w:rsidP="00607D85">
            <w:pPr>
              <w:pStyle w:val="TableText"/>
              <w:jc w:val="right"/>
              <w:rPr>
                <w:b/>
              </w:rPr>
            </w:pPr>
            <w:r w:rsidRPr="00122196">
              <w:rPr>
                <w:rFonts w:cs="Arial"/>
                <w:b/>
                <w:szCs w:val="20"/>
              </w:rPr>
              <w:t>-$17,360,268</w:t>
            </w:r>
          </w:p>
        </w:tc>
        <w:tc>
          <w:tcPr>
            <w:tcW w:w="649" w:type="pct"/>
            <w:tcBorders>
              <w:top w:val="nil"/>
              <w:left w:val="nil"/>
              <w:bottom w:val="single" w:sz="8" w:space="0" w:color="auto"/>
              <w:right w:val="single" w:sz="8" w:space="0" w:color="auto"/>
            </w:tcBorders>
            <w:shd w:val="clear" w:color="000000" w:fill="FFFFFF"/>
            <w:noWrap/>
            <w:vAlign w:val="center"/>
          </w:tcPr>
          <w:p w14:paraId="6EF98420" w14:textId="1CBAF30B" w:rsidR="00607D85" w:rsidRPr="00122196" w:rsidRDefault="00607D85" w:rsidP="00607D85">
            <w:pPr>
              <w:pStyle w:val="TableText"/>
              <w:jc w:val="right"/>
              <w:rPr>
                <w:b/>
              </w:rPr>
            </w:pPr>
            <w:r w:rsidRPr="00122196">
              <w:rPr>
                <w:rFonts w:cs="Arial"/>
                <w:b/>
                <w:szCs w:val="20"/>
              </w:rPr>
              <w:t>-$19,286,039</w:t>
            </w:r>
          </w:p>
        </w:tc>
      </w:tr>
    </w:tbl>
    <w:p w14:paraId="659E4250" w14:textId="77777777" w:rsidR="00D66B02" w:rsidRPr="00122196" w:rsidRDefault="00D66B02" w:rsidP="00D66B02">
      <w:pPr>
        <w:pStyle w:val="TableFigureFooter"/>
      </w:pPr>
      <w:r w:rsidRPr="00122196">
        <w:t>Source: Excel sheet ‘4. Net cost to Government’ of Utilisation and Cost Model workbook.</w:t>
      </w:r>
    </w:p>
    <w:p w14:paraId="56424DEC" w14:textId="1C8E0BC3" w:rsidR="0076702C" w:rsidRDefault="00D66B02" w:rsidP="005A673A">
      <w:r w:rsidRPr="00122196">
        <w:lastRenderedPageBreak/>
        <w:t xml:space="preserve">The clinical uncertainty around the efficacy of </w:t>
      </w:r>
      <w:r w:rsidRPr="00122196">
        <w:rPr>
          <w:i/>
          <w:iCs/>
        </w:rPr>
        <w:t>DPYD</w:t>
      </w:r>
      <w:r w:rsidRPr="00122196">
        <w:t xml:space="preserve"> genotyping and the ability of reduced dosing being able to reduce toxicity has the biggest impact on the financial implications and is likely to overestimate the savings attributed to listing </w:t>
      </w:r>
      <w:r w:rsidRPr="00122196">
        <w:rPr>
          <w:i/>
          <w:iCs/>
        </w:rPr>
        <w:t>DPYD</w:t>
      </w:r>
      <w:r w:rsidRPr="00122196">
        <w:t xml:space="preserve"> genotyping.</w:t>
      </w:r>
    </w:p>
    <w:p w14:paraId="3D4CD2DA" w14:textId="51380BA4" w:rsidR="00476193" w:rsidRPr="00476193" w:rsidRDefault="00476193" w:rsidP="00476193">
      <w:pPr>
        <w:pStyle w:val="Heading2"/>
      </w:pPr>
      <w:bookmarkStart w:id="58" w:name="_Toc145678765"/>
      <w:bookmarkStart w:id="59" w:name="_Toc150172410"/>
      <w:bookmarkStart w:id="60" w:name="_Toc153462785"/>
      <w:r>
        <w:t>1</w:t>
      </w:r>
      <w:r w:rsidR="00F45A1F">
        <w:t>6</w:t>
      </w:r>
      <w:r>
        <w:t>.</w:t>
      </w:r>
      <w:r>
        <w:tab/>
      </w:r>
      <w:r w:rsidRPr="00C24C30">
        <w:t>Key issues from ESC to MSAC</w:t>
      </w:r>
    </w:p>
    <w:bookmarkEnd w:id="58"/>
    <w:bookmarkEnd w:id="59"/>
    <w:bookmarkEnd w:id="60"/>
    <w:p w14:paraId="1BCE78B2" w14:textId="77777777" w:rsidR="00476193" w:rsidRDefault="00476193" w:rsidP="00476193">
      <w:pPr>
        <w:pStyle w:val="BoxName0"/>
      </w:pPr>
      <w:r w:rsidRPr="00C749CB">
        <w:t>Main issues for MSAC consideration</w:t>
      </w:r>
    </w:p>
    <w:p w14:paraId="5AF910A4" w14:textId="77777777" w:rsidR="00476193" w:rsidRDefault="00476193" w:rsidP="0073212E">
      <w:pPr>
        <w:pStyle w:val="BoxName0"/>
        <w:spacing w:after="120"/>
      </w:pPr>
      <w:r>
        <w:t>Clinical issues:</w:t>
      </w:r>
    </w:p>
    <w:p w14:paraId="20004476" w14:textId="77777777" w:rsidR="00476193" w:rsidRDefault="00476193" w:rsidP="00476193">
      <w:pPr>
        <w:pStyle w:val="BoxBullet"/>
      </w:pPr>
      <w:r>
        <w:t xml:space="preserve">The included studies have a serious to critical risk of bias due to issues including small sample sizes and retrospective toxicity scoring in some studies. There are significant evidence gaps, transitivity &amp; applicability issues due to exclusion of highest risk patients who are poor </w:t>
      </w:r>
      <w:r w:rsidRPr="00CD73DB">
        <w:rPr>
          <w:i/>
        </w:rPr>
        <w:t>DPYD</w:t>
      </w:r>
      <w:r>
        <w:t xml:space="preserve"> metabolisers and use of imperfect proxy variant.</w:t>
      </w:r>
      <w:r w:rsidRPr="005634B1">
        <w:rPr>
          <w:rStyle w:val="Strong"/>
          <w:b w:val="0"/>
        </w:rPr>
        <w:t xml:space="preserve"> </w:t>
      </w:r>
      <w:r w:rsidRPr="000C0F6E">
        <w:rPr>
          <w:rStyle w:val="Strong"/>
          <w:b w:val="0"/>
        </w:rPr>
        <w:t>Overall, ESC considered the</w:t>
      </w:r>
      <w:r>
        <w:rPr>
          <w:rStyle w:val="Strong"/>
          <w:b w:val="0"/>
        </w:rPr>
        <w:t xml:space="preserve"> evidence showed that the</w:t>
      </w:r>
      <w:r w:rsidRPr="000C0F6E">
        <w:rPr>
          <w:rStyle w:val="Strong"/>
          <w:b w:val="0"/>
        </w:rPr>
        <w:t xml:space="preserve"> claim for superior effectiveness was uncertain</w:t>
      </w:r>
      <w:r>
        <w:rPr>
          <w:rStyle w:val="Strong"/>
          <w:b w:val="0"/>
        </w:rPr>
        <w:t>.</w:t>
      </w:r>
      <w:r>
        <w:t xml:space="preserve"> </w:t>
      </w:r>
      <w:r w:rsidRPr="003541D4">
        <w:t xml:space="preserve">New prospective studies (including Australian </w:t>
      </w:r>
      <w:r>
        <w:t>studies</w:t>
      </w:r>
      <w:r w:rsidRPr="003541D4">
        <w:t>) with contemporary controls</w:t>
      </w:r>
      <w:r>
        <w:t xml:space="preserve"> are underway, which could </w:t>
      </w:r>
      <w:r w:rsidRPr="003541D4">
        <w:t xml:space="preserve">address </w:t>
      </w:r>
      <w:r>
        <w:t xml:space="preserve">the </w:t>
      </w:r>
      <w:r w:rsidRPr="003541D4">
        <w:t>issues of confounding and selection bias through applying causal inference methods to observational data.</w:t>
      </w:r>
    </w:p>
    <w:p w14:paraId="454F3763" w14:textId="2E4B5B31" w:rsidR="00476193" w:rsidRDefault="00476193" w:rsidP="00476193">
      <w:pPr>
        <w:pStyle w:val="BoxBullet"/>
      </w:pPr>
      <w:r>
        <w:t>There are no Australian studies evaluating the intervention, nor representative international evidence for the Australian population (</w:t>
      </w:r>
      <w:bookmarkStart w:id="61" w:name="_Hlk181019353"/>
      <w:r>
        <w:t>primarily ancestry</w:t>
      </w:r>
      <w:bookmarkEnd w:id="61"/>
      <w:r>
        <w:t xml:space="preserve"> differences). ESC advised information from the current ongoing Australian trials would be useful for MSAC decision-making. </w:t>
      </w:r>
      <w:r w:rsidRPr="00B60646">
        <w:t xml:space="preserve">Subsequently, the assessment group produced an Addendum which included further information on </w:t>
      </w:r>
      <w:r>
        <w:t xml:space="preserve">additional studies and </w:t>
      </w:r>
      <w:r w:rsidRPr="00B60646">
        <w:t>the ongoing clinical trials</w:t>
      </w:r>
      <w:r>
        <w:t>.</w:t>
      </w:r>
    </w:p>
    <w:p w14:paraId="0B0CA69D" w14:textId="77777777" w:rsidR="00476193" w:rsidRDefault="00476193" w:rsidP="00476193">
      <w:pPr>
        <w:pStyle w:val="BoxHeading"/>
      </w:pPr>
      <w:r>
        <w:t>Economic issues:</w:t>
      </w:r>
    </w:p>
    <w:p w14:paraId="7F6079BF" w14:textId="77777777" w:rsidR="00476193" w:rsidRPr="000C0F6E" w:rsidRDefault="00476193" w:rsidP="00476193">
      <w:pPr>
        <w:pStyle w:val="BoxBullet"/>
      </w:pPr>
      <w:r w:rsidRPr="003747C4">
        <w:t xml:space="preserve">Based on the economic evaluation, pre-treatment </w:t>
      </w:r>
      <w:r w:rsidRPr="00CD73DB">
        <w:rPr>
          <w:i/>
        </w:rPr>
        <w:t>DPYD</w:t>
      </w:r>
      <w:r w:rsidRPr="003747C4">
        <w:t xml:space="preserve"> genotyping is slightly more effective </w:t>
      </w:r>
      <w:r>
        <w:t xml:space="preserve">(considered negligible) </w:t>
      </w:r>
      <w:r w:rsidRPr="003747C4">
        <w:t xml:space="preserve">and less costly compared to usual care (no testing). </w:t>
      </w:r>
      <w:r w:rsidRPr="00CD73DB">
        <w:rPr>
          <w:i/>
        </w:rPr>
        <w:t>DPYD</w:t>
      </w:r>
      <w:r w:rsidRPr="003747C4">
        <w:t xml:space="preserve"> genotyping is a dominant strategy whe</w:t>
      </w:r>
      <w:r>
        <w:t>n</w:t>
      </w:r>
      <w:r w:rsidRPr="003747C4">
        <w:t xml:space="preserve"> </w:t>
      </w:r>
      <w:r>
        <w:t>quality adjusted life years (</w:t>
      </w:r>
      <w:r w:rsidRPr="003747C4">
        <w:t>QALY</w:t>
      </w:r>
      <w:r>
        <w:t>) is used</w:t>
      </w:r>
      <w:r w:rsidRPr="003747C4">
        <w:t xml:space="preserve"> as a health outcome. </w:t>
      </w:r>
      <w:r>
        <w:t>However, the</w:t>
      </w:r>
      <w:r w:rsidRPr="002F4102">
        <w:t xml:space="preserve"> cost-effectiveness is highly uncertain </w:t>
      </w:r>
      <w:r>
        <w:t>due to</w:t>
      </w:r>
      <w:r w:rsidRPr="002F4102">
        <w:t xml:space="preserve"> weak supporting clinical evidence. </w:t>
      </w:r>
    </w:p>
    <w:p w14:paraId="332B94BD" w14:textId="77777777" w:rsidR="00476193" w:rsidRDefault="00476193" w:rsidP="00476193">
      <w:pPr>
        <w:pStyle w:val="BoxBullet"/>
      </w:pPr>
      <w:r>
        <w:t>Some k</w:t>
      </w:r>
      <w:r w:rsidRPr="009C539C">
        <w:t xml:space="preserve">ey model parameters </w:t>
      </w:r>
      <w:r>
        <w:t xml:space="preserve">are </w:t>
      </w:r>
      <w:r w:rsidRPr="009C539C">
        <w:t xml:space="preserve">highly uncertain and impact </w:t>
      </w:r>
      <w:r>
        <w:t>the incremental cost-effectiveness ratio (</w:t>
      </w:r>
      <w:r w:rsidRPr="009C539C">
        <w:t>ICER</w:t>
      </w:r>
      <w:r>
        <w:t>). The a</w:t>
      </w:r>
      <w:r w:rsidRPr="00AC00A2">
        <w:t xml:space="preserve">ssumption of hospitalisation days avoided from reduced </w:t>
      </w:r>
      <w:r>
        <w:t>fluoropyrimidine (</w:t>
      </w:r>
      <w:r w:rsidRPr="00AC00A2">
        <w:t>FP</w:t>
      </w:r>
      <w:r>
        <w:t>)</w:t>
      </w:r>
      <w:r w:rsidRPr="00AC00A2">
        <w:t xml:space="preserve">-related toxicity </w:t>
      </w:r>
      <w:r>
        <w:t>has</w:t>
      </w:r>
      <w:r w:rsidRPr="00AC00A2">
        <w:t xml:space="preserve"> a large impact on </w:t>
      </w:r>
      <w:r>
        <w:t xml:space="preserve">the </w:t>
      </w:r>
      <w:r w:rsidRPr="00AC00A2">
        <w:t xml:space="preserve">ICER and </w:t>
      </w:r>
      <w:r>
        <w:t xml:space="preserve">the </w:t>
      </w:r>
      <w:r w:rsidRPr="00AC00A2">
        <w:t>financial</w:t>
      </w:r>
      <w:r>
        <w:t xml:space="preserve"> impact</w:t>
      </w:r>
      <w:r w:rsidRPr="00AC00A2">
        <w:t xml:space="preserve">, </w:t>
      </w:r>
      <w:r>
        <w:t xml:space="preserve">and </w:t>
      </w:r>
      <w:r w:rsidRPr="00AC00A2">
        <w:t xml:space="preserve">cost inputs </w:t>
      </w:r>
      <w:r>
        <w:t xml:space="preserve">from these </w:t>
      </w:r>
      <w:r w:rsidRPr="00AC00A2">
        <w:t>are driving the ICER</w:t>
      </w:r>
      <w:r>
        <w:t>.</w:t>
      </w:r>
    </w:p>
    <w:p w14:paraId="29F5F658" w14:textId="77777777" w:rsidR="00476193" w:rsidRDefault="00476193" w:rsidP="00476193">
      <w:pPr>
        <w:pStyle w:val="BoxBullet"/>
      </w:pPr>
      <w:r w:rsidRPr="00754804">
        <w:t>T</w:t>
      </w:r>
      <w:r>
        <w:t>he i</w:t>
      </w:r>
      <w:r w:rsidRPr="00F55108">
        <w:t xml:space="preserve">mpact of </w:t>
      </w:r>
      <w:r>
        <w:t>test</w:t>
      </w:r>
      <w:r w:rsidRPr="00754804">
        <w:t xml:space="preserve"> performance</w:t>
      </w:r>
      <w:r>
        <w:t xml:space="preserve"> (</w:t>
      </w:r>
      <w:r>
        <w:rPr>
          <w:szCs w:val="22"/>
        </w:rPr>
        <w:t>sensitivity or specificity)</w:t>
      </w:r>
      <w:r>
        <w:t xml:space="preserve"> has</w:t>
      </w:r>
      <w:r w:rsidRPr="00754804">
        <w:t xml:space="preserve"> not </w:t>
      </w:r>
      <w:r>
        <w:t xml:space="preserve">been </w:t>
      </w:r>
      <w:r w:rsidRPr="00754804">
        <w:t xml:space="preserve">considered in </w:t>
      </w:r>
      <w:r>
        <w:t xml:space="preserve">the economic </w:t>
      </w:r>
      <w:r w:rsidRPr="00754804">
        <w:t>model</w:t>
      </w:r>
      <w:r>
        <w:t xml:space="preserve">. </w:t>
      </w:r>
      <w:r w:rsidRPr="00E54C3C">
        <w:t xml:space="preserve">Subsequently, the assessment group produced an Addendum (see </w:t>
      </w:r>
      <w:r w:rsidRPr="00E54C3C">
        <w:rPr>
          <w:b/>
          <w:bCs/>
        </w:rPr>
        <w:t>Attachment 1</w:t>
      </w:r>
      <w:r w:rsidRPr="00E54C3C">
        <w:t>) which addresses the issue raised by ESC</w:t>
      </w:r>
      <w:r>
        <w:t>.</w:t>
      </w:r>
    </w:p>
    <w:p w14:paraId="5BF86615" w14:textId="77777777" w:rsidR="00476193" w:rsidRDefault="00476193" w:rsidP="00476193">
      <w:pPr>
        <w:pStyle w:val="BoxHeading"/>
      </w:pPr>
      <w:r>
        <w:t>Financial issues:</w:t>
      </w:r>
    </w:p>
    <w:p w14:paraId="637124D8" w14:textId="77777777" w:rsidR="00476193" w:rsidRPr="00F66F6A" w:rsidRDefault="00476193" w:rsidP="00476193">
      <w:pPr>
        <w:pStyle w:val="BoxBullet"/>
        <w:rPr>
          <w:b/>
        </w:rPr>
      </w:pPr>
      <w:r>
        <w:t xml:space="preserve">Utilisation of pre-treatment </w:t>
      </w:r>
      <w:r w:rsidRPr="000C0F6E">
        <w:rPr>
          <w:i/>
          <w:iCs/>
        </w:rPr>
        <w:t>DPYD</w:t>
      </w:r>
      <w:r>
        <w:t xml:space="preserve"> genotyping in current routine Australian clinical practice remains unclear. The u</w:t>
      </w:r>
      <w:r w:rsidRPr="00AC00A2">
        <w:t xml:space="preserve">ptake rate of </w:t>
      </w:r>
      <w:r w:rsidRPr="00AC00A2">
        <w:rPr>
          <w:i/>
          <w:iCs/>
        </w:rPr>
        <w:t>DPYD</w:t>
      </w:r>
      <w:r w:rsidRPr="00AC00A2">
        <w:t xml:space="preserve"> genotyping</w:t>
      </w:r>
      <w:r>
        <w:t xml:space="preserve"> has a major impact on the financials. Thus, this gives rise to uncertainty in the financial impact </w:t>
      </w:r>
      <w:r w:rsidRPr="00EC5D47">
        <w:t>and</w:t>
      </w:r>
      <w:r>
        <w:t xml:space="preserve"> will become</w:t>
      </w:r>
      <w:r w:rsidRPr="00EC5D47">
        <w:t xml:space="preserve"> problematic if clinical acceptance and use is slow</w:t>
      </w:r>
      <w:r>
        <w:t>. The number of</w:t>
      </w:r>
      <w:r w:rsidRPr="00EC5D47">
        <w:t xml:space="preserve"> patients receiving FPs as radiosensiti</w:t>
      </w:r>
      <w:r>
        <w:t>s</w:t>
      </w:r>
      <w:r w:rsidRPr="00EC5D47">
        <w:t xml:space="preserve">ers is </w:t>
      </w:r>
      <w:r>
        <w:t xml:space="preserve">also </w:t>
      </w:r>
      <w:r w:rsidRPr="00EC5D47">
        <w:t>unknown.</w:t>
      </w:r>
    </w:p>
    <w:p w14:paraId="069F5DEB" w14:textId="77777777" w:rsidR="00476193" w:rsidRPr="000C0F6E" w:rsidRDefault="00476193" w:rsidP="00476193">
      <w:pPr>
        <w:pStyle w:val="BoxBullet"/>
        <w:numPr>
          <w:ilvl w:val="0"/>
          <w:numId w:val="0"/>
        </w:numPr>
        <w:rPr>
          <w:b/>
        </w:rPr>
      </w:pPr>
      <w:r w:rsidRPr="000C0F6E">
        <w:rPr>
          <w:b/>
        </w:rPr>
        <w:t>Other relevant issues:</w:t>
      </w:r>
    </w:p>
    <w:p w14:paraId="2AE2C5FB" w14:textId="41E81FEF" w:rsidR="00476193" w:rsidRDefault="00476193" w:rsidP="00476193">
      <w:pPr>
        <w:pStyle w:val="BoxBullet"/>
      </w:pPr>
      <w:r>
        <w:t>The justification for the proposed fee of $188 remains unclear.</w:t>
      </w:r>
    </w:p>
    <w:p w14:paraId="58D1FE35" w14:textId="77777777" w:rsidR="00476193" w:rsidRPr="00D14A18" w:rsidRDefault="00476193" w:rsidP="00476193">
      <w:pPr>
        <w:pStyle w:val="BoxBullet"/>
      </w:pPr>
      <w:r w:rsidRPr="00DB3648">
        <w:rPr>
          <w:rStyle w:val="Strong"/>
          <w:b w:val="0"/>
          <w:bCs w:val="0"/>
        </w:rPr>
        <w:t>ESC noted equity issues arising from slower access for patients in rural and remote areas potentially delaying treatment commencement</w:t>
      </w:r>
      <w:r>
        <w:t xml:space="preserve">. In addition, ESC noted that interim </w:t>
      </w:r>
      <w:r w:rsidRPr="00A12DE2">
        <w:t xml:space="preserve">results </w:t>
      </w:r>
      <w:r>
        <w:t>from an ongoing Australian trial demonstrated that</w:t>
      </w:r>
      <w:r w:rsidRPr="00A12DE2">
        <w:t xml:space="preserve"> </w:t>
      </w:r>
      <w:r>
        <w:t xml:space="preserve">genotyping </w:t>
      </w:r>
      <w:r w:rsidRPr="00E73D57">
        <w:t xml:space="preserve">results </w:t>
      </w:r>
      <w:r>
        <w:t xml:space="preserve">were available </w:t>
      </w:r>
      <w:r w:rsidRPr="00A12DE2">
        <w:t xml:space="preserve">prior to commencing treatment 96% of the time. </w:t>
      </w:r>
      <w:r>
        <w:t xml:space="preserve">ESC considered this potential issue </w:t>
      </w:r>
      <w:r w:rsidRPr="00D14A18">
        <w:t>arises for most genetic based testing as genetic testing generally takes place in tertiary lab</w:t>
      </w:r>
      <w:r>
        <w:t>oratories</w:t>
      </w:r>
      <w:r w:rsidRPr="00D14A18">
        <w:t xml:space="preserve"> based in the </w:t>
      </w:r>
      <w:r>
        <w:t xml:space="preserve">larger </w:t>
      </w:r>
      <w:r w:rsidRPr="00D14A18">
        <w:t xml:space="preserve">cities, and samples are </w:t>
      </w:r>
      <w:r>
        <w:t>transported via couriers</w:t>
      </w:r>
      <w:r w:rsidRPr="00D14A18">
        <w:t>.</w:t>
      </w:r>
    </w:p>
    <w:p w14:paraId="0B1210CC" w14:textId="77777777" w:rsidR="00476193" w:rsidRPr="00ED3F8E" w:rsidRDefault="00476193" w:rsidP="00476193">
      <w:pPr>
        <w:pStyle w:val="BoxBullet"/>
        <w:rPr>
          <w:b/>
          <w:bCs/>
        </w:rPr>
      </w:pPr>
      <w:r>
        <w:rPr>
          <w:rStyle w:val="normaltextrun"/>
          <w:shd w:val="clear" w:color="auto" w:fill="FFFFFF"/>
        </w:rPr>
        <w:lastRenderedPageBreak/>
        <w:t xml:space="preserve">There is limited evidence on the safety and effectiveness of </w:t>
      </w:r>
      <w:r>
        <w:rPr>
          <w:rStyle w:val="normaltextrun"/>
          <w:i/>
          <w:iCs/>
          <w:shd w:val="clear" w:color="auto" w:fill="FFFFFF"/>
        </w:rPr>
        <w:t>DPYD</w:t>
      </w:r>
      <w:r>
        <w:rPr>
          <w:rStyle w:val="normaltextrun"/>
          <w:shd w:val="clear" w:color="auto" w:fill="FFFFFF"/>
        </w:rPr>
        <w:t xml:space="preserve"> genotype testing for non-Caucasian populations, including First Nations people. </w:t>
      </w:r>
      <w:r>
        <w:rPr>
          <w:rStyle w:val="eop"/>
          <w:shd w:val="clear" w:color="auto" w:fill="FFFFFF"/>
        </w:rPr>
        <w:t> </w:t>
      </w:r>
    </w:p>
    <w:p w14:paraId="4F1B17E8" w14:textId="77777777" w:rsidR="00476193" w:rsidRDefault="00476193" w:rsidP="00476193">
      <w:pPr>
        <w:spacing w:before="240"/>
        <w:rPr>
          <w:rStyle w:val="Strong"/>
        </w:rPr>
      </w:pPr>
      <w:r w:rsidRPr="00194327">
        <w:rPr>
          <w:rStyle w:val="Strong"/>
        </w:rPr>
        <w:t>ESC discussion</w:t>
      </w:r>
    </w:p>
    <w:p w14:paraId="5D710927" w14:textId="77777777" w:rsidR="00476193" w:rsidRPr="00717D3C" w:rsidRDefault="00476193" w:rsidP="00476193">
      <w:pPr>
        <w:rPr>
          <w:rStyle w:val="Strong"/>
          <w:b w:val="0"/>
          <w:bCs w:val="0"/>
        </w:rPr>
      </w:pPr>
      <w:r w:rsidRPr="29BA6D96">
        <w:rPr>
          <w:rStyle w:val="Strong"/>
          <w:b w:val="0"/>
          <w:bCs w:val="0"/>
        </w:rPr>
        <w:t xml:space="preserve">ESC noted that this application from the Royal College of Pathologists of Australasia </w:t>
      </w:r>
      <w:r>
        <w:rPr>
          <w:rStyle w:val="Strong"/>
          <w:b w:val="0"/>
          <w:bCs w:val="0"/>
        </w:rPr>
        <w:t>(RCPA) sought</w:t>
      </w:r>
      <w:r w:rsidRPr="29BA6D96">
        <w:rPr>
          <w:rStyle w:val="Strong"/>
          <w:b w:val="0"/>
          <w:bCs w:val="0"/>
        </w:rPr>
        <w:t xml:space="preserve"> Medicare Benefits Schedule (MBS) listing </w:t>
      </w:r>
      <w:r w:rsidRPr="00C57DCA">
        <w:rPr>
          <w:rStyle w:val="Strong"/>
          <w:b w:val="0"/>
          <w:szCs w:val="22"/>
        </w:rPr>
        <w:t xml:space="preserve">of </w:t>
      </w:r>
      <w:proofErr w:type="spellStart"/>
      <w:r w:rsidRPr="0090531E">
        <w:rPr>
          <w:i/>
          <w:shd w:val="clear" w:color="auto" w:fill="FFFFFF"/>
        </w:rPr>
        <w:t>dihydropyrimidine</w:t>
      </w:r>
      <w:proofErr w:type="spellEnd"/>
      <w:r w:rsidRPr="0090531E">
        <w:rPr>
          <w:i/>
          <w:shd w:val="clear" w:color="auto" w:fill="FFFFFF"/>
        </w:rPr>
        <w:t xml:space="preserve"> dehydrogenase</w:t>
      </w:r>
      <w:r w:rsidRPr="0090531E">
        <w:rPr>
          <w:shd w:val="clear" w:color="auto" w:fill="FFFFFF"/>
        </w:rPr>
        <w:t xml:space="preserve"> </w:t>
      </w:r>
      <w:r w:rsidRPr="0090531E">
        <w:rPr>
          <w:color w:val="4D5156"/>
          <w:shd w:val="clear" w:color="auto" w:fill="FFFFFF"/>
        </w:rPr>
        <w:t>(</w:t>
      </w:r>
      <w:r w:rsidRPr="00C57DCA">
        <w:rPr>
          <w:rStyle w:val="Strong"/>
          <w:b w:val="0"/>
          <w:i/>
          <w:szCs w:val="22"/>
        </w:rPr>
        <w:t>DPYD)</w:t>
      </w:r>
      <w:r w:rsidRPr="29BA6D96">
        <w:rPr>
          <w:rStyle w:val="Strong"/>
          <w:b w:val="0"/>
        </w:rPr>
        <w:t xml:space="preserve"> genotyping</w:t>
      </w:r>
      <w:r w:rsidRPr="29BA6D96">
        <w:rPr>
          <w:rStyle w:val="Strong"/>
          <w:b w:val="0"/>
          <w:bCs w:val="0"/>
        </w:rPr>
        <w:t xml:space="preserve"> to predict fluoropyrimidine (FP)-induced toxicity in patients with solid tumours who are about to commence a treatment protocol that includes oral or intravenous FP. </w:t>
      </w:r>
    </w:p>
    <w:p w14:paraId="54791042" w14:textId="77777777" w:rsidR="00476193" w:rsidRDefault="00476193" w:rsidP="00476193">
      <w:r w:rsidRPr="00717D3C">
        <w:t>ESC noted</w:t>
      </w:r>
      <w:r>
        <w:t xml:space="preserve"> and welcomed</w:t>
      </w:r>
      <w:r w:rsidRPr="00717D3C">
        <w:t xml:space="preserve"> public consultation feedback </w:t>
      </w:r>
      <w:r>
        <w:t>from 10 professional organisations, 1 consumer organisation and 3 individuals of whom 2 were medical specialists and 1 a consumer.</w:t>
      </w:r>
      <w:r w:rsidRPr="00717D3C">
        <w:t xml:space="preserve"> </w:t>
      </w:r>
    </w:p>
    <w:p w14:paraId="43718DD1" w14:textId="77777777" w:rsidR="00476193" w:rsidRPr="00717D3C" w:rsidRDefault="00476193" w:rsidP="00476193">
      <w:r>
        <w:rPr>
          <w:rStyle w:val="Strong"/>
          <w:b w:val="0"/>
          <w:bCs w:val="0"/>
        </w:rPr>
        <w:t xml:space="preserve">ESC noted feedback from Bowel Cancer Australia (BCA) highlighting that patients </w:t>
      </w:r>
      <w:r w:rsidRPr="006842DE">
        <w:rPr>
          <w:rStyle w:val="Strong"/>
          <w:b w:val="0"/>
          <w:bCs w:val="0"/>
        </w:rPr>
        <w:t xml:space="preserve">who have a reaction or experience </w:t>
      </w:r>
      <w:r>
        <w:rPr>
          <w:rStyle w:val="Strong"/>
          <w:b w:val="0"/>
          <w:bCs w:val="0"/>
        </w:rPr>
        <w:t>FP</w:t>
      </w:r>
      <w:r w:rsidRPr="006842DE">
        <w:rPr>
          <w:rStyle w:val="Strong"/>
          <w:b w:val="0"/>
          <w:bCs w:val="0"/>
        </w:rPr>
        <w:t xml:space="preserve"> </w:t>
      </w:r>
      <w:r>
        <w:rPr>
          <w:rStyle w:val="Strong"/>
          <w:b w:val="0"/>
          <w:bCs w:val="0"/>
        </w:rPr>
        <w:t>related</w:t>
      </w:r>
      <w:r w:rsidRPr="006842DE">
        <w:rPr>
          <w:rStyle w:val="Strong"/>
          <w:b w:val="0"/>
          <w:bCs w:val="0"/>
        </w:rPr>
        <w:t xml:space="preserve"> cardiotoxicity have a decreased quality of life </w:t>
      </w:r>
      <w:r>
        <w:rPr>
          <w:rStyle w:val="Strong"/>
          <w:b w:val="0"/>
          <w:bCs w:val="0"/>
        </w:rPr>
        <w:t xml:space="preserve">and </w:t>
      </w:r>
      <w:r w:rsidRPr="007F5619">
        <w:rPr>
          <w:rStyle w:val="Strong"/>
          <w:b w:val="0"/>
          <w:bCs w:val="0"/>
        </w:rPr>
        <w:t xml:space="preserve">prior testing can </w:t>
      </w:r>
      <w:r>
        <w:rPr>
          <w:rStyle w:val="Strong"/>
          <w:b w:val="0"/>
          <w:bCs w:val="0"/>
        </w:rPr>
        <w:t xml:space="preserve">help in planning and </w:t>
      </w:r>
      <w:r w:rsidRPr="007F5619">
        <w:rPr>
          <w:rStyle w:val="Strong"/>
          <w:b w:val="0"/>
          <w:bCs w:val="0"/>
        </w:rPr>
        <w:t>monitor</w:t>
      </w:r>
      <w:r>
        <w:rPr>
          <w:rStyle w:val="Strong"/>
          <w:b w:val="0"/>
          <w:bCs w:val="0"/>
        </w:rPr>
        <w:t xml:space="preserve">ing these patients </w:t>
      </w:r>
      <w:r w:rsidRPr="007F5619">
        <w:rPr>
          <w:rStyle w:val="Strong"/>
          <w:b w:val="0"/>
          <w:bCs w:val="0"/>
        </w:rPr>
        <w:t>or utilis</w:t>
      </w:r>
      <w:r>
        <w:rPr>
          <w:rStyle w:val="Strong"/>
          <w:b w:val="0"/>
          <w:bCs w:val="0"/>
        </w:rPr>
        <w:t>ing</w:t>
      </w:r>
      <w:r w:rsidRPr="007F5619">
        <w:rPr>
          <w:rStyle w:val="Strong"/>
          <w:b w:val="0"/>
          <w:bCs w:val="0"/>
        </w:rPr>
        <w:t xml:space="preserve"> other treatment options</w:t>
      </w:r>
      <w:r>
        <w:rPr>
          <w:rStyle w:val="Strong"/>
          <w:b w:val="0"/>
          <w:bCs w:val="0"/>
        </w:rPr>
        <w:t xml:space="preserve"> to</w:t>
      </w:r>
      <w:r w:rsidRPr="007F5619">
        <w:rPr>
          <w:rStyle w:val="Strong"/>
          <w:b w:val="0"/>
          <w:bCs w:val="0"/>
        </w:rPr>
        <w:t xml:space="preserve"> </w:t>
      </w:r>
      <w:r>
        <w:rPr>
          <w:rStyle w:val="Strong"/>
          <w:b w:val="0"/>
          <w:bCs w:val="0"/>
        </w:rPr>
        <w:t xml:space="preserve">avoid serious side effects and death. BCA considered the proposed population and pre-emptive testing to be appropriate. ESC noted, the feedback from the consumer organisation was supportive. It highlighted experience of a patient with breast cancer who had received 5-FP as part of a </w:t>
      </w:r>
      <w:proofErr w:type="gramStart"/>
      <w:r>
        <w:rPr>
          <w:rStyle w:val="Strong"/>
          <w:b w:val="0"/>
          <w:bCs w:val="0"/>
        </w:rPr>
        <w:t>6 dose</w:t>
      </w:r>
      <w:proofErr w:type="gramEnd"/>
      <w:r>
        <w:rPr>
          <w:rStyle w:val="Strong"/>
          <w:b w:val="0"/>
          <w:bCs w:val="0"/>
        </w:rPr>
        <w:t xml:space="preserve"> chemotherapy regime </w:t>
      </w:r>
      <w:r w:rsidRPr="00084088">
        <w:rPr>
          <w:rStyle w:val="Strong"/>
          <w:b w:val="0"/>
          <w:bCs w:val="0"/>
        </w:rPr>
        <w:t>acknowledg</w:t>
      </w:r>
      <w:r>
        <w:rPr>
          <w:rStyle w:val="Strong"/>
          <w:b w:val="0"/>
          <w:bCs w:val="0"/>
        </w:rPr>
        <w:t>ing</w:t>
      </w:r>
      <w:r w:rsidRPr="00084088">
        <w:rPr>
          <w:rStyle w:val="Strong"/>
          <w:b w:val="0"/>
          <w:bCs w:val="0"/>
        </w:rPr>
        <w:t xml:space="preserve"> that </w:t>
      </w:r>
      <w:r>
        <w:rPr>
          <w:rStyle w:val="Strong"/>
          <w:b w:val="0"/>
          <w:bCs w:val="0"/>
        </w:rPr>
        <w:t xml:space="preserve">without the test, </w:t>
      </w:r>
      <w:r w:rsidRPr="00084088">
        <w:rPr>
          <w:rStyle w:val="Strong"/>
          <w:b w:val="0"/>
          <w:bCs w:val="0"/>
        </w:rPr>
        <w:t xml:space="preserve">not understanding the cause of their reaction to the therapy </w:t>
      </w:r>
      <w:r>
        <w:rPr>
          <w:rStyle w:val="Strong"/>
          <w:b w:val="0"/>
          <w:bCs w:val="0"/>
        </w:rPr>
        <w:t xml:space="preserve">would </w:t>
      </w:r>
      <w:r w:rsidRPr="00084088">
        <w:rPr>
          <w:rStyle w:val="Strong"/>
          <w:b w:val="0"/>
          <w:bCs w:val="0"/>
        </w:rPr>
        <w:t xml:space="preserve">likely </w:t>
      </w:r>
      <w:r>
        <w:rPr>
          <w:rStyle w:val="Strong"/>
          <w:b w:val="0"/>
          <w:bCs w:val="0"/>
        </w:rPr>
        <w:t xml:space="preserve">have </w:t>
      </w:r>
      <w:r w:rsidRPr="00084088">
        <w:rPr>
          <w:rStyle w:val="Strong"/>
          <w:b w:val="0"/>
          <w:bCs w:val="0"/>
        </w:rPr>
        <w:t>contribute</w:t>
      </w:r>
      <w:r>
        <w:rPr>
          <w:rStyle w:val="Strong"/>
          <w:b w:val="0"/>
          <w:bCs w:val="0"/>
        </w:rPr>
        <w:t>d</w:t>
      </w:r>
      <w:r w:rsidRPr="00084088">
        <w:rPr>
          <w:rStyle w:val="Strong"/>
          <w:b w:val="0"/>
          <w:bCs w:val="0"/>
        </w:rPr>
        <w:t xml:space="preserve"> to the mental anguish associated with chemotherapy</w:t>
      </w:r>
      <w:r>
        <w:rPr>
          <w:rStyle w:val="Strong"/>
          <w:b w:val="0"/>
          <w:bCs w:val="0"/>
        </w:rPr>
        <w:t xml:space="preserve"> itself</w:t>
      </w:r>
      <w:r w:rsidRPr="00084088">
        <w:rPr>
          <w:rStyle w:val="Strong"/>
          <w:b w:val="0"/>
          <w:bCs w:val="0"/>
        </w:rPr>
        <w:t>.</w:t>
      </w:r>
      <w:r>
        <w:rPr>
          <w:rStyle w:val="Strong"/>
          <w:b w:val="0"/>
          <w:bCs w:val="0"/>
        </w:rPr>
        <w:t xml:space="preserve"> ESC noted the consumer organisation further highlighted that the availability of the test wo</w:t>
      </w:r>
      <w:r w:rsidRPr="00107970">
        <w:rPr>
          <w:rStyle w:val="Strong"/>
          <w:b w:val="0"/>
          <w:bCs w:val="0"/>
        </w:rPr>
        <w:t>uld mean a more</w:t>
      </w:r>
      <w:r>
        <w:rPr>
          <w:rStyle w:val="Strong"/>
          <w:b w:val="0"/>
          <w:bCs w:val="0"/>
        </w:rPr>
        <w:t xml:space="preserve"> </w:t>
      </w:r>
      <w:r w:rsidRPr="00107970">
        <w:rPr>
          <w:rStyle w:val="Strong"/>
          <w:b w:val="0"/>
          <w:bCs w:val="0"/>
        </w:rPr>
        <w:t>comfortable journey through chemotherapy for carers and patients</w:t>
      </w:r>
      <w:r>
        <w:rPr>
          <w:rStyle w:val="Strong"/>
          <w:b w:val="0"/>
          <w:bCs w:val="0"/>
        </w:rPr>
        <w:t xml:space="preserve"> who are identified with </w:t>
      </w:r>
      <w:r w:rsidRPr="000C0F6E">
        <w:rPr>
          <w:rStyle w:val="Strong"/>
          <w:b w:val="0"/>
          <w:i/>
        </w:rPr>
        <w:t>DPYD</w:t>
      </w:r>
      <w:r>
        <w:rPr>
          <w:rStyle w:val="Strong"/>
          <w:b w:val="0"/>
          <w:bCs w:val="0"/>
        </w:rPr>
        <w:t xml:space="preserve"> variants.</w:t>
      </w:r>
      <w:r w:rsidRPr="00107970">
        <w:rPr>
          <w:rStyle w:val="Strong"/>
          <w:b w:val="0"/>
          <w:bCs w:val="0"/>
        </w:rPr>
        <w:t xml:space="preserve"> </w:t>
      </w:r>
      <w:r>
        <w:rPr>
          <w:rStyle w:val="Strong"/>
          <w:b w:val="0"/>
          <w:bCs w:val="0"/>
        </w:rPr>
        <w:t xml:space="preserve">It also outlined that </w:t>
      </w:r>
      <w:r w:rsidRPr="000F7946">
        <w:rPr>
          <w:rStyle w:val="Strong"/>
          <w:b w:val="0"/>
          <w:bCs w:val="0"/>
        </w:rPr>
        <w:t xml:space="preserve">disadvantages could potentially </w:t>
      </w:r>
      <w:r>
        <w:rPr>
          <w:rStyle w:val="Strong"/>
          <w:b w:val="0"/>
          <w:bCs w:val="0"/>
        </w:rPr>
        <w:t xml:space="preserve">include </w:t>
      </w:r>
      <w:r w:rsidRPr="000F7946">
        <w:rPr>
          <w:rStyle w:val="Strong"/>
          <w:b w:val="0"/>
          <w:bCs w:val="0"/>
        </w:rPr>
        <w:t>short delays in treatment commencement</w:t>
      </w:r>
      <w:r>
        <w:rPr>
          <w:rStyle w:val="Strong"/>
          <w:b w:val="0"/>
          <w:bCs w:val="0"/>
        </w:rPr>
        <w:t xml:space="preserve"> and a</w:t>
      </w:r>
      <w:r w:rsidRPr="002621D9">
        <w:rPr>
          <w:rStyle w:val="Strong"/>
          <w:b w:val="0"/>
          <w:bCs w:val="0"/>
        </w:rPr>
        <w:t xml:space="preserve">ny additional costs for the patient </w:t>
      </w:r>
      <w:proofErr w:type="gramStart"/>
      <w:r w:rsidRPr="002621D9">
        <w:rPr>
          <w:rStyle w:val="Strong"/>
          <w:b w:val="0"/>
          <w:bCs w:val="0"/>
        </w:rPr>
        <w:t>as a result of</w:t>
      </w:r>
      <w:proofErr w:type="gramEnd"/>
      <w:r w:rsidRPr="002621D9">
        <w:rPr>
          <w:rStyle w:val="Strong"/>
          <w:b w:val="0"/>
          <w:bCs w:val="0"/>
        </w:rPr>
        <w:t xml:space="preserve"> testing</w:t>
      </w:r>
      <w:r>
        <w:rPr>
          <w:rStyle w:val="Strong"/>
          <w:b w:val="0"/>
          <w:bCs w:val="0"/>
        </w:rPr>
        <w:t>.</w:t>
      </w:r>
      <w:r w:rsidRPr="002621D9">
        <w:rPr>
          <w:rStyle w:val="Strong"/>
          <w:b w:val="0"/>
          <w:bCs w:val="0"/>
        </w:rPr>
        <w:t xml:space="preserve"> </w:t>
      </w:r>
      <w:r>
        <w:rPr>
          <w:rStyle w:val="Strong"/>
          <w:b w:val="0"/>
          <w:bCs w:val="0"/>
        </w:rPr>
        <w:t xml:space="preserve">Additionally, ESC noted the consumer organisation expressed </w:t>
      </w:r>
      <w:r w:rsidRPr="00F9467A">
        <w:rPr>
          <w:rStyle w:val="Strong"/>
          <w:b w:val="0"/>
          <w:bCs w:val="0"/>
        </w:rPr>
        <w:t>concern</w:t>
      </w:r>
      <w:r>
        <w:rPr>
          <w:rStyle w:val="Strong"/>
          <w:b w:val="0"/>
          <w:bCs w:val="0"/>
        </w:rPr>
        <w:t>s</w:t>
      </w:r>
      <w:r w:rsidRPr="00F9467A">
        <w:rPr>
          <w:rStyle w:val="Strong"/>
          <w:b w:val="0"/>
          <w:bCs w:val="0"/>
        </w:rPr>
        <w:t xml:space="preserve"> about the lack of reliable </w:t>
      </w:r>
      <w:r>
        <w:rPr>
          <w:rStyle w:val="Strong"/>
          <w:b w:val="0"/>
          <w:bCs w:val="0"/>
        </w:rPr>
        <w:t xml:space="preserve">Australian </w:t>
      </w:r>
      <w:r w:rsidRPr="00F9467A">
        <w:rPr>
          <w:rStyle w:val="Strong"/>
          <w:b w:val="0"/>
          <w:bCs w:val="0"/>
        </w:rPr>
        <w:t>data, especially</w:t>
      </w:r>
      <w:r>
        <w:rPr>
          <w:rStyle w:val="Strong"/>
          <w:b w:val="0"/>
          <w:bCs w:val="0"/>
        </w:rPr>
        <w:t xml:space="preserve"> for</w:t>
      </w:r>
      <w:r w:rsidRPr="00F9467A">
        <w:rPr>
          <w:rStyle w:val="Strong"/>
          <w:b w:val="0"/>
          <w:bCs w:val="0"/>
        </w:rPr>
        <w:t xml:space="preserve"> </w:t>
      </w:r>
      <w:r>
        <w:rPr>
          <w:rStyle w:val="Strong"/>
          <w:b w:val="0"/>
          <w:bCs w:val="0"/>
        </w:rPr>
        <w:t>First Nations</w:t>
      </w:r>
      <w:r w:rsidRPr="00F9467A">
        <w:rPr>
          <w:rStyle w:val="Strong"/>
          <w:b w:val="0"/>
          <w:bCs w:val="0"/>
        </w:rPr>
        <w:t xml:space="preserve"> people, who may carry </w:t>
      </w:r>
      <w:r w:rsidRPr="000C0F6E">
        <w:rPr>
          <w:rStyle w:val="Strong"/>
          <w:b w:val="0"/>
          <w:i/>
        </w:rPr>
        <w:t>DPYD</w:t>
      </w:r>
      <w:r w:rsidRPr="00F9467A">
        <w:rPr>
          <w:rStyle w:val="Strong"/>
          <w:b w:val="0"/>
          <w:bCs w:val="0"/>
        </w:rPr>
        <w:t xml:space="preserve"> variants of uncertain risk for conferring FP toxicity, highlighting health inequity</w:t>
      </w:r>
      <w:r>
        <w:rPr>
          <w:rStyle w:val="Strong"/>
          <w:b w:val="0"/>
          <w:bCs w:val="0"/>
        </w:rPr>
        <w:t>. ESC noted that it</w:t>
      </w:r>
      <w:r w:rsidRPr="00F9467A">
        <w:rPr>
          <w:rStyle w:val="Strong"/>
          <w:b w:val="0"/>
          <w:bCs w:val="0"/>
        </w:rPr>
        <w:t xml:space="preserve"> was argue</w:t>
      </w:r>
      <w:r>
        <w:rPr>
          <w:rStyle w:val="Strong"/>
          <w:b w:val="0"/>
          <w:bCs w:val="0"/>
        </w:rPr>
        <w:t>d</w:t>
      </w:r>
      <w:r w:rsidRPr="00F9467A">
        <w:rPr>
          <w:rStyle w:val="Strong"/>
          <w:b w:val="0"/>
          <w:bCs w:val="0"/>
        </w:rPr>
        <w:t xml:space="preserve"> </w:t>
      </w:r>
      <w:r>
        <w:rPr>
          <w:rStyle w:val="Strong"/>
          <w:b w:val="0"/>
          <w:bCs w:val="0"/>
        </w:rPr>
        <w:t>that</w:t>
      </w:r>
      <w:r w:rsidRPr="00F9467A">
        <w:rPr>
          <w:rStyle w:val="Strong"/>
          <w:b w:val="0"/>
          <w:bCs w:val="0"/>
        </w:rPr>
        <w:t xml:space="preserve"> public funding of the test </w:t>
      </w:r>
      <w:r>
        <w:rPr>
          <w:rStyle w:val="Strong"/>
          <w:b w:val="0"/>
          <w:bCs w:val="0"/>
        </w:rPr>
        <w:t>would help</w:t>
      </w:r>
      <w:r w:rsidRPr="00F9467A">
        <w:rPr>
          <w:rStyle w:val="Strong"/>
          <w:b w:val="0"/>
          <w:bCs w:val="0"/>
        </w:rPr>
        <w:t xml:space="preserve"> improve knowledge among broader populations than exists currently and enable personali</w:t>
      </w:r>
      <w:r>
        <w:rPr>
          <w:rStyle w:val="Strong"/>
          <w:b w:val="0"/>
          <w:bCs w:val="0"/>
        </w:rPr>
        <w:t>s</w:t>
      </w:r>
      <w:r w:rsidRPr="00F9467A">
        <w:rPr>
          <w:rStyle w:val="Strong"/>
          <w:b w:val="0"/>
          <w:bCs w:val="0"/>
        </w:rPr>
        <w:t>ed treatmen</w:t>
      </w:r>
      <w:r>
        <w:rPr>
          <w:rStyle w:val="Strong"/>
          <w:b w:val="0"/>
          <w:bCs w:val="0"/>
        </w:rPr>
        <w:t>t. ESC noted feedback from</w:t>
      </w:r>
      <w:r w:rsidRPr="00717D3C">
        <w:rPr>
          <w:rStyle w:val="Strong"/>
          <w:b w:val="0"/>
          <w:bCs w:val="0"/>
        </w:rPr>
        <w:t xml:space="preserve"> Australian Genomics that </w:t>
      </w:r>
      <w:r>
        <w:rPr>
          <w:rStyle w:val="Strong"/>
          <w:b w:val="0"/>
          <w:bCs w:val="0"/>
        </w:rPr>
        <w:t>emphasized the inequity issue of representativeness in genomic databases</w:t>
      </w:r>
      <w:r w:rsidDel="009D3B49">
        <w:rPr>
          <w:rStyle w:val="Strong"/>
          <w:b w:val="0"/>
          <w:bCs w:val="0"/>
        </w:rPr>
        <w:t xml:space="preserve"> </w:t>
      </w:r>
      <w:r>
        <w:rPr>
          <w:rStyle w:val="Strong"/>
          <w:b w:val="0"/>
          <w:bCs w:val="0"/>
        </w:rPr>
        <w:t>and highlighted</w:t>
      </w:r>
      <w:r w:rsidRPr="00717D3C">
        <w:rPr>
          <w:rStyle w:val="Strong"/>
          <w:b w:val="0"/>
          <w:bCs w:val="0"/>
        </w:rPr>
        <w:t xml:space="preserve"> that testing negative for a </w:t>
      </w:r>
      <w:r w:rsidRPr="00717D3C">
        <w:rPr>
          <w:rStyle w:val="Strong"/>
          <w:b w:val="0"/>
          <w:bCs w:val="0"/>
          <w:i/>
          <w:iCs/>
        </w:rPr>
        <w:t>DPYD</w:t>
      </w:r>
      <w:r w:rsidRPr="00717D3C">
        <w:rPr>
          <w:rStyle w:val="Strong"/>
          <w:b w:val="0"/>
          <w:bCs w:val="0"/>
        </w:rPr>
        <w:t xml:space="preserve"> variant does not eliminate the possibility of experiencing FP-related toxicity.</w:t>
      </w:r>
      <w:r>
        <w:rPr>
          <w:rStyle w:val="Strong"/>
          <w:b w:val="0"/>
          <w:bCs w:val="0"/>
        </w:rPr>
        <w:t xml:space="preserve"> ESC noted that the </w:t>
      </w:r>
      <w:r w:rsidRPr="0063194F">
        <w:rPr>
          <w:rStyle w:val="Strong"/>
          <w:b w:val="0"/>
          <w:bCs w:val="0"/>
        </w:rPr>
        <w:t>Australasian Society of Clinical and Experimental Pharmacologists and Toxicologists</w:t>
      </w:r>
      <w:r>
        <w:rPr>
          <w:rStyle w:val="Strong"/>
          <w:b w:val="0"/>
          <w:bCs w:val="0"/>
        </w:rPr>
        <w:t xml:space="preserve"> (ASCEPT) supported the test as it would reduce toxicity and guide dose adjustment of 5-FU and capecitabine</w:t>
      </w:r>
      <w:r w:rsidRPr="00717D3C">
        <w:rPr>
          <w:rStyle w:val="Strong"/>
          <w:b w:val="0"/>
          <w:bCs w:val="0"/>
        </w:rPr>
        <w:t xml:space="preserve"> result</w:t>
      </w:r>
      <w:r>
        <w:rPr>
          <w:rStyle w:val="Strong"/>
          <w:b w:val="0"/>
          <w:bCs w:val="0"/>
        </w:rPr>
        <w:t>ing</w:t>
      </w:r>
      <w:r w:rsidRPr="00717D3C">
        <w:rPr>
          <w:rStyle w:val="Strong"/>
          <w:b w:val="0"/>
          <w:bCs w:val="0"/>
        </w:rPr>
        <w:t xml:space="preserve"> in decreased hospitalisations and intensive care unit admissions</w:t>
      </w:r>
      <w:r>
        <w:rPr>
          <w:rStyle w:val="Strong"/>
          <w:b w:val="0"/>
          <w:bCs w:val="0"/>
        </w:rPr>
        <w:t xml:space="preserve">. </w:t>
      </w:r>
      <w:r w:rsidRPr="00717D3C">
        <w:rPr>
          <w:rStyle w:val="Strong"/>
          <w:b w:val="0"/>
          <w:bCs w:val="0"/>
        </w:rPr>
        <w:t xml:space="preserve">ESC noted that </w:t>
      </w:r>
      <w:r>
        <w:rPr>
          <w:rStyle w:val="Strong"/>
          <w:b w:val="0"/>
          <w:bCs w:val="0"/>
        </w:rPr>
        <w:t xml:space="preserve">ASCEPT emphasized that </w:t>
      </w:r>
      <w:r w:rsidRPr="00717D3C">
        <w:rPr>
          <w:rStyle w:val="Strong"/>
          <w:b w:val="0"/>
          <w:bCs w:val="0"/>
        </w:rPr>
        <w:t>several guidelines</w:t>
      </w:r>
      <w:r>
        <w:rPr>
          <w:rStyle w:val="Strong"/>
          <w:b w:val="0"/>
          <w:bCs w:val="0"/>
        </w:rPr>
        <w:t>,</w:t>
      </w:r>
      <w:r w:rsidRPr="00717D3C">
        <w:rPr>
          <w:rStyle w:val="Strong"/>
          <w:b w:val="0"/>
          <w:bCs w:val="0"/>
        </w:rPr>
        <w:t xml:space="preserve"> including </w:t>
      </w:r>
      <w:proofErr w:type="spellStart"/>
      <w:r w:rsidRPr="00717D3C">
        <w:t>eviQ</w:t>
      </w:r>
      <w:proofErr w:type="spellEnd"/>
      <w:r>
        <w:rPr>
          <w:rStyle w:val="FootnoteReference"/>
        </w:rPr>
        <w:footnoteReference w:id="33"/>
      </w:r>
      <w:r w:rsidRPr="00717D3C">
        <w:t xml:space="preserve"> (</w:t>
      </w:r>
      <w:r w:rsidRPr="00717D3C">
        <w:rPr>
          <w:rStyle w:val="Strong"/>
          <w:b w:val="0"/>
          <w:bCs w:val="0"/>
        </w:rPr>
        <w:t>Australia)</w:t>
      </w:r>
      <w:r w:rsidRPr="00717D3C">
        <w:rPr>
          <w:b/>
          <w:bCs/>
        </w:rPr>
        <w:t xml:space="preserve">, </w:t>
      </w:r>
      <w:r w:rsidRPr="00717D3C">
        <w:t>the National Health Service (UK) and the European Medicines Agency (European Union)</w:t>
      </w:r>
      <w:r>
        <w:t xml:space="preserve"> </w:t>
      </w:r>
      <w:r w:rsidRPr="00717D3C">
        <w:rPr>
          <w:rStyle w:val="Strong"/>
          <w:b w:val="0"/>
          <w:bCs w:val="0"/>
        </w:rPr>
        <w:t xml:space="preserve">recommend </w:t>
      </w:r>
      <w:r w:rsidRPr="00717D3C">
        <w:rPr>
          <w:rStyle w:val="Strong"/>
          <w:b w:val="0"/>
          <w:bCs w:val="0"/>
          <w:i/>
          <w:iCs/>
        </w:rPr>
        <w:t>DPYD</w:t>
      </w:r>
      <w:r w:rsidRPr="00717D3C">
        <w:rPr>
          <w:rStyle w:val="Strong"/>
          <w:b w:val="0"/>
          <w:bCs w:val="0"/>
        </w:rPr>
        <w:t xml:space="preserve"> genotyping before administering FP-based chemotherapy</w:t>
      </w:r>
      <w:r w:rsidDel="000535F3">
        <w:rPr>
          <w:rStyle w:val="Strong"/>
          <w:b w:val="0"/>
        </w:rPr>
        <w:t>.</w:t>
      </w:r>
    </w:p>
    <w:p w14:paraId="765A5C98" w14:textId="77777777" w:rsidR="00476193" w:rsidRPr="003A13BB" w:rsidRDefault="00476193" w:rsidP="00476193">
      <w:pPr>
        <w:rPr>
          <w:rStyle w:val="Strong"/>
          <w:b w:val="0"/>
        </w:rPr>
      </w:pPr>
      <w:r w:rsidRPr="41D0932E">
        <w:rPr>
          <w:rStyle w:val="Strong"/>
          <w:b w:val="0"/>
        </w:rPr>
        <w:t xml:space="preserve">ESC noted the population, intervention, comparator and outcomes (PICO) </w:t>
      </w:r>
      <w:r>
        <w:t>that had been ratified by the PICO Advisory Subcommittee</w:t>
      </w:r>
      <w:r w:rsidRPr="41D0932E">
        <w:rPr>
          <w:rStyle w:val="Strong"/>
          <w:b w:val="0"/>
        </w:rPr>
        <w:t xml:space="preserve">. ESC noted the target population for this application is all patients with solid tumours who are about to start an FP-based chemotherapy regime or </w:t>
      </w:r>
      <w:r>
        <w:t xml:space="preserve">about to start systemic FPs as </w:t>
      </w:r>
      <w:proofErr w:type="spellStart"/>
      <w:r>
        <w:t>radiosensitising</w:t>
      </w:r>
      <w:proofErr w:type="spellEnd"/>
      <w:r>
        <w:t xml:space="preserve"> agents for radiotherapy. ESC noted that </w:t>
      </w:r>
      <w:r w:rsidRPr="41D0932E">
        <w:rPr>
          <w:rFonts w:eastAsia="Calibri" w:cs="Calibri"/>
        </w:rPr>
        <w:t>in rare instances, FP-based therapy could be used in patients with haematological malignancies, such as chronic myeloid leukemia.</w:t>
      </w:r>
      <w:r>
        <w:t xml:space="preserve"> ESC noted the onset of toxicity often occurs during or within four days of FP dosing. ESC noted that the test itself requires minimal expertise to perform and that although the test specificity is high, sensitivity is low. ESC noted uridine triacetate, the antidote for severe FP toxicity, is difficult to source and delays increase risk of death for patients. ESC further noted that the antidote is expensive and is not currently listed on the Pharmaceutical Benefits Scheme (PBS).</w:t>
      </w:r>
    </w:p>
    <w:p w14:paraId="039F32FA" w14:textId="77777777" w:rsidR="00476193" w:rsidRPr="00717D3C" w:rsidRDefault="00476193" w:rsidP="00476193">
      <w:pPr>
        <w:rPr>
          <w:rStyle w:val="Strong"/>
          <w:b w:val="0"/>
          <w:bCs w:val="0"/>
        </w:rPr>
      </w:pPr>
      <w:r w:rsidRPr="00B20975">
        <w:rPr>
          <w:rStyle w:val="Strong"/>
          <w:b w:val="0"/>
          <w:bCs w:val="0"/>
        </w:rPr>
        <w:lastRenderedPageBreak/>
        <w:t xml:space="preserve">ESC noted the </w:t>
      </w:r>
      <w:r>
        <w:rPr>
          <w:rStyle w:val="Strong"/>
          <w:b w:val="0"/>
          <w:bCs w:val="0"/>
        </w:rPr>
        <w:t xml:space="preserve">clinical management algorithms </w:t>
      </w:r>
      <w:r w:rsidRPr="00B816E7">
        <w:t xml:space="preserve">and considered it </w:t>
      </w:r>
      <w:r>
        <w:t xml:space="preserve">was </w:t>
      </w:r>
      <w:r w:rsidRPr="00B816E7">
        <w:t>appropriate.</w:t>
      </w:r>
      <w:r w:rsidRPr="00717D3C">
        <w:rPr>
          <w:rStyle w:val="Strong"/>
          <w:b w:val="0"/>
          <w:bCs w:val="0"/>
        </w:rPr>
        <w:t xml:space="preserve"> </w:t>
      </w:r>
    </w:p>
    <w:p w14:paraId="0D7348C3" w14:textId="77777777" w:rsidR="00476193" w:rsidRDefault="00476193" w:rsidP="00476193">
      <w:pPr>
        <w:rPr>
          <w:rStyle w:val="Strong"/>
          <w:b w:val="0"/>
          <w:bCs w:val="0"/>
        </w:rPr>
      </w:pPr>
      <w:r w:rsidRPr="00717D3C">
        <w:rPr>
          <w:rStyle w:val="Strong"/>
          <w:b w:val="0"/>
          <w:bCs w:val="0"/>
        </w:rPr>
        <w:t>ESC noted that the proposed genotyping targeted at least four </w:t>
      </w:r>
      <w:r w:rsidRPr="00717D3C">
        <w:rPr>
          <w:rStyle w:val="Strong"/>
          <w:b w:val="0"/>
          <w:bCs w:val="0"/>
          <w:i/>
          <w:iCs/>
        </w:rPr>
        <w:t>DPYD</w:t>
      </w:r>
      <w:r w:rsidRPr="00717D3C">
        <w:rPr>
          <w:rStyle w:val="Strong"/>
          <w:b w:val="0"/>
          <w:bCs w:val="0"/>
        </w:rPr>
        <w:t xml:space="preserve"> gene variants before starting FP-based chemotherapy. ESC acknowledged that other genes, such as </w:t>
      </w:r>
      <w:r w:rsidRPr="000C0F6E">
        <w:rPr>
          <w:rStyle w:val="Strong"/>
          <w:b w:val="0"/>
          <w:bCs w:val="0"/>
          <w:i/>
          <w:iCs/>
        </w:rPr>
        <w:t>microRNA 27a</w:t>
      </w:r>
      <w:r>
        <w:rPr>
          <w:rStyle w:val="Strong"/>
          <w:b w:val="0"/>
          <w:bCs w:val="0"/>
        </w:rPr>
        <w:t xml:space="preserve"> (</w:t>
      </w:r>
      <w:r w:rsidRPr="00717D3C">
        <w:rPr>
          <w:i/>
          <w:iCs/>
        </w:rPr>
        <w:t>MIR27A</w:t>
      </w:r>
      <w:r>
        <w:rPr>
          <w:i/>
          <w:iCs/>
        </w:rPr>
        <w:t>)</w:t>
      </w:r>
      <w:r w:rsidRPr="00717D3C">
        <w:t xml:space="preserve">, </w:t>
      </w:r>
      <w:r w:rsidRPr="000C0F6E">
        <w:rPr>
          <w:i/>
          <w:iCs/>
        </w:rPr>
        <w:t>thymidylate synthetase</w:t>
      </w:r>
      <w:r>
        <w:t xml:space="preserve"> (</w:t>
      </w:r>
      <w:r w:rsidRPr="00717D3C">
        <w:rPr>
          <w:i/>
          <w:iCs/>
        </w:rPr>
        <w:t>TYMS</w:t>
      </w:r>
      <w:r>
        <w:rPr>
          <w:i/>
          <w:iCs/>
        </w:rPr>
        <w:t>)</w:t>
      </w:r>
      <w:r w:rsidRPr="00717D3C">
        <w:t xml:space="preserve">, </w:t>
      </w:r>
      <w:r w:rsidRPr="000C0F6E">
        <w:rPr>
          <w:i/>
          <w:iCs/>
        </w:rPr>
        <w:t>enolase superfamily member 1</w:t>
      </w:r>
      <w:r>
        <w:t xml:space="preserve"> (</w:t>
      </w:r>
      <w:bookmarkStart w:id="62" w:name="_Hlk180054629"/>
      <w:r w:rsidRPr="00717D3C">
        <w:rPr>
          <w:i/>
          <w:iCs/>
        </w:rPr>
        <w:t>ENOSF1</w:t>
      </w:r>
      <w:r>
        <w:rPr>
          <w:i/>
          <w:iCs/>
        </w:rPr>
        <w:t>)</w:t>
      </w:r>
      <w:r w:rsidRPr="00717D3C">
        <w:t xml:space="preserve"> </w:t>
      </w:r>
      <w:bookmarkEnd w:id="62"/>
      <w:r w:rsidRPr="00717D3C">
        <w:t xml:space="preserve">and </w:t>
      </w:r>
      <w:r w:rsidRPr="000C0F6E">
        <w:rPr>
          <w:i/>
          <w:iCs/>
        </w:rPr>
        <w:t>methylenetetrahydrofolate reductase</w:t>
      </w:r>
      <w:r w:rsidRPr="00C07865">
        <w:t xml:space="preserve"> </w:t>
      </w:r>
      <w:r>
        <w:t>(</w:t>
      </w:r>
      <w:r w:rsidRPr="00717D3C">
        <w:rPr>
          <w:i/>
          <w:iCs/>
        </w:rPr>
        <w:t>M</w:t>
      </w:r>
      <w:r>
        <w:rPr>
          <w:i/>
          <w:iCs/>
        </w:rPr>
        <w:t>T</w:t>
      </w:r>
      <w:r w:rsidRPr="00717D3C">
        <w:rPr>
          <w:i/>
          <w:iCs/>
        </w:rPr>
        <w:t>HFR</w:t>
      </w:r>
      <w:r>
        <w:rPr>
          <w:i/>
          <w:iCs/>
        </w:rPr>
        <w:t>)</w:t>
      </w:r>
      <w:r w:rsidRPr="00717D3C">
        <w:t xml:space="preserve">, may be important in </w:t>
      </w:r>
      <w:r>
        <w:t>predisposing to</w:t>
      </w:r>
      <w:r w:rsidRPr="00717D3C">
        <w:t xml:space="preserve"> FP-related toxicity. However, ESC considered that these genes would require </w:t>
      </w:r>
      <w:r>
        <w:t xml:space="preserve">separate </w:t>
      </w:r>
      <w:r w:rsidRPr="00717D3C">
        <w:t>application</w:t>
      </w:r>
      <w:r>
        <w:t>s</w:t>
      </w:r>
      <w:r w:rsidRPr="00717D3C">
        <w:t xml:space="preserve">, as the current evidence was limited to </w:t>
      </w:r>
      <w:r w:rsidRPr="00717D3C">
        <w:rPr>
          <w:i/>
          <w:iCs/>
        </w:rPr>
        <w:t>DPYD</w:t>
      </w:r>
      <w:r w:rsidRPr="00717D3C">
        <w:t xml:space="preserve"> genotyping. </w:t>
      </w:r>
      <w:r w:rsidRPr="00717D3C" w:rsidDel="00830CAD">
        <w:rPr>
          <w:rStyle w:val="Strong"/>
          <w:b w:val="0"/>
          <w:bCs w:val="0"/>
        </w:rPr>
        <w:t>ESC also foreshadowed future applications using next-generation sequencing to identify more variants and genes, which may be more expensive but will be able to identify more people at risk</w:t>
      </w:r>
      <w:r>
        <w:rPr>
          <w:rStyle w:val="Strong"/>
          <w:b w:val="0"/>
          <w:bCs w:val="0"/>
        </w:rPr>
        <w:t xml:space="preserve"> as pathogenicity of variants and genes of uncertain significance (VUS) are validated.</w:t>
      </w:r>
    </w:p>
    <w:p w14:paraId="1ABB0D33" w14:textId="77777777" w:rsidR="00476193" w:rsidRPr="00B20975" w:rsidRDefault="00476193" w:rsidP="00476193">
      <w:pPr>
        <w:rPr>
          <w:rStyle w:val="Strong"/>
          <w:b w:val="0"/>
          <w:bCs w:val="0"/>
        </w:rPr>
      </w:pPr>
      <w:r w:rsidRPr="00B20975">
        <w:rPr>
          <w:rStyle w:val="Strong"/>
          <w:b w:val="0"/>
          <w:bCs w:val="0"/>
        </w:rPr>
        <w:t xml:space="preserve">ESC noted the </w:t>
      </w:r>
      <w:r>
        <w:rPr>
          <w:rStyle w:val="Strong"/>
          <w:b w:val="0"/>
          <w:bCs w:val="0"/>
        </w:rPr>
        <w:t xml:space="preserve">proposed </w:t>
      </w:r>
      <w:r w:rsidRPr="00B20975">
        <w:rPr>
          <w:rStyle w:val="Strong"/>
          <w:b w:val="0"/>
          <w:bCs w:val="0"/>
        </w:rPr>
        <w:t xml:space="preserve">MBS </w:t>
      </w:r>
      <w:r>
        <w:rPr>
          <w:rStyle w:val="Strong"/>
          <w:b w:val="0"/>
          <w:bCs w:val="0"/>
        </w:rPr>
        <w:t xml:space="preserve">item </w:t>
      </w:r>
      <w:r w:rsidRPr="00B20975">
        <w:rPr>
          <w:rStyle w:val="Strong"/>
          <w:b w:val="0"/>
          <w:bCs w:val="0"/>
        </w:rPr>
        <w:t>descriptor and fee</w:t>
      </w:r>
      <w:r>
        <w:rPr>
          <w:rStyle w:val="Strong"/>
          <w:b w:val="0"/>
          <w:bCs w:val="0"/>
        </w:rPr>
        <w:t xml:space="preserve">. ESC noted that </w:t>
      </w:r>
      <w:r w:rsidRPr="005217A3">
        <w:rPr>
          <w:rStyle w:val="Strong"/>
          <w:b w:val="0"/>
          <w:bCs w:val="0"/>
        </w:rPr>
        <w:t xml:space="preserve">collection and transport costs </w:t>
      </w:r>
      <w:r>
        <w:rPr>
          <w:rStyle w:val="Strong"/>
          <w:b w:val="0"/>
          <w:bCs w:val="0"/>
        </w:rPr>
        <w:t xml:space="preserve">are already reimbursed under </w:t>
      </w:r>
      <w:r w:rsidRPr="003C4F73">
        <w:t>patient episode initiation (PEI) items</w:t>
      </w:r>
      <w:r>
        <w:t>. Th</w:t>
      </w:r>
      <w:r>
        <w:rPr>
          <w:rStyle w:val="Strong"/>
          <w:b w:val="0"/>
          <w:bCs w:val="0"/>
        </w:rPr>
        <w:t>erefore, ESC agreed to revise t</w:t>
      </w:r>
      <w:r w:rsidRPr="00B20975">
        <w:rPr>
          <w:rStyle w:val="Strong"/>
          <w:b w:val="0"/>
          <w:bCs w:val="0"/>
        </w:rPr>
        <w:t xml:space="preserve">he original proposed fee of $188 </w:t>
      </w:r>
      <w:r w:rsidDel="005C7B6A">
        <w:rPr>
          <w:rStyle w:val="Strong"/>
          <w:b w:val="0"/>
          <w:bCs w:val="0"/>
        </w:rPr>
        <w:t xml:space="preserve">to $182 </w:t>
      </w:r>
      <w:r>
        <w:rPr>
          <w:rStyle w:val="Strong"/>
          <w:b w:val="0"/>
          <w:bCs w:val="0"/>
        </w:rPr>
        <w:t>that had also accounted for these costs.</w:t>
      </w:r>
      <w:r w:rsidRPr="00B20975" w:rsidDel="00D6167C">
        <w:rPr>
          <w:rStyle w:val="Strong"/>
          <w:b w:val="0"/>
          <w:bCs w:val="0"/>
        </w:rPr>
        <w:t xml:space="preserve"> </w:t>
      </w:r>
      <w:r w:rsidRPr="00B20975">
        <w:rPr>
          <w:rStyle w:val="Strong"/>
          <w:b w:val="0"/>
          <w:bCs w:val="0"/>
        </w:rPr>
        <w:t xml:space="preserve">ESC </w:t>
      </w:r>
      <w:r>
        <w:rPr>
          <w:rStyle w:val="Strong"/>
          <w:b w:val="0"/>
          <w:bCs w:val="0"/>
        </w:rPr>
        <w:t>further</w:t>
      </w:r>
      <w:r w:rsidRPr="00B20975">
        <w:rPr>
          <w:rStyle w:val="Strong"/>
          <w:b w:val="0"/>
          <w:bCs w:val="0"/>
        </w:rPr>
        <w:t xml:space="preserve"> queried the </w:t>
      </w:r>
      <w:r>
        <w:rPr>
          <w:rStyle w:val="Strong"/>
          <w:b w:val="0"/>
          <w:bCs w:val="0"/>
        </w:rPr>
        <w:t xml:space="preserve">rationale behind the </w:t>
      </w:r>
      <w:r w:rsidRPr="00B20975">
        <w:rPr>
          <w:rStyle w:val="Strong"/>
          <w:b w:val="0"/>
          <w:bCs w:val="0"/>
        </w:rPr>
        <w:t xml:space="preserve">fee of $182, although it </w:t>
      </w:r>
      <w:r>
        <w:rPr>
          <w:rStyle w:val="Strong"/>
          <w:b w:val="0"/>
          <w:bCs w:val="0"/>
        </w:rPr>
        <w:t>acknowledged that</w:t>
      </w:r>
      <w:r w:rsidRPr="00B20975">
        <w:rPr>
          <w:rStyle w:val="Strong"/>
          <w:b w:val="0"/>
          <w:bCs w:val="0"/>
        </w:rPr>
        <w:t xml:space="preserve"> PASC </w:t>
      </w:r>
      <w:r>
        <w:rPr>
          <w:rStyle w:val="Strong"/>
          <w:b w:val="0"/>
          <w:bCs w:val="0"/>
        </w:rPr>
        <w:t>deemed</w:t>
      </w:r>
      <w:r w:rsidRPr="00B20975">
        <w:rPr>
          <w:rStyle w:val="Strong"/>
          <w:b w:val="0"/>
          <w:bCs w:val="0"/>
        </w:rPr>
        <w:t xml:space="preserve"> the </w:t>
      </w:r>
      <w:r>
        <w:rPr>
          <w:rStyle w:val="Strong"/>
          <w:b w:val="0"/>
          <w:bCs w:val="0"/>
        </w:rPr>
        <w:t>justification of the</w:t>
      </w:r>
      <w:r w:rsidRPr="00B20975">
        <w:rPr>
          <w:rStyle w:val="Strong"/>
          <w:b w:val="0"/>
          <w:bCs w:val="0"/>
        </w:rPr>
        <w:t xml:space="preserve"> fee to be </w:t>
      </w:r>
      <w:r>
        <w:rPr>
          <w:rStyle w:val="Strong"/>
          <w:b w:val="0"/>
          <w:bCs w:val="0"/>
        </w:rPr>
        <w:t>reasonable</w:t>
      </w:r>
      <w:r w:rsidRPr="00B20975">
        <w:rPr>
          <w:rStyle w:val="Strong"/>
          <w:b w:val="0"/>
          <w:bCs w:val="0"/>
        </w:rPr>
        <w:t xml:space="preserve">. </w:t>
      </w:r>
      <w:r>
        <w:rPr>
          <w:rStyle w:val="Strong"/>
          <w:b w:val="0"/>
          <w:bCs w:val="0"/>
        </w:rPr>
        <w:t>Noting the varied</w:t>
      </w:r>
      <w:r w:rsidRPr="00B20975">
        <w:rPr>
          <w:rStyle w:val="Strong"/>
          <w:b w:val="0"/>
          <w:bCs w:val="0"/>
        </w:rPr>
        <w:t xml:space="preserve"> fees for similar items </w:t>
      </w:r>
      <w:r>
        <w:rPr>
          <w:rStyle w:val="Strong"/>
          <w:b w:val="0"/>
          <w:bCs w:val="0"/>
        </w:rPr>
        <w:t>on the MBS</w:t>
      </w:r>
      <w:r w:rsidRPr="00B20975">
        <w:rPr>
          <w:rStyle w:val="Strong"/>
          <w:b w:val="0"/>
          <w:bCs w:val="0"/>
        </w:rPr>
        <w:t xml:space="preserve">, ESC </w:t>
      </w:r>
      <w:r>
        <w:rPr>
          <w:rStyle w:val="Strong"/>
          <w:b w:val="0"/>
          <w:bCs w:val="0"/>
        </w:rPr>
        <w:t>advised</w:t>
      </w:r>
      <w:r w:rsidRPr="00B20975">
        <w:rPr>
          <w:rStyle w:val="Strong"/>
          <w:b w:val="0"/>
          <w:bCs w:val="0"/>
        </w:rPr>
        <w:t xml:space="preserve"> that the applicant </w:t>
      </w:r>
      <w:r>
        <w:rPr>
          <w:rStyle w:val="Strong"/>
          <w:b w:val="0"/>
          <w:bCs w:val="0"/>
        </w:rPr>
        <w:t xml:space="preserve">provide a clear justification for </w:t>
      </w:r>
      <w:r w:rsidRPr="00B20975">
        <w:rPr>
          <w:rStyle w:val="Strong"/>
          <w:b w:val="0"/>
          <w:bCs w:val="0"/>
        </w:rPr>
        <w:t>the requested fee.</w:t>
      </w:r>
    </w:p>
    <w:p w14:paraId="14F62563" w14:textId="77777777" w:rsidR="00476193" w:rsidRPr="00B20975" w:rsidRDefault="00476193" w:rsidP="00476193">
      <w:pPr>
        <w:rPr>
          <w:rStyle w:val="Strong"/>
          <w:b w:val="0"/>
          <w:bCs w:val="0"/>
        </w:rPr>
      </w:pPr>
      <w:r w:rsidRPr="00B20975">
        <w:rPr>
          <w:rStyle w:val="Strong"/>
          <w:b w:val="0"/>
          <w:bCs w:val="0"/>
        </w:rPr>
        <w:t xml:space="preserve">ESC agreed with the </w:t>
      </w:r>
      <w:r w:rsidRPr="0B982229">
        <w:rPr>
          <w:rStyle w:val="Strong"/>
          <w:b w:val="0"/>
          <w:bCs w:val="0"/>
        </w:rPr>
        <w:t>department’s</w:t>
      </w:r>
      <w:r w:rsidRPr="00B20975">
        <w:rPr>
          <w:rStyle w:val="Strong"/>
          <w:b w:val="0"/>
          <w:bCs w:val="0"/>
        </w:rPr>
        <w:t xml:space="preserve"> </w:t>
      </w:r>
      <w:r>
        <w:rPr>
          <w:rStyle w:val="Strong"/>
          <w:b w:val="0"/>
          <w:bCs w:val="0"/>
        </w:rPr>
        <w:t xml:space="preserve">proposed </w:t>
      </w:r>
      <w:r w:rsidRPr="00B20975">
        <w:rPr>
          <w:rStyle w:val="Strong"/>
          <w:b w:val="0"/>
          <w:bCs w:val="0"/>
        </w:rPr>
        <w:t xml:space="preserve">removal of the Explanatory Note </w:t>
      </w:r>
      <w:r w:rsidRPr="00B20975" w:rsidDel="00B3216D">
        <w:rPr>
          <w:rStyle w:val="Strong"/>
          <w:b w:val="0"/>
          <w:bCs w:val="0"/>
        </w:rPr>
        <w:t xml:space="preserve">(EN) </w:t>
      </w:r>
      <w:r w:rsidRPr="00B20975">
        <w:rPr>
          <w:rStyle w:val="Strong"/>
          <w:b w:val="0"/>
          <w:bCs w:val="0"/>
        </w:rPr>
        <w:t xml:space="preserve">statement about ancestry, as other similar MBS item ENs do not include this level of detail. </w:t>
      </w:r>
      <w:r w:rsidRPr="0B982229">
        <w:rPr>
          <w:rStyle w:val="Strong"/>
          <w:b w:val="0"/>
          <w:bCs w:val="0"/>
        </w:rPr>
        <w:t xml:space="preserve">ESC noted </w:t>
      </w:r>
      <w:r w:rsidRPr="00B20975">
        <w:rPr>
          <w:rStyle w:val="Strong"/>
          <w:b w:val="0"/>
          <w:bCs w:val="0"/>
        </w:rPr>
        <w:t xml:space="preserve">the </w:t>
      </w:r>
      <w:r w:rsidRPr="0B982229">
        <w:rPr>
          <w:rStyle w:val="Strong"/>
          <w:b w:val="0"/>
          <w:bCs w:val="0"/>
        </w:rPr>
        <w:t>department’s</w:t>
      </w:r>
      <w:r w:rsidRPr="00B20975">
        <w:rPr>
          <w:rStyle w:val="Strong"/>
          <w:b w:val="0"/>
          <w:bCs w:val="0"/>
        </w:rPr>
        <w:t xml:space="preserve"> preference for the </w:t>
      </w:r>
      <w:r w:rsidRPr="008E71AC">
        <w:t>remov</w:t>
      </w:r>
      <w:r>
        <w:t>al of</w:t>
      </w:r>
      <w:r w:rsidRPr="008E71AC">
        <w:t xml:space="preserve"> the requirement </w:t>
      </w:r>
      <w:r>
        <w:t xml:space="preserve">in the descriptor </w:t>
      </w:r>
      <w:r w:rsidRPr="008E71AC">
        <w:t xml:space="preserve">to test </w:t>
      </w:r>
      <w:r>
        <w:t>“</w:t>
      </w:r>
      <w:r w:rsidRPr="008E71AC">
        <w:t>at least four</w:t>
      </w:r>
      <w:r>
        <w:t>”</w:t>
      </w:r>
      <w:r w:rsidRPr="008E71AC">
        <w:t xml:space="preserve"> </w:t>
      </w:r>
      <w:r w:rsidRPr="00B20975">
        <w:rPr>
          <w:rStyle w:val="Strong"/>
          <w:b w:val="0"/>
          <w:bCs w:val="0"/>
        </w:rPr>
        <w:t xml:space="preserve">variants </w:t>
      </w:r>
      <w:r>
        <w:rPr>
          <w:rStyle w:val="Strong"/>
          <w:b w:val="0"/>
          <w:bCs w:val="0"/>
        </w:rPr>
        <w:t xml:space="preserve">and that the </w:t>
      </w:r>
      <w:r w:rsidRPr="0090531E">
        <w:rPr>
          <w:rStyle w:val="Strong"/>
          <w:b w:val="0"/>
          <w:bCs w:val="0"/>
          <w:i/>
          <w:iCs/>
        </w:rPr>
        <w:t>DPYD</w:t>
      </w:r>
      <w:r>
        <w:rPr>
          <w:rStyle w:val="Strong"/>
          <w:b w:val="0"/>
          <w:bCs w:val="0"/>
        </w:rPr>
        <w:t xml:space="preserve"> variants are </w:t>
      </w:r>
      <w:r w:rsidRPr="00B20975">
        <w:rPr>
          <w:rStyle w:val="Strong"/>
          <w:b w:val="0"/>
          <w:bCs w:val="0"/>
        </w:rPr>
        <w:t>selected based on a recognised test directory</w:t>
      </w:r>
      <w:r w:rsidRPr="0B982229">
        <w:rPr>
          <w:rStyle w:val="Strong"/>
          <w:b w:val="0"/>
          <w:bCs w:val="0"/>
        </w:rPr>
        <w:t>.</w:t>
      </w:r>
      <w:r w:rsidRPr="00B20975">
        <w:rPr>
          <w:rStyle w:val="Strong"/>
          <w:b w:val="0"/>
          <w:bCs w:val="0"/>
        </w:rPr>
        <w:t xml:space="preserve"> </w:t>
      </w:r>
      <w:r>
        <w:rPr>
          <w:rStyle w:val="Strong"/>
          <w:b w:val="0"/>
          <w:bCs w:val="0"/>
        </w:rPr>
        <w:t xml:space="preserve">ESC </w:t>
      </w:r>
      <w:r w:rsidRPr="0B982229">
        <w:rPr>
          <w:rStyle w:val="Strong"/>
          <w:b w:val="0"/>
          <w:bCs w:val="0"/>
        </w:rPr>
        <w:t xml:space="preserve">further </w:t>
      </w:r>
      <w:r>
        <w:rPr>
          <w:rStyle w:val="Strong"/>
          <w:b w:val="0"/>
          <w:bCs w:val="0"/>
        </w:rPr>
        <w:t>noted that the Australian Genomics test directory is currently underway</w:t>
      </w:r>
      <w:r w:rsidRPr="0B982229">
        <w:rPr>
          <w:rStyle w:val="Strong"/>
          <w:b w:val="0"/>
          <w:bCs w:val="0"/>
        </w:rPr>
        <w:t xml:space="preserve"> and will become available in</w:t>
      </w:r>
      <w:r>
        <w:rPr>
          <w:rStyle w:val="Strong"/>
          <w:b w:val="0"/>
          <w:bCs w:val="0"/>
        </w:rPr>
        <w:t xml:space="preserve"> the </w:t>
      </w:r>
      <w:r w:rsidRPr="0B982229">
        <w:rPr>
          <w:rStyle w:val="Strong"/>
          <w:b w:val="0"/>
          <w:bCs w:val="0"/>
        </w:rPr>
        <w:t>future. Therefore, ESC</w:t>
      </w:r>
      <w:r w:rsidRPr="00B20975" w:rsidDel="009D3FE1">
        <w:rPr>
          <w:rStyle w:val="Strong"/>
          <w:b w:val="0"/>
          <w:bCs w:val="0"/>
        </w:rPr>
        <w:t xml:space="preserve"> </w:t>
      </w:r>
      <w:r>
        <w:rPr>
          <w:rStyle w:val="Strong"/>
          <w:b w:val="0"/>
          <w:bCs w:val="0"/>
        </w:rPr>
        <w:t>considered</w:t>
      </w:r>
      <w:r w:rsidRPr="00B20975">
        <w:rPr>
          <w:rStyle w:val="Strong"/>
          <w:b w:val="0"/>
          <w:bCs w:val="0"/>
        </w:rPr>
        <w:t xml:space="preserve"> that the </w:t>
      </w:r>
      <w:proofErr w:type="spellStart"/>
      <w:r w:rsidRPr="00B20975">
        <w:rPr>
          <w:rStyle w:val="Strong"/>
          <w:b w:val="0"/>
          <w:bCs w:val="0"/>
        </w:rPr>
        <w:t>eviQ</w:t>
      </w:r>
      <w:proofErr w:type="spellEnd"/>
      <w:r w:rsidRPr="00B20975">
        <w:rPr>
          <w:rStyle w:val="Strong"/>
          <w:b w:val="0"/>
          <w:bCs w:val="0"/>
        </w:rPr>
        <w:t xml:space="preserve"> guidelines may be the most appropriate reference for this MBS item</w:t>
      </w:r>
      <w:r>
        <w:rPr>
          <w:rStyle w:val="Strong"/>
          <w:b w:val="0"/>
          <w:bCs w:val="0"/>
        </w:rPr>
        <w:t xml:space="preserve"> until </w:t>
      </w:r>
      <w:r w:rsidRPr="0B982229">
        <w:rPr>
          <w:rStyle w:val="Strong"/>
          <w:b w:val="0"/>
          <w:bCs w:val="0"/>
        </w:rPr>
        <w:t xml:space="preserve">availability of </w:t>
      </w:r>
      <w:r>
        <w:rPr>
          <w:rStyle w:val="Strong"/>
          <w:b w:val="0"/>
          <w:bCs w:val="0"/>
        </w:rPr>
        <w:t xml:space="preserve">Australian </w:t>
      </w:r>
      <w:r w:rsidRPr="0B982229">
        <w:rPr>
          <w:rStyle w:val="Strong"/>
          <w:b w:val="0"/>
          <w:bCs w:val="0"/>
        </w:rPr>
        <w:t>Genomics</w:t>
      </w:r>
      <w:r>
        <w:rPr>
          <w:rStyle w:val="Strong"/>
          <w:b w:val="0"/>
          <w:bCs w:val="0"/>
        </w:rPr>
        <w:t xml:space="preserve"> test directory</w:t>
      </w:r>
      <w:r w:rsidRPr="0B982229">
        <w:rPr>
          <w:rStyle w:val="Strong"/>
          <w:b w:val="0"/>
          <w:bCs w:val="0"/>
        </w:rPr>
        <w:t>.</w:t>
      </w:r>
    </w:p>
    <w:p w14:paraId="420501DC" w14:textId="77777777" w:rsidR="00476193" w:rsidRPr="00B20975" w:rsidRDefault="00476193" w:rsidP="00476193">
      <w:r w:rsidRPr="00B20975">
        <w:rPr>
          <w:rStyle w:val="Strong"/>
          <w:b w:val="0"/>
          <w:bCs w:val="0"/>
        </w:rPr>
        <w:t xml:space="preserve">ESC noted the clinical claims of superior effectiveness and non-inferior safety compared to no testing. </w:t>
      </w:r>
      <w:r>
        <w:rPr>
          <w:rStyle w:val="Strong"/>
          <w:b w:val="0"/>
          <w:bCs w:val="0"/>
        </w:rPr>
        <w:t>ESC noted t</w:t>
      </w:r>
      <w:r w:rsidRPr="00B20975">
        <w:rPr>
          <w:rStyle w:val="Strong"/>
          <w:b w:val="0"/>
          <w:bCs w:val="0"/>
        </w:rPr>
        <w:t xml:space="preserve">he evidence </w:t>
      </w:r>
      <w:r>
        <w:rPr>
          <w:rStyle w:val="Strong"/>
          <w:b w:val="0"/>
          <w:bCs w:val="0"/>
        </w:rPr>
        <w:t>base</w:t>
      </w:r>
      <w:r w:rsidRPr="00B20975">
        <w:rPr>
          <w:rStyle w:val="Strong"/>
          <w:b w:val="0"/>
          <w:bCs w:val="0"/>
        </w:rPr>
        <w:t xml:space="preserve"> for these claims comprised </w:t>
      </w:r>
      <w:r>
        <w:rPr>
          <w:rStyle w:val="Strong"/>
          <w:b w:val="0"/>
          <w:bCs w:val="0"/>
        </w:rPr>
        <w:t xml:space="preserve">of </w:t>
      </w:r>
      <w:r w:rsidRPr="00B20975">
        <w:rPr>
          <w:rStyle w:val="Strong"/>
          <w:b w:val="0"/>
          <w:bCs w:val="0"/>
        </w:rPr>
        <w:t>four direct compar</w:t>
      </w:r>
      <w:r>
        <w:rPr>
          <w:rStyle w:val="Strong"/>
          <w:b w:val="0"/>
          <w:bCs w:val="0"/>
        </w:rPr>
        <w:t xml:space="preserve">ative </w:t>
      </w:r>
      <w:r w:rsidRPr="00B20975">
        <w:rPr>
          <w:rStyle w:val="Strong"/>
          <w:b w:val="0"/>
          <w:bCs w:val="0"/>
        </w:rPr>
        <w:t xml:space="preserve">studies </w:t>
      </w:r>
      <w:r>
        <w:rPr>
          <w:rStyle w:val="Strong"/>
          <w:b w:val="0"/>
          <w:bCs w:val="0"/>
        </w:rPr>
        <w:t>(</w:t>
      </w:r>
      <w:r>
        <w:t xml:space="preserve">comparing the intervention with the comparator), </w:t>
      </w:r>
      <w:r w:rsidRPr="00B20975">
        <w:rPr>
          <w:rStyle w:val="Strong"/>
          <w:b w:val="0"/>
          <w:bCs w:val="0"/>
        </w:rPr>
        <w:t>and three direct non-compar</w:t>
      </w:r>
      <w:r>
        <w:rPr>
          <w:rStyle w:val="Strong"/>
          <w:b w:val="0"/>
          <w:bCs w:val="0"/>
        </w:rPr>
        <w:t>ative</w:t>
      </w:r>
      <w:r w:rsidRPr="00B20975">
        <w:rPr>
          <w:rStyle w:val="Strong"/>
          <w:b w:val="0"/>
          <w:bCs w:val="0"/>
        </w:rPr>
        <w:t xml:space="preserve"> studies</w:t>
      </w:r>
      <w:r>
        <w:rPr>
          <w:rStyle w:val="Strong"/>
          <w:b w:val="0"/>
          <w:bCs w:val="0"/>
        </w:rPr>
        <w:t xml:space="preserve"> (single arm studies for the intervention)</w:t>
      </w:r>
      <w:r w:rsidRPr="00B20975">
        <w:rPr>
          <w:rStyle w:val="Strong"/>
          <w:b w:val="0"/>
          <w:bCs w:val="0"/>
        </w:rPr>
        <w:t>. ESC noted that the n</w:t>
      </w:r>
      <w:r w:rsidRPr="007B3DC6">
        <w:t xml:space="preserve">on-randomised studies of intervention </w:t>
      </w:r>
      <w:r>
        <w:t xml:space="preserve">all had </w:t>
      </w:r>
      <w:r w:rsidRPr="007B3DC6">
        <w:t>serious</w:t>
      </w:r>
      <w:r>
        <w:t xml:space="preserve"> or </w:t>
      </w:r>
      <w:r w:rsidRPr="007B3DC6">
        <w:t>critical risk of bias</w:t>
      </w:r>
      <w:r>
        <w:t xml:space="preserve"> because they were </w:t>
      </w:r>
      <w:r w:rsidRPr="007B3DC6">
        <w:t>underpowered</w:t>
      </w:r>
      <w:r>
        <w:t xml:space="preserve"> and included </w:t>
      </w:r>
      <w:r w:rsidRPr="007B3DC6">
        <w:t>retrospective control cohorts</w:t>
      </w:r>
      <w:r>
        <w:t>. ESC noted these studies also had</w:t>
      </w:r>
      <w:r w:rsidRPr="007B3DC6">
        <w:t xml:space="preserve"> </w:t>
      </w:r>
      <w:r>
        <w:t>t</w:t>
      </w:r>
      <w:r w:rsidRPr="007B3DC6">
        <w:t xml:space="preserve">ransitivity </w:t>
      </w:r>
      <w:r>
        <w:t>and</w:t>
      </w:r>
      <w:r w:rsidRPr="007B3DC6">
        <w:t xml:space="preserve"> applicability issues</w:t>
      </w:r>
      <w:r>
        <w:t xml:space="preserve"> due to lack of </w:t>
      </w:r>
      <w:r w:rsidRPr="00B20975">
        <w:t xml:space="preserve">Australian studies </w:t>
      </w:r>
      <w:r>
        <w:t xml:space="preserve">and </w:t>
      </w:r>
      <w:r w:rsidRPr="00B20975">
        <w:t>limited representation</w:t>
      </w:r>
      <w:r>
        <w:t xml:space="preserve"> of </w:t>
      </w:r>
      <w:r w:rsidRPr="00B20975">
        <w:t>ethnicit</w:t>
      </w:r>
      <w:r>
        <w:t xml:space="preserve">ies. ESC noted </w:t>
      </w:r>
      <w:r w:rsidRPr="00B20975">
        <w:t xml:space="preserve">patients with poor </w:t>
      </w:r>
      <w:r w:rsidRPr="00B20975">
        <w:rPr>
          <w:i/>
        </w:rPr>
        <w:t>DPYD</w:t>
      </w:r>
      <w:r w:rsidRPr="00B20975">
        <w:t xml:space="preserve"> expression (equating to the highest risk of FP toxicity) were excluded from </w:t>
      </w:r>
      <w:r>
        <w:t>key</w:t>
      </w:r>
      <w:r w:rsidRPr="00B20975">
        <w:t xml:space="preserve"> direct clinical evidence </w:t>
      </w:r>
      <w:r>
        <w:t xml:space="preserve">and that </w:t>
      </w:r>
      <w:r w:rsidRPr="00B20975">
        <w:t>studies</w:t>
      </w:r>
      <w:r>
        <w:t xml:space="preserve"> used an imperfect proxy variant. ESC noted the </w:t>
      </w:r>
      <w:r w:rsidRPr="00B20EF2">
        <w:t xml:space="preserve">Clinical Pharmacogenetics Implementation Consortium </w:t>
      </w:r>
      <w:r>
        <w:t>(CPIC)</w:t>
      </w:r>
      <w:r>
        <w:rPr>
          <w:rStyle w:val="FootnoteReference"/>
        </w:rPr>
        <w:footnoteReference w:id="34"/>
      </w:r>
      <w:r>
        <w:t xml:space="preserve"> guidelines were updated to recommend not using the proxy variant.</w:t>
      </w:r>
      <w:r w:rsidRPr="001E7331">
        <w:t xml:space="preserve"> </w:t>
      </w:r>
      <w:r>
        <w:t xml:space="preserve">ESC noted the applicant pre-ESC response </w:t>
      </w:r>
      <w:r w:rsidRPr="001E7331">
        <w:t>acknowledge</w:t>
      </w:r>
      <w:r>
        <w:t>d</w:t>
      </w:r>
      <w:r w:rsidRPr="001E7331">
        <w:t xml:space="preserve"> the inherent issues with the direct evidence studies</w:t>
      </w:r>
      <w:r>
        <w:t>.</w:t>
      </w:r>
    </w:p>
    <w:p w14:paraId="552525EB" w14:textId="77777777" w:rsidR="00476193" w:rsidRDefault="00476193" w:rsidP="00476193">
      <w:r w:rsidRPr="00B20975" w:rsidDel="005D0EE0">
        <w:rPr>
          <w:rStyle w:val="Strong"/>
          <w:b w:val="0"/>
          <w:bCs w:val="0"/>
        </w:rPr>
        <w:t xml:space="preserve">Regarding toxicity, </w:t>
      </w:r>
      <w:r w:rsidRPr="00B20975">
        <w:rPr>
          <w:rStyle w:val="Strong"/>
          <w:b w:val="0"/>
          <w:bCs w:val="0"/>
        </w:rPr>
        <w:t>ESC noted that</w:t>
      </w:r>
      <w:r>
        <w:rPr>
          <w:rStyle w:val="Strong"/>
          <w:b w:val="0"/>
          <w:bCs w:val="0"/>
        </w:rPr>
        <w:t xml:space="preserve"> </w:t>
      </w:r>
      <w:r w:rsidRPr="00B20975">
        <w:rPr>
          <w:rStyle w:val="Strong"/>
          <w:b w:val="0"/>
          <w:bCs w:val="0"/>
        </w:rPr>
        <w:t>the proportion of patients with at least grade 3 toxicity in the intervention group was generally lower than the group that did not receive genotyping</w:t>
      </w:r>
      <w:r w:rsidRPr="0B982229">
        <w:rPr>
          <w:rStyle w:val="Strong"/>
          <w:b w:val="0"/>
          <w:bCs w:val="0"/>
        </w:rPr>
        <w:t>. However</w:t>
      </w:r>
      <w:r>
        <w:rPr>
          <w:rStyle w:val="Strong"/>
          <w:b w:val="0"/>
          <w:bCs w:val="0"/>
        </w:rPr>
        <w:t xml:space="preserve">, </w:t>
      </w:r>
      <w:r w:rsidRPr="00B20975">
        <w:rPr>
          <w:rStyle w:val="Strong"/>
          <w:b w:val="0"/>
          <w:bCs w:val="0"/>
        </w:rPr>
        <w:t>the studies were not powered to detect significant differences in toxicity and the alleles tested across the studies were not comparable</w:t>
      </w:r>
      <w:r>
        <w:rPr>
          <w:rStyle w:val="Strong"/>
          <w:b w:val="0"/>
          <w:bCs w:val="0"/>
        </w:rPr>
        <w:t xml:space="preserve"> </w:t>
      </w:r>
      <w:r w:rsidRPr="0B982229">
        <w:rPr>
          <w:rStyle w:val="Strong"/>
          <w:b w:val="0"/>
          <w:bCs w:val="0"/>
        </w:rPr>
        <w:t>limiting</w:t>
      </w:r>
      <w:r w:rsidRPr="00B20975">
        <w:rPr>
          <w:rStyle w:val="Strong"/>
          <w:b w:val="0"/>
          <w:bCs w:val="0"/>
        </w:rPr>
        <w:t xml:space="preserve"> the capacity to draw conclusions about the efficacy of </w:t>
      </w:r>
      <w:r w:rsidRPr="00B20975">
        <w:rPr>
          <w:rStyle w:val="Strong"/>
          <w:b w:val="0"/>
          <w:bCs w:val="0"/>
          <w:i/>
          <w:iCs/>
        </w:rPr>
        <w:t>DPYD</w:t>
      </w:r>
      <w:r w:rsidRPr="00B20975">
        <w:rPr>
          <w:rStyle w:val="Strong"/>
          <w:b w:val="0"/>
          <w:bCs w:val="0"/>
        </w:rPr>
        <w:t xml:space="preserve"> genotyping for four variants on a population level. ESC considered the results</w:t>
      </w:r>
      <w:r>
        <w:rPr>
          <w:rStyle w:val="Strong"/>
          <w:b w:val="0"/>
          <w:bCs w:val="0"/>
        </w:rPr>
        <w:t xml:space="preserve"> of</w:t>
      </w:r>
      <w:r w:rsidRPr="00B20975">
        <w:rPr>
          <w:rStyle w:val="Strong"/>
          <w:b w:val="0"/>
          <w:bCs w:val="0"/>
        </w:rPr>
        <w:t xml:space="preserve"> FP-related hospitalisations to be uncertain</w:t>
      </w:r>
      <w:r>
        <w:rPr>
          <w:rStyle w:val="Strong"/>
          <w:b w:val="0"/>
          <w:bCs w:val="0"/>
        </w:rPr>
        <w:t xml:space="preserve"> as the evidence had conflicting results (demonstrating fewer hospitalisations vs no difference) and </w:t>
      </w:r>
      <w:r w:rsidRPr="00AD0E1F">
        <w:t xml:space="preserve">were assessed as having critical risk of bias. </w:t>
      </w:r>
    </w:p>
    <w:p w14:paraId="0D2C8FC7" w14:textId="77777777" w:rsidR="00476193" w:rsidRDefault="00476193" w:rsidP="00476193">
      <w:r w:rsidRPr="00B20975" w:rsidDel="00E84B56">
        <w:rPr>
          <w:rStyle w:val="Strong"/>
          <w:b w:val="0"/>
          <w:bCs w:val="0"/>
        </w:rPr>
        <w:t xml:space="preserve">Regarding </w:t>
      </w:r>
      <w:r w:rsidRPr="00B20975" w:rsidDel="00EA1704">
        <w:rPr>
          <w:rStyle w:val="Strong"/>
          <w:b w:val="0"/>
          <w:bCs w:val="0"/>
        </w:rPr>
        <w:t>FP-related treatment management changes</w:t>
      </w:r>
      <w:r w:rsidRPr="00B20975" w:rsidDel="00375F5D">
        <w:rPr>
          <w:rStyle w:val="Strong"/>
          <w:b w:val="0"/>
          <w:bCs w:val="0"/>
        </w:rPr>
        <w:t>,</w:t>
      </w:r>
      <w:r w:rsidRPr="00B20975" w:rsidDel="00E84B56">
        <w:rPr>
          <w:rStyle w:val="Strong"/>
          <w:b w:val="0"/>
          <w:bCs w:val="0"/>
        </w:rPr>
        <w:t xml:space="preserve"> </w:t>
      </w:r>
      <w:r w:rsidRPr="0B982229">
        <w:rPr>
          <w:rStyle w:val="Strong"/>
          <w:b w:val="0"/>
          <w:bCs w:val="0"/>
        </w:rPr>
        <w:t xml:space="preserve">ESC noted that the </w:t>
      </w:r>
      <w:r>
        <w:rPr>
          <w:rStyle w:val="Strong"/>
          <w:b w:val="0"/>
          <w:bCs w:val="0"/>
        </w:rPr>
        <w:t>studies had</w:t>
      </w:r>
      <w:r w:rsidRPr="00B20975" w:rsidDel="00B96BA7">
        <w:rPr>
          <w:rStyle w:val="Strong"/>
          <w:b w:val="0"/>
          <w:bCs w:val="0"/>
        </w:rPr>
        <w:t xml:space="preserve"> </w:t>
      </w:r>
      <w:r>
        <w:rPr>
          <w:rStyle w:val="Strong"/>
          <w:b w:val="0"/>
          <w:bCs w:val="0"/>
        </w:rPr>
        <w:t>serious risk of bias.</w:t>
      </w:r>
      <w:r w:rsidDel="004C06AF">
        <w:rPr>
          <w:rStyle w:val="Strong"/>
          <w:b w:val="0"/>
          <w:bCs w:val="0"/>
        </w:rPr>
        <w:t xml:space="preserve"> </w:t>
      </w:r>
      <w:r w:rsidRPr="00B20975">
        <w:rPr>
          <w:rStyle w:val="Strong"/>
          <w:b w:val="0"/>
          <w:bCs w:val="0"/>
        </w:rPr>
        <w:t>ESC noted that</w:t>
      </w:r>
      <w:r>
        <w:rPr>
          <w:rStyle w:val="Strong"/>
        </w:rPr>
        <w:t xml:space="preserve"> </w:t>
      </w:r>
      <w:r w:rsidRPr="00D17370">
        <w:t>performing</w:t>
      </w:r>
      <w:r>
        <w:t xml:space="preserve"> the</w:t>
      </w:r>
      <w:r w:rsidRPr="00D17370">
        <w:t xml:space="preserve"> test and acting on </w:t>
      </w:r>
      <w:r>
        <w:t xml:space="preserve">the </w:t>
      </w:r>
      <w:r w:rsidRPr="00D17370">
        <w:t xml:space="preserve">results </w:t>
      </w:r>
      <w:r>
        <w:t>through a change in management did not affect safety because the likelihood of f</w:t>
      </w:r>
      <w:r w:rsidRPr="00D17370">
        <w:t xml:space="preserve">alse positives </w:t>
      </w:r>
      <w:r>
        <w:t xml:space="preserve">is </w:t>
      </w:r>
      <w:r w:rsidRPr="00D17370">
        <w:t>low.</w:t>
      </w:r>
      <w:r>
        <w:t xml:space="preserve"> ESC noted in the instance of a false positive result where a patient is (incorrectly) started </w:t>
      </w:r>
      <w:r w:rsidRPr="00D17370">
        <w:t xml:space="preserve">at </w:t>
      </w:r>
      <w:r>
        <w:t xml:space="preserve">a </w:t>
      </w:r>
      <w:r w:rsidRPr="00D17370">
        <w:t>lower dose</w:t>
      </w:r>
      <w:r>
        <w:t>, this could</w:t>
      </w:r>
      <w:r w:rsidRPr="00D17370">
        <w:t xml:space="preserve"> be adjusted up</w:t>
      </w:r>
      <w:r>
        <w:t>wards</w:t>
      </w:r>
      <w:r w:rsidRPr="00D17370">
        <w:t xml:space="preserve"> through </w:t>
      </w:r>
      <w:r>
        <w:t xml:space="preserve">treatment drug monitoring (TDM) and/or based on patient response. Despite a negative result, clinical vigilance is still required, as ESC noted that the </w:t>
      </w:r>
      <w:r>
        <w:lastRenderedPageBreak/>
        <w:t xml:space="preserve">genotyping proposed </w:t>
      </w:r>
      <w:r w:rsidRPr="00A71D18">
        <w:t>w</w:t>
      </w:r>
      <w:r>
        <w:t xml:space="preserve">ould </w:t>
      </w:r>
      <w:r w:rsidRPr="00141636">
        <w:t xml:space="preserve">not completely remove the possibility of </w:t>
      </w:r>
      <w:r w:rsidRPr="00CD73DB">
        <w:rPr>
          <w:i/>
        </w:rPr>
        <w:t>DPYD</w:t>
      </w:r>
      <w:r w:rsidRPr="00141636">
        <w:t xml:space="preserve"> variant-associated </w:t>
      </w:r>
      <w:r>
        <w:t>toxicity. Thus, ESC considered that physician and patient education about the test limitations is essential. ESC considered that longer-term follow-up is therefore required, as</w:t>
      </w:r>
      <w:r w:rsidRPr="008E3601">
        <w:t xml:space="preserve"> there is insufficient evidence to determine the impact on </w:t>
      </w:r>
      <w:r>
        <w:t>progression free survival (</w:t>
      </w:r>
      <w:r w:rsidRPr="008E3601">
        <w:t>PFS</w:t>
      </w:r>
      <w:r>
        <w:t>)</w:t>
      </w:r>
      <w:r w:rsidRPr="008E3601">
        <w:t xml:space="preserve"> or </w:t>
      </w:r>
      <w:r>
        <w:t>overall survival (</w:t>
      </w:r>
      <w:r w:rsidRPr="008E3601">
        <w:t>OS</w:t>
      </w:r>
      <w:r>
        <w:t>)</w:t>
      </w:r>
      <w:r w:rsidRPr="008E3601">
        <w:t>.</w:t>
      </w:r>
    </w:p>
    <w:p w14:paraId="01946BE3" w14:textId="77777777" w:rsidR="00476193" w:rsidRPr="00FA6A11" w:rsidRDefault="00476193" w:rsidP="00476193">
      <w:r w:rsidRPr="00B20975">
        <w:rPr>
          <w:rStyle w:val="Strong"/>
          <w:b w:val="0"/>
          <w:bCs w:val="0"/>
        </w:rPr>
        <w:t>ESC noted that</w:t>
      </w:r>
      <w:r>
        <w:rPr>
          <w:rStyle w:val="Strong"/>
          <w:b w:val="0"/>
          <w:bCs w:val="0"/>
        </w:rPr>
        <w:t xml:space="preserve"> the test</w:t>
      </w:r>
      <w:r w:rsidRPr="00B20975">
        <w:rPr>
          <w:rStyle w:val="Strong"/>
          <w:b w:val="0"/>
          <w:bCs w:val="0"/>
        </w:rPr>
        <w:t xml:space="preserve"> turnaround time (TAT) could </w:t>
      </w:r>
      <w:r>
        <w:rPr>
          <w:rStyle w:val="Strong"/>
          <w:b w:val="0"/>
          <w:bCs w:val="0"/>
        </w:rPr>
        <w:t>potentially introduce</w:t>
      </w:r>
      <w:r w:rsidRPr="00B20975" w:rsidDel="002610D6">
        <w:rPr>
          <w:rStyle w:val="Strong"/>
          <w:b w:val="0"/>
          <w:bCs w:val="0"/>
        </w:rPr>
        <w:t xml:space="preserve"> </w:t>
      </w:r>
      <w:r>
        <w:rPr>
          <w:rStyle w:val="Strong"/>
          <w:b w:val="0"/>
          <w:bCs w:val="0"/>
        </w:rPr>
        <w:t xml:space="preserve">delay in commencing </w:t>
      </w:r>
      <w:r w:rsidRPr="00B20975" w:rsidDel="0045501D">
        <w:rPr>
          <w:rStyle w:val="Strong"/>
          <w:b w:val="0"/>
          <w:bCs w:val="0"/>
        </w:rPr>
        <w:t>treatment</w:t>
      </w:r>
      <w:r w:rsidRPr="00B20975">
        <w:rPr>
          <w:rStyle w:val="Strong"/>
          <w:b w:val="0"/>
          <w:bCs w:val="0"/>
        </w:rPr>
        <w:t xml:space="preserve">. However, </w:t>
      </w:r>
      <w:r>
        <w:rPr>
          <w:rStyle w:val="Strong"/>
          <w:b w:val="0"/>
          <w:bCs w:val="0"/>
        </w:rPr>
        <w:t>ESC noted</w:t>
      </w:r>
      <w:r w:rsidRPr="00B20975">
        <w:rPr>
          <w:rStyle w:val="Strong"/>
          <w:b w:val="0"/>
          <w:bCs w:val="0"/>
        </w:rPr>
        <w:t xml:space="preserve"> most FP treatment</w:t>
      </w:r>
      <w:r>
        <w:rPr>
          <w:rStyle w:val="Strong"/>
          <w:b w:val="0"/>
          <w:bCs w:val="0"/>
        </w:rPr>
        <w:t>s</w:t>
      </w:r>
      <w:r w:rsidRPr="00B20975">
        <w:rPr>
          <w:rStyle w:val="Strong"/>
          <w:b w:val="0"/>
          <w:bCs w:val="0"/>
        </w:rPr>
        <w:t xml:space="preserve"> start about 1–2 weeks post-diagnosis</w:t>
      </w:r>
      <w:r>
        <w:rPr>
          <w:rStyle w:val="Strong"/>
          <w:b w:val="0"/>
          <w:bCs w:val="0"/>
        </w:rPr>
        <w:t>.  The</w:t>
      </w:r>
      <w:r w:rsidRPr="00B20975">
        <w:rPr>
          <w:rStyle w:val="Strong"/>
          <w:b w:val="0"/>
          <w:bCs w:val="0"/>
        </w:rPr>
        <w:t xml:space="preserve"> TAT for the genotyping results was less than this (around 5 days), although TAT may be extended for patients in rural and remote areas. </w:t>
      </w:r>
      <w:r>
        <w:rPr>
          <w:rStyle w:val="Strong"/>
          <w:b w:val="0"/>
          <w:bCs w:val="0"/>
        </w:rPr>
        <w:t>Additionally,</w:t>
      </w:r>
      <w:r w:rsidRPr="00B20975">
        <w:rPr>
          <w:rStyle w:val="Strong"/>
          <w:b w:val="0"/>
          <w:bCs w:val="0"/>
        </w:rPr>
        <w:t xml:space="preserve"> ESC noted</w:t>
      </w:r>
      <w:r>
        <w:rPr>
          <w:rStyle w:val="Strong"/>
          <w:b w:val="0"/>
          <w:bCs w:val="0"/>
        </w:rPr>
        <w:t xml:space="preserve"> that </w:t>
      </w:r>
      <w:r>
        <w:t>one small</w:t>
      </w:r>
      <w:r w:rsidRPr="00406C32">
        <w:t xml:space="preserve"> study indicate</w:t>
      </w:r>
      <w:r>
        <w:t>d</w:t>
      </w:r>
      <w:r w:rsidRPr="00406C32">
        <w:t xml:space="preserve"> </w:t>
      </w:r>
      <w:r>
        <w:t xml:space="preserve">that </w:t>
      </w:r>
      <w:r w:rsidRPr="00406C32">
        <w:t xml:space="preserve">96% of test results </w:t>
      </w:r>
      <w:r>
        <w:t xml:space="preserve">were </w:t>
      </w:r>
      <w:r w:rsidRPr="00406C32">
        <w:t xml:space="preserve">available before </w:t>
      </w:r>
      <w:r>
        <w:t xml:space="preserve">the </w:t>
      </w:r>
      <w:r w:rsidRPr="00406C32">
        <w:t xml:space="preserve">first cycle </w:t>
      </w:r>
      <w:r>
        <w:t xml:space="preserve">of treatment </w:t>
      </w:r>
      <w:r w:rsidRPr="00406C32">
        <w:t>commenced</w:t>
      </w:r>
      <w:r>
        <w:t>.</w:t>
      </w:r>
      <w:r>
        <w:rPr>
          <w:rStyle w:val="FootnoteReference"/>
        </w:rPr>
        <w:footnoteReference w:id="35"/>
      </w:r>
      <w:r>
        <w:t xml:space="preserve"> ESC considered</w:t>
      </w:r>
      <w:r w:rsidRPr="00FA6A11">
        <w:t xml:space="preserve"> genetic testing generally takes place in tertiary </w:t>
      </w:r>
      <w:r>
        <w:t>pathology</w:t>
      </w:r>
      <w:r w:rsidRPr="00FA6A11">
        <w:t xml:space="preserve"> lab</w:t>
      </w:r>
      <w:r>
        <w:t>oratories</w:t>
      </w:r>
      <w:r w:rsidRPr="00FA6A11">
        <w:t xml:space="preserve"> </w:t>
      </w:r>
      <w:r>
        <w:t>located</w:t>
      </w:r>
      <w:r w:rsidRPr="00FA6A11">
        <w:t xml:space="preserve"> in the </w:t>
      </w:r>
      <w:r>
        <w:t xml:space="preserve">capital </w:t>
      </w:r>
      <w:r w:rsidRPr="00FA6A11">
        <w:t>cities, and samples are shipped via internal or external couriers.</w:t>
      </w:r>
    </w:p>
    <w:p w14:paraId="35FB857C" w14:textId="77777777" w:rsidR="00476193" w:rsidRPr="00B20975" w:rsidRDefault="00476193" w:rsidP="00476193">
      <w:pPr>
        <w:rPr>
          <w:rStyle w:val="Strong"/>
          <w:b w:val="0"/>
          <w:bCs w:val="0"/>
        </w:rPr>
      </w:pPr>
      <w:r w:rsidRPr="000C0F6E">
        <w:rPr>
          <w:rStyle w:val="Strong"/>
          <w:b w:val="0"/>
        </w:rPr>
        <w:t xml:space="preserve">Overall, ESC considered the </w:t>
      </w:r>
      <w:r>
        <w:rPr>
          <w:rStyle w:val="Strong"/>
          <w:b w:val="0"/>
        </w:rPr>
        <w:t>evidence showed that the</w:t>
      </w:r>
      <w:r w:rsidRPr="000C0F6E">
        <w:rPr>
          <w:rStyle w:val="Strong"/>
          <w:b w:val="0"/>
        </w:rPr>
        <w:t xml:space="preserve"> claim for superior effectiveness was uncertain but agreed with the claim of non</w:t>
      </w:r>
      <w:r>
        <w:rPr>
          <w:rStyle w:val="Strong"/>
          <w:b w:val="0"/>
          <w:bCs w:val="0"/>
        </w:rPr>
        <w:t>-</w:t>
      </w:r>
      <w:r w:rsidRPr="000C0F6E">
        <w:rPr>
          <w:rStyle w:val="Strong"/>
          <w:b w:val="0"/>
        </w:rPr>
        <w:t>inferior safety.</w:t>
      </w:r>
    </w:p>
    <w:p w14:paraId="0D3CAB5C" w14:textId="77777777" w:rsidR="00476193" w:rsidRDefault="00476193" w:rsidP="00476193">
      <w:pPr>
        <w:pStyle w:val="NormalBeforeBullet0"/>
      </w:pPr>
      <w:r w:rsidRPr="00B20975">
        <w:rPr>
          <w:rStyle w:val="Strong"/>
          <w:b w:val="0"/>
          <w:bCs w:val="0"/>
        </w:rPr>
        <w:t xml:space="preserve">ESC noted that the economic evaluation was a </w:t>
      </w:r>
      <w:r w:rsidRPr="00B816E7">
        <w:t>cost-utility analysis and a cost-effectiveness analysis</w:t>
      </w:r>
      <w:r w:rsidRPr="00B20975">
        <w:rPr>
          <w:rStyle w:val="Strong"/>
          <w:b w:val="0"/>
          <w:bCs w:val="0"/>
        </w:rPr>
        <w:t xml:space="preserve"> with a time horizon of 6 months</w:t>
      </w:r>
      <w:r w:rsidRPr="0B982229">
        <w:rPr>
          <w:rStyle w:val="Strong"/>
          <w:b w:val="0"/>
          <w:bCs w:val="0"/>
        </w:rPr>
        <w:t xml:space="preserve">. </w:t>
      </w:r>
      <w:r>
        <w:t>ESC considered the time horizon to be</w:t>
      </w:r>
      <w:r w:rsidDel="001B10BA">
        <w:t xml:space="preserve"> appropriate</w:t>
      </w:r>
      <w:r>
        <w:t xml:space="preserve"> given that toxicities from treatment generally manifest quickly. </w:t>
      </w:r>
      <w:r w:rsidRPr="0B982229">
        <w:rPr>
          <w:rStyle w:val="Strong"/>
          <w:b w:val="0"/>
          <w:bCs w:val="0"/>
        </w:rPr>
        <w:t xml:space="preserve">ESC noted the </w:t>
      </w:r>
      <w:r w:rsidRPr="00B20975">
        <w:rPr>
          <w:rStyle w:val="Strong"/>
          <w:b w:val="0"/>
          <w:bCs w:val="0"/>
        </w:rPr>
        <w:t>outcomes were</w:t>
      </w:r>
      <w:r>
        <w:rPr>
          <w:rStyle w:val="Strong"/>
          <w:b w:val="0"/>
          <w:bCs w:val="0"/>
        </w:rPr>
        <w:t xml:space="preserve"> based on </w:t>
      </w:r>
      <w:r w:rsidRPr="0B982229">
        <w:rPr>
          <w:rStyle w:val="Strong"/>
          <w:b w:val="0"/>
          <w:bCs w:val="0"/>
        </w:rPr>
        <w:t xml:space="preserve">several factors: </w:t>
      </w:r>
      <w:r>
        <w:rPr>
          <w:rStyle w:val="Strong"/>
          <w:b w:val="0"/>
          <w:bCs w:val="0"/>
        </w:rPr>
        <w:t>the</w:t>
      </w:r>
      <w:r w:rsidRPr="00B20975">
        <w:rPr>
          <w:rStyle w:val="Strong"/>
          <w:b w:val="0"/>
          <w:bCs w:val="0"/>
        </w:rPr>
        <w:t xml:space="preserve"> n</w:t>
      </w:r>
      <w:r w:rsidRPr="00FE450C">
        <w:t xml:space="preserve">umber of patients with a </w:t>
      </w:r>
      <w:r w:rsidRPr="00953717">
        <w:rPr>
          <w:i/>
          <w:iCs/>
        </w:rPr>
        <w:t>DPYD</w:t>
      </w:r>
      <w:r w:rsidRPr="00FE450C">
        <w:t xml:space="preserve"> variant identified</w:t>
      </w:r>
      <w:r>
        <w:t>, n</w:t>
      </w:r>
      <w:r w:rsidRPr="00FE450C">
        <w:t>umber of patients avoiding severe (≥grade</w:t>
      </w:r>
      <w:r>
        <w:t> </w:t>
      </w:r>
      <w:r w:rsidRPr="00FE450C">
        <w:t>3) FP-related toxicity</w:t>
      </w:r>
      <w:r>
        <w:t xml:space="preserve">, and the patient days in hospital for severe toxicities. ESC noted the economic model inputs were derived from studies with a small number of patients. ESC noted the model did not </w:t>
      </w:r>
      <w:proofErr w:type="gramStart"/>
      <w:r>
        <w:t>take into account</w:t>
      </w:r>
      <w:proofErr w:type="gramEnd"/>
      <w:r>
        <w:t xml:space="preserve"> the </w:t>
      </w:r>
      <w:r w:rsidRPr="0B982229">
        <w:rPr>
          <w:rStyle w:val="Strong"/>
          <w:b w:val="0"/>
          <w:bCs w:val="0"/>
        </w:rPr>
        <w:t>sensitivity and specificity of the test. Given the model was only partially validated, ESC</w:t>
      </w:r>
      <w:r>
        <w:t xml:space="preserve"> queried whether clinicians were consulted to ensure the validity of the model structure.  </w:t>
      </w:r>
    </w:p>
    <w:p w14:paraId="6B86A809" w14:textId="77777777" w:rsidR="00476193" w:rsidRPr="00B20975" w:rsidRDefault="00476193" w:rsidP="00476193">
      <w:pPr>
        <w:rPr>
          <w:rStyle w:val="Strong"/>
          <w:b w:val="0"/>
          <w:bCs w:val="0"/>
        </w:rPr>
      </w:pPr>
      <w:r w:rsidRPr="0B982229">
        <w:rPr>
          <w:rStyle w:val="Strong"/>
          <w:b w:val="0"/>
          <w:bCs w:val="0"/>
        </w:rPr>
        <w:t>ESC noted the economic</w:t>
      </w:r>
      <w:r w:rsidRPr="0B982229">
        <w:rPr>
          <w:rStyle w:val="Strong"/>
          <w:b w:val="0"/>
        </w:rPr>
        <w:t xml:space="preserve"> model </w:t>
      </w:r>
      <w:r>
        <w:rPr>
          <w:rStyle w:val="Strong"/>
          <w:b w:val="0"/>
          <w:bCs w:val="0"/>
        </w:rPr>
        <w:t>included</w:t>
      </w:r>
      <w:r w:rsidRPr="0B982229">
        <w:rPr>
          <w:rStyle w:val="Strong"/>
          <w:b w:val="0"/>
        </w:rPr>
        <w:t xml:space="preserve"> length of stay in hospital (LOS) and linked LOS to genotype.</w:t>
      </w:r>
      <w:r w:rsidRPr="0B982229">
        <w:rPr>
          <w:rStyle w:val="Strong"/>
          <w:b w:val="0"/>
          <w:bCs w:val="0"/>
        </w:rPr>
        <w:t xml:space="preserve"> </w:t>
      </w:r>
      <w:r w:rsidRPr="00B20975">
        <w:rPr>
          <w:rStyle w:val="Strong"/>
          <w:b w:val="0"/>
          <w:bCs w:val="0"/>
        </w:rPr>
        <w:t>ESC noted the</w:t>
      </w:r>
      <w:r>
        <w:rPr>
          <w:rStyle w:val="Strong"/>
          <w:b w:val="0"/>
          <w:bCs w:val="0"/>
        </w:rPr>
        <w:t xml:space="preserve">re were small differences in </w:t>
      </w:r>
      <w:r w:rsidRPr="00B20975">
        <w:rPr>
          <w:rStyle w:val="Strong"/>
          <w:b w:val="0"/>
          <w:bCs w:val="0"/>
        </w:rPr>
        <w:t>the probabilities</w:t>
      </w:r>
      <w:r w:rsidRPr="0B982229">
        <w:rPr>
          <w:rStyle w:val="Strong"/>
          <w:b w:val="0"/>
          <w:bCs w:val="0"/>
        </w:rPr>
        <w:t>,</w:t>
      </w:r>
      <w:r w:rsidRPr="00B20975">
        <w:rPr>
          <w:rStyle w:val="Strong"/>
          <w:b w:val="0"/>
          <w:bCs w:val="0"/>
        </w:rPr>
        <w:t xml:space="preserve"> of experiencing a severe AE</w:t>
      </w:r>
      <w:r w:rsidRPr="0B982229">
        <w:rPr>
          <w:rStyle w:val="Strong"/>
          <w:b w:val="0"/>
          <w:bCs w:val="0"/>
        </w:rPr>
        <w:t xml:space="preserve"> when receiving a reduced </w:t>
      </w:r>
      <w:r>
        <w:rPr>
          <w:rStyle w:val="Strong"/>
          <w:b w:val="0"/>
          <w:bCs w:val="0"/>
        </w:rPr>
        <w:t>dose of chemotherapy between the “genotyping” and “no genotyping” groups but large differences in LOS when a severe AE occurred</w:t>
      </w:r>
      <w:r w:rsidRPr="0B982229">
        <w:rPr>
          <w:rStyle w:val="Strong"/>
          <w:b w:val="0"/>
          <w:bCs w:val="0"/>
        </w:rPr>
        <w:t>.</w:t>
      </w:r>
      <w:r w:rsidRPr="00B20975">
        <w:rPr>
          <w:rStyle w:val="Strong"/>
          <w:b w:val="0"/>
          <w:bCs w:val="0"/>
        </w:rPr>
        <w:t xml:space="preserve"> ESC noted the main </w:t>
      </w:r>
      <w:r w:rsidRPr="0B982229">
        <w:rPr>
          <w:rStyle w:val="Strong"/>
          <w:b w:val="0"/>
          <w:bCs w:val="0"/>
        </w:rPr>
        <w:t xml:space="preserve">economic determinant </w:t>
      </w:r>
      <w:r w:rsidRPr="00B20975">
        <w:rPr>
          <w:rStyle w:val="Strong"/>
          <w:b w:val="0"/>
          <w:bCs w:val="0"/>
        </w:rPr>
        <w:t>of the model</w:t>
      </w:r>
      <w:r w:rsidRPr="0B982229">
        <w:rPr>
          <w:rStyle w:val="Strong"/>
          <w:b w:val="0"/>
          <w:bCs w:val="0"/>
        </w:rPr>
        <w:t xml:space="preserve"> was LOS. ESC noted LOS was lower for genotyped patients with AEs vs non-genotyped patients based on a small study. However, ESC considered it was unclear</w:t>
      </w:r>
      <w:r w:rsidRPr="00B20975">
        <w:rPr>
          <w:rStyle w:val="Strong"/>
          <w:b w:val="0"/>
          <w:bCs w:val="0"/>
        </w:rPr>
        <w:t xml:space="preserve"> how </w:t>
      </w:r>
      <w:r>
        <w:rPr>
          <w:rStyle w:val="Strong"/>
          <w:b w:val="0"/>
          <w:bCs w:val="0"/>
        </w:rPr>
        <w:t xml:space="preserve">LOS, reflecting </w:t>
      </w:r>
      <w:r w:rsidRPr="00B20975">
        <w:rPr>
          <w:rStyle w:val="Strong"/>
          <w:b w:val="0"/>
          <w:bCs w:val="0"/>
        </w:rPr>
        <w:t xml:space="preserve">recovery </w:t>
      </w:r>
      <w:r>
        <w:rPr>
          <w:rStyle w:val="Strong"/>
          <w:b w:val="0"/>
          <w:bCs w:val="0"/>
        </w:rPr>
        <w:t>time</w:t>
      </w:r>
      <w:r w:rsidRPr="00B20975">
        <w:rPr>
          <w:rStyle w:val="Strong"/>
          <w:b w:val="0"/>
          <w:bCs w:val="0"/>
        </w:rPr>
        <w:t xml:space="preserve"> from an AE</w:t>
      </w:r>
      <w:r>
        <w:rPr>
          <w:rStyle w:val="Strong"/>
          <w:b w:val="0"/>
          <w:bCs w:val="0"/>
        </w:rPr>
        <w:t>,</w:t>
      </w:r>
      <w:r w:rsidRPr="00B20975">
        <w:rPr>
          <w:rStyle w:val="Strong"/>
          <w:b w:val="0"/>
          <w:bCs w:val="0"/>
        </w:rPr>
        <w:t xml:space="preserve"> </w:t>
      </w:r>
      <w:r w:rsidRPr="0B982229">
        <w:rPr>
          <w:rStyle w:val="Strong"/>
          <w:b w:val="0"/>
          <w:bCs w:val="0"/>
        </w:rPr>
        <w:t>is impacted by</w:t>
      </w:r>
      <w:r w:rsidRPr="00B20975">
        <w:rPr>
          <w:rStyle w:val="Strong"/>
          <w:b w:val="0"/>
          <w:bCs w:val="0"/>
        </w:rPr>
        <w:t xml:space="preserve"> genotype</w:t>
      </w:r>
      <w:r w:rsidRPr="0B982229">
        <w:rPr>
          <w:rStyle w:val="Strong"/>
          <w:b w:val="0"/>
          <w:bCs w:val="0"/>
        </w:rPr>
        <w:t xml:space="preserve"> of patients.</w:t>
      </w:r>
    </w:p>
    <w:p w14:paraId="27E94347" w14:textId="77777777" w:rsidR="00476193" w:rsidRPr="00B20975" w:rsidRDefault="00476193" w:rsidP="00476193">
      <w:pPr>
        <w:rPr>
          <w:rStyle w:val="Strong"/>
          <w:b w:val="0"/>
          <w:bCs w:val="0"/>
        </w:rPr>
      </w:pPr>
      <w:r w:rsidRPr="00B20975">
        <w:rPr>
          <w:rStyle w:val="Strong"/>
          <w:b w:val="0"/>
          <w:bCs w:val="0"/>
        </w:rPr>
        <w:t xml:space="preserve">ESC noted that the cost per patient </w:t>
      </w:r>
      <w:r w:rsidRPr="0B982229">
        <w:rPr>
          <w:rStyle w:val="Strong"/>
          <w:b w:val="0"/>
          <w:bCs w:val="0"/>
        </w:rPr>
        <w:t xml:space="preserve">to avoid </w:t>
      </w:r>
      <w:r w:rsidRPr="00B20975">
        <w:rPr>
          <w:rStyle w:val="Strong"/>
          <w:b w:val="0"/>
          <w:bCs w:val="0"/>
        </w:rPr>
        <w:t xml:space="preserve">severe FP-related toxicity </w:t>
      </w:r>
      <w:r w:rsidRPr="0B982229">
        <w:rPr>
          <w:rStyle w:val="Strong"/>
          <w:b w:val="0"/>
          <w:bCs w:val="0"/>
        </w:rPr>
        <w:t>was</w:t>
      </w:r>
      <w:r w:rsidRPr="00B20975">
        <w:rPr>
          <w:rStyle w:val="Strong"/>
          <w:b w:val="0"/>
          <w:bCs w:val="0"/>
        </w:rPr>
        <w:t xml:space="preserve"> $67,910 </w:t>
      </w:r>
      <w:r w:rsidRPr="0B982229">
        <w:rPr>
          <w:rStyle w:val="Strong"/>
          <w:b w:val="0"/>
          <w:bCs w:val="0"/>
        </w:rPr>
        <w:t>based on</w:t>
      </w:r>
      <w:r w:rsidRPr="00B20975">
        <w:rPr>
          <w:rStyle w:val="Strong"/>
          <w:b w:val="0"/>
          <w:bCs w:val="0"/>
        </w:rPr>
        <w:t xml:space="preserve"> the revised MBS fee of $182</w:t>
      </w:r>
      <w:r w:rsidRPr="0B982229">
        <w:rPr>
          <w:rStyle w:val="Strong"/>
          <w:b w:val="0"/>
          <w:bCs w:val="0"/>
        </w:rPr>
        <w:t>.</w:t>
      </w:r>
      <w:r w:rsidRPr="00B20975">
        <w:rPr>
          <w:rStyle w:val="Strong"/>
          <w:b w:val="0"/>
          <w:bCs w:val="0"/>
        </w:rPr>
        <w:t xml:space="preserve"> When considering the incremental cost per QALY gained, </w:t>
      </w:r>
      <w:r w:rsidRPr="0B982229">
        <w:rPr>
          <w:rStyle w:val="Strong"/>
          <w:b w:val="0"/>
          <w:bCs w:val="0"/>
        </w:rPr>
        <w:t xml:space="preserve">ESC noted </w:t>
      </w:r>
      <w:r w:rsidRPr="00B20975">
        <w:rPr>
          <w:rStyle w:val="Strong"/>
          <w:b w:val="0"/>
          <w:bCs w:val="0"/>
          <w:i/>
          <w:iCs/>
        </w:rPr>
        <w:t>DPYD</w:t>
      </w:r>
      <w:r w:rsidRPr="00B20975">
        <w:rPr>
          <w:rStyle w:val="Strong"/>
          <w:b w:val="0"/>
          <w:bCs w:val="0"/>
        </w:rPr>
        <w:t xml:space="preserve"> genotyping </w:t>
      </w:r>
      <w:r w:rsidRPr="0B982229">
        <w:rPr>
          <w:rStyle w:val="Strong"/>
          <w:b w:val="0"/>
          <w:bCs w:val="0"/>
        </w:rPr>
        <w:t>was a</w:t>
      </w:r>
      <w:r w:rsidRPr="00B20975">
        <w:rPr>
          <w:rStyle w:val="Strong"/>
          <w:b w:val="0"/>
          <w:bCs w:val="0"/>
        </w:rPr>
        <w:t xml:space="preserve"> dominant</w:t>
      </w:r>
      <w:r w:rsidRPr="0B982229">
        <w:rPr>
          <w:rStyle w:val="Strong"/>
          <w:b w:val="0"/>
          <w:bCs w:val="0"/>
        </w:rPr>
        <w:t xml:space="preserve"> strategy.  Overall, while ESC deemed</w:t>
      </w:r>
      <w:r w:rsidRPr="00B20975">
        <w:rPr>
          <w:rStyle w:val="Strong"/>
          <w:b w:val="0"/>
          <w:bCs w:val="0"/>
        </w:rPr>
        <w:t xml:space="preserve"> the model appropriate, </w:t>
      </w:r>
      <w:r w:rsidRPr="0B982229">
        <w:rPr>
          <w:rStyle w:val="Strong"/>
          <w:b w:val="0"/>
          <w:bCs w:val="0"/>
        </w:rPr>
        <w:t>it noted</w:t>
      </w:r>
      <w:r w:rsidRPr="00B20975" w:rsidDel="008F1644">
        <w:rPr>
          <w:rStyle w:val="Strong"/>
          <w:b w:val="0"/>
          <w:bCs w:val="0"/>
        </w:rPr>
        <w:t xml:space="preserve"> </w:t>
      </w:r>
      <w:r w:rsidRPr="00B20975">
        <w:rPr>
          <w:rStyle w:val="Strong"/>
          <w:b w:val="0"/>
          <w:bCs w:val="0"/>
        </w:rPr>
        <w:t xml:space="preserve">the uncertainty in the evidence underpinning the model </w:t>
      </w:r>
      <w:r w:rsidRPr="0B982229">
        <w:rPr>
          <w:rStyle w:val="Strong"/>
          <w:b w:val="0"/>
          <w:bCs w:val="0"/>
        </w:rPr>
        <w:t>and</w:t>
      </w:r>
      <w:r w:rsidRPr="00B20975">
        <w:rPr>
          <w:rStyle w:val="Strong"/>
          <w:b w:val="0"/>
          <w:bCs w:val="0"/>
        </w:rPr>
        <w:t xml:space="preserve"> that </w:t>
      </w:r>
      <w:r w:rsidRPr="0B982229">
        <w:rPr>
          <w:rStyle w:val="Strong"/>
          <w:b w:val="0"/>
          <w:bCs w:val="0"/>
        </w:rPr>
        <w:t xml:space="preserve">the </w:t>
      </w:r>
      <w:r w:rsidRPr="00B20975">
        <w:rPr>
          <w:rStyle w:val="Strong"/>
          <w:b w:val="0"/>
          <w:bCs w:val="0"/>
        </w:rPr>
        <w:t xml:space="preserve">results </w:t>
      </w:r>
      <w:r w:rsidRPr="0B982229">
        <w:rPr>
          <w:rStyle w:val="Strong"/>
          <w:b w:val="0"/>
          <w:bCs w:val="0"/>
        </w:rPr>
        <w:t>needed</w:t>
      </w:r>
      <w:r w:rsidRPr="00B20975">
        <w:rPr>
          <w:rStyle w:val="Strong"/>
          <w:b w:val="0"/>
          <w:bCs w:val="0"/>
        </w:rPr>
        <w:t xml:space="preserve"> to be interpreted with caution. ESC </w:t>
      </w:r>
      <w:r w:rsidRPr="0B982229">
        <w:rPr>
          <w:rStyle w:val="Strong"/>
          <w:b w:val="0"/>
          <w:bCs w:val="0"/>
        </w:rPr>
        <w:t xml:space="preserve">also </w:t>
      </w:r>
      <w:r w:rsidRPr="00B20975">
        <w:rPr>
          <w:rStyle w:val="Strong"/>
          <w:b w:val="0"/>
          <w:bCs w:val="0"/>
        </w:rPr>
        <w:t xml:space="preserve">noted that the differences in QALYs gained </w:t>
      </w:r>
      <w:r w:rsidRPr="0B982229">
        <w:rPr>
          <w:rStyle w:val="Strong"/>
          <w:b w:val="0"/>
          <w:bCs w:val="0"/>
        </w:rPr>
        <w:t>were</w:t>
      </w:r>
      <w:r w:rsidRPr="00B20975">
        <w:rPr>
          <w:rStyle w:val="Strong"/>
          <w:b w:val="0"/>
          <w:bCs w:val="0"/>
        </w:rPr>
        <w:t xml:space="preserve"> negligible </w:t>
      </w:r>
      <w:r>
        <w:rPr>
          <w:rStyle w:val="Strong"/>
          <w:b w:val="0"/>
          <w:bCs w:val="0"/>
        </w:rPr>
        <w:t>and similar across the two strategies</w:t>
      </w:r>
      <w:r w:rsidRPr="00B20975">
        <w:rPr>
          <w:rStyle w:val="Strong"/>
          <w:b w:val="0"/>
          <w:bCs w:val="0"/>
        </w:rPr>
        <w:t>.</w:t>
      </w:r>
    </w:p>
    <w:p w14:paraId="3AC6C4BF" w14:textId="77777777" w:rsidR="00476193" w:rsidRDefault="00476193" w:rsidP="00476193">
      <w:r w:rsidRPr="00B20975">
        <w:rPr>
          <w:rStyle w:val="Strong"/>
          <w:b w:val="0"/>
          <w:bCs w:val="0"/>
        </w:rPr>
        <w:t>ESC noted the financial implications were based on an incidence-based epidemiological approach</w:t>
      </w:r>
      <w:r>
        <w:rPr>
          <w:rStyle w:val="Strong"/>
          <w:b w:val="0"/>
          <w:bCs w:val="0"/>
        </w:rPr>
        <w:t xml:space="preserve">. </w:t>
      </w:r>
      <w:r w:rsidRPr="00B20975">
        <w:rPr>
          <w:rStyle w:val="Strong"/>
          <w:b w:val="0"/>
          <w:bCs w:val="0"/>
        </w:rPr>
        <w:t>However, ESC noted several limitations</w:t>
      </w:r>
      <w:r w:rsidRPr="0B982229">
        <w:rPr>
          <w:rStyle w:val="Strong"/>
          <w:b w:val="0"/>
          <w:bCs w:val="0"/>
        </w:rPr>
        <w:t xml:space="preserve">, including reliance on </w:t>
      </w:r>
      <w:r w:rsidRPr="00B20975">
        <w:rPr>
          <w:rStyle w:val="Strong"/>
          <w:b w:val="0"/>
          <w:bCs w:val="0"/>
        </w:rPr>
        <w:t xml:space="preserve">overseas </w:t>
      </w:r>
      <w:r w:rsidRPr="0B982229">
        <w:rPr>
          <w:rStyle w:val="Strong"/>
          <w:b w:val="0"/>
          <w:bCs w:val="0"/>
        </w:rPr>
        <w:t>data</w:t>
      </w:r>
      <w:r w:rsidRPr="00B20975">
        <w:rPr>
          <w:rStyle w:val="Strong"/>
          <w:b w:val="0"/>
          <w:bCs w:val="0"/>
        </w:rPr>
        <w:t xml:space="preserve"> sources and the unclear relevance to the Australian population</w:t>
      </w:r>
      <w:r>
        <w:rPr>
          <w:rStyle w:val="Strong"/>
          <w:b w:val="0"/>
          <w:bCs w:val="0"/>
        </w:rPr>
        <w:t>, and the uncertainty in cancer staging</w:t>
      </w:r>
      <w:r w:rsidRPr="00B20975">
        <w:rPr>
          <w:rStyle w:val="Strong"/>
          <w:b w:val="0"/>
          <w:bCs w:val="0"/>
        </w:rPr>
        <w:t>.</w:t>
      </w:r>
      <w:r>
        <w:rPr>
          <w:rStyle w:val="Strong"/>
        </w:rPr>
        <w:t xml:space="preserve"> </w:t>
      </w:r>
      <w:r>
        <w:t xml:space="preserve">Cancer staging data for the patients are not routinely collected by Australian registries so estimating the eligible population is uncertain. </w:t>
      </w:r>
      <w:r>
        <w:rPr>
          <w:rStyle w:val="Strong"/>
          <w:b w:val="0"/>
          <w:bCs w:val="0"/>
        </w:rPr>
        <w:t xml:space="preserve">ESC noted that </w:t>
      </w:r>
      <w:r>
        <w:t xml:space="preserve">the estimated financial impact to the MBS in Year 1 was $1.6 million, increasing to $3.5 million by Year 6 as uptake of the genotyping increases. However, ESC noted that the intervention could be cost-saving to the healthcare system and PBS when considering reduced hospitalisations, shorter LOS, reduced use of PBS-listed chemotherapy medications. ESC noted the pre-ESC response, which re-iterated that genotyping was cost-effective and cost-saving. ESC considered the cost savings </w:t>
      </w:r>
      <w:proofErr w:type="gramStart"/>
      <w:r>
        <w:t>rising up</w:t>
      </w:r>
      <w:proofErr w:type="gramEnd"/>
      <w:r>
        <w:t xml:space="preserve"> to nearly $39.1 million by Year 6 could be overestimated as they largely depended on the shortened LOS, which was highly uncertain and may not result in any cost savings if the reduction in LOS is </w:t>
      </w:r>
      <w:r>
        <w:lastRenderedPageBreak/>
        <w:t>not realised. ESC also considered that t</w:t>
      </w:r>
      <w:r w:rsidRPr="00AA4126">
        <w:t xml:space="preserve">he clinical uncertainty around the efficacy of </w:t>
      </w:r>
      <w:r w:rsidRPr="00AA4126">
        <w:rPr>
          <w:i/>
          <w:iCs/>
        </w:rPr>
        <w:t>DPYD</w:t>
      </w:r>
      <w:r w:rsidRPr="00AA4126">
        <w:t xml:space="preserve"> genotyping and the </w:t>
      </w:r>
      <w:r>
        <w:t>use</w:t>
      </w:r>
      <w:r w:rsidRPr="00AA4126">
        <w:t xml:space="preserve"> of reduced dosing to reduce toxicity ha</w:t>
      </w:r>
      <w:r>
        <w:t>d</w:t>
      </w:r>
      <w:r w:rsidRPr="00AA4126">
        <w:t xml:space="preserve"> the biggest impact on the financial implications and </w:t>
      </w:r>
      <w:r>
        <w:t>wa</w:t>
      </w:r>
      <w:r w:rsidRPr="00AA4126">
        <w:t xml:space="preserve">s likely to overestimate the savings </w:t>
      </w:r>
      <w:r>
        <w:t>from</w:t>
      </w:r>
      <w:r w:rsidRPr="00AA4126">
        <w:t xml:space="preserve"> listing </w:t>
      </w:r>
      <w:r w:rsidRPr="00AA4126">
        <w:rPr>
          <w:i/>
          <w:iCs/>
        </w:rPr>
        <w:t>DPYD</w:t>
      </w:r>
      <w:r w:rsidRPr="00AA4126">
        <w:t xml:space="preserve"> genotyping.</w:t>
      </w:r>
      <w:r>
        <w:t xml:space="preserve"> Further, ESC considered the uptake of genotyping to be uncertain, as no data were presented to support the numbers in the application. ESC noted the number of patients who </w:t>
      </w:r>
      <w:r w:rsidRPr="008B00A7">
        <w:t>receiv</w:t>
      </w:r>
      <w:r>
        <w:t>e</w:t>
      </w:r>
      <w:r w:rsidRPr="008B00A7">
        <w:t xml:space="preserve"> FPs as radiosensitisers</w:t>
      </w:r>
      <w:r>
        <w:t xml:space="preserve"> is also unknown</w:t>
      </w:r>
      <w:r w:rsidRPr="008B00A7">
        <w:t>.</w:t>
      </w:r>
    </w:p>
    <w:p w14:paraId="7676B7F0" w14:textId="77777777" w:rsidR="00476193" w:rsidRDefault="00476193" w:rsidP="00476193">
      <w:r>
        <w:t>ESC noted that the department contracted assessment report (DCAR) did not consider the additional costs of TDM and dose escalation if required, which would impact the economic evaluation and financials.</w:t>
      </w:r>
    </w:p>
    <w:p w14:paraId="437B6940" w14:textId="77777777" w:rsidR="00476193" w:rsidRPr="000A6415" w:rsidRDefault="00476193" w:rsidP="00476193">
      <w:pPr>
        <w:rPr>
          <w:rStyle w:val="Strong"/>
          <w:b w:val="0"/>
          <w:bCs w:val="0"/>
        </w:rPr>
      </w:pPr>
      <w:r>
        <w:t xml:space="preserve">ESC noted the ongoing Australian clinical trials </w:t>
      </w:r>
      <w:r>
        <w:rPr>
          <w:rStyle w:val="Strong"/>
          <w:b w:val="0"/>
          <w:bCs w:val="0"/>
        </w:rPr>
        <w:t>and</w:t>
      </w:r>
      <w:r w:rsidRPr="000A6415">
        <w:rPr>
          <w:rStyle w:val="Strong"/>
          <w:b w:val="0"/>
          <w:bCs w:val="0"/>
        </w:rPr>
        <w:t xml:space="preserve"> considered that the additional information from these trials would be helpful for MSAC decision-making; specifically, any information on any other variants identified other than the four included in this application, as well as additional details </w:t>
      </w:r>
      <w:r>
        <w:rPr>
          <w:rStyle w:val="Strong"/>
          <w:b w:val="0"/>
          <w:bCs w:val="0"/>
        </w:rPr>
        <w:t>that is more relevant to the Australian population</w:t>
      </w:r>
      <w:r w:rsidRPr="000A6415">
        <w:rPr>
          <w:rStyle w:val="Strong"/>
          <w:b w:val="0"/>
          <w:bCs w:val="0"/>
        </w:rPr>
        <w:t xml:space="preserve">. ESC also </w:t>
      </w:r>
      <w:r>
        <w:rPr>
          <w:rStyle w:val="Strong"/>
          <w:b w:val="0"/>
          <w:bCs w:val="0"/>
        </w:rPr>
        <w:t>noted</w:t>
      </w:r>
      <w:r w:rsidRPr="000A6415">
        <w:rPr>
          <w:rStyle w:val="Strong"/>
          <w:b w:val="0"/>
          <w:bCs w:val="0"/>
        </w:rPr>
        <w:t xml:space="preserve"> </w:t>
      </w:r>
      <w:r w:rsidRPr="000A6415">
        <w:t xml:space="preserve">two recent </w:t>
      </w:r>
      <w:r>
        <w:t>publication</w:t>
      </w:r>
      <w:r w:rsidRPr="000A6415">
        <w:t>s that include</w:t>
      </w:r>
      <w:r>
        <w:t>d</w:t>
      </w:r>
      <w:r w:rsidRPr="000A6415">
        <w:t xml:space="preserve"> genome-wide association studies</w:t>
      </w:r>
      <w:r>
        <w:t xml:space="preserve"> (GWAS)</w:t>
      </w:r>
      <w:r w:rsidRPr="000A6415">
        <w:t xml:space="preserve"> and non-Caucasian population cohorts.</w:t>
      </w:r>
      <w:r w:rsidRPr="000A6415">
        <w:rPr>
          <w:rStyle w:val="FootnoteReference"/>
        </w:rPr>
        <w:footnoteReference w:id="36"/>
      </w:r>
      <w:r w:rsidRPr="000A6415">
        <w:rPr>
          <w:vertAlign w:val="superscript"/>
        </w:rPr>
        <w:t>,</w:t>
      </w:r>
      <w:r w:rsidRPr="000A6415">
        <w:rPr>
          <w:rStyle w:val="FootnoteReference"/>
        </w:rPr>
        <w:footnoteReference w:id="37"/>
      </w:r>
    </w:p>
    <w:p w14:paraId="708187DA" w14:textId="77777777" w:rsidR="00476193" w:rsidRPr="000A6415" w:rsidRDefault="00476193" w:rsidP="00476193">
      <w:pPr>
        <w:rPr>
          <w:rStyle w:val="Strong"/>
          <w:b w:val="0"/>
          <w:bCs w:val="0"/>
        </w:rPr>
      </w:pPr>
      <w:r w:rsidRPr="000A6415">
        <w:rPr>
          <w:rStyle w:val="Strong"/>
          <w:b w:val="0"/>
          <w:bCs w:val="0"/>
        </w:rPr>
        <w:t xml:space="preserve">ESC </w:t>
      </w:r>
      <w:r>
        <w:rPr>
          <w:rStyle w:val="Strong"/>
          <w:b w:val="0"/>
          <w:bCs w:val="0"/>
        </w:rPr>
        <w:t xml:space="preserve">also </w:t>
      </w:r>
      <w:r w:rsidRPr="000A6415">
        <w:rPr>
          <w:rStyle w:val="Strong"/>
          <w:b w:val="0"/>
          <w:bCs w:val="0"/>
        </w:rPr>
        <w:t xml:space="preserve">requested more information on the current usage of </w:t>
      </w:r>
      <w:r w:rsidRPr="000A6415">
        <w:rPr>
          <w:rStyle w:val="Strong"/>
          <w:b w:val="0"/>
          <w:bCs w:val="0"/>
          <w:i/>
          <w:iCs/>
        </w:rPr>
        <w:t>DPYD</w:t>
      </w:r>
      <w:r w:rsidRPr="000A6415">
        <w:rPr>
          <w:rStyle w:val="Strong"/>
          <w:b w:val="0"/>
          <w:bCs w:val="0"/>
        </w:rPr>
        <w:t xml:space="preserve"> testing in clinical practice, as this test is currently available to some patients in Australia. </w:t>
      </w:r>
    </w:p>
    <w:p w14:paraId="34459A9A" w14:textId="77777777" w:rsidR="00476193" w:rsidRDefault="00476193" w:rsidP="00476193">
      <w:r w:rsidRPr="000A6415">
        <w:rPr>
          <w:rStyle w:val="Strong"/>
          <w:b w:val="0"/>
          <w:bCs w:val="0"/>
        </w:rPr>
        <w:t>ESC noted equity issues</w:t>
      </w:r>
      <w:r>
        <w:rPr>
          <w:rStyle w:val="Strong"/>
          <w:b w:val="0"/>
          <w:bCs w:val="0"/>
        </w:rPr>
        <w:t xml:space="preserve"> arising from slower access for patients in rural and remote areas potentially delaying commencement of treatment. ESC also noted </w:t>
      </w:r>
      <w:r w:rsidRPr="000A6415">
        <w:rPr>
          <w:rStyle w:val="Strong"/>
          <w:b w:val="0"/>
          <w:bCs w:val="0"/>
        </w:rPr>
        <w:t>l</w:t>
      </w:r>
      <w:r w:rsidRPr="000A6415">
        <w:t>imited</w:t>
      </w:r>
      <w:r w:rsidRPr="008369EA">
        <w:t xml:space="preserve"> </w:t>
      </w:r>
      <w:r>
        <w:t>genomic variant data</w:t>
      </w:r>
      <w:r w:rsidRPr="008369EA">
        <w:t xml:space="preserve"> </w:t>
      </w:r>
      <w:r>
        <w:t>availability for</w:t>
      </w:r>
      <w:r w:rsidRPr="008369EA">
        <w:t xml:space="preserve"> non-Caucasian populations, including </w:t>
      </w:r>
      <w:r>
        <w:t xml:space="preserve">First Nations people. </w:t>
      </w:r>
    </w:p>
    <w:p w14:paraId="6D48C8B4" w14:textId="77777777" w:rsidR="00476193" w:rsidRDefault="00476193" w:rsidP="00476193">
      <w:r>
        <w:t>Overall, ESC considered that t</w:t>
      </w:r>
      <w:r w:rsidRPr="0078688D">
        <w:t xml:space="preserve">he evidence base is not strong enough to determine the effectiveness of pre-treatment </w:t>
      </w:r>
      <w:r w:rsidRPr="0078688D">
        <w:rPr>
          <w:i/>
          <w:iCs/>
        </w:rPr>
        <w:t>DPYD</w:t>
      </w:r>
      <w:r w:rsidRPr="0078688D">
        <w:t xml:space="preserve"> genotyping compared to no </w:t>
      </w:r>
      <w:r>
        <w:t>testing</w:t>
      </w:r>
      <w:r w:rsidRPr="0078688D">
        <w:t xml:space="preserve"> in terms of</w:t>
      </w:r>
      <w:r>
        <w:t xml:space="preserve"> </w:t>
      </w:r>
      <w:r w:rsidRPr="0078688D">
        <w:t xml:space="preserve">preventing </w:t>
      </w:r>
      <w:r>
        <w:t>FP</w:t>
      </w:r>
      <w:r w:rsidRPr="0078688D">
        <w:t>-induced toxicity</w:t>
      </w:r>
      <w:r>
        <w:t>. T</w:t>
      </w:r>
      <w:r w:rsidRPr="0078688D">
        <w:t xml:space="preserve">he evidence </w:t>
      </w:r>
      <w:r>
        <w:t>did not demonstrate</w:t>
      </w:r>
      <w:r w:rsidRPr="0078688D">
        <w:t xml:space="preserve"> superior effectiveness (</w:t>
      </w:r>
      <w:r>
        <w:t xml:space="preserve">i.e. was </w:t>
      </w:r>
      <w:r w:rsidRPr="0078688D">
        <w:t>without statistical confirmation</w:t>
      </w:r>
      <w:proofErr w:type="gramStart"/>
      <w:r w:rsidRPr="0078688D">
        <w:t>)</w:t>
      </w:r>
      <w:r>
        <w:t>, but</w:t>
      </w:r>
      <w:proofErr w:type="gramEnd"/>
      <w:r>
        <w:t xml:space="preserve"> showed comparable </w:t>
      </w:r>
      <w:r w:rsidRPr="0078688D">
        <w:t>cancer response rates and</w:t>
      </w:r>
      <w:r>
        <w:t xml:space="preserve"> OS between populations with a FP dose-reduction in relation to reduced </w:t>
      </w:r>
      <w:r w:rsidRPr="0B982229">
        <w:rPr>
          <w:i/>
          <w:iCs/>
        </w:rPr>
        <w:t>DPYD</w:t>
      </w:r>
      <w:r>
        <w:t xml:space="preserve"> metaboliser status and those without a need for dose-reduction. ESC noted </w:t>
      </w:r>
      <w:r w:rsidRPr="00E73AF2">
        <w:t xml:space="preserve">significant gaps in how well current studies </w:t>
      </w:r>
      <w:r>
        <w:t>represented</w:t>
      </w:r>
      <w:r w:rsidRPr="00E73AF2">
        <w:t xml:space="preserve"> the risks associated with FP-associated toxicity for different genetic profiles, particularly concerning the high-risk group of poor </w:t>
      </w:r>
      <w:r w:rsidRPr="00E73AF2">
        <w:rPr>
          <w:i/>
          <w:iCs/>
        </w:rPr>
        <w:t xml:space="preserve">DPYD </w:t>
      </w:r>
      <w:r w:rsidRPr="00E73AF2">
        <w:t>metabolisers</w:t>
      </w:r>
      <w:r>
        <w:t>. ESC noted that these uncertainties flowed onto the economic evaluation and budget impact. In addition, ESC noted the uncertainty in the calculated ICER and financial impact as they heavily relied on reduced LOS and the predicted uptake of the testing, both which are uncertain.</w:t>
      </w:r>
    </w:p>
    <w:p w14:paraId="76A9CF27" w14:textId="5FC0F984" w:rsidR="00476193" w:rsidRPr="00476193" w:rsidRDefault="00476193" w:rsidP="00476193">
      <w:pPr>
        <w:pStyle w:val="Heading2"/>
      </w:pPr>
      <w:r>
        <w:t>1</w:t>
      </w:r>
      <w:r w:rsidR="00F45A1F">
        <w:t>7</w:t>
      </w:r>
      <w:r>
        <w:t>.</w:t>
      </w:r>
      <w:r>
        <w:tab/>
      </w:r>
      <w:r w:rsidRPr="00835672">
        <w:t>Applicant comments on MSAC’s Public Summary Document</w:t>
      </w:r>
    </w:p>
    <w:p w14:paraId="00F6026D" w14:textId="77777777" w:rsidR="005510C1" w:rsidRPr="00D878E1" w:rsidRDefault="005510C1" w:rsidP="005510C1">
      <w:r w:rsidRPr="00053C4A">
        <w:t>The College and Fellows have nil comments to make on the PSD for Application 17</w:t>
      </w:r>
      <w:r>
        <w:t xml:space="preserve">60. </w:t>
      </w:r>
      <w:r w:rsidRPr="00D878E1">
        <w:t>The College’s Working Party would</w:t>
      </w:r>
      <w:r>
        <w:t>; however,</w:t>
      </w:r>
      <w:r w:rsidRPr="00D878E1">
        <w:t xml:space="preserve"> like to express their delight in MSAC approving </w:t>
      </w:r>
      <w:r>
        <w:t>public funding for DPYD genotyping</w:t>
      </w:r>
      <w:r w:rsidRPr="00D878E1">
        <w:t>, and would like to take this opportunity to thank the Department for its assistance throughout the assessment process.</w:t>
      </w:r>
    </w:p>
    <w:p w14:paraId="35D11CC7" w14:textId="3DEA9CE6" w:rsidR="00476193" w:rsidRPr="00476193" w:rsidRDefault="00476193" w:rsidP="00476193">
      <w:pPr>
        <w:pStyle w:val="Heading2"/>
      </w:pPr>
      <w:r>
        <w:t>1</w:t>
      </w:r>
      <w:r w:rsidR="00F45A1F">
        <w:t>8</w:t>
      </w:r>
      <w:r>
        <w:t>.</w:t>
      </w:r>
      <w:r>
        <w:tab/>
      </w:r>
      <w:r w:rsidRPr="00835672">
        <w:t>Further information on MSAC</w:t>
      </w:r>
    </w:p>
    <w:p w14:paraId="5E375CC6" w14:textId="3437B02E" w:rsidR="00DF5D12" w:rsidRPr="00DF5D12" w:rsidRDefault="00476193" w:rsidP="00D54306">
      <w:pPr>
        <w:pStyle w:val="BodyText"/>
      </w:pPr>
      <w:r w:rsidRPr="00835672">
        <w:rPr>
          <w:rFonts w:ascii="Franklin Gothic Book" w:hAnsi="Franklin Gothic Book"/>
          <w:bCs/>
          <w:iCs/>
          <w:sz w:val="22"/>
        </w:rPr>
        <w:t xml:space="preserve">MSAC Terms of Reference and other information are available on the MSAC Website: </w:t>
      </w:r>
      <w:hyperlink r:id="rId11" w:tooltip="Link to the MSAC website" w:history="1">
        <w:r w:rsidRPr="00835672">
          <w:rPr>
            <w:rStyle w:val="Hyperlink"/>
            <w:rFonts w:ascii="Franklin Gothic Book" w:hAnsi="Franklin Gothic Book"/>
            <w:iCs/>
            <w:sz w:val="22"/>
          </w:rPr>
          <w:t>visit the MSAC website</w:t>
        </w:r>
      </w:hyperlink>
    </w:p>
    <w:sectPr w:rsidR="00DF5D12" w:rsidRPr="00DF5D12" w:rsidSect="007479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B651" w14:textId="77777777" w:rsidR="0032656C" w:rsidRDefault="0032656C" w:rsidP="00827FF0">
      <w:r>
        <w:separator/>
      </w:r>
    </w:p>
    <w:p w14:paraId="4A44F26E" w14:textId="77777777" w:rsidR="0032656C" w:rsidRDefault="0032656C" w:rsidP="00FF160D"/>
  </w:endnote>
  <w:endnote w:type="continuationSeparator" w:id="0">
    <w:p w14:paraId="130CBADB" w14:textId="77777777" w:rsidR="0032656C" w:rsidRDefault="0032656C" w:rsidP="00827FF0">
      <w:r>
        <w:continuationSeparator/>
      </w:r>
    </w:p>
    <w:p w14:paraId="6A69256B" w14:textId="77777777" w:rsidR="0032656C" w:rsidRDefault="0032656C" w:rsidP="00FF160D"/>
  </w:endnote>
  <w:endnote w:type="continuationNotice" w:id="1">
    <w:p w14:paraId="09DFB2F4" w14:textId="77777777" w:rsidR="0032656C" w:rsidRDefault="0032656C" w:rsidP="00827FF0"/>
    <w:p w14:paraId="65E0DDB5" w14:textId="77777777" w:rsidR="0032656C" w:rsidRDefault="0032656C" w:rsidP="00FF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calaLancetPro">
    <w:altName w:val="Yu Gothic"/>
    <w:charset w:val="80"/>
    <w:family w:val="auto"/>
    <w:pitch w:val="default"/>
    <w:sig w:usb0="00002A87" w:usb1="08070000" w:usb2="00000010" w:usb3="00000000" w:csb0="0002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cademy Engraved LET">
    <w:altName w:val="Colonna MT"/>
    <w:charset w:val="00"/>
    <w:family w:val="roman"/>
    <w:pitch w:val="default"/>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JansonTextLTStd-Roma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8518"/>
      <w:docPartObj>
        <w:docPartGallery w:val="Page Numbers (Bottom of Page)"/>
        <w:docPartUnique/>
      </w:docPartObj>
    </w:sdtPr>
    <w:sdtEndPr>
      <w:rPr>
        <w:noProof/>
      </w:rPr>
    </w:sdtEndPr>
    <w:sdtContent>
      <w:p w14:paraId="3409C9AA" w14:textId="1804A3BA" w:rsidR="000751FA" w:rsidRDefault="000751FA" w:rsidP="005A673A">
        <w:pPr>
          <w:pStyle w:val="Footer"/>
          <w:jc w:val="right"/>
        </w:pPr>
        <w:r>
          <w:fldChar w:fldCharType="begin"/>
        </w:r>
        <w:r>
          <w:instrText xml:space="preserve"> PAGE   \* MERGEFORMAT </w:instrText>
        </w:r>
        <w:r>
          <w:fldChar w:fldCharType="separate"/>
        </w:r>
        <w:r>
          <w:rPr>
            <w:noProof/>
          </w:rPr>
          <w:t>72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840467"/>
      <w:docPartObj>
        <w:docPartGallery w:val="Page Numbers (Bottom of Page)"/>
        <w:docPartUnique/>
      </w:docPartObj>
    </w:sdtPr>
    <w:sdtEndPr>
      <w:rPr>
        <w:noProof/>
      </w:rPr>
    </w:sdtEndPr>
    <w:sdtContent>
      <w:p w14:paraId="3278EE25" w14:textId="1D9B1DEB" w:rsidR="000751FA" w:rsidRDefault="000751FA" w:rsidP="005A673A">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6A9F" w14:textId="77777777" w:rsidR="0081402D" w:rsidRDefault="0081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17A8" w14:textId="77777777" w:rsidR="0032656C" w:rsidRDefault="0032656C" w:rsidP="00FF160D">
      <w:r>
        <w:separator/>
      </w:r>
    </w:p>
  </w:footnote>
  <w:footnote w:type="continuationSeparator" w:id="0">
    <w:p w14:paraId="5B88A31F" w14:textId="77777777" w:rsidR="0032656C" w:rsidRDefault="0032656C" w:rsidP="00827FF0">
      <w:r>
        <w:continuationSeparator/>
      </w:r>
    </w:p>
    <w:p w14:paraId="23E6D5F3" w14:textId="77777777" w:rsidR="0032656C" w:rsidRDefault="0032656C" w:rsidP="00FF160D"/>
  </w:footnote>
  <w:footnote w:type="continuationNotice" w:id="1">
    <w:p w14:paraId="4CB684D2" w14:textId="77777777" w:rsidR="0032656C" w:rsidRDefault="0032656C" w:rsidP="00827FF0"/>
    <w:p w14:paraId="11124049" w14:textId="77777777" w:rsidR="0032656C" w:rsidRDefault="0032656C" w:rsidP="00FF160D"/>
  </w:footnote>
  <w:footnote w:id="2">
    <w:p w14:paraId="686AB0E4" w14:textId="7D442712" w:rsidR="00416A1F" w:rsidRDefault="00416A1F">
      <w:pPr>
        <w:pStyle w:val="FootnoteText"/>
      </w:pPr>
      <w:r>
        <w:rPr>
          <w:rStyle w:val="FootnoteReference"/>
        </w:rPr>
        <w:footnoteRef/>
      </w:r>
      <w:r>
        <w:t xml:space="preserve"> </w:t>
      </w:r>
      <w:r w:rsidR="009A1209" w:rsidRPr="009A1209">
        <w:t xml:space="preserve">Mattison LK, </w:t>
      </w:r>
      <w:r w:rsidR="009A1209">
        <w:t>et al</w:t>
      </w:r>
      <w:r w:rsidR="009A1209" w:rsidRPr="009A1209">
        <w:t xml:space="preserve">. Implications of dihydropyrimidine dehydrogenase on 5-fluorouracil pharmacogenetics and pharmacogenomics. </w:t>
      </w:r>
      <w:r w:rsidR="009A1209" w:rsidRPr="00BC566D">
        <w:rPr>
          <w:i/>
          <w:iCs/>
        </w:rPr>
        <w:t>Pharmacogenomics</w:t>
      </w:r>
      <w:r w:rsidR="009A1209" w:rsidRPr="009A1209">
        <w:t>. 2002 Jul 1;3(4):485-92.</w:t>
      </w:r>
    </w:p>
  </w:footnote>
  <w:footnote w:id="3">
    <w:p w14:paraId="4D680099" w14:textId="0D919F92" w:rsidR="00AB07D0" w:rsidRDefault="00AB07D0">
      <w:pPr>
        <w:pStyle w:val="FootnoteText"/>
      </w:pPr>
      <w:r>
        <w:rPr>
          <w:rStyle w:val="FootnoteReference"/>
        </w:rPr>
        <w:footnoteRef/>
      </w:r>
      <w:r>
        <w:t xml:space="preserve"> </w:t>
      </w:r>
      <w:r w:rsidRPr="00AB07D0">
        <w:t>Amstutz U, et al. Clinical Pharmacogenetics Implementation Consortium (CPIC) Guideline for Dihydropyrimidine Dehydrogenase Genotype and Fluoropyrimidine Dosing: 2017 Update.</w:t>
      </w:r>
      <w:r w:rsidR="00127E03">
        <w:t xml:space="preserve"> </w:t>
      </w:r>
      <w:r w:rsidR="00127E03" w:rsidRPr="00093208">
        <w:rPr>
          <w:i/>
          <w:iCs/>
        </w:rPr>
        <w:t>Clin Pharmacol Ther</w:t>
      </w:r>
      <w:r w:rsidR="00127E03">
        <w:t>.</w:t>
      </w:r>
      <w:r w:rsidR="008D5B5A" w:rsidRPr="008D5B5A">
        <w:t xml:space="preserve"> </w:t>
      </w:r>
      <w:r w:rsidR="008D5B5A" w:rsidRPr="00AB07D0">
        <w:t>2018</w:t>
      </w:r>
      <w:r w:rsidR="00127E03">
        <w:t xml:space="preserve"> Nov 20;</w:t>
      </w:r>
      <w:r w:rsidR="00127E03" w:rsidRPr="00127E03">
        <w:t xml:space="preserve"> 103(2):210–216</w:t>
      </w:r>
      <w:r w:rsidR="00806740">
        <w:t>.</w:t>
      </w:r>
    </w:p>
  </w:footnote>
  <w:footnote w:id="4">
    <w:p w14:paraId="5C69BF15" w14:textId="78EEE6C5" w:rsidR="0092284A" w:rsidRDefault="000B469C" w:rsidP="00CC7A88">
      <w:pPr>
        <w:pStyle w:val="FootnoteText"/>
      </w:pPr>
      <w:r>
        <w:rPr>
          <w:rStyle w:val="FootnoteReference"/>
        </w:rPr>
        <w:footnoteRef/>
      </w:r>
      <w:r w:rsidRPr="000B469C">
        <w:t xml:space="preserve">Detailleur, S., E. Segelov, M. D. Re, et al. 2021. "Dihydropyrimidine dehydrogenase deficiency in patients with severe toxicity after 5-fluorouracil: a retrospective single-center study." </w:t>
      </w:r>
      <w:r w:rsidRPr="00EB4292">
        <w:rPr>
          <w:i/>
          <w:iCs/>
        </w:rPr>
        <w:t>Ann Gastroenterol</w:t>
      </w:r>
      <w:r>
        <w:rPr>
          <w:i/>
          <w:iCs/>
        </w:rPr>
        <w:t>.</w:t>
      </w:r>
      <w:r w:rsidR="007452E1">
        <w:t xml:space="preserve">2020 </w:t>
      </w:r>
      <w:r w:rsidR="004D65F1">
        <w:t>O</w:t>
      </w:r>
      <w:r w:rsidR="007452E1">
        <w:t>ct 12;</w:t>
      </w:r>
      <w:r w:rsidRPr="000B469C">
        <w:t xml:space="preserve"> 34(1):68-72.</w:t>
      </w:r>
    </w:p>
  </w:footnote>
  <w:footnote w:id="5">
    <w:p w14:paraId="357F67D9" w14:textId="6C9D3628" w:rsidR="00140F2E" w:rsidRDefault="00140F2E" w:rsidP="00093208">
      <w:pPr>
        <w:pStyle w:val="FootnoteText"/>
      </w:pPr>
      <w:r>
        <w:rPr>
          <w:rStyle w:val="FootnoteReference"/>
        </w:rPr>
        <w:footnoteRef/>
      </w:r>
      <w:r>
        <w:t xml:space="preserve"> </w:t>
      </w:r>
      <w:hyperlink r:id="rId1" w:history="1">
        <w:r w:rsidRPr="000B0D2A">
          <w:rPr>
            <w:rStyle w:val="Hyperlink"/>
          </w:rPr>
          <w:t>https://www.eviq.org.au/clinical-resources/side-effect-and-toxicity-management/prophylaxis-and-treatment/1744-dihydropyrimidine-dehydrogenase-dpd-enzyme</w:t>
        </w:r>
      </w:hyperlink>
    </w:p>
  </w:footnote>
  <w:footnote w:id="6">
    <w:p w14:paraId="49A04A60" w14:textId="62588048" w:rsidR="00D8246F" w:rsidRDefault="00D8246F">
      <w:pPr>
        <w:pStyle w:val="FootnoteText"/>
      </w:pPr>
      <w:r>
        <w:rPr>
          <w:rStyle w:val="FootnoteReference"/>
        </w:rPr>
        <w:footnoteRef/>
      </w:r>
      <w:r>
        <w:t xml:space="preserve"> </w:t>
      </w:r>
      <w:r w:rsidRPr="00D8246F">
        <w:t xml:space="preserve">Turner AJ, </w:t>
      </w:r>
      <w:r>
        <w:t>et al.</w:t>
      </w:r>
      <w:r w:rsidRPr="00D8246F">
        <w:t xml:space="preserve"> Updated DPYD HapB3 haplotype structure and implications for pharmacogenomic testing. </w:t>
      </w:r>
      <w:r w:rsidRPr="00B850D2">
        <w:rPr>
          <w:i/>
          <w:iCs/>
        </w:rPr>
        <w:t>Clin Transl Sci</w:t>
      </w:r>
      <w:r w:rsidRPr="00D8246F">
        <w:t xml:space="preserve">. </w:t>
      </w:r>
      <w:r w:rsidRPr="002C5FB1">
        <w:rPr>
          <w:i/>
          <w:iCs/>
        </w:rPr>
        <w:t>2024</w:t>
      </w:r>
      <w:r w:rsidRPr="00D8246F">
        <w:t xml:space="preserve"> Jan;17(1):e13699. doi: 10.1111/cts.13699. PMID: 38129972; PMCID: PMC10777430.</w:t>
      </w:r>
    </w:p>
  </w:footnote>
  <w:footnote w:id="7">
    <w:p w14:paraId="12E57A72" w14:textId="77777777" w:rsidR="00773031" w:rsidRDefault="00773031">
      <w:pPr>
        <w:pStyle w:val="FootnoteText"/>
      </w:pPr>
      <w:r>
        <w:rPr>
          <w:rStyle w:val="FootnoteReference"/>
        </w:rPr>
        <w:footnoteRef/>
      </w:r>
      <w:r>
        <w:t xml:space="preserve"> </w:t>
      </w:r>
      <w:r w:rsidRPr="007731F6">
        <w:t>Nalder</w:t>
      </w:r>
      <w:r>
        <w:t>, M</w:t>
      </w:r>
      <w:r w:rsidRPr="007731F6">
        <w:t xml:space="preserve"> </w:t>
      </w:r>
      <w:r w:rsidRPr="00BC566D">
        <w:rPr>
          <w:i/>
          <w:iCs/>
        </w:rPr>
        <w:t>et al.</w:t>
      </w:r>
      <w:r w:rsidRPr="007731F6">
        <w:t xml:space="preserve"> </w:t>
      </w:r>
      <w:hyperlink r:id="rId2" w:history="1">
        <w:r w:rsidRPr="00ED0246">
          <w:rPr>
            <w:rStyle w:val="Hyperlink"/>
          </w:rPr>
          <w:t>Routine, prospective DPYD genotyping guided dose-individualisation for patients receiving fluoropyrimidines: Implementation, prevalence and patient safety outcomes from a multi-institutional clinical trial</w:t>
        </w:r>
      </w:hyperlink>
      <w:r w:rsidRPr="007731F6">
        <w:t xml:space="preserve">. </w:t>
      </w:r>
      <w:r w:rsidRPr="00BC566D">
        <w:rPr>
          <w:i/>
          <w:iCs/>
        </w:rPr>
        <w:t>JCO</w:t>
      </w:r>
      <w:r>
        <w:rPr>
          <w:i/>
          <w:iCs/>
        </w:rPr>
        <w:t xml:space="preserve">. </w:t>
      </w:r>
      <w:r>
        <w:t>2024;</w:t>
      </w:r>
      <w:r w:rsidRPr="007731F6">
        <w:t xml:space="preserve"> 42</w:t>
      </w:r>
      <w:r>
        <w:t>(16)</w:t>
      </w:r>
      <w:r w:rsidRPr="007731F6">
        <w:t>, 12121-12121</w:t>
      </w:r>
      <w:r>
        <w:t>.</w:t>
      </w:r>
    </w:p>
  </w:footnote>
  <w:footnote w:id="8">
    <w:p w14:paraId="089720E3" w14:textId="77777777" w:rsidR="00773031" w:rsidRDefault="00773031">
      <w:pPr>
        <w:pStyle w:val="FootnoteText"/>
      </w:pPr>
      <w:r>
        <w:rPr>
          <w:rStyle w:val="FootnoteReference"/>
        </w:rPr>
        <w:footnoteRef/>
      </w:r>
      <w:r>
        <w:t xml:space="preserve"> </w:t>
      </w:r>
      <w:r w:rsidRPr="000F4CFB">
        <w:t>White, C</w:t>
      </w:r>
      <w:r>
        <w:t xml:space="preserve"> </w:t>
      </w:r>
      <w:r w:rsidRPr="00BC23FF">
        <w:rPr>
          <w:i/>
          <w:iCs/>
        </w:rPr>
        <w:t>et al.</w:t>
      </w:r>
      <w:r w:rsidRPr="000F4CFB">
        <w:t xml:space="preserve"> (2023). Feasibility of DPYD genotyping in Australian cancer patients. doi.org/10.21203/rs.3.rs-2838793/v1</w:t>
      </w:r>
    </w:p>
  </w:footnote>
  <w:footnote w:id="9">
    <w:p w14:paraId="53720801" w14:textId="43D4B3DB" w:rsidR="004A3E32" w:rsidRPr="00F035A8" w:rsidRDefault="004A3E32" w:rsidP="006F6101">
      <w:pPr>
        <w:pStyle w:val="FootnoteText"/>
        <w:rPr>
          <w:szCs w:val="16"/>
        </w:rPr>
      </w:pPr>
      <w:r w:rsidRPr="00E67E60">
        <w:rPr>
          <w:rStyle w:val="FootnoteReference"/>
          <w:szCs w:val="16"/>
        </w:rPr>
        <w:footnoteRef/>
      </w:r>
      <w:r w:rsidRPr="00F035A8">
        <w:rPr>
          <w:szCs w:val="16"/>
        </w:rPr>
        <w:t xml:space="preserve"> Kleinjan</w:t>
      </w:r>
      <w:r w:rsidR="003C598A">
        <w:rPr>
          <w:szCs w:val="16"/>
        </w:rPr>
        <w:t>,</w:t>
      </w:r>
      <w:r w:rsidRPr="00F035A8">
        <w:rPr>
          <w:szCs w:val="16"/>
        </w:rPr>
        <w:t xml:space="preserve"> JP </w:t>
      </w:r>
      <w:r w:rsidR="00222F63" w:rsidRPr="00BC23FF">
        <w:rPr>
          <w:i/>
          <w:iCs/>
          <w:szCs w:val="16"/>
        </w:rPr>
        <w:t>et al</w:t>
      </w:r>
      <w:r w:rsidRPr="00F035A8">
        <w:rPr>
          <w:szCs w:val="16"/>
        </w:rPr>
        <w:t xml:space="preserve">. Tolerance-based capecitabine dose escalation after DPYD genotype-guided dosing in heterozygote DPYD variant carriers: a single-center observational study. </w:t>
      </w:r>
      <w:r w:rsidRPr="00BC23FF">
        <w:rPr>
          <w:i/>
          <w:szCs w:val="16"/>
        </w:rPr>
        <w:t>Anticancer Drugs</w:t>
      </w:r>
      <w:r w:rsidRPr="00F035A8">
        <w:rPr>
          <w:szCs w:val="16"/>
        </w:rPr>
        <w:t>. 2019;30(4):410-5.</w:t>
      </w:r>
    </w:p>
  </w:footnote>
  <w:footnote w:id="10">
    <w:p w14:paraId="5F2F38C4" w14:textId="19B85F2B" w:rsidR="004A3E32" w:rsidRPr="00F035A8" w:rsidRDefault="004A3E32" w:rsidP="006F6101">
      <w:pPr>
        <w:pStyle w:val="FootnoteText"/>
        <w:rPr>
          <w:szCs w:val="16"/>
        </w:rPr>
      </w:pPr>
      <w:r w:rsidRPr="00E67E60">
        <w:rPr>
          <w:rStyle w:val="FootnoteReference"/>
          <w:szCs w:val="16"/>
        </w:rPr>
        <w:footnoteRef/>
      </w:r>
      <w:r w:rsidRPr="00F035A8">
        <w:rPr>
          <w:szCs w:val="16"/>
        </w:rPr>
        <w:t xml:space="preserve"> Knikman</w:t>
      </w:r>
      <w:r w:rsidR="00C12B2C">
        <w:rPr>
          <w:szCs w:val="16"/>
        </w:rPr>
        <w:t>,</w:t>
      </w:r>
      <w:r w:rsidRPr="00F035A8">
        <w:rPr>
          <w:szCs w:val="16"/>
        </w:rPr>
        <w:t xml:space="preserve"> JE</w:t>
      </w:r>
      <w:r w:rsidRPr="00BC23FF">
        <w:rPr>
          <w:i/>
          <w:iCs/>
          <w:szCs w:val="16"/>
        </w:rPr>
        <w:t xml:space="preserve"> et al</w:t>
      </w:r>
      <w:r w:rsidRPr="00F035A8">
        <w:rPr>
          <w:szCs w:val="16"/>
        </w:rPr>
        <w:t xml:space="preserve">. Survival of patients with cancer with DPYD variant alleles and dose-individualized fluoropyrimidine therapy-a matched-pair analysis. </w:t>
      </w:r>
      <w:r w:rsidRPr="002019E1">
        <w:rPr>
          <w:i/>
          <w:iCs/>
          <w:szCs w:val="16"/>
        </w:rPr>
        <w:t>J Clin Oncol</w:t>
      </w:r>
      <w:r w:rsidRPr="00F035A8">
        <w:rPr>
          <w:szCs w:val="16"/>
        </w:rPr>
        <w:t>. 2023;41(35):5411-21</w:t>
      </w:r>
      <w:r w:rsidR="00941427" w:rsidRPr="00F035A8">
        <w:rPr>
          <w:szCs w:val="16"/>
        </w:rPr>
        <w:t>.</w:t>
      </w:r>
    </w:p>
  </w:footnote>
  <w:footnote w:id="11">
    <w:p w14:paraId="71DD74D5" w14:textId="7B87E04F" w:rsidR="004A3E32" w:rsidRPr="00F035A8" w:rsidRDefault="004A3E32" w:rsidP="006F6101">
      <w:pPr>
        <w:pStyle w:val="FootnoteText"/>
        <w:rPr>
          <w:szCs w:val="16"/>
        </w:rPr>
      </w:pPr>
      <w:r w:rsidRPr="00E67E60">
        <w:rPr>
          <w:rStyle w:val="FootnoteReference"/>
          <w:szCs w:val="16"/>
        </w:rPr>
        <w:footnoteRef/>
      </w:r>
      <w:r w:rsidRPr="00E67E60">
        <w:rPr>
          <w:szCs w:val="16"/>
          <w:vertAlign w:val="superscript"/>
        </w:rPr>
        <w:t xml:space="preserve"> </w:t>
      </w:r>
      <w:r w:rsidRPr="00F035A8">
        <w:rPr>
          <w:szCs w:val="16"/>
        </w:rPr>
        <w:t>Lunenburg</w:t>
      </w:r>
      <w:r w:rsidR="00A52A08">
        <w:rPr>
          <w:szCs w:val="16"/>
        </w:rPr>
        <w:t>,</w:t>
      </w:r>
      <w:r w:rsidRPr="00F035A8">
        <w:rPr>
          <w:szCs w:val="16"/>
        </w:rPr>
        <w:t xml:space="preserve"> C</w:t>
      </w:r>
      <w:r w:rsidR="00487C86">
        <w:rPr>
          <w:szCs w:val="16"/>
        </w:rPr>
        <w:t xml:space="preserve"> </w:t>
      </w:r>
      <w:r w:rsidRPr="00BC23FF">
        <w:rPr>
          <w:i/>
          <w:iCs/>
          <w:szCs w:val="16"/>
        </w:rPr>
        <w:t>et al</w:t>
      </w:r>
      <w:r w:rsidRPr="00F035A8">
        <w:rPr>
          <w:szCs w:val="16"/>
        </w:rPr>
        <w:t xml:space="preserve">. Standard fluoropyrimidine dosages in chemoradiation therapy result in an increased risk of severe toxicity in DPYD variant allele carriers. </w:t>
      </w:r>
      <w:r w:rsidRPr="002019E1">
        <w:rPr>
          <w:i/>
          <w:iCs/>
          <w:szCs w:val="16"/>
        </w:rPr>
        <w:t>Eur J Cancer</w:t>
      </w:r>
      <w:r w:rsidRPr="00F035A8">
        <w:rPr>
          <w:szCs w:val="16"/>
        </w:rPr>
        <w:t>. 2018;104:210-8.</w:t>
      </w:r>
    </w:p>
  </w:footnote>
  <w:footnote w:id="12">
    <w:p w14:paraId="52E3AC61" w14:textId="0F394290" w:rsidR="004A3E32" w:rsidRPr="00F035A8" w:rsidRDefault="004A3E32" w:rsidP="006F6101">
      <w:pPr>
        <w:pStyle w:val="FootnoteText"/>
        <w:rPr>
          <w:szCs w:val="16"/>
        </w:rPr>
      </w:pPr>
      <w:r w:rsidRPr="00E67E60">
        <w:rPr>
          <w:rStyle w:val="FootnoteReference"/>
          <w:szCs w:val="16"/>
        </w:rPr>
        <w:footnoteRef/>
      </w:r>
      <w:r w:rsidRPr="00E67E60">
        <w:rPr>
          <w:szCs w:val="16"/>
          <w:vertAlign w:val="superscript"/>
        </w:rPr>
        <w:t xml:space="preserve"> </w:t>
      </w:r>
      <w:r w:rsidR="00342165" w:rsidRPr="00F035A8">
        <w:rPr>
          <w:szCs w:val="16"/>
        </w:rPr>
        <w:t>Paulsen</w:t>
      </w:r>
      <w:r w:rsidR="00FC6C81">
        <w:rPr>
          <w:szCs w:val="16"/>
        </w:rPr>
        <w:t>,</w:t>
      </w:r>
      <w:r w:rsidR="00342165" w:rsidRPr="00F035A8">
        <w:rPr>
          <w:szCs w:val="16"/>
        </w:rPr>
        <w:t xml:space="preserve"> NH </w:t>
      </w:r>
      <w:r w:rsidR="00342165" w:rsidRPr="00BC23FF">
        <w:rPr>
          <w:i/>
          <w:iCs/>
          <w:szCs w:val="16"/>
        </w:rPr>
        <w:t>et al</w:t>
      </w:r>
      <w:r w:rsidR="00342165" w:rsidRPr="00F035A8">
        <w:rPr>
          <w:szCs w:val="16"/>
        </w:rPr>
        <w:t>. Implementation and clinical benefit of DPYD genotyping in a Danish cancer population. ESMO Open. 2023;8(1):100782</w:t>
      </w:r>
      <w:r w:rsidR="00941427" w:rsidRPr="00F035A8">
        <w:rPr>
          <w:szCs w:val="16"/>
        </w:rPr>
        <w:t>.</w:t>
      </w:r>
    </w:p>
  </w:footnote>
  <w:footnote w:id="13">
    <w:p w14:paraId="09695552" w14:textId="7A3A286C" w:rsidR="00342165" w:rsidRPr="00F035A8" w:rsidRDefault="00342165" w:rsidP="006F6101">
      <w:pPr>
        <w:pStyle w:val="FootnoteText"/>
        <w:rPr>
          <w:szCs w:val="16"/>
        </w:rPr>
      </w:pPr>
      <w:r w:rsidRPr="00E67E60">
        <w:rPr>
          <w:rStyle w:val="FootnoteReference"/>
          <w:szCs w:val="16"/>
        </w:rPr>
        <w:footnoteRef/>
      </w:r>
      <w:r w:rsidRPr="00E67E60">
        <w:rPr>
          <w:szCs w:val="16"/>
          <w:vertAlign w:val="superscript"/>
        </w:rPr>
        <w:t xml:space="preserve"> </w:t>
      </w:r>
      <w:r w:rsidRPr="00F035A8">
        <w:rPr>
          <w:szCs w:val="16"/>
        </w:rPr>
        <w:t xml:space="preserve">Wang L, Howlett S, Essapen S. Treating patients with dihydropyrimidine dehydrogenase (DPD) deficiency with fluoropyrimidine chemotherapy since the onset of routine prospective testing-The experience of a large oncology center in the United Kingdom. </w:t>
      </w:r>
      <w:r w:rsidRPr="002019E1">
        <w:rPr>
          <w:i/>
          <w:iCs/>
          <w:szCs w:val="16"/>
        </w:rPr>
        <w:t>Semin Oncol</w:t>
      </w:r>
      <w:r w:rsidRPr="00F035A8">
        <w:rPr>
          <w:szCs w:val="16"/>
        </w:rPr>
        <w:t>. 2022;49(2):170-7.</w:t>
      </w:r>
    </w:p>
  </w:footnote>
  <w:footnote w:id="14">
    <w:p w14:paraId="3F3975A7" w14:textId="088F2940" w:rsidR="00625DF4" w:rsidRPr="00F035A8" w:rsidRDefault="00625DF4" w:rsidP="006F6101">
      <w:pPr>
        <w:pStyle w:val="FootnoteText"/>
        <w:rPr>
          <w:szCs w:val="16"/>
        </w:rPr>
      </w:pPr>
      <w:r w:rsidRPr="00E67E60">
        <w:rPr>
          <w:rStyle w:val="FootnoteReference"/>
          <w:szCs w:val="16"/>
        </w:rPr>
        <w:footnoteRef/>
      </w:r>
      <w:r w:rsidRPr="00E67E60">
        <w:rPr>
          <w:szCs w:val="16"/>
          <w:vertAlign w:val="superscript"/>
        </w:rPr>
        <w:t xml:space="preserve"> </w:t>
      </w:r>
      <w:r w:rsidR="00DA0572" w:rsidRPr="00F035A8">
        <w:rPr>
          <w:szCs w:val="16"/>
        </w:rPr>
        <w:t>Wigle</w:t>
      </w:r>
      <w:r w:rsidR="008714B2">
        <w:rPr>
          <w:szCs w:val="16"/>
        </w:rPr>
        <w:t>,</w:t>
      </w:r>
      <w:r w:rsidR="00DA0572" w:rsidRPr="00F035A8">
        <w:rPr>
          <w:szCs w:val="16"/>
        </w:rPr>
        <w:t xml:space="preserve"> TJ</w:t>
      </w:r>
      <w:r w:rsidR="008714B2">
        <w:rPr>
          <w:szCs w:val="16"/>
        </w:rPr>
        <w:t xml:space="preserve"> </w:t>
      </w:r>
      <w:r w:rsidR="00DA0572" w:rsidRPr="00BC23FF">
        <w:rPr>
          <w:i/>
          <w:iCs/>
          <w:szCs w:val="16"/>
        </w:rPr>
        <w:t>et al</w:t>
      </w:r>
      <w:r w:rsidR="00DA0572" w:rsidRPr="00F035A8">
        <w:rPr>
          <w:szCs w:val="16"/>
        </w:rPr>
        <w:t xml:space="preserve">. Impact of pretreatment dihydropyrimidine dehydrogenase genotype-guided fluoropyrimidine dosing on chemotherapy associated adverse events. </w:t>
      </w:r>
      <w:r w:rsidR="00DA0572" w:rsidRPr="002019E1">
        <w:rPr>
          <w:i/>
          <w:iCs/>
          <w:szCs w:val="16"/>
        </w:rPr>
        <w:t>Clin Transl Sci</w:t>
      </w:r>
      <w:r w:rsidR="00DA0572" w:rsidRPr="00F035A8">
        <w:rPr>
          <w:szCs w:val="16"/>
        </w:rPr>
        <w:t>. 2021;14(4):1338-48.</w:t>
      </w:r>
    </w:p>
  </w:footnote>
  <w:footnote w:id="15">
    <w:p w14:paraId="4E2BD388" w14:textId="72E3C1D2" w:rsidR="003D16B9" w:rsidRPr="00DC7F0E" w:rsidRDefault="00F035A8" w:rsidP="006F6101">
      <w:pPr>
        <w:pStyle w:val="FootnoteText"/>
      </w:pPr>
      <w:r w:rsidRPr="00E67E60">
        <w:rPr>
          <w:rStyle w:val="FootnoteReference"/>
          <w:szCs w:val="16"/>
        </w:rPr>
        <w:footnoteRef/>
      </w:r>
      <w:r w:rsidRPr="00DC7F0E">
        <w:rPr>
          <w:szCs w:val="16"/>
        </w:rPr>
        <w:t xml:space="preserve"> Henricks, LM </w:t>
      </w:r>
      <w:r w:rsidRPr="00BC23FF">
        <w:rPr>
          <w:i/>
          <w:iCs/>
          <w:szCs w:val="16"/>
        </w:rPr>
        <w:t>et al</w:t>
      </w:r>
      <w:r w:rsidRPr="00DC7F0E">
        <w:rPr>
          <w:szCs w:val="16"/>
        </w:rPr>
        <w:t xml:space="preserve">. A cost analysis of upfront DPYD genotype-guided dose individualisation in fluoropyrimidine-based anticancer therapy. </w:t>
      </w:r>
      <w:r w:rsidRPr="002019E1">
        <w:rPr>
          <w:i/>
          <w:iCs/>
          <w:szCs w:val="16"/>
        </w:rPr>
        <w:t>Eur J Cancer</w:t>
      </w:r>
      <w:r w:rsidRPr="00DC7F0E">
        <w:rPr>
          <w:szCs w:val="16"/>
        </w:rPr>
        <w:t xml:space="preserve"> 2018;107: 60-67.</w:t>
      </w:r>
    </w:p>
  </w:footnote>
  <w:footnote w:id="16">
    <w:p w14:paraId="1E57B2CA" w14:textId="2A6A8F30" w:rsidR="000F4CFB" w:rsidRDefault="000F4CFB">
      <w:pPr>
        <w:pStyle w:val="FootnoteText"/>
      </w:pPr>
      <w:r>
        <w:rPr>
          <w:rStyle w:val="FootnoteReference"/>
        </w:rPr>
        <w:footnoteRef/>
      </w:r>
      <w:r>
        <w:t xml:space="preserve"> </w:t>
      </w:r>
      <w:r w:rsidRPr="000F4CFB">
        <w:t>White, C</w:t>
      </w:r>
      <w:r w:rsidR="00E4034A">
        <w:t xml:space="preserve"> </w:t>
      </w:r>
      <w:r w:rsidR="00E4034A" w:rsidRPr="00BC23FF">
        <w:rPr>
          <w:i/>
          <w:iCs/>
        </w:rPr>
        <w:t>et al.</w:t>
      </w:r>
      <w:r w:rsidRPr="000F4CFB">
        <w:t xml:space="preserve"> (2023). Feasibility of DPYD genotyping in Australian cancer patients. doi.org/10.21203/rs.3.rs-2838793/v1</w:t>
      </w:r>
    </w:p>
  </w:footnote>
  <w:footnote w:id="17">
    <w:p w14:paraId="19B5DE36" w14:textId="35B45918" w:rsidR="00ED386F" w:rsidRDefault="00ED386F">
      <w:pPr>
        <w:pStyle w:val="FootnoteText"/>
      </w:pPr>
      <w:r>
        <w:rPr>
          <w:rStyle w:val="FootnoteReference"/>
        </w:rPr>
        <w:footnoteRef/>
      </w:r>
      <w:r>
        <w:t xml:space="preserve"> </w:t>
      </w:r>
      <w:r w:rsidR="008D6B51">
        <w:t>Alexander</w:t>
      </w:r>
      <w:r w:rsidR="00F00B5D" w:rsidRPr="00F00B5D">
        <w:t>, M. 2024. PhaRmacogEnomiC medIcines optimiSatIon for peOple with caNcer – a multicentre teletrial enabled Interrupted Time Series trial (PRECISION-ITS): Medication safety outcomes in the Pharmacogenomics primary study and discovery program [Online]. The Australian New Zealand Clinical Trials Registry (ANZCTR). Available: https://www.anzctr.org.au/Trial/Registration/TrialReview.aspx?id=386668&amp;isReview=true</w:t>
      </w:r>
      <w:r w:rsidR="00F00B5D">
        <w:t>.</w:t>
      </w:r>
    </w:p>
  </w:footnote>
  <w:footnote w:id="18">
    <w:p w14:paraId="2874E145" w14:textId="1BD96201" w:rsidR="00475944" w:rsidRDefault="00475944">
      <w:pPr>
        <w:pStyle w:val="FootnoteText"/>
      </w:pPr>
      <w:r>
        <w:rPr>
          <w:rStyle w:val="FootnoteReference"/>
        </w:rPr>
        <w:footnoteRef/>
      </w:r>
      <w:r>
        <w:t xml:space="preserve"> </w:t>
      </w:r>
      <w:r w:rsidR="008D6B51">
        <w:t>Na</w:t>
      </w:r>
      <w:r w:rsidR="00C92723">
        <w:t>l</w:t>
      </w:r>
      <w:r w:rsidR="008D6B51">
        <w:t>der</w:t>
      </w:r>
      <w:r w:rsidRPr="00475944">
        <w:t>, M. 2021. Pre-treatment dihydropyrimidine dehydrogenase (DPYD) genotyping to individualise fluoropyrimidine-based chemotherapy: An evaluation of clinical implementation and treatment-related toxicity. [Online]. The Australian New Zealand Clinical Trials Registry (ANZCTR). Available:</w:t>
      </w:r>
      <w:r w:rsidR="006B080C">
        <w:t xml:space="preserve"> </w:t>
      </w:r>
      <w:r w:rsidRPr="00475944">
        <w:t>https://www.anzctr.org.au/Trial/Registration/TrialReview.aspx?id=381432&amp;isReview=true</w:t>
      </w:r>
      <w:r>
        <w:t>.</w:t>
      </w:r>
    </w:p>
  </w:footnote>
  <w:footnote w:id="19">
    <w:p w14:paraId="4F31D4A2" w14:textId="799955C6" w:rsidR="00CD621E" w:rsidRDefault="00CD621E">
      <w:pPr>
        <w:pStyle w:val="FootnoteText"/>
      </w:pPr>
      <w:r>
        <w:rPr>
          <w:rStyle w:val="FootnoteReference"/>
        </w:rPr>
        <w:footnoteRef/>
      </w:r>
      <w:r>
        <w:t xml:space="preserve"> Scott, R. </w:t>
      </w:r>
      <w:r w:rsidR="00901E22">
        <w:t>2021.</w:t>
      </w:r>
      <w:r w:rsidR="009D4019">
        <w:t xml:space="preserve"> </w:t>
      </w:r>
      <w:r w:rsidR="00DC009D" w:rsidRPr="00DC009D">
        <w:t>GeneScreen 5-FU: DPYD Genotype-guided dose Personalisation for Fluoropyrimidine prescribing in Solid Organ Cancer Patients</w:t>
      </w:r>
      <w:r w:rsidR="008B5192">
        <w:t xml:space="preserve">. [Online]. </w:t>
      </w:r>
      <w:r w:rsidR="00901E22">
        <w:t xml:space="preserve"> </w:t>
      </w:r>
      <w:r w:rsidR="008B5192" w:rsidRPr="00475944">
        <w:t>The Australian New Zealand Clinical Trials Registry (ANZCTR). Available:</w:t>
      </w:r>
      <w:r w:rsidR="00C32538">
        <w:t xml:space="preserve"> </w:t>
      </w:r>
      <w:r w:rsidR="00C32538" w:rsidRPr="00C32538">
        <w:t>https://www.anzctr.org.au/Trial/Registration/TrialReview.aspx?id=384319</w:t>
      </w:r>
      <w:r w:rsidR="00C32538">
        <w:t>.</w:t>
      </w:r>
    </w:p>
  </w:footnote>
  <w:footnote w:id="20">
    <w:p w14:paraId="4E68A3C1" w14:textId="4C308E78" w:rsidR="00F359DA" w:rsidRPr="006F6101" w:rsidRDefault="00F359DA" w:rsidP="006F6101">
      <w:pPr>
        <w:pStyle w:val="FootnoteText"/>
      </w:pPr>
      <w:r w:rsidRPr="003C5B2A">
        <w:rPr>
          <w:vertAlign w:val="superscript"/>
        </w:rPr>
        <w:footnoteRef/>
      </w:r>
      <w:r w:rsidRPr="003C5B2A">
        <w:rPr>
          <w:vertAlign w:val="superscript"/>
        </w:rPr>
        <w:t xml:space="preserve"> </w:t>
      </w:r>
      <w:r w:rsidRPr="006F6101">
        <w:t>Lau-Min</w:t>
      </w:r>
      <w:r w:rsidR="001F3CFA">
        <w:t>,</w:t>
      </w:r>
      <w:r w:rsidRPr="006F6101">
        <w:t xml:space="preserve"> KS </w:t>
      </w:r>
      <w:r w:rsidRPr="00BC23FF">
        <w:rPr>
          <w:i/>
          <w:iCs/>
        </w:rPr>
        <w:t>et al</w:t>
      </w:r>
      <w:r w:rsidRPr="006F6101">
        <w:t xml:space="preserve">. Preemptive pharmacogenetic testing to guide chemotherapy dosing in patients with gastrointestinal malignancies: a qualitative study of barriers to implementation. </w:t>
      </w:r>
      <w:r w:rsidRPr="00BC23FF">
        <w:rPr>
          <w:i/>
          <w:iCs/>
        </w:rPr>
        <w:t>BMC Cancer</w:t>
      </w:r>
      <w:r w:rsidRPr="006F6101">
        <w:t xml:space="preserve"> 2022;22(1):47.</w:t>
      </w:r>
    </w:p>
  </w:footnote>
  <w:footnote w:id="21">
    <w:p w14:paraId="35E21408" w14:textId="029E6FEA" w:rsidR="00311881" w:rsidRDefault="00311881" w:rsidP="006F6101">
      <w:pPr>
        <w:pStyle w:val="FootnoteText"/>
      </w:pPr>
      <w:r w:rsidRPr="003C5B2A">
        <w:rPr>
          <w:vertAlign w:val="superscript"/>
        </w:rPr>
        <w:footnoteRef/>
      </w:r>
      <w:r w:rsidRPr="003C5B2A">
        <w:rPr>
          <w:vertAlign w:val="superscript"/>
        </w:rPr>
        <w:t xml:space="preserve"> </w:t>
      </w:r>
      <w:r w:rsidRPr="006F6101">
        <w:t xml:space="preserve">Kim H, Gurrin L, Ademi Z, Liew D. Overview of methods for comparing the efficacies of drugs in the absence of head-to-head clinical trial data. </w:t>
      </w:r>
      <w:r w:rsidRPr="00BC23FF">
        <w:rPr>
          <w:i/>
          <w:iCs/>
        </w:rPr>
        <w:t>Br J Clin Pharmacol</w:t>
      </w:r>
      <w:r w:rsidRPr="006F6101">
        <w:t>. 2014;77(1):116-21.</w:t>
      </w:r>
    </w:p>
  </w:footnote>
  <w:footnote w:id="22">
    <w:p w14:paraId="266A63CC" w14:textId="7DD65ED7" w:rsidR="000E2D74" w:rsidRDefault="000E2D74" w:rsidP="00D36D05">
      <w:pPr>
        <w:pStyle w:val="FootnoteText"/>
      </w:pPr>
      <w:r w:rsidRPr="000E2D74">
        <w:rPr>
          <w:vertAlign w:val="superscript"/>
        </w:rPr>
        <w:footnoteRef/>
      </w:r>
      <w:r w:rsidRPr="000E2D74">
        <w:rPr>
          <w:vertAlign w:val="superscript"/>
        </w:rPr>
        <w:t xml:space="preserve"> </w:t>
      </w:r>
      <w:r w:rsidRPr="000E2D74">
        <w:t>Whiting</w:t>
      </w:r>
      <w:r w:rsidR="00963B09">
        <w:t>,</w:t>
      </w:r>
      <w:r w:rsidRPr="000E2D74">
        <w:t xml:space="preserve"> PF</w:t>
      </w:r>
      <w:r w:rsidR="00963B09">
        <w:t xml:space="preserve"> </w:t>
      </w:r>
      <w:r w:rsidRPr="00BC23FF">
        <w:rPr>
          <w:i/>
          <w:iCs/>
        </w:rPr>
        <w:t>et al</w:t>
      </w:r>
      <w:r w:rsidRPr="000E2D74">
        <w:t xml:space="preserve">. QUADAS-2: a revised tool for the quality assessment of diagnostic accuracy studies. </w:t>
      </w:r>
      <w:r w:rsidRPr="00BC23FF">
        <w:rPr>
          <w:i/>
          <w:iCs/>
        </w:rPr>
        <w:t>Ann Intern Med</w:t>
      </w:r>
      <w:r w:rsidRPr="000E2D74">
        <w:t>. 2011;155(8):529-36.</w:t>
      </w:r>
    </w:p>
  </w:footnote>
  <w:footnote w:id="23">
    <w:p w14:paraId="23C44EFD" w14:textId="65BA2A71" w:rsidR="00EB0412" w:rsidRDefault="00EB0412" w:rsidP="00D36D05">
      <w:pPr>
        <w:pStyle w:val="FootnoteText"/>
      </w:pPr>
      <w:r w:rsidRPr="00C27B61">
        <w:rPr>
          <w:vertAlign w:val="superscript"/>
        </w:rPr>
        <w:footnoteRef/>
      </w:r>
      <w:r w:rsidRPr="00C27B61">
        <w:rPr>
          <w:vertAlign w:val="superscript"/>
        </w:rPr>
        <w:t xml:space="preserve"> </w:t>
      </w:r>
      <w:r w:rsidR="00071F41" w:rsidRPr="00071F41">
        <w:t>Lee</w:t>
      </w:r>
      <w:r w:rsidR="00963B09">
        <w:t>,</w:t>
      </w:r>
      <w:r w:rsidR="00071F41" w:rsidRPr="00071F41">
        <w:t xml:space="preserve"> AM </w:t>
      </w:r>
      <w:r w:rsidR="00071F41" w:rsidRPr="00BC23FF">
        <w:rPr>
          <w:i/>
          <w:iCs/>
        </w:rPr>
        <w:t>et al</w:t>
      </w:r>
      <w:r w:rsidR="00071F41" w:rsidRPr="00071F41">
        <w:t xml:space="preserve">. </w:t>
      </w:r>
      <w:r w:rsidR="00CD73DB" w:rsidRPr="00CD73DB">
        <w:rPr>
          <w:i/>
        </w:rPr>
        <w:t>DPYD</w:t>
      </w:r>
      <w:r w:rsidR="00071F41" w:rsidRPr="00071F41">
        <w:t xml:space="preserve"> Variants as Predictors of 5-fluorouracil Toxicity in Adjuvant Colon Cancer Treatment (NCCTG N0147). JNCI: </w:t>
      </w:r>
      <w:r w:rsidR="00071F41" w:rsidRPr="00BC23FF">
        <w:rPr>
          <w:i/>
          <w:iCs/>
        </w:rPr>
        <w:t>Journal of the National Cancer Institute</w:t>
      </w:r>
      <w:r w:rsidR="00071F41" w:rsidRPr="00071F41">
        <w:t>. 2014;106(12):dju298.</w:t>
      </w:r>
    </w:p>
  </w:footnote>
  <w:footnote w:id="24">
    <w:p w14:paraId="5C209978" w14:textId="00C3E789" w:rsidR="0011706A" w:rsidRDefault="0011706A" w:rsidP="00D36D05">
      <w:pPr>
        <w:pStyle w:val="FootnoteText"/>
      </w:pPr>
      <w:r w:rsidRPr="00925C98">
        <w:rPr>
          <w:vertAlign w:val="superscript"/>
        </w:rPr>
        <w:footnoteRef/>
      </w:r>
      <w:r w:rsidRPr="00925C98">
        <w:t xml:space="preserve"> </w:t>
      </w:r>
      <w:r w:rsidR="00925C98" w:rsidRPr="00925C98">
        <w:t xml:space="preserve">Froehlich TK, Amstutz U, Aebi S, Joerger M, Largiadèr CR. Clinical importance of risk variants in the dihydropyrimidine dehydrogenase gene for the prediction of early-onset fluoropyrimidine toxicity. </w:t>
      </w:r>
      <w:r w:rsidR="00925C98" w:rsidRPr="00BC23FF">
        <w:rPr>
          <w:i/>
          <w:iCs/>
        </w:rPr>
        <w:t>Int J Cancer</w:t>
      </w:r>
      <w:r w:rsidR="00925C98" w:rsidRPr="00925C98">
        <w:t>. 2015;136(3):730-9.</w:t>
      </w:r>
    </w:p>
  </w:footnote>
  <w:footnote w:id="25">
    <w:p w14:paraId="1EB56ABF" w14:textId="0BB1A6E5" w:rsidR="00617FED" w:rsidRDefault="00617FED" w:rsidP="00D36D05">
      <w:pPr>
        <w:pStyle w:val="FootnoteText"/>
      </w:pPr>
      <w:r>
        <w:rPr>
          <w:rStyle w:val="FootnoteReference"/>
        </w:rPr>
        <w:footnoteRef/>
      </w:r>
      <w:r>
        <w:t xml:space="preserve"> </w:t>
      </w:r>
      <w:r w:rsidR="009A0DC4" w:rsidRPr="00EB0412">
        <w:t>Ragia</w:t>
      </w:r>
      <w:r w:rsidR="00963B09">
        <w:t>,</w:t>
      </w:r>
      <w:r w:rsidR="009A0DC4" w:rsidRPr="00EB0412">
        <w:t xml:space="preserve"> G </w:t>
      </w:r>
      <w:r w:rsidR="009A0DC4" w:rsidRPr="00BC23FF">
        <w:rPr>
          <w:i/>
          <w:iCs/>
        </w:rPr>
        <w:t>et al</w:t>
      </w:r>
      <w:r w:rsidR="009A0DC4" w:rsidRPr="00071F41">
        <w:t>.</w:t>
      </w:r>
      <w:r w:rsidR="009A0DC4" w:rsidRPr="00EB0412">
        <w:t xml:space="preserve"> Implementing pharmacogenetic testing in fluoropyrimidine-treated cancer patients: </w:t>
      </w:r>
      <w:r w:rsidR="009A0DC4" w:rsidRPr="00CD73DB">
        <w:rPr>
          <w:i/>
        </w:rPr>
        <w:t>DPYD</w:t>
      </w:r>
      <w:r w:rsidR="009A0DC4" w:rsidRPr="00EB0412">
        <w:t xml:space="preserve"> genotyping to guide chemotherapy dosing in Greece</w:t>
      </w:r>
      <w:r w:rsidR="009A0DC4" w:rsidRPr="00071F41">
        <w:t xml:space="preserve">. </w:t>
      </w:r>
      <w:r w:rsidR="009A0DC4" w:rsidRPr="00BC23FF">
        <w:rPr>
          <w:i/>
          <w:iCs/>
        </w:rPr>
        <w:t>Front Pharmacol</w:t>
      </w:r>
      <w:r w:rsidR="009A0DC4" w:rsidRPr="00071F41">
        <w:t>. 2023;14:1248898.</w:t>
      </w:r>
    </w:p>
  </w:footnote>
  <w:footnote w:id="26">
    <w:p w14:paraId="64039B32" w14:textId="684C4834" w:rsidR="260B5C12" w:rsidRDefault="260B5C12" w:rsidP="00EB4292">
      <w:pPr>
        <w:pStyle w:val="FootnoteText"/>
      </w:pPr>
      <w:r w:rsidRPr="260B5C12">
        <w:rPr>
          <w:rStyle w:val="FootnoteReference"/>
        </w:rPr>
        <w:footnoteRef/>
      </w:r>
      <w:r w:rsidR="331B5C41">
        <w:t xml:space="preserve"> CPIC. CPIC® Guideline for Fluoropyrimidines and DPYD, January 2024 update (edited March 2024) 2024 [Available from: https://cpicpgx.org/guidelines/guideline-for-fluoropyrimidines-and-DPYD/.</w:t>
      </w:r>
    </w:p>
  </w:footnote>
  <w:footnote w:id="27">
    <w:p w14:paraId="252E9F06" w14:textId="5A6105DA" w:rsidR="0004373B" w:rsidRDefault="0004373B" w:rsidP="00030AE1">
      <w:pPr>
        <w:pStyle w:val="FootnoteText"/>
      </w:pPr>
      <w:r w:rsidRPr="00BD6731">
        <w:rPr>
          <w:szCs w:val="22"/>
          <w:vertAlign w:val="superscript"/>
        </w:rPr>
        <w:footnoteRef/>
      </w:r>
      <w:r w:rsidRPr="00BD6731">
        <w:rPr>
          <w:szCs w:val="22"/>
        </w:rPr>
        <w:t xml:space="preserve"> </w:t>
      </w:r>
      <w:r w:rsidR="00937658" w:rsidRPr="00BD6731">
        <w:rPr>
          <w:szCs w:val="22"/>
        </w:rPr>
        <w:t>Independent Health and Aged Care Pricing Authority. National Hospital Cost Data Collection (NHCDC) Public Sector Report 2020-21. 2021.</w:t>
      </w:r>
    </w:p>
  </w:footnote>
  <w:footnote w:id="28">
    <w:p w14:paraId="0250EDF7" w14:textId="566372FD" w:rsidR="00331F0F" w:rsidRPr="00C94D6E" w:rsidRDefault="00331F0F" w:rsidP="00FC49CA">
      <w:pPr>
        <w:pStyle w:val="FootnoteText"/>
      </w:pPr>
      <w:r>
        <w:rPr>
          <w:rStyle w:val="FootnoteReference"/>
        </w:rPr>
        <w:footnoteRef/>
      </w:r>
      <w:r>
        <w:t xml:space="preserve"> </w:t>
      </w:r>
      <w:r w:rsidR="008742B1" w:rsidRPr="00C94D6E">
        <w:t xml:space="preserve">Australian Institute of Health and Welfare. (2023). </w:t>
      </w:r>
      <w:r w:rsidR="008742B1" w:rsidRPr="00C94D6E">
        <w:rPr>
          <w:i/>
          <w:iCs/>
        </w:rPr>
        <w:t>'Data tables: CDIA 2023: Book 8 – Cancer incidence and survival by stage' [data set]</w:t>
      </w:r>
      <w:r w:rsidR="008742B1" w:rsidRPr="00C94D6E">
        <w:t>. https://www.aihw.gov.au/getmedia/9b861a57-82b2-455b-8228-7cfbcf4bd057/AIHW-CAN-122-CDiA-2021-Book-8-Cancer-incidence-and-survival-by-stage.xlsx.aspx</w:t>
      </w:r>
    </w:p>
  </w:footnote>
  <w:footnote w:id="29">
    <w:p w14:paraId="3A34F810" w14:textId="08BC0454" w:rsidR="00A60313" w:rsidRPr="00D23AAA" w:rsidRDefault="00A60313" w:rsidP="00FC49CA">
      <w:pPr>
        <w:pStyle w:val="FootnoteText"/>
        <w:rPr>
          <w:szCs w:val="18"/>
        </w:rPr>
      </w:pPr>
      <w:r w:rsidRPr="00D23AAA">
        <w:rPr>
          <w:rStyle w:val="FootnoteReference"/>
          <w:rFonts w:ascii="Arial Narrow" w:hAnsi="Arial Narrow"/>
        </w:rPr>
        <w:footnoteRef/>
      </w:r>
      <w:r w:rsidRPr="00D23AAA">
        <w:t xml:space="preserve"> </w:t>
      </w:r>
      <w:r w:rsidR="00720A54" w:rsidRPr="00D23AAA">
        <w:t xml:space="preserve">Pharmaceutical Benefits Schedule Item Reports [Internet] Canberra: Australian Government; [cited 2024 July 9]. </w:t>
      </w:r>
      <w:r w:rsidR="00720A54" w:rsidRPr="00D23AAA">
        <w:rPr>
          <w:szCs w:val="18"/>
        </w:rPr>
        <w:t>Available from: http://medicarestatistics.humanservices.gov.au/statistics/pbs_item.jsp</w:t>
      </w:r>
    </w:p>
  </w:footnote>
  <w:footnote w:id="30">
    <w:p w14:paraId="7F216753" w14:textId="5145A132" w:rsidR="00720A54" w:rsidRPr="00FB54EE" w:rsidRDefault="00720A54" w:rsidP="00FC49CA">
      <w:pPr>
        <w:pStyle w:val="FootnoteText"/>
        <w:rPr>
          <w:szCs w:val="16"/>
        </w:rPr>
      </w:pPr>
      <w:r w:rsidRPr="000C0F6E">
        <w:rPr>
          <w:rStyle w:val="FootnoteReference"/>
          <w:rFonts w:ascii="Arial Narrow" w:hAnsi="Arial Narrow"/>
          <w:szCs w:val="16"/>
        </w:rPr>
        <w:footnoteRef/>
      </w:r>
      <w:r w:rsidRPr="000C0F6E">
        <w:rPr>
          <w:szCs w:val="16"/>
        </w:rPr>
        <w:t xml:space="preserve"> </w:t>
      </w:r>
      <w:r w:rsidR="003D035F" w:rsidRPr="000C0F6E">
        <w:rPr>
          <w:rFonts w:eastAsiaTheme="minorHAnsi"/>
          <w:szCs w:val="16"/>
        </w:rPr>
        <w:t xml:space="preserve">Australian refined diagnosis-related groups (AR-DRG) data from the </w:t>
      </w:r>
      <w:r w:rsidR="003D035F" w:rsidRPr="000C0F6E">
        <w:rPr>
          <w:rFonts w:eastAsiaTheme="minorEastAsia" w:cs="Calibri"/>
          <w:szCs w:val="16"/>
          <w:lang w:eastAsia="en-US"/>
        </w:rPr>
        <w:t xml:space="preserve">National Hospital Cost Data Collection Report version 11 </w:t>
      </w:r>
    </w:p>
  </w:footnote>
  <w:footnote w:id="31">
    <w:p w14:paraId="36206729" w14:textId="77777777" w:rsidR="00D66B02" w:rsidRPr="002F6C41" w:rsidRDefault="00D66B02" w:rsidP="002F6C41">
      <w:pPr>
        <w:pStyle w:val="FootnoteText"/>
      </w:pPr>
      <w:r w:rsidRPr="002019E1">
        <w:rPr>
          <w:rStyle w:val="FootnoteReference"/>
        </w:rPr>
        <w:footnoteRef/>
      </w:r>
      <w:r w:rsidRPr="002F6C41">
        <w:t xml:space="preserve"> Pharmaceutical Benefits Schedule Item Reports [Internet] Canberra: Australian Government; [cited 2024 July 9]. Available from: http://medicarestatistics.humanservices.gov.au/statistics/pbs_item.jsp</w:t>
      </w:r>
    </w:p>
  </w:footnote>
  <w:footnote w:id="32">
    <w:p w14:paraId="14225163" w14:textId="229F2190" w:rsidR="00D66B02" w:rsidRPr="00D23AAA" w:rsidRDefault="00D66B02" w:rsidP="002F6C41">
      <w:pPr>
        <w:pStyle w:val="FootnoteText"/>
      </w:pPr>
      <w:r w:rsidRPr="002019E1">
        <w:rPr>
          <w:rStyle w:val="FootnoteReference"/>
        </w:rPr>
        <w:footnoteRef/>
      </w:r>
      <w:r w:rsidRPr="002019E1">
        <w:rPr>
          <w:vertAlign w:val="superscript"/>
        </w:rPr>
        <w:t xml:space="preserve"> </w:t>
      </w:r>
      <w:r w:rsidRPr="002F6C41">
        <w:rPr>
          <w:rFonts w:eastAsiaTheme="minorHAnsi"/>
        </w:rPr>
        <w:t xml:space="preserve">Australian refined diagnosis-related groups (AR-DRG) data from the </w:t>
      </w:r>
      <w:r w:rsidRPr="002F6C41">
        <w:rPr>
          <w:rFonts w:eastAsiaTheme="minorEastAsia"/>
        </w:rPr>
        <w:t xml:space="preserve">National Hospital Cost Data Collection Report version 11 </w:t>
      </w:r>
    </w:p>
  </w:footnote>
  <w:footnote w:id="33">
    <w:p w14:paraId="28834085" w14:textId="6FF7208F" w:rsidR="00476193" w:rsidRDefault="00476193" w:rsidP="00476193">
      <w:pPr>
        <w:pStyle w:val="FootnoteText"/>
      </w:pPr>
      <w:r>
        <w:rPr>
          <w:rStyle w:val="FootnoteReference"/>
        </w:rPr>
        <w:footnoteRef/>
      </w:r>
      <w:r>
        <w:t xml:space="preserve"> </w:t>
      </w:r>
      <w:hyperlink r:id="rId3" w:history="1">
        <w:r w:rsidRPr="0008045B">
          <w:rPr>
            <w:rStyle w:val="Hyperlink"/>
          </w:rPr>
          <w:t>https://www.eviq.org.au/clinical-resources/side-effect-and-toxicity-management/prophylaxis-and-treatment/1744-dihydropyrimidine-dehydrogenase-dpd-enzyme</w:t>
        </w:r>
      </w:hyperlink>
    </w:p>
  </w:footnote>
  <w:footnote w:id="34">
    <w:p w14:paraId="438696ED" w14:textId="76A908FA" w:rsidR="00476193" w:rsidRDefault="00476193" w:rsidP="00476193">
      <w:pPr>
        <w:pStyle w:val="FootnoteText"/>
      </w:pPr>
      <w:r>
        <w:rPr>
          <w:rStyle w:val="FootnoteReference"/>
        </w:rPr>
        <w:footnoteRef/>
      </w:r>
      <w:r>
        <w:t xml:space="preserve"> </w:t>
      </w:r>
      <w:hyperlink r:id="rId4" w:history="1">
        <w:r w:rsidRPr="00BB5097">
          <w:rPr>
            <w:rStyle w:val="Hyperlink"/>
          </w:rPr>
          <w:t>https://cpicpgx.org/guidelines/guideline-for-fluoropyrimidines-and-dpyd/</w:t>
        </w:r>
      </w:hyperlink>
    </w:p>
  </w:footnote>
  <w:footnote w:id="35">
    <w:p w14:paraId="1D58DF50" w14:textId="77777777" w:rsidR="00476193" w:rsidRDefault="00476193" w:rsidP="00476193">
      <w:pPr>
        <w:pStyle w:val="FootnoteText"/>
      </w:pPr>
      <w:r>
        <w:rPr>
          <w:rStyle w:val="FootnoteReference"/>
        </w:rPr>
        <w:footnoteRef/>
      </w:r>
      <w:r>
        <w:t xml:space="preserve"> </w:t>
      </w:r>
      <w:r w:rsidRPr="0056628A">
        <w:rPr>
          <w:lang w:val="en-US"/>
        </w:rPr>
        <w:t xml:space="preserve">Michael, M. 2020. </w:t>
      </w:r>
      <w:hyperlink r:id="rId5" w:history="1">
        <w:r w:rsidRPr="0056628A">
          <w:rPr>
            <w:rStyle w:val="Hyperlink"/>
            <w:lang w:val="en-US"/>
          </w:rPr>
          <w:t>A multisite prospective study to implement and evaluate the feasibility of a Pharmacogenetics Screening Program for 5-fluorouracil, capecitabine and irinotecan chemotherapies in patients with cancer</w:t>
        </w:r>
      </w:hyperlink>
      <w:r w:rsidRPr="0056628A">
        <w:rPr>
          <w:lang w:val="en-US"/>
        </w:rPr>
        <w:t>. [Online]. The Australian New Zealand Clinical Trials Registry (ANZCTR).</w:t>
      </w:r>
    </w:p>
  </w:footnote>
  <w:footnote w:id="36">
    <w:p w14:paraId="757BB209" w14:textId="77777777" w:rsidR="00476193" w:rsidRPr="005A4819" w:rsidRDefault="00476193" w:rsidP="00476193">
      <w:pPr>
        <w:pStyle w:val="FootnoteText"/>
        <w:rPr>
          <w:lang w:val="en-US"/>
        </w:rPr>
      </w:pPr>
      <w:r>
        <w:rPr>
          <w:rStyle w:val="FootnoteReference"/>
        </w:rPr>
        <w:footnoteRef/>
      </w:r>
      <w:r>
        <w:t xml:space="preserve"> </w:t>
      </w:r>
      <w:r>
        <w:rPr>
          <w:lang w:val="en-US"/>
        </w:rPr>
        <w:tab/>
      </w:r>
      <w:r w:rsidRPr="005A4819">
        <w:rPr>
          <w:lang w:val="en-US"/>
        </w:rPr>
        <w:t>Knikman</w:t>
      </w:r>
      <w:r>
        <w:rPr>
          <w:lang w:val="en-US"/>
        </w:rPr>
        <w:t>, JE</w:t>
      </w:r>
      <w:r w:rsidRPr="005A4819">
        <w:rPr>
          <w:lang w:val="en-US"/>
        </w:rPr>
        <w:t xml:space="preserve"> </w:t>
      </w:r>
      <w:r w:rsidRPr="00BC23FF">
        <w:rPr>
          <w:i/>
          <w:iCs/>
          <w:lang w:val="en-US"/>
        </w:rPr>
        <w:t>et</w:t>
      </w:r>
      <w:r>
        <w:rPr>
          <w:i/>
          <w:iCs/>
          <w:lang w:val="en-US"/>
        </w:rPr>
        <w:t xml:space="preserve"> </w:t>
      </w:r>
      <w:r w:rsidRPr="00BC23FF">
        <w:rPr>
          <w:i/>
          <w:iCs/>
          <w:lang w:val="en-US"/>
        </w:rPr>
        <w:t>al.</w:t>
      </w:r>
      <w:r>
        <w:rPr>
          <w:i/>
          <w:iCs/>
          <w:lang w:val="en-US"/>
        </w:rPr>
        <w:t xml:space="preserve"> </w:t>
      </w:r>
      <w:hyperlink r:id="rId6" w:history="1">
        <w:r w:rsidRPr="00294DAA">
          <w:rPr>
            <w:rStyle w:val="Hyperlink"/>
            <w:lang w:val="en-US"/>
          </w:rPr>
          <w:t>Discovering novel germline genetic variants linked to severe fluoropyrimidine-related toxicity in- and outside DPYD</w:t>
        </w:r>
      </w:hyperlink>
      <w:r w:rsidRPr="005A4819">
        <w:rPr>
          <w:lang w:val="en-US"/>
        </w:rPr>
        <w:t xml:space="preserve">. </w:t>
      </w:r>
      <w:r w:rsidRPr="00BC23FF">
        <w:rPr>
          <w:i/>
          <w:lang w:val="en-US"/>
        </w:rPr>
        <w:t>Genome Med</w:t>
      </w:r>
      <w:r>
        <w:rPr>
          <w:i/>
          <w:lang w:val="en-US"/>
        </w:rPr>
        <w:t>.</w:t>
      </w:r>
      <w:r w:rsidRPr="005A4819">
        <w:rPr>
          <w:lang w:val="en-US"/>
        </w:rPr>
        <w:t xml:space="preserve"> </w:t>
      </w:r>
      <w:r>
        <w:rPr>
          <w:lang w:val="en-US"/>
        </w:rPr>
        <w:t xml:space="preserve">2024; </w:t>
      </w:r>
      <w:r w:rsidRPr="005A4819">
        <w:rPr>
          <w:lang w:val="en-US"/>
        </w:rPr>
        <w:t>16</w:t>
      </w:r>
      <w:r>
        <w:rPr>
          <w:lang w:val="en-US"/>
        </w:rPr>
        <w:t>(1)</w:t>
      </w:r>
      <w:r w:rsidRPr="005A4819">
        <w:rPr>
          <w:lang w:val="en-US"/>
        </w:rPr>
        <w:t>, 101.</w:t>
      </w:r>
    </w:p>
  </w:footnote>
  <w:footnote w:id="37">
    <w:p w14:paraId="256A0965" w14:textId="77777777" w:rsidR="00476193" w:rsidRPr="005A4819" w:rsidRDefault="00476193" w:rsidP="00476193">
      <w:pPr>
        <w:pStyle w:val="FootnoteText"/>
        <w:rPr>
          <w:lang w:val="en-US"/>
        </w:rPr>
      </w:pPr>
      <w:r>
        <w:rPr>
          <w:rStyle w:val="FootnoteReference"/>
        </w:rPr>
        <w:footnoteRef/>
      </w:r>
      <w:r>
        <w:t xml:space="preserve"> </w:t>
      </w:r>
      <w:r>
        <w:rPr>
          <w:lang w:val="en-US"/>
        </w:rPr>
        <w:tab/>
      </w:r>
      <w:r w:rsidRPr="005A4819">
        <w:rPr>
          <w:lang w:val="en-US"/>
        </w:rPr>
        <w:t xml:space="preserve">Chan, </w:t>
      </w:r>
      <w:r>
        <w:rPr>
          <w:lang w:val="en-US"/>
        </w:rPr>
        <w:t xml:space="preserve">TH </w:t>
      </w:r>
      <w:r w:rsidRPr="00BC23FF">
        <w:rPr>
          <w:i/>
          <w:iCs/>
          <w:lang w:val="en-US"/>
        </w:rPr>
        <w:t>et al</w:t>
      </w:r>
      <w:r>
        <w:rPr>
          <w:i/>
          <w:iCs/>
          <w:lang w:val="en-US"/>
        </w:rPr>
        <w:t>.</w:t>
      </w:r>
      <w:r>
        <w:rPr>
          <w:lang w:val="en-US"/>
        </w:rPr>
        <w:t xml:space="preserve"> </w:t>
      </w:r>
      <w:hyperlink r:id="rId7" w:history="1">
        <w:r w:rsidRPr="00294DAA">
          <w:rPr>
            <w:rStyle w:val="Hyperlink"/>
            <w:lang w:val="en-US"/>
          </w:rPr>
          <w:t>DPYD genetic polymorphisms in non-European patients with severe fluoropyrimidine-related toxicity: a systematic review</w:t>
        </w:r>
      </w:hyperlink>
      <w:r w:rsidRPr="005A4819">
        <w:rPr>
          <w:lang w:val="en-US"/>
        </w:rPr>
        <w:t>. </w:t>
      </w:r>
      <w:r w:rsidRPr="00BC23FF">
        <w:rPr>
          <w:i/>
          <w:iCs/>
          <w:lang w:val="en-US"/>
        </w:rPr>
        <w:t>Br J Cancer</w:t>
      </w:r>
      <w:r>
        <w:rPr>
          <w:i/>
          <w:iCs/>
          <w:lang w:val="en-US"/>
        </w:rPr>
        <w:t>.</w:t>
      </w:r>
      <w:r w:rsidRPr="005A4819">
        <w:rPr>
          <w:lang w:val="en-US"/>
        </w:rPr>
        <w:t> </w:t>
      </w:r>
      <w:r>
        <w:rPr>
          <w:lang w:val="en-US"/>
        </w:rPr>
        <w:t>2024;</w:t>
      </w:r>
      <w:r w:rsidRPr="005A4819">
        <w:rPr>
          <w:lang w:val="en-US"/>
        </w:rPr>
        <w:t>131</w:t>
      </w:r>
      <w:r>
        <w:rPr>
          <w:lang w:val="en-US"/>
        </w:rPr>
        <w:t>(3)</w:t>
      </w:r>
      <w:r w:rsidRPr="005A4819">
        <w:rPr>
          <w:lang w:val="en-US"/>
        </w:rPr>
        <w:t>, 498–514.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35C" w14:textId="77777777" w:rsidR="0081402D" w:rsidRDefault="0081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43E8" w14:textId="77777777" w:rsidR="0081402D" w:rsidRDefault="00814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5AF7" w14:textId="77777777" w:rsidR="0081402D" w:rsidRDefault="0081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312"/>
    <w:multiLevelType w:val="hybridMultilevel"/>
    <w:tmpl w:val="CA301C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8A1A1F"/>
    <w:multiLevelType w:val="hybridMultilevel"/>
    <w:tmpl w:val="9E34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506AF"/>
    <w:multiLevelType w:val="multilevel"/>
    <w:tmpl w:val="25464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F1EE5"/>
    <w:multiLevelType w:val="multilevel"/>
    <w:tmpl w:val="1D26A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317AC"/>
    <w:multiLevelType w:val="hybridMultilevel"/>
    <w:tmpl w:val="AF70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A1EB6"/>
    <w:multiLevelType w:val="hybridMultilevel"/>
    <w:tmpl w:val="D6980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688D"/>
    <w:multiLevelType w:val="multilevel"/>
    <w:tmpl w:val="7AB04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41355"/>
    <w:multiLevelType w:val="hybridMultilevel"/>
    <w:tmpl w:val="C1F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F5830"/>
    <w:multiLevelType w:val="hybridMultilevel"/>
    <w:tmpl w:val="D78C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F756FF"/>
    <w:multiLevelType w:val="hybridMultilevel"/>
    <w:tmpl w:val="606C6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C352BD3"/>
    <w:multiLevelType w:val="multilevel"/>
    <w:tmpl w:val="01DC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73288"/>
    <w:multiLevelType w:val="multilevel"/>
    <w:tmpl w:val="9E98C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2634E"/>
    <w:multiLevelType w:val="hybridMultilevel"/>
    <w:tmpl w:val="C52CAF1C"/>
    <w:lvl w:ilvl="0" w:tplc="4266974A">
      <w:start w:val="1"/>
      <w:numFmt w:val="bullet"/>
      <w:pStyle w:val="2024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56F7C"/>
    <w:multiLevelType w:val="hybridMultilevel"/>
    <w:tmpl w:val="7464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7007C"/>
    <w:multiLevelType w:val="hybridMultilevel"/>
    <w:tmpl w:val="A09A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C2E09"/>
    <w:multiLevelType w:val="hybridMultilevel"/>
    <w:tmpl w:val="A5F404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A13122C"/>
    <w:multiLevelType w:val="multilevel"/>
    <w:tmpl w:val="89AABD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38974FD"/>
    <w:multiLevelType w:val="multilevel"/>
    <w:tmpl w:val="342C0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1F44A4"/>
    <w:multiLevelType w:val="multilevel"/>
    <w:tmpl w:val="F5822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7B17280"/>
    <w:multiLevelType w:val="multilevel"/>
    <w:tmpl w:val="D35A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0448E"/>
    <w:multiLevelType w:val="hybridMultilevel"/>
    <w:tmpl w:val="9E6A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F40BE"/>
    <w:multiLevelType w:val="hybridMultilevel"/>
    <w:tmpl w:val="DFA8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894771"/>
    <w:multiLevelType w:val="multilevel"/>
    <w:tmpl w:val="0B76F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B0738E"/>
    <w:multiLevelType w:val="hybridMultilevel"/>
    <w:tmpl w:val="D2A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E726F"/>
    <w:multiLevelType w:val="hybridMultilevel"/>
    <w:tmpl w:val="CB865DC6"/>
    <w:styleLink w:val="ESSectionheading-numbered"/>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AA1970"/>
    <w:multiLevelType w:val="hybridMultilevel"/>
    <w:tmpl w:val="1B92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E81FDC"/>
    <w:multiLevelType w:val="hybridMultilevel"/>
    <w:tmpl w:val="6DDC2E00"/>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8C1340"/>
    <w:multiLevelType w:val="multilevel"/>
    <w:tmpl w:val="F23EB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599217373">
    <w:abstractNumId w:val="37"/>
  </w:num>
  <w:num w:numId="2" w16cid:durableId="428281271">
    <w:abstractNumId w:val="5"/>
  </w:num>
  <w:num w:numId="3" w16cid:durableId="972756168">
    <w:abstractNumId w:val="34"/>
  </w:num>
  <w:num w:numId="4" w16cid:durableId="1510948615">
    <w:abstractNumId w:val="11"/>
  </w:num>
  <w:num w:numId="5" w16cid:durableId="873888792">
    <w:abstractNumId w:val="13"/>
  </w:num>
  <w:num w:numId="6" w16cid:durableId="1178497594">
    <w:abstractNumId w:val="15"/>
  </w:num>
  <w:num w:numId="7" w16cid:durableId="700083540">
    <w:abstractNumId w:val="16"/>
  </w:num>
  <w:num w:numId="8" w16cid:durableId="1194726595">
    <w:abstractNumId w:val="23"/>
  </w:num>
  <w:num w:numId="9" w16cid:durableId="1475442563">
    <w:abstractNumId w:val="18"/>
  </w:num>
  <w:num w:numId="10" w16cid:durableId="1824662646">
    <w:abstractNumId w:val="31"/>
  </w:num>
  <w:num w:numId="11" w16cid:durableId="1366327174">
    <w:abstractNumId w:val="32"/>
  </w:num>
  <w:num w:numId="12" w16cid:durableId="2088843049">
    <w:abstractNumId w:val="29"/>
  </w:num>
  <w:num w:numId="13" w16cid:durableId="1541698893">
    <w:abstractNumId w:val="28"/>
  </w:num>
  <w:num w:numId="14" w16cid:durableId="550725343">
    <w:abstractNumId w:val="19"/>
  </w:num>
  <w:num w:numId="15" w16cid:durableId="1927299321">
    <w:abstractNumId w:val="20"/>
  </w:num>
  <w:num w:numId="16" w16cid:durableId="157769528">
    <w:abstractNumId w:val="21"/>
  </w:num>
  <w:num w:numId="17" w16cid:durableId="302271723">
    <w:abstractNumId w:val="4"/>
  </w:num>
  <w:num w:numId="18" w16cid:durableId="863206465">
    <w:abstractNumId w:val="10"/>
  </w:num>
  <w:num w:numId="19" w16cid:durableId="719017914">
    <w:abstractNumId w:val="36"/>
  </w:num>
  <w:num w:numId="20" w16cid:durableId="1306396605">
    <w:abstractNumId w:val="25"/>
  </w:num>
  <w:num w:numId="21" w16cid:durableId="1021854541">
    <w:abstractNumId w:val="3"/>
  </w:num>
  <w:num w:numId="22" w16cid:durableId="533689440">
    <w:abstractNumId w:val="17"/>
  </w:num>
  <w:num w:numId="23" w16cid:durableId="620957224">
    <w:abstractNumId w:val="26"/>
  </w:num>
  <w:num w:numId="24" w16cid:durableId="983043873">
    <w:abstractNumId w:val="24"/>
  </w:num>
  <w:num w:numId="25" w16cid:durableId="140582946">
    <w:abstractNumId w:val="22"/>
  </w:num>
  <w:num w:numId="26" w16cid:durableId="1246303243">
    <w:abstractNumId w:val="35"/>
  </w:num>
  <w:num w:numId="27" w16cid:durableId="1689479852">
    <w:abstractNumId w:val="7"/>
  </w:num>
  <w:num w:numId="28" w16cid:durableId="1851217485">
    <w:abstractNumId w:val="1"/>
  </w:num>
  <w:num w:numId="29" w16cid:durableId="2001692995">
    <w:abstractNumId w:val="27"/>
  </w:num>
  <w:num w:numId="30" w16cid:durableId="960917808">
    <w:abstractNumId w:val="6"/>
  </w:num>
  <w:num w:numId="31" w16cid:durableId="486944044">
    <w:abstractNumId w:val="9"/>
  </w:num>
  <w:num w:numId="32" w16cid:durableId="124978832">
    <w:abstractNumId w:val="33"/>
  </w:num>
  <w:num w:numId="33" w16cid:durableId="1304235516">
    <w:abstractNumId w:val="12"/>
  </w:num>
  <w:num w:numId="34" w16cid:durableId="209728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8400369">
    <w:abstractNumId w:val="30"/>
  </w:num>
  <w:num w:numId="36" w16cid:durableId="1312254788">
    <w:abstractNumId w:val="8"/>
  </w:num>
  <w:num w:numId="37" w16cid:durableId="1451976502">
    <w:abstractNumId w:val="2"/>
  </w:num>
  <w:num w:numId="38" w16cid:durableId="20930411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cademy Engraved LE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s0f0fr1t59voexvtfxdf0jxrtsf500wwxr&quot;&gt;DCAR 1760&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8&lt;/item&gt;&lt;item&gt;29&lt;/item&gt;&lt;item&gt;30&lt;/item&gt;&lt;item&gt;33&lt;/item&gt;&lt;item&gt;34&lt;/item&gt;&lt;item&gt;35&lt;/item&gt;&lt;item&gt;36&lt;/item&gt;&lt;item&gt;37&lt;/item&gt;&lt;item&gt;38&lt;/item&gt;&lt;item&gt;39&lt;/item&gt;&lt;item&gt;40&lt;/item&gt;&lt;item&gt;41&lt;/item&gt;&lt;item&gt;43&lt;/item&gt;&lt;item&gt;44&lt;/item&gt;&lt;item&gt;45&lt;/item&gt;&lt;item&gt;46&lt;/item&gt;&lt;item&gt;48&lt;/item&gt;&lt;item&gt;50&lt;/item&gt;&lt;item&gt;51&lt;/item&gt;&lt;item&gt;52&lt;/item&gt;&lt;item&gt;53&lt;/item&gt;&lt;item&gt;54&lt;/item&gt;&lt;item&gt;55&lt;/item&gt;&lt;item&gt;56&lt;/item&gt;&lt;item&gt;57&lt;/item&gt;&lt;item&gt;58&lt;/item&gt;&lt;item&gt;59&lt;/item&gt;&lt;item&gt;61&lt;/item&gt;&lt;item&gt;73&lt;/item&gt;&lt;item&gt;74&lt;/item&gt;&lt;item&gt;76&lt;/item&gt;&lt;item&gt;78&lt;/item&gt;&lt;item&gt;79&lt;/item&gt;&lt;item&gt;80&lt;/item&gt;&lt;item&gt;83&lt;/item&gt;&lt;item&gt;84&lt;/item&gt;&lt;item&gt;85&lt;/item&gt;&lt;item&gt;86&lt;/item&gt;&lt;/record-ids&gt;&lt;/item&gt;&lt;/Libraries&gt;"/>
  </w:docVars>
  <w:rsids>
    <w:rsidRoot w:val="008157F1"/>
    <w:rsid w:val="000003AC"/>
    <w:rsid w:val="000003AE"/>
    <w:rsid w:val="0000050B"/>
    <w:rsid w:val="000007F7"/>
    <w:rsid w:val="000008FA"/>
    <w:rsid w:val="000009D3"/>
    <w:rsid w:val="00000ACC"/>
    <w:rsid w:val="00000C08"/>
    <w:rsid w:val="00000DF7"/>
    <w:rsid w:val="00000F9C"/>
    <w:rsid w:val="0000109A"/>
    <w:rsid w:val="00001100"/>
    <w:rsid w:val="00001248"/>
    <w:rsid w:val="000012C3"/>
    <w:rsid w:val="0000133A"/>
    <w:rsid w:val="000013F2"/>
    <w:rsid w:val="0000148F"/>
    <w:rsid w:val="000014E5"/>
    <w:rsid w:val="00001877"/>
    <w:rsid w:val="00001900"/>
    <w:rsid w:val="000019FA"/>
    <w:rsid w:val="00001A56"/>
    <w:rsid w:val="00001AE6"/>
    <w:rsid w:val="00001B10"/>
    <w:rsid w:val="00001BF3"/>
    <w:rsid w:val="00001C88"/>
    <w:rsid w:val="00001D68"/>
    <w:rsid w:val="00001D98"/>
    <w:rsid w:val="00001EBF"/>
    <w:rsid w:val="00001EDB"/>
    <w:rsid w:val="00001F68"/>
    <w:rsid w:val="00001F77"/>
    <w:rsid w:val="00001FBB"/>
    <w:rsid w:val="00002012"/>
    <w:rsid w:val="000020C5"/>
    <w:rsid w:val="00002186"/>
    <w:rsid w:val="00002199"/>
    <w:rsid w:val="000021CF"/>
    <w:rsid w:val="000021EB"/>
    <w:rsid w:val="00002235"/>
    <w:rsid w:val="00002327"/>
    <w:rsid w:val="00002670"/>
    <w:rsid w:val="00002944"/>
    <w:rsid w:val="000029CB"/>
    <w:rsid w:val="00002A4C"/>
    <w:rsid w:val="00002B5D"/>
    <w:rsid w:val="00002B8C"/>
    <w:rsid w:val="00002BAB"/>
    <w:rsid w:val="00002BF8"/>
    <w:rsid w:val="00002C47"/>
    <w:rsid w:val="00002C83"/>
    <w:rsid w:val="00002F00"/>
    <w:rsid w:val="00002F1D"/>
    <w:rsid w:val="00003197"/>
    <w:rsid w:val="00003307"/>
    <w:rsid w:val="0000357A"/>
    <w:rsid w:val="00003672"/>
    <w:rsid w:val="000036F8"/>
    <w:rsid w:val="00003802"/>
    <w:rsid w:val="00003B42"/>
    <w:rsid w:val="00003BBE"/>
    <w:rsid w:val="00003C21"/>
    <w:rsid w:val="00003C6D"/>
    <w:rsid w:val="00003CCF"/>
    <w:rsid w:val="00003D27"/>
    <w:rsid w:val="00003DED"/>
    <w:rsid w:val="00004138"/>
    <w:rsid w:val="00004182"/>
    <w:rsid w:val="000041AA"/>
    <w:rsid w:val="000041F1"/>
    <w:rsid w:val="00004309"/>
    <w:rsid w:val="0000434D"/>
    <w:rsid w:val="000045AB"/>
    <w:rsid w:val="00004712"/>
    <w:rsid w:val="00004C14"/>
    <w:rsid w:val="00004CB9"/>
    <w:rsid w:val="00004D69"/>
    <w:rsid w:val="00004F79"/>
    <w:rsid w:val="00004F7F"/>
    <w:rsid w:val="00004FD1"/>
    <w:rsid w:val="000052C7"/>
    <w:rsid w:val="000054C3"/>
    <w:rsid w:val="000054C9"/>
    <w:rsid w:val="00005592"/>
    <w:rsid w:val="00005732"/>
    <w:rsid w:val="000057CD"/>
    <w:rsid w:val="00005AF4"/>
    <w:rsid w:val="00005D6C"/>
    <w:rsid w:val="000061F7"/>
    <w:rsid w:val="0000620A"/>
    <w:rsid w:val="0000629C"/>
    <w:rsid w:val="000064E2"/>
    <w:rsid w:val="000066F2"/>
    <w:rsid w:val="00006B02"/>
    <w:rsid w:val="00006CDE"/>
    <w:rsid w:val="00006D8C"/>
    <w:rsid w:val="00006E8C"/>
    <w:rsid w:val="00006EE5"/>
    <w:rsid w:val="000070D9"/>
    <w:rsid w:val="0000713D"/>
    <w:rsid w:val="00007261"/>
    <w:rsid w:val="000072BF"/>
    <w:rsid w:val="000072CE"/>
    <w:rsid w:val="000072D7"/>
    <w:rsid w:val="00007454"/>
    <w:rsid w:val="000075A2"/>
    <w:rsid w:val="00007686"/>
    <w:rsid w:val="000079E9"/>
    <w:rsid w:val="00007BB2"/>
    <w:rsid w:val="00007C78"/>
    <w:rsid w:val="00007D09"/>
    <w:rsid w:val="00007EBA"/>
    <w:rsid w:val="00007EE3"/>
    <w:rsid w:val="00007F6E"/>
    <w:rsid w:val="0001000F"/>
    <w:rsid w:val="00010075"/>
    <w:rsid w:val="00010244"/>
    <w:rsid w:val="0001033D"/>
    <w:rsid w:val="00010625"/>
    <w:rsid w:val="00010683"/>
    <w:rsid w:val="00010CC9"/>
    <w:rsid w:val="00010CF6"/>
    <w:rsid w:val="00010F7D"/>
    <w:rsid w:val="00011110"/>
    <w:rsid w:val="000111FE"/>
    <w:rsid w:val="000112C5"/>
    <w:rsid w:val="000112CB"/>
    <w:rsid w:val="00011385"/>
    <w:rsid w:val="000113B0"/>
    <w:rsid w:val="000114FB"/>
    <w:rsid w:val="00011568"/>
    <w:rsid w:val="00011658"/>
    <w:rsid w:val="0001183F"/>
    <w:rsid w:val="00011A16"/>
    <w:rsid w:val="00011D3A"/>
    <w:rsid w:val="00011DDB"/>
    <w:rsid w:val="00011DE9"/>
    <w:rsid w:val="00011E32"/>
    <w:rsid w:val="00011FB0"/>
    <w:rsid w:val="000121DD"/>
    <w:rsid w:val="000122E1"/>
    <w:rsid w:val="000123E5"/>
    <w:rsid w:val="000124D0"/>
    <w:rsid w:val="00012526"/>
    <w:rsid w:val="0001252F"/>
    <w:rsid w:val="00012579"/>
    <w:rsid w:val="000127BB"/>
    <w:rsid w:val="00012876"/>
    <w:rsid w:val="000128E2"/>
    <w:rsid w:val="00012B99"/>
    <w:rsid w:val="00012BD2"/>
    <w:rsid w:val="00012DF1"/>
    <w:rsid w:val="00012E55"/>
    <w:rsid w:val="00012EFA"/>
    <w:rsid w:val="000130A6"/>
    <w:rsid w:val="00013937"/>
    <w:rsid w:val="000139FF"/>
    <w:rsid w:val="00013C21"/>
    <w:rsid w:val="00013CC2"/>
    <w:rsid w:val="00013DCD"/>
    <w:rsid w:val="00013E81"/>
    <w:rsid w:val="00014130"/>
    <w:rsid w:val="000142F6"/>
    <w:rsid w:val="0001442B"/>
    <w:rsid w:val="000145A0"/>
    <w:rsid w:val="0001472C"/>
    <w:rsid w:val="000147EF"/>
    <w:rsid w:val="000147F1"/>
    <w:rsid w:val="00014974"/>
    <w:rsid w:val="00014A6F"/>
    <w:rsid w:val="00014AAB"/>
    <w:rsid w:val="00014C05"/>
    <w:rsid w:val="00014EF8"/>
    <w:rsid w:val="00015137"/>
    <w:rsid w:val="00015348"/>
    <w:rsid w:val="0001538C"/>
    <w:rsid w:val="00015415"/>
    <w:rsid w:val="00015738"/>
    <w:rsid w:val="000157A8"/>
    <w:rsid w:val="000158BD"/>
    <w:rsid w:val="00015B4A"/>
    <w:rsid w:val="00015BBB"/>
    <w:rsid w:val="00015C88"/>
    <w:rsid w:val="00015E1B"/>
    <w:rsid w:val="00015F13"/>
    <w:rsid w:val="00016035"/>
    <w:rsid w:val="0001607C"/>
    <w:rsid w:val="00016090"/>
    <w:rsid w:val="0001627E"/>
    <w:rsid w:val="000162CC"/>
    <w:rsid w:val="0001639F"/>
    <w:rsid w:val="00016448"/>
    <w:rsid w:val="000164BB"/>
    <w:rsid w:val="000165C2"/>
    <w:rsid w:val="000167C7"/>
    <w:rsid w:val="000169E3"/>
    <w:rsid w:val="00016A87"/>
    <w:rsid w:val="00016AE2"/>
    <w:rsid w:val="00016C7B"/>
    <w:rsid w:val="00016CD3"/>
    <w:rsid w:val="00016F38"/>
    <w:rsid w:val="00017032"/>
    <w:rsid w:val="0001703F"/>
    <w:rsid w:val="00017216"/>
    <w:rsid w:val="0001752E"/>
    <w:rsid w:val="00017655"/>
    <w:rsid w:val="00017693"/>
    <w:rsid w:val="000176B2"/>
    <w:rsid w:val="0001796E"/>
    <w:rsid w:val="00017BF9"/>
    <w:rsid w:val="00017C6B"/>
    <w:rsid w:val="00017E53"/>
    <w:rsid w:val="000202AE"/>
    <w:rsid w:val="000203C9"/>
    <w:rsid w:val="000206FF"/>
    <w:rsid w:val="000208CF"/>
    <w:rsid w:val="00020A1D"/>
    <w:rsid w:val="00020A85"/>
    <w:rsid w:val="00020C8A"/>
    <w:rsid w:val="00020D83"/>
    <w:rsid w:val="00020DF2"/>
    <w:rsid w:val="00020F28"/>
    <w:rsid w:val="00020F9E"/>
    <w:rsid w:val="000211BF"/>
    <w:rsid w:val="0002136B"/>
    <w:rsid w:val="000214C6"/>
    <w:rsid w:val="00021527"/>
    <w:rsid w:val="000216FB"/>
    <w:rsid w:val="0002173B"/>
    <w:rsid w:val="0002178C"/>
    <w:rsid w:val="00021AFA"/>
    <w:rsid w:val="00021CEA"/>
    <w:rsid w:val="00021E15"/>
    <w:rsid w:val="00021EB5"/>
    <w:rsid w:val="00021FC8"/>
    <w:rsid w:val="0002200D"/>
    <w:rsid w:val="000221BB"/>
    <w:rsid w:val="00022344"/>
    <w:rsid w:val="0002236F"/>
    <w:rsid w:val="0002278C"/>
    <w:rsid w:val="0002279F"/>
    <w:rsid w:val="000228AF"/>
    <w:rsid w:val="000228B8"/>
    <w:rsid w:val="00022927"/>
    <w:rsid w:val="000229A0"/>
    <w:rsid w:val="000229C1"/>
    <w:rsid w:val="00022A17"/>
    <w:rsid w:val="00022D5C"/>
    <w:rsid w:val="000232D7"/>
    <w:rsid w:val="000232D9"/>
    <w:rsid w:val="000233AA"/>
    <w:rsid w:val="000234AF"/>
    <w:rsid w:val="00023528"/>
    <w:rsid w:val="0002381B"/>
    <w:rsid w:val="0002387B"/>
    <w:rsid w:val="000238ED"/>
    <w:rsid w:val="00023A7A"/>
    <w:rsid w:val="00023B93"/>
    <w:rsid w:val="00023C86"/>
    <w:rsid w:val="00023DB1"/>
    <w:rsid w:val="0002419B"/>
    <w:rsid w:val="000241EF"/>
    <w:rsid w:val="00024299"/>
    <w:rsid w:val="000242F2"/>
    <w:rsid w:val="000242F4"/>
    <w:rsid w:val="00024326"/>
    <w:rsid w:val="00024409"/>
    <w:rsid w:val="00024493"/>
    <w:rsid w:val="000244FA"/>
    <w:rsid w:val="00024977"/>
    <w:rsid w:val="00024B78"/>
    <w:rsid w:val="00024C67"/>
    <w:rsid w:val="00024D8F"/>
    <w:rsid w:val="00024EA5"/>
    <w:rsid w:val="00025148"/>
    <w:rsid w:val="00025150"/>
    <w:rsid w:val="00025190"/>
    <w:rsid w:val="00025252"/>
    <w:rsid w:val="000252D7"/>
    <w:rsid w:val="000252F0"/>
    <w:rsid w:val="0002537B"/>
    <w:rsid w:val="00025899"/>
    <w:rsid w:val="00025B2C"/>
    <w:rsid w:val="00025B2E"/>
    <w:rsid w:val="00025B2F"/>
    <w:rsid w:val="00025C5E"/>
    <w:rsid w:val="00025C60"/>
    <w:rsid w:val="00025D2B"/>
    <w:rsid w:val="00026016"/>
    <w:rsid w:val="000262EB"/>
    <w:rsid w:val="0002638A"/>
    <w:rsid w:val="0002657E"/>
    <w:rsid w:val="00026589"/>
    <w:rsid w:val="000267E0"/>
    <w:rsid w:val="00026A8D"/>
    <w:rsid w:val="00026A96"/>
    <w:rsid w:val="00026B2C"/>
    <w:rsid w:val="00026B45"/>
    <w:rsid w:val="00026D3A"/>
    <w:rsid w:val="00026DF5"/>
    <w:rsid w:val="00026EE9"/>
    <w:rsid w:val="00026F3F"/>
    <w:rsid w:val="000273CD"/>
    <w:rsid w:val="0002755F"/>
    <w:rsid w:val="0002767B"/>
    <w:rsid w:val="000276C3"/>
    <w:rsid w:val="000276FA"/>
    <w:rsid w:val="0002777A"/>
    <w:rsid w:val="000278AE"/>
    <w:rsid w:val="000278CC"/>
    <w:rsid w:val="0002798B"/>
    <w:rsid w:val="00027A88"/>
    <w:rsid w:val="00027AF5"/>
    <w:rsid w:val="00027C1F"/>
    <w:rsid w:val="00027C3D"/>
    <w:rsid w:val="00027CDB"/>
    <w:rsid w:val="00027FD5"/>
    <w:rsid w:val="00027FDF"/>
    <w:rsid w:val="00030151"/>
    <w:rsid w:val="0003018F"/>
    <w:rsid w:val="00030427"/>
    <w:rsid w:val="000304A1"/>
    <w:rsid w:val="00030579"/>
    <w:rsid w:val="00030584"/>
    <w:rsid w:val="000306D9"/>
    <w:rsid w:val="000308BD"/>
    <w:rsid w:val="000308C2"/>
    <w:rsid w:val="00030927"/>
    <w:rsid w:val="0003092C"/>
    <w:rsid w:val="00030AE1"/>
    <w:rsid w:val="00030B7C"/>
    <w:rsid w:val="00030BD1"/>
    <w:rsid w:val="00030F77"/>
    <w:rsid w:val="00031004"/>
    <w:rsid w:val="00031208"/>
    <w:rsid w:val="00031331"/>
    <w:rsid w:val="00031445"/>
    <w:rsid w:val="00031569"/>
    <w:rsid w:val="000315B2"/>
    <w:rsid w:val="0003194A"/>
    <w:rsid w:val="0003199E"/>
    <w:rsid w:val="00031A01"/>
    <w:rsid w:val="00031BD2"/>
    <w:rsid w:val="00031D03"/>
    <w:rsid w:val="00031F38"/>
    <w:rsid w:val="00031FC2"/>
    <w:rsid w:val="00031FE4"/>
    <w:rsid w:val="000321A6"/>
    <w:rsid w:val="000321FE"/>
    <w:rsid w:val="000322D0"/>
    <w:rsid w:val="00032314"/>
    <w:rsid w:val="000323C7"/>
    <w:rsid w:val="00032454"/>
    <w:rsid w:val="00032546"/>
    <w:rsid w:val="00032685"/>
    <w:rsid w:val="0003269F"/>
    <w:rsid w:val="00032763"/>
    <w:rsid w:val="000327AE"/>
    <w:rsid w:val="00032B7E"/>
    <w:rsid w:val="00032B91"/>
    <w:rsid w:val="00032C72"/>
    <w:rsid w:val="00032C85"/>
    <w:rsid w:val="00032DCC"/>
    <w:rsid w:val="0003307D"/>
    <w:rsid w:val="000334B3"/>
    <w:rsid w:val="00033540"/>
    <w:rsid w:val="0003361F"/>
    <w:rsid w:val="00033704"/>
    <w:rsid w:val="0003375D"/>
    <w:rsid w:val="00033907"/>
    <w:rsid w:val="00033A14"/>
    <w:rsid w:val="00033AD0"/>
    <w:rsid w:val="00033F06"/>
    <w:rsid w:val="00033F81"/>
    <w:rsid w:val="0003401B"/>
    <w:rsid w:val="0003408F"/>
    <w:rsid w:val="0003414C"/>
    <w:rsid w:val="0003423A"/>
    <w:rsid w:val="0003450C"/>
    <w:rsid w:val="00034662"/>
    <w:rsid w:val="0003477F"/>
    <w:rsid w:val="000347F3"/>
    <w:rsid w:val="00034CA6"/>
    <w:rsid w:val="00034D9B"/>
    <w:rsid w:val="00034DB2"/>
    <w:rsid w:val="00034E5D"/>
    <w:rsid w:val="00034F07"/>
    <w:rsid w:val="00034FC4"/>
    <w:rsid w:val="00034FD0"/>
    <w:rsid w:val="000351CE"/>
    <w:rsid w:val="00035238"/>
    <w:rsid w:val="000355A6"/>
    <w:rsid w:val="000355F8"/>
    <w:rsid w:val="000357D1"/>
    <w:rsid w:val="000359D6"/>
    <w:rsid w:val="00035A7F"/>
    <w:rsid w:val="00035AEA"/>
    <w:rsid w:val="00035BAC"/>
    <w:rsid w:val="00035BE6"/>
    <w:rsid w:val="00035C20"/>
    <w:rsid w:val="00035C82"/>
    <w:rsid w:val="00035D39"/>
    <w:rsid w:val="00035F67"/>
    <w:rsid w:val="000360FF"/>
    <w:rsid w:val="00036230"/>
    <w:rsid w:val="000362C1"/>
    <w:rsid w:val="00036432"/>
    <w:rsid w:val="0003666E"/>
    <w:rsid w:val="000366D7"/>
    <w:rsid w:val="0003672D"/>
    <w:rsid w:val="000367BA"/>
    <w:rsid w:val="000369E5"/>
    <w:rsid w:val="00036A07"/>
    <w:rsid w:val="00036A0E"/>
    <w:rsid w:val="00036A3C"/>
    <w:rsid w:val="00036ACD"/>
    <w:rsid w:val="00036AD8"/>
    <w:rsid w:val="00036AF5"/>
    <w:rsid w:val="00036D08"/>
    <w:rsid w:val="00036D98"/>
    <w:rsid w:val="00036F05"/>
    <w:rsid w:val="00036FC1"/>
    <w:rsid w:val="00037004"/>
    <w:rsid w:val="00037037"/>
    <w:rsid w:val="000370D7"/>
    <w:rsid w:val="00037105"/>
    <w:rsid w:val="00037107"/>
    <w:rsid w:val="00037201"/>
    <w:rsid w:val="00037302"/>
    <w:rsid w:val="000374D8"/>
    <w:rsid w:val="00037716"/>
    <w:rsid w:val="000377E1"/>
    <w:rsid w:val="00037B01"/>
    <w:rsid w:val="00037FFE"/>
    <w:rsid w:val="0004005D"/>
    <w:rsid w:val="000400CD"/>
    <w:rsid w:val="0004017F"/>
    <w:rsid w:val="000402C9"/>
    <w:rsid w:val="000402F0"/>
    <w:rsid w:val="000404D6"/>
    <w:rsid w:val="00040679"/>
    <w:rsid w:val="000407BF"/>
    <w:rsid w:val="00040A7E"/>
    <w:rsid w:val="00040AC8"/>
    <w:rsid w:val="00040ADF"/>
    <w:rsid w:val="00040C54"/>
    <w:rsid w:val="00040D56"/>
    <w:rsid w:val="00040DD8"/>
    <w:rsid w:val="00040E6D"/>
    <w:rsid w:val="00040FB4"/>
    <w:rsid w:val="000412C5"/>
    <w:rsid w:val="000415A5"/>
    <w:rsid w:val="000415B1"/>
    <w:rsid w:val="000415BF"/>
    <w:rsid w:val="00041679"/>
    <w:rsid w:val="0004174F"/>
    <w:rsid w:val="0004178C"/>
    <w:rsid w:val="00041845"/>
    <w:rsid w:val="00041977"/>
    <w:rsid w:val="000419E5"/>
    <w:rsid w:val="00041BCC"/>
    <w:rsid w:val="00041F5D"/>
    <w:rsid w:val="0004208F"/>
    <w:rsid w:val="00042180"/>
    <w:rsid w:val="000421C5"/>
    <w:rsid w:val="00042477"/>
    <w:rsid w:val="0004251F"/>
    <w:rsid w:val="000429E1"/>
    <w:rsid w:val="000429FA"/>
    <w:rsid w:val="00042B28"/>
    <w:rsid w:val="00042B6A"/>
    <w:rsid w:val="00042C9F"/>
    <w:rsid w:val="00042DD6"/>
    <w:rsid w:val="00042EBD"/>
    <w:rsid w:val="000431F7"/>
    <w:rsid w:val="000433C9"/>
    <w:rsid w:val="00043451"/>
    <w:rsid w:val="000435BA"/>
    <w:rsid w:val="0004363C"/>
    <w:rsid w:val="0004372B"/>
    <w:rsid w:val="0004373B"/>
    <w:rsid w:val="000438CE"/>
    <w:rsid w:val="0004396F"/>
    <w:rsid w:val="000439C0"/>
    <w:rsid w:val="00043A67"/>
    <w:rsid w:val="00043CB1"/>
    <w:rsid w:val="00043F54"/>
    <w:rsid w:val="000442BE"/>
    <w:rsid w:val="000443A6"/>
    <w:rsid w:val="000443DD"/>
    <w:rsid w:val="0004443E"/>
    <w:rsid w:val="000444EB"/>
    <w:rsid w:val="00044556"/>
    <w:rsid w:val="00044612"/>
    <w:rsid w:val="000447E1"/>
    <w:rsid w:val="00044849"/>
    <w:rsid w:val="000449D1"/>
    <w:rsid w:val="000449F1"/>
    <w:rsid w:val="00044BF5"/>
    <w:rsid w:val="00044C62"/>
    <w:rsid w:val="00044E3F"/>
    <w:rsid w:val="00044E53"/>
    <w:rsid w:val="000451AA"/>
    <w:rsid w:val="0004521A"/>
    <w:rsid w:val="000453B8"/>
    <w:rsid w:val="0004557C"/>
    <w:rsid w:val="00045835"/>
    <w:rsid w:val="000459BD"/>
    <w:rsid w:val="000459C9"/>
    <w:rsid w:val="00045A08"/>
    <w:rsid w:val="00045ACB"/>
    <w:rsid w:val="00045B52"/>
    <w:rsid w:val="00045B8D"/>
    <w:rsid w:val="00045CC5"/>
    <w:rsid w:val="00045F01"/>
    <w:rsid w:val="00045F0D"/>
    <w:rsid w:val="00045F13"/>
    <w:rsid w:val="00045F5D"/>
    <w:rsid w:val="00045FE3"/>
    <w:rsid w:val="0004618F"/>
    <w:rsid w:val="00046194"/>
    <w:rsid w:val="0004622B"/>
    <w:rsid w:val="000462BD"/>
    <w:rsid w:val="0004651B"/>
    <w:rsid w:val="0004659E"/>
    <w:rsid w:val="000465DF"/>
    <w:rsid w:val="0004661E"/>
    <w:rsid w:val="0004666C"/>
    <w:rsid w:val="0004674A"/>
    <w:rsid w:val="000467FD"/>
    <w:rsid w:val="00046ADA"/>
    <w:rsid w:val="00046B6A"/>
    <w:rsid w:val="00046B9B"/>
    <w:rsid w:val="00046C9D"/>
    <w:rsid w:val="00046D1A"/>
    <w:rsid w:val="00046F54"/>
    <w:rsid w:val="0004707D"/>
    <w:rsid w:val="000471D3"/>
    <w:rsid w:val="000472D4"/>
    <w:rsid w:val="0004736A"/>
    <w:rsid w:val="00047504"/>
    <w:rsid w:val="00047553"/>
    <w:rsid w:val="00047568"/>
    <w:rsid w:val="00047673"/>
    <w:rsid w:val="000477BA"/>
    <w:rsid w:val="000478EF"/>
    <w:rsid w:val="0004791A"/>
    <w:rsid w:val="000479CF"/>
    <w:rsid w:val="00047B2C"/>
    <w:rsid w:val="00047D6D"/>
    <w:rsid w:val="00047D85"/>
    <w:rsid w:val="00047DC0"/>
    <w:rsid w:val="00047FE9"/>
    <w:rsid w:val="00050281"/>
    <w:rsid w:val="000505F6"/>
    <w:rsid w:val="0005063D"/>
    <w:rsid w:val="00050A40"/>
    <w:rsid w:val="00050B0A"/>
    <w:rsid w:val="00050C93"/>
    <w:rsid w:val="00050CC9"/>
    <w:rsid w:val="00050CFC"/>
    <w:rsid w:val="00050DDF"/>
    <w:rsid w:val="00050FD5"/>
    <w:rsid w:val="000511D2"/>
    <w:rsid w:val="00051479"/>
    <w:rsid w:val="00051553"/>
    <w:rsid w:val="00051696"/>
    <w:rsid w:val="00051698"/>
    <w:rsid w:val="000517A7"/>
    <w:rsid w:val="00051901"/>
    <w:rsid w:val="000519CF"/>
    <w:rsid w:val="00051B0A"/>
    <w:rsid w:val="00051B90"/>
    <w:rsid w:val="00051BE7"/>
    <w:rsid w:val="00051C93"/>
    <w:rsid w:val="00051E3E"/>
    <w:rsid w:val="00051EFC"/>
    <w:rsid w:val="00051F1E"/>
    <w:rsid w:val="00051F50"/>
    <w:rsid w:val="00051FD0"/>
    <w:rsid w:val="00052181"/>
    <w:rsid w:val="0005234D"/>
    <w:rsid w:val="0005237A"/>
    <w:rsid w:val="00052381"/>
    <w:rsid w:val="0005244A"/>
    <w:rsid w:val="00052507"/>
    <w:rsid w:val="00052539"/>
    <w:rsid w:val="000527D6"/>
    <w:rsid w:val="00052877"/>
    <w:rsid w:val="0005287E"/>
    <w:rsid w:val="000529CA"/>
    <w:rsid w:val="00052B43"/>
    <w:rsid w:val="00052D2E"/>
    <w:rsid w:val="00052D73"/>
    <w:rsid w:val="00052D74"/>
    <w:rsid w:val="00052DD3"/>
    <w:rsid w:val="00052F71"/>
    <w:rsid w:val="0005304A"/>
    <w:rsid w:val="00053127"/>
    <w:rsid w:val="0005312F"/>
    <w:rsid w:val="00053177"/>
    <w:rsid w:val="0005326D"/>
    <w:rsid w:val="000532ED"/>
    <w:rsid w:val="00053453"/>
    <w:rsid w:val="000535F3"/>
    <w:rsid w:val="000537F3"/>
    <w:rsid w:val="00053806"/>
    <w:rsid w:val="000538B0"/>
    <w:rsid w:val="00053E54"/>
    <w:rsid w:val="00053F6C"/>
    <w:rsid w:val="000540E4"/>
    <w:rsid w:val="000540F4"/>
    <w:rsid w:val="00054386"/>
    <w:rsid w:val="00054392"/>
    <w:rsid w:val="000545B0"/>
    <w:rsid w:val="000546B8"/>
    <w:rsid w:val="000546E3"/>
    <w:rsid w:val="000546ED"/>
    <w:rsid w:val="0005489A"/>
    <w:rsid w:val="000548B2"/>
    <w:rsid w:val="00054C0F"/>
    <w:rsid w:val="00054C62"/>
    <w:rsid w:val="00054CB1"/>
    <w:rsid w:val="00054D10"/>
    <w:rsid w:val="00054DA7"/>
    <w:rsid w:val="00054F24"/>
    <w:rsid w:val="00054FE6"/>
    <w:rsid w:val="0005504D"/>
    <w:rsid w:val="00055131"/>
    <w:rsid w:val="000552BB"/>
    <w:rsid w:val="00055393"/>
    <w:rsid w:val="00055729"/>
    <w:rsid w:val="00055787"/>
    <w:rsid w:val="000557D8"/>
    <w:rsid w:val="00055921"/>
    <w:rsid w:val="000559DB"/>
    <w:rsid w:val="00055A5E"/>
    <w:rsid w:val="00055C5B"/>
    <w:rsid w:val="00055C7D"/>
    <w:rsid w:val="00055DF6"/>
    <w:rsid w:val="00055EEA"/>
    <w:rsid w:val="00055F34"/>
    <w:rsid w:val="00056162"/>
    <w:rsid w:val="0005617B"/>
    <w:rsid w:val="0005617C"/>
    <w:rsid w:val="000561C6"/>
    <w:rsid w:val="00056215"/>
    <w:rsid w:val="0005641C"/>
    <w:rsid w:val="00056497"/>
    <w:rsid w:val="0005661E"/>
    <w:rsid w:val="00056780"/>
    <w:rsid w:val="000567E9"/>
    <w:rsid w:val="00056BE7"/>
    <w:rsid w:val="00056D98"/>
    <w:rsid w:val="00057024"/>
    <w:rsid w:val="000571BE"/>
    <w:rsid w:val="0005723B"/>
    <w:rsid w:val="00057271"/>
    <w:rsid w:val="000572CA"/>
    <w:rsid w:val="00057321"/>
    <w:rsid w:val="00057334"/>
    <w:rsid w:val="00057639"/>
    <w:rsid w:val="00057651"/>
    <w:rsid w:val="00057BB3"/>
    <w:rsid w:val="00057CDB"/>
    <w:rsid w:val="00057DF5"/>
    <w:rsid w:val="00057E93"/>
    <w:rsid w:val="00057F68"/>
    <w:rsid w:val="0006007B"/>
    <w:rsid w:val="000602DB"/>
    <w:rsid w:val="0006095F"/>
    <w:rsid w:val="00060C8E"/>
    <w:rsid w:val="00060DC1"/>
    <w:rsid w:val="00060DDB"/>
    <w:rsid w:val="00060DF0"/>
    <w:rsid w:val="00060EC2"/>
    <w:rsid w:val="0006147C"/>
    <w:rsid w:val="000614F8"/>
    <w:rsid w:val="00061630"/>
    <w:rsid w:val="00061844"/>
    <w:rsid w:val="0006195E"/>
    <w:rsid w:val="000619A8"/>
    <w:rsid w:val="00061A08"/>
    <w:rsid w:val="00061A99"/>
    <w:rsid w:val="00061B80"/>
    <w:rsid w:val="00062038"/>
    <w:rsid w:val="00062353"/>
    <w:rsid w:val="000624DF"/>
    <w:rsid w:val="00062621"/>
    <w:rsid w:val="000626C0"/>
    <w:rsid w:val="000628FF"/>
    <w:rsid w:val="000629F7"/>
    <w:rsid w:val="00062BC3"/>
    <w:rsid w:val="00062DF1"/>
    <w:rsid w:val="00062FD6"/>
    <w:rsid w:val="00062FEB"/>
    <w:rsid w:val="00063110"/>
    <w:rsid w:val="0006318C"/>
    <w:rsid w:val="0006321B"/>
    <w:rsid w:val="0006339C"/>
    <w:rsid w:val="00063423"/>
    <w:rsid w:val="00063615"/>
    <w:rsid w:val="00063689"/>
    <w:rsid w:val="00063693"/>
    <w:rsid w:val="000636CF"/>
    <w:rsid w:val="00063A1B"/>
    <w:rsid w:val="00063B29"/>
    <w:rsid w:val="00063B96"/>
    <w:rsid w:val="00063BFC"/>
    <w:rsid w:val="00063E90"/>
    <w:rsid w:val="00063FF3"/>
    <w:rsid w:val="00064050"/>
    <w:rsid w:val="00064082"/>
    <w:rsid w:val="0006408D"/>
    <w:rsid w:val="000640E8"/>
    <w:rsid w:val="00064297"/>
    <w:rsid w:val="000642A0"/>
    <w:rsid w:val="0006437E"/>
    <w:rsid w:val="0006439B"/>
    <w:rsid w:val="00064411"/>
    <w:rsid w:val="0006447A"/>
    <w:rsid w:val="000644B5"/>
    <w:rsid w:val="000645DC"/>
    <w:rsid w:val="00064649"/>
    <w:rsid w:val="0006467C"/>
    <w:rsid w:val="0006474C"/>
    <w:rsid w:val="00064759"/>
    <w:rsid w:val="00064783"/>
    <w:rsid w:val="000647C2"/>
    <w:rsid w:val="00064A48"/>
    <w:rsid w:val="00064BF8"/>
    <w:rsid w:val="00064C0B"/>
    <w:rsid w:val="00064D0A"/>
    <w:rsid w:val="00064D63"/>
    <w:rsid w:val="00064DAD"/>
    <w:rsid w:val="00064DC0"/>
    <w:rsid w:val="00064DE6"/>
    <w:rsid w:val="00064E60"/>
    <w:rsid w:val="0006524E"/>
    <w:rsid w:val="0006528B"/>
    <w:rsid w:val="000658F2"/>
    <w:rsid w:val="000659BD"/>
    <w:rsid w:val="00065B0B"/>
    <w:rsid w:val="00065B2D"/>
    <w:rsid w:val="00065B81"/>
    <w:rsid w:val="00065DCD"/>
    <w:rsid w:val="00065E39"/>
    <w:rsid w:val="00065EF7"/>
    <w:rsid w:val="00065F92"/>
    <w:rsid w:val="00066087"/>
    <w:rsid w:val="0006622E"/>
    <w:rsid w:val="0006634D"/>
    <w:rsid w:val="0006639E"/>
    <w:rsid w:val="00066433"/>
    <w:rsid w:val="000664B7"/>
    <w:rsid w:val="00066678"/>
    <w:rsid w:val="000667AE"/>
    <w:rsid w:val="000668CF"/>
    <w:rsid w:val="00066A1F"/>
    <w:rsid w:val="00066C13"/>
    <w:rsid w:val="00066D90"/>
    <w:rsid w:val="00066E1E"/>
    <w:rsid w:val="00066EAC"/>
    <w:rsid w:val="00066EDA"/>
    <w:rsid w:val="0006739C"/>
    <w:rsid w:val="0006743B"/>
    <w:rsid w:val="00067551"/>
    <w:rsid w:val="00067603"/>
    <w:rsid w:val="000677A6"/>
    <w:rsid w:val="000677FD"/>
    <w:rsid w:val="0006781E"/>
    <w:rsid w:val="00067866"/>
    <w:rsid w:val="000678C9"/>
    <w:rsid w:val="000678CD"/>
    <w:rsid w:val="0006791D"/>
    <w:rsid w:val="00067A25"/>
    <w:rsid w:val="00067A3A"/>
    <w:rsid w:val="00067BB1"/>
    <w:rsid w:val="00067BD1"/>
    <w:rsid w:val="00067BDF"/>
    <w:rsid w:val="00067C0C"/>
    <w:rsid w:val="00067D27"/>
    <w:rsid w:val="00067DA0"/>
    <w:rsid w:val="00067FF9"/>
    <w:rsid w:val="000700D9"/>
    <w:rsid w:val="00070179"/>
    <w:rsid w:val="0007021F"/>
    <w:rsid w:val="00070281"/>
    <w:rsid w:val="00070415"/>
    <w:rsid w:val="00070428"/>
    <w:rsid w:val="00070531"/>
    <w:rsid w:val="0007083D"/>
    <w:rsid w:val="0007089D"/>
    <w:rsid w:val="000709A0"/>
    <w:rsid w:val="000709BA"/>
    <w:rsid w:val="00070A11"/>
    <w:rsid w:val="00070A60"/>
    <w:rsid w:val="00070B46"/>
    <w:rsid w:val="00070B63"/>
    <w:rsid w:val="00070C81"/>
    <w:rsid w:val="00070CEA"/>
    <w:rsid w:val="00070D10"/>
    <w:rsid w:val="00070D9B"/>
    <w:rsid w:val="00070DDB"/>
    <w:rsid w:val="00070FE0"/>
    <w:rsid w:val="0007136D"/>
    <w:rsid w:val="00071585"/>
    <w:rsid w:val="000716B3"/>
    <w:rsid w:val="000717CE"/>
    <w:rsid w:val="000717DB"/>
    <w:rsid w:val="00071A49"/>
    <w:rsid w:val="00071A70"/>
    <w:rsid w:val="00071C38"/>
    <w:rsid w:val="00071DFB"/>
    <w:rsid w:val="00071E06"/>
    <w:rsid w:val="00071F41"/>
    <w:rsid w:val="00071F59"/>
    <w:rsid w:val="000721C1"/>
    <w:rsid w:val="0007239E"/>
    <w:rsid w:val="000724A4"/>
    <w:rsid w:val="000725F7"/>
    <w:rsid w:val="00072648"/>
    <w:rsid w:val="00072727"/>
    <w:rsid w:val="0007290A"/>
    <w:rsid w:val="00072950"/>
    <w:rsid w:val="00072A48"/>
    <w:rsid w:val="00072AE3"/>
    <w:rsid w:val="00072AFC"/>
    <w:rsid w:val="00072B5F"/>
    <w:rsid w:val="00072B81"/>
    <w:rsid w:val="00072E2D"/>
    <w:rsid w:val="00073038"/>
    <w:rsid w:val="00073189"/>
    <w:rsid w:val="00073223"/>
    <w:rsid w:val="00073251"/>
    <w:rsid w:val="00073439"/>
    <w:rsid w:val="0007375C"/>
    <w:rsid w:val="000737E2"/>
    <w:rsid w:val="00073829"/>
    <w:rsid w:val="00073835"/>
    <w:rsid w:val="00073883"/>
    <w:rsid w:val="000738B7"/>
    <w:rsid w:val="00073911"/>
    <w:rsid w:val="00073B43"/>
    <w:rsid w:val="00073C47"/>
    <w:rsid w:val="00073F13"/>
    <w:rsid w:val="00073F6A"/>
    <w:rsid w:val="00073FA3"/>
    <w:rsid w:val="00074022"/>
    <w:rsid w:val="00074199"/>
    <w:rsid w:val="000743D1"/>
    <w:rsid w:val="000744AA"/>
    <w:rsid w:val="000744FD"/>
    <w:rsid w:val="0007453C"/>
    <w:rsid w:val="000745AC"/>
    <w:rsid w:val="00074616"/>
    <w:rsid w:val="0007461E"/>
    <w:rsid w:val="0007466D"/>
    <w:rsid w:val="00074808"/>
    <w:rsid w:val="00074870"/>
    <w:rsid w:val="0007488E"/>
    <w:rsid w:val="0007494C"/>
    <w:rsid w:val="00074983"/>
    <w:rsid w:val="00074A67"/>
    <w:rsid w:val="00074A91"/>
    <w:rsid w:val="00074D78"/>
    <w:rsid w:val="00074D91"/>
    <w:rsid w:val="00074DA2"/>
    <w:rsid w:val="000751FA"/>
    <w:rsid w:val="000752DD"/>
    <w:rsid w:val="000752FF"/>
    <w:rsid w:val="00075505"/>
    <w:rsid w:val="00075526"/>
    <w:rsid w:val="0007552C"/>
    <w:rsid w:val="000755AC"/>
    <w:rsid w:val="0007560D"/>
    <w:rsid w:val="00075750"/>
    <w:rsid w:val="000757A0"/>
    <w:rsid w:val="000759C6"/>
    <w:rsid w:val="000759DA"/>
    <w:rsid w:val="00075A6F"/>
    <w:rsid w:val="00075B54"/>
    <w:rsid w:val="00075B61"/>
    <w:rsid w:val="00075B6D"/>
    <w:rsid w:val="00075CA4"/>
    <w:rsid w:val="00075E57"/>
    <w:rsid w:val="00075E88"/>
    <w:rsid w:val="00075FA9"/>
    <w:rsid w:val="000762EE"/>
    <w:rsid w:val="000763C2"/>
    <w:rsid w:val="000766A6"/>
    <w:rsid w:val="000766CD"/>
    <w:rsid w:val="00076772"/>
    <w:rsid w:val="00076962"/>
    <w:rsid w:val="0007698F"/>
    <w:rsid w:val="000769AC"/>
    <w:rsid w:val="00076B51"/>
    <w:rsid w:val="00076BA7"/>
    <w:rsid w:val="00076C38"/>
    <w:rsid w:val="00076C65"/>
    <w:rsid w:val="0007716D"/>
    <w:rsid w:val="00077247"/>
    <w:rsid w:val="00077339"/>
    <w:rsid w:val="00077412"/>
    <w:rsid w:val="00077425"/>
    <w:rsid w:val="000775A3"/>
    <w:rsid w:val="000775D0"/>
    <w:rsid w:val="000776B9"/>
    <w:rsid w:val="000776C7"/>
    <w:rsid w:val="00077779"/>
    <w:rsid w:val="00077919"/>
    <w:rsid w:val="00077CE2"/>
    <w:rsid w:val="00077E52"/>
    <w:rsid w:val="00077F4F"/>
    <w:rsid w:val="00077F8B"/>
    <w:rsid w:val="0008013B"/>
    <w:rsid w:val="0008013E"/>
    <w:rsid w:val="00080241"/>
    <w:rsid w:val="000802A2"/>
    <w:rsid w:val="000803A2"/>
    <w:rsid w:val="000804BC"/>
    <w:rsid w:val="00080683"/>
    <w:rsid w:val="0008080E"/>
    <w:rsid w:val="0008094B"/>
    <w:rsid w:val="000809DE"/>
    <w:rsid w:val="00080E0F"/>
    <w:rsid w:val="000810A7"/>
    <w:rsid w:val="000811AB"/>
    <w:rsid w:val="000812C7"/>
    <w:rsid w:val="00081462"/>
    <w:rsid w:val="00081588"/>
    <w:rsid w:val="00081778"/>
    <w:rsid w:val="00081779"/>
    <w:rsid w:val="000819F0"/>
    <w:rsid w:val="00081B24"/>
    <w:rsid w:val="00081E70"/>
    <w:rsid w:val="00081ECC"/>
    <w:rsid w:val="00082450"/>
    <w:rsid w:val="00082477"/>
    <w:rsid w:val="000825A2"/>
    <w:rsid w:val="0008269E"/>
    <w:rsid w:val="000826B4"/>
    <w:rsid w:val="000828AD"/>
    <w:rsid w:val="00082C6C"/>
    <w:rsid w:val="00082CA5"/>
    <w:rsid w:val="00082D52"/>
    <w:rsid w:val="00082DC4"/>
    <w:rsid w:val="00082FAA"/>
    <w:rsid w:val="00082FB3"/>
    <w:rsid w:val="0008315F"/>
    <w:rsid w:val="0008319B"/>
    <w:rsid w:val="000832AD"/>
    <w:rsid w:val="00083363"/>
    <w:rsid w:val="0008343C"/>
    <w:rsid w:val="000835D0"/>
    <w:rsid w:val="0008376D"/>
    <w:rsid w:val="00083835"/>
    <w:rsid w:val="0008384F"/>
    <w:rsid w:val="00083A13"/>
    <w:rsid w:val="00083A6D"/>
    <w:rsid w:val="00083FB7"/>
    <w:rsid w:val="00084049"/>
    <w:rsid w:val="00084088"/>
    <w:rsid w:val="000840BA"/>
    <w:rsid w:val="000840DC"/>
    <w:rsid w:val="0008413F"/>
    <w:rsid w:val="0008428B"/>
    <w:rsid w:val="000846BB"/>
    <w:rsid w:val="000847AA"/>
    <w:rsid w:val="00084891"/>
    <w:rsid w:val="000848BD"/>
    <w:rsid w:val="00084990"/>
    <w:rsid w:val="000849BA"/>
    <w:rsid w:val="00084BA5"/>
    <w:rsid w:val="00084C69"/>
    <w:rsid w:val="00084D12"/>
    <w:rsid w:val="00084E23"/>
    <w:rsid w:val="00084E49"/>
    <w:rsid w:val="00084F39"/>
    <w:rsid w:val="0008558B"/>
    <w:rsid w:val="00085697"/>
    <w:rsid w:val="000857D6"/>
    <w:rsid w:val="000858AA"/>
    <w:rsid w:val="000858E1"/>
    <w:rsid w:val="000859D5"/>
    <w:rsid w:val="00085A18"/>
    <w:rsid w:val="00085AFF"/>
    <w:rsid w:val="00085D83"/>
    <w:rsid w:val="00085E5D"/>
    <w:rsid w:val="00085ECC"/>
    <w:rsid w:val="0008608C"/>
    <w:rsid w:val="0008615E"/>
    <w:rsid w:val="00086292"/>
    <w:rsid w:val="0008631F"/>
    <w:rsid w:val="00086345"/>
    <w:rsid w:val="000863B8"/>
    <w:rsid w:val="000864AA"/>
    <w:rsid w:val="0008664F"/>
    <w:rsid w:val="000867E6"/>
    <w:rsid w:val="00086834"/>
    <w:rsid w:val="00086839"/>
    <w:rsid w:val="000868F8"/>
    <w:rsid w:val="0008690B"/>
    <w:rsid w:val="00086A49"/>
    <w:rsid w:val="00086B22"/>
    <w:rsid w:val="00086BA7"/>
    <w:rsid w:val="00086FA3"/>
    <w:rsid w:val="00087055"/>
    <w:rsid w:val="0008708A"/>
    <w:rsid w:val="000870B0"/>
    <w:rsid w:val="000870B6"/>
    <w:rsid w:val="0008734E"/>
    <w:rsid w:val="000873F3"/>
    <w:rsid w:val="00087444"/>
    <w:rsid w:val="00087505"/>
    <w:rsid w:val="00087586"/>
    <w:rsid w:val="000875F6"/>
    <w:rsid w:val="000876E9"/>
    <w:rsid w:val="000878D0"/>
    <w:rsid w:val="000879EC"/>
    <w:rsid w:val="00087A68"/>
    <w:rsid w:val="00087B07"/>
    <w:rsid w:val="00087B0C"/>
    <w:rsid w:val="00087B76"/>
    <w:rsid w:val="000902C0"/>
    <w:rsid w:val="00090312"/>
    <w:rsid w:val="00090613"/>
    <w:rsid w:val="0009067A"/>
    <w:rsid w:val="0009068F"/>
    <w:rsid w:val="000907FE"/>
    <w:rsid w:val="000908AD"/>
    <w:rsid w:val="00090B16"/>
    <w:rsid w:val="00090B82"/>
    <w:rsid w:val="00090BD1"/>
    <w:rsid w:val="00090CCA"/>
    <w:rsid w:val="00090DB6"/>
    <w:rsid w:val="00090DE2"/>
    <w:rsid w:val="00090EED"/>
    <w:rsid w:val="00090FFF"/>
    <w:rsid w:val="000910C0"/>
    <w:rsid w:val="0009123F"/>
    <w:rsid w:val="0009137F"/>
    <w:rsid w:val="00091670"/>
    <w:rsid w:val="00091857"/>
    <w:rsid w:val="000918EA"/>
    <w:rsid w:val="0009193C"/>
    <w:rsid w:val="0009195F"/>
    <w:rsid w:val="00091B7A"/>
    <w:rsid w:val="00091BBF"/>
    <w:rsid w:val="00091BCE"/>
    <w:rsid w:val="00091C59"/>
    <w:rsid w:val="00091E2C"/>
    <w:rsid w:val="00091E2D"/>
    <w:rsid w:val="00091E9E"/>
    <w:rsid w:val="00092121"/>
    <w:rsid w:val="000921E4"/>
    <w:rsid w:val="000922F7"/>
    <w:rsid w:val="00092337"/>
    <w:rsid w:val="000924DD"/>
    <w:rsid w:val="000925A3"/>
    <w:rsid w:val="0009264D"/>
    <w:rsid w:val="00092788"/>
    <w:rsid w:val="000927DC"/>
    <w:rsid w:val="000928DD"/>
    <w:rsid w:val="00092934"/>
    <w:rsid w:val="00092A21"/>
    <w:rsid w:val="00092CEA"/>
    <w:rsid w:val="00092D0D"/>
    <w:rsid w:val="00092E74"/>
    <w:rsid w:val="000931A6"/>
    <w:rsid w:val="00093208"/>
    <w:rsid w:val="00093212"/>
    <w:rsid w:val="0009329B"/>
    <w:rsid w:val="000932C0"/>
    <w:rsid w:val="000933F4"/>
    <w:rsid w:val="000934D6"/>
    <w:rsid w:val="000935E6"/>
    <w:rsid w:val="000937E2"/>
    <w:rsid w:val="0009383E"/>
    <w:rsid w:val="0009385D"/>
    <w:rsid w:val="000938BA"/>
    <w:rsid w:val="00093BE3"/>
    <w:rsid w:val="00093D9A"/>
    <w:rsid w:val="00093F38"/>
    <w:rsid w:val="000942D7"/>
    <w:rsid w:val="0009433F"/>
    <w:rsid w:val="00094372"/>
    <w:rsid w:val="000945F7"/>
    <w:rsid w:val="00094656"/>
    <w:rsid w:val="000946C3"/>
    <w:rsid w:val="00094717"/>
    <w:rsid w:val="00094769"/>
    <w:rsid w:val="00094912"/>
    <w:rsid w:val="00094928"/>
    <w:rsid w:val="00094ACC"/>
    <w:rsid w:val="00094C03"/>
    <w:rsid w:val="00094C50"/>
    <w:rsid w:val="00094CA1"/>
    <w:rsid w:val="00094DCB"/>
    <w:rsid w:val="00094F45"/>
    <w:rsid w:val="00094FAD"/>
    <w:rsid w:val="0009577B"/>
    <w:rsid w:val="00095802"/>
    <w:rsid w:val="00095880"/>
    <w:rsid w:val="00095AE7"/>
    <w:rsid w:val="00095B0E"/>
    <w:rsid w:val="00095B81"/>
    <w:rsid w:val="00095CD9"/>
    <w:rsid w:val="00095EBD"/>
    <w:rsid w:val="0009624B"/>
    <w:rsid w:val="0009637A"/>
    <w:rsid w:val="000963ED"/>
    <w:rsid w:val="000964CE"/>
    <w:rsid w:val="000965B4"/>
    <w:rsid w:val="000969EE"/>
    <w:rsid w:val="000969FD"/>
    <w:rsid w:val="00096B52"/>
    <w:rsid w:val="00096B88"/>
    <w:rsid w:val="00096C89"/>
    <w:rsid w:val="00096DB3"/>
    <w:rsid w:val="00096E1E"/>
    <w:rsid w:val="00096F68"/>
    <w:rsid w:val="00097031"/>
    <w:rsid w:val="0009718D"/>
    <w:rsid w:val="00097274"/>
    <w:rsid w:val="0009728B"/>
    <w:rsid w:val="00097318"/>
    <w:rsid w:val="00097390"/>
    <w:rsid w:val="000973AE"/>
    <w:rsid w:val="000974D0"/>
    <w:rsid w:val="00097529"/>
    <w:rsid w:val="00097593"/>
    <w:rsid w:val="00097613"/>
    <w:rsid w:val="00097637"/>
    <w:rsid w:val="00097710"/>
    <w:rsid w:val="0009776F"/>
    <w:rsid w:val="0009777D"/>
    <w:rsid w:val="00097846"/>
    <w:rsid w:val="00097850"/>
    <w:rsid w:val="00097857"/>
    <w:rsid w:val="0009787F"/>
    <w:rsid w:val="000979B8"/>
    <w:rsid w:val="00097A03"/>
    <w:rsid w:val="00097A18"/>
    <w:rsid w:val="00097ABB"/>
    <w:rsid w:val="00097BC8"/>
    <w:rsid w:val="00097C9F"/>
    <w:rsid w:val="00097DA6"/>
    <w:rsid w:val="00097F76"/>
    <w:rsid w:val="00097FFC"/>
    <w:rsid w:val="000A0033"/>
    <w:rsid w:val="000A00FB"/>
    <w:rsid w:val="000A02D3"/>
    <w:rsid w:val="000A0322"/>
    <w:rsid w:val="000A0344"/>
    <w:rsid w:val="000A090C"/>
    <w:rsid w:val="000A0A81"/>
    <w:rsid w:val="000A0AB5"/>
    <w:rsid w:val="000A0ADD"/>
    <w:rsid w:val="000A0D8A"/>
    <w:rsid w:val="000A0E2D"/>
    <w:rsid w:val="000A0EC5"/>
    <w:rsid w:val="000A0F06"/>
    <w:rsid w:val="000A0F11"/>
    <w:rsid w:val="000A0F1B"/>
    <w:rsid w:val="000A0F97"/>
    <w:rsid w:val="000A10BF"/>
    <w:rsid w:val="000A120A"/>
    <w:rsid w:val="000A1269"/>
    <w:rsid w:val="000A13BF"/>
    <w:rsid w:val="000A1406"/>
    <w:rsid w:val="000A1451"/>
    <w:rsid w:val="000A14C0"/>
    <w:rsid w:val="000A155D"/>
    <w:rsid w:val="000A1694"/>
    <w:rsid w:val="000A1780"/>
    <w:rsid w:val="000A17DE"/>
    <w:rsid w:val="000A1B8E"/>
    <w:rsid w:val="000A1BF5"/>
    <w:rsid w:val="000A1D01"/>
    <w:rsid w:val="000A1D56"/>
    <w:rsid w:val="000A1D6E"/>
    <w:rsid w:val="000A1E95"/>
    <w:rsid w:val="000A2109"/>
    <w:rsid w:val="000A2261"/>
    <w:rsid w:val="000A230E"/>
    <w:rsid w:val="000A247B"/>
    <w:rsid w:val="000A27DB"/>
    <w:rsid w:val="000A28CA"/>
    <w:rsid w:val="000A2922"/>
    <w:rsid w:val="000A29D3"/>
    <w:rsid w:val="000A2ACD"/>
    <w:rsid w:val="000A2B65"/>
    <w:rsid w:val="000A2C85"/>
    <w:rsid w:val="000A2DA8"/>
    <w:rsid w:val="000A2F35"/>
    <w:rsid w:val="000A3079"/>
    <w:rsid w:val="000A30DE"/>
    <w:rsid w:val="000A32A2"/>
    <w:rsid w:val="000A3339"/>
    <w:rsid w:val="000A35AF"/>
    <w:rsid w:val="000A3874"/>
    <w:rsid w:val="000A38FD"/>
    <w:rsid w:val="000A393B"/>
    <w:rsid w:val="000A3A9B"/>
    <w:rsid w:val="000A3C0B"/>
    <w:rsid w:val="000A3CA2"/>
    <w:rsid w:val="000A3D4D"/>
    <w:rsid w:val="000A3F6C"/>
    <w:rsid w:val="000A40BA"/>
    <w:rsid w:val="000A4161"/>
    <w:rsid w:val="000A4397"/>
    <w:rsid w:val="000A43FF"/>
    <w:rsid w:val="000A449A"/>
    <w:rsid w:val="000A4580"/>
    <w:rsid w:val="000A45FD"/>
    <w:rsid w:val="000A4812"/>
    <w:rsid w:val="000A48A9"/>
    <w:rsid w:val="000A48C4"/>
    <w:rsid w:val="000A4928"/>
    <w:rsid w:val="000A4AE9"/>
    <w:rsid w:val="000A4CC8"/>
    <w:rsid w:val="000A4DED"/>
    <w:rsid w:val="000A4EEF"/>
    <w:rsid w:val="000A4F8D"/>
    <w:rsid w:val="000A50EA"/>
    <w:rsid w:val="000A51EA"/>
    <w:rsid w:val="000A5250"/>
    <w:rsid w:val="000A5315"/>
    <w:rsid w:val="000A54B2"/>
    <w:rsid w:val="000A553F"/>
    <w:rsid w:val="000A556E"/>
    <w:rsid w:val="000A55FB"/>
    <w:rsid w:val="000A56E5"/>
    <w:rsid w:val="000A5750"/>
    <w:rsid w:val="000A575E"/>
    <w:rsid w:val="000A596D"/>
    <w:rsid w:val="000A5A64"/>
    <w:rsid w:val="000A5C47"/>
    <w:rsid w:val="000A5DF7"/>
    <w:rsid w:val="000A5DFC"/>
    <w:rsid w:val="000A608C"/>
    <w:rsid w:val="000A614A"/>
    <w:rsid w:val="000A6171"/>
    <w:rsid w:val="000A61E9"/>
    <w:rsid w:val="000A629E"/>
    <w:rsid w:val="000A6415"/>
    <w:rsid w:val="000A6512"/>
    <w:rsid w:val="000A653B"/>
    <w:rsid w:val="000A6593"/>
    <w:rsid w:val="000A65E6"/>
    <w:rsid w:val="000A6740"/>
    <w:rsid w:val="000A6772"/>
    <w:rsid w:val="000A686E"/>
    <w:rsid w:val="000A695A"/>
    <w:rsid w:val="000A69EE"/>
    <w:rsid w:val="000A69F7"/>
    <w:rsid w:val="000A6A79"/>
    <w:rsid w:val="000A6A84"/>
    <w:rsid w:val="000A6B30"/>
    <w:rsid w:val="000A6D73"/>
    <w:rsid w:val="000A6E89"/>
    <w:rsid w:val="000A7235"/>
    <w:rsid w:val="000A7435"/>
    <w:rsid w:val="000A74C0"/>
    <w:rsid w:val="000A7813"/>
    <w:rsid w:val="000A797E"/>
    <w:rsid w:val="000A7BBC"/>
    <w:rsid w:val="000A7BE3"/>
    <w:rsid w:val="000A7EE5"/>
    <w:rsid w:val="000B0148"/>
    <w:rsid w:val="000B025D"/>
    <w:rsid w:val="000B02EF"/>
    <w:rsid w:val="000B03CE"/>
    <w:rsid w:val="000B04CB"/>
    <w:rsid w:val="000B051B"/>
    <w:rsid w:val="000B06A7"/>
    <w:rsid w:val="000B0704"/>
    <w:rsid w:val="000B09A2"/>
    <w:rsid w:val="000B0A2E"/>
    <w:rsid w:val="000B0ABB"/>
    <w:rsid w:val="000B0FC7"/>
    <w:rsid w:val="000B1122"/>
    <w:rsid w:val="000B14B2"/>
    <w:rsid w:val="000B1535"/>
    <w:rsid w:val="000B16FF"/>
    <w:rsid w:val="000B1712"/>
    <w:rsid w:val="000B17FF"/>
    <w:rsid w:val="000B1A1F"/>
    <w:rsid w:val="000B1BA0"/>
    <w:rsid w:val="000B1C3F"/>
    <w:rsid w:val="000B1EBF"/>
    <w:rsid w:val="000B1F7B"/>
    <w:rsid w:val="000B206B"/>
    <w:rsid w:val="000B2138"/>
    <w:rsid w:val="000B217F"/>
    <w:rsid w:val="000B21E1"/>
    <w:rsid w:val="000B22B4"/>
    <w:rsid w:val="000B237E"/>
    <w:rsid w:val="000B24EE"/>
    <w:rsid w:val="000B2597"/>
    <w:rsid w:val="000B25C3"/>
    <w:rsid w:val="000B2694"/>
    <w:rsid w:val="000B27F1"/>
    <w:rsid w:val="000B2891"/>
    <w:rsid w:val="000B2925"/>
    <w:rsid w:val="000B2A37"/>
    <w:rsid w:val="000B2CCF"/>
    <w:rsid w:val="000B2DC1"/>
    <w:rsid w:val="000B3013"/>
    <w:rsid w:val="000B3194"/>
    <w:rsid w:val="000B32C9"/>
    <w:rsid w:val="000B3330"/>
    <w:rsid w:val="000B3357"/>
    <w:rsid w:val="000B3394"/>
    <w:rsid w:val="000B34F1"/>
    <w:rsid w:val="000B3502"/>
    <w:rsid w:val="000B36A5"/>
    <w:rsid w:val="000B3703"/>
    <w:rsid w:val="000B376B"/>
    <w:rsid w:val="000B376D"/>
    <w:rsid w:val="000B37B6"/>
    <w:rsid w:val="000B392D"/>
    <w:rsid w:val="000B3AAC"/>
    <w:rsid w:val="000B3E71"/>
    <w:rsid w:val="000B3EDC"/>
    <w:rsid w:val="000B4021"/>
    <w:rsid w:val="000B41EE"/>
    <w:rsid w:val="000B4250"/>
    <w:rsid w:val="000B427F"/>
    <w:rsid w:val="000B42C6"/>
    <w:rsid w:val="000B4328"/>
    <w:rsid w:val="000B45AF"/>
    <w:rsid w:val="000B45ED"/>
    <w:rsid w:val="000B45F8"/>
    <w:rsid w:val="000B4671"/>
    <w:rsid w:val="000B4698"/>
    <w:rsid w:val="000B469C"/>
    <w:rsid w:val="000B4873"/>
    <w:rsid w:val="000B48AD"/>
    <w:rsid w:val="000B499C"/>
    <w:rsid w:val="000B4A8A"/>
    <w:rsid w:val="000B4DD7"/>
    <w:rsid w:val="000B4DDC"/>
    <w:rsid w:val="000B4ED2"/>
    <w:rsid w:val="000B5054"/>
    <w:rsid w:val="000B50E5"/>
    <w:rsid w:val="000B51BC"/>
    <w:rsid w:val="000B51F5"/>
    <w:rsid w:val="000B52D0"/>
    <w:rsid w:val="000B5382"/>
    <w:rsid w:val="000B54B2"/>
    <w:rsid w:val="000B55D6"/>
    <w:rsid w:val="000B5637"/>
    <w:rsid w:val="000B5877"/>
    <w:rsid w:val="000B5891"/>
    <w:rsid w:val="000B595A"/>
    <w:rsid w:val="000B5AAE"/>
    <w:rsid w:val="000B5B00"/>
    <w:rsid w:val="000B5C5D"/>
    <w:rsid w:val="000B5C5F"/>
    <w:rsid w:val="000B5C97"/>
    <w:rsid w:val="000B5DF4"/>
    <w:rsid w:val="000B5E85"/>
    <w:rsid w:val="000B5FDD"/>
    <w:rsid w:val="000B6023"/>
    <w:rsid w:val="000B6187"/>
    <w:rsid w:val="000B618A"/>
    <w:rsid w:val="000B6433"/>
    <w:rsid w:val="000B64B0"/>
    <w:rsid w:val="000B68EA"/>
    <w:rsid w:val="000B6B9A"/>
    <w:rsid w:val="000B6CF0"/>
    <w:rsid w:val="000B6D5D"/>
    <w:rsid w:val="000B6D78"/>
    <w:rsid w:val="000B6E21"/>
    <w:rsid w:val="000B6F46"/>
    <w:rsid w:val="000B6FD0"/>
    <w:rsid w:val="000B716A"/>
    <w:rsid w:val="000B7193"/>
    <w:rsid w:val="000B71A1"/>
    <w:rsid w:val="000B720C"/>
    <w:rsid w:val="000B7254"/>
    <w:rsid w:val="000B7377"/>
    <w:rsid w:val="000B73F1"/>
    <w:rsid w:val="000B7665"/>
    <w:rsid w:val="000B793D"/>
    <w:rsid w:val="000B79A0"/>
    <w:rsid w:val="000B7AAC"/>
    <w:rsid w:val="000B7B6E"/>
    <w:rsid w:val="000B7C1A"/>
    <w:rsid w:val="000B7C1F"/>
    <w:rsid w:val="000C004A"/>
    <w:rsid w:val="000C00AC"/>
    <w:rsid w:val="000C012C"/>
    <w:rsid w:val="000C035F"/>
    <w:rsid w:val="000C041A"/>
    <w:rsid w:val="000C0451"/>
    <w:rsid w:val="000C049A"/>
    <w:rsid w:val="000C055F"/>
    <w:rsid w:val="000C0720"/>
    <w:rsid w:val="000C07F6"/>
    <w:rsid w:val="000C08F7"/>
    <w:rsid w:val="000C0952"/>
    <w:rsid w:val="000C0B92"/>
    <w:rsid w:val="000C0CD1"/>
    <w:rsid w:val="000C0D09"/>
    <w:rsid w:val="000C0EE2"/>
    <w:rsid w:val="000C0F6E"/>
    <w:rsid w:val="000C0F95"/>
    <w:rsid w:val="000C101B"/>
    <w:rsid w:val="000C1091"/>
    <w:rsid w:val="000C10D8"/>
    <w:rsid w:val="000C1166"/>
    <w:rsid w:val="000C124E"/>
    <w:rsid w:val="000C13AA"/>
    <w:rsid w:val="000C159C"/>
    <w:rsid w:val="000C16E1"/>
    <w:rsid w:val="000C1992"/>
    <w:rsid w:val="000C19F7"/>
    <w:rsid w:val="000C1AFB"/>
    <w:rsid w:val="000C1B12"/>
    <w:rsid w:val="000C1C03"/>
    <w:rsid w:val="000C1C74"/>
    <w:rsid w:val="000C1F44"/>
    <w:rsid w:val="000C2461"/>
    <w:rsid w:val="000C252E"/>
    <w:rsid w:val="000C2549"/>
    <w:rsid w:val="000C25BD"/>
    <w:rsid w:val="000C26F8"/>
    <w:rsid w:val="000C2769"/>
    <w:rsid w:val="000C2836"/>
    <w:rsid w:val="000C2A21"/>
    <w:rsid w:val="000C2B05"/>
    <w:rsid w:val="000C2B44"/>
    <w:rsid w:val="000C2D26"/>
    <w:rsid w:val="000C2DE3"/>
    <w:rsid w:val="000C3088"/>
    <w:rsid w:val="000C31FF"/>
    <w:rsid w:val="000C334C"/>
    <w:rsid w:val="000C342A"/>
    <w:rsid w:val="000C352E"/>
    <w:rsid w:val="000C35E7"/>
    <w:rsid w:val="000C377A"/>
    <w:rsid w:val="000C396C"/>
    <w:rsid w:val="000C3C9C"/>
    <w:rsid w:val="000C3DBB"/>
    <w:rsid w:val="000C3F67"/>
    <w:rsid w:val="000C411B"/>
    <w:rsid w:val="000C4422"/>
    <w:rsid w:val="000C46F8"/>
    <w:rsid w:val="000C4750"/>
    <w:rsid w:val="000C47A3"/>
    <w:rsid w:val="000C489E"/>
    <w:rsid w:val="000C4C3F"/>
    <w:rsid w:val="000C4D48"/>
    <w:rsid w:val="000C4FD5"/>
    <w:rsid w:val="000C5078"/>
    <w:rsid w:val="000C5163"/>
    <w:rsid w:val="000C51E1"/>
    <w:rsid w:val="000C53D3"/>
    <w:rsid w:val="000C5612"/>
    <w:rsid w:val="000C568A"/>
    <w:rsid w:val="000C57D4"/>
    <w:rsid w:val="000C5A73"/>
    <w:rsid w:val="000C5E81"/>
    <w:rsid w:val="000C5ED1"/>
    <w:rsid w:val="000C5FF3"/>
    <w:rsid w:val="000C6066"/>
    <w:rsid w:val="000C628C"/>
    <w:rsid w:val="000C6316"/>
    <w:rsid w:val="000C64BF"/>
    <w:rsid w:val="000C6509"/>
    <w:rsid w:val="000C6576"/>
    <w:rsid w:val="000C69AD"/>
    <w:rsid w:val="000C6A3B"/>
    <w:rsid w:val="000C6A8E"/>
    <w:rsid w:val="000C6B6B"/>
    <w:rsid w:val="000C6EB2"/>
    <w:rsid w:val="000C6EC5"/>
    <w:rsid w:val="000C6F6D"/>
    <w:rsid w:val="000C6FC1"/>
    <w:rsid w:val="000C6FDA"/>
    <w:rsid w:val="000C7082"/>
    <w:rsid w:val="000C720F"/>
    <w:rsid w:val="000C72C3"/>
    <w:rsid w:val="000C7308"/>
    <w:rsid w:val="000C746B"/>
    <w:rsid w:val="000C7526"/>
    <w:rsid w:val="000C7714"/>
    <w:rsid w:val="000C7811"/>
    <w:rsid w:val="000C7890"/>
    <w:rsid w:val="000C79E5"/>
    <w:rsid w:val="000C7B74"/>
    <w:rsid w:val="000C7C06"/>
    <w:rsid w:val="000C7C46"/>
    <w:rsid w:val="000C7C56"/>
    <w:rsid w:val="000C7CD0"/>
    <w:rsid w:val="000C7EA2"/>
    <w:rsid w:val="000D0152"/>
    <w:rsid w:val="000D02BF"/>
    <w:rsid w:val="000D031F"/>
    <w:rsid w:val="000D042B"/>
    <w:rsid w:val="000D04B7"/>
    <w:rsid w:val="000D060D"/>
    <w:rsid w:val="000D0779"/>
    <w:rsid w:val="000D095C"/>
    <w:rsid w:val="000D0A7A"/>
    <w:rsid w:val="000D0AC4"/>
    <w:rsid w:val="000D0B2D"/>
    <w:rsid w:val="000D0D5F"/>
    <w:rsid w:val="000D0D87"/>
    <w:rsid w:val="000D0DD2"/>
    <w:rsid w:val="000D0E3A"/>
    <w:rsid w:val="000D0F5E"/>
    <w:rsid w:val="000D10A7"/>
    <w:rsid w:val="000D10EC"/>
    <w:rsid w:val="000D115E"/>
    <w:rsid w:val="000D120D"/>
    <w:rsid w:val="000D13FF"/>
    <w:rsid w:val="000D1630"/>
    <w:rsid w:val="000D177E"/>
    <w:rsid w:val="000D1B52"/>
    <w:rsid w:val="000D1D6A"/>
    <w:rsid w:val="000D1E4E"/>
    <w:rsid w:val="000D1F9B"/>
    <w:rsid w:val="000D2033"/>
    <w:rsid w:val="000D21DE"/>
    <w:rsid w:val="000D2491"/>
    <w:rsid w:val="000D2688"/>
    <w:rsid w:val="000D2732"/>
    <w:rsid w:val="000D2A4C"/>
    <w:rsid w:val="000D2B43"/>
    <w:rsid w:val="000D2CB5"/>
    <w:rsid w:val="000D2DA2"/>
    <w:rsid w:val="000D2EF2"/>
    <w:rsid w:val="000D3030"/>
    <w:rsid w:val="000D3218"/>
    <w:rsid w:val="000D34F5"/>
    <w:rsid w:val="000D360F"/>
    <w:rsid w:val="000D38A4"/>
    <w:rsid w:val="000D390C"/>
    <w:rsid w:val="000D3968"/>
    <w:rsid w:val="000D3B95"/>
    <w:rsid w:val="000D3DE9"/>
    <w:rsid w:val="000D3F91"/>
    <w:rsid w:val="000D41BD"/>
    <w:rsid w:val="000D4229"/>
    <w:rsid w:val="000D44CD"/>
    <w:rsid w:val="000D45F9"/>
    <w:rsid w:val="000D4648"/>
    <w:rsid w:val="000D46A2"/>
    <w:rsid w:val="000D472F"/>
    <w:rsid w:val="000D47E5"/>
    <w:rsid w:val="000D48CA"/>
    <w:rsid w:val="000D4A5D"/>
    <w:rsid w:val="000D4C1B"/>
    <w:rsid w:val="000D504A"/>
    <w:rsid w:val="000D5318"/>
    <w:rsid w:val="000D547A"/>
    <w:rsid w:val="000D5523"/>
    <w:rsid w:val="000D563D"/>
    <w:rsid w:val="000D5694"/>
    <w:rsid w:val="000D5737"/>
    <w:rsid w:val="000D593F"/>
    <w:rsid w:val="000D5A6E"/>
    <w:rsid w:val="000D5C01"/>
    <w:rsid w:val="000D5C2E"/>
    <w:rsid w:val="000D5DB4"/>
    <w:rsid w:val="000D5E30"/>
    <w:rsid w:val="000D5F1C"/>
    <w:rsid w:val="000D6003"/>
    <w:rsid w:val="000D606A"/>
    <w:rsid w:val="000D643A"/>
    <w:rsid w:val="000D67A5"/>
    <w:rsid w:val="000D6AA4"/>
    <w:rsid w:val="000D6AB7"/>
    <w:rsid w:val="000D6B1D"/>
    <w:rsid w:val="000D6B7F"/>
    <w:rsid w:val="000D6C17"/>
    <w:rsid w:val="000D6C6A"/>
    <w:rsid w:val="000D6C75"/>
    <w:rsid w:val="000D6D32"/>
    <w:rsid w:val="000D6D95"/>
    <w:rsid w:val="000D7259"/>
    <w:rsid w:val="000D746F"/>
    <w:rsid w:val="000D74E0"/>
    <w:rsid w:val="000D74F9"/>
    <w:rsid w:val="000D7506"/>
    <w:rsid w:val="000D762C"/>
    <w:rsid w:val="000D7722"/>
    <w:rsid w:val="000D78B5"/>
    <w:rsid w:val="000D7A1A"/>
    <w:rsid w:val="000D7A3D"/>
    <w:rsid w:val="000D7AB2"/>
    <w:rsid w:val="000D7D61"/>
    <w:rsid w:val="000D7F56"/>
    <w:rsid w:val="000E03C8"/>
    <w:rsid w:val="000E03DC"/>
    <w:rsid w:val="000E0450"/>
    <w:rsid w:val="000E046F"/>
    <w:rsid w:val="000E07AA"/>
    <w:rsid w:val="000E0909"/>
    <w:rsid w:val="000E0A5B"/>
    <w:rsid w:val="000E0B17"/>
    <w:rsid w:val="000E0B20"/>
    <w:rsid w:val="000E0DB7"/>
    <w:rsid w:val="000E0EE9"/>
    <w:rsid w:val="000E0F63"/>
    <w:rsid w:val="000E0FBD"/>
    <w:rsid w:val="000E1124"/>
    <w:rsid w:val="000E11B0"/>
    <w:rsid w:val="000E149E"/>
    <w:rsid w:val="000E14DE"/>
    <w:rsid w:val="000E14FD"/>
    <w:rsid w:val="000E1550"/>
    <w:rsid w:val="000E1638"/>
    <w:rsid w:val="000E163B"/>
    <w:rsid w:val="000E1679"/>
    <w:rsid w:val="000E18D1"/>
    <w:rsid w:val="000E1B14"/>
    <w:rsid w:val="000E1C53"/>
    <w:rsid w:val="000E1C82"/>
    <w:rsid w:val="000E1CE5"/>
    <w:rsid w:val="000E1D31"/>
    <w:rsid w:val="000E1D5B"/>
    <w:rsid w:val="000E1E60"/>
    <w:rsid w:val="000E1E98"/>
    <w:rsid w:val="000E22FA"/>
    <w:rsid w:val="000E230B"/>
    <w:rsid w:val="000E2587"/>
    <w:rsid w:val="000E263B"/>
    <w:rsid w:val="000E26B5"/>
    <w:rsid w:val="000E289B"/>
    <w:rsid w:val="000E2933"/>
    <w:rsid w:val="000E2BB6"/>
    <w:rsid w:val="000E2CC2"/>
    <w:rsid w:val="000E2D74"/>
    <w:rsid w:val="000E2D94"/>
    <w:rsid w:val="000E2E6B"/>
    <w:rsid w:val="000E2E8E"/>
    <w:rsid w:val="000E2EE5"/>
    <w:rsid w:val="000E300C"/>
    <w:rsid w:val="000E30E8"/>
    <w:rsid w:val="000E3112"/>
    <w:rsid w:val="000E3117"/>
    <w:rsid w:val="000E3167"/>
    <w:rsid w:val="000E31B0"/>
    <w:rsid w:val="000E31EC"/>
    <w:rsid w:val="000E320C"/>
    <w:rsid w:val="000E335B"/>
    <w:rsid w:val="000E34D7"/>
    <w:rsid w:val="000E3647"/>
    <w:rsid w:val="000E3C43"/>
    <w:rsid w:val="000E3D1F"/>
    <w:rsid w:val="000E3E4D"/>
    <w:rsid w:val="000E4041"/>
    <w:rsid w:val="000E406E"/>
    <w:rsid w:val="000E410D"/>
    <w:rsid w:val="000E432D"/>
    <w:rsid w:val="000E434C"/>
    <w:rsid w:val="000E44A6"/>
    <w:rsid w:val="000E4864"/>
    <w:rsid w:val="000E4A06"/>
    <w:rsid w:val="000E4D04"/>
    <w:rsid w:val="000E4D9A"/>
    <w:rsid w:val="000E4DF1"/>
    <w:rsid w:val="000E4F19"/>
    <w:rsid w:val="000E4F8B"/>
    <w:rsid w:val="000E51B0"/>
    <w:rsid w:val="000E5387"/>
    <w:rsid w:val="000E53BE"/>
    <w:rsid w:val="000E54CE"/>
    <w:rsid w:val="000E5531"/>
    <w:rsid w:val="000E5538"/>
    <w:rsid w:val="000E5624"/>
    <w:rsid w:val="000E5736"/>
    <w:rsid w:val="000E5955"/>
    <w:rsid w:val="000E5B4C"/>
    <w:rsid w:val="000E5BDE"/>
    <w:rsid w:val="000E5DCE"/>
    <w:rsid w:val="000E5EA8"/>
    <w:rsid w:val="000E61EF"/>
    <w:rsid w:val="000E62D8"/>
    <w:rsid w:val="000E6410"/>
    <w:rsid w:val="000E643A"/>
    <w:rsid w:val="000E6610"/>
    <w:rsid w:val="000E6668"/>
    <w:rsid w:val="000E678B"/>
    <w:rsid w:val="000E6790"/>
    <w:rsid w:val="000E67EA"/>
    <w:rsid w:val="000E6840"/>
    <w:rsid w:val="000E688B"/>
    <w:rsid w:val="000E6D38"/>
    <w:rsid w:val="000E6D82"/>
    <w:rsid w:val="000E6EBC"/>
    <w:rsid w:val="000E6F62"/>
    <w:rsid w:val="000E6FB7"/>
    <w:rsid w:val="000E714A"/>
    <w:rsid w:val="000E71B1"/>
    <w:rsid w:val="000E721E"/>
    <w:rsid w:val="000E736B"/>
    <w:rsid w:val="000E73AB"/>
    <w:rsid w:val="000E75C9"/>
    <w:rsid w:val="000E769D"/>
    <w:rsid w:val="000E76B1"/>
    <w:rsid w:val="000E7710"/>
    <w:rsid w:val="000E7824"/>
    <w:rsid w:val="000E7903"/>
    <w:rsid w:val="000E7AEC"/>
    <w:rsid w:val="000E7C3E"/>
    <w:rsid w:val="000E7D42"/>
    <w:rsid w:val="000E7EEB"/>
    <w:rsid w:val="000F02D3"/>
    <w:rsid w:val="000F0312"/>
    <w:rsid w:val="000F047E"/>
    <w:rsid w:val="000F057C"/>
    <w:rsid w:val="000F0598"/>
    <w:rsid w:val="000F07A3"/>
    <w:rsid w:val="000F0901"/>
    <w:rsid w:val="000F0B21"/>
    <w:rsid w:val="000F0B64"/>
    <w:rsid w:val="000F0F71"/>
    <w:rsid w:val="000F125C"/>
    <w:rsid w:val="000F126E"/>
    <w:rsid w:val="000F1954"/>
    <w:rsid w:val="000F195D"/>
    <w:rsid w:val="000F1A05"/>
    <w:rsid w:val="000F1A59"/>
    <w:rsid w:val="000F1AAA"/>
    <w:rsid w:val="000F1C8E"/>
    <w:rsid w:val="000F1E6C"/>
    <w:rsid w:val="000F1E84"/>
    <w:rsid w:val="000F2156"/>
    <w:rsid w:val="000F2277"/>
    <w:rsid w:val="000F2356"/>
    <w:rsid w:val="000F236E"/>
    <w:rsid w:val="000F2574"/>
    <w:rsid w:val="000F2716"/>
    <w:rsid w:val="000F2897"/>
    <w:rsid w:val="000F29A2"/>
    <w:rsid w:val="000F2BF2"/>
    <w:rsid w:val="000F2C65"/>
    <w:rsid w:val="000F2D3F"/>
    <w:rsid w:val="000F2E01"/>
    <w:rsid w:val="000F2E62"/>
    <w:rsid w:val="000F2EC6"/>
    <w:rsid w:val="000F2F21"/>
    <w:rsid w:val="000F2FB8"/>
    <w:rsid w:val="000F311A"/>
    <w:rsid w:val="000F3204"/>
    <w:rsid w:val="000F32FE"/>
    <w:rsid w:val="000F3307"/>
    <w:rsid w:val="000F3349"/>
    <w:rsid w:val="000F33C9"/>
    <w:rsid w:val="000F3614"/>
    <w:rsid w:val="000F36D0"/>
    <w:rsid w:val="000F3912"/>
    <w:rsid w:val="000F394F"/>
    <w:rsid w:val="000F3A31"/>
    <w:rsid w:val="000F3B6D"/>
    <w:rsid w:val="000F3CAA"/>
    <w:rsid w:val="000F3D6D"/>
    <w:rsid w:val="000F3DD5"/>
    <w:rsid w:val="000F3F9F"/>
    <w:rsid w:val="000F40BD"/>
    <w:rsid w:val="000F4211"/>
    <w:rsid w:val="000F4258"/>
    <w:rsid w:val="000F462D"/>
    <w:rsid w:val="000F4701"/>
    <w:rsid w:val="000F4838"/>
    <w:rsid w:val="000F4A62"/>
    <w:rsid w:val="000F4CFB"/>
    <w:rsid w:val="000F4EA2"/>
    <w:rsid w:val="000F504E"/>
    <w:rsid w:val="000F512C"/>
    <w:rsid w:val="000F52D9"/>
    <w:rsid w:val="000F552E"/>
    <w:rsid w:val="000F5550"/>
    <w:rsid w:val="000F5681"/>
    <w:rsid w:val="000F58DE"/>
    <w:rsid w:val="000F5A06"/>
    <w:rsid w:val="000F5A54"/>
    <w:rsid w:val="000F5F4B"/>
    <w:rsid w:val="000F5FB7"/>
    <w:rsid w:val="000F602F"/>
    <w:rsid w:val="000F60FE"/>
    <w:rsid w:val="000F623F"/>
    <w:rsid w:val="000F6317"/>
    <w:rsid w:val="000F634B"/>
    <w:rsid w:val="000F641B"/>
    <w:rsid w:val="000F698E"/>
    <w:rsid w:val="000F69A4"/>
    <w:rsid w:val="000F6B48"/>
    <w:rsid w:val="000F6BE6"/>
    <w:rsid w:val="000F6C24"/>
    <w:rsid w:val="000F6C4E"/>
    <w:rsid w:val="000F6C76"/>
    <w:rsid w:val="000F6CB1"/>
    <w:rsid w:val="000F6D56"/>
    <w:rsid w:val="000F6F09"/>
    <w:rsid w:val="000F7044"/>
    <w:rsid w:val="000F72D3"/>
    <w:rsid w:val="000F7380"/>
    <w:rsid w:val="000F73C2"/>
    <w:rsid w:val="000F752B"/>
    <w:rsid w:val="000F76EF"/>
    <w:rsid w:val="000F776A"/>
    <w:rsid w:val="000F7845"/>
    <w:rsid w:val="000F78E4"/>
    <w:rsid w:val="000F7946"/>
    <w:rsid w:val="000F7987"/>
    <w:rsid w:val="000F7D8B"/>
    <w:rsid w:val="000F7E58"/>
    <w:rsid w:val="000F7E72"/>
    <w:rsid w:val="000F7EBF"/>
    <w:rsid w:val="000F7F6B"/>
    <w:rsid w:val="00100498"/>
    <w:rsid w:val="0010051C"/>
    <w:rsid w:val="00100A72"/>
    <w:rsid w:val="00100A74"/>
    <w:rsid w:val="00100B7B"/>
    <w:rsid w:val="00101020"/>
    <w:rsid w:val="0010106B"/>
    <w:rsid w:val="00101105"/>
    <w:rsid w:val="0010139E"/>
    <w:rsid w:val="00101546"/>
    <w:rsid w:val="00101724"/>
    <w:rsid w:val="0010182C"/>
    <w:rsid w:val="001019BF"/>
    <w:rsid w:val="00101A05"/>
    <w:rsid w:val="00101B1C"/>
    <w:rsid w:val="00101D7D"/>
    <w:rsid w:val="00102084"/>
    <w:rsid w:val="0010215E"/>
    <w:rsid w:val="00102188"/>
    <w:rsid w:val="001021BF"/>
    <w:rsid w:val="00102311"/>
    <w:rsid w:val="00102398"/>
    <w:rsid w:val="001025D4"/>
    <w:rsid w:val="00102A8D"/>
    <w:rsid w:val="00102AB4"/>
    <w:rsid w:val="00102BA6"/>
    <w:rsid w:val="00102C8A"/>
    <w:rsid w:val="00102D89"/>
    <w:rsid w:val="00102DCF"/>
    <w:rsid w:val="00102E0D"/>
    <w:rsid w:val="00102E78"/>
    <w:rsid w:val="00102EA7"/>
    <w:rsid w:val="00102F81"/>
    <w:rsid w:val="00102F96"/>
    <w:rsid w:val="00102FB7"/>
    <w:rsid w:val="00102FD9"/>
    <w:rsid w:val="0010314A"/>
    <w:rsid w:val="00103195"/>
    <w:rsid w:val="00103290"/>
    <w:rsid w:val="001033F7"/>
    <w:rsid w:val="00103596"/>
    <w:rsid w:val="001035BB"/>
    <w:rsid w:val="00103698"/>
    <w:rsid w:val="00103891"/>
    <w:rsid w:val="001038AF"/>
    <w:rsid w:val="00103BBC"/>
    <w:rsid w:val="00103C79"/>
    <w:rsid w:val="00103DAB"/>
    <w:rsid w:val="00103F7B"/>
    <w:rsid w:val="00103F83"/>
    <w:rsid w:val="00104012"/>
    <w:rsid w:val="0010402B"/>
    <w:rsid w:val="0010403D"/>
    <w:rsid w:val="00104123"/>
    <w:rsid w:val="00104274"/>
    <w:rsid w:val="0010448B"/>
    <w:rsid w:val="001046EF"/>
    <w:rsid w:val="0010480D"/>
    <w:rsid w:val="00104ADA"/>
    <w:rsid w:val="00104EF5"/>
    <w:rsid w:val="00104FF1"/>
    <w:rsid w:val="00105063"/>
    <w:rsid w:val="00105103"/>
    <w:rsid w:val="001051E4"/>
    <w:rsid w:val="0010521F"/>
    <w:rsid w:val="001057DA"/>
    <w:rsid w:val="00105847"/>
    <w:rsid w:val="00105972"/>
    <w:rsid w:val="001059A5"/>
    <w:rsid w:val="00105C75"/>
    <w:rsid w:val="00105CC8"/>
    <w:rsid w:val="00105DD2"/>
    <w:rsid w:val="00105E55"/>
    <w:rsid w:val="001060B8"/>
    <w:rsid w:val="0010611C"/>
    <w:rsid w:val="0010619D"/>
    <w:rsid w:val="0010625A"/>
    <w:rsid w:val="00106997"/>
    <w:rsid w:val="00106B37"/>
    <w:rsid w:val="00106BBA"/>
    <w:rsid w:val="00106BC0"/>
    <w:rsid w:val="00106C60"/>
    <w:rsid w:val="00106D30"/>
    <w:rsid w:val="00106E6E"/>
    <w:rsid w:val="00106F07"/>
    <w:rsid w:val="00106F39"/>
    <w:rsid w:val="001070B0"/>
    <w:rsid w:val="001072B9"/>
    <w:rsid w:val="001073CA"/>
    <w:rsid w:val="001074F9"/>
    <w:rsid w:val="00107524"/>
    <w:rsid w:val="00107536"/>
    <w:rsid w:val="0010778C"/>
    <w:rsid w:val="00107970"/>
    <w:rsid w:val="00107982"/>
    <w:rsid w:val="00107A56"/>
    <w:rsid w:val="00107C58"/>
    <w:rsid w:val="00107CF8"/>
    <w:rsid w:val="00107DCD"/>
    <w:rsid w:val="00107E9F"/>
    <w:rsid w:val="00107EF0"/>
    <w:rsid w:val="00107F73"/>
    <w:rsid w:val="00107FC3"/>
    <w:rsid w:val="00110382"/>
    <w:rsid w:val="0011076D"/>
    <w:rsid w:val="0011078F"/>
    <w:rsid w:val="001108A5"/>
    <w:rsid w:val="00110A59"/>
    <w:rsid w:val="00110C17"/>
    <w:rsid w:val="00110C55"/>
    <w:rsid w:val="00110D33"/>
    <w:rsid w:val="00110E4D"/>
    <w:rsid w:val="0011104C"/>
    <w:rsid w:val="00111417"/>
    <w:rsid w:val="0011144D"/>
    <w:rsid w:val="0011147A"/>
    <w:rsid w:val="00111481"/>
    <w:rsid w:val="0011148A"/>
    <w:rsid w:val="001115EC"/>
    <w:rsid w:val="001118E1"/>
    <w:rsid w:val="001119E4"/>
    <w:rsid w:val="00111B0A"/>
    <w:rsid w:val="00111D9B"/>
    <w:rsid w:val="00111DCD"/>
    <w:rsid w:val="00111E66"/>
    <w:rsid w:val="00111F97"/>
    <w:rsid w:val="00112020"/>
    <w:rsid w:val="00112039"/>
    <w:rsid w:val="00112123"/>
    <w:rsid w:val="001121CC"/>
    <w:rsid w:val="0011228C"/>
    <w:rsid w:val="00112478"/>
    <w:rsid w:val="001124B3"/>
    <w:rsid w:val="001125A7"/>
    <w:rsid w:val="001125F2"/>
    <w:rsid w:val="0011285F"/>
    <w:rsid w:val="0011286C"/>
    <w:rsid w:val="001129BC"/>
    <w:rsid w:val="00112A81"/>
    <w:rsid w:val="00112AE6"/>
    <w:rsid w:val="00112B4A"/>
    <w:rsid w:val="00112D55"/>
    <w:rsid w:val="00112E8B"/>
    <w:rsid w:val="00113127"/>
    <w:rsid w:val="0011317E"/>
    <w:rsid w:val="001135B8"/>
    <w:rsid w:val="00113747"/>
    <w:rsid w:val="00113929"/>
    <w:rsid w:val="00113C60"/>
    <w:rsid w:val="00113D6E"/>
    <w:rsid w:val="00113E59"/>
    <w:rsid w:val="0011415B"/>
    <w:rsid w:val="00114237"/>
    <w:rsid w:val="0011482A"/>
    <w:rsid w:val="00114BEA"/>
    <w:rsid w:val="00114C3B"/>
    <w:rsid w:val="00114E41"/>
    <w:rsid w:val="00114EA8"/>
    <w:rsid w:val="0011523C"/>
    <w:rsid w:val="001152DB"/>
    <w:rsid w:val="00115593"/>
    <w:rsid w:val="00115691"/>
    <w:rsid w:val="00115852"/>
    <w:rsid w:val="0011586B"/>
    <w:rsid w:val="00115E27"/>
    <w:rsid w:val="00115E90"/>
    <w:rsid w:val="00115E98"/>
    <w:rsid w:val="00115F72"/>
    <w:rsid w:val="001160FB"/>
    <w:rsid w:val="00116210"/>
    <w:rsid w:val="00116374"/>
    <w:rsid w:val="00116965"/>
    <w:rsid w:val="00116A20"/>
    <w:rsid w:val="00116BAB"/>
    <w:rsid w:val="00116BBE"/>
    <w:rsid w:val="00116BDA"/>
    <w:rsid w:val="00116F01"/>
    <w:rsid w:val="00117039"/>
    <w:rsid w:val="0011706A"/>
    <w:rsid w:val="0011716A"/>
    <w:rsid w:val="00117294"/>
    <w:rsid w:val="00117494"/>
    <w:rsid w:val="00117667"/>
    <w:rsid w:val="0011795C"/>
    <w:rsid w:val="001179D1"/>
    <w:rsid w:val="00117BE3"/>
    <w:rsid w:val="00117BF9"/>
    <w:rsid w:val="00117E0C"/>
    <w:rsid w:val="00117F04"/>
    <w:rsid w:val="00120117"/>
    <w:rsid w:val="00120187"/>
    <w:rsid w:val="001202B8"/>
    <w:rsid w:val="001203A1"/>
    <w:rsid w:val="001204F4"/>
    <w:rsid w:val="0012065F"/>
    <w:rsid w:val="00120662"/>
    <w:rsid w:val="001206A5"/>
    <w:rsid w:val="001208E1"/>
    <w:rsid w:val="00120A7E"/>
    <w:rsid w:val="00120B3C"/>
    <w:rsid w:val="00120B68"/>
    <w:rsid w:val="00120B8D"/>
    <w:rsid w:val="00120C2E"/>
    <w:rsid w:val="00120C31"/>
    <w:rsid w:val="00120C51"/>
    <w:rsid w:val="00120E5A"/>
    <w:rsid w:val="00120F9C"/>
    <w:rsid w:val="00120FA2"/>
    <w:rsid w:val="00120FB7"/>
    <w:rsid w:val="00121071"/>
    <w:rsid w:val="001211B1"/>
    <w:rsid w:val="00121430"/>
    <w:rsid w:val="001215A9"/>
    <w:rsid w:val="00121674"/>
    <w:rsid w:val="00121752"/>
    <w:rsid w:val="00121DDD"/>
    <w:rsid w:val="00121E30"/>
    <w:rsid w:val="00121EBB"/>
    <w:rsid w:val="00122196"/>
    <w:rsid w:val="001221C8"/>
    <w:rsid w:val="001223CD"/>
    <w:rsid w:val="00122464"/>
    <w:rsid w:val="0012281C"/>
    <w:rsid w:val="00122891"/>
    <w:rsid w:val="00122A61"/>
    <w:rsid w:val="00122A76"/>
    <w:rsid w:val="00122AE3"/>
    <w:rsid w:val="00122C7D"/>
    <w:rsid w:val="00122EB3"/>
    <w:rsid w:val="00122EE1"/>
    <w:rsid w:val="00122EFF"/>
    <w:rsid w:val="0012301D"/>
    <w:rsid w:val="001230D2"/>
    <w:rsid w:val="001231CF"/>
    <w:rsid w:val="001233BD"/>
    <w:rsid w:val="001233DD"/>
    <w:rsid w:val="0012341C"/>
    <w:rsid w:val="001234A3"/>
    <w:rsid w:val="001234CD"/>
    <w:rsid w:val="00123658"/>
    <w:rsid w:val="001237AF"/>
    <w:rsid w:val="00123927"/>
    <w:rsid w:val="001239A8"/>
    <w:rsid w:val="00123BEC"/>
    <w:rsid w:val="00123C78"/>
    <w:rsid w:val="00123F8D"/>
    <w:rsid w:val="001241B1"/>
    <w:rsid w:val="0012425F"/>
    <w:rsid w:val="00124456"/>
    <w:rsid w:val="0012456A"/>
    <w:rsid w:val="001245BA"/>
    <w:rsid w:val="001246F8"/>
    <w:rsid w:val="00124729"/>
    <w:rsid w:val="001247EB"/>
    <w:rsid w:val="001249D7"/>
    <w:rsid w:val="00124A5C"/>
    <w:rsid w:val="00124A62"/>
    <w:rsid w:val="00124B0B"/>
    <w:rsid w:val="00124E15"/>
    <w:rsid w:val="00124F3C"/>
    <w:rsid w:val="00125218"/>
    <w:rsid w:val="00125243"/>
    <w:rsid w:val="00125459"/>
    <w:rsid w:val="001254BA"/>
    <w:rsid w:val="001254D3"/>
    <w:rsid w:val="001255E3"/>
    <w:rsid w:val="00125975"/>
    <w:rsid w:val="00125B61"/>
    <w:rsid w:val="00125BC2"/>
    <w:rsid w:val="00125E22"/>
    <w:rsid w:val="00125EBE"/>
    <w:rsid w:val="00126122"/>
    <w:rsid w:val="00126161"/>
    <w:rsid w:val="001261F7"/>
    <w:rsid w:val="0012622C"/>
    <w:rsid w:val="0012675A"/>
    <w:rsid w:val="00126875"/>
    <w:rsid w:val="00126BB4"/>
    <w:rsid w:val="0012724F"/>
    <w:rsid w:val="001272E1"/>
    <w:rsid w:val="00127393"/>
    <w:rsid w:val="001276D8"/>
    <w:rsid w:val="001277C3"/>
    <w:rsid w:val="00127801"/>
    <w:rsid w:val="00127BA1"/>
    <w:rsid w:val="00127BBD"/>
    <w:rsid w:val="00127C11"/>
    <w:rsid w:val="00127D65"/>
    <w:rsid w:val="00127E03"/>
    <w:rsid w:val="00127E27"/>
    <w:rsid w:val="00130074"/>
    <w:rsid w:val="001301E8"/>
    <w:rsid w:val="0013039B"/>
    <w:rsid w:val="0013056C"/>
    <w:rsid w:val="001307A4"/>
    <w:rsid w:val="00130919"/>
    <w:rsid w:val="001309A7"/>
    <w:rsid w:val="00130C07"/>
    <w:rsid w:val="00130C94"/>
    <w:rsid w:val="00130DEB"/>
    <w:rsid w:val="0013100E"/>
    <w:rsid w:val="0013127D"/>
    <w:rsid w:val="0013127E"/>
    <w:rsid w:val="001313FF"/>
    <w:rsid w:val="001315E6"/>
    <w:rsid w:val="0013162D"/>
    <w:rsid w:val="001317B8"/>
    <w:rsid w:val="00131828"/>
    <w:rsid w:val="00131ACF"/>
    <w:rsid w:val="00131B3A"/>
    <w:rsid w:val="00131C5A"/>
    <w:rsid w:val="00131D45"/>
    <w:rsid w:val="00131DA1"/>
    <w:rsid w:val="00131F1E"/>
    <w:rsid w:val="00131FAA"/>
    <w:rsid w:val="00131FEA"/>
    <w:rsid w:val="00132021"/>
    <w:rsid w:val="001320AA"/>
    <w:rsid w:val="001320F0"/>
    <w:rsid w:val="00132480"/>
    <w:rsid w:val="00132529"/>
    <w:rsid w:val="00132555"/>
    <w:rsid w:val="00132590"/>
    <w:rsid w:val="001325EB"/>
    <w:rsid w:val="00132786"/>
    <w:rsid w:val="0013280D"/>
    <w:rsid w:val="00132957"/>
    <w:rsid w:val="00132A5E"/>
    <w:rsid w:val="00132A86"/>
    <w:rsid w:val="00132CE7"/>
    <w:rsid w:val="00132E0C"/>
    <w:rsid w:val="00133004"/>
    <w:rsid w:val="0013320F"/>
    <w:rsid w:val="0013321F"/>
    <w:rsid w:val="0013331B"/>
    <w:rsid w:val="001335CE"/>
    <w:rsid w:val="001336E0"/>
    <w:rsid w:val="001339B4"/>
    <w:rsid w:val="001339FD"/>
    <w:rsid w:val="00133A05"/>
    <w:rsid w:val="00133B16"/>
    <w:rsid w:val="00133D35"/>
    <w:rsid w:val="00133F34"/>
    <w:rsid w:val="00133F8F"/>
    <w:rsid w:val="0013408E"/>
    <w:rsid w:val="0013462D"/>
    <w:rsid w:val="00134680"/>
    <w:rsid w:val="00134A21"/>
    <w:rsid w:val="00134B30"/>
    <w:rsid w:val="00134D9C"/>
    <w:rsid w:val="00134DA3"/>
    <w:rsid w:val="001351DF"/>
    <w:rsid w:val="00135273"/>
    <w:rsid w:val="001352FF"/>
    <w:rsid w:val="0013530C"/>
    <w:rsid w:val="001355D1"/>
    <w:rsid w:val="00135636"/>
    <w:rsid w:val="00135A1E"/>
    <w:rsid w:val="00135B93"/>
    <w:rsid w:val="00135BE9"/>
    <w:rsid w:val="00135E04"/>
    <w:rsid w:val="00135E98"/>
    <w:rsid w:val="00135EA2"/>
    <w:rsid w:val="00135F8E"/>
    <w:rsid w:val="00135FC9"/>
    <w:rsid w:val="001360AF"/>
    <w:rsid w:val="001360D7"/>
    <w:rsid w:val="001365DF"/>
    <w:rsid w:val="0013663C"/>
    <w:rsid w:val="0013685A"/>
    <w:rsid w:val="00136912"/>
    <w:rsid w:val="00136919"/>
    <w:rsid w:val="00136A39"/>
    <w:rsid w:val="00136AC8"/>
    <w:rsid w:val="00136B8D"/>
    <w:rsid w:val="00136BB9"/>
    <w:rsid w:val="00136D99"/>
    <w:rsid w:val="00136E82"/>
    <w:rsid w:val="00136F35"/>
    <w:rsid w:val="001370B5"/>
    <w:rsid w:val="00137255"/>
    <w:rsid w:val="00137278"/>
    <w:rsid w:val="0013727E"/>
    <w:rsid w:val="00137482"/>
    <w:rsid w:val="00137873"/>
    <w:rsid w:val="001378C1"/>
    <w:rsid w:val="001379BC"/>
    <w:rsid w:val="001379CD"/>
    <w:rsid w:val="00137A60"/>
    <w:rsid w:val="00137AFF"/>
    <w:rsid w:val="00137BC2"/>
    <w:rsid w:val="00137D43"/>
    <w:rsid w:val="00137DF0"/>
    <w:rsid w:val="00137F2F"/>
    <w:rsid w:val="001400AF"/>
    <w:rsid w:val="001400ED"/>
    <w:rsid w:val="0014019B"/>
    <w:rsid w:val="0014025A"/>
    <w:rsid w:val="0014042C"/>
    <w:rsid w:val="001405C9"/>
    <w:rsid w:val="00140680"/>
    <w:rsid w:val="00140700"/>
    <w:rsid w:val="00140873"/>
    <w:rsid w:val="0014091C"/>
    <w:rsid w:val="001409C1"/>
    <w:rsid w:val="00140A54"/>
    <w:rsid w:val="00140A63"/>
    <w:rsid w:val="00140BD9"/>
    <w:rsid w:val="00140CE4"/>
    <w:rsid w:val="00140D4A"/>
    <w:rsid w:val="00140DCF"/>
    <w:rsid w:val="00140F2E"/>
    <w:rsid w:val="001413AF"/>
    <w:rsid w:val="001415FC"/>
    <w:rsid w:val="00141636"/>
    <w:rsid w:val="00141956"/>
    <w:rsid w:val="001419C5"/>
    <w:rsid w:val="00141B3B"/>
    <w:rsid w:val="00141CAF"/>
    <w:rsid w:val="00141E23"/>
    <w:rsid w:val="00141EA3"/>
    <w:rsid w:val="0014200E"/>
    <w:rsid w:val="0014223D"/>
    <w:rsid w:val="0014226B"/>
    <w:rsid w:val="00142533"/>
    <w:rsid w:val="00142661"/>
    <w:rsid w:val="00142820"/>
    <w:rsid w:val="001428FD"/>
    <w:rsid w:val="00142A7F"/>
    <w:rsid w:val="00142C1E"/>
    <w:rsid w:val="00142D28"/>
    <w:rsid w:val="00142D6D"/>
    <w:rsid w:val="00142D7E"/>
    <w:rsid w:val="00142F19"/>
    <w:rsid w:val="00142F69"/>
    <w:rsid w:val="001430B6"/>
    <w:rsid w:val="0014320C"/>
    <w:rsid w:val="00143478"/>
    <w:rsid w:val="001435DC"/>
    <w:rsid w:val="00143AAE"/>
    <w:rsid w:val="00143B13"/>
    <w:rsid w:val="00143C0E"/>
    <w:rsid w:val="00143C56"/>
    <w:rsid w:val="00143C7A"/>
    <w:rsid w:val="00143F2F"/>
    <w:rsid w:val="00143F40"/>
    <w:rsid w:val="00144049"/>
    <w:rsid w:val="00144074"/>
    <w:rsid w:val="0014415E"/>
    <w:rsid w:val="0014417B"/>
    <w:rsid w:val="00144189"/>
    <w:rsid w:val="00144215"/>
    <w:rsid w:val="00144229"/>
    <w:rsid w:val="00144244"/>
    <w:rsid w:val="001444D7"/>
    <w:rsid w:val="0014463B"/>
    <w:rsid w:val="0014468B"/>
    <w:rsid w:val="0014476F"/>
    <w:rsid w:val="001448C2"/>
    <w:rsid w:val="0014498C"/>
    <w:rsid w:val="001449E6"/>
    <w:rsid w:val="00144AD5"/>
    <w:rsid w:val="00144B67"/>
    <w:rsid w:val="00144B7F"/>
    <w:rsid w:val="00144BCC"/>
    <w:rsid w:val="00144DF0"/>
    <w:rsid w:val="00144EA8"/>
    <w:rsid w:val="00144F2F"/>
    <w:rsid w:val="00144FBF"/>
    <w:rsid w:val="00145054"/>
    <w:rsid w:val="001450B8"/>
    <w:rsid w:val="001451FC"/>
    <w:rsid w:val="00145209"/>
    <w:rsid w:val="00145253"/>
    <w:rsid w:val="001452EA"/>
    <w:rsid w:val="00145347"/>
    <w:rsid w:val="001453E8"/>
    <w:rsid w:val="00145429"/>
    <w:rsid w:val="001454E6"/>
    <w:rsid w:val="0014567A"/>
    <w:rsid w:val="00145688"/>
    <w:rsid w:val="00145C71"/>
    <w:rsid w:val="00145EF1"/>
    <w:rsid w:val="00145F29"/>
    <w:rsid w:val="0014625D"/>
    <w:rsid w:val="00146268"/>
    <w:rsid w:val="00146365"/>
    <w:rsid w:val="00146474"/>
    <w:rsid w:val="00146555"/>
    <w:rsid w:val="00146586"/>
    <w:rsid w:val="00146624"/>
    <w:rsid w:val="00146666"/>
    <w:rsid w:val="00146828"/>
    <w:rsid w:val="001468B1"/>
    <w:rsid w:val="001468FA"/>
    <w:rsid w:val="00146921"/>
    <w:rsid w:val="0014697F"/>
    <w:rsid w:val="00146A34"/>
    <w:rsid w:val="00146ADF"/>
    <w:rsid w:val="00146B1A"/>
    <w:rsid w:val="00146C9C"/>
    <w:rsid w:val="00146CD5"/>
    <w:rsid w:val="00146D4B"/>
    <w:rsid w:val="00146E7C"/>
    <w:rsid w:val="001470AE"/>
    <w:rsid w:val="00147138"/>
    <w:rsid w:val="0014719E"/>
    <w:rsid w:val="0014754C"/>
    <w:rsid w:val="00147616"/>
    <w:rsid w:val="001476B0"/>
    <w:rsid w:val="001477E8"/>
    <w:rsid w:val="00147814"/>
    <w:rsid w:val="001478D0"/>
    <w:rsid w:val="0014790A"/>
    <w:rsid w:val="00147AAB"/>
    <w:rsid w:val="00147BA8"/>
    <w:rsid w:val="0015006E"/>
    <w:rsid w:val="0015013A"/>
    <w:rsid w:val="00150147"/>
    <w:rsid w:val="00150280"/>
    <w:rsid w:val="00150293"/>
    <w:rsid w:val="00150376"/>
    <w:rsid w:val="00150749"/>
    <w:rsid w:val="00150920"/>
    <w:rsid w:val="001509CF"/>
    <w:rsid w:val="001509D5"/>
    <w:rsid w:val="00150D64"/>
    <w:rsid w:val="001510A1"/>
    <w:rsid w:val="00151367"/>
    <w:rsid w:val="001514C1"/>
    <w:rsid w:val="00151511"/>
    <w:rsid w:val="001518E3"/>
    <w:rsid w:val="00151970"/>
    <w:rsid w:val="00151B71"/>
    <w:rsid w:val="00151C8F"/>
    <w:rsid w:val="00151CFF"/>
    <w:rsid w:val="00151D59"/>
    <w:rsid w:val="00151DBD"/>
    <w:rsid w:val="00151E40"/>
    <w:rsid w:val="00151E93"/>
    <w:rsid w:val="0015211A"/>
    <w:rsid w:val="00152186"/>
    <w:rsid w:val="001522A4"/>
    <w:rsid w:val="001524D2"/>
    <w:rsid w:val="00152665"/>
    <w:rsid w:val="001526AC"/>
    <w:rsid w:val="00152754"/>
    <w:rsid w:val="00152B11"/>
    <w:rsid w:val="00152C66"/>
    <w:rsid w:val="001531B1"/>
    <w:rsid w:val="001531C8"/>
    <w:rsid w:val="001531D6"/>
    <w:rsid w:val="00153247"/>
    <w:rsid w:val="0015329D"/>
    <w:rsid w:val="00153355"/>
    <w:rsid w:val="0015378F"/>
    <w:rsid w:val="001538BF"/>
    <w:rsid w:val="00153A1F"/>
    <w:rsid w:val="00153A63"/>
    <w:rsid w:val="00153BC7"/>
    <w:rsid w:val="00153D41"/>
    <w:rsid w:val="00154622"/>
    <w:rsid w:val="0015473F"/>
    <w:rsid w:val="0015497E"/>
    <w:rsid w:val="00154A59"/>
    <w:rsid w:val="00154B13"/>
    <w:rsid w:val="00154C15"/>
    <w:rsid w:val="00154DBF"/>
    <w:rsid w:val="0015517C"/>
    <w:rsid w:val="001551DF"/>
    <w:rsid w:val="00155281"/>
    <w:rsid w:val="00155376"/>
    <w:rsid w:val="0015539B"/>
    <w:rsid w:val="001553CF"/>
    <w:rsid w:val="00155431"/>
    <w:rsid w:val="00155434"/>
    <w:rsid w:val="001554FC"/>
    <w:rsid w:val="001558F1"/>
    <w:rsid w:val="00155B29"/>
    <w:rsid w:val="00155BDA"/>
    <w:rsid w:val="00155D3A"/>
    <w:rsid w:val="00155E0C"/>
    <w:rsid w:val="00155E73"/>
    <w:rsid w:val="00155EED"/>
    <w:rsid w:val="00155F8F"/>
    <w:rsid w:val="001561AF"/>
    <w:rsid w:val="001562CA"/>
    <w:rsid w:val="0015640C"/>
    <w:rsid w:val="00156488"/>
    <w:rsid w:val="0015656E"/>
    <w:rsid w:val="0015667B"/>
    <w:rsid w:val="00156749"/>
    <w:rsid w:val="001567FE"/>
    <w:rsid w:val="00156938"/>
    <w:rsid w:val="00156A73"/>
    <w:rsid w:val="00156B45"/>
    <w:rsid w:val="00156BE6"/>
    <w:rsid w:val="00156C91"/>
    <w:rsid w:val="00156DF7"/>
    <w:rsid w:val="00156E30"/>
    <w:rsid w:val="00156E3C"/>
    <w:rsid w:val="00156F20"/>
    <w:rsid w:val="00156FA7"/>
    <w:rsid w:val="00156FBD"/>
    <w:rsid w:val="00157061"/>
    <w:rsid w:val="00157087"/>
    <w:rsid w:val="00157279"/>
    <w:rsid w:val="00157326"/>
    <w:rsid w:val="0015741A"/>
    <w:rsid w:val="001574AE"/>
    <w:rsid w:val="00157560"/>
    <w:rsid w:val="00157615"/>
    <w:rsid w:val="001576C1"/>
    <w:rsid w:val="00157980"/>
    <w:rsid w:val="001579B4"/>
    <w:rsid w:val="00157BA6"/>
    <w:rsid w:val="00157BB2"/>
    <w:rsid w:val="00157BED"/>
    <w:rsid w:val="0016023A"/>
    <w:rsid w:val="00160411"/>
    <w:rsid w:val="001604A3"/>
    <w:rsid w:val="001604B5"/>
    <w:rsid w:val="001605CC"/>
    <w:rsid w:val="00160897"/>
    <w:rsid w:val="001609B4"/>
    <w:rsid w:val="001609D6"/>
    <w:rsid w:val="001609EC"/>
    <w:rsid w:val="00160A23"/>
    <w:rsid w:val="00160BA8"/>
    <w:rsid w:val="00160CCD"/>
    <w:rsid w:val="00160E64"/>
    <w:rsid w:val="00160FF0"/>
    <w:rsid w:val="0016104C"/>
    <w:rsid w:val="00161113"/>
    <w:rsid w:val="00161126"/>
    <w:rsid w:val="0016115A"/>
    <w:rsid w:val="001611A5"/>
    <w:rsid w:val="00161342"/>
    <w:rsid w:val="00161350"/>
    <w:rsid w:val="001614B0"/>
    <w:rsid w:val="001614D9"/>
    <w:rsid w:val="001619AB"/>
    <w:rsid w:val="00161A93"/>
    <w:rsid w:val="00161C09"/>
    <w:rsid w:val="00161C93"/>
    <w:rsid w:val="00161F1A"/>
    <w:rsid w:val="00161F55"/>
    <w:rsid w:val="00162099"/>
    <w:rsid w:val="001620D8"/>
    <w:rsid w:val="00162139"/>
    <w:rsid w:val="0016230E"/>
    <w:rsid w:val="001623BA"/>
    <w:rsid w:val="001624E7"/>
    <w:rsid w:val="00162560"/>
    <w:rsid w:val="001626E4"/>
    <w:rsid w:val="00162813"/>
    <w:rsid w:val="00162984"/>
    <w:rsid w:val="001629B3"/>
    <w:rsid w:val="001629B4"/>
    <w:rsid w:val="00162BF3"/>
    <w:rsid w:val="00162DBF"/>
    <w:rsid w:val="00162ED3"/>
    <w:rsid w:val="00163091"/>
    <w:rsid w:val="0016310B"/>
    <w:rsid w:val="00163190"/>
    <w:rsid w:val="00163293"/>
    <w:rsid w:val="00163362"/>
    <w:rsid w:val="001633A3"/>
    <w:rsid w:val="001635D1"/>
    <w:rsid w:val="0016374B"/>
    <w:rsid w:val="001637FD"/>
    <w:rsid w:val="00163914"/>
    <w:rsid w:val="001639C4"/>
    <w:rsid w:val="00163A2B"/>
    <w:rsid w:val="00163B67"/>
    <w:rsid w:val="00163F89"/>
    <w:rsid w:val="00164063"/>
    <w:rsid w:val="00164289"/>
    <w:rsid w:val="0016434E"/>
    <w:rsid w:val="00164584"/>
    <w:rsid w:val="00164614"/>
    <w:rsid w:val="0016475E"/>
    <w:rsid w:val="001647B5"/>
    <w:rsid w:val="00164863"/>
    <w:rsid w:val="0016494C"/>
    <w:rsid w:val="00164B3D"/>
    <w:rsid w:val="00164B9F"/>
    <w:rsid w:val="00164CF8"/>
    <w:rsid w:val="00164D08"/>
    <w:rsid w:val="00164D16"/>
    <w:rsid w:val="00164EC0"/>
    <w:rsid w:val="001650D4"/>
    <w:rsid w:val="00165107"/>
    <w:rsid w:val="00165193"/>
    <w:rsid w:val="00165208"/>
    <w:rsid w:val="00165292"/>
    <w:rsid w:val="001653AE"/>
    <w:rsid w:val="0016540E"/>
    <w:rsid w:val="001654B6"/>
    <w:rsid w:val="001655B7"/>
    <w:rsid w:val="00165691"/>
    <w:rsid w:val="001658A4"/>
    <w:rsid w:val="00165919"/>
    <w:rsid w:val="0016598B"/>
    <w:rsid w:val="00165B86"/>
    <w:rsid w:val="00165CA7"/>
    <w:rsid w:val="00165CC8"/>
    <w:rsid w:val="00165D23"/>
    <w:rsid w:val="00165D64"/>
    <w:rsid w:val="00165DB0"/>
    <w:rsid w:val="00166240"/>
    <w:rsid w:val="0016632E"/>
    <w:rsid w:val="001663FE"/>
    <w:rsid w:val="001665BF"/>
    <w:rsid w:val="001667E6"/>
    <w:rsid w:val="00166936"/>
    <w:rsid w:val="0016694B"/>
    <w:rsid w:val="001674C4"/>
    <w:rsid w:val="001675AF"/>
    <w:rsid w:val="0016785E"/>
    <w:rsid w:val="00167CF7"/>
    <w:rsid w:val="00167F94"/>
    <w:rsid w:val="0017014E"/>
    <w:rsid w:val="00170158"/>
    <w:rsid w:val="0017023E"/>
    <w:rsid w:val="00170244"/>
    <w:rsid w:val="00170323"/>
    <w:rsid w:val="001703D9"/>
    <w:rsid w:val="0017047F"/>
    <w:rsid w:val="001705F0"/>
    <w:rsid w:val="0017069C"/>
    <w:rsid w:val="0017081E"/>
    <w:rsid w:val="00170B66"/>
    <w:rsid w:val="00170D20"/>
    <w:rsid w:val="00170D5B"/>
    <w:rsid w:val="0017124A"/>
    <w:rsid w:val="001712A3"/>
    <w:rsid w:val="00171307"/>
    <w:rsid w:val="0017139C"/>
    <w:rsid w:val="001713EF"/>
    <w:rsid w:val="00171405"/>
    <w:rsid w:val="00171700"/>
    <w:rsid w:val="00171A7C"/>
    <w:rsid w:val="00171AEB"/>
    <w:rsid w:val="00171C0A"/>
    <w:rsid w:val="00171C1E"/>
    <w:rsid w:val="00171C71"/>
    <w:rsid w:val="00171CDE"/>
    <w:rsid w:val="00171D0E"/>
    <w:rsid w:val="00171D23"/>
    <w:rsid w:val="00171E7B"/>
    <w:rsid w:val="00171FFB"/>
    <w:rsid w:val="0017205A"/>
    <w:rsid w:val="001722F5"/>
    <w:rsid w:val="0017237D"/>
    <w:rsid w:val="001723A2"/>
    <w:rsid w:val="001726C7"/>
    <w:rsid w:val="0017272E"/>
    <w:rsid w:val="00172897"/>
    <w:rsid w:val="00172929"/>
    <w:rsid w:val="00172B8F"/>
    <w:rsid w:val="00172C06"/>
    <w:rsid w:val="00172D01"/>
    <w:rsid w:val="00172D35"/>
    <w:rsid w:val="00172E9E"/>
    <w:rsid w:val="00172F04"/>
    <w:rsid w:val="00172FF9"/>
    <w:rsid w:val="00173576"/>
    <w:rsid w:val="001735A4"/>
    <w:rsid w:val="00173625"/>
    <w:rsid w:val="0017362B"/>
    <w:rsid w:val="00173679"/>
    <w:rsid w:val="001736F8"/>
    <w:rsid w:val="001739CC"/>
    <w:rsid w:val="00173A01"/>
    <w:rsid w:val="00173A93"/>
    <w:rsid w:val="00173AE8"/>
    <w:rsid w:val="00173AE9"/>
    <w:rsid w:val="00173B95"/>
    <w:rsid w:val="00173C0A"/>
    <w:rsid w:val="00173C81"/>
    <w:rsid w:val="00173D85"/>
    <w:rsid w:val="00173F58"/>
    <w:rsid w:val="0017416D"/>
    <w:rsid w:val="001743D5"/>
    <w:rsid w:val="00174674"/>
    <w:rsid w:val="00174A20"/>
    <w:rsid w:val="00174B47"/>
    <w:rsid w:val="00174B81"/>
    <w:rsid w:val="00174DDE"/>
    <w:rsid w:val="00174F2A"/>
    <w:rsid w:val="00174FD4"/>
    <w:rsid w:val="00175070"/>
    <w:rsid w:val="00175175"/>
    <w:rsid w:val="00175331"/>
    <w:rsid w:val="0017549D"/>
    <w:rsid w:val="001757F3"/>
    <w:rsid w:val="00175A76"/>
    <w:rsid w:val="00175AA2"/>
    <w:rsid w:val="00175AAE"/>
    <w:rsid w:val="00175B5E"/>
    <w:rsid w:val="00175B68"/>
    <w:rsid w:val="00175DA2"/>
    <w:rsid w:val="00175E47"/>
    <w:rsid w:val="00175E80"/>
    <w:rsid w:val="00175EC5"/>
    <w:rsid w:val="00175F0D"/>
    <w:rsid w:val="001760A0"/>
    <w:rsid w:val="0017621D"/>
    <w:rsid w:val="00176233"/>
    <w:rsid w:val="00176331"/>
    <w:rsid w:val="00176407"/>
    <w:rsid w:val="001764F0"/>
    <w:rsid w:val="00176523"/>
    <w:rsid w:val="001765A1"/>
    <w:rsid w:val="00176663"/>
    <w:rsid w:val="00176822"/>
    <w:rsid w:val="0017689A"/>
    <w:rsid w:val="00176AD8"/>
    <w:rsid w:val="00176DE3"/>
    <w:rsid w:val="0017726C"/>
    <w:rsid w:val="00177348"/>
    <w:rsid w:val="001773E5"/>
    <w:rsid w:val="001774F2"/>
    <w:rsid w:val="0017761A"/>
    <w:rsid w:val="00177880"/>
    <w:rsid w:val="001778D1"/>
    <w:rsid w:val="00177A5C"/>
    <w:rsid w:val="00177C24"/>
    <w:rsid w:val="00177CD9"/>
    <w:rsid w:val="00177D10"/>
    <w:rsid w:val="00177D98"/>
    <w:rsid w:val="00177E8C"/>
    <w:rsid w:val="00177F19"/>
    <w:rsid w:val="00177FEC"/>
    <w:rsid w:val="00180059"/>
    <w:rsid w:val="00180314"/>
    <w:rsid w:val="001803D9"/>
    <w:rsid w:val="00180400"/>
    <w:rsid w:val="001806AC"/>
    <w:rsid w:val="00180731"/>
    <w:rsid w:val="0018093C"/>
    <w:rsid w:val="00180A06"/>
    <w:rsid w:val="00180AA7"/>
    <w:rsid w:val="00180CD8"/>
    <w:rsid w:val="00180D31"/>
    <w:rsid w:val="00180DD4"/>
    <w:rsid w:val="00180DD5"/>
    <w:rsid w:val="00180EE4"/>
    <w:rsid w:val="00181227"/>
    <w:rsid w:val="0018148D"/>
    <w:rsid w:val="0018182C"/>
    <w:rsid w:val="00181898"/>
    <w:rsid w:val="001818B5"/>
    <w:rsid w:val="00181A22"/>
    <w:rsid w:val="00181A46"/>
    <w:rsid w:val="00181B4E"/>
    <w:rsid w:val="00181B65"/>
    <w:rsid w:val="00181C1B"/>
    <w:rsid w:val="00181D2A"/>
    <w:rsid w:val="00181DB6"/>
    <w:rsid w:val="00181E2B"/>
    <w:rsid w:val="00181E48"/>
    <w:rsid w:val="00182335"/>
    <w:rsid w:val="0018246A"/>
    <w:rsid w:val="00182507"/>
    <w:rsid w:val="0018274B"/>
    <w:rsid w:val="00182978"/>
    <w:rsid w:val="00182B4A"/>
    <w:rsid w:val="00182C2B"/>
    <w:rsid w:val="00182C4B"/>
    <w:rsid w:val="00182CDC"/>
    <w:rsid w:val="00182D67"/>
    <w:rsid w:val="00182ED1"/>
    <w:rsid w:val="001830E8"/>
    <w:rsid w:val="001831AB"/>
    <w:rsid w:val="001832C1"/>
    <w:rsid w:val="00183415"/>
    <w:rsid w:val="00183492"/>
    <w:rsid w:val="0018349A"/>
    <w:rsid w:val="00183768"/>
    <w:rsid w:val="00183876"/>
    <w:rsid w:val="0018388F"/>
    <w:rsid w:val="0018393E"/>
    <w:rsid w:val="00183BEA"/>
    <w:rsid w:val="00183ECC"/>
    <w:rsid w:val="00183EFD"/>
    <w:rsid w:val="00183F3C"/>
    <w:rsid w:val="00183FBC"/>
    <w:rsid w:val="001840E3"/>
    <w:rsid w:val="001841E8"/>
    <w:rsid w:val="00184382"/>
    <w:rsid w:val="001843F7"/>
    <w:rsid w:val="00184480"/>
    <w:rsid w:val="001844C1"/>
    <w:rsid w:val="001845DD"/>
    <w:rsid w:val="00184662"/>
    <w:rsid w:val="0018474C"/>
    <w:rsid w:val="0018488A"/>
    <w:rsid w:val="00184B5A"/>
    <w:rsid w:val="00184BAE"/>
    <w:rsid w:val="00184D76"/>
    <w:rsid w:val="00184E68"/>
    <w:rsid w:val="00184EA1"/>
    <w:rsid w:val="00184EDF"/>
    <w:rsid w:val="00184F87"/>
    <w:rsid w:val="00184FA0"/>
    <w:rsid w:val="0018506E"/>
    <w:rsid w:val="001850B4"/>
    <w:rsid w:val="00185658"/>
    <w:rsid w:val="00185983"/>
    <w:rsid w:val="00185B9C"/>
    <w:rsid w:val="00185E4A"/>
    <w:rsid w:val="00186063"/>
    <w:rsid w:val="00186103"/>
    <w:rsid w:val="0018623B"/>
    <w:rsid w:val="00186280"/>
    <w:rsid w:val="00186462"/>
    <w:rsid w:val="001866A6"/>
    <w:rsid w:val="001867B1"/>
    <w:rsid w:val="00186BE1"/>
    <w:rsid w:val="00186FC6"/>
    <w:rsid w:val="0018705A"/>
    <w:rsid w:val="001871BF"/>
    <w:rsid w:val="001872D1"/>
    <w:rsid w:val="001872DD"/>
    <w:rsid w:val="0018748A"/>
    <w:rsid w:val="00187762"/>
    <w:rsid w:val="001879CA"/>
    <w:rsid w:val="00187A1C"/>
    <w:rsid w:val="00187A61"/>
    <w:rsid w:val="00187A63"/>
    <w:rsid w:val="00187AB7"/>
    <w:rsid w:val="00187B54"/>
    <w:rsid w:val="00187CD6"/>
    <w:rsid w:val="00187DC8"/>
    <w:rsid w:val="00187EAB"/>
    <w:rsid w:val="00187F15"/>
    <w:rsid w:val="00187F82"/>
    <w:rsid w:val="00190405"/>
    <w:rsid w:val="00190433"/>
    <w:rsid w:val="0019055E"/>
    <w:rsid w:val="00190560"/>
    <w:rsid w:val="001905CC"/>
    <w:rsid w:val="00190AC4"/>
    <w:rsid w:val="00190DD9"/>
    <w:rsid w:val="00190DE7"/>
    <w:rsid w:val="00190E66"/>
    <w:rsid w:val="00190EBA"/>
    <w:rsid w:val="00190F48"/>
    <w:rsid w:val="00191020"/>
    <w:rsid w:val="00191099"/>
    <w:rsid w:val="00191112"/>
    <w:rsid w:val="001913D8"/>
    <w:rsid w:val="001915DE"/>
    <w:rsid w:val="00191618"/>
    <w:rsid w:val="0019171C"/>
    <w:rsid w:val="00191A1F"/>
    <w:rsid w:val="00191C57"/>
    <w:rsid w:val="00191E91"/>
    <w:rsid w:val="00192097"/>
    <w:rsid w:val="001920C5"/>
    <w:rsid w:val="001924D4"/>
    <w:rsid w:val="0019262D"/>
    <w:rsid w:val="001928A1"/>
    <w:rsid w:val="00192A28"/>
    <w:rsid w:val="00192E70"/>
    <w:rsid w:val="00193229"/>
    <w:rsid w:val="00193242"/>
    <w:rsid w:val="001932DC"/>
    <w:rsid w:val="001933F6"/>
    <w:rsid w:val="00193434"/>
    <w:rsid w:val="0019362A"/>
    <w:rsid w:val="001936BE"/>
    <w:rsid w:val="001936C9"/>
    <w:rsid w:val="001936ED"/>
    <w:rsid w:val="00193977"/>
    <w:rsid w:val="00193A41"/>
    <w:rsid w:val="00193B3A"/>
    <w:rsid w:val="00193BA6"/>
    <w:rsid w:val="00194192"/>
    <w:rsid w:val="00194272"/>
    <w:rsid w:val="0019430A"/>
    <w:rsid w:val="00194434"/>
    <w:rsid w:val="001944A7"/>
    <w:rsid w:val="0019474E"/>
    <w:rsid w:val="00194827"/>
    <w:rsid w:val="0019483F"/>
    <w:rsid w:val="001948A4"/>
    <w:rsid w:val="00194A97"/>
    <w:rsid w:val="00194AD5"/>
    <w:rsid w:val="00194B40"/>
    <w:rsid w:val="00194DC6"/>
    <w:rsid w:val="00194DEF"/>
    <w:rsid w:val="00194E56"/>
    <w:rsid w:val="00194EB2"/>
    <w:rsid w:val="0019504F"/>
    <w:rsid w:val="00195053"/>
    <w:rsid w:val="00195064"/>
    <w:rsid w:val="00195090"/>
    <w:rsid w:val="001950ED"/>
    <w:rsid w:val="0019529A"/>
    <w:rsid w:val="001953CC"/>
    <w:rsid w:val="0019550F"/>
    <w:rsid w:val="00195728"/>
    <w:rsid w:val="001959D4"/>
    <w:rsid w:val="00195B04"/>
    <w:rsid w:val="00195C23"/>
    <w:rsid w:val="00195C72"/>
    <w:rsid w:val="00195D08"/>
    <w:rsid w:val="00195DE1"/>
    <w:rsid w:val="00195F82"/>
    <w:rsid w:val="00196215"/>
    <w:rsid w:val="001962D0"/>
    <w:rsid w:val="0019639E"/>
    <w:rsid w:val="0019642C"/>
    <w:rsid w:val="00196496"/>
    <w:rsid w:val="0019668D"/>
    <w:rsid w:val="001966E7"/>
    <w:rsid w:val="001969F1"/>
    <w:rsid w:val="00196BB2"/>
    <w:rsid w:val="00197011"/>
    <w:rsid w:val="001970C0"/>
    <w:rsid w:val="001970E2"/>
    <w:rsid w:val="001973C4"/>
    <w:rsid w:val="00197AA8"/>
    <w:rsid w:val="00197BBA"/>
    <w:rsid w:val="00197C0E"/>
    <w:rsid w:val="00197C21"/>
    <w:rsid w:val="00197D91"/>
    <w:rsid w:val="00197DA5"/>
    <w:rsid w:val="00197F2F"/>
    <w:rsid w:val="001A0018"/>
    <w:rsid w:val="001A00B3"/>
    <w:rsid w:val="001A03C6"/>
    <w:rsid w:val="001A045F"/>
    <w:rsid w:val="001A0543"/>
    <w:rsid w:val="001A056E"/>
    <w:rsid w:val="001A0688"/>
    <w:rsid w:val="001A06A4"/>
    <w:rsid w:val="001A0714"/>
    <w:rsid w:val="001A072F"/>
    <w:rsid w:val="001A0766"/>
    <w:rsid w:val="001A0789"/>
    <w:rsid w:val="001A079D"/>
    <w:rsid w:val="001A07F5"/>
    <w:rsid w:val="001A082A"/>
    <w:rsid w:val="001A0867"/>
    <w:rsid w:val="001A0913"/>
    <w:rsid w:val="001A0AAE"/>
    <w:rsid w:val="001A0D11"/>
    <w:rsid w:val="001A0F87"/>
    <w:rsid w:val="001A0F9B"/>
    <w:rsid w:val="001A101F"/>
    <w:rsid w:val="001A1391"/>
    <w:rsid w:val="001A157C"/>
    <w:rsid w:val="001A1606"/>
    <w:rsid w:val="001A16E4"/>
    <w:rsid w:val="001A170E"/>
    <w:rsid w:val="001A178B"/>
    <w:rsid w:val="001A18CA"/>
    <w:rsid w:val="001A1957"/>
    <w:rsid w:val="001A1A1E"/>
    <w:rsid w:val="001A1B8C"/>
    <w:rsid w:val="001A1CB7"/>
    <w:rsid w:val="001A1DAB"/>
    <w:rsid w:val="001A1F5A"/>
    <w:rsid w:val="001A20BD"/>
    <w:rsid w:val="001A23DA"/>
    <w:rsid w:val="001A24D4"/>
    <w:rsid w:val="001A271F"/>
    <w:rsid w:val="001A2752"/>
    <w:rsid w:val="001A2800"/>
    <w:rsid w:val="001A286D"/>
    <w:rsid w:val="001A28C2"/>
    <w:rsid w:val="001A2A3E"/>
    <w:rsid w:val="001A2A7B"/>
    <w:rsid w:val="001A2C17"/>
    <w:rsid w:val="001A2DAA"/>
    <w:rsid w:val="001A2F8C"/>
    <w:rsid w:val="001A30CF"/>
    <w:rsid w:val="001A317A"/>
    <w:rsid w:val="001A31AB"/>
    <w:rsid w:val="001A335D"/>
    <w:rsid w:val="001A33C6"/>
    <w:rsid w:val="001A346D"/>
    <w:rsid w:val="001A3557"/>
    <w:rsid w:val="001A360A"/>
    <w:rsid w:val="001A3647"/>
    <w:rsid w:val="001A37B7"/>
    <w:rsid w:val="001A3839"/>
    <w:rsid w:val="001A3A7F"/>
    <w:rsid w:val="001A3B8E"/>
    <w:rsid w:val="001A3D6A"/>
    <w:rsid w:val="001A3DE7"/>
    <w:rsid w:val="001A3F81"/>
    <w:rsid w:val="001A4045"/>
    <w:rsid w:val="001A40D0"/>
    <w:rsid w:val="001A4117"/>
    <w:rsid w:val="001A420B"/>
    <w:rsid w:val="001A429C"/>
    <w:rsid w:val="001A437D"/>
    <w:rsid w:val="001A44D4"/>
    <w:rsid w:val="001A4578"/>
    <w:rsid w:val="001A467F"/>
    <w:rsid w:val="001A4731"/>
    <w:rsid w:val="001A47F8"/>
    <w:rsid w:val="001A487D"/>
    <w:rsid w:val="001A4954"/>
    <w:rsid w:val="001A4A81"/>
    <w:rsid w:val="001A4B97"/>
    <w:rsid w:val="001A4C56"/>
    <w:rsid w:val="001A4C74"/>
    <w:rsid w:val="001A4DFC"/>
    <w:rsid w:val="001A4F7D"/>
    <w:rsid w:val="001A4F82"/>
    <w:rsid w:val="001A503A"/>
    <w:rsid w:val="001A5062"/>
    <w:rsid w:val="001A52E0"/>
    <w:rsid w:val="001A53E3"/>
    <w:rsid w:val="001A5445"/>
    <w:rsid w:val="001A55DE"/>
    <w:rsid w:val="001A562F"/>
    <w:rsid w:val="001A56F0"/>
    <w:rsid w:val="001A571C"/>
    <w:rsid w:val="001A5789"/>
    <w:rsid w:val="001A59CA"/>
    <w:rsid w:val="001A59ED"/>
    <w:rsid w:val="001A59EF"/>
    <w:rsid w:val="001A5B3F"/>
    <w:rsid w:val="001A5B94"/>
    <w:rsid w:val="001A5C17"/>
    <w:rsid w:val="001A5C99"/>
    <w:rsid w:val="001A5D26"/>
    <w:rsid w:val="001A5DC1"/>
    <w:rsid w:val="001A5E05"/>
    <w:rsid w:val="001A6035"/>
    <w:rsid w:val="001A60B6"/>
    <w:rsid w:val="001A60E4"/>
    <w:rsid w:val="001A6190"/>
    <w:rsid w:val="001A6274"/>
    <w:rsid w:val="001A6319"/>
    <w:rsid w:val="001A6647"/>
    <w:rsid w:val="001A667E"/>
    <w:rsid w:val="001A6A5C"/>
    <w:rsid w:val="001A6A93"/>
    <w:rsid w:val="001A6B36"/>
    <w:rsid w:val="001A6CC1"/>
    <w:rsid w:val="001A6CC8"/>
    <w:rsid w:val="001A6E7D"/>
    <w:rsid w:val="001A6F85"/>
    <w:rsid w:val="001A6FCA"/>
    <w:rsid w:val="001A707B"/>
    <w:rsid w:val="001A70BC"/>
    <w:rsid w:val="001A712A"/>
    <w:rsid w:val="001A71C5"/>
    <w:rsid w:val="001A71D0"/>
    <w:rsid w:val="001A72EB"/>
    <w:rsid w:val="001A7319"/>
    <w:rsid w:val="001A73AC"/>
    <w:rsid w:val="001A74F5"/>
    <w:rsid w:val="001A7626"/>
    <w:rsid w:val="001A7789"/>
    <w:rsid w:val="001A77AA"/>
    <w:rsid w:val="001A785F"/>
    <w:rsid w:val="001A78D9"/>
    <w:rsid w:val="001A7AF0"/>
    <w:rsid w:val="001A7B15"/>
    <w:rsid w:val="001A7B42"/>
    <w:rsid w:val="001A7CDF"/>
    <w:rsid w:val="001A7D8F"/>
    <w:rsid w:val="001A7F27"/>
    <w:rsid w:val="001B003B"/>
    <w:rsid w:val="001B0233"/>
    <w:rsid w:val="001B0287"/>
    <w:rsid w:val="001B02A0"/>
    <w:rsid w:val="001B03B8"/>
    <w:rsid w:val="001B0682"/>
    <w:rsid w:val="001B08F4"/>
    <w:rsid w:val="001B0D1B"/>
    <w:rsid w:val="001B0DF7"/>
    <w:rsid w:val="001B10BA"/>
    <w:rsid w:val="001B1332"/>
    <w:rsid w:val="001B154F"/>
    <w:rsid w:val="001B157E"/>
    <w:rsid w:val="001B18A8"/>
    <w:rsid w:val="001B1996"/>
    <w:rsid w:val="001B1A9B"/>
    <w:rsid w:val="001B1AA7"/>
    <w:rsid w:val="001B1BFA"/>
    <w:rsid w:val="001B1C3A"/>
    <w:rsid w:val="001B1DF2"/>
    <w:rsid w:val="001B2146"/>
    <w:rsid w:val="001B21C7"/>
    <w:rsid w:val="001B2286"/>
    <w:rsid w:val="001B22B8"/>
    <w:rsid w:val="001B23E3"/>
    <w:rsid w:val="001B282D"/>
    <w:rsid w:val="001B2840"/>
    <w:rsid w:val="001B2954"/>
    <w:rsid w:val="001B299D"/>
    <w:rsid w:val="001B29E5"/>
    <w:rsid w:val="001B2A07"/>
    <w:rsid w:val="001B2A97"/>
    <w:rsid w:val="001B2AC6"/>
    <w:rsid w:val="001B2C29"/>
    <w:rsid w:val="001B2C61"/>
    <w:rsid w:val="001B2CD4"/>
    <w:rsid w:val="001B2D3B"/>
    <w:rsid w:val="001B313C"/>
    <w:rsid w:val="001B32C3"/>
    <w:rsid w:val="001B331B"/>
    <w:rsid w:val="001B344F"/>
    <w:rsid w:val="001B352F"/>
    <w:rsid w:val="001B3A52"/>
    <w:rsid w:val="001B3B2B"/>
    <w:rsid w:val="001B3C3F"/>
    <w:rsid w:val="001B3C4A"/>
    <w:rsid w:val="001B3C8C"/>
    <w:rsid w:val="001B3D1D"/>
    <w:rsid w:val="001B3D93"/>
    <w:rsid w:val="001B3EBB"/>
    <w:rsid w:val="001B3ED3"/>
    <w:rsid w:val="001B3FB4"/>
    <w:rsid w:val="001B42A1"/>
    <w:rsid w:val="001B42E3"/>
    <w:rsid w:val="001B46F8"/>
    <w:rsid w:val="001B49D3"/>
    <w:rsid w:val="001B4A43"/>
    <w:rsid w:val="001B4B63"/>
    <w:rsid w:val="001B4B89"/>
    <w:rsid w:val="001B5011"/>
    <w:rsid w:val="001B511A"/>
    <w:rsid w:val="001B5453"/>
    <w:rsid w:val="001B5473"/>
    <w:rsid w:val="001B5580"/>
    <w:rsid w:val="001B558C"/>
    <w:rsid w:val="001B561E"/>
    <w:rsid w:val="001B564F"/>
    <w:rsid w:val="001B577F"/>
    <w:rsid w:val="001B57B1"/>
    <w:rsid w:val="001B588E"/>
    <w:rsid w:val="001B5A62"/>
    <w:rsid w:val="001B5BF4"/>
    <w:rsid w:val="001B5DCB"/>
    <w:rsid w:val="001B5E59"/>
    <w:rsid w:val="001B5EBE"/>
    <w:rsid w:val="001B5EFB"/>
    <w:rsid w:val="001B5F73"/>
    <w:rsid w:val="001B5FC0"/>
    <w:rsid w:val="001B6091"/>
    <w:rsid w:val="001B6195"/>
    <w:rsid w:val="001B672C"/>
    <w:rsid w:val="001B695F"/>
    <w:rsid w:val="001B6ABC"/>
    <w:rsid w:val="001B6BB9"/>
    <w:rsid w:val="001B6C09"/>
    <w:rsid w:val="001B6C12"/>
    <w:rsid w:val="001B6EA9"/>
    <w:rsid w:val="001B6F01"/>
    <w:rsid w:val="001B70B5"/>
    <w:rsid w:val="001B70F7"/>
    <w:rsid w:val="001B7329"/>
    <w:rsid w:val="001B7349"/>
    <w:rsid w:val="001B742B"/>
    <w:rsid w:val="001B7465"/>
    <w:rsid w:val="001B757C"/>
    <w:rsid w:val="001B7888"/>
    <w:rsid w:val="001B78DF"/>
    <w:rsid w:val="001B7914"/>
    <w:rsid w:val="001B7AF4"/>
    <w:rsid w:val="001B7B03"/>
    <w:rsid w:val="001B7B4B"/>
    <w:rsid w:val="001B7B60"/>
    <w:rsid w:val="001B7BFD"/>
    <w:rsid w:val="001B7C15"/>
    <w:rsid w:val="001B7C42"/>
    <w:rsid w:val="001B7DCB"/>
    <w:rsid w:val="001C00A9"/>
    <w:rsid w:val="001C00B8"/>
    <w:rsid w:val="001C00C4"/>
    <w:rsid w:val="001C0165"/>
    <w:rsid w:val="001C01F6"/>
    <w:rsid w:val="001C052C"/>
    <w:rsid w:val="001C05AD"/>
    <w:rsid w:val="001C065E"/>
    <w:rsid w:val="001C0721"/>
    <w:rsid w:val="001C08BA"/>
    <w:rsid w:val="001C090B"/>
    <w:rsid w:val="001C0A23"/>
    <w:rsid w:val="001C0B62"/>
    <w:rsid w:val="001C0DF0"/>
    <w:rsid w:val="001C1091"/>
    <w:rsid w:val="001C10A4"/>
    <w:rsid w:val="001C10AB"/>
    <w:rsid w:val="001C1131"/>
    <w:rsid w:val="001C1187"/>
    <w:rsid w:val="001C11C0"/>
    <w:rsid w:val="001C124C"/>
    <w:rsid w:val="001C156A"/>
    <w:rsid w:val="001C159A"/>
    <w:rsid w:val="001C15CE"/>
    <w:rsid w:val="001C1664"/>
    <w:rsid w:val="001C174A"/>
    <w:rsid w:val="001C17D1"/>
    <w:rsid w:val="001C1936"/>
    <w:rsid w:val="001C19C0"/>
    <w:rsid w:val="001C1B46"/>
    <w:rsid w:val="001C1D05"/>
    <w:rsid w:val="001C1DA1"/>
    <w:rsid w:val="001C1E16"/>
    <w:rsid w:val="001C2117"/>
    <w:rsid w:val="001C21B3"/>
    <w:rsid w:val="001C22EB"/>
    <w:rsid w:val="001C2424"/>
    <w:rsid w:val="001C242A"/>
    <w:rsid w:val="001C27DB"/>
    <w:rsid w:val="001C28B0"/>
    <w:rsid w:val="001C299E"/>
    <w:rsid w:val="001C2A48"/>
    <w:rsid w:val="001C2B04"/>
    <w:rsid w:val="001C2C79"/>
    <w:rsid w:val="001C2CAA"/>
    <w:rsid w:val="001C2CF1"/>
    <w:rsid w:val="001C2EDF"/>
    <w:rsid w:val="001C2F2B"/>
    <w:rsid w:val="001C3065"/>
    <w:rsid w:val="001C30AD"/>
    <w:rsid w:val="001C3350"/>
    <w:rsid w:val="001C3370"/>
    <w:rsid w:val="001C3526"/>
    <w:rsid w:val="001C36A2"/>
    <w:rsid w:val="001C3A42"/>
    <w:rsid w:val="001C3AAC"/>
    <w:rsid w:val="001C3B40"/>
    <w:rsid w:val="001C3C4F"/>
    <w:rsid w:val="001C3CC3"/>
    <w:rsid w:val="001C3D1C"/>
    <w:rsid w:val="001C3DA9"/>
    <w:rsid w:val="001C3E4E"/>
    <w:rsid w:val="001C41AF"/>
    <w:rsid w:val="001C4209"/>
    <w:rsid w:val="001C4259"/>
    <w:rsid w:val="001C453C"/>
    <w:rsid w:val="001C476F"/>
    <w:rsid w:val="001C47C4"/>
    <w:rsid w:val="001C4891"/>
    <w:rsid w:val="001C4AAA"/>
    <w:rsid w:val="001C4B8B"/>
    <w:rsid w:val="001C4B98"/>
    <w:rsid w:val="001C4BEF"/>
    <w:rsid w:val="001C4D46"/>
    <w:rsid w:val="001C4DDB"/>
    <w:rsid w:val="001C506D"/>
    <w:rsid w:val="001C50D7"/>
    <w:rsid w:val="001C5196"/>
    <w:rsid w:val="001C51DA"/>
    <w:rsid w:val="001C5347"/>
    <w:rsid w:val="001C53AB"/>
    <w:rsid w:val="001C540B"/>
    <w:rsid w:val="001C5429"/>
    <w:rsid w:val="001C55B4"/>
    <w:rsid w:val="001C55D5"/>
    <w:rsid w:val="001C5861"/>
    <w:rsid w:val="001C5895"/>
    <w:rsid w:val="001C592D"/>
    <w:rsid w:val="001C5982"/>
    <w:rsid w:val="001C5B50"/>
    <w:rsid w:val="001C5CC6"/>
    <w:rsid w:val="001C5DC5"/>
    <w:rsid w:val="001C5E26"/>
    <w:rsid w:val="001C5EB1"/>
    <w:rsid w:val="001C5F07"/>
    <w:rsid w:val="001C60F6"/>
    <w:rsid w:val="001C623C"/>
    <w:rsid w:val="001C62D3"/>
    <w:rsid w:val="001C6342"/>
    <w:rsid w:val="001C665C"/>
    <w:rsid w:val="001C66E8"/>
    <w:rsid w:val="001C6902"/>
    <w:rsid w:val="001C691A"/>
    <w:rsid w:val="001C6949"/>
    <w:rsid w:val="001C69E3"/>
    <w:rsid w:val="001C6AC2"/>
    <w:rsid w:val="001C6B0D"/>
    <w:rsid w:val="001C6CBA"/>
    <w:rsid w:val="001C6D77"/>
    <w:rsid w:val="001C6DFD"/>
    <w:rsid w:val="001C6F41"/>
    <w:rsid w:val="001C70D1"/>
    <w:rsid w:val="001C70E2"/>
    <w:rsid w:val="001C71F9"/>
    <w:rsid w:val="001C7332"/>
    <w:rsid w:val="001C7407"/>
    <w:rsid w:val="001C7488"/>
    <w:rsid w:val="001C74E7"/>
    <w:rsid w:val="001C7745"/>
    <w:rsid w:val="001C77AB"/>
    <w:rsid w:val="001C7870"/>
    <w:rsid w:val="001C7984"/>
    <w:rsid w:val="001C798D"/>
    <w:rsid w:val="001C7B93"/>
    <w:rsid w:val="001C7B94"/>
    <w:rsid w:val="001C7C4A"/>
    <w:rsid w:val="001C7CC0"/>
    <w:rsid w:val="001C7D90"/>
    <w:rsid w:val="001C7DE2"/>
    <w:rsid w:val="001D0180"/>
    <w:rsid w:val="001D01B0"/>
    <w:rsid w:val="001D029B"/>
    <w:rsid w:val="001D04F8"/>
    <w:rsid w:val="001D051D"/>
    <w:rsid w:val="001D05BB"/>
    <w:rsid w:val="001D08B5"/>
    <w:rsid w:val="001D092B"/>
    <w:rsid w:val="001D0A35"/>
    <w:rsid w:val="001D0A81"/>
    <w:rsid w:val="001D0BE9"/>
    <w:rsid w:val="001D0BF8"/>
    <w:rsid w:val="001D0C62"/>
    <w:rsid w:val="001D0CD0"/>
    <w:rsid w:val="001D0DBF"/>
    <w:rsid w:val="001D1112"/>
    <w:rsid w:val="001D1158"/>
    <w:rsid w:val="001D1231"/>
    <w:rsid w:val="001D13D0"/>
    <w:rsid w:val="001D1583"/>
    <w:rsid w:val="001D17E8"/>
    <w:rsid w:val="001D19CA"/>
    <w:rsid w:val="001D1A29"/>
    <w:rsid w:val="001D1A39"/>
    <w:rsid w:val="001D1C0B"/>
    <w:rsid w:val="001D1CA0"/>
    <w:rsid w:val="001D1D29"/>
    <w:rsid w:val="001D1F38"/>
    <w:rsid w:val="001D23B6"/>
    <w:rsid w:val="001D23C7"/>
    <w:rsid w:val="001D2405"/>
    <w:rsid w:val="001D2868"/>
    <w:rsid w:val="001D2892"/>
    <w:rsid w:val="001D29D8"/>
    <w:rsid w:val="001D2B58"/>
    <w:rsid w:val="001D2C2A"/>
    <w:rsid w:val="001D2C42"/>
    <w:rsid w:val="001D2CEE"/>
    <w:rsid w:val="001D2D63"/>
    <w:rsid w:val="001D2E41"/>
    <w:rsid w:val="001D2F8E"/>
    <w:rsid w:val="001D2FCB"/>
    <w:rsid w:val="001D3195"/>
    <w:rsid w:val="001D31A8"/>
    <w:rsid w:val="001D320C"/>
    <w:rsid w:val="001D3283"/>
    <w:rsid w:val="001D32C0"/>
    <w:rsid w:val="001D344D"/>
    <w:rsid w:val="001D35B8"/>
    <w:rsid w:val="001D35EA"/>
    <w:rsid w:val="001D3650"/>
    <w:rsid w:val="001D36C8"/>
    <w:rsid w:val="001D3789"/>
    <w:rsid w:val="001D3898"/>
    <w:rsid w:val="001D38C8"/>
    <w:rsid w:val="001D38E3"/>
    <w:rsid w:val="001D390D"/>
    <w:rsid w:val="001D3A64"/>
    <w:rsid w:val="001D3E41"/>
    <w:rsid w:val="001D3EC1"/>
    <w:rsid w:val="001D3F1F"/>
    <w:rsid w:val="001D41BA"/>
    <w:rsid w:val="001D42E5"/>
    <w:rsid w:val="001D436C"/>
    <w:rsid w:val="001D43B3"/>
    <w:rsid w:val="001D43CC"/>
    <w:rsid w:val="001D45F2"/>
    <w:rsid w:val="001D4704"/>
    <w:rsid w:val="001D47FF"/>
    <w:rsid w:val="001D492E"/>
    <w:rsid w:val="001D49C3"/>
    <w:rsid w:val="001D4D85"/>
    <w:rsid w:val="001D4DD6"/>
    <w:rsid w:val="001D4EA3"/>
    <w:rsid w:val="001D4EA5"/>
    <w:rsid w:val="001D4ED1"/>
    <w:rsid w:val="001D4F97"/>
    <w:rsid w:val="001D5058"/>
    <w:rsid w:val="001D51C0"/>
    <w:rsid w:val="001D5206"/>
    <w:rsid w:val="001D53E1"/>
    <w:rsid w:val="001D54B1"/>
    <w:rsid w:val="001D555C"/>
    <w:rsid w:val="001D5680"/>
    <w:rsid w:val="001D56B7"/>
    <w:rsid w:val="001D5793"/>
    <w:rsid w:val="001D5898"/>
    <w:rsid w:val="001D59A4"/>
    <w:rsid w:val="001D59CD"/>
    <w:rsid w:val="001D5A68"/>
    <w:rsid w:val="001D5C01"/>
    <w:rsid w:val="001D5D87"/>
    <w:rsid w:val="001D6141"/>
    <w:rsid w:val="001D61AE"/>
    <w:rsid w:val="001D6229"/>
    <w:rsid w:val="001D63D8"/>
    <w:rsid w:val="001D6710"/>
    <w:rsid w:val="001D67DC"/>
    <w:rsid w:val="001D6914"/>
    <w:rsid w:val="001D6ACD"/>
    <w:rsid w:val="001D6E23"/>
    <w:rsid w:val="001D6EA2"/>
    <w:rsid w:val="001D707B"/>
    <w:rsid w:val="001D7130"/>
    <w:rsid w:val="001D72F4"/>
    <w:rsid w:val="001D74A7"/>
    <w:rsid w:val="001D758A"/>
    <w:rsid w:val="001D77A0"/>
    <w:rsid w:val="001D7829"/>
    <w:rsid w:val="001D78F3"/>
    <w:rsid w:val="001D79FC"/>
    <w:rsid w:val="001D7A22"/>
    <w:rsid w:val="001D7AF1"/>
    <w:rsid w:val="001D7F2B"/>
    <w:rsid w:val="001E009A"/>
    <w:rsid w:val="001E02B7"/>
    <w:rsid w:val="001E02FA"/>
    <w:rsid w:val="001E0597"/>
    <w:rsid w:val="001E05D2"/>
    <w:rsid w:val="001E070C"/>
    <w:rsid w:val="001E07DB"/>
    <w:rsid w:val="001E084D"/>
    <w:rsid w:val="001E0867"/>
    <w:rsid w:val="001E08EA"/>
    <w:rsid w:val="001E0902"/>
    <w:rsid w:val="001E0B42"/>
    <w:rsid w:val="001E0B78"/>
    <w:rsid w:val="001E0E45"/>
    <w:rsid w:val="001E1087"/>
    <w:rsid w:val="001E11DD"/>
    <w:rsid w:val="001E1242"/>
    <w:rsid w:val="001E12F5"/>
    <w:rsid w:val="001E13F0"/>
    <w:rsid w:val="001E15F2"/>
    <w:rsid w:val="001E167F"/>
    <w:rsid w:val="001E173C"/>
    <w:rsid w:val="001E1A24"/>
    <w:rsid w:val="001E1C2E"/>
    <w:rsid w:val="001E1D12"/>
    <w:rsid w:val="001E1DDC"/>
    <w:rsid w:val="001E20B9"/>
    <w:rsid w:val="001E214F"/>
    <w:rsid w:val="001E2164"/>
    <w:rsid w:val="001E2250"/>
    <w:rsid w:val="001E2274"/>
    <w:rsid w:val="001E22F7"/>
    <w:rsid w:val="001E2321"/>
    <w:rsid w:val="001E23BC"/>
    <w:rsid w:val="001E244D"/>
    <w:rsid w:val="001E2541"/>
    <w:rsid w:val="001E27CA"/>
    <w:rsid w:val="001E27FB"/>
    <w:rsid w:val="001E2948"/>
    <w:rsid w:val="001E297B"/>
    <w:rsid w:val="001E2A01"/>
    <w:rsid w:val="001E2D55"/>
    <w:rsid w:val="001E2DE1"/>
    <w:rsid w:val="001E2E76"/>
    <w:rsid w:val="001E3009"/>
    <w:rsid w:val="001E30B6"/>
    <w:rsid w:val="001E311D"/>
    <w:rsid w:val="001E3129"/>
    <w:rsid w:val="001E313B"/>
    <w:rsid w:val="001E31A8"/>
    <w:rsid w:val="001E32DA"/>
    <w:rsid w:val="001E347F"/>
    <w:rsid w:val="001E34D2"/>
    <w:rsid w:val="001E372D"/>
    <w:rsid w:val="001E3734"/>
    <w:rsid w:val="001E3811"/>
    <w:rsid w:val="001E3871"/>
    <w:rsid w:val="001E39BA"/>
    <w:rsid w:val="001E3A68"/>
    <w:rsid w:val="001E3A93"/>
    <w:rsid w:val="001E3AA3"/>
    <w:rsid w:val="001E3D50"/>
    <w:rsid w:val="001E3DE5"/>
    <w:rsid w:val="001E415B"/>
    <w:rsid w:val="001E41F4"/>
    <w:rsid w:val="001E4292"/>
    <w:rsid w:val="001E4593"/>
    <w:rsid w:val="001E465F"/>
    <w:rsid w:val="001E48DA"/>
    <w:rsid w:val="001E4A38"/>
    <w:rsid w:val="001E4BA3"/>
    <w:rsid w:val="001E4E06"/>
    <w:rsid w:val="001E4EEE"/>
    <w:rsid w:val="001E5121"/>
    <w:rsid w:val="001E520D"/>
    <w:rsid w:val="001E5249"/>
    <w:rsid w:val="001E5348"/>
    <w:rsid w:val="001E55B7"/>
    <w:rsid w:val="001E5635"/>
    <w:rsid w:val="001E574B"/>
    <w:rsid w:val="001E58B3"/>
    <w:rsid w:val="001E5A2D"/>
    <w:rsid w:val="001E5BD8"/>
    <w:rsid w:val="001E5CC2"/>
    <w:rsid w:val="001E5D79"/>
    <w:rsid w:val="001E5ECF"/>
    <w:rsid w:val="001E5FCB"/>
    <w:rsid w:val="001E6278"/>
    <w:rsid w:val="001E62C0"/>
    <w:rsid w:val="001E62F8"/>
    <w:rsid w:val="001E63D5"/>
    <w:rsid w:val="001E63F0"/>
    <w:rsid w:val="001E64AE"/>
    <w:rsid w:val="001E675B"/>
    <w:rsid w:val="001E67B1"/>
    <w:rsid w:val="001E67E4"/>
    <w:rsid w:val="001E6CEE"/>
    <w:rsid w:val="001E6CF0"/>
    <w:rsid w:val="001E6E26"/>
    <w:rsid w:val="001E6EAA"/>
    <w:rsid w:val="001E6ED3"/>
    <w:rsid w:val="001E6F06"/>
    <w:rsid w:val="001E7331"/>
    <w:rsid w:val="001E739E"/>
    <w:rsid w:val="001E73EC"/>
    <w:rsid w:val="001E7610"/>
    <w:rsid w:val="001E7639"/>
    <w:rsid w:val="001E7707"/>
    <w:rsid w:val="001E79C8"/>
    <w:rsid w:val="001E7A19"/>
    <w:rsid w:val="001E7BA3"/>
    <w:rsid w:val="001E7D50"/>
    <w:rsid w:val="001E7DDB"/>
    <w:rsid w:val="001F003A"/>
    <w:rsid w:val="001F011D"/>
    <w:rsid w:val="001F0237"/>
    <w:rsid w:val="001F03C8"/>
    <w:rsid w:val="001F081D"/>
    <w:rsid w:val="001F0920"/>
    <w:rsid w:val="001F0A2A"/>
    <w:rsid w:val="001F0C88"/>
    <w:rsid w:val="001F0DEC"/>
    <w:rsid w:val="001F0E4E"/>
    <w:rsid w:val="001F109B"/>
    <w:rsid w:val="001F13B0"/>
    <w:rsid w:val="001F15F0"/>
    <w:rsid w:val="001F166C"/>
    <w:rsid w:val="001F16CC"/>
    <w:rsid w:val="001F1C90"/>
    <w:rsid w:val="001F2120"/>
    <w:rsid w:val="001F21B3"/>
    <w:rsid w:val="001F21D1"/>
    <w:rsid w:val="001F2424"/>
    <w:rsid w:val="001F2427"/>
    <w:rsid w:val="001F246A"/>
    <w:rsid w:val="001F2775"/>
    <w:rsid w:val="001F28E0"/>
    <w:rsid w:val="001F2902"/>
    <w:rsid w:val="001F2910"/>
    <w:rsid w:val="001F2B36"/>
    <w:rsid w:val="001F2D20"/>
    <w:rsid w:val="001F2DA9"/>
    <w:rsid w:val="001F2DBD"/>
    <w:rsid w:val="001F2DE1"/>
    <w:rsid w:val="001F2ED1"/>
    <w:rsid w:val="001F2F3C"/>
    <w:rsid w:val="001F3288"/>
    <w:rsid w:val="001F32CF"/>
    <w:rsid w:val="001F3425"/>
    <w:rsid w:val="001F3523"/>
    <w:rsid w:val="001F3730"/>
    <w:rsid w:val="001F3CEC"/>
    <w:rsid w:val="001F3CFA"/>
    <w:rsid w:val="001F3E05"/>
    <w:rsid w:val="001F3F36"/>
    <w:rsid w:val="001F4036"/>
    <w:rsid w:val="001F42D3"/>
    <w:rsid w:val="001F438B"/>
    <w:rsid w:val="001F444E"/>
    <w:rsid w:val="001F4653"/>
    <w:rsid w:val="001F4ADB"/>
    <w:rsid w:val="001F4B9D"/>
    <w:rsid w:val="001F4F9C"/>
    <w:rsid w:val="001F545E"/>
    <w:rsid w:val="001F54CC"/>
    <w:rsid w:val="001F5605"/>
    <w:rsid w:val="001F56C1"/>
    <w:rsid w:val="001F578A"/>
    <w:rsid w:val="001F5980"/>
    <w:rsid w:val="001F5AFE"/>
    <w:rsid w:val="001F5B3A"/>
    <w:rsid w:val="001F5BA6"/>
    <w:rsid w:val="001F5CD7"/>
    <w:rsid w:val="001F5D93"/>
    <w:rsid w:val="001F5E5B"/>
    <w:rsid w:val="001F5ECD"/>
    <w:rsid w:val="001F6077"/>
    <w:rsid w:val="001F60F0"/>
    <w:rsid w:val="001F658C"/>
    <w:rsid w:val="001F6681"/>
    <w:rsid w:val="001F675C"/>
    <w:rsid w:val="001F6A90"/>
    <w:rsid w:val="001F6B03"/>
    <w:rsid w:val="001F6BB8"/>
    <w:rsid w:val="001F6C79"/>
    <w:rsid w:val="001F6F44"/>
    <w:rsid w:val="001F6F91"/>
    <w:rsid w:val="001F6FF2"/>
    <w:rsid w:val="001F71EA"/>
    <w:rsid w:val="001F7232"/>
    <w:rsid w:val="001F7352"/>
    <w:rsid w:val="001F7448"/>
    <w:rsid w:val="001F749F"/>
    <w:rsid w:val="001F7563"/>
    <w:rsid w:val="001F7637"/>
    <w:rsid w:val="001F7A1F"/>
    <w:rsid w:val="001F7A88"/>
    <w:rsid w:val="001F7C0B"/>
    <w:rsid w:val="00200122"/>
    <w:rsid w:val="002002B7"/>
    <w:rsid w:val="002004DE"/>
    <w:rsid w:val="0020059B"/>
    <w:rsid w:val="0020077E"/>
    <w:rsid w:val="002007ED"/>
    <w:rsid w:val="00200957"/>
    <w:rsid w:val="0020098A"/>
    <w:rsid w:val="00200B01"/>
    <w:rsid w:val="00200BC9"/>
    <w:rsid w:val="00200F01"/>
    <w:rsid w:val="00200F25"/>
    <w:rsid w:val="002010B3"/>
    <w:rsid w:val="002019E1"/>
    <w:rsid w:val="00201B9B"/>
    <w:rsid w:val="00201BB6"/>
    <w:rsid w:val="00201BBF"/>
    <w:rsid w:val="00201BD3"/>
    <w:rsid w:val="00201ECA"/>
    <w:rsid w:val="00201FEC"/>
    <w:rsid w:val="00202035"/>
    <w:rsid w:val="00202176"/>
    <w:rsid w:val="00202198"/>
    <w:rsid w:val="00202402"/>
    <w:rsid w:val="00202418"/>
    <w:rsid w:val="0020273E"/>
    <w:rsid w:val="002027F0"/>
    <w:rsid w:val="00202CAA"/>
    <w:rsid w:val="00202E88"/>
    <w:rsid w:val="00202F85"/>
    <w:rsid w:val="00202FB7"/>
    <w:rsid w:val="00203191"/>
    <w:rsid w:val="00203342"/>
    <w:rsid w:val="00203362"/>
    <w:rsid w:val="00203500"/>
    <w:rsid w:val="002035EA"/>
    <w:rsid w:val="0020366B"/>
    <w:rsid w:val="002036EE"/>
    <w:rsid w:val="0020380D"/>
    <w:rsid w:val="002038F2"/>
    <w:rsid w:val="002039C5"/>
    <w:rsid w:val="00203B77"/>
    <w:rsid w:val="00203B81"/>
    <w:rsid w:val="00203C69"/>
    <w:rsid w:val="00203DF5"/>
    <w:rsid w:val="00203E08"/>
    <w:rsid w:val="00203E25"/>
    <w:rsid w:val="00203ED9"/>
    <w:rsid w:val="00203F39"/>
    <w:rsid w:val="00203F8E"/>
    <w:rsid w:val="00204032"/>
    <w:rsid w:val="0020429B"/>
    <w:rsid w:val="0020431A"/>
    <w:rsid w:val="00204486"/>
    <w:rsid w:val="00204735"/>
    <w:rsid w:val="00204750"/>
    <w:rsid w:val="00204786"/>
    <w:rsid w:val="002047E8"/>
    <w:rsid w:val="002049B7"/>
    <w:rsid w:val="00204A3F"/>
    <w:rsid w:val="00204D28"/>
    <w:rsid w:val="00204F1F"/>
    <w:rsid w:val="00204F7F"/>
    <w:rsid w:val="00204FFF"/>
    <w:rsid w:val="00205238"/>
    <w:rsid w:val="0020525E"/>
    <w:rsid w:val="002057E5"/>
    <w:rsid w:val="002058AA"/>
    <w:rsid w:val="00205A84"/>
    <w:rsid w:val="00205BCB"/>
    <w:rsid w:val="00205CF2"/>
    <w:rsid w:val="00205FEA"/>
    <w:rsid w:val="00205FF5"/>
    <w:rsid w:val="0020614D"/>
    <w:rsid w:val="00206205"/>
    <w:rsid w:val="00206356"/>
    <w:rsid w:val="0020646B"/>
    <w:rsid w:val="0020651D"/>
    <w:rsid w:val="002065CA"/>
    <w:rsid w:val="0020662F"/>
    <w:rsid w:val="00206788"/>
    <w:rsid w:val="00206945"/>
    <w:rsid w:val="00206BED"/>
    <w:rsid w:val="00206C00"/>
    <w:rsid w:val="00206C3D"/>
    <w:rsid w:val="00206CE9"/>
    <w:rsid w:val="00206D06"/>
    <w:rsid w:val="00206E78"/>
    <w:rsid w:val="00206EA6"/>
    <w:rsid w:val="00207193"/>
    <w:rsid w:val="00207309"/>
    <w:rsid w:val="002074D4"/>
    <w:rsid w:val="002076E2"/>
    <w:rsid w:val="00207897"/>
    <w:rsid w:val="00207C09"/>
    <w:rsid w:val="00207C23"/>
    <w:rsid w:val="00207F59"/>
    <w:rsid w:val="00207FD4"/>
    <w:rsid w:val="002101B8"/>
    <w:rsid w:val="002101DA"/>
    <w:rsid w:val="00210264"/>
    <w:rsid w:val="002103E7"/>
    <w:rsid w:val="0021052A"/>
    <w:rsid w:val="002107BC"/>
    <w:rsid w:val="002108A8"/>
    <w:rsid w:val="002108FF"/>
    <w:rsid w:val="0021094B"/>
    <w:rsid w:val="00210AFB"/>
    <w:rsid w:val="00210D90"/>
    <w:rsid w:val="00210E55"/>
    <w:rsid w:val="00210E70"/>
    <w:rsid w:val="00210F94"/>
    <w:rsid w:val="00211077"/>
    <w:rsid w:val="002110D1"/>
    <w:rsid w:val="002111E3"/>
    <w:rsid w:val="002112C3"/>
    <w:rsid w:val="0021140E"/>
    <w:rsid w:val="00211539"/>
    <w:rsid w:val="002116A2"/>
    <w:rsid w:val="0021171E"/>
    <w:rsid w:val="00211904"/>
    <w:rsid w:val="002119B0"/>
    <w:rsid w:val="00211AE7"/>
    <w:rsid w:val="00211D0B"/>
    <w:rsid w:val="00211DC3"/>
    <w:rsid w:val="00211DCB"/>
    <w:rsid w:val="00211F72"/>
    <w:rsid w:val="00211F7F"/>
    <w:rsid w:val="0021213D"/>
    <w:rsid w:val="0021230D"/>
    <w:rsid w:val="00212529"/>
    <w:rsid w:val="002126A4"/>
    <w:rsid w:val="002126D9"/>
    <w:rsid w:val="0021273E"/>
    <w:rsid w:val="002127B7"/>
    <w:rsid w:val="0021282B"/>
    <w:rsid w:val="00212AFF"/>
    <w:rsid w:val="00212E4F"/>
    <w:rsid w:val="00212E79"/>
    <w:rsid w:val="00213043"/>
    <w:rsid w:val="0021316C"/>
    <w:rsid w:val="00213375"/>
    <w:rsid w:val="00213384"/>
    <w:rsid w:val="00213436"/>
    <w:rsid w:val="00213644"/>
    <w:rsid w:val="0021384B"/>
    <w:rsid w:val="00213857"/>
    <w:rsid w:val="0021387A"/>
    <w:rsid w:val="002139B7"/>
    <w:rsid w:val="00213B06"/>
    <w:rsid w:val="00213DE1"/>
    <w:rsid w:val="00213E03"/>
    <w:rsid w:val="00213F64"/>
    <w:rsid w:val="002140E5"/>
    <w:rsid w:val="00214338"/>
    <w:rsid w:val="00214379"/>
    <w:rsid w:val="00214551"/>
    <w:rsid w:val="00214622"/>
    <w:rsid w:val="002146C8"/>
    <w:rsid w:val="00214838"/>
    <w:rsid w:val="002149D5"/>
    <w:rsid w:val="00214BAC"/>
    <w:rsid w:val="00214C9B"/>
    <w:rsid w:val="00214DCE"/>
    <w:rsid w:val="00214FC6"/>
    <w:rsid w:val="0021503C"/>
    <w:rsid w:val="002150AC"/>
    <w:rsid w:val="002150BA"/>
    <w:rsid w:val="002151BD"/>
    <w:rsid w:val="00215258"/>
    <w:rsid w:val="00215353"/>
    <w:rsid w:val="002153D9"/>
    <w:rsid w:val="002155B6"/>
    <w:rsid w:val="00215630"/>
    <w:rsid w:val="002157E4"/>
    <w:rsid w:val="002158DD"/>
    <w:rsid w:val="002158F6"/>
    <w:rsid w:val="0021590D"/>
    <w:rsid w:val="0021594B"/>
    <w:rsid w:val="0021599D"/>
    <w:rsid w:val="00215AFB"/>
    <w:rsid w:val="00215C19"/>
    <w:rsid w:val="00215C1E"/>
    <w:rsid w:val="00215C60"/>
    <w:rsid w:val="00215CE2"/>
    <w:rsid w:val="00215DEA"/>
    <w:rsid w:val="00215EA0"/>
    <w:rsid w:val="00216150"/>
    <w:rsid w:val="002162C7"/>
    <w:rsid w:val="00216322"/>
    <w:rsid w:val="002163B6"/>
    <w:rsid w:val="00216413"/>
    <w:rsid w:val="00216429"/>
    <w:rsid w:val="0021653B"/>
    <w:rsid w:val="0021668E"/>
    <w:rsid w:val="00216691"/>
    <w:rsid w:val="002167AA"/>
    <w:rsid w:val="002167BB"/>
    <w:rsid w:val="002168C0"/>
    <w:rsid w:val="002168C1"/>
    <w:rsid w:val="00216A08"/>
    <w:rsid w:val="00216A90"/>
    <w:rsid w:val="00216AB6"/>
    <w:rsid w:val="00216C79"/>
    <w:rsid w:val="00216DE1"/>
    <w:rsid w:val="00216E89"/>
    <w:rsid w:val="00216F79"/>
    <w:rsid w:val="00216FA9"/>
    <w:rsid w:val="002170D1"/>
    <w:rsid w:val="00217158"/>
    <w:rsid w:val="00217186"/>
    <w:rsid w:val="0021724B"/>
    <w:rsid w:val="00217275"/>
    <w:rsid w:val="0021729B"/>
    <w:rsid w:val="002172BE"/>
    <w:rsid w:val="00217441"/>
    <w:rsid w:val="002174CB"/>
    <w:rsid w:val="00217562"/>
    <w:rsid w:val="0021763F"/>
    <w:rsid w:val="00217DC8"/>
    <w:rsid w:val="00217F9E"/>
    <w:rsid w:val="00217FA6"/>
    <w:rsid w:val="00217FD2"/>
    <w:rsid w:val="0022001E"/>
    <w:rsid w:val="002200B0"/>
    <w:rsid w:val="002200BB"/>
    <w:rsid w:val="002200D8"/>
    <w:rsid w:val="0022018C"/>
    <w:rsid w:val="002201CA"/>
    <w:rsid w:val="00220350"/>
    <w:rsid w:val="002204D2"/>
    <w:rsid w:val="00220561"/>
    <w:rsid w:val="002206CF"/>
    <w:rsid w:val="002207BF"/>
    <w:rsid w:val="002207FB"/>
    <w:rsid w:val="00220864"/>
    <w:rsid w:val="00220B45"/>
    <w:rsid w:val="00220C8C"/>
    <w:rsid w:val="00220E85"/>
    <w:rsid w:val="00221209"/>
    <w:rsid w:val="0022128F"/>
    <w:rsid w:val="0022132A"/>
    <w:rsid w:val="002214CB"/>
    <w:rsid w:val="00221997"/>
    <w:rsid w:val="00221AC9"/>
    <w:rsid w:val="00221C3B"/>
    <w:rsid w:val="00221CEA"/>
    <w:rsid w:val="00221F78"/>
    <w:rsid w:val="0022205C"/>
    <w:rsid w:val="002221B9"/>
    <w:rsid w:val="00222256"/>
    <w:rsid w:val="002222D1"/>
    <w:rsid w:val="002224A0"/>
    <w:rsid w:val="0022258A"/>
    <w:rsid w:val="0022259A"/>
    <w:rsid w:val="002226F7"/>
    <w:rsid w:val="0022273B"/>
    <w:rsid w:val="0022275B"/>
    <w:rsid w:val="00222834"/>
    <w:rsid w:val="002228EC"/>
    <w:rsid w:val="00222932"/>
    <w:rsid w:val="0022298F"/>
    <w:rsid w:val="00222B0C"/>
    <w:rsid w:val="00222B10"/>
    <w:rsid w:val="00222B98"/>
    <w:rsid w:val="00222C33"/>
    <w:rsid w:val="00222D33"/>
    <w:rsid w:val="00222D57"/>
    <w:rsid w:val="00222D5C"/>
    <w:rsid w:val="00222D88"/>
    <w:rsid w:val="00222F63"/>
    <w:rsid w:val="002230C0"/>
    <w:rsid w:val="00223372"/>
    <w:rsid w:val="002233D2"/>
    <w:rsid w:val="00223451"/>
    <w:rsid w:val="002235A1"/>
    <w:rsid w:val="00223664"/>
    <w:rsid w:val="0022370F"/>
    <w:rsid w:val="00223919"/>
    <w:rsid w:val="002239CE"/>
    <w:rsid w:val="00223A56"/>
    <w:rsid w:val="00223CFB"/>
    <w:rsid w:val="00223D1B"/>
    <w:rsid w:val="00223D90"/>
    <w:rsid w:val="00223E3F"/>
    <w:rsid w:val="00223FAF"/>
    <w:rsid w:val="002240F1"/>
    <w:rsid w:val="00224254"/>
    <w:rsid w:val="0022438A"/>
    <w:rsid w:val="002244A5"/>
    <w:rsid w:val="002245B2"/>
    <w:rsid w:val="0022467D"/>
    <w:rsid w:val="0022468B"/>
    <w:rsid w:val="002247CF"/>
    <w:rsid w:val="002249BF"/>
    <w:rsid w:val="00224A9E"/>
    <w:rsid w:val="00224CAA"/>
    <w:rsid w:val="002251BF"/>
    <w:rsid w:val="00225454"/>
    <w:rsid w:val="00225538"/>
    <w:rsid w:val="002256AC"/>
    <w:rsid w:val="002256F9"/>
    <w:rsid w:val="002257E4"/>
    <w:rsid w:val="00225824"/>
    <w:rsid w:val="00225833"/>
    <w:rsid w:val="00225890"/>
    <w:rsid w:val="0022590A"/>
    <w:rsid w:val="00225940"/>
    <w:rsid w:val="002259E5"/>
    <w:rsid w:val="00225A69"/>
    <w:rsid w:val="00225A70"/>
    <w:rsid w:val="00225ABE"/>
    <w:rsid w:val="00225BFE"/>
    <w:rsid w:val="00225D00"/>
    <w:rsid w:val="00225D2D"/>
    <w:rsid w:val="00225DA7"/>
    <w:rsid w:val="00225F1B"/>
    <w:rsid w:val="00226095"/>
    <w:rsid w:val="0022612D"/>
    <w:rsid w:val="00226356"/>
    <w:rsid w:val="0022649B"/>
    <w:rsid w:val="0022649D"/>
    <w:rsid w:val="002264AF"/>
    <w:rsid w:val="00226580"/>
    <w:rsid w:val="00226751"/>
    <w:rsid w:val="00226933"/>
    <w:rsid w:val="00226A27"/>
    <w:rsid w:val="00226AD5"/>
    <w:rsid w:val="00226CE5"/>
    <w:rsid w:val="00227084"/>
    <w:rsid w:val="0022716C"/>
    <w:rsid w:val="002273E5"/>
    <w:rsid w:val="002275CC"/>
    <w:rsid w:val="002276A0"/>
    <w:rsid w:val="00227816"/>
    <w:rsid w:val="002278B8"/>
    <w:rsid w:val="00227A8B"/>
    <w:rsid w:val="00227B89"/>
    <w:rsid w:val="00227EA1"/>
    <w:rsid w:val="00227F43"/>
    <w:rsid w:val="002300B7"/>
    <w:rsid w:val="00230121"/>
    <w:rsid w:val="002302CB"/>
    <w:rsid w:val="00230391"/>
    <w:rsid w:val="0023045F"/>
    <w:rsid w:val="002304C6"/>
    <w:rsid w:val="00230681"/>
    <w:rsid w:val="002308BD"/>
    <w:rsid w:val="00230A29"/>
    <w:rsid w:val="00230B1B"/>
    <w:rsid w:val="00230BBC"/>
    <w:rsid w:val="00230C7B"/>
    <w:rsid w:val="00230EE6"/>
    <w:rsid w:val="00231013"/>
    <w:rsid w:val="0023113A"/>
    <w:rsid w:val="0023122A"/>
    <w:rsid w:val="002312D3"/>
    <w:rsid w:val="00231309"/>
    <w:rsid w:val="00231313"/>
    <w:rsid w:val="002313BD"/>
    <w:rsid w:val="00231507"/>
    <w:rsid w:val="002319C6"/>
    <w:rsid w:val="00231B8D"/>
    <w:rsid w:val="00231C4D"/>
    <w:rsid w:val="00231D67"/>
    <w:rsid w:val="00231E43"/>
    <w:rsid w:val="002320B9"/>
    <w:rsid w:val="002323DD"/>
    <w:rsid w:val="00232407"/>
    <w:rsid w:val="00232642"/>
    <w:rsid w:val="002326B8"/>
    <w:rsid w:val="00232863"/>
    <w:rsid w:val="002328AE"/>
    <w:rsid w:val="00232933"/>
    <w:rsid w:val="00232C8D"/>
    <w:rsid w:val="0023310D"/>
    <w:rsid w:val="002331A6"/>
    <w:rsid w:val="0023345D"/>
    <w:rsid w:val="00233497"/>
    <w:rsid w:val="0023385E"/>
    <w:rsid w:val="002338F1"/>
    <w:rsid w:val="00233AD6"/>
    <w:rsid w:val="00233BF2"/>
    <w:rsid w:val="00233C3A"/>
    <w:rsid w:val="00233CB3"/>
    <w:rsid w:val="00233D00"/>
    <w:rsid w:val="00233E83"/>
    <w:rsid w:val="00233ED3"/>
    <w:rsid w:val="00233F8B"/>
    <w:rsid w:val="00233FB9"/>
    <w:rsid w:val="0023407B"/>
    <w:rsid w:val="00234392"/>
    <w:rsid w:val="002344BB"/>
    <w:rsid w:val="00234505"/>
    <w:rsid w:val="00234576"/>
    <w:rsid w:val="00234623"/>
    <w:rsid w:val="00234640"/>
    <w:rsid w:val="00234912"/>
    <w:rsid w:val="00234AD2"/>
    <w:rsid w:val="00234BDA"/>
    <w:rsid w:val="00234BE3"/>
    <w:rsid w:val="0023507F"/>
    <w:rsid w:val="00235104"/>
    <w:rsid w:val="002351F3"/>
    <w:rsid w:val="002353AE"/>
    <w:rsid w:val="002353FE"/>
    <w:rsid w:val="00235422"/>
    <w:rsid w:val="00235433"/>
    <w:rsid w:val="002354B6"/>
    <w:rsid w:val="00235683"/>
    <w:rsid w:val="00235694"/>
    <w:rsid w:val="00235703"/>
    <w:rsid w:val="00235868"/>
    <w:rsid w:val="002358F3"/>
    <w:rsid w:val="0023597E"/>
    <w:rsid w:val="00235A3D"/>
    <w:rsid w:val="00235A84"/>
    <w:rsid w:val="00235B20"/>
    <w:rsid w:val="00235B49"/>
    <w:rsid w:val="00235BFF"/>
    <w:rsid w:val="00235CE2"/>
    <w:rsid w:val="00235DFA"/>
    <w:rsid w:val="00235E74"/>
    <w:rsid w:val="00235F33"/>
    <w:rsid w:val="00235F7A"/>
    <w:rsid w:val="0023607A"/>
    <w:rsid w:val="00236196"/>
    <w:rsid w:val="002361F4"/>
    <w:rsid w:val="00236264"/>
    <w:rsid w:val="0023636B"/>
    <w:rsid w:val="00236388"/>
    <w:rsid w:val="00236767"/>
    <w:rsid w:val="0023687C"/>
    <w:rsid w:val="002368B2"/>
    <w:rsid w:val="00236927"/>
    <w:rsid w:val="00236D86"/>
    <w:rsid w:val="00236DF6"/>
    <w:rsid w:val="00236EE8"/>
    <w:rsid w:val="002370B2"/>
    <w:rsid w:val="00237115"/>
    <w:rsid w:val="002371E2"/>
    <w:rsid w:val="00237358"/>
    <w:rsid w:val="002374CC"/>
    <w:rsid w:val="00237654"/>
    <w:rsid w:val="002376EB"/>
    <w:rsid w:val="00237705"/>
    <w:rsid w:val="00240106"/>
    <w:rsid w:val="00240156"/>
    <w:rsid w:val="00240209"/>
    <w:rsid w:val="0024020F"/>
    <w:rsid w:val="0024025D"/>
    <w:rsid w:val="002405BB"/>
    <w:rsid w:val="002406E3"/>
    <w:rsid w:val="002406EC"/>
    <w:rsid w:val="00240A25"/>
    <w:rsid w:val="00240AB6"/>
    <w:rsid w:val="00240AC8"/>
    <w:rsid w:val="00240B78"/>
    <w:rsid w:val="00240BCA"/>
    <w:rsid w:val="00240BE5"/>
    <w:rsid w:val="00240C57"/>
    <w:rsid w:val="00240CE8"/>
    <w:rsid w:val="00240D27"/>
    <w:rsid w:val="00240D9D"/>
    <w:rsid w:val="00240E07"/>
    <w:rsid w:val="00240E35"/>
    <w:rsid w:val="00240F91"/>
    <w:rsid w:val="0024110B"/>
    <w:rsid w:val="002411C7"/>
    <w:rsid w:val="0024126C"/>
    <w:rsid w:val="0024138A"/>
    <w:rsid w:val="00241665"/>
    <w:rsid w:val="00241754"/>
    <w:rsid w:val="00241916"/>
    <w:rsid w:val="002419B5"/>
    <w:rsid w:val="002419E8"/>
    <w:rsid w:val="00241BEB"/>
    <w:rsid w:val="00241CBA"/>
    <w:rsid w:val="00241CF8"/>
    <w:rsid w:val="00241D21"/>
    <w:rsid w:val="00241D2C"/>
    <w:rsid w:val="00241DC2"/>
    <w:rsid w:val="00241FC0"/>
    <w:rsid w:val="0024231B"/>
    <w:rsid w:val="002425D4"/>
    <w:rsid w:val="0024261F"/>
    <w:rsid w:val="002428EC"/>
    <w:rsid w:val="00242A01"/>
    <w:rsid w:val="00242DF9"/>
    <w:rsid w:val="00242F4E"/>
    <w:rsid w:val="002430C3"/>
    <w:rsid w:val="002430DD"/>
    <w:rsid w:val="0024317F"/>
    <w:rsid w:val="002433DB"/>
    <w:rsid w:val="00243460"/>
    <w:rsid w:val="002434AD"/>
    <w:rsid w:val="0024360E"/>
    <w:rsid w:val="00243646"/>
    <w:rsid w:val="00243920"/>
    <w:rsid w:val="0024395B"/>
    <w:rsid w:val="00243997"/>
    <w:rsid w:val="00243A1D"/>
    <w:rsid w:val="00243ACA"/>
    <w:rsid w:val="00243B7D"/>
    <w:rsid w:val="00243BEB"/>
    <w:rsid w:val="00243C13"/>
    <w:rsid w:val="00243C1F"/>
    <w:rsid w:val="00243D6F"/>
    <w:rsid w:val="00243FB6"/>
    <w:rsid w:val="00244132"/>
    <w:rsid w:val="00244198"/>
    <w:rsid w:val="0024448C"/>
    <w:rsid w:val="002445E1"/>
    <w:rsid w:val="00244675"/>
    <w:rsid w:val="00244A33"/>
    <w:rsid w:val="00244B4B"/>
    <w:rsid w:val="00244EDA"/>
    <w:rsid w:val="002452A0"/>
    <w:rsid w:val="00245365"/>
    <w:rsid w:val="00245433"/>
    <w:rsid w:val="0024556F"/>
    <w:rsid w:val="002455BC"/>
    <w:rsid w:val="002456F8"/>
    <w:rsid w:val="002457C4"/>
    <w:rsid w:val="002457D8"/>
    <w:rsid w:val="00245830"/>
    <w:rsid w:val="002458E0"/>
    <w:rsid w:val="00245931"/>
    <w:rsid w:val="00245BC4"/>
    <w:rsid w:val="00245E7E"/>
    <w:rsid w:val="00245FD8"/>
    <w:rsid w:val="0024605E"/>
    <w:rsid w:val="002461F1"/>
    <w:rsid w:val="00246347"/>
    <w:rsid w:val="002463A6"/>
    <w:rsid w:val="002469E5"/>
    <w:rsid w:val="00246ADB"/>
    <w:rsid w:val="00246B5A"/>
    <w:rsid w:val="00246C54"/>
    <w:rsid w:val="00246D48"/>
    <w:rsid w:val="00246F6B"/>
    <w:rsid w:val="00246F93"/>
    <w:rsid w:val="0024709A"/>
    <w:rsid w:val="00247348"/>
    <w:rsid w:val="00247462"/>
    <w:rsid w:val="00247602"/>
    <w:rsid w:val="00247942"/>
    <w:rsid w:val="00247C5B"/>
    <w:rsid w:val="00247ED0"/>
    <w:rsid w:val="00247ED6"/>
    <w:rsid w:val="00247F3A"/>
    <w:rsid w:val="0025018F"/>
    <w:rsid w:val="002502D9"/>
    <w:rsid w:val="00250493"/>
    <w:rsid w:val="002504D7"/>
    <w:rsid w:val="0025054D"/>
    <w:rsid w:val="0025064D"/>
    <w:rsid w:val="002508CF"/>
    <w:rsid w:val="00250A09"/>
    <w:rsid w:val="00250B38"/>
    <w:rsid w:val="00250C1C"/>
    <w:rsid w:val="00250C6B"/>
    <w:rsid w:val="00250D40"/>
    <w:rsid w:val="00250D55"/>
    <w:rsid w:val="00250D7C"/>
    <w:rsid w:val="00250ECA"/>
    <w:rsid w:val="0025107E"/>
    <w:rsid w:val="002510B5"/>
    <w:rsid w:val="002510FF"/>
    <w:rsid w:val="0025123E"/>
    <w:rsid w:val="00251288"/>
    <w:rsid w:val="002512BD"/>
    <w:rsid w:val="002515BA"/>
    <w:rsid w:val="002515D9"/>
    <w:rsid w:val="0025167D"/>
    <w:rsid w:val="002516C0"/>
    <w:rsid w:val="0025174C"/>
    <w:rsid w:val="002517A5"/>
    <w:rsid w:val="00251837"/>
    <w:rsid w:val="00251CD4"/>
    <w:rsid w:val="00251D74"/>
    <w:rsid w:val="00251DCC"/>
    <w:rsid w:val="00251DDA"/>
    <w:rsid w:val="00251F30"/>
    <w:rsid w:val="00251F44"/>
    <w:rsid w:val="00251F6C"/>
    <w:rsid w:val="00251F99"/>
    <w:rsid w:val="00251FD5"/>
    <w:rsid w:val="0025206C"/>
    <w:rsid w:val="00252077"/>
    <w:rsid w:val="00252164"/>
    <w:rsid w:val="00252168"/>
    <w:rsid w:val="0025222B"/>
    <w:rsid w:val="00252292"/>
    <w:rsid w:val="002522F3"/>
    <w:rsid w:val="002523F1"/>
    <w:rsid w:val="0025243D"/>
    <w:rsid w:val="0025249C"/>
    <w:rsid w:val="002525C3"/>
    <w:rsid w:val="002526D6"/>
    <w:rsid w:val="0025277B"/>
    <w:rsid w:val="0025281F"/>
    <w:rsid w:val="0025292D"/>
    <w:rsid w:val="002529B2"/>
    <w:rsid w:val="00252B61"/>
    <w:rsid w:val="00252C17"/>
    <w:rsid w:val="00252C44"/>
    <w:rsid w:val="00252D86"/>
    <w:rsid w:val="00252E54"/>
    <w:rsid w:val="00252EC5"/>
    <w:rsid w:val="00252FFB"/>
    <w:rsid w:val="002530A8"/>
    <w:rsid w:val="002530F5"/>
    <w:rsid w:val="00253155"/>
    <w:rsid w:val="0025353D"/>
    <w:rsid w:val="002536B6"/>
    <w:rsid w:val="00253720"/>
    <w:rsid w:val="002539DD"/>
    <w:rsid w:val="002539ED"/>
    <w:rsid w:val="00253BEB"/>
    <w:rsid w:val="00253BF6"/>
    <w:rsid w:val="00253E01"/>
    <w:rsid w:val="00253EF1"/>
    <w:rsid w:val="00253F3B"/>
    <w:rsid w:val="00254067"/>
    <w:rsid w:val="00254071"/>
    <w:rsid w:val="002540AE"/>
    <w:rsid w:val="00254239"/>
    <w:rsid w:val="0025440D"/>
    <w:rsid w:val="002544D2"/>
    <w:rsid w:val="0025450E"/>
    <w:rsid w:val="002545E2"/>
    <w:rsid w:val="002547AE"/>
    <w:rsid w:val="002547B8"/>
    <w:rsid w:val="00254C6E"/>
    <w:rsid w:val="00254CA4"/>
    <w:rsid w:val="00254FB3"/>
    <w:rsid w:val="00254FD6"/>
    <w:rsid w:val="00255039"/>
    <w:rsid w:val="00255152"/>
    <w:rsid w:val="00255183"/>
    <w:rsid w:val="00255237"/>
    <w:rsid w:val="00255319"/>
    <w:rsid w:val="0025535C"/>
    <w:rsid w:val="0025545F"/>
    <w:rsid w:val="0025551B"/>
    <w:rsid w:val="0025554E"/>
    <w:rsid w:val="00255639"/>
    <w:rsid w:val="002558E4"/>
    <w:rsid w:val="00255B9E"/>
    <w:rsid w:val="00255F28"/>
    <w:rsid w:val="002563ED"/>
    <w:rsid w:val="002564C7"/>
    <w:rsid w:val="00256562"/>
    <w:rsid w:val="0025663A"/>
    <w:rsid w:val="00256905"/>
    <w:rsid w:val="00256A00"/>
    <w:rsid w:val="00256A01"/>
    <w:rsid w:val="00256AE2"/>
    <w:rsid w:val="00256D46"/>
    <w:rsid w:val="00256D4E"/>
    <w:rsid w:val="00256D6D"/>
    <w:rsid w:val="00256DA0"/>
    <w:rsid w:val="00256DAD"/>
    <w:rsid w:val="00256E60"/>
    <w:rsid w:val="002573BC"/>
    <w:rsid w:val="00257642"/>
    <w:rsid w:val="0025776A"/>
    <w:rsid w:val="002578DA"/>
    <w:rsid w:val="002579E7"/>
    <w:rsid w:val="00257A8D"/>
    <w:rsid w:val="00257ABD"/>
    <w:rsid w:val="00257C2D"/>
    <w:rsid w:val="00257C67"/>
    <w:rsid w:val="00257EDF"/>
    <w:rsid w:val="00260074"/>
    <w:rsid w:val="002601CE"/>
    <w:rsid w:val="00260227"/>
    <w:rsid w:val="0026034E"/>
    <w:rsid w:val="0026041C"/>
    <w:rsid w:val="002604D7"/>
    <w:rsid w:val="002604D8"/>
    <w:rsid w:val="0026060E"/>
    <w:rsid w:val="0026082D"/>
    <w:rsid w:val="002609D1"/>
    <w:rsid w:val="00260E4E"/>
    <w:rsid w:val="00260E75"/>
    <w:rsid w:val="00260E8A"/>
    <w:rsid w:val="00260EA5"/>
    <w:rsid w:val="002610D6"/>
    <w:rsid w:val="0026110E"/>
    <w:rsid w:val="0026128D"/>
    <w:rsid w:val="002615C0"/>
    <w:rsid w:val="002617F1"/>
    <w:rsid w:val="00261918"/>
    <w:rsid w:val="002619E7"/>
    <w:rsid w:val="002619FF"/>
    <w:rsid w:val="00261ACC"/>
    <w:rsid w:val="00261C30"/>
    <w:rsid w:val="00261D32"/>
    <w:rsid w:val="00261DBC"/>
    <w:rsid w:val="00261DFA"/>
    <w:rsid w:val="0026208F"/>
    <w:rsid w:val="002620E1"/>
    <w:rsid w:val="002621D9"/>
    <w:rsid w:val="0026224F"/>
    <w:rsid w:val="0026232A"/>
    <w:rsid w:val="0026247A"/>
    <w:rsid w:val="0026263C"/>
    <w:rsid w:val="0026266A"/>
    <w:rsid w:val="00262717"/>
    <w:rsid w:val="00262810"/>
    <w:rsid w:val="0026288F"/>
    <w:rsid w:val="0026291C"/>
    <w:rsid w:val="00262AB8"/>
    <w:rsid w:val="00262B1D"/>
    <w:rsid w:val="00262B43"/>
    <w:rsid w:val="00262CC9"/>
    <w:rsid w:val="00262D7A"/>
    <w:rsid w:val="00262DF4"/>
    <w:rsid w:val="002631D8"/>
    <w:rsid w:val="0026326A"/>
    <w:rsid w:val="0026328C"/>
    <w:rsid w:val="00263336"/>
    <w:rsid w:val="00263397"/>
    <w:rsid w:val="002633AF"/>
    <w:rsid w:val="002633D2"/>
    <w:rsid w:val="00263583"/>
    <w:rsid w:val="002636A9"/>
    <w:rsid w:val="00263768"/>
    <w:rsid w:val="002638F4"/>
    <w:rsid w:val="00263956"/>
    <w:rsid w:val="00263B3D"/>
    <w:rsid w:val="00263B69"/>
    <w:rsid w:val="00263B7C"/>
    <w:rsid w:val="00263B83"/>
    <w:rsid w:val="00263BA9"/>
    <w:rsid w:val="00263DF7"/>
    <w:rsid w:val="00264020"/>
    <w:rsid w:val="002640AD"/>
    <w:rsid w:val="002642C2"/>
    <w:rsid w:val="00264655"/>
    <w:rsid w:val="0026487C"/>
    <w:rsid w:val="002648E0"/>
    <w:rsid w:val="00264961"/>
    <w:rsid w:val="00264A83"/>
    <w:rsid w:val="00264B56"/>
    <w:rsid w:val="00264BB3"/>
    <w:rsid w:val="00264C28"/>
    <w:rsid w:val="00264D02"/>
    <w:rsid w:val="00264F6E"/>
    <w:rsid w:val="00264FB2"/>
    <w:rsid w:val="00265092"/>
    <w:rsid w:val="0026538F"/>
    <w:rsid w:val="0026552F"/>
    <w:rsid w:val="0026571D"/>
    <w:rsid w:val="002658F7"/>
    <w:rsid w:val="00265916"/>
    <w:rsid w:val="002659A6"/>
    <w:rsid w:val="002659F6"/>
    <w:rsid w:val="00265A6F"/>
    <w:rsid w:val="00265AD8"/>
    <w:rsid w:val="00265AFE"/>
    <w:rsid w:val="00265BF6"/>
    <w:rsid w:val="00265C40"/>
    <w:rsid w:val="00265C59"/>
    <w:rsid w:val="0026619D"/>
    <w:rsid w:val="00266405"/>
    <w:rsid w:val="00266548"/>
    <w:rsid w:val="002665B7"/>
    <w:rsid w:val="00266961"/>
    <w:rsid w:val="002669AC"/>
    <w:rsid w:val="00266B39"/>
    <w:rsid w:val="00266B47"/>
    <w:rsid w:val="00266BD8"/>
    <w:rsid w:val="00266C1A"/>
    <w:rsid w:val="00266DB7"/>
    <w:rsid w:val="00266DB8"/>
    <w:rsid w:val="00266E5A"/>
    <w:rsid w:val="00266FB3"/>
    <w:rsid w:val="0026703B"/>
    <w:rsid w:val="00267184"/>
    <w:rsid w:val="002672BA"/>
    <w:rsid w:val="002672D0"/>
    <w:rsid w:val="002672E2"/>
    <w:rsid w:val="00267301"/>
    <w:rsid w:val="002673E7"/>
    <w:rsid w:val="00267550"/>
    <w:rsid w:val="0026759D"/>
    <w:rsid w:val="0026760D"/>
    <w:rsid w:val="0026767C"/>
    <w:rsid w:val="002676AB"/>
    <w:rsid w:val="0026789D"/>
    <w:rsid w:val="002678F1"/>
    <w:rsid w:val="00267AA5"/>
    <w:rsid w:val="00267BF9"/>
    <w:rsid w:val="00267C17"/>
    <w:rsid w:val="00267C6D"/>
    <w:rsid w:val="00267CB1"/>
    <w:rsid w:val="00267CCD"/>
    <w:rsid w:val="00267EAC"/>
    <w:rsid w:val="00267F2F"/>
    <w:rsid w:val="002701BB"/>
    <w:rsid w:val="002701BC"/>
    <w:rsid w:val="00270361"/>
    <w:rsid w:val="00270414"/>
    <w:rsid w:val="00270523"/>
    <w:rsid w:val="00270543"/>
    <w:rsid w:val="00270588"/>
    <w:rsid w:val="0027062D"/>
    <w:rsid w:val="002708B8"/>
    <w:rsid w:val="002708BF"/>
    <w:rsid w:val="00270A99"/>
    <w:rsid w:val="00270C6D"/>
    <w:rsid w:val="00270D8E"/>
    <w:rsid w:val="00270DB9"/>
    <w:rsid w:val="00270E01"/>
    <w:rsid w:val="00270F85"/>
    <w:rsid w:val="00270F98"/>
    <w:rsid w:val="00270FE0"/>
    <w:rsid w:val="0027101D"/>
    <w:rsid w:val="0027102C"/>
    <w:rsid w:val="002711B7"/>
    <w:rsid w:val="002711D6"/>
    <w:rsid w:val="00271269"/>
    <w:rsid w:val="0027142C"/>
    <w:rsid w:val="00271450"/>
    <w:rsid w:val="002714A4"/>
    <w:rsid w:val="0027160C"/>
    <w:rsid w:val="0027184D"/>
    <w:rsid w:val="002718FD"/>
    <w:rsid w:val="00271B13"/>
    <w:rsid w:val="00271BB9"/>
    <w:rsid w:val="00271CA9"/>
    <w:rsid w:val="00271D1D"/>
    <w:rsid w:val="00271D47"/>
    <w:rsid w:val="00271E36"/>
    <w:rsid w:val="00271E85"/>
    <w:rsid w:val="00271F50"/>
    <w:rsid w:val="00272062"/>
    <w:rsid w:val="002720F8"/>
    <w:rsid w:val="00272140"/>
    <w:rsid w:val="00272196"/>
    <w:rsid w:val="002725AB"/>
    <w:rsid w:val="0027263E"/>
    <w:rsid w:val="002727AF"/>
    <w:rsid w:val="002728F9"/>
    <w:rsid w:val="0027290A"/>
    <w:rsid w:val="00272987"/>
    <w:rsid w:val="00272B27"/>
    <w:rsid w:val="00272B33"/>
    <w:rsid w:val="00272B43"/>
    <w:rsid w:val="00272C1F"/>
    <w:rsid w:val="00272CE9"/>
    <w:rsid w:val="00272D3C"/>
    <w:rsid w:val="00272DC5"/>
    <w:rsid w:val="00272DD5"/>
    <w:rsid w:val="00272FE7"/>
    <w:rsid w:val="002730DA"/>
    <w:rsid w:val="00273106"/>
    <w:rsid w:val="0027312B"/>
    <w:rsid w:val="00273137"/>
    <w:rsid w:val="002732F9"/>
    <w:rsid w:val="0027346A"/>
    <w:rsid w:val="00273520"/>
    <w:rsid w:val="00273549"/>
    <w:rsid w:val="002735B6"/>
    <w:rsid w:val="002736A1"/>
    <w:rsid w:val="0027374C"/>
    <w:rsid w:val="00273920"/>
    <w:rsid w:val="002739DF"/>
    <w:rsid w:val="00273BC8"/>
    <w:rsid w:val="00273DE1"/>
    <w:rsid w:val="00273ED5"/>
    <w:rsid w:val="00274236"/>
    <w:rsid w:val="00274287"/>
    <w:rsid w:val="00274391"/>
    <w:rsid w:val="002745AA"/>
    <w:rsid w:val="002745F3"/>
    <w:rsid w:val="0027461E"/>
    <w:rsid w:val="0027464E"/>
    <w:rsid w:val="00274696"/>
    <w:rsid w:val="002746A3"/>
    <w:rsid w:val="00274805"/>
    <w:rsid w:val="002749E1"/>
    <w:rsid w:val="00274B7D"/>
    <w:rsid w:val="00274BF4"/>
    <w:rsid w:val="00274F6A"/>
    <w:rsid w:val="00274F6D"/>
    <w:rsid w:val="00274FB3"/>
    <w:rsid w:val="0027516E"/>
    <w:rsid w:val="0027519E"/>
    <w:rsid w:val="002751D1"/>
    <w:rsid w:val="00275209"/>
    <w:rsid w:val="00275492"/>
    <w:rsid w:val="002754C0"/>
    <w:rsid w:val="002756AB"/>
    <w:rsid w:val="00275A3C"/>
    <w:rsid w:val="00275A5E"/>
    <w:rsid w:val="00275ACC"/>
    <w:rsid w:val="00275E48"/>
    <w:rsid w:val="00275FD2"/>
    <w:rsid w:val="00276001"/>
    <w:rsid w:val="00276303"/>
    <w:rsid w:val="0027631E"/>
    <w:rsid w:val="00276372"/>
    <w:rsid w:val="002764A1"/>
    <w:rsid w:val="00276604"/>
    <w:rsid w:val="00276727"/>
    <w:rsid w:val="00276787"/>
    <w:rsid w:val="002767C6"/>
    <w:rsid w:val="0027698A"/>
    <w:rsid w:val="00276B79"/>
    <w:rsid w:val="00276E93"/>
    <w:rsid w:val="00276FB1"/>
    <w:rsid w:val="00276FD8"/>
    <w:rsid w:val="0027704A"/>
    <w:rsid w:val="002772CD"/>
    <w:rsid w:val="0027735A"/>
    <w:rsid w:val="00277410"/>
    <w:rsid w:val="0027755C"/>
    <w:rsid w:val="00277899"/>
    <w:rsid w:val="002778A4"/>
    <w:rsid w:val="0027798A"/>
    <w:rsid w:val="00277E36"/>
    <w:rsid w:val="00277EDB"/>
    <w:rsid w:val="00280143"/>
    <w:rsid w:val="0028019B"/>
    <w:rsid w:val="0028064F"/>
    <w:rsid w:val="0028066C"/>
    <w:rsid w:val="00280757"/>
    <w:rsid w:val="0028078D"/>
    <w:rsid w:val="002807BF"/>
    <w:rsid w:val="002808A7"/>
    <w:rsid w:val="002808CC"/>
    <w:rsid w:val="00280906"/>
    <w:rsid w:val="00280920"/>
    <w:rsid w:val="00280AF5"/>
    <w:rsid w:val="00280C09"/>
    <w:rsid w:val="00280EB0"/>
    <w:rsid w:val="002810C1"/>
    <w:rsid w:val="00281171"/>
    <w:rsid w:val="0028119E"/>
    <w:rsid w:val="00281229"/>
    <w:rsid w:val="00281338"/>
    <w:rsid w:val="002814F4"/>
    <w:rsid w:val="00281669"/>
    <w:rsid w:val="00281694"/>
    <w:rsid w:val="002816F1"/>
    <w:rsid w:val="0028178D"/>
    <w:rsid w:val="002817BF"/>
    <w:rsid w:val="002818DD"/>
    <w:rsid w:val="0028194D"/>
    <w:rsid w:val="0028194F"/>
    <w:rsid w:val="002819F4"/>
    <w:rsid w:val="00281AED"/>
    <w:rsid w:val="00281B31"/>
    <w:rsid w:val="00281BAE"/>
    <w:rsid w:val="00281CA4"/>
    <w:rsid w:val="00281CA6"/>
    <w:rsid w:val="00281CA8"/>
    <w:rsid w:val="00281DD9"/>
    <w:rsid w:val="00281E07"/>
    <w:rsid w:val="00281E5C"/>
    <w:rsid w:val="00281E7A"/>
    <w:rsid w:val="00281EAA"/>
    <w:rsid w:val="00281EEE"/>
    <w:rsid w:val="00281F5D"/>
    <w:rsid w:val="0028226C"/>
    <w:rsid w:val="0028243A"/>
    <w:rsid w:val="0028246B"/>
    <w:rsid w:val="00282480"/>
    <w:rsid w:val="00282620"/>
    <w:rsid w:val="002827DC"/>
    <w:rsid w:val="002827EB"/>
    <w:rsid w:val="00282839"/>
    <w:rsid w:val="00282AAD"/>
    <w:rsid w:val="00282D07"/>
    <w:rsid w:val="00283052"/>
    <w:rsid w:val="00283758"/>
    <w:rsid w:val="002837DD"/>
    <w:rsid w:val="002838DE"/>
    <w:rsid w:val="002839C5"/>
    <w:rsid w:val="00283A1C"/>
    <w:rsid w:val="00283AC7"/>
    <w:rsid w:val="00283BE4"/>
    <w:rsid w:val="00283CB0"/>
    <w:rsid w:val="00283D12"/>
    <w:rsid w:val="00283DC0"/>
    <w:rsid w:val="00283F7B"/>
    <w:rsid w:val="00284066"/>
    <w:rsid w:val="00284073"/>
    <w:rsid w:val="002841A5"/>
    <w:rsid w:val="0028420D"/>
    <w:rsid w:val="00284321"/>
    <w:rsid w:val="00284340"/>
    <w:rsid w:val="002843C3"/>
    <w:rsid w:val="002846F5"/>
    <w:rsid w:val="00284798"/>
    <w:rsid w:val="002848D1"/>
    <w:rsid w:val="002849BA"/>
    <w:rsid w:val="00284A90"/>
    <w:rsid w:val="00284AB3"/>
    <w:rsid w:val="00284B1B"/>
    <w:rsid w:val="00284B4C"/>
    <w:rsid w:val="00284BE7"/>
    <w:rsid w:val="00284CA3"/>
    <w:rsid w:val="00284CCC"/>
    <w:rsid w:val="00284D0A"/>
    <w:rsid w:val="00284DF4"/>
    <w:rsid w:val="00284E37"/>
    <w:rsid w:val="00284FA3"/>
    <w:rsid w:val="0028501D"/>
    <w:rsid w:val="0028558A"/>
    <w:rsid w:val="0028562F"/>
    <w:rsid w:val="002859B0"/>
    <w:rsid w:val="00285A39"/>
    <w:rsid w:val="00285ABC"/>
    <w:rsid w:val="00285CDA"/>
    <w:rsid w:val="00285D9E"/>
    <w:rsid w:val="00285DAB"/>
    <w:rsid w:val="00285ED7"/>
    <w:rsid w:val="00285FEA"/>
    <w:rsid w:val="0028602E"/>
    <w:rsid w:val="002864CE"/>
    <w:rsid w:val="00286632"/>
    <w:rsid w:val="00286656"/>
    <w:rsid w:val="00286A17"/>
    <w:rsid w:val="00286A8A"/>
    <w:rsid w:val="00286CD3"/>
    <w:rsid w:val="00286E9D"/>
    <w:rsid w:val="00286ED9"/>
    <w:rsid w:val="00287135"/>
    <w:rsid w:val="0028729E"/>
    <w:rsid w:val="0028733A"/>
    <w:rsid w:val="002873E0"/>
    <w:rsid w:val="00287426"/>
    <w:rsid w:val="00287470"/>
    <w:rsid w:val="00287565"/>
    <w:rsid w:val="002875EB"/>
    <w:rsid w:val="0028765A"/>
    <w:rsid w:val="00287857"/>
    <w:rsid w:val="00287994"/>
    <w:rsid w:val="00287A19"/>
    <w:rsid w:val="00287A6D"/>
    <w:rsid w:val="00287A77"/>
    <w:rsid w:val="00287E78"/>
    <w:rsid w:val="00287E8A"/>
    <w:rsid w:val="00287FD6"/>
    <w:rsid w:val="002900A8"/>
    <w:rsid w:val="002901B3"/>
    <w:rsid w:val="00290221"/>
    <w:rsid w:val="002903E7"/>
    <w:rsid w:val="002904D8"/>
    <w:rsid w:val="00290676"/>
    <w:rsid w:val="00290CEB"/>
    <w:rsid w:val="00290E92"/>
    <w:rsid w:val="00290ED6"/>
    <w:rsid w:val="0029130B"/>
    <w:rsid w:val="00291319"/>
    <w:rsid w:val="00291363"/>
    <w:rsid w:val="00291462"/>
    <w:rsid w:val="00291572"/>
    <w:rsid w:val="002915BA"/>
    <w:rsid w:val="002915BD"/>
    <w:rsid w:val="002915EC"/>
    <w:rsid w:val="00291AF1"/>
    <w:rsid w:val="00291D59"/>
    <w:rsid w:val="00291F3A"/>
    <w:rsid w:val="002923B8"/>
    <w:rsid w:val="00292447"/>
    <w:rsid w:val="0029249A"/>
    <w:rsid w:val="002925E4"/>
    <w:rsid w:val="002925F9"/>
    <w:rsid w:val="00292617"/>
    <w:rsid w:val="0029263E"/>
    <w:rsid w:val="00292761"/>
    <w:rsid w:val="002928D3"/>
    <w:rsid w:val="002929A8"/>
    <w:rsid w:val="00292C1F"/>
    <w:rsid w:val="00292C32"/>
    <w:rsid w:val="002930B7"/>
    <w:rsid w:val="00293103"/>
    <w:rsid w:val="00293296"/>
    <w:rsid w:val="0029332F"/>
    <w:rsid w:val="00293486"/>
    <w:rsid w:val="002935B3"/>
    <w:rsid w:val="00293760"/>
    <w:rsid w:val="002937C9"/>
    <w:rsid w:val="002938F4"/>
    <w:rsid w:val="00293928"/>
    <w:rsid w:val="00293975"/>
    <w:rsid w:val="00293B11"/>
    <w:rsid w:val="00293BDC"/>
    <w:rsid w:val="002941C5"/>
    <w:rsid w:val="002941FF"/>
    <w:rsid w:val="002942D0"/>
    <w:rsid w:val="002944E9"/>
    <w:rsid w:val="002945F6"/>
    <w:rsid w:val="00294779"/>
    <w:rsid w:val="002947B5"/>
    <w:rsid w:val="00294850"/>
    <w:rsid w:val="002948A7"/>
    <w:rsid w:val="002948F7"/>
    <w:rsid w:val="00294A46"/>
    <w:rsid w:val="00294B26"/>
    <w:rsid w:val="00294EBE"/>
    <w:rsid w:val="002950EB"/>
    <w:rsid w:val="00295156"/>
    <w:rsid w:val="002951E4"/>
    <w:rsid w:val="002955B8"/>
    <w:rsid w:val="002955D7"/>
    <w:rsid w:val="002956CB"/>
    <w:rsid w:val="00295A1E"/>
    <w:rsid w:val="00295B1A"/>
    <w:rsid w:val="00295B3E"/>
    <w:rsid w:val="00295B8A"/>
    <w:rsid w:val="00295C8A"/>
    <w:rsid w:val="00295D49"/>
    <w:rsid w:val="00295D70"/>
    <w:rsid w:val="00295F25"/>
    <w:rsid w:val="00295F58"/>
    <w:rsid w:val="002960E8"/>
    <w:rsid w:val="0029620F"/>
    <w:rsid w:val="0029621C"/>
    <w:rsid w:val="0029624D"/>
    <w:rsid w:val="0029629D"/>
    <w:rsid w:val="002964B3"/>
    <w:rsid w:val="002964EC"/>
    <w:rsid w:val="002967B5"/>
    <w:rsid w:val="002967E3"/>
    <w:rsid w:val="00296991"/>
    <w:rsid w:val="00296A1A"/>
    <w:rsid w:val="00296BA6"/>
    <w:rsid w:val="00296BB9"/>
    <w:rsid w:val="00296D72"/>
    <w:rsid w:val="00296E2A"/>
    <w:rsid w:val="00296E96"/>
    <w:rsid w:val="00296EFD"/>
    <w:rsid w:val="00296F44"/>
    <w:rsid w:val="00296FDE"/>
    <w:rsid w:val="00297222"/>
    <w:rsid w:val="002972AB"/>
    <w:rsid w:val="0029731B"/>
    <w:rsid w:val="002974F5"/>
    <w:rsid w:val="00297550"/>
    <w:rsid w:val="002977BE"/>
    <w:rsid w:val="002977E0"/>
    <w:rsid w:val="0029786A"/>
    <w:rsid w:val="0029796D"/>
    <w:rsid w:val="00297985"/>
    <w:rsid w:val="002979B4"/>
    <w:rsid w:val="00297DD5"/>
    <w:rsid w:val="00297E00"/>
    <w:rsid w:val="00297F9C"/>
    <w:rsid w:val="002A01D0"/>
    <w:rsid w:val="002A04B4"/>
    <w:rsid w:val="002A0559"/>
    <w:rsid w:val="002A0594"/>
    <w:rsid w:val="002A070F"/>
    <w:rsid w:val="002A0A9D"/>
    <w:rsid w:val="002A0AF8"/>
    <w:rsid w:val="002A10EA"/>
    <w:rsid w:val="002A12DD"/>
    <w:rsid w:val="002A131C"/>
    <w:rsid w:val="002A145B"/>
    <w:rsid w:val="002A16AA"/>
    <w:rsid w:val="002A1725"/>
    <w:rsid w:val="002A1745"/>
    <w:rsid w:val="002A1793"/>
    <w:rsid w:val="002A1806"/>
    <w:rsid w:val="002A1820"/>
    <w:rsid w:val="002A18BE"/>
    <w:rsid w:val="002A198D"/>
    <w:rsid w:val="002A1B1F"/>
    <w:rsid w:val="002A1BC4"/>
    <w:rsid w:val="002A1E6D"/>
    <w:rsid w:val="002A1F2D"/>
    <w:rsid w:val="002A1F41"/>
    <w:rsid w:val="002A1FEA"/>
    <w:rsid w:val="002A2003"/>
    <w:rsid w:val="002A201F"/>
    <w:rsid w:val="002A259A"/>
    <w:rsid w:val="002A2605"/>
    <w:rsid w:val="002A287D"/>
    <w:rsid w:val="002A28A5"/>
    <w:rsid w:val="002A2944"/>
    <w:rsid w:val="002A2BE5"/>
    <w:rsid w:val="002A2C40"/>
    <w:rsid w:val="002A2DB6"/>
    <w:rsid w:val="002A2E11"/>
    <w:rsid w:val="002A2E80"/>
    <w:rsid w:val="002A2F4C"/>
    <w:rsid w:val="002A31A5"/>
    <w:rsid w:val="002A31CC"/>
    <w:rsid w:val="002A3662"/>
    <w:rsid w:val="002A36B5"/>
    <w:rsid w:val="002A36F6"/>
    <w:rsid w:val="002A3742"/>
    <w:rsid w:val="002A3786"/>
    <w:rsid w:val="002A3842"/>
    <w:rsid w:val="002A38E4"/>
    <w:rsid w:val="002A39D9"/>
    <w:rsid w:val="002A3AE3"/>
    <w:rsid w:val="002A3B8B"/>
    <w:rsid w:val="002A3C19"/>
    <w:rsid w:val="002A3DEF"/>
    <w:rsid w:val="002A3E00"/>
    <w:rsid w:val="002A4084"/>
    <w:rsid w:val="002A40DB"/>
    <w:rsid w:val="002A4244"/>
    <w:rsid w:val="002A4296"/>
    <w:rsid w:val="002A4364"/>
    <w:rsid w:val="002A443E"/>
    <w:rsid w:val="002A449C"/>
    <w:rsid w:val="002A4500"/>
    <w:rsid w:val="002A480C"/>
    <w:rsid w:val="002A480F"/>
    <w:rsid w:val="002A48A6"/>
    <w:rsid w:val="002A48F2"/>
    <w:rsid w:val="002A497A"/>
    <w:rsid w:val="002A4AD6"/>
    <w:rsid w:val="002A4C70"/>
    <w:rsid w:val="002A4E67"/>
    <w:rsid w:val="002A4EB4"/>
    <w:rsid w:val="002A4FB2"/>
    <w:rsid w:val="002A4FCC"/>
    <w:rsid w:val="002A4FEF"/>
    <w:rsid w:val="002A51C3"/>
    <w:rsid w:val="002A52EF"/>
    <w:rsid w:val="002A556D"/>
    <w:rsid w:val="002A565B"/>
    <w:rsid w:val="002A56B6"/>
    <w:rsid w:val="002A579B"/>
    <w:rsid w:val="002A57C2"/>
    <w:rsid w:val="002A57CF"/>
    <w:rsid w:val="002A583F"/>
    <w:rsid w:val="002A58A5"/>
    <w:rsid w:val="002A58EE"/>
    <w:rsid w:val="002A5930"/>
    <w:rsid w:val="002A5B3A"/>
    <w:rsid w:val="002A5BD5"/>
    <w:rsid w:val="002A5C50"/>
    <w:rsid w:val="002A5D10"/>
    <w:rsid w:val="002A5F7D"/>
    <w:rsid w:val="002A5FB6"/>
    <w:rsid w:val="002A686C"/>
    <w:rsid w:val="002A68E6"/>
    <w:rsid w:val="002A68F3"/>
    <w:rsid w:val="002A6C30"/>
    <w:rsid w:val="002A6C49"/>
    <w:rsid w:val="002A6D3D"/>
    <w:rsid w:val="002A6F92"/>
    <w:rsid w:val="002A7196"/>
    <w:rsid w:val="002A7296"/>
    <w:rsid w:val="002A73B8"/>
    <w:rsid w:val="002A7474"/>
    <w:rsid w:val="002A7681"/>
    <w:rsid w:val="002A76AE"/>
    <w:rsid w:val="002A76D5"/>
    <w:rsid w:val="002A7AA9"/>
    <w:rsid w:val="002A7ACB"/>
    <w:rsid w:val="002A7C83"/>
    <w:rsid w:val="002A7DAD"/>
    <w:rsid w:val="002B020D"/>
    <w:rsid w:val="002B0329"/>
    <w:rsid w:val="002B03A3"/>
    <w:rsid w:val="002B0495"/>
    <w:rsid w:val="002B0640"/>
    <w:rsid w:val="002B0890"/>
    <w:rsid w:val="002B0E60"/>
    <w:rsid w:val="002B0F90"/>
    <w:rsid w:val="002B0FE2"/>
    <w:rsid w:val="002B104C"/>
    <w:rsid w:val="002B10EC"/>
    <w:rsid w:val="002B127C"/>
    <w:rsid w:val="002B130B"/>
    <w:rsid w:val="002B1384"/>
    <w:rsid w:val="002B163E"/>
    <w:rsid w:val="002B171E"/>
    <w:rsid w:val="002B1753"/>
    <w:rsid w:val="002B18BB"/>
    <w:rsid w:val="002B18F3"/>
    <w:rsid w:val="002B1A13"/>
    <w:rsid w:val="002B1A2A"/>
    <w:rsid w:val="002B1A3E"/>
    <w:rsid w:val="002B1AB3"/>
    <w:rsid w:val="002B1CA0"/>
    <w:rsid w:val="002B1D1C"/>
    <w:rsid w:val="002B1E1B"/>
    <w:rsid w:val="002B1F38"/>
    <w:rsid w:val="002B2023"/>
    <w:rsid w:val="002B20DB"/>
    <w:rsid w:val="002B20E7"/>
    <w:rsid w:val="002B2131"/>
    <w:rsid w:val="002B2157"/>
    <w:rsid w:val="002B2296"/>
    <w:rsid w:val="002B22CE"/>
    <w:rsid w:val="002B2418"/>
    <w:rsid w:val="002B26D1"/>
    <w:rsid w:val="002B2A33"/>
    <w:rsid w:val="002B2AB1"/>
    <w:rsid w:val="002B2BD9"/>
    <w:rsid w:val="002B2C7B"/>
    <w:rsid w:val="002B2CC8"/>
    <w:rsid w:val="002B2EB1"/>
    <w:rsid w:val="002B2F11"/>
    <w:rsid w:val="002B2F4C"/>
    <w:rsid w:val="002B315F"/>
    <w:rsid w:val="002B316C"/>
    <w:rsid w:val="002B3170"/>
    <w:rsid w:val="002B322B"/>
    <w:rsid w:val="002B335D"/>
    <w:rsid w:val="002B3454"/>
    <w:rsid w:val="002B3681"/>
    <w:rsid w:val="002B37E5"/>
    <w:rsid w:val="002B391D"/>
    <w:rsid w:val="002B3962"/>
    <w:rsid w:val="002B3A2B"/>
    <w:rsid w:val="002B3A65"/>
    <w:rsid w:val="002B3B57"/>
    <w:rsid w:val="002B3C0D"/>
    <w:rsid w:val="002B3C7F"/>
    <w:rsid w:val="002B3E38"/>
    <w:rsid w:val="002B3E48"/>
    <w:rsid w:val="002B3FD0"/>
    <w:rsid w:val="002B434E"/>
    <w:rsid w:val="002B43B0"/>
    <w:rsid w:val="002B4891"/>
    <w:rsid w:val="002B496D"/>
    <w:rsid w:val="002B498E"/>
    <w:rsid w:val="002B4B1F"/>
    <w:rsid w:val="002B4B8A"/>
    <w:rsid w:val="002B4B9C"/>
    <w:rsid w:val="002B4F45"/>
    <w:rsid w:val="002B525E"/>
    <w:rsid w:val="002B52E7"/>
    <w:rsid w:val="002B594A"/>
    <w:rsid w:val="002B5A00"/>
    <w:rsid w:val="002B5B68"/>
    <w:rsid w:val="002B5C37"/>
    <w:rsid w:val="002B5C61"/>
    <w:rsid w:val="002B5D20"/>
    <w:rsid w:val="002B5E35"/>
    <w:rsid w:val="002B5F1A"/>
    <w:rsid w:val="002B5F35"/>
    <w:rsid w:val="002B6006"/>
    <w:rsid w:val="002B605B"/>
    <w:rsid w:val="002B6072"/>
    <w:rsid w:val="002B6297"/>
    <w:rsid w:val="002B62E7"/>
    <w:rsid w:val="002B64DD"/>
    <w:rsid w:val="002B667C"/>
    <w:rsid w:val="002B67AE"/>
    <w:rsid w:val="002B681C"/>
    <w:rsid w:val="002B692A"/>
    <w:rsid w:val="002B6A97"/>
    <w:rsid w:val="002B6A9D"/>
    <w:rsid w:val="002B6C9A"/>
    <w:rsid w:val="002B6D09"/>
    <w:rsid w:val="002B7244"/>
    <w:rsid w:val="002B744C"/>
    <w:rsid w:val="002B7500"/>
    <w:rsid w:val="002B794B"/>
    <w:rsid w:val="002C0303"/>
    <w:rsid w:val="002C0307"/>
    <w:rsid w:val="002C0435"/>
    <w:rsid w:val="002C0839"/>
    <w:rsid w:val="002C098C"/>
    <w:rsid w:val="002C09E1"/>
    <w:rsid w:val="002C0A53"/>
    <w:rsid w:val="002C0B2A"/>
    <w:rsid w:val="002C0CD8"/>
    <w:rsid w:val="002C0DC4"/>
    <w:rsid w:val="002C0FA1"/>
    <w:rsid w:val="002C11B6"/>
    <w:rsid w:val="002C11CA"/>
    <w:rsid w:val="002C13D9"/>
    <w:rsid w:val="002C1499"/>
    <w:rsid w:val="002C14FD"/>
    <w:rsid w:val="002C1592"/>
    <w:rsid w:val="002C1910"/>
    <w:rsid w:val="002C1C85"/>
    <w:rsid w:val="002C1E17"/>
    <w:rsid w:val="002C1F04"/>
    <w:rsid w:val="002C2027"/>
    <w:rsid w:val="002C214F"/>
    <w:rsid w:val="002C2350"/>
    <w:rsid w:val="002C2386"/>
    <w:rsid w:val="002C2487"/>
    <w:rsid w:val="002C25FC"/>
    <w:rsid w:val="002C264D"/>
    <w:rsid w:val="002C271D"/>
    <w:rsid w:val="002C278C"/>
    <w:rsid w:val="002C27CE"/>
    <w:rsid w:val="002C28C6"/>
    <w:rsid w:val="002C29C9"/>
    <w:rsid w:val="002C29DD"/>
    <w:rsid w:val="002C2A63"/>
    <w:rsid w:val="002C2ACF"/>
    <w:rsid w:val="002C2B19"/>
    <w:rsid w:val="002C2B8F"/>
    <w:rsid w:val="002C3089"/>
    <w:rsid w:val="002C3784"/>
    <w:rsid w:val="002C391C"/>
    <w:rsid w:val="002C3A11"/>
    <w:rsid w:val="002C3DF1"/>
    <w:rsid w:val="002C40EE"/>
    <w:rsid w:val="002C41B7"/>
    <w:rsid w:val="002C41CB"/>
    <w:rsid w:val="002C423B"/>
    <w:rsid w:val="002C4269"/>
    <w:rsid w:val="002C44F2"/>
    <w:rsid w:val="002C44F4"/>
    <w:rsid w:val="002C4563"/>
    <w:rsid w:val="002C45E8"/>
    <w:rsid w:val="002C46BF"/>
    <w:rsid w:val="002C47EA"/>
    <w:rsid w:val="002C4850"/>
    <w:rsid w:val="002C4878"/>
    <w:rsid w:val="002C4A09"/>
    <w:rsid w:val="002C4EFB"/>
    <w:rsid w:val="002C513B"/>
    <w:rsid w:val="002C5366"/>
    <w:rsid w:val="002C5390"/>
    <w:rsid w:val="002C5482"/>
    <w:rsid w:val="002C55CC"/>
    <w:rsid w:val="002C5768"/>
    <w:rsid w:val="002C5787"/>
    <w:rsid w:val="002C57BC"/>
    <w:rsid w:val="002C5803"/>
    <w:rsid w:val="002C595B"/>
    <w:rsid w:val="002C596B"/>
    <w:rsid w:val="002C59DE"/>
    <w:rsid w:val="002C5A4C"/>
    <w:rsid w:val="002C5AFA"/>
    <w:rsid w:val="002C5B13"/>
    <w:rsid w:val="002C5E52"/>
    <w:rsid w:val="002C5FB1"/>
    <w:rsid w:val="002C64FD"/>
    <w:rsid w:val="002C657C"/>
    <w:rsid w:val="002C674A"/>
    <w:rsid w:val="002C6A10"/>
    <w:rsid w:val="002C6DE7"/>
    <w:rsid w:val="002C6EE7"/>
    <w:rsid w:val="002C6F76"/>
    <w:rsid w:val="002C6FE3"/>
    <w:rsid w:val="002C70B2"/>
    <w:rsid w:val="002C70CE"/>
    <w:rsid w:val="002C716F"/>
    <w:rsid w:val="002C7198"/>
    <w:rsid w:val="002C71D4"/>
    <w:rsid w:val="002C757C"/>
    <w:rsid w:val="002C7613"/>
    <w:rsid w:val="002C786A"/>
    <w:rsid w:val="002C789F"/>
    <w:rsid w:val="002C7999"/>
    <w:rsid w:val="002C7B62"/>
    <w:rsid w:val="002C7BBB"/>
    <w:rsid w:val="002C7C0A"/>
    <w:rsid w:val="002C7C1C"/>
    <w:rsid w:val="002C7C83"/>
    <w:rsid w:val="002C7CE1"/>
    <w:rsid w:val="002C7DEF"/>
    <w:rsid w:val="002C7E78"/>
    <w:rsid w:val="002C7E7B"/>
    <w:rsid w:val="002C7F27"/>
    <w:rsid w:val="002D00B6"/>
    <w:rsid w:val="002D037B"/>
    <w:rsid w:val="002D0477"/>
    <w:rsid w:val="002D08D4"/>
    <w:rsid w:val="002D0942"/>
    <w:rsid w:val="002D0AD9"/>
    <w:rsid w:val="002D0EC7"/>
    <w:rsid w:val="002D0ED9"/>
    <w:rsid w:val="002D0FD7"/>
    <w:rsid w:val="002D0FFE"/>
    <w:rsid w:val="002D11EE"/>
    <w:rsid w:val="002D11F5"/>
    <w:rsid w:val="002D1234"/>
    <w:rsid w:val="002D12DC"/>
    <w:rsid w:val="002D137D"/>
    <w:rsid w:val="002D13E5"/>
    <w:rsid w:val="002D168F"/>
    <w:rsid w:val="002D1718"/>
    <w:rsid w:val="002D1872"/>
    <w:rsid w:val="002D19C2"/>
    <w:rsid w:val="002D1A93"/>
    <w:rsid w:val="002D1ED8"/>
    <w:rsid w:val="002D1FE7"/>
    <w:rsid w:val="002D206D"/>
    <w:rsid w:val="002D20D5"/>
    <w:rsid w:val="002D21A8"/>
    <w:rsid w:val="002D21BD"/>
    <w:rsid w:val="002D2377"/>
    <w:rsid w:val="002D23A7"/>
    <w:rsid w:val="002D245F"/>
    <w:rsid w:val="002D2464"/>
    <w:rsid w:val="002D2504"/>
    <w:rsid w:val="002D2781"/>
    <w:rsid w:val="002D2861"/>
    <w:rsid w:val="002D29C4"/>
    <w:rsid w:val="002D29C8"/>
    <w:rsid w:val="002D2B5E"/>
    <w:rsid w:val="002D2C35"/>
    <w:rsid w:val="002D2D20"/>
    <w:rsid w:val="002D2FA9"/>
    <w:rsid w:val="002D30AD"/>
    <w:rsid w:val="002D3370"/>
    <w:rsid w:val="002D3390"/>
    <w:rsid w:val="002D3394"/>
    <w:rsid w:val="002D3404"/>
    <w:rsid w:val="002D348A"/>
    <w:rsid w:val="002D367F"/>
    <w:rsid w:val="002D3D4A"/>
    <w:rsid w:val="002D3E3E"/>
    <w:rsid w:val="002D3E84"/>
    <w:rsid w:val="002D3F14"/>
    <w:rsid w:val="002D44F9"/>
    <w:rsid w:val="002D45B9"/>
    <w:rsid w:val="002D468D"/>
    <w:rsid w:val="002D471A"/>
    <w:rsid w:val="002D4BF9"/>
    <w:rsid w:val="002D4E45"/>
    <w:rsid w:val="002D4FD1"/>
    <w:rsid w:val="002D5097"/>
    <w:rsid w:val="002D51B3"/>
    <w:rsid w:val="002D5403"/>
    <w:rsid w:val="002D553B"/>
    <w:rsid w:val="002D55E4"/>
    <w:rsid w:val="002D5887"/>
    <w:rsid w:val="002D5904"/>
    <w:rsid w:val="002D5A05"/>
    <w:rsid w:val="002D5A16"/>
    <w:rsid w:val="002D5CB9"/>
    <w:rsid w:val="002D613A"/>
    <w:rsid w:val="002D62A1"/>
    <w:rsid w:val="002D62B1"/>
    <w:rsid w:val="002D6485"/>
    <w:rsid w:val="002D64FC"/>
    <w:rsid w:val="002D66A7"/>
    <w:rsid w:val="002D66B7"/>
    <w:rsid w:val="002D677A"/>
    <w:rsid w:val="002D6809"/>
    <w:rsid w:val="002D6850"/>
    <w:rsid w:val="002D6860"/>
    <w:rsid w:val="002D687C"/>
    <w:rsid w:val="002D68A3"/>
    <w:rsid w:val="002D690D"/>
    <w:rsid w:val="002D6A53"/>
    <w:rsid w:val="002D6AD5"/>
    <w:rsid w:val="002D6C1E"/>
    <w:rsid w:val="002D6E52"/>
    <w:rsid w:val="002D6F79"/>
    <w:rsid w:val="002D7170"/>
    <w:rsid w:val="002D71F8"/>
    <w:rsid w:val="002D7253"/>
    <w:rsid w:val="002D73A6"/>
    <w:rsid w:val="002D73CD"/>
    <w:rsid w:val="002D744B"/>
    <w:rsid w:val="002D74E8"/>
    <w:rsid w:val="002D7643"/>
    <w:rsid w:val="002D781E"/>
    <w:rsid w:val="002D7836"/>
    <w:rsid w:val="002D79BC"/>
    <w:rsid w:val="002D7B0C"/>
    <w:rsid w:val="002D7B2D"/>
    <w:rsid w:val="002D7C9B"/>
    <w:rsid w:val="002D7E51"/>
    <w:rsid w:val="002D7EB6"/>
    <w:rsid w:val="002D7ECD"/>
    <w:rsid w:val="002E0214"/>
    <w:rsid w:val="002E0233"/>
    <w:rsid w:val="002E02CE"/>
    <w:rsid w:val="002E0457"/>
    <w:rsid w:val="002E0464"/>
    <w:rsid w:val="002E0471"/>
    <w:rsid w:val="002E05EF"/>
    <w:rsid w:val="002E070D"/>
    <w:rsid w:val="002E08F4"/>
    <w:rsid w:val="002E0B55"/>
    <w:rsid w:val="002E0D75"/>
    <w:rsid w:val="002E0E43"/>
    <w:rsid w:val="002E0E72"/>
    <w:rsid w:val="002E0ED6"/>
    <w:rsid w:val="002E1097"/>
    <w:rsid w:val="002E11D9"/>
    <w:rsid w:val="002E1678"/>
    <w:rsid w:val="002E1ADF"/>
    <w:rsid w:val="002E1AF6"/>
    <w:rsid w:val="002E1E02"/>
    <w:rsid w:val="002E1FFB"/>
    <w:rsid w:val="002E21B5"/>
    <w:rsid w:val="002E2259"/>
    <w:rsid w:val="002E2275"/>
    <w:rsid w:val="002E2436"/>
    <w:rsid w:val="002E2679"/>
    <w:rsid w:val="002E2726"/>
    <w:rsid w:val="002E27AF"/>
    <w:rsid w:val="002E28BE"/>
    <w:rsid w:val="002E2AF3"/>
    <w:rsid w:val="002E2BAB"/>
    <w:rsid w:val="002E2C25"/>
    <w:rsid w:val="002E2D51"/>
    <w:rsid w:val="002E2D5A"/>
    <w:rsid w:val="002E2D7E"/>
    <w:rsid w:val="002E2E54"/>
    <w:rsid w:val="002E2E71"/>
    <w:rsid w:val="002E305F"/>
    <w:rsid w:val="002E3096"/>
    <w:rsid w:val="002E31AE"/>
    <w:rsid w:val="002E3266"/>
    <w:rsid w:val="002E331A"/>
    <w:rsid w:val="002E3546"/>
    <w:rsid w:val="002E38A4"/>
    <w:rsid w:val="002E38B3"/>
    <w:rsid w:val="002E3989"/>
    <w:rsid w:val="002E3A9A"/>
    <w:rsid w:val="002E3B17"/>
    <w:rsid w:val="002E3B84"/>
    <w:rsid w:val="002E3BB2"/>
    <w:rsid w:val="002E3DBA"/>
    <w:rsid w:val="002E429E"/>
    <w:rsid w:val="002E4440"/>
    <w:rsid w:val="002E4486"/>
    <w:rsid w:val="002E44AA"/>
    <w:rsid w:val="002E4650"/>
    <w:rsid w:val="002E47CC"/>
    <w:rsid w:val="002E47CE"/>
    <w:rsid w:val="002E4868"/>
    <w:rsid w:val="002E4C4F"/>
    <w:rsid w:val="002E4D1F"/>
    <w:rsid w:val="002E4D42"/>
    <w:rsid w:val="002E4DD6"/>
    <w:rsid w:val="002E4E0D"/>
    <w:rsid w:val="002E50D3"/>
    <w:rsid w:val="002E523D"/>
    <w:rsid w:val="002E5251"/>
    <w:rsid w:val="002E5276"/>
    <w:rsid w:val="002E5474"/>
    <w:rsid w:val="002E5673"/>
    <w:rsid w:val="002E5699"/>
    <w:rsid w:val="002E595C"/>
    <w:rsid w:val="002E5D79"/>
    <w:rsid w:val="002E5EDF"/>
    <w:rsid w:val="002E5F16"/>
    <w:rsid w:val="002E5F2C"/>
    <w:rsid w:val="002E5F69"/>
    <w:rsid w:val="002E6174"/>
    <w:rsid w:val="002E6191"/>
    <w:rsid w:val="002E6204"/>
    <w:rsid w:val="002E63FC"/>
    <w:rsid w:val="002E652D"/>
    <w:rsid w:val="002E65C0"/>
    <w:rsid w:val="002E6649"/>
    <w:rsid w:val="002E6653"/>
    <w:rsid w:val="002E66F7"/>
    <w:rsid w:val="002E67C6"/>
    <w:rsid w:val="002E6815"/>
    <w:rsid w:val="002E6912"/>
    <w:rsid w:val="002E6A52"/>
    <w:rsid w:val="002E6D38"/>
    <w:rsid w:val="002E6D83"/>
    <w:rsid w:val="002E6EE2"/>
    <w:rsid w:val="002E6F77"/>
    <w:rsid w:val="002E6F9E"/>
    <w:rsid w:val="002E7067"/>
    <w:rsid w:val="002E7132"/>
    <w:rsid w:val="002E731F"/>
    <w:rsid w:val="002E7386"/>
    <w:rsid w:val="002E742A"/>
    <w:rsid w:val="002E75E6"/>
    <w:rsid w:val="002E7612"/>
    <w:rsid w:val="002E765C"/>
    <w:rsid w:val="002E7767"/>
    <w:rsid w:val="002E7775"/>
    <w:rsid w:val="002E78F6"/>
    <w:rsid w:val="002E7929"/>
    <w:rsid w:val="002E793A"/>
    <w:rsid w:val="002E7AD2"/>
    <w:rsid w:val="002E7D01"/>
    <w:rsid w:val="002E7D57"/>
    <w:rsid w:val="002E7D71"/>
    <w:rsid w:val="002E7DB6"/>
    <w:rsid w:val="002E7F66"/>
    <w:rsid w:val="002F0068"/>
    <w:rsid w:val="002F0341"/>
    <w:rsid w:val="002F0478"/>
    <w:rsid w:val="002F0859"/>
    <w:rsid w:val="002F0B7C"/>
    <w:rsid w:val="002F0BC1"/>
    <w:rsid w:val="002F0C04"/>
    <w:rsid w:val="002F0E24"/>
    <w:rsid w:val="002F0F84"/>
    <w:rsid w:val="002F1165"/>
    <w:rsid w:val="002F1188"/>
    <w:rsid w:val="002F132B"/>
    <w:rsid w:val="002F133A"/>
    <w:rsid w:val="002F1350"/>
    <w:rsid w:val="002F1399"/>
    <w:rsid w:val="002F1441"/>
    <w:rsid w:val="002F14C8"/>
    <w:rsid w:val="002F14D4"/>
    <w:rsid w:val="002F1544"/>
    <w:rsid w:val="002F1848"/>
    <w:rsid w:val="002F188E"/>
    <w:rsid w:val="002F1AD8"/>
    <w:rsid w:val="002F1B23"/>
    <w:rsid w:val="002F1BFA"/>
    <w:rsid w:val="002F1D5C"/>
    <w:rsid w:val="002F1EDB"/>
    <w:rsid w:val="002F2055"/>
    <w:rsid w:val="002F2274"/>
    <w:rsid w:val="002F26BA"/>
    <w:rsid w:val="002F2B68"/>
    <w:rsid w:val="002F2B92"/>
    <w:rsid w:val="002F2C96"/>
    <w:rsid w:val="002F2CAD"/>
    <w:rsid w:val="002F2E0E"/>
    <w:rsid w:val="002F2E3E"/>
    <w:rsid w:val="002F2F48"/>
    <w:rsid w:val="002F3010"/>
    <w:rsid w:val="002F306C"/>
    <w:rsid w:val="002F31B4"/>
    <w:rsid w:val="002F3221"/>
    <w:rsid w:val="002F32FB"/>
    <w:rsid w:val="002F34C9"/>
    <w:rsid w:val="002F3618"/>
    <w:rsid w:val="002F3807"/>
    <w:rsid w:val="002F3815"/>
    <w:rsid w:val="002F3A45"/>
    <w:rsid w:val="002F3AC7"/>
    <w:rsid w:val="002F3B18"/>
    <w:rsid w:val="002F3DDD"/>
    <w:rsid w:val="002F3EF9"/>
    <w:rsid w:val="002F3FA0"/>
    <w:rsid w:val="002F3FDF"/>
    <w:rsid w:val="002F400F"/>
    <w:rsid w:val="002F4124"/>
    <w:rsid w:val="002F42F9"/>
    <w:rsid w:val="002F435E"/>
    <w:rsid w:val="002F43D4"/>
    <w:rsid w:val="002F49ED"/>
    <w:rsid w:val="002F4C32"/>
    <w:rsid w:val="002F4CB7"/>
    <w:rsid w:val="002F4D05"/>
    <w:rsid w:val="002F4D7E"/>
    <w:rsid w:val="002F4E00"/>
    <w:rsid w:val="002F4E7D"/>
    <w:rsid w:val="002F4E81"/>
    <w:rsid w:val="002F4F53"/>
    <w:rsid w:val="002F519E"/>
    <w:rsid w:val="002F55EE"/>
    <w:rsid w:val="002F5611"/>
    <w:rsid w:val="002F5657"/>
    <w:rsid w:val="002F57C5"/>
    <w:rsid w:val="002F5869"/>
    <w:rsid w:val="002F5A9A"/>
    <w:rsid w:val="002F5AD2"/>
    <w:rsid w:val="002F5C52"/>
    <w:rsid w:val="002F5D34"/>
    <w:rsid w:val="002F5DC5"/>
    <w:rsid w:val="002F5F22"/>
    <w:rsid w:val="002F5F5E"/>
    <w:rsid w:val="002F5F85"/>
    <w:rsid w:val="002F6159"/>
    <w:rsid w:val="002F618D"/>
    <w:rsid w:val="002F6197"/>
    <w:rsid w:val="002F62B3"/>
    <w:rsid w:val="002F63EB"/>
    <w:rsid w:val="002F693F"/>
    <w:rsid w:val="002F6C41"/>
    <w:rsid w:val="002F6CDE"/>
    <w:rsid w:val="002F6DD3"/>
    <w:rsid w:val="002F70BF"/>
    <w:rsid w:val="002F70F9"/>
    <w:rsid w:val="002F7376"/>
    <w:rsid w:val="002F761E"/>
    <w:rsid w:val="002F7792"/>
    <w:rsid w:val="002F77CB"/>
    <w:rsid w:val="002F77ED"/>
    <w:rsid w:val="002F7A8E"/>
    <w:rsid w:val="002F7BE9"/>
    <w:rsid w:val="002F7C35"/>
    <w:rsid w:val="002F7CAB"/>
    <w:rsid w:val="002F7CE6"/>
    <w:rsid w:val="002F7F24"/>
    <w:rsid w:val="002F7F6E"/>
    <w:rsid w:val="002F7F89"/>
    <w:rsid w:val="003000B9"/>
    <w:rsid w:val="003000D8"/>
    <w:rsid w:val="00300236"/>
    <w:rsid w:val="00300257"/>
    <w:rsid w:val="00300334"/>
    <w:rsid w:val="00300455"/>
    <w:rsid w:val="003004EB"/>
    <w:rsid w:val="00300709"/>
    <w:rsid w:val="003007C2"/>
    <w:rsid w:val="00300841"/>
    <w:rsid w:val="003008A6"/>
    <w:rsid w:val="003008CC"/>
    <w:rsid w:val="003009E1"/>
    <w:rsid w:val="00300A64"/>
    <w:rsid w:val="00300B90"/>
    <w:rsid w:val="00300C5D"/>
    <w:rsid w:val="00300E47"/>
    <w:rsid w:val="00300EC5"/>
    <w:rsid w:val="00300EEA"/>
    <w:rsid w:val="00301235"/>
    <w:rsid w:val="00301674"/>
    <w:rsid w:val="00301763"/>
    <w:rsid w:val="00301938"/>
    <w:rsid w:val="00301B3C"/>
    <w:rsid w:val="00301B7D"/>
    <w:rsid w:val="00301B8A"/>
    <w:rsid w:val="00301D84"/>
    <w:rsid w:val="00301DFD"/>
    <w:rsid w:val="00301E1A"/>
    <w:rsid w:val="00301EF6"/>
    <w:rsid w:val="00301F1A"/>
    <w:rsid w:val="003020B7"/>
    <w:rsid w:val="003021CE"/>
    <w:rsid w:val="003021FC"/>
    <w:rsid w:val="00302252"/>
    <w:rsid w:val="0030253E"/>
    <w:rsid w:val="003025D4"/>
    <w:rsid w:val="0030274B"/>
    <w:rsid w:val="00302805"/>
    <w:rsid w:val="0030293F"/>
    <w:rsid w:val="003029FB"/>
    <w:rsid w:val="00302A4A"/>
    <w:rsid w:val="00302AF1"/>
    <w:rsid w:val="00303189"/>
    <w:rsid w:val="00303393"/>
    <w:rsid w:val="00303480"/>
    <w:rsid w:val="00303481"/>
    <w:rsid w:val="00303633"/>
    <w:rsid w:val="003037C6"/>
    <w:rsid w:val="00303863"/>
    <w:rsid w:val="00303A17"/>
    <w:rsid w:val="00303C60"/>
    <w:rsid w:val="00303F05"/>
    <w:rsid w:val="00303F4F"/>
    <w:rsid w:val="00304048"/>
    <w:rsid w:val="00304172"/>
    <w:rsid w:val="003042F8"/>
    <w:rsid w:val="00304667"/>
    <w:rsid w:val="003047AC"/>
    <w:rsid w:val="003049B5"/>
    <w:rsid w:val="00304B89"/>
    <w:rsid w:val="00304B8C"/>
    <w:rsid w:val="00304C0F"/>
    <w:rsid w:val="00304CB6"/>
    <w:rsid w:val="00304FB8"/>
    <w:rsid w:val="00305167"/>
    <w:rsid w:val="00305257"/>
    <w:rsid w:val="003052AD"/>
    <w:rsid w:val="0030535E"/>
    <w:rsid w:val="00305418"/>
    <w:rsid w:val="00305509"/>
    <w:rsid w:val="00305514"/>
    <w:rsid w:val="003055BE"/>
    <w:rsid w:val="003058DB"/>
    <w:rsid w:val="00305A87"/>
    <w:rsid w:val="00305AA0"/>
    <w:rsid w:val="00305C57"/>
    <w:rsid w:val="00305C9B"/>
    <w:rsid w:val="00305CFF"/>
    <w:rsid w:val="00305E75"/>
    <w:rsid w:val="00305FE8"/>
    <w:rsid w:val="00306199"/>
    <w:rsid w:val="003061D3"/>
    <w:rsid w:val="003063ED"/>
    <w:rsid w:val="003063F2"/>
    <w:rsid w:val="00306403"/>
    <w:rsid w:val="00306593"/>
    <w:rsid w:val="00306618"/>
    <w:rsid w:val="0030677A"/>
    <w:rsid w:val="003067EA"/>
    <w:rsid w:val="00306939"/>
    <w:rsid w:val="0030693B"/>
    <w:rsid w:val="00306A01"/>
    <w:rsid w:val="00306A61"/>
    <w:rsid w:val="00306C5B"/>
    <w:rsid w:val="00306CC8"/>
    <w:rsid w:val="00306DEB"/>
    <w:rsid w:val="00306F34"/>
    <w:rsid w:val="003070A2"/>
    <w:rsid w:val="00307154"/>
    <w:rsid w:val="0030719B"/>
    <w:rsid w:val="00307299"/>
    <w:rsid w:val="003074CC"/>
    <w:rsid w:val="003074D7"/>
    <w:rsid w:val="00307619"/>
    <w:rsid w:val="00307663"/>
    <w:rsid w:val="003077B6"/>
    <w:rsid w:val="003077E2"/>
    <w:rsid w:val="00307A41"/>
    <w:rsid w:val="00307ADA"/>
    <w:rsid w:val="00307B49"/>
    <w:rsid w:val="00307BDF"/>
    <w:rsid w:val="00307D62"/>
    <w:rsid w:val="00307DDB"/>
    <w:rsid w:val="00307E79"/>
    <w:rsid w:val="00307F0C"/>
    <w:rsid w:val="00310061"/>
    <w:rsid w:val="003100F3"/>
    <w:rsid w:val="00310182"/>
    <w:rsid w:val="003102DD"/>
    <w:rsid w:val="0031033A"/>
    <w:rsid w:val="00310378"/>
    <w:rsid w:val="003103CA"/>
    <w:rsid w:val="00310465"/>
    <w:rsid w:val="003104A6"/>
    <w:rsid w:val="00310701"/>
    <w:rsid w:val="0031086E"/>
    <w:rsid w:val="00310962"/>
    <w:rsid w:val="003109AD"/>
    <w:rsid w:val="00310B9B"/>
    <w:rsid w:val="00310C35"/>
    <w:rsid w:val="00310C3F"/>
    <w:rsid w:val="00310C5A"/>
    <w:rsid w:val="00310EF2"/>
    <w:rsid w:val="00310F74"/>
    <w:rsid w:val="00310FF7"/>
    <w:rsid w:val="003110D0"/>
    <w:rsid w:val="00311153"/>
    <w:rsid w:val="003111C8"/>
    <w:rsid w:val="0031135C"/>
    <w:rsid w:val="0031139F"/>
    <w:rsid w:val="0031172E"/>
    <w:rsid w:val="0031178B"/>
    <w:rsid w:val="00311881"/>
    <w:rsid w:val="00311A16"/>
    <w:rsid w:val="00311A1F"/>
    <w:rsid w:val="00311A3D"/>
    <w:rsid w:val="00312068"/>
    <w:rsid w:val="0031235F"/>
    <w:rsid w:val="00312552"/>
    <w:rsid w:val="00312564"/>
    <w:rsid w:val="003127F4"/>
    <w:rsid w:val="0031280F"/>
    <w:rsid w:val="00312A8C"/>
    <w:rsid w:val="00312AEA"/>
    <w:rsid w:val="00312B3F"/>
    <w:rsid w:val="00312E47"/>
    <w:rsid w:val="00312EBA"/>
    <w:rsid w:val="00312EF3"/>
    <w:rsid w:val="003131A9"/>
    <w:rsid w:val="00313281"/>
    <w:rsid w:val="003132F0"/>
    <w:rsid w:val="00313416"/>
    <w:rsid w:val="003134A1"/>
    <w:rsid w:val="003134A9"/>
    <w:rsid w:val="0031362A"/>
    <w:rsid w:val="0031369F"/>
    <w:rsid w:val="00313961"/>
    <w:rsid w:val="00313A17"/>
    <w:rsid w:val="00313C85"/>
    <w:rsid w:val="00313CFA"/>
    <w:rsid w:val="00313D38"/>
    <w:rsid w:val="00313DB1"/>
    <w:rsid w:val="00314050"/>
    <w:rsid w:val="003140C2"/>
    <w:rsid w:val="003140D2"/>
    <w:rsid w:val="003140F5"/>
    <w:rsid w:val="00314377"/>
    <w:rsid w:val="00314441"/>
    <w:rsid w:val="003144EE"/>
    <w:rsid w:val="0031468F"/>
    <w:rsid w:val="003147A3"/>
    <w:rsid w:val="00314972"/>
    <w:rsid w:val="00314A60"/>
    <w:rsid w:val="00314B2F"/>
    <w:rsid w:val="00314C3B"/>
    <w:rsid w:val="00314EB5"/>
    <w:rsid w:val="0031501B"/>
    <w:rsid w:val="0031566E"/>
    <w:rsid w:val="00315727"/>
    <w:rsid w:val="003157AD"/>
    <w:rsid w:val="00315C49"/>
    <w:rsid w:val="00315EC3"/>
    <w:rsid w:val="0031607C"/>
    <w:rsid w:val="00316406"/>
    <w:rsid w:val="003167D1"/>
    <w:rsid w:val="0031685E"/>
    <w:rsid w:val="00316B7E"/>
    <w:rsid w:val="00316B81"/>
    <w:rsid w:val="00316EB4"/>
    <w:rsid w:val="0031708C"/>
    <w:rsid w:val="003170E4"/>
    <w:rsid w:val="0031711B"/>
    <w:rsid w:val="003171BF"/>
    <w:rsid w:val="0031721F"/>
    <w:rsid w:val="00317714"/>
    <w:rsid w:val="0031772C"/>
    <w:rsid w:val="003179AA"/>
    <w:rsid w:val="003179DC"/>
    <w:rsid w:val="003179F9"/>
    <w:rsid w:val="00317CB3"/>
    <w:rsid w:val="00317CB5"/>
    <w:rsid w:val="00317CBD"/>
    <w:rsid w:val="00320050"/>
    <w:rsid w:val="0032007B"/>
    <w:rsid w:val="003200A1"/>
    <w:rsid w:val="003201BC"/>
    <w:rsid w:val="00320229"/>
    <w:rsid w:val="0032026C"/>
    <w:rsid w:val="003202B8"/>
    <w:rsid w:val="00320337"/>
    <w:rsid w:val="003203ED"/>
    <w:rsid w:val="00320607"/>
    <w:rsid w:val="0032067F"/>
    <w:rsid w:val="003208E0"/>
    <w:rsid w:val="00320938"/>
    <w:rsid w:val="00320A00"/>
    <w:rsid w:val="00320A17"/>
    <w:rsid w:val="00320B16"/>
    <w:rsid w:val="00320CE6"/>
    <w:rsid w:val="00320D0D"/>
    <w:rsid w:val="003211E6"/>
    <w:rsid w:val="0032133C"/>
    <w:rsid w:val="003216AB"/>
    <w:rsid w:val="003217F5"/>
    <w:rsid w:val="00321887"/>
    <w:rsid w:val="0032189F"/>
    <w:rsid w:val="003218A3"/>
    <w:rsid w:val="00321A92"/>
    <w:rsid w:val="00321D39"/>
    <w:rsid w:val="00321DCC"/>
    <w:rsid w:val="00321FFD"/>
    <w:rsid w:val="00322365"/>
    <w:rsid w:val="0032259C"/>
    <w:rsid w:val="003225CE"/>
    <w:rsid w:val="00322637"/>
    <w:rsid w:val="00322861"/>
    <w:rsid w:val="003228C6"/>
    <w:rsid w:val="003228EA"/>
    <w:rsid w:val="00322956"/>
    <w:rsid w:val="003229DA"/>
    <w:rsid w:val="00322BBA"/>
    <w:rsid w:val="00322C25"/>
    <w:rsid w:val="00322CD6"/>
    <w:rsid w:val="00322CE6"/>
    <w:rsid w:val="00322DA9"/>
    <w:rsid w:val="00322F17"/>
    <w:rsid w:val="00322F77"/>
    <w:rsid w:val="0032303D"/>
    <w:rsid w:val="00323175"/>
    <w:rsid w:val="003231EE"/>
    <w:rsid w:val="003232F4"/>
    <w:rsid w:val="003234A4"/>
    <w:rsid w:val="0032354C"/>
    <w:rsid w:val="003236EF"/>
    <w:rsid w:val="00323931"/>
    <w:rsid w:val="00323A18"/>
    <w:rsid w:val="00323AF6"/>
    <w:rsid w:val="00323C3E"/>
    <w:rsid w:val="00323C87"/>
    <w:rsid w:val="00323C9A"/>
    <w:rsid w:val="00323D38"/>
    <w:rsid w:val="00323D60"/>
    <w:rsid w:val="00323F10"/>
    <w:rsid w:val="0032418D"/>
    <w:rsid w:val="0032430C"/>
    <w:rsid w:val="00324319"/>
    <w:rsid w:val="00324388"/>
    <w:rsid w:val="00324441"/>
    <w:rsid w:val="00324443"/>
    <w:rsid w:val="00324468"/>
    <w:rsid w:val="0032447B"/>
    <w:rsid w:val="003245CA"/>
    <w:rsid w:val="0032475A"/>
    <w:rsid w:val="0032477F"/>
    <w:rsid w:val="003247CE"/>
    <w:rsid w:val="00324857"/>
    <w:rsid w:val="00324B8F"/>
    <w:rsid w:val="00324C0C"/>
    <w:rsid w:val="00324E95"/>
    <w:rsid w:val="003250FE"/>
    <w:rsid w:val="003251C2"/>
    <w:rsid w:val="00325260"/>
    <w:rsid w:val="003252FF"/>
    <w:rsid w:val="003254F7"/>
    <w:rsid w:val="003254FB"/>
    <w:rsid w:val="003255C7"/>
    <w:rsid w:val="003255DA"/>
    <w:rsid w:val="003256BA"/>
    <w:rsid w:val="00325791"/>
    <w:rsid w:val="00325C70"/>
    <w:rsid w:val="00325F69"/>
    <w:rsid w:val="00325FA0"/>
    <w:rsid w:val="00325FEA"/>
    <w:rsid w:val="0032604A"/>
    <w:rsid w:val="00326173"/>
    <w:rsid w:val="00326330"/>
    <w:rsid w:val="0032636C"/>
    <w:rsid w:val="003264ED"/>
    <w:rsid w:val="0032656C"/>
    <w:rsid w:val="003266AE"/>
    <w:rsid w:val="00326738"/>
    <w:rsid w:val="00326832"/>
    <w:rsid w:val="003268DB"/>
    <w:rsid w:val="00326C50"/>
    <w:rsid w:val="00326C7F"/>
    <w:rsid w:val="00326F1C"/>
    <w:rsid w:val="00327162"/>
    <w:rsid w:val="00327587"/>
    <w:rsid w:val="0032761D"/>
    <w:rsid w:val="00327765"/>
    <w:rsid w:val="003278F0"/>
    <w:rsid w:val="00327901"/>
    <w:rsid w:val="00327CB4"/>
    <w:rsid w:val="00327E56"/>
    <w:rsid w:val="00327F5E"/>
    <w:rsid w:val="0033048F"/>
    <w:rsid w:val="003304CE"/>
    <w:rsid w:val="003306E5"/>
    <w:rsid w:val="0033073B"/>
    <w:rsid w:val="003307F8"/>
    <w:rsid w:val="003309CD"/>
    <w:rsid w:val="00330A0A"/>
    <w:rsid w:val="00330AB8"/>
    <w:rsid w:val="00330E55"/>
    <w:rsid w:val="00330E8B"/>
    <w:rsid w:val="00330F63"/>
    <w:rsid w:val="00330F9E"/>
    <w:rsid w:val="003314F3"/>
    <w:rsid w:val="0033154F"/>
    <w:rsid w:val="0033166F"/>
    <w:rsid w:val="003316D9"/>
    <w:rsid w:val="00331B0C"/>
    <w:rsid w:val="00331B71"/>
    <w:rsid w:val="00331BDA"/>
    <w:rsid w:val="00331C45"/>
    <w:rsid w:val="00331C85"/>
    <w:rsid w:val="00331CAE"/>
    <w:rsid w:val="00331F0F"/>
    <w:rsid w:val="00331F54"/>
    <w:rsid w:val="00332275"/>
    <w:rsid w:val="003325EE"/>
    <w:rsid w:val="0033288C"/>
    <w:rsid w:val="003328A9"/>
    <w:rsid w:val="003328AC"/>
    <w:rsid w:val="00332A1A"/>
    <w:rsid w:val="00332B8F"/>
    <w:rsid w:val="00332BEA"/>
    <w:rsid w:val="00332D53"/>
    <w:rsid w:val="00332EE7"/>
    <w:rsid w:val="0033303A"/>
    <w:rsid w:val="003336FE"/>
    <w:rsid w:val="00333834"/>
    <w:rsid w:val="00333874"/>
    <w:rsid w:val="003339C7"/>
    <w:rsid w:val="00333B9F"/>
    <w:rsid w:val="00333CD8"/>
    <w:rsid w:val="00333D01"/>
    <w:rsid w:val="00333D17"/>
    <w:rsid w:val="00333E12"/>
    <w:rsid w:val="0033404F"/>
    <w:rsid w:val="0033408C"/>
    <w:rsid w:val="003341E4"/>
    <w:rsid w:val="00334223"/>
    <w:rsid w:val="00334232"/>
    <w:rsid w:val="0033430E"/>
    <w:rsid w:val="003343CA"/>
    <w:rsid w:val="003343DF"/>
    <w:rsid w:val="0033444C"/>
    <w:rsid w:val="00334453"/>
    <w:rsid w:val="00334528"/>
    <w:rsid w:val="00334536"/>
    <w:rsid w:val="003345D7"/>
    <w:rsid w:val="00334614"/>
    <w:rsid w:val="0033470D"/>
    <w:rsid w:val="00334881"/>
    <w:rsid w:val="003348F5"/>
    <w:rsid w:val="00334B2E"/>
    <w:rsid w:val="00334C1C"/>
    <w:rsid w:val="00334C1F"/>
    <w:rsid w:val="00334CA5"/>
    <w:rsid w:val="00334D93"/>
    <w:rsid w:val="00334DD2"/>
    <w:rsid w:val="00334E9F"/>
    <w:rsid w:val="00334FA2"/>
    <w:rsid w:val="003353EA"/>
    <w:rsid w:val="00335435"/>
    <w:rsid w:val="003355F4"/>
    <w:rsid w:val="00335A7F"/>
    <w:rsid w:val="00335B62"/>
    <w:rsid w:val="00335C02"/>
    <w:rsid w:val="0033606E"/>
    <w:rsid w:val="003360FC"/>
    <w:rsid w:val="00336145"/>
    <w:rsid w:val="00336187"/>
    <w:rsid w:val="00336193"/>
    <w:rsid w:val="00336332"/>
    <w:rsid w:val="0033643E"/>
    <w:rsid w:val="0033682E"/>
    <w:rsid w:val="003369B1"/>
    <w:rsid w:val="003369CB"/>
    <w:rsid w:val="003369F1"/>
    <w:rsid w:val="00336A73"/>
    <w:rsid w:val="00336DE8"/>
    <w:rsid w:val="00336E6E"/>
    <w:rsid w:val="00336EB8"/>
    <w:rsid w:val="003370E4"/>
    <w:rsid w:val="0033710E"/>
    <w:rsid w:val="0033717A"/>
    <w:rsid w:val="003371B5"/>
    <w:rsid w:val="0033726A"/>
    <w:rsid w:val="0033734E"/>
    <w:rsid w:val="003374E8"/>
    <w:rsid w:val="003377B2"/>
    <w:rsid w:val="00337829"/>
    <w:rsid w:val="003379C3"/>
    <w:rsid w:val="00337B3E"/>
    <w:rsid w:val="00337B62"/>
    <w:rsid w:val="00337B9D"/>
    <w:rsid w:val="00337BAF"/>
    <w:rsid w:val="00337C4B"/>
    <w:rsid w:val="003400EF"/>
    <w:rsid w:val="003401CB"/>
    <w:rsid w:val="0034026C"/>
    <w:rsid w:val="003402FD"/>
    <w:rsid w:val="00340341"/>
    <w:rsid w:val="0034041D"/>
    <w:rsid w:val="0034060C"/>
    <w:rsid w:val="00340981"/>
    <w:rsid w:val="003409EA"/>
    <w:rsid w:val="00340B03"/>
    <w:rsid w:val="00340E52"/>
    <w:rsid w:val="00340EA1"/>
    <w:rsid w:val="00340F03"/>
    <w:rsid w:val="00340F77"/>
    <w:rsid w:val="00341063"/>
    <w:rsid w:val="003410AE"/>
    <w:rsid w:val="003413DC"/>
    <w:rsid w:val="003416C9"/>
    <w:rsid w:val="003417CB"/>
    <w:rsid w:val="00341942"/>
    <w:rsid w:val="0034197E"/>
    <w:rsid w:val="00341A59"/>
    <w:rsid w:val="00341CA9"/>
    <w:rsid w:val="00341FB0"/>
    <w:rsid w:val="00342013"/>
    <w:rsid w:val="0034202E"/>
    <w:rsid w:val="00342165"/>
    <w:rsid w:val="0034219D"/>
    <w:rsid w:val="003421B5"/>
    <w:rsid w:val="0034237D"/>
    <w:rsid w:val="0034250B"/>
    <w:rsid w:val="0034262C"/>
    <w:rsid w:val="0034267E"/>
    <w:rsid w:val="0034289E"/>
    <w:rsid w:val="00342A9F"/>
    <w:rsid w:val="00342FA1"/>
    <w:rsid w:val="00343099"/>
    <w:rsid w:val="00343157"/>
    <w:rsid w:val="003431D6"/>
    <w:rsid w:val="003431F5"/>
    <w:rsid w:val="003435A9"/>
    <w:rsid w:val="00343692"/>
    <w:rsid w:val="00343AE4"/>
    <w:rsid w:val="00343AEB"/>
    <w:rsid w:val="00343B30"/>
    <w:rsid w:val="00343B8F"/>
    <w:rsid w:val="00343C53"/>
    <w:rsid w:val="00343C98"/>
    <w:rsid w:val="00343D3D"/>
    <w:rsid w:val="00343D61"/>
    <w:rsid w:val="00343F9B"/>
    <w:rsid w:val="0034408F"/>
    <w:rsid w:val="0034428B"/>
    <w:rsid w:val="00344371"/>
    <w:rsid w:val="00344649"/>
    <w:rsid w:val="00344735"/>
    <w:rsid w:val="0034493A"/>
    <w:rsid w:val="00344B12"/>
    <w:rsid w:val="00344BDB"/>
    <w:rsid w:val="00344D43"/>
    <w:rsid w:val="00344DA1"/>
    <w:rsid w:val="00344E87"/>
    <w:rsid w:val="00344F7B"/>
    <w:rsid w:val="00345401"/>
    <w:rsid w:val="00345496"/>
    <w:rsid w:val="003455D3"/>
    <w:rsid w:val="0034560D"/>
    <w:rsid w:val="00345674"/>
    <w:rsid w:val="00345681"/>
    <w:rsid w:val="003458AB"/>
    <w:rsid w:val="0034591F"/>
    <w:rsid w:val="00345ABB"/>
    <w:rsid w:val="00345BCF"/>
    <w:rsid w:val="003460CD"/>
    <w:rsid w:val="00346121"/>
    <w:rsid w:val="003461E0"/>
    <w:rsid w:val="003466F9"/>
    <w:rsid w:val="0034676C"/>
    <w:rsid w:val="0034679F"/>
    <w:rsid w:val="003467BA"/>
    <w:rsid w:val="003467BE"/>
    <w:rsid w:val="003468E9"/>
    <w:rsid w:val="00346900"/>
    <w:rsid w:val="0034699E"/>
    <w:rsid w:val="00346C40"/>
    <w:rsid w:val="00346D93"/>
    <w:rsid w:val="00346DFC"/>
    <w:rsid w:val="0034700A"/>
    <w:rsid w:val="003470CE"/>
    <w:rsid w:val="0034720D"/>
    <w:rsid w:val="00347230"/>
    <w:rsid w:val="00347258"/>
    <w:rsid w:val="003473D3"/>
    <w:rsid w:val="003475BE"/>
    <w:rsid w:val="00347676"/>
    <w:rsid w:val="003476B6"/>
    <w:rsid w:val="00347894"/>
    <w:rsid w:val="00347989"/>
    <w:rsid w:val="00347A14"/>
    <w:rsid w:val="00347A2C"/>
    <w:rsid w:val="00347A51"/>
    <w:rsid w:val="00347B36"/>
    <w:rsid w:val="00347B38"/>
    <w:rsid w:val="00347BA7"/>
    <w:rsid w:val="00347D7F"/>
    <w:rsid w:val="00347ED0"/>
    <w:rsid w:val="00347F9A"/>
    <w:rsid w:val="00350039"/>
    <w:rsid w:val="00350092"/>
    <w:rsid w:val="00350197"/>
    <w:rsid w:val="00350351"/>
    <w:rsid w:val="003507F6"/>
    <w:rsid w:val="00350AFD"/>
    <w:rsid w:val="00350D5F"/>
    <w:rsid w:val="00350E6D"/>
    <w:rsid w:val="00350E9C"/>
    <w:rsid w:val="0035104A"/>
    <w:rsid w:val="00351070"/>
    <w:rsid w:val="00351316"/>
    <w:rsid w:val="0035140F"/>
    <w:rsid w:val="00351436"/>
    <w:rsid w:val="003514C8"/>
    <w:rsid w:val="003515E2"/>
    <w:rsid w:val="00351719"/>
    <w:rsid w:val="0035179C"/>
    <w:rsid w:val="00351892"/>
    <w:rsid w:val="00351964"/>
    <w:rsid w:val="003519AD"/>
    <w:rsid w:val="00351B5A"/>
    <w:rsid w:val="00351BC2"/>
    <w:rsid w:val="00351E0E"/>
    <w:rsid w:val="00351E13"/>
    <w:rsid w:val="00351F71"/>
    <w:rsid w:val="00352011"/>
    <w:rsid w:val="003523D7"/>
    <w:rsid w:val="00352512"/>
    <w:rsid w:val="003526AA"/>
    <w:rsid w:val="003527B6"/>
    <w:rsid w:val="003527FA"/>
    <w:rsid w:val="00352822"/>
    <w:rsid w:val="00352C83"/>
    <w:rsid w:val="00352DE4"/>
    <w:rsid w:val="00353074"/>
    <w:rsid w:val="00353293"/>
    <w:rsid w:val="0035329E"/>
    <w:rsid w:val="003535FF"/>
    <w:rsid w:val="00353817"/>
    <w:rsid w:val="003538DF"/>
    <w:rsid w:val="0035394D"/>
    <w:rsid w:val="003539F7"/>
    <w:rsid w:val="00353AD5"/>
    <w:rsid w:val="00353B54"/>
    <w:rsid w:val="00353CB0"/>
    <w:rsid w:val="00353EBF"/>
    <w:rsid w:val="00353ECE"/>
    <w:rsid w:val="00353F3F"/>
    <w:rsid w:val="003540BA"/>
    <w:rsid w:val="00354370"/>
    <w:rsid w:val="003543C3"/>
    <w:rsid w:val="003544B2"/>
    <w:rsid w:val="003544D2"/>
    <w:rsid w:val="003545FE"/>
    <w:rsid w:val="00354606"/>
    <w:rsid w:val="00354718"/>
    <w:rsid w:val="00354850"/>
    <w:rsid w:val="00354855"/>
    <w:rsid w:val="00354A21"/>
    <w:rsid w:val="00354B03"/>
    <w:rsid w:val="00354B0B"/>
    <w:rsid w:val="00354B24"/>
    <w:rsid w:val="00354BB5"/>
    <w:rsid w:val="00354C12"/>
    <w:rsid w:val="00354C8E"/>
    <w:rsid w:val="00354EB4"/>
    <w:rsid w:val="00355035"/>
    <w:rsid w:val="00355061"/>
    <w:rsid w:val="003552CE"/>
    <w:rsid w:val="00355306"/>
    <w:rsid w:val="00355353"/>
    <w:rsid w:val="003556B8"/>
    <w:rsid w:val="003556FF"/>
    <w:rsid w:val="003557E0"/>
    <w:rsid w:val="00355907"/>
    <w:rsid w:val="00355912"/>
    <w:rsid w:val="003559FB"/>
    <w:rsid w:val="00355AC8"/>
    <w:rsid w:val="00355B02"/>
    <w:rsid w:val="00355B83"/>
    <w:rsid w:val="00355BCF"/>
    <w:rsid w:val="00355CDB"/>
    <w:rsid w:val="00355F34"/>
    <w:rsid w:val="00355FD3"/>
    <w:rsid w:val="003561ED"/>
    <w:rsid w:val="0035636C"/>
    <w:rsid w:val="0035651E"/>
    <w:rsid w:val="003565F2"/>
    <w:rsid w:val="00356619"/>
    <w:rsid w:val="00356697"/>
    <w:rsid w:val="003566E0"/>
    <w:rsid w:val="00356819"/>
    <w:rsid w:val="0035697B"/>
    <w:rsid w:val="003569EE"/>
    <w:rsid w:val="00356AB9"/>
    <w:rsid w:val="00356ACE"/>
    <w:rsid w:val="00356BF3"/>
    <w:rsid w:val="00356BFB"/>
    <w:rsid w:val="00356C33"/>
    <w:rsid w:val="00356C8B"/>
    <w:rsid w:val="00356C8E"/>
    <w:rsid w:val="00356D29"/>
    <w:rsid w:val="003571C2"/>
    <w:rsid w:val="003571FF"/>
    <w:rsid w:val="003574E6"/>
    <w:rsid w:val="003574F4"/>
    <w:rsid w:val="00357516"/>
    <w:rsid w:val="00357837"/>
    <w:rsid w:val="0035783E"/>
    <w:rsid w:val="0035794F"/>
    <w:rsid w:val="003579BC"/>
    <w:rsid w:val="003579DE"/>
    <w:rsid w:val="00357A2E"/>
    <w:rsid w:val="00357AD1"/>
    <w:rsid w:val="00357AEF"/>
    <w:rsid w:val="00357D71"/>
    <w:rsid w:val="00357DE8"/>
    <w:rsid w:val="00357E15"/>
    <w:rsid w:val="00357E68"/>
    <w:rsid w:val="00357ECE"/>
    <w:rsid w:val="00357F33"/>
    <w:rsid w:val="003603E9"/>
    <w:rsid w:val="00360444"/>
    <w:rsid w:val="003606C1"/>
    <w:rsid w:val="003606CB"/>
    <w:rsid w:val="00360723"/>
    <w:rsid w:val="00360A44"/>
    <w:rsid w:val="00360DB2"/>
    <w:rsid w:val="00360DBD"/>
    <w:rsid w:val="00360DF6"/>
    <w:rsid w:val="00360E35"/>
    <w:rsid w:val="00360E83"/>
    <w:rsid w:val="00360F28"/>
    <w:rsid w:val="0036100F"/>
    <w:rsid w:val="00361042"/>
    <w:rsid w:val="0036105D"/>
    <w:rsid w:val="003610D8"/>
    <w:rsid w:val="0036115B"/>
    <w:rsid w:val="00361A51"/>
    <w:rsid w:val="00361BAF"/>
    <w:rsid w:val="00361D40"/>
    <w:rsid w:val="00361F22"/>
    <w:rsid w:val="00361F2A"/>
    <w:rsid w:val="00361FE2"/>
    <w:rsid w:val="003620A4"/>
    <w:rsid w:val="003620DE"/>
    <w:rsid w:val="003622D5"/>
    <w:rsid w:val="0036242E"/>
    <w:rsid w:val="003624C3"/>
    <w:rsid w:val="0036255E"/>
    <w:rsid w:val="003626AB"/>
    <w:rsid w:val="00362A97"/>
    <w:rsid w:val="00362F34"/>
    <w:rsid w:val="00362FC9"/>
    <w:rsid w:val="00362FF7"/>
    <w:rsid w:val="00363085"/>
    <w:rsid w:val="00363151"/>
    <w:rsid w:val="00363373"/>
    <w:rsid w:val="003633C5"/>
    <w:rsid w:val="003634EC"/>
    <w:rsid w:val="00363B6A"/>
    <w:rsid w:val="00363BAD"/>
    <w:rsid w:val="00363C16"/>
    <w:rsid w:val="00363CAB"/>
    <w:rsid w:val="00363CB4"/>
    <w:rsid w:val="00363CC3"/>
    <w:rsid w:val="00363D0A"/>
    <w:rsid w:val="00363D71"/>
    <w:rsid w:val="00363EA7"/>
    <w:rsid w:val="00363EF0"/>
    <w:rsid w:val="00363F1E"/>
    <w:rsid w:val="00363F28"/>
    <w:rsid w:val="00364081"/>
    <w:rsid w:val="003640A7"/>
    <w:rsid w:val="003641CA"/>
    <w:rsid w:val="00364337"/>
    <w:rsid w:val="00364424"/>
    <w:rsid w:val="00364513"/>
    <w:rsid w:val="0036467C"/>
    <w:rsid w:val="0036485E"/>
    <w:rsid w:val="00364925"/>
    <w:rsid w:val="00364A06"/>
    <w:rsid w:val="00364AE7"/>
    <w:rsid w:val="00364B64"/>
    <w:rsid w:val="00364BBB"/>
    <w:rsid w:val="00364CEB"/>
    <w:rsid w:val="00364E3E"/>
    <w:rsid w:val="00364E8E"/>
    <w:rsid w:val="00364F82"/>
    <w:rsid w:val="00365077"/>
    <w:rsid w:val="0036509C"/>
    <w:rsid w:val="003650A2"/>
    <w:rsid w:val="00365447"/>
    <w:rsid w:val="0036555B"/>
    <w:rsid w:val="003655E1"/>
    <w:rsid w:val="00366037"/>
    <w:rsid w:val="00366097"/>
    <w:rsid w:val="003660A7"/>
    <w:rsid w:val="0036627A"/>
    <w:rsid w:val="00366352"/>
    <w:rsid w:val="00366437"/>
    <w:rsid w:val="00366484"/>
    <w:rsid w:val="003664A7"/>
    <w:rsid w:val="00366595"/>
    <w:rsid w:val="003667C3"/>
    <w:rsid w:val="0036691E"/>
    <w:rsid w:val="00366BF6"/>
    <w:rsid w:val="00366C34"/>
    <w:rsid w:val="00366C9F"/>
    <w:rsid w:val="00366D60"/>
    <w:rsid w:val="00366DB8"/>
    <w:rsid w:val="00366EE1"/>
    <w:rsid w:val="00366F8C"/>
    <w:rsid w:val="0036704C"/>
    <w:rsid w:val="003670E1"/>
    <w:rsid w:val="00367158"/>
    <w:rsid w:val="003671BE"/>
    <w:rsid w:val="00367271"/>
    <w:rsid w:val="003672A6"/>
    <w:rsid w:val="003674AF"/>
    <w:rsid w:val="003676E8"/>
    <w:rsid w:val="0036794E"/>
    <w:rsid w:val="003679E3"/>
    <w:rsid w:val="00367C81"/>
    <w:rsid w:val="00367CDA"/>
    <w:rsid w:val="00367CFB"/>
    <w:rsid w:val="00367ED5"/>
    <w:rsid w:val="00367F0F"/>
    <w:rsid w:val="00367FA0"/>
    <w:rsid w:val="00370234"/>
    <w:rsid w:val="00370307"/>
    <w:rsid w:val="003704AA"/>
    <w:rsid w:val="003706CA"/>
    <w:rsid w:val="0037082F"/>
    <w:rsid w:val="00370A34"/>
    <w:rsid w:val="00370A6F"/>
    <w:rsid w:val="00370C0C"/>
    <w:rsid w:val="00370D12"/>
    <w:rsid w:val="00370DA6"/>
    <w:rsid w:val="00370F79"/>
    <w:rsid w:val="00371012"/>
    <w:rsid w:val="00371065"/>
    <w:rsid w:val="00371244"/>
    <w:rsid w:val="00371286"/>
    <w:rsid w:val="003714FF"/>
    <w:rsid w:val="0037159C"/>
    <w:rsid w:val="003715A2"/>
    <w:rsid w:val="00371762"/>
    <w:rsid w:val="003718AE"/>
    <w:rsid w:val="00371BBF"/>
    <w:rsid w:val="00371BFA"/>
    <w:rsid w:val="00371EBE"/>
    <w:rsid w:val="00371EE5"/>
    <w:rsid w:val="003721A2"/>
    <w:rsid w:val="00372244"/>
    <w:rsid w:val="00372289"/>
    <w:rsid w:val="003722E7"/>
    <w:rsid w:val="0037237C"/>
    <w:rsid w:val="003723AB"/>
    <w:rsid w:val="003723AC"/>
    <w:rsid w:val="003723F0"/>
    <w:rsid w:val="00372597"/>
    <w:rsid w:val="003726E8"/>
    <w:rsid w:val="00372706"/>
    <w:rsid w:val="003729D8"/>
    <w:rsid w:val="00372B3D"/>
    <w:rsid w:val="00372C40"/>
    <w:rsid w:val="00372E4C"/>
    <w:rsid w:val="00372EC6"/>
    <w:rsid w:val="0037304A"/>
    <w:rsid w:val="0037311C"/>
    <w:rsid w:val="00373202"/>
    <w:rsid w:val="00373503"/>
    <w:rsid w:val="00373671"/>
    <w:rsid w:val="0037369C"/>
    <w:rsid w:val="00373781"/>
    <w:rsid w:val="003737BE"/>
    <w:rsid w:val="0037390D"/>
    <w:rsid w:val="00373918"/>
    <w:rsid w:val="00373940"/>
    <w:rsid w:val="00373A42"/>
    <w:rsid w:val="00373B4C"/>
    <w:rsid w:val="00373F97"/>
    <w:rsid w:val="00373FE2"/>
    <w:rsid w:val="00374028"/>
    <w:rsid w:val="0037406D"/>
    <w:rsid w:val="003740BB"/>
    <w:rsid w:val="00374212"/>
    <w:rsid w:val="003742D8"/>
    <w:rsid w:val="003742FA"/>
    <w:rsid w:val="00374359"/>
    <w:rsid w:val="00374497"/>
    <w:rsid w:val="0037449C"/>
    <w:rsid w:val="003747C4"/>
    <w:rsid w:val="00374879"/>
    <w:rsid w:val="0037490A"/>
    <w:rsid w:val="003749DA"/>
    <w:rsid w:val="00374BC5"/>
    <w:rsid w:val="00374BCB"/>
    <w:rsid w:val="00374C24"/>
    <w:rsid w:val="00374C42"/>
    <w:rsid w:val="00374DA8"/>
    <w:rsid w:val="00374DC6"/>
    <w:rsid w:val="00374E73"/>
    <w:rsid w:val="00374F56"/>
    <w:rsid w:val="00374FB4"/>
    <w:rsid w:val="00375073"/>
    <w:rsid w:val="0037521C"/>
    <w:rsid w:val="0037563F"/>
    <w:rsid w:val="00375695"/>
    <w:rsid w:val="00375956"/>
    <w:rsid w:val="00375A43"/>
    <w:rsid w:val="00375ACB"/>
    <w:rsid w:val="00375B6B"/>
    <w:rsid w:val="00375C51"/>
    <w:rsid w:val="00375EB3"/>
    <w:rsid w:val="00375F5D"/>
    <w:rsid w:val="00375FA7"/>
    <w:rsid w:val="00376103"/>
    <w:rsid w:val="0037621A"/>
    <w:rsid w:val="00376237"/>
    <w:rsid w:val="0037625E"/>
    <w:rsid w:val="00376267"/>
    <w:rsid w:val="003764DD"/>
    <w:rsid w:val="003767B8"/>
    <w:rsid w:val="00376AF8"/>
    <w:rsid w:val="00376C59"/>
    <w:rsid w:val="00376D71"/>
    <w:rsid w:val="00376E1D"/>
    <w:rsid w:val="00376E3E"/>
    <w:rsid w:val="003770A0"/>
    <w:rsid w:val="0037710C"/>
    <w:rsid w:val="00377176"/>
    <w:rsid w:val="00377334"/>
    <w:rsid w:val="003773B6"/>
    <w:rsid w:val="0037751C"/>
    <w:rsid w:val="0037753E"/>
    <w:rsid w:val="00377577"/>
    <w:rsid w:val="003775EE"/>
    <w:rsid w:val="003776B1"/>
    <w:rsid w:val="0037780F"/>
    <w:rsid w:val="00377B9C"/>
    <w:rsid w:val="00377E08"/>
    <w:rsid w:val="00377F84"/>
    <w:rsid w:val="003800C3"/>
    <w:rsid w:val="003800FE"/>
    <w:rsid w:val="0038028C"/>
    <w:rsid w:val="00380431"/>
    <w:rsid w:val="00380437"/>
    <w:rsid w:val="0038051D"/>
    <w:rsid w:val="00380759"/>
    <w:rsid w:val="00380817"/>
    <w:rsid w:val="00380962"/>
    <w:rsid w:val="00380A67"/>
    <w:rsid w:val="00380A89"/>
    <w:rsid w:val="00380B5F"/>
    <w:rsid w:val="00380B6F"/>
    <w:rsid w:val="00380BB7"/>
    <w:rsid w:val="00380D60"/>
    <w:rsid w:val="00380FC1"/>
    <w:rsid w:val="003810F6"/>
    <w:rsid w:val="003811FB"/>
    <w:rsid w:val="00381290"/>
    <w:rsid w:val="00381341"/>
    <w:rsid w:val="003813E2"/>
    <w:rsid w:val="0038146C"/>
    <w:rsid w:val="003815BA"/>
    <w:rsid w:val="0038175D"/>
    <w:rsid w:val="00381C96"/>
    <w:rsid w:val="00381CF2"/>
    <w:rsid w:val="00381CFF"/>
    <w:rsid w:val="00381D0E"/>
    <w:rsid w:val="00381D31"/>
    <w:rsid w:val="00381D61"/>
    <w:rsid w:val="00381D99"/>
    <w:rsid w:val="003820B4"/>
    <w:rsid w:val="00382498"/>
    <w:rsid w:val="003824D2"/>
    <w:rsid w:val="0038258B"/>
    <w:rsid w:val="00382609"/>
    <w:rsid w:val="00382889"/>
    <w:rsid w:val="003828DB"/>
    <w:rsid w:val="003828F1"/>
    <w:rsid w:val="003829B8"/>
    <w:rsid w:val="00382A53"/>
    <w:rsid w:val="00382C99"/>
    <w:rsid w:val="00382D09"/>
    <w:rsid w:val="00382D20"/>
    <w:rsid w:val="00382E06"/>
    <w:rsid w:val="0038300A"/>
    <w:rsid w:val="003830C4"/>
    <w:rsid w:val="00383249"/>
    <w:rsid w:val="003834C9"/>
    <w:rsid w:val="003835AC"/>
    <w:rsid w:val="00383602"/>
    <w:rsid w:val="00383789"/>
    <w:rsid w:val="003837A5"/>
    <w:rsid w:val="00383ACD"/>
    <w:rsid w:val="00383C5D"/>
    <w:rsid w:val="00383CA4"/>
    <w:rsid w:val="00383D65"/>
    <w:rsid w:val="00383D6F"/>
    <w:rsid w:val="00383EFB"/>
    <w:rsid w:val="003841CB"/>
    <w:rsid w:val="003844B2"/>
    <w:rsid w:val="003845A4"/>
    <w:rsid w:val="003845D9"/>
    <w:rsid w:val="003845F2"/>
    <w:rsid w:val="003847AF"/>
    <w:rsid w:val="00384825"/>
    <w:rsid w:val="00384B77"/>
    <w:rsid w:val="00384C0F"/>
    <w:rsid w:val="00384F1D"/>
    <w:rsid w:val="00384F29"/>
    <w:rsid w:val="00385224"/>
    <w:rsid w:val="0038526F"/>
    <w:rsid w:val="0038550B"/>
    <w:rsid w:val="0038585E"/>
    <w:rsid w:val="003858D0"/>
    <w:rsid w:val="003858F4"/>
    <w:rsid w:val="003859BE"/>
    <w:rsid w:val="003859D6"/>
    <w:rsid w:val="00385B81"/>
    <w:rsid w:val="0038606D"/>
    <w:rsid w:val="00386124"/>
    <w:rsid w:val="00386195"/>
    <w:rsid w:val="003861B0"/>
    <w:rsid w:val="003864D5"/>
    <w:rsid w:val="00386510"/>
    <w:rsid w:val="003865B6"/>
    <w:rsid w:val="003867AC"/>
    <w:rsid w:val="00386849"/>
    <w:rsid w:val="00386857"/>
    <w:rsid w:val="003869C1"/>
    <w:rsid w:val="00386A12"/>
    <w:rsid w:val="00386B86"/>
    <w:rsid w:val="00386C36"/>
    <w:rsid w:val="00386DF8"/>
    <w:rsid w:val="00386E16"/>
    <w:rsid w:val="00386EC0"/>
    <w:rsid w:val="0038705E"/>
    <w:rsid w:val="003870CF"/>
    <w:rsid w:val="00387105"/>
    <w:rsid w:val="003871BC"/>
    <w:rsid w:val="003871FE"/>
    <w:rsid w:val="00387523"/>
    <w:rsid w:val="003875D8"/>
    <w:rsid w:val="003875F3"/>
    <w:rsid w:val="00387797"/>
    <w:rsid w:val="00387913"/>
    <w:rsid w:val="0038797D"/>
    <w:rsid w:val="003879FA"/>
    <w:rsid w:val="00387B32"/>
    <w:rsid w:val="00387BEB"/>
    <w:rsid w:val="00387C93"/>
    <w:rsid w:val="00387CC2"/>
    <w:rsid w:val="00387D14"/>
    <w:rsid w:val="00387D41"/>
    <w:rsid w:val="00387ECD"/>
    <w:rsid w:val="00387ED0"/>
    <w:rsid w:val="003900EA"/>
    <w:rsid w:val="003902A4"/>
    <w:rsid w:val="0039037E"/>
    <w:rsid w:val="003903D3"/>
    <w:rsid w:val="003903F9"/>
    <w:rsid w:val="00390511"/>
    <w:rsid w:val="00390567"/>
    <w:rsid w:val="00390651"/>
    <w:rsid w:val="00390840"/>
    <w:rsid w:val="00390878"/>
    <w:rsid w:val="00390935"/>
    <w:rsid w:val="003909A2"/>
    <w:rsid w:val="003909D0"/>
    <w:rsid w:val="00390ACC"/>
    <w:rsid w:val="00390C0A"/>
    <w:rsid w:val="00390C89"/>
    <w:rsid w:val="00390E5B"/>
    <w:rsid w:val="00390F3B"/>
    <w:rsid w:val="0039119C"/>
    <w:rsid w:val="00391490"/>
    <w:rsid w:val="003917EB"/>
    <w:rsid w:val="003917ED"/>
    <w:rsid w:val="00391A75"/>
    <w:rsid w:val="00391A77"/>
    <w:rsid w:val="00391A95"/>
    <w:rsid w:val="00391CE6"/>
    <w:rsid w:val="00391D86"/>
    <w:rsid w:val="00391ECB"/>
    <w:rsid w:val="00391EF1"/>
    <w:rsid w:val="00391FB9"/>
    <w:rsid w:val="0039210C"/>
    <w:rsid w:val="00392180"/>
    <w:rsid w:val="00392240"/>
    <w:rsid w:val="00392444"/>
    <w:rsid w:val="003924DF"/>
    <w:rsid w:val="0039255A"/>
    <w:rsid w:val="0039255C"/>
    <w:rsid w:val="00392578"/>
    <w:rsid w:val="00392741"/>
    <w:rsid w:val="003928DF"/>
    <w:rsid w:val="00392AAA"/>
    <w:rsid w:val="00392BBC"/>
    <w:rsid w:val="00392E8A"/>
    <w:rsid w:val="0039311E"/>
    <w:rsid w:val="00393419"/>
    <w:rsid w:val="0039344F"/>
    <w:rsid w:val="003934DE"/>
    <w:rsid w:val="00393780"/>
    <w:rsid w:val="0039385C"/>
    <w:rsid w:val="0039392D"/>
    <w:rsid w:val="00393931"/>
    <w:rsid w:val="00393A6F"/>
    <w:rsid w:val="00393CB0"/>
    <w:rsid w:val="00393CF3"/>
    <w:rsid w:val="00393E98"/>
    <w:rsid w:val="00393EC9"/>
    <w:rsid w:val="00393EEC"/>
    <w:rsid w:val="00393F72"/>
    <w:rsid w:val="00394005"/>
    <w:rsid w:val="00394095"/>
    <w:rsid w:val="00394107"/>
    <w:rsid w:val="00394114"/>
    <w:rsid w:val="003942AD"/>
    <w:rsid w:val="00394574"/>
    <w:rsid w:val="0039465D"/>
    <w:rsid w:val="003946F3"/>
    <w:rsid w:val="0039477A"/>
    <w:rsid w:val="0039479E"/>
    <w:rsid w:val="0039483C"/>
    <w:rsid w:val="00394914"/>
    <w:rsid w:val="0039495A"/>
    <w:rsid w:val="003949B1"/>
    <w:rsid w:val="00394A92"/>
    <w:rsid w:val="00394B92"/>
    <w:rsid w:val="00394BEC"/>
    <w:rsid w:val="00394D62"/>
    <w:rsid w:val="00394EB8"/>
    <w:rsid w:val="0039509E"/>
    <w:rsid w:val="003950D4"/>
    <w:rsid w:val="0039557D"/>
    <w:rsid w:val="003957F1"/>
    <w:rsid w:val="00395E6A"/>
    <w:rsid w:val="00395F8A"/>
    <w:rsid w:val="00396026"/>
    <w:rsid w:val="003963FF"/>
    <w:rsid w:val="003964C0"/>
    <w:rsid w:val="003966F6"/>
    <w:rsid w:val="003966F8"/>
    <w:rsid w:val="003966FE"/>
    <w:rsid w:val="0039677D"/>
    <w:rsid w:val="0039689E"/>
    <w:rsid w:val="00396923"/>
    <w:rsid w:val="00396BD0"/>
    <w:rsid w:val="00396BD8"/>
    <w:rsid w:val="00397144"/>
    <w:rsid w:val="003973A3"/>
    <w:rsid w:val="0039743B"/>
    <w:rsid w:val="003974A7"/>
    <w:rsid w:val="00397594"/>
    <w:rsid w:val="003975EA"/>
    <w:rsid w:val="0039761A"/>
    <w:rsid w:val="0039764C"/>
    <w:rsid w:val="00397908"/>
    <w:rsid w:val="00397A33"/>
    <w:rsid w:val="00397A90"/>
    <w:rsid w:val="00397AF7"/>
    <w:rsid w:val="00397B86"/>
    <w:rsid w:val="00397C5A"/>
    <w:rsid w:val="00397EC5"/>
    <w:rsid w:val="00397FA2"/>
    <w:rsid w:val="00397FFE"/>
    <w:rsid w:val="003A01F4"/>
    <w:rsid w:val="003A0660"/>
    <w:rsid w:val="003A0AB3"/>
    <w:rsid w:val="003A0B17"/>
    <w:rsid w:val="003A0C54"/>
    <w:rsid w:val="003A0D52"/>
    <w:rsid w:val="003A0E5D"/>
    <w:rsid w:val="003A0F74"/>
    <w:rsid w:val="003A1095"/>
    <w:rsid w:val="003A11DD"/>
    <w:rsid w:val="003A1355"/>
    <w:rsid w:val="003A13BB"/>
    <w:rsid w:val="003A149B"/>
    <w:rsid w:val="003A15EE"/>
    <w:rsid w:val="003A16DC"/>
    <w:rsid w:val="003A16F0"/>
    <w:rsid w:val="003A16FD"/>
    <w:rsid w:val="003A18A7"/>
    <w:rsid w:val="003A18CA"/>
    <w:rsid w:val="003A1A18"/>
    <w:rsid w:val="003A1A66"/>
    <w:rsid w:val="003A1BF2"/>
    <w:rsid w:val="003A1C48"/>
    <w:rsid w:val="003A1CEF"/>
    <w:rsid w:val="003A1D88"/>
    <w:rsid w:val="003A1D8B"/>
    <w:rsid w:val="003A1D9B"/>
    <w:rsid w:val="003A1E96"/>
    <w:rsid w:val="003A1FA3"/>
    <w:rsid w:val="003A2125"/>
    <w:rsid w:val="003A2173"/>
    <w:rsid w:val="003A2624"/>
    <w:rsid w:val="003A272A"/>
    <w:rsid w:val="003A2810"/>
    <w:rsid w:val="003A2A75"/>
    <w:rsid w:val="003A2B4C"/>
    <w:rsid w:val="003A2BF7"/>
    <w:rsid w:val="003A2ED1"/>
    <w:rsid w:val="003A302B"/>
    <w:rsid w:val="003A32F5"/>
    <w:rsid w:val="003A36B7"/>
    <w:rsid w:val="003A36C7"/>
    <w:rsid w:val="003A3740"/>
    <w:rsid w:val="003A38F2"/>
    <w:rsid w:val="003A3A01"/>
    <w:rsid w:val="003A3A1A"/>
    <w:rsid w:val="003A3A4C"/>
    <w:rsid w:val="003A3CEB"/>
    <w:rsid w:val="003A3D1B"/>
    <w:rsid w:val="003A3DA1"/>
    <w:rsid w:val="003A3FD3"/>
    <w:rsid w:val="003A41C4"/>
    <w:rsid w:val="003A4213"/>
    <w:rsid w:val="003A4318"/>
    <w:rsid w:val="003A43B5"/>
    <w:rsid w:val="003A445B"/>
    <w:rsid w:val="003A46DD"/>
    <w:rsid w:val="003A47ED"/>
    <w:rsid w:val="003A47FB"/>
    <w:rsid w:val="003A486B"/>
    <w:rsid w:val="003A49A1"/>
    <w:rsid w:val="003A4A2D"/>
    <w:rsid w:val="003A4C47"/>
    <w:rsid w:val="003A4E32"/>
    <w:rsid w:val="003A4E9A"/>
    <w:rsid w:val="003A4F65"/>
    <w:rsid w:val="003A5082"/>
    <w:rsid w:val="003A50BC"/>
    <w:rsid w:val="003A5102"/>
    <w:rsid w:val="003A5142"/>
    <w:rsid w:val="003A5479"/>
    <w:rsid w:val="003A54CC"/>
    <w:rsid w:val="003A55F8"/>
    <w:rsid w:val="003A5980"/>
    <w:rsid w:val="003A59BF"/>
    <w:rsid w:val="003A59D7"/>
    <w:rsid w:val="003A5AF4"/>
    <w:rsid w:val="003A5C2B"/>
    <w:rsid w:val="003A5FFB"/>
    <w:rsid w:val="003A609F"/>
    <w:rsid w:val="003A6724"/>
    <w:rsid w:val="003A673B"/>
    <w:rsid w:val="003A6B1B"/>
    <w:rsid w:val="003A6BD0"/>
    <w:rsid w:val="003A6C90"/>
    <w:rsid w:val="003A6DFE"/>
    <w:rsid w:val="003A6E04"/>
    <w:rsid w:val="003A6E1A"/>
    <w:rsid w:val="003A6E9A"/>
    <w:rsid w:val="003A7017"/>
    <w:rsid w:val="003A7232"/>
    <w:rsid w:val="003A72D9"/>
    <w:rsid w:val="003A72F3"/>
    <w:rsid w:val="003A7477"/>
    <w:rsid w:val="003A77E1"/>
    <w:rsid w:val="003A7B75"/>
    <w:rsid w:val="003A7BB1"/>
    <w:rsid w:val="003A7BE6"/>
    <w:rsid w:val="003A7EAC"/>
    <w:rsid w:val="003B0056"/>
    <w:rsid w:val="003B035B"/>
    <w:rsid w:val="003B038A"/>
    <w:rsid w:val="003B03B6"/>
    <w:rsid w:val="003B03F9"/>
    <w:rsid w:val="003B04BD"/>
    <w:rsid w:val="003B04C0"/>
    <w:rsid w:val="003B04DA"/>
    <w:rsid w:val="003B050E"/>
    <w:rsid w:val="003B052E"/>
    <w:rsid w:val="003B0549"/>
    <w:rsid w:val="003B0706"/>
    <w:rsid w:val="003B07E5"/>
    <w:rsid w:val="003B088F"/>
    <w:rsid w:val="003B0941"/>
    <w:rsid w:val="003B09A4"/>
    <w:rsid w:val="003B09AA"/>
    <w:rsid w:val="003B0AD3"/>
    <w:rsid w:val="003B0B12"/>
    <w:rsid w:val="003B0BA1"/>
    <w:rsid w:val="003B0C2A"/>
    <w:rsid w:val="003B0CA6"/>
    <w:rsid w:val="003B0CD6"/>
    <w:rsid w:val="003B0CEE"/>
    <w:rsid w:val="003B0DEC"/>
    <w:rsid w:val="003B0E8C"/>
    <w:rsid w:val="003B0F62"/>
    <w:rsid w:val="003B1149"/>
    <w:rsid w:val="003B1170"/>
    <w:rsid w:val="003B1287"/>
    <w:rsid w:val="003B131E"/>
    <w:rsid w:val="003B140A"/>
    <w:rsid w:val="003B1677"/>
    <w:rsid w:val="003B168A"/>
    <w:rsid w:val="003B17FD"/>
    <w:rsid w:val="003B1B15"/>
    <w:rsid w:val="003B1B4B"/>
    <w:rsid w:val="003B1B72"/>
    <w:rsid w:val="003B1CA7"/>
    <w:rsid w:val="003B1F63"/>
    <w:rsid w:val="003B224C"/>
    <w:rsid w:val="003B23FD"/>
    <w:rsid w:val="003B2496"/>
    <w:rsid w:val="003B25C5"/>
    <w:rsid w:val="003B25D5"/>
    <w:rsid w:val="003B2827"/>
    <w:rsid w:val="003B28C7"/>
    <w:rsid w:val="003B2B00"/>
    <w:rsid w:val="003B2C6C"/>
    <w:rsid w:val="003B2CBA"/>
    <w:rsid w:val="003B2DE9"/>
    <w:rsid w:val="003B2E77"/>
    <w:rsid w:val="003B2ED3"/>
    <w:rsid w:val="003B2EE6"/>
    <w:rsid w:val="003B3006"/>
    <w:rsid w:val="003B3020"/>
    <w:rsid w:val="003B3109"/>
    <w:rsid w:val="003B346E"/>
    <w:rsid w:val="003B3617"/>
    <w:rsid w:val="003B362C"/>
    <w:rsid w:val="003B3640"/>
    <w:rsid w:val="003B3736"/>
    <w:rsid w:val="003B3869"/>
    <w:rsid w:val="003B386E"/>
    <w:rsid w:val="003B3877"/>
    <w:rsid w:val="003B3916"/>
    <w:rsid w:val="003B3C1F"/>
    <w:rsid w:val="003B3E07"/>
    <w:rsid w:val="003B3F7C"/>
    <w:rsid w:val="003B4055"/>
    <w:rsid w:val="003B409B"/>
    <w:rsid w:val="003B429F"/>
    <w:rsid w:val="003B4599"/>
    <w:rsid w:val="003B46AA"/>
    <w:rsid w:val="003B485D"/>
    <w:rsid w:val="003B4B70"/>
    <w:rsid w:val="003B4C0C"/>
    <w:rsid w:val="003B4E93"/>
    <w:rsid w:val="003B4EBF"/>
    <w:rsid w:val="003B514E"/>
    <w:rsid w:val="003B5276"/>
    <w:rsid w:val="003B5330"/>
    <w:rsid w:val="003B54C7"/>
    <w:rsid w:val="003B55B5"/>
    <w:rsid w:val="003B55E4"/>
    <w:rsid w:val="003B56F0"/>
    <w:rsid w:val="003B57D6"/>
    <w:rsid w:val="003B594B"/>
    <w:rsid w:val="003B59A1"/>
    <w:rsid w:val="003B5AEA"/>
    <w:rsid w:val="003B5B6C"/>
    <w:rsid w:val="003B5BA2"/>
    <w:rsid w:val="003B5C64"/>
    <w:rsid w:val="003B5D4D"/>
    <w:rsid w:val="003B6094"/>
    <w:rsid w:val="003B61B7"/>
    <w:rsid w:val="003B62C6"/>
    <w:rsid w:val="003B657F"/>
    <w:rsid w:val="003B6706"/>
    <w:rsid w:val="003B6711"/>
    <w:rsid w:val="003B6B64"/>
    <w:rsid w:val="003B6D03"/>
    <w:rsid w:val="003B6EBA"/>
    <w:rsid w:val="003B71E5"/>
    <w:rsid w:val="003B7218"/>
    <w:rsid w:val="003B7297"/>
    <w:rsid w:val="003B7386"/>
    <w:rsid w:val="003B7397"/>
    <w:rsid w:val="003B73BD"/>
    <w:rsid w:val="003B744D"/>
    <w:rsid w:val="003B76ED"/>
    <w:rsid w:val="003B7716"/>
    <w:rsid w:val="003B7875"/>
    <w:rsid w:val="003B7B1D"/>
    <w:rsid w:val="003B7B75"/>
    <w:rsid w:val="003B7D84"/>
    <w:rsid w:val="003B7F92"/>
    <w:rsid w:val="003C00C7"/>
    <w:rsid w:val="003C0266"/>
    <w:rsid w:val="003C06AE"/>
    <w:rsid w:val="003C0856"/>
    <w:rsid w:val="003C0858"/>
    <w:rsid w:val="003C08B9"/>
    <w:rsid w:val="003C08D0"/>
    <w:rsid w:val="003C0B5D"/>
    <w:rsid w:val="003C0B9C"/>
    <w:rsid w:val="003C0C28"/>
    <w:rsid w:val="003C0FC7"/>
    <w:rsid w:val="003C1143"/>
    <w:rsid w:val="003C126D"/>
    <w:rsid w:val="003C1396"/>
    <w:rsid w:val="003C150A"/>
    <w:rsid w:val="003C1588"/>
    <w:rsid w:val="003C18C4"/>
    <w:rsid w:val="003C192F"/>
    <w:rsid w:val="003C19E3"/>
    <w:rsid w:val="003C1A18"/>
    <w:rsid w:val="003C1AE2"/>
    <w:rsid w:val="003C1AEC"/>
    <w:rsid w:val="003C1B02"/>
    <w:rsid w:val="003C1EC3"/>
    <w:rsid w:val="003C1FB6"/>
    <w:rsid w:val="003C2057"/>
    <w:rsid w:val="003C2201"/>
    <w:rsid w:val="003C222C"/>
    <w:rsid w:val="003C2361"/>
    <w:rsid w:val="003C249A"/>
    <w:rsid w:val="003C26A3"/>
    <w:rsid w:val="003C2735"/>
    <w:rsid w:val="003C29C6"/>
    <w:rsid w:val="003C29D9"/>
    <w:rsid w:val="003C2A99"/>
    <w:rsid w:val="003C2B84"/>
    <w:rsid w:val="003C2BAD"/>
    <w:rsid w:val="003C2C06"/>
    <w:rsid w:val="003C3348"/>
    <w:rsid w:val="003C3527"/>
    <w:rsid w:val="003C35A0"/>
    <w:rsid w:val="003C3685"/>
    <w:rsid w:val="003C3811"/>
    <w:rsid w:val="003C387F"/>
    <w:rsid w:val="003C39B9"/>
    <w:rsid w:val="003C39D3"/>
    <w:rsid w:val="003C3B10"/>
    <w:rsid w:val="003C3C36"/>
    <w:rsid w:val="003C3C8D"/>
    <w:rsid w:val="003C3DB7"/>
    <w:rsid w:val="003C3E6F"/>
    <w:rsid w:val="003C41B3"/>
    <w:rsid w:val="003C43F3"/>
    <w:rsid w:val="003C476F"/>
    <w:rsid w:val="003C4832"/>
    <w:rsid w:val="003C48B3"/>
    <w:rsid w:val="003C4A60"/>
    <w:rsid w:val="003C4B82"/>
    <w:rsid w:val="003C4B91"/>
    <w:rsid w:val="003C4B94"/>
    <w:rsid w:val="003C4BA0"/>
    <w:rsid w:val="003C4BB8"/>
    <w:rsid w:val="003C4C6F"/>
    <w:rsid w:val="003C4E40"/>
    <w:rsid w:val="003C4EC3"/>
    <w:rsid w:val="003C4F8F"/>
    <w:rsid w:val="003C51C6"/>
    <w:rsid w:val="003C531F"/>
    <w:rsid w:val="003C53D0"/>
    <w:rsid w:val="003C562A"/>
    <w:rsid w:val="003C5745"/>
    <w:rsid w:val="003C598A"/>
    <w:rsid w:val="003C5AD0"/>
    <w:rsid w:val="003C5B2A"/>
    <w:rsid w:val="003C5BAA"/>
    <w:rsid w:val="003C5E51"/>
    <w:rsid w:val="003C5EF3"/>
    <w:rsid w:val="003C62C7"/>
    <w:rsid w:val="003C6349"/>
    <w:rsid w:val="003C637F"/>
    <w:rsid w:val="003C6405"/>
    <w:rsid w:val="003C6468"/>
    <w:rsid w:val="003C6579"/>
    <w:rsid w:val="003C65AA"/>
    <w:rsid w:val="003C667C"/>
    <w:rsid w:val="003C66A0"/>
    <w:rsid w:val="003C6874"/>
    <w:rsid w:val="003C6A07"/>
    <w:rsid w:val="003C6AD9"/>
    <w:rsid w:val="003C6B59"/>
    <w:rsid w:val="003C6B6F"/>
    <w:rsid w:val="003C6BD2"/>
    <w:rsid w:val="003C6CB7"/>
    <w:rsid w:val="003C6E7C"/>
    <w:rsid w:val="003C6F9A"/>
    <w:rsid w:val="003C6FCC"/>
    <w:rsid w:val="003C7021"/>
    <w:rsid w:val="003C70C7"/>
    <w:rsid w:val="003C7238"/>
    <w:rsid w:val="003C72A1"/>
    <w:rsid w:val="003C7365"/>
    <w:rsid w:val="003C7384"/>
    <w:rsid w:val="003C742F"/>
    <w:rsid w:val="003C7691"/>
    <w:rsid w:val="003C77C9"/>
    <w:rsid w:val="003C77E0"/>
    <w:rsid w:val="003C78E4"/>
    <w:rsid w:val="003C7AAF"/>
    <w:rsid w:val="003C7AFB"/>
    <w:rsid w:val="003C7B4B"/>
    <w:rsid w:val="003C7CE6"/>
    <w:rsid w:val="003D0064"/>
    <w:rsid w:val="003D0185"/>
    <w:rsid w:val="003D0248"/>
    <w:rsid w:val="003D02F1"/>
    <w:rsid w:val="003D035F"/>
    <w:rsid w:val="003D0443"/>
    <w:rsid w:val="003D0591"/>
    <w:rsid w:val="003D05C4"/>
    <w:rsid w:val="003D06ED"/>
    <w:rsid w:val="003D07BA"/>
    <w:rsid w:val="003D0871"/>
    <w:rsid w:val="003D0904"/>
    <w:rsid w:val="003D09FC"/>
    <w:rsid w:val="003D0A7A"/>
    <w:rsid w:val="003D0C70"/>
    <w:rsid w:val="003D0D20"/>
    <w:rsid w:val="003D1165"/>
    <w:rsid w:val="003D11F7"/>
    <w:rsid w:val="003D16B9"/>
    <w:rsid w:val="003D1811"/>
    <w:rsid w:val="003D197D"/>
    <w:rsid w:val="003D1A06"/>
    <w:rsid w:val="003D1AA0"/>
    <w:rsid w:val="003D1B19"/>
    <w:rsid w:val="003D1B4A"/>
    <w:rsid w:val="003D1B6B"/>
    <w:rsid w:val="003D1C19"/>
    <w:rsid w:val="003D1D4A"/>
    <w:rsid w:val="003D1D72"/>
    <w:rsid w:val="003D2110"/>
    <w:rsid w:val="003D21FC"/>
    <w:rsid w:val="003D224B"/>
    <w:rsid w:val="003D225B"/>
    <w:rsid w:val="003D2292"/>
    <w:rsid w:val="003D22DB"/>
    <w:rsid w:val="003D244E"/>
    <w:rsid w:val="003D2458"/>
    <w:rsid w:val="003D258E"/>
    <w:rsid w:val="003D2629"/>
    <w:rsid w:val="003D2748"/>
    <w:rsid w:val="003D2995"/>
    <w:rsid w:val="003D299E"/>
    <w:rsid w:val="003D2A45"/>
    <w:rsid w:val="003D2AF8"/>
    <w:rsid w:val="003D2B3A"/>
    <w:rsid w:val="003D2B45"/>
    <w:rsid w:val="003D2BC4"/>
    <w:rsid w:val="003D2C63"/>
    <w:rsid w:val="003D2CDE"/>
    <w:rsid w:val="003D2D1B"/>
    <w:rsid w:val="003D2D74"/>
    <w:rsid w:val="003D2EEF"/>
    <w:rsid w:val="003D2F28"/>
    <w:rsid w:val="003D2FC4"/>
    <w:rsid w:val="003D3043"/>
    <w:rsid w:val="003D312F"/>
    <w:rsid w:val="003D349C"/>
    <w:rsid w:val="003D3642"/>
    <w:rsid w:val="003D3883"/>
    <w:rsid w:val="003D3A58"/>
    <w:rsid w:val="003D3AB9"/>
    <w:rsid w:val="003D3C04"/>
    <w:rsid w:val="003D3C4B"/>
    <w:rsid w:val="003D3D60"/>
    <w:rsid w:val="003D3DC0"/>
    <w:rsid w:val="003D3E4C"/>
    <w:rsid w:val="003D3E89"/>
    <w:rsid w:val="003D408C"/>
    <w:rsid w:val="003D41CE"/>
    <w:rsid w:val="003D42F3"/>
    <w:rsid w:val="003D450D"/>
    <w:rsid w:val="003D4529"/>
    <w:rsid w:val="003D48C1"/>
    <w:rsid w:val="003D4901"/>
    <w:rsid w:val="003D4A0F"/>
    <w:rsid w:val="003D4A86"/>
    <w:rsid w:val="003D4BBF"/>
    <w:rsid w:val="003D4D25"/>
    <w:rsid w:val="003D4DB5"/>
    <w:rsid w:val="003D4E43"/>
    <w:rsid w:val="003D4EB7"/>
    <w:rsid w:val="003D4FFF"/>
    <w:rsid w:val="003D52E3"/>
    <w:rsid w:val="003D5580"/>
    <w:rsid w:val="003D5596"/>
    <w:rsid w:val="003D55E1"/>
    <w:rsid w:val="003D568A"/>
    <w:rsid w:val="003D58AC"/>
    <w:rsid w:val="003D59BB"/>
    <w:rsid w:val="003D5A6C"/>
    <w:rsid w:val="003D5CCE"/>
    <w:rsid w:val="003D5D2D"/>
    <w:rsid w:val="003D5D76"/>
    <w:rsid w:val="003D638E"/>
    <w:rsid w:val="003D641A"/>
    <w:rsid w:val="003D64E0"/>
    <w:rsid w:val="003D6554"/>
    <w:rsid w:val="003D6607"/>
    <w:rsid w:val="003D660C"/>
    <w:rsid w:val="003D6616"/>
    <w:rsid w:val="003D66B0"/>
    <w:rsid w:val="003D6BB8"/>
    <w:rsid w:val="003D6EB7"/>
    <w:rsid w:val="003D6F4D"/>
    <w:rsid w:val="003D71EB"/>
    <w:rsid w:val="003D7238"/>
    <w:rsid w:val="003D73BB"/>
    <w:rsid w:val="003D73F6"/>
    <w:rsid w:val="003D796A"/>
    <w:rsid w:val="003D79AE"/>
    <w:rsid w:val="003E0011"/>
    <w:rsid w:val="003E040A"/>
    <w:rsid w:val="003E04A4"/>
    <w:rsid w:val="003E04B6"/>
    <w:rsid w:val="003E074F"/>
    <w:rsid w:val="003E08AE"/>
    <w:rsid w:val="003E0CC4"/>
    <w:rsid w:val="003E0D64"/>
    <w:rsid w:val="003E0F32"/>
    <w:rsid w:val="003E10F3"/>
    <w:rsid w:val="003E1143"/>
    <w:rsid w:val="003E129E"/>
    <w:rsid w:val="003E12A3"/>
    <w:rsid w:val="003E13B7"/>
    <w:rsid w:val="003E140C"/>
    <w:rsid w:val="003E1518"/>
    <w:rsid w:val="003E163E"/>
    <w:rsid w:val="003E16B7"/>
    <w:rsid w:val="003E1798"/>
    <w:rsid w:val="003E17CF"/>
    <w:rsid w:val="003E1842"/>
    <w:rsid w:val="003E1A8D"/>
    <w:rsid w:val="003E1BE8"/>
    <w:rsid w:val="003E1D5B"/>
    <w:rsid w:val="003E1D5F"/>
    <w:rsid w:val="003E1E47"/>
    <w:rsid w:val="003E1EDE"/>
    <w:rsid w:val="003E1F97"/>
    <w:rsid w:val="003E20EF"/>
    <w:rsid w:val="003E22CB"/>
    <w:rsid w:val="003E22D0"/>
    <w:rsid w:val="003E2343"/>
    <w:rsid w:val="003E25EA"/>
    <w:rsid w:val="003E2614"/>
    <w:rsid w:val="003E29DC"/>
    <w:rsid w:val="003E2BE1"/>
    <w:rsid w:val="003E2BE8"/>
    <w:rsid w:val="003E2BEA"/>
    <w:rsid w:val="003E30B7"/>
    <w:rsid w:val="003E3348"/>
    <w:rsid w:val="003E364A"/>
    <w:rsid w:val="003E3780"/>
    <w:rsid w:val="003E386D"/>
    <w:rsid w:val="003E3A47"/>
    <w:rsid w:val="003E3A8F"/>
    <w:rsid w:val="003E3CAA"/>
    <w:rsid w:val="003E3D9C"/>
    <w:rsid w:val="003E406B"/>
    <w:rsid w:val="003E4111"/>
    <w:rsid w:val="003E4194"/>
    <w:rsid w:val="003E4229"/>
    <w:rsid w:val="003E4230"/>
    <w:rsid w:val="003E4251"/>
    <w:rsid w:val="003E4407"/>
    <w:rsid w:val="003E4498"/>
    <w:rsid w:val="003E460D"/>
    <w:rsid w:val="003E4677"/>
    <w:rsid w:val="003E476B"/>
    <w:rsid w:val="003E49CF"/>
    <w:rsid w:val="003E4A57"/>
    <w:rsid w:val="003E4A9A"/>
    <w:rsid w:val="003E4E75"/>
    <w:rsid w:val="003E4EC1"/>
    <w:rsid w:val="003E4F60"/>
    <w:rsid w:val="003E4F96"/>
    <w:rsid w:val="003E5092"/>
    <w:rsid w:val="003E51B4"/>
    <w:rsid w:val="003E5226"/>
    <w:rsid w:val="003E53B1"/>
    <w:rsid w:val="003E5480"/>
    <w:rsid w:val="003E5481"/>
    <w:rsid w:val="003E5652"/>
    <w:rsid w:val="003E5888"/>
    <w:rsid w:val="003E58A2"/>
    <w:rsid w:val="003E5955"/>
    <w:rsid w:val="003E5A82"/>
    <w:rsid w:val="003E5BFA"/>
    <w:rsid w:val="003E5C1E"/>
    <w:rsid w:val="003E5CCA"/>
    <w:rsid w:val="003E5CF2"/>
    <w:rsid w:val="003E5DA8"/>
    <w:rsid w:val="003E5E2F"/>
    <w:rsid w:val="003E5FBE"/>
    <w:rsid w:val="003E61B4"/>
    <w:rsid w:val="003E62CA"/>
    <w:rsid w:val="003E6327"/>
    <w:rsid w:val="003E64CB"/>
    <w:rsid w:val="003E658E"/>
    <w:rsid w:val="003E66A0"/>
    <w:rsid w:val="003E66DB"/>
    <w:rsid w:val="003E67D1"/>
    <w:rsid w:val="003E69A5"/>
    <w:rsid w:val="003E69F0"/>
    <w:rsid w:val="003E6CA4"/>
    <w:rsid w:val="003E6CB9"/>
    <w:rsid w:val="003E6DD7"/>
    <w:rsid w:val="003E6E12"/>
    <w:rsid w:val="003E6F8F"/>
    <w:rsid w:val="003E7194"/>
    <w:rsid w:val="003E71B8"/>
    <w:rsid w:val="003E7433"/>
    <w:rsid w:val="003E7469"/>
    <w:rsid w:val="003E7663"/>
    <w:rsid w:val="003E76E1"/>
    <w:rsid w:val="003E7773"/>
    <w:rsid w:val="003E7B28"/>
    <w:rsid w:val="003E7D8E"/>
    <w:rsid w:val="003E7EB6"/>
    <w:rsid w:val="003F0007"/>
    <w:rsid w:val="003F0147"/>
    <w:rsid w:val="003F024F"/>
    <w:rsid w:val="003F02BA"/>
    <w:rsid w:val="003F0524"/>
    <w:rsid w:val="003F0641"/>
    <w:rsid w:val="003F07A1"/>
    <w:rsid w:val="003F0814"/>
    <w:rsid w:val="003F0833"/>
    <w:rsid w:val="003F08D4"/>
    <w:rsid w:val="003F0C29"/>
    <w:rsid w:val="003F0C74"/>
    <w:rsid w:val="003F0F09"/>
    <w:rsid w:val="003F115E"/>
    <w:rsid w:val="003F11AA"/>
    <w:rsid w:val="003F127C"/>
    <w:rsid w:val="003F12D9"/>
    <w:rsid w:val="003F1441"/>
    <w:rsid w:val="003F149B"/>
    <w:rsid w:val="003F14C2"/>
    <w:rsid w:val="003F161B"/>
    <w:rsid w:val="003F1621"/>
    <w:rsid w:val="003F165C"/>
    <w:rsid w:val="003F1858"/>
    <w:rsid w:val="003F18CA"/>
    <w:rsid w:val="003F2210"/>
    <w:rsid w:val="003F2306"/>
    <w:rsid w:val="003F232E"/>
    <w:rsid w:val="003F2335"/>
    <w:rsid w:val="003F24F9"/>
    <w:rsid w:val="003F26EA"/>
    <w:rsid w:val="003F27F1"/>
    <w:rsid w:val="003F2B34"/>
    <w:rsid w:val="003F2C6A"/>
    <w:rsid w:val="003F2CB7"/>
    <w:rsid w:val="003F2EFE"/>
    <w:rsid w:val="003F32B4"/>
    <w:rsid w:val="003F34AA"/>
    <w:rsid w:val="003F34B2"/>
    <w:rsid w:val="003F3651"/>
    <w:rsid w:val="003F371D"/>
    <w:rsid w:val="003F3802"/>
    <w:rsid w:val="003F380F"/>
    <w:rsid w:val="003F3886"/>
    <w:rsid w:val="003F391E"/>
    <w:rsid w:val="003F392A"/>
    <w:rsid w:val="003F3A5E"/>
    <w:rsid w:val="003F3A79"/>
    <w:rsid w:val="003F3B89"/>
    <w:rsid w:val="003F3C1B"/>
    <w:rsid w:val="003F4017"/>
    <w:rsid w:val="003F42B7"/>
    <w:rsid w:val="003F42F1"/>
    <w:rsid w:val="003F462D"/>
    <w:rsid w:val="003F469E"/>
    <w:rsid w:val="003F47CF"/>
    <w:rsid w:val="003F47FC"/>
    <w:rsid w:val="003F4832"/>
    <w:rsid w:val="003F4A35"/>
    <w:rsid w:val="003F4B9F"/>
    <w:rsid w:val="003F4BA6"/>
    <w:rsid w:val="003F4D90"/>
    <w:rsid w:val="003F4ECE"/>
    <w:rsid w:val="003F4F1F"/>
    <w:rsid w:val="003F5098"/>
    <w:rsid w:val="003F50E1"/>
    <w:rsid w:val="003F52FA"/>
    <w:rsid w:val="003F535C"/>
    <w:rsid w:val="003F5377"/>
    <w:rsid w:val="003F5484"/>
    <w:rsid w:val="003F5527"/>
    <w:rsid w:val="003F57FE"/>
    <w:rsid w:val="003F5898"/>
    <w:rsid w:val="003F58EA"/>
    <w:rsid w:val="003F5910"/>
    <w:rsid w:val="003F5D1D"/>
    <w:rsid w:val="003F60B4"/>
    <w:rsid w:val="003F6236"/>
    <w:rsid w:val="003F64AF"/>
    <w:rsid w:val="003F68F8"/>
    <w:rsid w:val="003F69A0"/>
    <w:rsid w:val="003F69F0"/>
    <w:rsid w:val="003F6B4C"/>
    <w:rsid w:val="003F6C8C"/>
    <w:rsid w:val="003F6CEA"/>
    <w:rsid w:val="003F6DA2"/>
    <w:rsid w:val="003F6F7B"/>
    <w:rsid w:val="003F7020"/>
    <w:rsid w:val="003F7196"/>
    <w:rsid w:val="003F71E0"/>
    <w:rsid w:val="003F72F0"/>
    <w:rsid w:val="003F750F"/>
    <w:rsid w:val="003F76FD"/>
    <w:rsid w:val="003F77A6"/>
    <w:rsid w:val="003F77E3"/>
    <w:rsid w:val="003F7AB1"/>
    <w:rsid w:val="003F7C1C"/>
    <w:rsid w:val="003F7D71"/>
    <w:rsid w:val="003F7DCD"/>
    <w:rsid w:val="0040004E"/>
    <w:rsid w:val="00400073"/>
    <w:rsid w:val="004000AE"/>
    <w:rsid w:val="00400153"/>
    <w:rsid w:val="004005E4"/>
    <w:rsid w:val="0040062A"/>
    <w:rsid w:val="00400804"/>
    <w:rsid w:val="004008A5"/>
    <w:rsid w:val="004008AF"/>
    <w:rsid w:val="00400ACA"/>
    <w:rsid w:val="00400B5F"/>
    <w:rsid w:val="00400BE7"/>
    <w:rsid w:val="00400C0B"/>
    <w:rsid w:val="00400D6F"/>
    <w:rsid w:val="00400D7F"/>
    <w:rsid w:val="00400DB9"/>
    <w:rsid w:val="00400ED4"/>
    <w:rsid w:val="00400F26"/>
    <w:rsid w:val="00401114"/>
    <w:rsid w:val="0040132F"/>
    <w:rsid w:val="0040146F"/>
    <w:rsid w:val="00401534"/>
    <w:rsid w:val="0040177F"/>
    <w:rsid w:val="0040190C"/>
    <w:rsid w:val="00401BD3"/>
    <w:rsid w:val="00401DA5"/>
    <w:rsid w:val="00401DBF"/>
    <w:rsid w:val="00401F28"/>
    <w:rsid w:val="00401F52"/>
    <w:rsid w:val="0040225A"/>
    <w:rsid w:val="00402475"/>
    <w:rsid w:val="00402550"/>
    <w:rsid w:val="00402610"/>
    <w:rsid w:val="00402624"/>
    <w:rsid w:val="00402762"/>
    <w:rsid w:val="00402798"/>
    <w:rsid w:val="0040296B"/>
    <w:rsid w:val="00402B43"/>
    <w:rsid w:val="00402CA7"/>
    <w:rsid w:val="00402CCD"/>
    <w:rsid w:val="00402D29"/>
    <w:rsid w:val="00402DC9"/>
    <w:rsid w:val="00402FF9"/>
    <w:rsid w:val="00403285"/>
    <w:rsid w:val="00403376"/>
    <w:rsid w:val="004033D9"/>
    <w:rsid w:val="0040341A"/>
    <w:rsid w:val="004034DB"/>
    <w:rsid w:val="004035FD"/>
    <w:rsid w:val="0040393A"/>
    <w:rsid w:val="00403CA0"/>
    <w:rsid w:val="00403F04"/>
    <w:rsid w:val="00403FB3"/>
    <w:rsid w:val="00403FFB"/>
    <w:rsid w:val="00404157"/>
    <w:rsid w:val="004047A5"/>
    <w:rsid w:val="004047D8"/>
    <w:rsid w:val="00404899"/>
    <w:rsid w:val="00404A94"/>
    <w:rsid w:val="00404AE1"/>
    <w:rsid w:val="00404B32"/>
    <w:rsid w:val="00404CC1"/>
    <w:rsid w:val="00404E01"/>
    <w:rsid w:val="0040500B"/>
    <w:rsid w:val="00405205"/>
    <w:rsid w:val="00405278"/>
    <w:rsid w:val="00405326"/>
    <w:rsid w:val="004053FC"/>
    <w:rsid w:val="0040551E"/>
    <w:rsid w:val="0040551F"/>
    <w:rsid w:val="00405557"/>
    <w:rsid w:val="0040559C"/>
    <w:rsid w:val="00405812"/>
    <w:rsid w:val="0040589D"/>
    <w:rsid w:val="004058B7"/>
    <w:rsid w:val="004058D2"/>
    <w:rsid w:val="00405AB6"/>
    <w:rsid w:val="00405BD2"/>
    <w:rsid w:val="00405D32"/>
    <w:rsid w:val="00405D86"/>
    <w:rsid w:val="00405ED3"/>
    <w:rsid w:val="00405F5A"/>
    <w:rsid w:val="004060D6"/>
    <w:rsid w:val="004060F6"/>
    <w:rsid w:val="004061B5"/>
    <w:rsid w:val="00406290"/>
    <w:rsid w:val="004063D1"/>
    <w:rsid w:val="004065B7"/>
    <w:rsid w:val="00406612"/>
    <w:rsid w:val="00406859"/>
    <w:rsid w:val="00406AA2"/>
    <w:rsid w:val="00406ABC"/>
    <w:rsid w:val="00406C01"/>
    <w:rsid w:val="00406C32"/>
    <w:rsid w:val="00406C3C"/>
    <w:rsid w:val="00406C94"/>
    <w:rsid w:val="00406CA3"/>
    <w:rsid w:val="00406D31"/>
    <w:rsid w:val="00406DF6"/>
    <w:rsid w:val="00406E0F"/>
    <w:rsid w:val="00406EE4"/>
    <w:rsid w:val="00406F9A"/>
    <w:rsid w:val="00407059"/>
    <w:rsid w:val="0040712B"/>
    <w:rsid w:val="00407473"/>
    <w:rsid w:val="004074A1"/>
    <w:rsid w:val="00407674"/>
    <w:rsid w:val="004076A2"/>
    <w:rsid w:val="004076EA"/>
    <w:rsid w:val="0040771F"/>
    <w:rsid w:val="004078E1"/>
    <w:rsid w:val="00407C3F"/>
    <w:rsid w:val="00407CC2"/>
    <w:rsid w:val="00407F92"/>
    <w:rsid w:val="00407FD0"/>
    <w:rsid w:val="00410509"/>
    <w:rsid w:val="004105A9"/>
    <w:rsid w:val="00410825"/>
    <w:rsid w:val="004108C1"/>
    <w:rsid w:val="004108CF"/>
    <w:rsid w:val="00410A00"/>
    <w:rsid w:val="00410B3F"/>
    <w:rsid w:val="00410B79"/>
    <w:rsid w:val="00410D02"/>
    <w:rsid w:val="00410D14"/>
    <w:rsid w:val="00410E43"/>
    <w:rsid w:val="00410F60"/>
    <w:rsid w:val="0041105F"/>
    <w:rsid w:val="004111F7"/>
    <w:rsid w:val="004112B0"/>
    <w:rsid w:val="004113C3"/>
    <w:rsid w:val="0041144F"/>
    <w:rsid w:val="004115A3"/>
    <w:rsid w:val="0041161F"/>
    <w:rsid w:val="0041163E"/>
    <w:rsid w:val="0041172A"/>
    <w:rsid w:val="004118F1"/>
    <w:rsid w:val="00411945"/>
    <w:rsid w:val="004119C3"/>
    <w:rsid w:val="00411A0E"/>
    <w:rsid w:val="00411AE6"/>
    <w:rsid w:val="00411CA4"/>
    <w:rsid w:val="00411CDF"/>
    <w:rsid w:val="00411E2D"/>
    <w:rsid w:val="00411F14"/>
    <w:rsid w:val="0041208D"/>
    <w:rsid w:val="0041217D"/>
    <w:rsid w:val="004122BC"/>
    <w:rsid w:val="00412434"/>
    <w:rsid w:val="004125C6"/>
    <w:rsid w:val="0041275F"/>
    <w:rsid w:val="00412979"/>
    <w:rsid w:val="00412D2C"/>
    <w:rsid w:val="00412E2C"/>
    <w:rsid w:val="00412E49"/>
    <w:rsid w:val="00412ECE"/>
    <w:rsid w:val="00413279"/>
    <w:rsid w:val="0041327E"/>
    <w:rsid w:val="0041348A"/>
    <w:rsid w:val="00413639"/>
    <w:rsid w:val="00413A76"/>
    <w:rsid w:val="00413AC5"/>
    <w:rsid w:val="00413AD5"/>
    <w:rsid w:val="00413BCE"/>
    <w:rsid w:val="00413C7D"/>
    <w:rsid w:val="00413D45"/>
    <w:rsid w:val="00413D87"/>
    <w:rsid w:val="00413E8C"/>
    <w:rsid w:val="00413EC4"/>
    <w:rsid w:val="00414081"/>
    <w:rsid w:val="004140C6"/>
    <w:rsid w:val="004141D2"/>
    <w:rsid w:val="0041455B"/>
    <w:rsid w:val="0041465A"/>
    <w:rsid w:val="0041471F"/>
    <w:rsid w:val="0041473C"/>
    <w:rsid w:val="00414827"/>
    <w:rsid w:val="00414834"/>
    <w:rsid w:val="00414872"/>
    <w:rsid w:val="00414A46"/>
    <w:rsid w:val="00414B10"/>
    <w:rsid w:val="00414B3F"/>
    <w:rsid w:val="00414BC2"/>
    <w:rsid w:val="00414EC8"/>
    <w:rsid w:val="00414FF7"/>
    <w:rsid w:val="00415343"/>
    <w:rsid w:val="00415429"/>
    <w:rsid w:val="00415466"/>
    <w:rsid w:val="004155D5"/>
    <w:rsid w:val="004157FF"/>
    <w:rsid w:val="0041585A"/>
    <w:rsid w:val="004158E6"/>
    <w:rsid w:val="0041597E"/>
    <w:rsid w:val="00415B41"/>
    <w:rsid w:val="00415BF7"/>
    <w:rsid w:val="00415C45"/>
    <w:rsid w:val="00415E07"/>
    <w:rsid w:val="00416070"/>
    <w:rsid w:val="004160A6"/>
    <w:rsid w:val="004160F6"/>
    <w:rsid w:val="004160F8"/>
    <w:rsid w:val="0041611E"/>
    <w:rsid w:val="00416183"/>
    <w:rsid w:val="004161AD"/>
    <w:rsid w:val="004161B4"/>
    <w:rsid w:val="00416356"/>
    <w:rsid w:val="0041644D"/>
    <w:rsid w:val="00416455"/>
    <w:rsid w:val="0041687B"/>
    <w:rsid w:val="00416A1F"/>
    <w:rsid w:val="00416A93"/>
    <w:rsid w:val="00416C5E"/>
    <w:rsid w:val="00416F6D"/>
    <w:rsid w:val="00417199"/>
    <w:rsid w:val="00417240"/>
    <w:rsid w:val="00417343"/>
    <w:rsid w:val="0041734C"/>
    <w:rsid w:val="004174FB"/>
    <w:rsid w:val="00417774"/>
    <w:rsid w:val="0041777B"/>
    <w:rsid w:val="00417922"/>
    <w:rsid w:val="0041794F"/>
    <w:rsid w:val="004179A8"/>
    <w:rsid w:val="00417A6E"/>
    <w:rsid w:val="00417B6B"/>
    <w:rsid w:val="00417BC0"/>
    <w:rsid w:val="00417BCD"/>
    <w:rsid w:val="00417C18"/>
    <w:rsid w:val="00417D49"/>
    <w:rsid w:val="00417DA8"/>
    <w:rsid w:val="00417F41"/>
    <w:rsid w:val="00417F82"/>
    <w:rsid w:val="00417F8F"/>
    <w:rsid w:val="004200EC"/>
    <w:rsid w:val="00420276"/>
    <w:rsid w:val="0042031D"/>
    <w:rsid w:val="0042033E"/>
    <w:rsid w:val="0042036F"/>
    <w:rsid w:val="00420551"/>
    <w:rsid w:val="004206E7"/>
    <w:rsid w:val="00420711"/>
    <w:rsid w:val="0042083C"/>
    <w:rsid w:val="00420A3F"/>
    <w:rsid w:val="00420BA8"/>
    <w:rsid w:val="00420D1B"/>
    <w:rsid w:val="00420D3E"/>
    <w:rsid w:val="00420D5B"/>
    <w:rsid w:val="00420E07"/>
    <w:rsid w:val="00420F2B"/>
    <w:rsid w:val="00420F8C"/>
    <w:rsid w:val="0042103C"/>
    <w:rsid w:val="004211FD"/>
    <w:rsid w:val="00421275"/>
    <w:rsid w:val="004216FD"/>
    <w:rsid w:val="00421734"/>
    <w:rsid w:val="00421A89"/>
    <w:rsid w:val="00421BC5"/>
    <w:rsid w:val="00421BE9"/>
    <w:rsid w:val="00421D3F"/>
    <w:rsid w:val="00421E96"/>
    <w:rsid w:val="00421EBC"/>
    <w:rsid w:val="00421FDC"/>
    <w:rsid w:val="0042225E"/>
    <w:rsid w:val="004224E6"/>
    <w:rsid w:val="0042258D"/>
    <w:rsid w:val="004226B6"/>
    <w:rsid w:val="00422765"/>
    <w:rsid w:val="0042276D"/>
    <w:rsid w:val="004227C2"/>
    <w:rsid w:val="004227F1"/>
    <w:rsid w:val="0042290E"/>
    <w:rsid w:val="00422CA9"/>
    <w:rsid w:val="00422D28"/>
    <w:rsid w:val="00422E44"/>
    <w:rsid w:val="0042304B"/>
    <w:rsid w:val="004232B1"/>
    <w:rsid w:val="00423367"/>
    <w:rsid w:val="00423483"/>
    <w:rsid w:val="004234BD"/>
    <w:rsid w:val="00423568"/>
    <w:rsid w:val="0042357A"/>
    <w:rsid w:val="004235D3"/>
    <w:rsid w:val="004238F2"/>
    <w:rsid w:val="00423980"/>
    <w:rsid w:val="004239E3"/>
    <w:rsid w:val="00423AE2"/>
    <w:rsid w:val="00423B00"/>
    <w:rsid w:val="00423C7F"/>
    <w:rsid w:val="00423DE7"/>
    <w:rsid w:val="00423E07"/>
    <w:rsid w:val="00423E45"/>
    <w:rsid w:val="00423FBB"/>
    <w:rsid w:val="00424084"/>
    <w:rsid w:val="0042414C"/>
    <w:rsid w:val="004243F3"/>
    <w:rsid w:val="0042461A"/>
    <w:rsid w:val="00424941"/>
    <w:rsid w:val="00424BC4"/>
    <w:rsid w:val="00424C18"/>
    <w:rsid w:val="00424C6D"/>
    <w:rsid w:val="00424DD1"/>
    <w:rsid w:val="0042504D"/>
    <w:rsid w:val="004250BE"/>
    <w:rsid w:val="00425147"/>
    <w:rsid w:val="0042518A"/>
    <w:rsid w:val="004251A1"/>
    <w:rsid w:val="0042544E"/>
    <w:rsid w:val="0042547F"/>
    <w:rsid w:val="0042576A"/>
    <w:rsid w:val="004257C3"/>
    <w:rsid w:val="00425832"/>
    <w:rsid w:val="00425881"/>
    <w:rsid w:val="004259E4"/>
    <w:rsid w:val="00425A4C"/>
    <w:rsid w:val="00425C24"/>
    <w:rsid w:val="00425C2B"/>
    <w:rsid w:val="00425CA0"/>
    <w:rsid w:val="00425D43"/>
    <w:rsid w:val="00425EAD"/>
    <w:rsid w:val="00425EEB"/>
    <w:rsid w:val="00425FA3"/>
    <w:rsid w:val="00426029"/>
    <w:rsid w:val="0042621A"/>
    <w:rsid w:val="0042627E"/>
    <w:rsid w:val="00426551"/>
    <w:rsid w:val="0042676C"/>
    <w:rsid w:val="00426840"/>
    <w:rsid w:val="00426C34"/>
    <w:rsid w:val="00426D20"/>
    <w:rsid w:val="00426DCE"/>
    <w:rsid w:val="00426F27"/>
    <w:rsid w:val="004270C9"/>
    <w:rsid w:val="004273AD"/>
    <w:rsid w:val="00427425"/>
    <w:rsid w:val="00427C49"/>
    <w:rsid w:val="00427DA0"/>
    <w:rsid w:val="00427EAD"/>
    <w:rsid w:val="00427ED2"/>
    <w:rsid w:val="00430459"/>
    <w:rsid w:val="004305AE"/>
    <w:rsid w:val="004306B6"/>
    <w:rsid w:val="00430740"/>
    <w:rsid w:val="00430777"/>
    <w:rsid w:val="00430872"/>
    <w:rsid w:val="00430884"/>
    <w:rsid w:val="004308C5"/>
    <w:rsid w:val="00430974"/>
    <w:rsid w:val="00430D31"/>
    <w:rsid w:val="00430E85"/>
    <w:rsid w:val="00430F17"/>
    <w:rsid w:val="00430F21"/>
    <w:rsid w:val="00431115"/>
    <w:rsid w:val="004314C5"/>
    <w:rsid w:val="00431553"/>
    <w:rsid w:val="00431800"/>
    <w:rsid w:val="004318A8"/>
    <w:rsid w:val="00431921"/>
    <w:rsid w:val="00431932"/>
    <w:rsid w:val="00431A11"/>
    <w:rsid w:val="00431A2F"/>
    <w:rsid w:val="00431B63"/>
    <w:rsid w:val="00431DCD"/>
    <w:rsid w:val="00431E8B"/>
    <w:rsid w:val="00431F36"/>
    <w:rsid w:val="00431F52"/>
    <w:rsid w:val="00431F91"/>
    <w:rsid w:val="0043208C"/>
    <w:rsid w:val="004320DF"/>
    <w:rsid w:val="00432143"/>
    <w:rsid w:val="0043237D"/>
    <w:rsid w:val="00432440"/>
    <w:rsid w:val="00432620"/>
    <w:rsid w:val="0043262A"/>
    <w:rsid w:val="00432721"/>
    <w:rsid w:val="00432A6A"/>
    <w:rsid w:val="00432A71"/>
    <w:rsid w:val="00432C0B"/>
    <w:rsid w:val="00432C1E"/>
    <w:rsid w:val="00432F4C"/>
    <w:rsid w:val="00432FB9"/>
    <w:rsid w:val="00433035"/>
    <w:rsid w:val="00433176"/>
    <w:rsid w:val="0043322C"/>
    <w:rsid w:val="0043339D"/>
    <w:rsid w:val="004334E0"/>
    <w:rsid w:val="00433541"/>
    <w:rsid w:val="0043377B"/>
    <w:rsid w:val="00433782"/>
    <w:rsid w:val="004339B2"/>
    <w:rsid w:val="004339FE"/>
    <w:rsid w:val="00433B9F"/>
    <w:rsid w:val="00433E38"/>
    <w:rsid w:val="00433F0F"/>
    <w:rsid w:val="00433F5C"/>
    <w:rsid w:val="00433FFB"/>
    <w:rsid w:val="004340AE"/>
    <w:rsid w:val="00434186"/>
    <w:rsid w:val="0043439D"/>
    <w:rsid w:val="0043468C"/>
    <w:rsid w:val="00434695"/>
    <w:rsid w:val="004346EC"/>
    <w:rsid w:val="00434750"/>
    <w:rsid w:val="004347BA"/>
    <w:rsid w:val="004347FE"/>
    <w:rsid w:val="004348D7"/>
    <w:rsid w:val="00434983"/>
    <w:rsid w:val="004349D4"/>
    <w:rsid w:val="00434B91"/>
    <w:rsid w:val="00434CE7"/>
    <w:rsid w:val="00434D66"/>
    <w:rsid w:val="00435006"/>
    <w:rsid w:val="00435303"/>
    <w:rsid w:val="004356E1"/>
    <w:rsid w:val="00435741"/>
    <w:rsid w:val="004357B9"/>
    <w:rsid w:val="004357CA"/>
    <w:rsid w:val="00435840"/>
    <w:rsid w:val="004358DA"/>
    <w:rsid w:val="00435918"/>
    <w:rsid w:val="00435948"/>
    <w:rsid w:val="004359A5"/>
    <w:rsid w:val="00435AF9"/>
    <w:rsid w:val="00435C01"/>
    <w:rsid w:val="00436181"/>
    <w:rsid w:val="00436412"/>
    <w:rsid w:val="00436514"/>
    <w:rsid w:val="00436536"/>
    <w:rsid w:val="00436673"/>
    <w:rsid w:val="0043679C"/>
    <w:rsid w:val="00436802"/>
    <w:rsid w:val="00436821"/>
    <w:rsid w:val="00436A0D"/>
    <w:rsid w:val="00436D6E"/>
    <w:rsid w:val="00436DEE"/>
    <w:rsid w:val="00437018"/>
    <w:rsid w:val="0043709F"/>
    <w:rsid w:val="00437242"/>
    <w:rsid w:val="0043724F"/>
    <w:rsid w:val="004372D5"/>
    <w:rsid w:val="004373BC"/>
    <w:rsid w:val="00437822"/>
    <w:rsid w:val="004378AE"/>
    <w:rsid w:val="004378C6"/>
    <w:rsid w:val="00437A95"/>
    <w:rsid w:val="00437DFF"/>
    <w:rsid w:val="00437E5E"/>
    <w:rsid w:val="00437F57"/>
    <w:rsid w:val="00440111"/>
    <w:rsid w:val="0044019D"/>
    <w:rsid w:val="0044041F"/>
    <w:rsid w:val="00440449"/>
    <w:rsid w:val="00440456"/>
    <w:rsid w:val="004404D0"/>
    <w:rsid w:val="004405B9"/>
    <w:rsid w:val="004405F6"/>
    <w:rsid w:val="0044066E"/>
    <w:rsid w:val="00440691"/>
    <w:rsid w:val="004407FE"/>
    <w:rsid w:val="004408A8"/>
    <w:rsid w:val="004408FF"/>
    <w:rsid w:val="0044097C"/>
    <w:rsid w:val="00440BDD"/>
    <w:rsid w:val="00440D21"/>
    <w:rsid w:val="00440E13"/>
    <w:rsid w:val="00440E61"/>
    <w:rsid w:val="00440E99"/>
    <w:rsid w:val="00440F29"/>
    <w:rsid w:val="00441198"/>
    <w:rsid w:val="00441611"/>
    <w:rsid w:val="00441B92"/>
    <w:rsid w:val="00441C9A"/>
    <w:rsid w:val="00441CCC"/>
    <w:rsid w:val="00441D24"/>
    <w:rsid w:val="00441DDF"/>
    <w:rsid w:val="00441F22"/>
    <w:rsid w:val="00442071"/>
    <w:rsid w:val="004423DE"/>
    <w:rsid w:val="004423F7"/>
    <w:rsid w:val="004426AD"/>
    <w:rsid w:val="00442839"/>
    <w:rsid w:val="004428AD"/>
    <w:rsid w:val="0044294A"/>
    <w:rsid w:val="004429E1"/>
    <w:rsid w:val="00442A49"/>
    <w:rsid w:val="00442BC4"/>
    <w:rsid w:val="00442F12"/>
    <w:rsid w:val="004431B1"/>
    <w:rsid w:val="004431F5"/>
    <w:rsid w:val="004433A6"/>
    <w:rsid w:val="00443448"/>
    <w:rsid w:val="00443800"/>
    <w:rsid w:val="00443D64"/>
    <w:rsid w:val="00443F6E"/>
    <w:rsid w:val="00444090"/>
    <w:rsid w:val="00444188"/>
    <w:rsid w:val="004442C9"/>
    <w:rsid w:val="0044446D"/>
    <w:rsid w:val="004445D0"/>
    <w:rsid w:val="0044466D"/>
    <w:rsid w:val="00444709"/>
    <w:rsid w:val="00444871"/>
    <w:rsid w:val="0044498F"/>
    <w:rsid w:val="004449FB"/>
    <w:rsid w:val="00444D29"/>
    <w:rsid w:val="00444E70"/>
    <w:rsid w:val="00445015"/>
    <w:rsid w:val="0044504F"/>
    <w:rsid w:val="004450B3"/>
    <w:rsid w:val="004451F1"/>
    <w:rsid w:val="00445246"/>
    <w:rsid w:val="004452FB"/>
    <w:rsid w:val="004455AA"/>
    <w:rsid w:val="004459B5"/>
    <w:rsid w:val="004459F9"/>
    <w:rsid w:val="00445A02"/>
    <w:rsid w:val="00445B89"/>
    <w:rsid w:val="00445D02"/>
    <w:rsid w:val="00445D7E"/>
    <w:rsid w:val="00445F60"/>
    <w:rsid w:val="00446012"/>
    <w:rsid w:val="00446175"/>
    <w:rsid w:val="004462D3"/>
    <w:rsid w:val="004463B2"/>
    <w:rsid w:val="0044641B"/>
    <w:rsid w:val="00446590"/>
    <w:rsid w:val="00446781"/>
    <w:rsid w:val="004467AD"/>
    <w:rsid w:val="004468A9"/>
    <w:rsid w:val="0044690B"/>
    <w:rsid w:val="00446BBE"/>
    <w:rsid w:val="00446C04"/>
    <w:rsid w:val="00446C54"/>
    <w:rsid w:val="00446D22"/>
    <w:rsid w:val="00446EE1"/>
    <w:rsid w:val="004472BF"/>
    <w:rsid w:val="004473C2"/>
    <w:rsid w:val="0044745C"/>
    <w:rsid w:val="0044767A"/>
    <w:rsid w:val="004476FD"/>
    <w:rsid w:val="0044782C"/>
    <w:rsid w:val="00447B12"/>
    <w:rsid w:val="00447B2F"/>
    <w:rsid w:val="00447B63"/>
    <w:rsid w:val="00447DC7"/>
    <w:rsid w:val="00450332"/>
    <w:rsid w:val="004503A9"/>
    <w:rsid w:val="00450702"/>
    <w:rsid w:val="00450734"/>
    <w:rsid w:val="00450822"/>
    <w:rsid w:val="00450838"/>
    <w:rsid w:val="00450870"/>
    <w:rsid w:val="0045093D"/>
    <w:rsid w:val="004509AA"/>
    <w:rsid w:val="004509B5"/>
    <w:rsid w:val="004509CF"/>
    <w:rsid w:val="00450A20"/>
    <w:rsid w:val="00450A9D"/>
    <w:rsid w:val="00450EE6"/>
    <w:rsid w:val="00450FCA"/>
    <w:rsid w:val="004510DB"/>
    <w:rsid w:val="004511F7"/>
    <w:rsid w:val="0045121C"/>
    <w:rsid w:val="004513DC"/>
    <w:rsid w:val="004514D3"/>
    <w:rsid w:val="004514FE"/>
    <w:rsid w:val="004515B3"/>
    <w:rsid w:val="00451645"/>
    <w:rsid w:val="00451706"/>
    <w:rsid w:val="004519E4"/>
    <w:rsid w:val="00451A87"/>
    <w:rsid w:val="00451C3E"/>
    <w:rsid w:val="00451CBA"/>
    <w:rsid w:val="00451CC1"/>
    <w:rsid w:val="00451F3F"/>
    <w:rsid w:val="00451FAD"/>
    <w:rsid w:val="00451FC3"/>
    <w:rsid w:val="00452109"/>
    <w:rsid w:val="004523A0"/>
    <w:rsid w:val="004524DB"/>
    <w:rsid w:val="004527B9"/>
    <w:rsid w:val="004527CD"/>
    <w:rsid w:val="004527E2"/>
    <w:rsid w:val="0045287B"/>
    <w:rsid w:val="00452932"/>
    <w:rsid w:val="00452D13"/>
    <w:rsid w:val="00452D50"/>
    <w:rsid w:val="00452EEE"/>
    <w:rsid w:val="00453098"/>
    <w:rsid w:val="0045330D"/>
    <w:rsid w:val="004533BB"/>
    <w:rsid w:val="004534C2"/>
    <w:rsid w:val="004534C8"/>
    <w:rsid w:val="00453560"/>
    <w:rsid w:val="0045362A"/>
    <w:rsid w:val="0045386D"/>
    <w:rsid w:val="00453916"/>
    <w:rsid w:val="00453B9A"/>
    <w:rsid w:val="00453CA4"/>
    <w:rsid w:val="00453CD7"/>
    <w:rsid w:val="00454013"/>
    <w:rsid w:val="004540D0"/>
    <w:rsid w:val="00454214"/>
    <w:rsid w:val="00454522"/>
    <w:rsid w:val="004547D5"/>
    <w:rsid w:val="00454804"/>
    <w:rsid w:val="00454924"/>
    <w:rsid w:val="00454AF0"/>
    <w:rsid w:val="00454B1B"/>
    <w:rsid w:val="00454E61"/>
    <w:rsid w:val="00454F8E"/>
    <w:rsid w:val="0045501D"/>
    <w:rsid w:val="00455100"/>
    <w:rsid w:val="0045521A"/>
    <w:rsid w:val="0045528C"/>
    <w:rsid w:val="004552AF"/>
    <w:rsid w:val="004552BB"/>
    <w:rsid w:val="004552ED"/>
    <w:rsid w:val="004554E2"/>
    <w:rsid w:val="004555E2"/>
    <w:rsid w:val="0045563C"/>
    <w:rsid w:val="00455700"/>
    <w:rsid w:val="00455716"/>
    <w:rsid w:val="0045580E"/>
    <w:rsid w:val="004559B3"/>
    <w:rsid w:val="00455C7B"/>
    <w:rsid w:val="00455C90"/>
    <w:rsid w:val="00455CDC"/>
    <w:rsid w:val="00455D1C"/>
    <w:rsid w:val="00455F62"/>
    <w:rsid w:val="004560AD"/>
    <w:rsid w:val="00456140"/>
    <w:rsid w:val="0045614D"/>
    <w:rsid w:val="0045615B"/>
    <w:rsid w:val="004563C5"/>
    <w:rsid w:val="004565A5"/>
    <w:rsid w:val="004565EE"/>
    <w:rsid w:val="0045666E"/>
    <w:rsid w:val="0045679B"/>
    <w:rsid w:val="00456969"/>
    <w:rsid w:val="00456A29"/>
    <w:rsid w:val="00456A73"/>
    <w:rsid w:val="00456AB9"/>
    <w:rsid w:val="00456DB0"/>
    <w:rsid w:val="00457220"/>
    <w:rsid w:val="00457522"/>
    <w:rsid w:val="0045778E"/>
    <w:rsid w:val="00457954"/>
    <w:rsid w:val="00457AF4"/>
    <w:rsid w:val="00457C59"/>
    <w:rsid w:val="00457D6F"/>
    <w:rsid w:val="00460115"/>
    <w:rsid w:val="0046017A"/>
    <w:rsid w:val="00460258"/>
    <w:rsid w:val="004605DC"/>
    <w:rsid w:val="00460B16"/>
    <w:rsid w:val="00460CEE"/>
    <w:rsid w:val="00460EC0"/>
    <w:rsid w:val="00460FC1"/>
    <w:rsid w:val="004610A0"/>
    <w:rsid w:val="004610D9"/>
    <w:rsid w:val="0046113E"/>
    <w:rsid w:val="00461307"/>
    <w:rsid w:val="00461336"/>
    <w:rsid w:val="004613E4"/>
    <w:rsid w:val="0046145E"/>
    <w:rsid w:val="004615C2"/>
    <w:rsid w:val="0046160D"/>
    <w:rsid w:val="004619DC"/>
    <w:rsid w:val="004619E9"/>
    <w:rsid w:val="00461D79"/>
    <w:rsid w:val="00461EE6"/>
    <w:rsid w:val="00462268"/>
    <w:rsid w:val="004622CA"/>
    <w:rsid w:val="00462523"/>
    <w:rsid w:val="0046254B"/>
    <w:rsid w:val="004626AA"/>
    <w:rsid w:val="00462778"/>
    <w:rsid w:val="0046278E"/>
    <w:rsid w:val="00462918"/>
    <w:rsid w:val="004629B9"/>
    <w:rsid w:val="00462C63"/>
    <w:rsid w:val="00462CF9"/>
    <w:rsid w:val="00462FBB"/>
    <w:rsid w:val="00463041"/>
    <w:rsid w:val="00463249"/>
    <w:rsid w:val="004633D6"/>
    <w:rsid w:val="004634FA"/>
    <w:rsid w:val="0046350E"/>
    <w:rsid w:val="00463917"/>
    <w:rsid w:val="00463992"/>
    <w:rsid w:val="00463A53"/>
    <w:rsid w:val="00463DC2"/>
    <w:rsid w:val="00463FEC"/>
    <w:rsid w:val="00464343"/>
    <w:rsid w:val="004643BC"/>
    <w:rsid w:val="00464437"/>
    <w:rsid w:val="0046453F"/>
    <w:rsid w:val="004646D7"/>
    <w:rsid w:val="00464727"/>
    <w:rsid w:val="00464A01"/>
    <w:rsid w:val="00464AAD"/>
    <w:rsid w:val="00464CAE"/>
    <w:rsid w:val="00464D01"/>
    <w:rsid w:val="00464F6C"/>
    <w:rsid w:val="00465080"/>
    <w:rsid w:val="00465380"/>
    <w:rsid w:val="004654D5"/>
    <w:rsid w:val="00465611"/>
    <w:rsid w:val="004656CD"/>
    <w:rsid w:val="00465B19"/>
    <w:rsid w:val="00465E25"/>
    <w:rsid w:val="00465FC0"/>
    <w:rsid w:val="0046600B"/>
    <w:rsid w:val="00466090"/>
    <w:rsid w:val="00466206"/>
    <w:rsid w:val="00466439"/>
    <w:rsid w:val="00466494"/>
    <w:rsid w:val="0046678F"/>
    <w:rsid w:val="004667F5"/>
    <w:rsid w:val="00466A3B"/>
    <w:rsid w:val="00466A50"/>
    <w:rsid w:val="00466A53"/>
    <w:rsid w:val="00466B17"/>
    <w:rsid w:val="00466B8C"/>
    <w:rsid w:val="00466BDF"/>
    <w:rsid w:val="00466C00"/>
    <w:rsid w:val="00466C05"/>
    <w:rsid w:val="00466CDB"/>
    <w:rsid w:val="00466D1A"/>
    <w:rsid w:val="00466DE0"/>
    <w:rsid w:val="00467065"/>
    <w:rsid w:val="0046710B"/>
    <w:rsid w:val="0046728B"/>
    <w:rsid w:val="00467960"/>
    <w:rsid w:val="00467C8B"/>
    <w:rsid w:val="00467D05"/>
    <w:rsid w:val="00467D25"/>
    <w:rsid w:val="00467D54"/>
    <w:rsid w:val="00467DE0"/>
    <w:rsid w:val="00467E4F"/>
    <w:rsid w:val="0047026E"/>
    <w:rsid w:val="00470395"/>
    <w:rsid w:val="004703CB"/>
    <w:rsid w:val="00470472"/>
    <w:rsid w:val="0047062F"/>
    <w:rsid w:val="00470857"/>
    <w:rsid w:val="00470AEA"/>
    <w:rsid w:val="00470BAD"/>
    <w:rsid w:val="00470BFE"/>
    <w:rsid w:val="00470D0E"/>
    <w:rsid w:val="00470D3A"/>
    <w:rsid w:val="00470E8A"/>
    <w:rsid w:val="00470FDD"/>
    <w:rsid w:val="00471204"/>
    <w:rsid w:val="004712D0"/>
    <w:rsid w:val="0047148D"/>
    <w:rsid w:val="004714F0"/>
    <w:rsid w:val="00471885"/>
    <w:rsid w:val="00471C24"/>
    <w:rsid w:val="00471D0D"/>
    <w:rsid w:val="004721F8"/>
    <w:rsid w:val="0047221D"/>
    <w:rsid w:val="0047226C"/>
    <w:rsid w:val="004723FB"/>
    <w:rsid w:val="004724BE"/>
    <w:rsid w:val="00472675"/>
    <w:rsid w:val="00472852"/>
    <w:rsid w:val="004728F3"/>
    <w:rsid w:val="00472A1D"/>
    <w:rsid w:val="00472CB0"/>
    <w:rsid w:val="00472D3A"/>
    <w:rsid w:val="004730AC"/>
    <w:rsid w:val="004730FF"/>
    <w:rsid w:val="004731A6"/>
    <w:rsid w:val="004732E1"/>
    <w:rsid w:val="004733BF"/>
    <w:rsid w:val="004734B8"/>
    <w:rsid w:val="004735F3"/>
    <w:rsid w:val="00473659"/>
    <w:rsid w:val="00473B97"/>
    <w:rsid w:val="00473BF5"/>
    <w:rsid w:val="00473F84"/>
    <w:rsid w:val="00474118"/>
    <w:rsid w:val="004741E8"/>
    <w:rsid w:val="00474237"/>
    <w:rsid w:val="0047427A"/>
    <w:rsid w:val="0047429F"/>
    <w:rsid w:val="0047468C"/>
    <w:rsid w:val="00474726"/>
    <w:rsid w:val="004747C8"/>
    <w:rsid w:val="00474A65"/>
    <w:rsid w:val="00474AB4"/>
    <w:rsid w:val="00474B6E"/>
    <w:rsid w:val="00474DCB"/>
    <w:rsid w:val="00474E01"/>
    <w:rsid w:val="00474E3F"/>
    <w:rsid w:val="00474EF8"/>
    <w:rsid w:val="00474F87"/>
    <w:rsid w:val="00475016"/>
    <w:rsid w:val="00475040"/>
    <w:rsid w:val="0047507B"/>
    <w:rsid w:val="004751C2"/>
    <w:rsid w:val="004751CE"/>
    <w:rsid w:val="0047540C"/>
    <w:rsid w:val="0047541F"/>
    <w:rsid w:val="00475424"/>
    <w:rsid w:val="0047543B"/>
    <w:rsid w:val="00475515"/>
    <w:rsid w:val="004756D8"/>
    <w:rsid w:val="0047576D"/>
    <w:rsid w:val="004758F0"/>
    <w:rsid w:val="00475944"/>
    <w:rsid w:val="00475A33"/>
    <w:rsid w:val="00475BC8"/>
    <w:rsid w:val="00475E26"/>
    <w:rsid w:val="00475EF6"/>
    <w:rsid w:val="00475F75"/>
    <w:rsid w:val="00475F7F"/>
    <w:rsid w:val="00475FFE"/>
    <w:rsid w:val="00476079"/>
    <w:rsid w:val="00476124"/>
    <w:rsid w:val="00476193"/>
    <w:rsid w:val="004761B4"/>
    <w:rsid w:val="004761F3"/>
    <w:rsid w:val="00476287"/>
    <w:rsid w:val="004762EC"/>
    <w:rsid w:val="00476356"/>
    <w:rsid w:val="004763C4"/>
    <w:rsid w:val="00476567"/>
    <w:rsid w:val="004765A7"/>
    <w:rsid w:val="004765F5"/>
    <w:rsid w:val="00476B22"/>
    <w:rsid w:val="00476C4E"/>
    <w:rsid w:val="00476D99"/>
    <w:rsid w:val="00476FBE"/>
    <w:rsid w:val="004771D0"/>
    <w:rsid w:val="00477371"/>
    <w:rsid w:val="00477731"/>
    <w:rsid w:val="004777BB"/>
    <w:rsid w:val="004777FE"/>
    <w:rsid w:val="004778B0"/>
    <w:rsid w:val="00477D0A"/>
    <w:rsid w:val="00477F1D"/>
    <w:rsid w:val="00477F9C"/>
    <w:rsid w:val="00477FF3"/>
    <w:rsid w:val="00480120"/>
    <w:rsid w:val="00480551"/>
    <w:rsid w:val="00480666"/>
    <w:rsid w:val="00480667"/>
    <w:rsid w:val="0048070A"/>
    <w:rsid w:val="00480748"/>
    <w:rsid w:val="004807C9"/>
    <w:rsid w:val="00480B42"/>
    <w:rsid w:val="00480D37"/>
    <w:rsid w:val="00480D43"/>
    <w:rsid w:val="00480E33"/>
    <w:rsid w:val="00480E6F"/>
    <w:rsid w:val="004810D4"/>
    <w:rsid w:val="0048111E"/>
    <w:rsid w:val="004811BF"/>
    <w:rsid w:val="00481484"/>
    <w:rsid w:val="00481497"/>
    <w:rsid w:val="0048168E"/>
    <w:rsid w:val="00481901"/>
    <w:rsid w:val="00481902"/>
    <w:rsid w:val="00481B35"/>
    <w:rsid w:val="00481B5F"/>
    <w:rsid w:val="00481EB6"/>
    <w:rsid w:val="00481F6D"/>
    <w:rsid w:val="00481FC1"/>
    <w:rsid w:val="00481FEF"/>
    <w:rsid w:val="004823C8"/>
    <w:rsid w:val="00482444"/>
    <w:rsid w:val="0048245F"/>
    <w:rsid w:val="004824ED"/>
    <w:rsid w:val="004826B4"/>
    <w:rsid w:val="004826CC"/>
    <w:rsid w:val="004827E4"/>
    <w:rsid w:val="00482804"/>
    <w:rsid w:val="00482822"/>
    <w:rsid w:val="00482852"/>
    <w:rsid w:val="00482865"/>
    <w:rsid w:val="004828AF"/>
    <w:rsid w:val="00482B47"/>
    <w:rsid w:val="00482C59"/>
    <w:rsid w:val="00482CB2"/>
    <w:rsid w:val="00482D93"/>
    <w:rsid w:val="00482E50"/>
    <w:rsid w:val="00482E90"/>
    <w:rsid w:val="00482ED4"/>
    <w:rsid w:val="00482FB7"/>
    <w:rsid w:val="004830D4"/>
    <w:rsid w:val="004831AE"/>
    <w:rsid w:val="004831E3"/>
    <w:rsid w:val="004831FD"/>
    <w:rsid w:val="00483212"/>
    <w:rsid w:val="0048323E"/>
    <w:rsid w:val="0048336C"/>
    <w:rsid w:val="00483412"/>
    <w:rsid w:val="00483566"/>
    <w:rsid w:val="00483631"/>
    <w:rsid w:val="004836A5"/>
    <w:rsid w:val="004836B9"/>
    <w:rsid w:val="00483701"/>
    <w:rsid w:val="00483709"/>
    <w:rsid w:val="004838ED"/>
    <w:rsid w:val="004838F8"/>
    <w:rsid w:val="00483920"/>
    <w:rsid w:val="00483B77"/>
    <w:rsid w:val="00483BCE"/>
    <w:rsid w:val="00483BEE"/>
    <w:rsid w:val="00483C6A"/>
    <w:rsid w:val="00483D02"/>
    <w:rsid w:val="00483D5C"/>
    <w:rsid w:val="00483DB8"/>
    <w:rsid w:val="00483F98"/>
    <w:rsid w:val="0048411E"/>
    <w:rsid w:val="0048413B"/>
    <w:rsid w:val="00484204"/>
    <w:rsid w:val="00484220"/>
    <w:rsid w:val="00484449"/>
    <w:rsid w:val="0048453E"/>
    <w:rsid w:val="004845D3"/>
    <w:rsid w:val="00484619"/>
    <w:rsid w:val="004846D1"/>
    <w:rsid w:val="00484767"/>
    <w:rsid w:val="004847C7"/>
    <w:rsid w:val="00484A95"/>
    <w:rsid w:val="00484D7B"/>
    <w:rsid w:val="00484DC5"/>
    <w:rsid w:val="00484E87"/>
    <w:rsid w:val="00484EC6"/>
    <w:rsid w:val="00485147"/>
    <w:rsid w:val="00485558"/>
    <w:rsid w:val="00485627"/>
    <w:rsid w:val="00485675"/>
    <w:rsid w:val="004856E5"/>
    <w:rsid w:val="0048593F"/>
    <w:rsid w:val="00485972"/>
    <w:rsid w:val="00485A08"/>
    <w:rsid w:val="00485AA9"/>
    <w:rsid w:val="00485BE7"/>
    <w:rsid w:val="00485E9B"/>
    <w:rsid w:val="00485FBD"/>
    <w:rsid w:val="0048617F"/>
    <w:rsid w:val="004865DC"/>
    <w:rsid w:val="004866F6"/>
    <w:rsid w:val="00486756"/>
    <w:rsid w:val="00486801"/>
    <w:rsid w:val="00486811"/>
    <w:rsid w:val="00486923"/>
    <w:rsid w:val="00486A75"/>
    <w:rsid w:val="00486A7D"/>
    <w:rsid w:val="00486AA9"/>
    <w:rsid w:val="00486AC4"/>
    <w:rsid w:val="00486AE2"/>
    <w:rsid w:val="00486B75"/>
    <w:rsid w:val="00486C40"/>
    <w:rsid w:val="00486C84"/>
    <w:rsid w:val="0048710F"/>
    <w:rsid w:val="0048712F"/>
    <w:rsid w:val="0048726F"/>
    <w:rsid w:val="0048752D"/>
    <w:rsid w:val="00487B01"/>
    <w:rsid w:val="00487B89"/>
    <w:rsid w:val="00487C85"/>
    <w:rsid w:val="00487C86"/>
    <w:rsid w:val="00487F08"/>
    <w:rsid w:val="00490195"/>
    <w:rsid w:val="0049020A"/>
    <w:rsid w:val="0049027B"/>
    <w:rsid w:val="00490317"/>
    <w:rsid w:val="00490323"/>
    <w:rsid w:val="004903BA"/>
    <w:rsid w:val="0049061C"/>
    <w:rsid w:val="004906CB"/>
    <w:rsid w:val="004907DE"/>
    <w:rsid w:val="00490A50"/>
    <w:rsid w:val="00490B2E"/>
    <w:rsid w:val="00490C1F"/>
    <w:rsid w:val="00490DC4"/>
    <w:rsid w:val="00490DCC"/>
    <w:rsid w:val="00490ED9"/>
    <w:rsid w:val="00491247"/>
    <w:rsid w:val="004912F0"/>
    <w:rsid w:val="0049135F"/>
    <w:rsid w:val="0049168D"/>
    <w:rsid w:val="004916DF"/>
    <w:rsid w:val="0049183E"/>
    <w:rsid w:val="004918CA"/>
    <w:rsid w:val="004919CD"/>
    <w:rsid w:val="00491A99"/>
    <w:rsid w:val="00491C6E"/>
    <w:rsid w:val="00491C9B"/>
    <w:rsid w:val="00491CB6"/>
    <w:rsid w:val="00491CF6"/>
    <w:rsid w:val="00491E1D"/>
    <w:rsid w:val="00492114"/>
    <w:rsid w:val="0049226D"/>
    <w:rsid w:val="0049228A"/>
    <w:rsid w:val="004922ED"/>
    <w:rsid w:val="0049233B"/>
    <w:rsid w:val="004923A7"/>
    <w:rsid w:val="004924D8"/>
    <w:rsid w:val="0049251E"/>
    <w:rsid w:val="0049260D"/>
    <w:rsid w:val="0049269C"/>
    <w:rsid w:val="004926F1"/>
    <w:rsid w:val="0049274B"/>
    <w:rsid w:val="004928B2"/>
    <w:rsid w:val="00492A3E"/>
    <w:rsid w:val="00492AB4"/>
    <w:rsid w:val="00492B06"/>
    <w:rsid w:val="00492FC5"/>
    <w:rsid w:val="004934DD"/>
    <w:rsid w:val="00493560"/>
    <w:rsid w:val="004936E4"/>
    <w:rsid w:val="004938BA"/>
    <w:rsid w:val="004938FA"/>
    <w:rsid w:val="00493949"/>
    <w:rsid w:val="004939E2"/>
    <w:rsid w:val="00493AA4"/>
    <w:rsid w:val="00493BFF"/>
    <w:rsid w:val="00493CE2"/>
    <w:rsid w:val="00493D23"/>
    <w:rsid w:val="00494078"/>
    <w:rsid w:val="0049409C"/>
    <w:rsid w:val="00494336"/>
    <w:rsid w:val="004943BA"/>
    <w:rsid w:val="00494489"/>
    <w:rsid w:val="004946AA"/>
    <w:rsid w:val="0049475A"/>
    <w:rsid w:val="004947D4"/>
    <w:rsid w:val="00494988"/>
    <w:rsid w:val="00494ADD"/>
    <w:rsid w:val="00494BDA"/>
    <w:rsid w:val="00494BEA"/>
    <w:rsid w:val="00494C3F"/>
    <w:rsid w:val="00494F64"/>
    <w:rsid w:val="00494FAD"/>
    <w:rsid w:val="0049522A"/>
    <w:rsid w:val="004953BC"/>
    <w:rsid w:val="0049551E"/>
    <w:rsid w:val="004955BD"/>
    <w:rsid w:val="00495824"/>
    <w:rsid w:val="00495870"/>
    <w:rsid w:val="00495982"/>
    <w:rsid w:val="004959A5"/>
    <w:rsid w:val="00495C1D"/>
    <w:rsid w:val="00495D05"/>
    <w:rsid w:val="00495D31"/>
    <w:rsid w:val="00495DC5"/>
    <w:rsid w:val="00495E56"/>
    <w:rsid w:val="00495F1B"/>
    <w:rsid w:val="00495F53"/>
    <w:rsid w:val="0049607F"/>
    <w:rsid w:val="00496152"/>
    <w:rsid w:val="004961AB"/>
    <w:rsid w:val="004963A9"/>
    <w:rsid w:val="004964FA"/>
    <w:rsid w:val="004965B8"/>
    <w:rsid w:val="00496662"/>
    <w:rsid w:val="004966C9"/>
    <w:rsid w:val="0049687B"/>
    <w:rsid w:val="00496986"/>
    <w:rsid w:val="004969BA"/>
    <w:rsid w:val="00496BF1"/>
    <w:rsid w:val="00496C25"/>
    <w:rsid w:val="00496C9F"/>
    <w:rsid w:val="00496CF1"/>
    <w:rsid w:val="00496E41"/>
    <w:rsid w:val="0049709A"/>
    <w:rsid w:val="00497283"/>
    <w:rsid w:val="004972CB"/>
    <w:rsid w:val="004973E1"/>
    <w:rsid w:val="00497555"/>
    <w:rsid w:val="00497859"/>
    <w:rsid w:val="004978F7"/>
    <w:rsid w:val="00497B9F"/>
    <w:rsid w:val="00497CFD"/>
    <w:rsid w:val="00497D06"/>
    <w:rsid w:val="00497FAC"/>
    <w:rsid w:val="00497FE4"/>
    <w:rsid w:val="004A0019"/>
    <w:rsid w:val="004A02F5"/>
    <w:rsid w:val="004A032F"/>
    <w:rsid w:val="004A041D"/>
    <w:rsid w:val="004A0477"/>
    <w:rsid w:val="004A0619"/>
    <w:rsid w:val="004A06AD"/>
    <w:rsid w:val="004A0ADD"/>
    <w:rsid w:val="004A0B96"/>
    <w:rsid w:val="004A0CA4"/>
    <w:rsid w:val="004A0D91"/>
    <w:rsid w:val="004A0ED9"/>
    <w:rsid w:val="004A0F46"/>
    <w:rsid w:val="004A0F85"/>
    <w:rsid w:val="004A100E"/>
    <w:rsid w:val="004A10A3"/>
    <w:rsid w:val="004A11D6"/>
    <w:rsid w:val="004A11E1"/>
    <w:rsid w:val="004A120E"/>
    <w:rsid w:val="004A1315"/>
    <w:rsid w:val="004A1416"/>
    <w:rsid w:val="004A1436"/>
    <w:rsid w:val="004A147C"/>
    <w:rsid w:val="004A154D"/>
    <w:rsid w:val="004A172B"/>
    <w:rsid w:val="004A1CFA"/>
    <w:rsid w:val="004A1D3D"/>
    <w:rsid w:val="004A1E24"/>
    <w:rsid w:val="004A1E2D"/>
    <w:rsid w:val="004A1E47"/>
    <w:rsid w:val="004A2084"/>
    <w:rsid w:val="004A208E"/>
    <w:rsid w:val="004A22AD"/>
    <w:rsid w:val="004A236C"/>
    <w:rsid w:val="004A23F9"/>
    <w:rsid w:val="004A2418"/>
    <w:rsid w:val="004A2489"/>
    <w:rsid w:val="004A24D0"/>
    <w:rsid w:val="004A257C"/>
    <w:rsid w:val="004A26EC"/>
    <w:rsid w:val="004A2A56"/>
    <w:rsid w:val="004A2AAC"/>
    <w:rsid w:val="004A2AF2"/>
    <w:rsid w:val="004A2C07"/>
    <w:rsid w:val="004A2D1C"/>
    <w:rsid w:val="004A2D8F"/>
    <w:rsid w:val="004A2DAA"/>
    <w:rsid w:val="004A2E95"/>
    <w:rsid w:val="004A3113"/>
    <w:rsid w:val="004A31AA"/>
    <w:rsid w:val="004A31FE"/>
    <w:rsid w:val="004A327B"/>
    <w:rsid w:val="004A32D1"/>
    <w:rsid w:val="004A3345"/>
    <w:rsid w:val="004A336F"/>
    <w:rsid w:val="004A34BD"/>
    <w:rsid w:val="004A355A"/>
    <w:rsid w:val="004A38C2"/>
    <w:rsid w:val="004A3B69"/>
    <w:rsid w:val="004A3E32"/>
    <w:rsid w:val="004A3E38"/>
    <w:rsid w:val="004A3E64"/>
    <w:rsid w:val="004A3FDA"/>
    <w:rsid w:val="004A4079"/>
    <w:rsid w:val="004A40AB"/>
    <w:rsid w:val="004A40D2"/>
    <w:rsid w:val="004A41AC"/>
    <w:rsid w:val="004A427C"/>
    <w:rsid w:val="004A4378"/>
    <w:rsid w:val="004A43FA"/>
    <w:rsid w:val="004A4430"/>
    <w:rsid w:val="004A45C4"/>
    <w:rsid w:val="004A460C"/>
    <w:rsid w:val="004A465E"/>
    <w:rsid w:val="004A488C"/>
    <w:rsid w:val="004A48EC"/>
    <w:rsid w:val="004A4A86"/>
    <w:rsid w:val="004A4C16"/>
    <w:rsid w:val="004A4C1F"/>
    <w:rsid w:val="004A4CD2"/>
    <w:rsid w:val="004A4CF5"/>
    <w:rsid w:val="004A4DEC"/>
    <w:rsid w:val="004A4E90"/>
    <w:rsid w:val="004A4FDF"/>
    <w:rsid w:val="004A52AF"/>
    <w:rsid w:val="004A53D2"/>
    <w:rsid w:val="004A5489"/>
    <w:rsid w:val="004A54C0"/>
    <w:rsid w:val="004A551F"/>
    <w:rsid w:val="004A5613"/>
    <w:rsid w:val="004A5A64"/>
    <w:rsid w:val="004A5AA5"/>
    <w:rsid w:val="004A5E73"/>
    <w:rsid w:val="004A5F61"/>
    <w:rsid w:val="004A5FD3"/>
    <w:rsid w:val="004A6109"/>
    <w:rsid w:val="004A6158"/>
    <w:rsid w:val="004A623C"/>
    <w:rsid w:val="004A62A0"/>
    <w:rsid w:val="004A635A"/>
    <w:rsid w:val="004A6400"/>
    <w:rsid w:val="004A6473"/>
    <w:rsid w:val="004A6538"/>
    <w:rsid w:val="004A6944"/>
    <w:rsid w:val="004A6977"/>
    <w:rsid w:val="004A6A91"/>
    <w:rsid w:val="004A6C79"/>
    <w:rsid w:val="004A6CFF"/>
    <w:rsid w:val="004A6D10"/>
    <w:rsid w:val="004A70F6"/>
    <w:rsid w:val="004A710A"/>
    <w:rsid w:val="004A713D"/>
    <w:rsid w:val="004A7247"/>
    <w:rsid w:val="004A72FC"/>
    <w:rsid w:val="004A752A"/>
    <w:rsid w:val="004A7622"/>
    <w:rsid w:val="004A77BA"/>
    <w:rsid w:val="004A77E0"/>
    <w:rsid w:val="004A7865"/>
    <w:rsid w:val="004A7A52"/>
    <w:rsid w:val="004A7D8C"/>
    <w:rsid w:val="004A7DF6"/>
    <w:rsid w:val="004A7F19"/>
    <w:rsid w:val="004B010C"/>
    <w:rsid w:val="004B0181"/>
    <w:rsid w:val="004B01D6"/>
    <w:rsid w:val="004B0245"/>
    <w:rsid w:val="004B0349"/>
    <w:rsid w:val="004B034C"/>
    <w:rsid w:val="004B0520"/>
    <w:rsid w:val="004B0627"/>
    <w:rsid w:val="004B074B"/>
    <w:rsid w:val="004B080F"/>
    <w:rsid w:val="004B0A41"/>
    <w:rsid w:val="004B0A4A"/>
    <w:rsid w:val="004B0A7A"/>
    <w:rsid w:val="004B0B0B"/>
    <w:rsid w:val="004B0CB2"/>
    <w:rsid w:val="004B0F45"/>
    <w:rsid w:val="004B11AE"/>
    <w:rsid w:val="004B11B5"/>
    <w:rsid w:val="004B1367"/>
    <w:rsid w:val="004B13F0"/>
    <w:rsid w:val="004B1515"/>
    <w:rsid w:val="004B15AB"/>
    <w:rsid w:val="004B17BC"/>
    <w:rsid w:val="004B19FE"/>
    <w:rsid w:val="004B1B28"/>
    <w:rsid w:val="004B1C1C"/>
    <w:rsid w:val="004B1D3E"/>
    <w:rsid w:val="004B248B"/>
    <w:rsid w:val="004B25B8"/>
    <w:rsid w:val="004B264E"/>
    <w:rsid w:val="004B2693"/>
    <w:rsid w:val="004B26BD"/>
    <w:rsid w:val="004B274F"/>
    <w:rsid w:val="004B2910"/>
    <w:rsid w:val="004B2959"/>
    <w:rsid w:val="004B2A4D"/>
    <w:rsid w:val="004B2E86"/>
    <w:rsid w:val="004B2F45"/>
    <w:rsid w:val="004B2F81"/>
    <w:rsid w:val="004B313E"/>
    <w:rsid w:val="004B33C2"/>
    <w:rsid w:val="004B3461"/>
    <w:rsid w:val="004B3496"/>
    <w:rsid w:val="004B35B1"/>
    <w:rsid w:val="004B35E8"/>
    <w:rsid w:val="004B361C"/>
    <w:rsid w:val="004B3A53"/>
    <w:rsid w:val="004B3D67"/>
    <w:rsid w:val="004B3D76"/>
    <w:rsid w:val="004B3FCC"/>
    <w:rsid w:val="004B40E8"/>
    <w:rsid w:val="004B4214"/>
    <w:rsid w:val="004B42A3"/>
    <w:rsid w:val="004B42CF"/>
    <w:rsid w:val="004B439A"/>
    <w:rsid w:val="004B4417"/>
    <w:rsid w:val="004B4469"/>
    <w:rsid w:val="004B469D"/>
    <w:rsid w:val="004B4A4C"/>
    <w:rsid w:val="004B4C30"/>
    <w:rsid w:val="004B4C38"/>
    <w:rsid w:val="004B4CED"/>
    <w:rsid w:val="004B4DEE"/>
    <w:rsid w:val="004B4FD2"/>
    <w:rsid w:val="004B5037"/>
    <w:rsid w:val="004B5185"/>
    <w:rsid w:val="004B5280"/>
    <w:rsid w:val="004B5304"/>
    <w:rsid w:val="004B530A"/>
    <w:rsid w:val="004B56C5"/>
    <w:rsid w:val="004B5708"/>
    <w:rsid w:val="004B5735"/>
    <w:rsid w:val="004B5864"/>
    <w:rsid w:val="004B5B4E"/>
    <w:rsid w:val="004B5B9B"/>
    <w:rsid w:val="004B5C91"/>
    <w:rsid w:val="004B5D84"/>
    <w:rsid w:val="004B5DC1"/>
    <w:rsid w:val="004B6001"/>
    <w:rsid w:val="004B60ED"/>
    <w:rsid w:val="004B615D"/>
    <w:rsid w:val="004B62B0"/>
    <w:rsid w:val="004B6419"/>
    <w:rsid w:val="004B6459"/>
    <w:rsid w:val="004B6758"/>
    <w:rsid w:val="004B6770"/>
    <w:rsid w:val="004B684D"/>
    <w:rsid w:val="004B689D"/>
    <w:rsid w:val="004B68F3"/>
    <w:rsid w:val="004B6945"/>
    <w:rsid w:val="004B699E"/>
    <w:rsid w:val="004B6BCE"/>
    <w:rsid w:val="004B7332"/>
    <w:rsid w:val="004B744D"/>
    <w:rsid w:val="004B74E7"/>
    <w:rsid w:val="004B7678"/>
    <w:rsid w:val="004B7779"/>
    <w:rsid w:val="004B789F"/>
    <w:rsid w:val="004B78E2"/>
    <w:rsid w:val="004B79C2"/>
    <w:rsid w:val="004B7A2F"/>
    <w:rsid w:val="004B7ECD"/>
    <w:rsid w:val="004B7F70"/>
    <w:rsid w:val="004C0048"/>
    <w:rsid w:val="004C01CD"/>
    <w:rsid w:val="004C01DD"/>
    <w:rsid w:val="004C039B"/>
    <w:rsid w:val="004C03A3"/>
    <w:rsid w:val="004C0509"/>
    <w:rsid w:val="004C0635"/>
    <w:rsid w:val="004C0672"/>
    <w:rsid w:val="004C0691"/>
    <w:rsid w:val="004C06AF"/>
    <w:rsid w:val="004C0768"/>
    <w:rsid w:val="004C086B"/>
    <w:rsid w:val="004C087B"/>
    <w:rsid w:val="004C0B80"/>
    <w:rsid w:val="004C0CAA"/>
    <w:rsid w:val="004C0D8B"/>
    <w:rsid w:val="004C0D90"/>
    <w:rsid w:val="004C0E97"/>
    <w:rsid w:val="004C0EAE"/>
    <w:rsid w:val="004C0F4D"/>
    <w:rsid w:val="004C0F50"/>
    <w:rsid w:val="004C10EB"/>
    <w:rsid w:val="004C163C"/>
    <w:rsid w:val="004C1AAE"/>
    <w:rsid w:val="004C1AEF"/>
    <w:rsid w:val="004C1BB9"/>
    <w:rsid w:val="004C1CBF"/>
    <w:rsid w:val="004C1D35"/>
    <w:rsid w:val="004C1DF6"/>
    <w:rsid w:val="004C1EF0"/>
    <w:rsid w:val="004C1F92"/>
    <w:rsid w:val="004C2088"/>
    <w:rsid w:val="004C2103"/>
    <w:rsid w:val="004C211E"/>
    <w:rsid w:val="004C2337"/>
    <w:rsid w:val="004C2498"/>
    <w:rsid w:val="004C2818"/>
    <w:rsid w:val="004C2999"/>
    <w:rsid w:val="004C2A98"/>
    <w:rsid w:val="004C2D4D"/>
    <w:rsid w:val="004C300F"/>
    <w:rsid w:val="004C3070"/>
    <w:rsid w:val="004C30F6"/>
    <w:rsid w:val="004C3132"/>
    <w:rsid w:val="004C319D"/>
    <w:rsid w:val="004C31E2"/>
    <w:rsid w:val="004C31EB"/>
    <w:rsid w:val="004C330E"/>
    <w:rsid w:val="004C3589"/>
    <w:rsid w:val="004C36BC"/>
    <w:rsid w:val="004C376E"/>
    <w:rsid w:val="004C3884"/>
    <w:rsid w:val="004C38B8"/>
    <w:rsid w:val="004C3A11"/>
    <w:rsid w:val="004C3C03"/>
    <w:rsid w:val="004C3D39"/>
    <w:rsid w:val="004C3E36"/>
    <w:rsid w:val="004C4357"/>
    <w:rsid w:val="004C44D6"/>
    <w:rsid w:val="004C47FA"/>
    <w:rsid w:val="004C48C8"/>
    <w:rsid w:val="004C4954"/>
    <w:rsid w:val="004C4967"/>
    <w:rsid w:val="004C4AD9"/>
    <w:rsid w:val="004C4B03"/>
    <w:rsid w:val="004C4B65"/>
    <w:rsid w:val="004C4B9B"/>
    <w:rsid w:val="004C4E5B"/>
    <w:rsid w:val="004C540E"/>
    <w:rsid w:val="004C5609"/>
    <w:rsid w:val="004C5645"/>
    <w:rsid w:val="004C5760"/>
    <w:rsid w:val="004C5797"/>
    <w:rsid w:val="004C598D"/>
    <w:rsid w:val="004C5A3D"/>
    <w:rsid w:val="004C5AB9"/>
    <w:rsid w:val="004C5ABA"/>
    <w:rsid w:val="004C5CA9"/>
    <w:rsid w:val="004C5ED9"/>
    <w:rsid w:val="004C5FD9"/>
    <w:rsid w:val="004C6011"/>
    <w:rsid w:val="004C60BB"/>
    <w:rsid w:val="004C6130"/>
    <w:rsid w:val="004C634C"/>
    <w:rsid w:val="004C638F"/>
    <w:rsid w:val="004C6643"/>
    <w:rsid w:val="004C67DB"/>
    <w:rsid w:val="004C684E"/>
    <w:rsid w:val="004C6A17"/>
    <w:rsid w:val="004C6A4F"/>
    <w:rsid w:val="004C6A64"/>
    <w:rsid w:val="004C6BB8"/>
    <w:rsid w:val="004C6D55"/>
    <w:rsid w:val="004C6D6B"/>
    <w:rsid w:val="004C6DE6"/>
    <w:rsid w:val="004C7233"/>
    <w:rsid w:val="004C7583"/>
    <w:rsid w:val="004C7602"/>
    <w:rsid w:val="004C7638"/>
    <w:rsid w:val="004C77E9"/>
    <w:rsid w:val="004C78A5"/>
    <w:rsid w:val="004C791D"/>
    <w:rsid w:val="004C7933"/>
    <w:rsid w:val="004C7995"/>
    <w:rsid w:val="004C79BB"/>
    <w:rsid w:val="004C7A33"/>
    <w:rsid w:val="004C7B5C"/>
    <w:rsid w:val="004C7BDA"/>
    <w:rsid w:val="004C7EC3"/>
    <w:rsid w:val="004C7F1D"/>
    <w:rsid w:val="004C7FAE"/>
    <w:rsid w:val="004D0183"/>
    <w:rsid w:val="004D01E0"/>
    <w:rsid w:val="004D0303"/>
    <w:rsid w:val="004D0335"/>
    <w:rsid w:val="004D03EB"/>
    <w:rsid w:val="004D04F8"/>
    <w:rsid w:val="004D07FE"/>
    <w:rsid w:val="004D0B5D"/>
    <w:rsid w:val="004D0C1C"/>
    <w:rsid w:val="004D0CEC"/>
    <w:rsid w:val="004D0D33"/>
    <w:rsid w:val="004D0FCA"/>
    <w:rsid w:val="004D1061"/>
    <w:rsid w:val="004D110C"/>
    <w:rsid w:val="004D13DD"/>
    <w:rsid w:val="004D143A"/>
    <w:rsid w:val="004D14A1"/>
    <w:rsid w:val="004D16F8"/>
    <w:rsid w:val="004D175D"/>
    <w:rsid w:val="004D1962"/>
    <w:rsid w:val="004D19BA"/>
    <w:rsid w:val="004D1A7C"/>
    <w:rsid w:val="004D1AA7"/>
    <w:rsid w:val="004D1BE6"/>
    <w:rsid w:val="004D1E21"/>
    <w:rsid w:val="004D2063"/>
    <w:rsid w:val="004D21A4"/>
    <w:rsid w:val="004D21FF"/>
    <w:rsid w:val="004D2521"/>
    <w:rsid w:val="004D26B3"/>
    <w:rsid w:val="004D26F0"/>
    <w:rsid w:val="004D292B"/>
    <w:rsid w:val="004D292E"/>
    <w:rsid w:val="004D2AC9"/>
    <w:rsid w:val="004D2B78"/>
    <w:rsid w:val="004D2BA6"/>
    <w:rsid w:val="004D2C0B"/>
    <w:rsid w:val="004D2CE6"/>
    <w:rsid w:val="004D2D00"/>
    <w:rsid w:val="004D2F0F"/>
    <w:rsid w:val="004D3070"/>
    <w:rsid w:val="004D3184"/>
    <w:rsid w:val="004D32B0"/>
    <w:rsid w:val="004D33A8"/>
    <w:rsid w:val="004D3445"/>
    <w:rsid w:val="004D3897"/>
    <w:rsid w:val="004D38C5"/>
    <w:rsid w:val="004D38C9"/>
    <w:rsid w:val="004D38FE"/>
    <w:rsid w:val="004D3963"/>
    <w:rsid w:val="004D39BB"/>
    <w:rsid w:val="004D3C64"/>
    <w:rsid w:val="004D3C81"/>
    <w:rsid w:val="004D3CD3"/>
    <w:rsid w:val="004D3DBD"/>
    <w:rsid w:val="004D4047"/>
    <w:rsid w:val="004D4063"/>
    <w:rsid w:val="004D407E"/>
    <w:rsid w:val="004D409C"/>
    <w:rsid w:val="004D40AD"/>
    <w:rsid w:val="004D41BC"/>
    <w:rsid w:val="004D4297"/>
    <w:rsid w:val="004D42D9"/>
    <w:rsid w:val="004D430D"/>
    <w:rsid w:val="004D4425"/>
    <w:rsid w:val="004D4452"/>
    <w:rsid w:val="004D457A"/>
    <w:rsid w:val="004D45FB"/>
    <w:rsid w:val="004D486D"/>
    <w:rsid w:val="004D48AA"/>
    <w:rsid w:val="004D4B28"/>
    <w:rsid w:val="004D4B40"/>
    <w:rsid w:val="004D4BA5"/>
    <w:rsid w:val="004D4DD5"/>
    <w:rsid w:val="004D4E89"/>
    <w:rsid w:val="004D5036"/>
    <w:rsid w:val="004D50F8"/>
    <w:rsid w:val="004D5147"/>
    <w:rsid w:val="004D515A"/>
    <w:rsid w:val="004D5178"/>
    <w:rsid w:val="004D5746"/>
    <w:rsid w:val="004D575D"/>
    <w:rsid w:val="004D5760"/>
    <w:rsid w:val="004D5DEC"/>
    <w:rsid w:val="004D5E83"/>
    <w:rsid w:val="004D5FEB"/>
    <w:rsid w:val="004D61E2"/>
    <w:rsid w:val="004D62A7"/>
    <w:rsid w:val="004D62BD"/>
    <w:rsid w:val="004D640B"/>
    <w:rsid w:val="004D64CD"/>
    <w:rsid w:val="004D6562"/>
    <w:rsid w:val="004D65F1"/>
    <w:rsid w:val="004D663E"/>
    <w:rsid w:val="004D665F"/>
    <w:rsid w:val="004D67B3"/>
    <w:rsid w:val="004D67C2"/>
    <w:rsid w:val="004D6AD1"/>
    <w:rsid w:val="004D6BD1"/>
    <w:rsid w:val="004D6C34"/>
    <w:rsid w:val="004D6CF6"/>
    <w:rsid w:val="004D6DCA"/>
    <w:rsid w:val="004D6E12"/>
    <w:rsid w:val="004D6E49"/>
    <w:rsid w:val="004D6E7E"/>
    <w:rsid w:val="004D7072"/>
    <w:rsid w:val="004D714C"/>
    <w:rsid w:val="004D72A9"/>
    <w:rsid w:val="004D73AB"/>
    <w:rsid w:val="004D73C3"/>
    <w:rsid w:val="004D743A"/>
    <w:rsid w:val="004D7518"/>
    <w:rsid w:val="004D7A31"/>
    <w:rsid w:val="004D7A47"/>
    <w:rsid w:val="004D7C6C"/>
    <w:rsid w:val="004D7CAD"/>
    <w:rsid w:val="004D7FC2"/>
    <w:rsid w:val="004E0116"/>
    <w:rsid w:val="004E0183"/>
    <w:rsid w:val="004E01F5"/>
    <w:rsid w:val="004E0316"/>
    <w:rsid w:val="004E0768"/>
    <w:rsid w:val="004E0A7C"/>
    <w:rsid w:val="004E0AAA"/>
    <w:rsid w:val="004E0CF2"/>
    <w:rsid w:val="004E0D8B"/>
    <w:rsid w:val="004E0E03"/>
    <w:rsid w:val="004E1218"/>
    <w:rsid w:val="004E13A9"/>
    <w:rsid w:val="004E1521"/>
    <w:rsid w:val="004E1715"/>
    <w:rsid w:val="004E177A"/>
    <w:rsid w:val="004E1846"/>
    <w:rsid w:val="004E1A22"/>
    <w:rsid w:val="004E1EE2"/>
    <w:rsid w:val="004E1EF0"/>
    <w:rsid w:val="004E20A9"/>
    <w:rsid w:val="004E21D6"/>
    <w:rsid w:val="004E2206"/>
    <w:rsid w:val="004E23E4"/>
    <w:rsid w:val="004E2415"/>
    <w:rsid w:val="004E2458"/>
    <w:rsid w:val="004E247F"/>
    <w:rsid w:val="004E25B1"/>
    <w:rsid w:val="004E2626"/>
    <w:rsid w:val="004E27DF"/>
    <w:rsid w:val="004E2848"/>
    <w:rsid w:val="004E2997"/>
    <w:rsid w:val="004E29C0"/>
    <w:rsid w:val="004E2A3E"/>
    <w:rsid w:val="004E2AC8"/>
    <w:rsid w:val="004E2BCF"/>
    <w:rsid w:val="004E2BD6"/>
    <w:rsid w:val="004E2C55"/>
    <w:rsid w:val="004E2CA4"/>
    <w:rsid w:val="004E2CBA"/>
    <w:rsid w:val="004E2E7B"/>
    <w:rsid w:val="004E2F21"/>
    <w:rsid w:val="004E2FE0"/>
    <w:rsid w:val="004E31B6"/>
    <w:rsid w:val="004E3400"/>
    <w:rsid w:val="004E3517"/>
    <w:rsid w:val="004E351E"/>
    <w:rsid w:val="004E35DC"/>
    <w:rsid w:val="004E395C"/>
    <w:rsid w:val="004E39DA"/>
    <w:rsid w:val="004E3C51"/>
    <w:rsid w:val="004E3E2D"/>
    <w:rsid w:val="004E3F8A"/>
    <w:rsid w:val="004E40B2"/>
    <w:rsid w:val="004E42BF"/>
    <w:rsid w:val="004E4323"/>
    <w:rsid w:val="004E4376"/>
    <w:rsid w:val="004E455C"/>
    <w:rsid w:val="004E46FF"/>
    <w:rsid w:val="004E47E5"/>
    <w:rsid w:val="004E4821"/>
    <w:rsid w:val="004E49B5"/>
    <w:rsid w:val="004E4A0D"/>
    <w:rsid w:val="004E4AD1"/>
    <w:rsid w:val="004E4B68"/>
    <w:rsid w:val="004E4D79"/>
    <w:rsid w:val="004E50B8"/>
    <w:rsid w:val="004E579B"/>
    <w:rsid w:val="004E58ED"/>
    <w:rsid w:val="004E5D54"/>
    <w:rsid w:val="004E5DB7"/>
    <w:rsid w:val="004E5E5E"/>
    <w:rsid w:val="004E5FD7"/>
    <w:rsid w:val="004E5FE7"/>
    <w:rsid w:val="004E6068"/>
    <w:rsid w:val="004E61FE"/>
    <w:rsid w:val="004E6484"/>
    <w:rsid w:val="004E6A93"/>
    <w:rsid w:val="004E6D50"/>
    <w:rsid w:val="004E6E5D"/>
    <w:rsid w:val="004E7040"/>
    <w:rsid w:val="004E711C"/>
    <w:rsid w:val="004E72B3"/>
    <w:rsid w:val="004E7449"/>
    <w:rsid w:val="004E74CD"/>
    <w:rsid w:val="004E7516"/>
    <w:rsid w:val="004E7630"/>
    <w:rsid w:val="004E7774"/>
    <w:rsid w:val="004E7822"/>
    <w:rsid w:val="004E78E3"/>
    <w:rsid w:val="004E79A6"/>
    <w:rsid w:val="004E7A2E"/>
    <w:rsid w:val="004E7C68"/>
    <w:rsid w:val="004E7F02"/>
    <w:rsid w:val="004E7F2F"/>
    <w:rsid w:val="004F011B"/>
    <w:rsid w:val="004F02DA"/>
    <w:rsid w:val="004F0347"/>
    <w:rsid w:val="004F03A2"/>
    <w:rsid w:val="004F0470"/>
    <w:rsid w:val="004F0663"/>
    <w:rsid w:val="004F0739"/>
    <w:rsid w:val="004F097A"/>
    <w:rsid w:val="004F0E3E"/>
    <w:rsid w:val="004F0EF1"/>
    <w:rsid w:val="004F0F5C"/>
    <w:rsid w:val="004F0FE3"/>
    <w:rsid w:val="004F10C8"/>
    <w:rsid w:val="004F11DD"/>
    <w:rsid w:val="004F1447"/>
    <w:rsid w:val="004F1536"/>
    <w:rsid w:val="004F186A"/>
    <w:rsid w:val="004F1B62"/>
    <w:rsid w:val="004F1B8A"/>
    <w:rsid w:val="004F1E6B"/>
    <w:rsid w:val="004F1E72"/>
    <w:rsid w:val="004F241E"/>
    <w:rsid w:val="004F24CF"/>
    <w:rsid w:val="004F254C"/>
    <w:rsid w:val="004F279A"/>
    <w:rsid w:val="004F2873"/>
    <w:rsid w:val="004F288B"/>
    <w:rsid w:val="004F291C"/>
    <w:rsid w:val="004F29E5"/>
    <w:rsid w:val="004F2D9A"/>
    <w:rsid w:val="004F2DD1"/>
    <w:rsid w:val="004F2F66"/>
    <w:rsid w:val="004F2F76"/>
    <w:rsid w:val="004F3306"/>
    <w:rsid w:val="004F3569"/>
    <w:rsid w:val="004F3577"/>
    <w:rsid w:val="004F36EE"/>
    <w:rsid w:val="004F3789"/>
    <w:rsid w:val="004F3B6F"/>
    <w:rsid w:val="004F3D5C"/>
    <w:rsid w:val="004F3E13"/>
    <w:rsid w:val="004F3F07"/>
    <w:rsid w:val="004F3F5C"/>
    <w:rsid w:val="004F402F"/>
    <w:rsid w:val="004F40E8"/>
    <w:rsid w:val="004F44CE"/>
    <w:rsid w:val="004F467C"/>
    <w:rsid w:val="004F4ABB"/>
    <w:rsid w:val="004F4B92"/>
    <w:rsid w:val="004F4BFF"/>
    <w:rsid w:val="004F4C06"/>
    <w:rsid w:val="004F4C70"/>
    <w:rsid w:val="004F4CB6"/>
    <w:rsid w:val="004F4D67"/>
    <w:rsid w:val="004F4DCD"/>
    <w:rsid w:val="004F4E00"/>
    <w:rsid w:val="004F4E56"/>
    <w:rsid w:val="004F4F69"/>
    <w:rsid w:val="004F5190"/>
    <w:rsid w:val="004F531B"/>
    <w:rsid w:val="004F56D6"/>
    <w:rsid w:val="004F5737"/>
    <w:rsid w:val="004F58AE"/>
    <w:rsid w:val="004F58D4"/>
    <w:rsid w:val="004F5AD5"/>
    <w:rsid w:val="004F5D97"/>
    <w:rsid w:val="004F6068"/>
    <w:rsid w:val="004F6177"/>
    <w:rsid w:val="004F619B"/>
    <w:rsid w:val="004F655E"/>
    <w:rsid w:val="004F6971"/>
    <w:rsid w:val="004F69E9"/>
    <w:rsid w:val="004F6A1C"/>
    <w:rsid w:val="004F6AD3"/>
    <w:rsid w:val="004F6B76"/>
    <w:rsid w:val="004F6C1E"/>
    <w:rsid w:val="004F6C5E"/>
    <w:rsid w:val="004F6D00"/>
    <w:rsid w:val="004F6E7A"/>
    <w:rsid w:val="004F6FBC"/>
    <w:rsid w:val="004F7220"/>
    <w:rsid w:val="004F737B"/>
    <w:rsid w:val="004F73DF"/>
    <w:rsid w:val="004F73F9"/>
    <w:rsid w:val="004F753F"/>
    <w:rsid w:val="004F7626"/>
    <w:rsid w:val="004F77B6"/>
    <w:rsid w:val="004F79CA"/>
    <w:rsid w:val="004F79E0"/>
    <w:rsid w:val="004F7AC1"/>
    <w:rsid w:val="004F7E38"/>
    <w:rsid w:val="004F7F1F"/>
    <w:rsid w:val="004F7F3E"/>
    <w:rsid w:val="00500036"/>
    <w:rsid w:val="0050010D"/>
    <w:rsid w:val="00500291"/>
    <w:rsid w:val="00500334"/>
    <w:rsid w:val="005003B0"/>
    <w:rsid w:val="0050049B"/>
    <w:rsid w:val="005004D5"/>
    <w:rsid w:val="00500521"/>
    <w:rsid w:val="005007B2"/>
    <w:rsid w:val="005007F6"/>
    <w:rsid w:val="00500931"/>
    <w:rsid w:val="0050095D"/>
    <w:rsid w:val="005009AD"/>
    <w:rsid w:val="00500DB8"/>
    <w:rsid w:val="00500DCD"/>
    <w:rsid w:val="00500DFE"/>
    <w:rsid w:val="00500E09"/>
    <w:rsid w:val="00500E3C"/>
    <w:rsid w:val="00501001"/>
    <w:rsid w:val="00501085"/>
    <w:rsid w:val="005012C7"/>
    <w:rsid w:val="00501386"/>
    <w:rsid w:val="0050149E"/>
    <w:rsid w:val="00501643"/>
    <w:rsid w:val="005016B1"/>
    <w:rsid w:val="00501832"/>
    <w:rsid w:val="0050194B"/>
    <w:rsid w:val="00501BD9"/>
    <w:rsid w:val="00501C06"/>
    <w:rsid w:val="00501C25"/>
    <w:rsid w:val="00501F44"/>
    <w:rsid w:val="00501FFF"/>
    <w:rsid w:val="0050201C"/>
    <w:rsid w:val="0050204D"/>
    <w:rsid w:val="00502448"/>
    <w:rsid w:val="005024DF"/>
    <w:rsid w:val="005025AD"/>
    <w:rsid w:val="00502622"/>
    <w:rsid w:val="00502638"/>
    <w:rsid w:val="005027A6"/>
    <w:rsid w:val="005027F7"/>
    <w:rsid w:val="00502878"/>
    <w:rsid w:val="0050290B"/>
    <w:rsid w:val="00502B76"/>
    <w:rsid w:val="00502C10"/>
    <w:rsid w:val="00502C46"/>
    <w:rsid w:val="00502DAE"/>
    <w:rsid w:val="00502E64"/>
    <w:rsid w:val="00502F1A"/>
    <w:rsid w:val="00502F54"/>
    <w:rsid w:val="00502F95"/>
    <w:rsid w:val="00502FFB"/>
    <w:rsid w:val="00503057"/>
    <w:rsid w:val="0050327C"/>
    <w:rsid w:val="0050348D"/>
    <w:rsid w:val="00503608"/>
    <w:rsid w:val="00503686"/>
    <w:rsid w:val="00503706"/>
    <w:rsid w:val="00503734"/>
    <w:rsid w:val="0050384B"/>
    <w:rsid w:val="005038A0"/>
    <w:rsid w:val="005038FD"/>
    <w:rsid w:val="00503B59"/>
    <w:rsid w:val="00503CD6"/>
    <w:rsid w:val="00503D0B"/>
    <w:rsid w:val="00503F09"/>
    <w:rsid w:val="00503F97"/>
    <w:rsid w:val="00504197"/>
    <w:rsid w:val="00504377"/>
    <w:rsid w:val="00504588"/>
    <w:rsid w:val="00504739"/>
    <w:rsid w:val="005047A8"/>
    <w:rsid w:val="005047AF"/>
    <w:rsid w:val="005048A4"/>
    <w:rsid w:val="00504A82"/>
    <w:rsid w:val="00504B23"/>
    <w:rsid w:val="00504C1D"/>
    <w:rsid w:val="00504C42"/>
    <w:rsid w:val="00504C86"/>
    <w:rsid w:val="00504CF2"/>
    <w:rsid w:val="00504DC9"/>
    <w:rsid w:val="00504F16"/>
    <w:rsid w:val="00504FDB"/>
    <w:rsid w:val="00505393"/>
    <w:rsid w:val="00505400"/>
    <w:rsid w:val="005057AD"/>
    <w:rsid w:val="005059A2"/>
    <w:rsid w:val="00505A05"/>
    <w:rsid w:val="00505A31"/>
    <w:rsid w:val="00505B3F"/>
    <w:rsid w:val="00505C7A"/>
    <w:rsid w:val="00505CE7"/>
    <w:rsid w:val="00505D07"/>
    <w:rsid w:val="00505E19"/>
    <w:rsid w:val="0050601D"/>
    <w:rsid w:val="0050607C"/>
    <w:rsid w:val="00506126"/>
    <w:rsid w:val="00506153"/>
    <w:rsid w:val="005061B5"/>
    <w:rsid w:val="00506364"/>
    <w:rsid w:val="00506447"/>
    <w:rsid w:val="0050676F"/>
    <w:rsid w:val="00506792"/>
    <w:rsid w:val="0050716B"/>
    <w:rsid w:val="00507240"/>
    <w:rsid w:val="0050747C"/>
    <w:rsid w:val="00507672"/>
    <w:rsid w:val="00507708"/>
    <w:rsid w:val="005077D7"/>
    <w:rsid w:val="0050784F"/>
    <w:rsid w:val="00507980"/>
    <w:rsid w:val="00507A01"/>
    <w:rsid w:val="00507B18"/>
    <w:rsid w:val="00507BD4"/>
    <w:rsid w:val="00507FF9"/>
    <w:rsid w:val="005100CE"/>
    <w:rsid w:val="00510137"/>
    <w:rsid w:val="0051016E"/>
    <w:rsid w:val="005103C5"/>
    <w:rsid w:val="005104A2"/>
    <w:rsid w:val="0051061E"/>
    <w:rsid w:val="00510667"/>
    <w:rsid w:val="00510F39"/>
    <w:rsid w:val="00510F7F"/>
    <w:rsid w:val="00511454"/>
    <w:rsid w:val="0051174A"/>
    <w:rsid w:val="00511801"/>
    <w:rsid w:val="0051183F"/>
    <w:rsid w:val="005118DB"/>
    <w:rsid w:val="005119F9"/>
    <w:rsid w:val="00511A6F"/>
    <w:rsid w:val="00511A94"/>
    <w:rsid w:val="00511AB2"/>
    <w:rsid w:val="00511D34"/>
    <w:rsid w:val="00511EFA"/>
    <w:rsid w:val="0051225C"/>
    <w:rsid w:val="005124BC"/>
    <w:rsid w:val="005125AE"/>
    <w:rsid w:val="005125EB"/>
    <w:rsid w:val="00512873"/>
    <w:rsid w:val="005128EE"/>
    <w:rsid w:val="0051298C"/>
    <w:rsid w:val="00512A97"/>
    <w:rsid w:val="00512C1D"/>
    <w:rsid w:val="00512D45"/>
    <w:rsid w:val="00512E67"/>
    <w:rsid w:val="00512EDC"/>
    <w:rsid w:val="00513096"/>
    <w:rsid w:val="005130CF"/>
    <w:rsid w:val="005131D3"/>
    <w:rsid w:val="00513343"/>
    <w:rsid w:val="0051352C"/>
    <w:rsid w:val="0051357F"/>
    <w:rsid w:val="005135FA"/>
    <w:rsid w:val="00513793"/>
    <w:rsid w:val="005137A3"/>
    <w:rsid w:val="005137D3"/>
    <w:rsid w:val="00513CD8"/>
    <w:rsid w:val="00513CDB"/>
    <w:rsid w:val="00513D41"/>
    <w:rsid w:val="00513DD5"/>
    <w:rsid w:val="00513EAE"/>
    <w:rsid w:val="00514035"/>
    <w:rsid w:val="00514047"/>
    <w:rsid w:val="0051408A"/>
    <w:rsid w:val="0051443D"/>
    <w:rsid w:val="00514825"/>
    <w:rsid w:val="00514BD7"/>
    <w:rsid w:val="00514DA7"/>
    <w:rsid w:val="00514E0D"/>
    <w:rsid w:val="00514F6E"/>
    <w:rsid w:val="00514FC2"/>
    <w:rsid w:val="0051518C"/>
    <w:rsid w:val="005151A9"/>
    <w:rsid w:val="00515376"/>
    <w:rsid w:val="0051554D"/>
    <w:rsid w:val="005155A5"/>
    <w:rsid w:val="005157BE"/>
    <w:rsid w:val="005158D5"/>
    <w:rsid w:val="005159DD"/>
    <w:rsid w:val="00515BE6"/>
    <w:rsid w:val="00515BFA"/>
    <w:rsid w:val="00515C57"/>
    <w:rsid w:val="00515CAC"/>
    <w:rsid w:val="00515D5B"/>
    <w:rsid w:val="00515D6C"/>
    <w:rsid w:val="00515E09"/>
    <w:rsid w:val="00515E22"/>
    <w:rsid w:val="00515FBC"/>
    <w:rsid w:val="0051601C"/>
    <w:rsid w:val="00516033"/>
    <w:rsid w:val="0051617E"/>
    <w:rsid w:val="005161CD"/>
    <w:rsid w:val="00516227"/>
    <w:rsid w:val="00516231"/>
    <w:rsid w:val="005163AD"/>
    <w:rsid w:val="0051672B"/>
    <w:rsid w:val="00516859"/>
    <w:rsid w:val="005169AD"/>
    <w:rsid w:val="00516DB5"/>
    <w:rsid w:val="00516DD1"/>
    <w:rsid w:val="00516DE3"/>
    <w:rsid w:val="00516E8D"/>
    <w:rsid w:val="00517065"/>
    <w:rsid w:val="00517071"/>
    <w:rsid w:val="0051716D"/>
    <w:rsid w:val="005171B0"/>
    <w:rsid w:val="00517713"/>
    <w:rsid w:val="00517A86"/>
    <w:rsid w:val="00517B24"/>
    <w:rsid w:val="00517D5D"/>
    <w:rsid w:val="00517F98"/>
    <w:rsid w:val="00520135"/>
    <w:rsid w:val="005201D3"/>
    <w:rsid w:val="00520284"/>
    <w:rsid w:val="005203BC"/>
    <w:rsid w:val="00520510"/>
    <w:rsid w:val="0052056D"/>
    <w:rsid w:val="005209AC"/>
    <w:rsid w:val="00520BA4"/>
    <w:rsid w:val="00520CE0"/>
    <w:rsid w:val="00520DC0"/>
    <w:rsid w:val="00520FAA"/>
    <w:rsid w:val="0052107B"/>
    <w:rsid w:val="00521094"/>
    <w:rsid w:val="005211FD"/>
    <w:rsid w:val="0052120F"/>
    <w:rsid w:val="00521250"/>
    <w:rsid w:val="00521693"/>
    <w:rsid w:val="005217A3"/>
    <w:rsid w:val="0052190A"/>
    <w:rsid w:val="00521910"/>
    <w:rsid w:val="00521976"/>
    <w:rsid w:val="00521B1D"/>
    <w:rsid w:val="00521B94"/>
    <w:rsid w:val="00521D02"/>
    <w:rsid w:val="00521D24"/>
    <w:rsid w:val="00521D8C"/>
    <w:rsid w:val="00521DBD"/>
    <w:rsid w:val="00521E6E"/>
    <w:rsid w:val="00522085"/>
    <w:rsid w:val="0052219F"/>
    <w:rsid w:val="0052226C"/>
    <w:rsid w:val="00522281"/>
    <w:rsid w:val="0052228C"/>
    <w:rsid w:val="00522303"/>
    <w:rsid w:val="0052235F"/>
    <w:rsid w:val="0052252F"/>
    <w:rsid w:val="005226B5"/>
    <w:rsid w:val="005228B6"/>
    <w:rsid w:val="00522941"/>
    <w:rsid w:val="0052295C"/>
    <w:rsid w:val="005229D9"/>
    <w:rsid w:val="005229EB"/>
    <w:rsid w:val="00522A0F"/>
    <w:rsid w:val="00522A41"/>
    <w:rsid w:val="00522AC3"/>
    <w:rsid w:val="00522BA0"/>
    <w:rsid w:val="00522C1A"/>
    <w:rsid w:val="00523015"/>
    <w:rsid w:val="00523021"/>
    <w:rsid w:val="00523151"/>
    <w:rsid w:val="005231FD"/>
    <w:rsid w:val="00523315"/>
    <w:rsid w:val="0052348E"/>
    <w:rsid w:val="0052349D"/>
    <w:rsid w:val="0052372A"/>
    <w:rsid w:val="00523941"/>
    <w:rsid w:val="005239E1"/>
    <w:rsid w:val="00523B0A"/>
    <w:rsid w:val="00523B6A"/>
    <w:rsid w:val="00523DE6"/>
    <w:rsid w:val="00524169"/>
    <w:rsid w:val="005241A5"/>
    <w:rsid w:val="005242E0"/>
    <w:rsid w:val="00524317"/>
    <w:rsid w:val="0052445A"/>
    <w:rsid w:val="00524475"/>
    <w:rsid w:val="005244C2"/>
    <w:rsid w:val="005247E9"/>
    <w:rsid w:val="00524971"/>
    <w:rsid w:val="00524A52"/>
    <w:rsid w:val="00524AF8"/>
    <w:rsid w:val="00524BE8"/>
    <w:rsid w:val="0052524F"/>
    <w:rsid w:val="005255EB"/>
    <w:rsid w:val="00525668"/>
    <w:rsid w:val="0052575D"/>
    <w:rsid w:val="00525800"/>
    <w:rsid w:val="00525841"/>
    <w:rsid w:val="00525960"/>
    <w:rsid w:val="00525C3A"/>
    <w:rsid w:val="00525DE6"/>
    <w:rsid w:val="00525E1F"/>
    <w:rsid w:val="0052602B"/>
    <w:rsid w:val="005260DB"/>
    <w:rsid w:val="005261B1"/>
    <w:rsid w:val="0052628E"/>
    <w:rsid w:val="0052652A"/>
    <w:rsid w:val="005265A8"/>
    <w:rsid w:val="005268F9"/>
    <w:rsid w:val="0052691A"/>
    <w:rsid w:val="005269D7"/>
    <w:rsid w:val="00526B09"/>
    <w:rsid w:val="00526C12"/>
    <w:rsid w:val="00526C92"/>
    <w:rsid w:val="00526DC9"/>
    <w:rsid w:val="00526E47"/>
    <w:rsid w:val="005270C6"/>
    <w:rsid w:val="0052716D"/>
    <w:rsid w:val="00527275"/>
    <w:rsid w:val="005275FC"/>
    <w:rsid w:val="0052768C"/>
    <w:rsid w:val="005277A6"/>
    <w:rsid w:val="00527A21"/>
    <w:rsid w:val="00527DFC"/>
    <w:rsid w:val="00527EB0"/>
    <w:rsid w:val="00527EDA"/>
    <w:rsid w:val="0053006C"/>
    <w:rsid w:val="005300C1"/>
    <w:rsid w:val="0053012F"/>
    <w:rsid w:val="00530169"/>
    <w:rsid w:val="00530184"/>
    <w:rsid w:val="0053024A"/>
    <w:rsid w:val="00530327"/>
    <w:rsid w:val="0053039E"/>
    <w:rsid w:val="005303B6"/>
    <w:rsid w:val="005304AC"/>
    <w:rsid w:val="005306D7"/>
    <w:rsid w:val="005307F2"/>
    <w:rsid w:val="00530814"/>
    <w:rsid w:val="00530896"/>
    <w:rsid w:val="005308E8"/>
    <w:rsid w:val="00530B0D"/>
    <w:rsid w:val="00530B66"/>
    <w:rsid w:val="00530D89"/>
    <w:rsid w:val="00530E5B"/>
    <w:rsid w:val="00530E98"/>
    <w:rsid w:val="005310AF"/>
    <w:rsid w:val="005310E2"/>
    <w:rsid w:val="0053118F"/>
    <w:rsid w:val="005311F3"/>
    <w:rsid w:val="0053128A"/>
    <w:rsid w:val="005312FA"/>
    <w:rsid w:val="005312FE"/>
    <w:rsid w:val="005313D8"/>
    <w:rsid w:val="00531400"/>
    <w:rsid w:val="005315E1"/>
    <w:rsid w:val="0053182D"/>
    <w:rsid w:val="00531C3A"/>
    <w:rsid w:val="00531C45"/>
    <w:rsid w:val="00531CFD"/>
    <w:rsid w:val="00531F95"/>
    <w:rsid w:val="005321B2"/>
    <w:rsid w:val="00532208"/>
    <w:rsid w:val="0053222A"/>
    <w:rsid w:val="005323F3"/>
    <w:rsid w:val="0053269F"/>
    <w:rsid w:val="00532700"/>
    <w:rsid w:val="005327F4"/>
    <w:rsid w:val="00532815"/>
    <w:rsid w:val="00532A94"/>
    <w:rsid w:val="00532BEE"/>
    <w:rsid w:val="00532D46"/>
    <w:rsid w:val="00532E54"/>
    <w:rsid w:val="00532F74"/>
    <w:rsid w:val="00533066"/>
    <w:rsid w:val="005330C1"/>
    <w:rsid w:val="00533187"/>
    <w:rsid w:val="00533542"/>
    <w:rsid w:val="005336E2"/>
    <w:rsid w:val="005337F7"/>
    <w:rsid w:val="00533810"/>
    <w:rsid w:val="005338B6"/>
    <w:rsid w:val="005339D8"/>
    <w:rsid w:val="00533A74"/>
    <w:rsid w:val="00533AD1"/>
    <w:rsid w:val="00533C16"/>
    <w:rsid w:val="00533C4B"/>
    <w:rsid w:val="00533D7C"/>
    <w:rsid w:val="00533EE2"/>
    <w:rsid w:val="00533EFF"/>
    <w:rsid w:val="00533F3B"/>
    <w:rsid w:val="005340BF"/>
    <w:rsid w:val="005342BB"/>
    <w:rsid w:val="005342C3"/>
    <w:rsid w:val="005343D7"/>
    <w:rsid w:val="00534472"/>
    <w:rsid w:val="0053461D"/>
    <w:rsid w:val="005346E6"/>
    <w:rsid w:val="005348C8"/>
    <w:rsid w:val="00534A83"/>
    <w:rsid w:val="00534A94"/>
    <w:rsid w:val="00534B25"/>
    <w:rsid w:val="00534BA6"/>
    <w:rsid w:val="00534D81"/>
    <w:rsid w:val="00534DF8"/>
    <w:rsid w:val="00534E3E"/>
    <w:rsid w:val="00534EA8"/>
    <w:rsid w:val="005352C9"/>
    <w:rsid w:val="00535329"/>
    <w:rsid w:val="005353F4"/>
    <w:rsid w:val="0053541F"/>
    <w:rsid w:val="005355FD"/>
    <w:rsid w:val="005356A2"/>
    <w:rsid w:val="0053574B"/>
    <w:rsid w:val="005357D0"/>
    <w:rsid w:val="00535920"/>
    <w:rsid w:val="0053595E"/>
    <w:rsid w:val="005359C6"/>
    <w:rsid w:val="00535B91"/>
    <w:rsid w:val="00535CF5"/>
    <w:rsid w:val="00535ED6"/>
    <w:rsid w:val="0053607C"/>
    <w:rsid w:val="005360C7"/>
    <w:rsid w:val="005361AC"/>
    <w:rsid w:val="005362A6"/>
    <w:rsid w:val="005362F5"/>
    <w:rsid w:val="005364EA"/>
    <w:rsid w:val="005365B1"/>
    <w:rsid w:val="0053678F"/>
    <w:rsid w:val="005367D7"/>
    <w:rsid w:val="005367DA"/>
    <w:rsid w:val="00536867"/>
    <w:rsid w:val="0053689C"/>
    <w:rsid w:val="005369F0"/>
    <w:rsid w:val="00536AAC"/>
    <w:rsid w:val="00536D6B"/>
    <w:rsid w:val="00536DFC"/>
    <w:rsid w:val="0053713B"/>
    <w:rsid w:val="0053725B"/>
    <w:rsid w:val="0053734C"/>
    <w:rsid w:val="0053748A"/>
    <w:rsid w:val="005374A8"/>
    <w:rsid w:val="0053756C"/>
    <w:rsid w:val="00537683"/>
    <w:rsid w:val="005377BF"/>
    <w:rsid w:val="005378A8"/>
    <w:rsid w:val="005378BF"/>
    <w:rsid w:val="00537975"/>
    <w:rsid w:val="00537979"/>
    <w:rsid w:val="00537A3D"/>
    <w:rsid w:val="00537F56"/>
    <w:rsid w:val="0054012C"/>
    <w:rsid w:val="00540178"/>
    <w:rsid w:val="005402ED"/>
    <w:rsid w:val="0054058F"/>
    <w:rsid w:val="00540611"/>
    <w:rsid w:val="00540623"/>
    <w:rsid w:val="00540673"/>
    <w:rsid w:val="00540B56"/>
    <w:rsid w:val="00540C57"/>
    <w:rsid w:val="00540C89"/>
    <w:rsid w:val="00540EC1"/>
    <w:rsid w:val="00540F3C"/>
    <w:rsid w:val="00540FED"/>
    <w:rsid w:val="00540FEE"/>
    <w:rsid w:val="0054100D"/>
    <w:rsid w:val="0054112E"/>
    <w:rsid w:val="005411F2"/>
    <w:rsid w:val="0054132E"/>
    <w:rsid w:val="0054134C"/>
    <w:rsid w:val="005414C9"/>
    <w:rsid w:val="00541ACE"/>
    <w:rsid w:val="00541BC1"/>
    <w:rsid w:val="00541C55"/>
    <w:rsid w:val="00541CC5"/>
    <w:rsid w:val="00541D0B"/>
    <w:rsid w:val="0054202D"/>
    <w:rsid w:val="00542058"/>
    <w:rsid w:val="0054208D"/>
    <w:rsid w:val="00542376"/>
    <w:rsid w:val="00542599"/>
    <w:rsid w:val="005425A7"/>
    <w:rsid w:val="00542860"/>
    <w:rsid w:val="00542B8F"/>
    <w:rsid w:val="00542F0D"/>
    <w:rsid w:val="005432F7"/>
    <w:rsid w:val="00543304"/>
    <w:rsid w:val="00543315"/>
    <w:rsid w:val="00543441"/>
    <w:rsid w:val="005435AB"/>
    <w:rsid w:val="005436EB"/>
    <w:rsid w:val="005436FA"/>
    <w:rsid w:val="005437C3"/>
    <w:rsid w:val="00543863"/>
    <w:rsid w:val="005438D3"/>
    <w:rsid w:val="00543AB8"/>
    <w:rsid w:val="00543B19"/>
    <w:rsid w:val="00543D2F"/>
    <w:rsid w:val="005441AB"/>
    <w:rsid w:val="0054425D"/>
    <w:rsid w:val="00544301"/>
    <w:rsid w:val="0054446C"/>
    <w:rsid w:val="00544649"/>
    <w:rsid w:val="005447C5"/>
    <w:rsid w:val="00544B53"/>
    <w:rsid w:val="00544C44"/>
    <w:rsid w:val="00544C5A"/>
    <w:rsid w:val="00544CD3"/>
    <w:rsid w:val="00544DB6"/>
    <w:rsid w:val="00544E37"/>
    <w:rsid w:val="00544FAE"/>
    <w:rsid w:val="00544FE2"/>
    <w:rsid w:val="0054509E"/>
    <w:rsid w:val="0054516D"/>
    <w:rsid w:val="00545306"/>
    <w:rsid w:val="00545315"/>
    <w:rsid w:val="005454A7"/>
    <w:rsid w:val="0054565E"/>
    <w:rsid w:val="00545692"/>
    <w:rsid w:val="00545709"/>
    <w:rsid w:val="00545814"/>
    <w:rsid w:val="00545933"/>
    <w:rsid w:val="00545C00"/>
    <w:rsid w:val="00545C1D"/>
    <w:rsid w:val="00545FB5"/>
    <w:rsid w:val="00546062"/>
    <w:rsid w:val="0054621D"/>
    <w:rsid w:val="00546311"/>
    <w:rsid w:val="005463CB"/>
    <w:rsid w:val="005466FD"/>
    <w:rsid w:val="0054685E"/>
    <w:rsid w:val="00546932"/>
    <w:rsid w:val="00546935"/>
    <w:rsid w:val="00546B31"/>
    <w:rsid w:val="00546E50"/>
    <w:rsid w:val="00546F7A"/>
    <w:rsid w:val="00547042"/>
    <w:rsid w:val="005471FD"/>
    <w:rsid w:val="00547241"/>
    <w:rsid w:val="00547249"/>
    <w:rsid w:val="0054725F"/>
    <w:rsid w:val="0054746C"/>
    <w:rsid w:val="005474DA"/>
    <w:rsid w:val="0054752A"/>
    <w:rsid w:val="00547632"/>
    <w:rsid w:val="005478C7"/>
    <w:rsid w:val="005478CD"/>
    <w:rsid w:val="005478EC"/>
    <w:rsid w:val="0054796A"/>
    <w:rsid w:val="00547AC8"/>
    <w:rsid w:val="00547B6C"/>
    <w:rsid w:val="00547EC1"/>
    <w:rsid w:val="00547F20"/>
    <w:rsid w:val="005501FC"/>
    <w:rsid w:val="005502D8"/>
    <w:rsid w:val="0055032D"/>
    <w:rsid w:val="0055059D"/>
    <w:rsid w:val="00550882"/>
    <w:rsid w:val="005508F9"/>
    <w:rsid w:val="0055098C"/>
    <w:rsid w:val="00550A60"/>
    <w:rsid w:val="00550A88"/>
    <w:rsid w:val="00550A92"/>
    <w:rsid w:val="00550B15"/>
    <w:rsid w:val="00550F26"/>
    <w:rsid w:val="00550F61"/>
    <w:rsid w:val="00550F90"/>
    <w:rsid w:val="0055104B"/>
    <w:rsid w:val="005510C1"/>
    <w:rsid w:val="0055119A"/>
    <w:rsid w:val="00551383"/>
    <w:rsid w:val="005514A6"/>
    <w:rsid w:val="0055156E"/>
    <w:rsid w:val="005517A7"/>
    <w:rsid w:val="00551838"/>
    <w:rsid w:val="00551899"/>
    <w:rsid w:val="005519C7"/>
    <w:rsid w:val="00551A32"/>
    <w:rsid w:val="00551A56"/>
    <w:rsid w:val="00551A5F"/>
    <w:rsid w:val="00551AAD"/>
    <w:rsid w:val="00551C38"/>
    <w:rsid w:val="00551C5F"/>
    <w:rsid w:val="00551D15"/>
    <w:rsid w:val="005523AF"/>
    <w:rsid w:val="0055245D"/>
    <w:rsid w:val="00552526"/>
    <w:rsid w:val="005528C6"/>
    <w:rsid w:val="005528DD"/>
    <w:rsid w:val="00552988"/>
    <w:rsid w:val="00552AC7"/>
    <w:rsid w:val="00552AEC"/>
    <w:rsid w:val="00552B93"/>
    <w:rsid w:val="00552DBD"/>
    <w:rsid w:val="00552F09"/>
    <w:rsid w:val="00552F19"/>
    <w:rsid w:val="00552F1D"/>
    <w:rsid w:val="00552FEA"/>
    <w:rsid w:val="005531BD"/>
    <w:rsid w:val="00553235"/>
    <w:rsid w:val="00553573"/>
    <w:rsid w:val="005536D5"/>
    <w:rsid w:val="00553A64"/>
    <w:rsid w:val="00553A9B"/>
    <w:rsid w:val="00553ACF"/>
    <w:rsid w:val="00553B65"/>
    <w:rsid w:val="00553C70"/>
    <w:rsid w:val="00553CA2"/>
    <w:rsid w:val="00553D73"/>
    <w:rsid w:val="00554026"/>
    <w:rsid w:val="00554085"/>
    <w:rsid w:val="005542F4"/>
    <w:rsid w:val="005544D7"/>
    <w:rsid w:val="00554726"/>
    <w:rsid w:val="005547AC"/>
    <w:rsid w:val="00554A9C"/>
    <w:rsid w:val="00554B37"/>
    <w:rsid w:val="00554E64"/>
    <w:rsid w:val="00554E90"/>
    <w:rsid w:val="00554F2A"/>
    <w:rsid w:val="0055501F"/>
    <w:rsid w:val="0055526F"/>
    <w:rsid w:val="00555273"/>
    <w:rsid w:val="005552E8"/>
    <w:rsid w:val="005553F9"/>
    <w:rsid w:val="00555605"/>
    <w:rsid w:val="00555683"/>
    <w:rsid w:val="00555687"/>
    <w:rsid w:val="005557DE"/>
    <w:rsid w:val="00555822"/>
    <w:rsid w:val="0055589E"/>
    <w:rsid w:val="00555972"/>
    <w:rsid w:val="00555A1A"/>
    <w:rsid w:val="00555BC3"/>
    <w:rsid w:val="00555D17"/>
    <w:rsid w:val="00555DBA"/>
    <w:rsid w:val="00555E02"/>
    <w:rsid w:val="0055601E"/>
    <w:rsid w:val="0055606D"/>
    <w:rsid w:val="005561D1"/>
    <w:rsid w:val="00556247"/>
    <w:rsid w:val="005563C7"/>
    <w:rsid w:val="00556403"/>
    <w:rsid w:val="005564C9"/>
    <w:rsid w:val="0055650F"/>
    <w:rsid w:val="0055654F"/>
    <w:rsid w:val="00556704"/>
    <w:rsid w:val="005567B2"/>
    <w:rsid w:val="00556A5A"/>
    <w:rsid w:val="00556DC4"/>
    <w:rsid w:val="00556EDF"/>
    <w:rsid w:val="00557079"/>
    <w:rsid w:val="0055712D"/>
    <w:rsid w:val="00557134"/>
    <w:rsid w:val="0055713B"/>
    <w:rsid w:val="00557141"/>
    <w:rsid w:val="005571B8"/>
    <w:rsid w:val="00557277"/>
    <w:rsid w:val="00557348"/>
    <w:rsid w:val="0055768C"/>
    <w:rsid w:val="00557870"/>
    <w:rsid w:val="00557953"/>
    <w:rsid w:val="00557A5D"/>
    <w:rsid w:val="00557BDF"/>
    <w:rsid w:val="00557E45"/>
    <w:rsid w:val="005600CE"/>
    <w:rsid w:val="005600E7"/>
    <w:rsid w:val="00560112"/>
    <w:rsid w:val="00560256"/>
    <w:rsid w:val="00560277"/>
    <w:rsid w:val="00560348"/>
    <w:rsid w:val="00560398"/>
    <w:rsid w:val="0056041B"/>
    <w:rsid w:val="00560511"/>
    <w:rsid w:val="005607E1"/>
    <w:rsid w:val="005608EC"/>
    <w:rsid w:val="0056090E"/>
    <w:rsid w:val="00560938"/>
    <w:rsid w:val="00560AF1"/>
    <w:rsid w:val="00560B47"/>
    <w:rsid w:val="00560C74"/>
    <w:rsid w:val="00560E11"/>
    <w:rsid w:val="00560EC8"/>
    <w:rsid w:val="00560F0D"/>
    <w:rsid w:val="00560F5D"/>
    <w:rsid w:val="00561002"/>
    <w:rsid w:val="00561147"/>
    <w:rsid w:val="00561348"/>
    <w:rsid w:val="00561562"/>
    <w:rsid w:val="00561834"/>
    <w:rsid w:val="00561970"/>
    <w:rsid w:val="00561AA4"/>
    <w:rsid w:val="00561B62"/>
    <w:rsid w:val="00561C1A"/>
    <w:rsid w:val="00561CCC"/>
    <w:rsid w:val="00561D63"/>
    <w:rsid w:val="00561D6E"/>
    <w:rsid w:val="00561EBF"/>
    <w:rsid w:val="005621EF"/>
    <w:rsid w:val="005622D7"/>
    <w:rsid w:val="00562392"/>
    <w:rsid w:val="005623B6"/>
    <w:rsid w:val="00562437"/>
    <w:rsid w:val="0056270F"/>
    <w:rsid w:val="005629A4"/>
    <w:rsid w:val="00562A93"/>
    <w:rsid w:val="00562B26"/>
    <w:rsid w:val="00562BDC"/>
    <w:rsid w:val="00562BDF"/>
    <w:rsid w:val="00562C54"/>
    <w:rsid w:val="00562E2F"/>
    <w:rsid w:val="00563050"/>
    <w:rsid w:val="0056311D"/>
    <w:rsid w:val="00563145"/>
    <w:rsid w:val="00563288"/>
    <w:rsid w:val="005633C1"/>
    <w:rsid w:val="00563436"/>
    <w:rsid w:val="005634B1"/>
    <w:rsid w:val="00563549"/>
    <w:rsid w:val="005637AB"/>
    <w:rsid w:val="00563878"/>
    <w:rsid w:val="00563940"/>
    <w:rsid w:val="00563951"/>
    <w:rsid w:val="005639ED"/>
    <w:rsid w:val="00563B5F"/>
    <w:rsid w:val="00563B9F"/>
    <w:rsid w:val="00563D5E"/>
    <w:rsid w:val="00563DBD"/>
    <w:rsid w:val="00563DE6"/>
    <w:rsid w:val="00563ECD"/>
    <w:rsid w:val="00564090"/>
    <w:rsid w:val="00564390"/>
    <w:rsid w:val="00564506"/>
    <w:rsid w:val="00564636"/>
    <w:rsid w:val="0056477A"/>
    <w:rsid w:val="00564D27"/>
    <w:rsid w:val="00565013"/>
    <w:rsid w:val="005650FA"/>
    <w:rsid w:val="0056528D"/>
    <w:rsid w:val="005653E3"/>
    <w:rsid w:val="005654D5"/>
    <w:rsid w:val="0056550B"/>
    <w:rsid w:val="005655C0"/>
    <w:rsid w:val="00565615"/>
    <w:rsid w:val="0056563D"/>
    <w:rsid w:val="00565663"/>
    <w:rsid w:val="0056579C"/>
    <w:rsid w:val="00565A78"/>
    <w:rsid w:val="00565B55"/>
    <w:rsid w:val="00565EC2"/>
    <w:rsid w:val="00565F66"/>
    <w:rsid w:val="00565FA0"/>
    <w:rsid w:val="00566043"/>
    <w:rsid w:val="00566083"/>
    <w:rsid w:val="005660D1"/>
    <w:rsid w:val="0056628A"/>
    <w:rsid w:val="0056628B"/>
    <w:rsid w:val="00566298"/>
    <w:rsid w:val="00566310"/>
    <w:rsid w:val="00566390"/>
    <w:rsid w:val="0056643D"/>
    <w:rsid w:val="005664C6"/>
    <w:rsid w:val="005666B6"/>
    <w:rsid w:val="005667D1"/>
    <w:rsid w:val="005668AE"/>
    <w:rsid w:val="00566917"/>
    <w:rsid w:val="0056695F"/>
    <w:rsid w:val="005669C2"/>
    <w:rsid w:val="00566B71"/>
    <w:rsid w:val="00566B7D"/>
    <w:rsid w:val="00566CC0"/>
    <w:rsid w:val="00566F65"/>
    <w:rsid w:val="005672C5"/>
    <w:rsid w:val="005672EE"/>
    <w:rsid w:val="0056737A"/>
    <w:rsid w:val="0056757A"/>
    <w:rsid w:val="00567603"/>
    <w:rsid w:val="005676C6"/>
    <w:rsid w:val="005676ED"/>
    <w:rsid w:val="00567738"/>
    <w:rsid w:val="005677DD"/>
    <w:rsid w:val="00567813"/>
    <w:rsid w:val="0056797C"/>
    <w:rsid w:val="005679D7"/>
    <w:rsid w:val="00567BCE"/>
    <w:rsid w:val="00567D1C"/>
    <w:rsid w:val="00567D8E"/>
    <w:rsid w:val="00567DD0"/>
    <w:rsid w:val="00567EE2"/>
    <w:rsid w:val="00567EF1"/>
    <w:rsid w:val="00567FBB"/>
    <w:rsid w:val="00570035"/>
    <w:rsid w:val="005700E6"/>
    <w:rsid w:val="0057026F"/>
    <w:rsid w:val="005703C2"/>
    <w:rsid w:val="0057052D"/>
    <w:rsid w:val="005706A4"/>
    <w:rsid w:val="00570892"/>
    <w:rsid w:val="0057091E"/>
    <w:rsid w:val="00570976"/>
    <w:rsid w:val="00570AAC"/>
    <w:rsid w:val="00570B99"/>
    <w:rsid w:val="00570C15"/>
    <w:rsid w:val="00570CEC"/>
    <w:rsid w:val="00570D8A"/>
    <w:rsid w:val="00570DB4"/>
    <w:rsid w:val="00570E89"/>
    <w:rsid w:val="00570F76"/>
    <w:rsid w:val="00570FEA"/>
    <w:rsid w:val="0057105C"/>
    <w:rsid w:val="0057121B"/>
    <w:rsid w:val="005712C2"/>
    <w:rsid w:val="005714A3"/>
    <w:rsid w:val="00571751"/>
    <w:rsid w:val="005718BB"/>
    <w:rsid w:val="0057196C"/>
    <w:rsid w:val="005719EA"/>
    <w:rsid w:val="00571AA1"/>
    <w:rsid w:val="00571BAE"/>
    <w:rsid w:val="00571D06"/>
    <w:rsid w:val="00571DC1"/>
    <w:rsid w:val="00572047"/>
    <w:rsid w:val="005720E4"/>
    <w:rsid w:val="005721FA"/>
    <w:rsid w:val="0057221F"/>
    <w:rsid w:val="0057236A"/>
    <w:rsid w:val="005723D6"/>
    <w:rsid w:val="005723F6"/>
    <w:rsid w:val="005725D6"/>
    <w:rsid w:val="00572646"/>
    <w:rsid w:val="0057264F"/>
    <w:rsid w:val="005726A2"/>
    <w:rsid w:val="00572781"/>
    <w:rsid w:val="0057278C"/>
    <w:rsid w:val="005729B1"/>
    <w:rsid w:val="005729D1"/>
    <w:rsid w:val="005729D8"/>
    <w:rsid w:val="00572BD4"/>
    <w:rsid w:val="00572C26"/>
    <w:rsid w:val="00572F50"/>
    <w:rsid w:val="00573112"/>
    <w:rsid w:val="00573180"/>
    <w:rsid w:val="00573243"/>
    <w:rsid w:val="005732EB"/>
    <w:rsid w:val="005734C5"/>
    <w:rsid w:val="00573B28"/>
    <w:rsid w:val="00573D1A"/>
    <w:rsid w:val="00573E43"/>
    <w:rsid w:val="005740E4"/>
    <w:rsid w:val="0057413E"/>
    <w:rsid w:val="00574367"/>
    <w:rsid w:val="005744A0"/>
    <w:rsid w:val="0057471F"/>
    <w:rsid w:val="0057478C"/>
    <w:rsid w:val="00574829"/>
    <w:rsid w:val="00574878"/>
    <w:rsid w:val="005749A1"/>
    <w:rsid w:val="00574A15"/>
    <w:rsid w:val="00574A6E"/>
    <w:rsid w:val="00574BA4"/>
    <w:rsid w:val="00574D5C"/>
    <w:rsid w:val="00574DB1"/>
    <w:rsid w:val="00574EBD"/>
    <w:rsid w:val="00574F18"/>
    <w:rsid w:val="0057504C"/>
    <w:rsid w:val="005751A5"/>
    <w:rsid w:val="005751BA"/>
    <w:rsid w:val="0057550B"/>
    <w:rsid w:val="00575906"/>
    <w:rsid w:val="00575AA4"/>
    <w:rsid w:val="00575BA0"/>
    <w:rsid w:val="00575DA4"/>
    <w:rsid w:val="00575F91"/>
    <w:rsid w:val="0057609B"/>
    <w:rsid w:val="0057611E"/>
    <w:rsid w:val="00576290"/>
    <w:rsid w:val="005762AD"/>
    <w:rsid w:val="00576452"/>
    <w:rsid w:val="005764E9"/>
    <w:rsid w:val="005765DD"/>
    <w:rsid w:val="00576772"/>
    <w:rsid w:val="005767C3"/>
    <w:rsid w:val="005769A6"/>
    <w:rsid w:val="00576B36"/>
    <w:rsid w:val="00576BC8"/>
    <w:rsid w:val="00576CD1"/>
    <w:rsid w:val="00576CE7"/>
    <w:rsid w:val="00576CF5"/>
    <w:rsid w:val="00576DF2"/>
    <w:rsid w:val="00576DF9"/>
    <w:rsid w:val="00576E24"/>
    <w:rsid w:val="00576EB7"/>
    <w:rsid w:val="00576FEA"/>
    <w:rsid w:val="00577145"/>
    <w:rsid w:val="005772A4"/>
    <w:rsid w:val="0057733D"/>
    <w:rsid w:val="005773BE"/>
    <w:rsid w:val="0057740E"/>
    <w:rsid w:val="005774C8"/>
    <w:rsid w:val="00577579"/>
    <w:rsid w:val="00577700"/>
    <w:rsid w:val="00577888"/>
    <w:rsid w:val="005779B3"/>
    <w:rsid w:val="00577A08"/>
    <w:rsid w:val="00577C52"/>
    <w:rsid w:val="00577C74"/>
    <w:rsid w:val="00577FB7"/>
    <w:rsid w:val="00580041"/>
    <w:rsid w:val="0058014E"/>
    <w:rsid w:val="00580183"/>
    <w:rsid w:val="00580209"/>
    <w:rsid w:val="00580629"/>
    <w:rsid w:val="005806A5"/>
    <w:rsid w:val="005808B8"/>
    <w:rsid w:val="005809CB"/>
    <w:rsid w:val="005809F2"/>
    <w:rsid w:val="00580A1C"/>
    <w:rsid w:val="00580A44"/>
    <w:rsid w:val="00580A55"/>
    <w:rsid w:val="00580AA2"/>
    <w:rsid w:val="00580AC4"/>
    <w:rsid w:val="00580E92"/>
    <w:rsid w:val="00580F6A"/>
    <w:rsid w:val="00581339"/>
    <w:rsid w:val="0058137E"/>
    <w:rsid w:val="005814BB"/>
    <w:rsid w:val="0058164E"/>
    <w:rsid w:val="00581760"/>
    <w:rsid w:val="0058180E"/>
    <w:rsid w:val="0058195D"/>
    <w:rsid w:val="00581985"/>
    <w:rsid w:val="00581A66"/>
    <w:rsid w:val="00581AD6"/>
    <w:rsid w:val="00581C68"/>
    <w:rsid w:val="00581E3A"/>
    <w:rsid w:val="005820AD"/>
    <w:rsid w:val="0058221B"/>
    <w:rsid w:val="00582365"/>
    <w:rsid w:val="00582506"/>
    <w:rsid w:val="005829FE"/>
    <w:rsid w:val="00582C89"/>
    <w:rsid w:val="00582D08"/>
    <w:rsid w:val="00582E13"/>
    <w:rsid w:val="00582F5D"/>
    <w:rsid w:val="0058302A"/>
    <w:rsid w:val="00583103"/>
    <w:rsid w:val="0058343A"/>
    <w:rsid w:val="005834AC"/>
    <w:rsid w:val="00583529"/>
    <w:rsid w:val="005835C3"/>
    <w:rsid w:val="0058368E"/>
    <w:rsid w:val="005836D1"/>
    <w:rsid w:val="005837EC"/>
    <w:rsid w:val="005839BE"/>
    <w:rsid w:val="00583AE4"/>
    <w:rsid w:val="00583BAD"/>
    <w:rsid w:val="00583C30"/>
    <w:rsid w:val="00583CF3"/>
    <w:rsid w:val="00583F05"/>
    <w:rsid w:val="00583F81"/>
    <w:rsid w:val="00584179"/>
    <w:rsid w:val="00584221"/>
    <w:rsid w:val="00584325"/>
    <w:rsid w:val="005846AC"/>
    <w:rsid w:val="005846DE"/>
    <w:rsid w:val="0058474A"/>
    <w:rsid w:val="0058498B"/>
    <w:rsid w:val="00584A7E"/>
    <w:rsid w:val="00584BDB"/>
    <w:rsid w:val="00584CC6"/>
    <w:rsid w:val="00584D75"/>
    <w:rsid w:val="00584EDE"/>
    <w:rsid w:val="00584F38"/>
    <w:rsid w:val="0058578C"/>
    <w:rsid w:val="005857E1"/>
    <w:rsid w:val="0058587E"/>
    <w:rsid w:val="00585952"/>
    <w:rsid w:val="00585A0D"/>
    <w:rsid w:val="00585A27"/>
    <w:rsid w:val="00585B0A"/>
    <w:rsid w:val="00585C1B"/>
    <w:rsid w:val="00585DA4"/>
    <w:rsid w:val="00585DE4"/>
    <w:rsid w:val="00585E4C"/>
    <w:rsid w:val="00585EEC"/>
    <w:rsid w:val="00585F2F"/>
    <w:rsid w:val="00585FB2"/>
    <w:rsid w:val="00586364"/>
    <w:rsid w:val="005863B0"/>
    <w:rsid w:val="005866FD"/>
    <w:rsid w:val="005867A1"/>
    <w:rsid w:val="00586806"/>
    <w:rsid w:val="00586843"/>
    <w:rsid w:val="00586974"/>
    <w:rsid w:val="00586AA3"/>
    <w:rsid w:val="00586AC6"/>
    <w:rsid w:val="00586B93"/>
    <w:rsid w:val="00586D52"/>
    <w:rsid w:val="00586D9A"/>
    <w:rsid w:val="00586FA3"/>
    <w:rsid w:val="00586FE5"/>
    <w:rsid w:val="0058706B"/>
    <w:rsid w:val="005870A5"/>
    <w:rsid w:val="00587639"/>
    <w:rsid w:val="005876C9"/>
    <w:rsid w:val="005878D8"/>
    <w:rsid w:val="00587917"/>
    <w:rsid w:val="00587E14"/>
    <w:rsid w:val="00587EEA"/>
    <w:rsid w:val="00590143"/>
    <w:rsid w:val="0059018E"/>
    <w:rsid w:val="00590782"/>
    <w:rsid w:val="00590812"/>
    <w:rsid w:val="0059084A"/>
    <w:rsid w:val="0059097A"/>
    <w:rsid w:val="00590B89"/>
    <w:rsid w:val="00590F21"/>
    <w:rsid w:val="0059117E"/>
    <w:rsid w:val="005912FA"/>
    <w:rsid w:val="00591384"/>
    <w:rsid w:val="005914F5"/>
    <w:rsid w:val="0059157A"/>
    <w:rsid w:val="005915FD"/>
    <w:rsid w:val="005916F1"/>
    <w:rsid w:val="005917F6"/>
    <w:rsid w:val="0059184A"/>
    <w:rsid w:val="005918CF"/>
    <w:rsid w:val="005918EB"/>
    <w:rsid w:val="005918FF"/>
    <w:rsid w:val="00591B5B"/>
    <w:rsid w:val="00592173"/>
    <w:rsid w:val="0059221D"/>
    <w:rsid w:val="00592327"/>
    <w:rsid w:val="00592638"/>
    <w:rsid w:val="00592667"/>
    <w:rsid w:val="00592761"/>
    <w:rsid w:val="005927A8"/>
    <w:rsid w:val="005927F0"/>
    <w:rsid w:val="00592861"/>
    <w:rsid w:val="005928F0"/>
    <w:rsid w:val="00592B14"/>
    <w:rsid w:val="00592BD6"/>
    <w:rsid w:val="00592EBB"/>
    <w:rsid w:val="00592F65"/>
    <w:rsid w:val="00592FDC"/>
    <w:rsid w:val="00593138"/>
    <w:rsid w:val="005932FC"/>
    <w:rsid w:val="00593367"/>
    <w:rsid w:val="005937F7"/>
    <w:rsid w:val="00593843"/>
    <w:rsid w:val="00593A33"/>
    <w:rsid w:val="00593A70"/>
    <w:rsid w:val="00593AE3"/>
    <w:rsid w:val="00593C36"/>
    <w:rsid w:val="00593EA8"/>
    <w:rsid w:val="00593F39"/>
    <w:rsid w:val="00593FC6"/>
    <w:rsid w:val="005942CF"/>
    <w:rsid w:val="005942ED"/>
    <w:rsid w:val="0059444C"/>
    <w:rsid w:val="005945AF"/>
    <w:rsid w:val="005946B7"/>
    <w:rsid w:val="005947B5"/>
    <w:rsid w:val="005948A8"/>
    <w:rsid w:val="005948EE"/>
    <w:rsid w:val="005949A8"/>
    <w:rsid w:val="00594AB5"/>
    <w:rsid w:val="00594E31"/>
    <w:rsid w:val="00594E9A"/>
    <w:rsid w:val="005950AF"/>
    <w:rsid w:val="005950E1"/>
    <w:rsid w:val="0059517A"/>
    <w:rsid w:val="005953FB"/>
    <w:rsid w:val="00595455"/>
    <w:rsid w:val="00595713"/>
    <w:rsid w:val="00595793"/>
    <w:rsid w:val="005957F0"/>
    <w:rsid w:val="005958F6"/>
    <w:rsid w:val="005958FA"/>
    <w:rsid w:val="0059597B"/>
    <w:rsid w:val="00595B13"/>
    <w:rsid w:val="00595D32"/>
    <w:rsid w:val="00595DE6"/>
    <w:rsid w:val="00595F23"/>
    <w:rsid w:val="005960BB"/>
    <w:rsid w:val="00596135"/>
    <w:rsid w:val="00596188"/>
    <w:rsid w:val="00596269"/>
    <w:rsid w:val="0059630D"/>
    <w:rsid w:val="00596326"/>
    <w:rsid w:val="0059643D"/>
    <w:rsid w:val="0059645D"/>
    <w:rsid w:val="00596889"/>
    <w:rsid w:val="00596AAD"/>
    <w:rsid w:val="00596AF3"/>
    <w:rsid w:val="00596C40"/>
    <w:rsid w:val="00596CB3"/>
    <w:rsid w:val="00596D51"/>
    <w:rsid w:val="00596E04"/>
    <w:rsid w:val="00596E5A"/>
    <w:rsid w:val="00596FA7"/>
    <w:rsid w:val="0059710F"/>
    <w:rsid w:val="0059715F"/>
    <w:rsid w:val="0059722C"/>
    <w:rsid w:val="005973C0"/>
    <w:rsid w:val="005973FF"/>
    <w:rsid w:val="00597407"/>
    <w:rsid w:val="0059747C"/>
    <w:rsid w:val="00597577"/>
    <w:rsid w:val="00597616"/>
    <w:rsid w:val="0059763D"/>
    <w:rsid w:val="0059770E"/>
    <w:rsid w:val="005978D4"/>
    <w:rsid w:val="00597A92"/>
    <w:rsid w:val="00597AC1"/>
    <w:rsid w:val="00597D35"/>
    <w:rsid w:val="00597DD2"/>
    <w:rsid w:val="00597DDB"/>
    <w:rsid w:val="00597EEB"/>
    <w:rsid w:val="00597F1F"/>
    <w:rsid w:val="00597FD0"/>
    <w:rsid w:val="005A02C7"/>
    <w:rsid w:val="005A0306"/>
    <w:rsid w:val="005A0496"/>
    <w:rsid w:val="005A04EC"/>
    <w:rsid w:val="005A04FA"/>
    <w:rsid w:val="005A06AF"/>
    <w:rsid w:val="005A08B3"/>
    <w:rsid w:val="005A08E6"/>
    <w:rsid w:val="005A09CD"/>
    <w:rsid w:val="005A0A0D"/>
    <w:rsid w:val="005A0B02"/>
    <w:rsid w:val="005A0F4B"/>
    <w:rsid w:val="005A10E3"/>
    <w:rsid w:val="005A12E5"/>
    <w:rsid w:val="005A1583"/>
    <w:rsid w:val="005A1618"/>
    <w:rsid w:val="005A1877"/>
    <w:rsid w:val="005A1C40"/>
    <w:rsid w:val="005A1CD4"/>
    <w:rsid w:val="005A1EDC"/>
    <w:rsid w:val="005A1F96"/>
    <w:rsid w:val="005A232F"/>
    <w:rsid w:val="005A2339"/>
    <w:rsid w:val="005A2512"/>
    <w:rsid w:val="005A2654"/>
    <w:rsid w:val="005A26AA"/>
    <w:rsid w:val="005A29BC"/>
    <w:rsid w:val="005A29CB"/>
    <w:rsid w:val="005A29EB"/>
    <w:rsid w:val="005A2D21"/>
    <w:rsid w:val="005A2FBD"/>
    <w:rsid w:val="005A2FD5"/>
    <w:rsid w:val="005A31EF"/>
    <w:rsid w:val="005A3237"/>
    <w:rsid w:val="005A3244"/>
    <w:rsid w:val="005A3265"/>
    <w:rsid w:val="005A3416"/>
    <w:rsid w:val="005A3575"/>
    <w:rsid w:val="005A3824"/>
    <w:rsid w:val="005A392C"/>
    <w:rsid w:val="005A3A11"/>
    <w:rsid w:val="005A3A74"/>
    <w:rsid w:val="005A3B3F"/>
    <w:rsid w:val="005A3C2B"/>
    <w:rsid w:val="005A3CA2"/>
    <w:rsid w:val="005A3CB3"/>
    <w:rsid w:val="005A3DD5"/>
    <w:rsid w:val="005A3E59"/>
    <w:rsid w:val="005A3FBF"/>
    <w:rsid w:val="005A4047"/>
    <w:rsid w:val="005A40AE"/>
    <w:rsid w:val="005A4384"/>
    <w:rsid w:val="005A44FE"/>
    <w:rsid w:val="005A4575"/>
    <w:rsid w:val="005A47F0"/>
    <w:rsid w:val="005A485F"/>
    <w:rsid w:val="005A4A62"/>
    <w:rsid w:val="005A4D03"/>
    <w:rsid w:val="005A4D35"/>
    <w:rsid w:val="005A4D9E"/>
    <w:rsid w:val="005A4DB9"/>
    <w:rsid w:val="005A4DC8"/>
    <w:rsid w:val="005A4EE4"/>
    <w:rsid w:val="005A4FF4"/>
    <w:rsid w:val="005A52A5"/>
    <w:rsid w:val="005A5390"/>
    <w:rsid w:val="005A5427"/>
    <w:rsid w:val="005A5850"/>
    <w:rsid w:val="005A58D9"/>
    <w:rsid w:val="005A5A25"/>
    <w:rsid w:val="005A5D49"/>
    <w:rsid w:val="005A62A7"/>
    <w:rsid w:val="005A6315"/>
    <w:rsid w:val="005A670B"/>
    <w:rsid w:val="005A673A"/>
    <w:rsid w:val="005A6848"/>
    <w:rsid w:val="005A6856"/>
    <w:rsid w:val="005A6E2E"/>
    <w:rsid w:val="005A6F80"/>
    <w:rsid w:val="005A7012"/>
    <w:rsid w:val="005A7066"/>
    <w:rsid w:val="005A70A8"/>
    <w:rsid w:val="005A7229"/>
    <w:rsid w:val="005A72E9"/>
    <w:rsid w:val="005A7452"/>
    <w:rsid w:val="005A7579"/>
    <w:rsid w:val="005A75A6"/>
    <w:rsid w:val="005A76E9"/>
    <w:rsid w:val="005A7861"/>
    <w:rsid w:val="005A7938"/>
    <w:rsid w:val="005A79C7"/>
    <w:rsid w:val="005A7A5E"/>
    <w:rsid w:val="005A7C65"/>
    <w:rsid w:val="005A7DB5"/>
    <w:rsid w:val="005A7F0E"/>
    <w:rsid w:val="005B007D"/>
    <w:rsid w:val="005B0334"/>
    <w:rsid w:val="005B05C3"/>
    <w:rsid w:val="005B0839"/>
    <w:rsid w:val="005B0B20"/>
    <w:rsid w:val="005B0BA9"/>
    <w:rsid w:val="005B0BB3"/>
    <w:rsid w:val="005B0C3F"/>
    <w:rsid w:val="005B0C93"/>
    <w:rsid w:val="005B0E94"/>
    <w:rsid w:val="005B0F8B"/>
    <w:rsid w:val="005B0FDD"/>
    <w:rsid w:val="005B0FE6"/>
    <w:rsid w:val="005B111E"/>
    <w:rsid w:val="005B135F"/>
    <w:rsid w:val="005B1390"/>
    <w:rsid w:val="005B14E9"/>
    <w:rsid w:val="005B1563"/>
    <w:rsid w:val="005B1720"/>
    <w:rsid w:val="005B1A28"/>
    <w:rsid w:val="005B1A4D"/>
    <w:rsid w:val="005B1A5A"/>
    <w:rsid w:val="005B1AE3"/>
    <w:rsid w:val="005B1B18"/>
    <w:rsid w:val="005B1C07"/>
    <w:rsid w:val="005B1CE2"/>
    <w:rsid w:val="005B209F"/>
    <w:rsid w:val="005B21EC"/>
    <w:rsid w:val="005B2326"/>
    <w:rsid w:val="005B2376"/>
    <w:rsid w:val="005B2612"/>
    <w:rsid w:val="005B262D"/>
    <w:rsid w:val="005B2679"/>
    <w:rsid w:val="005B2AEB"/>
    <w:rsid w:val="005B2B7E"/>
    <w:rsid w:val="005B2B9F"/>
    <w:rsid w:val="005B2D84"/>
    <w:rsid w:val="005B2E19"/>
    <w:rsid w:val="005B2E99"/>
    <w:rsid w:val="005B2ED2"/>
    <w:rsid w:val="005B2FC5"/>
    <w:rsid w:val="005B303C"/>
    <w:rsid w:val="005B30AD"/>
    <w:rsid w:val="005B30DD"/>
    <w:rsid w:val="005B3432"/>
    <w:rsid w:val="005B3471"/>
    <w:rsid w:val="005B35D5"/>
    <w:rsid w:val="005B38B5"/>
    <w:rsid w:val="005B391A"/>
    <w:rsid w:val="005B3AD7"/>
    <w:rsid w:val="005B3AE0"/>
    <w:rsid w:val="005B3B06"/>
    <w:rsid w:val="005B3BD6"/>
    <w:rsid w:val="005B3F8E"/>
    <w:rsid w:val="005B3FC8"/>
    <w:rsid w:val="005B431E"/>
    <w:rsid w:val="005B4373"/>
    <w:rsid w:val="005B44C2"/>
    <w:rsid w:val="005B4615"/>
    <w:rsid w:val="005B472E"/>
    <w:rsid w:val="005B473B"/>
    <w:rsid w:val="005B4898"/>
    <w:rsid w:val="005B48EC"/>
    <w:rsid w:val="005B4A65"/>
    <w:rsid w:val="005B4B98"/>
    <w:rsid w:val="005B4BCE"/>
    <w:rsid w:val="005B4C0F"/>
    <w:rsid w:val="005B4D60"/>
    <w:rsid w:val="005B4E7D"/>
    <w:rsid w:val="005B5088"/>
    <w:rsid w:val="005B530D"/>
    <w:rsid w:val="005B5521"/>
    <w:rsid w:val="005B56A9"/>
    <w:rsid w:val="005B570F"/>
    <w:rsid w:val="005B5931"/>
    <w:rsid w:val="005B5A2B"/>
    <w:rsid w:val="005B60C3"/>
    <w:rsid w:val="005B61D0"/>
    <w:rsid w:val="005B620E"/>
    <w:rsid w:val="005B6252"/>
    <w:rsid w:val="005B6346"/>
    <w:rsid w:val="005B63C3"/>
    <w:rsid w:val="005B6462"/>
    <w:rsid w:val="005B6466"/>
    <w:rsid w:val="005B6491"/>
    <w:rsid w:val="005B6A17"/>
    <w:rsid w:val="005B6AF0"/>
    <w:rsid w:val="005B6BC3"/>
    <w:rsid w:val="005B6D08"/>
    <w:rsid w:val="005B6EE5"/>
    <w:rsid w:val="005B700C"/>
    <w:rsid w:val="005B70AD"/>
    <w:rsid w:val="005B71B2"/>
    <w:rsid w:val="005B7234"/>
    <w:rsid w:val="005B74F0"/>
    <w:rsid w:val="005B7552"/>
    <w:rsid w:val="005B7571"/>
    <w:rsid w:val="005B774C"/>
    <w:rsid w:val="005B7821"/>
    <w:rsid w:val="005B78A4"/>
    <w:rsid w:val="005B7A33"/>
    <w:rsid w:val="005B7B39"/>
    <w:rsid w:val="005B7D6C"/>
    <w:rsid w:val="005B7DB1"/>
    <w:rsid w:val="005B7E97"/>
    <w:rsid w:val="005B7F68"/>
    <w:rsid w:val="005C02DC"/>
    <w:rsid w:val="005C0461"/>
    <w:rsid w:val="005C0589"/>
    <w:rsid w:val="005C1167"/>
    <w:rsid w:val="005C1205"/>
    <w:rsid w:val="005C13EA"/>
    <w:rsid w:val="005C154C"/>
    <w:rsid w:val="005C178F"/>
    <w:rsid w:val="005C1800"/>
    <w:rsid w:val="005C1AF8"/>
    <w:rsid w:val="005C204D"/>
    <w:rsid w:val="005C2063"/>
    <w:rsid w:val="005C207D"/>
    <w:rsid w:val="005C223B"/>
    <w:rsid w:val="005C2493"/>
    <w:rsid w:val="005C24F0"/>
    <w:rsid w:val="005C2538"/>
    <w:rsid w:val="005C27D9"/>
    <w:rsid w:val="005C2BFD"/>
    <w:rsid w:val="005C2EE0"/>
    <w:rsid w:val="005C2F5B"/>
    <w:rsid w:val="005C30B2"/>
    <w:rsid w:val="005C3159"/>
    <w:rsid w:val="005C31D3"/>
    <w:rsid w:val="005C332F"/>
    <w:rsid w:val="005C33A4"/>
    <w:rsid w:val="005C34A2"/>
    <w:rsid w:val="005C3784"/>
    <w:rsid w:val="005C3A37"/>
    <w:rsid w:val="005C3AAD"/>
    <w:rsid w:val="005C3CF1"/>
    <w:rsid w:val="005C3DCC"/>
    <w:rsid w:val="005C3F97"/>
    <w:rsid w:val="005C3FA1"/>
    <w:rsid w:val="005C415D"/>
    <w:rsid w:val="005C416A"/>
    <w:rsid w:val="005C42E9"/>
    <w:rsid w:val="005C44F2"/>
    <w:rsid w:val="005C453F"/>
    <w:rsid w:val="005C45FE"/>
    <w:rsid w:val="005C46E8"/>
    <w:rsid w:val="005C4805"/>
    <w:rsid w:val="005C481C"/>
    <w:rsid w:val="005C4A29"/>
    <w:rsid w:val="005C4A2A"/>
    <w:rsid w:val="005C4A69"/>
    <w:rsid w:val="005C4D18"/>
    <w:rsid w:val="005C502E"/>
    <w:rsid w:val="005C50FA"/>
    <w:rsid w:val="005C5113"/>
    <w:rsid w:val="005C512B"/>
    <w:rsid w:val="005C51AC"/>
    <w:rsid w:val="005C51F9"/>
    <w:rsid w:val="005C5214"/>
    <w:rsid w:val="005C52A5"/>
    <w:rsid w:val="005C52B6"/>
    <w:rsid w:val="005C5512"/>
    <w:rsid w:val="005C58E7"/>
    <w:rsid w:val="005C590F"/>
    <w:rsid w:val="005C5B18"/>
    <w:rsid w:val="005C5C2F"/>
    <w:rsid w:val="005C5DB5"/>
    <w:rsid w:val="005C60D9"/>
    <w:rsid w:val="005C615B"/>
    <w:rsid w:val="005C6204"/>
    <w:rsid w:val="005C6287"/>
    <w:rsid w:val="005C6444"/>
    <w:rsid w:val="005C6509"/>
    <w:rsid w:val="005C65BD"/>
    <w:rsid w:val="005C65FB"/>
    <w:rsid w:val="005C663C"/>
    <w:rsid w:val="005C6730"/>
    <w:rsid w:val="005C6792"/>
    <w:rsid w:val="005C695E"/>
    <w:rsid w:val="005C6B21"/>
    <w:rsid w:val="005C6F57"/>
    <w:rsid w:val="005C708D"/>
    <w:rsid w:val="005C71FF"/>
    <w:rsid w:val="005C7215"/>
    <w:rsid w:val="005C73C4"/>
    <w:rsid w:val="005C7719"/>
    <w:rsid w:val="005C7732"/>
    <w:rsid w:val="005C7B6A"/>
    <w:rsid w:val="005C7BC3"/>
    <w:rsid w:val="005C7D0C"/>
    <w:rsid w:val="005C7E53"/>
    <w:rsid w:val="005D00EA"/>
    <w:rsid w:val="005D023B"/>
    <w:rsid w:val="005D04C9"/>
    <w:rsid w:val="005D051C"/>
    <w:rsid w:val="005D07D7"/>
    <w:rsid w:val="005D07DE"/>
    <w:rsid w:val="005D089D"/>
    <w:rsid w:val="005D0A96"/>
    <w:rsid w:val="005D0BCE"/>
    <w:rsid w:val="005D0C00"/>
    <w:rsid w:val="005D0EE0"/>
    <w:rsid w:val="005D0EEF"/>
    <w:rsid w:val="005D0F33"/>
    <w:rsid w:val="005D10C3"/>
    <w:rsid w:val="005D10DC"/>
    <w:rsid w:val="005D11B2"/>
    <w:rsid w:val="005D122B"/>
    <w:rsid w:val="005D1254"/>
    <w:rsid w:val="005D132C"/>
    <w:rsid w:val="005D1355"/>
    <w:rsid w:val="005D13C4"/>
    <w:rsid w:val="005D1410"/>
    <w:rsid w:val="005D1506"/>
    <w:rsid w:val="005D15AC"/>
    <w:rsid w:val="005D1797"/>
    <w:rsid w:val="005D1897"/>
    <w:rsid w:val="005D19C5"/>
    <w:rsid w:val="005D1A81"/>
    <w:rsid w:val="005D1AE9"/>
    <w:rsid w:val="005D1BA8"/>
    <w:rsid w:val="005D1C25"/>
    <w:rsid w:val="005D1CA1"/>
    <w:rsid w:val="005D1DE5"/>
    <w:rsid w:val="005D1DF0"/>
    <w:rsid w:val="005D1FA0"/>
    <w:rsid w:val="005D2034"/>
    <w:rsid w:val="005D21D2"/>
    <w:rsid w:val="005D2304"/>
    <w:rsid w:val="005D23DD"/>
    <w:rsid w:val="005D2462"/>
    <w:rsid w:val="005D2469"/>
    <w:rsid w:val="005D24A4"/>
    <w:rsid w:val="005D2657"/>
    <w:rsid w:val="005D28DF"/>
    <w:rsid w:val="005D2A65"/>
    <w:rsid w:val="005D2D3B"/>
    <w:rsid w:val="005D2D7A"/>
    <w:rsid w:val="005D2DB1"/>
    <w:rsid w:val="005D2EC2"/>
    <w:rsid w:val="005D2F35"/>
    <w:rsid w:val="005D2FDC"/>
    <w:rsid w:val="005D301E"/>
    <w:rsid w:val="005D3039"/>
    <w:rsid w:val="005D304E"/>
    <w:rsid w:val="005D32F1"/>
    <w:rsid w:val="005D32FA"/>
    <w:rsid w:val="005D3410"/>
    <w:rsid w:val="005D348E"/>
    <w:rsid w:val="005D362B"/>
    <w:rsid w:val="005D36D6"/>
    <w:rsid w:val="005D3761"/>
    <w:rsid w:val="005D3771"/>
    <w:rsid w:val="005D38F6"/>
    <w:rsid w:val="005D3A04"/>
    <w:rsid w:val="005D3AA8"/>
    <w:rsid w:val="005D3C73"/>
    <w:rsid w:val="005D3D2E"/>
    <w:rsid w:val="005D3D62"/>
    <w:rsid w:val="005D40A0"/>
    <w:rsid w:val="005D414E"/>
    <w:rsid w:val="005D41A7"/>
    <w:rsid w:val="005D4316"/>
    <w:rsid w:val="005D4327"/>
    <w:rsid w:val="005D4388"/>
    <w:rsid w:val="005D4897"/>
    <w:rsid w:val="005D48FE"/>
    <w:rsid w:val="005D498B"/>
    <w:rsid w:val="005D4AB9"/>
    <w:rsid w:val="005D4BA3"/>
    <w:rsid w:val="005D4BE9"/>
    <w:rsid w:val="005D4C31"/>
    <w:rsid w:val="005D4CD6"/>
    <w:rsid w:val="005D4E39"/>
    <w:rsid w:val="005D50BF"/>
    <w:rsid w:val="005D50F6"/>
    <w:rsid w:val="005D5174"/>
    <w:rsid w:val="005D51F8"/>
    <w:rsid w:val="005D5350"/>
    <w:rsid w:val="005D54B1"/>
    <w:rsid w:val="005D56D2"/>
    <w:rsid w:val="005D577E"/>
    <w:rsid w:val="005D5839"/>
    <w:rsid w:val="005D5937"/>
    <w:rsid w:val="005D59A7"/>
    <w:rsid w:val="005D5A30"/>
    <w:rsid w:val="005D5AD8"/>
    <w:rsid w:val="005D5ADF"/>
    <w:rsid w:val="005D5B10"/>
    <w:rsid w:val="005D5D7E"/>
    <w:rsid w:val="005D5E24"/>
    <w:rsid w:val="005D5E83"/>
    <w:rsid w:val="005D6026"/>
    <w:rsid w:val="005D6069"/>
    <w:rsid w:val="005D6389"/>
    <w:rsid w:val="005D6612"/>
    <w:rsid w:val="005D6631"/>
    <w:rsid w:val="005D6671"/>
    <w:rsid w:val="005D6769"/>
    <w:rsid w:val="005D6A56"/>
    <w:rsid w:val="005D6ACB"/>
    <w:rsid w:val="005D6BFE"/>
    <w:rsid w:val="005D6D19"/>
    <w:rsid w:val="005D6D34"/>
    <w:rsid w:val="005D6D9C"/>
    <w:rsid w:val="005D6DB9"/>
    <w:rsid w:val="005D6E39"/>
    <w:rsid w:val="005D6E7B"/>
    <w:rsid w:val="005D6E92"/>
    <w:rsid w:val="005D6FA0"/>
    <w:rsid w:val="005D6FF1"/>
    <w:rsid w:val="005D70C8"/>
    <w:rsid w:val="005D70E3"/>
    <w:rsid w:val="005D7160"/>
    <w:rsid w:val="005D717C"/>
    <w:rsid w:val="005D717E"/>
    <w:rsid w:val="005D71CB"/>
    <w:rsid w:val="005D71D4"/>
    <w:rsid w:val="005D7222"/>
    <w:rsid w:val="005D7267"/>
    <w:rsid w:val="005D73EE"/>
    <w:rsid w:val="005D7471"/>
    <w:rsid w:val="005D749D"/>
    <w:rsid w:val="005D74CA"/>
    <w:rsid w:val="005D74CF"/>
    <w:rsid w:val="005D7578"/>
    <w:rsid w:val="005D75B1"/>
    <w:rsid w:val="005D75D2"/>
    <w:rsid w:val="005D76A6"/>
    <w:rsid w:val="005D7728"/>
    <w:rsid w:val="005D78A1"/>
    <w:rsid w:val="005D7AB6"/>
    <w:rsid w:val="005D7B35"/>
    <w:rsid w:val="005D7CAA"/>
    <w:rsid w:val="005D7F0D"/>
    <w:rsid w:val="005E036B"/>
    <w:rsid w:val="005E0401"/>
    <w:rsid w:val="005E0428"/>
    <w:rsid w:val="005E067E"/>
    <w:rsid w:val="005E0838"/>
    <w:rsid w:val="005E086D"/>
    <w:rsid w:val="005E089D"/>
    <w:rsid w:val="005E0994"/>
    <w:rsid w:val="005E09B0"/>
    <w:rsid w:val="005E0AC3"/>
    <w:rsid w:val="005E0BB7"/>
    <w:rsid w:val="005E130F"/>
    <w:rsid w:val="005E160A"/>
    <w:rsid w:val="005E1815"/>
    <w:rsid w:val="005E1874"/>
    <w:rsid w:val="005E1A8D"/>
    <w:rsid w:val="005E1C4F"/>
    <w:rsid w:val="005E1F53"/>
    <w:rsid w:val="005E2434"/>
    <w:rsid w:val="005E259A"/>
    <w:rsid w:val="005E2702"/>
    <w:rsid w:val="005E2739"/>
    <w:rsid w:val="005E28AA"/>
    <w:rsid w:val="005E294A"/>
    <w:rsid w:val="005E2A0E"/>
    <w:rsid w:val="005E2BA4"/>
    <w:rsid w:val="005E2CA0"/>
    <w:rsid w:val="005E2DED"/>
    <w:rsid w:val="005E30F8"/>
    <w:rsid w:val="005E3157"/>
    <w:rsid w:val="005E3274"/>
    <w:rsid w:val="005E329B"/>
    <w:rsid w:val="005E32A4"/>
    <w:rsid w:val="005E349E"/>
    <w:rsid w:val="005E354D"/>
    <w:rsid w:val="005E3644"/>
    <w:rsid w:val="005E3B15"/>
    <w:rsid w:val="005E3EC9"/>
    <w:rsid w:val="005E4095"/>
    <w:rsid w:val="005E4233"/>
    <w:rsid w:val="005E4328"/>
    <w:rsid w:val="005E4343"/>
    <w:rsid w:val="005E435A"/>
    <w:rsid w:val="005E4491"/>
    <w:rsid w:val="005E4626"/>
    <w:rsid w:val="005E462A"/>
    <w:rsid w:val="005E470F"/>
    <w:rsid w:val="005E4790"/>
    <w:rsid w:val="005E4825"/>
    <w:rsid w:val="005E49FF"/>
    <w:rsid w:val="005E5150"/>
    <w:rsid w:val="005E54AF"/>
    <w:rsid w:val="005E54EC"/>
    <w:rsid w:val="005E55B0"/>
    <w:rsid w:val="005E56D4"/>
    <w:rsid w:val="005E5874"/>
    <w:rsid w:val="005E5949"/>
    <w:rsid w:val="005E5AFC"/>
    <w:rsid w:val="005E5D50"/>
    <w:rsid w:val="005E5E6D"/>
    <w:rsid w:val="005E5FC1"/>
    <w:rsid w:val="005E5FD4"/>
    <w:rsid w:val="005E6092"/>
    <w:rsid w:val="005E60E1"/>
    <w:rsid w:val="005E621C"/>
    <w:rsid w:val="005E62AE"/>
    <w:rsid w:val="005E643B"/>
    <w:rsid w:val="005E648C"/>
    <w:rsid w:val="005E685B"/>
    <w:rsid w:val="005E6A70"/>
    <w:rsid w:val="005E6AF0"/>
    <w:rsid w:val="005E6F57"/>
    <w:rsid w:val="005E7363"/>
    <w:rsid w:val="005E75D5"/>
    <w:rsid w:val="005E7874"/>
    <w:rsid w:val="005E7930"/>
    <w:rsid w:val="005E7967"/>
    <w:rsid w:val="005E7AD9"/>
    <w:rsid w:val="005E7D5D"/>
    <w:rsid w:val="005E7DED"/>
    <w:rsid w:val="005E7DF4"/>
    <w:rsid w:val="005E7FD2"/>
    <w:rsid w:val="005F00D2"/>
    <w:rsid w:val="005F01A8"/>
    <w:rsid w:val="005F026E"/>
    <w:rsid w:val="005F044D"/>
    <w:rsid w:val="005F06C9"/>
    <w:rsid w:val="005F0979"/>
    <w:rsid w:val="005F0B8F"/>
    <w:rsid w:val="005F0BFC"/>
    <w:rsid w:val="005F0C2E"/>
    <w:rsid w:val="005F0CAC"/>
    <w:rsid w:val="005F0D92"/>
    <w:rsid w:val="005F11F4"/>
    <w:rsid w:val="005F12AB"/>
    <w:rsid w:val="005F12C0"/>
    <w:rsid w:val="005F1314"/>
    <w:rsid w:val="005F137A"/>
    <w:rsid w:val="005F1555"/>
    <w:rsid w:val="005F1619"/>
    <w:rsid w:val="005F162C"/>
    <w:rsid w:val="005F1AF9"/>
    <w:rsid w:val="005F1B47"/>
    <w:rsid w:val="005F1CD8"/>
    <w:rsid w:val="005F1E25"/>
    <w:rsid w:val="005F1EFD"/>
    <w:rsid w:val="005F2153"/>
    <w:rsid w:val="005F21F9"/>
    <w:rsid w:val="005F23B1"/>
    <w:rsid w:val="005F2411"/>
    <w:rsid w:val="005F2485"/>
    <w:rsid w:val="005F248B"/>
    <w:rsid w:val="005F25E8"/>
    <w:rsid w:val="005F2687"/>
    <w:rsid w:val="005F279E"/>
    <w:rsid w:val="005F2895"/>
    <w:rsid w:val="005F2972"/>
    <w:rsid w:val="005F2978"/>
    <w:rsid w:val="005F298E"/>
    <w:rsid w:val="005F2A25"/>
    <w:rsid w:val="005F2AA7"/>
    <w:rsid w:val="005F2CB8"/>
    <w:rsid w:val="005F2CE4"/>
    <w:rsid w:val="005F312C"/>
    <w:rsid w:val="005F3389"/>
    <w:rsid w:val="005F33B0"/>
    <w:rsid w:val="005F362A"/>
    <w:rsid w:val="005F36C2"/>
    <w:rsid w:val="005F36E8"/>
    <w:rsid w:val="005F377D"/>
    <w:rsid w:val="005F3780"/>
    <w:rsid w:val="005F38F0"/>
    <w:rsid w:val="005F3A8D"/>
    <w:rsid w:val="005F3B6F"/>
    <w:rsid w:val="005F3CF8"/>
    <w:rsid w:val="005F3FF6"/>
    <w:rsid w:val="005F402E"/>
    <w:rsid w:val="005F42F2"/>
    <w:rsid w:val="005F4385"/>
    <w:rsid w:val="005F4635"/>
    <w:rsid w:val="005F4638"/>
    <w:rsid w:val="005F46D6"/>
    <w:rsid w:val="005F4721"/>
    <w:rsid w:val="005F4748"/>
    <w:rsid w:val="005F477A"/>
    <w:rsid w:val="005F477B"/>
    <w:rsid w:val="005F479E"/>
    <w:rsid w:val="005F4895"/>
    <w:rsid w:val="005F491D"/>
    <w:rsid w:val="005F49BE"/>
    <w:rsid w:val="005F4D16"/>
    <w:rsid w:val="005F4E7E"/>
    <w:rsid w:val="005F4E88"/>
    <w:rsid w:val="005F4F66"/>
    <w:rsid w:val="005F507D"/>
    <w:rsid w:val="005F5204"/>
    <w:rsid w:val="005F5500"/>
    <w:rsid w:val="005F5529"/>
    <w:rsid w:val="005F5596"/>
    <w:rsid w:val="005F56AD"/>
    <w:rsid w:val="005F571C"/>
    <w:rsid w:val="005F58F6"/>
    <w:rsid w:val="005F5963"/>
    <w:rsid w:val="005F5B35"/>
    <w:rsid w:val="005F5B48"/>
    <w:rsid w:val="005F5C32"/>
    <w:rsid w:val="005F5E5B"/>
    <w:rsid w:val="005F5FDC"/>
    <w:rsid w:val="005F60CA"/>
    <w:rsid w:val="005F61C0"/>
    <w:rsid w:val="005F61ED"/>
    <w:rsid w:val="005F6439"/>
    <w:rsid w:val="005F6623"/>
    <w:rsid w:val="005F6726"/>
    <w:rsid w:val="005F675A"/>
    <w:rsid w:val="005F68AD"/>
    <w:rsid w:val="005F6905"/>
    <w:rsid w:val="005F6966"/>
    <w:rsid w:val="005F6A5F"/>
    <w:rsid w:val="005F6BB3"/>
    <w:rsid w:val="005F6F0E"/>
    <w:rsid w:val="005F6F13"/>
    <w:rsid w:val="005F6F62"/>
    <w:rsid w:val="005F70AC"/>
    <w:rsid w:val="005F710F"/>
    <w:rsid w:val="005F71B9"/>
    <w:rsid w:val="005F720A"/>
    <w:rsid w:val="005F7238"/>
    <w:rsid w:val="005F7247"/>
    <w:rsid w:val="005F727F"/>
    <w:rsid w:val="005F7336"/>
    <w:rsid w:val="005F747F"/>
    <w:rsid w:val="005F75E4"/>
    <w:rsid w:val="005F75F3"/>
    <w:rsid w:val="005F797D"/>
    <w:rsid w:val="005F7A41"/>
    <w:rsid w:val="005F7AA9"/>
    <w:rsid w:val="005F7B25"/>
    <w:rsid w:val="005F7C1D"/>
    <w:rsid w:val="005F7C4A"/>
    <w:rsid w:val="005F7DB9"/>
    <w:rsid w:val="005F7EAE"/>
    <w:rsid w:val="005F7EBC"/>
    <w:rsid w:val="00600194"/>
    <w:rsid w:val="00600250"/>
    <w:rsid w:val="00600546"/>
    <w:rsid w:val="006005C1"/>
    <w:rsid w:val="00600765"/>
    <w:rsid w:val="00600916"/>
    <w:rsid w:val="00600B25"/>
    <w:rsid w:val="00600B7D"/>
    <w:rsid w:val="00600E0F"/>
    <w:rsid w:val="0060116E"/>
    <w:rsid w:val="006013D0"/>
    <w:rsid w:val="006014EF"/>
    <w:rsid w:val="006015CC"/>
    <w:rsid w:val="006015D2"/>
    <w:rsid w:val="0060177C"/>
    <w:rsid w:val="00601A4F"/>
    <w:rsid w:val="00601B47"/>
    <w:rsid w:val="00601BD7"/>
    <w:rsid w:val="00601CF9"/>
    <w:rsid w:val="00601EB0"/>
    <w:rsid w:val="00602083"/>
    <w:rsid w:val="006020E3"/>
    <w:rsid w:val="006022D4"/>
    <w:rsid w:val="006023A3"/>
    <w:rsid w:val="006025CF"/>
    <w:rsid w:val="00602607"/>
    <w:rsid w:val="006028D6"/>
    <w:rsid w:val="0060299A"/>
    <w:rsid w:val="006029FE"/>
    <w:rsid w:val="00602C24"/>
    <w:rsid w:val="00602CBF"/>
    <w:rsid w:val="00602D44"/>
    <w:rsid w:val="00602E61"/>
    <w:rsid w:val="00602E7E"/>
    <w:rsid w:val="00602F43"/>
    <w:rsid w:val="00603053"/>
    <w:rsid w:val="00603241"/>
    <w:rsid w:val="00603256"/>
    <w:rsid w:val="006032E8"/>
    <w:rsid w:val="00603471"/>
    <w:rsid w:val="006036EB"/>
    <w:rsid w:val="00603B08"/>
    <w:rsid w:val="00603B4D"/>
    <w:rsid w:val="00603D86"/>
    <w:rsid w:val="00603FD4"/>
    <w:rsid w:val="00604033"/>
    <w:rsid w:val="006040D0"/>
    <w:rsid w:val="0060429A"/>
    <w:rsid w:val="006042A5"/>
    <w:rsid w:val="006042A7"/>
    <w:rsid w:val="006042AF"/>
    <w:rsid w:val="0060447A"/>
    <w:rsid w:val="006045A6"/>
    <w:rsid w:val="00604669"/>
    <w:rsid w:val="0060466B"/>
    <w:rsid w:val="006046E1"/>
    <w:rsid w:val="006047B5"/>
    <w:rsid w:val="00604A22"/>
    <w:rsid w:val="00604A54"/>
    <w:rsid w:val="00604AFB"/>
    <w:rsid w:val="00604D9C"/>
    <w:rsid w:val="00604DC3"/>
    <w:rsid w:val="006050FA"/>
    <w:rsid w:val="00605318"/>
    <w:rsid w:val="006054A7"/>
    <w:rsid w:val="006054C2"/>
    <w:rsid w:val="00605584"/>
    <w:rsid w:val="006055AE"/>
    <w:rsid w:val="006056A7"/>
    <w:rsid w:val="0060573E"/>
    <w:rsid w:val="00605764"/>
    <w:rsid w:val="00605776"/>
    <w:rsid w:val="006057AE"/>
    <w:rsid w:val="00605880"/>
    <w:rsid w:val="006058C2"/>
    <w:rsid w:val="00605A63"/>
    <w:rsid w:val="00605C2F"/>
    <w:rsid w:val="00605C32"/>
    <w:rsid w:val="00605E13"/>
    <w:rsid w:val="00605E60"/>
    <w:rsid w:val="00605F7E"/>
    <w:rsid w:val="0060606F"/>
    <w:rsid w:val="0060618E"/>
    <w:rsid w:val="0060621B"/>
    <w:rsid w:val="006062B1"/>
    <w:rsid w:val="00606374"/>
    <w:rsid w:val="006063D1"/>
    <w:rsid w:val="006063F8"/>
    <w:rsid w:val="00606678"/>
    <w:rsid w:val="00606748"/>
    <w:rsid w:val="0060676C"/>
    <w:rsid w:val="00606B35"/>
    <w:rsid w:val="00606C71"/>
    <w:rsid w:val="00606EE5"/>
    <w:rsid w:val="00606FA3"/>
    <w:rsid w:val="00607018"/>
    <w:rsid w:val="0060703C"/>
    <w:rsid w:val="0060722A"/>
    <w:rsid w:val="00607290"/>
    <w:rsid w:val="006076A9"/>
    <w:rsid w:val="00607926"/>
    <w:rsid w:val="00607C0F"/>
    <w:rsid w:val="00607CAA"/>
    <w:rsid w:val="00607CF5"/>
    <w:rsid w:val="00607D85"/>
    <w:rsid w:val="00607E0F"/>
    <w:rsid w:val="00607F87"/>
    <w:rsid w:val="0061006A"/>
    <w:rsid w:val="00610162"/>
    <w:rsid w:val="00610235"/>
    <w:rsid w:val="006102E4"/>
    <w:rsid w:val="006104FD"/>
    <w:rsid w:val="00610677"/>
    <w:rsid w:val="00610963"/>
    <w:rsid w:val="00610ABA"/>
    <w:rsid w:val="00610B0E"/>
    <w:rsid w:val="00610B34"/>
    <w:rsid w:val="00610D09"/>
    <w:rsid w:val="00610E7D"/>
    <w:rsid w:val="00610FEA"/>
    <w:rsid w:val="0061100F"/>
    <w:rsid w:val="00611178"/>
    <w:rsid w:val="00611187"/>
    <w:rsid w:val="00611294"/>
    <w:rsid w:val="00611360"/>
    <w:rsid w:val="00611599"/>
    <w:rsid w:val="00611622"/>
    <w:rsid w:val="00611636"/>
    <w:rsid w:val="00611A49"/>
    <w:rsid w:val="00611A4B"/>
    <w:rsid w:val="00611A98"/>
    <w:rsid w:val="00611AD8"/>
    <w:rsid w:val="00611C40"/>
    <w:rsid w:val="00611C4D"/>
    <w:rsid w:val="00611CBF"/>
    <w:rsid w:val="00611D23"/>
    <w:rsid w:val="00611F73"/>
    <w:rsid w:val="0061203A"/>
    <w:rsid w:val="006121F2"/>
    <w:rsid w:val="00612359"/>
    <w:rsid w:val="0061244C"/>
    <w:rsid w:val="00612638"/>
    <w:rsid w:val="006128A9"/>
    <w:rsid w:val="00612D64"/>
    <w:rsid w:val="00612D6E"/>
    <w:rsid w:val="00612D96"/>
    <w:rsid w:val="0061302E"/>
    <w:rsid w:val="00613037"/>
    <w:rsid w:val="00613186"/>
    <w:rsid w:val="00613207"/>
    <w:rsid w:val="00613257"/>
    <w:rsid w:val="0061338F"/>
    <w:rsid w:val="006133F7"/>
    <w:rsid w:val="00613552"/>
    <w:rsid w:val="006135AB"/>
    <w:rsid w:val="006136BE"/>
    <w:rsid w:val="00613740"/>
    <w:rsid w:val="006138E4"/>
    <w:rsid w:val="006139F8"/>
    <w:rsid w:val="00613A42"/>
    <w:rsid w:val="00613B70"/>
    <w:rsid w:val="00613C43"/>
    <w:rsid w:val="00613C7A"/>
    <w:rsid w:val="00613D24"/>
    <w:rsid w:val="00613E89"/>
    <w:rsid w:val="00613F4C"/>
    <w:rsid w:val="00613F6D"/>
    <w:rsid w:val="006140CB"/>
    <w:rsid w:val="006142F1"/>
    <w:rsid w:val="006143F5"/>
    <w:rsid w:val="006143FC"/>
    <w:rsid w:val="006144F6"/>
    <w:rsid w:val="0061454E"/>
    <w:rsid w:val="0061476C"/>
    <w:rsid w:val="0061481D"/>
    <w:rsid w:val="0061484F"/>
    <w:rsid w:val="00614853"/>
    <w:rsid w:val="00614A20"/>
    <w:rsid w:val="00614A2B"/>
    <w:rsid w:val="00614BDE"/>
    <w:rsid w:val="00614C26"/>
    <w:rsid w:val="006151CB"/>
    <w:rsid w:val="00615474"/>
    <w:rsid w:val="0061562E"/>
    <w:rsid w:val="00615678"/>
    <w:rsid w:val="006156B7"/>
    <w:rsid w:val="006156DA"/>
    <w:rsid w:val="006157CF"/>
    <w:rsid w:val="00615850"/>
    <w:rsid w:val="00615C43"/>
    <w:rsid w:val="00615D08"/>
    <w:rsid w:val="00615DE6"/>
    <w:rsid w:val="00615E22"/>
    <w:rsid w:val="00615E74"/>
    <w:rsid w:val="0061605E"/>
    <w:rsid w:val="0061607E"/>
    <w:rsid w:val="006161FC"/>
    <w:rsid w:val="006162F2"/>
    <w:rsid w:val="006163D9"/>
    <w:rsid w:val="00616407"/>
    <w:rsid w:val="00616839"/>
    <w:rsid w:val="0061685C"/>
    <w:rsid w:val="0061689D"/>
    <w:rsid w:val="0061691A"/>
    <w:rsid w:val="00616992"/>
    <w:rsid w:val="00616A45"/>
    <w:rsid w:val="00616BA6"/>
    <w:rsid w:val="00616D2C"/>
    <w:rsid w:val="00616F3B"/>
    <w:rsid w:val="0061700C"/>
    <w:rsid w:val="00617108"/>
    <w:rsid w:val="00617123"/>
    <w:rsid w:val="006171C6"/>
    <w:rsid w:val="0061720C"/>
    <w:rsid w:val="006176FC"/>
    <w:rsid w:val="0061775B"/>
    <w:rsid w:val="006177A5"/>
    <w:rsid w:val="006177D1"/>
    <w:rsid w:val="0061789C"/>
    <w:rsid w:val="00617A22"/>
    <w:rsid w:val="00617BCD"/>
    <w:rsid w:val="00617BFA"/>
    <w:rsid w:val="00617D76"/>
    <w:rsid w:val="00617DBF"/>
    <w:rsid w:val="00617F67"/>
    <w:rsid w:val="00617F74"/>
    <w:rsid w:val="00617FED"/>
    <w:rsid w:val="006200B8"/>
    <w:rsid w:val="006203BF"/>
    <w:rsid w:val="00620441"/>
    <w:rsid w:val="006204BC"/>
    <w:rsid w:val="0062050D"/>
    <w:rsid w:val="006205FA"/>
    <w:rsid w:val="00620B3C"/>
    <w:rsid w:val="00620C14"/>
    <w:rsid w:val="00620E5A"/>
    <w:rsid w:val="00620E9A"/>
    <w:rsid w:val="00620EA6"/>
    <w:rsid w:val="00621022"/>
    <w:rsid w:val="00621099"/>
    <w:rsid w:val="006210C8"/>
    <w:rsid w:val="006211DD"/>
    <w:rsid w:val="00621336"/>
    <w:rsid w:val="00621346"/>
    <w:rsid w:val="00621513"/>
    <w:rsid w:val="00621571"/>
    <w:rsid w:val="006215B4"/>
    <w:rsid w:val="006215FF"/>
    <w:rsid w:val="0062167F"/>
    <w:rsid w:val="0062173F"/>
    <w:rsid w:val="00621807"/>
    <w:rsid w:val="006219E6"/>
    <w:rsid w:val="00621A9F"/>
    <w:rsid w:val="00621AB7"/>
    <w:rsid w:val="00621BD1"/>
    <w:rsid w:val="00621D73"/>
    <w:rsid w:val="00621E83"/>
    <w:rsid w:val="00621EE9"/>
    <w:rsid w:val="00622046"/>
    <w:rsid w:val="006220B3"/>
    <w:rsid w:val="00622184"/>
    <w:rsid w:val="00622230"/>
    <w:rsid w:val="006222EC"/>
    <w:rsid w:val="00622359"/>
    <w:rsid w:val="00622400"/>
    <w:rsid w:val="00622555"/>
    <w:rsid w:val="006225BB"/>
    <w:rsid w:val="00622609"/>
    <w:rsid w:val="00622769"/>
    <w:rsid w:val="00622780"/>
    <w:rsid w:val="00622AED"/>
    <w:rsid w:val="00622B22"/>
    <w:rsid w:val="00622BDA"/>
    <w:rsid w:val="00622D76"/>
    <w:rsid w:val="006232B0"/>
    <w:rsid w:val="006232D3"/>
    <w:rsid w:val="00623303"/>
    <w:rsid w:val="0062347F"/>
    <w:rsid w:val="0062349B"/>
    <w:rsid w:val="006235D8"/>
    <w:rsid w:val="00623706"/>
    <w:rsid w:val="0062376C"/>
    <w:rsid w:val="0062382E"/>
    <w:rsid w:val="00623A87"/>
    <w:rsid w:val="00623C2B"/>
    <w:rsid w:val="00623EAB"/>
    <w:rsid w:val="006241ED"/>
    <w:rsid w:val="0062426C"/>
    <w:rsid w:val="006242ED"/>
    <w:rsid w:val="0062434C"/>
    <w:rsid w:val="00624641"/>
    <w:rsid w:val="006246C0"/>
    <w:rsid w:val="006247CB"/>
    <w:rsid w:val="006247E6"/>
    <w:rsid w:val="00624836"/>
    <w:rsid w:val="00624949"/>
    <w:rsid w:val="006249B1"/>
    <w:rsid w:val="00624A61"/>
    <w:rsid w:val="00624C1F"/>
    <w:rsid w:val="00624CBF"/>
    <w:rsid w:val="00624D20"/>
    <w:rsid w:val="00624EAA"/>
    <w:rsid w:val="00624F3E"/>
    <w:rsid w:val="00625060"/>
    <w:rsid w:val="006250E9"/>
    <w:rsid w:val="0062542B"/>
    <w:rsid w:val="006255F6"/>
    <w:rsid w:val="00625734"/>
    <w:rsid w:val="006257A9"/>
    <w:rsid w:val="006257F1"/>
    <w:rsid w:val="006258AB"/>
    <w:rsid w:val="00625A64"/>
    <w:rsid w:val="00625C10"/>
    <w:rsid w:val="00625C2B"/>
    <w:rsid w:val="00625C6F"/>
    <w:rsid w:val="00625C86"/>
    <w:rsid w:val="00625C8B"/>
    <w:rsid w:val="00625D5F"/>
    <w:rsid w:val="00625D76"/>
    <w:rsid w:val="00625DEE"/>
    <w:rsid w:val="00625DF4"/>
    <w:rsid w:val="00625E45"/>
    <w:rsid w:val="00625EB1"/>
    <w:rsid w:val="0062600D"/>
    <w:rsid w:val="006260EB"/>
    <w:rsid w:val="00626203"/>
    <w:rsid w:val="00626350"/>
    <w:rsid w:val="006263AA"/>
    <w:rsid w:val="0062648F"/>
    <w:rsid w:val="006264CA"/>
    <w:rsid w:val="00626536"/>
    <w:rsid w:val="006266C5"/>
    <w:rsid w:val="006267F3"/>
    <w:rsid w:val="0062680D"/>
    <w:rsid w:val="00626BBB"/>
    <w:rsid w:val="00626D72"/>
    <w:rsid w:val="00626F7F"/>
    <w:rsid w:val="00626FE0"/>
    <w:rsid w:val="00627129"/>
    <w:rsid w:val="00627158"/>
    <w:rsid w:val="00627262"/>
    <w:rsid w:val="006272A0"/>
    <w:rsid w:val="00627380"/>
    <w:rsid w:val="00627624"/>
    <w:rsid w:val="006276E0"/>
    <w:rsid w:val="00627817"/>
    <w:rsid w:val="006278C7"/>
    <w:rsid w:val="00627996"/>
    <w:rsid w:val="00627B36"/>
    <w:rsid w:val="006300FE"/>
    <w:rsid w:val="006301C6"/>
    <w:rsid w:val="006305C6"/>
    <w:rsid w:val="0063068F"/>
    <w:rsid w:val="00630722"/>
    <w:rsid w:val="00630847"/>
    <w:rsid w:val="0063095C"/>
    <w:rsid w:val="00630CA6"/>
    <w:rsid w:val="00630D2A"/>
    <w:rsid w:val="00630F3D"/>
    <w:rsid w:val="00630FFF"/>
    <w:rsid w:val="0063112A"/>
    <w:rsid w:val="006313FC"/>
    <w:rsid w:val="0063169D"/>
    <w:rsid w:val="0063176B"/>
    <w:rsid w:val="00631901"/>
    <w:rsid w:val="0063194F"/>
    <w:rsid w:val="00631BA1"/>
    <w:rsid w:val="00631D03"/>
    <w:rsid w:val="00631E8A"/>
    <w:rsid w:val="00632153"/>
    <w:rsid w:val="006321CA"/>
    <w:rsid w:val="0063229F"/>
    <w:rsid w:val="00632509"/>
    <w:rsid w:val="006329BE"/>
    <w:rsid w:val="00632C35"/>
    <w:rsid w:val="00632C52"/>
    <w:rsid w:val="00632E3D"/>
    <w:rsid w:val="00632F89"/>
    <w:rsid w:val="00633275"/>
    <w:rsid w:val="006332E4"/>
    <w:rsid w:val="006333D7"/>
    <w:rsid w:val="0063341C"/>
    <w:rsid w:val="00633532"/>
    <w:rsid w:val="0063355F"/>
    <w:rsid w:val="006336CD"/>
    <w:rsid w:val="00633783"/>
    <w:rsid w:val="0063388F"/>
    <w:rsid w:val="00633A34"/>
    <w:rsid w:val="00633AC9"/>
    <w:rsid w:val="00633B2F"/>
    <w:rsid w:val="00633C3D"/>
    <w:rsid w:val="006342D2"/>
    <w:rsid w:val="00634498"/>
    <w:rsid w:val="006346F3"/>
    <w:rsid w:val="00634813"/>
    <w:rsid w:val="00634AA6"/>
    <w:rsid w:val="00634B08"/>
    <w:rsid w:val="00634C81"/>
    <w:rsid w:val="00634C8D"/>
    <w:rsid w:val="00634EE5"/>
    <w:rsid w:val="00634F04"/>
    <w:rsid w:val="00634FD7"/>
    <w:rsid w:val="006352BD"/>
    <w:rsid w:val="00635333"/>
    <w:rsid w:val="00635495"/>
    <w:rsid w:val="00635528"/>
    <w:rsid w:val="0063564D"/>
    <w:rsid w:val="00635812"/>
    <w:rsid w:val="00635884"/>
    <w:rsid w:val="00635989"/>
    <w:rsid w:val="00635BA0"/>
    <w:rsid w:val="00635CCB"/>
    <w:rsid w:val="00635DA1"/>
    <w:rsid w:val="00636390"/>
    <w:rsid w:val="006365D2"/>
    <w:rsid w:val="006366AF"/>
    <w:rsid w:val="00636748"/>
    <w:rsid w:val="006367BF"/>
    <w:rsid w:val="0063688D"/>
    <w:rsid w:val="00636895"/>
    <w:rsid w:val="00636A94"/>
    <w:rsid w:val="00636B43"/>
    <w:rsid w:val="00636B81"/>
    <w:rsid w:val="00636DD9"/>
    <w:rsid w:val="00636F72"/>
    <w:rsid w:val="0063700F"/>
    <w:rsid w:val="00637275"/>
    <w:rsid w:val="0063732E"/>
    <w:rsid w:val="006374A5"/>
    <w:rsid w:val="00637A53"/>
    <w:rsid w:val="00637B21"/>
    <w:rsid w:val="00637C0F"/>
    <w:rsid w:val="00637C52"/>
    <w:rsid w:val="00637D4B"/>
    <w:rsid w:val="00637DDB"/>
    <w:rsid w:val="00637E16"/>
    <w:rsid w:val="00637E1F"/>
    <w:rsid w:val="006400A2"/>
    <w:rsid w:val="006402C9"/>
    <w:rsid w:val="00640461"/>
    <w:rsid w:val="0064057B"/>
    <w:rsid w:val="00640632"/>
    <w:rsid w:val="0064066A"/>
    <w:rsid w:val="006408C2"/>
    <w:rsid w:val="006408D6"/>
    <w:rsid w:val="0064094E"/>
    <w:rsid w:val="00640998"/>
    <w:rsid w:val="00640AE8"/>
    <w:rsid w:val="00640C0A"/>
    <w:rsid w:val="00640C31"/>
    <w:rsid w:val="00640CC0"/>
    <w:rsid w:val="00640DB1"/>
    <w:rsid w:val="00640E0D"/>
    <w:rsid w:val="00640ECE"/>
    <w:rsid w:val="00640EDC"/>
    <w:rsid w:val="00640F49"/>
    <w:rsid w:val="006410E1"/>
    <w:rsid w:val="0064148A"/>
    <w:rsid w:val="00641541"/>
    <w:rsid w:val="006415D6"/>
    <w:rsid w:val="0064169C"/>
    <w:rsid w:val="0064170E"/>
    <w:rsid w:val="00641D12"/>
    <w:rsid w:val="00641DF8"/>
    <w:rsid w:val="00642051"/>
    <w:rsid w:val="00642130"/>
    <w:rsid w:val="0064233F"/>
    <w:rsid w:val="006423A6"/>
    <w:rsid w:val="006427FC"/>
    <w:rsid w:val="00642859"/>
    <w:rsid w:val="006428F2"/>
    <w:rsid w:val="00642A80"/>
    <w:rsid w:val="00642A8B"/>
    <w:rsid w:val="00642BC7"/>
    <w:rsid w:val="00642D42"/>
    <w:rsid w:val="00642FA5"/>
    <w:rsid w:val="006430E5"/>
    <w:rsid w:val="006431BF"/>
    <w:rsid w:val="00643226"/>
    <w:rsid w:val="0064334B"/>
    <w:rsid w:val="006435B2"/>
    <w:rsid w:val="006435DA"/>
    <w:rsid w:val="006436EF"/>
    <w:rsid w:val="00643893"/>
    <w:rsid w:val="00643BF8"/>
    <w:rsid w:val="00643D6A"/>
    <w:rsid w:val="0064413F"/>
    <w:rsid w:val="0064421A"/>
    <w:rsid w:val="00644235"/>
    <w:rsid w:val="006442F4"/>
    <w:rsid w:val="0064433E"/>
    <w:rsid w:val="006444E1"/>
    <w:rsid w:val="006446AB"/>
    <w:rsid w:val="006446E3"/>
    <w:rsid w:val="006447AB"/>
    <w:rsid w:val="00644857"/>
    <w:rsid w:val="006448F9"/>
    <w:rsid w:val="00644A6D"/>
    <w:rsid w:val="00644AE3"/>
    <w:rsid w:val="00644C22"/>
    <w:rsid w:val="00644D1D"/>
    <w:rsid w:val="00644E87"/>
    <w:rsid w:val="00644E91"/>
    <w:rsid w:val="00645277"/>
    <w:rsid w:val="0064541E"/>
    <w:rsid w:val="00645461"/>
    <w:rsid w:val="00645472"/>
    <w:rsid w:val="006454E6"/>
    <w:rsid w:val="00645508"/>
    <w:rsid w:val="0064553B"/>
    <w:rsid w:val="0064569C"/>
    <w:rsid w:val="00645946"/>
    <w:rsid w:val="006459EF"/>
    <w:rsid w:val="006459F1"/>
    <w:rsid w:val="00645A3A"/>
    <w:rsid w:val="00645A65"/>
    <w:rsid w:val="00645B28"/>
    <w:rsid w:val="00645B9C"/>
    <w:rsid w:val="00645BE9"/>
    <w:rsid w:val="00645C6E"/>
    <w:rsid w:val="00645C90"/>
    <w:rsid w:val="00645D8E"/>
    <w:rsid w:val="0064609E"/>
    <w:rsid w:val="006460DD"/>
    <w:rsid w:val="00646185"/>
    <w:rsid w:val="006461BB"/>
    <w:rsid w:val="006462DF"/>
    <w:rsid w:val="00646372"/>
    <w:rsid w:val="006463CD"/>
    <w:rsid w:val="006463DF"/>
    <w:rsid w:val="00646496"/>
    <w:rsid w:val="006465F3"/>
    <w:rsid w:val="0064672A"/>
    <w:rsid w:val="00646AF2"/>
    <w:rsid w:val="00646C89"/>
    <w:rsid w:val="00646DB9"/>
    <w:rsid w:val="00646DCD"/>
    <w:rsid w:val="00646E62"/>
    <w:rsid w:val="00646E72"/>
    <w:rsid w:val="006472DD"/>
    <w:rsid w:val="0064733F"/>
    <w:rsid w:val="006473E5"/>
    <w:rsid w:val="00647480"/>
    <w:rsid w:val="00647523"/>
    <w:rsid w:val="006475E1"/>
    <w:rsid w:val="00647674"/>
    <w:rsid w:val="00647793"/>
    <w:rsid w:val="006477A4"/>
    <w:rsid w:val="00647D43"/>
    <w:rsid w:val="00647E43"/>
    <w:rsid w:val="00647E4A"/>
    <w:rsid w:val="00647F81"/>
    <w:rsid w:val="006500A0"/>
    <w:rsid w:val="006501EE"/>
    <w:rsid w:val="0065030B"/>
    <w:rsid w:val="006503EA"/>
    <w:rsid w:val="00650546"/>
    <w:rsid w:val="00650794"/>
    <w:rsid w:val="006508C6"/>
    <w:rsid w:val="006508D5"/>
    <w:rsid w:val="00650AE5"/>
    <w:rsid w:val="00650E13"/>
    <w:rsid w:val="00650F6E"/>
    <w:rsid w:val="00651077"/>
    <w:rsid w:val="00651220"/>
    <w:rsid w:val="0065137B"/>
    <w:rsid w:val="0065166F"/>
    <w:rsid w:val="006516DB"/>
    <w:rsid w:val="00651794"/>
    <w:rsid w:val="0065188B"/>
    <w:rsid w:val="00651CB2"/>
    <w:rsid w:val="00652213"/>
    <w:rsid w:val="00652238"/>
    <w:rsid w:val="006522BD"/>
    <w:rsid w:val="006523AE"/>
    <w:rsid w:val="00652418"/>
    <w:rsid w:val="006525E0"/>
    <w:rsid w:val="0065261F"/>
    <w:rsid w:val="00652661"/>
    <w:rsid w:val="0065267F"/>
    <w:rsid w:val="00652720"/>
    <w:rsid w:val="0065274E"/>
    <w:rsid w:val="006527E4"/>
    <w:rsid w:val="006527F9"/>
    <w:rsid w:val="006528EE"/>
    <w:rsid w:val="006529B6"/>
    <w:rsid w:val="006529FE"/>
    <w:rsid w:val="00652A5D"/>
    <w:rsid w:val="00652AE5"/>
    <w:rsid w:val="00652AF7"/>
    <w:rsid w:val="00652B52"/>
    <w:rsid w:val="00652E99"/>
    <w:rsid w:val="00652EF4"/>
    <w:rsid w:val="00652F32"/>
    <w:rsid w:val="00653019"/>
    <w:rsid w:val="00653084"/>
    <w:rsid w:val="0065338B"/>
    <w:rsid w:val="006534BF"/>
    <w:rsid w:val="0065358B"/>
    <w:rsid w:val="00653591"/>
    <w:rsid w:val="00653671"/>
    <w:rsid w:val="006537D7"/>
    <w:rsid w:val="0065381B"/>
    <w:rsid w:val="00653872"/>
    <w:rsid w:val="00653920"/>
    <w:rsid w:val="00653968"/>
    <w:rsid w:val="00653A7B"/>
    <w:rsid w:val="00653B49"/>
    <w:rsid w:val="00653BF1"/>
    <w:rsid w:val="00653C06"/>
    <w:rsid w:val="00653CCC"/>
    <w:rsid w:val="00653D93"/>
    <w:rsid w:val="0065416B"/>
    <w:rsid w:val="006542BF"/>
    <w:rsid w:val="0065444A"/>
    <w:rsid w:val="00654492"/>
    <w:rsid w:val="006544AB"/>
    <w:rsid w:val="0065484F"/>
    <w:rsid w:val="0065497D"/>
    <w:rsid w:val="00654B64"/>
    <w:rsid w:val="00654D1E"/>
    <w:rsid w:val="00654E00"/>
    <w:rsid w:val="00654E6B"/>
    <w:rsid w:val="00654F46"/>
    <w:rsid w:val="00654F68"/>
    <w:rsid w:val="00654F85"/>
    <w:rsid w:val="0065518E"/>
    <w:rsid w:val="00655549"/>
    <w:rsid w:val="00655685"/>
    <w:rsid w:val="00655697"/>
    <w:rsid w:val="006556B4"/>
    <w:rsid w:val="006556E8"/>
    <w:rsid w:val="006557DC"/>
    <w:rsid w:val="0065586D"/>
    <w:rsid w:val="00655886"/>
    <w:rsid w:val="0065599E"/>
    <w:rsid w:val="00655A2C"/>
    <w:rsid w:val="00655A9E"/>
    <w:rsid w:val="00655C03"/>
    <w:rsid w:val="00655C7A"/>
    <w:rsid w:val="00655CF9"/>
    <w:rsid w:val="00655D45"/>
    <w:rsid w:val="00655DC6"/>
    <w:rsid w:val="00655E03"/>
    <w:rsid w:val="00655E15"/>
    <w:rsid w:val="00655E48"/>
    <w:rsid w:val="00656038"/>
    <w:rsid w:val="00656299"/>
    <w:rsid w:val="00656350"/>
    <w:rsid w:val="0065639D"/>
    <w:rsid w:val="00656424"/>
    <w:rsid w:val="006566B3"/>
    <w:rsid w:val="006566BC"/>
    <w:rsid w:val="00656711"/>
    <w:rsid w:val="006568E6"/>
    <w:rsid w:val="00656DAE"/>
    <w:rsid w:val="00657023"/>
    <w:rsid w:val="0065714C"/>
    <w:rsid w:val="006571F6"/>
    <w:rsid w:val="006573EF"/>
    <w:rsid w:val="006579D1"/>
    <w:rsid w:val="006579E3"/>
    <w:rsid w:val="00657A03"/>
    <w:rsid w:val="00657AC0"/>
    <w:rsid w:val="00657AC7"/>
    <w:rsid w:val="00657C07"/>
    <w:rsid w:val="00657CEA"/>
    <w:rsid w:val="00657ECA"/>
    <w:rsid w:val="00660156"/>
    <w:rsid w:val="0066018E"/>
    <w:rsid w:val="00660206"/>
    <w:rsid w:val="0066020E"/>
    <w:rsid w:val="0066030A"/>
    <w:rsid w:val="00660395"/>
    <w:rsid w:val="006603D1"/>
    <w:rsid w:val="0066049F"/>
    <w:rsid w:val="006605E9"/>
    <w:rsid w:val="00660A74"/>
    <w:rsid w:val="00660AD0"/>
    <w:rsid w:val="00660F3E"/>
    <w:rsid w:val="006611AA"/>
    <w:rsid w:val="006612F6"/>
    <w:rsid w:val="0066149C"/>
    <w:rsid w:val="00661518"/>
    <w:rsid w:val="0066170D"/>
    <w:rsid w:val="00661786"/>
    <w:rsid w:val="0066183A"/>
    <w:rsid w:val="00661880"/>
    <w:rsid w:val="006618F1"/>
    <w:rsid w:val="0066195F"/>
    <w:rsid w:val="006619D8"/>
    <w:rsid w:val="00661A3B"/>
    <w:rsid w:val="00661E46"/>
    <w:rsid w:val="00661FAA"/>
    <w:rsid w:val="00661FBC"/>
    <w:rsid w:val="0066216B"/>
    <w:rsid w:val="0066220D"/>
    <w:rsid w:val="006622CF"/>
    <w:rsid w:val="00662403"/>
    <w:rsid w:val="00662448"/>
    <w:rsid w:val="006624E0"/>
    <w:rsid w:val="00662551"/>
    <w:rsid w:val="006625DC"/>
    <w:rsid w:val="00662677"/>
    <w:rsid w:val="00662783"/>
    <w:rsid w:val="00662989"/>
    <w:rsid w:val="006629F5"/>
    <w:rsid w:val="00662A39"/>
    <w:rsid w:val="00662AE4"/>
    <w:rsid w:val="00662B35"/>
    <w:rsid w:val="00662D99"/>
    <w:rsid w:val="00662DBE"/>
    <w:rsid w:val="00662E5F"/>
    <w:rsid w:val="00662EA0"/>
    <w:rsid w:val="00662F59"/>
    <w:rsid w:val="0066369E"/>
    <w:rsid w:val="00663728"/>
    <w:rsid w:val="00663BED"/>
    <w:rsid w:val="00663CA2"/>
    <w:rsid w:val="00663F55"/>
    <w:rsid w:val="00664400"/>
    <w:rsid w:val="00664423"/>
    <w:rsid w:val="00664434"/>
    <w:rsid w:val="00664494"/>
    <w:rsid w:val="00664546"/>
    <w:rsid w:val="00664632"/>
    <w:rsid w:val="00664903"/>
    <w:rsid w:val="00664954"/>
    <w:rsid w:val="00664A1E"/>
    <w:rsid w:val="00664B5A"/>
    <w:rsid w:val="00664C6F"/>
    <w:rsid w:val="00664D56"/>
    <w:rsid w:val="00664F37"/>
    <w:rsid w:val="00664F58"/>
    <w:rsid w:val="00664FD7"/>
    <w:rsid w:val="0066511C"/>
    <w:rsid w:val="006651B5"/>
    <w:rsid w:val="00665239"/>
    <w:rsid w:val="00665275"/>
    <w:rsid w:val="0066535A"/>
    <w:rsid w:val="00665384"/>
    <w:rsid w:val="00665507"/>
    <w:rsid w:val="0066555A"/>
    <w:rsid w:val="0066561F"/>
    <w:rsid w:val="00665729"/>
    <w:rsid w:val="00665D11"/>
    <w:rsid w:val="00665D12"/>
    <w:rsid w:val="00665E1B"/>
    <w:rsid w:val="00665E7B"/>
    <w:rsid w:val="00666234"/>
    <w:rsid w:val="00666618"/>
    <w:rsid w:val="006667E5"/>
    <w:rsid w:val="00666819"/>
    <w:rsid w:val="0066681C"/>
    <w:rsid w:val="00666917"/>
    <w:rsid w:val="0066697B"/>
    <w:rsid w:val="00666A58"/>
    <w:rsid w:val="00666AD2"/>
    <w:rsid w:val="00666B92"/>
    <w:rsid w:val="00666C05"/>
    <w:rsid w:val="00666CC7"/>
    <w:rsid w:val="00666D55"/>
    <w:rsid w:val="00667045"/>
    <w:rsid w:val="006670FA"/>
    <w:rsid w:val="00667212"/>
    <w:rsid w:val="00667311"/>
    <w:rsid w:val="006676B1"/>
    <w:rsid w:val="006676B2"/>
    <w:rsid w:val="006678B4"/>
    <w:rsid w:val="00667C65"/>
    <w:rsid w:val="00667DC4"/>
    <w:rsid w:val="00667E6F"/>
    <w:rsid w:val="00667EA0"/>
    <w:rsid w:val="0067000B"/>
    <w:rsid w:val="00670231"/>
    <w:rsid w:val="006702B4"/>
    <w:rsid w:val="00670303"/>
    <w:rsid w:val="0067048A"/>
    <w:rsid w:val="006704DF"/>
    <w:rsid w:val="00670650"/>
    <w:rsid w:val="0067093C"/>
    <w:rsid w:val="00670A53"/>
    <w:rsid w:val="00670AB5"/>
    <w:rsid w:val="00670AB7"/>
    <w:rsid w:val="00670CA2"/>
    <w:rsid w:val="00670CCD"/>
    <w:rsid w:val="00670DF5"/>
    <w:rsid w:val="0067107E"/>
    <w:rsid w:val="006711C7"/>
    <w:rsid w:val="006712C0"/>
    <w:rsid w:val="00671335"/>
    <w:rsid w:val="006713FD"/>
    <w:rsid w:val="006715E3"/>
    <w:rsid w:val="006717CB"/>
    <w:rsid w:val="00671B31"/>
    <w:rsid w:val="00671B3B"/>
    <w:rsid w:val="00671E3D"/>
    <w:rsid w:val="00671FB6"/>
    <w:rsid w:val="0067247B"/>
    <w:rsid w:val="006727BA"/>
    <w:rsid w:val="00672814"/>
    <w:rsid w:val="006728A5"/>
    <w:rsid w:val="00672AC9"/>
    <w:rsid w:val="00672B20"/>
    <w:rsid w:val="00672DB9"/>
    <w:rsid w:val="00672E78"/>
    <w:rsid w:val="00672EF4"/>
    <w:rsid w:val="00673078"/>
    <w:rsid w:val="0067317B"/>
    <w:rsid w:val="00673246"/>
    <w:rsid w:val="00673272"/>
    <w:rsid w:val="0067345E"/>
    <w:rsid w:val="006737D9"/>
    <w:rsid w:val="00673A09"/>
    <w:rsid w:val="00673DCE"/>
    <w:rsid w:val="00673E4C"/>
    <w:rsid w:val="00673F8B"/>
    <w:rsid w:val="00674012"/>
    <w:rsid w:val="00674299"/>
    <w:rsid w:val="0067431C"/>
    <w:rsid w:val="006743C9"/>
    <w:rsid w:val="006744AC"/>
    <w:rsid w:val="006746EA"/>
    <w:rsid w:val="0067479A"/>
    <w:rsid w:val="00674831"/>
    <w:rsid w:val="0067490D"/>
    <w:rsid w:val="00674A04"/>
    <w:rsid w:val="00674A9D"/>
    <w:rsid w:val="00674B78"/>
    <w:rsid w:val="00674C7D"/>
    <w:rsid w:val="00674DCB"/>
    <w:rsid w:val="0067505D"/>
    <w:rsid w:val="00675196"/>
    <w:rsid w:val="006751F9"/>
    <w:rsid w:val="006752E2"/>
    <w:rsid w:val="00675414"/>
    <w:rsid w:val="0067556D"/>
    <w:rsid w:val="006755FD"/>
    <w:rsid w:val="00675610"/>
    <w:rsid w:val="006757DA"/>
    <w:rsid w:val="00675986"/>
    <w:rsid w:val="00675B70"/>
    <w:rsid w:val="00675EC9"/>
    <w:rsid w:val="00675F05"/>
    <w:rsid w:val="00675F2F"/>
    <w:rsid w:val="00675FDD"/>
    <w:rsid w:val="006760D8"/>
    <w:rsid w:val="00676126"/>
    <w:rsid w:val="00676207"/>
    <w:rsid w:val="0067633C"/>
    <w:rsid w:val="0067641F"/>
    <w:rsid w:val="006765CE"/>
    <w:rsid w:val="006766FD"/>
    <w:rsid w:val="006767E4"/>
    <w:rsid w:val="00676840"/>
    <w:rsid w:val="006768DF"/>
    <w:rsid w:val="0067699F"/>
    <w:rsid w:val="00676B55"/>
    <w:rsid w:val="00676BD4"/>
    <w:rsid w:val="00676BD7"/>
    <w:rsid w:val="00676C22"/>
    <w:rsid w:val="00676CED"/>
    <w:rsid w:val="00676E80"/>
    <w:rsid w:val="00676EFB"/>
    <w:rsid w:val="00677049"/>
    <w:rsid w:val="00677176"/>
    <w:rsid w:val="006771E3"/>
    <w:rsid w:val="00677280"/>
    <w:rsid w:val="006773E5"/>
    <w:rsid w:val="0067748D"/>
    <w:rsid w:val="006774F8"/>
    <w:rsid w:val="0067758F"/>
    <w:rsid w:val="0067797B"/>
    <w:rsid w:val="00677A06"/>
    <w:rsid w:val="00677C3D"/>
    <w:rsid w:val="00677D4C"/>
    <w:rsid w:val="006800F1"/>
    <w:rsid w:val="00680138"/>
    <w:rsid w:val="006803AA"/>
    <w:rsid w:val="00680429"/>
    <w:rsid w:val="0068058C"/>
    <w:rsid w:val="006805E5"/>
    <w:rsid w:val="006807AC"/>
    <w:rsid w:val="006807C6"/>
    <w:rsid w:val="00680850"/>
    <w:rsid w:val="006808FF"/>
    <w:rsid w:val="00680909"/>
    <w:rsid w:val="00680AD4"/>
    <w:rsid w:val="00680B40"/>
    <w:rsid w:val="00680CFA"/>
    <w:rsid w:val="00680D94"/>
    <w:rsid w:val="00680DB2"/>
    <w:rsid w:val="00680E30"/>
    <w:rsid w:val="00680EEF"/>
    <w:rsid w:val="006810B3"/>
    <w:rsid w:val="00681116"/>
    <w:rsid w:val="00681169"/>
    <w:rsid w:val="00681273"/>
    <w:rsid w:val="006813A5"/>
    <w:rsid w:val="00681474"/>
    <w:rsid w:val="00681568"/>
    <w:rsid w:val="006816A9"/>
    <w:rsid w:val="006816E2"/>
    <w:rsid w:val="00681813"/>
    <w:rsid w:val="00681A3F"/>
    <w:rsid w:val="00681DD7"/>
    <w:rsid w:val="00681E2A"/>
    <w:rsid w:val="00681EA1"/>
    <w:rsid w:val="00681EC9"/>
    <w:rsid w:val="00681FD3"/>
    <w:rsid w:val="0068219F"/>
    <w:rsid w:val="006822FA"/>
    <w:rsid w:val="006823FD"/>
    <w:rsid w:val="0068265E"/>
    <w:rsid w:val="0068276A"/>
    <w:rsid w:val="006827C1"/>
    <w:rsid w:val="0068280D"/>
    <w:rsid w:val="0068288C"/>
    <w:rsid w:val="00682A10"/>
    <w:rsid w:val="00682A15"/>
    <w:rsid w:val="00682B09"/>
    <w:rsid w:val="00682BAE"/>
    <w:rsid w:val="00682BBC"/>
    <w:rsid w:val="00682C12"/>
    <w:rsid w:val="00682C1F"/>
    <w:rsid w:val="00682CD3"/>
    <w:rsid w:val="00682E29"/>
    <w:rsid w:val="00682EDD"/>
    <w:rsid w:val="00682EE5"/>
    <w:rsid w:val="00682FEB"/>
    <w:rsid w:val="00683044"/>
    <w:rsid w:val="00683284"/>
    <w:rsid w:val="00683520"/>
    <w:rsid w:val="00683547"/>
    <w:rsid w:val="006836D2"/>
    <w:rsid w:val="00683740"/>
    <w:rsid w:val="00683888"/>
    <w:rsid w:val="00683987"/>
    <w:rsid w:val="00683D31"/>
    <w:rsid w:val="00683E67"/>
    <w:rsid w:val="00683F36"/>
    <w:rsid w:val="00683FCE"/>
    <w:rsid w:val="0068425E"/>
    <w:rsid w:val="00684285"/>
    <w:rsid w:val="006842DE"/>
    <w:rsid w:val="00684468"/>
    <w:rsid w:val="006844D8"/>
    <w:rsid w:val="006845FF"/>
    <w:rsid w:val="006846C1"/>
    <w:rsid w:val="0068476C"/>
    <w:rsid w:val="006848E4"/>
    <w:rsid w:val="00684961"/>
    <w:rsid w:val="00684C1A"/>
    <w:rsid w:val="00684C74"/>
    <w:rsid w:val="00684CB3"/>
    <w:rsid w:val="00684D30"/>
    <w:rsid w:val="0068513B"/>
    <w:rsid w:val="00685151"/>
    <w:rsid w:val="0068521A"/>
    <w:rsid w:val="0068522A"/>
    <w:rsid w:val="006852D2"/>
    <w:rsid w:val="00685358"/>
    <w:rsid w:val="00685589"/>
    <w:rsid w:val="00685910"/>
    <w:rsid w:val="00685A78"/>
    <w:rsid w:val="00685AA6"/>
    <w:rsid w:val="00685B89"/>
    <w:rsid w:val="00685CB9"/>
    <w:rsid w:val="00685D84"/>
    <w:rsid w:val="0068641A"/>
    <w:rsid w:val="00686456"/>
    <w:rsid w:val="0068662B"/>
    <w:rsid w:val="0068667C"/>
    <w:rsid w:val="00686783"/>
    <w:rsid w:val="006867A1"/>
    <w:rsid w:val="0068682C"/>
    <w:rsid w:val="00686838"/>
    <w:rsid w:val="00686ACF"/>
    <w:rsid w:val="00686B6B"/>
    <w:rsid w:val="00686B6C"/>
    <w:rsid w:val="00686D3A"/>
    <w:rsid w:val="00686E81"/>
    <w:rsid w:val="00686EA0"/>
    <w:rsid w:val="00686F06"/>
    <w:rsid w:val="0068715F"/>
    <w:rsid w:val="00687330"/>
    <w:rsid w:val="006873C4"/>
    <w:rsid w:val="0068740A"/>
    <w:rsid w:val="00687433"/>
    <w:rsid w:val="0068760E"/>
    <w:rsid w:val="00687652"/>
    <w:rsid w:val="0068773F"/>
    <w:rsid w:val="0068799D"/>
    <w:rsid w:val="00687B98"/>
    <w:rsid w:val="00687C3F"/>
    <w:rsid w:val="00687D43"/>
    <w:rsid w:val="006902D3"/>
    <w:rsid w:val="006902D6"/>
    <w:rsid w:val="00690357"/>
    <w:rsid w:val="00690373"/>
    <w:rsid w:val="0069039F"/>
    <w:rsid w:val="006903CD"/>
    <w:rsid w:val="006904C9"/>
    <w:rsid w:val="00690565"/>
    <w:rsid w:val="00690568"/>
    <w:rsid w:val="00690576"/>
    <w:rsid w:val="00690806"/>
    <w:rsid w:val="00690810"/>
    <w:rsid w:val="006908E1"/>
    <w:rsid w:val="006909B5"/>
    <w:rsid w:val="00690A31"/>
    <w:rsid w:val="00690A8B"/>
    <w:rsid w:val="00690BE4"/>
    <w:rsid w:val="00690E90"/>
    <w:rsid w:val="00690F61"/>
    <w:rsid w:val="006913C6"/>
    <w:rsid w:val="0069143E"/>
    <w:rsid w:val="006914A6"/>
    <w:rsid w:val="00691573"/>
    <w:rsid w:val="006917D2"/>
    <w:rsid w:val="00691897"/>
    <w:rsid w:val="00691916"/>
    <w:rsid w:val="00691AEE"/>
    <w:rsid w:val="00691DA2"/>
    <w:rsid w:val="0069201C"/>
    <w:rsid w:val="0069207B"/>
    <w:rsid w:val="006920EF"/>
    <w:rsid w:val="006921E8"/>
    <w:rsid w:val="0069225C"/>
    <w:rsid w:val="0069240A"/>
    <w:rsid w:val="00692619"/>
    <w:rsid w:val="006926B0"/>
    <w:rsid w:val="00692722"/>
    <w:rsid w:val="00692830"/>
    <w:rsid w:val="0069292F"/>
    <w:rsid w:val="0069295C"/>
    <w:rsid w:val="006929CA"/>
    <w:rsid w:val="006929EE"/>
    <w:rsid w:val="00692C29"/>
    <w:rsid w:val="00692C5F"/>
    <w:rsid w:val="00692D30"/>
    <w:rsid w:val="00692E2A"/>
    <w:rsid w:val="0069308C"/>
    <w:rsid w:val="0069311B"/>
    <w:rsid w:val="006931E9"/>
    <w:rsid w:val="0069334B"/>
    <w:rsid w:val="00693365"/>
    <w:rsid w:val="006934E2"/>
    <w:rsid w:val="00693537"/>
    <w:rsid w:val="006937A4"/>
    <w:rsid w:val="006937B9"/>
    <w:rsid w:val="006938AA"/>
    <w:rsid w:val="006938E1"/>
    <w:rsid w:val="00693A28"/>
    <w:rsid w:val="00693A77"/>
    <w:rsid w:val="00693AC8"/>
    <w:rsid w:val="00693C6B"/>
    <w:rsid w:val="00693F6A"/>
    <w:rsid w:val="0069408D"/>
    <w:rsid w:val="006940F1"/>
    <w:rsid w:val="00694174"/>
    <w:rsid w:val="0069426E"/>
    <w:rsid w:val="006942E9"/>
    <w:rsid w:val="006943F3"/>
    <w:rsid w:val="00694410"/>
    <w:rsid w:val="006944CC"/>
    <w:rsid w:val="00694576"/>
    <w:rsid w:val="006946C8"/>
    <w:rsid w:val="00694710"/>
    <w:rsid w:val="0069474B"/>
    <w:rsid w:val="0069475D"/>
    <w:rsid w:val="00694792"/>
    <w:rsid w:val="00694B98"/>
    <w:rsid w:val="00694C15"/>
    <w:rsid w:val="00694C25"/>
    <w:rsid w:val="00694CB8"/>
    <w:rsid w:val="00694D01"/>
    <w:rsid w:val="00694DD2"/>
    <w:rsid w:val="00694F83"/>
    <w:rsid w:val="0069518D"/>
    <w:rsid w:val="0069527F"/>
    <w:rsid w:val="0069536E"/>
    <w:rsid w:val="00695636"/>
    <w:rsid w:val="006957C1"/>
    <w:rsid w:val="006958BC"/>
    <w:rsid w:val="006958D4"/>
    <w:rsid w:val="00695AFC"/>
    <w:rsid w:val="00695BC4"/>
    <w:rsid w:val="00695F31"/>
    <w:rsid w:val="00696042"/>
    <w:rsid w:val="006960FE"/>
    <w:rsid w:val="00696303"/>
    <w:rsid w:val="00696319"/>
    <w:rsid w:val="00696333"/>
    <w:rsid w:val="006963FE"/>
    <w:rsid w:val="006964CA"/>
    <w:rsid w:val="00696596"/>
    <w:rsid w:val="0069676E"/>
    <w:rsid w:val="006968BB"/>
    <w:rsid w:val="006968F3"/>
    <w:rsid w:val="006969E7"/>
    <w:rsid w:val="00696ADC"/>
    <w:rsid w:val="00696B1E"/>
    <w:rsid w:val="00696CF0"/>
    <w:rsid w:val="00696D73"/>
    <w:rsid w:val="00696E41"/>
    <w:rsid w:val="00696E7B"/>
    <w:rsid w:val="00696E98"/>
    <w:rsid w:val="00696F9E"/>
    <w:rsid w:val="00697076"/>
    <w:rsid w:val="006970B7"/>
    <w:rsid w:val="006970ED"/>
    <w:rsid w:val="00697140"/>
    <w:rsid w:val="006973FD"/>
    <w:rsid w:val="00697562"/>
    <w:rsid w:val="0069773D"/>
    <w:rsid w:val="0069781E"/>
    <w:rsid w:val="00697966"/>
    <w:rsid w:val="00697A02"/>
    <w:rsid w:val="00697ACD"/>
    <w:rsid w:val="00697D6E"/>
    <w:rsid w:val="00697E67"/>
    <w:rsid w:val="00697EB7"/>
    <w:rsid w:val="00697F91"/>
    <w:rsid w:val="006A0041"/>
    <w:rsid w:val="006A0088"/>
    <w:rsid w:val="006A00C3"/>
    <w:rsid w:val="006A0393"/>
    <w:rsid w:val="006A0792"/>
    <w:rsid w:val="006A0890"/>
    <w:rsid w:val="006A0A31"/>
    <w:rsid w:val="006A0A7D"/>
    <w:rsid w:val="006A0B21"/>
    <w:rsid w:val="006A0B2D"/>
    <w:rsid w:val="006A0B74"/>
    <w:rsid w:val="006A0E75"/>
    <w:rsid w:val="006A11FD"/>
    <w:rsid w:val="006A12DB"/>
    <w:rsid w:val="006A13A0"/>
    <w:rsid w:val="006A13B2"/>
    <w:rsid w:val="006A1513"/>
    <w:rsid w:val="006A1537"/>
    <w:rsid w:val="006A1808"/>
    <w:rsid w:val="006A1A25"/>
    <w:rsid w:val="006A1A70"/>
    <w:rsid w:val="006A1A7D"/>
    <w:rsid w:val="006A1B28"/>
    <w:rsid w:val="006A1B5A"/>
    <w:rsid w:val="006A1BA5"/>
    <w:rsid w:val="006A1C0C"/>
    <w:rsid w:val="006A1C41"/>
    <w:rsid w:val="006A1EBD"/>
    <w:rsid w:val="006A1FE3"/>
    <w:rsid w:val="006A207C"/>
    <w:rsid w:val="006A20FC"/>
    <w:rsid w:val="006A2183"/>
    <w:rsid w:val="006A22EC"/>
    <w:rsid w:val="006A2350"/>
    <w:rsid w:val="006A23E9"/>
    <w:rsid w:val="006A2485"/>
    <w:rsid w:val="006A258D"/>
    <w:rsid w:val="006A25B3"/>
    <w:rsid w:val="006A29EC"/>
    <w:rsid w:val="006A2B16"/>
    <w:rsid w:val="006A2BC8"/>
    <w:rsid w:val="006A2C0F"/>
    <w:rsid w:val="006A2CC5"/>
    <w:rsid w:val="006A2CC9"/>
    <w:rsid w:val="006A2D87"/>
    <w:rsid w:val="006A2DAC"/>
    <w:rsid w:val="006A2DBD"/>
    <w:rsid w:val="006A2EC4"/>
    <w:rsid w:val="006A2F8F"/>
    <w:rsid w:val="006A30B9"/>
    <w:rsid w:val="006A318B"/>
    <w:rsid w:val="006A31D6"/>
    <w:rsid w:val="006A323E"/>
    <w:rsid w:val="006A324A"/>
    <w:rsid w:val="006A3561"/>
    <w:rsid w:val="006A35DD"/>
    <w:rsid w:val="006A378A"/>
    <w:rsid w:val="006A37D8"/>
    <w:rsid w:val="006A3A1D"/>
    <w:rsid w:val="006A3A2B"/>
    <w:rsid w:val="006A3BD8"/>
    <w:rsid w:val="006A3D5F"/>
    <w:rsid w:val="006A3DE9"/>
    <w:rsid w:val="006A412E"/>
    <w:rsid w:val="006A41F0"/>
    <w:rsid w:val="006A4211"/>
    <w:rsid w:val="006A4214"/>
    <w:rsid w:val="006A4458"/>
    <w:rsid w:val="006A4567"/>
    <w:rsid w:val="006A46B6"/>
    <w:rsid w:val="006A4807"/>
    <w:rsid w:val="006A48A9"/>
    <w:rsid w:val="006A4960"/>
    <w:rsid w:val="006A49C6"/>
    <w:rsid w:val="006A4F4A"/>
    <w:rsid w:val="006A5011"/>
    <w:rsid w:val="006A50D9"/>
    <w:rsid w:val="006A5332"/>
    <w:rsid w:val="006A5435"/>
    <w:rsid w:val="006A582E"/>
    <w:rsid w:val="006A58BA"/>
    <w:rsid w:val="006A59D9"/>
    <w:rsid w:val="006A5A9A"/>
    <w:rsid w:val="006A5FB9"/>
    <w:rsid w:val="006A624A"/>
    <w:rsid w:val="006A6298"/>
    <w:rsid w:val="006A6574"/>
    <w:rsid w:val="006A662D"/>
    <w:rsid w:val="006A6674"/>
    <w:rsid w:val="006A6862"/>
    <w:rsid w:val="006A6981"/>
    <w:rsid w:val="006A6B86"/>
    <w:rsid w:val="006A6BF1"/>
    <w:rsid w:val="006A6CD6"/>
    <w:rsid w:val="006A6D70"/>
    <w:rsid w:val="006A6EB7"/>
    <w:rsid w:val="006A6F55"/>
    <w:rsid w:val="006A6FB6"/>
    <w:rsid w:val="006A72F1"/>
    <w:rsid w:val="006A7351"/>
    <w:rsid w:val="006A73A1"/>
    <w:rsid w:val="006A7421"/>
    <w:rsid w:val="006A74FB"/>
    <w:rsid w:val="006A7676"/>
    <w:rsid w:val="006A76A1"/>
    <w:rsid w:val="006A76D7"/>
    <w:rsid w:val="006A785A"/>
    <w:rsid w:val="006A7952"/>
    <w:rsid w:val="006A7995"/>
    <w:rsid w:val="006A7B18"/>
    <w:rsid w:val="006A7BAD"/>
    <w:rsid w:val="006A7F61"/>
    <w:rsid w:val="006B0017"/>
    <w:rsid w:val="006B02DC"/>
    <w:rsid w:val="006B0419"/>
    <w:rsid w:val="006B059C"/>
    <w:rsid w:val="006B071D"/>
    <w:rsid w:val="006B080C"/>
    <w:rsid w:val="006B081C"/>
    <w:rsid w:val="006B08C0"/>
    <w:rsid w:val="006B08FF"/>
    <w:rsid w:val="006B09E0"/>
    <w:rsid w:val="006B0A51"/>
    <w:rsid w:val="006B0D39"/>
    <w:rsid w:val="006B127E"/>
    <w:rsid w:val="006B154C"/>
    <w:rsid w:val="006B1789"/>
    <w:rsid w:val="006B1A1A"/>
    <w:rsid w:val="006B1D6F"/>
    <w:rsid w:val="006B1D76"/>
    <w:rsid w:val="006B1EC8"/>
    <w:rsid w:val="006B1F70"/>
    <w:rsid w:val="006B1FCB"/>
    <w:rsid w:val="006B2199"/>
    <w:rsid w:val="006B22BD"/>
    <w:rsid w:val="006B23ED"/>
    <w:rsid w:val="006B24B8"/>
    <w:rsid w:val="006B2BA5"/>
    <w:rsid w:val="006B2BF7"/>
    <w:rsid w:val="006B2C00"/>
    <w:rsid w:val="006B2C65"/>
    <w:rsid w:val="006B2C9A"/>
    <w:rsid w:val="006B2D64"/>
    <w:rsid w:val="006B2EDF"/>
    <w:rsid w:val="006B3032"/>
    <w:rsid w:val="006B3379"/>
    <w:rsid w:val="006B33E8"/>
    <w:rsid w:val="006B3411"/>
    <w:rsid w:val="006B3512"/>
    <w:rsid w:val="006B35C8"/>
    <w:rsid w:val="006B36BF"/>
    <w:rsid w:val="006B36D9"/>
    <w:rsid w:val="006B3732"/>
    <w:rsid w:val="006B373F"/>
    <w:rsid w:val="006B3761"/>
    <w:rsid w:val="006B3770"/>
    <w:rsid w:val="006B3983"/>
    <w:rsid w:val="006B3B7E"/>
    <w:rsid w:val="006B3BC4"/>
    <w:rsid w:val="006B3C6C"/>
    <w:rsid w:val="006B3D59"/>
    <w:rsid w:val="006B3F4F"/>
    <w:rsid w:val="006B42B0"/>
    <w:rsid w:val="006B43A1"/>
    <w:rsid w:val="006B44D2"/>
    <w:rsid w:val="006B45B8"/>
    <w:rsid w:val="006B45F4"/>
    <w:rsid w:val="006B45FE"/>
    <w:rsid w:val="006B4649"/>
    <w:rsid w:val="006B466F"/>
    <w:rsid w:val="006B4691"/>
    <w:rsid w:val="006B46FF"/>
    <w:rsid w:val="006B4756"/>
    <w:rsid w:val="006B489C"/>
    <w:rsid w:val="006B4918"/>
    <w:rsid w:val="006B499B"/>
    <w:rsid w:val="006B4AD7"/>
    <w:rsid w:val="006B4ADE"/>
    <w:rsid w:val="006B4B4A"/>
    <w:rsid w:val="006B4BBA"/>
    <w:rsid w:val="006B4C17"/>
    <w:rsid w:val="006B4F34"/>
    <w:rsid w:val="006B5030"/>
    <w:rsid w:val="006B50C4"/>
    <w:rsid w:val="006B524D"/>
    <w:rsid w:val="006B5268"/>
    <w:rsid w:val="006B53A4"/>
    <w:rsid w:val="006B53BE"/>
    <w:rsid w:val="006B5444"/>
    <w:rsid w:val="006B565D"/>
    <w:rsid w:val="006B565F"/>
    <w:rsid w:val="006B568B"/>
    <w:rsid w:val="006B5A11"/>
    <w:rsid w:val="006B5AA3"/>
    <w:rsid w:val="006B5AE6"/>
    <w:rsid w:val="006B5BFB"/>
    <w:rsid w:val="006B5D1E"/>
    <w:rsid w:val="006B6263"/>
    <w:rsid w:val="006B641B"/>
    <w:rsid w:val="006B65D7"/>
    <w:rsid w:val="006B662E"/>
    <w:rsid w:val="006B6825"/>
    <w:rsid w:val="006B69DD"/>
    <w:rsid w:val="006B6B43"/>
    <w:rsid w:val="006B6E6C"/>
    <w:rsid w:val="006B6EBD"/>
    <w:rsid w:val="006B7174"/>
    <w:rsid w:val="006B7327"/>
    <w:rsid w:val="006B73DE"/>
    <w:rsid w:val="006B7413"/>
    <w:rsid w:val="006B74F5"/>
    <w:rsid w:val="006B75C6"/>
    <w:rsid w:val="006B765F"/>
    <w:rsid w:val="006B7697"/>
    <w:rsid w:val="006B7774"/>
    <w:rsid w:val="006B7790"/>
    <w:rsid w:val="006B7A99"/>
    <w:rsid w:val="006B7AD6"/>
    <w:rsid w:val="006B7BD5"/>
    <w:rsid w:val="006B7C06"/>
    <w:rsid w:val="006B7C70"/>
    <w:rsid w:val="006B7E79"/>
    <w:rsid w:val="006B7E82"/>
    <w:rsid w:val="006C008E"/>
    <w:rsid w:val="006C030C"/>
    <w:rsid w:val="006C04AB"/>
    <w:rsid w:val="006C059A"/>
    <w:rsid w:val="006C0725"/>
    <w:rsid w:val="006C080A"/>
    <w:rsid w:val="006C0975"/>
    <w:rsid w:val="006C0EF5"/>
    <w:rsid w:val="006C128B"/>
    <w:rsid w:val="006C13E2"/>
    <w:rsid w:val="006C14A8"/>
    <w:rsid w:val="006C1630"/>
    <w:rsid w:val="006C167C"/>
    <w:rsid w:val="006C1683"/>
    <w:rsid w:val="006C1721"/>
    <w:rsid w:val="006C188D"/>
    <w:rsid w:val="006C1935"/>
    <w:rsid w:val="006C1A1C"/>
    <w:rsid w:val="006C1A35"/>
    <w:rsid w:val="006C1A65"/>
    <w:rsid w:val="006C1D86"/>
    <w:rsid w:val="006C1DC8"/>
    <w:rsid w:val="006C1E63"/>
    <w:rsid w:val="006C1E96"/>
    <w:rsid w:val="006C1FA2"/>
    <w:rsid w:val="006C20D7"/>
    <w:rsid w:val="006C21CD"/>
    <w:rsid w:val="006C2260"/>
    <w:rsid w:val="006C2325"/>
    <w:rsid w:val="006C2365"/>
    <w:rsid w:val="006C23E9"/>
    <w:rsid w:val="006C2607"/>
    <w:rsid w:val="006C26D5"/>
    <w:rsid w:val="006C2B87"/>
    <w:rsid w:val="006C2C69"/>
    <w:rsid w:val="006C2C73"/>
    <w:rsid w:val="006C2D27"/>
    <w:rsid w:val="006C2DA2"/>
    <w:rsid w:val="006C2DF9"/>
    <w:rsid w:val="006C2ECB"/>
    <w:rsid w:val="006C2FD4"/>
    <w:rsid w:val="006C2FF0"/>
    <w:rsid w:val="006C3059"/>
    <w:rsid w:val="006C316E"/>
    <w:rsid w:val="006C32E3"/>
    <w:rsid w:val="006C32F4"/>
    <w:rsid w:val="006C34D2"/>
    <w:rsid w:val="006C354C"/>
    <w:rsid w:val="006C3696"/>
    <w:rsid w:val="006C37B2"/>
    <w:rsid w:val="006C397B"/>
    <w:rsid w:val="006C3A4C"/>
    <w:rsid w:val="006C3B76"/>
    <w:rsid w:val="006C3C75"/>
    <w:rsid w:val="006C3D46"/>
    <w:rsid w:val="006C3F29"/>
    <w:rsid w:val="006C3F93"/>
    <w:rsid w:val="006C4153"/>
    <w:rsid w:val="006C41EF"/>
    <w:rsid w:val="006C4214"/>
    <w:rsid w:val="006C444B"/>
    <w:rsid w:val="006C4572"/>
    <w:rsid w:val="006C48EA"/>
    <w:rsid w:val="006C49E5"/>
    <w:rsid w:val="006C4AE3"/>
    <w:rsid w:val="006C4BB6"/>
    <w:rsid w:val="006C4F40"/>
    <w:rsid w:val="006C4F60"/>
    <w:rsid w:val="006C4F66"/>
    <w:rsid w:val="006C51A4"/>
    <w:rsid w:val="006C5498"/>
    <w:rsid w:val="006C551D"/>
    <w:rsid w:val="006C570A"/>
    <w:rsid w:val="006C596B"/>
    <w:rsid w:val="006C5A29"/>
    <w:rsid w:val="006C5B83"/>
    <w:rsid w:val="006C5C19"/>
    <w:rsid w:val="006C5C75"/>
    <w:rsid w:val="006C5D77"/>
    <w:rsid w:val="006C5FDB"/>
    <w:rsid w:val="006C5FE5"/>
    <w:rsid w:val="006C60C7"/>
    <w:rsid w:val="006C656D"/>
    <w:rsid w:val="006C6654"/>
    <w:rsid w:val="006C6796"/>
    <w:rsid w:val="006C688B"/>
    <w:rsid w:val="006C6957"/>
    <w:rsid w:val="006C7130"/>
    <w:rsid w:val="006C7317"/>
    <w:rsid w:val="006C73A4"/>
    <w:rsid w:val="006C73B4"/>
    <w:rsid w:val="006C73C3"/>
    <w:rsid w:val="006C7605"/>
    <w:rsid w:val="006C7620"/>
    <w:rsid w:val="006C7637"/>
    <w:rsid w:val="006C77EB"/>
    <w:rsid w:val="006C79FE"/>
    <w:rsid w:val="006C7B03"/>
    <w:rsid w:val="006C7DCB"/>
    <w:rsid w:val="006C7E47"/>
    <w:rsid w:val="006C7E77"/>
    <w:rsid w:val="006D0057"/>
    <w:rsid w:val="006D012B"/>
    <w:rsid w:val="006D0168"/>
    <w:rsid w:val="006D0264"/>
    <w:rsid w:val="006D0364"/>
    <w:rsid w:val="006D0409"/>
    <w:rsid w:val="006D0425"/>
    <w:rsid w:val="006D0443"/>
    <w:rsid w:val="006D0510"/>
    <w:rsid w:val="006D08F3"/>
    <w:rsid w:val="006D09B0"/>
    <w:rsid w:val="006D0A73"/>
    <w:rsid w:val="006D0BAF"/>
    <w:rsid w:val="006D0DDC"/>
    <w:rsid w:val="006D0EA0"/>
    <w:rsid w:val="006D0EC2"/>
    <w:rsid w:val="006D0FF8"/>
    <w:rsid w:val="006D1006"/>
    <w:rsid w:val="006D11B5"/>
    <w:rsid w:val="006D11CC"/>
    <w:rsid w:val="006D11DA"/>
    <w:rsid w:val="006D12B1"/>
    <w:rsid w:val="006D142F"/>
    <w:rsid w:val="006D15D4"/>
    <w:rsid w:val="006D1622"/>
    <w:rsid w:val="006D163F"/>
    <w:rsid w:val="006D16BF"/>
    <w:rsid w:val="006D1828"/>
    <w:rsid w:val="006D1AA4"/>
    <w:rsid w:val="006D1AB1"/>
    <w:rsid w:val="006D1C94"/>
    <w:rsid w:val="006D1D2C"/>
    <w:rsid w:val="006D1F01"/>
    <w:rsid w:val="006D203C"/>
    <w:rsid w:val="006D21E5"/>
    <w:rsid w:val="006D21F8"/>
    <w:rsid w:val="006D2294"/>
    <w:rsid w:val="006D22AC"/>
    <w:rsid w:val="006D2490"/>
    <w:rsid w:val="006D2579"/>
    <w:rsid w:val="006D28B3"/>
    <w:rsid w:val="006D2935"/>
    <w:rsid w:val="006D2A3D"/>
    <w:rsid w:val="006D2C70"/>
    <w:rsid w:val="006D2CF3"/>
    <w:rsid w:val="006D2F2D"/>
    <w:rsid w:val="006D315B"/>
    <w:rsid w:val="006D3196"/>
    <w:rsid w:val="006D31A7"/>
    <w:rsid w:val="006D3208"/>
    <w:rsid w:val="006D340D"/>
    <w:rsid w:val="006D3436"/>
    <w:rsid w:val="006D3709"/>
    <w:rsid w:val="006D384C"/>
    <w:rsid w:val="006D39EA"/>
    <w:rsid w:val="006D3A55"/>
    <w:rsid w:val="006D3A86"/>
    <w:rsid w:val="006D3C70"/>
    <w:rsid w:val="006D3CF5"/>
    <w:rsid w:val="006D3E73"/>
    <w:rsid w:val="006D428C"/>
    <w:rsid w:val="006D4363"/>
    <w:rsid w:val="006D448E"/>
    <w:rsid w:val="006D458D"/>
    <w:rsid w:val="006D470B"/>
    <w:rsid w:val="006D4710"/>
    <w:rsid w:val="006D4883"/>
    <w:rsid w:val="006D49B2"/>
    <w:rsid w:val="006D49DD"/>
    <w:rsid w:val="006D4C72"/>
    <w:rsid w:val="006D4D0F"/>
    <w:rsid w:val="006D4DBC"/>
    <w:rsid w:val="006D4DDC"/>
    <w:rsid w:val="006D4E21"/>
    <w:rsid w:val="006D4E4C"/>
    <w:rsid w:val="006D4F2C"/>
    <w:rsid w:val="006D503D"/>
    <w:rsid w:val="006D53F5"/>
    <w:rsid w:val="006D5585"/>
    <w:rsid w:val="006D55EC"/>
    <w:rsid w:val="006D57D1"/>
    <w:rsid w:val="006D586E"/>
    <w:rsid w:val="006D59C2"/>
    <w:rsid w:val="006D5A99"/>
    <w:rsid w:val="006D5AEE"/>
    <w:rsid w:val="006D5C1B"/>
    <w:rsid w:val="006D5D29"/>
    <w:rsid w:val="006D5EC4"/>
    <w:rsid w:val="006D5F5B"/>
    <w:rsid w:val="006D5F76"/>
    <w:rsid w:val="006D5FB2"/>
    <w:rsid w:val="006D6065"/>
    <w:rsid w:val="006D6094"/>
    <w:rsid w:val="006D632A"/>
    <w:rsid w:val="006D6345"/>
    <w:rsid w:val="006D6391"/>
    <w:rsid w:val="006D63BC"/>
    <w:rsid w:val="006D6706"/>
    <w:rsid w:val="006D684B"/>
    <w:rsid w:val="006D6CFD"/>
    <w:rsid w:val="006D6D96"/>
    <w:rsid w:val="006D7029"/>
    <w:rsid w:val="006D7137"/>
    <w:rsid w:val="006D71C6"/>
    <w:rsid w:val="006D7211"/>
    <w:rsid w:val="006D73D1"/>
    <w:rsid w:val="006D7447"/>
    <w:rsid w:val="006D7482"/>
    <w:rsid w:val="006D7562"/>
    <w:rsid w:val="006D7563"/>
    <w:rsid w:val="006D75C8"/>
    <w:rsid w:val="006D7856"/>
    <w:rsid w:val="006D79F4"/>
    <w:rsid w:val="006D7AC2"/>
    <w:rsid w:val="006D7D97"/>
    <w:rsid w:val="006D7EFC"/>
    <w:rsid w:val="006E02DC"/>
    <w:rsid w:val="006E06B0"/>
    <w:rsid w:val="006E0802"/>
    <w:rsid w:val="006E0805"/>
    <w:rsid w:val="006E0B8A"/>
    <w:rsid w:val="006E0BB1"/>
    <w:rsid w:val="006E0DFA"/>
    <w:rsid w:val="006E0E3A"/>
    <w:rsid w:val="006E0E6A"/>
    <w:rsid w:val="006E0FE8"/>
    <w:rsid w:val="006E12D9"/>
    <w:rsid w:val="006E1488"/>
    <w:rsid w:val="006E1529"/>
    <w:rsid w:val="006E1595"/>
    <w:rsid w:val="006E15DA"/>
    <w:rsid w:val="006E166A"/>
    <w:rsid w:val="006E1759"/>
    <w:rsid w:val="006E1A2E"/>
    <w:rsid w:val="006E1C0C"/>
    <w:rsid w:val="006E1D88"/>
    <w:rsid w:val="006E1DFA"/>
    <w:rsid w:val="006E1F33"/>
    <w:rsid w:val="006E1FED"/>
    <w:rsid w:val="006E22EA"/>
    <w:rsid w:val="006E23CC"/>
    <w:rsid w:val="006E2531"/>
    <w:rsid w:val="006E264E"/>
    <w:rsid w:val="006E2A3C"/>
    <w:rsid w:val="006E2C21"/>
    <w:rsid w:val="006E2DB7"/>
    <w:rsid w:val="006E2E67"/>
    <w:rsid w:val="006E2F5C"/>
    <w:rsid w:val="006E3169"/>
    <w:rsid w:val="006E34BE"/>
    <w:rsid w:val="006E36AE"/>
    <w:rsid w:val="006E36F8"/>
    <w:rsid w:val="006E3701"/>
    <w:rsid w:val="006E3710"/>
    <w:rsid w:val="006E3811"/>
    <w:rsid w:val="006E39B4"/>
    <w:rsid w:val="006E39B9"/>
    <w:rsid w:val="006E3EE0"/>
    <w:rsid w:val="006E3F12"/>
    <w:rsid w:val="006E4076"/>
    <w:rsid w:val="006E42DD"/>
    <w:rsid w:val="006E472E"/>
    <w:rsid w:val="006E478B"/>
    <w:rsid w:val="006E48AB"/>
    <w:rsid w:val="006E4CDE"/>
    <w:rsid w:val="006E4CF1"/>
    <w:rsid w:val="006E4D56"/>
    <w:rsid w:val="006E4D8A"/>
    <w:rsid w:val="006E5084"/>
    <w:rsid w:val="006E5162"/>
    <w:rsid w:val="006E522C"/>
    <w:rsid w:val="006E5288"/>
    <w:rsid w:val="006E52C7"/>
    <w:rsid w:val="006E57CF"/>
    <w:rsid w:val="006E5929"/>
    <w:rsid w:val="006E59BB"/>
    <w:rsid w:val="006E5AB5"/>
    <w:rsid w:val="006E5ABD"/>
    <w:rsid w:val="006E5BA7"/>
    <w:rsid w:val="006E5BCA"/>
    <w:rsid w:val="006E5C4C"/>
    <w:rsid w:val="006E5C72"/>
    <w:rsid w:val="006E5E24"/>
    <w:rsid w:val="006E5E2B"/>
    <w:rsid w:val="006E5FA2"/>
    <w:rsid w:val="006E5FBB"/>
    <w:rsid w:val="006E60C8"/>
    <w:rsid w:val="006E616C"/>
    <w:rsid w:val="006E6339"/>
    <w:rsid w:val="006E64E7"/>
    <w:rsid w:val="006E65FA"/>
    <w:rsid w:val="006E66AE"/>
    <w:rsid w:val="006E66FC"/>
    <w:rsid w:val="006E679B"/>
    <w:rsid w:val="006E686F"/>
    <w:rsid w:val="006E68EF"/>
    <w:rsid w:val="006E698E"/>
    <w:rsid w:val="006E6B05"/>
    <w:rsid w:val="006E6E56"/>
    <w:rsid w:val="006E7399"/>
    <w:rsid w:val="006E75DA"/>
    <w:rsid w:val="006E7802"/>
    <w:rsid w:val="006E792D"/>
    <w:rsid w:val="006E7A16"/>
    <w:rsid w:val="006E7B4A"/>
    <w:rsid w:val="006E7D12"/>
    <w:rsid w:val="006E7D83"/>
    <w:rsid w:val="006E7E76"/>
    <w:rsid w:val="006E7EE1"/>
    <w:rsid w:val="006E7F47"/>
    <w:rsid w:val="006E7FB8"/>
    <w:rsid w:val="006E7FE6"/>
    <w:rsid w:val="006F0035"/>
    <w:rsid w:val="006F0130"/>
    <w:rsid w:val="006F025B"/>
    <w:rsid w:val="006F02F5"/>
    <w:rsid w:val="006F0367"/>
    <w:rsid w:val="006F0669"/>
    <w:rsid w:val="006F0A7E"/>
    <w:rsid w:val="006F0A80"/>
    <w:rsid w:val="006F0CB5"/>
    <w:rsid w:val="006F0D46"/>
    <w:rsid w:val="006F0DF0"/>
    <w:rsid w:val="006F0E2E"/>
    <w:rsid w:val="006F1199"/>
    <w:rsid w:val="006F129F"/>
    <w:rsid w:val="006F137C"/>
    <w:rsid w:val="006F13EA"/>
    <w:rsid w:val="006F1530"/>
    <w:rsid w:val="006F1549"/>
    <w:rsid w:val="006F1693"/>
    <w:rsid w:val="006F1D91"/>
    <w:rsid w:val="006F1D94"/>
    <w:rsid w:val="006F20AC"/>
    <w:rsid w:val="006F20BA"/>
    <w:rsid w:val="006F20D8"/>
    <w:rsid w:val="006F2124"/>
    <w:rsid w:val="006F2140"/>
    <w:rsid w:val="006F21E8"/>
    <w:rsid w:val="006F23DD"/>
    <w:rsid w:val="006F24C1"/>
    <w:rsid w:val="006F255F"/>
    <w:rsid w:val="006F26F0"/>
    <w:rsid w:val="006F2BAA"/>
    <w:rsid w:val="006F2BDB"/>
    <w:rsid w:val="006F2CD8"/>
    <w:rsid w:val="006F2E4B"/>
    <w:rsid w:val="006F3046"/>
    <w:rsid w:val="006F30BB"/>
    <w:rsid w:val="006F3172"/>
    <w:rsid w:val="006F3237"/>
    <w:rsid w:val="006F3267"/>
    <w:rsid w:val="006F32F3"/>
    <w:rsid w:val="006F33D0"/>
    <w:rsid w:val="006F3484"/>
    <w:rsid w:val="006F348E"/>
    <w:rsid w:val="006F34BC"/>
    <w:rsid w:val="006F3520"/>
    <w:rsid w:val="006F371A"/>
    <w:rsid w:val="006F373A"/>
    <w:rsid w:val="006F373D"/>
    <w:rsid w:val="006F3808"/>
    <w:rsid w:val="006F3983"/>
    <w:rsid w:val="006F3A1F"/>
    <w:rsid w:val="006F3A87"/>
    <w:rsid w:val="006F3ACC"/>
    <w:rsid w:val="006F3B06"/>
    <w:rsid w:val="006F3BEF"/>
    <w:rsid w:val="006F4097"/>
    <w:rsid w:val="006F4238"/>
    <w:rsid w:val="006F42A4"/>
    <w:rsid w:val="006F47B4"/>
    <w:rsid w:val="006F499F"/>
    <w:rsid w:val="006F4A1E"/>
    <w:rsid w:val="006F4C15"/>
    <w:rsid w:val="006F4C23"/>
    <w:rsid w:val="006F4D09"/>
    <w:rsid w:val="006F4D36"/>
    <w:rsid w:val="006F4E26"/>
    <w:rsid w:val="006F4F14"/>
    <w:rsid w:val="006F4FFF"/>
    <w:rsid w:val="006F502D"/>
    <w:rsid w:val="006F5158"/>
    <w:rsid w:val="006F51AB"/>
    <w:rsid w:val="006F51C9"/>
    <w:rsid w:val="006F5240"/>
    <w:rsid w:val="006F527B"/>
    <w:rsid w:val="006F5506"/>
    <w:rsid w:val="006F5710"/>
    <w:rsid w:val="006F5726"/>
    <w:rsid w:val="006F57D0"/>
    <w:rsid w:val="006F57DB"/>
    <w:rsid w:val="006F59B5"/>
    <w:rsid w:val="006F5A1A"/>
    <w:rsid w:val="006F5A4E"/>
    <w:rsid w:val="006F5A7D"/>
    <w:rsid w:val="006F5B46"/>
    <w:rsid w:val="006F5D80"/>
    <w:rsid w:val="006F5DB9"/>
    <w:rsid w:val="006F5DD6"/>
    <w:rsid w:val="006F6101"/>
    <w:rsid w:val="006F622B"/>
    <w:rsid w:val="006F63F4"/>
    <w:rsid w:val="006F6CD2"/>
    <w:rsid w:val="006F6CD4"/>
    <w:rsid w:val="006F6F2A"/>
    <w:rsid w:val="006F6F3E"/>
    <w:rsid w:val="006F6F64"/>
    <w:rsid w:val="006F71FD"/>
    <w:rsid w:val="006F7255"/>
    <w:rsid w:val="006F785D"/>
    <w:rsid w:val="006F7891"/>
    <w:rsid w:val="006F7AE7"/>
    <w:rsid w:val="006F7BD8"/>
    <w:rsid w:val="006F7C0F"/>
    <w:rsid w:val="006F7D41"/>
    <w:rsid w:val="006F7E02"/>
    <w:rsid w:val="006F7F17"/>
    <w:rsid w:val="0070035A"/>
    <w:rsid w:val="00700418"/>
    <w:rsid w:val="00700431"/>
    <w:rsid w:val="0070047B"/>
    <w:rsid w:val="00700495"/>
    <w:rsid w:val="0070062A"/>
    <w:rsid w:val="007006D2"/>
    <w:rsid w:val="007006E2"/>
    <w:rsid w:val="007006FB"/>
    <w:rsid w:val="00700769"/>
    <w:rsid w:val="00700887"/>
    <w:rsid w:val="00700950"/>
    <w:rsid w:val="00700A17"/>
    <w:rsid w:val="00700A44"/>
    <w:rsid w:val="00700EA2"/>
    <w:rsid w:val="00701086"/>
    <w:rsid w:val="00701136"/>
    <w:rsid w:val="00701154"/>
    <w:rsid w:val="00701209"/>
    <w:rsid w:val="007012C1"/>
    <w:rsid w:val="007012CD"/>
    <w:rsid w:val="00701408"/>
    <w:rsid w:val="0070158C"/>
    <w:rsid w:val="0070164E"/>
    <w:rsid w:val="00701663"/>
    <w:rsid w:val="0070193B"/>
    <w:rsid w:val="00701C12"/>
    <w:rsid w:val="00701C5A"/>
    <w:rsid w:val="00701DCE"/>
    <w:rsid w:val="00701E43"/>
    <w:rsid w:val="00702050"/>
    <w:rsid w:val="007020B2"/>
    <w:rsid w:val="00702157"/>
    <w:rsid w:val="007021D3"/>
    <w:rsid w:val="00702276"/>
    <w:rsid w:val="00702317"/>
    <w:rsid w:val="007024A3"/>
    <w:rsid w:val="00702633"/>
    <w:rsid w:val="00702640"/>
    <w:rsid w:val="00702746"/>
    <w:rsid w:val="007028BC"/>
    <w:rsid w:val="00702907"/>
    <w:rsid w:val="00702A99"/>
    <w:rsid w:val="00702ACD"/>
    <w:rsid w:val="00702AFC"/>
    <w:rsid w:val="00702EF5"/>
    <w:rsid w:val="00702FD4"/>
    <w:rsid w:val="00703093"/>
    <w:rsid w:val="007030EC"/>
    <w:rsid w:val="0070319A"/>
    <w:rsid w:val="007031F8"/>
    <w:rsid w:val="00703241"/>
    <w:rsid w:val="00703284"/>
    <w:rsid w:val="00703328"/>
    <w:rsid w:val="007033DB"/>
    <w:rsid w:val="0070361E"/>
    <w:rsid w:val="0070365D"/>
    <w:rsid w:val="00703734"/>
    <w:rsid w:val="00703757"/>
    <w:rsid w:val="007037A3"/>
    <w:rsid w:val="007037FB"/>
    <w:rsid w:val="00703975"/>
    <w:rsid w:val="00703B0D"/>
    <w:rsid w:val="00703CB4"/>
    <w:rsid w:val="00703CE4"/>
    <w:rsid w:val="00703D4D"/>
    <w:rsid w:val="00703DE1"/>
    <w:rsid w:val="00703E1A"/>
    <w:rsid w:val="00703E64"/>
    <w:rsid w:val="00703EC9"/>
    <w:rsid w:val="00703EE1"/>
    <w:rsid w:val="0070418A"/>
    <w:rsid w:val="00704261"/>
    <w:rsid w:val="00704424"/>
    <w:rsid w:val="00704653"/>
    <w:rsid w:val="00704820"/>
    <w:rsid w:val="00704AFB"/>
    <w:rsid w:val="00704BD7"/>
    <w:rsid w:val="00704BF5"/>
    <w:rsid w:val="00704BFC"/>
    <w:rsid w:val="00704D52"/>
    <w:rsid w:val="00704D82"/>
    <w:rsid w:val="00704DB6"/>
    <w:rsid w:val="00704ED3"/>
    <w:rsid w:val="00704F78"/>
    <w:rsid w:val="00704FB8"/>
    <w:rsid w:val="007050DE"/>
    <w:rsid w:val="00705272"/>
    <w:rsid w:val="0070527B"/>
    <w:rsid w:val="007052A0"/>
    <w:rsid w:val="00705497"/>
    <w:rsid w:val="00705510"/>
    <w:rsid w:val="007056D9"/>
    <w:rsid w:val="007057DB"/>
    <w:rsid w:val="00705808"/>
    <w:rsid w:val="00705923"/>
    <w:rsid w:val="00705C17"/>
    <w:rsid w:val="00705D32"/>
    <w:rsid w:val="00705D7D"/>
    <w:rsid w:val="00705E19"/>
    <w:rsid w:val="0070603E"/>
    <w:rsid w:val="007060D6"/>
    <w:rsid w:val="007060EC"/>
    <w:rsid w:val="007061B6"/>
    <w:rsid w:val="007062B0"/>
    <w:rsid w:val="00706533"/>
    <w:rsid w:val="0070657B"/>
    <w:rsid w:val="007067B0"/>
    <w:rsid w:val="00706812"/>
    <w:rsid w:val="00706870"/>
    <w:rsid w:val="00706911"/>
    <w:rsid w:val="00706A38"/>
    <w:rsid w:val="00706AFF"/>
    <w:rsid w:val="00706B68"/>
    <w:rsid w:val="00706C4F"/>
    <w:rsid w:val="00706E61"/>
    <w:rsid w:val="00707193"/>
    <w:rsid w:val="00707403"/>
    <w:rsid w:val="0070759C"/>
    <w:rsid w:val="0070763F"/>
    <w:rsid w:val="007077E6"/>
    <w:rsid w:val="0070793A"/>
    <w:rsid w:val="00707AB0"/>
    <w:rsid w:val="00707C18"/>
    <w:rsid w:val="00707CA4"/>
    <w:rsid w:val="00707DAF"/>
    <w:rsid w:val="00707E64"/>
    <w:rsid w:val="00707F50"/>
    <w:rsid w:val="00707F77"/>
    <w:rsid w:val="00710066"/>
    <w:rsid w:val="00710068"/>
    <w:rsid w:val="00710185"/>
    <w:rsid w:val="007101F9"/>
    <w:rsid w:val="00710379"/>
    <w:rsid w:val="007103A9"/>
    <w:rsid w:val="007104C0"/>
    <w:rsid w:val="007107C6"/>
    <w:rsid w:val="0071099F"/>
    <w:rsid w:val="00710BBA"/>
    <w:rsid w:val="00710F3C"/>
    <w:rsid w:val="007110D4"/>
    <w:rsid w:val="0071117A"/>
    <w:rsid w:val="007111E3"/>
    <w:rsid w:val="00711221"/>
    <w:rsid w:val="00711236"/>
    <w:rsid w:val="00711252"/>
    <w:rsid w:val="0071144B"/>
    <w:rsid w:val="00711452"/>
    <w:rsid w:val="00711615"/>
    <w:rsid w:val="0071167C"/>
    <w:rsid w:val="00711859"/>
    <w:rsid w:val="0071189F"/>
    <w:rsid w:val="00711A44"/>
    <w:rsid w:val="00711A8F"/>
    <w:rsid w:val="00711B64"/>
    <w:rsid w:val="00711C8E"/>
    <w:rsid w:val="00711FCB"/>
    <w:rsid w:val="007120A0"/>
    <w:rsid w:val="0071210C"/>
    <w:rsid w:val="007122AA"/>
    <w:rsid w:val="00712336"/>
    <w:rsid w:val="00712466"/>
    <w:rsid w:val="00712542"/>
    <w:rsid w:val="00712658"/>
    <w:rsid w:val="0071273F"/>
    <w:rsid w:val="00712802"/>
    <w:rsid w:val="0071288D"/>
    <w:rsid w:val="00712A65"/>
    <w:rsid w:val="00712B00"/>
    <w:rsid w:val="00712B67"/>
    <w:rsid w:val="00712C05"/>
    <w:rsid w:val="00712C7D"/>
    <w:rsid w:val="00712CEF"/>
    <w:rsid w:val="00712E76"/>
    <w:rsid w:val="00712EE7"/>
    <w:rsid w:val="00712EE9"/>
    <w:rsid w:val="00713000"/>
    <w:rsid w:val="007132AC"/>
    <w:rsid w:val="007133DA"/>
    <w:rsid w:val="0071350F"/>
    <w:rsid w:val="007135BB"/>
    <w:rsid w:val="0071362D"/>
    <w:rsid w:val="007138B0"/>
    <w:rsid w:val="007138D6"/>
    <w:rsid w:val="0071391D"/>
    <w:rsid w:val="0071393C"/>
    <w:rsid w:val="007139B0"/>
    <w:rsid w:val="00713A78"/>
    <w:rsid w:val="00713B2D"/>
    <w:rsid w:val="00713B96"/>
    <w:rsid w:val="00713C64"/>
    <w:rsid w:val="00713CD0"/>
    <w:rsid w:val="00713E62"/>
    <w:rsid w:val="007141E0"/>
    <w:rsid w:val="007143FD"/>
    <w:rsid w:val="00714635"/>
    <w:rsid w:val="0071482C"/>
    <w:rsid w:val="00714A02"/>
    <w:rsid w:val="00714B91"/>
    <w:rsid w:val="00714CBE"/>
    <w:rsid w:val="00714D6F"/>
    <w:rsid w:val="00714DF1"/>
    <w:rsid w:val="00715131"/>
    <w:rsid w:val="007153BD"/>
    <w:rsid w:val="0071559C"/>
    <w:rsid w:val="00715635"/>
    <w:rsid w:val="007159BE"/>
    <w:rsid w:val="00715A1B"/>
    <w:rsid w:val="00715A3B"/>
    <w:rsid w:val="00715A42"/>
    <w:rsid w:val="00715B29"/>
    <w:rsid w:val="00715C24"/>
    <w:rsid w:val="00715D47"/>
    <w:rsid w:val="00715DBD"/>
    <w:rsid w:val="00715EF6"/>
    <w:rsid w:val="00716191"/>
    <w:rsid w:val="007161B3"/>
    <w:rsid w:val="00716304"/>
    <w:rsid w:val="007163F9"/>
    <w:rsid w:val="00716494"/>
    <w:rsid w:val="007164E4"/>
    <w:rsid w:val="0071650E"/>
    <w:rsid w:val="00716606"/>
    <w:rsid w:val="0071678E"/>
    <w:rsid w:val="007167A8"/>
    <w:rsid w:val="007169A2"/>
    <w:rsid w:val="00716A7F"/>
    <w:rsid w:val="00716AD2"/>
    <w:rsid w:val="00716B22"/>
    <w:rsid w:val="00716D79"/>
    <w:rsid w:val="00716E97"/>
    <w:rsid w:val="00716EC9"/>
    <w:rsid w:val="00716EDD"/>
    <w:rsid w:val="00717123"/>
    <w:rsid w:val="007173E3"/>
    <w:rsid w:val="007173F7"/>
    <w:rsid w:val="00717475"/>
    <w:rsid w:val="007176ED"/>
    <w:rsid w:val="00717BF4"/>
    <w:rsid w:val="00717D3C"/>
    <w:rsid w:val="00717E9A"/>
    <w:rsid w:val="00717EB3"/>
    <w:rsid w:val="007200A6"/>
    <w:rsid w:val="00720227"/>
    <w:rsid w:val="00720239"/>
    <w:rsid w:val="007203CA"/>
    <w:rsid w:val="007203EE"/>
    <w:rsid w:val="007204B2"/>
    <w:rsid w:val="007204BC"/>
    <w:rsid w:val="007208BA"/>
    <w:rsid w:val="0072095E"/>
    <w:rsid w:val="00720A54"/>
    <w:rsid w:val="00720A63"/>
    <w:rsid w:val="00720A99"/>
    <w:rsid w:val="00720BBB"/>
    <w:rsid w:val="00720C71"/>
    <w:rsid w:val="00720EA2"/>
    <w:rsid w:val="00720F75"/>
    <w:rsid w:val="00720F7E"/>
    <w:rsid w:val="007210B4"/>
    <w:rsid w:val="00721232"/>
    <w:rsid w:val="00721247"/>
    <w:rsid w:val="00721367"/>
    <w:rsid w:val="0072144F"/>
    <w:rsid w:val="007215EF"/>
    <w:rsid w:val="00721641"/>
    <w:rsid w:val="007217D5"/>
    <w:rsid w:val="00721808"/>
    <w:rsid w:val="00721961"/>
    <w:rsid w:val="007219BC"/>
    <w:rsid w:val="00721A38"/>
    <w:rsid w:val="00721A64"/>
    <w:rsid w:val="00721C2C"/>
    <w:rsid w:val="00721C3C"/>
    <w:rsid w:val="00721D19"/>
    <w:rsid w:val="00721D27"/>
    <w:rsid w:val="00721EA7"/>
    <w:rsid w:val="00721F7B"/>
    <w:rsid w:val="00722075"/>
    <w:rsid w:val="007220DD"/>
    <w:rsid w:val="007220EE"/>
    <w:rsid w:val="007221BC"/>
    <w:rsid w:val="007223C2"/>
    <w:rsid w:val="0072246F"/>
    <w:rsid w:val="0072251D"/>
    <w:rsid w:val="007226B0"/>
    <w:rsid w:val="007226F5"/>
    <w:rsid w:val="007228BA"/>
    <w:rsid w:val="00722909"/>
    <w:rsid w:val="0072295F"/>
    <w:rsid w:val="00722A02"/>
    <w:rsid w:val="00722A22"/>
    <w:rsid w:val="00722A2B"/>
    <w:rsid w:val="00722C71"/>
    <w:rsid w:val="00722EEA"/>
    <w:rsid w:val="00722EFD"/>
    <w:rsid w:val="00723124"/>
    <w:rsid w:val="00723309"/>
    <w:rsid w:val="00723328"/>
    <w:rsid w:val="0072339B"/>
    <w:rsid w:val="00723442"/>
    <w:rsid w:val="007235A8"/>
    <w:rsid w:val="00723607"/>
    <w:rsid w:val="007237CD"/>
    <w:rsid w:val="007237D2"/>
    <w:rsid w:val="0072388B"/>
    <w:rsid w:val="007238F6"/>
    <w:rsid w:val="00723994"/>
    <w:rsid w:val="00723B2C"/>
    <w:rsid w:val="00723C43"/>
    <w:rsid w:val="00723DBD"/>
    <w:rsid w:val="00723DF0"/>
    <w:rsid w:val="00724263"/>
    <w:rsid w:val="00724271"/>
    <w:rsid w:val="007242D0"/>
    <w:rsid w:val="0072466E"/>
    <w:rsid w:val="00724835"/>
    <w:rsid w:val="007249DC"/>
    <w:rsid w:val="00724C1B"/>
    <w:rsid w:val="00724CCA"/>
    <w:rsid w:val="00724ED0"/>
    <w:rsid w:val="00724F92"/>
    <w:rsid w:val="00725217"/>
    <w:rsid w:val="00725230"/>
    <w:rsid w:val="0072524F"/>
    <w:rsid w:val="007252B7"/>
    <w:rsid w:val="007252CF"/>
    <w:rsid w:val="007253CC"/>
    <w:rsid w:val="007253D6"/>
    <w:rsid w:val="00725453"/>
    <w:rsid w:val="0072552F"/>
    <w:rsid w:val="0072578A"/>
    <w:rsid w:val="00725912"/>
    <w:rsid w:val="00725934"/>
    <w:rsid w:val="0072597A"/>
    <w:rsid w:val="00725ADF"/>
    <w:rsid w:val="00725B7A"/>
    <w:rsid w:val="00725C21"/>
    <w:rsid w:val="00725C77"/>
    <w:rsid w:val="00725D31"/>
    <w:rsid w:val="00725EA0"/>
    <w:rsid w:val="00725F11"/>
    <w:rsid w:val="00725FFA"/>
    <w:rsid w:val="00726078"/>
    <w:rsid w:val="00726206"/>
    <w:rsid w:val="00726261"/>
    <w:rsid w:val="00726299"/>
    <w:rsid w:val="007263E6"/>
    <w:rsid w:val="0072640F"/>
    <w:rsid w:val="00726498"/>
    <w:rsid w:val="007264B6"/>
    <w:rsid w:val="007265C0"/>
    <w:rsid w:val="0072665A"/>
    <w:rsid w:val="00726952"/>
    <w:rsid w:val="00726992"/>
    <w:rsid w:val="007269AE"/>
    <w:rsid w:val="007269EE"/>
    <w:rsid w:val="00726AF2"/>
    <w:rsid w:val="00726B7D"/>
    <w:rsid w:val="00726D86"/>
    <w:rsid w:val="00726E1B"/>
    <w:rsid w:val="00726E3B"/>
    <w:rsid w:val="00726E6F"/>
    <w:rsid w:val="00726F5C"/>
    <w:rsid w:val="00727032"/>
    <w:rsid w:val="0072705D"/>
    <w:rsid w:val="00727158"/>
    <w:rsid w:val="007271F7"/>
    <w:rsid w:val="0072727C"/>
    <w:rsid w:val="00727330"/>
    <w:rsid w:val="007275B7"/>
    <w:rsid w:val="0072781B"/>
    <w:rsid w:val="007278F2"/>
    <w:rsid w:val="00727A03"/>
    <w:rsid w:val="00727AA5"/>
    <w:rsid w:val="00727DAA"/>
    <w:rsid w:val="00727E62"/>
    <w:rsid w:val="00727F63"/>
    <w:rsid w:val="0073002E"/>
    <w:rsid w:val="007300A8"/>
    <w:rsid w:val="0073037D"/>
    <w:rsid w:val="0073038E"/>
    <w:rsid w:val="007304A3"/>
    <w:rsid w:val="0073063E"/>
    <w:rsid w:val="007307EC"/>
    <w:rsid w:val="007308C6"/>
    <w:rsid w:val="007308FE"/>
    <w:rsid w:val="00730AE8"/>
    <w:rsid w:val="00730D7D"/>
    <w:rsid w:val="00730DF1"/>
    <w:rsid w:val="00731063"/>
    <w:rsid w:val="00731072"/>
    <w:rsid w:val="0073107C"/>
    <w:rsid w:val="00731513"/>
    <w:rsid w:val="007316A2"/>
    <w:rsid w:val="00731707"/>
    <w:rsid w:val="0073178A"/>
    <w:rsid w:val="00731895"/>
    <w:rsid w:val="0073189B"/>
    <w:rsid w:val="00731B63"/>
    <w:rsid w:val="00731C9D"/>
    <w:rsid w:val="00731CF2"/>
    <w:rsid w:val="00731D39"/>
    <w:rsid w:val="00731D54"/>
    <w:rsid w:val="00731EBC"/>
    <w:rsid w:val="00731EDC"/>
    <w:rsid w:val="00731EE4"/>
    <w:rsid w:val="00731EFB"/>
    <w:rsid w:val="00732091"/>
    <w:rsid w:val="00732114"/>
    <w:rsid w:val="0073212E"/>
    <w:rsid w:val="00732347"/>
    <w:rsid w:val="00732423"/>
    <w:rsid w:val="007324BA"/>
    <w:rsid w:val="007324E0"/>
    <w:rsid w:val="007324FA"/>
    <w:rsid w:val="00732543"/>
    <w:rsid w:val="00732638"/>
    <w:rsid w:val="0073263B"/>
    <w:rsid w:val="007326EA"/>
    <w:rsid w:val="00732813"/>
    <w:rsid w:val="00732A4D"/>
    <w:rsid w:val="00732B99"/>
    <w:rsid w:val="00732D3F"/>
    <w:rsid w:val="0073303F"/>
    <w:rsid w:val="007330AA"/>
    <w:rsid w:val="0073324D"/>
    <w:rsid w:val="00733548"/>
    <w:rsid w:val="00733557"/>
    <w:rsid w:val="00733A63"/>
    <w:rsid w:val="00733A6E"/>
    <w:rsid w:val="00733C00"/>
    <w:rsid w:val="00733C92"/>
    <w:rsid w:val="00733CBB"/>
    <w:rsid w:val="00733D06"/>
    <w:rsid w:val="00733EC2"/>
    <w:rsid w:val="00733EF6"/>
    <w:rsid w:val="00734035"/>
    <w:rsid w:val="00734087"/>
    <w:rsid w:val="007341AB"/>
    <w:rsid w:val="00734288"/>
    <w:rsid w:val="007342C4"/>
    <w:rsid w:val="007345C5"/>
    <w:rsid w:val="0073461A"/>
    <w:rsid w:val="00734761"/>
    <w:rsid w:val="00734AF6"/>
    <w:rsid w:val="00734B68"/>
    <w:rsid w:val="00734D16"/>
    <w:rsid w:val="00734D23"/>
    <w:rsid w:val="00734FE7"/>
    <w:rsid w:val="00735387"/>
    <w:rsid w:val="0073541B"/>
    <w:rsid w:val="00735923"/>
    <w:rsid w:val="00735B1C"/>
    <w:rsid w:val="00735B6F"/>
    <w:rsid w:val="00735BDA"/>
    <w:rsid w:val="00735D53"/>
    <w:rsid w:val="00735E01"/>
    <w:rsid w:val="0073610F"/>
    <w:rsid w:val="00736306"/>
    <w:rsid w:val="0073647B"/>
    <w:rsid w:val="007364A0"/>
    <w:rsid w:val="007364B4"/>
    <w:rsid w:val="007364F8"/>
    <w:rsid w:val="0073655A"/>
    <w:rsid w:val="00736714"/>
    <w:rsid w:val="00736A90"/>
    <w:rsid w:val="00736B96"/>
    <w:rsid w:val="00736CC5"/>
    <w:rsid w:val="00736DD6"/>
    <w:rsid w:val="0073720C"/>
    <w:rsid w:val="00737312"/>
    <w:rsid w:val="0073744A"/>
    <w:rsid w:val="0073749E"/>
    <w:rsid w:val="007375F3"/>
    <w:rsid w:val="00737624"/>
    <w:rsid w:val="007376B8"/>
    <w:rsid w:val="0073771A"/>
    <w:rsid w:val="00737720"/>
    <w:rsid w:val="0073773B"/>
    <w:rsid w:val="00737810"/>
    <w:rsid w:val="0073792C"/>
    <w:rsid w:val="007379EF"/>
    <w:rsid w:val="00737EA0"/>
    <w:rsid w:val="00737FF5"/>
    <w:rsid w:val="0074000F"/>
    <w:rsid w:val="007400AE"/>
    <w:rsid w:val="007400BC"/>
    <w:rsid w:val="007400CD"/>
    <w:rsid w:val="00740203"/>
    <w:rsid w:val="0074024C"/>
    <w:rsid w:val="00740281"/>
    <w:rsid w:val="00740322"/>
    <w:rsid w:val="007403BE"/>
    <w:rsid w:val="00740427"/>
    <w:rsid w:val="0074043C"/>
    <w:rsid w:val="00740456"/>
    <w:rsid w:val="007405C3"/>
    <w:rsid w:val="007405DF"/>
    <w:rsid w:val="00740723"/>
    <w:rsid w:val="00740865"/>
    <w:rsid w:val="007408DB"/>
    <w:rsid w:val="00740A3B"/>
    <w:rsid w:val="00740A77"/>
    <w:rsid w:val="00740B03"/>
    <w:rsid w:val="00740B3D"/>
    <w:rsid w:val="00740D54"/>
    <w:rsid w:val="00740D80"/>
    <w:rsid w:val="00740EBD"/>
    <w:rsid w:val="00740ECE"/>
    <w:rsid w:val="00740F9B"/>
    <w:rsid w:val="00741000"/>
    <w:rsid w:val="007413C5"/>
    <w:rsid w:val="007413D8"/>
    <w:rsid w:val="00741462"/>
    <w:rsid w:val="007414AE"/>
    <w:rsid w:val="007415EB"/>
    <w:rsid w:val="00741748"/>
    <w:rsid w:val="00741916"/>
    <w:rsid w:val="00741AE7"/>
    <w:rsid w:val="00741D86"/>
    <w:rsid w:val="00741DB3"/>
    <w:rsid w:val="00741E12"/>
    <w:rsid w:val="00742205"/>
    <w:rsid w:val="00742456"/>
    <w:rsid w:val="00742525"/>
    <w:rsid w:val="0074257A"/>
    <w:rsid w:val="00742697"/>
    <w:rsid w:val="0074297C"/>
    <w:rsid w:val="00742992"/>
    <w:rsid w:val="00742B0E"/>
    <w:rsid w:val="00742B65"/>
    <w:rsid w:val="00742BE0"/>
    <w:rsid w:val="00742D4F"/>
    <w:rsid w:val="00742D7A"/>
    <w:rsid w:val="00742F26"/>
    <w:rsid w:val="0074300E"/>
    <w:rsid w:val="007430C5"/>
    <w:rsid w:val="00743109"/>
    <w:rsid w:val="00743162"/>
    <w:rsid w:val="007432B3"/>
    <w:rsid w:val="00743393"/>
    <w:rsid w:val="007433B7"/>
    <w:rsid w:val="007433D5"/>
    <w:rsid w:val="00743557"/>
    <w:rsid w:val="00743616"/>
    <w:rsid w:val="00743781"/>
    <w:rsid w:val="0074388C"/>
    <w:rsid w:val="007439E8"/>
    <w:rsid w:val="00743B75"/>
    <w:rsid w:val="00743BA2"/>
    <w:rsid w:val="00743BB0"/>
    <w:rsid w:val="00743F79"/>
    <w:rsid w:val="007440B5"/>
    <w:rsid w:val="007441E2"/>
    <w:rsid w:val="0074437C"/>
    <w:rsid w:val="00744498"/>
    <w:rsid w:val="00744506"/>
    <w:rsid w:val="0074463C"/>
    <w:rsid w:val="00744909"/>
    <w:rsid w:val="00744A61"/>
    <w:rsid w:val="00744A9D"/>
    <w:rsid w:val="00744D05"/>
    <w:rsid w:val="00744E93"/>
    <w:rsid w:val="00744FFB"/>
    <w:rsid w:val="0074516A"/>
    <w:rsid w:val="007451BC"/>
    <w:rsid w:val="00745227"/>
    <w:rsid w:val="0074522D"/>
    <w:rsid w:val="0074525B"/>
    <w:rsid w:val="00745276"/>
    <w:rsid w:val="007452C6"/>
    <w:rsid w:val="007452E1"/>
    <w:rsid w:val="00745320"/>
    <w:rsid w:val="00745336"/>
    <w:rsid w:val="007453A7"/>
    <w:rsid w:val="00745B4F"/>
    <w:rsid w:val="00745C1F"/>
    <w:rsid w:val="00745DA8"/>
    <w:rsid w:val="00745DDF"/>
    <w:rsid w:val="00745E4F"/>
    <w:rsid w:val="00745E88"/>
    <w:rsid w:val="00746170"/>
    <w:rsid w:val="00746200"/>
    <w:rsid w:val="0074639D"/>
    <w:rsid w:val="007464AB"/>
    <w:rsid w:val="00746596"/>
    <w:rsid w:val="00746741"/>
    <w:rsid w:val="007467AF"/>
    <w:rsid w:val="007467B0"/>
    <w:rsid w:val="0074699C"/>
    <w:rsid w:val="007469F9"/>
    <w:rsid w:val="00746B69"/>
    <w:rsid w:val="00746D54"/>
    <w:rsid w:val="00746D85"/>
    <w:rsid w:val="00746F8A"/>
    <w:rsid w:val="007472FE"/>
    <w:rsid w:val="00747434"/>
    <w:rsid w:val="0074746B"/>
    <w:rsid w:val="007474D3"/>
    <w:rsid w:val="007476DB"/>
    <w:rsid w:val="0074788B"/>
    <w:rsid w:val="00747998"/>
    <w:rsid w:val="007479A6"/>
    <w:rsid w:val="00747C86"/>
    <w:rsid w:val="00747CB6"/>
    <w:rsid w:val="00747DF6"/>
    <w:rsid w:val="00747F7A"/>
    <w:rsid w:val="0075005E"/>
    <w:rsid w:val="007501D3"/>
    <w:rsid w:val="007502DB"/>
    <w:rsid w:val="00750359"/>
    <w:rsid w:val="00750420"/>
    <w:rsid w:val="00750479"/>
    <w:rsid w:val="007505AA"/>
    <w:rsid w:val="007506ED"/>
    <w:rsid w:val="007506FF"/>
    <w:rsid w:val="00750ADC"/>
    <w:rsid w:val="00750E63"/>
    <w:rsid w:val="00750E69"/>
    <w:rsid w:val="00750EBD"/>
    <w:rsid w:val="0075113E"/>
    <w:rsid w:val="0075124A"/>
    <w:rsid w:val="0075137C"/>
    <w:rsid w:val="0075142D"/>
    <w:rsid w:val="00751513"/>
    <w:rsid w:val="007515AC"/>
    <w:rsid w:val="0075165C"/>
    <w:rsid w:val="007516E0"/>
    <w:rsid w:val="007519D1"/>
    <w:rsid w:val="00751B36"/>
    <w:rsid w:val="00751CEB"/>
    <w:rsid w:val="0075208F"/>
    <w:rsid w:val="00752598"/>
    <w:rsid w:val="0075277C"/>
    <w:rsid w:val="00752808"/>
    <w:rsid w:val="00752836"/>
    <w:rsid w:val="00752B94"/>
    <w:rsid w:val="00752CD2"/>
    <w:rsid w:val="00752DB9"/>
    <w:rsid w:val="00752E43"/>
    <w:rsid w:val="00752E73"/>
    <w:rsid w:val="00752F24"/>
    <w:rsid w:val="00752F73"/>
    <w:rsid w:val="0075323F"/>
    <w:rsid w:val="0075355D"/>
    <w:rsid w:val="007535A2"/>
    <w:rsid w:val="00753663"/>
    <w:rsid w:val="00753734"/>
    <w:rsid w:val="007538D9"/>
    <w:rsid w:val="00753B51"/>
    <w:rsid w:val="00753C8B"/>
    <w:rsid w:val="00753DCF"/>
    <w:rsid w:val="00753DE2"/>
    <w:rsid w:val="00753DE4"/>
    <w:rsid w:val="00753FFE"/>
    <w:rsid w:val="007540A6"/>
    <w:rsid w:val="0075418A"/>
    <w:rsid w:val="0075433A"/>
    <w:rsid w:val="0075448D"/>
    <w:rsid w:val="007544B6"/>
    <w:rsid w:val="00754675"/>
    <w:rsid w:val="007547EC"/>
    <w:rsid w:val="0075483C"/>
    <w:rsid w:val="007548E6"/>
    <w:rsid w:val="00754964"/>
    <w:rsid w:val="007549E0"/>
    <w:rsid w:val="00754B5E"/>
    <w:rsid w:val="00754D75"/>
    <w:rsid w:val="00754F7B"/>
    <w:rsid w:val="007550ED"/>
    <w:rsid w:val="007556C5"/>
    <w:rsid w:val="00755710"/>
    <w:rsid w:val="00755751"/>
    <w:rsid w:val="00755782"/>
    <w:rsid w:val="00755794"/>
    <w:rsid w:val="0075599C"/>
    <w:rsid w:val="0075599D"/>
    <w:rsid w:val="007559D8"/>
    <w:rsid w:val="00755A0C"/>
    <w:rsid w:val="00755B15"/>
    <w:rsid w:val="00755B33"/>
    <w:rsid w:val="00755EC6"/>
    <w:rsid w:val="0075615A"/>
    <w:rsid w:val="007562D9"/>
    <w:rsid w:val="00756351"/>
    <w:rsid w:val="007563D1"/>
    <w:rsid w:val="00756454"/>
    <w:rsid w:val="00756477"/>
    <w:rsid w:val="007564A1"/>
    <w:rsid w:val="007564A8"/>
    <w:rsid w:val="00756782"/>
    <w:rsid w:val="007569FD"/>
    <w:rsid w:val="00756C72"/>
    <w:rsid w:val="00756CBF"/>
    <w:rsid w:val="00756FBE"/>
    <w:rsid w:val="00756FEE"/>
    <w:rsid w:val="00757132"/>
    <w:rsid w:val="007573B9"/>
    <w:rsid w:val="0075765C"/>
    <w:rsid w:val="00757852"/>
    <w:rsid w:val="0075793A"/>
    <w:rsid w:val="00757ABA"/>
    <w:rsid w:val="00757EB4"/>
    <w:rsid w:val="00757F1C"/>
    <w:rsid w:val="00757F64"/>
    <w:rsid w:val="00757FC2"/>
    <w:rsid w:val="00757FEA"/>
    <w:rsid w:val="007600C7"/>
    <w:rsid w:val="00760146"/>
    <w:rsid w:val="0076018E"/>
    <w:rsid w:val="0076056F"/>
    <w:rsid w:val="00760848"/>
    <w:rsid w:val="00760877"/>
    <w:rsid w:val="00760890"/>
    <w:rsid w:val="00760A63"/>
    <w:rsid w:val="00760BAA"/>
    <w:rsid w:val="00760D71"/>
    <w:rsid w:val="00761015"/>
    <w:rsid w:val="00761191"/>
    <w:rsid w:val="0076141F"/>
    <w:rsid w:val="00761529"/>
    <w:rsid w:val="00761538"/>
    <w:rsid w:val="00761548"/>
    <w:rsid w:val="0076160C"/>
    <w:rsid w:val="007617D1"/>
    <w:rsid w:val="007618D4"/>
    <w:rsid w:val="0076193D"/>
    <w:rsid w:val="00761975"/>
    <w:rsid w:val="00761A07"/>
    <w:rsid w:val="00761AC5"/>
    <w:rsid w:val="00761B4D"/>
    <w:rsid w:val="00761C2D"/>
    <w:rsid w:val="00761FA0"/>
    <w:rsid w:val="0076229A"/>
    <w:rsid w:val="00762424"/>
    <w:rsid w:val="007624A1"/>
    <w:rsid w:val="00762543"/>
    <w:rsid w:val="0076260D"/>
    <w:rsid w:val="00762954"/>
    <w:rsid w:val="00762D15"/>
    <w:rsid w:val="00762E43"/>
    <w:rsid w:val="00762EC7"/>
    <w:rsid w:val="00762F3F"/>
    <w:rsid w:val="007630F0"/>
    <w:rsid w:val="007631F0"/>
    <w:rsid w:val="0076351A"/>
    <w:rsid w:val="00763534"/>
    <w:rsid w:val="007635AD"/>
    <w:rsid w:val="00763600"/>
    <w:rsid w:val="0076369D"/>
    <w:rsid w:val="007636A2"/>
    <w:rsid w:val="0076375A"/>
    <w:rsid w:val="007637A9"/>
    <w:rsid w:val="007639F7"/>
    <w:rsid w:val="00763AE7"/>
    <w:rsid w:val="00763B39"/>
    <w:rsid w:val="00763B60"/>
    <w:rsid w:val="00763B63"/>
    <w:rsid w:val="00763B77"/>
    <w:rsid w:val="00763D7B"/>
    <w:rsid w:val="00763E5B"/>
    <w:rsid w:val="00764004"/>
    <w:rsid w:val="007640B5"/>
    <w:rsid w:val="00764118"/>
    <w:rsid w:val="00764120"/>
    <w:rsid w:val="007641B1"/>
    <w:rsid w:val="00764429"/>
    <w:rsid w:val="00764504"/>
    <w:rsid w:val="00764571"/>
    <w:rsid w:val="007645C3"/>
    <w:rsid w:val="007645CF"/>
    <w:rsid w:val="0076462E"/>
    <w:rsid w:val="0076484B"/>
    <w:rsid w:val="007648BB"/>
    <w:rsid w:val="00764915"/>
    <w:rsid w:val="007649D6"/>
    <w:rsid w:val="00764B15"/>
    <w:rsid w:val="00764B47"/>
    <w:rsid w:val="00764BF1"/>
    <w:rsid w:val="00764CA5"/>
    <w:rsid w:val="00764D3D"/>
    <w:rsid w:val="00764EB3"/>
    <w:rsid w:val="007650DF"/>
    <w:rsid w:val="007651BA"/>
    <w:rsid w:val="00765201"/>
    <w:rsid w:val="00765340"/>
    <w:rsid w:val="00765595"/>
    <w:rsid w:val="007658C7"/>
    <w:rsid w:val="007659EA"/>
    <w:rsid w:val="00765AA3"/>
    <w:rsid w:val="00765CD7"/>
    <w:rsid w:val="00765E24"/>
    <w:rsid w:val="00765E59"/>
    <w:rsid w:val="00765EEC"/>
    <w:rsid w:val="00765F23"/>
    <w:rsid w:val="0076600A"/>
    <w:rsid w:val="00766104"/>
    <w:rsid w:val="0076613D"/>
    <w:rsid w:val="00766242"/>
    <w:rsid w:val="007662E7"/>
    <w:rsid w:val="00766680"/>
    <w:rsid w:val="00766816"/>
    <w:rsid w:val="007669F0"/>
    <w:rsid w:val="00766A48"/>
    <w:rsid w:val="00766B0D"/>
    <w:rsid w:val="00766E32"/>
    <w:rsid w:val="0076702C"/>
    <w:rsid w:val="007670EF"/>
    <w:rsid w:val="00767172"/>
    <w:rsid w:val="00767402"/>
    <w:rsid w:val="00767808"/>
    <w:rsid w:val="00767944"/>
    <w:rsid w:val="00767D97"/>
    <w:rsid w:val="00767E19"/>
    <w:rsid w:val="00767EC7"/>
    <w:rsid w:val="00767F26"/>
    <w:rsid w:val="00767F6C"/>
    <w:rsid w:val="00767F95"/>
    <w:rsid w:val="00767FC3"/>
    <w:rsid w:val="00770084"/>
    <w:rsid w:val="007701DA"/>
    <w:rsid w:val="007704CE"/>
    <w:rsid w:val="00770781"/>
    <w:rsid w:val="007707A9"/>
    <w:rsid w:val="00770964"/>
    <w:rsid w:val="007709DC"/>
    <w:rsid w:val="00770A7D"/>
    <w:rsid w:val="00770AD9"/>
    <w:rsid w:val="00770BF1"/>
    <w:rsid w:val="00770C49"/>
    <w:rsid w:val="00771024"/>
    <w:rsid w:val="0077105D"/>
    <w:rsid w:val="007713E7"/>
    <w:rsid w:val="007714CB"/>
    <w:rsid w:val="007714D0"/>
    <w:rsid w:val="007714D8"/>
    <w:rsid w:val="00771759"/>
    <w:rsid w:val="007717DE"/>
    <w:rsid w:val="007718F6"/>
    <w:rsid w:val="00771A24"/>
    <w:rsid w:val="00771AE3"/>
    <w:rsid w:val="00771DB6"/>
    <w:rsid w:val="00771DCF"/>
    <w:rsid w:val="00771ED6"/>
    <w:rsid w:val="00772064"/>
    <w:rsid w:val="007720A0"/>
    <w:rsid w:val="0077219E"/>
    <w:rsid w:val="00772271"/>
    <w:rsid w:val="00772484"/>
    <w:rsid w:val="007724AC"/>
    <w:rsid w:val="00772757"/>
    <w:rsid w:val="007727E4"/>
    <w:rsid w:val="00772829"/>
    <w:rsid w:val="00772890"/>
    <w:rsid w:val="007728B2"/>
    <w:rsid w:val="00772A2E"/>
    <w:rsid w:val="00772B0C"/>
    <w:rsid w:val="00772C17"/>
    <w:rsid w:val="00772CED"/>
    <w:rsid w:val="00772D43"/>
    <w:rsid w:val="00772D94"/>
    <w:rsid w:val="00772DBF"/>
    <w:rsid w:val="00772E1D"/>
    <w:rsid w:val="00772F48"/>
    <w:rsid w:val="00772F7C"/>
    <w:rsid w:val="00773031"/>
    <w:rsid w:val="00773196"/>
    <w:rsid w:val="007731F6"/>
    <w:rsid w:val="007732F6"/>
    <w:rsid w:val="007733C7"/>
    <w:rsid w:val="00773473"/>
    <w:rsid w:val="00773515"/>
    <w:rsid w:val="0077356C"/>
    <w:rsid w:val="007735B2"/>
    <w:rsid w:val="00773642"/>
    <w:rsid w:val="00773726"/>
    <w:rsid w:val="00773862"/>
    <w:rsid w:val="007738E1"/>
    <w:rsid w:val="00773A5E"/>
    <w:rsid w:val="00773D1C"/>
    <w:rsid w:val="00773DD1"/>
    <w:rsid w:val="00773E32"/>
    <w:rsid w:val="007740A6"/>
    <w:rsid w:val="007741F8"/>
    <w:rsid w:val="007742AD"/>
    <w:rsid w:val="0077432E"/>
    <w:rsid w:val="007743DA"/>
    <w:rsid w:val="00774486"/>
    <w:rsid w:val="00774556"/>
    <w:rsid w:val="0077466F"/>
    <w:rsid w:val="007746B3"/>
    <w:rsid w:val="00774820"/>
    <w:rsid w:val="0077499B"/>
    <w:rsid w:val="00774A21"/>
    <w:rsid w:val="00774C9E"/>
    <w:rsid w:val="00774D11"/>
    <w:rsid w:val="00774E9E"/>
    <w:rsid w:val="00775369"/>
    <w:rsid w:val="0077538B"/>
    <w:rsid w:val="0077545A"/>
    <w:rsid w:val="007754A6"/>
    <w:rsid w:val="007754C0"/>
    <w:rsid w:val="007754CD"/>
    <w:rsid w:val="007755AB"/>
    <w:rsid w:val="007755D6"/>
    <w:rsid w:val="007756DA"/>
    <w:rsid w:val="00775830"/>
    <w:rsid w:val="00775885"/>
    <w:rsid w:val="00775B63"/>
    <w:rsid w:val="00775E15"/>
    <w:rsid w:val="007760A4"/>
    <w:rsid w:val="00776117"/>
    <w:rsid w:val="00776119"/>
    <w:rsid w:val="007763F5"/>
    <w:rsid w:val="00776422"/>
    <w:rsid w:val="00776559"/>
    <w:rsid w:val="00776653"/>
    <w:rsid w:val="007769B2"/>
    <w:rsid w:val="007769E5"/>
    <w:rsid w:val="00776A4B"/>
    <w:rsid w:val="00776C0D"/>
    <w:rsid w:val="00776DA7"/>
    <w:rsid w:val="00776E61"/>
    <w:rsid w:val="00776ED5"/>
    <w:rsid w:val="00776F0C"/>
    <w:rsid w:val="00776F7C"/>
    <w:rsid w:val="00776FC9"/>
    <w:rsid w:val="0077710B"/>
    <w:rsid w:val="00777179"/>
    <w:rsid w:val="007776DE"/>
    <w:rsid w:val="00777848"/>
    <w:rsid w:val="0077786D"/>
    <w:rsid w:val="00777893"/>
    <w:rsid w:val="00777AD8"/>
    <w:rsid w:val="00777C86"/>
    <w:rsid w:val="00777E90"/>
    <w:rsid w:val="007807FC"/>
    <w:rsid w:val="0078085A"/>
    <w:rsid w:val="00780866"/>
    <w:rsid w:val="00780888"/>
    <w:rsid w:val="007808EA"/>
    <w:rsid w:val="00780914"/>
    <w:rsid w:val="00780AED"/>
    <w:rsid w:val="00780B3E"/>
    <w:rsid w:val="00780B7A"/>
    <w:rsid w:val="00780BEB"/>
    <w:rsid w:val="00780D82"/>
    <w:rsid w:val="00781194"/>
    <w:rsid w:val="00781223"/>
    <w:rsid w:val="007813C7"/>
    <w:rsid w:val="007814AB"/>
    <w:rsid w:val="00781519"/>
    <w:rsid w:val="007815A9"/>
    <w:rsid w:val="007818A3"/>
    <w:rsid w:val="007818B1"/>
    <w:rsid w:val="00781B20"/>
    <w:rsid w:val="00781B97"/>
    <w:rsid w:val="00781CFC"/>
    <w:rsid w:val="00781D5A"/>
    <w:rsid w:val="00781EB1"/>
    <w:rsid w:val="007820F8"/>
    <w:rsid w:val="007821BB"/>
    <w:rsid w:val="007822C5"/>
    <w:rsid w:val="00782401"/>
    <w:rsid w:val="0078241C"/>
    <w:rsid w:val="00782487"/>
    <w:rsid w:val="00782489"/>
    <w:rsid w:val="00782717"/>
    <w:rsid w:val="00782837"/>
    <w:rsid w:val="007828C5"/>
    <w:rsid w:val="007828EF"/>
    <w:rsid w:val="0078293B"/>
    <w:rsid w:val="00782C6B"/>
    <w:rsid w:val="00782D82"/>
    <w:rsid w:val="00782DEA"/>
    <w:rsid w:val="00783070"/>
    <w:rsid w:val="00783099"/>
    <w:rsid w:val="00783175"/>
    <w:rsid w:val="007833B2"/>
    <w:rsid w:val="007834FC"/>
    <w:rsid w:val="0078395D"/>
    <w:rsid w:val="00783AFC"/>
    <w:rsid w:val="00783C83"/>
    <w:rsid w:val="00783E63"/>
    <w:rsid w:val="00783EFC"/>
    <w:rsid w:val="00784007"/>
    <w:rsid w:val="00784046"/>
    <w:rsid w:val="007840AA"/>
    <w:rsid w:val="0078414B"/>
    <w:rsid w:val="00784387"/>
    <w:rsid w:val="007843AD"/>
    <w:rsid w:val="007843E7"/>
    <w:rsid w:val="007844CE"/>
    <w:rsid w:val="0078469B"/>
    <w:rsid w:val="0078475D"/>
    <w:rsid w:val="00784977"/>
    <w:rsid w:val="00784AA4"/>
    <w:rsid w:val="00784B66"/>
    <w:rsid w:val="00784C6B"/>
    <w:rsid w:val="00784CDB"/>
    <w:rsid w:val="00784DD1"/>
    <w:rsid w:val="00784E61"/>
    <w:rsid w:val="007850D1"/>
    <w:rsid w:val="007850D4"/>
    <w:rsid w:val="007850F8"/>
    <w:rsid w:val="007852D2"/>
    <w:rsid w:val="007852E9"/>
    <w:rsid w:val="0078536A"/>
    <w:rsid w:val="007853DE"/>
    <w:rsid w:val="00785445"/>
    <w:rsid w:val="00785789"/>
    <w:rsid w:val="007857AD"/>
    <w:rsid w:val="00785B01"/>
    <w:rsid w:val="00785BAE"/>
    <w:rsid w:val="00785C2E"/>
    <w:rsid w:val="00785D43"/>
    <w:rsid w:val="00785DC0"/>
    <w:rsid w:val="00785FF1"/>
    <w:rsid w:val="00786494"/>
    <w:rsid w:val="00786665"/>
    <w:rsid w:val="007866DC"/>
    <w:rsid w:val="007868B0"/>
    <w:rsid w:val="007868CA"/>
    <w:rsid w:val="007868EB"/>
    <w:rsid w:val="007869A2"/>
    <w:rsid w:val="00786CB0"/>
    <w:rsid w:val="00786DF6"/>
    <w:rsid w:val="00786F00"/>
    <w:rsid w:val="00786F2B"/>
    <w:rsid w:val="00787148"/>
    <w:rsid w:val="0078734B"/>
    <w:rsid w:val="00787545"/>
    <w:rsid w:val="007877CA"/>
    <w:rsid w:val="007877F7"/>
    <w:rsid w:val="0078783C"/>
    <w:rsid w:val="0078791B"/>
    <w:rsid w:val="007879EB"/>
    <w:rsid w:val="00787A98"/>
    <w:rsid w:val="00787AE5"/>
    <w:rsid w:val="00787BF3"/>
    <w:rsid w:val="00787C05"/>
    <w:rsid w:val="00787E30"/>
    <w:rsid w:val="00787EA3"/>
    <w:rsid w:val="0079003A"/>
    <w:rsid w:val="00790124"/>
    <w:rsid w:val="0079030C"/>
    <w:rsid w:val="007908BF"/>
    <w:rsid w:val="00790A0C"/>
    <w:rsid w:val="00790AC8"/>
    <w:rsid w:val="00790B15"/>
    <w:rsid w:val="00790C13"/>
    <w:rsid w:val="00790C19"/>
    <w:rsid w:val="00790D2C"/>
    <w:rsid w:val="00790F49"/>
    <w:rsid w:val="00791148"/>
    <w:rsid w:val="0079116E"/>
    <w:rsid w:val="00791333"/>
    <w:rsid w:val="007913C6"/>
    <w:rsid w:val="00791441"/>
    <w:rsid w:val="007914AE"/>
    <w:rsid w:val="00791502"/>
    <w:rsid w:val="007915BC"/>
    <w:rsid w:val="0079160E"/>
    <w:rsid w:val="007916B4"/>
    <w:rsid w:val="007917C3"/>
    <w:rsid w:val="007917C9"/>
    <w:rsid w:val="00791AF8"/>
    <w:rsid w:val="00791B24"/>
    <w:rsid w:val="00791CD9"/>
    <w:rsid w:val="00791CE1"/>
    <w:rsid w:val="00791D61"/>
    <w:rsid w:val="00791F93"/>
    <w:rsid w:val="00792077"/>
    <w:rsid w:val="007921D6"/>
    <w:rsid w:val="0079220B"/>
    <w:rsid w:val="007922A9"/>
    <w:rsid w:val="007922B6"/>
    <w:rsid w:val="00792324"/>
    <w:rsid w:val="0079241D"/>
    <w:rsid w:val="0079248D"/>
    <w:rsid w:val="007924F9"/>
    <w:rsid w:val="00792501"/>
    <w:rsid w:val="00792675"/>
    <w:rsid w:val="0079277A"/>
    <w:rsid w:val="007927D8"/>
    <w:rsid w:val="00792923"/>
    <w:rsid w:val="00792A39"/>
    <w:rsid w:val="00792AAA"/>
    <w:rsid w:val="00792B49"/>
    <w:rsid w:val="00792D09"/>
    <w:rsid w:val="00792D47"/>
    <w:rsid w:val="00792F09"/>
    <w:rsid w:val="00792F27"/>
    <w:rsid w:val="0079301F"/>
    <w:rsid w:val="00793122"/>
    <w:rsid w:val="007931CB"/>
    <w:rsid w:val="007931D9"/>
    <w:rsid w:val="007933AC"/>
    <w:rsid w:val="00793562"/>
    <w:rsid w:val="00793607"/>
    <w:rsid w:val="00793688"/>
    <w:rsid w:val="007937BF"/>
    <w:rsid w:val="007937CE"/>
    <w:rsid w:val="00793844"/>
    <w:rsid w:val="00793CE4"/>
    <w:rsid w:val="00793DD5"/>
    <w:rsid w:val="00793E64"/>
    <w:rsid w:val="00793FC8"/>
    <w:rsid w:val="00794127"/>
    <w:rsid w:val="0079425D"/>
    <w:rsid w:val="00794493"/>
    <w:rsid w:val="00794510"/>
    <w:rsid w:val="007945AD"/>
    <w:rsid w:val="00794D13"/>
    <w:rsid w:val="00794DAD"/>
    <w:rsid w:val="00794F2F"/>
    <w:rsid w:val="00795013"/>
    <w:rsid w:val="007950E4"/>
    <w:rsid w:val="00795148"/>
    <w:rsid w:val="007951D4"/>
    <w:rsid w:val="0079527B"/>
    <w:rsid w:val="007952C7"/>
    <w:rsid w:val="007952D2"/>
    <w:rsid w:val="007957F3"/>
    <w:rsid w:val="0079587E"/>
    <w:rsid w:val="00795B6B"/>
    <w:rsid w:val="00795F8B"/>
    <w:rsid w:val="00796060"/>
    <w:rsid w:val="007961F8"/>
    <w:rsid w:val="007965B5"/>
    <w:rsid w:val="0079692E"/>
    <w:rsid w:val="00796942"/>
    <w:rsid w:val="00796B56"/>
    <w:rsid w:val="00796B8D"/>
    <w:rsid w:val="00796EED"/>
    <w:rsid w:val="007970D2"/>
    <w:rsid w:val="00797108"/>
    <w:rsid w:val="007971FA"/>
    <w:rsid w:val="0079730C"/>
    <w:rsid w:val="00797315"/>
    <w:rsid w:val="00797408"/>
    <w:rsid w:val="00797611"/>
    <w:rsid w:val="007976FB"/>
    <w:rsid w:val="00797758"/>
    <w:rsid w:val="007978ED"/>
    <w:rsid w:val="00797996"/>
    <w:rsid w:val="00797C0D"/>
    <w:rsid w:val="00797C2E"/>
    <w:rsid w:val="00797C46"/>
    <w:rsid w:val="00797D18"/>
    <w:rsid w:val="00797DC8"/>
    <w:rsid w:val="00797EA8"/>
    <w:rsid w:val="00797FF5"/>
    <w:rsid w:val="007A0046"/>
    <w:rsid w:val="007A0121"/>
    <w:rsid w:val="007A034F"/>
    <w:rsid w:val="007A0396"/>
    <w:rsid w:val="007A045F"/>
    <w:rsid w:val="007A0554"/>
    <w:rsid w:val="007A0706"/>
    <w:rsid w:val="007A07CA"/>
    <w:rsid w:val="007A088E"/>
    <w:rsid w:val="007A08AB"/>
    <w:rsid w:val="007A08C0"/>
    <w:rsid w:val="007A0EB0"/>
    <w:rsid w:val="007A118E"/>
    <w:rsid w:val="007A11EB"/>
    <w:rsid w:val="007A11F6"/>
    <w:rsid w:val="007A1245"/>
    <w:rsid w:val="007A13BC"/>
    <w:rsid w:val="007A1404"/>
    <w:rsid w:val="007A19BA"/>
    <w:rsid w:val="007A19F6"/>
    <w:rsid w:val="007A1A76"/>
    <w:rsid w:val="007A1CF3"/>
    <w:rsid w:val="007A1EEA"/>
    <w:rsid w:val="007A2138"/>
    <w:rsid w:val="007A2564"/>
    <w:rsid w:val="007A2621"/>
    <w:rsid w:val="007A2786"/>
    <w:rsid w:val="007A28C1"/>
    <w:rsid w:val="007A296C"/>
    <w:rsid w:val="007A2B65"/>
    <w:rsid w:val="007A2CA1"/>
    <w:rsid w:val="007A2E99"/>
    <w:rsid w:val="007A2F13"/>
    <w:rsid w:val="007A2FBA"/>
    <w:rsid w:val="007A306C"/>
    <w:rsid w:val="007A32C8"/>
    <w:rsid w:val="007A32FF"/>
    <w:rsid w:val="007A3396"/>
    <w:rsid w:val="007A3569"/>
    <w:rsid w:val="007A35A2"/>
    <w:rsid w:val="007A36C3"/>
    <w:rsid w:val="007A37D9"/>
    <w:rsid w:val="007A3879"/>
    <w:rsid w:val="007A38A3"/>
    <w:rsid w:val="007A3983"/>
    <w:rsid w:val="007A39CD"/>
    <w:rsid w:val="007A3BB9"/>
    <w:rsid w:val="007A3BF5"/>
    <w:rsid w:val="007A3D76"/>
    <w:rsid w:val="007A3DA6"/>
    <w:rsid w:val="007A4282"/>
    <w:rsid w:val="007A435F"/>
    <w:rsid w:val="007A4703"/>
    <w:rsid w:val="007A473A"/>
    <w:rsid w:val="007A47A5"/>
    <w:rsid w:val="007A47EC"/>
    <w:rsid w:val="007A49DF"/>
    <w:rsid w:val="007A4B4A"/>
    <w:rsid w:val="007A4C15"/>
    <w:rsid w:val="007A4D0E"/>
    <w:rsid w:val="007A4E2E"/>
    <w:rsid w:val="007A4E72"/>
    <w:rsid w:val="007A4F9E"/>
    <w:rsid w:val="007A5046"/>
    <w:rsid w:val="007A5081"/>
    <w:rsid w:val="007A551E"/>
    <w:rsid w:val="007A5617"/>
    <w:rsid w:val="007A5622"/>
    <w:rsid w:val="007A592F"/>
    <w:rsid w:val="007A59F2"/>
    <w:rsid w:val="007A5D9C"/>
    <w:rsid w:val="007A5DA9"/>
    <w:rsid w:val="007A5E88"/>
    <w:rsid w:val="007A5F69"/>
    <w:rsid w:val="007A60E2"/>
    <w:rsid w:val="007A6138"/>
    <w:rsid w:val="007A6364"/>
    <w:rsid w:val="007A64B3"/>
    <w:rsid w:val="007A656E"/>
    <w:rsid w:val="007A65A3"/>
    <w:rsid w:val="007A66EA"/>
    <w:rsid w:val="007A685F"/>
    <w:rsid w:val="007A6940"/>
    <w:rsid w:val="007A698B"/>
    <w:rsid w:val="007A6B65"/>
    <w:rsid w:val="007A6CD0"/>
    <w:rsid w:val="007A6D34"/>
    <w:rsid w:val="007A6E03"/>
    <w:rsid w:val="007A6FF6"/>
    <w:rsid w:val="007A72A9"/>
    <w:rsid w:val="007A7842"/>
    <w:rsid w:val="007A78C0"/>
    <w:rsid w:val="007A7A81"/>
    <w:rsid w:val="007A7BD0"/>
    <w:rsid w:val="007A7DB1"/>
    <w:rsid w:val="007A7F77"/>
    <w:rsid w:val="007A7F78"/>
    <w:rsid w:val="007A7F98"/>
    <w:rsid w:val="007B0245"/>
    <w:rsid w:val="007B0320"/>
    <w:rsid w:val="007B032B"/>
    <w:rsid w:val="007B03F0"/>
    <w:rsid w:val="007B040C"/>
    <w:rsid w:val="007B07B5"/>
    <w:rsid w:val="007B07CF"/>
    <w:rsid w:val="007B083F"/>
    <w:rsid w:val="007B0880"/>
    <w:rsid w:val="007B08BA"/>
    <w:rsid w:val="007B0992"/>
    <w:rsid w:val="007B0ABC"/>
    <w:rsid w:val="007B0C64"/>
    <w:rsid w:val="007B0D01"/>
    <w:rsid w:val="007B0DA9"/>
    <w:rsid w:val="007B0FCF"/>
    <w:rsid w:val="007B0FF8"/>
    <w:rsid w:val="007B145B"/>
    <w:rsid w:val="007B14FC"/>
    <w:rsid w:val="007B1A39"/>
    <w:rsid w:val="007B1AE1"/>
    <w:rsid w:val="007B1E46"/>
    <w:rsid w:val="007B1E4E"/>
    <w:rsid w:val="007B200E"/>
    <w:rsid w:val="007B202A"/>
    <w:rsid w:val="007B2085"/>
    <w:rsid w:val="007B21BB"/>
    <w:rsid w:val="007B21DA"/>
    <w:rsid w:val="007B21FC"/>
    <w:rsid w:val="007B23A9"/>
    <w:rsid w:val="007B245D"/>
    <w:rsid w:val="007B2597"/>
    <w:rsid w:val="007B2735"/>
    <w:rsid w:val="007B2817"/>
    <w:rsid w:val="007B2890"/>
    <w:rsid w:val="007B2919"/>
    <w:rsid w:val="007B2A9B"/>
    <w:rsid w:val="007B2B90"/>
    <w:rsid w:val="007B2BA4"/>
    <w:rsid w:val="007B2C19"/>
    <w:rsid w:val="007B2D4C"/>
    <w:rsid w:val="007B2FDC"/>
    <w:rsid w:val="007B3151"/>
    <w:rsid w:val="007B316C"/>
    <w:rsid w:val="007B351E"/>
    <w:rsid w:val="007B35A0"/>
    <w:rsid w:val="007B360B"/>
    <w:rsid w:val="007B3619"/>
    <w:rsid w:val="007B38A0"/>
    <w:rsid w:val="007B38B7"/>
    <w:rsid w:val="007B3A38"/>
    <w:rsid w:val="007B3ABB"/>
    <w:rsid w:val="007B3C32"/>
    <w:rsid w:val="007B3DE8"/>
    <w:rsid w:val="007B403A"/>
    <w:rsid w:val="007B40A4"/>
    <w:rsid w:val="007B4260"/>
    <w:rsid w:val="007B4264"/>
    <w:rsid w:val="007B43E9"/>
    <w:rsid w:val="007B441D"/>
    <w:rsid w:val="007B44C4"/>
    <w:rsid w:val="007B4566"/>
    <w:rsid w:val="007B4844"/>
    <w:rsid w:val="007B4A82"/>
    <w:rsid w:val="007B4C36"/>
    <w:rsid w:val="007B4D8E"/>
    <w:rsid w:val="007B4E2C"/>
    <w:rsid w:val="007B4E68"/>
    <w:rsid w:val="007B4E69"/>
    <w:rsid w:val="007B4EA3"/>
    <w:rsid w:val="007B4F54"/>
    <w:rsid w:val="007B4F7B"/>
    <w:rsid w:val="007B502C"/>
    <w:rsid w:val="007B5046"/>
    <w:rsid w:val="007B51DD"/>
    <w:rsid w:val="007B52A1"/>
    <w:rsid w:val="007B5409"/>
    <w:rsid w:val="007B548D"/>
    <w:rsid w:val="007B55E6"/>
    <w:rsid w:val="007B5625"/>
    <w:rsid w:val="007B581C"/>
    <w:rsid w:val="007B583D"/>
    <w:rsid w:val="007B58B0"/>
    <w:rsid w:val="007B58C7"/>
    <w:rsid w:val="007B59F8"/>
    <w:rsid w:val="007B5AE5"/>
    <w:rsid w:val="007B5CCE"/>
    <w:rsid w:val="007B5D51"/>
    <w:rsid w:val="007B6015"/>
    <w:rsid w:val="007B6147"/>
    <w:rsid w:val="007B63C4"/>
    <w:rsid w:val="007B63F9"/>
    <w:rsid w:val="007B6684"/>
    <w:rsid w:val="007B6700"/>
    <w:rsid w:val="007B67FF"/>
    <w:rsid w:val="007B6855"/>
    <w:rsid w:val="007B687B"/>
    <w:rsid w:val="007B69A1"/>
    <w:rsid w:val="007B6ABF"/>
    <w:rsid w:val="007B6B21"/>
    <w:rsid w:val="007B6CEC"/>
    <w:rsid w:val="007B6F09"/>
    <w:rsid w:val="007B6F15"/>
    <w:rsid w:val="007B7024"/>
    <w:rsid w:val="007B70BD"/>
    <w:rsid w:val="007B722B"/>
    <w:rsid w:val="007B7397"/>
    <w:rsid w:val="007B74A5"/>
    <w:rsid w:val="007B74D6"/>
    <w:rsid w:val="007B74F1"/>
    <w:rsid w:val="007B759C"/>
    <w:rsid w:val="007B759D"/>
    <w:rsid w:val="007B7690"/>
    <w:rsid w:val="007B76AE"/>
    <w:rsid w:val="007B7869"/>
    <w:rsid w:val="007B787B"/>
    <w:rsid w:val="007B788F"/>
    <w:rsid w:val="007B78EF"/>
    <w:rsid w:val="007B7959"/>
    <w:rsid w:val="007B7A98"/>
    <w:rsid w:val="007B7C58"/>
    <w:rsid w:val="007C00AF"/>
    <w:rsid w:val="007C0362"/>
    <w:rsid w:val="007C0390"/>
    <w:rsid w:val="007C06C4"/>
    <w:rsid w:val="007C0ADF"/>
    <w:rsid w:val="007C0B44"/>
    <w:rsid w:val="007C0BFE"/>
    <w:rsid w:val="007C0FC9"/>
    <w:rsid w:val="007C10E2"/>
    <w:rsid w:val="007C10E5"/>
    <w:rsid w:val="007C120C"/>
    <w:rsid w:val="007C1490"/>
    <w:rsid w:val="007C14A2"/>
    <w:rsid w:val="007C15CE"/>
    <w:rsid w:val="007C1661"/>
    <w:rsid w:val="007C1689"/>
    <w:rsid w:val="007C16D9"/>
    <w:rsid w:val="007C1B13"/>
    <w:rsid w:val="007C1C04"/>
    <w:rsid w:val="007C1D09"/>
    <w:rsid w:val="007C1E37"/>
    <w:rsid w:val="007C1F09"/>
    <w:rsid w:val="007C1FE8"/>
    <w:rsid w:val="007C2068"/>
    <w:rsid w:val="007C2104"/>
    <w:rsid w:val="007C2110"/>
    <w:rsid w:val="007C21A7"/>
    <w:rsid w:val="007C2276"/>
    <w:rsid w:val="007C22D7"/>
    <w:rsid w:val="007C23FE"/>
    <w:rsid w:val="007C25B0"/>
    <w:rsid w:val="007C2777"/>
    <w:rsid w:val="007C28EA"/>
    <w:rsid w:val="007C2A45"/>
    <w:rsid w:val="007C2D13"/>
    <w:rsid w:val="007C2D84"/>
    <w:rsid w:val="007C2DCE"/>
    <w:rsid w:val="007C2F70"/>
    <w:rsid w:val="007C2FA0"/>
    <w:rsid w:val="007C300E"/>
    <w:rsid w:val="007C31BD"/>
    <w:rsid w:val="007C3282"/>
    <w:rsid w:val="007C3283"/>
    <w:rsid w:val="007C328D"/>
    <w:rsid w:val="007C3310"/>
    <w:rsid w:val="007C336F"/>
    <w:rsid w:val="007C3465"/>
    <w:rsid w:val="007C34F7"/>
    <w:rsid w:val="007C352C"/>
    <w:rsid w:val="007C35E8"/>
    <w:rsid w:val="007C38F3"/>
    <w:rsid w:val="007C3C49"/>
    <w:rsid w:val="007C3C8E"/>
    <w:rsid w:val="007C3D13"/>
    <w:rsid w:val="007C3EF9"/>
    <w:rsid w:val="007C400A"/>
    <w:rsid w:val="007C40B2"/>
    <w:rsid w:val="007C40C9"/>
    <w:rsid w:val="007C40EF"/>
    <w:rsid w:val="007C4129"/>
    <w:rsid w:val="007C41B1"/>
    <w:rsid w:val="007C48F9"/>
    <w:rsid w:val="007C4B0C"/>
    <w:rsid w:val="007C4D9F"/>
    <w:rsid w:val="007C4E89"/>
    <w:rsid w:val="007C4F16"/>
    <w:rsid w:val="007C4F31"/>
    <w:rsid w:val="007C515E"/>
    <w:rsid w:val="007C5252"/>
    <w:rsid w:val="007C56D7"/>
    <w:rsid w:val="007C5795"/>
    <w:rsid w:val="007C579F"/>
    <w:rsid w:val="007C5842"/>
    <w:rsid w:val="007C58E7"/>
    <w:rsid w:val="007C59D5"/>
    <w:rsid w:val="007C59FF"/>
    <w:rsid w:val="007C5A11"/>
    <w:rsid w:val="007C5A31"/>
    <w:rsid w:val="007C5A82"/>
    <w:rsid w:val="007C5AC5"/>
    <w:rsid w:val="007C5B4F"/>
    <w:rsid w:val="007C5B82"/>
    <w:rsid w:val="007C5C6B"/>
    <w:rsid w:val="007C5CA8"/>
    <w:rsid w:val="007C5D6C"/>
    <w:rsid w:val="007C5E74"/>
    <w:rsid w:val="007C5EC6"/>
    <w:rsid w:val="007C60E5"/>
    <w:rsid w:val="007C61A8"/>
    <w:rsid w:val="007C64EE"/>
    <w:rsid w:val="007C657B"/>
    <w:rsid w:val="007C65F4"/>
    <w:rsid w:val="007C6802"/>
    <w:rsid w:val="007C6998"/>
    <w:rsid w:val="007C6E78"/>
    <w:rsid w:val="007C6FE1"/>
    <w:rsid w:val="007C7005"/>
    <w:rsid w:val="007C729F"/>
    <w:rsid w:val="007C72B1"/>
    <w:rsid w:val="007C72C6"/>
    <w:rsid w:val="007C7419"/>
    <w:rsid w:val="007C77C9"/>
    <w:rsid w:val="007C7A56"/>
    <w:rsid w:val="007C7B63"/>
    <w:rsid w:val="007C7C1B"/>
    <w:rsid w:val="007C7ED6"/>
    <w:rsid w:val="007D01E3"/>
    <w:rsid w:val="007D0484"/>
    <w:rsid w:val="007D05E5"/>
    <w:rsid w:val="007D0881"/>
    <w:rsid w:val="007D099D"/>
    <w:rsid w:val="007D09E1"/>
    <w:rsid w:val="007D0B59"/>
    <w:rsid w:val="007D0C49"/>
    <w:rsid w:val="007D0D05"/>
    <w:rsid w:val="007D0D5D"/>
    <w:rsid w:val="007D0D61"/>
    <w:rsid w:val="007D0D6C"/>
    <w:rsid w:val="007D0DEC"/>
    <w:rsid w:val="007D0E39"/>
    <w:rsid w:val="007D0FC0"/>
    <w:rsid w:val="007D122F"/>
    <w:rsid w:val="007D1416"/>
    <w:rsid w:val="007D145B"/>
    <w:rsid w:val="007D14BD"/>
    <w:rsid w:val="007D1688"/>
    <w:rsid w:val="007D17DE"/>
    <w:rsid w:val="007D1A85"/>
    <w:rsid w:val="007D1AD8"/>
    <w:rsid w:val="007D1C71"/>
    <w:rsid w:val="007D1CF8"/>
    <w:rsid w:val="007D2178"/>
    <w:rsid w:val="007D2467"/>
    <w:rsid w:val="007D2564"/>
    <w:rsid w:val="007D260E"/>
    <w:rsid w:val="007D2693"/>
    <w:rsid w:val="007D27AC"/>
    <w:rsid w:val="007D294B"/>
    <w:rsid w:val="007D2BB6"/>
    <w:rsid w:val="007D2BBC"/>
    <w:rsid w:val="007D2CDE"/>
    <w:rsid w:val="007D30B7"/>
    <w:rsid w:val="007D3187"/>
    <w:rsid w:val="007D3305"/>
    <w:rsid w:val="007D3481"/>
    <w:rsid w:val="007D35AE"/>
    <w:rsid w:val="007D375E"/>
    <w:rsid w:val="007D37D3"/>
    <w:rsid w:val="007D3A31"/>
    <w:rsid w:val="007D3A9C"/>
    <w:rsid w:val="007D3B48"/>
    <w:rsid w:val="007D3BA6"/>
    <w:rsid w:val="007D3C9B"/>
    <w:rsid w:val="007D3D87"/>
    <w:rsid w:val="007D3DF5"/>
    <w:rsid w:val="007D3E70"/>
    <w:rsid w:val="007D3E93"/>
    <w:rsid w:val="007D3F58"/>
    <w:rsid w:val="007D42F5"/>
    <w:rsid w:val="007D45C1"/>
    <w:rsid w:val="007D4618"/>
    <w:rsid w:val="007D493C"/>
    <w:rsid w:val="007D498D"/>
    <w:rsid w:val="007D4A8A"/>
    <w:rsid w:val="007D4B19"/>
    <w:rsid w:val="007D4B92"/>
    <w:rsid w:val="007D4C70"/>
    <w:rsid w:val="007D4CAE"/>
    <w:rsid w:val="007D4DF9"/>
    <w:rsid w:val="007D4E35"/>
    <w:rsid w:val="007D4E64"/>
    <w:rsid w:val="007D50D8"/>
    <w:rsid w:val="007D51EC"/>
    <w:rsid w:val="007D5244"/>
    <w:rsid w:val="007D526A"/>
    <w:rsid w:val="007D53AA"/>
    <w:rsid w:val="007D53D5"/>
    <w:rsid w:val="007D5466"/>
    <w:rsid w:val="007D54A7"/>
    <w:rsid w:val="007D550B"/>
    <w:rsid w:val="007D5591"/>
    <w:rsid w:val="007D5750"/>
    <w:rsid w:val="007D57F0"/>
    <w:rsid w:val="007D58A3"/>
    <w:rsid w:val="007D58D5"/>
    <w:rsid w:val="007D5913"/>
    <w:rsid w:val="007D5938"/>
    <w:rsid w:val="007D5949"/>
    <w:rsid w:val="007D595A"/>
    <w:rsid w:val="007D59A6"/>
    <w:rsid w:val="007D5AF9"/>
    <w:rsid w:val="007D5C67"/>
    <w:rsid w:val="007D6199"/>
    <w:rsid w:val="007D6224"/>
    <w:rsid w:val="007D624D"/>
    <w:rsid w:val="007D6400"/>
    <w:rsid w:val="007D65BA"/>
    <w:rsid w:val="007D6695"/>
    <w:rsid w:val="007D678C"/>
    <w:rsid w:val="007D6831"/>
    <w:rsid w:val="007D6890"/>
    <w:rsid w:val="007D6913"/>
    <w:rsid w:val="007D693E"/>
    <w:rsid w:val="007D694B"/>
    <w:rsid w:val="007D696F"/>
    <w:rsid w:val="007D6A73"/>
    <w:rsid w:val="007D6AD9"/>
    <w:rsid w:val="007D6C50"/>
    <w:rsid w:val="007D6D29"/>
    <w:rsid w:val="007D6E0D"/>
    <w:rsid w:val="007D6EAE"/>
    <w:rsid w:val="007D6ECB"/>
    <w:rsid w:val="007D6EDE"/>
    <w:rsid w:val="007D6F8C"/>
    <w:rsid w:val="007D6FFD"/>
    <w:rsid w:val="007D713F"/>
    <w:rsid w:val="007D715E"/>
    <w:rsid w:val="007D7170"/>
    <w:rsid w:val="007D71FA"/>
    <w:rsid w:val="007D72B0"/>
    <w:rsid w:val="007D7442"/>
    <w:rsid w:val="007D7567"/>
    <w:rsid w:val="007D7792"/>
    <w:rsid w:val="007D78D6"/>
    <w:rsid w:val="007D7B87"/>
    <w:rsid w:val="007D7C65"/>
    <w:rsid w:val="007D7EA7"/>
    <w:rsid w:val="007E0014"/>
    <w:rsid w:val="007E001B"/>
    <w:rsid w:val="007E006F"/>
    <w:rsid w:val="007E0120"/>
    <w:rsid w:val="007E0174"/>
    <w:rsid w:val="007E029E"/>
    <w:rsid w:val="007E0439"/>
    <w:rsid w:val="007E0488"/>
    <w:rsid w:val="007E072E"/>
    <w:rsid w:val="007E0784"/>
    <w:rsid w:val="007E0850"/>
    <w:rsid w:val="007E09BF"/>
    <w:rsid w:val="007E0C1C"/>
    <w:rsid w:val="007E0CBF"/>
    <w:rsid w:val="007E0DB6"/>
    <w:rsid w:val="007E0FF5"/>
    <w:rsid w:val="007E126A"/>
    <w:rsid w:val="007E12F8"/>
    <w:rsid w:val="007E1318"/>
    <w:rsid w:val="007E1481"/>
    <w:rsid w:val="007E14E0"/>
    <w:rsid w:val="007E15AD"/>
    <w:rsid w:val="007E1764"/>
    <w:rsid w:val="007E18CF"/>
    <w:rsid w:val="007E198C"/>
    <w:rsid w:val="007E19F8"/>
    <w:rsid w:val="007E1A7C"/>
    <w:rsid w:val="007E1B2E"/>
    <w:rsid w:val="007E1B84"/>
    <w:rsid w:val="007E1C75"/>
    <w:rsid w:val="007E1CFC"/>
    <w:rsid w:val="007E1DD8"/>
    <w:rsid w:val="007E1F34"/>
    <w:rsid w:val="007E2327"/>
    <w:rsid w:val="007E2598"/>
    <w:rsid w:val="007E25ED"/>
    <w:rsid w:val="007E2612"/>
    <w:rsid w:val="007E2625"/>
    <w:rsid w:val="007E26C8"/>
    <w:rsid w:val="007E2722"/>
    <w:rsid w:val="007E27CE"/>
    <w:rsid w:val="007E280B"/>
    <w:rsid w:val="007E2A1D"/>
    <w:rsid w:val="007E2B68"/>
    <w:rsid w:val="007E2BC0"/>
    <w:rsid w:val="007E2C02"/>
    <w:rsid w:val="007E2C7F"/>
    <w:rsid w:val="007E300D"/>
    <w:rsid w:val="007E3164"/>
    <w:rsid w:val="007E3272"/>
    <w:rsid w:val="007E3301"/>
    <w:rsid w:val="007E3678"/>
    <w:rsid w:val="007E3680"/>
    <w:rsid w:val="007E3688"/>
    <w:rsid w:val="007E3F61"/>
    <w:rsid w:val="007E4013"/>
    <w:rsid w:val="007E4051"/>
    <w:rsid w:val="007E40C2"/>
    <w:rsid w:val="007E4212"/>
    <w:rsid w:val="007E4285"/>
    <w:rsid w:val="007E433F"/>
    <w:rsid w:val="007E43DD"/>
    <w:rsid w:val="007E44B9"/>
    <w:rsid w:val="007E45B8"/>
    <w:rsid w:val="007E45D3"/>
    <w:rsid w:val="007E4622"/>
    <w:rsid w:val="007E4838"/>
    <w:rsid w:val="007E484C"/>
    <w:rsid w:val="007E4AD6"/>
    <w:rsid w:val="007E4B23"/>
    <w:rsid w:val="007E4C80"/>
    <w:rsid w:val="007E4CAE"/>
    <w:rsid w:val="007E4D7A"/>
    <w:rsid w:val="007E4EA2"/>
    <w:rsid w:val="007E4F1F"/>
    <w:rsid w:val="007E4F28"/>
    <w:rsid w:val="007E517B"/>
    <w:rsid w:val="007E525B"/>
    <w:rsid w:val="007E52CC"/>
    <w:rsid w:val="007E52D1"/>
    <w:rsid w:val="007E52F0"/>
    <w:rsid w:val="007E534A"/>
    <w:rsid w:val="007E5350"/>
    <w:rsid w:val="007E5449"/>
    <w:rsid w:val="007E5464"/>
    <w:rsid w:val="007E54B4"/>
    <w:rsid w:val="007E5588"/>
    <w:rsid w:val="007E5616"/>
    <w:rsid w:val="007E5D6A"/>
    <w:rsid w:val="007E5E3D"/>
    <w:rsid w:val="007E5EF5"/>
    <w:rsid w:val="007E606D"/>
    <w:rsid w:val="007E6234"/>
    <w:rsid w:val="007E62DB"/>
    <w:rsid w:val="007E633B"/>
    <w:rsid w:val="007E6493"/>
    <w:rsid w:val="007E6564"/>
    <w:rsid w:val="007E6591"/>
    <w:rsid w:val="007E66B1"/>
    <w:rsid w:val="007E676D"/>
    <w:rsid w:val="007E6BCE"/>
    <w:rsid w:val="007E6F2F"/>
    <w:rsid w:val="007E6F48"/>
    <w:rsid w:val="007E70C2"/>
    <w:rsid w:val="007E723C"/>
    <w:rsid w:val="007E72C9"/>
    <w:rsid w:val="007E72D1"/>
    <w:rsid w:val="007E7303"/>
    <w:rsid w:val="007E7332"/>
    <w:rsid w:val="007E740A"/>
    <w:rsid w:val="007E74FB"/>
    <w:rsid w:val="007E75F5"/>
    <w:rsid w:val="007E7603"/>
    <w:rsid w:val="007E796D"/>
    <w:rsid w:val="007E7A44"/>
    <w:rsid w:val="007E7D08"/>
    <w:rsid w:val="007F0152"/>
    <w:rsid w:val="007F0249"/>
    <w:rsid w:val="007F02BD"/>
    <w:rsid w:val="007F02D2"/>
    <w:rsid w:val="007F036D"/>
    <w:rsid w:val="007F0851"/>
    <w:rsid w:val="007F0869"/>
    <w:rsid w:val="007F096A"/>
    <w:rsid w:val="007F0A26"/>
    <w:rsid w:val="007F0BCF"/>
    <w:rsid w:val="007F0D2A"/>
    <w:rsid w:val="007F120C"/>
    <w:rsid w:val="007F1210"/>
    <w:rsid w:val="007F1268"/>
    <w:rsid w:val="007F1342"/>
    <w:rsid w:val="007F1483"/>
    <w:rsid w:val="007F14FA"/>
    <w:rsid w:val="007F1655"/>
    <w:rsid w:val="007F1666"/>
    <w:rsid w:val="007F193A"/>
    <w:rsid w:val="007F1E93"/>
    <w:rsid w:val="007F1F2B"/>
    <w:rsid w:val="007F1F5D"/>
    <w:rsid w:val="007F2104"/>
    <w:rsid w:val="007F2222"/>
    <w:rsid w:val="007F23B7"/>
    <w:rsid w:val="007F269A"/>
    <w:rsid w:val="007F269D"/>
    <w:rsid w:val="007F2711"/>
    <w:rsid w:val="007F272F"/>
    <w:rsid w:val="007F277D"/>
    <w:rsid w:val="007F3030"/>
    <w:rsid w:val="007F30D0"/>
    <w:rsid w:val="007F33F6"/>
    <w:rsid w:val="007F341D"/>
    <w:rsid w:val="007F3433"/>
    <w:rsid w:val="007F354F"/>
    <w:rsid w:val="007F3574"/>
    <w:rsid w:val="007F364B"/>
    <w:rsid w:val="007F3705"/>
    <w:rsid w:val="007F3877"/>
    <w:rsid w:val="007F387E"/>
    <w:rsid w:val="007F39E3"/>
    <w:rsid w:val="007F3AF5"/>
    <w:rsid w:val="007F3B72"/>
    <w:rsid w:val="007F3BB4"/>
    <w:rsid w:val="007F3C96"/>
    <w:rsid w:val="007F3CC1"/>
    <w:rsid w:val="007F3E4C"/>
    <w:rsid w:val="007F3F87"/>
    <w:rsid w:val="007F3FC9"/>
    <w:rsid w:val="007F4056"/>
    <w:rsid w:val="007F44E3"/>
    <w:rsid w:val="007F45A9"/>
    <w:rsid w:val="007F466C"/>
    <w:rsid w:val="007F46C9"/>
    <w:rsid w:val="007F47EA"/>
    <w:rsid w:val="007F4875"/>
    <w:rsid w:val="007F4A24"/>
    <w:rsid w:val="007F4AC4"/>
    <w:rsid w:val="007F4ACE"/>
    <w:rsid w:val="007F4B16"/>
    <w:rsid w:val="007F4C88"/>
    <w:rsid w:val="007F4EC4"/>
    <w:rsid w:val="007F4F4F"/>
    <w:rsid w:val="007F5086"/>
    <w:rsid w:val="007F50D7"/>
    <w:rsid w:val="007F5292"/>
    <w:rsid w:val="007F5372"/>
    <w:rsid w:val="007F5445"/>
    <w:rsid w:val="007F5619"/>
    <w:rsid w:val="007F5716"/>
    <w:rsid w:val="007F5760"/>
    <w:rsid w:val="007F586D"/>
    <w:rsid w:val="007F58E1"/>
    <w:rsid w:val="007F5930"/>
    <w:rsid w:val="007F5A2D"/>
    <w:rsid w:val="007F5C8E"/>
    <w:rsid w:val="007F5EC6"/>
    <w:rsid w:val="007F5EDB"/>
    <w:rsid w:val="007F5FFB"/>
    <w:rsid w:val="007F6083"/>
    <w:rsid w:val="007F66F0"/>
    <w:rsid w:val="007F67C4"/>
    <w:rsid w:val="007F67E9"/>
    <w:rsid w:val="007F67EA"/>
    <w:rsid w:val="007F6832"/>
    <w:rsid w:val="007F6C7A"/>
    <w:rsid w:val="007F6EBC"/>
    <w:rsid w:val="007F6F22"/>
    <w:rsid w:val="007F702A"/>
    <w:rsid w:val="007F711A"/>
    <w:rsid w:val="007F748C"/>
    <w:rsid w:val="007F769A"/>
    <w:rsid w:val="007F78AC"/>
    <w:rsid w:val="007F78C0"/>
    <w:rsid w:val="007F7AED"/>
    <w:rsid w:val="007F7C0F"/>
    <w:rsid w:val="007F7C7B"/>
    <w:rsid w:val="007F7F60"/>
    <w:rsid w:val="007F7F8F"/>
    <w:rsid w:val="00800052"/>
    <w:rsid w:val="008000E0"/>
    <w:rsid w:val="00800200"/>
    <w:rsid w:val="008003A2"/>
    <w:rsid w:val="00800636"/>
    <w:rsid w:val="00800645"/>
    <w:rsid w:val="008006BC"/>
    <w:rsid w:val="0080093F"/>
    <w:rsid w:val="00800998"/>
    <w:rsid w:val="00800BFD"/>
    <w:rsid w:val="00800D23"/>
    <w:rsid w:val="00800E31"/>
    <w:rsid w:val="00800F7A"/>
    <w:rsid w:val="008010D8"/>
    <w:rsid w:val="00801145"/>
    <w:rsid w:val="00801152"/>
    <w:rsid w:val="008015D0"/>
    <w:rsid w:val="00801611"/>
    <w:rsid w:val="008016CD"/>
    <w:rsid w:val="0080179D"/>
    <w:rsid w:val="008018F9"/>
    <w:rsid w:val="0080194A"/>
    <w:rsid w:val="00801B49"/>
    <w:rsid w:val="00801CCE"/>
    <w:rsid w:val="00801D0D"/>
    <w:rsid w:val="00801D7F"/>
    <w:rsid w:val="00801DFF"/>
    <w:rsid w:val="00801E4B"/>
    <w:rsid w:val="00801FBF"/>
    <w:rsid w:val="00801FE2"/>
    <w:rsid w:val="00802398"/>
    <w:rsid w:val="0080242C"/>
    <w:rsid w:val="008024BA"/>
    <w:rsid w:val="008025D5"/>
    <w:rsid w:val="00802611"/>
    <w:rsid w:val="0080265A"/>
    <w:rsid w:val="00802674"/>
    <w:rsid w:val="008027D1"/>
    <w:rsid w:val="00802ABB"/>
    <w:rsid w:val="00802B28"/>
    <w:rsid w:val="00802C2B"/>
    <w:rsid w:val="00802E17"/>
    <w:rsid w:val="008030CB"/>
    <w:rsid w:val="0080318D"/>
    <w:rsid w:val="008032D4"/>
    <w:rsid w:val="008032D5"/>
    <w:rsid w:val="008033C0"/>
    <w:rsid w:val="008033FF"/>
    <w:rsid w:val="0080344D"/>
    <w:rsid w:val="00803465"/>
    <w:rsid w:val="0080348E"/>
    <w:rsid w:val="0080355F"/>
    <w:rsid w:val="008035C2"/>
    <w:rsid w:val="00803775"/>
    <w:rsid w:val="00803996"/>
    <w:rsid w:val="008039ED"/>
    <w:rsid w:val="00803B3E"/>
    <w:rsid w:val="00803C1F"/>
    <w:rsid w:val="00803CA0"/>
    <w:rsid w:val="00803CED"/>
    <w:rsid w:val="00803D6F"/>
    <w:rsid w:val="00803DBB"/>
    <w:rsid w:val="00803DE6"/>
    <w:rsid w:val="0080400C"/>
    <w:rsid w:val="008040A2"/>
    <w:rsid w:val="00804343"/>
    <w:rsid w:val="00804462"/>
    <w:rsid w:val="00804632"/>
    <w:rsid w:val="008046A2"/>
    <w:rsid w:val="00804AD6"/>
    <w:rsid w:val="00804AE3"/>
    <w:rsid w:val="00804BA7"/>
    <w:rsid w:val="00804BDF"/>
    <w:rsid w:val="00804C49"/>
    <w:rsid w:val="00804D4F"/>
    <w:rsid w:val="00804F33"/>
    <w:rsid w:val="008051B6"/>
    <w:rsid w:val="0080541B"/>
    <w:rsid w:val="00805442"/>
    <w:rsid w:val="00805480"/>
    <w:rsid w:val="008054D9"/>
    <w:rsid w:val="0080550A"/>
    <w:rsid w:val="0080573A"/>
    <w:rsid w:val="008058BD"/>
    <w:rsid w:val="00805B0D"/>
    <w:rsid w:val="00805C5B"/>
    <w:rsid w:val="00805D18"/>
    <w:rsid w:val="00805DC3"/>
    <w:rsid w:val="00806089"/>
    <w:rsid w:val="008061E8"/>
    <w:rsid w:val="0080623C"/>
    <w:rsid w:val="0080635A"/>
    <w:rsid w:val="0080641C"/>
    <w:rsid w:val="008064E7"/>
    <w:rsid w:val="0080651A"/>
    <w:rsid w:val="00806688"/>
    <w:rsid w:val="008066EB"/>
    <w:rsid w:val="00806740"/>
    <w:rsid w:val="00806749"/>
    <w:rsid w:val="0080687E"/>
    <w:rsid w:val="008068B9"/>
    <w:rsid w:val="00806917"/>
    <w:rsid w:val="008069D1"/>
    <w:rsid w:val="00806A16"/>
    <w:rsid w:val="00806A1C"/>
    <w:rsid w:val="00806AD7"/>
    <w:rsid w:val="00806B79"/>
    <w:rsid w:val="00806F47"/>
    <w:rsid w:val="008071FC"/>
    <w:rsid w:val="00807233"/>
    <w:rsid w:val="008072CD"/>
    <w:rsid w:val="0080753D"/>
    <w:rsid w:val="0080757E"/>
    <w:rsid w:val="008076DA"/>
    <w:rsid w:val="00807721"/>
    <w:rsid w:val="00807A3E"/>
    <w:rsid w:val="00807A93"/>
    <w:rsid w:val="00807B36"/>
    <w:rsid w:val="00807D9A"/>
    <w:rsid w:val="00810036"/>
    <w:rsid w:val="0081014C"/>
    <w:rsid w:val="00810158"/>
    <w:rsid w:val="00810221"/>
    <w:rsid w:val="00810338"/>
    <w:rsid w:val="00810553"/>
    <w:rsid w:val="0081060B"/>
    <w:rsid w:val="008106CC"/>
    <w:rsid w:val="0081076F"/>
    <w:rsid w:val="00810783"/>
    <w:rsid w:val="008109A0"/>
    <w:rsid w:val="00810A66"/>
    <w:rsid w:val="00810B80"/>
    <w:rsid w:val="00810BF1"/>
    <w:rsid w:val="00810D32"/>
    <w:rsid w:val="00810DF1"/>
    <w:rsid w:val="00810E74"/>
    <w:rsid w:val="00810F5B"/>
    <w:rsid w:val="008110D9"/>
    <w:rsid w:val="0081144E"/>
    <w:rsid w:val="00811638"/>
    <w:rsid w:val="00811789"/>
    <w:rsid w:val="00811810"/>
    <w:rsid w:val="00811BB6"/>
    <w:rsid w:val="00811D0F"/>
    <w:rsid w:val="00811D3F"/>
    <w:rsid w:val="00811F44"/>
    <w:rsid w:val="00812282"/>
    <w:rsid w:val="008124F6"/>
    <w:rsid w:val="00812527"/>
    <w:rsid w:val="008125C1"/>
    <w:rsid w:val="00812805"/>
    <w:rsid w:val="00812B27"/>
    <w:rsid w:val="00812B5A"/>
    <w:rsid w:val="00812CA4"/>
    <w:rsid w:val="00812CE4"/>
    <w:rsid w:val="00812DFA"/>
    <w:rsid w:val="00812E45"/>
    <w:rsid w:val="00812E63"/>
    <w:rsid w:val="00812FB8"/>
    <w:rsid w:val="00813145"/>
    <w:rsid w:val="00813363"/>
    <w:rsid w:val="00813466"/>
    <w:rsid w:val="00813471"/>
    <w:rsid w:val="0081364E"/>
    <w:rsid w:val="0081399D"/>
    <w:rsid w:val="00813A2A"/>
    <w:rsid w:val="00813AF9"/>
    <w:rsid w:val="00813B6A"/>
    <w:rsid w:val="00813CBE"/>
    <w:rsid w:val="00813D3D"/>
    <w:rsid w:val="00813F00"/>
    <w:rsid w:val="00813F58"/>
    <w:rsid w:val="00813FCE"/>
    <w:rsid w:val="0081402D"/>
    <w:rsid w:val="00814295"/>
    <w:rsid w:val="008148E4"/>
    <w:rsid w:val="008149FA"/>
    <w:rsid w:val="008149FE"/>
    <w:rsid w:val="00814B67"/>
    <w:rsid w:val="00814BC1"/>
    <w:rsid w:val="00814C61"/>
    <w:rsid w:val="00814CC1"/>
    <w:rsid w:val="00814D20"/>
    <w:rsid w:val="00814FD2"/>
    <w:rsid w:val="008150A9"/>
    <w:rsid w:val="008150D3"/>
    <w:rsid w:val="008150E1"/>
    <w:rsid w:val="0081517A"/>
    <w:rsid w:val="008151D0"/>
    <w:rsid w:val="008152C8"/>
    <w:rsid w:val="008153E7"/>
    <w:rsid w:val="0081559B"/>
    <w:rsid w:val="0081569E"/>
    <w:rsid w:val="00815770"/>
    <w:rsid w:val="008157F1"/>
    <w:rsid w:val="0081588E"/>
    <w:rsid w:val="008158F3"/>
    <w:rsid w:val="0081592D"/>
    <w:rsid w:val="00815AAF"/>
    <w:rsid w:val="00815B7A"/>
    <w:rsid w:val="00815BD3"/>
    <w:rsid w:val="00815DBB"/>
    <w:rsid w:val="00815F86"/>
    <w:rsid w:val="008161AA"/>
    <w:rsid w:val="0081625B"/>
    <w:rsid w:val="00816456"/>
    <w:rsid w:val="008168FC"/>
    <w:rsid w:val="00816C1F"/>
    <w:rsid w:val="00816C5A"/>
    <w:rsid w:val="00816E3A"/>
    <w:rsid w:val="00816EA3"/>
    <w:rsid w:val="00816EC2"/>
    <w:rsid w:val="00816F24"/>
    <w:rsid w:val="00816F5F"/>
    <w:rsid w:val="008170B1"/>
    <w:rsid w:val="00817136"/>
    <w:rsid w:val="00817296"/>
    <w:rsid w:val="0081734C"/>
    <w:rsid w:val="00817577"/>
    <w:rsid w:val="00817672"/>
    <w:rsid w:val="00817686"/>
    <w:rsid w:val="008179D7"/>
    <w:rsid w:val="0082006E"/>
    <w:rsid w:val="00820206"/>
    <w:rsid w:val="0082028E"/>
    <w:rsid w:val="008203B8"/>
    <w:rsid w:val="00820476"/>
    <w:rsid w:val="00820626"/>
    <w:rsid w:val="008208C5"/>
    <w:rsid w:val="008208D1"/>
    <w:rsid w:val="00820918"/>
    <w:rsid w:val="0082095C"/>
    <w:rsid w:val="00820974"/>
    <w:rsid w:val="00820C5D"/>
    <w:rsid w:val="00820C8F"/>
    <w:rsid w:val="00820C9E"/>
    <w:rsid w:val="00820E6F"/>
    <w:rsid w:val="00820EB6"/>
    <w:rsid w:val="00820F0D"/>
    <w:rsid w:val="00821051"/>
    <w:rsid w:val="008215A4"/>
    <w:rsid w:val="008216AB"/>
    <w:rsid w:val="0082193C"/>
    <w:rsid w:val="00821944"/>
    <w:rsid w:val="00821977"/>
    <w:rsid w:val="008219C7"/>
    <w:rsid w:val="00821B74"/>
    <w:rsid w:val="00821C3B"/>
    <w:rsid w:val="00821DC9"/>
    <w:rsid w:val="00822010"/>
    <w:rsid w:val="008222AB"/>
    <w:rsid w:val="008223AB"/>
    <w:rsid w:val="008223C1"/>
    <w:rsid w:val="00822567"/>
    <w:rsid w:val="00822577"/>
    <w:rsid w:val="0082267F"/>
    <w:rsid w:val="00822AB4"/>
    <w:rsid w:val="00822C5A"/>
    <w:rsid w:val="00823249"/>
    <w:rsid w:val="00823360"/>
    <w:rsid w:val="008233A8"/>
    <w:rsid w:val="008235E3"/>
    <w:rsid w:val="008236E1"/>
    <w:rsid w:val="0082377C"/>
    <w:rsid w:val="0082381C"/>
    <w:rsid w:val="00823890"/>
    <w:rsid w:val="008238DE"/>
    <w:rsid w:val="00823933"/>
    <w:rsid w:val="00823966"/>
    <w:rsid w:val="008239DD"/>
    <w:rsid w:val="00823B85"/>
    <w:rsid w:val="00823C0C"/>
    <w:rsid w:val="00823EE2"/>
    <w:rsid w:val="00823F45"/>
    <w:rsid w:val="00823FD6"/>
    <w:rsid w:val="00824099"/>
    <w:rsid w:val="008240BE"/>
    <w:rsid w:val="0082414F"/>
    <w:rsid w:val="008241FE"/>
    <w:rsid w:val="00824216"/>
    <w:rsid w:val="00824262"/>
    <w:rsid w:val="00824322"/>
    <w:rsid w:val="0082436A"/>
    <w:rsid w:val="008243F2"/>
    <w:rsid w:val="00824458"/>
    <w:rsid w:val="00824587"/>
    <w:rsid w:val="008245E5"/>
    <w:rsid w:val="0082469B"/>
    <w:rsid w:val="00824705"/>
    <w:rsid w:val="0082473E"/>
    <w:rsid w:val="00824942"/>
    <w:rsid w:val="008249F7"/>
    <w:rsid w:val="00824B74"/>
    <w:rsid w:val="00824BE2"/>
    <w:rsid w:val="00824EBE"/>
    <w:rsid w:val="00824FF6"/>
    <w:rsid w:val="00825078"/>
    <w:rsid w:val="008250E4"/>
    <w:rsid w:val="008250EE"/>
    <w:rsid w:val="00825183"/>
    <w:rsid w:val="008252A8"/>
    <w:rsid w:val="0082537C"/>
    <w:rsid w:val="0082539F"/>
    <w:rsid w:val="0082559E"/>
    <w:rsid w:val="008255A2"/>
    <w:rsid w:val="008256BE"/>
    <w:rsid w:val="00825712"/>
    <w:rsid w:val="00825D23"/>
    <w:rsid w:val="00825DAF"/>
    <w:rsid w:val="00825DDC"/>
    <w:rsid w:val="00825E02"/>
    <w:rsid w:val="00825F73"/>
    <w:rsid w:val="008260BF"/>
    <w:rsid w:val="00826125"/>
    <w:rsid w:val="00826213"/>
    <w:rsid w:val="00826276"/>
    <w:rsid w:val="0082642C"/>
    <w:rsid w:val="0082669E"/>
    <w:rsid w:val="00826842"/>
    <w:rsid w:val="008269C5"/>
    <w:rsid w:val="008269FF"/>
    <w:rsid w:val="00826A08"/>
    <w:rsid w:val="00826A60"/>
    <w:rsid w:val="00826B2B"/>
    <w:rsid w:val="00826B9B"/>
    <w:rsid w:val="00826C8F"/>
    <w:rsid w:val="00826D94"/>
    <w:rsid w:val="00827027"/>
    <w:rsid w:val="00827091"/>
    <w:rsid w:val="0082727F"/>
    <w:rsid w:val="00827447"/>
    <w:rsid w:val="00827637"/>
    <w:rsid w:val="008276E6"/>
    <w:rsid w:val="008277BD"/>
    <w:rsid w:val="008277F4"/>
    <w:rsid w:val="00827938"/>
    <w:rsid w:val="0082796B"/>
    <w:rsid w:val="00827B98"/>
    <w:rsid w:val="00827E0D"/>
    <w:rsid w:val="00827E14"/>
    <w:rsid w:val="00827FF0"/>
    <w:rsid w:val="008300B7"/>
    <w:rsid w:val="0083011A"/>
    <w:rsid w:val="008301A3"/>
    <w:rsid w:val="00830434"/>
    <w:rsid w:val="00830714"/>
    <w:rsid w:val="00830746"/>
    <w:rsid w:val="008307E3"/>
    <w:rsid w:val="008309D1"/>
    <w:rsid w:val="00830A77"/>
    <w:rsid w:val="00830B51"/>
    <w:rsid w:val="00830C3A"/>
    <w:rsid w:val="00830CAD"/>
    <w:rsid w:val="00830F01"/>
    <w:rsid w:val="00831333"/>
    <w:rsid w:val="00831454"/>
    <w:rsid w:val="00831456"/>
    <w:rsid w:val="008315AF"/>
    <w:rsid w:val="0083186D"/>
    <w:rsid w:val="008318DD"/>
    <w:rsid w:val="008319F8"/>
    <w:rsid w:val="00831A5D"/>
    <w:rsid w:val="00831BE8"/>
    <w:rsid w:val="00831CD5"/>
    <w:rsid w:val="00831D09"/>
    <w:rsid w:val="00831D3B"/>
    <w:rsid w:val="00831EC2"/>
    <w:rsid w:val="00831F50"/>
    <w:rsid w:val="00831FBE"/>
    <w:rsid w:val="00831FCD"/>
    <w:rsid w:val="0083203C"/>
    <w:rsid w:val="0083207D"/>
    <w:rsid w:val="008323C1"/>
    <w:rsid w:val="008324E6"/>
    <w:rsid w:val="00832571"/>
    <w:rsid w:val="00832573"/>
    <w:rsid w:val="00832865"/>
    <w:rsid w:val="0083299D"/>
    <w:rsid w:val="00832C73"/>
    <w:rsid w:val="0083315F"/>
    <w:rsid w:val="00833246"/>
    <w:rsid w:val="00833485"/>
    <w:rsid w:val="00833630"/>
    <w:rsid w:val="00833AB9"/>
    <w:rsid w:val="00833B6C"/>
    <w:rsid w:val="00833CAC"/>
    <w:rsid w:val="00833D44"/>
    <w:rsid w:val="00833F67"/>
    <w:rsid w:val="00833F74"/>
    <w:rsid w:val="008340DA"/>
    <w:rsid w:val="008341B8"/>
    <w:rsid w:val="008342E6"/>
    <w:rsid w:val="00834446"/>
    <w:rsid w:val="00834533"/>
    <w:rsid w:val="00834764"/>
    <w:rsid w:val="008347A6"/>
    <w:rsid w:val="00834808"/>
    <w:rsid w:val="00834873"/>
    <w:rsid w:val="00834913"/>
    <w:rsid w:val="00834B42"/>
    <w:rsid w:val="00834C19"/>
    <w:rsid w:val="00834D59"/>
    <w:rsid w:val="00834E5F"/>
    <w:rsid w:val="008350E5"/>
    <w:rsid w:val="00835126"/>
    <w:rsid w:val="00835345"/>
    <w:rsid w:val="0083537D"/>
    <w:rsid w:val="00835390"/>
    <w:rsid w:val="008353E9"/>
    <w:rsid w:val="00835824"/>
    <w:rsid w:val="008359D8"/>
    <w:rsid w:val="00835A23"/>
    <w:rsid w:val="00835C76"/>
    <w:rsid w:val="00835D30"/>
    <w:rsid w:val="00835EC9"/>
    <w:rsid w:val="00836051"/>
    <w:rsid w:val="00836109"/>
    <w:rsid w:val="0083639A"/>
    <w:rsid w:val="0083653B"/>
    <w:rsid w:val="00836645"/>
    <w:rsid w:val="008368B9"/>
    <w:rsid w:val="0083692C"/>
    <w:rsid w:val="00836A3C"/>
    <w:rsid w:val="00836A47"/>
    <w:rsid w:val="00836C9D"/>
    <w:rsid w:val="00836F19"/>
    <w:rsid w:val="0083701B"/>
    <w:rsid w:val="008370D8"/>
    <w:rsid w:val="00837177"/>
    <w:rsid w:val="008372ED"/>
    <w:rsid w:val="0083730D"/>
    <w:rsid w:val="0083765E"/>
    <w:rsid w:val="00837731"/>
    <w:rsid w:val="008378BF"/>
    <w:rsid w:val="00837978"/>
    <w:rsid w:val="00837A99"/>
    <w:rsid w:val="00837BD4"/>
    <w:rsid w:val="00837C1F"/>
    <w:rsid w:val="00837C4C"/>
    <w:rsid w:val="00837CE8"/>
    <w:rsid w:val="00837DE7"/>
    <w:rsid w:val="00837E4A"/>
    <w:rsid w:val="00837FC4"/>
    <w:rsid w:val="00840115"/>
    <w:rsid w:val="00840183"/>
    <w:rsid w:val="008402EC"/>
    <w:rsid w:val="00840321"/>
    <w:rsid w:val="008404A3"/>
    <w:rsid w:val="0084084E"/>
    <w:rsid w:val="0084089F"/>
    <w:rsid w:val="0084097F"/>
    <w:rsid w:val="00840AC8"/>
    <w:rsid w:val="00841244"/>
    <w:rsid w:val="00841250"/>
    <w:rsid w:val="0084129E"/>
    <w:rsid w:val="00841388"/>
    <w:rsid w:val="0084152D"/>
    <w:rsid w:val="0084153B"/>
    <w:rsid w:val="008416FB"/>
    <w:rsid w:val="00841821"/>
    <w:rsid w:val="0084182E"/>
    <w:rsid w:val="00841991"/>
    <w:rsid w:val="00841A37"/>
    <w:rsid w:val="00841A75"/>
    <w:rsid w:val="00841CFC"/>
    <w:rsid w:val="00841E52"/>
    <w:rsid w:val="00841EF1"/>
    <w:rsid w:val="00841EFB"/>
    <w:rsid w:val="00841F44"/>
    <w:rsid w:val="00841F9A"/>
    <w:rsid w:val="008421AF"/>
    <w:rsid w:val="00842340"/>
    <w:rsid w:val="00842A51"/>
    <w:rsid w:val="00842BA9"/>
    <w:rsid w:val="00842C82"/>
    <w:rsid w:val="00842D43"/>
    <w:rsid w:val="00842E9D"/>
    <w:rsid w:val="008430FC"/>
    <w:rsid w:val="0084315A"/>
    <w:rsid w:val="00843212"/>
    <w:rsid w:val="008432AF"/>
    <w:rsid w:val="008432E4"/>
    <w:rsid w:val="008432F2"/>
    <w:rsid w:val="00843602"/>
    <w:rsid w:val="00843613"/>
    <w:rsid w:val="0084367A"/>
    <w:rsid w:val="00843692"/>
    <w:rsid w:val="008436D7"/>
    <w:rsid w:val="00843786"/>
    <w:rsid w:val="00843885"/>
    <w:rsid w:val="00843A60"/>
    <w:rsid w:val="00843CE5"/>
    <w:rsid w:val="00843EF5"/>
    <w:rsid w:val="00843FB2"/>
    <w:rsid w:val="0084403D"/>
    <w:rsid w:val="00844081"/>
    <w:rsid w:val="008440FE"/>
    <w:rsid w:val="008441BB"/>
    <w:rsid w:val="008441E3"/>
    <w:rsid w:val="00844371"/>
    <w:rsid w:val="008443A7"/>
    <w:rsid w:val="0084455A"/>
    <w:rsid w:val="0084458F"/>
    <w:rsid w:val="0084463E"/>
    <w:rsid w:val="00844644"/>
    <w:rsid w:val="00844829"/>
    <w:rsid w:val="00844AE5"/>
    <w:rsid w:val="00844D38"/>
    <w:rsid w:val="00844D6D"/>
    <w:rsid w:val="00844E00"/>
    <w:rsid w:val="00844F48"/>
    <w:rsid w:val="0084502D"/>
    <w:rsid w:val="008450C0"/>
    <w:rsid w:val="008451A8"/>
    <w:rsid w:val="008452E9"/>
    <w:rsid w:val="0084536A"/>
    <w:rsid w:val="008453D3"/>
    <w:rsid w:val="008454AE"/>
    <w:rsid w:val="008456A9"/>
    <w:rsid w:val="008458A9"/>
    <w:rsid w:val="008459A6"/>
    <w:rsid w:val="00845A5D"/>
    <w:rsid w:val="00845A96"/>
    <w:rsid w:val="00845BC0"/>
    <w:rsid w:val="00845BE9"/>
    <w:rsid w:val="00845D90"/>
    <w:rsid w:val="00845F1C"/>
    <w:rsid w:val="00845FF2"/>
    <w:rsid w:val="00846119"/>
    <w:rsid w:val="00846266"/>
    <w:rsid w:val="008463E6"/>
    <w:rsid w:val="0084655A"/>
    <w:rsid w:val="008465D4"/>
    <w:rsid w:val="008468BC"/>
    <w:rsid w:val="00846A9A"/>
    <w:rsid w:val="00846AD2"/>
    <w:rsid w:val="00846E8F"/>
    <w:rsid w:val="00846EF4"/>
    <w:rsid w:val="00847032"/>
    <w:rsid w:val="008470D0"/>
    <w:rsid w:val="00847175"/>
    <w:rsid w:val="0084727E"/>
    <w:rsid w:val="008473B2"/>
    <w:rsid w:val="008474E3"/>
    <w:rsid w:val="008478AB"/>
    <w:rsid w:val="008478F8"/>
    <w:rsid w:val="008479E8"/>
    <w:rsid w:val="00847A2A"/>
    <w:rsid w:val="00847A75"/>
    <w:rsid w:val="00847CA8"/>
    <w:rsid w:val="00847EC9"/>
    <w:rsid w:val="00847ED3"/>
    <w:rsid w:val="00850202"/>
    <w:rsid w:val="00850481"/>
    <w:rsid w:val="008504F7"/>
    <w:rsid w:val="00850505"/>
    <w:rsid w:val="008505C1"/>
    <w:rsid w:val="00850652"/>
    <w:rsid w:val="008508D6"/>
    <w:rsid w:val="0085094A"/>
    <w:rsid w:val="00850988"/>
    <w:rsid w:val="00850B97"/>
    <w:rsid w:val="00850CA0"/>
    <w:rsid w:val="00850F8A"/>
    <w:rsid w:val="00851275"/>
    <w:rsid w:val="00851352"/>
    <w:rsid w:val="00851377"/>
    <w:rsid w:val="008513DD"/>
    <w:rsid w:val="00851430"/>
    <w:rsid w:val="0085145E"/>
    <w:rsid w:val="00851794"/>
    <w:rsid w:val="00851A0D"/>
    <w:rsid w:val="00851A0F"/>
    <w:rsid w:val="00851AF6"/>
    <w:rsid w:val="00851B87"/>
    <w:rsid w:val="00851D1B"/>
    <w:rsid w:val="00851ECF"/>
    <w:rsid w:val="00851F46"/>
    <w:rsid w:val="00851F61"/>
    <w:rsid w:val="00851FDA"/>
    <w:rsid w:val="00852174"/>
    <w:rsid w:val="008524DA"/>
    <w:rsid w:val="008524F7"/>
    <w:rsid w:val="00852532"/>
    <w:rsid w:val="00852644"/>
    <w:rsid w:val="008526AF"/>
    <w:rsid w:val="00852723"/>
    <w:rsid w:val="008527ED"/>
    <w:rsid w:val="00852904"/>
    <w:rsid w:val="00852933"/>
    <w:rsid w:val="0085299E"/>
    <w:rsid w:val="00852AB2"/>
    <w:rsid w:val="00852BC0"/>
    <w:rsid w:val="00852CBF"/>
    <w:rsid w:val="00852CCA"/>
    <w:rsid w:val="00852F68"/>
    <w:rsid w:val="00852F9D"/>
    <w:rsid w:val="00853088"/>
    <w:rsid w:val="008530A1"/>
    <w:rsid w:val="008530F3"/>
    <w:rsid w:val="00853114"/>
    <w:rsid w:val="00853172"/>
    <w:rsid w:val="0085323E"/>
    <w:rsid w:val="00853286"/>
    <w:rsid w:val="0085338D"/>
    <w:rsid w:val="00853466"/>
    <w:rsid w:val="0085352F"/>
    <w:rsid w:val="008535CE"/>
    <w:rsid w:val="008535EE"/>
    <w:rsid w:val="008535F6"/>
    <w:rsid w:val="008536BC"/>
    <w:rsid w:val="008536DE"/>
    <w:rsid w:val="008537F7"/>
    <w:rsid w:val="00853878"/>
    <w:rsid w:val="008539F7"/>
    <w:rsid w:val="00853B83"/>
    <w:rsid w:val="00853BBF"/>
    <w:rsid w:val="00853BE1"/>
    <w:rsid w:val="00853DA5"/>
    <w:rsid w:val="008540BD"/>
    <w:rsid w:val="00854255"/>
    <w:rsid w:val="00854649"/>
    <w:rsid w:val="008546BE"/>
    <w:rsid w:val="008546E2"/>
    <w:rsid w:val="008546E6"/>
    <w:rsid w:val="0085494D"/>
    <w:rsid w:val="00854C04"/>
    <w:rsid w:val="00854C7B"/>
    <w:rsid w:val="00854E99"/>
    <w:rsid w:val="00855091"/>
    <w:rsid w:val="008550E2"/>
    <w:rsid w:val="008551EB"/>
    <w:rsid w:val="0085533E"/>
    <w:rsid w:val="00855616"/>
    <w:rsid w:val="00855641"/>
    <w:rsid w:val="008557BD"/>
    <w:rsid w:val="00855A79"/>
    <w:rsid w:val="00855C32"/>
    <w:rsid w:val="00855DF0"/>
    <w:rsid w:val="00855F15"/>
    <w:rsid w:val="00855F41"/>
    <w:rsid w:val="00856074"/>
    <w:rsid w:val="008562ED"/>
    <w:rsid w:val="00856533"/>
    <w:rsid w:val="00856A47"/>
    <w:rsid w:val="00856A50"/>
    <w:rsid w:val="00856D30"/>
    <w:rsid w:val="00856D6F"/>
    <w:rsid w:val="00856E8F"/>
    <w:rsid w:val="00857010"/>
    <w:rsid w:val="0085732C"/>
    <w:rsid w:val="008573D2"/>
    <w:rsid w:val="008573F4"/>
    <w:rsid w:val="008574E5"/>
    <w:rsid w:val="008576FD"/>
    <w:rsid w:val="00857757"/>
    <w:rsid w:val="00857796"/>
    <w:rsid w:val="00857863"/>
    <w:rsid w:val="008578FB"/>
    <w:rsid w:val="00857949"/>
    <w:rsid w:val="00857A52"/>
    <w:rsid w:val="00857A76"/>
    <w:rsid w:val="00857C06"/>
    <w:rsid w:val="00857D55"/>
    <w:rsid w:val="00857D9B"/>
    <w:rsid w:val="00857DD8"/>
    <w:rsid w:val="00857DF3"/>
    <w:rsid w:val="00857F76"/>
    <w:rsid w:val="00860098"/>
    <w:rsid w:val="0086014B"/>
    <w:rsid w:val="008601AF"/>
    <w:rsid w:val="00860314"/>
    <w:rsid w:val="0086064F"/>
    <w:rsid w:val="00860659"/>
    <w:rsid w:val="00860BBD"/>
    <w:rsid w:val="00860C2D"/>
    <w:rsid w:val="00860C5F"/>
    <w:rsid w:val="00860D2B"/>
    <w:rsid w:val="00860FBF"/>
    <w:rsid w:val="00861052"/>
    <w:rsid w:val="00861092"/>
    <w:rsid w:val="008610F9"/>
    <w:rsid w:val="00861214"/>
    <w:rsid w:val="008613CC"/>
    <w:rsid w:val="00861452"/>
    <w:rsid w:val="0086154F"/>
    <w:rsid w:val="008615A9"/>
    <w:rsid w:val="00861763"/>
    <w:rsid w:val="00861B41"/>
    <w:rsid w:val="00861CB4"/>
    <w:rsid w:val="00861DA0"/>
    <w:rsid w:val="00861DB2"/>
    <w:rsid w:val="00861E00"/>
    <w:rsid w:val="00861EC4"/>
    <w:rsid w:val="00862048"/>
    <w:rsid w:val="008623F6"/>
    <w:rsid w:val="0086247E"/>
    <w:rsid w:val="008625DB"/>
    <w:rsid w:val="0086261E"/>
    <w:rsid w:val="008627C1"/>
    <w:rsid w:val="0086286B"/>
    <w:rsid w:val="00862A46"/>
    <w:rsid w:val="00862B3B"/>
    <w:rsid w:val="00862BB8"/>
    <w:rsid w:val="00862EE6"/>
    <w:rsid w:val="00862FF7"/>
    <w:rsid w:val="00863114"/>
    <w:rsid w:val="00863186"/>
    <w:rsid w:val="0086331A"/>
    <w:rsid w:val="008633E9"/>
    <w:rsid w:val="00863488"/>
    <w:rsid w:val="008634D8"/>
    <w:rsid w:val="008635D9"/>
    <w:rsid w:val="0086374A"/>
    <w:rsid w:val="0086386D"/>
    <w:rsid w:val="00863CFB"/>
    <w:rsid w:val="00864135"/>
    <w:rsid w:val="0086421F"/>
    <w:rsid w:val="00864251"/>
    <w:rsid w:val="008642F5"/>
    <w:rsid w:val="00864508"/>
    <w:rsid w:val="00864637"/>
    <w:rsid w:val="0086464C"/>
    <w:rsid w:val="0086483D"/>
    <w:rsid w:val="0086488D"/>
    <w:rsid w:val="00864957"/>
    <w:rsid w:val="008649B8"/>
    <w:rsid w:val="00864AF9"/>
    <w:rsid w:val="00864BAE"/>
    <w:rsid w:val="00864C93"/>
    <w:rsid w:val="00864DD0"/>
    <w:rsid w:val="00864F1D"/>
    <w:rsid w:val="00864F4E"/>
    <w:rsid w:val="0086508C"/>
    <w:rsid w:val="00865152"/>
    <w:rsid w:val="00865155"/>
    <w:rsid w:val="008652B7"/>
    <w:rsid w:val="00865331"/>
    <w:rsid w:val="00865648"/>
    <w:rsid w:val="0086565A"/>
    <w:rsid w:val="008656F9"/>
    <w:rsid w:val="00865833"/>
    <w:rsid w:val="008658A5"/>
    <w:rsid w:val="008658D1"/>
    <w:rsid w:val="00865BA0"/>
    <w:rsid w:val="00865CC9"/>
    <w:rsid w:val="00865D32"/>
    <w:rsid w:val="00865DD4"/>
    <w:rsid w:val="00865DD9"/>
    <w:rsid w:val="00865FB1"/>
    <w:rsid w:val="00865FE1"/>
    <w:rsid w:val="0086612F"/>
    <w:rsid w:val="008661C2"/>
    <w:rsid w:val="008662DB"/>
    <w:rsid w:val="0086694C"/>
    <w:rsid w:val="00866AB3"/>
    <w:rsid w:val="00866B1C"/>
    <w:rsid w:val="00866B9E"/>
    <w:rsid w:val="00866E2C"/>
    <w:rsid w:val="00866E3F"/>
    <w:rsid w:val="00866E4B"/>
    <w:rsid w:val="00866E95"/>
    <w:rsid w:val="0086712D"/>
    <w:rsid w:val="00867147"/>
    <w:rsid w:val="008671DC"/>
    <w:rsid w:val="008677C6"/>
    <w:rsid w:val="0086783F"/>
    <w:rsid w:val="0086795A"/>
    <w:rsid w:val="008679D8"/>
    <w:rsid w:val="00867ABA"/>
    <w:rsid w:val="00867B18"/>
    <w:rsid w:val="00867D2F"/>
    <w:rsid w:val="00867E58"/>
    <w:rsid w:val="0087001D"/>
    <w:rsid w:val="008705B4"/>
    <w:rsid w:val="0087067B"/>
    <w:rsid w:val="0087067C"/>
    <w:rsid w:val="008707B7"/>
    <w:rsid w:val="008708A9"/>
    <w:rsid w:val="00870AB4"/>
    <w:rsid w:val="00870B54"/>
    <w:rsid w:val="00870C66"/>
    <w:rsid w:val="00870C8D"/>
    <w:rsid w:val="00870CAF"/>
    <w:rsid w:val="00870CFE"/>
    <w:rsid w:val="00870D1B"/>
    <w:rsid w:val="00870E59"/>
    <w:rsid w:val="0087104A"/>
    <w:rsid w:val="008711B8"/>
    <w:rsid w:val="008712C6"/>
    <w:rsid w:val="008713FE"/>
    <w:rsid w:val="008714B2"/>
    <w:rsid w:val="008715E1"/>
    <w:rsid w:val="008716A5"/>
    <w:rsid w:val="008716D7"/>
    <w:rsid w:val="008716DE"/>
    <w:rsid w:val="00871729"/>
    <w:rsid w:val="00871870"/>
    <w:rsid w:val="00871A36"/>
    <w:rsid w:val="00871BE5"/>
    <w:rsid w:val="00871BF9"/>
    <w:rsid w:val="00871D14"/>
    <w:rsid w:val="00871F4D"/>
    <w:rsid w:val="0087216E"/>
    <w:rsid w:val="00872293"/>
    <w:rsid w:val="008723D6"/>
    <w:rsid w:val="008723DC"/>
    <w:rsid w:val="00872453"/>
    <w:rsid w:val="008725C3"/>
    <w:rsid w:val="00872655"/>
    <w:rsid w:val="00872696"/>
    <w:rsid w:val="0087277A"/>
    <w:rsid w:val="008727A8"/>
    <w:rsid w:val="00872A47"/>
    <w:rsid w:val="00872CB6"/>
    <w:rsid w:val="00872DC9"/>
    <w:rsid w:val="00872DF7"/>
    <w:rsid w:val="0087316B"/>
    <w:rsid w:val="0087339C"/>
    <w:rsid w:val="00873484"/>
    <w:rsid w:val="008735CC"/>
    <w:rsid w:val="008736E2"/>
    <w:rsid w:val="00873789"/>
    <w:rsid w:val="008738D4"/>
    <w:rsid w:val="008739B5"/>
    <w:rsid w:val="00873A1B"/>
    <w:rsid w:val="00873D20"/>
    <w:rsid w:val="00873D6F"/>
    <w:rsid w:val="00873E86"/>
    <w:rsid w:val="00873EFD"/>
    <w:rsid w:val="00873F5C"/>
    <w:rsid w:val="0087411F"/>
    <w:rsid w:val="00874251"/>
    <w:rsid w:val="008742B1"/>
    <w:rsid w:val="00874432"/>
    <w:rsid w:val="00874565"/>
    <w:rsid w:val="00874597"/>
    <w:rsid w:val="00874638"/>
    <w:rsid w:val="008746E8"/>
    <w:rsid w:val="0087491F"/>
    <w:rsid w:val="008749E7"/>
    <w:rsid w:val="00874A27"/>
    <w:rsid w:val="00874D3F"/>
    <w:rsid w:val="00875069"/>
    <w:rsid w:val="0087521D"/>
    <w:rsid w:val="00875449"/>
    <w:rsid w:val="00875689"/>
    <w:rsid w:val="008759A9"/>
    <w:rsid w:val="00875A1F"/>
    <w:rsid w:val="00875AB3"/>
    <w:rsid w:val="00875DAA"/>
    <w:rsid w:val="00875DBA"/>
    <w:rsid w:val="00875DC1"/>
    <w:rsid w:val="00875FD2"/>
    <w:rsid w:val="00876560"/>
    <w:rsid w:val="008765A6"/>
    <w:rsid w:val="008769CD"/>
    <w:rsid w:val="00876BA8"/>
    <w:rsid w:val="00876CEB"/>
    <w:rsid w:val="00876EE8"/>
    <w:rsid w:val="00876F32"/>
    <w:rsid w:val="00876F9A"/>
    <w:rsid w:val="00876FD8"/>
    <w:rsid w:val="0087700D"/>
    <w:rsid w:val="00877190"/>
    <w:rsid w:val="00877247"/>
    <w:rsid w:val="00877286"/>
    <w:rsid w:val="0087729A"/>
    <w:rsid w:val="008773BA"/>
    <w:rsid w:val="00877509"/>
    <w:rsid w:val="008775E3"/>
    <w:rsid w:val="0087762B"/>
    <w:rsid w:val="0087765D"/>
    <w:rsid w:val="008779F8"/>
    <w:rsid w:val="00877A08"/>
    <w:rsid w:val="00877C26"/>
    <w:rsid w:val="00877CF9"/>
    <w:rsid w:val="00877DAF"/>
    <w:rsid w:val="00877FCE"/>
    <w:rsid w:val="00880000"/>
    <w:rsid w:val="0088000B"/>
    <w:rsid w:val="00880035"/>
    <w:rsid w:val="008800F9"/>
    <w:rsid w:val="008800FB"/>
    <w:rsid w:val="008801AE"/>
    <w:rsid w:val="008803CA"/>
    <w:rsid w:val="00880406"/>
    <w:rsid w:val="0088058B"/>
    <w:rsid w:val="008805A4"/>
    <w:rsid w:val="008806C3"/>
    <w:rsid w:val="008807DF"/>
    <w:rsid w:val="00880833"/>
    <w:rsid w:val="00880A66"/>
    <w:rsid w:val="00880AA3"/>
    <w:rsid w:val="00880AB7"/>
    <w:rsid w:val="00880B40"/>
    <w:rsid w:val="00880C44"/>
    <w:rsid w:val="00880D2C"/>
    <w:rsid w:val="00880D2E"/>
    <w:rsid w:val="00880DA3"/>
    <w:rsid w:val="00880DAC"/>
    <w:rsid w:val="00880E5F"/>
    <w:rsid w:val="00880F46"/>
    <w:rsid w:val="008810C8"/>
    <w:rsid w:val="0088113B"/>
    <w:rsid w:val="00881207"/>
    <w:rsid w:val="008812F7"/>
    <w:rsid w:val="0088132A"/>
    <w:rsid w:val="00881548"/>
    <w:rsid w:val="00881875"/>
    <w:rsid w:val="0088193F"/>
    <w:rsid w:val="00881AD5"/>
    <w:rsid w:val="00881C1A"/>
    <w:rsid w:val="00881C92"/>
    <w:rsid w:val="00881D92"/>
    <w:rsid w:val="00881E18"/>
    <w:rsid w:val="0088205B"/>
    <w:rsid w:val="00882134"/>
    <w:rsid w:val="0088213E"/>
    <w:rsid w:val="0088229B"/>
    <w:rsid w:val="008825F2"/>
    <w:rsid w:val="008826F8"/>
    <w:rsid w:val="008828BC"/>
    <w:rsid w:val="00882927"/>
    <w:rsid w:val="00882A8E"/>
    <w:rsid w:val="00882B0D"/>
    <w:rsid w:val="00882CBA"/>
    <w:rsid w:val="00882D03"/>
    <w:rsid w:val="00882D1F"/>
    <w:rsid w:val="00882E08"/>
    <w:rsid w:val="00883003"/>
    <w:rsid w:val="00883546"/>
    <w:rsid w:val="008835CE"/>
    <w:rsid w:val="008836EF"/>
    <w:rsid w:val="0088372F"/>
    <w:rsid w:val="0088380A"/>
    <w:rsid w:val="00883852"/>
    <w:rsid w:val="00883868"/>
    <w:rsid w:val="00883B70"/>
    <w:rsid w:val="00883C19"/>
    <w:rsid w:val="00884011"/>
    <w:rsid w:val="00884193"/>
    <w:rsid w:val="0088421C"/>
    <w:rsid w:val="008843DC"/>
    <w:rsid w:val="0088442A"/>
    <w:rsid w:val="0088443D"/>
    <w:rsid w:val="0088445B"/>
    <w:rsid w:val="008845E8"/>
    <w:rsid w:val="00884659"/>
    <w:rsid w:val="0088467C"/>
    <w:rsid w:val="008847D9"/>
    <w:rsid w:val="00884820"/>
    <w:rsid w:val="008848D9"/>
    <w:rsid w:val="0088495C"/>
    <w:rsid w:val="00884D68"/>
    <w:rsid w:val="00884FCB"/>
    <w:rsid w:val="008850B2"/>
    <w:rsid w:val="008851A1"/>
    <w:rsid w:val="00885579"/>
    <w:rsid w:val="00885B03"/>
    <w:rsid w:val="00885B33"/>
    <w:rsid w:val="00885B5F"/>
    <w:rsid w:val="00885B9D"/>
    <w:rsid w:val="00885BDE"/>
    <w:rsid w:val="00885CD6"/>
    <w:rsid w:val="00885DDF"/>
    <w:rsid w:val="00885F55"/>
    <w:rsid w:val="00886297"/>
    <w:rsid w:val="008862E0"/>
    <w:rsid w:val="008865AC"/>
    <w:rsid w:val="0088680D"/>
    <w:rsid w:val="00886837"/>
    <w:rsid w:val="008869D6"/>
    <w:rsid w:val="00886A5D"/>
    <w:rsid w:val="00886ADF"/>
    <w:rsid w:val="00886CBC"/>
    <w:rsid w:val="00886D19"/>
    <w:rsid w:val="00886DD0"/>
    <w:rsid w:val="00886F09"/>
    <w:rsid w:val="00886F46"/>
    <w:rsid w:val="00887050"/>
    <w:rsid w:val="00887056"/>
    <w:rsid w:val="008870F4"/>
    <w:rsid w:val="00887114"/>
    <w:rsid w:val="00887258"/>
    <w:rsid w:val="0088729E"/>
    <w:rsid w:val="008872CA"/>
    <w:rsid w:val="00887770"/>
    <w:rsid w:val="00887961"/>
    <w:rsid w:val="00887B61"/>
    <w:rsid w:val="00887C5C"/>
    <w:rsid w:val="00887C6A"/>
    <w:rsid w:val="00887E5A"/>
    <w:rsid w:val="00887F39"/>
    <w:rsid w:val="00890164"/>
    <w:rsid w:val="008903BA"/>
    <w:rsid w:val="008904A5"/>
    <w:rsid w:val="008904F2"/>
    <w:rsid w:val="0089057D"/>
    <w:rsid w:val="00890667"/>
    <w:rsid w:val="0089079D"/>
    <w:rsid w:val="0089099A"/>
    <w:rsid w:val="0089099F"/>
    <w:rsid w:val="00890A3D"/>
    <w:rsid w:val="00890A68"/>
    <w:rsid w:val="00890CB6"/>
    <w:rsid w:val="00890EBF"/>
    <w:rsid w:val="00891021"/>
    <w:rsid w:val="0089114F"/>
    <w:rsid w:val="0089119C"/>
    <w:rsid w:val="00891732"/>
    <w:rsid w:val="008917A6"/>
    <w:rsid w:val="00891A35"/>
    <w:rsid w:val="00891A8B"/>
    <w:rsid w:val="00891AE6"/>
    <w:rsid w:val="00891AF6"/>
    <w:rsid w:val="00891BC3"/>
    <w:rsid w:val="00891C04"/>
    <w:rsid w:val="00891CBF"/>
    <w:rsid w:val="00891CC3"/>
    <w:rsid w:val="00891DD6"/>
    <w:rsid w:val="00892211"/>
    <w:rsid w:val="00892218"/>
    <w:rsid w:val="008923FB"/>
    <w:rsid w:val="008924B9"/>
    <w:rsid w:val="008925BF"/>
    <w:rsid w:val="00892683"/>
    <w:rsid w:val="008926BC"/>
    <w:rsid w:val="00892762"/>
    <w:rsid w:val="00892789"/>
    <w:rsid w:val="0089280A"/>
    <w:rsid w:val="00892892"/>
    <w:rsid w:val="00892932"/>
    <w:rsid w:val="0089294B"/>
    <w:rsid w:val="00892AA6"/>
    <w:rsid w:val="00892ACE"/>
    <w:rsid w:val="00892D03"/>
    <w:rsid w:val="00892D53"/>
    <w:rsid w:val="00892FD3"/>
    <w:rsid w:val="008931FB"/>
    <w:rsid w:val="00893283"/>
    <w:rsid w:val="00893358"/>
    <w:rsid w:val="008935A4"/>
    <w:rsid w:val="008935FC"/>
    <w:rsid w:val="008936D9"/>
    <w:rsid w:val="0089377A"/>
    <w:rsid w:val="008937C8"/>
    <w:rsid w:val="00893887"/>
    <w:rsid w:val="00893ABE"/>
    <w:rsid w:val="00893B48"/>
    <w:rsid w:val="00893BA8"/>
    <w:rsid w:val="00893BC2"/>
    <w:rsid w:val="00893C2C"/>
    <w:rsid w:val="00893C60"/>
    <w:rsid w:val="00893D5D"/>
    <w:rsid w:val="00893E22"/>
    <w:rsid w:val="00893ED5"/>
    <w:rsid w:val="00893EE3"/>
    <w:rsid w:val="00894055"/>
    <w:rsid w:val="00894063"/>
    <w:rsid w:val="008940A6"/>
    <w:rsid w:val="008941FC"/>
    <w:rsid w:val="00894486"/>
    <w:rsid w:val="00894791"/>
    <w:rsid w:val="008948EB"/>
    <w:rsid w:val="0089492B"/>
    <w:rsid w:val="00894A60"/>
    <w:rsid w:val="00894B63"/>
    <w:rsid w:val="00894B72"/>
    <w:rsid w:val="00894E64"/>
    <w:rsid w:val="00895199"/>
    <w:rsid w:val="008951EB"/>
    <w:rsid w:val="00895275"/>
    <w:rsid w:val="008953C2"/>
    <w:rsid w:val="00895438"/>
    <w:rsid w:val="00895513"/>
    <w:rsid w:val="00895745"/>
    <w:rsid w:val="00895747"/>
    <w:rsid w:val="00895832"/>
    <w:rsid w:val="00895B6C"/>
    <w:rsid w:val="00895BE9"/>
    <w:rsid w:val="00895C3C"/>
    <w:rsid w:val="00895D1C"/>
    <w:rsid w:val="00895DC2"/>
    <w:rsid w:val="00895E27"/>
    <w:rsid w:val="008962A8"/>
    <w:rsid w:val="0089633B"/>
    <w:rsid w:val="008963E1"/>
    <w:rsid w:val="0089659C"/>
    <w:rsid w:val="008965BB"/>
    <w:rsid w:val="00896630"/>
    <w:rsid w:val="00896635"/>
    <w:rsid w:val="008967C4"/>
    <w:rsid w:val="00896955"/>
    <w:rsid w:val="00896BA6"/>
    <w:rsid w:val="00896E57"/>
    <w:rsid w:val="00896F5D"/>
    <w:rsid w:val="00896FC4"/>
    <w:rsid w:val="008970B3"/>
    <w:rsid w:val="0089765C"/>
    <w:rsid w:val="00897710"/>
    <w:rsid w:val="008977D9"/>
    <w:rsid w:val="0089798B"/>
    <w:rsid w:val="008979F0"/>
    <w:rsid w:val="00897BCF"/>
    <w:rsid w:val="00897E3B"/>
    <w:rsid w:val="00897F81"/>
    <w:rsid w:val="008A00A0"/>
    <w:rsid w:val="008A00F5"/>
    <w:rsid w:val="008A0102"/>
    <w:rsid w:val="008A0535"/>
    <w:rsid w:val="008A0569"/>
    <w:rsid w:val="008A0812"/>
    <w:rsid w:val="008A0943"/>
    <w:rsid w:val="008A0A94"/>
    <w:rsid w:val="008A0C30"/>
    <w:rsid w:val="008A0CB5"/>
    <w:rsid w:val="008A0D20"/>
    <w:rsid w:val="008A0D2A"/>
    <w:rsid w:val="008A0D92"/>
    <w:rsid w:val="008A0DA3"/>
    <w:rsid w:val="008A0E02"/>
    <w:rsid w:val="008A0E2F"/>
    <w:rsid w:val="008A0E5D"/>
    <w:rsid w:val="008A0E9D"/>
    <w:rsid w:val="008A0EAF"/>
    <w:rsid w:val="008A0F2C"/>
    <w:rsid w:val="008A110B"/>
    <w:rsid w:val="008A1470"/>
    <w:rsid w:val="008A168C"/>
    <w:rsid w:val="008A1693"/>
    <w:rsid w:val="008A1911"/>
    <w:rsid w:val="008A1B88"/>
    <w:rsid w:val="008A1C92"/>
    <w:rsid w:val="008A1CCC"/>
    <w:rsid w:val="008A2041"/>
    <w:rsid w:val="008A2150"/>
    <w:rsid w:val="008A21A2"/>
    <w:rsid w:val="008A21DA"/>
    <w:rsid w:val="008A22B4"/>
    <w:rsid w:val="008A22CB"/>
    <w:rsid w:val="008A24DB"/>
    <w:rsid w:val="008A254F"/>
    <w:rsid w:val="008A2630"/>
    <w:rsid w:val="008A26C6"/>
    <w:rsid w:val="008A2749"/>
    <w:rsid w:val="008A29CA"/>
    <w:rsid w:val="008A2A34"/>
    <w:rsid w:val="008A2A3A"/>
    <w:rsid w:val="008A2A61"/>
    <w:rsid w:val="008A2AED"/>
    <w:rsid w:val="008A2B43"/>
    <w:rsid w:val="008A2BEF"/>
    <w:rsid w:val="008A2EE1"/>
    <w:rsid w:val="008A30E4"/>
    <w:rsid w:val="008A3206"/>
    <w:rsid w:val="008A3211"/>
    <w:rsid w:val="008A3372"/>
    <w:rsid w:val="008A338E"/>
    <w:rsid w:val="008A38CE"/>
    <w:rsid w:val="008A39D8"/>
    <w:rsid w:val="008A3ACC"/>
    <w:rsid w:val="008A3C34"/>
    <w:rsid w:val="008A3CF2"/>
    <w:rsid w:val="008A3D4F"/>
    <w:rsid w:val="008A3DBA"/>
    <w:rsid w:val="008A3E97"/>
    <w:rsid w:val="008A3FE4"/>
    <w:rsid w:val="008A4155"/>
    <w:rsid w:val="008A42B5"/>
    <w:rsid w:val="008A4472"/>
    <w:rsid w:val="008A4567"/>
    <w:rsid w:val="008A45B5"/>
    <w:rsid w:val="008A45FD"/>
    <w:rsid w:val="008A460E"/>
    <w:rsid w:val="008A461E"/>
    <w:rsid w:val="008A4626"/>
    <w:rsid w:val="008A48EC"/>
    <w:rsid w:val="008A4B5C"/>
    <w:rsid w:val="008A4E43"/>
    <w:rsid w:val="008A4F00"/>
    <w:rsid w:val="008A501D"/>
    <w:rsid w:val="008A508C"/>
    <w:rsid w:val="008A50F9"/>
    <w:rsid w:val="008A5148"/>
    <w:rsid w:val="008A5172"/>
    <w:rsid w:val="008A517F"/>
    <w:rsid w:val="008A51C7"/>
    <w:rsid w:val="008A532C"/>
    <w:rsid w:val="008A53D6"/>
    <w:rsid w:val="008A54E1"/>
    <w:rsid w:val="008A56D3"/>
    <w:rsid w:val="008A5833"/>
    <w:rsid w:val="008A5990"/>
    <w:rsid w:val="008A5B76"/>
    <w:rsid w:val="008A5BAE"/>
    <w:rsid w:val="008A5C41"/>
    <w:rsid w:val="008A5D3D"/>
    <w:rsid w:val="008A5EB0"/>
    <w:rsid w:val="008A5F26"/>
    <w:rsid w:val="008A619A"/>
    <w:rsid w:val="008A6203"/>
    <w:rsid w:val="008A6405"/>
    <w:rsid w:val="008A655F"/>
    <w:rsid w:val="008A6642"/>
    <w:rsid w:val="008A66B8"/>
    <w:rsid w:val="008A66D5"/>
    <w:rsid w:val="008A66DD"/>
    <w:rsid w:val="008A6724"/>
    <w:rsid w:val="008A683F"/>
    <w:rsid w:val="008A6BCB"/>
    <w:rsid w:val="008A7177"/>
    <w:rsid w:val="008A71EC"/>
    <w:rsid w:val="008A7343"/>
    <w:rsid w:val="008A747B"/>
    <w:rsid w:val="008A756E"/>
    <w:rsid w:val="008A76EE"/>
    <w:rsid w:val="008A7750"/>
    <w:rsid w:val="008A78A1"/>
    <w:rsid w:val="008A7A13"/>
    <w:rsid w:val="008A7A8E"/>
    <w:rsid w:val="008A7DD1"/>
    <w:rsid w:val="008A7E1A"/>
    <w:rsid w:val="008A7E34"/>
    <w:rsid w:val="008A7EAB"/>
    <w:rsid w:val="008B04C9"/>
    <w:rsid w:val="008B05A8"/>
    <w:rsid w:val="008B07B9"/>
    <w:rsid w:val="008B0D0D"/>
    <w:rsid w:val="008B0D5D"/>
    <w:rsid w:val="008B113F"/>
    <w:rsid w:val="008B122D"/>
    <w:rsid w:val="008B1232"/>
    <w:rsid w:val="008B126B"/>
    <w:rsid w:val="008B130E"/>
    <w:rsid w:val="008B134B"/>
    <w:rsid w:val="008B14EF"/>
    <w:rsid w:val="008B15CD"/>
    <w:rsid w:val="008B1709"/>
    <w:rsid w:val="008B17EE"/>
    <w:rsid w:val="008B18CE"/>
    <w:rsid w:val="008B19A1"/>
    <w:rsid w:val="008B19CB"/>
    <w:rsid w:val="008B1B3B"/>
    <w:rsid w:val="008B1C63"/>
    <w:rsid w:val="008B1C73"/>
    <w:rsid w:val="008B1EC3"/>
    <w:rsid w:val="008B2004"/>
    <w:rsid w:val="008B20EC"/>
    <w:rsid w:val="008B2111"/>
    <w:rsid w:val="008B21E7"/>
    <w:rsid w:val="008B227F"/>
    <w:rsid w:val="008B26A2"/>
    <w:rsid w:val="008B2746"/>
    <w:rsid w:val="008B28C6"/>
    <w:rsid w:val="008B2BD5"/>
    <w:rsid w:val="008B2DA7"/>
    <w:rsid w:val="008B2E2B"/>
    <w:rsid w:val="008B2E6E"/>
    <w:rsid w:val="008B2E83"/>
    <w:rsid w:val="008B2EBE"/>
    <w:rsid w:val="008B30AD"/>
    <w:rsid w:val="008B3247"/>
    <w:rsid w:val="008B32FD"/>
    <w:rsid w:val="008B334A"/>
    <w:rsid w:val="008B359B"/>
    <w:rsid w:val="008B366F"/>
    <w:rsid w:val="008B369B"/>
    <w:rsid w:val="008B36DE"/>
    <w:rsid w:val="008B3969"/>
    <w:rsid w:val="008B3A61"/>
    <w:rsid w:val="008B3A68"/>
    <w:rsid w:val="008B3A79"/>
    <w:rsid w:val="008B3A88"/>
    <w:rsid w:val="008B3AA6"/>
    <w:rsid w:val="008B3AE8"/>
    <w:rsid w:val="008B3B46"/>
    <w:rsid w:val="008B3D57"/>
    <w:rsid w:val="008B4228"/>
    <w:rsid w:val="008B4370"/>
    <w:rsid w:val="008B4433"/>
    <w:rsid w:val="008B46CC"/>
    <w:rsid w:val="008B4932"/>
    <w:rsid w:val="008B49DC"/>
    <w:rsid w:val="008B4B65"/>
    <w:rsid w:val="008B4BFC"/>
    <w:rsid w:val="008B4DB2"/>
    <w:rsid w:val="008B4DF8"/>
    <w:rsid w:val="008B4EB0"/>
    <w:rsid w:val="008B4EED"/>
    <w:rsid w:val="008B4F77"/>
    <w:rsid w:val="008B5003"/>
    <w:rsid w:val="008B5192"/>
    <w:rsid w:val="008B51B4"/>
    <w:rsid w:val="008B5333"/>
    <w:rsid w:val="008B5488"/>
    <w:rsid w:val="008B550B"/>
    <w:rsid w:val="008B58E1"/>
    <w:rsid w:val="008B5974"/>
    <w:rsid w:val="008B5B67"/>
    <w:rsid w:val="008B5BB3"/>
    <w:rsid w:val="008B5D03"/>
    <w:rsid w:val="008B5D7A"/>
    <w:rsid w:val="008B5EB3"/>
    <w:rsid w:val="008B5F87"/>
    <w:rsid w:val="008B602E"/>
    <w:rsid w:val="008B60C5"/>
    <w:rsid w:val="008B6310"/>
    <w:rsid w:val="008B63EF"/>
    <w:rsid w:val="008B649B"/>
    <w:rsid w:val="008B64D5"/>
    <w:rsid w:val="008B6542"/>
    <w:rsid w:val="008B65D5"/>
    <w:rsid w:val="008B65F5"/>
    <w:rsid w:val="008B66E3"/>
    <w:rsid w:val="008B66F6"/>
    <w:rsid w:val="008B6714"/>
    <w:rsid w:val="008B671A"/>
    <w:rsid w:val="008B68BB"/>
    <w:rsid w:val="008B692D"/>
    <w:rsid w:val="008B6934"/>
    <w:rsid w:val="008B695F"/>
    <w:rsid w:val="008B6C3D"/>
    <w:rsid w:val="008B6D09"/>
    <w:rsid w:val="008B7079"/>
    <w:rsid w:val="008B70AC"/>
    <w:rsid w:val="008B764D"/>
    <w:rsid w:val="008B776D"/>
    <w:rsid w:val="008B777F"/>
    <w:rsid w:val="008B7848"/>
    <w:rsid w:val="008B786A"/>
    <w:rsid w:val="008B7909"/>
    <w:rsid w:val="008B7C12"/>
    <w:rsid w:val="008B7C5D"/>
    <w:rsid w:val="008B7CAC"/>
    <w:rsid w:val="008B7D2B"/>
    <w:rsid w:val="008B7E56"/>
    <w:rsid w:val="008B7FEA"/>
    <w:rsid w:val="008C0032"/>
    <w:rsid w:val="008C00BF"/>
    <w:rsid w:val="008C03D8"/>
    <w:rsid w:val="008C03F3"/>
    <w:rsid w:val="008C08CD"/>
    <w:rsid w:val="008C0977"/>
    <w:rsid w:val="008C0A27"/>
    <w:rsid w:val="008C0AFA"/>
    <w:rsid w:val="008C0C15"/>
    <w:rsid w:val="008C0E02"/>
    <w:rsid w:val="008C0E19"/>
    <w:rsid w:val="008C0E1E"/>
    <w:rsid w:val="008C111E"/>
    <w:rsid w:val="008C1247"/>
    <w:rsid w:val="008C147F"/>
    <w:rsid w:val="008C149A"/>
    <w:rsid w:val="008C149E"/>
    <w:rsid w:val="008C151E"/>
    <w:rsid w:val="008C155F"/>
    <w:rsid w:val="008C1678"/>
    <w:rsid w:val="008C1915"/>
    <w:rsid w:val="008C1C8B"/>
    <w:rsid w:val="008C1D22"/>
    <w:rsid w:val="008C1D25"/>
    <w:rsid w:val="008C1D4F"/>
    <w:rsid w:val="008C1DEA"/>
    <w:rsid w:val="008C1E05"/>
    <w:rsid w:val="008C1E1F"/>
    <w:rsid w:val="008C1F1E"/>
    <w:rsid w:val="008C2008"/>
    <w:rsid w:val="008C2092"/>
    <w:rsid w:val="008C20ED"/>
    <w:rsid w:val="008C2132"/>
    <w:rsid w:val="008C2133"/>
    <w:rsid w:val="008C21F8"/>
    <w:rsid w:val="008C21FB"/>
    <w:rsid w:val="008C220D"/>
    <w:rsid w:val="008C227C"/>
    <w:rsid w:val="008C240B"/>
    <w:rsid w:val="008C2491"/>
    <w:rsid w:val="008C24C3"/>
    <w:rsid w:val="008C27BC"/>
    <w:rsid w:val="008C2812"/>
    <w:rsid w:val="008C2A41"/>
    <w:rsid w:val="008C2D9C"/>
    <w:rsid w:val="008C34BB"/>
    <w:rsid w:val="008C3508"/>
    <w:rsid w:val="008C3552"/>
    <w:rsid w:val="008C35D5"/>
    <w:rsid w:val="008C36A2"/>
    <w:rsid w:val="008C36F3"/>
    <w:rsid w:val="008C38C8"/>
    <w:rsid w:val="008C39EF"/>
    <w:rsid w:val="008C3BD9"/>
    <w:rsid w:val="008C3D9E"/>
    <w:rsid w:val="008C3DFD"/>
    <w:rsid w:val="008C3E77"/>
    <w:rsid w:val="008C430B"/>
    <w:rsid w:val="008C4357"/>
    <w:rsid w:val="008C43BA"/>
    <w:rsid w:val="008C449A"/>
    <w:rsid w:val="008C45E2"/>
    <w:rsid w:val="008C46EF"/>
    <w:rsid w:val="008C485F"/>
    <w:rsid w:val="008C4875"/>
    <w:rsid w:val="008C49F5"/>
    <w:rsid w:val="008C4BC5"/>
    <w:rsid w:val="008C4DD1"/>
    <w:rsid w:val="008C4E6F"/>
    <w:rsid w:val="008C511D"/>
    <w:rsid w:val="008C524E"/>
    <w:rsid w:val="008C5432"/>
    <w:rsid w:val="008C552E"/>
    <w:rsid w:val="008C553C"/>
    <w:rsid w:val="008C566B"/>
    <w:rsid w:val="008C5AB0"/>
    <w:rsid w:val="008C5B74"/>
    <w:rsid w:val="008C5B86"/>
    <w:rsid w:val="008C5BA6"/>
    <w:rsid w:val="008C5C90"/>
    <w:rsid w:val="008C5D12"/>
    <w:rsid w:val="008C5F20"/>
    <w:rsid w:val="008C6064"/>
    <w:rsid w:val="008C60C2"/>
    <w:rsid w:val="008C637B"/>
    <w:rsid w:val="008C63C9"/>
    <w:rsid w:val="008C6457"/>
    <w:rsid w:val="008C648A"/>
    <w:rsid w:val="008C64FA"/>
    <w:rsid w:val="008C69D9"/>
    <w:rsid w:val="008C69E1"/>
    <w:rsid w:val="008C6AB6"/>
    <w:rsid w:val="008C6C8C"/>
    <w:rsid w:val="008C6D9D"/>
    <w:rsid w:val="008C6FF5"/>
    <w:rsid w:val="008C703F"/>
    <w:rsid w:val="008C7128"/>
    <w:rsid w:val="008C71AE"/>
    <w:rsid w:val="008C73DD"/>
    <w:rsid w:val="008C7478"/>
    <w:rsid w:val="008C76D8"/>
    <w:rsid w:val="008C7A53"/>
    <w:rsid w:val="008C7B9A"/>
    <w:rsid w:val="008C7C20"/>
    <w:rsid w:val="008C7CB8"/>
    <w:rsid w:val="008C7CBD"/>
    <w:rsid w:val="008C7D6C"/>
    <w:rsid w:val="008D007D"/>
    <w:rsid w:val="008D00C7"/>
    <w:rsid w:val="008D01AA"/>
    <w:rsid w:val="008D01DF"/>
    <w:rsid w:val="008D0293"/>
    <w:rsid w:val="008D0780"/>
    <w:rsid w:val="008D095D"/>
    <w:rsid w:val="008D0A37"/>
    <w:rsid w:val="008D0A6C"/>
    <w:rsid w:val="008D0C00"/>
    <w:rsid w:val="008D0EEC"/>
    <w:rsid w:val="008D0FA3"/>
    <w:rsid w:val="008D102F"/>
    <w:rsid w:val="008D13E5"/>
    <w:rsid w:val="008D148C"/>
    <w:rsid w:val="008D17EB"/>
    <w:rsid w:val="008D18EE"/>
    <w:rsid w:val="008D19E7"/>
    <w:rsid w:val="008D1B2F"/>
    <w:rsid w:val="008D1B75"/>
    <w:rsid w:val="008D1B76"/>
    <w:rsid w:val="008D1F4D"/>
    <w:rsid w:val="008D20C6"/>
    <w:rsid w:val="008D2313"/>
    <w:rsid w:val="008D238A"/>
    <w:rsid w:val="008D23D1"/>
    <w:rsid w:val="008D28EA"/>
    <w:rsid w:val="008D290F"/>
    <w:rsid w:val="008D2918"/>
    <w:rsid w:val="008D2C3D"/>
    <w:rsid w:val="008D2DCC"/>
    <w:rsid w:val="008D2EC0"/>
    <w:rsid w:val="008D3279"/>
    <w:rsid w:val="008D32F0"/>
    <w:rsid w:val="008D33C6"/>
    <w:rsid w:val="008D3451"/>
    <w:rsid w:val="008D34B5"/>
    <w:rsid w:val="008D370B"/>
    <w:rsid w:val="008D3726"/>
    <w:rsid w:val="008D37CC"/>
    <w:rsid w:val="008D3A71"/>
    <w:rsid w:val="008D3E1F"/>
    <w:rsid w:val="008D3E5E"/>
    <w:rsid w:val="008D41B5"/>
    <w:rsid w:val="008D428D"/>
    <w:rsid w:val="008D4415"/>
    <w:rsid w:val="008D460B"/>
    <w:rsid w:val="008D4695"/>
    <w:rsid w:val="008D493A"/>
    <w:rsid w:val="008D4C60"/>
    <w:rsid w:val="008D4CB0"/>
    <w:rsid w:val="008D4E65"/>
    <w:rsid w:val="008D4EB9"/>
    <w:rsid w:val="008D5029"/>
    <w:rsid w:val="008D50A2"/>
    <w:rsid w:val="008D50E2"/>
    <w:rsid w:val="008D52EA"/>
    <w:rsid w:val="008D570A"/>
    <w:rsid w:val="008D573F"/>
    <w:rsid w:val="008D574A"/>
    <w:rsid w:val="008D575C"/>
    <w:rsid w:val="008D57B0"/>
    <w:rsid w:val="008D582C"/>
    <w:rsid w:val="008D5844"/>
    <w:rsid w:val="008D5B5A"/>
    <w:rsid w:val="008D5C60"/>
    <w:rsid w:val="008D5CF0"/>
    <w:rsid w:val="008D5F94"/>
    <w:rsid w:val="008D5F99"/>
    <w:rsid w:val="008D5FDC"/>
    <w:rsid w:val="008D5FF8"/>
    <w:rsid w:val="008D616A"/>
    <w:rsid w:val="008D61EF"/>
    <w:rsid w:val="008D62D5"/>
    <w:rsid w:val="008D631C"/>
    <w:rsid w:val="008D6397"/>
    <w:rsid w:val="008D6449"/>
    <w:rsid w:val="008D648F"/>
    <w:rsid w:val="008D653F"/>
    <w:rsid w:val="008D6567"/>
    <w:rsid w:val="008D675A"/>
    <w:rsid w:val="008D6944"/>
    <w:rsid w:val="008D6A17"/>
    <w:rsid w:val="008D6B51"/>
    <w:rsid w:val="008D6BB4"/>
    <w:rsid w:val="008D6BF1"/>
    <w:rsid w:val="008D6CC4"/>
    <w:rsid w:val="008D6D27"/>
    <w:rsid w:val="008D71E2"/>
    <w:rsid w:val="008D72B8"/>
    <w:rsid w:val="008D731D"/>
    <w:rsid w:val="008D73C9"/>
    <w:rsid w:val="008D7639"/>
    <w:rsid w:val="008D7842"/>
    <w:rsid w:val="008D7919"/>
    <w:rsid w:val="008D79D0"/>
    <w:rsid w:val="008D7B9C"/>
    <w:rsid w:val="008D7BA1"/>
    <w:rsid w:val="008D7BA3"/>
    <w:rsid w:val="008D7BD7"/>
    <w:rsid w:val="008D7C62"/>
    <w:rsid w:val="008E00FA"/>
    <w:rsid w:val="008E00FD"/>
    <w:rsid w:val="008E0431"/>
    <w:rsid w:val="008E0591"/>
    <w:rsid w:val="008E0788"/>
    <w:rsid w:val="008E0832"/>
    <w:rsid w:val="008E0884"/>
    <w:rsid w:val="008E0A18"/>
    <w:rsid w:val="008E0B28"/>
    <w:rsid w:val="008E0C38"/>
    <w:rsid w:val="008E0C48"/>
    <w:rsid w:val="008E0E24"/>
    <w:rsid w:val="008E10F6"/>
    <w:rsid w:val="008E115A"/>
    <w:rsid w:val="008E1238"/>
    <w:rsid w:val="008E138C"/>
    <w:rsid w:val="008E1621"/>
    <w:rsid w:val="008E1661"/>
    <w:rsid w:val="008E16BF"/>
    <w:rsid w:val="008E16F7"/>
    <w:rsid w:val="008E1869"/>
    <w:rsid w:val="008E19F3"/>
    <w:rsid w:val="008E1ADE"/>
    <w:rsid w:val="008E1B66"/>
    <w:rsid w:val="008E1BC5"/>
    <w:rsid w:val="008E1CC9"/>
    <w:rsid w:val="008E1D68"/>
    <w:rsid w:val="008E1DF3"/>
    <w:rsid w:val="008E1E23"/>
    <w:rsid w:val="008E204A"/>
    <w:rsid w:val="008E2175"/>
    <w:rsid w:val="008E2211"/>
    <w:rsid w:val="008E23F1"/>
    <w:rsid w:val="008E24B5"/>
    <w:rsid w:val="008E259B"/>
    <w:rsid w:val="008E25DE"/>
    <w:rsid w:val="008E265F"/>
    <w:rsid w:val="008E26A7"/>
    <w:rsid w:val="008E2856"/>
    <w:rsid w:val="008E2A18"/>
    <w:rsid w:val="008E2B77"/>
    <w:rsid w:val="008E2EE5"/>
    <w:rsid w:val="008E2F11"/>
    <w:rsid w:val="008E2F38"/>
    <w:rsid w:val="008E3049"/>
    <w:rsid w:val="008E3135"/>
    <w:rsid w:val="008E333E"/>
    <w:rsid w:val="008E34F0"/>
    <w:rsid w:val="008E3519"/>
    <w:rsid w:val="008E35A3"/>
    <w:rsid w:val="008E3775"/>
    <w:rsid w:val="008E387A"/>
    <w:rsid w:val="008E3AFC"/>
    <w:rsid w:val="008E3B02"/>
    <w:rsid w:val="008E3B30"/>
    <w:rsid w:val="008E3C82"/>
    <w:rsid w:val="008E3D02"/>
    <w:rsid w:val="008E3D75"/>
    <w:rsid w:val="008E41B7"/>
    <w:rsid w:val="008E4255"/>
    <w:rsid w:val="008E44CE"/>
    <w:rsid w:val="008E4560"/>
    <w:rsid w:val="008E4574"/>
    <w:rsid w:val="008E45C2"/>
    <w:rsid w:val="008E45F5"/>
    <w:rsid w:val="008E4618"/>
    <w:rsid w:val="008E46CC"/>
    <w:rsid w:val="008E492F"/>
    <w:rsid w:val="008E49C7"/>
    <w:rsid w:val="008E4B2F"/>
    <w:rsid w:val="008E4C6C"/>
    <w:rsid w:val="008E4C8D"/>
    <w:rsid w:val="008E4DD0"/>
    <w:rsid w:val="008E4E7A"/>
    <w:rsid w:val="008E4EBA"/>
    <w:rsid w:val="008E4FDA"/>
    <w:rsid w:val="008E5087"/>
    <w:rsid w:val="008E50F7"/>
    <w:rsid w:val="008E51A6"/>
    <w:rsid w:val="008E5223"/>
    <w:rsid w:val="008E5378"/>
    <w:rsid w:val="008E549D"/>
    <w:rsid w:val="008E5BB2"/>
    <w:rsid w:val="008E5BDE"/>
    <w:rsid w:val="008E5C4A"/>
    <w:rsid w:val="008E5C7D"/>
    <w:rsid w:val="008E5DAA"/>
    <w:rsid w:val="008E5E07"/>
    <w:rsid w:val="008E5E69"/>
    <w:rsid w:val="008E5F21"/>
    <w:rsid w:val="008E605A"/>
    <w:rsid w:val="008E611D"/>
    <w:rsid w:val="008E613A"/>
    <w:rsid w:val="008E6346"/>
    <w:rsid w:val="008E63EE"/>
    <w:rsid w:val="008E6548"/>
    <w:rsid w:val="008E6575"/>
    <w:rsid w:val="008E65F3"/>
    <w:rsid w:val="008E6605"/>
    <w:rsid w:val="008E6636"/>
    <w:rsid w:val="008E66B1"/>
    <w:rsid w:val="008E67F9"/>
    <w:rsid w:val="008E6846"/>
    <w:rsid w:val="008E6B9F"/>
    <w:rsid w:val="008E6BF3"/>
    <w:rsid w:val="008E6D7A"/>
    <w:rsid w:val="008E7274"/>
    <w:rsid w:val="008E74B2"/>
    <w:rsid w:val="008E74F7"/>
    <w:rsid w:val="008E7554"/>
    <w:rsid w:val="008E7555"/>
    <w:rsid w:val="008E7656"/>
    <w:rsid w:val="008E76FE"/>
    <w:rsid w:val="008E77E2"/>
    <w:rsid w:val="008E7AC4"/>
    <w:rsid w:val="008E7C48"/>
    <w:rsid w:val="008E7DFF"/>
    <w:rsid w:val="008E7EC5"/>
    <w:rsid w:val="008E7F57"/>
    <w:rsid w:val="008E7F7E"/>
    <w:rsid w:val="008F0053"/>
    <w:rsid w:val="008F016F"/>
    <w:rsid w:val="008F01B7"/>
    <w:rsid w:val="008F0562"/>
    <w:rsid w:val="008F05B5"/>
    <w:rsid w:val="008F0710"/>
    <w:rsid w:val="008F0867"/>
    <w:rsid w:val="008F09C2"/>
    <w:rsid w:val="008F0C6B"/>
    <w:rsid w:val="008F0CFC"/>
    <w:rsid w:val="008F0DEE"/>
    <w:rsid w:val="008F0F77"/>
    <w:rsid w:val="008F0F94"/>
    <w:rsid w:val="008F0FD5"/>
    <w:rsid w:val="008F1360"/>
    <w:rsid w:val="008F13CD"/>
    <w:rsid w:val="008F1447"/>
    <w:rsid w:val="008F1644"/>
    <w:rsid w:val="008F1774"/>
    <w:rsid w:val="008F1B6F"/>
    <w:rsid w:val="008F1D81"/>
    <w:rsid w:val="008F1DD8"/>
    <w:rsid w:val="008F1F12"/>
    <w:rsid w:val="008F1F8A"/>
    <w:rsid w:val="008F1FEA"/>
    <w:rsid w:val="008F1FF9"/>
    <w:rsid w:val="008F202B"/>
    <w:rsid w:val="008F20AD"/>
    <w:rsid w:val="008F2144"/>
    <w:rsid w:val="008F218C"/>
    <w:rsid w:val="008F2428"/>
    <w:rsid w:val="008F244F"/>
    <w:rsid w:val="008F24CA"/>
    <w:rsid w:val="008F260B"/>
    <w:rsid w:val="008F2671"/>
    <w:rsid w:val="008F2AF3"/>
    <w:rsid w:val="008F2B5F"/>
    <w:rsid w:val="008F2EBD"/>
    <w:rsid w:val="008F35DF"/>
    <w:rsid w:val="008F390D"/>
    <w:rsid w:val="008F3971"/>
    <w:rsid w:val="008F3991"/>
    <w:rsid w:val="008F3D89"/>
    <w:rsid w:val="008F3D97"/>
    <w:rsid w:val="008F3F75"/>
    <w:rsid w:val="008F3FC0"/>
    <w:rsid w:val="008F4172"/>
    <w:rsid w:val="008F43C9"/>
    <w:rsid w:val="008F44DC"/>
    <w:rsid w:val="008F463C"/>
    <w:rsid w:val="008F46D5"/>
    <w:rsid w:val="008F47E4"/>
    <w:rsid w:val="008F4945"/>
    <w:rsid w:val="008F4B61"/>
    <w:rsid w:val="008F4B9D"/>
    <w:rsid w:val="008F4C44"/>
    <w:rsid w:val="008F5199"/>
    <w:rsid w:val="008F523B"/>
    <w:rsid w:val="008F5251"/>
    <w:rsid w:val="008F5415"/>
    <w:rsid w:val="008F54DF"/>
    <w:rsid w:val="008F55AF"/>
    <w:rsid w:val="008F5654"/>
    <w:rsid w:val="008F5790"/>
    <w:rsid w:val="008F5849"/>
    <w:rsid w:val="008F5A81"/>
    <w:rsid w:val="008F5B7D"/>
    <w:rsid w:val="008F5C40"/>
    <w:rsid w:val="008F5E2A"/>
    <w:rsid w:val="008F6672"/>
    <w:rsid w:val="008F6875"/>
    <w:rsid w:val="008F6993"/>
    <w:rsid w:val="008F6C61"/>
    <w:rsid w:val="008F6D2E"/>
    <w:rsid w:val="008F6E4C"/>
    <w:rsid w:val="008F6EBA"/>
    <w:rsid w:val="008F6FD9"/>
    <w:rsid w:val="008F71A4"/>
    <w:rsid w:val="008F723D"/>
    <w:rsid w:val="008F72E6"/>
    <w:rsid w:val="008F745F"/>
    <w:rsid w:val="008F7766"/>
    <w:rsid w:val="008F77C1"/>
    <w:rsid w:val="008F7A04"/>
    <w:rsid w:val="008F7B9D"/>
    <w:rsid w:val="008F7C61"/>
    <w:rsid w:val="008F7D05"/>
    <w:rsid w:val="008F7DA6"/>
    <w:rsid w:val="008F7E88"/>
    <w:rsid w:val="009000A5"/>
    <w:rsid w:val="009002C1"/>
    <w:rsid w:val="009005DB"/>
    <w:rsid w:val="009007EC"/>
    <w:rsid w:val="009008CA"/>
    <w:rsid w:val="0090091C"/>
    <w:rsid w:val="00900A04"/>
    <w:rsid w:val="00900A79"/>
    <w:rsid w:val="00900BCA"/>
    <w:rsid w:val="00900CC9"/>
    <w:rsid w:val="00900D5B"/>
    <w:rsid w:val="00900D90"/>
    <w:rsid w:val="00900EA1"/>
    <w:rsid w:val="00900FD3"/>
    <w:rsid w:val="00901075"/>
    <w:rsid w:val="00901083"/>
    <w:rsid w:val="0090114C"/>
    <w:rsid w:val="0090125F"/>
    <w:rsid w:val="00901492"/>
    <w:rsid w:val="009015C8"/>
    <w:rsid w:val="00901641"/>
    <w:rsid w:val="009017B5"/>
    <w:rsid w:val="009019EB"/>
    <w:rsid w:val="00901A80"/>
    <w:rsid w:val="00901D52"/>
    <w:rsid w:val="00901E22"/>
    <w:rsid w:val="00901EAF"/>
    <w:rsid w:val="00902004"/>
    <w:rsid w:val="0090231C"/>
    <w:rsid w:val="00902335"/>
    <w:rsid w:val="00902385"/>
    <w:rsid w:val="0090238A"/>
    <w:rsid w:val="009023F9"/>
    <w:rsid w:val="00902494"/>
    <w:rsid w:val="00902623"/>
    <w:rsid w:val="00902719"/>
    <w:rsid w:val="00902A42"/>
    <w:rsid w:val="00902AF3"/>
    <w:rsid w:val="00902AFF"/>
    <w:rsid w:val="00902BE8"/>
    <w:rsid w:val="00902C20"/>
    <w:rsid w:val="00902D63"/>
    <w:rsid w:val="00902D9E"/>
    <w:rsid w:val="0090314E"/>
    <w:rsid w:val="00903228"/>
    <w:rsid w:val="00903365"/>
    <w:rsid w:val="0090345E"/>
    <w:rsid w:val="009034DD"/>
    <w:rsid w:val="0090362A"/>
    <w:rsid w:val="0090365E"/>
    <w:rsid w:val="00903699"/>
    <w:rsid w:val="0090375C"/>
    <w:rsid w:val="009037EE"/>
    <w:rsid w:val="00903811"/>
    <w:rsid w:val="00903876"/>
    <w:rsid w:val="0090397F"/>
    <w:rsid w:val="00903A38"/>
    <w:rsid w:val="00903AA7"/>
    <w:rsid w:val="00903B07"/>
    <w:rsid w:val="00903B47"/>
    <w:rsid w:val="00903BFA"/>
    <w:rsid w:val="00903C53"/>
    <w:rsid w:val="00903CAA"/>
    <w:rsid w:val="00903CEF"/>
    <w:rsid w:val="00903E8B"/>
    <w:rsid w:val="00904168"/>
    <w:rsid w:val="009041E6"/>
    <w:rsid w:val="00904218"/>
    <w:rsid w:val="009042B5"/>
    <w:rsid w:val="0090432D"/>
    <w:rsid w:val="009044F6"/>
    <w:rsid w:val="00904523"/>
    <w:rsid w:val="00904527"/>
    <w:rsid w:val="0090455D"/>
    <w:rsid w:val="009045DE"/>
    <w:rsid w:val="0090474B"/>
    <w:rsid w:val="0090477E"/>
    <w:rsid w:val="009047B7"/>
    <w:rsid w:val="009047E8"/>
    <w:rsid w:val="009047EA"/>
    <w:rsid w:val="009047F9"/>
    <w:rsid w:val="00904886"/>
    <w:rsid w:val="00904B99"/>
    <w:rsid w:val="00904BC0"/>
    <w:rsid w:val="00904C97"/>
    <w:rsid w:val="00904D28"/>
    <w:rsid w:val="00904EC3"/>
    <w:rsid w:val="00904FAC"/>
    <w:rsid w:val="0090504F"/>
    <w:rsid w:val="0090531E"/>
    <w:rsid w:val="009055E2"/>
    <w:rsid w:val="009056C1"/>
    <w:rsid w:val="0090578E"/>
    <w:rsid w:val="00905891"/>
    <w:rsid w:val="00905A02"/>
    <w:rsid w:val="00905A81"/>
    <w:rsid w:val="00905AA4"/>
    <w:rsid w:val="00905C29"/>
    <w:rsid w:val="00905D25"/>
    <w:rsid w:val="00906158"/>
    <w:rsid w:val="00906220"/>
    <w:rsid w:val="00906237"/>
    <w:rsid w:val="00906371"/>
    <w:rsid w:val="00906393"/>
    <w:rsid w:val="009064AD"/>
    <w:rsid w:val="00906590"/>
    <w:rsid w:val="009065EF"/>
    <w:rsid w:val="00906673"/>
    <w:rsid w:val="0090680C"/>
    <w:rsid w:val="00906A23"/>
    <w:rsid w:val="00906AFF"/>
    <w:rsid w:val="00906BB5"/>
    <w:rsid w:val="00906E65"/>
    <w:rsid w:val="00906F22"/>
    <w:rsid w:val="00906F65"/>
    <w:rsid w:val="00906FD4"/>
    <w:rsid w:val="0090734C"/>
    <w:rsid w:val="009073CF"/>
    <w:rsid w:val="009074A0"/>
    <w:rsid w:val="0090765D"/>
    <w:rsid w:val="00907A10"/>
    <w:rsid w:val="00907CFF"/>
    <w:rsid w:val="00907D41"/>
    <w:rsid w:val="00907E8F"/>
    <w:rsid w:val="00907F22"/>
    <w:rsid w:val="009103F9"/>
    <w:rsid w:val="009105DE"/>
    <w:rsid w:val="0091069D"/>
    <w:rsid w:val="009106C4"/>
    <w:rsid w:val="009106CD"/>
    <w:rsid w:val="0091086C"/>
    <w:rsid w:val="0091092B"/>
    <w:rsid w:val="00910940"/>
    <w:rsid w:val="00910A61"/>
    <w:rsid w:val="00910B69"/>
    <w:rsid w:val="00910C56"/>
    <w:rsid w:val="00910DA2"/>
    <w:rsid w:val="0091112C"/>
    <w:rsid w:val="009111A6"/>
    <w:rsid w:val="009111BC"/>
    <w:rsid w:val="0091160E"/>
    <w:rsid w:val="00911653"/>
    <w:rsid w:val="00911684"/>
    <w:rsid w:val="0091191A"/>
    <w:rsid w:val="00911923"/>
    <w:rsid w:val="00911938"/>
    <w:rsid w:val="00911ADF"/>
    <w:rsid w:val="00911B8E"/>
    <w:rsid w:val="00911C2C"/>
    <w:rsid w:val="00911E43"/>
    <w:rsid w:val="00911F7C"/>
    <w:rsid w:val="00911FF3"/>
    <w:rsid w:val="00912049"/>
    <w:rsid w:val="0091228F"/>
    <w:rsid w:val="009123D6"/>
    <w:rsid w:val="0091240D"/>
    <w:rsid w:val="009126A4"/>
    <w:rsid w:val="00912809"/>
    <w:rsid w:val="0091293B"/>
    <w:rsid w:val="00912CFF"/>
    <w:rsid w:val="00912DB6"/>
    <w:rsid w:val="00912DCA"/>
    <w:rsid w:val="00912EDF"/>
    <w:rsid w:val="00912EFD"/>
    <w:rsid w:val="00912F7F"/>
    <w:rsid w:val="009131FE"/>
    <w:rsid w:val="0091332C"/>
    <w:rsid w:val="00913423"/>
    <w:rsid w:val="009136C9"/>
    <w:rsid w:val="00913754"/>
    <w:rsid w:val="00913790"/>
    <w:rsid w:val="0091385E"/>
    <w:rsid w:val="009138A6"/>
    <w:rsid w:val="00913AC1"/>
    <w:rsid w:val="00913AD1"/>
    <w:rsid w:val="00913ADD"/>
    <w:rsid w:val="00913AE0"/>
    <w:rsid w:val="00913B28"/>
    <w:rsid w:val="0091404B"/>
    <w:rsid w:val="00914220"/>
    <w:rsid w:val="0091425F"/>
    <w:rsid w:val="00914282"/>
    <w:rsid w:val="00914440"/>
    <w:rsid w:val="0091445C"/>
    <w:rsid w:val="0091446A"/>
    <w:rsid w:val="009144A2"/>
    <w:rsid w:val="009144D5"/>
    <w:rsid w:val="009144EC"/>
    <w:rsid w:val="009145D1"/>
    <w:rsid w:val="00914694"/>
    <w:rsid w:val="009146A9"/>
    <w:rsid w:val="009147F7"/>
    <w:rsid w:val="009148F1"/>
    <w:rsid w:val="00914956"/>
    <w:rsid w:val="009149FF"/>
    <w:rsid w:val="00914AB2"/>
    <w:rsid w:val="00914BD4"/>
    <w:rsid w:val="00914CAC"/>
    <w:rsid w:val="00914DD5"/>
    <w:rsid w:val="00914E03"/>
    <w:rsid w:val="00914EF3"/>
    <w:rsid w:val="0091568C"/>
    <w:rsid w:val="009157AA"/>
    <w:rsid w:val="00915A67"/>
    <w:rsid w:val="00915B95"/>
    <w:rsid w:val="00915BEA"/>
    <w:rsid w:val="00915BF1"/>
    <w:rsid w:val="00915DCC"/>
    <w:rsid w:val="00915E43"/>
    <w:rsid w:val="00915E44"/>
    <w:rsid w:val="00915E65"/>
    <w:rsid w:val="00915EA8"/>
    <w:rsid w:val="00915F98"/>
    <w:rsid w:val="00915FA3"/>
    <w:rsid w:val="009160E2"/>
    <w:rsid w:val="00916200"/>
    <w:rsid w:val="009162C4"/>
    <w:rsid w:val="009163F4"/>
    <w:rsid w:val="009165CA"/>
    <w:rsid w:val="00916612"/>
    <w:rsid w:val="00916694"/>
    <w:rsid w:val="0091675A"/>
    <w:rsid w:val="00916773"/>
    <w:rsid w:val="00916D31"/>
    <w:rsid w:val="00916E9F"/>
    <w:rsid w:val="009171D4"/>
    <w:rsid w:val="00917369"/>
    <w:rsid w:val="009173D8"/>
    <w:rsid w:val="00917485"/>
    <w:rsid w:val="009176D2"/>
    <w:rsid w:val="009177F8"/>
    <w:rsid w:val="00917AF1"/>
    <w:rsid w:val="00917BE8"/>
    <w:rsid w:val="00917C62"/>
    <w:rsid w:val="00917DC5"/>
    <w:rsid w:val="00917FC6"/>
    <w:rsid w:val="0092052A"/>
    <w:rsid w:val="0092054D"/>
    <w:rsid w:val="0092067A"/>
    <w:rsid w:val="0092084D"/>
    <w:rsid w:val="0092086A"/>
    <w:rsid w:val="009209DD"/>
    <w:rsid w:val="00920A4A"/>
    <w:rsid w:val="00920CB8"/>
    <w:rsid w:val="00920D4D"/>
    <w:rsid w:val="00920D80"/>
    <w:rsid w:val="00920DDE"/>
    <w:rsid w:val="00921000"/>
    <w:rsid w:val="009210D0"/>
    <w:rsid w:val="00921133"/>
    <w:rsid w:val="00921144"/>
    <w:rsid w:val="0092117F"/>
    <w:rsid w:val="009211EC"/>
    <w:rsid w:val="00921279"/>
    <w:rsid w:val="00921505"/>
    <w:rsid w:val="00921520"/>
    <w:rsid w:val="0092152A"/>
    <w:rsid w:val="009217E8"/>
    <w:rsid w:val="009217F8"/>
    <w:rsid w:val="00921BF7"/>
    <w:rsid w:val="00921CC0"/>
    <w:rsid w:val="00921D2B"/>
    <w:rsid w:val="00921DD1"/>
    <w:rsid w:val="00921E46"/>
    <w:rsid w:val="009222E4"/>
    <w:rsid w:val="009222E8"/>
    <w:rsid w:val="009223C7"/>
    <w:rsid w:val="009224B4"/>
    <w:rsid w:val="009227D5"/>
    <w:rsid w:val="0092284A"/>
    <w:rsid w:val="0092290A"/>
    <w:rsid w:val="009229EC"/>
    <w:rsid w:val="00922A1B"/>
    <w:rsid w:val="00922B3D"/>
    <w:rsid w:val="00922B5C"/>
    <w:rsid w:val="00922BCD"/>
    <w:rsid w:val="00922C1D"/>
    <w:rsid w:val="00922CBF"/>
    <w:rsid w:val="00922F6C"/>
    <w:rsid w:val="00922FE1"/>
    <w:rsid w:val="009230A4"/>
    <w:rsid w:val="009230AB"/>
    <w:rsid w:val="00923325"/>
    <w:rsid w:val="009233E5"/>
    <w:rsid w:val="009234FF"/>
    <w:rsid w:val="00923622"/>
    <w:rsid w:val="00923873"/>
    <w:rsid w:val="009238CA"/>
    <w:rsid w:val="00923B8E"/>
    <w:rsid w:val="00923CB9"/>
    <w:rsid w:val="00923E13"/>
    <w:rsid w:val="009242AD"/>
    <w:rsid w:val="0092470E"/>
    <w:rsid w:val="0092482D"/>
    <w:rsid w:val="00924872"/>
    <w:rsid w:val="00924A5F"/>
    <w:rsid w:val="00924B88"/>
    <w:rsid w:val="00924C41"/>
    <w:rsid w:val="00924C6E"/>
    <w:rsid w:val="00924D8F"/>
    <w:rsid w:val="00924F32"/>
    <w:rsid w:val="00925187"/>
    <w:rsid w:val="00925265"/>
    <w:rsid w:val="00925512"/>
    <w:rsid w:val="00925557"/>
    <w:rsid w:val="00925854"/>
    <w:rsid w:val="009258EF"/>
    <w:rsid w:val="009259AE"/>
    <w:rsid w:val="00925B49"/>
    <w:rsid w:val="00925B8E"/>
    <w:rsid w:val="00925BCB"/>
    <w:rsid w:val="00925C13"/>
    <w:rsid w:val="00925C98"/>
    <w:rsid w:val="009260AA"/>
    <w:rsid w:val="009260E7"/>
    <w:rsid w:val="009260EF"/>
    <w:rsid w:val="0092627D"/>
    <w:rsid w:val="009268AB"/>
    <w:rsid w:val="009268CC"/>
    <w:rsid w:val="00926AE5"/>
    <w:rsid w:val="00926BB6"/>
    <w:rsid w:val="00926D5B"/>
    <w:rsid w:val="00926DC8"/>
    <w:rsid w:val="00926E2A"/>
    <w:rsid w:val="00926F37"/>
    <w:rsid w:val="00926FBC"/>
    <w:rsid w:val="0092709C"/>
    <w:rsid w:val="00927138"/>
    <w:rsid w:val="0092717F"/>
    <w:rsid w:val="0092718D"/>
    <w:rsid w:val="009274E8"/>
    <w:rsid w:val="0092769B"/>
    <w:rsid w:val="009276CD"/>
    <w:rsid w:val="00927744"/>
    <w:rsid w:val="009277CA"/>
    <w:rsid w:val="00927859"/>
    <w:rsid w:val="009278FA"/>
    <w:rsid w:val="00927AFB"/>
    <w:rsid w:val="00927B05"/>
    <w:rsid w:val="00927B18"/>
    <w:rsid w:val="00927B26"/>
    <w:rsid w:val="00927C2F"/>
    <w:rsid w:val="00927CD0"/>
    <w:rsid w:val="00927D0F"/>
    <w:rsid w:val="00927EA0"/>
    <w:rsid w:val="0092A7AA"/>
    <w:rsid w:val="0093002B"/>
    <w:rsid w:val="00930055"/>
    <w:rsid w:val="00930097"/>
    <w:rsid w:val="009301B0"/>
    <w:rsid w:val="009301BE"/>
    <w:rsid w:val="0093020E"/>
    <w:rsid w:val="0093024A"/>
    <w:rsid w:val="00930265"/>
    <w:rsid w:val="00930278"/>
    <w:rsid w:val="009302BC"/>
    <w:rsid w:val="0093033C"/>
    <w:rsid w:val="009306A8"/>
    <w:rsid w:val="00930986"/>
    <w:rsid w:val="00930A21"/>
    <w:rsid w:val="00930C65"/>
    <w:rsid w:val="00930E31"/>
    <w:rsid w:val="00930EA2"/>
    <w:rsid w:val="00930F4E"/>
    <w:rsid w:val="00931045"/>
    <w:rsid w:val="0093104D"/>
    <w:rsid w:val="0093110A"/>
    <w:rsid w:val="00931128"/>
    <w:rsid w:val="00931164"/>
    <w:rsid w:val="0093121D"/>
    <w:rsid w:val="009312D6"/>
    <w:rsid w:val="009312F0"/>
    <w:rsid w:val="0093132A"/>
    <w:rsid w:val="00931366"/>
    <w:rsid w:val="009316AD"/>
    <w:rsid w:val="00931790"/>
    <w:rsid w:val="009318F4"/>
    <w:rsid w:val="00931A0E"/>
    <w:rsid w:val="00931B8F"/>
    <w:rsid w:val="00931C45"/>
    <w:rsid w:val="00931D4F"/>
    <w:rsid w:val="00931E3E"/>
    <w:rsid w:val="00931F16"/>
    <w:rsid w:val="009321E0"/>
    <w:rsid w:val="009323D6"/>
    <w:rsid w:val="00932430"/>
    <w:rsid w:val="0093262E"/>
    <w:rsid w:val="0093270B"/>
    <w:rsid w:val="0093273C"/>
    <w:rsid w:val="00932A06"/>
    <w:rsid w:val="00932BF4"/>
    <w:rsid w:val="00932D38"/>
    <w:rsid w:val="00932D94"/>
    <w:rsid w:val="00932E4B"/>
    <w:rsid w:val="00932EBC"/>
    <w:rsid w:val="00932EF5"/>
    <w:rsid w:val="00932F08"/>
    <w:rsid w:val="00932FF3"/>
    <w:rsid w:val="00933031"/>
    <w:rsid w:val="00933198"/>
    <w:rsid w:val="0093322A"/>
    <w:rsid w:val="00933267"/>
    <w:rsid w:val="0093360B"/>
    <w:rsid w:val="00933778"/>
    <w:rsid w:val="00933789"/>
    <w:rsid w:val="0093394A"/>
    <w:rsid w:val="00933B74"/>
    <w:rsid w:val="00933BDD"/>
    <w:rsid w:val="00933C82"/>
    <w:rsid w:val="00933CA0"/>
    <w:rsid w:val="00933D4C"/>
    <w:rsid w:val="00933DEE"/>
    <w:rsid w:val="00933E35"/>
    <w:rsid w:val="00933E43"/>
    <w:rsid w:val="00933E4A"/>
    <w:rsid w:val="00933F26"/>
    <w:rsid w:val="00934143"/>
    <w:rsid w:val="0093418E"/>
    <w:rsid w:val="0093445E"/>
    <w:rsid w:val="0093449C"/>
    <w:rsid w:val="009345D0"/>
    <w:rsid w:val="009346C3"/>
    <w:rsid w:val="009346EB"/>
    <w:rsid w:val="00934731"/>
    <w:rsid w:val="00934746"/>
    <w:rsid w:val="009347D0"/>
    <w:rsid w:val="00934819"/>
    <w:rsid w:val="009348E0"/>
    <w:rsid w:val="0093490D"/>
    <w:rsid w:val="009349B4"/>
    <w:rsid w:val="00934F6B"/>
    <w:rsid w:val="009351A6"/>
    <w:rsid w:val="00935312"/>
    <w:rsid w:val="00935336"/>
    <w:rsid w:val="00935481"/>
    <w:rsid w:val="009354A2"/>
    <w:rsid w:val="009354CD"/>
    <w:rsid w:val="009356CC"/>
    <w:rsid w:val="00935770"/>
    <w:rsid w:val="00935798"/>
    <w:rsid w:val="009357F2"/>
    <w:rsid w:val="00935843"/>
    <w:rsid w:val="00935A05"/>
    <w:rsid w:val="00935B08"/>
    <w:rsid w:val="00935BA0"/>
    <w:rsid w:val="00935BDD"/>
    <w:rsid w:val="00935D19"/>
    <w:rsid w:val="00935E05"/>
    <w:rsid w:val="00935F5B"/>
    <w:rsid w:val="00936061"/>
    <w:rsid w:val="00936062"/>
    <w:rsid w:val="009361C2"/>
    <w:rsid w:val="009361D9"/>
    <w:rsid w:val="009361EE"/>
    <w:rsid w:val="0093629E"/>
    <w:rsid w:val="0093635F"/>
    <w:rsid w:val="0093639B"/>
    <w:rsid w:val="00936437"/>
    <w:rsid w:val="0093650A"/>
    <w:rsid w:val="00936570"/>
    <w:rsid w:val="00936608"/>
    <w:rsid w:val="00936648"/>
    <w:rsid w:val="009368E1"/>
    <w:rsid w:val="00936B18"/>
    <w:rsid w:val="00936B47"/>
    <w:rsid w:val="00936D07"/>
    <w:rsid w:val="00936DA8"/>
    <w:rsid w:val="00936EFB"/>
    <w:rsid w:val="00936FBD"/>
    <w:rsid w:val="00936FC9"/>
    <w:rsid w:val="00937087"/>
    <w:rsid w:val="00937370"/>
    <w:rsid w:val="009374E6"/>
    <w:rsid w:val="00937658"/>
    <w:rsid w:val="0093765C"/>
    <w:rsid w:val="0093772D"/>
    <w:rsid w:val="00937821"/>
    <w:rsid w:val="0093790D"/>
    <w:rsid w:val="00937A15"/>
    <w:rsid w:val="00937BCC"/>
    <w:rsid w:val="00937CBE"/>
    <w:rsid w:val="00937D08"/>
    <w:rsid w:val="00937D31"/>
    <w:rsid w:val="00937D9D"/>
    <w:rsid w:val="00937FB8"/>
    <w:rsid w:val="009400D9"/>
    <w:rsid w:val="00940167"/>
    <w:rsid w:val="0094028F"/>
    <w:rsid w:val="0094032E"/>
    <w:rsid w:val="009404F7"/>
    <w:rsid w:val="0094054D"/>
    <w:rsid w:val="009407C9"/>
    <w:rsid w:val="009407D3"/>
    <w:rsid w:val="00940862"/>
    <w:rsid w:val="00940865"/>
    <w:rsid w:val="00940E7A"/>
    <w:rsid w:val="00941034"/>
    <w:rsid w:val="00941188"/>
    <w:rsid w:val="009411E0"/>
    <w:rsid w:val="0094131A"/>
    <w:rsid w:val="00941427"/>
    <w:rsid w:val="009415F3"/>
    <w:rsid w:val="00941735"/>
    <w:rsid w:val="00941BBF"/>
    <w:rsid w:val="00941CAB"/>
    <w:rsid w:val="009420BC"/>
    <w:rsid w:val="0094233F"/>
    <w:rsid w:val="00942377"/>
    <w:rsid w:val="0094240E"/>
    <w:rsid w:val="00942448"/>
    <w:rsid w:val="009425E8"/>
    <w:rsid w:val="00942796"/>
    <w:rsid w:val="00942876"/>
    <w:rsid w:val="00942D2E"/>
    <w:rsid w:val="009431A1"/>
    <w:rsid w:val="00943214"/>
    <w:rsid w:val="00943482"/>
    <w:rsid w:val="009434D1"/>
    <w:rsid w:val="00943884"/>
    <w:rsid w:val="00943991"/>
    <w:rsid w:val="009439FB"/>
    <w:rsid w:val="00943B61"/>
    <w:rsid w:val="00943B7A"/>
    <w:rsid w:val="00943BB6"/>
    <w:rsid w:val="00943BE9"/>
    <w:rsid w:val="00943BF9"/>
    <w:rsid w:val="00943C41"/>
    <w:rsid w:val="00943C73"/>
    <w:rsid w:val="00944072"/>
    <w:rsid w:val="00944087"/>
    <w:rsid w:val="00944109"/>
    <w:rsid w:val="009441EE"/>
    <w:rsid w:val="00944573"/>
    <w:rsid w:val="00944752"/>
    <w:rsid w:val="00944794"/>
    <w:rsid w:val="00944817"/>
    <w:rsid w:val="00944936"/>
    <w:rsid w:val="00944C8C"/>
    <w:rsid w:val="00944D37"/>
    <w:rsid w:val="00944E74"/>
    <w:rsid w:val="00944EBC"/>
    <w:rsid w:val="00944ECD"/>
    <w:rsid w:val="00944EFD"/>
    <w:rsid w:val="00944F23"/>
    <w:rsid w:val="00944F5F"/>
    <w:rsid w:val="009450FE"/>
    <w:rsid w:val="00945196"/>
    <w:rsid w:val="00945241"/>
    <w:rsid w:val="0094525B"/>
    <w:rsid w:val="00945377"/>
    <w:rsid w:val="009453B1"/>
    <w:rsid w:val="00945413"/>
    <w:rsid w:val="0094551E"/>
    <w:rsid w:val="00945641"/>
    <w:rsid w:val="0094582B"/>
    <w:rsid w:val="00945831"/>
    <w:rsid w:val="00945873"/>
    <w:rsid w:val="00945A87"/>
    <w:rsid w:val="00945ECD"/>
    <w:rsid w:val="00945FCB"/>
    <w:rsid w:val="00946166"/>
    <w:rsid w:val="009462B2"/>
    <w:rsid w:val="009463A7"/>
    <w:rsid w:val="0094649D"/>
    <w:rsid w:val="00946592"/>
    <w:rsid w:val="009465A4"/>
    <w:rsid w:val="00946A60"/>
    <w:rsid w:val="00946AE0"/>
    <w:rsid w:val="00946B04"/>
    <w:rsid w:val="00946D83"/>
    <w:rsid w:val="00947372"/>
    <w:rsid w:val="009475A1"/>
    <w:rsid w:val="009475B5"/>
    <w:rsid w:val="00947D65"/>
    <w:rsid w:val="00947FA4"/>
    <w:rsid w:val="0095002A"/>
    <w:rsid w:val="0095009B"/>
    <w:rsid w:val="009500B0"/>
    <w:rsid w:val="0095012E"/>
    <w:rsid w:val="0095016D"/>
    <w:rsid w:val="009503A6"/>
    <w:rsid w:val="009503DD"/>
    <w:rsid w:val="009503EE"/>
    <w:rsid w:val="009504DD"/>
    <w:rsid w:val="00950950"/>
    <w:rsid w:val="00950A20"/>
    <w:rsid w:val="00950AE3"/>
    <w:rsid w:val="00950B32"/>
    <w:rsid w:val="00950C17"/>
    <w:rsid w:val="00950D07"/>
    <w:rsid w:val="00950EB0"/>
    <w:rsid w:val="00950EE0"/>
    <w:rsid w:val="00950EF1"/>
    <w:rsid w:val="00950FCD"/>
    <w:rsid w:val="009510BD"/>
    <w:rsid w:val="009510F5"/>
    <w:rsid w:val="00951216"/>
    <w:rsid w:val="00951400"/>
    <w:rsid w:val="0095140B"/>
    <w:rsid w:val="0095141C"/>
    <w:rsid w:val="009514CA"/>
    <w:rsid w:val="00951652"/>
    <w:rsid w:val="009517F5"/>
    <w:rsid w:val="00951934"/>
    <w:rsid w:val="00951998"/>
    <w:rsid w:val="00951B46"/>
    <w:rsid w:val="00951B5D"/>
    <w:rsid w:val="00951E00"/>
    <w:rsid w:val="00951F78"/>
    <w:rsid w:val="00951F9F"/>
    <w:rsid w:val="0095207B"/>
    <w:rsid w:val="009522DE"/>
    <w:rsid w:val="00952388"/>
    <w:rsid w:val="0095239E"/>
    <w:rsid w:val="0095241E"/>
    <w:rsid w:val="00952468"/>
    <w:rsid w:val="00952504"/>
    <w:rsid w:val="00952565"/>
    <w:rsid w:val="0095265A"/>
    <w:rsid w:val="00952686"/>
    <w:rsid w:val="009528C8"/>
    <w:rsid w:val="00952A7C"/>
    <w:rsid w:val="00952B49"/>
    <w:rsid w:val="00952C0B"/>
    <w:rsid w:val="00952E4C"/>
    <w:rsid w:val="009531CC"/>
    <w:rsid w:val="00953257"/>
    <w:rsid w:val="0095326F"/>
    <w:rsid w:val="0095332D"/>
    <w:rsid w:val="00953476"/>
    <w:rsid w:val="00953866"/>
    <w:rsid w:val="00953B95"/>
    <w:rsid w:val="00953BD6"/>
    <w:rsid w:val="00953E65"/>
    <w:rsid w:val="00953EDA"/>
    <w:rsid w:val="00953F74"/>
    <w:rsid w:val="00953FF3"/>
    <w:rsid w:val="0095403F"/>
    <w:rsid w:val="00954189"/>
    <w:rsid w:val="00954283"/>
    <w:rsid w:val="009542BC"/>
    <w:rsid w:val="0095438B"/>
    <w:rsid w:val="009543CF"/>
    <w:rsid w:val="00954789"/>
    <w:rsid w:val="009549E7"/>
    <w:rsid w:val="00954A7F"/>
    <w:rsid w:val="00954C8C"/>
    <w:rsid w:val="00954E8A"/>
    <w:rsid w:val="00955050"/>
    <w:rsid w:val="009550AB"/>
    <w:rsid w:val="009551A5"/>
    <w:rsid w:val="00955208"/>
    <w:rsid w:val="00955232"/>
    <w:rsid w:val="00955283"/>
    <w:rsid w:val="00955326"/>
    <w:rsid w:val="0095542A"/>
    <w:rsid w:val="00955529"/>
    <w:rsid w:val="00955550"/>
    <w:rsid w:val="00955779"/>
    <w:rsid w:val="00955950"/>
    <w:rsid w:val="009559F4"/>
    <w:rsid w:val="00955A33"/>
    <w:rsid w:val="00955B3D"/>
    <w:rsid w:val="00955D16"/>
    <w:rsid w:val="00955E15"/>
    <w:rsid w:val="00955E47"/>
    <w:rsid w:val="00955F79"/>
    <w:rsid w:val="009561DD"/>
    <w:rsid w:val="009561F4"/>
    <w:rsid w:val="00956230"/>
    <w:rsid w:val="009562AD"/>
    <w:rsid w:val="00956459"/>
    <w:rsid w:val="00956950"/>
    <w:rsid w:val="00956ACE"/>
    <w:rsid w:val="00956AD2"/>
    <w:rsid w:val="00956B13"/>
    <w:rsid w:val="00956B3A"/>
    <w:rsid w:val="00956C86"/>
    <w:rsid w:val="00956D65"/>
    <w:rsid w:val="00957023"/>
    <w:rsid w:val="00957154"/>
    <w:rsid w:val="00957175"/>
    <w:rsid w:val="009572A0"/>
    <w:rsid w:val="009572D6"/>
    <w:rsid w:val="00957352"/>
    <w:rsid w:val="00957443"/>
    <w:rsid w:val="009575DB"/>
    <w:rsid w:val="0095765F"/>
    <w:rsid w:val="009578D1"/>
    <w:rsid w:val="0095793B"/>
    <w:rsid w:val="00957CF7"/>
    <w:rsid w:val="00957D24"/>
    <w:rsid w:val="00957D37"/>
    <w:rsid w:val="00957E81"/>
    <w:rsid w:val="00960130"/>
    <w:rsid w:val="0096016D"/>
    <w:rsid w:val="0096033D"/>
    <w:rsid w:val="009604A3"/>
    <w:rsid w:val="009604B3"/>
    <w:rsid w:val="009604D0"/>
    <w:rsid w:val="009605E9"/>
    <w:rsid w:val="00960672"/>
    <w:rsid w:val="00960712"/>
    <w:rsid w:val="0096073C"/>
    <w:rsid w:val="00960789"/>
    <w:rsid w:val="00960824"/>
    <w:rsid w:val="00960874"/>
    <w:rsid w:val="009608DF"/>
    <w:rsid w:val="00960DCF"/>
    <w:rsid w:val="00960E12"/>
    <w:rsid w:val="00960F5D"/>
    <w:rsid w:val="00960F9A"/>
    <w:rsid w:val="009610A1"/>
    <w:rsid w:val="0096113C"/>
    <w:rsid w:val="00961170"/>
    <w:rsid w:val="009612C3"/>
    <w:rsid w:val="00961363"/>
    <w:rsid w:val="009613E6"/>
    <w:rsid w:val="0096159A"/>
    <w:rsid w:val="009615CB"/>
    <w:rsid w:val="009616E5"/>
    <w:rsid w:val="00961755"/>
    <w:rsid w:val="00961833"/>
    <w:rsid w:val="0096188C"/>
    <w:rsid w:val="009619B0"/>
    <w:rsid w:val="00961A39"/>
    <w:rsid w:val="00961A9A"/>
    <w:rsid w:val="00961B53"/>
    <w:rsid w:val="00961BCD"/>
    <w:rsid w:val="00961C60"/>
    <w:rsid w:val="00961D48"/>
    <w:rsid w:val="00961DF6"/>
    <w:rsid w:val="00961EFC"/>
    <w:rsid w:val="00962258"/>
    <w:rsid w:val="0096267E"/>
    <w:rsid w:val="00962722"/>
    <w:rsid w:val="00962A5F"/>
    <w:rsid w:val="00962AB4"/>
    <w:rsid w:val="00962B84"/>
    <w:rsid w:val="00962D32"/>
    <w:rsid w:val="00962DB8"/>
    <w:rsid w:val="00962F07"/>
    <w:rsid w:val="00962FC2"/>
    <w:rsid w:val="00963006"/>
    <w:rsid w:val="00963264"/>
    <w:rsid w:val="009633E3"/>
    <w:rsid w:val="0096389D"/>
    <w:rsid w:val="00963B09"/>
    <w:rsid w:val="00963D31"/>
    <w:rsid w:val="00963D9A"/>
    <w:rsid w:val="009640DE"/>
    <w:rsid w:val="0096411B"/>
    <w:rsid w:val="009641FA"/>
    <w:rsid w:val="009643F4"/>
    <w:rsid w:val="00964527"/>
    <w:rsid w:val="00964622"/>
    <w:rsid w:val="00964905"/>
    <w:rsid w:val="0096490D"/>
    <w:rsid w:val="00964B5E"/>
    <w:rsid w:val="00964C03"/>
    <w:rsid w:val="00964CEC"/>
    <w:rsid w:val="00964D62"/>
    <w:rsid w:val="00964D7E"/>
    <w:rsid w:val="00964EE1"/>
    <w:rsid w:val="00965014"/>
    <w:rsid w:val="009650C0"/>
    <w:rsid w:val="0096512B"/>
    <w:rsid w:val="00965240"/>
    <w:rsid w:val="00965474"/>
    <w:rsid w:val="0096588F"/>
    <w:rsid w:val="00965F1C"/>
    <w:rsid w:val="00966001"/>
    <w:rsid w:val="0096629E"/>
    <w:rsid w:val="00966305"/>
    <w:rsid w:val="00966331"/>
    <w:rsid w:val="00966491"/>
    <w:rsid w:val="00966522"/>
    <w:rsid w:val="0096661E"/>
    <w:rsid w:val="0096664F"/>
    <w:rsid w:val="009667A3"/>
    <w:rsid w:val="0096687B"/>
    <w:rsid w:val="009668C4"/>
    <w:rsid w:val="00966AE7"/>
    <w:rsid w:val="00966BC3"/>
    <w:rsid w:val="00966BF7"/>
    <w:rsid w:val="00966FFE"/>
    <w:rsid w:val="00967053"/>
    <w:rsid w:val="00967549"/>
    <w:rsid w:val="009675BE"/>
    <w:rsid w:val="009676C0"/>
    <w:rsid w:val="00967B18"/>
    <w:rsid w:val="00967E0F"/>
    <w:rsid w:val="00967F97"/>
    <w:rsid w:val="00967FE6"/>
    <w:rsid w:val="00970540"/>
    <w:rsid w:val="0097067D"/>
    <w:rsid w:val="009707CA"/>
    <w:rsid w:val="0097092F"/>
    <w:rsid w:val="009709C1"/>
    <w:rsid w:val="00970A51"/>
    <w:rsid w:val="00970A6E"/>
    <w:rsid w:val="00970B6C"/>
    <w:rsid w:val="00970BD5"/>
    <w:rsid w:val="00970CC6"/>
    <w:rsid w:val="00970FEB"/>
    <w:rsid w:val="009710A7"/>
    <w:rsid w:val="009717EC"/>
    <w:rsid w:val="00971914"/>
    <w:rsid w:val="00971951"/>
    <w:rsid w:val="00971A97"/>
    <w:rsid w:val="00971D31"/>
    <w:rsid w:val="00971E6C"/>
    <w:rsid w:val="00971F7C"/>
    <w:rsid w:val="0097217C"/>
    <w:rsid w:val="0097225D"/>
    <w:rsid w:val="009725A5"/>
    <w:rsid w:val="009727E7"/>
    <w:rsid w:val="00972817"/>
    <w:rsid w:val="00972852"/>
    <w:rsid w:val="009728D7"/>
    <w:rsid w:val="0097293B"/>
    <w:rsid w:val="00972955"/>
    <w:rsid w:val="0097296F"/>
    <w:rsid w:val="00972DB8"/>
    <w:rsid w:val="00972EED"/>
    <w:rsid w:val="00972F8D"/>
    <w:rsid w:val="009730C6"/>
    <w:rsid w:val="00973166"/>
    <w:rsid w:val="00973310"/>
    <w:rsid w:val="009734FF"/>
    <w:rsid w:val="0097355C"/>
    <w:rsid w:val="00973758"/>
    <w:rsid w:val="0097375A"/>
    <w:rsid w:val="0097378D"/>
    <w:rsid w:val="009739A9"/>
    <w:rsid w:val="00973D3D"/>
    <w:rsid w:val="00973D51"/>
    <w:rsid w:val="00974330"/>
    <w:rsid w:val="009743E2"/>
    <w:rsid w:val="00974687"/>
    <w:rsid w:val="0097474D"/>
    <w:rsid w:val="009748A4"/>
    <w:rsid w:val="00974973"/>
    <w:rsid w:val="009749C9"/>
    <w:rsid w:val="00974ADF"/>
    <w:rsid w:val="00974AFF"/>
    <w:rsid w:val="00974B4E"/>
    <w:rsid w:val="00974D50"/>
    <w:rsid w:val="00974DEE"/>
    <w:rsid w:val="00974F20"/>
    <w:rsid w:val="00974F6D"/>
    <w:rsid w:val="00974FA3"/>
    <w:rsid w:val="00974FD2"/>
    <w:rsid w:val="00975097"/>
    <w:rsid w:val="009750F7"/>
    <w:rsid w:val="00975158"/>
    <w:rsid w:val="009751EF"/>
    <w:rsid w:val="0097548F"/>
    <w:rsid w:val="00975499"/>
    <w:rsid w:val="009758D3"/>
    <w:rsid w:val="00975AAB"/>
    <w:rsid w:val="00975C05"/>
    <w:rsid w:val="00975C62"/>
    <w:rsid w:val="00975F31"/>
    <w:rsid w:val="00975F4A"/>
    <w:rsid w:val="00975F8B"/>
    <w:rsid w:val="0097624F"/>
    <w:rsid w:val="009767AD"/>
    <w:rsid w:val="009768D1"/>
    <w:rsid w:val="00976A4A"/>
    <w:rsid w:val="00976B9E"/>
    <w:rsid w:val="00976D2A"/>
    <w:rsid w:val="00976D77"/>
    <w:rsid w:val="00976D8D"/>
    <w:rsid w:val="00976DFE"/>
    <w:rsid w:val="00976EF9"/>
    <w:rsid w:val="00976F47"/>
    <w:rsid w:val="009770DE"/>
    <w:rsid w:val="00977190"/>
    <w:rsid w:val="00977315"/>
    <w:rsid w:val="00977450"/>
    <w:rsid w:val="0097775C"/>
    <w:rsid w:val="009778E4"/>
    <w:rsid w:val="00977A67"/>
    <w:rsid w:val="00977B3B"/>
    <w:rsid w:val="00977B9B"/>
    <w:rsid w:val="00977CED"/>
    <w:rsid w:val="00977E9C"/>
    <w:rsid w:val="00980255"/>
    <w:rsid w:val="0098036C"/>
    <w:rsid w:val="009803A9"/>
    <w:rsid w:val="009803CB"/>
    <w:rsid w:val="009803D4"/>
    <w:rsid w:val="009804A3"/>
    <w:rsid w:val="009805A1"/>
    <w:rsid w:val="0098074F"/>
    <w:rsid w:val="009807A2"/>
    <w:rsid w:val="00980A6A"/>
    <w:rsid w:val="00980EC9"/>
    <w:rsid w:val="0098105E"/>
    <w:rsid w:val="009810A2"/>
    <w:rsid w:val="00981240"/>
    <w:rsid w:val="00981307"/>
    <w:rsid w:val="00981421"/>
    <w:rsid w:val="009818BF"/>
    <w:rsid w:val="00981958"/>
    <w:rsid w:val="0098199C"/>
    <w:rsid w:val="00981C30"/>
    <w:rsid w:val="00981CC3"/>
    <w:rsid w:val="00981DDD"/>
    <w:rsid w:val="00981E4C"/>
    <w:rsid w:val="00981F4E"/>
    <w:rsid w:val="00981F5A"/>
    <w:rsid w:val="00981FD7"/>
    <w:rsid w:val="009821CD"/>
    <w:rsid w:val="009822AD"/>
    <w:rsid w:val="0098234F"/>
    <w:rsid w:val="009825A8"/>
    <w:rsid w:val="00982687"/>
    <w:rsid w:val="0098268D"/>
    <w:rsid w:val="00982701"/>
    <w:rsid w:val="0098270B"/>
    <w:rsid w:val="009827DE"/>
    <w:rsid w:val="009828EE"/>
    <w:rsid w:val="009829FA"/>
    <w:rsid w:val="00982B6C"/>
    <w:rsid w:val="00982CA2"/>
    <w:rsid w:val="00982D72"/>
    <w:rsid w:val="00982E52"/>
    <w:rsid w:val="00983002"/>
    <w:rsid w:val="009830F6"/>
    <w:rsid w:val="009831BB"/>
    <w:rsid w:val="0098321C"/>
    <w:rsid w:val="00983499"/>
    <w:rsid w:val="009837E0"/>
    <w:rsid w:val="00983993"/>
    <w:rsid w:val="00983C4E"/>
    <w:rsid w:val="00983C8A"/>
    <w:rsid w:val="00983F98"/>
    <w:rsid w:val="009840E4"/>
    <w:rsid w:val="009840E8"/>
    <w:rsid w:val="009843F7"/>
    <w:rsid w:val="00984467"/>
    <w:rsid w:val="00984492"/>
    <w:rsid w:val="00984562"/>
    <w:rsid w:val="0098461F"/>
    <w:rsid w:val="0098475A"/>
    <w:rsid w:val="00984897"/>
    <w:rsid w:val="009848B5"/>
    <w:rsid w:val="00984A7A"/>
    <w:rsid w:val="00984D30"/>
    <w:rsid w:val="00984DE1"/>
    <w:rsid w:val="0098503B"/>
    <w:rsid w:val="0098505C"/>
    <w:rsid w:val="009850A8"/>
    <w:rsid w:val="0098511A"/>
    <w:rsid w:val="009851B2"/>
    <w:rsid w:val="00985503"/>
    <w:rsid w:val="00985662"/>
    <w:rsid w:val="0098569F"/>
    <w:rsid w:val="009857C7"/>
    <w:rsid w:val="0098581B"/>
    <w:rsid w:val="009858DA"/>
    <w:rsid w:val="009859A2"/>
    <w:rsid w:val="00985AA6"/>
    <w:rsid w:val="00985DCB"/>
    <w:rsid w:val="009860D7"/>
    <w:rsid w:val="009860F1"/>
    <w:rsid w:val="00986126"/>
    <w:rsid w:val="00986296"/>
    <w:rsid w:val="009862EE"/>
    <w:rsid w:val="0098635E"/>
    <w:rsid w:val="0098639B"/>
    <w:rsid w:val="0098642A"/>
    <w:rsid w:val="0098657D"/>
    <w:rsid w:val="009866C3"/>
    <w:rsid w:val="00986C13"/>
    <w:rsid w:val="00986C27"/>
    <w:rsid w:val="00986D71"/>
    <w:rsid w:val="00986E4A"/>
    <w:rsid w:val="00986E83"/>
    <w:rsid w:val="009870AD"/>
    <w:rsid w:val="00987313"/>
    <w:rsid w:val="009873F3"/>
    <w:rsid w:val="00987670"/>
    <w:rsid w:val="009876BC"/>
    <w:rsid w:val="00987883"/>
    <w:rsid w:val="00987A03"/>
    <w:rsid w:val="00987A93"/>
    <w:rsid w:val="00987B12"/>
    <w:rsid w:val="00987B42"/>
    <w:rsid w:val="00987B9D"/>
    <w:rsid w:val="00987BB0"/>
    <w:rsid w:val="00987E97"/>
    <w:rsid w:val="00987FEC"/>
    <w:rsid w:val="009903CA"/>
    <w:rsid w:val="009903DB"/>
    <w:rsid w:val="00990485"/>
    <w:rsid w:val="009905ED"/>
    <w:rsid w:val="0099065A"/>
    <w:rsid w:val="00990733"/>
    <w:rsid w:val="00990A11"/>
    <w:rsid w:val="00990B48"/>
    <w:rsid w:val="00990C5E"/>
    <w:rsid w:val="00990E36"/>
    <w:rsid w:val="009912D1"/>
    <w:rsid w:val="00991640"/>
    <w:rsid w:val="0099165A"/>
    <w:rsid w:val="00991682"/>
    <w:rsid w:val="009917A1"/>
    <w:rsid w:val="009918F1"/>
    <w:rsid w:val="00991B56"/>
    <w:rsid w:val="00991C4F"/>
    <w:rsid w:val="00991E7B"/>
    <w:rsid w:val="00991F18"/>
    <w:rsid w:val="00991FEA"/>
    <w:rsid w:val="00992057"/>
    <w:rsid w:val="009924B4"/>
    <w:rsid w:val="00992600"/>
    <w:rsid w:val="00992765"/>
    <w:rsid w:val="00992AC9"/>
    <w:rsid w:val="00992DA9"/>
    <w:rsid w:val="00992FC1"/>
    <w:rsid w:val="00993059"/>
    <w:rsid w:val="00993073"/>
    <w:rsid w:val="0099308D"/>
    <w:rsid w:val="00993188"/>
    <w:rsid w:val="0099327A"/>
    <w:rsid w:val="009934D8"/>
    <w:rsid w:val="009937FF"/>
    <w:rsid w:val="009938D1"/>
    <w:rsid w:val="00993AB3"/>
    <w:rsid w:val="00993AEE"/>
    <w:rsid w:val="00993C18"/>
    <w:rsid w:val="00993D34"/>
    <w:rsid w:val="00993DB8"/>
    <w:rsid w:val="00993E87"/>
    <w:rsid w:val="00993FE6"/>
    <w:rsid w:val="00993FF5"/>
    <w:rsid w:val="00994087"/>
    <w:rsid w:val="0099413D"/>
    <w:rsid w:val="009941CF"/>
    <w:rsid w:val="0099434D"/>
    <w:rsid w:val="009943A4"/>
    <w:rsid w:val="00994500"/>
    <w:rsid w:val="0099450A"/>
    <w:rsid w:val="0099453A"/>
    <w:rsid w:val="0099454C"/>
    <w:rsid w:val="009945BF"/>
    <w:rsid w:val="009945F7"/>
    <w:rsid w:val="00994647"/>
    <w:rsid w:val="00994747"/>
    <w:rsid w:val="00994811"/>
    <w:rsid w:val="00994988"/>
    <w:rsid w:val="00994BB4"/>
    <w:rsid w:val="00994D66"/>
    <w:rsid w:val="00994D7E"/>
    <w:rsid w:val="00994E3C"/>
    <w:rsid w:val="00994ED0"/>
    <w:rsid w:val="00994F53"/>
    <w:rsid w:val="00994FD7"/>
    <w:rsid w:val="009950D4"/>
    <w:rsid w:val="009956C4"/>
    <w:rsid w:val="009957FB"/>
    <w:rsid w:val="00995808"/>
    <w:rsid w:val="009958BF"/>
    <w:rsid w:val="0099598E"/>
    <w:rsid w:val="00995A5B"/>
    <w:rsid w:val="00995BF1"/>
    <w:rsid w:val="00995CCF"/>
    <w:rsid w:val="00995E8C"/>
    <w:rsid w:val="00995E98"/>
    <w:rsid w:val="00995EB5"/>
    <w:rsid w:val="00995F36"/>
    <w:rsid w:val="00996502"/>
    <w:rsid w:val="009966B4"/>
    <w:rsid w:val="00996781"/>
    <w:rsid w:val="009967F4"/>
    <w:rsid w:val="00996931"/>
    <w:rsid w:val="00996AAA"/>
    <w:rsid w:val="00996D67"/>
    <w:rsid w:val="00996DD5"/>
    <w:rsid w:val="00996F15"/>
    <w:rsid w:val="0099704C"/>
    <w:rsid w:val="009970C7"/>
    <w:rsid w:val="009970F4"/>
    <w:rsid w:val="00997566"/>
    <w:rsid w:val="0099785E"/>
    <w:rsid w:val="00997A2C"/>
    <w:rsid w:val="00997BA8"/>
    <w:rsid w:val="00997D9F"/>
    <w:rsid w:val="00997E62"/>
    <w:rsid w:val="00997EDF"/>
    <w:rsid w:val="00997F7F"/>
    <w:rsid w:val="009A00EF"/>
    <w:rsid w:val="009A0232"/>
    <w:rsid w:val="009A04EA"/>
    <w:rsid w:val="009A06DC"/>
    <w:rsid w:val="009A06F4"/>
    <w:rsid w:val="009A08D3"/>
    <w:rsid w:val="009A09B4"/>
    <w:rsid w:val="009A09F7"/>
    <w:rsid w:val="009A0A45"/>
    <w:rsid w:val="009A0A67"/>
    <w:rsid w:val="009A0DC4"/>
    <w:rsid w:val="009A0FDA"/>
    <w:rsid w:val="009A106A"/>
    <w:rsid w:val="009A1144"/>
    <w:rsid w:val="009A11B5"/>
    <w:rsid w:val="009A1209"/>
    <w:rsid w:val="009A12B2"/>
    <w:rsid w:val="009A12DA"/>
    <w:rsid w:val="009A143B"/>
    <w:rsid w:val="009A1753"/>
    <w:rsid w:val="009A1949"/>
    <w:rsid w:val="009A194C"/>
    <w:rsid w:val="009A1A4D"/>
    <w:rsid w:val="009A1ACF"/>
    <w:rsid w:val="009A1B7D"/>
    <w:rsid w:val="009A1C2E"/>
    <w:rsid w:val="009A1C93"/>
    <w:rsid w:val="009A1CED"/>
    <w:rsid w:val="009A1F3B"/>
    <w:rsid w:val="009A207D"/>
    <w:rsid w:val="009A20B0"/>
    <w:rsid w:val="009A23E7"/>
    <w:rsid w:val="009A241B"/>
    <w:rsid w:val="009A2553"/>
    <w:rsid w:val="009A28FF"/>
    <w:rsid w:val="009A2B86"/>
    <w:rsid w:val="009A2CEB"/>
    <w:rsid w:val="009A2D44"/>
    <w:rsid w:val="009A2EB1"/>
    <w:rsid w:val="009A30B6"/>
    <w:rsid w:val="009A33FA"/>
    <w:rsid w:val="009A340E"/>
    <w:rsid w:val="009A3490"/>
    <w:rsid w:val="009A3778"/>
    <w:rsid w:val="009A38F5"/>
    <w:rsid w:val="009A3991"/>
    <w:rsid w:val="009A3A93"/>
    <w:rsid w:val="009A3C80"/>
    <w:rsid w:val="009A3E2E"/>
    <w:rsid w:val="009A3F86"/>
    <w:rsid w:val="009A3FD5"/>
    <w:rsid w:val="009A4008"/>
    <w:rsid w:val="009A4048"/>
    <w:rsid w:val="009A434C"/>
    <w:rsid w:val="009A4639"/>
    <w:rsid w:val="009A48A1"/>
    <w:rsid w:val="009A4A90"/>
    <w:rsid w:val="009A4C5B"/>
    <w:rsid w:val="009A4D72"/>
    <w:rsid w:val="009A4F2F"/>
    <w:rsid w:val="009A4F4D"/>
    <w:rsid w:val="009A50CC"/>
    <w:rsid w:val="009A51B2"/>
    <w:rsid w:val="009A5231"/>
    <w:rsid w:val="009A5319"/>
    <w:rsid w:val="009A54E8"/>
    <w:rsid w:val="009A561C"/>
    <w:rsid w:val="009A5912"/>
    <w:rsid w:val="009A5C3D"/>
    <w:rsid w:val="009A5CB8"/>
    <w:rsid w:val="009A5D39"/>
    <w:rsid w:val="009A5E3C"/>
    <w:rsid w:val="009A5F2C"/>
    <w:rsid w:val="009A607C"/>
    <w:rsid w:val="009A6157"/>
    <w:rsid w:val="009A61DC"/>
    <w:rsid w:val="009A6423"/>
    <w:rsid w:val="009A6520"/>
    <w:rsid w:val="009A6535"/>
    <w:rsid w:val="009A6947"/>
    <w:rsid w:val="009A6AF6"/>
    <w:rsid w:val="009A6B7B"/>
    <w:rsid w:val="009A6C06"/>
    <w:rsid w:val="009A6DF4"/>
    <w:rsid w:val="009A72F4"/>
    <w:rsid w:val="009A7374"/>
    <w:rsid w:val="009A7419"/>
    <w:rsid w:val="009A74D8"/>
    <w:rsid w:val="009A7816"/>
    <w:rsid w:val="009A7CD4"/>
    <w:rsid w:val="009A7DD1"/>
    <w:rsid w:val="009A7F34"/>
    <w:rsid w:val="009B037A"/>
    <w:rsid w:val="009B04BC"/>
    <w:rsid w:val="009B0878"/>
    <w:rsid w:val="009B0879"/>
    <w:rsid w:val="009B0984"/>
    <w:rsid w:val="009B09E6"/>
    <w:rsid w:val="009B0BD4"/>
    <w:rsid w:val="009B0DDB"/>
    <w:rsid w:val="009B0E6D"/>
    <w:rsid w:val="009B0F20"/>
    <w:rsid w:val="009B10A3"/>
    <w:rsid w:val="009B10A7"/>
    <w:rsid w:val="009B10C6"/>
    <w:rsid w:val="009B124D"/>
    <w:rsid w:val="009B134C"/>
    <w:rsid w:val="009B1456"/>
    <w:rsid w:val="009B14F1"/>
    <w:rsid w:val="009B150E"/>
    <w:rsid w:val="009B1553"/>
    <w:rsid w:val="009B1577"/>
    <w:rsid w:val="009B1700"/>
    <w:rsid w:val="009B1740"/>
    <w:rsid w:val="009B1750"/>
    <w:rsid w:val="009B1966"/>
    <w:rsid w:val="009B1ABB"/>
    <w:rsid w:val="009B1AD8"/>
    <w:rsid w:val="009B1DB4"/>
    <w:rsid w:val="009B1E80"/>
    <w:rsid w:val="009B1F3A"/>
    <w:rsid w:val="009B202F"/>
    <w:rsid w:val="009B2245"/>
    <w:rsid w:val="009B2402"/>
    <w:rsid w:val="009B2497"/>
    <w:rsid w:val="009B2545"/>
    <w:rsid w:val="009B258E"/>
    <w:rsid w:val="009B27F2"/>
    <w:rsid w:val="009B2817"/>
    <w:rsid w:val="009B2A3D"/>
    <w:rsid w:val="009B2A66"/>
    <w:rsid w:val="009B2ABC"/>
    <w:rsid w:val="009B2C54"/>
    <w:rsid w:val="009B2C5A"/>
    <w:rsid w:val="009B2EAC"/>
    <w:rsid w:val="009B2EC6"/>
    <w:rsid w:val="009B30CA"/>
    <w:rsid w:val="009B32D9"/>
    <w:rsid w:val="009B34FC"/>
    <w:rsid w:val="009B36AF"/>
    <w:rsid w:val="009B37A2"/>
    <w:rsid w:val="009B3838"/>
    <w:rsid w:val="009B384B"/>
    <w:rsid w:val="009B38E4"/>
    <w:rsid w:val="009B39F9"/>
    <w:rsid w:val="009B3A13"/>
    <w:rsid w:val="009B3B37"/>
    <w:rsid w:val="009B3C26"/>
    <w:rsid w:val="009B3C5F"/>
    <w:rsid w:val="009B3EC2"/>
    <w:rsid w:val="009B409C"/>
    <w:rsid w:val="009B4129"/>
    <w:rsid w:val="009B4211"/>
    <w:rsid w:val="009B43B9"/>
    <w:rsid w:val="009B4439"/>
    <w:rsid w:val="009B4487"/>
    <w:rsid w:val="009B4638"/>
    <w:rsid w:val="009B4A36"/>
    <w:rsid w:val="009B4DC6"/>
    <w:rsid w:val="009B4E53"/>
    <w:rsid w:val="009B4EDA"/>
    <w:rsid w:val="009B503E"/>
    <w:rsid w:val="009B5238"/>
    <w:rsid w:val="009B524D"/>
    <w:rsid w:val="009B53F5"/>
    <w:rsid w:val="009B549C"/>
    <w:rsid w:val="009B55BD"/>
    <w:rsid w:val="009B5820"/>
    <w:rsid w:val="009B5997"/>
    <w:rsid w:val="009B5A18"/>
    <w:rsid w:val="009B5BE6"/>
    <w:rsid w:val="009B5D16"/>
    <w:rsid w:val="009B5D3C"/>
    <w:rsid w:val="009B5FA3"/>
    <w:rsid w:val="009B609B"/>
    <w:rsid w:val="009B63C3"/>
    <w:rsid w:val="009B657C"/>
    <w:rsid w:val="009B6757"/>
    <w:rsid w:val="009B678B"/>
    <w:rsid w:val="009B69B4"/>
    <w:rsid w:val="009B6A2A"/>
    <w:rsid w:val="009B6A5F"/>
    <w:rsid w:val="009B6B23"/>
    <w:rsid w:val="009B6BC9"/>
    <w:rsid w:val="009B6D99"/>
    <w:rsid w:val="009B6E77"/>
    <w:rsid w:val="009B6F68"/>
    <w:rsid w:val="009B702F"/>
    <w:rsid w:val="009B707E"/>
    <w:rsid w:val="009B710F"/>
    <w:rsid w:val="009B7196"/>
    <w:rsid w:val="009B7225"/>
    <w:rsid w:val="009B7257"/>
    <w:rsid w:val="009B725A"/>
    <w:rsid w:val="009B74A5"/>
    <w:rsid w:val="009B7715"/>
    <w:rsid w:val="009B78BC"/>
    <w:rsid w:val="009B78E4"/>
    <w:rsid w:val="009B7A0B"/>
    <w:rsid w:val="009B7ABD"/>
    <w:rsid w:val="009B7C78"/>
    <w:rsid w:val="009B7CCC"/>
    <w:rsid w:val="009B7D2E"/>
    <w:rsid w:val="009B7D4C"/>
    <w:rsid w:val="009B7FF8"/>
    <w:rsid w:val="009C008B"/>
    <w:rsid w:val="009C0152"/>
    <w:rsid w:val="009C0340"/>
    <w:rsid w:val="009C03EE"/>
    <w:rsid w:val="009C0503"/>
    <w:rsid w:val="009C0682"/>
    <w:rsid w:val="009C0688"/>
    <w:rsid w:val="009C06A4"/>
    <w:rsid w:val="009C06CB"/>
    <w:rsid w:val="009C07A8"/>
    <w:rsid w:val="009C07CC"/>
    <w:rsid w:val="009C09C8"/>
    <w:rsid w:val="009C0A83"/>
    <w:rsid w:val="009C0CC8"/>
    <w:rsid w:val="009C0EAA"/>
    <w:rsid w:val="009C10C0"/>
    <w:rsid w:val="009C1183"/>
    <w:rsid w:val="009C137D"/>
    <w:rsid w:val="009C1458"/>
    <w:rsid w:val="009C156F"/>
    <w:rsid w:val="009C1A5F"/>
    <w:rsid w:val="009C1AB4"/>
    <w:rsid w:val="009C1CEE"/>
    <w:rsid w:val="009C1D27"/>
    <w:rsid w:val="009C1DDF"/>
    <w:rsid w:val="009C1F54"/>
    <w:rsid w:val="009C215D"/>
    <w:rsid w:val="009C235E"/>
    <w:rsid w:val="009C2A20"/>
    <w:rsid w:val="009C2B5D"/>
    <w:rsid w:val="009C2BE4"/>
    <w:rsid w:val="009C2D44"/>
    <w:rsid w:val="009C3003"/>
    <w:rsid w:val="009C3066"/>
    <w:rsid w:val="009C30F6"/>
    <w:rsid w:val="009C315D"/>
    <w:rsid w:val="009C324D"/>
    <w:rsid w:val="009C32D9"/>
    <w:rsid w:val="009C3424"/>
    <w:rsid w:val="009C3446"/>
    <w:rsid w:val="009C349E"/>
    <w:rsid w:val="009C35CF"/>
    <w:rsid w:val="009C3811"/>
    <w:rsid w:val="009C3B3F"/>
    <w:rsid w:val="009C3BD9"/>
    <w:rsid w:val="009C3CD0"/>
    <w:rsid w:val="009C3D59"/>
    <w:rsid w:val="009C3D6A"/>
    <w:rsid w:val="009C3DB5"/>
    <w:rsid w:val="009C3E26"/>
    <w:rsid w:val="009C3E50"/>
    <w:rsid w:val="009C40F7"/>
    <w:rsid w:val="009C4121"/>
    <w:rsid w:val="009C4123"/>
    <w:rsid w:val="009C423F"/>
    <w:rsid w:val="009C44C5"/>
    <w:rsid w:val="009C473A"/>
    <w:rsid w:val="009C475E"/>
    <w:rsid w:val="009C4A58"/>
    <w:rsid w:val="009C4A67"/>
    <w:rsid w:val="009C4AD8"/>
    <w:rsid w:val="009C4F50"/>
    <w:rsid w:val="009C4FCD"/>
    <w:rsid w:val="009C501C"/>
    <w:rsid w:val="009C50C7"/>
    <w:rsid w:val="009C5252"/>
    <w:rsid w:val="009C5381"/>
    <w:rsid w:val="009C53B8"/>
    <w:rsid w:val="009C53E6"/>
    <w:rsid w:val="009C542B"/>
    <w:rsid w:val="009C5507"/>
    <w:rsid w:val="009C55BF"/>
    <w:rsid w:val="009C55FB"/>
    <w:rsid w:val="009C57CE"/>
    <w:rsid w:val="009C5859"/>
    <w:rsid w:val="009C58E0"/>
    <w:rsid w:val="009C59E1"/>
    <w:rsid w:val="009C5B37"/>
    <w:rsid w:val="009C5B82"/>
    <w:rsid w:val="009C5CB7"/>
    <w:rsid w:val="009C5DD7"/>
    <w:rsid w:val="009C64A0"/>
    <w:rsid w:val="009C64AD"/>
    <w:rsid w:val="009C6547"/>
    <w:rsid w:val="009C6549"/>
    <w:rsid w:val="009C66D3"/>
    <w:rsid w:val="009C6A63"/>
    <w:rsid w:val="009C6AB5"/>
    <w:rsid w:val="009C6E8B"/>
    <w:rsid w:val="009C6F48"/>
    <w:rsid w:val="009C70BB"/>
    <w:rsid w:val="009C70D1"/>
    <w:rsid w:val="009C7125"/>
    <w:rsid w:val="009C7226"/>
    <w:rsid w:val="009C72A8"/>
    <w:rsid w:val="009C72DD"/>
    <w:rsid w:val="009C73B1"/>
    <w:rsid w:val="009C756E"/>
    <w:rsid w:val="009C75B3"/>
    <w:rsid w:val="009C7798"/>
    <w:rsid w:val="009C7923"/>
    <w:rsid w:val="009C7A52"/>
    <w:rsid w:val="009C7A6B"/>
    <w:rsid w:val="009C7BB3"/>
    <w:rsid w:val="009C7C9F"/>
    <w:rsid w:val="009C7CBD"/>
    <w:rsid w:val="009C7CD9"/>
    <w:rsid w:val="009C7FF2"/>
    <w:rsid w:val="009C7FFB"/>
    <w:rsid w:val="009D0120"/>
    <w:rsid w:val="009D01F6"/>
    <w:rsid w:val="009D027D"/>
    <w:rsid w:val="009D02A5"/>
    <w:rsid w:val="009D031E"/>
    <w:rsid w:val="009D04D6"/>
    <w:rsid w:val="009D05C4"/>
    <w:rsid w:val="009D05FC"/>
    <w:rsid w:val="009D064B"/>
    <w:rsid w:val="009D068E"/>
    <w:rsid w:val="009D0764"/>
    <w:rsid w:val="009D083E"/>
    <w:rsid w:val="009D087F"/>
    <w:rsid w:val="009D09BD"/>
    <w:rsid w:val="009D0A68"/>
    <w:rsid w:val="009D0BD0"/>
    <w:rsid w:val="009D0C4C"/>
    <w:rsid w:val="009D0C91"/>
    <w:rsid w:val="009D0DA5"/>
    <w:rsid w:val="009D0F70"/>
    <w:rsid w:val="009D129F"/>
    <w:rsid w:val="009D17A2"/>
    <w:rsid w:val="009D17D0"/>
    <w:rsid w:val="009D1838"/>
    <w:rsid w:val="009D1846"/>
    <w:rsid w:val="009D18E4"/>
    <w:rsid w:val="009D1D4C"/>
    <w:rsid w:val="009D1DD9"/>
    <w:rsid w:val="009D1F43"/>
    <w:rsid w:val="009D1FF6"/>
    <w:rsid w:val="009D21BE"/>
    <w:rsid w:val="009D244A"/>
    <w:rsid w:val="009D252D"/>
    <w:rsid w:val="009D25C7"/>
    <w:rsid w:val="009D271E"/>
    <w:rsid w:val="009D2724"/>
    <w:rsid w:val="009D2798"/>
    <w:rsid w:val="009D2936"/>
    <w:rsid w:val="009D2C1B"/>
    <w:rsid w:val="009D2EA8"/>
    <w:rsid w:val="009D2F39"/>
    <w:rsid w:val="009D2FC5"/>
    <w:rsid w:val="009D2FF6"/>
    <w:rsid w:val="009D3035"/>
    <w:rsid w:val="009D31A2"/>
    <w:rsid w:val="009D31D4"/>
    <w:rsid w:val="009D325C"/>
    <w:rsid w:val="009D32A0"/>
    <w:rsid w:val="009D33C6"/>
    <w:rsid w:val="009D33F8"/>
    <w:rsid w:val="009D342A"/>
    <w:rsid w:val="009D34F6"/>
    <w:rsid w:val="009D3573"/>
    <w:rsid w:val="009D37FA"/>
    <w:rsid w:val="009D3947"/>
    <w:rsid w:val="009D3B49"/>
    <w:rsid w:val="009D3C3D"/>
    <w:rsid w:val="009D3D22"/>
    <w:rsid w:val="009D3DA8"/>
    <w:rsid w:val="009D3DCA"/>
    <w:rsid w:val="009D3DE8"/>
    <w:rsid w:val="009D3F3B"/>
    <w:rsid w:val="009D3F6C"/>
    <w:rsid w:val="009D3FE1"/>
    <w:rsid w:val="009D4019"/>
    <w:rsid w:val="009D40E0"/>
    <w:rsid w:val="009D4167"/>
    <w:rsid w:val="009D41EF"/>
    <w:rsid w:val="009D421E"/>
    <w:rsid w:val="009D42C4"/>
    <w:rsid w:val="009D4367"/>
    <w:rsid w:val="009D4379"/>
    <w:rsid w:val="009D45D6"/>
    <w:rsid w:val="009D4732"/>
    <w:rsid w:val="009D481B"/>
    <w:rsid w:val="009D49BF"/>
    <w:rsid w:val="009D4A4C"/>
    <w:rsid w:val="009D4B11"/>
    <w:rsid w:val="009D4B9D"/>
    <w:rsid w:val="009D4BA7"/>
    <w:rsid w:val="009D4E60"/>
    <w:rsid w:val="009D5098"/>
    <w:rsid w:val="009D5150"/>
    <w:rsid w:val="009D520B"/>
    <w:rsid w:val="009D5288"/>
    <w:rsid w:val="009D540A"/>
    <w:rsid w:val="009D543D"/>
    <w:rsid w:val="009D573B"/>
    <w:rsid w:val="009D589C"/>
    <w:rsid w:val="009D5A05"/>
    <w:rsid w:val="009D5A89"/>
    <w:rsid w:val="009D5B8C"/>
    <w:rsid w:val="009D5EF2"/>
    <w:rsid w:val="009D6019"/>
    <w:rsid w:val="009D60E1"/>
    <w:rsid w:val="009D6354"/>
    <w:rsid w:val="009D6381"/>
    <w:rsid w:val="009D64FF"/>
    <w:rsid w:val="009D65E6"/>
    <w:rsid w:val="009D669E"/>
    <w:rsid w:val="009D67E4"/>
    <w:rsid w:val="009D6940"/>
    <w:rsid w:val="009D6B1C"/>
    <w:rsid w:val="009D6C35"/>
    <w:rsid w:val="009D6D10"/>
    <w:rsid w:val="009D6F35"/>
    <w:rsid w:val="009D6FDB"/>
    <w:rsid w:val="009D6FFF"/>
    <w:rsid w:val="009D7036"/>
    <w:rsid w:val="009D716D"/>
    <w:rsid w:val="009D71AA"/>
    <w:rsid w:val="009D749C"/>
    <w:rsid w:val="009D7527"/>
    <w:rsid w:val="009D75A2"/>
    <w:rsid w:val="009D788C"/>
    <w:rsid w:val="009D7892"/>
    <w:rsid w:val="009D7940"/>
    <w:rsid w:val="009D796D"/>
    <w:rsid w:val="009E006D"/>
    <w:rsid w:val="009E00A1"/>
    <w:rsid w:val="009E01A5"/>
    <w:rsid w:val="009E02E3"/>
    <w:rsid w:val="009E02E6"/>
    <w:rsid w:val="009E034B"/>
    <w:rsid w:val="009E03B8"/>
    <w:rsid w:val="009E065D"/>
    <w:rsid w:val="009E0668"/>
    <w:rsid w:val="009E07FA"/>
    <w:rsid w:val="009E0862"/>
    <w:rsid w:val="009E0B02"/>
    <w:rsid w:val="009E0B1D"/>
    <w:rsid w:val="009E0BB4"/>
    <w:rsid w:val="009E0C17"/>
    <w:rsid w:val="009E0C9C"/>
    <w:rsid w:val="009E0D68"/>
    <w:rsid w:val="009E0E59"/>
    <w:rsid w:val="009E137A"/>
    <w:rsid w:val="009E1677"/>
    <w:rsid w:val="009E17B5"/>
    <w:rsid w:val="009E1A2B"/>
    <w:rsid w:val="009E1B5A"/>
    <w:rsid w:val="009E1B72"/>
    <w:rsid w:val="009E2143"/>
    <w:rsid w:val="009E215C"/>
    <w:rsid w:val="009E2243"/>
    <w:rsid w:val="009E2262"/>
    <w:rsid w:val="009E2612"/>
    <w:rsid w:val="009E270C"/>
    <w:rsid w:val="009E27A2"/>
    <w:rsid w:val="009E27DE"/>
    <w:rsid w:val="009E2953"/>
    <w:rsid w:val="009E29DE"/>
    <w:rsid w:val="009E2AD3"/>
    <w:rsid w:val="009E2B15"/>
    <w:rsid w:val="009E2BC5"/>
    <w:rsid w:val="009E2BDF"/>
    <w:rsid w:val="009E2C59"/>
    <w:rsid w:val="009E2CBA"/>
    <w:rsid w:val="009E2CFA"/>
    <w:rsid w:val="009E2E0C"/>
    <w:rsid w:val="009E2E9E"/>
    <w:rsid w:val="009E30B1"/>
    <w:rsid w:val="009E3234"/>
    <w:rsid w:val="009E336D"/>
    <w:rsid w:val="009E339D"/>
    <w:rsid w:val="009E34A3"/>
    <w:rsid w:val="009E34CA"/>
    <w:rsid w:val="009E34D1"/>
    <w:rsid w:val="009E365C"/>
    <w:rsid w:val="009E379A"/>
    <w:rsid w:val="009E383D"/>
    <w:rsid w:val="009E3949"/>
    <w:rsid w:val="009E396B"/>
    <w:rsid w:val="009E3B7A"/>
    <w:rsid w:val="009E3D26"/>
    <w:rsid w:val="009E3E89"/>
    <w:rsid w:val="009E3FB0"/>
    <w:rsid w:val="009E4085"/>
    <w:rsid w:val="009E41BF"/>
    <w:rsid w:val="009E4500"/>
    <w:rsid w:val="009E4579"/>
    <w:rsid w:val="009E45D7"/>
    <w:rsid w:val="009E47E5"/>
    <w:rsid w:val="009E47FF"/>
    <w:rsid w:val="009E4978"/>
    <w:rsid w:val="009E4985"/>
    <w:rsid w:val="009E4987"/>
    <w:rsid w:val="009E4C86"/>
    <w:rsid w:val="009E4CA4"/>
    <w:rsid w:val="009E4D92"/>
    <w:rsid w:val="009E4DC2"/>
    <w:rsid w:val="009E50B1"/>
    <w:rsid w:val="009E5163"/>
    <w:rsid w:val="009E5164"/>
    <w:rsid w:val="009E51A2"/>
    <w:rsid w:val="009E51DA"/>
    <w:rsid w:val="009E53C4"/>
    <w:rsid w:val="009E5507"/>
    <w:rsid w:val="009E563F"/>
    <w:rsid w:val="009E578C"/>
    <w:rsid w:val="009E581F"/>
    <w:rsid w:val="009E5825"/>
    <w:rsid w:val="009E598A"/>
    <w:rsid w:val="009E59A7"/>
    <w:rsid w:val="009E5BBB"/>
    <w:rsid w:val="009E5DF4"/>
    <w:rsid w:val="009E5F1B"/>
    <w:rsid w:val="009E5F74"/>
    <w:rsid w:val="009E5FF5"/>
    <w:rsid w:val="009E606D"/>
    <w:rsid w:val="009E614A"/>
    <w:rsid w:val="009E6227"/>
    <w:rsid w:val="009E62EB"/>
    <w:rsid w:val="009E639C"/>
    <w:rsid w:val="009E65AE"/>
    <w:rsid w:val="009E66A6"/>
    <w:rsid w:val="009E6789"/>
    <w:rsid w:val="009E67A8"/>
    <w:rsid w:val="009E6852"/>
    <w:rsid w:val="009E68B2"/>
    <w:rsid w:val="009E6947"/>
    <w:rsid w:val="009E6ACE"/>
    <w:rsid w:val="009E6D31"/>
    <w:rsid w:val="009E6E63"/>
    <w:rsid w:val="009E6F5D"/>
    <w:rsid w:val="009E7117"/>
    <w:rsid w:val="009E721A"/>
    <w:rsid w:val="009E722C"/>
    <w:rsid w:val="009E729E"/>
    <w:rsid w:val="009E745F"/>
    <w:rsid w:val="009E7681"/>
    <w:rsid w:val="009E78BE"/>
    <w:rsid w:val="009E7938"/>
    <w:rsid w:val="009E7960"/>
    <w:rsid w:val="009E79D3"/>
    <w:rsid w:val="009E79E3"/>
    <w:rsid w:val="009E7A62"/>
    <w:rsid w:val="009E7C83"/>
    <w:rsid w:val="009E7E19"/>
    <w:rsid w:val="009E7EB7"/>
    <w:rsid w:val="009E7FF5"/>
    <w:rsid w:val="009F002D"/>
    <w:rsid w:val="009F0191"/>
    <w:rsid w:val="009F04CD"/>
    <w:rsid w:val="009F0541"/>
    <w:rsid w:val="009F06DB"/>
    <w:rsid w:val="009F074C"/>
    <w:rsid w:val="009F0779"/>
    <w:rsid w:val="009F085F"/>
    <w:rsid w:val="009F0912"/>
    <w:rsid w:val="009F09C1"/>
    <w:rsid w:val="009F0A0D"/>
    <w:rsid w:val="009F0CC9"/>
    <w:rsid w:val="009F0D68"/>
    <w:rsid w:val="009F0D9C"/>
    <w:rsid w:val="009F125E"/>
    <w:rsid w:val="009F146F"/>
    <w:rsid w:val="009F14F5"/>
    <w:rsid w:val="009F1670"/>
    <w:rsid w:val="009F18A6"/>
    <w:rsid w:val="009F18E6"/>
    <w:rsid w:val="009F1933"/>
    <w:rsid w:val="009F1941"/>
    <w:rsid w:val="009F1A46"/>
    <w:rsid w:val="009F1C0D"/>
    <w:rsid w:val="009F1C26"/>
    <w:rsid w:val="009F1EB1"/>
    <w:rsid w:val="009F1F13"/>
    <w:rsid w:val="009F1FDC"/>
    <w:rsid w:val="009F209F"/>
    <w:rsid w:val="009F20E1"/>
    <w:rsid w:val="009F23C6"/>
    <w:rsid w:val="009F23CF"/>
    <w:rsid w:val="009F23F0"/>
    <w:rsid w:val="009F2520"/>
    <w:rsid w:val="009F2530"/>
    <w:rsid w:val="009F2775"/>
    <w:rsid w:val="009F27D6"/>
    <w:rsid w:val="009F2B7C"/>
    <w:rsid w:val="009F2BCA"/>
    <w:rsid w:val="009F2E24"/>
    <w:rsid w:val="009F2EBE"/>
    <w:rsid w:val="009F2ECD"/>
    <w:rsid w:val="009F32A4"/>
    <w:rsid w:val="009F3570"/>
    <w:rsid w:val="009F3763"/>
    <w:rsid w:val="009F3770"/>
    <w:rsid w:val="009F3782"/>
    <w:rsid w:val="009F38A2"/>
    <w:rsid w:val="009F3903"/>
    <w:rsid w:val="009F3983"/>
    <w:rsid w:val="009F3C75"/>
    <w:rsid w:val="009F3CD5"/>
    <w:rsid w:val="009F40B8"/>
    <w:rsid w:val="009F410A"/>
    <w:rsid w:val="009F4136"/>
    <w:rsid w:val="009F43AC"/>
    <w:rsid w:val="009F44BD"/>
    <w:rsid w:val="009F4702"/>
    <w:rsid w:val="009F4734"/>
    <w:rsid w:val="009F47CC"/>
    <w:rsid w:val="009F494A"/>
    <w:rsid w:val="009F4A21"/>
    <w:rsid w:val="009F4B8D"/>
    <w:rsid w:val="009F4E07"/>
    <w:rsid w:val="009F4E86"/>
    <w:rsid w:val="009F5102"/>
    <w:rsid w:val="009F517F"/>
    <w:rsid w:val="009F51D9"/>
    <w:rsid w:val="009F5242"/>
    <w:rsid w:val="009F5383"/>
    <w:rsid w:val="009F5476"/>
    <w:rsid w:val="009F553D"/>
    <w:rsid w:val="009F57BA"/>
    <w:rsid w:val="009F58F5"/>
    <w:rsid w:val="009F5973"/>
    <w:rsid w:val="009F5A14"/>
    <w:rsid w:val="009F5B3B"/>
    <w:rsid w:val="009F5BB7"/>
    <w:rsid w:val="009F5D3E"/>
    <w:rsid w:val="009F5D51"/>
    <w:rsid w:val="009F5DF8"/>
    <w:rsid w:val="009F5E45"/>
    <w:rsid w:val="009F5E59"/>
    <w:rsid w:val="009F5E66"/>
    <w:rsid w:val="009F5E81"/>
    <w:rsid w:val="009F5F09"/>
    <w:rsid w:val="009F6011"/>
    <w:rsid w:val="009F6070"/>
    <w:rsid w:val="009F60AF"/>
    <w:rsid w:val="009F60EE"/>
    <w:rsid w:val="009F6153"/>
    <w:rsid w:val="009F61CF"/>
    <w:rsid w:val="009F6227"/>
    <w:rsid w:val="009F638B"/>
    <w:rsid w:val="009F6875"/>
    <w:rsid w:val="009F68C3"/>
    <w:rsid w:val="009F6B6F"/>
    <w:rsid w:val="009F6BCE"/>
    <w:rsid w:val="009F6DA2"/>
    <w:rsid w:val="009F6FE1"/>
    <w:rsid w:val="009F70FB"/>
    <w:rsid w:val="009F7317"/>
    <w:rsid w:val="009F745E"/>
    <w:rsid w:val="009F748B"/>
    <w:rsid w:val="009F7563"/>
    <w:rsid w:val="009F75BA"/>
    <w:rsid w:val="009F7873"/>
    <w:rsid w:val="009F7A29"/>
    <w:rsid w:val="009F7CA3"/>
    <w:rsid w:val="00A000BF"/>
    <w:rsid w:val="00A000D4"/>
    <w:rsid w:val="00A0018A"/>
    <w:rsid w:val="00A0037E"/>
    <w:rsid w:val="00A0038C"/>
    <w:rsid w:val="00A00552"/>
    <w:rsid w:val="00A00574"/>
    <w:rsid w:val="00A005C9"/>
    <w:rsid w:val="00A0074B"/>
    <w:rsid w:val="00A007C8"/>
    <w:rsid w:val="00A0086E"/>
    <w:rsid w:val="00A009BB"/>
    <w:rsid w:val="00A009DC"/>
    <w:rsid w:val="00A00A01"/>
    <w:rsid w:val="00A00A2A"/>
    <w:rsid w:val="00A00B60"/>
    <w:rsid w:val="00A00C0E"/>
    <w:rsid w:val="00A00CB8"/>
    <w:rsid w:val="00A01194"/>
    <w:rsid w:val="00A01218"/>
    <w:rsid w:val="00A01224"/>
    <w:rsid w:val="00A0127F"/>
    <w:rsid w:val="00A01303"/>
    <w:rsid w:val="00A0130D"/>
    <w:rsid w:val="00A01361"/>
    <w:rsid w:val="00A01505"/>
    <w:rsid w:val="00A01580"/>
    <w:rsid w:val="00A01656"/>
    <w:rsid w:val="00A016D5"/>
    <w:rsid w:val="00A01705"/>
    <w:rsid w:val="00A01877"/>
    <w:rsid w:val="00A01897"/>
    <w:rsid w:val="00A01985"/>
    <w:rsid w:val="00A01B2B"/>
    <w:rsid w:val="00A01BE4"/>
    <w:rsid w:val="00A01C16"/>
    <w:rsid w:val="00A01C30"/>
    <w:rsid w:val="00A01D30"/>
    <w:rsid w:val="00A02463"/>
    <w:rsid w:val="00A025EC"/>
    <w:rsid w:val="00A026CD"/>
    <w:rsid w:val="00A027F3"/>
    <w:rsid w:val="00A02838"/>
    <w:rsid w:val="00A02875"/>
    <w:rsid w:val="00A02A8B"/>
    <w:rsid w:val="00A02B1E"/>
    <w:rsid w:val="00A02B24"/>
    <w:rsid w:val="00A02C4F"/>
    <w:rsid w:val="00A02CB7"/>
    <w:rsid w:val="00A02D02"/>
    <w:rsid w:val="00A02DE1"/>
    <w:rsid w:val="00A02E9C"/>
    <w:rsid w:val="00A02F4D"/>
    <w:rsid w:val="00A030B9"/>
    <w:rsid w:val="00A03156"/>
    <w:rsid w:val="00A0316C"/>
    <w:rsid w:val="00A03444"/>
    <w:rsid w:val="00A0352C"/>
    <w:rsid w:val="00A03627"/>
    <w:rsid w:val="00A0367D"/>
    <w:rsid w:val="00A03681"/>
    <w:rsid w:val="00A0369C"/>
    <w:rsid w:val="00A038C4"/>
    <w:rsid w:val="00A038F9"/>
    <w:rsid w:val="00A039B4"/>
    <w:rsid w:val="00A03A1C"/>
    <w:rsid w:val="00A03B7B"/>
    <w:rsid w:val="00A03EB4"/>
    <w:rsid w:val="00A03F70"/>
    <w:rsid w:val="00A04079"/>
    <w:rsid w:val="00A040E4"/>
    <w:rsid w:val="00A04137"/>
    <w:rsid w:val="00A041B4"/>
    <w:rsid w:val="00A04259"/>
    <w:rsid w:val="00A04413"/>
    <w:rsid w:val="00A04571"/>
    <w:rsid w:val="00A04613"/>
    <w:rsid w:val="00A0464A"/>
    <w:rsid w:val="00A047E4"/>
    <w:rsid w:val="00A04945"/>
    <w:rsid w:val="00A04A09"/>
    <w:rsid w:val="00A04A72"/>
    <w:rsid w:val="00A04AD3"/>
    <w:rsid w:val="00A04B73"/>
    <w:rsid w:val="00A04DDD"/>
    <w:rsid w:val="00A04DFF"/>
    <w:rsid w:val="00A04F38"/>
    <w:rsid w:val="00A05088"/>
    <w:rsid w:val="00A052B5"/>
    <w:rsid w:val="00A052FC"/>
    <w:rsid w:val="00A055B6"/>
    <w:rsid w:val="00A05641"/>
    <w:rsid w:val="00A05821"/>
    <w:rsid w:val="00A05865"/>
    <w:rsid w:val="00A0595D"/>
    <w:rsid w:val="00A05A03"/>
    <w:rsid w:val="00A05B9B"/>
    <w:rsid w:val="00A05C34"/>
    <w:rsid w:val="00A05C4C"/>
    <w:rsid w:val="00A05D1D"/>
    <w:rsid w:val="00A05D86"/>
    <w:rsid w:val="00A05EA2"/>
    <w:rsid w:val="00A05ED5"/>
    <w:rsid w:val="00A05F02"/>
    <w:rsid w:val="00A05F2D"/>
    <w:rsid w:val="00A060A5"/>
    <w:rsid w:val="00A0633C"/>
    <w:rsid w:val="00A063E4"/>
    <w:rsid w:val="00A06404"/>
    <w:rsid w:val="00A06558"/>
    <w:rsid w:val="00A06628"/>
    <w:rsid w:val="00A067FF"/>
    <w:rsid w:val="00A06914"/>
    <w:rsid w:val="00A0694E"/>
    <w:rsid w:val="00A069C9"/>
    <w:rsid w:val="00A06C66"/>
    <w:rsid w:val="00A06E42"/>
    <w:rsid w:val="00A070A4"/>
    <w:rsid w:val="00A0719B"/>
    <w:rsid w:val="00A0725E"/>
    <w:rsid w:val="00A072A3"/>
    <w:rsid w:val="00A072D5"/>
    <w:rsid w:val="00A0737E"/>
    <w:rsid w:val="00A07459"/>
    <w:rsid w:val="00A076CC"/>
    <w:rsid w:val="00A07704"/>
    <w:rsid w:val="00A0790C"/>
    <w:rsid w:val="00A07A44"/>
    <w:rsid w:val="00A07AC7"/>
    <w:rsid w:val="00A07B79"/>
    <w:rsid w:val="00A07CEE"/>
    <w:rsid w:val="00A07D5E"/>
    <w:rsid w:val="00A07F88"/>
    <w:rsid w:val="00A10085"/>
    <w:rsid w:val="00A100D3"/>
    <w:rsid w:val="00A101D7"/>
    <w:rsid w:val="00A102A9"/>
    <w:rsid w:val="00A102AC"/>
    <w:rsid w:val="00A10509"/>
    <w:rsid w:val="00A10815"/>
    <w:rsid w:val="00A10ACA"/>
    <w:rsid w:val="00A10C50"/>
    <w:rsid w:val="00A10EF4"/>
    <w:rsid w:val="00A1120B"/>
    <w:rsid w:val="00A11364"/>
    <w:rsid w:val="00A1137F"/>
    <w:rsid w:val="00A11430"/>
    <w:rsid w:val="00A114F9"/>
    <w:rsid w:val="00A115D9"/>
    <w:rsid w:val="00A1165C"/>
    <w:rsid w:val="00A116F1"/>
    <w:rsid w:val="00A11793"/>
    <w:rsid w:val="00A11AEB"/>
    <w:rsid w:val="00A11B09"/>
    <w:rsid w:val="00A11B10"/>
    <w:rsid w:val="00A11B80"/>
    <w:rsid w:val="00A11EB7"/>
    <w:rsid w:val="00A11F2F"/>
    <w:rsid w:val="00A11FE7"/>
    <w:rsid w:val="00A11FF6"/>
    <w:rsid w:val="00A12309"/>
    <w:rsid w:val="00A12549"/>
    <w:rsid w:val="00A125D6"/>
    <w:rsid w:val="00A1275B"/>
    <w:rsid w:val="00A127C4"/>
    <w:rsid w:val="00A12817"/>
    <w:rsid w:val="00A1289F"/>
    <w:rsid w:val="00A1296C"/>
    <w:rsid w:val="00A129BA"/>
    <w:rsid w:val="00A12A7B"/>
    <w:rsid w:val="00A12CE8"/>
    <w:rsid w:val="00A12D0D"/>
    <w:rsid w:val="00A12DA3"/>
    <w:rsid w:val="00A12DE2"/>
    <w:rsid w:val="00A12F81"/>
    <w:rsid w:val="00A1305A"/>
    <w:rsid w:val="00A130B8"/>
    <w:rsid w:val="00A1316C"/>
    <w:rsid w:val="00A1331D"/>
    <w:rsid w:val="00A13356"/>
    <w:rsid w:val="00A13392"/>
    <w:rsid w:val="00A133D8"/>
    <w:rsid w:val="00A13795"/>
    <w:rsid w:val="00A13871"/>
    <w:rsid w:val="00A13A1C"/>
    <w:rsid w:val="00A13A93"/>
    <w:rsid w:val="00A13A97"/>
    <w:rsid w:val="00A13B05"/>
    <w:rsid w:val="00A13B5A"/>
    <w:rsid w:val="00A13C46"/>
    <w:rsid w:val="00A13C8F"/>
    <w:rsid w:val="00A13CBB"/>
    <w:rsid w:val="00A13D9B"/>
    <w:rsid w:val="00A13F1D"/>
    <w:rsid w:val="00A1416F"/>
    <w:rsid w:val="00A14225"/>
    <w:rsid w:val="00A148F3"/>
    <w:rsid w:val="00A14A0F"/>
    <w:rsid w:val="00A14AFD"/>
    <w:rsid w:val="00A14BB8"/>
    <w:rsid w:val="00A14E53"/>
    <w:rsid w:val="00A14FBC"/>
    <w:rsid w:val="00A151E3"/>
    <w:rsid w:val="00A152A6"/>
    <w:rsid w:val="00A15383"/>
    <w:rsid w:val="00A15433"/>
    <w:rsid w:val="00A15527"/>
    <w:rsid w:val="00A15580"/>
    <w:rsid w:val="00A15596"/>
    <w:rsid w:val="00A15733"/>
    <w:rsid w:val="00A157B8"/>
    <w:rsid w:val="00A15866"/>
    <w:rsid w:val="00A15A17"/>
    <w:rsid w:val="00A15A82"/>
    <w:rsid w:val="00A15D02"/>
    <w:rsid w:val="00A15D4C"/>
    <w:rsid w:val="00A1608A"/>
    <w:rsid w:val="00A16259"/>
    <w:rsid w:val="00A162FC"/>
    <w:rsid w:val="00A163BE"/>
    <w:rsid w:val="00A16449"/>
    <w:rsid w:val="00A16473"/>
    <w:rsid w:val="00A16540"/>
    <w:rsid w:val="00A1671C"/>
    <w:rsid w:val="00A16769"/>
    <w:rsid w:val="00A168DB"/>
    <w:rsid w:val="00A16C2A"/>
    <w:rsid w:val="00A16D11"/>
    <w:rsid w:val="00A16DF2"/>
    <w:rsid w:val="00A16EC5"/>
    <w:rsid w:val="00A17062"/>
    <w:rsid w:val="00A1706A"/>
    <w:rsid w:val="00A17108"/>
    <w:rsid w:val="00A1712E"/>
    <w:rsid w:val="00A17280"/>
    <w:rsid w:val="00A172A3"/>
    <w:rsid w:val="00A173B5"/>
    <w:rsid w:val="00A173D8"/>
    <w:rsid w:val="00A1740C"/>
    <w:rsid w:val="00A17454"/>
    <w:rsid w:val="00A17470"/>
    <w:rsid w:val="00A1773D"/>
    <w:rsid w:val="00A1778F"/>
    <w:rsid w:val="00A1781C"/>
    <w:rsid w:val="00A17C4B"/>
    <w:rsid w:val="00A17C5F"/>
    <w:rsid w:val="00A17CDA"/>
    <w:rsid w:val="00A17D2D"/>
    <w:rsid w:val="00A2002A"/>
    <w:rsid w:val="00A200CB"/>
    <w:rsid w:val="00A2017D"/>
    <w:rsid w:val="00A2021E"/>
    <w:rsid w:val="00A20430"/>
    <w:rsid w:val="00A20891"/>
    <w:rsid w:val="00A2093C"/>
    <w:rsid w:val="00A209CE"/>
    <w:rsid w:val="00A20A15"/>
    <w:rsid w:val="00A20ADF"/>
    <w:rsid w:val="00A20BB7"/>
    <w:rsid w:val="00A20E72"/>
    <w:rsid w:val="00A20EC7"/>
    <w:rsid w:val="00A20F0C"/>
    <w:rsid w:val="00A20F71"/>
    <w:rsid w:val="00A211CA"/>
    <w:rsid w:val="00A215EC"/>
    <w:rsid w:val="00A216B6"/>
    <w:rsid w:val="00A216D4"/>
    <w:rsid w:val="00A21745"/>
    <w:rsid w:val="00A21763"/>
    <w:rsid w:val="00A21854"/>
    <w:rsid w:val="00A21956"/>
    <w:rsid w:val="00A219B7"/>
    <w:rsid w:val="00A21A6B"/>
    <w:rsid w:val="00A21AD5"/>
    <w:rsid w:val="00A21E81"/>
    <w:rsid w:val="00A221DA"/>
    <w:rsid w:val="00A223B5"/>
    <w:rsid w:val="00A2242A"/>
    <w:rsid w:val="00A224FE"/>
    <w:rsid w:val="00A22859"/>
    <w:rsid w:val="00A22910"/>
    <w:rsid w:val="00A22919"/>
    <w:rsid w:val="00A22A7E"/>
    <w:rsid w:val="00A22BBB"/>
    <w:rsid w:val="00A22C15"/>
    <w:rsid w:val="00A22E05"/>
    <w:rsid w:val="00A22EFC"/>
    <w:rsid w:val="00A22F67"/>
    <w:rsid w:val="00A22FCE"/>
    <w:rsid w:val="00A23045"/>
    <w:rsid w:val="00A2348E"/>
    <w:rsid w:val="00A234E7"/>
    <w:rsid w:val="00A235E6"/>
    <w:rsid w:val="00A2382C"/>
    <w:rsid w:val="00A2390C"/>
    <w:rsid w:val="00A23928"/>
    <w:rsid w:val="00A23A58"/>
    <w:rsid w:val="00A23C0F"/>
    <w:rsid w:val="00A23D62"/>
    <w:rsid w:val="00A23DDE"/>
    <w:rsid w:val="00A23DF8"/>
    <w:rsid w:val="00A23E93"/>
    <w:rsid w:val="00A23F06"/>
    <w:rsid w:val="00A23F07"/>
    <w:rsid w:val="00A23FB8"/>
    <w:rsid w:val="00A241D9"/>
    <w:rsid w:val="00A245B4"/>
    <w:rsid w:val="00A2483E"/>
    <w:rsid w:val="00A249B0"/>
    <w:rsid w:val="00A24C70"/>
    <w:rsid w:val="00A24ED8"/>
    <w:rsid w:val="00A24F60"/>
    <w:rsid w:val="00A250EF"/>
    <w:rsid w:val="00A25106"/>
    <w:rsid w:val="00A2518C"/>
    <w:rsid w:val="00A251F2"/>
    <w:rsid w:val="00A25533"/>
    <w:rsid w:val="00A256BF"/>
    <w:rsid w:val="00A256E4"/>
    <w:rsid w:val="00A2587D"/>
    <w:rsid w:val="00A258AF"/>
    <w:rsid w:val="00A2594D"/>
    <w:rsid w:val="00A25A47"/>
    <w:rsid w:val="00A25BCB"/>
    <w:rsid w:val="00A25CB9"/>
    <w:rsid w:val="00A25D0E"/>
    <w:rsid w:val="00A25DA3"/>
    <w:rsid w:val="00A25DFB"/>
    <w:rsid w:val="00A25E35"/>
    <w:rsid w:val="00A25E6B"/>
    <w:rsid w:val="00A26008"/>
    <w:rsid w:val="00A26276"/>
    <w:rsid w:val="00A26389"/>
    <w:rsid w:val="00A2646E"/>
    <w:rsid w:val="00A2667E"/>
    <w:rsid w:val="00A266C9"/>
    <w:rsid w:val="00A26818"/>
    <w:rsid w:val="00A26943"/>
    <w:rsid w:val="00A26B17"/>
    <w:rsid w:val="00A26BDA"/>
    <w:rsid w:val="00A26CCF"/>
    <w:rsid w:val="00A26DDD"/>
    <w:rsid w:val="00A26DF8"/>
    <w:rsid w:val="00A26F27"/>
    <w:rsid w:val="00A27244"/>
    <w:rsid w:val="00A2727B"/>
    <w:rsid w:val="00A273C1"/>
    <w:rsid w:val="00A2742E"/>
    <w:rsid w:val="00A276CB"/>
    <w:rsid w:val="00A276CC"/>
    <w:rsid w:val="00A277D1"/>
    <w:rsid w:val="00A279FC"/>
    <w:rsid w:val="00A27D0B"/>
    <w:rsid w:val="00A27EE3"/>
    <w:rsid w:val="00A27F34"/>
    <w:rsid w:val="00A300AF"/>
    <w:rsid w:val="00A30103"/>
    <w:rsid w:val="00A30143"/>
    <w:rsid w:val="00A3019D"/>
    <w:rsid w:val="00A3029D"/>
    <w:rsid w:val="00A303B8"/>
    <w:rsid w:val="00A30527"/>
    <w:rsid w:val="00A3067B"/>
    <w:rsid w:val="00A307DC"/>
    <w:rsid w:val="00A307F1"/>
    <w:rsid w:val="00A30A29"/>
    <w:rsid w:val="00A30BD1"/>
    <w:rsid w:val="00A30C14"/>
    <w:rsid w:val="00A30D6F"/>
    <w:rsid w:val="00A31030"/>
    <w:rsid w:val="00A310E9"/>
    <w:rsid w:val="00A31203"/>
    <w:rsid w:val="00A31232"/>
    <w:rsid w:val="00A3151E"/>
    <w:rsid w:val="00A316F4"/>
    <w:rsid w:val="00A31802"/>
    <w:rsid w:val="00A3188B"/>
    <w:rsid w:val="00A31C28"/>
    <w:rsid w:val="00A31D2B"/>
    <w:rsid w:val="00A31DFE"/>
    <w:rsid w:val="00A31EF1"/>
    <w:rsid w:val="00A31FDD"/>
    <w:rsid w:val="00A32004"/>
    <w:rsid w:val="00A320AF"/>
    <w:rsid w:val="00A32114"/>
    <w:rsid w:val="00A321F1"/>
    <w:rsid w:val="00A322AC"/>
    <w:rsid w:val="00A325B7"/>
    <w:rsid w:val="00A326FB"/>
    <w:rsid w:val="00A32ACE"/>
    <w:rsid w:val="00A32AD9"/>
    <w:rsid w:val="00A32B27"/>
    <w:rsid w:val="00A32C25"/>
    <w:rsid w:val="00A32C96"/>
    <w:rsid w:val="00A32D37"/>
    <w:rsid w:val="00A32D6B"/>
    <w:rsid w:val="00A32DC7"/>
    <w:rsid w:val="00A32F00"/>
    <w:rsid w:val="00A3321A"/>
    <w:rsid w:val="00A33357"/>
    <w:rsid w:val="00A33572"/>
    <w:rsid w:val="00A33582"/>
    <w:rsid w:val="00A337FB"/>
    <w:rsid w:val="00A338F6"/>
    <w:rsid w:val="00A3395E"/>
    <w:rsid w:val="00A33A3E"/>
    <w:rsid w:val="00A33ADA"/>
    <w:rsid w:val="00A33B84"/>
    <w:rsid w:val="00A33C65"/>
    <w:rsid w:val="00A33CB4"/>
    <w:rsid w:val="00A33EC7"/>
    <w:rsid w:val="00A33FD6"/>
    <w:rsid w:val="00A34025"/>
    <w:rsid w:val="00A34039"/>
    <w:rsid w:val="00A3412B"/>
    <w:rsid w:val="00A341BB"/>
    <w:rsid w:val="00A342A1"/>
    <w:rsid w:val="00A343E4"/>
    <w:rsid w:val="00A3442D"/>
    <w:rsid w:val="00A34431"/>
    <w:rsid w:val="00A34697"/>
    <w:rsid w:val="00A34A29"/>
    <w:rsid w:val="00A35011"/>
    <w:rsid w:val="00A35171"/>
    <w:rsid w:val="00A351FA"/>
    <w:rsid w:val="00A35458"/>
    <w:rsid w:val="00A35485"/>
    <w:rsid w:val="00A3569F"/>
    <w:rsid w:val="00A35773"/>
    <w:rsid w:val="00A3592F"/>
    <w:rsid w:val="00A359B3"/>
    <w:rsid w:val="00A359CD"/>
    <w:rsid w:val="00A35A06"/>
    <w:rsid w:val="00A35C32"/>
    <w:rsid w:val="00A35C6A"/>
    <w:rsid w:val="00A35D23"/>
    <w:rsid w:val="00A35ED9"/>
    <w:rsid w:val="00A35EE0"/>
    <w:rsid w:val="00A35FA6"/>
    <w:rsid w:val="00A3608A"/>
    <w:rsid w:val="00A361C1"/>
    <w:rsid w:val="00A361C3"/>
    <w:rsid w:val="00A36252"/>
    <w:rsid w:val="00A3637D"/>
    <w:rsid w:val="00A36421"/>
    <w:rsid w:val="00A36487"/>
    <w:rsid w:val="00A364B3"/>
    <w:rsid w:val="00A3659C"/>
    <w:rsid w:val="00A366BD"/>
    <w:rsid w:val="00A36907"/>
    <w:rsid w:val="00A369CF"/>
    <w:rsid w:val="00A36B17"/>
    <w:rsid w:val="00A36B9F"/>
    <w:rsid w:val="00A36C39"/>
    <w:rsid w:val="00A36DBE"/>
    <w:rsid w:val="00A370BC"/>
    <w:rsid w:val="00A37123"/>
    <w:rsid w:val="00A372BA"/>
    <w:rsid w:val="00A374C3"/>
    <w:rsid w:val="00A3764F"/>
    <w:rsid w:val="00A37729"/>
    <w:rsid w:val="00A37735"/>
    <w:rsid w:val="00A37775"/>
    <w:rsid w:val="00A378F3"/>
    <w:rsid w:val="00A379D7"/>
    <w:rsid w:val="00A37A33"/>
    <w:rsid w:val="00A37A5A"/>
    <w:rsid w:val="00A37BC9"/>
    <w:rsid w:val="00A37FE7"/>
    <w:rsid w:val="00A37FEE"/>
    <w:rsid w:val="00A4010F"/>
    <w:rsid w:val="00A40184"/>
    <w:rsid w:val="00A40277"/>
    <w:rsid w:val="00A402C1"/>
    <w:rsid w:val="00A40383"/>
    <w:rsid w:val="00A403FB"/>
    <w:rsid w:val="00A40469"/>
    <w:rsid w:val="00A4050A"/>
    <w:rsid w:val="00A407B2"/>
    <w:rsid w:val="00A408E0"/>
    <w:rsid w:val="00A408F1"/>
    <w:rsid w:val="00A40917"/>
    <w:rsid w:val="00A4094F"/>
    <w:rsid w:val="00A40BF0"/>
    <w:rsid w:val="00A40C9B"/>
    <w:rsid w:val="00A40E23"/>
    <w:rsid w:val="00A40E35"/>
    <w:rsid w:val="00A40F14"/>
    <w:rsid w:val="00A41094"/>
    <w:rsid w:val="00A41170"/>
    <w:rsid w:val="00A411FA"/>
    <w:rsid w:val="00A41599"/>
    <w:rsid w:val="00A41753"/>
    <w:rsid w:val="00A41772"/>
    <w:rsid w:val="00A419DC"/>
    <w:rsid w:val="00A419FF"/>
    <w:rsid w:val="00A41B1D"/>
    <w:rsid w:val="00A41B27"/>
    <w:rsid w:val="00A41B52"/>
    <w:rsid w:val="00A41BFE"/>
    <w:rsid w:val="00A41D7D"/>
    <w:rsid w:val="00A41E8D"/>
    <w:rsid w:val="00A41FA4"/>
    <w:rsid w:val="00A41FDA"/>
    <w:rsid w:val="00A41FE8"/>
    <w:rsid w:val="00A41FFD"/>
    <w:rsid w:val="00A42199"/>
    <w:rsid w:val="00A42230"/>
    <w:rsid w:val="00A4279E"/>
    <w:rsid w:val="00A42AA4"/>
    <w:rsid w:val="00A42AEC"/>
    <w:rsid w:val="00A42B50"/>
    <w:rsid w:val="00A42BB7"/>
    <w:rsid w:val="00A42CB0"/>
    <w:rsid w:val="00A42E83"/>
    <w:rsid w:val="00A42EC0"/>
    <w:rsid w:val="00A42FC9"/>
    <w:rsid w:val="00A430EC"/>
    <w:rsid w:val="00A43159"/>
    <w:rsid w:val="00A43308"/>
    <w:rsid w:val="00A43522"/>
    <w:rsid w:val="00A436CF"/>
    <w:rsid w:val="00A43767"/>
    <w:rsid w:val="00A43897"/>
    <w:rsid w:val="00A43B2A"/>
    <w:rsid w:val="00A43C77"/>
    <w:rsid w:val="00A43CBD"/>
    <w:rsid w:val="00A43D0A"/>
    <w:rsid w:val="00A43DE3"/>
    <w:rsid w:val="00A44202"/>
    <w:rsid w:val="00A44429"/>
    <w:rsid w:val="00A44498"/>
    <w:rsid w:val="00A444B4"/>
    <w:rsid w:val="00A4453E"/>
    <w:rsid w:val="00A4454B"/>
    <w:rsid w:val="00A44599"/>
    <w:rsid w:val="00A446AA"/>
    <w:rsid w:val="00A4470C"/>
    <w:rsid w:val="00A448BC"/>
    <w:rsid w:val="00A448E7"/>
    <w:rsid w:val="00A4494F"/>
    <w:rsid w:val="00A44AAB"/>
    <w:rsid w:val="00A44AED"/>
    <w:rsid w:val="00A44DFC"/>
    <w:rsid w:val="00A44EC1"/>
    <w:rsid w:val="00A44F4D"/>
    <w:rsid w:val="00A45181"/>
    <w:rsid w:val="00A4519C"/>
    <w:rsid w:val="00A4529C"/>
    <w:rsid w:val="00A4529D"/>
    <w:rsid w:val="00A454B3"/>
    <w:rsid w:val="00A4558C"/>
    <w:rsid w:val="00A4570D"/>
    <w:rsid w:val="00A45809"/>
    <w:rsid w:val="00A4581A"/>
    <w:rsid w:val="00A45966"/>
    <w:rsid w:val="00A45B2C"/>
    <w:rsid w:val="00A45DB7"/>
    <w:rsid w:val="00A45E52"/>
    <w:rsid w:val="00A46032"/>
    <w:rsid w:val="00A46038"/>
    <w:rsid w:val="00A46142"/>
    <w:rsid w:val="00A46160"/>
    <w:rsid w:val="00A462A7"/>
    <w:rsid w:val="00A465B4"/>
    <w:rsid w:val="00A46652"/>
    <w:rsid w:val="00A46737"/>
    <w:rsid w:val="00A4689F"/>
    <w:rsid w:val="00A469D4"/>
    <w:rsid w:val="00A46C1A"/>
    <w:rsid w:val="00A46CCE"/>
    <w:rsid w:val="00A46D15"/>
    <w:rsid w:val="00A46F7C"/>
    <w:rsid w:val="00A4713D"/>
    <w:rsid w:val="00A47660"/>
    <w:rsid w:val="00A47721"/>
    <w:rsid w:val="00A47761"/>
    <w:rsid w:val="00A4777C"/>
    <w:rsid w:val="00A47990"/>
    <w:rsid w:val="00A479F9"/>
    <w:rsid w:val="00A47CAE"/>
    <w:rsid w:val="00A47E37"/>
    <w:rsid w:val="00A47E4B"/>
    <w:rsid w:val="00A47E5E"/>
    <w:rsid w:val="00A47EDD"/>
    <w:rsid w:val="00A500B5"/>
    <w:rsid w:val="00A50116"/>
    <w:rsid w:val="00A501C9"/>
    <w:rsid w:val="00A502F9"/>
    <w:rsid w:val="00A503DC"/>
    <w:rsid w:val="00A504A0"/>
    <w:rsid w:val="00A506AE"/>
    <w:rsid w:val="00A50720"/>
    <w:rsid w:val="00A50A2E"/>
    <w:rsid w:val="00A50A97"/>
    <w:rsid w:val="00A50E1B"/>
    <w:rsid w:val="00A51118"/>
    <w:rsid w:val="00A511F8"/>
    <w:rsid w:val="00A51577"/>
    <w:rsid w:val="00A516EA"/>
    <w:rsid w:val="00A51782"/>
    <w:rsid w:val="00A517F2"/>
    <w:rsid w:val="00A51872"/>
    <w:rsid w:val="00A518E5"/>
    <w:rsid w:val="00A51ACE"/>
    <w:rsid w:val="00A51D12"/>
    <w:rsid w:val="00A51EDD"/>
    <w:rsid w:val="00A51F58"/>
    <w:rsid w:val="00A51F99"/>
    <w:rsid w:val="00A5200B"/>
    <w:rsid w:val="00A52175"/>
    <w:rsid w:val="00A52310"/>
    <w:rsid w:val="00A52539"/>
    <w:rsid w:val="00A525E1"/>
    <w:rsid w:val="00A529B4"/>
    <w:rsid w:val="00A52A08"/>
    <w:rsid w:val="00A52B4A"/>
    <w:rsid w:val="00A52EDA"/>
    <w:rsid w:val="00A5301E"/>
    <w:rsid w:val="00A53171"/>
    <w:rsid w:val="00A5323B"/>
    <w:rsid w:val="00A53389"/>
    <w:rsid w:val="00A5340B"/>
    <w:rsid w:val="00A53467"/>
    <w:rsid w:val="00A536F7"/>
    <w:rsid w:val="00A53821"/>
    <w:rsid w:val="00A538B4"/>
    <w:rsid w:val="00A539A2"/>
    <w:rsid w:val="00A53C8D"/>
    <w:rsid w:val="00A53D52"/>
    <w:rsid w:val="00A53D99"/>
    <w:rsid w:val="00A53E59"/>
    <w:rsid w:val="00A5435D"/>
    <w:rsid w:val="00A5466D"/>
    <w:rsid w:val="00A5469A"/>
    <w:rsid w:val="00A54951"/>
    <w:rsid w:val="00A54AB6"/>
    <w:rsid w:val="00A54DA2"/>
    <w:rsid w:val="00A54E36"/>
    <w:rsid w:val="00A54FB4"/>
    <w:rsid w:val="00A55162"/>
    <w:rsid w:val="00A551DE"/>
    <w:rsid w:val="00A55343"/>
    <w:rsid w:val="00A55899"/>
    <w:rsid w:val="00A55BEE"/>
    <w:rsid w:val="00A55C16"/>
    <w:rsid w:val="00A55F0A"/>
    <w:rsid w:val="00A55FDA"/>
    <w:rsid w:val="00A5609A"/>
    <w:rsid w:val="00A560A1"/>
    <w:rsid w:val="00A561FA"/>
    <w:rsid w:val="00A562DA"/>
    <w:rsid w:val="00A562F5"/>
    <w:rsid w:val="00A5642B"/>
    <w:rsid w:val="00A56537"/>
    <w:rsid w:val="00A56558"/>
    <w:rsid w:val="00A56627"/>
    <w:rsid w:val="00A56718"/>
    <w:rsid w:val="00A567CB"/>
    <w:rsid w:val="00A567ED"/>
    <w:rsid w:val="00A568FE"/>
    <w:rsid w:val="00A56915"/>
    <w:rsid w:val="00A56A8C"/>
    <w:rsid w:val="00A56A8D"/>
    <w:rsid w:val="00A56C60"/>
    <w:rsid w:val="00A56CC5"/>
    <w:rsid w:val="00A56CF4"/>
    <w:rsid w:val="00A56DE0"/>
    <w:rsid w:val="00A57366"/>
    <w:rsid w:val="00A577A6"/>
    <w:rsid w:val="00A577C8"/>
    <w:rsid w:val="00A579EF"/>
    <w:rsid w:val="00A57B08"/>
    <w:rsid w:val="00A57B0C"/>
    <w:rsid w:val="00A57C38"/>
    <w:rsid w:val="00A57E55"/>
    <w:rsid w:val="00A57FD9"/>
    <w:rsid w:val="00A6007A"/>
    <w:rsid w:val="00A600F7"/>
    <w:rsid w:val="00A6027E"/>
    <w:rsid w:val="00A60313"/>
    <w:rsid w:val="00A604D7"/>
    <w:rsid w:val="00A605E5"/>
    <w:rsid w:val="00A60810"/>
    <w:rsid w:val="00A60816"/>
    <w:rsid w:val="00A60A49"/>
    <w:rsid w:val="00A60B4B"/>
    <w:rsid w:val="00A6106A"/>
    <w:rsid w:val="00A610BF"/>
    <w:rsid w:val="00A61109"/>
    <w:rsid w:val="00A61199"/>
    <w:rsid w:val="00A6131E"/>
    <w:rsid w:val="00A6147E"/>
    <w:rsid w:val="00A61635"/>
    <w:rsid w:val="00A618DA"/>
    <w:rsid w:val="00A6194F"/>
    <w:rsid w:val="00A61AD9"/>
    <w:rsid w:val="00A61BAF"/>
    <w:rsid w:val="00A61CA9"/>
    <w:rsid w:val="00A61CED"/>
    <w:rsid w:val="00A61F86"/>
    <w:rsid w:val="00A62043"/>
    <w:rsid w:val="00A62083"/>
    <w:rsid w:val="00A62394"/>
    <w:rsid w:val="00A623D1"/>
    <w:rsid w:val="00A626CE"/>
    <w:rsid w:val="00A62A35"/>
    <w:rsid w:val="00A62B49"/>
    <w:rsid w:val="00A62C68"/>
    <w:rsid w:val="00A62DAF"/>
    <w:rsid w:val="00A62F71"/>
    <w:rsid w:val="00A63134"/>
    <w:rsid w:val="00A6316C"/>
    <w:rsid w:val="00A6317A"/>
    <w:rsid w:val="00A6367F"/>
    <w:rsid w:val="00A63B7F"/>
    <w:rsid w:val="00A63C18"/>
    <w:rsid w:val="00A63D50"/>
    <w:rsid w:val="00A63D51"/>
    <w:rsid w:val="00A63E6D"/>
    <w:rsid w:val="00A63E8B"/>
    <w:rsid w:val="00A63EA7"/>
    <w:rsid w:val="00A63F17"/>
    <w:rsid w:val="00A63F4E"/>
    <w:rsid w:val="00A64013"/>
    <w:rsid w:val="00A6406D"/>
    <w:rsid w:val="00A64556"/>
    <w:rsid w:val="00A64597"/>
    <w:rsid w:val="00A64626"/>
    <w:rsid w:val="00A64643"/>
    <w:rsid w:val="00A64644"/>
    <w:rsid w:val="00A64749"/>
    <w:rsid w:val="00A64844"/>
    <w:rsid w:val="00A6488F"/>
    <w:rsid w:val="00A64A7C"/>
    <w:rsid w:val="00A64B04"/>
    <w:rsid w:val="00A64B22"/>
    <w:rsid w:val="00A64C47"/>
    <w:rsid w:val="00A64C93"/>
    <w:rsid w:val="00A64D16"/>
    <w:rsid w:val="00A64E73"/>
    <w:rsid w:val="00A64F7B"/>
    <w:rsid w:val="00A64F95"/>
    <w:rsid w:val="00A65074"/>
    <w:rsid w:val="00A65227"/>
    <w:rsid w:val="00A65321"/>
    <w:rsid w:val="00A655B3"/>
    <w:rsid w:val="00A6578D"/>
    <w:rsid w:val="00A65867"/>
    <w:rsid w:val="00A658C9"/>
    <w:rsid w:val="00A6591F"/>
    <w:rsid w:val="00A65A3A"/>
    <w:rsid w:val="00A65B79"/>
    <w:rsid w:val="00A65BB3"/>
    <w:rsid w:val="00A65C3A"/>
    <w:rsid w:val="00A65D9E"/>
    <w:rsid w:val="00A65F4B"/>
    <w:rsid w:val="00A660A2"/>
    <w:rsid w:val="00A6613C"/>
    <w:rsid w:val="00A66229"/>
    <w:rsid w:val="00A66254"/>
    <w:rsid w:val="00A662A0"/>
    <w:rsid w:val="00A662A5"/>
    <w:rsid w:val="00A662DC"/>
    <w:rsid w:val="00A6686D"/>
    <w:rsid w:val="00A66912"/>
    <w:rsid w:val="00A66A4C"/>
    <w:rsid w:val="00A66BBC"/>
    <w:rsid w:val="00A66CD1"/>
    <w:rsid w:val="00A66F91"/>
    <w:rsid w:val="00A67046"/>
    <w:rsid w:val="00A6713D"/>
    <w:rsid w:val="00A67344"/>
    <w:rsid w:val="00A6734C"/>
    <w:rsid w:val="00A67393"/>
    <w:rsid w:val="00A673B4"/>
    <w:rsid w:val="00A6741B"/>
    <w:rsid w:val="00A67438"/>
    <w:rsid w:val="00A67692"/>
    <w:rsid w:val="00A676E5"/>
    <w:rsid w:val="00A676F8"/>
    <w:rsid w:val="00A67736"/>
    <w:rsid w:val="00A6791A"/>
    <w:rsid w:val="00A67930"/>
    <w:rsid w:val="00A679E7"/>
    <w:rsid w:val="00A679EF"/>
    <w:rsid w:val="00A67C6A"/>
    <w:rsid w:val="00A67E74"/>
    <w:rsid w:val="00A67F2E"/>
    <w:rsid w:val="00A67F84"/>
    <w:rsid w:val="00A7008C"/>
    <w:rsid w:val="00A700D9"/>
    <w:rsid w:val="00A7010E"/>
    <w:rsid w:val="00A70456"/>
    <w:rsid w:val="00A70487"/>
    <w:rsid w:val="00A70552"/>
    <w:rsid w:val="00A70610"/>
    <w:rsid w:val="00A70943"/>
    <w:rsid w:val="00A709C3"/>
    <w:rsid w:val="00A70A4E"/>
    <w:rsid w:val="00A70B1E"/>
    <w:rsid w:val="00A70B52"/>
    <w:rsid w:val="00A70CDE"/>
    <w:rsid w:val="00A70D50"/>
    <w:rsid w:val="00A710A5"/>
    <w:rsid w:val="00A7122D"/>
    <w:rsid w:val="00A7128D"/>
    <w:rsid w:val="00A713BB"/>
    <w:rsid w:val="00A713EB"/>
    <w:rsid w:val="00A715C2"/>
    <w:rsid w:val="00A7170F"/>
    <w:rsid w:val="00A717AE"/>
    <w:rsid w:val="00A7191B"/>
    <w:rsid w:val="00A71C99"/>
    <w:rsid w:val="00A71D78"/>
    <w:rsid w:val="00A71ED7"/>
    <w:rsid w:val="00A72028"/>
    <w:rsid w:val="00A720C3"/>
    <w:rsid w:val="00A721D8"/>
    <w:rsid w:val="00A722B4"/>
    <w:rsid w:val="00A722C4"/>
    <w:rsid w:val="00A722DA"/>
    <w:rsid w:val="00A7276B"/>
    <w:rsid w:val="00A728A6"/>
    <w:rsid w:val="00A72943"/>
    <w:rsid w:val="00A72A39"/>
    <w:rsid w:val="00A72B27"/>
    <w:rsid w:val="00A72C34"/>
    <w:rsid w:val="00A72C47"/>
    <w:rsid w:val="00A72D74"/>
    <w:rsid w:val="00A72E12"/>
    <w:rsid w:val="00A72E21"/>
    <w:rsid w:val="00A72E36"/>
    <w:rsid w:val="00A72EED"/>
    <w:rsid w:val="00A72FFC"/>
    <w:rsid w:val="00A7307D"/>
    <w:rsid w:val="00A730DE"/>
    <w:rsid w:val="00A7317B"/>
    <w:rsid w:val="00A733F9"/>
    <w:rsid w:val="00A7341C"/>
    <w:rsid w:val="00A73584"/>
    <w:rsid w:val="00A735A9"/>
    <w:rsid w:val="00A7364F"/>
    <w:rsid w:val="00A73656"/>
    <w:rsid w:val="00A73735"/>
    <w:rsid w:val="00A738C9"/>
    <w:rsid w:val="00A738DA"/>
    <w:rsid w:val="00A7396B"/>
    <w:rsid w:val="00A73A5B"/>
    <w:rsid w:val="00A73C35"/>
    <w:rsid w:val="00A73D8F"/>
    <w:rsid w:val="00A73F92"/>
    <w:rsid w:val="00A740EF"/>
    <w:rsid w:val="00A74226"/>
    <w:rsid w:val="00A74290"/>
    <w:rsid w:val="00A74341"/>
    <w:rsid w:val="00A743B4"/>
    <w:rsid w:val="00A743DD"/>
    <w:rsid w:val="00A744D2"/>
    <w:rsid w:val="00A74725"/>
    <w:rsid w:val="00A7481F"/>
    <w:rsid w:val="00A74893"/>
    <w:rsid w:val="00A749D7"/>
    <w:rsid w:val="00A74CA1"/>
    <w:rsid w:val="00A74CA6"/>
    <w:rsid w:val="00A75038"/>
    <w:rsid w:val="00A75299"/>
    <w:rsid w:val="00A75443"/>
    <w:rsid w:val="00A757B0"/>
    <w:rsid w:val="00A75908"/>
    <w:rsid w:val="00A759CB"/>
    <w:rsid w:val="00A75B8D"/>
    <w:rsid w:val="00A75CBB"/>
    <w:rsid w:val="00A75D4C"/>
    <w:rsid w:val="00A760F9"/>
    <w:rsid w:val="00A7625D"/>
    <w:rsid w:val="00A762D6"/>
    <w:rsid w:val="00A76351"/>
    <w:rsid w:val="00A76455"/>
    <w:rsid w:val="00A76523"/>
    <w:rsid w:val="00A76761"/>
    <w:rsid w:val="00A7685F"/>
    <w:rsid w:val="00A76882"/>
    <w:rsid w:val="00A76960"/>
    <w:rsid w:val="00A769A0"/>
    <w:rsid w:val="00A76AC4"/>
    <w:rsid w:val="00A76AF3"/>
    <w:rsid w:val="00A76B4F"/>
    <w:rsid w:val="00A76D09"/>
    <w:rsid w:val="00A76D9C"/>
    <w:rsid w:val="00A76DD2"/>
    <w:rsid w:val="00A76E9B"/>
    <w:rsid w:val="00A76EE3"/>
    <w:rsid w:val="00A76F3E"/>
    <w:rsid w:val="00A76F83"/>
    <w:rsid w:val="00A7717B"/>
    <w:rsid w:val="00A772B5"/>
    <w:rsid w:val="00A773E7"/>
    <w:rsid w:val="00A77405"/>
    <w:rsid w:val="00A7745E"/>
    <w:rsid w:val="00A77512"/>
    <w:rsid w:val="00A77518"/>
    <w:rsid w:val="00A776A4"/>
    <w:rsid w:val="00A777C8"/>
    <w:rsid w:val="00A77B8A"/>
    <w:rsid w:val="00A8025A"/>
    <w:rsid w:val="00A80400"/>
    <w:rsid w:val="00A80451"/>
    <w:rsid w:val="00A80483"/>
    <w:rsid w:val="00A8049D"/>
    <w:rsid w:val="00A80560"/>
    <w:rsid w:val="00A80666"/>
    <w:rsid w:val="00A8082A"/>
    <w:rsid w:val="00A80AE2"/>
    <w:rsid w:val="00A80B96"/>
    <w:rsid w:val="00A80ECA"/>
    <w:rsid w:val="00A80ECF"/>
    <w:rsid w:val="00A81289"/>
    <w:rsid w:val="00A81300"/>
    <w:rsid w:val="00A81482"/>
    <w:rsid w:val="00A81520"/>
    <w:rsid w:val="00A81646"/>
    <w:rsid w:val="00A8165B"/>
    <w:rsid w:val="00A81831"/>
    <w:rsid w:val="00A8194B"/>
    <w:rsid w:val="00A81AC4"/>
    <w:rsid w:val="00A81AD6"/>
    <w:rsid w:val="00A81C86"/>
    <w:rsid w:val="00A81CC3"/>
    <w:rsid w:val="00A81CF1"/>
    <w:rsid w:val="00A81DE0"/>
    <w:rsid w:val="00A82038"/>
    <w:rsid w:val="00A820D3"/>
    <w:rsid w:val="00A820DF"/>
    <w:rsid w:val="00A82294"/>
    <w:rsid w:val="00A822C2"/>
    <w:rsid w:val="00A8236F"/>
    <w:rsid w:val="00A82410"/>
    <w:rsid w:val="00A82601"/>
    <w:rsid w:val="00A82709"/>
    <w:rsid w:val="00A827CA"/>
    <w:rsid w:val="00A82878"/>
    <w:rsid w:val="00A82990"/>
    <w:rsid w:val="00A829AA"/>
    <w:rsid w:val="00A82A88"/>
    <w:rsid w:val="00A82AED"/>
    <w:rsid w:val="00A82E5E"/>
    <w:rsid w:val="00A83031"/>
    <w:rsid w:val="00A8303C"/>
    <w:rsid w:val="00A830EB"/>
    <w:rsid w:val="00A8318F"/>
    <w:rsid w:val="00A83503"/>
    <w:rsid w:val="00A835F5"/>
    <w:rsid w:val="00A839FB"/>
    <w:rsid w:val="00A83CD0"/>
    <w:rsid w:val="00A83ECC"/>
    <w:rsid w:val="00A84064"/>
    <w:rsid w:val="00A8437E"/>
    <w:rsid w:val="00A8441B"/>
    <w:rsid w:val="00A84489"/>
    <w:rsid w:val="00A84857"/>
    <w:rsid w:val="00A848DA"/>
    <w:rsid w:val="00A848FD"/>
    <w:rsid w:val="00A84B4F"/>
    <w:rsid w:val="00A84B6C"/>
    <w:rsid w:val="00A84DA8"/>
    <w:rsid w:val="00A84FA3"/>
    <w:rsid w:val="00A85255"/>
    <w:rsid w:val="00A85351"/>
    <w:rsid w:val="00A85468"/>
    <w:rsid w:val="00A85746"/>
    <w:rsid w:val="00A859F9"/>
    <w:rsid w:val="00A85AB6"/>
    <w:rsid w:val="00A85BB1"/>
    <w:rsid w:val="00A85CBD"/>
    <w:rsid w:val="00A85EF8"/>
    <w:rsid w:val="00A85F55"/>
    <w:rsid w:val="00A86082"/>
    <w:rsid w:val="00A86173"/>
    <w:rsid w:val="00A86194"/>
    <w:rsid w:val="00A8633E"/>
    <w:rsid w:val="00A864D9"/>
    <w:rsid w:val="00A865B2"/>
    <w:rsid w:val="00A86603"/>
    <w:rsid w:val="00A86799"/>
    <w:rsid w:val="00A86936"/>
    <w:rsid w:val="00A869CC"/>
    <w:rsid w:val="00A86A47"/>
    <w:rsid w:val="00A86A83"/>
    <w:rsid w:val="00A86C6F"/>
    <w:rsid w:val="00A86CD8"/>
    <w:rsid w:val="00A86DAF"/>
    <w:rsid w:val="00A87042"/>
    <w:rsid w:val="00A87079"/>
    <w:rsid w:val="00A87212"/>
    <w:rsid w:val="00A87357"/>
    <w:rsid w:val="00A87498"/>
    <w:rsid w:val="00A87501"/>
    <w:rsid w:val="00A8779E"/>
    <w:rsid w:val="00A87817"/>
    <w:rsid w:val="00A878B3"/>
    <w:rsid w:val="00A87BBF"/>
    <w:rsid w:val="00A87F2D"/>
    <w:rsid w:val="00A90002"/>
    <w:rsid w:val="00A90067"/>
    <w:rsid w:val="00A90085"/>
    <w:rsid w:val="00A90106"/>
    <w:rsid w:val="00A90137"/>
    <w:rsid w:val="00A90273"/>
    <w:rsid w:val="00A903E2"/>
    <w:rsid w:val="00A90401"/>
    <w:rsid w:val="00A905D1"/>
    <w:rsid w:val="00A90AE4"/>
    <w:rsid w:val="00A90E17"/>
    <w:rsid w:val="00A90F6E"/>
    <w:rsid w:val="00A90FB4"/>
    <w:rsid w:val="00A9113A"/>
    <w:rsid w:val="00A91241"/>
    <w:rsid w:val="00A9137E"/>
    <w:rsid w:val="00A9139A"/>
    <w:rsid w:val="00A91551"/>
    <w:rsid w:val="00A91709"/>
    <w:rsid w:val="00A917BE"/>
    <w:rsid w:val="00A9194C"/>
    <w:rsid w:val="00A91A3E"/>
    <w:rsid w:val="00A91AD4"/>
    <w:rsid w:val="00A91BC5"/>
    <w:rsid w:val="00A91CA1"/>
    <w:rsid w:val="00A920DF"/>
    <w:rsid w:val="00A92130"/>
    <w:rsid w:val="00A921E3"/>
    <w:rsid w:val="00A921EB"/>
    <w:rsid w:val="00A92280"/>
    <w:rsid w:val="00A922F9"/>
    <w:rsid w:val="00A92493"/>
    <w:rsid w:val="00A925BE"/>
    <w:rsid w:val="00A925C7"/>
    <w:rsid w:val="00A926B0"/>
    <w:rsid w:val="00A92738"/>
    <w:rsid w:val="00A9277C"/>
    <w:rsid w:val="00A92977"/>
    <w:rsid w:val="00A929D7"/>
    <w:rsid w:val="00A92A3F"/>
    <w:rsid w:val="00A92C7A"/>
    <w:rsid w:val="00A92DC1"/>
    <w:rsid w:val="00A9301A"/>
    <w:rsid w:val="00A930A0"/>
    <w:rsid w:val="00A9314A"/>
    <w:rsid w:val="00A9317C"/>
    <w:rsid w:val="00A9369C"/>
    <w:rsid w:val="00A9376E"/>
    <w:rsid w:val="00A93974"/>
    <w:rsid w:val="00A93B47"/>
    <w:rsid w:val="00A93BAD"/>
    <w:rsid w:val="00A93CBF"/>
    <w:rsid w:val="00A93CD5"/>
    <w:rsid w:val="00A93D81"/>
    <w:rsid w:val="00A93E93"/>
    <w:rsid w:val="00A94025"/>
    <w:rsid w:val="00A94365"/>
    <w:rsid w:val="00A9439D"/>
    <w:rsid w:val="00A948C1"/>
    <w:rsid w:val="00A948DC"/>
    <w:rsid w:val="00A949B5"/>
    <w:rsid w:val="00A94A11"/>
    <w:rsid w:val="00A94ABD"/>
    <w:rsid w:val="00A94C0E"/>
    <w:rsid w:val="00A94D20"/>
    <w:rsid w:val="00A94D8B"/>
    <w:rsid w:val="00A94DAA"/>
    <w:rsid w:val="00A94E19"/>
    <w:rsid w:val="00A94F20"/>
    <w:rsid w:val="00A953A6"/>
    <w:rsid w:val="00A95468"/>
    <w:rsid w:val="00A9569E"/>
    <w:rsid w:val="00A95747"/>
    <w:rsid w:val="00A95767"/>
    <w:rsid w:val="00A957C8"/>
    <w:rsid w:val="00A957CA"/>
    <w:rsid w:val="00A9582C"/>
    <w:rsid w:val="00A958AF"/>
    <w:rsid w:val="00A959AF"/>
    <w:rsid w:val="00A95A8D"/>
    <w:rsid w:val="00A95B72"/>
    <w:rsid w:val="00A95C04"/>
    <w:rsid w:val="00A95E1A"/>
    <w:rsid w:val="00A95E3E"/>
    <w:rsid w:val="00A96062"/>
    <w:rsid w:val="00A96141"/>
    <w:rsid w:val="00A961CA"/>
    <w:rsid w:val="00A961E8"/>
    <w:rsid w:val="00A963BA"/>
    <w:rsid w:val="00A9656C"/>
    <w:rsid w:val="00A965F4"/>
    <w:rsid w:val="00A96639"/>
    <w:rsid w:val="00A9665E"/>
    <w:rsid w:val="00A966E5"/>
    <w:rsid w:val="00A96742"/>
    <w:rsid w:val="00A967FE"/>
    <w:rsid w:val="00A96905"/>
    <w:rsid w:val="00A9690F"/>
    <w:rsid w:val="00A969BC"/>
    <w:rsid w:val="00A96BF3"/>
    <w:rsid w:val="00A96D00"/>
    <w:rsid w:val="00A96FA4"/>
    <w:rsid w:val="00A9712D"/>
    <w:rsid w:val="00A9714B"/>
    <w:rsid w:val="00A973D8"/>
    <w:rsid w:val="00A9752B"/>
    <w:rsid w:val="00A97555"/>
    <w:rsid w:val="00A977B0"/>
    <w:rsid w:val="00A97975"/>
    <w:rsid w:val="00A97A43"/>
    <w:rsid w:val="00A97A9B"/>
    <w:rsid w:val="00A97AF9"/>
    <w:rsid w:val="00A97D5F"/>
    <w:rsid w:val="00A97E81"/>
    <w:rsid w:val="00A97FB0"/>
    <w:rsid w:val="00AA011A"/>
    <w:rsid w:val="00AA0133"/>
    <w:rsid w:val="00AA0793"/>
    <w:rsid w:val="00AA07E9"/>
    <w:rsid w:val="00AA08B5"/>
    <w:rsid w:val="00AA09A4"/>
    <w:rsid w:val="00AA0A06"/>
    <w:rsid w:val="00AA0AAF"/>
    <w:rsid w:val="00AA0AF1"/>
    <w:rsid w:val="00AA0DB4"/>
    <w:rsid w:val="00AA0FC8"/>
    <w:rsid w:val="00AA104E"/>
    <w:rsid w:val="00AA114D"/>
    <w:rsid w:val="00AA114E"/>
    <w:rsid w:val="00AA124A"/>
    <w:rsid w:val="00AA1278"/>
    <w:rsid w:val="00AA127C"/>
    <w:rsid w:val="00AA13CB"/>
    <w:rsid w:val="00AA1648"/>
    <w:rsid w:val="00AA166B"/>
    <w:rsid w:val="00AA189C"/>
    <w:rsid w:val="00AA1B8D"/>
    <w:rsid w:val="00AA1BBB"/>
    <w:rsid w:val="00AA1DEF"/>
    <w:rsid w:val="00AA232B"/>
    <w:rsid w:val="00AA2399"/>
    <w:rsid w:val="00AA23BB"/>
    <w:rsid w:val="00AA2407"/>
    <w:rsid w:val="00AA2461"/>
    <w:rsid w:val="00AA2468"/>
    <w:rsid w:val="00AA24C1"/>
    <w:rsid w:val="00AA25A7"/>
    <w:rsid w:val="00AA263D"/>
    <w:rsid w:val="00AA2687"/>
    <w:rsid w:val="00AA26B2"/>
    <w:rsid w:val="00AA26C8"/>
    <w:rsid w:val="00AA2843"/>
    <w:rsid w:val="00AA2865"/>
    <w:rsid w:val="00AA28D0"/>
    <w:rsid w:val="00AA2A0F"/>
    <w:rsid w:val="00AA2B09"/>
    <w:rsid w:val="00AA2CA3"/>
    <w:rsid w:val="00AA2D84"/>
    <w:rsid w:val="00AA3110"/>
    <w:rsid w:val="00AA3148"/>
    <w:rsid w:val="00AA31FF"/>
    <w:rsid w:val="00AA32CE"/>
    <w:rsid w:val="00AA3657"/>
    <w:rsid w:val="00AA36A4"/>
    <w:rsid w:val="00AA399E"/>
    <w:rsid w:val="00AA3A9B"/>
    <w:rsid w:val="00AA3BF1"/>
    <w:rsid w:val="00AA3F0B"/>
    <w:rsid w:val="00AA3FE8"/>
    <w:rsid w:val="00AA40A4"/>
    <w:rsid w:val="00AA40DF"/>
    <w:rsid w:val="00AA40EE"/>
    <w:rsid w:val="00AA40F3"/>
    <w:rsid w:val="00AA41CF"/>
    <w:rsid w:val="00AA4263"/>
    <w:rsid w:val="00AA437F"/>
    <w:rsid w:val="00AA44F0"/>
    <w:rsid w:val="00AA4657"/>
    <w:rsid w:val="00AA468A"/>
    <w:rsid w:val="00AA4739"/>
    <w:rsid w:val="00AA4879"/>
    <w:rsid w:val="00AA497F"/>
    <w:rsid w:val="00AA4F9B"/>
    <w:rsid w:val="00AA501E"/>
    <w:rsid w:val="00AA502B"/>
    <w:rsid w:val="00AA539B"/>
    <w:rsid w:val="00AA5410"/>
    <w:rsid w:val="00AA574D"/>
    <w:rsid w:val="00AA5785"/>
    <w:rsid w:val="00AA58D0"/>
    <w:rsid w:val="00AA595D"/>
    <w:rsid w:val="00AA59AD"/>
    <w:rsid w:val="00AA5B90"/>
    <w:rsid w:val="00AA5CD3"/>
    <w:rsid w:val="00AA5D92"/>
    <w:rsid w:val="00AA60FF"/>
    <w:rsid w:val="00AA634E"/>
    <w:rsid w:val="00AA6571"/>
    <w:rsid w:val="00AA6980"/>
    <w:rsid w:val="00AA6BC7"/>
    <w:rsid w:val="00AA6C8C"/>
    <w:rsid w:val="00AA6CD8"/>
    <w:rsid w:val="00AA6E48"/>
    <w:rsid w:val="00AA6EEB"/>
    <w:rsid w:val="00AA6FDC"/>
    <w:rsid w:val="00AA70CA"/>
    <w:rsid w:val="00AA728B"/>
    <w:rsid w:val="00AA7505"/>
    <w:rsid w:val="00AA7744"/>
    <w:rsid w:val="00AA7907"/>
    <w:rsid w:val="00AA79B5"/>
    <w:rsid w:val="00AA7A99"/>
    <w:rsid w:val="00AA7B86"/>
    <w:rsid w:val="00AA7C8D"/>
    <w:rsid w:val="00AA7DF6"/>
    <w:rsid w:val="00AA7E36"/>
    <w:rsid w:val="00AA7EA9"/>
    <w:rsid w:val="00AA7F4D"/>
    <w:rsid w:val="00AB0071"/>
    <w:rsid w:val="00AB01E6"/>
    <w:rsid w:val="00AB01F7"/>
    <w:rsid w:val="00AB0242"/>
    <w:rsid w:val="00AB03AD"/>
    <w:rsid w:val="00AB0518"/>
    <w:rsid w:val="00AB0580"/>
    <w:rsid w:val="00AB07D0"/>
    <w:rsid w:val="00AB08D2"/>
    <w:rsid w:val="00AB08F1"/>
    <w:rsid w:val="00AB09B7"/>
    <w:rsid w:val="00AB0A91"/>
    <w:rsid w:val="00AB0C95"/>
    <w:rsid w:val="00AB0DA3"/>
    <w:rsid w:val="00AB0F3A"/>
    <w:rsid w:val="00AB1007"/>
    <w:rsid w:val="00AB1114"/>
    <w:rsid w:val="00AB1282"/>
    <w:rsid w:val="00AB157E"/>
    <w:rsid w:val="00AB15BB"/>
    <w:rsid w:val="00AB1615"/>
    <w:rsid w:val="00AB16A7"/>
    <w:rsid w:val="00AB16D8"/>
    <w:rsid w:val="00AB16E6"/>
    <w:rsid w:val="00AB172C"/>
    <w:rsid w:val="00AB17AE"/>
    <w:rsid w:val="00AB1857"/>
    <w:rsid w:val="00AB19D2"/>
    <w:rsid w:val="00AB1A41"/>
    <w:rsid w:val="00AB1AB6"/>
    <w:rsid w:val="00AB1B66"/>
    <w:rsid w:val="00AB1BD7"/>
    <w:rsid w:val="00AB1C31"/>
    <w:rsid w:val="00AB1E47"/>
    <w:rsid w:val="00AB1E6D"/>
    <w:rsid w:val="00AB1E8F"/>
    <w:rsid w:val="00AB1EDD"/>
    <w:rsid w:val="00AB1FDC"/>
    <w:rsid w:val="00AB2024"/>
    <w:rsid w:val="00AB21C6"/>
    <w:rsid w:val="00AB225D"/>
    <w:rsid w:val="00AB22B2"/>
    <w:rsid w:val="00AB249F"/>
    <w:rsid w:val="00AB26D8"/>
    <w:rsid w:val="00AB2841"/>
    <w:rsid w:val="00AB2855"/>
    <w:rsid w:val="00AB2899"/>
    <w:rsid w:val="00AB29B2"/>
    <w:rsid w:val="00AB2B45"/>
    <w:rsid w:val="00AB2C2B"/>
    <w:rsid w:val="00AB2D34"/>
    <w:rsid w:val="00AB2F27"/>
    <w:rsid w:val="00AB3016"/>
    <w:rsid w:val="00AB3152"/>
    <w:rsid w:val="00AB33EF"/>
    <w:rsid w:val="00AB34C5"/>
    <w:rsid w:val="00AB36E6"/>
    <w:rsid w:val="00AB3708"/>
    <w:rsid w:val="00AB379C"/>
    <w:rsid w:val="00AB380C"/>
    <w:rsid w:val="00AB3855"/>
    <w:rsid w:val="00AB3881"/>
    <w:rsid w:val="00AB38C4"/>
    <w:rsid w:val="00AB38CD"/>
    <w:rsid w:val="00AB3A35"/>
    <w:rsid w:val="00AB3B9C"/>
    <w:rsid w:val="00AB3C65"/>
    <w:rsid w:val="00AB3D73"/>
    <w:rsid w:val="00AB3E64"/>
    <w:rsid w:val="00AB3F15"/>
    <w:rsid w:val="00AB4003"/>
    <w:rsid w:val="00AB4010"/>
    <w:rsid w:val="00AB404D"/>
    <w:rsid w:val="00AB40C6"/>
    <w:rsid w:val="00AB41AE"/>
    <w:rsid w:val="00AB422A"/>
    <w:rsid w:val="00AB4290"/>
    <w:rsid w:val="00AB492A"/>
    <w:rsid w:val="00AB49C2"/>
    <w:rsid w:val="00AB4A53"/>
    <w:rsid w:val="00AB4C18"/>
    <w:rsid w:val="00AB4C69"/>
    <w:rsid w:val="00AB4C91"/>
    <w:rsid w:val="00AB4CB9"/>
    <w:rsid w:val="00AB4D99"/>
    <w:rsid w:val="00AB4E01"/>
    <w:rsid w:val="00AB5085"/>
    <w:rsid w:val="00AB51A8"/>
    <w:rsid w:val="00AB5274"/>
    <w:rsid w:val="00AB536D"/>
    <w:rsid w:val="00AB561B"/>
    <w:rsid w:val="00AB58F3"/>
    <w:rsid w:val="00AB5979"/>
    <w:rsid w:val="00AB59B8"/>
    <w:rsid w:val="00AB5AAB"/>
    <w:rsid w:val="00AB5ADE"/>
    <w:rsid w:val="00AB5C74"/>
    <w:rsid w:val="00AB5CCB"/>
    <w:rsid w:val="00AB5CFA"/>
    <w:rsid w:val="00AB5EA4"/>
    <w:rsid w:val="00AB5F0F"/>
    <w:rsid w:val="00AB6064"/>
    <w:rsid w:val="00AB60DB"/>
    <w:rsid w:val="00AB618D"/>
    <w:rsid w:val="00AB62B0"/>
    <w:rsid w:val="00AB63B4"/>
    <w:rsid w:val="00AB644D"/>
    <w:rsid w:val="00AB6562"/>
    <w:rsid w:val="00AB6563"/>
    <w:rsid w:val="00AB660D"/>
    <w:rsid w:val="00AB6797"/>
    <w:rsid w:val="00AB67C0"/>
    <w:rsid w:val="00AB6806"/>
    <w:rsid w:val="00AB6907"/>
    <w:rsid w:val="00AB69DC"/>
    <w:rsid w:val="00AB6AD1"/>
    <w:rsid w:val="00AB6E13"/>
    <w:rsid w:val="00AB6E9F"/>
    <w:rsid w:val="00AB7001"/>
    <w:rsid w:val="00AB7038"/>
    <w:rsid w:val="00AB706D"/>
    <w:rsid w:val="00AB71FD"/>
    <w:rsid w:val="00AB75F6"/>
    <w:rsid w:val="00AB7636"/>
    <w:rsid w:val="00AB76E6"/>
    <w:rsid w:val="00AB7793"/>
    <w:rsid w:val="00AB7A52"/>
    <w:rsid w:val="00AB7C07"/>
    <w:rsid w:val="00AB7CDB"/>
    <w:rsid w:val="00AB7D49"/>
    <w:rsid w:val="00AC002A"/>
    <w:rsid w:val="00AC031D"/>
    <w:rsid w:val="00AC0342"/>
    <w:rsid w:val="00AC04B8"/>
    <w:rsid w:val="00AC06AB"/>
    <w:rsid w:val="00AC06D3"/>
    <w:rsid w:val="00AC08CA"/>
    <w:rsid w:val="00AC0A04"/>
    <w:rsid w:val="00AC0B26"/>
    <w:rsid w:val="00AC0C47"/>
    <w:rsid w:val="00AC0C4B"/>
    <w:rsid w:val="00AC0C9B"/>
    <w:rsid w:val="00AC0CEF"/>
    <w:rsid w:val="00AC0EB6"/>
    <w:rsid w:val="00AC0F4E"/>
    <w:rsid w:val="00AC1009"/>
    <w:rsid w:val="00AC101A"/>
    <w:rsid w:val="00AC1695"/>
    <w:rsid w:val="00AC174E"/>
    <w:rsid w:val="00AC1753"/>
    <w:rsid w:val="00AC1780"/>
    <w:rsid w:val="00AC178F"/>
    <w:rsid w:val="00AC1891"/>
    <w:rsid w:val="00AC1909"/>
    <w:rsid w:val="00AC1A24"/>
    <w:rsid w:val="00AC1B68"/>
    <w:rsid w:val="00AC1CAF"/>
    <w:rsid w:val="00AC1EF7"/>
    <w:rsid w:val="00AC2075"/>
    <w:rsid w:val="00AC230B"/>
    <w:rsid w:val="00AC2321"/>
    <w:rsid w:val="00AC2A40"/>
    <w:rsid w:val="00AC2BAC"/>
    <w:rsid w:val="00AC2D17"/>
    <w:rsid w:val="00AC2DA3"/>
    <w:rsid w:val="00AC2F6D"/>
    <w:rsid w:val="00AC2FFD"/>
    <w:rsid w:val="00AC3164"/>
    <w:rsid w:val="00AC31CF"/>
    <w:rsid w:val="00AC3301"/>
    <w:rsid w:val="00AC3364"/>
    <w:rsid w:val="00AC3968"/>
    <w:rsid w:val="00AC3A3F"/>
    <w:rsid w:val="00AC3B8E"/>
    <w:rsid w:val="00AC3B96"/>
    <w:rsid w:val="00AC3BBB"/>
    <w:rsid w:val="00AC3E06"/>
    <w:rsid w:val="00AC404F"/>
    <w:rsid w:val="00AC40FF"/>
    <w:rsid w:val="00AC4206"/>
    <w:rsid w:val="00AC456A"/>
    <w:rsid w:val="00AC4671"/>
    <w:rsid w:val="00AC47BE"/>
    <w:rsid w:val="00AC4B27"/>
    <w:rsid w:val="00AC4BEC"/>
    <w:rsid w:val="00AC4C89"/>
    <w:rsid w:val="00AC4D04"/>
    <w:rsid w:val="00AC4D79"/>
    <w:rsid w:val="00AC4DEE"/>
    <w:rsid w:val="00AC4E5A"/>
    <w:rsid w:val="00AC4F7F"/>
    <w:rsid w:val="00AC4FA8"/>
    <w:rsid w:val="00AC5121"/>
    <w:rsid w:val="00AC52DD"/>
    <w:rsid w:val="00AC55D1"/>
    <w:rsid w:val="00AC565D"/>
    <w:rsid w:val="00AC57AA"/>
    <w:rsid w:val="00AC5804"/>
    <w:rsid w:val="00AC58A6"/>
    <w:rsid w:val="00AC5997"/>
    <w:rsid w:val="00AC599B"/>
    <w:rsid w:val="00AC5AA8"/>
    <w:rsid w:val="00AC5B39"/>
    <w:rsid w:val="00AC5C40"/>
    <w:rsid w:val="00AC5C97"/>
    <w:rsid w:val="00AC5D16"/>
    <w:rsid w:val="00AC5E41"/>
    <w:rsid w:val="00AC607F"/>
    <w:rsid w:val="00AC60AB"/>
    <w:rsid w:val="00AC621C"/>
    <w:rsid w:val="00AC6243"/>
    <w:rsid w:val="00AC6323"/>
    <w:rsid w:val="00AC633A"/>
    <w:rsid w:val="00AC6375"/>
    <w:rsid w:val="00AC6571"/>
    <w:rsid w:val="00AC6646"/>
    <w:rsid w:val="00AC669D"/>
    <w:rsid w:val="00AC6959"/>
    <w:rsid w:val="00AC6D5E"/>
    <w:rsid w:val="00AC6E64"/>
    <w:rsid w:val="00AC6E98"/>
    <w:rsid w:val="00AC6F2B"/>
    <w:rsid w:val="00AC6F7D"/>
    <w:rsid w:val="00AC720A"/>
    <w:rsid w:val="00AC732F"/>
    <w:rsid w:val="00AC73A9"/>
    <w:rsid w:val="00AC758A"/>
    <w:rsid w:val="00AC768C"/>
    <w:rsid w:val="00AC770D"/>
    <w:rsid w:val="00AC7964"/>
    <w:rsid w:val="00AC79C3"/>
    <w:rsid w:val="00AC7A84"/>
    <w:rsid w:val="00AC7C3E"/>
    <w:rsid w:val="00AC7C83"/>
    <w:rsid w:val="00AC7E4E"/>
    <w:rsid w:val="00AC7FA6"/>
    <w:rsid w:val="00AD02BF"/>
    <w:rsid w:val="00AD02C5"/>
    <w:rsid w:val="00AD038D"/>
    <w:rsid w:val="00AD0408"/>
    <w:rsid w:val="00AD05D4"/>
    <w:rsid w:val="00AD0628"/>
    <w:rsid w:val="00AD06D8"/>
    <w:rsid w:val="00AD0731"/>
    <w:rsid w:val="00AD0755"/>
    <w:rsid w:val="00AD0818"/>
    <w:rsid w:val="00AD0A3F"/>
    <w:rsid w:val="00AD0AA7"/>
    <w:rsid w:val="00AD0BAA"/>
    <w:rsid w:val="00AD0C7E"/>
    <w:rsid w:val="00AD0E1F"/>
    <w:rsid w:val="00AD0E32"/>
    <w:rsid w:val="00AD0F2C"/>
    <w:rsid w:val="00AD0F2F"/>
    <w:rsid w:val="00AD0F8F"/>
    <w:rsid w:val="00AD0FC8"/>
    <w:rsid w:val="00AD10ED"/>
    <w:rsid w:val="00AD10F2"/>
    <w:rsid w:val="00AD1280"/>
    <w:rsid w:val="00AD128E"/>
    <w:rsid w:val="00AD1294"/>
    <w:rsid w:val="00AD1311"/>
    <w:rsid w:val="00AD13E3"/>
    <w:rsid w:val="00AD14A1"/>
    <w:rsid w:val="00AD158B"/>
    <w:rsid w:val="00AD1731"/>
    <w:rsid w:val="00AD1762"/>
    <w:rsid w:val="00AD1765"/>
    <w:rsid w:val="00AD17A7"/>
    <w:rsid w:val="00AD1AC1"/>
    <w:rsid w:val="00AD1B06"/>
    <w:rsid w:val="00AD1C99"/>
    <w:rsid w:val="00AD1CF7"/>
    <w:rsid w:val="00AD1F60"/>
    <w:rsid w:val="00AD1FF5"/>
    <w:rsid w:val="00AD216D"/>
    <w:rsid w:val="00AD2876"/>
    <w:rsid w:val="00AD2925"/>
    <w:rsid w:val="00AD2946"/>
    <w:rsid w:val="00AD2B8A"/>
    <w:rsid w:val="00AD2BA9"/>
    <w:rsid w:val="00AD2C59"/>
    <w:rsid w:val="00AD2C9E"/>
    <w:rsid w:val="00AD2D9B"/>
    <w:rsid w:val="00AD2DCC"/>
    <w:rsid w:val="00AD2E79"/>
    <w:rsid w:val="00AD2EAC"/>
    <w:rsid w:val="00AD2EB0"/>
    <w:rsid w:val="00AD31CF"/>
    <w:rsid w:val="00AD31D0"/>
    <w:rsid w:val="00AD3288"/>
    <w:rsid w:val="00AD3395"/>
    <w:rsid w:val="00AD33C9"/>
    <w:rsid w:val="00AD3491"/>
    <w:rsid w:val="00AD3512"/>
    <w:rsid w:val="00AD37B9"/>
    <w:rsid w:val="00AD37F2"/>
    <w:rsid w:val="00AD383A"/>
    <w:rsid w:val="00AD38A3"/>
    <w:rsid w:val="00AD3FAB"/>
    <w:rsid w:val="00AD4136"/>
    <w:rsid w:val="00AD4217"/>
    <w:rsid w:val="00AD4281"/>
    <w:rsid w:val="00AD42B6"/>
    <w:rsid w:val="00AD444B"/>
    <w:rsid w:val="00AD461D"/>
    <w:rsid w:val="00AD4655"/>
    <w:rsid w:val="00AD46AF"/>
    <w:rsid w:val="00AD46C5"/>
    <w:rsid w:val="00AD492E"/>
    <w:rsid w:val="00AD4B39"/>
    <w:rsid w:val="00AD4BF7"/>
    <w:rsid w:val="00AD4C1C"/>
    <w:rsid w:val="00AD4C8B"/>
    <w:rsid w:val="00AD4D98"/>
    <w:rsid w:val="00AD4E24"/>
    <w:rsid w:val="00AD4E39"/>
    <w:rsid w:val="00AD502E"/>
    <w:rsid w:val="00AD5E1D"/>
    <w:rsid w:val="00AD5F8E"/>
    <w:rsid w:val="00AD6024"/>
    <w:rsid w:val="00AD6028"/>
    <w:rsid w:val="00AD60BE"/>
    <w:rsid w:val="00AD60EA"/>
    <w:rsid w:val="00AD6127"/>
    <w:rsid w:val="00AD61C6"/>
    <w:rsid w:val="00AD6208"/>
    <w:rsid w:val="00AD6628"/>
    <w:rsid w:val="00AD66AD"/>
    <w:rsid w:val="00AD6731"/>
    <w:rsid w:val="00AD6790"/>
    <w:rsid w:val="00AD67D4"/>
    <w:rsid w:val="00AD6876"/>
    <w:rsid w:val="00AD68C4"/>
    <w:rsid w:val="00AD6E8B"/>
    <w:rsid w:val="00AD703B"/>
    <w:rsid w:val="00AD7050"/>
    <w:rsid w:val="00AD70EA"/>
    <w:rsid w:val="00AD70FE"/>
    <w:rsid w:val="00AD722A"/>
    <w:rsid w:val="00AD72D1"/>
    <w:rsid w:val="00AD7416"/>
    <w:rsid w:val="00AD7437"/>
    <w:rsid w:val="00AD7609"/>
    <w:rsid w:val="00AD7B20"/>
    <w:rsid w:val="00AD7B46"/>
    <w:rsid w:val="00AD7E15"/>
    <w:rsid w:val="00AD7EF7"/>
    <w:rsid w:val="00AE00DE"/>
    <w:rsid w:val="00AE05BB"/>
    <w:rsid w:val="00AE07FD"/>
    <w:rsid w:val="00AE0950"/>
    <w:rsid w:val="00AE0A1D"/>
    <w:rsid w:val="00AE0A6F"/>
    <w:rsid w:val="00AE0AAD"/>
    <w:rsid w:val="00AE0C56"/>
    <w:rsid w:val="00AE0CA5"/>
    <w:rsid w:val="00AE0D51"/>
    <w:rsid w:val="00AE0D98"/>
    <w:rsid w:val="00AE0F88"/>
    <w:rsid w:val="00AE1228"/>
    <w:rsid w:val="00AE14A9"/>
    <w:rsid w:val="00AE15ED"/>
    <w:rsid w:val="00AE1687"/>
    <w:rsid w:val="00AE17B5"/>
    <w:rsid w:val="00AE1845"/>
    <w:rsid w:val="00AE1D0A"/>
    <w:rsid w:val="00AE1D26"/>
    <w:rsid w:val="00AE1E84"/>
    <w:rsid w:val="00AE1F17"/>
    <w:rsid w:val="00AE1F4E"/>
    <w:rsid w:val="00AE2043"/>
    <w:rsid w:val="00AE2445"/>
    <w:rsid w:val="00AE2549"/>
    <w:rsid w:val="00AE2699"/>
    <w:rsid w:val="00AE26A4"/>
    <w:rsid w:val="00AE26A9"/>
    <w:rsid w:val="00AE2784"/>
    <w:rsid w:val="00AE2A91"/>
    <w:rsid w:val="00AE2B06"/>
    <w:rsid w:val="00AE2C7C"/>
    <w:rsid w:val="00AE2CD7"/>
    <w:rsid w:val="00AE2D12"/>
    <w:rsid w:val="00AE2E8A"/>
    <w:rsid w:val="00AE2F9D"/>
    <w:rsid w:val="00AE32D8"/>
    <w:rsid w:val="00AE3334"/>
    <w:rsid w:val="00AE33AE"/>
    <w:rsid w:val="00AE33E7"/>
    <w:rsid w:val="00AE3488"/>
    <w:rsid w:val="00AE3699"/>
    <w:rsid w:val="00AE3735"/>
    <w:rsid w:val="00AE37BA"/>
    <w:rsid w:val="00AE37DE"/>
    <w:rsid w:val="00AE389A"/>
    <w:rsid w:val="00AE396C"/>
    <w:rsid w:val="00AE3977"/>
    <w:rsid w:val="00AE39A6"/>
    <w:rsid w:val="00AE3ABA"/>
    <w:rsid w:val="00AE3B2C"/>
    <w:rsid w:val="00AE3C7F"/>
    <w:rsid w:val="00AE410A"/>
    <w:rsid w:val="00AE415E"/>
    <w:rsid w:val="00AE41BB"/>
    <w:rsid w:val="00AE4331"/>
    <w:rsid w:val="00AE443C"/>
    <w:rsid w:val="00AE4525"/>
    <w:rsid w:val="00AE4679"/>
    <w:rsid w:val="00AE47FD"/>
    <w:rsid w:val="00AE47FF"/>
    <w:rsid w:val="00AE4838"/>
    <w:rsid w:val="00AE4860"/>
    <w:rsid w:val="00AE4A05"/>
    <w:rsid w:val="00AE4ADD"/>
    <w:rsid w:val="00AE4B29"/>
    <w:rsid w:val="00AE4C3C"/>
    <w:rsid w:val="00AE4C97"/>
    <w:rsid w:val="00AE4ED1"/>
    <w:rsid w:val="00AE4F27"/>
    <w:rsid w:val="00AE50A2"/>
    <w:rsid w:val="00AE51F9"/>
    <w:rsid w:val="00AE520C"/>
    <w:rsid w:val="00AE5246"/>
    <w:rsid w:val="00AE5418"/>
    <w:rsid w:val="00AE5422"/>
    <w:rsid w:val="00AE5515"/>
    <w:rsid w:val="00AE564F"/>
    <w:rsid w:val="00AE568F"/>
    <w:rsid w:val="00AE588E"/>
    <w:rsid w:val="00AE5AD0"/>
    <w:rsid w:val="00AE5C31"/>
    <w:rsid w:val="00AE5DF1"/>
    <w:rsid w:val="00AE5EA5"/>
    <w:rsid w:val="00AE5F28"/>
    <w:rsid w:val="00AE5F6E"/>
    <w:rsid w:val="00AE6022"/>
    <w:rsid w:val="00AE6101"/>
    <w:rsid w:val="00AE610E"/>
    <w:rsid w:val="00AE6127"/>
    <w:rsid w:val="00AE614D"/>
    <w:rsid w:val="00AE61E1"/>
    <w:rsid w:val="00AE61E5"/>
    <w:rsid w:val="00AE628E"/>
    <w:rsid w:val="00AE68F5"/>
    <w:rsid w:val="00AE6B96"/>
    <w:rsid w:val="00AE6CB9"/>
    <w:rsid w:val="00AE6D75"/>
    <w:rsid w:val="00AE7209"/>
    <w:rsid w:val="00AE73C4"/>
    <w:rsid w:val="00AE73D8"/>
    <w:rsid w:val="00AE74FF"/>
    <w:rsid w:val="00AE776C"/>
    <w:rsid w:val="00AE7805"/>
    <w:rsid w:val="00AE7849"/>
    <w:rsid w:val="00AE7977"/>
    <w:rsid w:val="00AE7B38"/>
    <w:rsid w:val="00AE7E05"/>
    <w:rsid w:val="00AF0058"/>
    <w:rsid w:val="00AF0070"/>
    <w:rsid w:val="00AF0455"/>
    <w:rsid w:val="00AF0524"/>
    <w:rsid w:val="00AF0910"/>
    <w:rsid w:val="00AF0AE5"/>
    <w:rsid w:val="00AF0AEE"/>
    <w:rsid w:val="00AF0BE8"/>
    <w:rsid w:val="00AF0C4C"/>
    <w:rsid w:val="00AF0EBC"/>
    <w:rsid w:val="00AF0F6D"/>
    <w:rsid w:val="00AF10C5"/>
    <w:rsid w:val="00AF1401"/>
    <w:rsid w:val="00AF16EF"/>
    <w:rsid w:val="00AF1710"/>
    <w:rsid w:val="00AF1791"/>
    <w:rsid w:val="00AF1AA0"/>
    <w:rsid w:val="00AF1AEA"/>
    <w:rsid w:val="00AF1F10"/>
    <w:rsid w:val="00AF1FAB"/>
    <w:rsid w:val="00AF1FAF"/>
    <w:rsid w:val="00AF222A"/>
    <w:rsid w:val="00AF232C"/>
    <w:rsid w:val="00AF2460"/>
    <w:rsid w:val="00AF24EC"/>
    <w:rsid w:val="00AF25BB"/>
    <w:rsid w:val="00AF27D1"/>
    <w:rsid w:val="00AF2C19"/>
    <w:rsid w:val="00AF2C5E"/>
    <w:rsid w:val="00AF2C62"/>
    <w:rsid w:val="00AF2CE2"/>
    <w:rsid w:val="00AF2FCD"/>
    <w:rsid w:val="00AF3045"/>
    <w:rsid w:val="00AF3112"/>
    <w:rsid w:val="00AF3196"/>
    <w:rsid w:val="00AF323B"/>
    <w:rsid w:val="00AF3373"/>
    <w:rsid w:val="00AF350A"/>
    <w:rsid w:val="00AF35B3"/>
    <w:rsid w:val="00AF3790"/>
    <w:rsid w:val="00AF390A"/>
    <w:rsid w:val="00AF3938"/>
    <w:rsid w:val="00AF395F"/>
    <w:rsid w:val="00AF3990"/>
    <w:rsid w:val="00AF3AA1"/>
    <w:rsid w:val="00AF3B9F"/>
    <w:rsid w:val="00AF3C91"/>
    <w:rsid w:val="00AF3CF8"/>
    <w:rsid w:val="00AF3D39"/>
    <w:rsid w:val="00AF41DF"/>
    <w:rsid w:val="00AF43E3"/>
    <w:rsid w:val="00AF46D9"/>
    <w:rsid w:val="00AF4727"/>
    <w:rsid w:val="00AF47DD"/>
    <w:rsid w:val="00AF497B"/>
    <w:rsid w:val="00AF49C0"/>
    <w:rsid w:val="00AF4AF8"/>
    <w:rsid w:val="00AF4E46"/>
    <w:rsid w:val="00AF4FA8"/>
    <w:rsid w:val="00AF501E"/>
    <w:rsid w:val="00AF5059"/>
    <w:rsid w:val="00AF5180"/>
    <w:rsid w:val="00AF5335"/>
    <w:rsid w:val="00AF535F"/>
    <w:rsid w:val="00AF53E1"/>
    <w:rsid w:val="00AF56FC"/>
    <w:rsid w:val="00AF58A1"/>
    <w:rsid w:val="00AF591C"/>
    <w:rsid w:val="00AF5B29"/>
    <w:rsid w:val="00AF5B2E"/>
    <w:rsid w:val="00AF5BAF"/>
    <w:rsid w:val="00AF5E81"/>
    <w:rsid w:val="00AF5F23"/>
    <w:rsid w:val="00AF604D"/>
    <w:rsid w:val="00AF6146"/>
    <w:rsid w:val="00AF61CC"/>
    <w:rsid w:val="00AF61DA"/>
    <w:rsid w:val="00AF6266"/>
    <w:rsid w:val="00AF6280"/>
    <w:rsid w:val="00AF6473"/>
    <w:rsid w:val="00AF66C0"/>
    <w:rsid w:val="00AF6825"/>
    <w:rsid w:val="00AF6952"/>
    <w:rsid w:val="00AF6A4C"/>
    <w:rsid w:val="00AF6C21"/>
    <w:rsid w:val="00AF6D83"/>
    <w:rsid w:val="00AF6F4A"/>
    <w:rsid w:val="00AF6FF7"/>
    <w:rsid w:val="00AF7147"/>
    <w:rsid w:val="00AF72F7"/>
    <w:rsid w:val="00AF7312"/>
    <w:rsid w:val="00AF7343"/>
    <w:rsid w:val="00AF745A"/>
    <w:rsid w:val="00AF74B4"/>
    <w:rsid w:val="00AF7520"/>
    <w:rsid w:val="00AF7551"/>
    <w:rsid w:val="00AF7662"/>
    <w:rsid w:val="00AF76B1"/>
    <w:rsid w:val="00AF76E2"/>
    <w:rsid w:val="00AF7762"/>
    <w:rsid w:val="00AF7A3C"/>
    <w:rsid w:val="00AF7C44"/>
    <w:rsid w:val="00AF7CC7"/>
    <w:rsid w:val="00AF7EA0"/>
    <w:rsid w:val="00AF7F1D"/>
    <w:rsid w:val="00B0003A"/>
    <w:rsid w:val="00B00176"/>
    <w:rsid w:val="00B002A3"/>
    <w:rsid w:val="00B002BC"/>
    <w:rsid w:val="00B0034A"/>
    <w:rsid w:val="00B0051D"/>
    <w:rsid w:val="00B00774"/>
    <w:rsid w:val="00B00BC0"/>
    <w:rsid w:val="00B00D82"/>
    <w:rsid w:val="00B00F45"/>
    <w:rsid w:val="00B0106F"/>
    <w:rsid w:val="00B010BF"/>
    <w:rsid w:val="00B01148"/>
    <w:rsid w:val="00B0115F"/>
    <w:rsid w:val="00B01309"/>
    <w:rsid w:val="00B0154E"/>
    <w:rsid w:val="00B01622"/>
    <w:rsid w:val="00B016EE"/>
    <w:rsid w:val="00B0189E"/>
    <w:rsid w:val="00B018A6"/>
    <w:rsid w:val="00B019B6"/>
    <w:rsid w:val="00B01A7D"/>
    <w:rsid w:val="00B01C2C"/>
    <w:rsid w:val="00B01C77"/>
    <w:rsid w:val="00B01F34"/>
    <w:rsid w:val="00B01FEA"/>
    <w:rsid w:val="00B02051"/>
    <w:rsid w:val="00B02079"/>
    <w:rsid w:val="00B02183"/>
    <w:rsid w:val="00B021B1"/>
    <w:rsid w:val="00B0227F"/>
    <w:rsid w:val="00B02353"/>
    <w:rsid w:val="00B02491"/>
    <w:rsid w:val="00B0249F"/>
    <w:rsid w:val="00B0256D"/>
    <w:rsid w:val="00B02867"/>
    <w:rsid w:val="00B02949"/>
    <w:rsid w:val="00B029E2"/>
    <w:rsid w:val="00B02A90"/>
    <w:rsid w:val="00B02B5A"/>
    <w:rsid w:val="00B02E7C"/>
    <w:rsid w:val="00B0307C"/>
    <w:rsid w:val="00B03229"/>
    <w:rsid w:val="00B0349E"/>
    <w:rsid w:val="00B034FF"/>
    <w:rsid w:val="00B036A0"/>
    <w:rsid w:val="00B036A7"/>
    <w:rsid w:val="00B037B8"/>
    <w:rsid w:val="00B0382D"/>
    <w:rsid w:val="00B038D1"/>
    <w:rsid w:val="00B038E1"/>
    <w:rsid w:val="00B03982"/>
    <w:rsid w:val="00B03AF7"/>
    <w:rsid w:val="00B03CD8"/>
    <w:rsid w:val="00B03CF7"/>
    <w:rsid w:val="00B03E3C"/>
    <w:rsid w:val="00B042B2"/>
    <w:rsid w:val="00B044AE"/>
    <w:rsid w:val="00B044D1"/>
    <w:rsid w:val="00B04628"/>
    <w:rsid w:val="00B047C2"/>
    <w:rsid w:val="00B049D9"/>
    <w:rsid w:val="00B04B3D"/>
    <w:rsid w:val="00B04B40"/>
    <w:rsid w:val="00B04C1C"/>
    <w:rsid w:val="00B04CB1"/>
    <w:rsid w:val="00B04D5B"/>
    <w:rsid w:val="00B04F2D"/>
    <w:rsid w:val="00B05033"/>
    <w:rsid w:val="00B05303"/>
    <w:rsid w:val="00B054F3"/>
    <w:rsid w:val="00B0560D"/>
    <w:rsid w:val="00B05627"/>
    <w:rsid w:val="00B05635"/>
    <w:rsid w:val="00B05834"/>
    <w:rsid w:val="00B058F8"/>
    <w:rsid w:val="00B05C48"/>
    <w:rsid w:val="00B05D24"/>
    <w:rsid w:val="00B05D58"/>
    <w:rsid w:val="00B05F2F"/>
    <w:rsid w:val="00B06130"/>
    <w:rsid w:val="00B062DC"/>
    <w:rsid w:val="00B063F8"/>
    <w:rsid w:val="00B06575"/>
    <w:rsid w:val="00B0663B"/>
    <w:rsid w:val="00B0674C"/>
    <w:rsid w:val="00B0679B"/>
    <w:rsid w:val="00B068F0"/>
    <w:rsid w:val="00B069B3"/>
    <w:rsid w:val="00B06A41"/>
    <w:rsid w:val="00B06B60"/>
    <w:rsid w:val="00B07000"/>
    <w:rsid w:val="00B0716D"/>
    <w:rsid w:val="00B071CA"/>
    <w:rsid w:val="00B071DF"/>
    <w:rsid w:val="00B071FB"/>
    <w:rsid w:val="00B071FD"/>
    <w:rsid w:val="00B0724E"/>
    <w:rsid w:val="00B07280"/>
    <w:rsid w:val="00B072CA"/>
    <w:rsid w:val="00B0731A"/>
    <w:rsid w:val="00B07358"/>
    <w:rsid w:val="00B074BB"/>
    <w:rsid w:val="00B07570"/>
    <w:rsid w:val="00B07620"/>
    <w:rsid w:val="00B07834"/>
    <w:rsid w:val="00B07857"/>
    <w:rsid w:val="00B07930"/>
    <w:rsid w:val="00B0799B"/>
    <w:rsid w:val="00B07A58"/>
    <w:rsid w:val="00B07AEF"/>
    <w:rsid w:val="00B07B33"/>
    <w:rsid w:val="00B10045"/>
    <w:rsid w:val="00B1024E"/>
    <w:rsid w:val="00B1034F"/>
    <w:rsid w:val="00B10417"/>
    <w:rsid w:val="00B1055D"/>
    <w:rsid w:val="00B105DB"/>
    <w:rsid w:val="00B1065C"/>
    <w:rsid w:val="00B1082C"/>
    <w:rsid w:val="00B10A2B"/>
    <w:rsid w:val="00B10B7E"/>
    <w:rsid w:val="00B10E14"/>
    <w:rsid w:val="00B10E18"/>
    <w:rsid w:val="00B10EDA"/>
    <w:rsid w:val="00B11032"/>
    <w:rsid w:val="00B11095"/>
    <w:rsid w:val="00B11188"/>
    <w:rsid w:val="00B112D3"/>
    <w:rsid w:val="00B11412"/>
    <w:rsid w:val="00B1158F"/>
    <w:rsid w:val="00B115BB"/>
    <w:rsid w:val="00B116ED"/>
    <w:rsid w:val="00B11723"/>
    <w:rsid w:val="00B1173D"/>
    <w:rsid w:val="00B118D2"/>
    <w:rsid w:val="00B118F4"/>
    <w:rsid w:val="00B1191F"/>
    <w:rsid w:val="00B11B28"/>
    <w:rsid w:val="00B11C81"/>
    <w:rsid w:val="00B11D3A"/>
    <w:rsid w:val="00B11D9F"/>
    <w:rsid w:val="00B11DC3"/>
    <w:rsid w:val="00B11DC9"/>
    <w:rsid w:val="00B11EAB"/>
    <w:rsid w:val="00B11F86"/>
    <w:rsid w:val="00B1250A"/>
    <w:rsid w:val="00B12D34"/>
    <w:rsid w:val="00B12FF0"/>
    <w:rsid w:val="00B1314F"/>
    <w:rsid w:val="00B132B6"/>
    <w:rsid w:val="00B13438"/>
    <w:rsid w:val="00B13501"/>
    <w:rsid w:val="00B13632"/>
    <w:rsid w:val="00B137B1"/>
    <w:rsid w:val="00B138AD"/>
    <w:rsid w:val="00B138E9"/>
    <w:rsid w:val="00B13B63"/>
    <w:rsid w:val="00B13C9B"/>
    <w:rsid w:val="00B13CA3"/>
    <w:rsid w:val="00B13F98"/>
    <w:rsid w:val="00B1413C"/>
    <w:rsid w:val="00B1415B"/>
    <w:rsid w:val="00B142BA"/>
    <w:rsid w:val="00B1449E"/>
    <w:rsid w:val="00B14571"/>
    <w:rsid w:val="00B146C1"/>
    <w:rsid w:val="00B14768"/>
    <w:rsid w:val="00B147F3"/>
    <w:rsid w:val="00B148DB"/>
    <w:rsid w:val="00B1492B"/>
    <w:rsid w:val="00B149EC"/>
    <w:rsid w:val="00B14A89"/>
    <w:rsid w:val="00B14C17"/>
    <w:rsid w:val="00B15045"/>
    <w:rsid w:val="00B151CF"/>
    <w:rsid w:val="00B152B9"/>
    <w:rsid w:val="00B155A5"/>
    <w:rsid w:val="00B15705"/>
    <w:rsid w:val="00B15894"/>
    <w:rsid w:val="00B15C87"/>
    <w:rsid w:val="00B15E04"/>
    <w:rsid w:val="00B15F3B"/>
    <w:rsid w:val="00B16158"/>
    <w:rsid w:val="00B161AB"/>
    <w:rsid w:val="00B16271"/>
    <w:rsid w:val="00B163FD"/>
    <w:rsid w:val="00B16430"/>
    <w:rsid w:val="00B16558"/>
    <w:rsid w:val="00B168AD"/>
    <w:rsid w:val="00B16973"/>
    <w:rsid w:val="00B169C1"/>
    <w:rsid w:val="00B16A38"/>
    <w:rsid w:val="00B16B23"/>
    <w:rsid w:val="00B16C56"/>
    <w:rsid w:val="00B16D0A"/>
    <w:rsid w:val="00B16E63"/>
    <w:rsid w:val="00B1704E"/>
    <w:rsid w:val="00B170E6"/>
    <w:rsid w:val="00B170F8"/>
    <w:rsid w:val="00B1716A"/>
    <w:rsid w:val="00B17224"/>
    <w:rsid w:val="00B1724F"/>
    <w:rsid w:val="00B17315"/>
    <w:rsid w:val="00B1751F"/>
    <w:rsid w:val="00B17572"/>
    <w:rsid w:val="00B17674"/>
    <w:rsid w:val="00B176B5"/>
    <w:rsid w:val="00B1771E"/>
    <w:rsid w:val="00B177D3"/>
    <w:rsid w:val="00B178AB"/>
    <w:rsid w:val="00B17A94"/>
    <w:rsid w:val="00B17B1C"/>
    <w:rsid w:val="00B17E35"/>
    <w:rsid w:val="00B17F55"/>
    <w:rsid w:val="00B17FE8"/>
    <w:rsid w:val="00B20648"/>
    <w:rsid w:val="00B206AA"/>
    <w:rsid w:val="00B207FF"/>
    <w:rsid w:val="00B20893"/>
    <w:rsid w:val="00B20975"/>
    <w:rsid w:val="00B20A67"/>
    <w:rsid w:val="00B20B57"/>
    <w:rsid w:val="00B20BD4"/>
    <w:rsid w:val="00B20EF2"/>
    <w:rsid w:val="00B20EF5"/>
    <w:rsid w:val="00B20F4F"/>
    <w:rsid w:val="00B210B1"/>
    <w:rsid w:val="00B210FC"/>
    <w:rsid w:val="00B2117F"/>
    <w:rsid w:val="00B212C5"/>
    <w:rsid w:val="00B212D9"/>
    <w:rsid w:val="00B21306"/>
    <w:rsid w:val="00B21468"/>
    <w:rsid w:val="00B2165D"/>
    <w:rsid w:val="00B216B9"/>
    <w:rsid w:val="00B21736"/>
    <w:rsid w:val="00B217C1"/>
    <w:rsid w:val="00B21879"/>
    <w:rsid w:val="00B21982"/>
    <w:rsid w:val="00B21D2F"/>
    <w:rsid w:val="00B21D30"/>
    <w:rsid w:val="00B21E0C"/>
    <w:rsid w:val="00B21E79"/>
    <w:rsid w:val="00B21EFE"/>
    <w:rsid w:val="00B21F31"/>
    <w:rsid w:val="00B21F51"/>
    <w:rsid w:val="00B21F6E"/>
    <w:rsid w:val="00B22024"/>
    <w:rsid w:val="00B221E0"/>
    <w:rsid w:val="00B22247"/>
    <w:rsid w:val="00B22267"/>
    <w:rsid w:val="00B223BF"/>
    <w:rsid w:val="00B22510"/>
    <w:rsid w:val="00B22846"/>
    <w:rsid w:val="00B228EF"/>
    <w:rsid w:val="00B22A6B"/>
    <w:rsid w:val="00B22A88"/>
    <w:rsid w:val="00B22ACA"/>
    <w:rsid w:val="00B22AF2"/>
    <w:rsid w:val="00B22D23"/>
    <w:rsid w:val="00B22D72"/>
    <w:rsid w:val="00B23000"/>
    <w:rsid w:val="00B2313B"/>
    <w:rsid w:val="00B232B7"/>
    <w:rsid w:val="00B232CA"/>
    <w:rsid w:val="00B2336A"/>
    <w:rsid w:val="00B23586"/>
    <w:rsid w:val="00B23602"/>
    <w:rsid w:val="00B23B67"/>
    <w:rsid w:val="00B23C7A"/>
    <w:rsid w:val="00B23FC9"/>
    <w:rsid w:val="00B24141"/>
    <w:rsid w:val="00B241B4"/>
    <w:rsid w:val="00B243B7"/>
    <w:rsid w:val="00B2458F"/>
    <w:rsid w:val="00B245B1"/>
    <w:rsid w:val="00B245E1"/>
    <w:rsid w:val="00B24701"/>
    <w:rsid w:val="00B247AD"/>
    <w:rsid w:val="00B248E3"/>
    <w:rsid w:val="00B249A7"/>
    <w:rsid w:val="00B24AF7"/>
    <w:rsid w:val="00B24B9B"/>
    <w:rsid w:val="00B24C9F"/>
    <w:rsid w:val="00B24D08"/>
    <w:rsid w:val="00B24DA7"/>
    <w:rsid w:val="00B24DB3"/>
    <w:rsid w:val="00B24E42"/>
    <w:rsid w:val="00B24F8C"/>
    <w:rsid w:val="00B24FAA"/>
    <w:rsid w:val="00B2519B"/>
    <w:rsid w:val="00B25258"/>
    <w:rsid w:val="00B25417"/>
    <w:rsid w:val="00B2571F"/>
    <w:rsid w:val="00B2576D"/>
    <w:rsid w:val="00B258AF"/>
    <w:rsid w:val="00B2594B"/>
    <w:rsid w:val="00B25A10"/>
    <w:rsid w:val="00B25AF9"/>
    <w:rsid w:val="00B25AFA"/>
    <w:rsid w:val="00B25C7E"/>
    <w:rsid w:val="00B25D05"/>
    <w:rsid w:val="00B25E84"/>
    <w:rsid w:val="00B26218"/>
    <w:rsid w:val="00B263B9"/>
    <w:rsid w:val="00B26428"/>
    <w:rsid w:val="00B264E4"/>
    <w:rsid w:val="00B2652F"/>
    <w:rsid w:val="00B265BC"/>
    <w:rsid w:val="00B26622"/>
    <w:rsid w:val="00B26669"/>
    <w:rsid w:val="00B266A0"/>
    <w:rsid w:val="00B26740"/>
    <w:rsid w:val="00B26750"/>
    <w:rsid w:val="00B2681A"/>
    <w:rsid w:val="00B269EE"/>
    <w:rsid w:val="00B26A63"/>
    <w:rsid w:val="00B26ADE"/>
    <w:rsid w:val="00B26D0C"/>
    <w:rsid w:val="00B26EF9"/>
    <w:rsid w:val="00B26FD7"/>
    <w:rsid w:val="00B271DD"/>
    <w:rsid w:val="00B272A6"/>
    <w:rsid w:val="00B27430"/>
    <w:rsid w:val="00B27459"/>
    <w:rsid w:val="00B275AE"/>
    <w:rsid w:val="00B27642"/>
    <w:rsid w:val="00B276B4"/>
    <w:rsid w:val="00B27811"/>
    <w:rsid w:val="00B27981"/>
    <w:rsid w:val="00B27C5B"/>
    <w:rsid w:val="00B27F41"/>
    <w:rsid w:val="00B27F4C"/>
    <w:rsid w:val="00B30006"/>
    <w:rsid w:val="00B3005F"/>
    <w:rsid w:val="00B30063"/>
    <w:rsid w:val="00B30259"/>
    <w:rsid w:val="00B303EE"/>
    <w:rsid w:val="00B303F6"/>
    <w:rsid w:val="00B3040D"/>
    <w:rsid w:val="00B305EC"/>
    <w:rsid w:val="00B3073F"/>
    <w:rsid w:val="00B307B7"/>
    <w:rsid w:val="00B309DC"/>
    <w:rsid w:val="00B30AEE"/>
    <w:rsid w:val="00B30C9A"/>
    <w:rsid w:val="00B31019"/>
    <w:rsid w:val="00B310A0"/>
    <w:rsid w:val="00B312C2"/>
    <w:rsid w:val="00B313C4"/>
    <w:rsid w:val="00B3143C"/>
    <w:rsid w:val="00B315AC"/>
    <w:rsid w:val="00B316B7"/>
    <w:rsid w:val="00B318ED"/>
    <w:rsid w:val="00B31927"/>
    <w:rsid w:val="00B31983"/>
    <w:rsid w:val="00B319CE"/>
    <w:rsid w:val="00B319E7"/>
    <w:rsid w:val="00B31A27"/>
    <w:rsid w:val="00B31B96"/>
    <w:rsid w:val="00B31BD3"/>
    <w:rsid w:val="00B31C5C"/>
    <w:rsid w:val="00B31DAD"/>
    <w:rsid w:val="00B31DC4"/>
    <w:rsid w:val="00B31E7F"/>
    <w:rsid w:val="00B31F86"/>
    <w:rsid w:val="00B32136"/>
    <w:rsid w:val="00B3216D"/>
    <w:rsid w:val="00B32249"/>
    <w:rsid w:val="00B32594"/>
    <w:rsid w:val="00B32854"/>
    <w:rsid w:val="00B32883"/>
    <w:rsid w:val="00B32A24"/>
    <w:rsid w:val="00B32E9C"/>
    <w:rsid w:val="00B332E2"/>
    <w:rsid w:val="00B33551"/>
    <w:rsid w:val="00B33706"/>
    <w:rsid w:val="00B33749"/>
    <w:rsid w:val="00B339B0"/>
    <w:rsid w:val="00B33CBB"/>
    <w:rsid w:val="00B33D15"/>
    <w:rsid w:val="00B33FF1"/>
    <w:rsid w:val="00B33FFE"/>
    <w:rsid w:val="00B340DF"/>
    <w:rsid w:val="00B340FD"/>
    <w:rsid w:val="00B34177"/>
    <w:rsid w:val="00B342B8"/>
    <w:rsid w:val="00B342F0"/>
    <w:rsid w:val="00B34391"/>
    <w:rsid w:val="00B343D4"/>
    <w:rsid w:val="00B3459F"/>
    <w:rsid w:val="00B345F2"/>
    <w:rsid w:val="00B3481B"/>
    <w:rsid w:val="00B348F6"/>
    <w:rsid w:val="00B3495E"/>
    <w:rsid w:val="00B349FC"/>
    <w:rsid w:val="00B34A05"/>
    <w:rsid w:val="00B34D88"/>
    <w:rsid w:val="00B34E76"/>
    <w:rsid w:val="00B34F72"/>
    <w:rsid w:val="00B34F8C"/>
    <w:rsid w:val="00B34FCF"/>
    <w:rsid w:val="00B35017"/>
    <w:rsid w:val="00B3534E"/>
    <w:rsid w:val="00B357A0"/>
    <w:rsid w:val="00B35853"/>
    <w:rsid w:val="00B35908"/>
    <w:rsid w:val="00B35984"/>
    <w:rsid w:val="00B35994"/>
    <w:rsid w:val="00B359E8"/>
    <w:rsid w:val="00B35AFD"/>
    <w:rsid w:val="00B35E7D"/>
    <w:rsid w:val="00B35F2C"/>
    <w:rsid w:val="00B35FBB"/>
    <w:rsid w:val="00B35FF2"/>
    <w:rsid w:val="00B36028"/>
    <w:rsid w:val="00B3605C"/>
    <w:rsid w:val="00B36086"/>
    <w:rsid w:val="00B3613A"/>
    <w:rsid w:val="00B3622D"/>
    <w:rsid w:val="00B3630A"/>
    <w:rsid w:val="00B36370"/>
    <w:rsid w:val="00B363EE"/>
    <w:rsid w:val="00B366EA"/>
    <w:rsid w:val="00B367B0"/>
    <w:rsid w:val="00B36810"/>
    <w:rsid w:val="00B36ADD"/>
    <w:rsid w:val="00B36C37"/>
    <w:rsid w:val="00B36E03"/>
    <w:rsid w:val="00B36E49"/>
    <w:rsid w:val="00B371FD"/>
    <w:rsid w:val="00B3730D"/>
    <w:rsid w:val="00B3738D"/>
    <w:rsid w:val="00B373B2"/>
    <w:rsid w:val="00B37465"/>
    <w:rsid w:val="00B3746F"/>
    <w:rsid w:val="00B37488"/>
    <w:rsid w:val="00B375BB"/>
    <w:rsid w:val="00B376A5"/>
    <w:rsid w:val="00B37872"/>
    <w:rsid w:val="00B3787C"/>
    <w:rsid w:val="00B379D8"/>
    <w:rsid w:val="00B37A23"/>
    <w:rsid w:val="00B37AB9"/>
    <w:rsid w:val="00B37B84"/>
    <w:rsid w:val="00B37C2D"/>
    <w:rsid w:val="00B37C3F"/>
    <w:rsid w:val="00B37EB9"/>
    <w:rsid w:val="00B40029"/>
    <w:rsid w:val="00B40064"/>
    <w:rsid w:val="00B400D8"/>
    <w:rsid w:val="00B40108"/>
    <w:rsid w:val="00B40187"/>
    <w:rsid w:val="00B4023F"/>
    <w:rsid w:val="00B4024A"/>
    <w:rsid w:val="00B40672"/>
    <w:rsid w:val="00B40698"/>
    <w:rsid w:val="00B407C0"/>
    <w:rsid w:val="00B40819"/>
    <w:rsid w:val="00B40829"/>
    <w:rsid w:val="00B4083A"/>
    <w:rsid w:val="00B40B47"/>
    <w:rsid w:val="00B40C13"/>
    <w:rsid w:val="00B40DA3"/>
    <w:rsid w:val="00B41031"/>
    <w:rsid w:val="00B411CF"/>
    <w:rsid w:val="00B4167E"/>
    <w:rsid w:val="00B41838"/>
    <w:rsid w:val="00B41909"/>
    <w:rsid w:val="00B419D1"/>
    <w:rsid w:val="00B41A99"/>
    <w:rsid w:val="00B41B6D"/>
    <w:rsid w:val="00B41CAC"/>
    <w:rsid w:val="00B41D48"/>
    <w:rsid w:val="00B41E3B"/>
    <w:rsid w:val="00B41F41"/>
    <w:rsid w:val="00B41F8D"/>
    <w:rsid w:val="00B41FEB"/>
    <w:rsid w:val="00B4227C"/>
    <w:rsid w:val="00B423AA"/>
    <w:rsid w:val="00B424D1"/>
    <w:rsid w:val="00B425DE"/>
    <w:rsid w:val="00B425F4"/>
    <w:rsid w:val="00B42989"/>
    <w:rsid w:val="00B42A11"/>
    <w:rsid w:val="00B42A54"/>
    <w:rsid w:val="00B42CC6"/>
    <w:rsid w:val="00B42D0A"/>
    <w:rsid w:val="00B42D12"/>
    <w:rsid w:val="00B42DE0"/>
    <w:rsid w:val="00B42E42"/>
    <w:rsid w:val="00B42E79"/>
    <w:rsid w:val="00B42F50"/>
    <w:rsid w:val="00B433E0"/>
    <w:rsid w:val="00B43752"/>
    <w:rsid w:val="00B43756"/>
    <w:rsid w:val="00B438AD"/>
    <w:rsid w:val="00B439B1"/>
    <w:rsid w:val="00B43C32"/>
    <w:rsid w:val="00B43EBD"/>
    <w:rsid w:val="00B43F6D"/>
    <w:rsid w:val="00B44058"/>
    <w:rsid w:val="00B44140"/>
    <w:rsid w:val="00B44334"/>
    <w:rsid w:val="00B445BE"/>
    <w:rsid w:val="00B44611"/>
    <w:rsid w:val="00B446B8"/>
    <w:rsid w:val="00B44962"/>
    <w:rsid w:val="00B44AD2"/>
    <w:rsid w:val="00B44AF7"/>
    <w:rsid w:val="00B44C0F"/>
    <w:rsid w:val="00B44C23"/>
    <w:rsid w:val="00B44CDE"/>
    <w:rsid w:val="00B44E76"/>
    <w:rsid w:val="00B44FDF"/>
    <w:rsid w:val="00B45057"/>
    <w:rsid w:val="00B450B0"/>
    <w:rsid w:val="00B450D2"/>
    <w:rsid w:val="00B451B6"/>
    <w:rsid w:val="00B45593"/>
    <w:rsid w:val="00B455A7"/>
    <w:rsid w:val="00B456D7"/>
    <w:rsid w:val="00B45742"/>
    <w:rsid w:val="00B45898"/>
    <w:rsid w:val="00B45A89"/>
    <w:rsid w:val="00B45AA0"/>
    <w:rsid w:val="00B45AAC"/>
    <w:rsid w:val="00B45AC5"/>
    <w:rsid w:val="00B45B20"/>
    <w:rsid w:val="00B45BA3"/>
    <w:rsid w:val="00B45D67"/>
    <w:rsid w:val="00B45EA9"/>
    <w:rsid w:val="00B45F0A"/>
    <w:rsid w:val="00B460D7"/>
    <w:rsid w:val="00B4618E"/>
    <w:rsid w:val="00B461DD"/>
    <w:rsid w:val="00B463A2"/>
    <w:rsid w:val="00B464CF"/>
    <w:rsid w:val="00B466D1"/>
    <w:rsid w:val="00B46996"/>
    <w:rsid w:val="00B46A4E"/>
    <w:rsid w:val="00B46B0F"/>
    <w:rsid w:val="00B46C0B"/>
    <w:rsid w:val="00B46D40"/>
    <w:rsid w:val="00B46E45"/>
    <w:rsid w:val="00B46ED8"/>
    <w:rsid w:val="00B471BD"/>
    <w:rsid w:val="00B4722F"/>
    <w:rsid w:val="00B472A6"/>
    <w:rsid w:val="00B4731A"/>
    <w:rsid w:val="00B4732B"/>
    <w:rsid w:val="00B4737E"/>
    <w:rsid w:val="00B473C5"/>
    <w:rsid w:val="00B473D1"/>
    <w:rsid w:val="00B4746E"/>
    <w:rsid w:val="00B47628"/>
    <w:rsid w:val="00B47773"/>
    <w:rsid w:val="00B4793E"/>
    <w:rsid w:val="00B47979"/>
    <w:rsid w:val="00B47AA8"/>
    <w:rsid w:val="00B47CB5"/>
    <w:rsid w:val="00B47D8A"/>
    <w:rsid w:val="00B507BB"/>
    <w:rsid w:val="00B5088B"/>
    <w:rsid w:val="00B50947"/>
    <w:rsid w:val="00B50A23"/>
    <w:rsid w:val="00B50A44"/>
    <w:rsid w:val="00B50A8A"/>
    <w:rsid w:val="00B50AED"/>
    <w:rsid w:val="00B50C43"/>
    <w:rsid w:val="00B50C68"/>
    <w:rsid w:val="00B50CE3"/>
    <w:rsid w:val="00B50D8B"/>
    <w:rsid w:val="00B50EDD"/>
    <w:rsid w:val="00B50FD4"/>
    <w:rsid w:val="00B513E0"/>
    <w:rsid w:val="00B514BC"/>
    <w:rsid w:val="00B514D9"/>
    <w:rsid w:val="00B518EF"/>
    <w:rsid w:val="00B51949"/>
    <w:rsid w:val="00B51A5C"/>
    <w:rsid w:val="00B51BE6"/>
    <w:rsid w:val="00B51C4B"/>
    <w:rsid w:val="00B51CBC"/>
    <w:rsid w:val="00B51DF7"/>
    <w:rsid w:val="00B5220F"/>
    <w:rsid w:val="00B524DC"/>
    <w:rsid w:val="00B52737"/>
    <w:rsid w:val="00B527C4"/>
    <w:rsid w:val="00B527E4"/>
    <w:rsid w:val="00B52902"/>
    <w:rsid w:val="00B52974"/>
    <w:rsid w:val="00B52AB0"/>
    <w:rsid w:val="00B52AFF"/>
    <w:rsid w:val="00B52CFD"/>
    <w:rsid w:val="00B52E2E"/>
    <w:rsid w:val="00B52E4D"/>
    <w:rsid w:val="00B52F4C"/>
    <w:rsid w:val="00B533F9"/>
    <w:rsid w:val="00B53403"/>
    <w:rsid w:val="00B53562"/>
    <w:rsid w:val="00B536A7"/>
    <w:rsid w:val="00B536AB"/>
    <w:rsid w:val="00B5393A"/>
    <w:rsid w:val="00B53A3B"/>
    <w:rsid w:val="00B53A96"/>
    <w:rsid w:val="00B53AF9"/>
    <w:rsid w:val="00B53CCD"/>
    <w:rsid w:val="00B53CD8"/>
    <w:rsid w:val="00B53E30"/>
    <w:rsid w:val="00B53F5E"/>
    <w:rsid w:val="00B53F90"/>
    <w:rsid w:val="00B54047"/>
    <w:rsid w:val="00B5413E"/>
    <w:rsid w:val="00B5417D"/>
    <w:rsid w:val="00B54239"/>
    <w:rsid w:val="00B54761"/>
    <w:rsid w:val="00B54766"/>
    <w:rsid w:val="00B5476A"/>
    <w:rsid w:val="00B549DE"/>
    <w:rsid w:val="00B54A2B"/>
    <w:rsid w:val="00B54BD1"/>
    <w:rsid w:val="00B54DE9"/>
    <w:rsid w:val="00B5519D"/>
    <w:rsid w:val="00B551BA"/>
    <w:rsid w:val="00B55286"/>
    <w:rsid w:val="00B5542A"/>
    <w:rsid w:val="00B55524"/>
    <w:rsid w:val="00B55559"/>
    <w:rsid w:val="00B55624"/>
    <w:rsid w:val="00B5571A"/>
    <w:rsid w:val="00B558E7"/>
    <w:rsid w:val="00B55AAB"/>
    <w:rsid w:val="00B55E59"/>
    <w:rsid w:val="00B55F5D"/>
    <w:rsid w:val="00B561E2"/>
    <w:rsid w:val="00B5625F"/>
    <w:rsid w:val="00B5633E"/>
    <w:rsid w:val="00B56384"/>
    <w:rsid w:val="00B565B7"/>
    <w:rsid w:val="00B565FF"/>
    <w:rsid w:val="00B566B2"/>
    <w:rsid w:val="00B566FE"/>
    <w:rsid w:val="00B56961"/>
    <w:rsid w:val="00B569E4"/>
    <w:rsid w:val="00B56A94"/>
    <w:rsid w:val="00B56B21"/>
    <w:rsid w:val="00B56B84"/>
    <w:rsid w:val="00B56B94"/>
    <w:rsid w:val="00B574BF"/>
    <w:rsid w:val="00B575BF"/>
    <w:rsid w:val="00B578DA"/>
    <w:rsid w:val="00B578E8"/>
    <w:rsid w:val="00B579BA"/>
    <w:rsid w:val="00B57DF0"/>
    <w:rsid w:val="00B57DF2"/>
    <w:rsid w:val="00B57E31"/>
    <w:rsid w:val="00B57F1E"/>
    <w:rsid w:val="00B57FEB"/>
    <w:rsid w:val="00B6016A"/>
    <w:rsid w:val="00B60275"/>
    <w:rsid w:val="00B60279"/>
    <w:rsid w:val="00B60483"/>
    <w:rsid w:val="00B60592"/>
    <w:rsid w:val="00B6059B"/>
    <w:rsid w:val="00B605EE"/>
    <w:rsid w:val="00B60646"/>
    <w:rsid w:val="00B6066F"/>
    <w:rsid w:val="00B6071B"/>
    <w:rsid w:val="00B60B30"/>
    <w:rsid w:val="00B60C03"/>
    <w:rsid w:val="00B60CFB"/>
    <w:rsid w:val="00B60E3A"/>
    <w:rsid w:val="00B6110F"/>
    <w:rsid w:val="00B6111E"/>
    <w:rsid w:val="00B612EA"/>
    <w:rsid w:val="00B61361"/>
    <w:rsid w:val="00B6140A"/>
    <w:rsid w:val="00B6145F"/>
    <w:rsid w:val="00B614BE"/>
    <w:rsid w:val="00B616CA"/>
    <w:rsid w:val="00B616DF"/>
    <w:rsid w:val="00B61901"/>
    <w:rsid w:val="00B61C66"/>
    <w:rsid w:val="00B61C92"/>
    <w:rsid w:val="00B61D00"/>
    <w:rsid w:val="00B61E6C"/>
    <w:rsid w:val="00B61F57"/>
    <w:rsid w:val="00B61FAB"/>
    <w:rsid w:val="00B62082"/>
    <w:rsid w:val="00B6212C"/>
    <w:rsid w:val="00B623D2"/>
    <w:rsid w:val="00B623EB"/>
    <w:rsid w:val="00B62478"/>
    <w:rsid w:val="00B624B1"/>
    <w:rsid w:val="00B62604"/>
    <w:rsid w:val="00B62662"/>
    <w:rsid w:val="00B627C4"/>
    <w:rsid w:val="00B62800"/>
    <w:rsid w:val="00B62A54"/>
    <w:rsid w:val="00B62A78"/>
    <w:rsid w:val="00B62B53"/>
    <w:rsid w:val="00B62BD1"/>
    <w:rsid w:val="00B62CAD"/>
    <w:rsid w:val="00B62CF2"/>
    <w:rsid w:val="00B62CFF"/>
    <w:rsid w:val="00B62D14"/>
    <w:rsid w:val="00B62D6A"/>
    <w:rsid w:val="00B62DF2"/>
    <w:rsid w:val="00B63016"/>
    <w:rsid w:val="00B63086"/>
    <w:rsid w:val="00B630CB"/>
    <w:rsid w:val="00B63128"/>
    <w:rsid w:val="00B63382"/>
    <w:rsid w:val="00B63428"/>
    <w:rsid w:val="00B63758"/>
    <w:rsid w:val="00B63A1E"/>
    <w:rsid w:val="00B63A80"/>
    <w:rsid w:val="00B63BDE"/>
    <w:rsid w:val="00B63CD6"/>
    <w:rsid w:val="00B63ED2"/>
    <w:rsid w:val="00B63F33"/>
    <w:rsid w:val="00B63F58"/>
    <w:rsid w:val="00B63F8B"/>
    <w:rsid w:val="00B64124"/>
    <w:rsid w:val="00B6413E"/>
    <w:rsid w:val="00B64544"/>
    <w:rsid w:val="00B6459C"/>
    <w:rsid w:val="00B6495B"/>
    <w:rsid w:val="00B649A5"/>
    <w:rsid w:val="00B649FA"/>
    <w:rsid w:val="00B64B99"/>
    <w:rsid w:val="00B64BBE"/>
    <w:rsid w:val="00B64CAA"/>
    <w:rsid w:val="00B6512F"/>
    <w:rsid w:val="00B652C7"/>
    <w:rsid w:val="00B65335"/>
    <w:rsid w:val="00B65345"/>
    <w:rsid w:val="00B654FD"/>
    <w:rsid w:val="00B658BE"/>
    <w:rsid w:val="00B659AF"/>
    <w:rsid w:val="00B659E5"/>
    <w:rsid w:val="00B65A1A"/>
    <w:rsid w:val="00B65A86"/>
    <w:rsid w:val="00B65C74"/>
    <w:rsid w:val="00B65DDF"/>
    <w:rsid w:val="00B65F11"/>
    <w:rsid w:val="00B65F92"/>
    <w:rsid w:val="00B6626C"/>
    <w:rsid w:val="00B6637C"/>
    <w:rsid w:val="00B66393"/>
    <w:rsid w:val="00B6639B"/>
    <w:rsid w:val="00B6653D"/>
    <w:rsid w:val="00B6656D"/>
    <w:rsid w:val="00B66639"/>
    <w:rsid w:val="00B6677A"/>
    <w:rsid w:val="00B66797"/>
    <w:rsid w:val="00B667DD"/>
    <w:rsid w:val="00B66836"/>
    <w:rsid w:val="00B669A2"/>
    <w:rsid w:val="00B66A87"/>
    <w:rsid w:val="00B66AB1"/>
    <w:rsid w:val="00B66BD7"/>
    <w:rsid w:val="00B66C92"/>
    <w:rsid w:val="00B66DB9"/>
    <w:rsid w:val="00B66E3E"/>
    <w:rsid w:val="00B6709B"/>
    <w:rsid w:val="00B670B4"/>
    <w:rsid w:val="00B67102"/>
    <w:rsid w:val="00B671D1"/>
    <w:rsid w:val="00B67246"/>
    <w:rsid w:val="00B673ED"/>
    <w:rsid w:val="00B6742B"/>
    <w:rsid w:val="00B67441"/>
    <w:rsid w:val="00B67529"/>
    <w:rsid w:val="00B6753F"/>
    <w:rsid w:val="00B67671"/>
    <w:rsid w:val="00B676AD"/>
    <w:rsid w:val="00B6785A"/>
    <w:rsid w:val="00B67CC9"/>
    <w:rsid w:val="00B67D8A"/>
    <w:rsid w:val="00B67DC9"/>
    <w:rsid w:val="00B67F0F"/>
    <w:rsid w:val="00B700E2"/>
    <w:rsid w:val="00B70240"/>
    <w:rsid w:val="00B7030F"/>
    <w:rsid w:val="00B703BA"/>
    <w:rsid w:val="00B70A0B"/>
    <w:rsid w:val="00B70B69"/>
    <w:rsid w:val="00B70CDA"/>
    <w:rsid w:val="00B70DE0"/>
    <w:rsid w:val="00B70EA1"/>
    <w:rsid w:val="00B70ECC"/>
    <w:rsid w:val="00B70EF3"/>
    <w:rsid w:val="00B712D0"/>
    <w:rsid w:val="00B71493"/>
    <w:rsid w:val="00B714A8"/>
    <w:rsid w:val="00B71543"/>
    <w:rsid w:val="00B71625"/>
    <w:rsid w:val="00B716B8"/>
    <w:rsid w:val="00B718DB"/>
    <w:rsid w:val="00B718FB"/>
    <w:rsid w:val="00B71A1A"/>
    <w:rsid w:val="00B71D8E"/>
    <w:rsid w:val="00B71DC3"/>
    <w:rsid w:val="00B71EF7"/>
    <w:rsid w:val="00B71F9E"/>
    <w:rsid w:val="00B721EA"/>
    <w:rsid w:val="00B72254"/>
    <w:rsid w:val="00B7238D"/>
    <w:rsid w:val="00B723B8"/>
    <w:rsid w:val="00B72474"/>
    <w:rsid w:val="00B7250F"/>
    <w:rsid w:val="00B725D2"/>
    <w:rsid w:val="00B7264B"/>
    <w:rsid w:val="00B726EB"/>
    <w:rsid w:val="00B72703"/>
    <w:rsid w:val="00B728DF"/>
    <w:rsid w:val="00B72ACE"/>
    <w:rsid w:val="00B72D81"/>
    <w:rsid w:val="00B72DB1"/>
    <w:rsid w:val="00B72DC2"/>
    <w:rsid w:val="00B72E20"/>
    <w:rsid w:val="00B72F00"/>
    <w:rsid w:val="00B72F95"/>
    <w:rsid w:val="00B73309"/>
    <w:rsid w:val="00B733BE"/>
    <w:rsid w:val="00B73430"/>
    <w:rsid w:val="00B736A2"/>
    <w:rsid w:val="00B73728"/>
    <w:rsid w:val="00B737DD"/>
    <w:rsid w:val="00B73999"/>
    <w:rsid w:val="00B73C87"/>
    <w:rsid w:val="00B73D64"/>
    <w:rsid w:val="00B73E1F"/>
    <w:rsid w:val="00B7401E"/>
    <w:rsid w:val="00B7407A"/>
    <w:rsid w:val="00B740CA"/>
    <w:rsid w:val="00B741EA"/>
    <w:rsid w:val="00B742ED"/>
    <w:rsid w:val="00B743B9"/>
    <w:rsid w:val="00B74617"/>
    <w:rsid w:val="00B74717"/>
    <w:rsid w:val="00B74781"/>
    <w:rsid w:val="00B74923"/>
    <w:rsid w:val="00B74925"/>
    <w:rsid w:val="00B74964"/>
    <w:rsid w:val="00B74A17"/>
    <w:rsid w:val="00B74B00"/>
    <w:rsid w:val="00B74D66"/>
    <w:rsid w:val="00B74FE9"/>
    <w:rsid w:val="00B75332"/>
    <w:rsid w:val="00B75358"/>
    <w:rsid w:val="00B754CA"/>
    <w:rsid w:val="00B75640"/>
    <w:rsid w:val="00B7569B"/>
    <w:rsid w:val="00B757E5"/>
    <w:rsid w:val="00B75838"/>
    <w:rsid w:val="00B758CC"/>
    <w:rsid w:val="00B759E7"/>
    <w:rsid w:val="00B75BF4"/>
    <w:rsid w:val="00B75CD7"/>
    <w:rsid w:val="00B75E6A"/>
    <w:rsid w:val="00B76136"/>
    <w:rsid w:val="00B7619F"/>
    <w:rsid w:val="00B7631C"/>
    <w:rsid w:val="00B76349"/>
    <w:rsid w:val="00B76516"/>
    <w:rsid w:val="00B76535"/>
    <w:rsid w:val="00B766BD"/>
    <w:rsid w:val="00B766F2"/>
    <w:rsid w:val="00B767ED"/>
    <w:rsid w:val="00B7682F"/>
    <w:rsid w:val="00B768FB"/>
    <w:rsid w:val="00B76955"/>
    <w:rsid w:val="00B76A3F"/>
    <w:rsid w:val="00B76AD4"/>
    <w:rsid w:val="00B76B17"/>
    <w:rsid w:val="00B76C83"/>
    <w:rsid w:val="00B76CCD"/>
    <w:rsid w:val="00B76EB6"/>
    <w:rsid w:val="00B76EDF"/>
    <w:rsid w:val="00B76FE4"/>
    <w:rsid w:val="00B770BE"/>
    <w:rsid w:val="00B771A7"/>
    <w:rsid w:val="00B772D8"/>
    <w:rsid w:val="00B7730F"/>
    <w:rsid w:val="00B774E7"/>
    <w:rsid w:val="00B7759B"/>
    <w:rsid w:val="00B7775A"/>
    <w:rsid w:val="00B777A8"/>
    <w:rsid w:val="00B77833"/>
    <w:rsid w:val="00B77BC4"/>
    <w:rsid w:val="00B77EEF"/>
    <w:rsid w:val="00B803F1"/>
    <w:rsid w:val="00B80418"/>
    <w:rsid w:val="00B8064C"/>
    <w:rsid w:val="00B80668"/>
    <w:rsid w:val="00B8079F"/>
    <w:rsid w:val="00B80811"/>
    <w:rsid w:val="00B80856"/>
    <w:rsid w:val="00B8094A"/>
    <w:rsid w:val="00B8097D"/>
    <w:rsid w:val="00B80C14"/>
    <w:rsid w:val="00B80E25"/>
    <w:rsid w:val="00B80ED1"/>
    <w:rsid w:val="00B80F97"/>
    <w:rsid w:val="00B81290"/>
    <w:rsid w:val="00B8133A"/>
    <w:rsid w:val="00B81420"/>
    <w:rsid w:val="00B814D1"/>
    <w:rsid w:val="00B81610"/>
    <w:rsid w:val="00B816BE"/>
    <w:rsid w:val="00B817AB"/>
    <w:rsid w:val="00B819CB"/>
    <w:rsid w:val="00B81A1F"/>
    <w:rsid w:val="00B81A92"/>
    <w:rsid w:val="00B81B97"/>
    <w:rsid w:val="00B81EA3"/>
    <w:rsid w:val="00B81F38"/>
    <w:rsid w:val="00B821B9"/>
    <w:rsid w:val="00B82297"/>
    <w:rsid w:val="00B82503"/>
    <w:rsid w:val="00B82542"/>
    <w:rsid w:val="00B825D5"/>
    <w:rsid w:val="00B8269B"/>
    <w:rsid w:val="00B8276A"/>
    <w:rsid w:val="00B82895"/>
    <w:rsid w:val="00B82D40"/>
    <w:rsid w:val="00B82F96"/>
    <w:rsid w:val="00B82FAB"/>
    <w:rsid w:val="00B8307D"/>
    <w:rsid w:val="00B830EC"/>
    <w:rsid w:val="00B83184"/>
    <w:rsid w:val="00B8342D"/>
    <w:rsid w:val="00B835BB"/>
    <w:rsid w:val="00B835FE"/>
    <w:rsid w:val="00B83699"/>
    <w:rsid w:val="00B83752"/>
    <w:rsid w:val="00B837E3"/>
    <w:rsid w:val="00B838C9"/>
    <w:rsid w:val="00B839A8"/>
    <w:rsid w:val="00B83A1B"/>
    <w:rsid w:val="00B83AD6"/>
    <w:rsid w:val="00B83B4E"/>
    <w:rsid w:val="00B83B62"/>
    <w:rsid w:val="00B83BFF"/>
    <w:rsid w:val="00B83C68"/>
    <w:rsid w:val="00B83D3E"/>
    <w:rsid w:val="00B83FFF"/>
    <w:rsid w:val="00B841A1"/>
    <w:rsid w:val="00B84251"/>
    <w:rsid w:val="00B84372"/>
    <w:rsid w:val="00B8452F"/>
    <w:rsid w:val="00B846AD"/>
    <w:rsid w:val="00B848BF"/>
    <w:rsid w:val="00B8496F"/>
    <w:rsid w:val="00B84D7F"/>
    <w:rsid w:val="00B84F05"/>
    <w:rsid w:val="00B84F64"/>
    <w:rsid w:val="00B850D2"/>
    <w:rsid w:val="00B85346"/>
    <w:rsid w:val="00B8535F"/>
    <w:rsid w:val="00B8596D"/>
    <w:rsid w:val="00B85CB1"/>
    <w:rsid w:val="00B85CB2"/>
    <w:rsid w:val="00B85D04"/>
    <w:rsid w:val="00B85EB5"/>
    <w:rsid w:val="00B85FF7"/>
    <w:rsid w:val="00B8612B"/>
    <w:rsid w:val="00B861CA"/>
    <w:rsid w:val="00B86464"/>
    <w:rsid w:val="00B869DD"/>
    <w:rsid w:val="00B86BB7"/>
    <w:rsid w:val="00B870FC"/>
    <w:rsid w:val="00B871F7"/>
    <w:rsid w:val="00B872B5"/>
    <w:rsid w:val="00B872C0"/>
    <w:rsid w:val="00B87300"/>
    <w:rsid w:val="00B87481"/>
    <w:rsid w:val="00B8753C"/>
    <w:rsid w:val="00B87558"/>
    <w:rsid w:val="00B87701"/>
    <w:rsid w:val="00B87851"/>
    <w:rsid w:val="00B878C6"/>
    <w:rsid w:val="00B878CD"/>
    <w:rsid w:val="00B87ACC"/>
    <w:rsid w:val="00B87ACD"/>
    <w:rsid w:val="00B87B59"/>
    <w:rsid w:val="00B87BC5"/>
    <w:rsid w:val="00B87C98"/>
    <w:rsid w:val="00B87DBB"/>
    <w:rsid w:val="00B87E21"/>
    <w:rsid w:val="00B87E48"/>
    <w:rsid w:val="00B87F09"/>
    <w:rsid w:val="00B90084"/>
    <w:rsid w:val="00B90256"/>
    <w:rsid w:val="00B902F3"/>
    <w:rsid w:val="00B9036F"/>
    <w:rsid w:val="00B905EA"/>
    <w:rsid w:val="00B9065F"/>
    <w:rsid w:val="00B906E4"/>
    <w:rsid w:val="00B90842"/>
    <w:rsid w:val="00B90ABE"/>
    <w:rsid w:val="00B90BCB"/>
    <w:rsid w:val="00B90FE8"/>
    <w:rsid w:val="00B91554"/>
    <w:rsid w:val="00B916AC"/>
    <w:rsid w:val="00B91963"/>
    <w:rsid w:val="00B91ADE"/>
    <w:rsid w:val="00B91C01"/>
    <w:rsid w:val="00B91CB1"/>
    <w:rsid w:val="00B91D2E"/>
    <w:rsid w:val="00B91D63"/>
    <w:rsid w:val="00B91EB0"/>
    <w:rsid w:val="00B91EBA"/>
    <w:rsid w:val="00B91FA0"/>
    <w:rsid w:val="00B9249B"/>
    <w:rsid w:val="00B9262C"/>
    <w:rsid w:val="00B9263C"/>
    <w:rsid w:val="00B9267C"/>
    <w:rsid w:val="00B92816"/>
    <w:rsid w:val="00B92BBA"/>
    <w:rsid w:val="00B92CFA"/>
    <w:rsid w:val="00B92D0B"/>
    <w:rsid w:val="00B930F0"/>
    <w:rsid w:val="00B93141"/>
    <w:rsid w:val="00B93181"/>
    <w:rsid w:val="00B93189"/>
    <w:rsid w:val="00B931EA"/>
    <w:rsid w:val="00B932BA"/>
    <w:rsid w:val="00B933CB"/>
    <w:rsid w:val="00B934E5"/>
    <w:rsid w:val="00B93509"/>
    <w:rsid w:val="00B93547"/>
    <w:rsid w:val="00B93622"/>
    <w:rsid w:val="00B936DD"/>
    <w:rsid w:val="00B938AE"/>
    <w:rsid w:val="00B938D9"/>
    <w:rsid w:val="00B9397E"/>
    <w:rsid w:val="00B940C2"/>
    <w:rsid w:val="00B94133"/>
    <w:rsid w:val="00B941EA"/>
    <w:rsid w:val="00B94220"/>
    <w:rsid w:val="00B9422D"/>
    <w:rsid w:val="00B943C1"/>
    <w:rsid w:val="00B943CB"/>
    <w:rsid w:val="00B946A2"/>
    <w:rsid w:val="00B94947"/>
    <w:rsid w:val="00B94A64"/>
    <w:rsid w:val="00B950A1"/>
    <w:rsid w:val="00B9510A"/>
    <w:rsid w:val="00B95168"/>
    <w:rsid w:val="00B951EA"/>
    <w:rsid w:val="00B9520A"/>
    <w:rsid w:val="00B9536C"/>
    <w:rsid w:val="00B95399"/>
    <w:rsid w:val="00B95406"/>
    <w:rsid w:val="00B956B0"/>
    <w:rsid w:val="00B958E0"/>
    <w:rsid w:val="00B95907"/>
    <w:rsid w:val="00B95992"/>
    <w:rsid w:val="00B959A5"/>
    <w:rsid w:val="00B95B05"/>
    <w:rsid w:val="00B95CC9"/>
    <w:rsid w:val="00B95D41"/>
    <w:rsid w:val="00B95DDE"/>
    <w:rsid w:val="00B95F9C"/>
    <w:rsid w:val="00B95FA4"/>
    <w:rsid w:val="00B961AA"/>
    <w:rsid w:val="00B961D8"/>
    <w:rsid w:val="00B961FF"/>
    <w:rsid w:val="00B962BE"/>
    <w:rsid w:val="00B965C2"/>
    <w:rsid w:val="00B967C2"/>
    <w:rsid w:val="00B96811"/>
    <w:rsid w:val="00B96977"/>
    <w:rsid w:val="00B96BA7"/>
    <w:rsid w:val="00B96BF3"/>
    <w:rsid w:val="00B96E2B"/>
    <w:rsid w:val="00B96EDA"/>
    <w:rsid w:val="00B9704C"/>
    <w:rsid w:val="00B970A6"/>
    <w:rsid w:val="00B97147"/>
    <w:rsid w:val="00B9723C"/>
    <w:rsid w:val="00B97459"/>
    <w:rsid w:val="00B97684"/>
    <w:rsid w:val="00B976BA"/>
    <w:rsid w:val="00B97840"/>
    <w:rsid w:val="00B97D6C"/>
    <w:rsid w:val="00B97D8F"/>
    <w:rsid w:val="00B97F34"/>
    <w:rsid w:val="00B97F38"/>
    <w:rsid w:val="00B97F7F"/>
    <w:rsid w:val="00BA0035"/>
    <w:rsid w:val="00BA013E"/>
    <w:rsid w:val="00BA01AF"/>
    <w:rsid w:val="00BA02B8"/>
    <w:rsid w:val="00BA02BF"/>
    <w:rsid w:val="00BA031F"/>
    <w:rsid w:val="00BA0415"/>
    <w:rsid w:val="00BA05CA"/>
    <w:rsid w:val="00BA0682"/>
    <w:rsid w:val="00BA06E9"/>
    <w:rsid w:val="00BA0852"/>
    <w:rsid w:val="00BA0B47"/>
    <w:rsid w:val="00BA0B70"/>
    <w:rsid w:val="00BA0E3A"/>
    <w:rsid w:val="00BA0F2B"/>
    <w:rsid w:val="00BA100C"/>
    <w:rsid w:val="00BA103F"/>
    <w:rsid w:val="00BA1095"/>
    <w:rsid w:val="00BA10F9"/>
    <w:rsid w:val="00BA11DD"/>
    <w:rsid w:val="00BA13BC"/>
    <w:rsid w:val="00BA1555"/>
    <w:rsid w:val="00BA160F"/>
    <w:rsid w:val="00BA162D"/>
    <w:rsid w:val="00BA1A4A"/>
    <w:rsid w:val="00BA1C02"/>
    <w:rsid w:val="00BA1C0C"/>
    <w:rsid w:val="00BA1C1D"/>
    <w:rsid w:val="00BA1D36"/>
    <w:rsid w:val="00BA1FFB"/>
    <w:rsid w:val="00BA2080"/>
    <w:rsid w:val="00BA2111"/>
    <w:rsid w:val="00BA2123"/>
    <w:rsid w:val="00BA2177"/>
    <w:rsid w:val="00BA21E1"/>
    <w:rsid w:val="00BA2274"/>
    <w:rsid w:val="00BA2278"/>
    <w:rsid w:val="00BA265F"/>
    <w:rsid w:val="00BA282B"/>
    <w:rsid w:val="00BA2837"/>
    <w:rsid w:val="00BA2898"/>
    <w:rsid w:val="00BA28E0"/>
    <w:rsid w:val="00BA28EB"/>
    <w:rsid w:val="00BA290B"/>
    <w:rsid w:val="00BA2B3F"/>
    <w:rsid w:val="00BA2BCC"/>
    <w:rsid w:val="00BA2CB2"/>
    <w:rsid w:val="00BA2D7D"/>
    <w:rsid w:val="00BA2EE7"/>
    <w:rsid w:val="00BA32FD"/>
    <w:rsid w:val="00BA331F"/>
    <w:rsid w:val="00BA337C"/>
    <w:rsid w:val="00BA33C1"/>
    <w:rsid w:val="00BA349F"/>
    <w:rsid w:val="00BA381A"/>
    <w:rsid w:val="00BA382F"/>
    <w:rsid w:val="00BA38BC"/>
    <w:rsid w:val="00BA3E3A"/>
    <w:rsid w:val="00BA3EA1"/>
    <w:rsid w:val="00BA3FF9"/>
    <w:rsid w:val="00BA40B2"/>
    <w:rsid w:val="00BA418D"/>
    <w:rsid w:val="00BA41C5"/>
    <w:rsid w:val="00BA4283"/>
    <w:rsid w:val="00BA4302"/>
    <w:rsid w:val="00BA4498"/>
    <w:rsid w:val="00BA46D5"/>
    <w:rsid w:val="00BA47D1"/>
    <w:rsid w:val="00BA4802"/>
    <w:rsid w:val="00BA4837"/>
    <w:rsid w:val="00BA4873"/>
    <w:rsid w:val="00BA4ADE"/>
    <w:rsid w:val="00BA4B97"/>
    <w:rsid w:val="00BA4D48"/>
    <w:rsid w:val="00BA4E45"/>
    <w:rsid w:val="00BA4E8D"/>
    <w:rsid w:val="00BA52BE"/>
    <w:rsid w:val="00BA5399"/>
    <w:rsid w:val="00BA53F8"/>
    <w:rsid w:val="00BA557C"/>
    <w:rsid w:val="00BA56AF"/>
    <w:rsid w:val="00BA570E"/>
    <w:rsid w:val="00BA570F"/>
    <w:rsid w:val="00BA59F4"/>
    <w:rsid w:val="00BA59FB"/>
    <w:rsid w:val="00BA5ABD"/>
    <w:rsid w:val="00BA5BBC"/>
    <w:rsid w:val="00BA5C9F"/>
    <w:rsid w:val="00BA5D5A"/>
    <w:rsid w:val="00BA5D95"/>
    <w:rsid w:val="00BA6112"/>
    <w:rsid w:val="00BA6153"/>
    <w:rsid w:val="00BA6328"/>
    <w:rsid w:val="00BA6394"/>
    <w:rsid w:val="00BA669D"/>
    <w:rsid w:val="00BA68B7"/>
    <w:rsid w:val="00BA69F6"/>
    <w:rsid w:val="00BA6AE3"/>
    <w:rsid w:val="00BA6B1C"/>
    <w:rsid w:val="00BA6B75"/>
    <w:rsid w:val="00BA6D2E"/>
    <w:rsid w:val="00BA6F07"/>
    <w:rsid w:val="00BA6F73"/>
    <w:rsid w:val="00BA706F"/>
    <w:rsid w:val="00BA7202"/>
    <w:rsid w:val="00BA7230"/>
    <w:rsid w:val="00BA7555"/>
    <w:rsid w:val="00BA75C1"/>
    <w:rsid w:val="00BA7692"/>
    <w:rsid w:val="00BA77CC"/>
    <w:rsid w:val="00BA7995"/>
    <w:rsid w:val="00BA79C1"/>
    <w:rsid w:val="00BA7A32"/>
    <w:rsid w:val="00BA7AE3"/>
    <w:rsid w:val="00BA7B19"/>
    <w:rsid w:val="00BA7B45"/>
    <w:rsid w:val="00BA7C48"/>
    <w:rsid w:val="00BA7CB6"/>
    <w:rsid w:val="00BA7CC3"/>
    <w:rsid w:val="00BA7E04"/>
    <w:rsid w:val="00BA7FE6"/>
    <w:rsid w:val="00BB00EF"/>
    <w:rsid w:val="00BB0104"/>
    <w:rsid w:val="00BB021C"/>
    <w:rsid w:val="00BB056F"/>
    <w:rsid w:val="00BB0651"/>
    <w:rsid w:val="00BB06E2"/>
    <w:rsid w:val="00BB07A2"/>
    <w:rsid w:val="00BB0811"/>
    <w:rsid w:val="00BB0A2B"/>
    <w:rsid w:val="00BB0A8D"/>
    <w:rsid w:val="00BB0CC1"/>
    <w:rsid w:val="00BB0D1D"/>
    <w:rsid w:val="00BB0FC7"/>
    <w:rsid w:val="00BB0FD1"/>
    <w:rsid w:val="00BB11B4"/>
    <w:rsid w:val="00BB1271"/>
    <w:rsid w:val="00BB14A3"/>
    <w:rsid w:val="00BB1530"/>
    <w:rsid w:val="00BB1618"/>
    <w:rsid w:val="00BB17AF"/>
    <w:rsid w:val="00BB17B4"/>
    <w:rsid w:val="00BB183D"/>
    <w:rsid w:val="00BB197B"/>
    <w:rsid w:val="00BB1A34"/>
    <w:rsid w:val="00BB1BCF"/>
    <w:rsid w:val="00BB1D25"/>
    <w:rsid w:val="00BB1D45"/>
    <w:rsid w:val="00BB1EAA"/>
    <w:rsid w:val="00BB1F84"/>
    <w:rsid w:val="00BB202B"/>
    <w:rsid w:val="00BB2074"/>
    <w:rsid w:val="00BB21A3"/>
    <w:rsid w:val="00BB22EC"/>
    <w:rsid w:val="00BB23B2"/>
    <w:rsid w:val="00BB23BE"/>
    <w:rsid w:val="00BB23CA"/>
    <w:rsid w:val="00BB2461"/>
    <w:rsid w:val="00BB248A"/>
    <w:rsid w:val="00BB24B2"/>
    <w:rsid w:val="00BB2525"/>
    <w:rsid w:val="00BB2688"/>
    <w:rsid w:val="00BB2694"/>
    <w:rsid w:val="00BB281E"/>
    <w:rsid w:val="00BB292E"/>
    <w:rsid w:val="00BB2A4F"/>
    <w:rsid w:val="00BB2A99"/>
    <w:rsid w:val="00BB2B20"/>
    <w:rsid w:val="00BB2B4F"/>
    <w:rsid w:val="00BB2B91"/>
    <w:rsid w:val="00BB2BC9"/>
    <w:rsid w:val="00BB2E60"/>
    <w:rsid w:val="00BB2F8A"/>
    <w:rsid w:val="00BB3050"/>
    <w:rsid w:val="00BB30B0"/>
    <w:rsid w:val="00BB31E6"/>
    <w:rsid w:val="00BB3278"/>
    <w:rsid w:val="00BB33B6"/>
    <w:rsid w:val="00BB3540"/>
    <w:rsid w:val="00BB3645"/>
    <w:rsid w:val="00BB376D"/>
    <w:rsid w:val="00BB37BD"/>
    <w:rsid w:val="00BB3AF0"/>
    <w:rsid w:val="00BB3C93"/>
    <w:rsid w:val="00BB40BF"/>
    <w:rsid w:val="00BB42A0"/>
    <w:rsid w:val="00BB42BD"/>
    <w:rsid w:val="00BB43B6"/>
    <w:rsid w:val="00BB476F"/>
    <w:rsid w:val="00BB4C40"/>
    <w:rsid w:val="00BB4D31"/>
    <w:rsid w:val="00BB4FB8"/>
    <w:rsid w:val="00BB50CA"/>
    <w:rsid w:val="00BB52C5"/>
    <w:rsid w:val="00BB5315"/>
    <w:rsid w:val="00BB533D"/>
    <w:rsid w:val="00BB5348"/>
    <w:rsid w:val="00BB5423"/>
    <w:rsid w:val="00BB545E"/>
    <w:rsid w:val="00BB550A"/>
    <w:rsid w:val="00BB5597"/>
    <w:rsid w:val="00BB5627"/>
    <w:rsid w:val="00BB5652"/>
    <w:rsid w:val="00BB5A70"/>
    <w:rsid w:val="00BB5D34"/>
    <w:rsid w:val="00BB5EE4"/>
    <w:rsid w:val="00BB5EE5"/>
    <w:rsid w:val="00BB5F16"/>
    <w:rsid w:val="00BB5F36"/>
    <w:rsid w:val="00BB6108"/>
    <w:rsid w:val="00BB64B9"/>
    <w:rsid w:val="00BB6517"/>
    <w:rsid w:val="00BB69A6"/>
    <w:rsid w:val="00BB6B20"/>
    <w:rsid w:val="00BB6C38"/>
    <w:rsid w:val="00BB6E4D"/>
    <w:rsid w:val="00BB6E88"/>
    <w:rsid w:val="00BB6F46"/>
    <w:rsid w:val="00BB7000"/>
    <w:rsid w:val="00BB71B9"/>
    <w:rsid w:val="00BB7265"/>
    <w:rsid w:val="00BB72BE"/>
    <w:rsid w:val="00BB7304"/>
    <w:rsid w:val="00BB7323"/>
    <w:rsid w:val="00BB74B7"/>
    <w:rsid w:val="00BB76BB"/>
    <w:rsid w:val="00BB7845"/>
    <w:rsid w:val="00BB793B"/>
    <w:rsid w:val="00BB794F"/>
    <w:rsid w:val="00BB7B08"/>
    <w:rsid w:val="00BB7B34"/>
    <w:rsid w:val="00BB7BDA"/>
    <w:rsid w:val="00BB7BEA"/>
    <w:rsid w:val="00BC0464"/>
    <w:rsid w:val="00BC06B9"/>
    <w:rsid w:val="00BC0730"/>
    <w:rsid w:val="00BC07B0"/>
    <w:rsid w:val="00BC0895"/>
    <w:rsid w:val="00BC09DD"/>
    <w:rsid w:val="00BC0BA1"/>
    <w:rsid w:val="00BC101D"/>
    <w:rsid w:val="00BC1223"/>
    <w:rsid w:val="00BC12CF"/>
    <w:rsid w:val="00BC138F"/>
    <w:rsid w:val="00BC1426"/>
    <w:rsid w:val="00BC14FA"/>
    <w:rsid w:val="00BC152A"/>
    <w:rsid w:val="00BC155D"/>
    <w:rsid w:val="00BC15A6"/>
    <w:rsid w:val="00BC15DE"/>
    <w:rsid w:val="00BC16FC"/>
    <w:rsid w:val="00BC1733"/>
    <w:rsid w:val="00BC17B0"/>
    <w:rsid w:val="00BC17C8"/>
    <w:rsid w:val="00BC18D4"/>
    <w:rsid w:val="00BC1902"/>
    <w:rsid w:val="00BC1B7B"/>
    <w:rsid w:val="00BC1C1D"/>
    <w:rsid w:val="00BC1D5B"/>
    <w:rsid w:val="00BC1D74"/>
    <w:rsid w:val="00BC1E7B"/>
    <w:rsid w:val="00BC21B0"/>
    <w:rsid w:val="00BC23A1"/>
    <w:rsid w:val="00BC23FF"/>
    <w:rsid w:val="00BC250F"/>
    <w:rsid w:val="00BC252D"/>
    <w:rsid w:val="00BC25C7"/>
    <w:rsid w:val="00BC25FB"/>
    <w:rsid w:val="00BC271A"/>
    <w:rsid w:val="00BC273F"/>
    <w:rsid w:val="00BC27CA"/>
    <w:rsid w:val="00BC27EA"/>
    <w:rsid w:val="00BC2823"/>
    <w:rsid w:val="00BC2863"/>
    <w:rsid w:val="00BC2923"/>
    <w:rsid w:val="00BC2979"/>
    <w:rsid w:val="00BC2A3F"/>
    <w:rsid w:val="00BC2A74"/>
    <w:rsid w:val="00BC2D4D"/>
    <w:rsid w:val="00BC2D79"/>
    <w:rsid w:val="00BC302E"/>
    <w:rsid w:val="00BC3041"/>
    <w:rsid w:val="00BC32F5"/>
    <w:rsid w:val="00BC3381"/>
    <w:rsid w:val="00BC343B"/>
    <w:rsid w:val="00BC34DE"/>
    <w:rsid w:val="00BC34FF"/>
    <w:rsid w:val="00BC369C"/>
    <w:rsid w:val="00BC3A54"/>
    <w:rsid w:val="00BC3A5E"/>
    <w:rsid w:val="00BC3B23"/>
    <w:rsid w:val="00BC3C69"/>
    <w:rsid w:val="00BC3D6E"/>
    <w:rsid w:val="00BC3E17"/>
    <w:rsid w:val="00BC402B"/>
    <w:rsid w:val="00BC426A"/>
    <w:rsid w:val="00BC4284"/>
    <w:rsid w:val="00BC4451"/>
    <w:rsid w:val="00BC4901"/>
    <w:rsid w:val="00BC4972"/>
    <w:rsid w:val="00BC4977"/>
    <w:rsid w:val="00BC49E8"/>
    <w:rsid w:val="00BC4A08"/>
    <w:rsid w:val="00BC4C0A"/>
    <w:rsid w:val="00BC4E4A"/>
    <w:rsid w:val="00BC5406"/>
    <w:rsid w:val="00BC5562"/>
    <w:rsid w:val="00BC566D"/>
    <w:rsid w:val="00BC567E"/>
    <w:rsid w:val="00BC5783"/>
    <w:rsid w:val="00BC584D"/>
    <w:rsid w:val="00BC58CF"/>
    <w:rsid w:val="00BC59B3"/>
    <w:rsid w:val="00BC5AE8"/>
    <w:rsid w:val="00BC5B39"/>
    <w:rsid w:val="00BC5BE1"/>
    <w:rsid w:val="00BC5C24"/>
    <w:rsid w:val="00BC5C6C"/>
    <w:rsid w:val="00BC5C85"/>
    <w:rsid w:val="00BC5D22"/>
    <w:rsid w:val="00BC5D90"/>
    <w:rsid w:val="00BC5E67"/>
    <w:rsid w:val="00BC5F45"/>
    <w:rsid w:val="00BC6050"/>
    <w:rsid w:val="00BC62C2"/>
    <w:rsid w:val="00BC637F"/>
    <w:rsid w:val="00BC64DC"/>
    <w:rsid w:val="00BC665E"/>
    <w:rsid w:val="00BC686B"/>
    <w:rsid w:val="00BC6897"/>
    <w:rsid w:val="00BC68CD"/>
    <w:rsid w:val="00BC6937"/>
    <w:rsid w:val="00BC6B4B"/>
    <w:rsid w:val="00BC6BF3"/>
    <w:rsid w:val="00BC6C47"/>
    <w:rsid w:val="00BC6D75"/>
    <w:rsid w:val="00BC70E4"/>
    <w:rsid w:val="00BC718A"/>
    <w:rsid w:val="00BC71C6"/>
    <w:rsid w:val="00BC73A6"/>
    <w:rsid w:val="00BC75C3"/>
    <w:rsid w:val="00BC7735"/>
    <w:rsid w:val="00BC799F"/>
    <w:rsid w:val="00BC7AD6"/>
    <w:rsid w:val="00BC7B05"/>
    <w:rsid w:val="00BC7D4F"/>
    <w:rsid w:val="00BD0281"/>
    <w:rsid w:val="00BD03AB"/>
    <w:rsid w:val="00BD052B"/>
    <w:rsid w:val="00BD0612"/>
    <w:rsid w:val="00BD063F"/>
    <w:rsid w:val="00BD076F"/>
    <w:rsid w:val="00BD09F3"/>
    <w:rsid w:val="00BD0A5D"/>
    <w:rsid w:val="00BD0AC5"/>
    <w:rsid w:val="00BD0C12"/>
    <w:rsid w:val="00BD0ECB"/>
    <w:rsid w:val="00BD108C"/>
    <w:rsid w:val="00BD123D"/>
    <w:rsid w:val="00BD13D0"/>
    <w:rsid w:val="00BD13EB"/>
    <w:rsid w:val="00BD1417"/>
    <w:rsid w:val="00BD142E"/>
    <w:rsid w:val="00BD1563"/>
    <w:rsid w:val="00BD16BA"/>
    <w:rsid w:val="00BD18CD"/>
    <w:rsid w:val="00BD1A67"/>
    <w:rsid w:val="00BD1CBD"/>
    <w:rsid w:val="00BD1CD0"/>
    <w:rsid w:val="00BD1FD6"/>
    <w:rsid w:val="00BD2109"/>
    <w:rsid w:val="00BD2111"/>
    <w:rsid w:val="00BD2362"/>
    <w:rsid w:val="00BD2426"/>
    <w:rsid w:val="00BD2456"/>
    <w:rsid w:val="00BD264A"/>
    <w:rsid w:val="00BD2925"/>
    <w:rsid w:val="00BD2A73"/>
    <w:rsid w:val="00BD2E0B"/>
    <w:rsid w:val="00BD2FE8"/>
    <w:rsid w:val="00BD2FF1"/>
    <w:rsid w:val="00BD30E7"/>
    <w:rsid w:val="00BD33D4"/>
    <w:rsid w:val="00BD38D2"/>
    <w:rsid w:val="00BD39CD"/>
    <w:rsid w:val="00BD3C1E"/>
    <w:rsid w:val="00BD3C5D"/>
    <w:rsid w:val="00BD3EF9"/>
    <w:rsid w:val="00BD3FCE"/>
    <w:rsid w:val="00BD406F"/>
    <w:rsid w:val="00BD40B1"/>
    <w:rsid w:val="00BD4211"/>
    <w:rsid w:val="00BD4266"/>
    <w:rsid w:val="00BD426B"/>
    <w:rsid w:val="00BD428A"/>
    <w:rsid w:val="00BD43D8"/>
    <w:rsid w:val="00BD4509"/>
    <w:rsid w:val="00BD490D"/>
    <w:rsid w:val="00BD4B81"/>
    <w:rsid w:val="00BD4C86"/>
    <w:rsid w:val="00BD4E7F"/>
    <w:rsid w:val="00BD4EFA"/>
    <w:rsid w:val="00BD5204"/>
    <w:rsid w:val="00BD53AE"/>
    <w:rsid w:val="00BD558B"/>
    <w:rsid w:val="00BD564F"/>
    <w:rsid w:val="00BD5691"/>
    <w:rsid w:val="00BD57C1"/>
    <w:rsid w:val="00BD581B"/>
    <w:rsid w:val="00BD58E5"/>
    <w:rsid w:val="00BD594F"/>
    <w:rsid w:val="00BD59FB"/>
    <w:rsid w:val="00BD5B72"/>
    <w:rsid w:val="00BD5CA9"/>
    <w:rsid w:val="00BD5F38"/>
    <w:rsid w:val="00BD6338"/>
    <w:rsid w:val="00BD63A3"/>
    <w:rsid w:val="00BD63AB"/>
    <w:rsid w:val="00BD64BF"/>
    <w:rsid w:val="00BD65EC"/>
    <w:rsid w:val="00BD6731"/>
    <w:rsid w:val="00BD6A98"/>
    <w:rsid w:val="00BD7029"/>
    <w:rsid w:val="00BD71DC"/>
    <w:rsid w:val="00BD7241"/>
    <w:rsid w:val="00BD733A"/>
    <w:rsid w:val="00BD73D1"/>
    <w:rsid w:val="00BD7736"/>
    <w:rsid w:val="00BD78D7"/>
    <w:rsid w:val="00BD7A01"/>
    <w:rsid w:val="00BD7A89"/>
    <w:rsid w:val="00BD7DDF"/>
    <w:rsid w:val="00BD7E08"/>
    <w:rsid w:val="00BD7EF1"/>
    <w:rsid w:val="00BE002C"/>
    <w:rsid w:val="00BE0060"/>
    <w:rsid w:val="00BE012D"/>
    <w:rsid w:val="00BE01BA"/>
    <w:rsid w:val="00BE01F8"/>
    <w:rsid w:val="00BE031D"/>
    <w:rsid w:val="00BE0465"/>
    <w:rsid w:val="00BE0660"/>
    <w:rsid w:val="00BE06CB"/>
    <w:rsid w:val="00BE076C"/>
    <w:rsid w:val="00BE09CD"/>
    <w:rsid w:val="00BE0B87"/>
    <w:rsid w:val="00BE0C7A"/>
    <w:rsid w:val="00BE0C8F"/>
    <w:rsid w:val="00BE10F8"/>
    <w:rsid w:val="00BE114B"/>
    <w:rsid w:val="00BE129D"/>
    <w:rsid w:val="00BE1413"/>
    <w:rsid w:val="00BE149F"/>
    <w:rsid w:val="00BE1723"/>
    <w:rsid w:val="00BE172D"/>
    <w:rsid w:val="00BE180C"/>
    <w:rsid w:val="00BE1998"/>
    <w:rsid w:val="00BE1A00"/>
    <w:rsid w:val="00BE1BA2"/>
    <w:rsid w:val="00BE1BBF"/>
    <w:rsid w:val="00BE1D86"/>
    <w:rsid w:val="00BE1DD2"/>
    <w:rsid w:val="00BE1F7B"/>
    <w:rsid w:val="00BE1FA1"/>
    <w:rsid w:val="00BE2091"/>
    <w:rsid w:val="00BE20B4"/>
    <w:rsid w:val="00BE21C3"/>
    <w:rsid w:val="00BE220E"/>
    <w:rsid w:val="00BE2285"/>
    <w:rsid w:val="00BE2303"/>
    <w:rsid w:val="00BE23E9"/>
    <w:rsid w:val="00BE2667"/>
    <w:rsid w:val="00BE2797"/>
    <w:rsid w:val="00BE27A9"/>
    <w:rsid w:val="00BE27D2"/>
    <w:rsid w:val="00BE297A"/>
    <w:rsid w:val="00BE2B65"/>
    <w:rsid w:val="00BE2D1E"/>
    <w:rsid w:val="00BE2D65"/>
    <w:rsid w:val="00BE2DEB"/>
    <w:rsid w:val="00BE2FD6"/>
    <w:rsid w:val="00BE302B"/>
    <w:rsid w:val="00BE3393"/>
    <w:rsid w:val="00BE342C"/>
    <w:rsid w:val="00BE36EF"/>
    <w:rsid w:val="00BE3726"/>
    <w:rsid w:val="00BE377D"/>
    <w:rsid w:val="00BE37B1"/>
    <w:rsid w:val="00BE3883"/>
    <w:rsid w:val="00BE3B32"/>
    <w:rsid w:val="00BE3B5E"/>
    <w:rsid w:val="00BE3B96"/>
    <w:rsid w:val="00BE3C60"/>
    <w:rsid w:val="00BE3E9C"/>
    <w:rsid w:val="00BE3F56"/>
    <w:rsid w:val="00BE3FEF"/>
    <w:rsid w:val="00BE4189"/>
    <w:rsid w:val="00BE4297"/>
    <w:rsid w:val="00BE42D2"/>
    <w:rsid w:val="00BE42FE"/>
    <w:rsid w:val="00BE4422"/>
    <w:rsid w:val="00BE44CB"/>
    <w:rsid w:val="00BE451D"/>
    <w:rsid w:val="00BE456E"/>
    <w:rsid w:val="00BE47BF"/>
    <w:rsid w:val="00BE487C"/>
    <w:rsid w:val="00BE4BAA"/>
    <w:rsid w:val="00BE5148"/>
    <w:rsid w:val="00BE5186"/>
    <w:rsid w:val="00BE52AB"/>
    <w:rsid w:val="00BE5374"/>
    <w:rsid w:val="00BE53B3"/>
    <w:rsid w:val="00BE587D"/>
    <w:rsid w:val="00BE588C"/>
    <w:rsid w:val="00BE5CB1"/>
    <w:rsid w:val="00BE5D14"/>
    <w:rsid w:val="00BE5D59"/>
    <w:rsid w:val="00BE5D8A"/>
    <w:rsid w:val="00BE6052"/>
    <w:rsid w:val="00BE627A"/>
    <w:rsid w:val="00BE62CC"/>
    <w:rsid w:val="00BE62E1"/>
    <w:rsid w:val="00BE6748"/>
    <w:rsid w:val="00BE684C"/>
    <w:rsid w:val="00BE68BA"/>
    <w:rsid w:val="00BE6A07"/>
    <w:rsid w:val="00BE6A50"/>
    <w:rsid w:val="00BE6C82"/>
    <w:rsid w:val="00BE6CE8"/>
    <w:rsid w:val="00BE6DFA"/>
    <w:rsid w:val="00BE6EA6"/>
    <w:rsid w:val="00BE70B2"/>
    <w:rsid w:val="00BE747C"/>
    <w:rsid w:val="00BE7651"/>
    <w:rsid w:val="00BE76DF"/>
    <w:rsid w:val="00BE7B32"/>
    <w:rsid w:val="00BE7BF3"/>
    <w:rsid w:val="00BE7C67"/>
    <w:rsid w:val="00BE7E67"/>
    <w:rsid w:val="00BE7EC5"/>
    <w:rsid w:val="00BE7FA7"/>
    <w:rsid w:val="00BF00D6"/>
    <w:rsid w:val="00BF021A"/>
    <w:rsid w:val="00BF023B"/>
    <w:rsid w:val="00BF0392"/>
    <w:rsid w:val="00BF07F0"/>
    <w:rsid w:val="00BF0801"/>
    <w:rsid w:val="00BF0AA4"/>
    <w:rsid w:val="00BF0E7F"/>
    <w:rsid w:val="00BF0FA6"/>
    <w:rsid w:val="00BF1190"/>
    <w:rsid w:val="00BF1268"/>
    <w:rsid w:val="00BF1387"/>
    <w:rsid w:val="00BF14C9"/>
    <w:rsid w:val="00BF1717"/>
    <w:rsid w:val="00BF1873"/>
    <w:rsid w:val="00BF18F5"/>
    <w:rsid w:val="00BF199D"/>
    <w:rsid w:val="00BF1C85"/>
    <w:rsid w:val="00BF2000"/>
    <w:rsid w:val="00BF20DD"/>
    <w:rsid w:val="00BF221B"/>
    <w:rsid w:val="00BF23FE"/>
    <w:rsid w:val="00BF272A"/>
    <w:rsid w:val="00BF281D"/>
    <w:rsid w:val="00BF2BC1"/>
    <w:rsid w:val="00BF2E9B"/>
    <w:rsid w:val="00BF2F32"/>
    <w:rsid w:val="00BF3007"/>
    <w:rsid w:val="00BF3013"/>
    <w:rsid w:val="00BF3028"/>
    <w:rsid w:val="00BF339E"/>
    <w:rsid w:val="00BF33D0"/>
    <w:rsid w:val="00BF340E"/>
    <w:rsid w:val="00BF3500"/>
    <w:rsid w:val="00BF3546"/>
    <w:rsid w:val="00BF3663"/>
    <w:rsid w:val="00BF3676"/>
    <w:rsid w:val="00BF377B"/>
    <w:rsid w:val="00BF378D"/>
    <w:rsid w:val="00BF3AF6"/>
    <w:rsid w:val="00BF3D1A"/>
    <w:rsid w:val="00BF3D3B"/>
    <w:rsid w:val="00BF3D7D"/>
    <w:rsid w:val="00BF4192"/>
    <w:rsid w:val="00BF41E4"/>
    <w:rsid w:val="00BF43B5"/>
    <w:rsid w:val="00BF43C0"/>
    <w:rsid w:val="00BF44E1"/>
    <w:rsid w:val="00BF46B8"/>
    <w:rsid w:val="00BF46CB"/>
    <w:rsid w:val="00BF46E9"/>
    <w:rsid w:val="00BF4758"/>
    <w:rsid w:val="00BF4890"/>
    <w:rsid w:val="00BF4925"/>
    <w:rsid w:val="00BF49A0"/>
    <w:rsid w:val="00BF4AAA"/>
    <w:rsid w:val="00BF4B9B"/>
    <w:rsid w:val="00BF4C14"/>
    <w:rsid w:val="00BF4D1E"/>
    <w:rsid w:val="00BF4E5C"/>
    <w:rsid w:val="00BF4F1B"/>
    <w:rsid w:val="00BF4F37"/>
    <w:rsid w:val="00BF4F5A"/>
    <w:rsid w:val="00BF4FA1"/>
    <w:rsid w:val="00BF5087"/>
    <w:rsid w:val="00BF5172"/>
    <w:rsid w:val="00BF5174"/>
    <w:rsid w:val="00BF5224"/>
    <w:rsid w:val="00BF5249"/>
    <w:rsid w:val="00BF54A3"/>
    <w:rsid w:val="00BF56C7"/>
    <w:rsid w:val="00BF56F9"/>
    <w:rsid w:val="00BF58EC"/>
    <w:rsid w:val="00BF5956"/>
    <w:rsid w:val="00BF5AC5"/>
    <w:rsid w:val="00BF5B01"/>
    <w:rsid w:val="00BF5B13"/>
    <w:rsid w:val="00BF5CA3"/>
    <w:rsid w:val="00BF5D52"/>
    <w:rsid w:val="00BF60E5"/>
    <w:rsid w:val="00BF6112"/>
    <w:rsid w:val="00BF6404"/>
    <w:rsid w:val="00BF6543"/>
    <w:rsid w:val="00BF679F"/>
    <w:rsid w:val="00BF68BF"/>
    <w:rsid w:val="00BF6AD6"/>
    <w:rsid w:val="00BF6BEF"/>
    <w:rsid w:val="00BF6EFD"/>
    <w:rsid w:val="00BF6F3C"/>
    <w:rsid w:val="00BF6F72"/>
    <w:rsid w:val="00BF7111"/>
    <w:rsid w:val="00BF749B"/>
    <w:rsid w:val="00BF74E0"/>
    <w:rsid w:val="00BF7562"/>
    <w:rsid w:val="00BF75D4"/>
    <w:rsid w:val="00BF7666"/>
    <w:rsid w:val="00BF7745"/>
    <w:rsid w:val="00BF78A4"/>
    <w:rsid w:val="00BF7A05"/>
    <w:rsid w:val="00BF7A2B"/>
    <w:rsid w:val="00BF7AF3"/>
    <w:rsid w:val="00BF7C54"/>
    <w:rsid w:val="00BF7C74"/>
    <w:rsid w:val="00BF7EFB"/>
    <w:rsid w:val="00BF7FAA"/>
    <w:rsid w:val="00C00222"/>
    <w:rsid w:val="00C00305"/>
    <w:rsid w:val="00C0039C"/>
    <w:rsid w:val="00C003ED"/>
    <w:rsid w:val="00C006B5"/>
    <w:rsid w:val="00C006CB"/>
    <w:rsid w:val="00C00808"/>
    <w:rsid w:val="00C008B9"/>
    <w:rsid w:val="00C00B62"/>
    <w:rsid w:val="00C00D2B"/>
    <w:rsid w:val="00C00DA7"/>
    <w:rsid w:val="00C00F31"/>
    <w:rsid w:val="00C011DE"/>
    <w:rsid w:val="00C01259"/>
    <w:rsid w:val="00C0140E"/>
    <w:rsid w:val="00C01788"/>
    <w:rsid w:val="00C01964"/>
    <w:rsid w:val="00C01CC1"/>
    <w:rsid w:val="00C01D5F"/>
    <w:rsid w:val="00C02047"/>
    <w:rsid w:val="00C02058"/>
    <w:rsid w:val="00C020F0"/>
    <w:rsid w:val="00C0229A"/>
    <w:rsid w:val="00C025F7"/>
    <w:rsid w:val="00C02696"/>
    <w:rsid w:val="00C026B2"/>
    <w:rsid w:val="00C0277E"/>
    <w:rsid w:val="00C02788"/>
    <w:rsid w:val="00C027DC"/>
    <w:rsid w:val="00C02999"/>
    <w:rsid w:val="00C0318B"/>
    <w:rsid w:val="00C0328C"/>
    <w:rsid w:val="00C032DC"/>
    <w:rsid w:val="00C033A2"/>
    <w:rsid w:val="00C03400"/>
    <w:rsid w:val="00C03435"/>
    <w:rsid w:val="00C0345A"/>
    <w:rsid w:val="00C03511"/>
    <w:rsid w:val="00C035F2"/>
    <w:rsid w:val="00C03630"/>
    <w:rsid w:val="00C036BC"/>
    <w:rsid w:val="00C037D4"/>
    <w:rsid w:val="00C038D0"/>
    <w:rsid w:val="00C038FE"/>
    <w:rsid w:val="00C03A25"/>
    <w:rsid w:val="00C03BF4"/>
    <w:rsid w:val="00C03C2A"/>
    <w:rsid w:val="00C03D51"/>
    <w:rsid w:val="00C03DFC"/>
    <w:rsid w:val="00C03E3C"/>
    <w:rsid w:val="00C03F6E"/>
    <w:rsid w:val="00C04061"/>
    <w:rsid w:val="00C04244"/>
    <w:rsid w:val="00C04296"/>
    <w:rsid w:val="00C042E1"/>
    <w:rsid w:val="00C0438E"/>
    <w:rsid w:val="00C0448A"/>
    <w:rsid w:val="00C04863"/>
    <w:rsid w:val="00C04892"/>
    <w:rsid w:val="00C04904"/>
    <w:rsid w:val="00C04930"/>
    <w:rsid w:val="00C04963"/>
    <w:rsid w:val="00C04985"/>
    <w:rsid w:val="00C04C3A"/>
    <w:rsid w:val="00C04D43"/>
    <w:rsid w:val="00C04E22"/>
    <w:rsid w:val="00C04FEB"/>
    <w:rsid w:val="00C051D3"/>
    <w:rsid w:val="00C05251"/>
    <w:rsid w:val="00C0529F"/>
    <w:rsid w:val="00C05422"/>
    <w:rsid w:val="00C05439"/>
    <w:rsid w:val="00C055B3"/>
    <w:rsid w:val="00C0560D"/>
    <w:rsid w:val="00C05700"/>
    <w:rsid w:val="00C057D6"/>
    <w:rsid w:val="00C05815"/>
    <w:rsid w:val="00C05841"/>
    <w:rsid w:val="00C058D7"/>
    <w:rsid w:val="00C05A01"/>
    <w:rsid w:val="00C05B0A"/>
    <w:rsid w:val="00C05B28"/>
    <w:rsid w:val="00C05BED"/>
    <w:rsid w:val="00C05CCC"/>
    <w:rsid w:val="00C05D2B"/>
    <w:rsid w:val="00C05DA3"/>
    <w:rsid w:val="00C05E1D"/>
    <w:rsid w:val="00C05EFC"/>
    <w:rsid w:val="00C05F2D"/>
    <w:rsid w:val="00C06045"/>
    <w:rsid w:val="00C061F9"/>
    <w:rsid w:val="00C06375"/>
    <w:rsid w:val="00C06563"/>
    <w:rsid w:val="00C06613"/>
    <w:rsid w:val="00C067AF"/>
    <w:rsid w:val="00C0697E"/>
    <w:rsid w:val="00C06B3A"/>
    <w:rsid w:val="00C06F10"/>
    <w:rsid w:val="00C06FAF"/>
    <w:rsid w:val="00C07017"/>
    <w:rsid w:val="00C071B3"/>
    <w:rsid w:val="00C071DA"/>
    <w:rsid w:val="00C07394"/>
    <w:rsid w:val="00C074CD"/>
    <w:rsid w:val="00C076AC"/>
    <w:rsid w:val="00C07821"/>
    <w:rsid w:val="00C07865"/>
    <w:rsid w:val="00C078A5"/>
    <w:rsid w:val="00C078E1"/>
    <w:rsid w:val="00C0796A"/>
    <w:rsid w:val="00C07A2A"/>
    <w:rsid w:val="00C07EF3"/>
    <w:rsid w:val="00C1001D"/>
    <w:rsid w:val="00C10039"/>
    <w:rsid w:val="00C103AE"/>
    <w:rsid w:val="00C107C3"/>
    <w:rsid w:val="00C108D1"/>
    <w:rsid w:val="00C10929"/>
    <w:rsid w:val="00C1095D"/>
    <w:rsid w:val="00C11029"/>
    <w:rsid w:val="00C110EF"/>
    <w:rsid w:val="00C112B7"/>
    <w:rsid w:val="00C112BD"/>
    <w:rsid w:val="00C113CE"/>
    <w:rsid w:val="00C1148E"/>
    <w:rsid w:val="00C114CD"/>
    <w:rsid w:val="00C115D7"/>
    <w:rsid w:val="00C11A6E"/>
    <w:rsid w:val="00C11AFA"/>
    <w:rsid w:val="00C11B4D"/>
    <w:rsid w:val="00C11B90"/>
    <w:rsid w:val="00C11BAB"/>
    <w:rsid w:val="00C11C9D"/>
    <w:rsid w:val="00C11DDE"/>
    <w:rsid w:val="00C1209D"/>
    <w:rsid w:val="00C1234E"/>
    <w:rsid w:val="00C12519"/>
    <w:rsid w:val="00C1251E"/>
    <w:rsid w:val="00C12526"/>
    <w:rsid w:val="00C1259C"/>
    <w:rsid w:val="00C126A9"/>
    <w:rsid w:val="00C128F3"/>
    <w:rsid w:val="00C129DA"/>
    <w:rsid w:val="00C12B17"/>
    <w:rsid w:val="00C12B2C"/>
    <w:rsid w:val="00C12C8F"/>
    <w:rsid w:val="00C12CAF"/>
    <w:rsid w:val="00C12CBC"/>
    <w:rsid w:val="00C12F4B"/>
    <w:rsid w:val="00C12FB8"/>
    <w:rsid w:val="00C13006"/>
    <w:rsid w:val="00C13520"/>
    <w:rsid w:val="00C138FF"/>
    <w:rsid w:val="00C139F5"/>
    <w:rsid w:val="00C13A05"/>
    <w:rsid w:val="00C13B42"/>
    <w:rsid w:val="00C13DD1"/>
    <w:rsid w:val="00C13E3C"/>
    <w:rsid w:val="00C13FB6"/>
    <w:rsid w:val="00C14055"/>
    <w:rsid w:val="00C141A2"/>
    <w:rsid w:val="00C1428E"/>
    <w:rsid w:val="00C14363"/>
    <w:rsid w:val="00C143E7"/>
    <w:rsid w:val="00C144E6"/>
    <w:rsid w:val="00C146A9"/>
    <w:rsid w:val="00C14836"/>
    <w:rsid w:val="00C14B8D"/>
    <w:rsid w:val="00C14CC5"/>
    <w:rsid w:val="00C14E64"/>
    <w:rsid w:val="00C14F73"/>
    <w:rsid w:val="00C14F7D"/>
    <w:rsid w:val="00C14F9B"/>
    <w:rsid w:val="00C14FAB"/>
    <w:rsid w:val="00C14FF8"/>
    <w:rsid w:val="00C15002"/>
    <w:rsid w:val="00C1508D"/>
    <w:rsid w:val="00C150A2"/>
    <w:rsid w:val="00C150C5"/>
    <w:rsid w:val="00C150CE"/>
    <w:rsid w:val="00C1524E"/>
    <w:rsid w:val="00C1527B"/>
    <w:rsid w:val="00C1557E"/>
    <w:rsid w:val="00C15594"/>
    <w:rsid w:val="00C156F3"/>
    <w:rsid w:val="00C15754"/>
    <w:rsid w:val="00C159A0"/>
    <w:rsid w:val="00C15AAA"/>
    <w:rsid w:val="00C15C2D"/>
    <w:rsid w:val="00C15F42"/>
    <w:rsid w:val="00C15F87"/>
    <w:rsid w:val="00C16095"/>
    <w:rsid w:val="00C1610B"/>
    <w:rsid w:val="00C1611D"/>
    <w:rsid w:val="00C1617E"/>
    <w:rsid w:val="00C16241"/>
    <w:rsid w:val="00C162ED"/>
    <w:rsid w:val="00C16855"/>
    <w:rsid w:val="00C16937"/>
    <w:rsid w:val="00C16A6E"/>
    <w:rsid w:val="00C16AA3"/>
    <w:rsid w:val="00C16C50"/>
    <w:rsid w:val="00C16C9A"/>
    <w:rsid w:val="00C16D30"/>
    <w:rsid w:val="00C17054"/>
    <w:rsid w:val="00C170FC"/>
    <w:rsid w:val="00C172CF"/>
    <w:rsid w:val="00C173CD"/>
    <w:rsid w:val="00C17460"/>
    <w:rsid w:val="00C1748D"/>
    <w:rsid w:val="00C175E4"/>
    <w:rsid w:val="00C1768F"/>
    <w:rsid w:val="00C177C4"/>
    <w:rsid w:val="00C17B87"/>
    <w:rsid w:val="00C17CB6"/>
    <w:rsid w:val="00C17D80"/>
    <w:rsid w:val="00C17DDA"/>
    <w:rsid w:val="00C17E44"/>
    <w:rsid w:val="00C17E6B"/>
    <w:rsid w:val="00C17F82"/>
    <w:rsid w:val="00C17FB1"/>
    <w:rsid w:val="00C20030"/>
    <w:rsid w:val="00C2008F"/>
    <w:rsid w:val="00C20115"/>
    <w:rsid w:val="00C20119"/>
    <w:rsid w:val="00C2015F"/>
    <w:rsid w:val="00C20720"/>
    <w:rsid w:val="00C2087A"/>
    <w:rsid w:val="00C208A5"/>
    <w:rsid w:val="00C20E49"/>
    <w:rsid w:val="00C20E5D"/>
    <w:rsid w:val="00C20EB3"/>
    <w:rsid w:val="00C20F55"/>
    <w:rsid w:val="00C20F6C"/>
    <w:rsid w:val="00C21030"/>
    <w:rsid w:val="00C210B3"/>
    <w:rsid w:val="00C210DA"/>
    <w:rsid w:val="00C21274"/>
    <w:rsid w:val="00C2139C"/>
    <w:rsid w:val="00C2143A"/>
    <w:rsid w:val="00C2146A"/>
    <w:rsid w:val="00C214D6"/>
    <w:rsid w:val="00C21667"/>
    <w:rsid w:val="00C21668"/>
    <w:rsid w:val="00C21674"/>
    <w:rsid w:val="00C217A9"/>
    <w:rsid w:val="00C21844"/>
    <w:rsid w:val="00C2185E"/>
    <w:rsid w:val="00C2187E"/>
    <w:rsid w:val="00C21B9E"/>
    <w:rsid w:val="00C21C01"/>
    <w:rsid w:val="00C21DFC"/>
    <w:rsid w:val="00C21ECA"/>
    <w:rsid w:val="00C21F00"/>
    <w:rsid w:val="00C21F2E"/>
    <w:rsid w:val="00C2201C"/>
    <w:rsid w:val="00C220B4"/>
    <w:rsid w:val="00C220CC"/>
    <w:rsid w:val="00C22310"/>
    <w:rsid w:val="00C223F7"/>
    <w:rsid w:val="00C227A9"/>
    <w:rsid w:val="00C22837"/>
    <w:rsid w:val="00C22851"/>
    <w:rsid w:val="00C22953"/>
    <w:rsid w:val="00C22976"/>
    <w:rsid w:val="00C229BE"/>
    <w:rsid w:val="00C22AB9"/>
    <w:rsid w:val="00C22B39"/>
    <w:rsid w:val="00C22D65"/>
    <w:rsid w:val="00C22E1F"/>
    <w:rsid w:val="00C22FD0"/>
    <w:rsid w:val="00C230F2"/>
    <w:rsid w:val="00C2318B"/>
    <w:rsid w:val="00C232E0"/>
    <w:rsid w:val="00C23489"/>
    <w:rsid w:val="00C23599"/>
    <w:rsid w:val="00C23636"/>
    <w:rsid w:val="00C237CC"/>
    <w:rsid w:val="00C238A5"/>
    <w:rsid w:val="00C23AAE"/>
    <w:rsid w:val="00C23BDB"/>
    <w:rsid w:val="00C23E0E"/>
    <w:rsid w:val="00C23EAF"/>
    <w:rsid w:val="00C23ECE"/>
    <w:rsid w:val="00C23FAE"/>
    <w:rsid w:val="00C2403F"/>
    <w:rsid w:val="00C24085"/>
    <w:rsid w:val="00C24099"/>
    <w:rsid w:val="00C2412E"/>
    <w:rsid w:val="00C2415E"/>
    <w:rsid w:val="00C24203"/>
    <w:rsid w:val="00C24333"/>
    <w:rsid w:val="00C245B1"/>
    <w:rsid w:val="00C2463D"/>
    <w:rsid w:val="00C24694"/>
    <w:rsid w:val="00C24771"/>
    <w:rsid w:val="00C24A83"/>
    <w:rsid w:val="00C24B5E"/>
    <w:rsid w:val="00C24E63"/>
    <w:rsid w:val="00C25092"/>
    <w:rsid w:val="00C25122"/>
    <w:rsid w:val="00C251D0"/>
    <w:rsid w:val="00C25220"/>
    <w:rsid w:val="00C25339"/>
    <w:rsid w:val="00C2534F"/>
    <w:rsid w:val="00C2540C"/>
    <w:rsid w:val="00C254CE"/>
    <w:rsid w:val="00C2566D"/>
    <w:rsid w:val="00C2569B"/>
    <w:rsid w:val="00C256A9"/>
    <w:rsid w:val="00C25710"/>
    <w:rsid w:val="00C2579F"/>
    <w:rsid w:val="00C2590F"/>
    <w:rsid w:val="00C25AF5"/>
    <w:rsid w:val="00C25E40"/>
    <w:rsid w:val="00C25F7D"/>
    <w:rsid w:val="00C25FF6"/>
    <w:rsid w:val="00C26292"/>
    <w:rsid w:val="00C262F4"/>
    <w:rsid w:val="00C26355"/>
    <w:rsid w:val="00C26462"/>
    <w:rsid w:val="00C26481"/>
    <w:rsid w:val="00C26569"/>
    <w:rsid w:val="00C267B4"/>
    <w:rsid w:val="00C268CC"/>
    <w:rsid w:val="00C269B0"/>
    <w:rsid w:val="00C26A5C"/>
    <w:rsid w:val="00C26AB7"/>
    <w:rsid w:val="00C26D07"/>
    <w:rsid w:val="00C26D85"/>
    <w:rsid w:val="00C26EC4"/>
    <w:rsid w:val="00C26FF7"/>
    <w:rsid w:val="00C2725A"/>
    <w:rsid w:val="00C27286"/>
    <w:rsid w:val="00C272EC"/>
    <w:rsid w:val="00C27363"/>
    <w:rsid w:val="00C27685"/>
    <w:rsid w:val="00C276ED"/>
    <w:rsid w:val="00C27718"/>
    <w:rsid w:val="00C27759"/>
    <w:rsid w:val="00C2796D"/>
    <w:rsid w:val="00C27B1D"/>
    <w:rsid w:val="00C27B44"/>
    <w:rsid w:val="00C27B61"/>
    <w:rsid w:val="00C27B6F"/>
    <w:rsid w:val="00C27F5D"/>
    <w:rsid w:val="00C27F89"/>
    <w:rsid w:val="00C30058"/>
    <w:rsid w:val="00C300BF"/>
    <w:rsid w:val="00C301A1"/>
    <w:rsid w:val="00C3022A"/>
    <w:rsid w:val="00C3023C"/>
    <w:rsid w:val="00C30312"/>
    <w:rsid w:val="00C30597"/>
    <w:rsid w:val="00C305CB"/>
    <w:rsid w:val="00C306BC"/>
    <w:rsid w:val="00C307ED"/>
    <w:rsid w:val="00C307FD"/>
    <w:rsid w:val="00C30916"/>
    <w:rsid w:val="00C30955"/>
    <w:rsid w:val="00C309BA"/>
    <w:rsid w:val="00C30A51"/>
    <w:rsid w:val="00C30A8F"/>
    <w:rsid w:val="00C30AC3"/>
    <w:rsid w:val="00C30B98"/>
    <w:rsid w:val="00C30BC6"/>
    <w:rsid w:val="00C30CF1"/>
    <w:rsid w:val="00C30D43"/>
    <w:rsid w:val="00C31186"/>
    <w:rsid w:val="00C31463"/>
    <w:rsid w:val="00C315D3"/>
    <w:rsid w:val="00C31670"/>
    <w:rsid w:val="00C316C9"/>
    <w:rsid w:val="00C317A2"/>
    <w:rsid w:val="00C317AE"/>
    <w:rsid w:val="00C318F3"/>
    <w:rsid w:val="00C319A2"/>
    <w:rsid w:val="00C31A5E"/>
    <w:rsid w:val="00C31D37"/>
    <w:rsid w:val="00C31D50"/>
    <w:rsid w:val="00C31E2B"/>
    <w:rsid w:val="00C31EE6"/>
    <w:rsid w:val="00C31FA0"/>
    <w:rsid w:val="00C31FA1"/>
    <w:rsid w:val="00C32538"/>
    <w:rsid w:val="00C3267A"/>
    <w:rsid w:val="00C32823"/>
    <w:rsid w:val="00C3296D"/>
    <w:rsid w:val="00C32A56"/>
    <w:rsid w:val="00C32ABF"/>
    <w:rsid w:val="00C32C3A"/>
    <w:rsid w:val="00C32D63"/>
    <w:rsid w:val="00C32D81"/>
    <w:rsid w:val="00C32E1C"/>
    <w:rsid w:val="00C32F6D"/>
    <w:rsid w:val="00C3330E"/>
    <w:rsid w:val="00C33420"/>
    <w:rsid w:val="00C334C8"/>
    <w:rsid w:val="00C334E4"/>
    <w:rsid w:val="00C336EB"/>
    <w:rsid w:val="00C339FF"/>
    <w:rsid w:val="00C33AF4"/>
    <w:rsid w:val="00C33CA0"/>
    <w:rsid w:val="00C33D25"/>
    <w:rsid w:val="00C33D89"/>
    <w:rsid w:val="00C33E36"/>
    <w:rsid w:val="00C33F94"/>
    <w:rsid w:val="00C342AE"/>
    <w:rsid w:val="00C342EB"/>
    <w:rsid w:val="00C343FC"/>
    <w:rsid w:val="00C344B8"/>
    <w:rsid w:val="00C3464A"/>
    <w:rsid w:val="00C34671"/>
    <w:rsid w:val="00C3468E"/>
    <w:rsid w:val="00C34727"/>
    <w:rsid w:val="00C3489C"/>
    <w:rsid w:val="00C348D7"/>
    <w:rsid w:val="00C34905"/>
    <w:rsid w:val="00C34AD4"/>
    <w:rsid w:val="00C34AE7"/>
    <w:rsid w:val="00C34C04"/>
    <w:rsid w:val="00C34CAB"/>
    <w:rsid w:val="00C34D37"/>
    <w:rsid w:val="00C34E3D"/>
    <w:rsid w:val="00C34F1F"/>
    <w:rsid w:val="00C34F51"/>
    <w:rsid w:val="00C3517D"/>
    <w:rsid w:val="00C35236"/>
    <w:rsid w:val="00C3526F"/>
    <w:rsid w:val="00C355D2"/>
    <w:rsid w:val="00C3569B"/>
    <w:rsid w:val="00C35742"/>
    <w:rsid w:val="00C35951"/>
    <w:rsid w:val="00C359C2"/>
    <w:rsid w:val="00C35B71"/>
    <w:rsid w:val="00C35EAF"/>
    <w:rsid w:val="00C35F02"/>
    <w:rsid w:val="00C35F73"/>
    <w:rsid w:val="00C360BB"/>
    <w:rsid w:val="00C36105"/>
    <w:rsid w:val="00C36187"/>
    <w:rsid w:val="00C36309"/>
    <w:rsid w:val="00C3651F"/>
    <w:rsid w:val="00C365E0"/>
    <w:rsid w:val="00C36614"/>
    <w:rsid w:val="00C36633"/>
    <w:rsid w:val="00C36721"/>
    <w:rsid w:val="00C368C1"/>
    <w:rsid w:val="00C368FD"/>
    <w:rsid w:val="00C36969"/>
    <w:rsid w:val="00C36980"/>
    <w:rsid w:val="00C36A79"/>
    <w:rsid w:val="00C36B99"/>
    <w:rsid w:val="00C36BC9"/>
    <w:rsid w:val="00C36C03"/>
    <w:rsid w:val="00C36E9D"/>
    <w:rsid w:val="00C36F06"/>
    <w:rsid w:val="00C36F5E"/>
    <w:rsid w:val="00C36F6D"/>
    <w:rsid w:val="00C37154"/>
    <w:rsid w:val="00C3737C"/>
    <w:rsid w:val="00C373A8"/>
    <w:rsid w:val="00C37569"/>
    <w:rsid w:val="00C375D7"/>
    <w:rsid w:val="00C375D8"/>
    <w:rsid w:val="00C375E0"/>
    <w:rsid w:val="00C37704"/>
    <w:rsid w:val="00C37712"/>
    <w:rsid w:val="00C37764"/>
    <w:rsid w:val="00C3777B"/>
    <w:rsid w:val="00C37B53"/>
    <w:rsid w:val="00C37C86"/>
    <w:rsid w:val="00C37D2D"/>
    <w:rsid w:val="00C37E46"/>
    <w:rsid w:val="00C37E99"/>
    <w:rsid w:val="00C40047"/>
    <w:rsid w:val="00C402A4"/>
    <w:rsid w:val="00C40693"/>
    <w:rsid w:val="00C407D5"/>
    <w:rsid w:val="00C40912"/>
    <w:rsid w:val="00C4092D"/>
    <w:rsid w:val="00C409F4"/>
    <w:rsid w:val="00C40B9D"/>
    <w:rsid w:val="00C40BA3"/>
    <w:rsid w:val="00C40D1E"/>
    <w:rsid w:val="00C40D46"/>
    <w:rsid w:val="00C40E75"/>
    <w:rsid w:val="00C4110D"/>
    <w:rsid w:val="00C41137"/>
    <w:rsid w:val="00C412B1"/>
    <w:rsid w:val="00C41330"/>
    <w:rsid w:val="00C41596"/>
    <w:rsid w:val="00C416A5"/>
    <w:rsid w:val="00C41888"/>
    <w:rsid w:val="00C418BB"/>
    <w:rsid w:val="00C418D7"/>
    <w:rsid w:val="00C41A98"/>
    <w:rsid w:val="00C41B9B"/>
    <w:rsid w:val="00C41D4D"/>
    <w:rsid w:val="00C41ECE"/>
    <w:rsid w:val="00C41EDA"/>
    <w:rsid w:val="00C41FEB"/>
    <w:rsid w:val="00C4202A"/>
    <w:rsid w:val="00C42138"/>
    <w:rsid w:val="00C42256"/>
    <w:rsid w:val="00C42317"/>
    <w:rsid w:val="00C42815"/>
    <w:rsid w:val="00C4284D"/>
    <w:rsid w:val="00C42C45"/>
    <w:rsid w:val="00C42CA7"/>
    <w:rsid w:val="00C42CFA"/>
    <w:rsid w:val="00C42D80"/>
    <w:rsid w:val="00C42DF4"/>
    <w:rsid w:val="00C42F52"/>
    <w:rsid w:val="00C4301E"/>
    <w:rsid w:val="00C431B8"/>
    <w:rsid w:val="00C432EF"/>
    <w:rsid w:val="00C433B5"/>
    <w:rsid w:val="00C436F9"/>
    <w:rsid w:val="00C43789"/>
    <w:rsid w:val="00C4386F"/>
    <w:rsid w:val="00C43AB8"/>
    <w:rsid w:val="00C43C93"/>
    <w:rsid w:val="00C43CB4"/>
    <w:rsid w:val="00C43F31"/>
    <w:rsid w:val="00C4408B"/>
    <w:rsid w:val="00C441A8"/>
    <w:rsid w:val="00C44253"/>
    <w:rsid w:val="00C4436C"/>
    <w:rsid w:val="00C4445E"/>
    <w:rsid w:val="00C44575"/>
    <w:rsid w:val="00C446B3"/>
    <w:rsid w:val="00C44846"/>
    <w:rsid w:val="00C44ADC"/>
    <w:rsid w:val="00C44BEE"/>
    <w:rsid w:val="00C44D44"/>
    <w:rsid w:val="00C44D55"/>
    <w:rsid w:val="00C44ED7"/>
    <w:rsid w:val="00C44EF1"/>
    <w:rsid w:val="00C44FA1"/>
    <w:rsid w:val="00C4509C"/>
    <w:rsid w:val="00C450AD"/>
    <w:rsid w:val="00C451A1"/>
    <w:rsid w:val="00C4527F"/>
    <w:rsid w:val="00C45408"/>
    <w:rsid w:val="00C45448"/>
    <w:rsid w:val="00C45620"/>
    <w:rsid w:val="00C45714"/>
    <w:rsid w:val="00C4574A"/>
    <w:rsid w:val="00C45792"/>
    <w:rsid w:val="00C45BA1"/>
    <w:rsid w:val="00C45C60"/>
    <w:rsid w:val="00C45D18"/>
    <w:rsid w:val="00C45D64"/>
    <w:rsid w:val="00C45DBB"/>
    <w:rsid w:val="00C45E17"/>
    <w:rsid w:val="00C45E22"/>
    <w:rsid w:val="00C46033"/>
    <w:rsid w:val="00C460A4"/>
    <w:rsid w:val="00C460ED"/>
    <w:rsid w:val="00C460F4"/>
    <w:rsid w:val="00C460FF"/>
    <w:rsid w:val="00C461B2"/>
    <w:rsid w:val="00C46302"/>
    <w:rsid w:val="00C4639A"/>
    <w:rsid w:val="00C463B8"/>
    <w:rsid w:val="00C463E6"/>
    <w:rsid w:val="00C463FE"/>
    <w:rsid w:val="00C4651B"/>
    <w:rsid w:val="00C4667A"/>
    <w:rsid w:val="00C46782"/>
    <w:rsid w:val="00C46C22"/>
    <w:rsid w:val="00C46C7E"/>
    <w:rsid w:val="00C46DF9"/>
    <w:rsid w:val="00C46E20"/>
    <w:rsid w:val="00C47224"/>
    <w:rsid w:val="00C4723F"/>
    <w:rsid w:val="00C4734F"/>
    <w:rsid w:val="00C474B9"/>
    <w:rsid w:val="00C47774"/>
    <w:rsid w:val="00C47884"/>
    <w:rsid w:val="00C47996"/>
    <w:rsid w:val="00C47A89"/>
    <w:rsid w:val="00C47C8E"/>
    <w:rsid w:val="00C47CE6"/>
    <w:rsid w:val="00C47D73"/>
    <w:rsid w:val="00C47DC2"/>
    <w:rsid w:val="00C47DEA"/>
    <w:rsid w:val="00C47E34"/>
    <w:rsid w:val="00C50005"/>
    <w:rsid w:val="00C50065"/>
    <w:rsid w:val="00C503AC"/>
    <w:rsid w:val="00C50488"/>
    <w:rsid w:val="00C5060C"/>
    <w:rsid w:val="00C50651"/>
    <w:rsid w:val="00C50654"/>
    <w:rsid w:val="00C5067A"/>
    <w:rsid w:val="00C506C3"/>
    <w:rsid w:val="00C508A6"/>
    <w:rsid w:val="00C50BD4"/>
    <w:rsid w:val="00C50C3A"/>
    <w:rsid w:val="00C50DB0"/>
    <w:rsid w:val="00C50FE0"/>
    <w:rsid w:val="00C510F1"/>
    <w:rsid w:val="00C511D1"/>
    <w:rsid w:val="00C5121D"/>
    <w:rsid w:val="00C51300"/>
    <w:rsid w:val="00C51345"/>
    <w:rsid w:val="00C51475"/>
    <w:rsid w:val="00C515E8"/>
    <w:rsid w:val="00C51664"/>
    <w:rsid w:val="00C51730"/>
    <w:rsid w:val="00C51B55"/>
    <w:rsid w:val="00C51B9B"/>
    <w:rsid w:val="00C51E28"/>
    <w:rsid w:val="00C51FA8"/>
    <w:rsid w:val="00C52036"/>
    <w:rsid w:val="00C520F3"/>
    <w:rsid w:val="00C524CA"/>
    <w:rsid w:val="00C52588"/>
    <w:rsid w:val="00C526DA"/>
    <w:rsid w:val="00C52725"/>
    <w:rsid w:val="00C5276C"/>
    <w:rsid w:val="00C52792"/>
    <w:rsid w:val="00C52B40"/>
    <w:rsid w:val="00C52DFF"/>
    <w:rsid w:val="00C52FD1"/>
    <w:rsid w:val="00C53011"/>
    <w:rsid w:val="00C530E3"/>
    <w:rsid w:val="00C532DD"/>
    <w:rsid w:val="00C5359B"/>
    <w:rsid w:val="00C539F0"/>
    <w:rsid w:val="00C53AE4"/>
    <w:rsid w:val="00C53AF7"/>
    <w:rsid w:val="00C53B25"/>
    <w:rsid w:val="00C53BB4"/>
    <w:rsid w:val="00C53C4A"/>
    <w:rsid w:val="00C53EA3"/>
    <w:rsid w:val="00C53EAF"/>
    <w:rsid w:val="00C53F9C"/>
    <w:rsid w:val="00C5408A"/>
    <w:rsid w:val="00C542BF"/>
    <w:rsid w:val="00C54311"/>
    <w:rsid w:val="00C54360"/>
    <w:rsid w:val="00C543BD"/>
    <w:rsid w:val="00C54EBE"/>
    <w:rsid w:val="00C54F7D"/>
    <w:rsid w:val="00C5502C"/>
    <w:rsid w:val="00C550EC"/>
    <w:rsid w:val="00C55137"/>
    <w:rsid w:val="00C554B5"/>
    <w:rsid w:val="00C5577C"/>
    <w:rsid w:val="00C558EB"/>
    <w:rsid w:val="00C55D86"/>
    <w:rsid w:val="00C55E3E"/>
    <w:rsid w:val="00C55EF1"/>
    <w:rsid w:val="00C55FB1"/>
    <w:rsid w:val="00C56042"/>
    <w:rsid w:val="00C5605F"/>
    <w:rsid w:val="00C561A3"/>
    <w:rsid w:val="00C5637F"/>
    <w:rsid w:val="00C56417"/>
    <w:rsid w:val="00C566FE"/>
    <w:rsid w:val="00C569E6"/>
    <w:rsid w:val="00C56A39"/>
    <w:rsid w:val="00C56D94"/>
    <w:rsid w:val="00C56EF2"/>
    <w:rsid w:val="00C56FA9"/>
    <w:rsid w:val="00C5707A"/>
    <w:rsid w:val="00C570A6"/>
    <w:rsid w:val="00C5713C"/>
    <w:rsid w:val="00C57396"/>
    <w:rsid w:val="00C573DD"/>
    <w:rsid w:val="00C573F4"/>
    <w:rsid w:val="00C57581"/>
    <w:rsid w:val="00C576B0"/>
    <w:rsid w:val="00C5796A"/>
    <w:rsid w:val="00C57997"/>
    <w:rsid w:val="00C579F3"/>
    <w:rsid w:val="00C57DCA"/>
    <w:rsid w:val="00C600B3"/>
    <w:rsid w:val="00C603E3"/>
    <w:rsid w:val="00C6048C"/>
    <w:rsid w:val="00C60643"/>
    <w:rsid w:val="00C60681"/>
    <w:rsid w:val="00C60783"/>
    <w:rsid w:val="00C607BB"/>
    <w:rsid w:val="00C607ED"/>
    <w:rsid w:val="00C60852"/>
    <w:rsid w:val="00C60887"/>
    <w:rsid w:val="00C609DC"/>
    <w:rsid w:val="00C60A86"/>
    <w:rsid w:val="00C60E42"/>
    <w:rsid w:val="00C60E7B"/>
    <w:rsid w:val="00C60EC8"/>
    <w:rsid w:val="00C60FBB"/>
    <w:rsid w:val="00C610D5"/>
    <w:rsid w:val="00C611EC"/>
    <w:rsid w:val="00C61318"/>
    <w:rsid w:val="00C613A6"/>
    <w:rsid w:val="00C61464"/>
    <w:rsid w:val="00C61511"/>
    <w:rsid w:val="00C6156A"/>
    <w:rsid w:val="00C61584"/>
    <w:rsid w:val="00C616F7"/>
    <w:rsid w:val="00C61A53"/>
    <w:rsid w:val="00C61AF2"/>
    <w:rsid w:val="00C61CB0"/>
    <w:rsid w:val="00C61E3B"/>
    <w:rsid w:val="00C62185"/>
    <w:rsid w:val="00C62730"/>
    <w:rsid w:val="00C62788"/>
    <w:rsid w:val="00C62C29"/>
    <w:rsid w:val="00C62C86"/>
    <w:rsid w:val="00C62D77"/>
    <w:rsid w:val="00C62FA8"/>
    <w:rsid w:val="00C63370"/>
    <w:rsid w:val="00C6338B"/>
    <w:rsid w:val="00C633D7"/>
    <w:rsid w:val="00C63488"/>
    <w:rsid w:val="00C63510"/>
    <w:rsid w:val="00C6362A"/>
    <w:rsid w:val="00C6367E"/>
    <w:rsid w:val="00C637FE"/>
    <w:rsid w:val="00C638DE"/>
    <w:rsid w:val="00C63A31"/>
    <w:rsid w:val="00C63BDE"/>
    <w:rsid w:val="00C63CFF"/>
    <w:rsid w:val="00C64169"/>
    <w:rsid w:val="00C64213"/>
    <w:rsid w:val="00C643DB"/>
    <w:rsid w:val="00C64408"/>
    <w:rsid w:val="00C64500"/>
    <w:rsid w:val="00C645A4"/>
    <w:rsid w:val="00C64918"/>
    <w:rsid w:val="00C64993"/>
    <w:rsid w:val="00C64AD3"/>
    <w:rsid w:val="00C64CF9"/>
    <w:rsid w:val="00C64E62"/>
    <w:rsid w:val="00C64F85"/>
    <w:rsid w:val="00C650B6"/>
    <w:rsid w:val="00C65296"/>
    <w:rsid w:val="00C652B7"/>
    <w:rsid w:val="00C65396"/>
    <w:rsid w:val="00C653EF"/>
    <w:rsid w:val="00C655D5"/>
    <w:rsid w:val="00C65778"/>
    <w:rsid w:val="00C657B1"/>
    <w:rsid w:val="00C65868"/>
    <w:rsid w:val="00C65C08"/>
    <w:rsid w:val="00C65C7B"/>
    <w:rsid w:val="00C65CCA"/>
    <w:rsid w:val="00C65CEB"/>
    <w:rsid w:val="00C65D7A"/>
    <w:rsid w:val="00C65EAA"/>
    <w:rsid w:val="00C6608D"/>
    <w:rsid w:val="00C660EA"/>
    <w:rsid w:val="00C6626D"/>
    <w:rsid w:val="00C6637B"/>
    <w:rsid w:val="00C6640C"/>
    <w:rsid w:val="00C665BB"/>
    <w:rsid w:val="00C666F6"/>
    <w:rsid w:val="00C66758"/>
    <w:rsid w:val="00C66789"/>
    <w:rsid w:val="00C66854"/>
    <w:rsid w:val="00C66ABB"/>
    <w:rsid w:val="00C66C35"/>
    <w:rsid w:val="00C66F08"/>
    <w:rsid w:val="00C66F39"/>
    <w:rsid w:val="00C66F8C"/>
    <w:rsid w:val="00C6714F"/>
    <w:rsid w:val="00C675FA"/>
    <w:rsid w:val="00C67606"/>
    <w:rsid w:val="00C6769A"/>
    <w:rsid w:val="00C6775C"/>
    <w:rsid w:val="00C67899"/>
    <w:rsid w:val="00C67A35"/>
    <w:rsid w:val="00C67C25"/>
    <w:rsid w:val="00C67C4D"/>
    <w:rsid w:val="00C67D0F"/>
    <w:rsid w:val="00C67D5E"/>
    <w:rsid w:val="00C67E28"/>
    <w:rsid w:val="00C67E2D"/>
    <w:rsid w:val="00C67E73"/>
    <w:rsid w:val="00C67E8E"/>
    <w:rsid w:val="00C67F3B"/>
    <w:rsid w:val="00C67FB0"/>
    <w:rsid w:val="00C7027F"/>
    <w:rsid w:val="00C7039E"/>
    <w:rsid w:val="00C703BA"/>
    <w:rsid w:val="00C703F3"/>
    <w:rsid w:val="00C703FE"/>
    <w:rsid w:val="00C7056F"/>
    <w:rsid w:val="00C70638"/>
    <w:rsid w:val="00C70A4D"/>
    <w:rsid w:val="00C70B97"/>
    <w:rsid w:val="00C70C07"/>
    <w:rsid w:val="00C70C96"/>
    <w:rsid w:val="00C70DE2"/>
    <w:rsid w:val="00C70E2C"/>
    <w:rsid w:val="00C70E4C"/>
    <w:rsid w:val="00C70FF2"/>
    <w:rsid w:val="00C7100C"/>
    <w:rsid w:val="00C71016"/>
    <w:rsid w:val="00C71261"/>
    <w:rsid w:val="00C71275"/>
    <w:rsid w:val="00C7143D"/>
    <w:rsid w:val="00C714C6"/>
    <w:rsid w:val="00C715E8"/>
    <w:rsid w:val="00C71653"/>
    <w:rsid w:val="00C71732"/>
    <w:rsid w:val="00C71808"/>
    <w:rsid w:val="00C71914"/>
    <w:rsid w:val="00C7192B"/>
    <w:rsid w:val="00C7192D"/>
    <w:rsid w:val="00C71A4E"/>
    <w:rsid w:val="00C71AAF"/>
    <w:rsid w:val="00C71AB3"/>
    <w:rsid w:val="00C71AD6"/>
    <w:rsid w:val="00C71D59"/>
    <w:rsid w:val="00C72007"/>
    <w:rsid w:val="00C720BD"/>
    <w:rsid w:val="00C72177"/>
    <w:rsid w:val="00C72362"/>
    <w:rsid w:val="00C72418"/>
    <w:rsid w:val="00C72483"/>
    <w:rsid w:val="00C724C3"/>
    <w:rsid w:val="00C72572"/>
    <w:rsid w:val="00C72669"/>
    <w:rsid w:val="00C72672"/>
    <w:rsid w:val="00C72679"/>
    <w:rsid w:val="00C7268F"/>
    <w:rsid w:val="00C72716"/>
    <w:rsid w:val="00C728C8"/>
    <w:rsid w:val="00C728FA"/>
    <w:rsid w:val="00C72A8F"/>
    <w:rsid w:val="00C72A9C"/>
    <w:rsid w:val="00C72D6D"/>
    <w:rsid w:val="00C72D93"/>
    <w:rsid w:val="00C72DC3"/>
    <w:rsid w:val="00C72F7E"/>
    <w:rsid w:val="00C73095"/>
    <w:rsid w:val="00C731C2"/>
    <w:rsid w:val="00C731C9"/>
    <w:rsid w:val="00C731F9"/>
    <w:rsid w:val="00C7324C"/>
    <w:rsid w:val="00C7354C"/>
    <w:rsid w:val="00C7354E"/>
    <w:rsid w:val="00C73743"/>
    <w:rsid w:val="00C73956"/>
    <w:rsid w:val="00C739A7"/>
    <w:rsid w:val="00C73D4B"/>
    <w:rsid w:val="00C73E5D"/>
    <w:rsid w:val="00C73FDF"/>
    <w:rsid w:val="00C7413D"/>
    <w:rsid w:val="00C741E2"/>
    <w:rsid w:val="00C74443"/>
    <w:rsid w:val="00C744F3"/>
    <w:rsid w:val="00C7453C"/>
    <w:rsid w:val="00C74656"/>
    <w:rsid w:val="00C7471C"/>
    <w:rsid w:val="00C747E2"/>
    <w:rsid w:val="00C748C2"/>
    <w:rsid w:val="00C7491D"/>
    <w:rsid w:val="00C74A3C"/>
    <w:rsid w:val="00C74A59"/>
    <w:rsid w:val="00C74A5A"/>
    <w:rsid w:val="00C74A91"/>
    <w:rsid w:val="00C74ABB"/>
    <w:rsid w:val="00C74B8C"/>
    <w:rsid w:val="00C74C7D"/>
    <w:rsid w:val="00C74D52"/>
    <w:rsid w:val="00C74E1C"/>
    <w:rsid w:val="00C7501D"/>
    <w:rsid w:val="00C7507C"/>
    <w:rsid w:val="00C75140"/>
    <w:rsid w:val="00C7541A"/>
    <w:rsid w:val="00C7572D"/>
    <w:rsid w:val="00C75909"/>
    <w:rsid w:val="00C7596B"/>
    <w:rsid w:val="00C75BB2"/>
    <w:rsid w:val="00C75D8B"/>
    <w:rsid w:val="00C75E04"/>
    <w:rsid w:val="00C75E50"/>
    <w:rsid w:val="00C75F09"/>
    <w:rsid w:val="00C7609D"/>
    <w:rsid w:val="00C76377"/>
    <w:rsid w:val="00C76469"/>
    <w:rsid w:val="00C76568"/>
    <w:rsid w:val="00C766F5"/>
    <w:rsid w:val="00C76762"/>
    <w:rsid w:val="00C76840"/>
    <w:rsid w:val="00C76886"/>
    <w:rsid w:val="00C76914"/>
    <w:rsid w:val="00C7693B"/>
    <w:rsid w:val="00C76A76"/>
    <w:rsid w:val="00C76B05"/>
    <w:rsid w:val="00C76DA3"/>
    <w:rsid w:val="00C77071"/>
    <w:rsid w:val="00C770DB"/>
    <w:rsid w:val="00C771F9"/>
    <w:rsid w:val="00C772FB"/>
    <w:rsid w:val="00C77337"/>
    <w:rsid w:val="00C774F5"/>
    <w:rsid w:val="00C77B18"/>
    <w:rsid w:val="00C77D36"/>
    <w:rsid w:val="00C77DA2"/>
    <w:rsid w:val="00C77DB0"/>
    <w:rsid w:val="00C77DBD"/>
    <w:rsid w:val="00C77ECD"/>
    <w:rsid w:val="00C77F28"/>
    <w:rsid w:val="00C77F30"/>
    <w:rsid w:val="00C77F97"/>
    <w:rsid w:val="00C8029B"/>
    <w:rsid w:val="00C8035A"/>
    <w:rsid w:val="00C806D4"/>
    <w:rsid w:val="00C80AFB"/>
    <w:rsid w:val="00C80D04"/>
    <w:rsid w:val="00C80EC7"/>
    <w:rsid w:val="00C81120"/>
    <w:rsid w:val="00C81227"/>
    <w:rsid w:val="00C81297"/>
    <w:rsid w:val="00C8136E"/>
    <w:rsid w:val="00C813D9"/>
    <w:rsid w:val="00C8194B"/>
    <w:rsid w:val="00C819AD"/>
    <w:rsid w:val="00C81B8B"/>
    <w:rsid w:val="00C81D26"/>
    <w:rsid w:val="00C820A5"/>
    <w:rsid w:val="00C820E2"/>
    <w:rsid w:val="00C8215C"/>
    <w:rsid w:val="00C821F5"/>
    <w:rsid w:val="00C82389"/>
    <w:rsid w:val="00C824A8"/>
    <w:rsid w:val="00C8258A"/>
    <w:rsid w:val="00C8258D"/>
    <w:rsid w:val="00C825FE"/>
    <w:rsid w:val="00C8268F"/>
    <w:rsid w:val="00C8271E"/>
    <w:rsid w:val="00C82767"/>
    <w:rsid w:val="00C82801"/>
    <w:rsid w:val="00C82863"/>
    <w:rsid w:val="00C829A1"/>
    <w:rsid w:val="00C82B06"/>
    <w:rsid w:val="00C82E6F"/>
    <w:rsid w:val="00C82FC0"/>
    <w:rsid w:val="00C82FC1"/>
    <w:rsid w:val="00C83007"/>
    <w:rsid w:val="00C830D9"/>
    <w:rsid w:val="00C8351C"/>
    <w:rsid w:val="00C83535"/>
    <w:rsid w:val="00C83540"/>
    <w:rsid w:val="00C83980"/>
    <w:rsid w:val="00C83AEB"/>
    <w:rsid w:val="00C83D84"/>
    <w:rsid w:val="00C83F0C"/>
    <w:rsid w:val="00C83FC6"/>
    <w:rsid w:val="00C8414A"/>
    <w:rsid w:val="00C841F7"/>
    <w:rsid w:val="00C84329"/>
    <w:rsid w:val="00C8433D"/>
    <w:rsid w:val="00C843B0"/>
    <w:rsid w:val="00C84417"/>
    <w:rsid w:val="00C8450A"/>
    <w:rsid w:val="00C8468C"/>
    <w:rsid w:val="00C84927"/>
    <w:rsid w:val="00C8494E"/>
    <w:rsid w:val="00C84A70"/>
    <w:rsid w:val="00C84BED"/>
    <w:rsid w:val="00C84C74"/>
    <w:rsid w:val="00C84D28"/>
    <w:rsid w:val="00C84E01"/>
    <w:rsid w:val="00C84E5E"/>
    <w:rsid w:val="00C84F0B"/>
    <w:rsid w:val="00C84F1A"/>
    <w:rsid w:val="00C84FBD"/>
    <w:rsid w:val="00C84FBF"/>
    <w:rsid w:val="00C84FDF"/>
    <w:rsid w:val="00C84FEE"/>
    <w:rsid w:val="00C850D1"/>
    <w:rsid w:val="00C850FB"/>
    <w:rsid w:val="00C85125"/>
    <w:rsid w:val="00C8531C"/>
    <w:rsid w:val="00C853DE"/>
    <w:rsid w:val="00C85419"/>
    <w:rsid w:val="00C85497"/>
    <w:rsid w:val="00C8573E"/>
    <w:rsid w:val="00C8576B"/>
    <w:rsid w:val="00C857D0"/>
    <w:rsid w:val="00C858BF"/>
    <w:rsid w:val="00C858CF"/>
    <w:rsid w:val="00C85AA9"/>
    <w:rsid w:val="00C85EB5"/>
    <w:rsid w:val="00C860FA"/>
    <w:rsid w:val="00C86178"/>
    <w:rsid w:val="00C861EE"/>
    <w:rsid w:val="00C86261"/>
    <w:rsid w:val="00C863E7"/>
    <w:rsid w:val="00C8695E"/>
    <w:rsid w:val="00C86C3A"/>
    <w:rsid w:val="00C86CFA"/>
    <w:rsid w:val="00C86DFB"/>
    <w:rsid w:val="00C86F2D"/>
    <w:rsid w:val="00C86F95"/>
    <w:rsid w:val="00C86FDF"/>
    <w:rsid w:val="00C87096"/>
    <w:rsid w:val="00C8709A"/>
    <w:rsid w:val="00C871BE"/>
    <w:rsid w:val="00C871E6"/>
    <w:rsid w:val="00C87436"/>
    <w:rsid w:val="00C87498"/>
    <w:rsid w:val="00C874AB"/>
    <w:rsid w:val="00C8774E"/>
    <w:rsid w:val="00C877A0"/>
    <w:rsid w:val="00C877DE"/>
    <w:rsid w:val="00C87A76"/>
    <w:rsid w:val="00C87B43"/>
    <w:rsid w:val="00C87B53"/>
    <w:rsid w:val="00C87BE2"/>
    <w:rsid w:val="00C87C30"/>
    <w:rsid w:val="00C87CB4"/>
    <w:rsid w:val="00C87F20"/>
    <w:rsid w:val="00C9004B"/>
    <w:rsid w:val="00C90092"/>
    <w:rsid w:val="00C9009D"/>
    <w:rsid w:val="00C900A8"/>
    <w:rsid w:val="00C902A5"/>
    <w:rsid w:val="00C905A9"/>
    <w:rsid w:val="00C90863"/>
    <w:rsid w:val="00C909D8"/>
    <w:rsid w:val="00C909E8"/>
    <w:rsid w:val="00C90A29"/>
    <w:rsid w:val="00C90AAD"/>
    <w:rsid w:val="00C90AFB"/>
    <w:rsid w:val="00C90B53"/>
    <w:rsid w:val="00C90BD1"/>
    <w:rsid w:val="00C90BF7"/>
    <w:rsid w:val="00C90CFD"/>
    <w:rsid w:val="00C90E22"/>
    <w:rsid w:val="00C90E65"/>
    <w:rsid w:val="00C90F6B"/>
    <w:rsid w:val="00C90F6D"/>
    <w:rsid w:val="00C91096"/>
    <w:rsid w:val="00C910DC"/>
    <w:rsid w:val="00C91131"/>
    <w:rsid w:val="00C9114E"/>
    <w:rsid w:val="00C91270"/>
    <w:rsid w:val="00C91273"/>
    <w:rsid w:val="00C913A3"/>
    <w:rsid w:val="00C913AF"/>
    <w:rsid w:val="00C915AA"/>
    <w:rsid w:val="00C9161F"/>
    <w:rsid w:val="00C91651"/>
    <w:rsid w:val="00C91775"/>
    <w:rsid w:val="00C917A4"/>
    <w:rsid w:val="00C917E4"/>
    <w:rsid w:val="00C9182A"/>
    <w:rsid w:val="00C919B5"/>
    <w:rsid w:val="00C91AE5"/>
    <w:rsid w:val="00C91AF2"/>
    <w:rsid w:val="00C91DD1"/>
    <w:rsid w:val="00C91E8E"/>
    <w:rsid w:val="00C91E91"/>
    <w:rsid w:val="00C92022"/>
    <w:rsid w:val="00C920B7"/>
    <w:rsid w:val="00C921E1"/>
    <w:rsid w:val="00C922A2"/>
    <w:rsid w:val="00C9246B"/>
    <w:rsid w:val="00C9249F"/>
    <w:rsid w:val="00C924CE"/>
    <w:rsid w:val="00C92531"/>
    <w:rsid w:val="00C925E3"/>
    <w:rsid w:val="00C92723"/>
    <w:rsid w:val="00C929E8"/>
    <w:rsid w:val="00C92A2E"/>
    <w:rsid w:val="00C92BBA"/>
    <w:rsid w:val="00C92C1B"/>
    <w:rsid w:val="00C92D2C"/>
    <w:rsid w:val="00C92E91"/>
    <w:rsid w:val="00C92F1B"/>
    <w:rsid w:val="00C92F54"/>
    <w:rsid w:val="00C92FF6"/>
    <w:rsid w:val="00C92FFC"/>
    <w:rsid w:val="00C930B2"/>
    <w:rsid w:val="00C93107"/>
    <w:rsid w:val="00C9341A"/>
    <w:rsid w:val="00C9355E"/>
    <w:rsid w:val="00C93734"/>
    <w:rsid w:val="00C93B13"/>
    <w:rsid w:val="00C93B39"/>
    <w:rsid w:val="00C93B5A"/>
    <w:rsid w:val="00C93BB6"/>
    <w:rsid w:val="00C93F34"/>
    <w:rsid w:val="00C93F76"/>
    <w:rsid w:val="00C94175"/>
    <w:rsid w:val="00C9433F"/>
    <w:rsid w:val="00C9459A"/>
    <w:rsid w:val="00C94754"/>
    <w:rsid w:val="00C94770"/>
    <w:rsid w:val="00C94992"/>
    <w:rsid w:val="00C94A4B"/>
    <w:rsid w:val="00C94B0C"/>
    <w:rsid w:val="00C94C61"/>
    <w:rsid w:val="00C94D5C"/>
    <w:rsid w:val="00C94D6E"/>
    <w:rsid w:val="00C94DA7"/>
    <w:rsid w:val="00C94E5D"/>
    <w:rsid w:val="00C9504F"/>
    <w:rsid w:val="00C952E2"/>
    <w:rsid w:val="00C9531E"/>
    <w:rsid w:val="00C9536B"/>
    <w:rsid w:val="00C958F1"/>
    <w:rsid w:val="00C95927"/>
    <w:rsid w:val="00C95A4E"/>
    <w:rsid w:val="00C95A56"/>
    <w:rsid w:val="00C95EC4"/>
    <w:rsid w:val="00C95EF2"/>
    <w:rsid w:val="00C96031"/>
    <w:rsid w:val="00C96037"/>
    <w:rsid w:val="00C96300"/>
    <w:rsid w:val="00C963AC"/>
    <w:rsid w:val="00C965CE"/>
    <w:rsid w:val="00C966AA"/>
    <w:rsid w:val="00C9671C"/>
    <w:rsid w:val="00C96745"/>
    <w:rsid w:val="00C967D2"/>
    <w:rsid w:val="00C96885"/>
    <w:rsid w:val="00C96ABA"/>
    <w:rsid w:val="00C96C0E"/>
    <w:rsid w:val="00C96E05"/>
    <w:rsid w:val="00C96E5D"/>
    <w:rsid w:val="00C96EC2"/>
    <w:rsid w:val="00C971DC"/>
    <w:rsid w:val="00C972AA"/>
    <w:rsid w:val="00C97407"/>
    <w:rsid w:val="00C9777B"/>
    <w:rsid w:val="00C978AC"/>
    <w:rsid w:val="00C97923"/>
    <w:rsid w:val="00C97A55"/>
    <w:rsid w:val="00C97C0C"/>
    <w:rsid w:val="00C97CEE"/>
    <w:rsid w:val="00C97CF4"/>
    <w:rsid w:val="00C97D22"/>
    <w:rsid w:val="00C97F3F"/>
    <w:rsid w:val="00C97F8A"/>
    <w:rsid w:val="00CA012E"/>
    <w:rsid w:val="00CA022C"/>
    <w:rsid w:val="00CA047F"/>
    <w:rsid w:val="00CA0504"/>
    <w:rsid w:val="00CA065B"/>
    <w:rsid w:val="00CA06C1"/>
    <w:rsid w:val="00CA0757"/>
    <w:rsid w:val="00CA0797"/>
    <w:rsid w:val="00CA0C3F"/>
    <w:rsid w:val="00CA0F06"/>
    <w:rsid w:val="00CA114B"/>
    <w:rsid w:val="00CA128F"/>
    <w:rsid w:val="00CA1419"/>
    <w:rsid w:val="00CA14A3"/>
    <w:rsid w:val="00CA1550"/>
    <w:rsid w:val="00CA165B"/>
    <w:rsid w:val="00CA1666"/>
    <w:rsid w:val="00CA16A6"/>
    <w:rsid w:val="00CA16B3"/>
    <w:rsid w:val="00CA186D"/>
    <w:rsid w:val="00CA1B2F"/>
    <w:rsid w:val="00CA1B6A"/>
    <w:rsid w:val="00CA1CA9"/>
    <w:rsid w:val="00CA1DE4"/>
    <w:rsid w:val="00CA1FD4"/>
    <w:rsid w:val="00CA20DA"/>
    <w:rsid w:val="00CA21A7"/>
    <w:rsid w:val="00CA23F3"/>
    <w:rsid w:val="00CA2590"/>
    <w:rsid w:val="00CA25AD"/>
    <w:rsid w:val="00CA25C6"/>
    <w:rsid w:val="00CA26EA"/>
    <w:rsid w:val="00CA2781"/>
    <w:rsid w:val="00CA29F3"/>
    <w:rsid w:val="00CA2B27"/>
    <w:rsid w:val="00CA2C74"/>
    <w:rsid w:val="00CA2FB2"/>
    <w:rsid w:val="00CA309E"/>
    <w:rsid w:val="00CA315A"/>
    <w:rsid w:val="00CA33D7"/>
    <w:rsid w:val="00CA3542"/>
    <w:rsid w:val="00CA3557"/>
    <w:rsid w:val="00CA37EF"/>
    <w:rsid w:val="00CA3812"/>
    <w:rsid w:val="00CA3B51"/>
    <w:rsid w:val="00CA3B88"/>
    <w:rsid w:val="00CA3BB2"/>
    <w:rsid w:val="00CA3BC1"/>
    <w:rsid w:val="00CA3D3A"/>
    <w:rsid w:val="00CA3D85"/>
    <w:rsid w:val="00CA3DBB"/>
    <w:rsid w:val="00CA3DE8"/>
    <w:rsid w:val="00CA3F3E"/>
    <w:rsid w:val="00CA4151"/>
    <w:rsid w:val="00CA423A"/>
    <w:rsid w:val="00CA4244"/>
    <w:rsid w:val="00CA425B"/>
    <w:rsid w:val="00CA42BE"/>
    <w:rsid w:val="00CA42D6"/>
    <w:rsid w:val="00CA47A6"/>
    <w:rsid w:val="00CA4944"/>
    <w:rsid w:val="00CA4961"/>
    <w:rsid w:val="00CA4D46"/>
    <w:rsid w:val="00CA504C"/>
    <w:rsid w:val="00CA528A"/>
    <w:rsid w:val="00CA5338"/>
    <w:rsid w:val="00CA542F"/>
    <w:rsid w:val="00CA55B8"/>
    <w:rsid w:val="00CA592A"/>
    <w:rsid w:val="00CA5976"/>
    <w:rsid w:val="00CA59DC"/>
    <w:rsid w:val="00CA5BD8"/>
    <w:rsid w:val="00CA5BF0"/>
    <w:rsid w:val="00CA5F9C"/>
    <w:rsid w:val="00CA6022"/>
    <w:rsid w:val="00CA6208"/>
    <w:rsid w:val="00CA6290"/>
    <w:rsid w:val="00CA6324"/>
    <w:rsid w:val="00CA63BF"/>
    <w:rsid w:val="00CA6511"/>
    <w:rsid w:val="00CA656E"/>
    <w:rsid w:val="00CA6620"/>
    <w:rsid w:val="00CA6700"/>
    <w:rsid w:val="00CA6811"/>
    <w:rsid w:val="00CA68A6"/>
    <w:rsid w:val="00CA69E3"/>
    <w:rsid w:val="00CA6A75"/>
    <w:rsid w:val="00CA6BDD"/>
    <w:rsid w:val="00CA6D77"/>
    <w:rsid w:val="00CA71CA"/>
    <w:rsid w:val="00CA7301"/>
    <w:rsid w:val="00CA752D"/>
    <w:rsid w:val="00CA7568"/>
    <w:rsid w:val="00CA7624"/>
    <w:rsid w:val="00CA763E"/>
    <w:rsid w:val="00CA768A"/>
    <w:rsid w:val="00CA7852"/>
    <w:rsid w:val="00CA7881"/>
    <w:rsid w:val="00CA78D5"/>
    <w:rsid w:val="00CA799E"/>
    <w:rsid w:val="00CA79F1"/>
    <w:rsid w:val="00CA7A3D"/>
    <w:rsid w:val="00CA7B6F"/>
    <w:rsid w:val="00CA7E5C"/>
    <w:rsid w:val="00CA7E9D"/>
    <w:rsid w:val="00CA7F68"/>
    <w:rsid w:val="00CA7FA1"/>
    <w:rsid w:val="00CB011F"/>
    <w:rsid w:val="00CB0358"/>
    <w:rsid w:val="00CB0458"/>
    <w:rsid w:val="00CB061E"/>
    <w:rsid w:val="00CB095A"/>
    <w:rsid w:val="00CB09EC"/>
    <w:rsid w:val="00CB0A13"/>
    <w:rsid w:val="00CB0C4F"/>
    <w:rsid w:val="00CB0CA6"/>
    <w:rsid w:val="00CB0E82"/>
    <w:rsid w:val="00CB1064"/>
    <w:rsid w:val="00CB10F6"/>
    <w:rsid w:val="00CB1132"/>
    <w:rsid w:val="00CB11F1"/>
    <w:rsid w:val="00CB1303"/>
    <w:rsid w:val="00CB143D"/>
    <w:rsid w:val="00CB1492"/>
    <w:rsid w:val="00CB14F1"/>
    <w:rsid w:val="00CB15E9"/>
    <w:rsid w:val="00CB1819"/>
    <w:rsid w:val="00CB1838"/>
    <w:rsid w:val="00CB1879"/>
    <w:rsid w:val="00CB18C7"/>
    <w:rsid w:val="00CB1A42"/>
    <w:rsid w:val="00CB1A64"/>
    <w:rsid w:val="00CB1CE9"/>
    <w:rsid w:val="00CB1D80"/>
    <w:rsid w:val="00CB1E65"/>
    <w:rsid w:val="00CB1ED5"/>
    <w:rsid w:val="00CB1F5C"/>
    <w:rsid w:val="00CB205A"/>
    <w:rsid w:val="00CB2079"/>
    <w:rsid w:val="00CB2214"/>
    <w:rsid w:val="00CB2285"/>
    <w:rsid w:val="00CB2324"/>
    <w:rsid w:val="00CB2344"/>
    <w:rsid w:val="00CB23A9"/>
    <w:rsid w:val="00CB25CD"/>
    <w:rsid w:val="00CB266D"/>
    <w:rsid w:val="00CB26A9"/>
    <w:rsid w:val="00CB2796"/>
    <w:rsid w:val="00CB2929"/>
    <w:rsid w:val="00CB294F"/>
    <w:rsid w:val="00CB29A2"/>
    <w:rsid w:val="00CB2B84"/>
    <w:rsid w:val="00CB2BD5"/>
    <w:rsid w:val="00CB2C0A"/>
    <w:rsid w:val="00CB2D8B"/>
    <w:rsid w:val="00CB2E15"/>
    <w:rsid w:val="00CB2E7D"/>
    <w:rsid w:val="00CB2EE4"/>
    <w:rsid w:val="00CB2F38"/>
    <w:rsid w:val="00CB2F5D"/>
    <w:rsid w:val="00CB3017"/>
    <w:rsid w:val="00CB32F8"/>
    <w:rsid w:val="00CB338E"/>
    <w:rsid w:val="00CB34D6"/>
    <w:rsid w:val="00CB36F7"/>
    <w:rsid w:val="00CB377D"/>
    <w:rsid w:val="00CB3A7D"/>
    <w:rsid w:val="00CB3B35"/>
    <w:rsid w:val="00CB3C26"/>
    <w:rsid w:val="00CB3C74"/>
    <w:rsid w:val="00CB3EBB"/>
    <w:rsid w:val="00CB3FEA"/>
    <w:rsid w:val="00CB407B"/>
    <w:rsid w:val="00CB4124"/>
    <w:rsid w:val="00CB41EC"/>
    <w:rsid w:val="00CB42D4"/>
    <w:rsid w:val="00CB432A"/>
    <w:rsid w:val="00CB438B"/>
    <w:rsid w:val="00CB4465"/>
    <w:rsid w:val="00CB44E0"/>
    <w:rsid w:val="00CB46A7"/>
    <w:rsid w:val="00CB48F4"/>
    <w:rsid w:val="00CB49AF"/>
    <w:rsid w:val="00CB49D9"/>
    <w:rsid w:val="00CB4AC3"/>
    <w:rsid w:val="00CB4B04"/>
    <w:rsid w:val="00CB4B16"/>
    <w:rsid w:val="00CB4BB0"/>
    <w:rsid w:val="00CB4D03"/>
    <w:rsid w:val="00CB5277"/>
    <w:rsid w:val="00CB52BB"/>
    <w:rsid w:val="00CB5384"/>
    <w:rsid w:val="00CB559A"/>
    <w:rsid w:val="00CB5641"/>
    <w:rsid w:val="00CB569D"/>
    <w:rsid w:val="00CB5796"/>
    <w:rsid w:val="00CB5982"/>
    <w:rsid w:val="00CB59A4"/>
    <w:rsid w:val="00CB5A99"/>
    <w:rsid w:val="00CB5ABE"/>
    <w:rsid w:val="00CB5B62"/>
    <w:rsid w:val="00CB5C55"/>
    <w:rsid w:val="00CB5C61"/>
    <w:rsid w:val="00CB5C62"/>
    <w:rsid w:val="00CB5DE0"/>
    <w:rsid w:val="00CB5E5C"/>
    <w:rsid w:val="00CB5FC1"/>
    <w:rsid w:val="00CB6210"/>
    <w:rsid w:val="00CB6368"/>
    <w:rsid w:val="00CB63FA"/>
    <w:rsid w:val="00CB641B"/>
    <w:rsid w:val="00CB679C"/>
    <w:rsid w:val="00CB68EA"/>
    <w:rsid w:val="00CB68FC"/>
    <w:rsid w:val="00CB6A42"/>
    <w:rsid w:val="00CB6C83"/>
    <w:rsid w:val="00CB6CF6"/>
    <w:rsid w:val="00CB6DD1"/>
    <w:rsid w:val="00CB6E4F"/>
    <w:rsid w:val="00CB6EEC"/>
    <w:rsid w:val="00CB7116"/>
    <w:rsid w:val="00CB7206"/>
    <w:rsid w:val="00CB728F"/>
    <w:rsid w:val="00CB72D9"/>
    <w:rsid w:val="00CB72DF"/>
    <w:rsid w:val="00CB75BD"/>
    <w:rsid w:val="00CB75FB"/>
    <w:rsid w:val="00CB76D6"/>
    <w:rsid w:val="00CB76F4"/>
    <w:rsid w:val="00CB776D"/>
    <w:rsid w:val="00CB7770"/>
    <w:rsid w:val="00CB7840"/>
    <w:rsid w:val="00CB7ADF"/>
    <w:rsid w:val="00CB7B9E"/>
    <w:rsid w:val="00CB7CCB"/>
    <w:rsid w:val="00CB7D29"/>
    <w:rsid w:val="00CB7D83"/>
    <w:rsid w:val="00CB7ED2"/>
    <w:rsid w:val="00CB7F71"/>
    <w:rsid w:val="00CB7F92"/>
    <w:rsid w:val="00CC00DD"/>
    <w:rsid w:val="00CC02A2"/>
    <w:rsid w:val="00CC02CB"/>
    <w:rsid w:val="00CC02F8"/>
    <w:rsid w:val="00CC045F"/>
    <w:rsid w:val="00CC04D2"/>
    <w:rsid w:val="00CC0545"/>
    <w:rsid w:val="00CC05DF"/>
    <w:rsid w:val="00CC0757"/>
    <w:rsid w:val="00CC0951"/>
    <w:rsid w:val="00CC0956"/>
    <w:rsid w:val="00CC09D2"/>
    <w:rsid w:val="00CC0AB3"/>
    <w:rsid w:val="00CC0D18"/>
    <w:rsid w:val="00CC0D1D"/>
    <w:rsid w:val="00CC0E01"/>
    <w:rsid w:val="00CC101A"/>
    <w:rsid w:val="00CC1044"/>
    <w:rsid w:val="00CC1091"/>
    <w:rsid w:val="00CC10D1"/>
    <w:rsid w:val="00CC1553"/>
    <w:rsid w:val="00CC15AE"/>
    <w:rsid w:val="00CC1779"/>
    <w:rsid w:val="00CC17C2"/>
    <w:rsid w:val="00CC1804"/>
    <w:rsid w:val="00CC18D9"/>
    <w:rsid w:val="00CC1937"/>
    <w:rsid w:val="00CC1966"/>
    <w:rsid w:val="00CC1ACD"/>
    <w:rsid w:val="00CC1B9D"/>
    <w:rsid w:val="00CC1C37"/>
    <w:rsid w:val="00CC1D1A"/>
    <w:rsid w:val="00CC1EAB"/>
    <w:rsid w:val="00CC219D"/>
    <w:rsid w:val="00CC2264"/>
    <w:rsid w:val="00CC25DC"/>
    <w:rsid w:val="00CC27BE"/>
    <w:rsid w:val="00CC2926"/>
    <w:rsid w:val="00CC2B56"/>
    <w:rsid w:val="00CC2BD1"/>
    <w:rsid w:val="00CC2E57"/>
    <w:rsid w:val="00CC2EB8"/>
    <w:rsid w:val="00CC32F1"/>
    <w:rsid w:val="00CC339C"/>
    <w:rsid w:val="00CC3606"/>
    <w:rsid w:val="00CC3797"/>
    <w:rsid w:val="00CC37C2"/>
    <w:rsid w:val="00CC399D"/>
    <w:rsid w:val="00CC3A9B"/>
    <w:rsid w:val="00CC3C42"/>
    <w:rsid w:val="00CC3D31"/>
    <w:rsid w:val="00CC4117"/>
    <w:rsid w:val="00CC41CC"/>
    <w:rsid w:val="00CC41EC"/>
    <w:rsid w:val="00CC42B0"/>
    <w:rsid w:val="00CC4488"/>
    <w:rsid w:val="00CC4535"/>
    <w:rsid w:val="00CC45F4"/>
    <w:rsid w:val="00CC4912"/>
    <w:rsid w:val="00CC4C11"/>
    <w:rsid w:val="00CC4C18"/>
    <w:rsid w:val="00CC4DFD"/>
    <w:rsid w:val="00CC4FFD"/>
    <w:rsid w:val="00CC5017"/>
    <w:rsid w:val="00CC50C9"/>
    <w:rsid w:val="00CC52D1"/>
    <w:rsid w:val="00CC549E"/>
    <w:rsid w:val="00CC54F3"/>
    <w:rsid w:val="00CC5643"/>
    <w:rsid w:val="00CC57D3"/>
    <w:rsid w:val="00CC58BD"/>
    <w:rsid w:val="00CC5971"/>
    <w:rsid w:val="00CC59BC"/>
    <w:rsid w:val="00CC59C8"/>
    <w:rsid w:val="00CC5A81"/>
    <w:rsid w:val="00CC5AE5"/>
    <w:rsid w:val="00CC5EC1"/>
    <w:rsid w:val="00CC6180"/>
    <w:rsid w:val="00CC6260"/>
    <w:rsid w:val="00CC628B"/>
    <w:rsid w:val="00CC62FB"/>
    <w:rsid w:val="00CC6430"/>
    <w:rsid w:val="00CC64B4"/>
    <w:rsid w:val="00CC6510"/>
    <w:rsid w:val="00CC6625"/>
    <w:rsid w:val="00CC66F6"/>
    <w:rsid w:val="00CC6A1A"/>
    <w:rsid w:val="00CC6CD5"/>
    <w:rsid w:val="00CC6D54"/>
    <w:rsid w:val="00CC6D8C"/>
    <w:rsid w:val="00CC6ED6"/>
    <w:rsid w:val="00CC6F7A"/>
    <w:rsid w:val="00CC71B0"/>
    <w:rsid w:val="00CC71E7"/>
    <w:rsid w:val="00CC7242"/>
    <w:rsid w:val="00CC7264"/>
    <w:rsid w:val="00CC728E"/>
    <w:rsid w:val="00CC72B2"/>
    <w:rsid w:val="00CC73C9"/>
    <w:rsid w:val="00CC741C"/>
    <w:rsid w:val="00CC772E"/>
    <w:rsid w:val="00CC7740"/>
    <w:rsid w:val="00CC7A83"/>
    <w:rsid w:val="00CC7A88"/>
    <w:rsid w:val="00CC7B78"/>
    <w:rsid w:val="00CC7EFC"/>
    <w:rsid w:val="00CD04DC"/>
    <w:rsid w:val="00CD05FD"/>
    <w:rsid w:val="00CD06DD"/>
    <w:rsid w:val="00CD0870"/>
    <w:rsid w:val="00CD0879"/>
    <w:rsid w:val="00CD0A97"/>
    <w:rsid w:val="00CD0B16"/>
    <w:rsid w:val="00CD0B29"/>
    <w:rsid w:val="00CD0C59"/>
    <w:rsid w:val="00CD0C8A"/>
    <w:rsid w:val="00CD0CB2"/>
    <w:rsid w:val="00CD0CF0"/>
    <w:rsid w:val="00CD0D50"/>
    <w:rsid w:val="00CD0D84"/>
    <w:rsid w:val="00CD0D8C"/>
    <w:rsid w:val="00CD0F7E"/>
    <w:rsid w:val="00CD0F9B"/>
    <w:rsid w:val="00CD1031"/>
    <w:rsid w:val="00CD10B1"/>
    <w:rsid w:val="00CD10FA"/>
    <w:rsid w:val="00CD135B"/>
    <w:rsid w:val="00CD1404"/>
    <w:rsid w:val="00CD198F"/>
    <w:rsid w:val="00CD208F"/>
    <w:rsid w:val="00CD20C4"/>
    <w:rsid w:val="00CD215B"/>
    <w:rsid w:val="00CD21F9"/>
    <w:rsid w:val="00CD2294"/>
    <w:rsid w:val="00CD23A9"/>
    <w:rsid w:val="00CD2455"/>
    <w:rsid w:val="00CD2477"/>
    <w:rsid w:val="00CD2496"/>
    <w:rsid w:val="00CD2576"/>
    <w:rsid w:val="00CD266E"/>
    <w:rsid w:val="00CD26CE"/>
    <w:rsid w:val="00CD2A54"/>
    <w:rsid w:val="00CD2BED"/>
    <w:rsid w:val="00CD2D46"/>
    <w:rsid w:val="00CD2EF2"/>
    <w:rsid w:val="00CD2F1A"/>
    <w:rsid w:val="00CD305A"/>
    <w:rsid w:val="00CD3483"/>
    <w:rsid w:val="00CD37A7"/>
    <w:rsid w:val="00CD38F8"/>
    <w:rsid w:val="00CD3994"/>
    <w:rsid w:val="00CD39B1"/>
    <w:rsid w:val="00CD3A55"/>
    <w:rsid w:val="00CD3AF8"/>
    <w:rsid w:val="00CD3D1A"/>
    <w:rsid w:val="00CD405D"/>
    <w:rsid w:val="00CD40A8"/>
    <w:rsid w:val="00CD433F"/>
    <w:rsid w:val="00CD4487"/>
    <w:rsid w:val="00CD4682"/>
    <w:rsid w:val="00CD46A7"/>
    <w:rsid w:val="00CD478B"/>
    <w:rsid w:val="00CD4794"/>
    <w:rsid w:val="00CD48F0"/>
    <w:rsid w:val="00CD4ABD"/>
    <w:rsid w:val="00CD4B05"/>
    <w:rsid w:val="00CD4B07"/>
    <w:rsid w:val="00CD4BE7"/>
    <w:rsid w:val="00CD4CB6"/>
    <w:rsid w:val="00CD4CED"/>
    <w:rsid w:val="00CD5250"/>
    <w:rsid w:val="00CD52DC"/>
    <w:rsid w:val="00CD5538"/>
    <w:rsid w:val="00CD55AA"/>
    <w:rsid w:val="00CD55E4"/>
    <w:rsid w:val="00CD56D4"/>
    <w:rsid w:val="00CD57A4"/>
    <w:rsid w:val="00CD5D76"/>
    <w:rsid w:val="00CD5D8C"/>
    <w:rsid w:val="00CD5E85"/>
    <w:rsid w:val="00CD6096"/>
    <w:rsid w:val="00CD621E"/>
    <w:rsid w:val="00CD6221"/>
    <w:rsid w:val="00CD630A"/>
    <w:rsid w:val="00CD640E"/>
    <w:rsid w:val="00CD6482"/>
    <w:rsid w:val="00CD64DB"/>
    <w:rsid w:val="00CD6583"/>
    <w:rsid w:val="00CD65E4"/>
    <w:rsid w:val="00CD66C4"/>
    <w:rsid w:val="00CD66D2"/>
    <w:rsid w:val="00CD67B1"/>
    <w:rsid w:val="00CD69B2"/>
    <w:rsid w:val="00CD6BD4"/>
    <w:rsid w:val="00CD6D2D"/>
    <w:rsid w:val="00CD6D4B"/>
    <w:rsid w:val="00CD6FC2"/>
    <w:rsid w:val="00CD72BE"/>
    <w:rsid w:val="00CD73DB"/>
    <w:rsid w:val="00CD742C"/>
    <w:rsid w:val="00CD74E1"/>
    <w:rsid w:val="00CD78B0"/>
    <w:rsid w:val="00CD7B47"/>
    <w:rsid w:val="00CD7B7F"/>
    <w:rsid w:val="00CD7BB6"/>
    <w:rsid w:val="00CD7D10"/>
    <w:rsid w:val="00CD7D11"/>
    <w:rsid w:val="00CE0666"/>
    <w:rsid w:val="00CE06E9"/>
    <w:rsid w:val="00CE0779"/>
    <w:rsid w:val="00CE07B3"/>
    <w:rsid w:val="00CE0854"/>
    <w:rsid w:val="00CE08BC"/>
    <w:rsid w:val="00CE100A"/>
    <w:rsid w:val="00CE10CA"/>
    <w:rsid w:val="00CE1480"/>
    <w:rsid w:val="00CE149E"/>
    <w:rsid w:val="00CE14BC"/>
    <w:rsid w:val="00CE155C"/>
    <w:rsid w:val="00CE15DF"/>
    <w:rsid w:val="00CE15E3"/>
    <w:rsid w:val="00CE179A"/>
    <w:rsid w:val="00CE1A5A"/>
    <w:rsid w:val="00CE1B88"/>
    <w:rsid w:val="00CE1C2D"/>
    <w:rsid w:val="00CE1CA4"/>
    <w:rsid w:val="00CE1D7B"/>
    <w:rsid w:val="00CE1E8B"/>
    <w:rsid w:val="00CE2243"/>
    <w:rsid w:val="00CE2297"/>
    <w:rsid w:val="00CE2457"/>
    <w:rsid w:val="00CE24B5"/>
    <w:rsid w:val="00CE28E3"/>
    <w:rsid w:val="00CE2987"/>
    <w:rsid w:val="00CE2B5C"/>
    <w:rsid w:val="00CE2C3C"/>
    <w:rsid w:val="00CE2D0E"/>
    <w:rsid w:val="00CE2FCB"/>
    <w:rsid w:val="00CE3014"/>
    <w:rsid w:val="00CE309B"/>
    <w:rsid w:val="00CE318F"/>
    <w:rsid w:val="00CE336E"/>
    <w:rsid w:val="00CE33A3"/>
    <w:rsid w:val="00CE3588"/>
    <w:rsid w:val="00CE3823"/>
    <w:rsid w:val="00CE3913"/>
    <w:rsid w:val="00CE3941"/>
    <w:rsid w:val="00CE3993"/>
    <w:rsid w:val="00CE39BE"/>
    <w:rsid w:val="00CE3B10"/>
    <w:rsid w:val="00CE3B37"/>
    <w:rsid w:val="00CE3BA4"/>
    <w:rsid w:val="00CE3BFD"/>
    <w:rsid w:val="00CE3D48"/>
    <w:rsid w:val="00CE403F"/>
    <w:rsid w:val="00CE42C1"/>
    <w:rsid w:val="00CE42DF"/>
    <w:rsid w:val="00CE4482"/>
    <w:rsid w:val="00CE460F"/>
    <w:rsid w:val="00CE46F9"/>
    <w:rsid w:val="00CE4814"/>
    <w:rsid w:val="00CE49CC"/>
    <w:rsid w:val="00CE4B6E"/>
    <w:rsid w:val="00CE4C03"/>
    <w:rsid w:val="00CE4C4A"/>
    <w:rsid w:val="00CE4D07"/>
    <w:rsid w:val="00CE4E34"/>
    <w:rsid w:val="00CE4EBB"/>
    <w:rsid w:val="00CE4EF2"/>
    <w:rsid w:val="00CE4F4D"/>
    <w:rsid w:val="00CE53E5"/>
    <w:rsid w:val="00CE5573"/>
    <w:rsid w:val="00CE55E3"/>
    <w:rsid w:val="00CE5774"/>
    <w:rsid w:val="00CE587B"/>
    <w:rsid w:val="00CE5936"/>
    <w:rsid w:val="00CE5947"/>
    <w:rsid w:val="00CE5ABF"/>
    <w:rsid w:val="00CE5ADB"/>
    <w:rsid w:val="00CE5B84"/>
    <w:rsid w:val="00CE5C17"/>
    <w:rsid w:val="00CE5D9F"/>
    <w:rsid w:val="00CE5E08"/>
    <w:rsid w:val="00CE5ED9"/>
    <w:rsid w:val="00CE60D5"/>
    <w:rsid w:val="00CE614A"/>
    <w:rsid w:val="00CE6152"/>
    <w:rsid w:val="00CE627E"/>
    <w:rsid w:val="00CE6298"/>
    <w:rsid w:val="00CE6488"/>
    <w:rsid w:val="00CE64A8"/>
    <w:rsid w:val="00CE6596"/>
    <w:rsid w:val="00CE65D0"/>
    <w:rsid w:val="00CE66E7"/>
    <w:rsid w:val="00CE67D7"/>
    <w:rsid w:val="00CE6AD8"/>
    <w:rsid w:val="00CE6B78"/>
    <w:rsid w:val="00CE6D56"/>
    <w:rsid w:val="00CE6D78"/>
    <w:rsid w:val="00CE6D7C"/>
    <w:rsid w:val="00CE6F02"/>
    <w:rsid w:val="00CE6F2B"/>
    <w:rsid w:val="00CE7250"/>
    <w:rsid w:val="00CE74C0"/>
    <w:rsid w:val="00CE7685"/>
    <w:rsid w:val="00CE7727"/>
    <w:rsid w:val="00CE77D9"/>
    <w:rsid w:val="00CE7812"/>
    <w:rsid w:val="00CE78D8"/>
    <w:rsid w:val="00CE78F4"/>
    <w:rsid w:val="00CE7977"/>
    <w:rsid w:val="00CE799E"/>
    <w:rsid w:val="00CE7A22"/>
    <w:rsid w:val="00CE7AFC"/>
    <w:rsid w:val="00CE7B40"/>
    <w:rsid w:val="00CE7C2D"/>
    <w:rsid w:val="00CE7C97"/>
    <w:rsid w:val="00CE7FE5"/>
    <w:rsid w:val="00CF0019"/>
    <w:rsid w:val="00CF004B"/>
    <w:rsid w:val="00CF0060"/>
    <w:rsid w:val="00CF0062"/>
    <w:rsid w:val="00CF039D"/>
    <w:rsid w:val="00CF05C4"/>
    <w:rsid w:val="00CF072D"/>
    <w:rsid w:val="00CF074D"/>
    <w:rsid w:val="00CF0833"/>
    <w:rsid w:val="00CF083F"/>
    <w:rsid w:val="00CF0B47"/>
    <w:rsid w:val="00CF0C06"/>
    <w:rsid w:val="00CF0C0C"/>
    <w:rsid w:val="00CF0FEF"/>
    <w:rsid w:val="00CF10BB"/>
    <w:rsid w:val="00CF13F0"/>
    <w:rsid w:val="00CF141E"/>
    <w:rsid w:val="00CF156A"/>
    <w:rsid w:val="00CF15D4"/>
    <w:rsid w:val="00CF174C"/>
    <w:rsid w:val="00CF1A2D"/>
    <w:rsid w:val="00CF1AAC"/>
    <w:rsid w:val="00CF1B7E"/>
    <w:rsid w:val="00CF1BAD"/>
    <w:rsid w:val="00CF1BBF"/>
    <w:rsid w:val="00CF1C75"/>
    <w:rsid w:val="00CF1F88"/>
    <w:rsid w:val="00CF20B8"/>
    <w:rsid w:val="00CF20FE"/>
    <w:rsid w:val="00CF2118"/>
    <w:rsid w:val="00CF21D5"/>
    <w:rsid w:val="00CF21DD"/>
    <w:rsid w:val="00CF220A"/>
    <w:rsid w:val="00CF22F4"/>
    <w:rsid w:val="00CF2787"/>
    <w:rsid w:val="00CF286F"/>
    <w:rsid w:val="00CF2913"/>
    <w:rsid w:val="00CF29EB"/>
    <w:rsid w:val="00CF2A19"/>
    <w:rsid w:val="00CF2DC2"/>
    <w:rsid w:val="00CF2DDC"/>
    <w:rsid w:val="00CF2FAD"/>
    <w:rsid w:val="00CF31F0"/>
    <w:rsid w:val="00CF3402"/>
    <w:rsid w:val="00CF36FD"/>
    <w:rsid w:val="00CF382D"/>
    <w:rsid w:val="00CF384A"/>
    <w:rsid w:val="00CF387F"/>
    <w:rsid w:val="00CF3BD8"/>
    <w:rsid w:val="00CF3C39"/>
    <w:rsid w:val="00CF406E"/>
    <w:rsid w:val="00CF439F"/>
    <w:rsid w:val="00CF4460"/>
    <w:rsid w:val="00CF4520"/>
    <w:rsid w:val="00CF456E"/>
    <w:rsid w:val="00CF4585"/>
    <w:rsid w:val="00CF466F"/>
    <w:rsid w:val="00CF4778"/>
    <w:rsid w:val="00CF490A"/>
    <w:rsid w:val="00CF496F"/>
    <w:rsid w:val="00CF4BCD"/>
    <w:rsid w:val="00CF4BEA"/>
    <w:rsid w:val="00CF4BFF"/>
    <w:rsid w:val="00CF4C0F"/>
    <w:rsid w:val="00CF4E67"/>
    <w:rsid w:val="00CF4F55"/>
    <w:rsid w:val="00CF514C"/>
    <w:rsid w:val="00CF536D"/>
    <w:rsid w:val="00CF53C7"/>
    <w:rsid w:val="00CF53E2"/>
    <w:rsid w:val="00CF5826"/>
    <w:rsid w:val="00CF5944"/>
    <w:rsid w:val="00CF59D6"/>
    <w:rsid w:val="00CF5BC1"/>
    <w:rsid w:val="00CF5D3C"/>
    <w:rsid w:val="00CF5E54"/>
    <w:rsid w:val="00CF5F7A"/>
    <w:rsid w:val="00CF5FE7"/>
    <w:rsid w:val="00CF6032"/>
    <w:rsid w:val="00CF6083"/>
    <w:rsid w:val="00CF619E"/>
    <w:rsid w:val="00CF6218"/>
    <w:rsid w:val="00CF634D"/>
    <w:rsid w:val="00CF64E7"/>
    <w:rsid w:val="00CF6586"/>
    <w:rsid w:val="00CF69C3"/>
    <w:rsid w:val="00CF6AA0"/>
    <w:rsid w:val="00CF6C68"/>
    <w:rsid w:val="00CF6D45"/>
    <w:rsid w:val="00CF6D7D"/>
    <w:rsid w:val="00CF6E7F"/>
    <w:rsid w:val="00CF6FE6"/>
    <w:rsid w:val="00CF7120"/>
    <w:rsid w:val="00CF7184"/>
    <w:rsid w:val="00CF724C"/>
    <w:rsid w:val="00CF735C"/>
    <w:rsid w:val="00CF76A9"/>
    <w:rsid w:val="00CF7754"/>
    <w:rsid w:val="00CF7B12"/>
    <w:rsid w:val="00CF7BDE"/>
    <w:rsid w:val="00CF7DE0"/>
    <w:rsid w:val="00CF7E04"/>
    <w:rsid w:val="00CF7EC4"/>
    <w:rsid w:val="00CF7F2B"/>
    <w:rsid w:val="00CF7FBA"/>
    <w:rsid w:val="00D00083"/>
    <w:rsid w:val="00D000AF"/>
    <w:rsid w:val="00D001B4"/>
    <w:rsid w:val="00D001F9"/>
    <w:rsid w:val="00D003B7"/>
    <w:rsid w:val="00D003C2"/>
    <w:rsid w:val="00D004CC"/>
    <w:rsid w:val="00D0067F"/>
    <w:rsid w:val="00D007E1"/>
    <w:rsid w:val="00D0095D"/>
    <w:rsid w:val="00D00B41"/>
    <w:rsid w:val="00D00B77"/>
    <w:rsid w:val="00D00BC9"/>
    <w:rsid w:val="00D00C0E"/>
    <w:rsid w:val="00D00E36"/>
    <w:rsid w:val="00D00E37"/>
    <w:rsid w:val="00D00F45"/>
    <w:rsid w:val="00D010E8"/>
    <w:rsid w:val="00D012A7"/>
    <w:rsid w:val="00D0159A"/>
    <w:rsid w:val="00D01700"/>
    <w:rsid w:val="00D01742"/>
    <w:rsid w:val="00D018BB"/>
    <w:rsid w:val="00D01931"/>
    <w:rsid w:val="00D01B55"/>
    <w:rsid w:val="00D01B7E"/>
    <w:rsid w:val="00D01C51"/>
    <w:rsid w:val="00D01C7A"/>
    <w:rsid w:val="00D01CFA"/>
    <w:rsid w:val="00D01DD0"/>
    <w:rsid w:val="00D01F72"/>
    <w:rsid w:val="00D0206C"/>
    <w:rsid w:val="00D020B8"/>
    <w:rsid w:val="00D020E8"/>
    <w:rsid w:val="00D02250"/>
    <w:rsid w:val="00D023AB"/>
    <w:rsid w:val="00D025B2"/>
    <w:rsid w:val="00D02626"/>
    <w:rsid w:val="00D02721"/>
    <w:rsid w:val="00D02860"/>
    <w:rsid w:val="00D02A40"/>
    <w:rsid w:val="00D02BB9"/>
    <w:rsid w:val="00D02BC6"/>
    <w:rsid w:val="00D02C94"/>
    <w:rsid w:val="00D02EBF"/>
    <w:rsid w:val="00D02F4F"/>
    <w:rsid w:val="00D02FB1"/>
    <w:rsid w:val="00D030CE"/>
    <w:rsid w:val="00D030FD"/>
    <w:rsid w:val="00D032E6"/>
    <w:rsid w:val="00D033FC"/>
    <w:rsid w:val="00D0343A"/>
    <w:rsid w:val="00D034C3"/>
    <w:rsid w:val="00D03561"/>
    <w:rsid w:val="00D035D8"/>
    <w:rsid w:val="00D03675"/>
    <w:rsid w:val="00D0370D"/>
    <w:rsid w:val="00D0379A"/>
    <w:rsid w:val="00D0386D"/>
    <w:rsid w:val="00D038C5"/>
    <w:rsid w:val="00D03A24"/>
    <w:rsid w:val="00D03BEC"/>
    <w:rsid w:val="00D03EEE"/>
    <w:rsid w:val="00D03F80"/>
    <w:rsid w:val="00D0404D"/>
    <w:rsid w:val="00D041AF"/>
    <w:rsid w:val="00D045AD"/>
    <w:rsid w:val="00D04744"/>
    <w:rsid w:val="00D04772"/>
    <w:rsid w:val="00D047B0"/>
    <w:rsid w:val="00D04848"/>
    <w:rsid w:val="00D04993"/>
    <w:rsid w:val="00D04CB3"/>
    <w:rsid w:val="00D04E51"/>
    <w:rsid w:val="00D04F77"/>
    <w:rsid w:val="00D04FBB"/>
    <w:rsid w:val="00D0505F"/>
    <w:rsid w:val="00D050D4"/>
    <w:rsid w:val="00D05280"/>
    <w:rsid w:val="00D05372"/>
    <w:rsid w:val="00D05441"/>
    <w:rsid w:val="00D05551"/>
    <w:rsid w:val="00D0558C"/>
    <w:rsid w:val="00D05745"/>
    <w:rsid w:val="00D0593E"/>
    <w:rsid w:val="00D05943"/>
    <w:rsid w:val="00D0595A"/>
    <w:rsid w:val="00D05B51"/>
    <w:rsid w:val="00D05D82"/>
    <w:rsid w:val="00D05DF1"/>
    <w:rsid w:val="00D05E12"/>
    <w:rsid w:val="00D05E15"/>
    <w:rsid w:val="00D05ECF"/>
    <w:rsid w:val="00D05FF3"/>
    <w:rsid w:val="00D061A4"/>
    <w:rsid w:val="00D061D6"/>
    <w:rsid w:val="00D06381"/>
    <w:rsid w:val="00D06600"/>
    <w:rsid w:val="00D06652"/>
    <w:rsid w:val="00D06783"/>
    <w:rsid w:val="00D06919"/>
    <w:rsid w:val="00D069BF"/>
    <w:rsid w:val="00D06B3A"/>
    <w:rsid w:val="00D06CD4"/>
    <w:rsid w:val="00D06CE3"/>
    <w:rsid w:val="00D06EA7"/>
    <w:rsid w:val="00D06EDB"/>
    <w:rsid w:val="00D0707A"/>
    <w:rsid w:val="00D070CE"/>
    <w:rsid w:val="00D07267"/>
    <w:rsid w:val="00D0740F"/>
    <w:rsid w:val="00D0753D"/>
    <w:rsid w:val="00D075AB"/>
    <w:rsid w:val="00D0765E"/>
    <w:rsid w:val="00D07705"/>
    <w:rsid w:val="00D078A6"/>
    <w:rsid w:val="00D07942"/>
    <w:rsid w:val="00D0796D"/>
    <w:rsid w:val="00D07BEB"/>
    <w:rsid w:val="00D07E18"/>
    <w:rsid w:val="00D07F4F"/>
    <w:rsid w:val="00D1005B"/>
    <w:rsid w:val="00D100A9"/>
    <w:rsid w:val="00D100E5"/>
    <w:rsid w:val="00D10127"/>
    <w:rsid w:val="00D10164"/>
    <w:rsid w:val="00D101D3"/>
    <w:rsid w:val="00D1027E"/>
    <w:rsid w:val="00D10282"/>
    <w:rsid w:val="00D104DE"/>
    <w:rsid w:val="00D10580"/>
    <w:rsid w:val="00D10739"/>
    <w:rsid w:val="00D10ADB"/>
    <w:rsid w:val="00D10BE4"/>
    <w:rsid w:val="00D10C5D"/>
    <w:rsid w:val="00D10D87"/>
    <w:rsid w:val="00D10DC0"/>
    <w:rsid w:val="00D10EE9"/>
    <w:rsid w:val="00D10F50"/>
    <w:rsid w:val="00D1105F"/>
    <w:rsid w:val="00D11134"/>
    <w:rsid w:val="00D111F5"/>
    <w:rsid w:val="00D111F6"/>
    <w:rsid w:val="00D114F3"/>
    <w:rsid w:val="00D1152A"/>
    <w:rsid w:val="00D1172F"/>
    <w:rsid w:val="00D1184D"/>
    <w:rsid w:val="00D11940"/>
    <w:rsid w:val="00D1199E"/>
    <w:rsid w:val="00D11F15"/>
    <w:rsid w:val="00D11FCC"/>
    <w:rsid w:val="00D12073"/>
    <w:rsid w:val="00D120B9"/>
    <w:rsid w:val="00D12182"/>
    <w:rsid w:val="00D122DC"/>
    <w:rsid w:val="00D12386"/>
    <w:rsid w:val="00D1258D"/>
    <w:rsid w:val="00D1279A"/>
    <w:rsid w:val="00D128F6"/>
    <w:rsid w:val="00D12931"/>
    <w:rsid w:val="00D12950"/>
    <w:rsid w:val="00D129A0"/>
    <w:rsid w:val="00D129E8"/>
    <w:rsid w:val="00D12A9B"/>
    <w:rsid w:val="00D12AB3"/>
    <w:rsid w:val="00D12BE7"/>
    <w:rsid w:val="00D12FB9"/>
    <w:rsid w:val="00D136AA"/>
    <w:rsid w:val="00D1372B"/>
    <w:rsid w:val="00D137B9"/>
    <w:rsid w:val="00D13829"/>
    <w:rsid w:val="00D13865"/>
    <w:rsid w:val="00D13A54"/>
    <w:rsid w:val="00D13AA8"/>
    <w:rsid w:val="00D13CE0"/>
    <w:rsid w:val="00D13ECD"/>
    <w:rsid w:val="00D13EEE"/>
    <w:rsid w:val="00D13F2F"/>
    <w:rsid w:val="00D1405C"/>
    <w:rsid w:val="00D14199"/>
    <w:rsid w:val="00D1425E"/>
    <w:rsid w:val="00D1436C"/>
    <w:rsid w:val="00D144C6"/>
    <w:rsid w:val="00D145D3"/>
    <w:rsid w:val="00D14649"/>
    <w:rsid w:val="00D14670"/>
    <w:rsid w:val="00D146F1"/>
    <w:rsid w:val="00D148E5"/>
    <w:rsid w:val="00D149B2"/>
    <w:rsid w:val="00D14A18"/>
    <w:rsid w:val="00D14A59"/>
    <w:rsid w:val="00D14ACC"/>
    <w:rsid w:val="00D14C43"/>
    <w:rsid w:val="00D14D2B"/>
    <w:rsid w:val="00D14E59"/>
    <w:rsid w:val="00D14F33"/>
    <w:rsid w:val="00D14F4A"/>
    <w:rsid w:val="00D15012"/>
    <w:rsid w:val="00D150A6"/>
    <w:rsid w:val="00D1534F"/>
    <w:rsid w:val="00D15559"/>
    <w:rsid w:val="00D1561F"/>
    <w:rsid w:val="00D15788"/>
    <w:rsid w:val="00D15805"/>
    <w:rsid w:val="00D15B36"/>
    <w:rsid w:val="00D15B88"/>
    <w:rsid w:val="00D15C6E"/>
    <w:rsid w:val="00D15CA8"/>
    <w:rsid w:val="00D15D76"/>
    <w:rsid w:val="00D15DD9"/>
    <w:rsid w:val="00D16056"/>
    <w:rsid w:val="00D16184"/>
    <w:rsid w:val="00D162DC"/>
    <w:rsid w:val="00D163C0"/>
    <w:rsid w:val="00D16495"/>
    <w:rsid w:val="00D169E6"/>
    <w:rsid w:val="00D169E7"/>
    <w:rsid w:val="00D16AC5"/>
    <w:rsid w:val="00D16AD7"/>
    <w:rsid w:val="00D16ADF"/>
    <w:rsid w:val="00D16C2E"/>
    <w:rsid w:val="00D16C7D"/>
    <w:rsid w:val="00D16DD1"/>
    <w:rsid w:val="00D16F87"/>
    <w:rsid w:val="00D16FB7"/>
    <w:rsid w:val="00D17419"/>
    <w:rsid w:val="00D175D2"/>
    <w:rsid w:val="00D175F0"/>
    <w:rsid w:val="00D17647"/>
    <w:rsid w:val="00D17690"/>
    <w:rsid w:val="00D176D4"/>
    <w:rsid w:val="00D17705"/>
    <w:rsid w:val="00D1774D"/>
    <w:rsid w:val="00D1778F"/>
    <w:rsid w:val="00D17967"/>
    <w:rsid w:val="00D17A11"/>
    <w:rsid w:val="00D17B70"/>
    <w:rsid w:val="00D17E05"/>
    <w:rsid w:val="00D17E0F"/>
    <w:rsid w:val="00D17EA8"/>
    <w:rsid w:val="00D20031"/>
    <w:rsid w:val="00D200D0"/>
    <w:rsid w:val="00D20187"/>
    <w:rsid w:val="00D20237"/>
    <w:rsid w:val="00D20486"/>
    <w:rsid w:val="00D204D9"/>
    <w:rsid w:val="00D205E1"/>
    <w:rsid w:val="00D2075D"/>
    <w:rsid w:val="00D207B6"/>
    <w:rsid w:val="00D207BE"/>
    <w:rsid w:val="00D2080F"/>
    <w:rsid w:val="00D208F8"/>
    <w:rsid w:val="00D2096C"/>
    <w:rsid w:val="00D20C95"/>
    <w:rsid w:val="00D20E71"/>
    <w:rsid w:val="00D20EE4"/>
    <w:rsid w:val="00D21108"/>
    <w:rsid w:val="00D21187"/>
    <w:rsid w:val="00D215E1"/>
    <w:rsid w:val="00D218A0"/>
    <w:rsid w:val="00D219FC"/>
    <w:rsid w:val="00D21BB1"/>
    <w:rsid w:val="00D21CC0"/>
    <w:rsid w:val="00D21CEC"/>
    <w:rsid w:val="00D21D48"/>
    <w:rsid w:val="00D21E54"/>
    <w:rsid w:val="00D21E6A"/>
    <w:rsid w:val="00D21F93"/>
    <w:rsid w:val="00D2207C"/>
    <w:rsid w:val="00D22108"/>
    <w:rsid w:val="00D221D1"/>
    <w:rsid w:val="00D221F4"/>
    <w:rsid w:val="00D2228F"/>
    <w:rsid w:val="00D22470"/>
    <w:rsid w:val="00D224D9"/>
    <w:rsid w:val="00D225CD"/>
    <w:rsid w:val="00D226EA"/>
    <w:rsid w:val="00D22927"/>
    <w:rsid w:val="00D22BE2"/>
    <w:rsid w:val="00D22E6C"/>
    <w:rsid w:val="00D22E74"/>
    <w:rsid w:val="00D22EDC"/>
    <w:rsid w:val="00D23226"/>
    <w:rsid w:val="00D234FF"/>
    <w:rsid w:val="00D23563"/>
    <w:rsid w:val="00D23583"/>
    <w:rsid w:val="00D23AAA"/>
    <w:rsid w:val="00D23B3E"/>
    <w:rsid w:val="00D23B92"/>
    <w:rsid w:val="00D23B9B"/>
    <w:rsid w:val="00D23CA7"/>
    <w:rsid w:val="00D23E17"/>
    <w:rsid w:val="00D23EB9"/>
    <w:rsid w:val="00D2418E"/>
    <w:rsid w:val="00D241B8"/>
    <w:rsid w:val="00D24231"/>
    <w:rsid w:val="00D242AB"/>
    <w:rsid w:val="00D24C13"/>
    <w:rsid w:val="00D24C26"/>
    <w:rsid w:val="00D24D32"/>
    <w:rsid w:val="00D24DD3"/>
    <w:rsid w:val="00D24E3A"/>
    <w:rsid w:val="00D24EFA"/>
    <w:rsid w:val="00D2524E"/>
    <w:rsid w:val="00D2551E"/>
    <w:rsid w:val="00D255B3"/>
    <w:rsid w:val="00D2560D"/>
    <w:rsid w:val="00D258F7"/>
    <w:rsid w:val="00D2592E"/>
    <w:rsid w:val="00D25942"/>
    <w:rsid w:val="00D259AE"/>
    <w:rsid w:val="00D25A83"/>
    <w:rsid w:val="00D25DDC"/>
    <w:rsid w:val="00D25E38"/>
    <w:rsid w:val="00D26035"/>
    <w:rsid w:val="00D26245"/>
    <w:rsid w:val="00D2630B"/>
    <w:rsid w:val="00D264CC"/>
    <w:rsid w:val="00D26652"/>
    <w:rsid w:val="00D2668C"/>
    <w:rsid w:val="00D267B2"/>
    <w:rsid w:val="00D2681C"/>
    <w:rsid w:val="00D26A6C"/>
    <w:rsid w:val="00D26AB9"/>
    <w:rsid w:val="00D26AEF"/>
    <w:rsid w:val="00D26B1F"/>
    <w:rsid w:val="00D26B99"/>
    <w:rsid w:val="00D26DCF"/>
    <w:rsid w:val="00D26F91"/>
    <w:rsid w:val="00D27009"/>
    <w:rsid w:val="00D272A8"/>
    <w:rsid w:val="00D27CB5"/>
    <w:rsid w:val="00D27CE7"/>
    <w:rsid w:val="00D27D42"/>
    <w:rsid w:val="00D27DA9"/>
    <w:rsid w:val="00D27EFF"/>
    <w:rsid w:val="00D302D3"/>
    <w:rsid w:val="00D30448"/>
    <w:rsid w:val="00D30475"/>
    <w:rsid w:val="00D30811"/>
    <w:rsid w:val="00D3087F"/>
    <w:rsid w:val="00D3090B"/>
    <w:rsid w:val="00D30990"/>
    <w:rsid w:val="00D30AA8"/>
    <w:rsid w:val="00D30BA0"/>
    <w:rsid w:val="00D30C1A"/>
    <w:rsid w:val="00D30E40"/>
    <w:rsid w:val="00D30E6B"/>
    <w:rsid w:val="00D31056"/>
    <w:rsid w:val="00D3109D"/>
    <w:rsid w:val="00D311C7"/>
    <w:rsid w:val="00D31225"/>
    <w:rsid w:val="00D31300"/>
    <w:rsid w:val="00D313B3"/>
    <w:rsid w:val="00D31412"/>
    <w:rsid w:val="00D31690"/>
    <w:rsid w:val="00D3178C"/>
    <w:rsid w:val="00D3185A"/>
    <w:rsid w:val="00D318A2"/>
    <w:rsid w:val="00D31906"/>
    <w:rsid w:val="00D31C16"/>
    <w:rsid w:val="00D31F75"/>
    <w:rsid w:val="00D31F96"/>
    <w:rsid w:val="00D3206B"/>
    <w:rsid w:val="00D3207F"/>
    <w:rsid w:val="00D320DF"/>
    <w:rsid w:val="00D32201"/>
    <w:rsid w:val="00D3225B"/>
    <w:rsid w:val="00D322D4"/>
    <w:rsid w:val="00D3235A"/>
    <w:rsid w:val="00D323E8"/>
    <w:rsid w:val="00D32414"/>
    <w:rsid w:val="00D3242B"/>
    <w:rsid w:val="00D3242C"/>
    <w:rsid w:val="00D32469"/>
    <w:rsid w:val="00D326F1"/>
    <w:rsid w:val="00D32916"/>
    <w:rsid w:val="00D3292B"/>
    <w:rsid w:val="00D32974"/>
    <w:rsid w:val="00D32A23"/>
    <w:rsid w:val="00D32B34"/>
    <w:rsid w:val="00D32B5F"/>
    <w:rsid w:val="00D32CAF"/>
    <w:rsid w:val="00D32D0B"/>
    <w:rsid w:val="00D32FD6"/>
    <w:rsid w:val="00D33082"/>
    <w:rsid w:val="00D330EE"/>
    <w:rsid w:val="00D3312A"/>
    <w:rsid w:val="00D33257"/>
    <w:rsid w:val="00D33317"/>
    <w:rsid w:val="00D338B3"/>
    <w:rsid w:val="00D33C30"/>
    <w:rsid w:val="00D33DC3"/>
    <w:rsid w:val="00D33DFA"/>
    <w:rsid w:val="00D33F02"/>
    <w:rsid w:val="00D34042"/>
    <w:rsid w:val="00D342B4"/>
    <w:rsid w:val="00D343C4"/>
    <w:rsid w:val="00D3446E"/>
    <w:rsid w:val="00D34523"/>
    <w:rsid w:val="00D3460A"/>
    <w:rsid w:val="00D3483E"/>
    <w:rsid w:val="00D3496F"/>
    <w:rsid w:val="00D34B04"/>
    <w:rsid w:val="00D34C30"/>
    <w:rsid w:val="00D34DB2"/>
    <w:rsid w:val="00D34DE9"/>
    <w:rsid w:val="00D34E1C"/>
    <w:rsid w:val="00D35345"/>
    <w:rsid w:val="00D355DC"/>
    <w:rsid w:val="00D358C2"/>
    <w:rsid w:val="00D358D3"/>
    <w:rsid w:val="00D358F7"/>
    <w:rsid w:val="00D3592C"/>
    <w:rsid w:val="00D359BD"/>
    <w:rsid w:val="00D35A35"/>
    <w:rsid w:val="00D35AD5"/>
    <w:rsid w:val="00D35BA9"/>
    <w:rsid w:val="00D35BC0"/>
    <w:rsid w:val="00D35C8F"/>
    <w:rsid w:val="00D36021"/>
    <w:rsid w:val="00D36088"/>
    <w:rsid w:val="00D360F3"/>
    <w:rsid w:val="00D3636F"/>
    <w:rsid w:val="00D36376"/>
    <w:rsid w:val="00D363A2"/>
    <w:rsid w:val="00D36435"/>
    <w:rsid w:val="00D365CD"/>
    <w:rsid w:val="00D3687F"/>
    <w:rsid w:val="00D36A35"/>
    <w:rsid w:val="00D36CD8"/>
    <w:rsid w:val="00D36CFF"/>
    <w:rsid w:val="00D36D05"/>
    <w:rsid w:val="00D36D11"/>
    <w:rsid w:val="00D36E33"/>
    <w:rsid w:val="00D36E67"/>
    <w:rsid w:val="00D36EB7"/>
    <w:rsid w:val="00D36EC4"/>
    <w:rsid w:val="00D36EEE"/>
    <w:rsid w:val="00D36F48"/>
    <w:rsid w:val="00D37103"/>
    <w:rsid w:val="00D3716A"/>
    <w:rsid w:val="00D371BA"/>
    <w:rsid w:val="00D37263"/>
    <w:rsid w:val="00D3727A"/>
    <w:rsid w:val="00D373DC"/>
    <w:rsid w:val="00D375E2"/>
    <w:rsid w:val="00D3770D"/>
    <w:rsid w:val="00D37911"/>
    <w:rsid w:val="00D37951"/>
    <w:rsid w:val="00D37979"/>
    <w:rsid w:val="00D37B1F"/>
    <w:rsid w:val="00D37BB7"/>
    <w:rsid w:val="00D37BCD"/>
    <w:rsid w:val="00D37EE0"/>
    <w:rsid w:val="00D37EF5"/>
    <w:rsid w:val="00D37F01"/>
    <w:rsid w:val="00D37F55"/>
    <w:rsid w:val="00D40187"/>
    <w:rsid w:val="00D4085E"/>
    <w:rsid w:val="00D40BC5"/>
    <w:rsid w:val="00D40D61"/>
    <w:rsid w:val="00D40E82"/>
    <w:rsid w:val="00D40F2B"/>
    <w:rsid w:val="00D40F76"/>
    <w:rsid w:val="00D410EF"/>
    <w:rsid w:val="00D41190"/>
    <w:rsid w:val="00D411EF"/>
    <w:rsid w:val="00D412DA"/>
    <w:rsid w:val="00D41617"/>
    <w:rsid w:val="00D41673"/>
    <w:rsid w:val="00D419C9"/>
    <w:rsid w:val="00D41A14"/>
    <w:rsid w:val="00D41C2C"/>
    <w:rsid w:val="00D41D3C"/>
    <w:rsid w:val="00D41E01"/>
    <w:rsid w:val="00D423C7"/>
    <w:rsid w:val="00D424D9"/>
    <w:rsid w:val="00D4250E"/>
    <w:rsid w:val="00D42549"/>
    <w:rsid w:val="00D42614"/>
    <w:rsid w:val="00D426D7"/>
    <w:rsid w:val="00D42844"/>
    <w:rsid w:val="00D428B9"/>
    <w:rsid w:val="00D428C5"/>
    <w:rsid w:val="00D42936"/>
    <w:rsid w:val="00D42950"/>
    <w:rsid w:val="00D42CC4"/>
    <w:rsid w:val="00D42EBB"/>
    <w:rsid w:val="00D42EF8"/>
    <w:rsid w:val="00D42F28"/>
    <w:rsid w:val="00D42F82"/>
    <w:rsid w:val="00D43015"/>
    <w:rsid w:val="00D4307C"/>
    <w:rsid w:val="00D43238"/>
    <w:rsid w:val="00D43246"/>
    <w:rsid w:val="00D433AA"/>
    <w:rsid w:val="00D435A7"/>
    <w:rsid w:val="00D435CE"/>
    <w:rsid w:val="00D43876"/>
    <w:rsid w:val="00D43944"/>
    <w:rsid w:val="00D4397E"/>
    <w:rsid w:val="00D43C85"/>
    <w:rsid w:val="00D43CEC"/>
    <w:rsid w:val="00D43D06"/>
    <w:rsid w:val="00D43DF5"/>
    <w:rsid w:val="00D43EFA"/>
    <w:rsid w:val="00D43F00"/>
    <w:rsid w:val="00D44058"/>
    <w:rsid w:val="00D440BC"/>
    <w:rsid w:val="00D4421D"/>
    <w:rsid w:val="00D44306"/>
    <w:rsid w:val="00D443C2"/>
    <w:rsid w:val="00D44454"/>
    <w:rsid w:val="00D446EB"/>
    <w:rsid w:val="00D446FD"/>
    <w:rsid w:val="00D44823"/>
    <w:rsid w:val="00D449C4"/>
    <w:rsid w:val="00D44AAD"/>
    <w:rsid w:val="00D44C8F"/>
    <w:rsid w:val="00D44D7B"/>
    <w:rsid w:val="00D44EF8"/>
    <w:rsid w:val="00D4500B"/>
    <w:rsid w:val="00D45060"/>
    <w:rsid w:val="00D45318"/>
    <w:rsid w:val="00D45334"/>
    <w:rsid w:val="00D45359"/>
    <w:rsid w:val="00D4551F"/>
    <w:rsid w:val="00D45670"/>
    <w:rsid w:val="00D45750"/>
    <w:rsid w:val="00D457EA"/>
    <w:rsid w:val="00D45835"/>
    <w:rsid w:val="00D458A4"/>
    <w:rsid w:val="00D458D8"/>
    <w:rsid w:val="00D45B06"/>
    <w:rsid w:val="00D45BB2"/>
    <w:rsid w:val="00D45BCB"/>
    <w:rsid w:val="00D45C42"/>
    <w:rsid w:val="00D45DDD"/>
    <w:rsid w:val="00D45F13"/>
    <w:rsid w:val="00D4601D"/>
    <w:rsid w:val="00D460FA"/>
    <w:rsid w:val="00D4610F"/>
    <w:rsid w:val="00D461E4"/>
    <w:rsid w:val="00D46219"/>
    <w:rsid w:val="00D46539"/>
    <w:rsid w:val="00D46603"/>
    <w:rsid w:val="00D4661E"/>
    <w:rsid w:val="00D4666C"/>
    <w:rsid w:val="00D4685F"/>
    <w:rsid w:val="00D468DF"/>
    <w:rsid w:val="00D46C6F"/>
    <w:rsid w:val="00D46D23"/>
    <w:rsid w:val="00D46E66"/>
    <w:rsid w:val="00D46F2B"/>
    <w:rsid w:val="00D47009"/>
    <w:rsid w:val="00D47279"/>
    <w:rsid w:val="00D472F0"/>
    <w:rsid w:val="00D473F6"/>
    <w:rsid w:val="00D476F1"/>
    <w:rsid w:val="00D47849"/>
    <w:rsid w:val="00D4786C"/>
    <w:rsid w:val="00D47A7A"/>
    <w:rsid w:val="00D47CFD"/>
    <w:rsid w:val="00D47EC1"/>
    <w:rsid w:val="00D47F78"/>
    <w:rsid w:val="00D47FCF"/>
    <w:rsid w:val="00D50092"/>
    <w:rsid w:val="00D500A7"/>
    <w:rsid w:val="00D5014C"/>
    <w:rsid w:val="00D50192"/>
    <w:rsid w:val="00D50240"/>
    <w:rsid w:val="00D502A2"/>
    <w:rsid w:val="00D50487"/>
    <w:rsid w:val="00D50591"/>
    <w:rsid w:val="00D505A4"/>
    <w:rsid w:val="00D50644"/>
    <w:rsid w:val="00D50689"/>
    <w:rsid w:val="00D50834"/>
    <w:rsid w:val="00D50909"/>
    <w:rsid w:val="00D5091F"/>
    <w:rsid w:val="00D509B6"/>
    <w:rsid w:val="00D50CE4"/>
    <w:rsid w:val="00D50F37"/>
    <w:rsid w:val="00D50F7E"/>
    <w:rsid w:val="00D50FB1"/>
    <w:rsid w:val="00D51062"/>
    <w:rsid w:val="00D5110C"/>
    <w:rsid w:val="00D51173"/>
    <w:rsid w:val="00D511C9"/>
    <w:rsid w:val="00D511D8"/>
    <w:rsid w:val="00D512D4"/>
    <w:rsid w:val="00D5137D"/>
    <w:rsid w:val="00D5149E"/>
    <w:rsid w:val="00D514EC"/>
    <w:rsid w:val="00D51514"/>
    <w:rsid w:val="00D517BA"/>
    <w:rsid w:val="00D517E5"/>
    <w:rsid w:val="00D51803"/>
    <w:rsid w:val="00D51946"/>
    <w:rsid w:val="00D519B3"/>
    <w:rsid w:val="00D51A8C"/>
    <w:rsid w:val="00D51ECD"/>
    <w:rsid w:val="00D51ED2"/>
    <w:rsid w:val="00D51F36"/>
    <w:rsid w:val="00D521D4"/>
    <w:rsid w:val="00D521DF"/>
    <w:rsid w:val="00D524FE"/>
    <w:rsid w:val="00D5256B"/>
    <w:rsid w:val="00D52653"/>
    <w:rsid w:val="00D52686"/>
    <w:rsid w:val="00D527CC"/>
    <w:rsid w:val="00D5286F"/>
    <w:rsid w:val="00D52969"/>
    <w:rsid w:val="00D52A40"/>
    <w:rsid w:val="00D52CF8"/>
    <w:rsid w:val="00D52E54"/>
    <w:rsid w:val="00D52E5A"/>
    <w:rsid w:val="00D52FF5"/>
    <w:rsid w:val="00D53005"/>
    <w:rsid w:val="00D530B7"/>
    <w:rsid w:val="00D53275"/>
    <w:rsid w:val="00D532C5"/>
    <w:rsid w:val="00D53383"/>
    <w:rsid w:val="00D53477"/>
    <w:rsid w:val="00D536E6"/>
    <w:rsid w:val="00D53759"/>
    <w:rsid w:val="00D5386C"/>
    <w:rsid w:val="00D538A2"/>
    <w:rsid w:val="00D53A29"/>
    <w:rsid w:val="00D53AC4"/>
    <w:rsid w:val="00D53B8D"/>
    <w:rsid w:val="00D53BF8"/>
    <w:rsid w:val="00D53DE8"/>
    <w:rsid w:val="00D53E70"/>
    <w:rsid w:val="00D53EE8"/>
    <w:rsid w:val="00D53F64"/>
    <w:rsid w:val="00D53F68"/>
    <w:rsid w:val="00D53FA9"/>
    <w:rsid w:val="00D54081"/>
    <w:rsid w:val="00D540B9"/>
    <w:rsid w:val="00D54132"/>
    <w:rsid w:val="00D54192"/>
    <w:rsid w:val="00D5424B"/>
    <w:rsid w:val="00D542E4"/>
    <w:rsid w:val="00D54306"/>
    <w:rsid w:val="00D543C6"/>
    <w:rsid w:val="00D5458F"/>
    <w:rsid w:val="00D54639"/>
    <w:rsid w:val="00D54771"/>
    <w:rsid w:val="00D54839"/>
    <w:rsid w:val="00D54847"/>
    <w:rsid w:val="00D54929"/>
    <w:rsid w:val="00D54A9A"/>
    <w:rsid w:val="00D54B2E"/>
    <w:rsid w:val="00D54D59"/>
    <w:rsid w:val="00D54D7E"/>
    <w:rsid w:val="00D54DB0"/>
    <w:rsid w:val="00D54E7A"/>
    <w:rsid w:val="00D54E9F"/>
    <w:rsid w:val="00D54F1B"/>
    <w:rsid w:val="00D54F79"/>
    <w:rsid w:val="00D54FCD"/>
    <w:rsid w:val="00D54FF0"/>
    <w:rsid w:val="00D5523B"/>
    <w:rsid w:val="00D5537F"/>
    <w:rsid w:val="00D5541E"/>
    <w:rsid w:val="00D554B3"/>
    <w:rsid w:val="00D55632"/>
    <w:rsid w:val="00D556D9"/>
    <w:rsid w:val="00D55A86"/>
    <w:rsid w:val="00D55C06"/>
    <w:rsid w:val="00D55CA9"/>
    <w:rsid w:val="00D55F7C"/>
    <w:rsid w:val="00D56050"/>
    <w:rsid w:val="00D5605E"/>
    <w:rsid w:val="00D56086"/>
    <w:rsid w:val="00D560EE"/>
    <w:rsid w:val="00D561CD"/>
    <w:rsid w:val="00D56370"/>
    <w:rsid w:val="00D563A3"/>
    <w:rsid w:val="00D563B2"/>
    <w:rsid w:val="00D56437"/>
    <w:rsid w:val="00D56446"/>
    <w:rsid w:val="00D564E4"/>
    <w:rsid w:val="00D564EB"/>
    <w:rsid w:val="00D5653D"/>
    <w:rsid w:val="00D5674E"/>
    <w:rsid w:val="00D5683C"/>
    <w:rsid w:val="00D56A60"/>
    <w:rsid w:val="00D56A85"/>
    <w:rsid w:val="00D56B0A"/>
    <w:rsid w:val="00D56D54"/>
    <w:rsid w:val="00D56D66"/>
    <w:rsid w:val="00D56DFA"/>
    <w:rsid w:val="00D56E12"/>
    <w:rsid w:val="00D56EE4"/>
    <w:rsid w:val="00D57043"/>
    <w:rsid w:val="00D574E3"/>
    <w:rsid w:val="00D574EF"/>
    <w:rsid w:val="00D577C5"/>
    <w:rsid w:val="00D577E1"/>
    <w:rsid w:val="00D57864"/>
    <w:rsid w:val="00D579C1"/>
    <w:rsid w:val="00D57BF3"/>
    <w:rsid w:val="00D57D08"/>
    <w:rsid w:val="00D57DC1"/>
    <w:rsid w:val="00D57F7F"/>
    <w:rsid w:val="00D6011D"/>
    <w:rsid w:val="00D60303"/>
    <w:rsid w:val="00D6057D"/>
    <w:rsid w:val="00D60632"/>
    <w:rsid w:val="00D60812"/>
    <w:rsid w:val="00D60847"/>
    <w:rsid w:val="00D6090E"/>
    <w:rsid w:val="00D60995"/>
    <w:rsid w:val="00D609C5"/>
    <w:rsid w:val="00D609FE"/>
    <w:rsid w:val="00D60B57"/>
    <w:rsid w:val="00D60E22"/>
    <w:rsid w:val="00D6118B"/>
    <w:rsid w:val="00D611F8"/>
    <w:rsid w:val="00D6121C"/>
    <w:rsid w:val="00D612EF"/>
    <w:rsid w:val="00D61302"/>
    <w:rsid w:val="00D6167C"/>
    <w:rsid w:val="00D616F4"/>
    <w:rsid w:val="00D61749"/>
    <w:rsid w:val="00D617B3"/>
    <w:rsid w:val="00D6197B"/>
    <w:rsid w:val="00D61A3B"/>
    <w:rsid w:val="00D61AC1"/>
    <w:rsid w:val="00D61BDE"/>
    <w:rsid w:val="00D61D8F"/>
    <w:rsid w:val="00D61FA3"/>
    <w:rsid w:val="00D62177"/>
    <w:rsid w:val="00D62196"/>
    <w:rsid w:val="00D622F6"/>
    <w:rsid w:val="00D62394"/>
    <w:rsid w:val="00D62745"/>
    <w:rsid w:val="00D627A3"/>
    <w:rsid w:val="00D627DC"/>
    <w:rsid w:val="00D62968"/>
    <w:rsid w:val="00D62970"/>
    <w:rsid w:val="00D62977"/>
    <w:rsid w:val="00D629EC"/>
    <w:rsid w:val="00D62A7A"/>
    <w:rsid w:val="00D62AC5"/>
    <w:rsid w:val="00D62EB9"/>
    <w:rsid w:val="00D62EC2"/>
    <w:rsid w:val="00D62ED4"/>
    <w:rsid w:val="00D62F4D"/>
    <w:rsid w:val="00D62FCC"/>
    <w:rsid w:val="00D63069"/>
    <w:rsid w:val="00D63096"/>
    <w:rsid w:val="00D63099"/>
    <w:rsid w:val="00D630E4"/>
    <w:rsid w:val="00D630FA"/>
    <w:rsid w:val="00D63503"/>
    <w:rsid w:val="00D6374C"/>
    <w:rsid w:val="00D637B4"/>
    <w:rsid w:val="00D63A06"/>
    <w:rsid w:val="00D63A11"/>
    <w:rsid w:val="00D63B75"/>
    <w:rsid w:val="00D63C73"/>
    <w:rsid w:val="00D63DAA"/>
    <w:rsid w:val="00D63DB0"/>
    <w:rsid w:val="00D63E06"/>
    <w:rsid w:val="00D63E27"/>
    <w:rsid w:val="00D63F71"/>
    <w:rsid w:val="00D63FE9"/>
    <w:rsid w:val="00D64557"/>
    <w:rsid w:val="00D646E3"/>
    <w:rsid w:val="00D64738"/>
    <w:rsid w:val="00D648E0"/>
    <w:rsid w:val="00D648ED"/>
    <w:rsid w:val="00D64962"/>
    <w:rsid w:val="00D64AEC"/>
    <w:rsid w:val="00D64DFE"/>
    <w:rsid w:val="00D6508C"/>
    <w:rsid w:val="00D65165"/>
    <w:rsid w:val="00D65195"/>
    <w:rsid w:val="00D652D9"/>
    <w:rsid w:val="00D6548F"/>
    <w:rsid w:val="00D656BA"/>
    <w:rsid w:val="00D65903"/>
    <w:rsid w:val="00D65923"/>
    <w:rsid w:val="00D65BFD"/>
    <w:rsid w:val="00D65C1E"/>
    <w:rsid w:val="00D65CAB"/>
    <w:rsid w:val="00D65CD6"/>
    <w:rsid w:val="00D65DC0"/>
    <w:rsid w:val="00D65E6E"/>
    <w:rsid w:val="00D65EF5"/>
    <w:rsid w:val="00D6608D"/>
    <w:rsid w:val="00D6609C"/>
    <w:rsid w:val="00D660D4"/>
    <w:rsid w:val="00D66164"/>
    <w:rsid w:val="00D66548"/>
    <w:rsid w:val="00D6655E"/>
    <w:rsid w:val="00D665AE"/>
    <w:rsid w:val="00D665B5"/>
    <w:rsid w:val="00D6677E"/>
    <w:rsid w:val="00D66A5F"/>
    <w:rsid w:val="00D66A9B"/>
    <w:rsid w:val="00D66AB4"/>
    <w:rsid w:val="00D66B02"/>
    <w:rsid w:val="00D66B93"/>
    <w:rsid w:val="00D66D47"/>
    <w:rsid w:val="00D66E40"/>
    <w:rsid w:val="00D66E45"/>
    <w:rsid w:val="00D66EBD"/>
    <w:rsid w:val="00D66F0F"/>
    <w:rsid w:val="00D66F34"/>
    <w:rsid w:val="00D66F81"/>
    <w:rsid w:val="00D671B6"/>
    <w:rsid w:val="00D6720A"/>
    <w:rsid w:val="00D67234"/>
    <w:rsid w:val="00D6724E"/>
    <w:rsid w:val="00D6733B"/>
    <w:rsid w:val="00D673BF"/>
    <w:rsid w:val="00D679D8"/>
    <w:rsid w:val="00D67AFD"/>
    <w:rsid w:val="00D67D46"/>
    <w:rsid w:val="00D67D56"/>
    <w:rsid w:val="00D67D59"/>
    <w:rsid w:val="00D67E7C"/>
    <w:rsid w:val="00D67F51"/>
    <w:rsid w:val="00D7046F"/>
    <w:rsid w:val="00D7048B"/>
    <w:rsid w:val="00D704A6"/>
    <w:rsid w:val="00D7064E"/>
    <w:rsid w:val="00D70747"/>
    <w:rsid w:val="00D70748"/>
    <w:rsid w:val="00D70878"/>
    <w:rsid w:val="00D70912"/>
    <w:rsid w:val="00D70954"/>
    <w:rsid w:val="00D70DDA"/>
    <w:rsid w:val="00D70EBC"/>
    <w:rsid w:val="00D70F79"/>
    <w:rsid w:val="00D7106A"/>
    <w:rsid w:val="00D710A3"/>
    <w:rsid w:val="00D710D6"/>
    <w:rsid w:val="00D711AA"/>
    <w:rsid w:val="00D711B2"/>
    <w:rsid w:val="00D71337"/>
    <w:rsid w:val="00D71478"/>
    <w:rsid w:val="00D7155E"/>
    <w:rsid w:val="00D715E4"/>
    <w:rsid w:val="00D7161B"/>
    <w:rsid w:val="00D7168F"/>
    <w:rsid w:val="00D716D2"/>
    <w:rsid w:val="00D71708"/>
    <w:rsid w:val="00D71847"/>
    <w:rsid w:val="00D719B0"/>
    <w:rsid w:val="00D71B6C"/>
    <w:rsid w:val="00D71BDE"/>
    <w:rsid w:val="00D71D57"/>
    <w:rsid w:val="00D71D61"/>
    <w:rsid w:val="00D72087"/>
    <w:rsid w:val="00D7209E"/>
    <w:rsid w:val="00D720CA"/>
    <w:rsid w:val="00D720EA"/>
    <w:rsid w:val="00D72184"/>
    <w:rsid w:val="00D72290"/>
    <w:rsid w:val="00D723D1"/>
    <w:rsid w:val="00D7268C"/>
    <w:rsid w:val="00D7275F"/>
    <w:rsid w:val="00D728FA"/>
    <w:rsid w:val="00D72955"/>
    <w:rsid w:val="00D72A02"/>
    <w:rsid w:val="00D72A1F"/>
    <w:rsid w:val="00D72A47"/>
    <w:rsid w:val="00D72B14"/>
    <w:rsid w:val="00D72BB8"/>
    <w:rsid w:val="00D72BD8"/>
    <w:rsid w:val="00D72D42"/>
    <w:rsid w:val="00D72EEA"/>
    <w:rsid w:val="00D73052"/>
    <w:rsid w:val="00D730A5"/>
    <w:rsid w:val="00D7316B"/>
    <w:rsid w:val="00D7325F"/>
    <w:rsid w:val="00D732B7"/>
    <w:rsid w:val="00D732C5"/>
    <w:rsid w:val="00D73495"/>
    <w:rsid w:val="00D735C6"/>
    <w:rsid w:val="00D73610"/>
    <w:rsid w:val="00D736BD"/>
    <w:rsid w:val="00D736ED"/>
    <w:rsid w:val="00D737FB"/>
    <w:rsid w:val="00D73832"/>
    <w:rsid w:val="00D73AD9"/>
    <w:rsid w:val="00D73C17"/>
    <w:rsid w:val="00D73D35"/>
    <w:rsid w:val="00D73EE7"/>
    <w:rsid w:val="00D73F2A"/>
    <w:rsid w:val="00D73F76"/>
    <w:rsid w:val="00D73FAE"/>
    <w:rsid w:val="00D740B0"/>
    <w:rsid w:val="00D7416A"/>
    <w:rsid w:val="00D744B6"/>
    <w:rsid w:val="00D745E2"/>
    <w:rsid w:val="00D74636"/>
    <w:rsid w:val="00D74941"/>
    <w:rsid w:val="00D74A05"/>
    <w:rsid w:val="00D74AC8"/>
    <w:rsid w:val="00D74F6C"/>
    <w:rsid w:val="00D75150"/>
    <w:rsid w:val="00D751E7"/>
    <w:rsid w:val="00D75242"/>
    <w:rsid w:val="00D75350"/>
    <w:rsid w:val="00D753E7"/>
    <w:rsid w:val="00D753F7"/>
    <w:rsid w:val="00D754F3"/>
    <w:rsid w:val="00D756D8"/>
    <w:rsid w:val="00D756EE"/>
    <w:rsid w:val="00D7586A"/>
    <w:rsid w:val="00D758F2"/>
    <w:rsid w:val="00D75B39"/>
    <w:rsid w:val="00D75D32"/>
    <w:rsid w:val="00D760C2"/>
    <w:rsid w:val="00D7618D"/>
    <w:rsid w:val="00D762AF"/>
    <w:rsid w:val="00D76315"/>
    <w:rsid w:val="00D763C4"/>
    <w:rsid w:val="00D76525"/>
    <w:rsid w:val="00D76596"/>
    <w:rsid w:val="00D768C5"/>
    <w:rsid w:val="00D76B10"/>
    <w:rsid w:val="00D76B44"/>
    <w:rsid w:val="00D76B98"/>
    <w:rsid w:val="00D76CEE"/>
    <w:rsid w:val="00D7718C"/>
    <w:rsid w:val="00D77236"/>
    <w:rsid w:val="00D7731C"/>
    <w:rsid w:val="00D773B7"/>
    <w:rsid w:val="00D77A13"/>
    <w:rsid w:val="00D77D34"/>
    <w:rsid w:val="00D77E51"/>
    <w:rsid w:val="00D77FED"/>
    <w:rsid w:val="00D800CC"/>
    <w:rsid w:val="00D80176"/>
    <w:rsid w:val="00D802C7"/>
    <w:rsid w:val="00D8038A"/>
    <w:rsid w:val="00D804A7"/>
    <w:rsid w:val="00D806C5"/>
    <w:rsid w:val="00D80732"/>
    <w:rsid w:val="00D80C29"/>
    <w:rsid w:val="00D80C2E"/>
    <w:rsid w:val="00D80DAD"/>
    <w:rsid w:val="00D80EB2"/>
    <w:rsid w:val="00D80EED"/>
    <w:rsid w:val="00D81057"/>
    <w:rsid w:val="00D81121"/>
    <w:rsid w:val="00D813B7"/>
    <w:rsid w:val="00D81485"/>
    <w:rsid w:val="00D81521"/>
    <w:rsid w:val="00D8173E"/>
    <w:rsid w:val="00D8175B"/>
    <w:rsid w:val="00D818AF"/>
    <w:rsid w:val="00D81ACC"/>
    <w:rsid w:val="00D81B48"/>
    <w:rsid w:val="00D81B7D"/>
    <w:rsid w:val="00D81BB1"/>
    <w:rsid w:val="00D81C31"/>
    <w:rsid w:val="00D81EB2"/>
    <w:rsid w:val="00D81F0D"/>
    <w:rsid w:val="00D82163"/>
    <w:rsid w:val="00D82176"/>
    <w:rsid w:val="00D822C4"/>
    <w:rsid w:val="00D8243E"/>
    <w:rsid w:val="00D8246F"/>
    <w:rsid w:val="00D82695"/>
    <w:rsid w:val="00D8287F"/>
    <w:rsid w:val="00D828CB"/>
    <w:rsid w:val="00D8290E"/>
    <w:rsid w:val="00D82A87"/>
    <w:rsid w:val="00D82BF7"/>
    <w:rsid w:val="00D82C4A"/>
    <w:rsid w:val="00D82DEC"/>
    <w:rsid w:val="00D83071"/>
    <w:rsid w:val="00D8316D"/>
    <w:rsid w:val="00D8320A"/>
    <w:rsid w:val="00D83227"/>
    <w:rsid w:val="00D83538"/>
    <w:rsid w:val="00D835FA"/>
    <w:rsid w:val="00D8374C"/>
    <w:rsid w:val="00D83798"/>
    <w:rsid w:val="00D837B6"/>
    <w:rsid w:val="00D8388C"/>
    <w:rsid w:val="00D839E3"/>
    <w:rsid w:val="00D83A75"/>
    <w:rsid w:val="00D83B51"/>
    <w:rsid w:val="00D83C23"/>
    <w:rsid w:val="00D83D1A"/>
    <w:rsid w:val="00D83DC7"/>
    <w:rsid w:val="00D83FE5"/>
    <w:rsid w:val="00D843A1"/>
    <w:rsid w:val="00D843C8"/>
    <w:rsid w:val="00D8460F"/>
    <w:rsid w:val="00D84655"/>
    <w:rsid w:val="00D84830"/>
    <w:rsid w:val="00D84887"/>
    <w:rsid w:val="00D84966"/>
    <w:rsid w:val="00D84A2E"/>
    <w:rsid w:val="00D84BE5"/>
    <w:rsid w:val="00D84D5F"/>
    <w:rsid w:val="00D84DA2"/>
    <w:rsid w:val="00D84DA6"/>
    <w:rsid w:val="00D84ECA"/>
    <w:rsid w:val="00D8501B"/>
    <w:rsid w:val="00D8502F"/>
    <w:rsid w:val="00D850AB"/>
    <w:rsid w:val="00D85187"/>
    <w:rsid w:val="00D8525E"/>
    <w:rsid w:val="00D853CF"/>
    <w:rsid w:val="00D853EC"/>
    <w:rsid w:val="00D85487"/>
    <w:rsid w:val="00D85509"/>
    <w:rsid w:val="00D8551F"/>
    <w:rsid w:val="00D856BF"/>
    <w:rsid w:val="00D857EA"/>
    <w:rsid w:val="00D85920"/>
    <w:rsid w:val="00D85BD5"/>
    <w:rsid w:val="00D85C07"/>
    <w:rsid w:val="00D85D53"/>
    <w:rsid w:val="00D861EA"/>
    <w:rsid w:val="00D8632C"/>
    <w:rsid w:val="00D864F4"/>
    <w:rsid w:val="00D86582"/>
    <w:rsid w:val="00D86618"/>
    <w:rsid w:val="00D8676F"/>
    <w:rsid w:val="00D86822"/>
    <w:rsid w:val="00D8688C"/>
    <w:rsid w:val="00D86891"/>
    <w:rsid w:val="00D86929"/>
    <w:rsid w:val="00D86A06"/>
    <w:rsid w:val="00D86B7E"/>
    <w:rsid w:val="00D87195"/>
    <w:rsid w:val="00D8722C"/>
    <w:rsid w:val="00D87323"/>
    <w:rsid w:val="00D8736C"/>
    <w:rsid w:val="00D874CF"/>
    <w:rsid w:val="00D8750A"/>
    <w:rsid w:val="00D87880"/>
    <w:rsid w:val="00D878F4"/>
    <w:rsid w:val="00D8793D"/>
    <w:rsid w:val="00D87AD9"/>
    <w:rsid w:val="00D87B5D"/>
    <w:rsid w:val="00D87D47"/>
    <w:rsid w:val="00D87DF6"/>
    <w:rsid w:val="00D87EDB"/>
    <w:rsid w:val="00D87F6F"/>
    <w:rsid w:val="00D90315"/>
    <w:rsid w:val="00D903B3"/>
    <w:rsid w:val="00D9041B"/>
    <w:rsid w:val="00D906B9"/>
    <w:rsid w:val="00D90772"/>
    <w:rsid w:val="00D907AA"/>
    <w:rsid w:val="00D909BD"/>
    <w:rsid w:val="00D90A29"/>
    <w:rsid w:val="00D90CE2"/>
    <w:rsid w:val="00D90D59"/>
    <w:rsid w:val="00D90DBB"/>
    <w:rsid w:val="00D9141D"/>
    <w:rsid w:val="00D9148A"/>
    <w:rsid w:val="00D914C7"/>
    <w:rsid w:val="00D91767"/>
    <w:rsid w:val="00D919FD"/>
    <w:rsid w:val="00D91B96"/>
    <w:rsid w:val="00D91DA5"/>
    <w:rsid w:val="00D91DF3"/>
    <w:rsid w:val="00D91DF6"/>
    <w:rsid w:val="00D91E3C"/>
    <w:rsid w:val="00D91F34"/>
    <w:rsid w:val="00D9202E"/>
    <w:rsid w:val="00D92171"/>
    <w:rsid w:val="00D921B4"/>
    <w:rsid w:val="00D9263A"/>
    <w:rsid w:val="00D928B9"/>
    <w:rsid w:val="00D92917"/>
    <w:rsid w:val="00D92A63"/>
    <w:rsid w:val="00D92D6A"/>
    <w:rsid w:val="00D92DDD"/>
    <w:rsid w:val="00D92E75"/>
    <w:rsid w:val="00D92F60"/>
    <w:rsid w:val="00D93012"/>
    <w:rsid w:val="00D9303E"/>
    <w:rsid w:val="00D93184"/>
    <w:rsid w:val="00D93314"/>
    <w:rsid w:val="00D933C9"/>
    <w:rsid w:val="00D933EA"/>
    <w:rsid w:val="00D93597"/>
    <w:rsid w:val="00D93A27"/>
    <w:rsid w:val="00D93A77"/>
    <w:rsid w:val="00D93B6B"/>
    <w:rsid w:val="00D93BAF"/>
    <w:rsid w:val="00D940E6"/>
    <w:rsid w:val="00D94109"/>
    <w:rsid w:val="00D941B0"/>
    <w:rsid w:val="00D941E3"/>
    <w:rsid w:val="00D94226"/>
    <w:rsid w:val="00D943B9"/>
    <w:rsid w:val="00D943E4"/>
    <w:rsid w:val="00D946C9"/>
    <w:rsid w:val="00D947CA"/>
    <w:rsid w:val="00D94949"/>
    <w:rsid w:val="00D94983"/>
    <w:rsid w:val="00D94A3B"/>
    <w:rsid w:val="00D94AD9"/>
    <w:rsid w:val="00D94C2E"/>
    <w:rsid w:val="00D94CCD"/>
    <w:rsid w:val="00D94CF3"/>
    <w:rsid w:val="00D94DEE"/>
    <w:rsid w:val="00D94FD2"/>
    <w:rsid w:val="00D950A9"/>
    <w:rsid w:val="00D9520A"/>
    <w:rsid w:val="00D9526F"/>
    <w:rsid w:val="00D9532B"/>
    <w:rsid w:val="00D953C6"/>
    <w:rsid w:val="00D954B0"/>
    <w:rsid w:val="00D9555E"/>
    <w:rsid w:val="00D9563A"/>
    <w:rsid w:val="00D95737"/>
    <w:rsid w:val="00D9574B"/>
    <w:rsid w:val="00D957B3"/>
    <w:rsid w:val="00D9582A"/>
    <w:rsid w:val="00D95869"/>
    <w:rsid w:val="00D95986"/>
    <w:rsid w:val="00D95AF1"/>
    <w:rsid w:val="00D95E82"/>
    <w:rsid w:val="00D961E5"/>
    <w:rsid w:val="00D96583"/>
    <w:rsid w:val="00D967A8"/>
    <w:rsid w:val="00D968A1"/>
    <w:rsid w:val="00D96D2E"/>
    <w:rsid w:val="00D970D7"/>
    <w:rsid w:val="00D97256"/>
    <w:rsid w:val="00D9744D"/>
    <w:rsid w:val="00D974F5"/>
    <w:rsid w:val="00D97676"/>
    <w:rsid w:val="00D9775C"/>
    <w:rsid w:val="00D977CE"/>
    <w:rsid w:val="00D97D24"/>
    <w:rsid w:val="00DA033D"/>
    <w:rsid w:val="00DA037B"/>
    <w:rsid w:val="00DA04DF"/>
    <w:rsid w:val="00DA0535"/>
    <w:rsid w:val="00DA0572"/>
    <w:rsid w:val="00DA058E"/>
    <w:rsid w:val="00DA0595"/>
    <w:rsid w:val="00DA05F8"/>
    <w:rsid w:val="00DA06D9"/>
    <w:rsid w:val="00DA06F5"/>
    <w:rsid w:val="00DA0772"/>
    <w:rsid w:val="00DA0787"/>
    <w:rsid w:val="00DA08DE"/>
    <w:rsid w:val="00DA0A01"/>
    <w:rsid w:val="00DA0F15"/>
    <w:rsid w:val="00DA0F42"/>
    <w:rsid w:val="00DA0F67"/>
    <w:rsid w:val="00DA0FF9"/>
    <w:rsid w:val="00DA139C"/>
    <w:rsid w:val="00DA13B8"/>
    <w:rsid w:val="00DA164E"/>
    <w:rsid w:val="00DA16D3"/>
    <w:rsid w:val="00DA18AE"/>
    <w:rsid w:val="00DA1A95"/>
    <w:rsid w:val="00DA1C2E"/>
    <w:rsid w:val="00DA1D44"/>
    <w:rsid w:val="00DA1E94"/>
    <w:rsid w:val="00DA1EE0"/>
    <w:rsid w:val="00DA22DC"/>
    <w:rsid w:val="00DA22FE"/>
    <w:rsid w:val="00DA2555"/>
    <w:rsid w:val="00DA2709"/>
    <w:rsid w:val="00DA2838"/>
    <w:rsid w:val="00DA289A"/>
    <w:rsid w:val="00DA291A"/>
    <w:rsid w:val="00DA294E"/>
    <w:rsid w:val="00DA2B33"/>
    <w:rsid w:val="00DA2B3F"/>
    <w:rsid w:val="00DA2C1C"/>
    <w:rsid w:val="00DA2C59"/>
    <w:rsid w:val="00DA2C68"/>
    <w:rsid w:val="00DA2D04"/>
    <w:rsid w:val="00DA2E25"/>
    <w:rsid w:val="00DA2E4A"/>
    <w:rsid w:val="00DA2FF3"/>
    <w:rsid w:val="00DA3033"/>
    <w:rsid w:val="00DA3047"/>
    <w:rsid w:val="00DA3109"/>
    <w:rsid w:val="00DA32D5"/>
    <w:rsid w:val="00DA34B7"/>
    <w:rsid w:val="00DA3689"/>
    <w:rsid w:val="00DA38B5"/>
    <w:rsid w:val="00DA3A33"/>
    <w:rsid w:val="00DA3A3E"/>
    <w:rsid w:val="00DA3AB1"/>
    <w:rsid w:val="00DA3AE2"/>
    <w:rsid w:val="00DA3F19"/>
    <w:rsid w:val="00DA3F43"/>
    <w:rsid w:val="00DA417F"/>
    <w:rsid w:val="00DA4692"/>
    <w:rsid w:val="00DA472F"/>
    <w:rsid w:val="00DA47D0"/>
    <w:rsid w:val="00DA4B02"/>
    <w:rsid w:val="00DA4B1D"/>
    <w:rsid w:val="00DA4B55"/>
    <w:rsid w:val="00DA4B92"/>
    <w:rsid w:val="00DA4F38"/>
    <w:rsid w:val="00DA5046"/>
    <w:rsid w:val="00DA505C"/>
    <w:rsid w:val="00DA509D"/>
    <w:rsid w:val="00DA512C"/>
    <w:rsid w:val="00DA51E3"/>
    <w:rsid w:val="00DA5306"/>
    <w:rsid w:val="00DA547B"/>
    <w:rsid w:val="00DA5485"/>
    <w:rsid w:val="00DA549A"/>
    <w:rsid w:val="00DA5691"/>
    <w:rsid w:val="00DA582C"/>
    <w:rsid w:val="00DA59CB"/>
    <w:rsid w:val="00DA5AC6"/>
    <w:rsid w:val="00DA5BD1"/>
    <w:rsid w:val="00DA5E26"/>
    <w:rsid w:val="00DA5EE9"/>
    <w:rsid w:val="00DA5F09"/>
    <w:rsid w:val="00DA61D5"/>
    <w:rsid w:val="00DA61E4"/>
    <w:rsid w:val="00DA6384"/>
    <w:rsid w:val="00DA63D1"/>
    <w:rsid w:val="00DA6666"/>
    <w:rsid w:val="00DA669B"/>
    <w:rsid w:val="00DA66EE"/>
    <w:rsid w:val="00DA6765"/>
    <w:rsid w:val="00DA67C2"/>
    <w:rsid w:val="00DA67E5"/>
    <w:rsid w:val="00DA67F0"/>
    <w:rsid w:val="00DA69CA"/>
    <w:rsid w:val="00DA6BB0"/>
    <w:rsid w:val="00DA6DC8"/>
    <w:rsid w:val="00DA6ECF"/>
    <w:rsid w:val="00DA6FBC"/>
    <w:rsid w:val="00DA705F"/>
    <w:rsid w:val="00DA7203"/>
    <w:rsid w:val="00DA7207"/>
    <w:rsid w:val="00DA7501"/>
    <w:rsid w:val="00DA7505"/>
    <w:rsid w:val="00DA751B"/>
    <w:rsid w:val="00DA76CE"/>
    <w:rsid w:val="00DA777B"/>
    <w:rsid w:val="00DA77CE"/>
    <w:rsid w:val="00DA7884"/>
    <w:rsid w:val="00DA78C9"/>
    <w:rsid w:val="00DA7A56"/>
    <w:rsid w:val="00DA7B27"/>
    <w:rsid w:val="00DA7DAA"/>
    <w:rsid w:val="00DA7DBE"/>
    <w:rsid w:val="00DB003C"/>
    <w:rsid w:val="00DB0169"/>
    <w:rsid w:val="00DB023C"/>
    <w:rsid w:val="00DB023D"/>
    <w:rsid w:val="00DB024D"/>
    <w:rsid w:val="00DB03C1"/>
    <w:rsid w:val="00DB0644"/>
    <w:rsid w:val="00DB06BD"/>
    <w:rsid w:val="00DB078D"/>
    <w:rsid w:val="00DB08E0"/>
    <w:rsid w:val="00DB0938"/>
    <w:rsid w:val="00DB096C"/>
    <w:rsid w:val="00DB09CB"/>
    <w:rsid w:val="00DB0B13"/>
    <w:rsid w:val="00DB0B59"/>
    <w:rsid w:val="00DB0BB5"/>
    <w:rsid w:val="00DB0D19"/>
    <w:rsid w:val="00DB0D6F"/>
    <w:rsid w:val="00DB0DBA"/>
    <w:rsid w:val="00DB0DEC"/>
    <w:rsid w:val="00DB0E01"/>
    <w:rsid w:val="00DB0F01"/>
    <w:rsid w:val="00DB0F9D"/>
    <w:rsid w:val="00DB1251"/>
    <w:rsid w:val="00DB1300"/>
    <w:rsid w:val="00DB130C"/>
    <w:rsid w:val="00DB130F"/>
    <w:rsid w:val="00DB15D8"/>
    <w:rsid w:val="00DB171D"/>
    <w:rsid w:val="00DB1794"/>
    <w:rsid w:val="00DB1808"/>
    <w:rsid w:val="00DB181D"/>
    <w:rsid w:val="00DB184A"/>
    <w:rsid w:val="00DB1875"/>
    <w:rsid w:val="00DB19A0"/>
    <w:rsid w:val="00DB19FA"/>
    <w:rsid w:val="00DB1A2C"/>
    <w:rsid w:val="00DB1A9F"/>
    <w:rsid w:val="00DB1ADF"/>
    <w:rsid w:val="00DB1B99"/>
    <w:rsid w:val="00DB1D4D"/>
    <w:rsid w:val="00DB1DC1"/>
    <w:rsid w:val="00DB1E91"/>
    <w:rsid w:val="00DB1F55"/>
    <w:rsid w:val="00DB2156"/>
    <w:rsid w:val="00DB219C"/>
    <w:rsid w:val="00DB2249"/>
    <w:rsid w:val="00DB2553"/>
    <w:rsid w:val="00DB25B8"/>
    <w:rsid w:val="00DB2824"/>
    <w:rsid w:val="00DB28C8"/>
    <w:rsid w:val="00DB2B48"/>
    <w:rsid w:val="00DB2C2C"/>
    <w:rsid w:val="00DB2CE6"/>
    <w:rsid w:val="00DB2FA1"/>
    <w:rsid w:val="00DB3120"/>
    <w:rsid w:val="00DB327B"/>
    <w:rsid w:val="00DB3648"/>
    <w:rsid w:val="00DB3681"/>
    <w:rsid w:val="00DB37E4"/>
    <w:rsid w:val="00DB3863"/>
    <w:rsid w:val="00DB38CC"/>
    <w:rsid w:val="00DB3C76"/>
    <w:rsid w:val="00DB3C7C"/>
    <w:rsid w:val="00DB3DC6"/>
    <w:rsid w:val="00DB3E7D"/>
    <w:rsid w:val="00DB4410"/>
    <w:rsid w:val="00DB44FC"/>
    <w:rsid w:val="00DB45D2"/>
    <w:rsid w:val="00DB4A3C"/>
    <w:rsid w:val="00DB4ABC"/>
    <w:rsid w:val="00DB4C00"/>
    <w:rsid w:val="00DB4C63"/>
    <w:rsid w:val="00DB4C96"/>
    <w:rsid w:val="00DB4C9B"/>
    <w:rsid w:val="00DB4E13"/>
    <w:rsid w:val="00DB4F09"/>
    <w:rsid w:val="00DB5034"/>
    <w:rsid w:val="00DB504E"/>
    <w:rsid w:val="00DB506C"/>
    <w:rsid w:val="00DB50BC"/>
    <w:rsid w:val="00DB50D8"/>
    <w:rsid w:val="00DB5117"/>
    <w:rsid w:val="00DB513C"/>
    <w:rsid w:val="00DB5151"/>
    <w:rsid w:val="00DB5171"/>
    <w:rsid w:val="00DB5196"/>
    <w:rsid w:val="00DB51D1"/>
    <w:rsid w:val="00DB51D9"/>
    <w:rsid w:val="00DB5412"/>
    <w:rsid w:val="00DB56F3"/>
    <w:rsid w:val="00DB5876"/>
    <w:rsid w:val="00DB589E"/>
    <w:rsid w:val="00DB594E"/>
    <w:rsid w:val="00DB5B2C"/>
    <w:rsid w:val="00DB5C73"/>
    <w:rsid w:val="00DB5C78"/>
    <w:rsid w:val="00DB6031"/>
    <w:rsid w:val="00DB607F"/>
    <w:rsid w:val="00DB622D"/>
    <w:rsid w:val="00DB6491"/>
    <w:rsid w:val="00DB6543"/>
    <w:rsid w:val="00DB661E"/>
    <w:rsid w:val="00DB664A"/>
    <w:rsid w:val="00DB6874"/>
    <w:rsid w:val="00DB6894"/>
    <w:rsid w:val="00DB691C"/>
    <w:rsid w:val="00DB6958"/>
    <w:rsid w:val="00DB6C45"/>
    <w:rsid w:val="00DB6C8E"/>
    <w:rsid w:val="00DB6CE1"/>
    <w:rsid w:val="00DB6D39"/>
    <w:rsid w:val="00DB6D5D"/>
    <w:rsid w:val="00DB6D81"/>
    <w:rsid w:val="00DB6E1A"/>
    <w:rsid w:val="00DB6F59"/>
    <w:rsid w:val="00DB70D4"/>
    <w:rsid w:val="00DB7164"/>
    <w:rsid w:val="00DB738B"/>
    <w:rsid w:val="00DB7463"/>
    <w:rsid w:val="00DB78B2"/>
    <w:rsid w:val="00DB78E1"/>
    <w:rsid w:val="00DB7B1C"/>
    <w:rsid w:val="00DB7C5E"/>
    <w:rsid w:val="00DB7CB0"/>
    <w:rsid w:val="00DB7FE4"/>
    <w:rsid w:val="00DC009D"/>
    <w:rsid w:val="00DC0104"/>
    <w:rsid w:val="00DC0136"/>
    <w:rsid w:val="00DC0342"/>
    <w:rsid w:val="00DC0452"/>
    <w:rsid w:val="00DC05FA"/>
    <w:rsid w:val="00DC08B0"/>
    <w:rsid w:val="00DC0A0B"/>
    <w:rsid w:val="00DC0B6C"/>
    <w:rsid w:val="00DC0DA3"/>
    <w:rsid w:val="00DC0FFC"/>
    <w:rsid w:val="00DC10FE"/>
    <w:rsid w:val="00DC14AF"/>
    <w:rsid w:val="00DC156F"/>
    <w:rsid w:val="00DC15DB"/>
    <w:rsid w:val="00DC1720"/>
    <w:rsid w:val="00DC1721"/>
    <w:rsid w:val="00DC1785"/>
    <w:rsid w:val="00DC185D"/>
    <w:rsid w:val="00DC1951"/>
    <w:rsid w:val="00DC19D7"/>
    <w:rsid w:val="00DC19F0"/>
    <w:rsid w:val="00DC1B88"/>
    <w:rsid w:val="00DC1C21"/>
    <w:rsid w:val="00DC1CEA"/>
    <w:rsid w:val="00DC1E6E"/>
    <w:rsid w:val="00DC1F31"/>
    <w:rsid w:val="00DC1FC9"/>
    <w:rsid w:val="00DC2151"/>
    <w:rsid w:val="00DC21F0"/>
    <w:rsid w:val="00DC2344"/>
    <w:rsid w:val="00DC2383"/>
    <w:rsid w:val="00DC2743"/>
    <w:rsid w:val="00DC289B"/>
    <w:rsid w:val="00DC2C88"/>
    <w:rsid w:val="00DC316E"/>
    <w:rsid w:val="00DC331A"/>
    <w:rsid w:val="00DC33C1"/>
    <w:rsid w:val="00DC3633"/>
    <w:rsid w:val="00DC3692"/>
    <w:rsid w:val="00DC37F6"/>
    <w:rsid w:val="00DC3831"/>
    <w:rsid w:val="00DC386C"/>
    <w:rsid w:val="00DC39B8"/>
    <w:rsid w:val="00DC3C0C"/>
    <w:rsid w:val="00DC3D31"/>
    <w:rsid w:val="00DC3F65"/>
    <w:rsid w:val="00DC4004"/>
    <w:rsid w:val="00DC406D"/>
    <w:rsid w:val="00DC40DE"/>
    <w:rsid w:val="00DC4108"/>
    <w:rsid w:val="00DC422A"/>
    <w:rsid w:val="00DC4307"/>
    <w:rsid w:val="00DC4377"/>
    <w:rsid w:val="00DC43DF"/>
    <w:rsid w:val="00DC43ED"/>
    <w:rsid w:val="00DC45B0"/>
    <w:rsid w:val="00DC45EA"/>
    <w:rsid w:val="00DC45F9"/>
    <w:rsid w:val="00DC4815"/>
    <w:rsid w:val="00DC484E"/>
    <w:rsid w:val="00DC49E4"/>
    <w:rsid w:val="00DC4A7A"/>
    <w:rsid w:val="00DC4D67"/>
    <w:rsid w:val="00DC4E93"/>
    <w:rsid w:val="00DC4EC7"/>
    <w:rsid w:val="00DC4EF2"/>
    <w:rsid w:val="00DC4F60"/>
    <w:rsid w:val="00DC4F64"/>
    <w:rsid w:val="00DC50C5"/>
    <w:rsid w:val="00DC50F4"/>
    <w:rsid w:val="00DC51C5"/>
    <w:rsid w:val="00DC5233"/>
    <w:rsid w:val="00DC52C1"/>
    <w:rsid w:val="00DC53B4"/>
    <w:rsid w:val="00DC557C"/>
    <w:rsid w:val="00DC561C"/>
    <w:rsid w:val="00DC5637"/>
    <w:rsid w:val="00DC567B"/>
    <w:rsid w:val="00DC56C1"/>
    <w:rsid w:val="00DC5768"/>
    <w:rsid w:val="00DC57E9"/>
    <w:rsid w:val="00DC5937"/>
    <w:rsid w:val="00DC5B25"/>
    <w:rsid w:val="00DC5C7E"/>
    <w:rsid w:val="00DC5CD4"/>
    <w:rsid w:val="00DC5D29"/>
    <w:rsid w:val="00DC5EBA"/>
    <w:rsid w:val="00DC61BB"/>
    <w:rsid w:val="00DC6339"/>
    <w:rsid w:val="00DC637F"/>
    <w:rsid w:val="00DC64A7"/>
    <w:rsid w:val="00DC65C2"/>
    <w:rsid w:val="00DC673A"/>
    <w:rsid w:val="00DC67B8"/>
    <w:rsid w:val="00DC690A"/>
    <w:rsid w:val="00DC6A13"/>
    <w:rsid w:val="00DC6A2C"/>
    <w:rsid w:val="00DC6B46"/>
    <w:rsid w:val="00DC6B52"/>
    <w:rsid w:val="00DC6B7B"/>
    <w:rsid w:val="00DC6E0C"/>
    <w:rsid w:val="00DC6E61"/>
    <w:rsid w:val="00DC6EF1"/>
    <w:rsid w:val="00DC7394"/>
    <w:rsid w:val="00DC73E3"/>
    <w:rsid w:val="00DC7438"/>
    <w:rsid w:val="00DC75F7"/>
    <w:rsid w:val="00DC7790"/>
    <w:rsid w:val="00DC77C4"/>
    <w:rsid w:val="00DC77FB"/>
    <w:rsid w:val="00DC782A"/>
    <w:rsid w:val="00DC791A"/>
    <w:rsid w:val="00DC7D70"/>
    <w:rsid w:val="00DC7D92"/>
    <w:rsid w:val="00DC7E5A"/>
    <w:rsid w:val="00DC7F0E"/>
    <w:rsid w:val="00DC7F50"/>
    <w:rsid w:val="00DD0257"/>
    <w:rsid w:val="00DD03DA"/>
    <w:rsid w:val="00DD04E8"/>
    <w:rsid w:val="00DD06F1"/>
    <w:rsid w:val="00DD072F"/>
    <w:rsid w:val="00DD075A"/>
    <w:rsid w:val="00DD0953"/>
    <w:rsid w:val="00DD096E"/>
    <w:rsid w:val="00DD098C"/>
    <w:rsid w:val="00DD0D27"/>
    <w:rsid w:val="00DD0E3B"/>
    <w:rsid w:val="00DD1071"/>
    <w:rsid w:val="00DD10AA"/>
    <w:rsid w:val="00DD12C8"/>
    <w:rsid w:val="00DD1319"/>
    <w:rsid w:val="00DD16A9"/>
    <w:rsid w:val="00DD17C5"/>
    <w:rsid w:val="00DD1826"/>
    <w:rsid w:val="00DD1A95"/>
    <w:rsid w:val="00DD1B08"/>
    <w:rsid w:val="00DD1B4E"/>
    <w:rsid w:val="00DD1B82"/>
    <w:rsid w:val="00DD1D6E"/>
    <w:rsid w:val="00DD1EF5"/>
    <w:rsid w:val="00DD1FF9"/>
    <w:rsid w:val="00DD20C8"/>
    <w:rsid w:val="00DD2169"/>
    <w:rsid w:val="00DD2193"/>
    <w:rsid w:val="00DD232F"/>
    <w:rsid w:val="00DD2441"/>
    <w:rsid w:val="00DD24CB"/>
    <w:rsid w:val="00DD2681"/>
    <w:rsid w:val="00DD276F"/>
    <w:rsid w:val="00DD2946"/>
    <w:rsid w:val="00DD29BD"/>
    <w:rsid w:val="00DD29BF"/>
    <w:rsid w:val="00DD29DC"/>
    <w:rsid w:val="00DD2C81"/>
    <w:rsid w:val="00DD2D17"/>
    <w:rsid w:val="00DD2D82"/>
    <w:rsid w:val="00DD2E9D"/>
    <w:rsid w:val="00DD2F65"/>
    <w:rsid w:val="00DD307B"/>
    <w:rsid w:val="00DD32E9"/>
    <w:rsid w:val="00DD33C9"/>
    <w:rsid w:val="00DD3426"/>
    <w:rsid w:val="00DD3526"/>
    <w:rsid w:val="00DD364E"/>
    <w:rsid w:val="00DD36A3"/>
    <w:rsid w:val="00DD3700"/>
    <w:rsid w:val="00DD372D"/>
    <w:rsid w:val="00DD37B7"/>
    <w:rsid w:val="00DD37CA"/>
    <w:rsid w:val="00DD3A48"/>
    <w:rsid w:val="00DD3CD3"/>
    <w:rsid w:val="00DD3D05"/>
    <w:rsid w:val="00DD3D69"/>
    <w:rsid w:val="00DD3E5A"/>
    <w:rsid w:val="00DD409B"/>
    <w:rsid w:val="00DD4360"/>
    <w:rsid w:val="00DD437A"/>
    <w:rsid w:val="00DD44F7"/>
    <w:rsid w:val="00DD45A8"/>
    <w:rsid w:val="00DD4695"/>
    <w:rsid w:val="00DD4778"/>
    <w:rsid w:val="00DD4975"/>
    <w:rsid w:val="00DD4AE0"/>
    <w:rsid w:val="00DD4AF6"/>
    <w:rsid w:val="00DD4CC6"/>
    <w:rsid w:val="00DD4DAC"/>
    <w:rsid w:val="00DD4E60"/>
    <w:rsid w:val="00DD4F05"/>
    <w:rsid w:val="00DD51E6"/>
    <w:rsid w:val="00DD5230"/>
    <w:rsid w:val="00DD52BD"/>
    <w:rsid w:val="00DD5343"/>
    <w:rsid w:val="00DD538C"/>
    <w:rsid w:val="00DD53FC"/>
    <w:rsid w:val="00DD54CD"/>
    <w:rsid w:val="00DD5599"/>
    <w:rsid w:val="00DD5634"/>
    <w:rsid w:val="00DD576E"/>
    <w:rsid w:val="00DD57E6"/>
    <w:rsid w:val="00DD58F7"/>
    <w:rsid w:val="00DD5954"/>
    <w:rsid w:val="00DD5AE2"/>
    <w:rsid w:val="00DD5B46"/>
    <w:rsid w:val="00DD6062"/>
    <w:rsid w:val="00DD6071"/>
    <w:rsid w:val="00DD63DB"/>
    <w:rsid w:val="00DD682D"/>
    <w:rsid w:val="00DD68A1"/>
    <w:rsid w:val="00DD6924"/>
    <w:rsid w:val="00DD692C"/>
    <w:rsid w:val="00DD6948"/>
    <w:rsid w:val="00DD6C30"/>
    <w:rsid w:val="00DD6F0B"/>
    <w:rsid w:val="00DD70D9"/>
    <w:rsid w:val="00DD716F"/>
    <w:rsid w:val="00DD7193"/>
    <w:rsid w:val="00DD719B"/>
    <w:rsid w:val="00DD72F8"/>
    <w:rsid w:val="00DD72FD"/>
    <w:rsid w:val="00DD73A3"/>
    <w:rsid w:val="00DD73BE"/>
    <w:rsid w:val="00DD7403"/>
    <w:rsid w:val="00DD74E1"/>
    <w:rsid w:val="00DD75A5"/>
    <w:rsid w:val="00DD75F2"/>
    <w:rsid w:val="00DD7667"/>
    <w:rsid w:val="00DD76FF"/>
    <w:rsid w:val="00DD77A9"/>
    <w:rsid w:val="00DD7940"/>
    <w:rsid w:val="00DD79A7"/>
    <w:rsid w:val="00DD7BB2"/>
    <w:rsid w:val="00DD7DEB"/>
    <w:rsid w:val="00DD7F74"/>
    <w:rsid w:val="00DD7FA4"/>
    <w:rsid w:val="00DE014A"/>
    <w:rsid w:val="00DE0239"/>
    <w:rsid w:val="00DE0412"/>
    <w:rsid w:val="00DE0560"/>
    <w:rsid w:val="00DE0621"/>
    <w:rsid w:val="00DE06B8"/>
    <w:rsid w:val="00DE071C"/>
    <w:rsid w:val="00DE0727"/>
    <w:rsid w:val="00DE0901"/>
    <w:rsid w:val="00DE0979"/>
    <w:rsid w:val="00DE09F2"/>
    <w:rsid w:val="00DE09F7"/>
    <w:rsid w:val="00DE0BB9"/>
    <w:rsid w:val="00DE0BC0"/>
    <w:rsid w:val="00DE0DD0"/>
    <w:rsid w:val="00DE0F3A"/>
    <w:rsid w:val="00DE0FF9"/>
    <w:rsid w:val="00DE1226"/>
    <w:rsid w:val="00DE1229"/>
    <w:rsid w:val="00DE12AB"/>
    <w:rsid w:val="00DE146F"/>
    <w:rsid w:val="00DE150E"/>
    <w:rsid w:val="00DE15B2"/>
    <w:rsid w:val="00DE17BA"/>
    <w:rsid w:val="00DE183D"/>
    <w:rsid w:val="00DE189B"/>
    <w:rsid w:val="00DE195D"/>
    <w:rsid w:val="00DE198E"/>
    <w:rsid w:val="00DE1B7E"/>
    <w:rsid w:val="00DE1B86"/>
    <w:rsid w:val="00DE1B90"/>
    <w:rsid w:val="00DE1BCE"/>
    <w:rsid w:val="00DE1C0C"/>
    <w:rsid w:val="00DE1C54"/>
    <w:rsid w:val="00DE2143"/>
    <w:rsid w:val="00DE2176"/>
    <w:rsid w:val="00DE2230"/>
    <w:rsid w:val="00DE2496"/>
    <w:rsid w:val="00DE24C4"/>
    <w:rsid w:val="00DE25F8"/>
    <w:rsid w:val="00DE2702"/>
    <w:rsid w:val="00DE276F"/>
    <w:rsid w:val="00DE2933"/>
    <w:rsid w:val="00DE2A42"/>
    <w:rsid w:val="00DE2DC8"/>
    <w:rsid w:val="00DE2DF0"/>
    <w:rsid w:val="00DE3030"/>
    <w:rsid w:val="00DE30D9"/>
    <w:rsid w:val="00DE30FF"/>
    <w:rsid w:val="00DE3160"/>
    <w:rsid w:val="00DE3234"/>
    <w:rsid w:val="00DE3256"/>
    <w:rsid w:val="00DE3388"/>
    <w:rsid w:val="00DE3391"/>
    <w:rsid w:val="00DE3626"/>
    <w:rsid w:val="00DE3A9E"/>
    <w:rsid w:val="00DE3AB0"/>
    <w:rsid w:val="00DE3AD6"/>
    <w:rsid w:val="00DE3B5D"/>
    <w:rsid w:val="00DE3C3D"/>
    <w:rsid w:val="00DE3C79"/>
    <w:rsid w:val="00DE3D68"/>
    <w:rsid w:val="00DE3D72"/>
    <w:rsid w:val="00DE3E55"/>
    <w:rsid w:val="00DE3F9B"/>
    <w:rsid w:val="00DE4099"/>
    <w:rsid w:val="00DE42A8"/>
    <w:rsid w:val="00DE465A"/>
    <w:rsid w:val="00DE4713"/>
    <w:rsid w:val="00DE48E0"/>
    <w:rsid w:val="00DE494C"/>
    <w:rsid w:val="00DE4CCC"/>
    <w:rsid w:val="00DE507C"/>
    <w:rsid w:val="00DE50FF"/>
    <w:rsid w:val="00DE51A4"/>
    <w:rsid w:val="00DE51EE"/>
    <w:rsid w:val="00DE521B"/>
    <w:rsid w:val="00DE55D1"/>
    <w:rsid w:val="00DE597A"/>
    <w:rsid w:val="00DE5CA1"/>
    <w:rsid w:val="00DE5F4C"/>
    <w:rsid w:val="00DE60C8"/>
    <w:rsid w:val="00DE63F8"/>
    <w:rsid w:val="00DE653D"/>
    <w:rsid w:val="00DE65D9"/>
    <w:rsid w:val="00DE662C"/>
    <w:rsid w:val="00DE6647"/>
    <w:rsid w:val="00DE6778"/>
    <w:rsid w:val="00DE6836"/>
    <w:rsid w:val="00DE6956"/>
    <w:rsid w:val="00DE6A4C"/>
    <w:rsid w:val="00DE6B0A"/>
    <w:rsid w:val="00DE6BF9"/>
    <w:rsid w:val="00DE6C99"/>
    <w:rsid w:val="00DE6CEC"/>
    <w:rsid w:val="00DE7099"/>
    <w:rsid w:val="00DE7173"/>
    <w:rsid w:val="00DE72B1"/>
    <w:rsid w:val="00DE7335"/>
    <w:rsid w:val="00DE73BB"/>
    <w:rsid w:val="00DE7527"/>
    <w:rsid w:val="00DE77E6"/>
    <w:rsid w:val="00DE7923"/>
    <w:rsid w:val="00DE7A3B"/>
    <w:rsid w:val="00DE7C22"/>
    <w:rsid w:val="00DE7C63"/>
    <w:rsid w:val="00DF006E"/>
    <w:rsid w:val="00DF014B"/>
    <w:rsid w:val="00DF01EE"/>
    <w:rsid w:val="00DF089E"/>
    <w:rsid w:val="00DF0FA1"/>
    <w:rsid w:val="00DF0FAA"/>
    <w:rsid w:val="00DF0FC5"/>
    <w:rsid w:val="00DF11D4"/>
    <w:rsid w:val="00DF11F5"/>
    <w:rsid w:val="00DF1519"/>
    <w:rsid w:val="00DF15F1"/>
    <w:rsid w:val="00DF1631"/>
    <w:rsid w:val="00DF1819"/>
    <w:rsid w:val="00DF1E4C"/>
    <w:rsid w:val="00DF1E7C"/>
    <w:rsid w:val="00DF22B3"/>
    <w:rsid w:val="00DF233D"/>
    <w:rsid w:val="00DF2380"/>
    <w:rsid w:val="00DF24B5"/>
    <w:rsid w:val="00DF24D6"/>
    <w:rsid w:val="00DF2649"/>
    <w:rsid w:val="00DF26A4"/>
    <w:rsid w:val="00DF274D"/>
    <w:rsid w:val="00DF28C3"/>
    <w:rsid w:val="00DF2B30"/>
    <w:rsid w:val="00DF2B53"/>
    <w:rsid w:val="00DF2C1C"/>
    <w:rsid w:val="00DF2C3F"/>
    <w:rsid w:val="00DF2CBE"/>
    <w:rsid w:val="00DF2D34"/>
    <w:rsid w:val="00DF2EF8"/>
    <w:rsid w:val="00DF30C0"/>
    <w:rsid w:val="00DF30E1"/>
    <w:rsid w:val="00DF3162"/>
    <w:rsid w:val="00DF341B"/>
    <w:rsid w:val="00DF344B"/>
    <w:rsid w:val="00DF3462"/>
    <w:rsid w:val="00DF3928"/>
    <w:rsid w:val="00DF39E9"/>
    <w:rsid w:val="00DF3BD0"/>
    <w:rsid w:val="00DF3BEF"/>
    <w:rsid w:val="00DF3CDA"/>
    <w:rsid w:val="00DF4077"/>
    <w:rsid w:val="00DF431B"/>
    <w:rsid w:val="00DF4358"/>
    <w:rsid w:val="00DF4377"/>
    <w:rsid w:val="00DF4442"/>
    <w:rsid w:val="00DF4490"/>
    <w:rsid w:val="00DF469F"/>
    <w:rsid w:val="00DF46F2"/>
    <w:rsid w:val="00DF4757"/>
    <w:rsid w:val="00DF4852"/>
    <w:rsid w:val="00DF4B02"/>
    <w:rsid w:val="00DF4E36"/>
    <w:rsid w:val="00DF4E78"/>
    <w:rsid w:val="00DF4F12"/>
    <w:rsid w:val="00DF4F92"/>
    <w:rsid w:val="00DF4FCA"/>
    <w:rsid w:val="00DF50CE"/>
    <w:rsid w:val="00DF5233"/>
    <w:rsid w:val="00DF5342"/>
    <w:rsid w:val="00DF55A2"/>
    <w:rsid w:val="00DF55AD"/>
    <w:rsid w:val="00DF5666"/>
    <w:rsid w:val="00DF5759"/>
    <w:rsid w:val="00DF578B"/>
    <w:rsid w:val="00DF59DF"/>
    <w:rsid w:val="00DF59EA"/>
    <w:rsid w:val="00DF5AC7"/>
    <w:rsid w:val="00DF5AF6"/>
    <w:rsid w:val="00DF5B38"/>
    <w:rsid w:val="00DF5B3B"/>
    <w:rsid w:val="00DF5D12"/>
    <w:rsid w:val="00DF5E42"/>
    <w:rsid w:val="00DF5EF3"/>
    <w:rsid w:val="00DF60EF"/>
    <w:rsid w:val="00DF6214"/>
    <w:rsid w:val="00DF6725"/>
    <w:rsid w:val="00DF68DC"/>
    <w:rsid w:val="00DF6987"/>
    <w:rsid w:val="00DF6A2C"/>
    <w:rsid w:val="00DF6CF4"/>
    <w:rsid w:val="00DF6D39"/>
    <w:rsid w:val="00DF6DE1"/>
    <w:rsid w:val="00DF7024"/>
    <w:rsid w:val="00DF72F6"/>
    <w:rsid w:val="00DF733A"/>
    <w:rsid w:val="00DF745A"/>
    <w:rsid w:val="00DF74D9"/>
    <w:rsid w:val="00DF74E6"/>
    <w:rsid w:val="00DF76EB"/>
    <w:rsid w:val="00DF772F"/>
    <w:rsid w:val="00DF7916"/>
    <w:rsid w:val="00DF7ED8"/>
    <w:rsid w:val="00DF7F35"/>
    <w:rsid w:val="00DF7F36"/>
    <w:rsid w:val="00E0001A"/>
    <w:rsid w:val="00E000D6"/>
    <w:rsid w:val="00E0029D"/>
    <w:rsid w:val="00E0049B"/>
    <w:rsid w:val="00E005FE"/>
    <w:rsid w:val="00E00673"/>
    <w:rsid w:val="00E00694"/>
    <w:rsid w:val="00E00697"/>
    <w:rsid w:val="00E0071B"/>
    <w:rsid w:val="00E008B2"/>
    <w:rsid w:val="00E00978"/>
    <w:rsid w:val="00E00D41"/>
    <w:rsid w:val="00E00D67"/>
    <w:rsid w:val="00E00F03"/>
    <w:rsid w:val="00E00FD3"/>
    <w:rsid w:val="00E01033"/>
    <w:rsid w:val="00E0104E"/>
    <w:rsid w:val="00E011AC"/>
    <w:rsid w:val="00E01288"/>
    <w:rsid w:val="00E012C1"/>
    <w:rsid w:val="00E0132A"/>
    <w:rsid w:val="00E018CE"/>
    <w:rsid w:val="00E01B9A"/>
    <w:rsid w:val="00E01C45"/>
    <w:rsid w:val="00E01C77"/>
    <w:rsid w:val="00E01CC6"/>
    <w:rsid w:val="00E02049"/>
    <w:rsid w:val="00E020CC"/>
    <w:rsid w:val="00E0240B"/>
    <w:rsid w:val="00E02444"/>
    <w:rsid w:val="00E024FB"/>
    <w:rsid w:val="00E026CE"/>
    <w:rsid w:val="00E026D7"/>
    <w:rsid w:val="00E027F5"/>
    <w:rsid w:val="00E02823"/>
    <w:rsid w:val="00E02942"/>
    <w:rsid w:val="00E029F3"/>
    <w:rsid w:val="00E02A4F"/>
    <w:rsid w:val="00E02BC0"/>
    <w:rsid w:val="00E02CC1"/>
    <w:rsid w:val="00E02DF7"/>
    <w:rsid w:val="00E03025"/>
    <w:rsid w:val="00E035F2"/>
    <w:rsid w:val="00E0360B"/>
    <w:rsid w:val="00E03628"/>
    <w:rsid w:val="00E036C4"/>
    <w:rsid w:val="00E037FF"/>
    <w:rsid w:val="00E03A96"/>
    <w:rsid w:val="00E03B29"/>
    <w:rsid w:val="00E03BBB"/>
    <w:rsid w:val="00E03C99"/>
    <w:rsid w:val="00E03E63"/>
    <w:rsid w:val="00E03E9C"/>
    <w:rsid w:val="00E040C9"/>
    <w:rsid w:val="00E044A2"/>
    <w:rsid w:val="00E044D8"/>
    <w:rsid w:val="00E048E0"/>
    <w:rsid w:val="00E04A25"/>
    <w:rsid w:val="00E05079"/>
    <w:rsid w:val="00E05307"/>
    <w:rsid w:val="00E0534D"/>
    <w:rsid w:val="00E053BE"/>
    <w:rsid w:val="00E053C3"/>
    <w:rsid w:val="00E0542F"/>
    <w:rsid w:val="00E05443"/>
    <w:rsid w:val="00E05555"/>
    <w:rsid w:val="00E05675"/>
    <w:rsid w:val="00E0583D"/>
    <w:rsid w:val="00E05CC7"/>
    <w:rsid w:val="00E05CCF"/>
    <w:rsid w:val="00E05D00"/>
    <w:rsid w:val="00E05D56"/>
    <w:rsid w:val="00E05DF4"/>
    <w:rsid w:val="00E05EA9"/>
    <w:rsid w:val="00E05F0C"/>
    <w:rsid w:val="00E05F17"/>
    <w:rsid w:val="00E05F62"/>
    <w:rsid w:val="00E0600D"/>
    <w:rsid w:val="00E06287"/>
    <w:rsid w:val="00E06394"/>
    <w:rsid w:val="00E063F6"/>
    <w:rsid w:val="00E065CE"/>
    <w:rsid w:val="00E06B54"/>
    <w:rsid w:val="00E06C4F"/>
    <w:rsid w:val="00E06D4B"/>
    <w:rsid w:val="00E07073"/>
    <w:rsid w:val="00E074CF"/>
    <w:rsid w:val="00E0753C"/>
    <w:rsid w:val="00E07570"/>
    <w:rsid w:val="00E075BF"/>
    <w:rsid w:val="00E075D2"/>
    <w:rsid w:val="00E0762C"/>
    <w:rsid w:val="00E0773B"/>
    <w:rsid w:val="00E077C0"/>
    <w:rsid w:val="00E07914"/>
    <w:rsid w:val="00E07963"/>
    <w:rsid w:val="00E0798B"/>
    <w:rsid w:val="00E079A0"/>
    <w:rsid w:val="00E079B8"/>
    <w:rsid w:val="00E07D20"/>
    <w:rsid w:val="00E101BD"/>
    <w:rsid w:val="00E10313"/>
    <w:rsid w:val="00E105A9"/>
    <w:rsid w:val="00E105AD"/>
    <w:rsid w:val="00E1070B"/>
    <w:rsid w:val="00E1071E"/>
    <w:rsid w:val="00E107B9"/>
    <w:rsid w:val="00E10834"/>
    <w:rsid w:val="00E109A2"/>
    <w:rsid w:val="00E10D01"/>
    <w:rsid w:val="00E10E23"/>
    <w:rsid w:val="00E10F1A"/>
    <w:rsid w:val="00E10F39"/>
    <w:rsid w:val="00E11008"/>
    <w:rsid w:val="00E1108E"/>
    <w:rsid w:val="00E119BC"/>
    <w:rsid w:val="00E119F3"/>
    <w:rsid w:val="00E11C00"/>
    <w:rsid w:val="00E11C15"/>
    <w:rsid w:val="00E11D29"/>
    <w:rsid w:val="00E11EC1"/>
    <w:rsid w:val="00E11FDC"/>
    <w:rsid w:val="00E120F3"/>
    <w:rsid w:val="00E121A5"/>
    <w:rsid w:val="00E12295"/>
    <w:rsid w:val="00E123E4"/>
    <w:rsid w:val="00E1241D"/>
    <w:rsid w:val="00E124F8"/>
    <w:rsid w:val="00E1252D"/>
    <w:rsid w:val="00E125A3"/>
    <w:rsid w:val="00E127E0"/>
    <w:rsid w:val="00E12C0D"/>
    <w:rsid w:val="00E12C20"/>
    <w:rsid w:val="00E12C93"/>
    <w:rsid w:val="00E12DBA"/>
    <w:rsid w:val="00E12E61"/>
    <w:rsid w:val="00E12FF9"/>
    <w:rsid w:val="00E13059"/>
    <w:rsid w:val="00E13084"/>
    <w:rsid w:val="00E1309D"/>
    <w:rsid w:val="00E131FD"/>
    <w:rsid w:val="00E13213"/>
    <w:rsid w:val="00E132DA"/>
    <w:rsid w:val="00E133B1"/>
    <w:rsid w:val="00E13425"/>
    <w:rsid w:val="00E134D7"/>
    <w:rsid w:val="00E1368A"/>
    <w:rsid w:val="00E136B7"/>
    <w:rsid w:val="00E13731"/>
    <w:rsid w:val="00E137EA"/>
    <w:rsid w:val="00E13B7D"/>
    <w:rsid w:val="00E13E76"/>
    <w:rsid w:val="00E13EDB"/>
    <w:rsid w:val="00E14063"/>
    <w:rsid w:val="00E140FB"/>
    <w:rsid w:val="00E14200"/>
    <w:rsid w:val="00E142C4"/>
    <w:rsid w:val="00E142D1"/>
    <w:rsid w:val="00E14423"/>
    <w:rsid w:val="00E144F4"/>
    <w:rsid w:val="00E145E9"/>
    <w:rsid w:val="00E145F0"/>
    <w:rsid w:val="00E14ABE"/>
    <w:rsid w:val="00E14B5E"/>
    <w:rsid w:val="00E14C7B"/>
    <w:rsid w:val="00E14E1D"/>
    <w:rsid w:val="00E15056"/>
    <w:rsid w:val="00E1533D"/>
    <w:rsid w:val="00E153BF"/>
    <w:rsid w:val="00E15478"/>
    <w:rsid w:val="00E15507"/>
    <w:rsid w:val="00E1552B"/>
    <w:rsid w:val="00E1584E"/>
    <w:rsid w:val="00E15879"/>
    <w:rsid w:val="00E158C1"/>
    <w:rsid w:val="00E1597D"/>
    <w:rsid w:val="00E15A92"/>
    <w:rsid w:val="00E15B37"/>
    <w:rsid w:val="00E15D73"/>
    <w:rsid w:val="00E15DB1"/>
    <w:rsid w:val="00E15E20"/>
    <w:rsid w:val="00E160BF"/>
    <w:rsid w:val="00E160EB"/>
    <w:rsid w:val="00E1637E"/>
    <w:rsid w:val="00E16567"/>
    <w:rsid w:val="00E165CF"/>
    <w:rsid w:val="00E16709"/>
    <w:rsid w:val="00E16ADC"/>
    <w:rsid w:val="00E16C2C"/>
    <w:rsid w:val="00E16D5C"/>
    <w:rsid w:val="00E17039"/>
    <w:rsid w:val="00E1706C"/>
    <w:rsid w:val="00E170AB"/>
    <w:rsid w:val="00E170E1"/>
    <w:rsid w:val="00E17134"/>
    <w:rsid w:val="00E172AE"/>
    <w:rsid w:val="00E17552"/>
    <w:rsid w:val="00E175E3"/>
    <w:rsid w:val="00E1772A"/>
    <w:rsid w:val="00E17764"/>
    <w:rsid w:val="00E177BB"/>
    <w:rsid w:val="00E177C5"/>
    <w:rsid w:val="00E178A6"/>
    <w:rsid w:val="00E179F3"/>
    <w:rsid w:val="00E17CE9"/>
    <w:rsid w:val="00E17EBB"/>
    <w:rsid w:val="00E17F1B"/>
    <w:rsid w:val="00E20120"/>
    <w:rsid w:val="00E201BD"/>
    <w:rsid w:val="00E204EA"/>
    <w:rsid w:val="00E20544"/>
    <w:rsid w:val="00E2054D"/>
    <w:rsid w:val="00E205D1"/>
    <w:rsid w:val="00E20678"/>
    <w:rsid w:val="00E208D3"/>
    <w:rsid w:val="00E20C1C"/>
    <w:rsid w:val="00E20D5E"/>
    <w:rsid w:val="00E20E57"/>
    <w:rsid w:val="00E20EA2"/>
    <w:rsid w:val="00E20FEC"/>
    <w:rsid w:val="00E21004"/>
    <w:rsid w:val="00E2109B"/>
    <w:rsid w:val="00E2135A"/>
    <w:rsid w:val="00E213DE"/>
    <w:rsid w:val="00E213FB"/>
    <w:rsid w:val="00E21659"/>
    <w:rsid w:val="00E219E0"/>
    <w:rsid w:val="00E21A3C"/>
    <w:rsid w:val="00E21B03"/>
    <w:rsid w:val="00E21B3F"/>
    <w:rsid w:val="00E21C5A"/>
    <w:rsid w:val="00E21D08"/>
    <w:rsid w:val="00E21E01"/>
    <w:rsid w:val="00E22445"/>
    <w:rsid w:val="00E22542"/>
    <w:rsid w:val="00E2283A"/>
    <w:rsid w:val="00E22907"/>
    <w:rsid w:val="00E229EC"/>
    <w:rsid w:val="00E22D05"/>
    <w:rsid w:val="00E22E12"/>
    <w:rsid w:val="00E22E2D"/>
    <w:rsid w:val="00E22EFA"/>
    <w:rsid w:val="00E22FED"/>
    <w:rsid w:val="00E234EA"/>
    <w:rsid w:val="00E2352C"/>
    <w:rsid w:val="00E2366E"/>
    <w:rsid w:val="00E239C8"/>
    <w:rsid w:val="00E23A67"/>
    <w:rsid w:val="00E23ACC"/>
    <w:rsid w:val="00E23B3F"/>
    <w:rsid w:val="00E2400C"/>
    <w:rsid w:val="00E24385"/>
    <w:rsid w:val="00E244DC"/>
    <w:rsid w:val="00E249FE"/>
    <w:rsid w:val="00E24C09"/>
    <w:rsid w:val="00E24C40"/>
    <w:rsid w:val="00E24D10"/>
    <w:rsid w:val="00E24E8E"/>
    <w:rsid w:val="00E24ECC"/>
    <w:rsid w:val="00E24F5E"/>
    <w:rsid w:val="00E25109"/>
    <w:rsid w:val="00E2517E"/>
    <w:rsid w:val="00E251A8"/>
    <w:rsid w:val="00E25397"/>
    <w:rsid w:val="00E2544C"/>
    <w:rsid w:val="00E2545F"/>
    <w:rsid w:val="00E25649"/>
    <w:rsid w:val="00E256B0"/>
    <w:rsid w:val="00E25711"/>
    <w:rsid w:val="00E259CD"/>
    <w:rsid w:val="00E25B2B"/>
    <w:rsid w:val="00E25B4E"/>
    <w:rsid w:val="00E25B62"/>
    <w:rsid w:val="00E25C2E"/>
    <w:rsid w:val="00E25D8A"/>
    <w:rsid w:val="00E25E9A"/>
    <w:rsid w:val="00E25F8B"/>
    <w:rsid w:val="00E26048"/>
    <w:rsid w:val="00E2608A"/>
    <w:rsid w:val="00E260A3"/>
    <w:rsid w:val="00E26123"/>
    <w:rsid w:val="00E2625B"/>
    <w:rsid w:val="00E2635C"/>
    <w:rsid w:val="00E26579"/>
    <w:rsid w:val="00E265B7"/>
    <w:rsid w:val="00E266D5"/>
    <w:rsid w:val="00E26768"/>
    <w:rsid w:val="00E2687F"/>
    <w:rsid w:val="00E26920"/>
    <w:rsid w:val="00E26A17"/>
    <w:rsid w:val="00E26A6B"/>
    <w:rsid w:val="00E26AAD"/>
    <w:rsid w:val="00E26CA1"/>
    <w:rsid w:val="00E26CEC"/>
    <w:rsid w:val="00E26D15"/>
    <w:rsid w:val="00E27038"/>
    <w:rsid w:val="00E270F8"/>
    <w:rsid w:val="00E271B7"/>
    <w:rsid w:val="00E27271"/>
    <w:rsid w:val="00E27398"/>
    <w:rsid w:val="00E2769D"/>
    <w:rsid w:val="00E2770C"/>
    <w:rsid w:val="00E277C0"/>
    <w:rsid w:val="00E277F3"/>
    <w:rsid w:val="00E278D9"/>
    <w:rsid w:val="00E27A30"/>
    <w:rsid w:val="00E27A41"/>
    <w:rsid w:val="00E27BCE"/>
    <w:rsid w:val="00E27C6E"/>
    <w:rsid w:val="00E27D44"/>
    <w:rsid w:val="00E27DDB"/>
    <w:rsid w:val="00E27E6F"/>
    <w:rsid w:val="00E27EC6"/>
    <w:rsid w:val="00E27F19"/>
    <w:rsid w:val="00E30187"/>
    <w:rsid w:val="00E3026B"/>
    <w:rsid w:val="00E30282"/>
    <w:rsid w:val="00E303C3"/>
    <w:rsid w:val="00E303CA"/>
    <w:rsid w:val="00E30435"/>
    <w:rsid w:val="00E30472"/>
    <w:rsid w:val="00E304E0"/>
    <w:rsid w:val="00E30883"/>
    <w:rsid w:val="00E30A84"/>
    <w:rsid w:val="00E30AE2"/>
    <w:rsid w:val="00E30BF7"/>
    <w:rsid w:val="00E30DBB"/>
    <w:rsid w:val="00E311D3"/>
    <w:rsid w:val="00E31217"/>
    <w:rsid w:val="00E31337"/>
    <w:rsid w:val="00E316D9"/>
    <w:rsid w:val="00E31702"/>
    <w:rsid w:val="00E31712"/>
    <w:rsid w:val="00E31828"/>
    <w:rsid w:val="00E31B75"/>
    <w:rsid w:val="00E31F1C"/>
    <w:rsid w:val="00E31FBD"/>
    <w:rsid w:val="00E3208B"/>
    <w:rsid w:val="00E3211C"/>
    <w:rsid w:val="00E32139"/>
    <w:rsid w:val="00E3224C"/>
    <w:rsid w:val="00E322C0"/>
    <w:rsid w:val="00E3242E"/>
    <w:rsid w:val="00E325A0"/>
    <w:rsid w:val="00E326C3"/>
    <w:rsid w:val="00E32764"/>
    <w:rsid w:val="00E3280F"/>
    <w:rsid w:val="00E32816"/>
    <w:rsid w:val="00E328EF"/>
    <w:rsid w:val="00E329EA"/>
    <w:rsid w:val="00E32AB4"/>
    <w:rsid w:val="00E32D01"/>
    <w:rsid w:val="00E32E8E"/>
    <w:rsid w:val="00E3305C"/>
    <w:rsid w:val="00E330C9"/>
    <w:rsid w:val="00E33169"/>
    <w:rsid w:val="00E3322E"/>
    <w:rsid w:val="00E3330E"/>
    <w:rsid w:val="00E33388"/>
    <w:rsid w:val="00E333C7"/>
    <w:rsid w:val="00E333F8"/>
    <w:rsid w:val="00E334A9"/>
    <w:rsid w:val="00E3351F"/>
    <w:rsid w:val="00E33821"/>
    <w:rsid w:val="00E3387A"/>
    <w:rsid w:val="00E338C4"/>
    <w:rsid w:val="00E33992"/>
    <w:rsid w:val="00E33B17"/>
    <w:rsid w:val="00E33BA9"/>
    <w:rsid w:val="00E33C6B"/>
    <w:rsid w:val="00E33D2E"/>
    <w:rsid w:val="00E33FB1"/>
    <w:rsid w:val="00E34053"/>
    <w:rsid w:val="00E340A6"/>
    <w:rsid w:val="00E34142"/>
    <w:rsid w:val="00E3434B"/>
    <w:rsid w:val="00E34519"/>
    <w:rsid w:val="00E3454B"/>
    <w:rsid w:val="00E3458F"/>
    <w:rsid w:val="00E3466E"/>
    <w:rsid w:val="00E3467A"/>
    <w:rsid w:val="00E3486D"/>
    <w:rsid w:val="00E34901"/>
    <w:rsid w:val="00E34A1C"/>
    <w:rsid w:val="00E34B08"/>
    <w:rsid w:val="00E34DCA"/>
    <w:rsid w:val="00E35069"/>
    <w:rsid w:val="00E350C5"/>
    <w:rsid w:val="00E3517E"/>
    <w:rsid w:val="00E351AD"/>
    <w:rsid w:val="00E35324"/>
    <w:rsid w:val="00E3532D"/>
    <w:rsid w:val="00E35517"/>
    <w:rsid w:val="00E3563F"/>
    <w:rsid w:val="00E35745"/>
    <w:rsid w:val="00E35790"/>
    <w:rsid w:val="00E35930"/>
    <w:rsid w:val="00E35C40"/>
    <w:rsid w:val="00E35C41"/>
    <w:rsid w:val="00E35E8A"/>
    <w:rsid w:val="00E35FD4"/>
    <w:rsid w:val="00E36048"/>
    <w:rsid w:val="00E36114"/>
    <w:rsid w:val="00E361C2"/>
    <w:rsid w:val="00E3639F"/>
    <w:rsid w:val="00E363C4"/>
    <w:rsid w:val="00E3649D"/>
    <w:rsid w:val="00E364B7"/>
    <w:rsid w:val="00E366A7"/>
    <w:rsid w:val="00E36811"/>
    <w:rsid w:val="00E36886"/>
    <w:rsid w:val="00E3689A"/>
    <w:rsid w:val="00E36B60"/>
    <w:rsid w:val="00E36C4A"/>
    <w:rsid w:val="00E37027"/>
    <w:rsid w:val="00E37195"/>
    <w:rsid w:val="00E371CD"/>
    <w:rsid w:val="00E37664"/>
    <w:rsid w:val="00E3797F"/>
    <w:rsid w:val="00E37D25"/>
    <w:rsid w:val="00E37D90"/>
    <w:rsid w:val="00E37DAB"/>
    <w:rsid w:val="00E37DD4"/>
    <w:rsid w:val="00E37E05"/>
    <w:rsid w:val="00E37F26"/>
    <w:rsid w:val="00E4034A"/>
    <w:rsid w:val="00E403B6"/>
    <w:rsid w:val="00E405D9"/>
    <w:rsid w:val="00E405F8"/>
    <w:rsid w:val="00E40646"/>
    <w:rsid w:val="00E40931"/>
    <w:rsid w:val="00E40935"/>
    <w:rsid w:val="00E40B73"/>
    <w:rsid w:val="00E40C99"/>
    <w:rsid w:val="00E40CAE"/>
    <w:rsid w:val="00E40DAE"/>
    <w:rsid w:val="00E40E09"/>
    <w:rsid w:val="00E40E8B"/>
    <w:rsid w:val="00E40EC4"/>
    <w:rsid w:val="00E40F50"/>
    <w:rsid w:val="00E40F62"/>
    <w:rsid w:val="00E41040"/>
    <w:rsid w:val="00E4110F"/>
    <w:rsid w:val="00E4127F"/>
    <w:rsid w:val="00E41483"/>
    <w:rsid w:val="00E4149C"/>
    <w:rsid w:val="00E415E8"/>
    <w:rsid w:val="00E41715"/>
    <w:rsid w:val="00E417D4"/>
    <w:rsid w:val="00E419ED"/>
    <w:rsid w:val="00E41A1C"/>
    <w:rsid w:val="00E41A57"/>
    <w:rsid w:val="00E41B0A"/>
    <w:rsid w:val="00E41D91"/>
    <w:rsid w:val="00E41ED0"/>
    <w:rsid w:val="00E421CE"/>
    <w:rsid w:val="00E42420"/>
    <w:rsid w:val="00E42500"/>
    <w:rsid w:val="00E42510"/>
    <w:rsid w:val="00E42599"/>
    <w:rsid w:val="00E42749"/>
    <w:rsid w:val="00E4277E"/>
    <w:rsid w:val="00E429E9"/>
    <w:rsid w:val="00E42A03"/>
    <w:rsid w:val="00E42A71"/>
    <w:rsid w:val="00E42BF2"/>
    <w:rsid w:val="00E42DA0"/>
    <w:rsid w:val="00E42E19"/>
    <w:rsid w:val="00E42E35"/>
    <w:rsid w:val="00E42E94"/>
    <w:rsid w:val="00E42F09"/>
    <w:rsid w:val="00E4323E"/>
    <w:rsid w:val="00E43249"/>
    <w:rsid w:val="00E432D6"/>
    <w:rsid w:val="00E43349"/>
    <w:rsid w:val="00E434A2"/>
    <w:rsid w:val="00E4358E"/>
    <w:rsid w:val="00E43590"/>
    <w:rsid w:val="00E436A2"/>
    <w:rsid w:val="00E43875"/>
    <w:rsid w:val="00E43916"/>
    <w:rsid w:val="00E43943"/>
    <w:rsid w:val="00E43BCC"/>
    <w:rsid w:val="00E43C4C"/>
    <w:rsid w:val="00E43D3C"/>
    <w:rsid w:val="00E44001"/>
    <w:rsid w:val="00E44247"/>
    <w:rsid w:val="00E444A8"/>
    <w:rsid w:val="00E445FC"/>
    <w:rsid w:val="00E446DF"/>
    <w:rsid w:val="00E4477C"/>
    <w:rsid w:val="00E4483A"/>
    <w:rsid w:val="00E448F7"/>
    <w:rsid w:val="00E44B3D"/>
    <w:rsid w:val="00E44ECB"/>
    <w:rsid w:val="00E450FC"/>
    <w:rsid w:val="00E4516A"/>
    <w:rsid w:val="00E45254"/>
    <w:rsid w:val="00E4539B"/>
    <w:rsid w:val="00E453E7"/>
    <w:rsid w:val="00E453FC"/>
    <w:rsid w:val="00E45427"/>
    <w:rsid w:val="00E4552F"/>
    <w:rsid w:val="00E455D8"/>
    <w:rsid w:val="00E45637"/>
    <w:rsid w:val="00E458D1"/>
    <w:rsid w:val="00E458D8"/>
    <w:rsid w:val="00E45914"/>
    <w:rsid w:val="00E45918"/>
    <w:rsid w:val="00E45A24"/>
    <w:rsid w:val="00E45A8D"/>
    <w:rsid w:val="00E45A99"/>
    <w:rsid w:val="00E45B2E"/>
    <w:rsid w:val="00E45B9A"/>
    <w:rsid w:val="00E45C71"/>
    <w:rsid w:val="00E45CE2"/>
    <w:rsid w:val="00E45E23"/>
    <w:rsid w:val="00E45E82"/>
    <w:rsid w:val="00E45EE8"/>
    <w:rsid w:val="00E45F56"/>
    <w:rsid w:val="00E4611D"/>
    <w:rsid w:val="00E46166"/>
    <w:rsid w:val="00E46258"/>
    <w:rsid w:val="00E46334"/>
    <w:rsid w:val="00E46459"/>
    <w:rsid w:val="00E4657F"/>
    <w:rsid w:val="00E465B9"/>
    <w:rsid w:val="00E46810"/>
    <w:rsid w:val="00E46958"/>
    <w:rsid w:val="00E469C6"/>
    <w:rsid w:val="00E46C86"/>
    <w:rsid w:val="00E46EF6"/>
    <w:rsid w:val="00E47035"/>
    <w:rsid w:val="00E47044"/>
    <w:rsid w:val="00E470DC"/>
    <w:rsid w:val="00E47118"/>
    <w:rsid w:val="00E47174"/>
    <w:rsid w:val="00E4730B"/>
    <w:rsid w:val="00E47364"/>
    <w:rsid w:val="00E47386"/>
    <w:rsid w:val="00E473A6"/>
    <w:rsid w:val="00E47543"/>
    <w:rsid w:val="00E47645"/>
    <w:rsid w:val="00E477A2"/>
    <w:rsid w:val="00E477CB"/>
    <w:rsid w:val="00E479A5"/>
    <w:rsid w:val="00E47A3E"/>
    <w:rsid w:val="00E47A59"/>
    <w:rsid w:val="00E47AE7"/>
    <w:rsid w:val="00E47B49"/>
    <w:rsid w:val="00E47BC3"/>
    <w:rsid w:val="00E47EF1"/>
    <w:rsid w:val="00E47F00"/>
    <w:rsid w:val="00E50044"/>
    <w:rsid w:val="00E500D7"/>
    <w:rsid w:val="00E50170"/>
    <w:rsid w:val="00E50304"/>
    <w:rsid w:val="00E503AA"/>
    <w:rsid w:val="00E50492"/>
    <w:rsid w:val="00E506A0"/>
    <w:rsid w:val="00E509AC"/>
    <w:rsid w:val="00E50B91"/>
    <w:rsid w:val="00E50DA3"/>
    <w:rsid w:val="00E51006"/>
    <w:rsid w:val="00E5100B"/>
    <w:rsid w:val="00E51212"/>
    <w:rsid w:val="00E5129F"/>
    <w:rsid w:val="00E512D4"/>
    <w:rsid w:val="00E514D1"/>
    <w:rsid w:val="00E5159A"/>
    <w:rsid w:val="00E51688"/>
    <w:rsid w:val="00E517EF"/>
    <w:rsid w:val="00E51802"/>
    <w:rsid w:val="00E518A7"/>
    <w:rsid w:val="00E519BB"/>
    <w:rsid w:val="00E51B09"/>
    <w:rsid w:val="00E51BA2"/>
    <w:rsid w:val="00E51C91"/>
    <w:rsid w:val="00E51ED3"/>
    <w:rsid w:val="00E5211C"/>
    <w:rsid w:val="00E5220C"/>
    <w:rsid w:val="00E52339"/>
    <w:rsid w:val="00E52387"/>
    <w:rsid w:val="00E52486"/>
    <w:rsid w:val="00E5249B"/>
    <w:rsid w:val="00E52530"/>
    <w:rsid w:val="00E52575"/>
    <w:rsid w:val="00E527DF"/>
    <w:rsid w:val="00E528FD"/>
    <w:rsid w:val="00E529F5"/>
    <w:rsid w:val="00E52A77"/>
    <w:rsid w:val="00E52D86"/>
    <w:rsid w:val="00E52E1C"/>
    <w:rsid w:val="00E53314"/>
    <w:rsid w:val="00E5344F"/>
    <w:rsid w:val="00E534F4"/>
    <w:rsid w:val="00E5356B"/>
    <w:rsid w:val="00E535E9"/>
    <w:rsid w:val="00E53644"/>
    <w:rsid w:val="00E53888"/>
    <w:rsid w:val="00E538DA"/>
    <w:rsid w:val="00E53939"/>
    <w:rsid w:val="00E53AE2"/>
    <w:rsid w:val="00E53B1B"/>
    <w:rsid w:val="00E53B59"/>
    <w:rsid w:val="00E53E00"/>
    <w:rsid w:val="00E53E6B"/>
    <w:rsid w:val="00E5401B"/>
    <w:rsid w:val="00E5401C"/>
    <w:rsid w:val="00E5408F"/>
    <w:rsid w:val="00E5409F"/>
    <w:rsid w:val="00E54221"/>
    <w:rsid w:val="00E54239"/>
    <w:rsid w:val="00E543EA"/>
    <w:rsid w:val="00E544AD"/>
    <w:rsid w:val="00E54616"/>
    <w:rsid w:val="00E546E4"/>
    <w:rsid w:val="00E5471F"/>
    <w:rsid w:val="00E54744"/>
    <w:rsid w:val="00E54AE1"/>
    <w:rsid w:val="00E54C3C"/>
    <w:rsid w:val="00E54C70"/>
    <w:rsid w:val="00E54DBC"/>
    <w:rsid w:val="00E54E3E"/>
    <w:rsid w:val="00E55063"/>
    <w:rsid w:val="00E550E3"/>
    <w:rsid w:val="00E5511E"/>
    <w:rsid w:val="00E55154"/>
    <w:rsid w:val="00E55246"/>
    <w:rsid w:val="00E553FD"/>
    <w:rsid w:val="00E55456"/>
    <w:rsid w:val="00E554DA"/>
    <w:rsid w:val="00E5558F"/>
    <w:rsid w:val="00E555EC"/>
    <w:rsid w:val="00E55686"/>
    <w:rsid w:val="00E559C1"/>
    <w:rsid w:val="00E55EB8"/>
    <w:rsid w:val="00E55F5D"/>
    <w:rsid w:val="00E562D7"/>
    <w:rsid w:val="00E562DA"/>
    <w:rsid w:val="00E562F4"/>
    <w:rsid w:val="00E56311"/>
    <w:rsid w:val="00E5638C"/>
    <w:rsid w:val="00E563AC"/>
    <w:rsid w:val="00E5650A"/>
    <w:rsid w:val="00E56AC0"/>
    <w:rsid w:val="00E56B14"/>
    <w:rsid w:val="00E56D5B"/>
    <w:rsid w:val="00E56ED0"/>
    <w:rsid w:val="00E56F41"/>
    <w:rsid w:val="00E56F5B"/>
    <w:rsid w:val="00E571CE"/>
    <w:rsid w:val="00E57319"/>
    <w:rsid w:val="00E5742E"/>
    <w:rsid w:val="00E574EC"/>
    <w:rsid w:val="00E574FB"/>
    <w:rsid w:val="00E57536"/>
    <w:rsid w:val="00E575F5"/>
    <w:rsid w:val="00E57662"/>
    <w:rsid w:val="00E576F2"/>
    <w:rsid w:val="00E5770A"/>
    <w:rsid w:val="00E57A0C"/>
    <w:rsid w:val="00E57A32"/>
    <w:rsid w:val="00E57B7E"/>
    <w:rsid w:val="00E57D56"/>
    <w:rsid w:val="00E57F9C"/>
    <w:rsid w:val="00E57FAB"/>
    <w:rsid w:val="00E57FD8"/>
    <w:rsid w:val="00E57FDD"/>
    <w:rsid w:val="00E60020"/>
    <w:rsid w:val="00E60157"/>
    <w:rsid w:val="00E60290"/>
    <w:rsid w:val="00E6031F"/>
    <w:rsid w:val="00E603CA"/>
    <w:rsid w:val="00E603D8"/>
    <w:rsid w:val="00E607DB"/>
    <w:rsid w:val="00E6098C"/>
    <w:rsid w:val="00E60C02"/>
    <w:rsid w:val="00E60CEC"/>
    <w:rsid w:val="00E60CF9"/>
    <w:rsid w:val="00E60E15"/>
    <w:rsid w:val="00E60F1F"/>
    <w:rsid w:val="00E60FD4"/>
    <w:rsid w:val="00E61036"/>
    <w:rsid w:val="00E6113F"/>
    <w:rsid w:val="00E61146"/>
    <w:rsid w:val="00E6125B"/>
    <w:rsid w:val="00E61319"/>
    <w:rsid w:val="00E615F9"/>
    <w:rsid w:val="00E61613"/>
    <w:rsid w:val="00E616F4"/>
    <w:rsid w:val="00E6181B"/>
    <w:rsid w:val="00E61939"/>
    <w:rsid w:val="00E6193C"/>
    <w:rsid w:val="00E61A97"/>
    <w:rsid w:val="00E61BF4"/>
    <w:rsid w:val="00E61C8F"/>
    <w:rsid w:val="00E61CFD"/>
    <w:rsid w:val="00E6215B"/>
    <w:rsid w:val="00E6227E"/>
    <w:rsid w:val="00E62449"/>
    <w:rsid w:val="00E624A2"/>
    <w:rsid w:val="00E625DB"/>
    <w:rsid w:val="00E62644"/>
    <w:rsid w:val="00E62839"/>
    <w:rsid w:val="00E62B3C"/>
    <w:rsid w:val="00E62B4A"/>
    <w:rsid w:val="00E62BC2"/>
    <w:rsid w:val="00E62C79"/>
    <w:rsid w:val="00E62D36"/>
    <w:rsid w:val="00E62D72"/>
    <w:rsid w:val="00E62DEA"/>
    <w:rsid w:val="00E62E1D"/>
    <w:rsid w:val="00E62F8A"/>
    <w:rsid w:val="00E63100"/>
    <w:rsid w:val="00E63186"/>
    <w:rsid w:val="00E6324F"/>
    <w:rsid w:val="00E633F7"/>
    <w:rsid w:val="00E6348B"/>
    <w:rsid w:val="00E635A7"/>
    <w:rsid w:val="00E638BF"/>
    <w:rsid w:val="00E63A1E"/>
    <w:rsid w:val="00E63A70"/>
    <w:rsid w:val="00E63B5B"/>
    <w:rsid w:val="00E63B62"/>
    <w:rsid w:val="00E63D81"/>
    <w:rsid w:val="00E63DAA"/>
    <w:rsid w:val="00E63E7C"/>
    <w:rsid w:val="00E63FBB"/>
    <w:rsid w:val="00E63FEA"/>
    <w:rsid w:val="00E64149"/>
    <w:rsid w:val="00E6430E"/>
    <w:rsid w:val="00E64379"/>
    <w:rsid w:val="00E644DC"/>
    <w:rsid w:val="00E64513"/>
    <w:rsid w:val="00E645B4"/>
    <w:rsid w:val="00E646F9"/>
    <w:rsid w:val="00E64730"/>
    <w:rsid w:val="00E647E4"/>
    <w:rsid w:val="00E64A35"/>
    <w:rsid w:val="00E64B92"/>
    <w:rsid w:val="00E64C16"/>
    <w:rsid w:val="00E64CAF"/>
    <w:rsid w:val="00E64D49"/>
    <w:rsid w:val="00E64DF8"/>
    <w:rsid w:val="00E64E1A"/>
    <w:rsid w:val="00E651C5"/>
    <w:rsid w:val="00E652CC"/>
    <w:rsid w:val="00E6537D"/>
    <w:rsid w:val="00E653B0"/>
    <w:rsid w:val="00E654AB"/>
    <w:rsid w:val="00E65506"/>
    <w:rsid w:val="00E65551"/>
    <w:rsid w:val="00E65619"/>
    <w:rsid w:val="00E65823"/>
    <w:rsid w:val="00E65862"/>
    <w:rsid w:val="00E65A66"/>
    <w:rsid w:val="00E65C73"/>
    <w:rsid w:val="00E65CD8"/>
    <w:rsid w:val="00E65CEC"/>
    <w:rsid w:val="00E65EE5"/>
    <w:rsid w:val="00E65F55"/>
    <w:rsid w:val="00E65FF9"/>
    <w:rsid w:val="00E66191"/>
    <w:rsid w:val="00E661F8"/>
    <w:rsid w:val="00E66348"/>
    <w:rsid w:val="00E6635E"/>
    <w:rsid w:val="00E66459"/>
    <w:rsid w:val="00E666AB"/>
    <w:rsid w:val="00E66765"/>
    <w:rsid w:val="00E667A1"/>
    <w:rsid w:val="00E66C0F"/>
    <w:rsid w:val="00E66C2C"/>
    <w:rsid w:val="00E66C60"/>
    <w:rsid w:val="00E66DA1"/>
    <w:rsid w:val="00E66F0B"/>
    <w:rsid w:val="00E66FB0"/>
    <w:rsid w:val="00E67028"/>
    <w:rsid w:val="00E671BC"/>
    <w:rsid w:val="00E67322"/>
    <w:rsid w:val="00E67336"/>
    <w:rsid w:val="00E675CF"/>
    <w:rsid w:val="00E676C7"/>
    <w:rsid w:val="00E676F7"/>
    <w:rsid w:val="00E67710"/>
    <w:rsid w:val="00E67724"/>
    <w:rsid w:val="00E67774"/>
    <w:rsid w:val="00E677CE"/>
    <w:rsid w:val="00E6785D"/>
    <w:rsid w:val="00E67883"/>
    <w:rsid w:val="00E67910"/>
    <w:rsid w:val="00E67C7F"/>
    <w:rsid w:val="00E67D86"/>
    <w:rsid w:val="00E67E60"/>
    <w:rsid w:val="00E67F56"/>
    <w:rsid w:val="00E700AD"/>
    <w:rsid w:val="00E70112"/>
    <w:rsid w:val="00E70349"/>
    <w:rsid w:val="00E70483"/>
    <w:rsid w:val="00E704FA"/>
    <w:rsid w:val="00E7050E"/>
    <w:rsid w:val="00E7051A"/>
    <w:rsid w:val="00E7056C"/>
    <w:rsid w:val="00E7059F"/>
    <w:rsid w:val="00E70624"/>
    <w:rsid w:val="00E70729"/>
    <w:rsid w:val="00E7085F"/>
    <w:rsid w:val="00E7088F"/>
    <w:rsid w:val="00E70A04"/>
    <w:rsid w:val="00E70A71"/>
    <w:rsid w:val="00E70CA9"/>
    <w:rsid w:val="00E70D98"/>
    <w:rsid w:val="00E7115C"/>
    <w:rsid w:val="00E71210"/>
    <w:rsid w:val="00E7128D"/>
    <w:rsid w:val="00E71394"/>
    <w:rsid w:val="00E7155A"/>
    <w:rsid w:val="00E71572"/>
    <w:rsid w:val="00E71682"/>
    <w:rsid w:val="00E716EF"/>
    <w:rsid w:val="00E7177C"/>
    <w:rsid w:val="00E7184D"/>
    <w:rsid w:val="00E718AB"/>
    <w:rsid w:val="00E71993"/>
    <w:rsid w:val="00E71A4D"/>
    <w:rsid w:val="00E71AB7"/>
    <w:rsid w:val="00E71CDB"/>
    <w:rsid w:val="00E71D94"/>
    <w:rsid w:val="00E71E10"/>
    <w:rsid w:val="00E71F62"/>
    <w:rsid w:val="00E7202E"/>
    <w:rsid w:val="00E720E5"/>
    <w:rsid w:val="00E7221D"/>
    <w:rsid w:val="00E722B2"/>
    <w:rsid w:val="00E722E3"/>
    <w:rsid w:val="00E722F1"/>
    <w:rsid w:val="00E726A9"/>
    <w:rsid w:val="00E728B8"/>
    <w:rsid w:val="00E72AAE"/>
    <w:rsid w:val="00E72B8D"/>
    <w:rsid w:val="00E72CC2"/>
    <w:rsid w:val="00E72D67"/>
    <w:rsid w:val="00E72FB4"/>
    <w:rsid w:val="00E73093"/>
    <w:rsid w:val="00E730BD"/>
    <w:rsid w:val="00E730CC"/>
    <w:rsid w:val="00E7314A"/>
    <w:rsid w:val="00E7316E"/>
    <w:rsid w:val="00E731EE"/>
    <w:rsid w:val="00E73242"/>
    <w:rsid w:val="00E7337D"/>
    <w:rsid w:val="00E73417"/>
    <w:rsid w:val="00E73474"/>
    <w:rsid w:val="00E7351B"/>
    <w:rsid w:val="00E735F4"/>
    <w:rsid w:val="00E73858"/>
    <w:rsid w:val="00E73B7A"/>
    <w:rsid w:val="00E73D57"/>
    <w:rsid w:val="00E73DE5"/>
    <w:rsid w:val="00E73E02"/>
    <w:rsid w:val="00E73EB9"/>
    <w:rsid w:val="00E73F80"/>
    <w:rsid w:val="00E73FBD"/>
    <w:rsid w:val="00E7413E"/>
    <w:rsid w:val="00E7426D"/>
    <w:rsid w:val="00E74289"/>
    <w:rsid w:val="00E74336"/>
    <w:rsid w:val="00E743AC"/>
    <w:rsid w:val="00E7440E"/>
    <w:rsid w:val="00E746C8"/>
    <w:rsid w:val="00E747D9"/>
    <w:rsid w:val="00E7483E"/>
    <w:rsid w:val="00E7485B"/>
    <w:rsid w:val="00E7486F"/>
    <w:rsid w:val="00E74973"/>
    <w:rsid w:val="00E749CE"/>
    <w:rsid w:val="00E749E3"/>
    <w:rsid w:val="00E74A11"/>
    <w:rsid w:val="00E74B63"/>
    <w:rsid w:val="00E74B8F"/>
    <w:rsid w:val="00E74C14"/>
    <w:rsid w:val="00E74D76"/>
    <w:rsid w:val="00E74E5D"/>
    <w:rsid w:val="00E74EDE"/>
    <w:rsid w:val="00E74EED"/>
    <w:rsid w:val="00E750DD"/>
    <w:rsid w:val="00E7515C"/>
    <w:rsid w:val="00E7515F"/>
    <w:rsid w:val="00E751F0"/>
    <w:rsid w:val="00E752E4"/>
    <w:rsid w:val="00E75308"/>
    <w:rsid w:val="00E75520"/>
    <w:rsid w:val="00E756D5"/>
    <w:rsid w:val="00E75810"/>
    <w:rsid w:val="00E75A31"/>
    <w:rsid w:val="00E75AFA"/>
    <w:rsid w:val="00E75D25"/>
    <w:rsid w:val="00E75F2E"/>
    <w:rsid w:val="00E7615F"/>
    <w:rsid w:val="00E761C1"/>
    <w:rsid w:val="00E76203"/>
    <w:rsid w:val="00E76442"/>
    <w:rsid w:val="00E764B1"/>
    <w:rsid w:val="00E76759"/>
    <w:rsid w:val="00E769D0"/>
    <w:rsid w:val="00E76AE0"/>
    <w:rsid w:val="00E76B74"/>
    <w:rsid w:val="00E76CFE"/>
    <w:rsid w:val="00E76F55"/>
    <w:rsid w:val="00E77260"/>
    <w:rsid w:val="00E77467"/>
    <w:rsid w:val="00E7748C"/>
    <w:rsid w:val="00E7790A"/>
    <w:rsid w:val="00E77CC2"/>
    <w:rsid w:val="00E77CE6"/>
    <w:rsid w:val="00E77CFE"/>
    <w:rsid w:val="00E77D0B"/>
    <w:rsid w:val="00E77D39"/>
    <w:rsid w:val="00E77DE6"/>
    <w:rsid w:val="00E77E5E"/>
    <w:rsid w:val="00E77EB0"/>
    <w:rsid w:val="00E800A5"/>
    <w:rsid w:val="00E800DA"/>
    <w:rsid w:val="00E8019D"/>
    <w:rsid w:val="00E80248"/>
    <w:rsid w:val="00E802B8"/>
    <w:rsid w:val="00E80341"/>
    <w:rsid w:val="00E80437"/>
    <w:rsid w:val="00E8044A"/>
    <w:rsid w:val="00E8064D"/>
    <w:rsid w:val="00E808B8"/>
    <w:rsid w:val="00E80A26"/>
    <w:rsid w:val="00E80CBB"/>
    <w:rsid w:val="00E80E53"/>
    <w:rsid w:val="00E810B5"/>
    <w:rsid w:val="00E810F9"/>
    <w:rsid w:val="00E81152"/>
    <w:rsid w:val="00E8131D"/>
    <w:rsid w:val="00E8132D"/>
    <w:rsid w:val="00E81345"/>
    <w:rsid w:val="00E813B0"/>
    <w:rsid w:val="00E813DD"/>
    <w:rsid w:val="00E81456"/>
    <w:rsid w:val="00E815D5"/>
    <w:rsid w:val="00E815EB"/>
    <w:rsid w:val="00E8162E"/>
    <w:rsid w:val="00E81659"/>
    <w:rsid w:val="00E817F8"/>
    <w:rsid w:val="00E81A87"/>
    <w:rsid w:val="00E81BC3"/>
    <w:rsid w:val="00E81E61"/>
    <w:rsid w:val="00E81E8F"/>
    <w:rsid w:val="00E82046"/>
    <w:rsid w:val="00E8208B"/>
    <w:rsid w:val="00E821F1"/>
    <w:rsid w:val="00E82269"/>
    <w:rsid w:val="00E8227D"/>
    <w:rsid w:val="00E82424"/>
    <w:rsid w:val="00E8242A"/>
    <w:rsid w:val="00E82513"/>
    <w:rsid w:val="00E82846"/>
    <w:rsid w:val="00E829B0"/>
    <w:rsid w:val="00E82BCD"/>
    <w:rsid w:val="00E82DB6"/>
    <w:rsid w:val="00E82DDC"/>
    <w:rsid w:val="00E82E3C"/>
    <w:rsid w:val="00E82E84"/>
    <w:rsid w:val="00E82F77"/>
    <w:rsid w:val="00E82FC3"/>
    <w:rsid w:val="00E82FD2"/>
    <w:rsid w:val="00E830F7"/>
    <w:rsid w:val="00E8324A"/>
    <w:rsid w:val="00E832CD"/>
    <w:rsid w:val="00E8339C"/>
    <w:rsid w:val="00E83480"/>
    <w:rsid w:val="00E8373C"/>
    <w:rsid w:val="00E83948"/>
    <w:rsid w:val="00E83995"/>
    <w:rsid w:val="00E83A74"/>
    <w:rsid w:val="00E83CE4"/>
    <w:rsid w:val="00E83CF9"/>
    <w:rsid w:val="00E83D44"/>
    <w:rsid w:val="00E83DC4"/>
    <w:rsid w:val="00E83DD2"/>
    <w:rsid w:val="00E83E49"/>
    <w:rsid w:val="00E83EFD"/>
    <w:rsid w:val="00E83F0F"/>
    <w:rsid w:val="00E83F59"/>
    <w:rsid w:val="00E8404E"/>
    <w:rsid w:val="00E840B2"/>
    <w:rsid w:val="00E84132"/>
    <w:rsid w:val="00E84453"/>
    <w:rsid w:val="00E844A4"/>
    <w:rsid w:val="00E84623"/>
    <w:rsid w:val="00E8469B"/>
    <w:rsid w:val="00E846AC"/>
    <w:rsid w:val="00E84AAE"/>
    <w:rsid w:val="00E84AC1"/>
    <w:rsid w:val="00E84B56"/>
    <w:rsid w:val="00E84C8F"/>
    <w:rsid w:val="00E84CB6"/>
    <w:rsid w:val="00E84D83"/>
    <w:rsid w:val="00E84DC3"/>
    <w:rsid w:val="00E84F96"/>
    <w:rsid w:val="00E8511E"/>
    <w:rsid w:val="00E85273"/>
    <w:rsid w:val="00E8557F"/>
    <w:rsid w:val="00E85594"/>
    <w:rsid w:val="00E856EA"/>
    <w:rsid w:val="00E85944"/>
    <w:rsid w:val="00E859E3"/>
    <w:rsid w:val="00E85ACB"/>
    <w:rsid w:val="00E85C3F"/>
    <w:rsid w:val="00E85C52"/>
    <w:rsid w:val="00E85CC5"/>
    <w:rsid w:val="00E85D5D"/>
    <w:rsid w:val="00E85DB0"/>
    <w:rsid w:val="00E85F21"/>
    <w:rsid w:val="00E8608B"/>
    <w:rsid w:val="00E860BB"/>
    <w:rsid w:val="00E86143"/>
    <w:rsid w:val="00E863A2"/>
    <w:rsid w:val="00E863E3"/>
    <w:rsid w:val="00E86493"/>
    <w:rsid w:val="00E864F4"/>
    <w:rsid w:val="00E865EB"/>
    <w:rsid w:val="00E86674"/>
    <w:rsid w:val="00E8684D"/>
    <w:rsid w:val="00E8698F"/>
    <w:rsid w:val="00E869AE"/>
    <w:rsid w:val="00E86BBA"/>
    <w:rsid w:val="00E86C7D"/>
    <w:rsid w:val="00E86CEC"/>
    <w:rsid w:val="00E86CFA"/>
    <w:rsid w:val="00E86D6D"/>
    <w:rsid w:val="00E86F04"/>
    <w:rsid w:val="00E872D8"/>
    <w:rsid w:val="00E87417"/>
    <w:rsid w:val="00E875D7"/>
    <w:rsid w:val="00E87602"/>
    <w:rsid w:val="00E876B3"/>
    <w:rsid w:val="00E87731"/>
    <w:rsid w:val="00E87C15"/>
    <w:rsid w:val="00E87CB4"/>
    <w:rsid w:val="00E87CFA"/>
    <w:rsid w:val="00E87E8C"/>
    <w:rsid w:val="00E87FF0"/>
    <w:rsid w:val="00E9007E"/>
    <w:rsid w:val="00E9048E"/>
    <w:rsid w:val="00E9055F"/>
    <w:rsid w:val="00E9075D"/>
    <w:rsid w:val="00E9094B"/>
    <w:rsid w:val="00E90A3C"/>
    <w:rsid w:val="00E90A72"/>
    <w:rsid w:val="00E90BF4"/>
    <w:rsid w:val="00E90BFE"/>
    <w:rsid w:val="00E90C0B"/>
    <w:rsid w:val="00E90C11"/>
    <w:rsid w:val="00E90C48"/>
    <w:rsid w:val="00E90C52"/>
    <w:rsid w:val="00E90CD3"/>
    <w:rsid w:val="00E90D43"/>
    <w:rsid w:val="00E90D56"/>
    <w:rsid w:val="00E90D91"/>
    <w:rsid w:val="00E90E42"/>
    <w:rsid w:val="00E90EE6"/>
    <w:rsid w:val="00E90F3B"/>
    <w:rsid w:val="00E910A6"/>
    <w:rsid w:val="00E9136F"/>
    <w:rsid w:val="00E9142A"/>
    <w:rsid w:val="00E914FA"/>
    <w:rsid w:val="00E91554"/>
    <w:rsid w:val="00E918C8"/>
    <w:rsid w:val="00E91EDE"/>
    <w:rsid w:val="00E92074"/>
    <w:rsid w:val="00E920A2"/>
    <w:rsid w:val="00E920E3"/>
    <w:rsid w:val="00E923F9"/>
    <w:rsid w:val="00E92457"/>
    <w:rsid w:val="00E92494"/>
    <w:rsid w:val="00E926DB"/>
    <w:rsid w:val="00E927A5"/>
    <w:rsid w:val="00E92841"/>
    <w:rsid w:val="00E92974"/>
    <w:rsid w:val="00E92AB7"/>
    <w:rsid w:val="00E92B7F"/>
    <w:rsid w:val="00E92BF3"/>
    <w:rsid w:val="00E92C76"/>
    <w:rsid w:val="00E92D62"/>
    <w:rsid w:val="00E92F54"/>
    <w:rsid w:val="00E92F98"/>
    <w:rsid w:val="00E9302C"/>
    <w:rsid w:val="00E9305E"/>
    <w:rsid w:val="00E9311B"/>
    <w:rsid w:val="00E9314A"/>
    <w:rsid w:val="00E932B1"/>
    <w:rsid w:val="00E9331D"/>
    <w:rsid w:val="00E933A5"/>
    <w:rsid w:val="00E933A6"/>
    <w:rsid w:val="00E93568"/>
    <w:rsid w:val="00E936AC"/>
    <w:rsid w:val="00E936C7"/>
    <w:rsid w:val="00E93720"/>
    <w:rsid w:val="00E9381E"/>
    <w:rsid w:val="00E93827"/>
    <w:rsid w:val="00E939AE"/>
    <w:rsid w:val="00E939C7"/>
    <w:rsid w:val="00E93B3F"/>
    <w:rsid w:val="00E93BE1"/>
    <w:rsid w:val="00E93BEA"/>
    <w:rsid w:val="00E93C95"/>
    <w:rsid w:val="00E93CDF"/>
    <w:rsid w:val="00E93F24"/>
    <w:rsid w:val="00E940D1"/>
    <w:rsid w:val="00E94405"/>
    <w:rsid w:val="00E9485A"/>
    <w:rsid w:val="00E949DF"/>
    <w:rsid w:val="00E94A85"/>
    <w:rsid w:val="00E94A95"/>
    <w:rsid w:val="00E94C8B"/>
    <w:rsid w:val="00E94EFA"/>
    <w:rsid w:val="00E95143"/>
    <w:rsid w:val="00E95205"/>
    <w:rsid w:val="00E95314"/>
    <w:rsid w:val="00E95322"/>
    <w:rsid w:val="00E9543A"/>
    <w:rsid w:val="00E95454"/>
    <w:rsid w:val="00E95490"/>
    <w:rsid w:val="00E95505"/>
    <w:rsid w:val="00E95526"/>
    <w:rsid w:val="00E956CA"/>
    <w:rsid w:val="00E9584A"/>
    <w:rsid w:val="00E95990"/>
    <w:rsid w:val="00E95B61"/>
    <w:rsid w:val="00E95B8F"/>
    <w:rsid w:val="00E95CD0"/>
    <w:rsid w:val="00E95E28"/>
    <w:rsid w:val="00E9606B"/>
    <w:rsid w:val="00E9621C"/>
    <w:rsid w:val="00E96330"/>
    <w:rsid w:val="00E963A6"/>
    <w:rsid w:val="00E96474"/>
    <w:rsid w:val="00E964D4"/>
    <w:rsid w:val="00E96512"/>
    <w:rsid w:val="00E96663"/>
    <w:rsid w:val="00E96791"/>
    <w:rsid w:val="00E968C1"/>
    <w:rsid w:val="00E968FE"/>
    <w:rsid w:val="00E96D05"/>
    <w:rsid w:val="00E96D77"/>
    <w:rsid w:val="00E96EC8"/>
    <w:rsid w:val="00E96F49"/>
    <w:rsid w:val="00E9710D"/>
    <w:rsid w:val="00E971CA"/>
    <w:rsid w:val="00E971F6"/>
    <w:rsid w:val="00E9733E"/>
    <w:rsid w:val="00E97470"/>
    <w:rsid w:val="00E977C7"/>
    <w:rsid w:val="00E9790F"/>
    <w:rsid w:val="00E97970"/>
    <w:rsid w:val="00E9799B"/>
    <w:rsid w:val="00E979F7"/>
    <w:rsid w:val="00E97C24"/>
    <w:rsid w:val="00E97D1C"/>
    <w:rsid w:val="00E97EEB"/>
    <w:rsid w:val="00E9EF3F"/>
    <w:rsid w:val="00EA0060"/>
    <w:rsid w:val="00EA0086"/>
    <w:rsid w:val="00EA009A"/>
    <w:rsid w:val="00EA01D7"/>
    <w:rsid w:val="00EA0426"/>
    <w:rsid w:val="00EA04D1"/>
    <w:rsid w:val="00EA0803"/>
    <w:rsid w:val="00EA083A"/>
    <w:rsid w:val="00EA08BD"/>
    <w:rsid w:val="00EA0AE2"/>
    <w:rsid w:val="00EA0BBB"/>
    <w:rsid w:val="00EA0C2D"/>
    <w:rsid w:val="00EA0CE1"/>
    <w:rsid w:val="00EA0E53"/>
    <w:rsid w:val="00EA0E54"/>
    <w:rsid w:val="00EA0F3E"/>
    <w:rsid w:val="00EA10BB"/>
    <w:rsid w:val="00EA11B8"/>
    <w:rsid w:val="00EA12EA"/>
    <w:rsid w:val="00EA1317"/>
    <w:rsid w:val="00EA135D"/>
    <w:rsid w:val="00EA136E"/>
    <w:rsid w:val="00EA138F"/>
    <w:rsid w:val="00EA14F3"/>
    <w:rsid w:val="00EA1560"/>
    <w:rsid w:val="00EA158B"/>
    <w:rsid w:val="00EA16DA"/>
    <w:rsid w:val="00EA1704"/>
    <w:rsid w:val="00EA1769"/>
    <w:rsid w:val="00EA1870"/>
    <w:rsid w:val="00EA1A0B"/>
    <w:rsid w:val="00EA1AAD"/>
    <w:rsid w:val="00EA1CEC"/>
    <w:rsid w:val="00EA1D8E"/>
    <w:rsid w:val="00EA2080"/>
    <w:rsid w:val="00EA208F"/>
    <w:rsid w:val="00EA219C"/>
    <w:rsid w:val="00EA21E2"/>
    <w:rsid w:val="00EA2203"/>
    <w:rsid w:val="00EA2471"/>
    <w:rsid w:val="00EA249A"/>
    <w:rsid w:val="00EA2521"/>
    <w:rsid w:val="00EA298A"/>
    <w:rsid w:val="00EA29C9"/>
    <w:rsid w:val="00EA29DE"/>
    <w:rsid w:val="00EA2A0F"/>
    <w:rsid w:val="00EA2AC8"/>
    <w:rsid w:val="00EA2F99"/>
    <w:rsid w:val="00EA3050"/>
    <w:rsid w:val="00EA3349"/>
    <w:rsid w:val="00EA3395"/>
    <w:rsid w:val="00EA33DC"/>
    <w:rsid w:val="00EA3477"/>
    <w:rsid w:val="00EA3481"/>
    <w:rsid w:val="00EA34C0"/>
    <w:rsid w:val="00EA3671"/>
    <w:rsid w:val="00EA369A"/>
    <w:rsid w:val="00EA3A0F"/>
    <w:rsid w:val="00EA3ACE"/>
    <w:rsid w:val="00EA3BAA"/>
    <w:rsid w:val="00EA3C0B"/>
    <w:rsid w:val="00EA3D2E"/>
    <w:rsid w:val="00EA3E81"/>
    <w:rsid w:val="00EA4190"/>
    <w:rsid w:val="00EA42AC"/>
    <w:rsid w:val="00EA42E7"/>
    <w:rsid w:val="00EA42EB"/>
    <w:rsid w:val="00EA4588"/>
    <w:rsid w:val="00EA4591"/>
    <w:rsid w:val="00EA45E3"/>
    <w:rsid w:val="00EA4769"/>
    <w:rsid w:val="00EA47BF"/>
    <w:rsid w:val="00EA47E9"/>
    <w:rsid w:val="00EA48AC"/>
    <w:rsid w:val="00EA4ABA"/>
    <w:rsid w:val="00EA4AC8"/>
    <w:rsid w:val="00EA4ACE"/>
    <w:rsid w:val="00EA4B64"/>
    <w:rsid w:val="00EA4CBB"/>
    <w:rsid w:val="00EA4E8C"/>
    <w:rsid w:val="00EA4F02"/>
    <w:rsid w:val="00EA4F54"/>
    <w:rsid w:val="00EA545E"/>
    <w:rsid w:val="00EA549D"/>
    <w:rsid w:val="00EA5523"/>
    <w:rsid w:val="00EA55A1"/>
    <w:rsid w:val="00EA56A6"/>
    <w:rsid w:val="00EA56AA"/>
    <w:rsid w:val="00EA57BB"/>
    <w:rsid w:val="00EA5C44"/>
    <w:rsid w:val="00EA602E"/>
    <w:rsid w:val="00EA6118"/>
    <w:rsid w:val="00EA6308"/>
    <w:rsid w:val="00EA6368"/>
    <w:rsid w:val="00EA63FC"/>
    <w:rsid w:val="00EA654D"/>
    <w:rsid w:val="00EA663F"/>
    <w:rsid w:val="00EA66FA"/>
    <w:rsid w:val="00EA67AE"/>
    <w:rsid w:val="00EA687E"/>
    <w:rsid w:val="00EA68F7"/>
    <w:rsid w:val="00EA68F9"/>
    <w:rsid w:val="00EA6B21"/>
    <w:rsid w:val="00EA6C16"/>
    <w:rsid w:val="00EA6CC7"/>
    <w:rsid w:val="00EA6CF1"/>
    <w:rsid w:val="00EA6E7A"/>
    <w:rsid w:val="00EA6EA1"/>
    <w:rsid w:val="00EA6F45"/>
    <w:rsid w:val="00EA6F7C"/>
    <w:rsid w:val="00EA702E"/>
    <w:rsid w:val="00EA7188"/>
    <w:rsid w:val="00EA71DF"/>
    <w:rsid w:val="00EA7493"/>
    <w:rsid w:val="00EA7561"/>
    <w:rsid w:val="00EA7569"/>
    <w:rsid w:val="00EA79F1"/>
    <w:rsid w:val="00EA7B3C"/>
    <w:rsid w:val="00EA7B55"/>
    <w:rsid w:val="00EA7D35"/>
    <w:rsid w:val="00EA7D8F"/>
    <w:rsid w:val="00EA7E4C"/>
    <w:rsid w:val="00EA7F9F"/>
    <w:rsid w:val="00EB0221"/>
    <w:rsid w:val="00EB02ED"/>
    <w:rsid w:val="00EB03A4"/>
    <w:rsid w:val="00EB0412"/>
    <w:rsid w:val="00EB05E2"/>
    <w:rsid w:val="00EB0695"/>
    <w:rsid w:val="00EB06DA"/>
    <w:rsid w:val="00EB07A5"/>
    <w:rsid w:val="00EB0926"/>
    <w:rsid w:val="00EB0BDB"/>
    <w:rsid w:val="00EB0DEA"/>
    <w:rsid w:val="00EB15D1"/>
    <w:rsid w:val="00EB170D"/>
    <w:rsid w:val="00EB17D8"/>
    <w:rsid w:val="00EB18A4"/>
    <w:rsid w:val="00EB1B6D"/>
    <w:rsid w:val="00EB1C5B"/>
    <w:rsid w:val="00EB1E35"/>
    <w:rsid w:val="00EB1F63"/>
    <w:rsid w:val="00EB1FEB"/>
    <w:rsid w:val="00EB21C8"/>
    <w:rsid w:val="00EB21E3"/>
    <w:rsid w:val="00EB2494"/>
    <w:rsid w:val="00EB261E"/>
    <w:rsid w:val="00EB2720"/>
    <w:rsid w:val="00EB27BC"/>
    <w:rsid w:val="00EB2805"/>
    <w:rsid w:val="00EB2943"/>
    <w:rsid w:val="00EB2EEF"/>
    <w:rsid w:val="00EB303C"/>
    <w:rsid w:val="00EB30D5"/>
    <w:rsid w:val="00EB31E7"/>
    <w:rsid w:val="00EB3255"/>
    <w:rsid w:val="00EB3501"/>
    <w:rsid w:val="00EB388E"/>
    <w:rsid w:val="00EB38A3"/>
    <w:rsid w:val="00EB38AC"/>
    <w:rsid w:val="00EB3A37"/>
    <w:rsid w:val="00EB3AFB"/>
    <w:rsid w:val="00EB3B41"/>
    <w:rsid w:val="00EB3BCB"/>
    <w:rsid w:val="00EB3C40"/>
    <w:rsid w:val="00EB3D28"/>
    <w:rsid w:val="00EB3E18"/>
    <w:rsid w:val="00EB4015"/>
    <w:rsid w:val="00EB40B3"/>
    <w:rsid w:val="00EB4292"/>
    <w:rsid w:val="00EB42B6"/>
    <w:rsid w:val="00EB4339"/>
    <w:rsid w:val="00EB4376"/>
    <w:rsid w:val="00EB4452"/>
    <w:rsid w:val="00EB46B7"/>
    <w:rsid w:val="00EB4820"/>
    <w:rsid w:val="00EB4821"/>
    <w:rsid w:val="00EB4847"/>
    <w:rsid w:val="00EB4861"/>
    <w:rsid w:val="00EB4884"/>
    <w:rsid w:val="00EB48D9"/>
    <w:rsid w:val="00EB493D"/>
    <w:rsid w:val="00EB4ABB"/>
    <w:rsid w:val="00EB4B25"/>
    <w:rsid w:val="00EB4B3E"/>
    <w:rsid w:val="00EB4C43"/>
    <w:rsid w:val="00EB4D2C"/>
    <w:rsid w:val="00EB4EC8"/>
    <w:rsid w:val="00EB4FC2"/>
    <w:rsid w:val="00EB5114"/>
    <w:rsid w:val="00EB53D1"/>
    <w:rsid w:val="00EB54A2"/>
    <w:rsid w:val="00EB54CB"/>
    <w:rsid w:val="00EB5510"/>
    <w:rsid w:val="00EB562D"/>
    <w:rsid w:val="00EB5692"/>
    <w:rsid w:val="00EB57AD"/>
    <w:rsid w:val="00EB5971"/>
    <w:rsid w:val="00EB59D8"/>
    <w:rsid w:val="00EB5B10"/>
    <w:rsid w:val="00EB5B70"/>
    <w:rsid w:val="00EB5C30"/>
    <w:rsid w:val="00EB5CBE"/>
    <w:rsid w:val="00EB5D31"/>
    <w:rsid w:val="00EB5E0B"/>
    <w:rsid w:val="00EB5F98"/>
    <w:rsid w:val="00EB602D"/>
    <w:rsid w:val="00EB60D5"/>
    <w:rsid w:val="00EB60F0"/>
    <w:rsid w:val="00EB612A"/>
    <w:rsid w:val="00EB61FA"/>
    <w:rsid w:val="00EB64A4"/>
    <w:rsid w:val="00EB657C"/>
    <w:rsid w:val="00EB6583"/>
    <w:rsid w:val="00EB67B0"/>
    <w:rsid w:val="00EB6801"/>
    <w:rsid w:val="00EB69E7"/>
    <w:rsid w:val="00EB6A32"/>
    <w:rsid w:val="00EB6DE8"/>
    <w:rsid w:val="00EB70BE"/>
    <w:rsid w:val="00EB70FA"/>
    <w:rsid w:val="00EB730D"/>
    <w:rsid w:val="00EB73DE"/>
    <w:rsid w:val="00EB74BC"/>
    <w:rsid w:val="00EB7552"/>
    <w:rsid w:val="00EB783E"/>
    <w:rsid w:val="00EB7B22"/>
    <w:rsid w:val="00EB7BEE"/>
    <w:rsid w:val="00EB7D29"/>
    <w:rsid w:val="00EB7EDC"/>
    <w:rsid w:val="00EC036F"/>
    <w:rsid w:val="00EC0484"/>
    <w:rsid w:val="00EC0513"/>
    <w:rsid w:val="00EC05DC"/>
    <w:rsid w:val="00EC064F"/>
    <w:rsid w:val="00EC074D"/>
    <w:rsid w:val="00EC075C"/>
    <w:rsid w:val="00EC0763"/>
    <w:rsid w:val="00EC0902"/>
    <w:rsid w:val="00EC0B90"/>
    <w:rsid w:val="00EC11D2"/>
    <w:rsid w:val="00EC12DA"/>
    <w:rsid w:val="00EC13B4"/>
    <w:rsid w:val="00EC1590"/>
    <w:rsid w:val="00EC1BAD"/>
    <w:rsid w:val="00EC1BAF"/>
    <w:rsid w:val="00EC1BCA"/>
    <w:rsid w:val="00EC1D34"/>
    <w:rsid w:val="00EC1D41"/>
    <w:rsid w:val="00EC1EA4"/>
    <w:rsid w:val="00EC1F5E"/>
    <w:rsid w:val="00EC2001"/>
    <w:rsid w:val="00EC23AC"/>
    <w:rsid w:val="00EC2420"/>
    <w:rsid w:val="00EC260F"/>
    <w:rsid w:val="00EC2671"/>
    <w:rsid w:val="00EC26B5"/>
    <w:rsid w:val="00EC2838"/>
    <w:rsid w:val="00EC29A4"/>
    <w:rsid w:val="00EC29D4"/>
    <w:rsid w:val="00EC2A49"/>
    <w:rsid w:val="00EC2E31"/>
    <w:rsid w:val="00EC2E3F"/>
    <w:rsid w:val="00EC2ED8"/>
    <w:rsid w:val="00EC3011"/>
    <w:rsid w:val="00EC3284"/>
    <w:rsid w:val="00EC330D"/>
    <w:rsid w:val="00EC33A0"/>
    <w:rsid w:val="00EC348E"/>
    <w:rsid w:val="00EC366F"/>
    <w:rsid w:val="00EC3785"/>
    <w:rsid w:val="00EC378D"/>
    <w:rsid w:val="00EC37F9"/>
    <w:rsid w:val="00EC3ADD"/>
    <w:rsid w:val="00EC3C51"/>
    <w:rsid w:val="00EC3C7B"/>
    <w:rsid w:val="00EC3CE9"/>
    <w:rsid w:val="00EC3D1A"/>
    <w:rsid w:val="00EC3D5A"/>
    <w:rsid w:val="00EC3FE3"/>
    <w:rsid w:val="00EC3FFE"/>
    <w:rsid w:val="00EC43FD"/>
    <w:rsid w:val="00EC4512"/>
    <w:rsid w:val="00EC453A"/>
    <w:rsid w:val="00EC463F"/>
    <w:rsid w:val="00EC4836"/>
    <w:rsid w:val="00EC4898"/>
    <w:rsid w:val="00EC48A7"/>
    <w:rsid w:val="00EC496A"/>
    <w:rsid w:val="00EC49D8"/>
    <w:rsid w:val="00EC4A70"/>
    <w:rsid w:val="00EC4BDB"/>
    <w:rsid w:val="00EC4BF1"/>
    <w:rsid w:val="00EC4D8A"/>
    <w:rsid w:val="00EC4F67"/>
    <w:rsid w:val="00EC5085"/>
    <w:rsid w:val="00EC5088"/>
    <w:rsid w:val="00EC50FD"/>
    <w:rsid w:val="00EC513E"/>
    <w:rsid w:val="00EC526F"/>
    <w:rsid w:val="00EC52E4"/>
    <w:rsid w:val="00EC5388"/>
    <w:rsid w:val="00EC5512"/>
    <w:rsid w:val="00EC574F"/>
    <w:rsid w:val="00EC5839"/>
    <w:rsid w:val="00EC592C"/>
    <w:rsid w:val="00EC5AD1"/>
    <w:rsid w:val="00EC5DC9"/>
    <w:rsid w:val="00EC5DEC"/>
    <w:rsid w:val="00EC5E30"/>
    <w:rsid w:val="00EC5FCB"/>
    <w:rsid w:val="00EC6215"/>
    <w:rsid w:val="00EC6246"/>
    <w:rsid w:val="00EC62BF"/>
    <w:rsid w:val="00EC6361"/>
    <w:rsid w:val="00EC64E9"/>
    <w:rsid w:val="00EC6548"/>
    <w:rsid w:val="00EC66FF"/>
    <w:rsid w:val="00EC6708"/>
    <w:rsid w:val="00EC67F2"/>
    <w:rsid w:val="00EC6BD8"/>
    <w:rsid w:val="00EC6C2F"/>
    <w:rsid w:val="00EC6CE1"/>
    <w:rsid w:val="00EC6CEB"/>
    <w:rsid w:val="00EC6F5C"/>
    <w:rsid w:val="00EC6FCD"/>
    <w:rsid w:val="00EC6FEE"/>
    <w:rsid w:val="00EC7213"/>
    <w:rsid w:val="00EC7295"/>
    <w:rsid w:val="00EC7326"/>
    <w:rsid w:val="00EC732F"/>
    <w:rsid w:val="00EC7474"/>
    <w:rsid w:val="00EC769F"/>
    <w:rsid w:val="00EC78DF"/>
    <w:rsid w:val="00EC78FE"/>
    <w:rsid w:val="00EC7A67"/>
    <w:rsid w:val="00EC7A9D"/>
    <w:rsid w:val="00EC7ACF"/>
    <w:rsid w:val="00EC7B2A"/>
    <w:rsid w:val="00EC7B76"/>
    <w:rsid w:val="00EC7F67"/>
    <w:rsid w:val="00ED01C4"/>
    <w:rsid w:val="00ED0246"/>
    <w:rsid w:val="00ED0435"/>
    <w:rsid w:val="00ED0465"/>
    <w:rsid w:val="00ED048A"/>
    <w:rsid w:val="00ED0613"/>
    <w:rsid w:val="00ED0642"/>
    <w:rsid w:val="00ED0799"/>
    <w:rsid w:val="00ED0B81"/>
    <w:rsid w:val="00ED0B97"/>
    <w:rsid w:val="00ED0C6B"/>
    <w:rsid w:val="00ED0E7C"/>
    <w:rsid w:val="00ED0E97"/>
    <w:rsid w:val="00ED0F0F"/>
    <w:rsid w:val="00ED0FB8"/>
    <w:rsid w:val="00ED1115"/>
    <w:rsid w:val="00ED124A"/>
    <w:rsid w:val="00ED14D2"/>
    <w:rsid w:val="00ED1637"/>
    <w:rsid w:val="00ED179D"/>
    <w:rsid w:val="00ED1948"/>
    <w:rsid w:val="00ED1DAC"/>
    <w:rsid w:val="00ED1F27"/>
    <w:rsid w:val="00ED1F41"/>
    <w:rsid w:val="00ED1FDE"/>
    <w:rsid w:val="00ED20E7"/>
    <w:rsid w:val="00ED212C"/>
    <w:rsid w:val="00ED2255"/>
    <w:rsid w:val="00ED22A0"/>
    <w:rsid w:val="00ED22F0"/>
    <w:rsid w:val="00ED2483"/>
    <w:rsid w:val="00ED251D"/>
    <w:rsid w:val="00ED283F"/>
    <w:rsid w:val="00ED2924"/>
    <w:rsid w:val="00ED29D6"/>
    <w:rsid w:val="00ED2A25"/>
    <w:rsid w:val="00ED2BBC"/>
    <w:rsid w:val="00ED2C75"/>
    <w:rsid w:val="00ED2DC9"/>
    <w:rsid w:val="00ED2E33"/>
    <w:rsid w:val="00ED2E77"/>
    <w:rsid w:val="00ED3034"/>
    <w:rsid w:val="00ED3107"/>
    <w:rsid w:val="00ED3168"/>
    <w:rsid w:val="00ED32B6"/>
    <w:rsid w:val="00ED36A9"/>
    <w:rsid w:val="00ED386F"/>
    <w:rsid w:val="00ED39FC"/>
    <w:rsid w:val="00ED3AB7"/>
    <w:rsid w:val="00ED3CDA"/>
    <w:rsid w:val="00ED3F8E"/>
    <w:rsid w:val="00ED41AB"/>
    <w:rsid w:val="00ED4280"/>
    <w:rsid w:val="00ED44DD"/>
    <w:rsid w:val="00ED4701"/>
    <w:rsid w:val="00ED488F"/>
    <w:rsid w:val="00ED49EE"/>
    <w:rsid w:val="00ED4B91"/>
    <w:rsid w:val="00ED4C12"/>
    <w:rsid w:val="00ED4CBB"/>
    <w:rsid w:val="00ED5067"/>
    <w:rsid w:val="00ED5204"/>
    <w:rsid w:val="00ED52CB"/>
    <w:rsid w:val="00ED52D3"/>
    <w:rsid w:val="00ED5396"/>
    <w:rsid w:val="00ED5419"/>
    <w:rsid w:val="00ED56CB"/>
    <w:rsid w:val="00ED5728"/>
    <w:rsid w:val="00ED57EF"/>
    <w:rsid w:val="00ED5823"/>
    <w:rsid w:val="00ED5851"/>
    <w:rsid w:val="00ED59B2"/>
    <w:rsid w:val="00ED5AE8"/>
    <w:rsid w:val="00ED5D5E"/>
    <w:rsid w:val="00ED5E38"/>
    <w:rsid w:val="00ED5EA4"/>
    <w:rsid w:val="00ED5FBF"/>
    <w:rsid w:val="00ED600D"/>
    <w:rsid w:val="00ED607F"/>
    <w:rsid w:val="00ED6149"/>
    <w:rsid w:val="00ED6158"/>
    <w:rsid w:val="00ED61E7"/>
    <w:rsid w:val="00ED639A"/>
    <w:rsid w:val="00ED663F"/>
    <w:rsid w:val="00ED6840"/>
    <w:rsid w:val="00ED686E"/>
    <w:rsid w:val="00ED6890"/>
    <w:rsid w:val="00ED68C7"/>
    <w:rsid w:val="00ED6C03"/>
    <w:rsid w:val="00ED6C11"/>
    <w:rsid w:val="00ED6C9C"/>
    <w:rsid w:val="00ED6D8D"/>
    <w:rsid w:val="00ED6F56"/>
    <w:rsid w:val="00ED711F"/>
    <w:rsid w:val="00ED714B"/>
    <w:rsid w:val="00ED71B0"/>
    <w:rsid w:val="00ED721D"/>
    <w:rsid w:val="00ED723A"/>
    <w:rsid w:val="00ED731E"/>
    <w:rsid w:val="00ED7336"/>
    <w:rsid w:val="00ED7388"/>
    <w:rsid w:val="00ED7539"/>
    <w:rsid w:val="00ED761F"/>
    <w:rsid w:val="00ED76FB"/>
    <w:rsid w:val="00ED7768"/>
    <w:rsid w:val="00ED7A80"/>
    <w:rsid w:val="00ED7B13"/>
    <w:rsid w:val="00ED7C96"/>
    <w:rsid w:val="00ED7EA9"/>
    <w:rsid w:val="00ED7F5F"/>
    <w:rsid w:val="00ED7F8A"/>
    <w:rsid w:val="00EE0057"/>
    <w:rsid w:val="00EE0100"/>
    <w:rsid w:val="00EE01FC"/>
    <w:rsid w:val="00EE033E"/>
    <w:rsid w:val="00EE05F3"/>
    <w:rsid w:val="00EE060B"/>
    <w:rsid w:val="00EE065A"/>
    <w:rsid w:val="00EE0823"/>
    <w:rsid w:val="00EE0846"/>
    <w:rsid w:val="00EE0A7A"/>
    <w:rsid w:val="00EE0BBC"/>
    <w:rsid w:val="00EE0E24"/>
    <w:rsid w:val="00EE1067"/>
    <w:rsid w:val="00EE10E1"/>
    <w:rsid w:val="00EE149F"/>
    <w:rsid w:val="00EE1508"/>
    <w:rsid w:val="00EE1509"/>
    <w:rsid w:val="00EE188B"/>
    <w:rsid w:val="00EE19B9"/>
    <w:rsid w:val="00EE1C41"/>
    <w:rsid w:val="00EE1C80"/>
    <w:rsid w:val="00EE1DA5"/>
    <w:rsid w:val="00EE1E8C"/>
    <w:rsid w:val="00EE1F59"/>
    <w:rsid w:val="00EE1F9E"/>
    <w:rsid w:val="00EE2032"/>
    <w:rsid w:val="00EE2097"/>
    <w:rsid w:val="00EE20A8"/>
    <w:rsid w:val="00EE224F"/>
    <w:rsid w:val="00EE2387"/>
    <w:rsid w:val="00EE257B"/>
    <w:rsid w:val="00EE258E"/>
    <w:rsid w:val="00EE2796"/>
    <w:rsid w:val="00EE2A34"/>
    <w:rsid w:val="00EE2B8D"/>
    <w:rsid w:val="00EE2B90"/>
    <w:rsid w:val="00EE2DB3"/>
    <w:rsid w:val="00EE2F48"/>
    <w:rsid w:val="00EE2FE6"/>
    <w:rsid w:val="00EE306C"/>
    <w:rsid w:val="00EE30B4"/>
    <w:rsid w:val="00EE344F"/>
    <w:rsid w:val="00EE35F4"/>
    <w:rsid w:val="00EE362F"/>
    <w:rsid w:val="00EE39EB"/>
    <w:rsid w:val="00EE3A75"/>
    <w:rsid w:val="00EE3A8D"/>
    <w:rsid w:val="00EE3AEE"/>
    <w:rsid w:val="00EE3BE7"/>
    <w:rsid w:val="00EE3DD1"/>
    <w:rsid w:val="00EE4073"/>
    <w:rsid w:val="00EE4289"/>
    <w:rsid w:val="00EE42F1"/>
    <w:rsid w:val="00EE4490"/>
    <w:rsid w:val="00EE47E7"/>
    <w:rsid w:val="00EE491F"/>
    <w:rsid w:val="00EE49AC"/>
    <w:rsid w:val="00EE4ADB"/>
    <w:rsid w:val="00EE4C87"/>
    <w:rsid w:val="00EE4D90"/>
    <w:rsid w:val="00EE4EC1"/>
    <w:rsid w:val="00EE4EEF"/>
    <w:rsid w:val="00EE4FCD"/>
    <w:rsid w:val="00EE5055"/>
    <w:rsid w:val="00EE5239"/>
    <w:rsid w:val="00EE5466"/>
    <w:rsid w:val="00EE556B"/>
    <w:rsid w:val="00EE5657"/>
    <w:rsid w:val="00EE5903"/>
    <w:rsid w:val="00EE59DD"/>
    <w:rsid w:val="00EE5B03"/>
    <w:rsid w:val="00EE5B14"/>
    <w:rsid w:val="00EE5B32"/>
    <w:rsid w:val="00EE5B47"/>
    <w:rsid w:val="00EE5DEF"/>
    <w:rsid w:val="00EE5ECD"/>
    <w:rsid w:val="00EE6026"/>
    <w:rsid w:val="00EE60FE"/>
    <w:rsid w:val="00EE6101"/>
    <w:rsid w:val="00EE615F"/>
    <w:rsid w:val="00EE61A8"/>
    <w:rsid w:val="00EE6409"/>
    <w:rsid w:val="00EE6435"/>
    <w:rsid w:val="00EE6527"/>
    <w:rsid w:val="00EE65E7"/>
    <w:rsid w:val="00EE6606"/>
    <w:rsid w:val="00EE671A"/>
    <w:rsid w:val="00EE6742"/>
    <w:rsid w:val="00EE6832"/>
    <w:rsid w:val="00EE693E"/>
    <w:rsid w:val="00EE6962"/>
    <w:rsid w:val="00EE698A"/>
    <w:rsid w:val="00EE6AAD"/>
    <w:rsid w:val="00EE6AB7"/>
    <w:rsid w:val="00EE6CEC"/>
    <w:rsid w:val="00EE6F03"/>
    <w:rsid w:val="00EE7231"/>
    <w:rsid w:val="00EE7263"/>
    <w:rsid w:val="00EE72EB"/>
    <w:rsid w:val="00EE75D7"/>
    <w:rsid w:val="00EE767B"/>
    <w:rsid w:val="00EE77E6"/>
    <w:rsid w:val="00EE785F"/>
    <w:rsid w:val="00EE78DC"/>
    <w:rsid w:val="00EE7948"/>
    <w:rsid w:val="00EE79BA"/>
    <w:rsid w:val="00EE7B4B"/>
    <w:rsid w:val="00EE7C2D"/>
    <w:rsid w:val="00EE7D90"/>
    <w:rsid w:val="00EE7DF4"/>
    <w:rsid w:val="00EE7E77"/>
    <w:rsid w:val="00EE7F44"/>
    <w:rsid w:val="00EF001E"/>
    <w:rsid w:val="00EF0065"/>
    <w:rsid w:val="00EF0221"/>
    <w:rsid w:val="00EF0329"/>
    <w:rsid w:val="00EF03E8"/>
    <w:rsid w:val="00EF04B6"/>
    <w:rsid w:val="00EF0762"/>
    <w:rsid w:val="00EF07C0"/>
    <w:rsid w:val="00EF0809"/>
    <w:rsid w:val="00EF0814"/>
    <w:rsid w:val="00EF099B"/>
    <w:rsid w:val="00EF0D24"/>
    <w:rsid w:val="00EF0D94"/>
    <w:rsid w:val="00EF0E90"/>
    <w:rsid w:val="00EF0EDE"/>
    <w:rsid w:val="00EF126E"/>
    <w:rsid w:val="00EF12AE"/>
    <w:rsid w:val="00EF15AC"/>
    <w:rsid w:val="00EF1654"/>
    <w:rsid w:val="00EF1755"/>
    <w:rsid w:val="00EF1785"/>
    <w:rsid w:val="00EF1826"/>
    <w:rsid w:val="00EF187A"/>
    <w:rsid w:val="00EF1948"/>
    <w:rsid w:val="00EF1991"/>
    <w:rsid w:val="00EF1C70"/>
    <w:rsid w:val="00EF1F2F"/>
    <w:rsid w:val="00EF20B6"/>
    <w:rsid w:val="00EF2172"/>
    <w:rsid w:val="00EF2190"/>
    <w:rsid w:val="00EF21A7"/>
    <w:rsid w:val="00EF27B8"/>
    <w:rsid w:val="00EF292B"/>
    <w:rsid w:val="00EF29DB"/>
    <w:rsid w:val="00EF2A0C"/>
    <w:rsid w:val="00EF2A1E"/>
    <w:rsid w:val="00EF2AFF"/>
    <w:rsid w:val="00EF2E66"/>
    <w:rsid w:val="00EF3099"/>
    <w:rsid w:val="00EF30D2"/>
    <w:rsid w:val="00EF30DB"/>
    <w:rsid w:val="00EF325F"/>
    <w:rsid w:val="00EF3451"/>
    <w:rsid w:val="00EF3469"/>
    <w:rsid w:val="00EF34EF"/>
    <w:rsid w:val="00EF3517"/>
    <w:rsid w:val="00EF37A8"/>
    <w:rsid w:val="00EF37DA"/>
    <w:rsid w:val="00EF39CE"/>
    <w:rsid w:val="00EF3D0C"/>
    <w:rsid w:val="00EF3D58"/>
    <w:rsid w:val="00EF3E15"/>
    <w:rsid w:val="00EF3E28"/>
    <w:rsid w:val="00EF3E8F"/>
    <w:rsid w:val="00EF3EA2"/>
    <w:rsid w:val="00EF3EDD"/>
    <w:rsid w:val="00EF3F40"/>
    <w:rsid w:val="00EF3FD2"/>
    <w:rsid w:val="00EF4009"/>
    <w:rsid w:val="00EF40D5"/>
    <w:rsid w:val="00EF40EF"/>
    <w:rsid w:val="00EF4113"/>
    <w:rsid w:val="00EF4135"/>
    <w:rsid w:val="00EF413C"/>
    <w:rsid w:val="00EF422A"/>
    <w:rsid w:val="00EF422B"/>
    <w:rsid w:val="00EF42A9"/>
    <w:rsid w:val="00EF4495"/>
    <w:rsid w:val="00EF451C"/>
    <w:rsid w:val="00EF4750"/>
    <w:rsid w:val="00EF48A8"/>
    <w:rsid w:val="00EF49A0"/>
    <w:rsid w:val="00EF4A02"/>
    <w:rsid w:val="00EF4A4D"/>
    <w:rsid w:val="00EF4B8B"/>
    <w:rsid w:val="00EF4D85"/>
    <w:rsid w:val="00EF4EB7"/>
    <w:rsid w:val="00EF4EC8"/>
    <w:rsid w:val="00EF500F"/>
    <w:rsid w:val="00EF525B"/>
    <w:rsid w:val="00EF52CE"/>
    <w:rsid w:val="00EF5335"/>
    <w:rsid w:val="00EF53A6"/>
    <w:rsid w:val="00EF53B0"/>
    <w:rsid w:val="00EF53B5"/>
    <w:rsid w:val="00EF5798"/>
    <w:rsid w:val="00EF57B3"/>
    <w:rsid w:val="00EF585F"/>
    <w:rsid w:val="00EF5927"/>
    <w:rsid w:val="00EF5A79"/>
    <w:rsid w:val="00EF5AFD"/>
    <w:rsid w:val="00EF5B17"/>
    <w:rsid w:val="00EF5CA4"/>
    <w:rsid w:val="00EF5F36"/>
    <w:rsid w:val="00EF614B"/>
    <w:rsid w:val="00EF6206"/>
    <w:rsid w:val="00EF6236"/>
    <w:rsid w:val="00EF63DB"/>
    <w:rsid w:val="00EF642D"/>
    <w:rsid w:val="00EF6480"/>
    <w:rsid w:val="00EF64DA"/>
    <w:rsid w:val="00EF670C"/>
    <w:rsid w:val="00EF6845"/>
    <w:rsid w:val="00EF6851"/>
    <w:rsid w:val="00EF6B4F"/>
    <w:rsid w:val="00EF6B86"/>
    <w:rsid w:val="00EF6F8A"/>
    <w:rsid w:val="00EF7037"/>
    <w:rsid w:val="00EF7063"/>
    <w:rsid w:val="00EF7084"/>
    <w:rsid w:val="00EF71EB"/>
    <w:rsid w:val="00EF71F7"/>
    <w:rsid w:val="00EF75DD"/>
    <w:rsid w:val="00EF76D7"/>
    <w:rsid w:val="00EF76EA"/>
    <w:rsid w:val="00EF7862"/>
    <w:rsid w:val="00EF790B"/>
    <w:rsid w:val="00EF7AF2"/>
    <w:rsid w:val="00EF7BC2"/>
    <w:rsid w:val="00EF7C2D"/>
    <w:rsid w:val="00EF7ED7"/>
    <w:rsid w:val="00F000C5"/>
    <w:rsid w:val="00F000D5"/>
    <w:rsid w:val="00F00196"/>
    <w:rsid w:val="00F0053C"/>
    <w:rsid w:val="00F00609"/>
    <w:rsid w:val="00F00638"/>
    <w:rsid w:val="00F006D3"/>
    <w:rsid w:val="00F0077C"/>
    <w:rsid w:val="00F007F4"/>
    <w:rsid w:val="00F00920"/>
    <w:rsid w:val="00F00A72"/>
    <w:rsid w:val="00F00AF9"/>
    <w:rsid w:val="00F00B5D"/>
    <w:rsid w:val="00F00E09"/>
    <w:rsid w:val="00F00FB4"/>
    <w:rsid w:val="00F011A9"/>
    <w:rsid w:val="00F01542"/>
    <w:rsid w:val="00F01544"/>
    <w:rsid w:val="00F01618"/>
    <w:rsid w:val="00F018CF"/>
    <w:rsid w:val="00F019A5"/>
    <w:rsid w:val="00F019AC"/>
    <w:rsid w:val="00F01B8C"/>
    <w:rsid w:val="00F01D34"/>
    <w:rsid w:val="00F01DAC"/>
    <w:rsid w:val="00F020DB"/>
    <w:rsid w:val="00F020ED"/>
    <w:rsid w:val="00F02510"/>
    <w:rsid w:val="00F02584"/>
    <w:rsid w:val="00F027FC"/>
    <w:rsid w:val="00F028B8"/>
    <w:rsid w:val="00F02BE7"/>
    <w:rsid w:val="00F02C7B"/>
    <w:rsid w:val="00F0307A"/>
    <w:rsid w:val="00F0335B"/>
    <w:rsid w:val="00F035A8"/>
    <w:rsid w:val="00F03818"/>
    <w:rsid w:val="00F03981"/>
    <w:rsid w:val="00F03B39"/>
    <w:rsid w:val="00F03E85"/>
    <w:rsid w:val="00F04031"/>
    <w:rsid w:val="00F04052"/>
    <w:rsid w:val="00F0410C"/>
    <w:rsid w:val="00F045A7"/>
    <w:rsid w:val="00F04621"/>
    <w:rsid w:val="00F0466B"/>
    <w:rsid w:val="00F04758"/>
    <w:rsid w:val="00F04A64"/>
    <w:rsid w:val="00F04B5F"/>
    <w:rsid w:val="00F04C82"/>
    <w:rsid w:val="00F04F56"/>
    <w:rsid w:val="00F04F85"/>
    <w:rsid w:val="00F04F8F"/>
    <w:rsid w:val="00F04FED"/>
    <w:rsid w:val="00F04FF3"/>
    <w:rsid w:val="00F0502E"/>
    <w:rsid w:val="00F05135"/>
    <w:rsid w:val="00F05336"/>
    <w:rsid w:val="00F055AB"/>
    <w:rsid w:val="00F0560C"/>
    <w:rsid w:val="00F05692"/>
    <w:rsid w:val="00F05941"/>
    <w:rsid w:val="00F05A2E"/>
    <w:rsid w:val="00F05CD7"/>
    <w:rsid w:val="00F05F75"/>
    <w:rsid w:val="00F05FCA"/>
    <w:rsid w:val="00F06042"/>
    <w:rsid w:val="00F060A6"/>
    <w:rsid w:val="00F06145"/>
    <w:rsid w:val="00F06336"/>
    <w:rsid w:val="00F0646B"/>
    <w:rsid w:val="00F065D0"/>
    <w:rsid w:val="00F06673"/>
    <w:rsid w:val="00F06961"/>
    <w:rsid w:val="00F06A29"/>
    <w:rsid w:val="00F06C98"/>
    <w:rsid w:val="00F06CBE"/>
    <w:rsid w:val="00F06D79"/>
    <w:rsid w:val="00F06DFE"/>
    <w:rsid w:val="00F06E6B"/>
    <w:rsid w:val="00F07483"/>
    <w:rsid w:val="00F074B6"/>
    <w:rsid w:val="00F07783"/>
    <w:rsid w:val="00F077BB"/>
    <w:rsid w:val="00F07818"/>
    <w:rsid w:val="00F0786B"/>
    <w:rsid w:val="00F0786C"/>
    <w:rsid w:val="00F07B05"/>
    <w:rsid w:val="00F07BBB"/>
    <w:rsid w:val="00F07F03"/>
    <w:rsid w:val="00F1015A"/>
    <w:rsid w:val="00F10169"/>
    <w:rsid w:val="00F10180"/>
    <w:rsid w:val="00F1031E"/>
    <w:rsid w:val="00F10468"/>
    <w:rsid w:val="00F10531"/>
    <w:rsid w:val="00F1058E"/>
    <w:rsid w:val="00F1059C"/>
    <w:rsid w:val="00F1062A"/>
    <w:rsid w:val="00F1066F"/>
    <w:rsid w:val="00F107B8"/>
    <w:rsid w:val="00F107C7"/>
    <w:rsid w:val="00F10911"/>
    <w:rsid w:val="00F10981"/>
    <w:rsid w:val="00F10A47"/>
    <w:rsid w:val="00F10D95"/>
    <w:rsid w:val="00F10F9E"/>
    <w:rsid w:val="00F11044"/>
    <w:rsid w:val="00F11120"/>
    <w:rsid w:val="00F11387"/>
    <w:rsid w:val="00F114A8"/>
    <w:rsid w:val="00F11515"/>
    <w:rsid w:val="00F1177E"/>
    <w:rsid w:val="00F1183A"/>
    <w:rsid w:val="00F11942"/>
    <w:rsid w:val="00F11985"/>
    <w:rsid w:val="00F119A7"/>
    <w:rsid w:val="00F11ABF"/>
    <w:rsid w:val="00F11C13"/>
    <w:rsid w:val="00F11C46"/>
    <w:rsid w:val="00F11C94"/>
    <w:rsid w:val="00F11D38"/>
    <w:rsid w:val="00F11DA5"/>
    <w:rsid w:val="00F11E4E"/>
    <w:rsid w:val="00F120B4"/>
    <w:rsid w:val="00F122CB"/>
    <w:rsid w:val="00F1230C"/>
    <w:rsid w:val="00F126DA"/>
    <w:rsid w:val="00F12C19"/>
    <w:rsid w:val="00F12C2A"/>
    <w:rsid w:val="00F12E7A"/>
    <w:rsid w:val="00F12F4B"/>
    <w:rsid w:val="00F13069"/>
    <w:rsid w:val="00F13120"/>
    <w:rsid w:val="00F1313E"/>
    <w:rsid w:val="00F1321E"/>
    <w:rsid w:val="00F1324F"/>
    <w:rsid w:val="00F13395"/>
    <w:rsid w:val="00F133FB"/>
    <w:rsid w:val="00F1358B"/>
    <w:rsid w:val="00F1365C"/>
    <w:rsid w:val="00F13752"/>
    <w:rsid w:val="00F13A30"/>
    <w:rsid w:val="00F13B3A"/>
    <w:rsid w:val="00F13C24"/>
    <w:rsid w:val="00F13E10"/>
    <w:rsid w:val="00F13F41"/>
    <w:rsid w:val="00F13FAC"/>
    <w:rsid w:val="00F140CC"/>
    <w:rsid w:val="00F1415F"/>
    <w:rsid w:val="00F14201"/>
    <w:rsid w:val="00F144D6"/>
    <w:rsid w:val="00F14833"/>
    <w:rsid w:val="00F14AE4"/>
    <w:rsid w:val="00F14B0E"/>
    <w:rsid w:val="00F14D97"/>
    <w:rsid w:val="00F14DC5"/>
    <w:rsid w:val="00F14EAA"/>
    <w:rsid w:val="00F14F5A"/>
    <w:rsid w:val="00F14FCD"/>
    <w:rsid w:val="00F1508C"/>
    <w:rsid w:val="00F152A7"/>
    <w:rsid w:val="00F1545A"/>
    <w:rsid w:val="00F15476"/>
    <w:rsid w:val="00F1578E"/>
    <w:rsid w:val="00F157FE"/>
    <w:rsid w:val="00F1582D"/>
    <w:rsid w:val="00F15CB7"/>
    <w:rsid w:val="00F15F5A"/>
    <w:rsid w:val="00F16109"/>
    <w:rsid w:val="00F1619A"/>
    <w:rsid w:val="00F161B2"/>
    <w:rsid w:val="00F162F9"/>
    <w:rsid w:val="00F16308"/>
    <w:rsid w:val="00F16324"/>
    <w:rsid w:val="00F16369"/>
    <w:rsid w:val="00F16533"/>
    <w:rsid w:val="00F166E8"/>
    <w:rsid w:val="00F1697D"/>
    <w:rsid w:val="00F16A9B"/>
    <w:rsid w:val="00F16C5D"/>
    <w:rsid w:val="00F16DAF"/>
    <w:rsid w:val="00F16E6C"/>
    <w:rsid w:val="00F16E9C"/>
    <w:rsid w:val="00F16EAD"/>
    <w:rsid w:val="00F16EE7"/>
    <w:rsid w:val="00F17021"/>
    <w:rsid w:val="00F17204"/>
    <w:rsid w:val="00F17370"/>
    <w:rsid w:val="00F1738F"/>
    <w:rsid w:val="00F1739D"/>
    <w:rsid w:val="00F173D6"/>
    <w:rsid w:val="00F1754D"/>
    <w:rsid w:val="00F17A18"/>
    <w:rsid w:val="00F17BAB"/>
    <w:rsid w:val="00F17BDA"/>
    <w:rsid w:val="00F17C24"/>
    <w:rsid w:val="00F17C2E"/>
    <w:rsid w:val="00F17C60"/>
    <w:rsid w:val="00F17D5D"/>
    <w:rsid w:val="00F17D80"/>
    <w:rsid w:val="00F17DDC"/>
    <w:rsid w:val="00F17ED9"/>
    <w:rsid w:val="00F20007"/>
    <w:rsid w:val="00F20172"/>
    <w:rsid w:val="00F20366"/>
    <w:rsid w:val="00F2040C"/>
    <w:rsid w:val="00F2048F"/>
    <w:rsid w:val="00F2075B"/>
    <w:rsid w:val="00F20763"/>
    <w:rsid w:val="00F20918"/>
    <w:rsid w:val="00F20944"/>
    <w:rsid w:val="00F20C1E"/>
    <w:rsid w:val="00F20DAF"/>
    <w:rsid w:val="00F20F0C"/>
    <w:rsid w:val="00F20F21"/>
    <w:rsid w:val="00F2103B"/>
    <w:rsid w:val="00F210CF"/>
    <w:rsid w:val="00F211BD"/>
    <w:rsid w:val="00F2121B"/>
    <w:rsid w:val="00F212C5"/>
    <w:rsid w:val="00F2133D"/>
    <w:rsid w:val="00F21604"/>
    <w:rsid w:val="00F216EA"/>
    <w:rsid w:val="00F21896"/>
    <w:rsid w:val="00F218F3"/>
    <w:rsid w:val="00F219C6"/>
    <w:rsid w:val="00F21A0F"/>
    <w:rsid w:val="00F21C63"/>
    <w:rsid w:val="00F21CA0"/>
    <w:rsid w:val="00F21D0C"/>
    <w:rsid w:val="00F21EAB"/>
    <w:rsid w:val="00F21FE7"/>
    <w:rsid w:val="00F220BF"/>
    <w:rsid w:val="00F221F2"/>
    <w:rsid w:val="00F223B8"/>
    <w:rsid w:val="00F22424"/>
    <w:rsid w:val="00F22448"/>
    <w:rsid w:val="00F225DD"/>
    <w:rsid w:val="00F225E4"/>
    <w:rsid w:val="00F2266C"/>
    <w:rsid w:val="00F226CE"/>
    <w:rsid w:val="00F227C8"/>
    <w:rsid w:val="00F22DB6"/>
    <w:rsid w:val="00F22E9C"/>
    <w:rsid w:val="00F22F7A"/>
    <w:rsid w:val="00F22FE7"/>
    <w:rsid w:val="00F231B3"/>
    <w:rsid w:val="00F2338D"/>
    <w:rsid w:val="00F23418"/>
    <w:rsid w:val="00F2341C"/>
    <w:rsid w:val="00F234FF"/>
    <w:rsid w:val="00F23544"/>
    <w:rsid w:val="00F23548"/>
    <w:rsid w:val="00F236CF"/>
    <w:rsid w:val="00F23729"/>
    <w:rsid w:val="00F23895"/>
    <w:rsid w:val="00F23965"/>
    <w:rsid w:val="00F239CB"/>
    <w:rsid w:val="00F23A16"/>
    <w:rsid w:val="00F23BC0"/>
    <w:rsid w:val="00F23CB7"/>
    <w:rsid w:val="00F23CE7"/>
    <w:rsid w:val="00F2407C"/>
    <w:rsid w:val="00F241D3"/>
    <w:rsid w:val="00F24368"/>
    <w:rsid w:val="00F24854"/>
    <w:rsid w:val="00F24927"/>
    <w:rsid w:val="00F24952"/>
    <w:rsid w:val="00F249BE"/>
    <w:rsid w:val="00F24B66"/>
    <w:rsid w:val="00F24BCF"/>
    <w:rsid w:val="00F24CCA"/>
    <w:rsid w:val="00F24D2D"/>
    <w:rsid w:val="00F24D9A"/>
    <w:rsid w:val="00F24E1B"/>
    <w:rsid w:val="00F251CF"/>
    <w:rsid w:val="00F25296"/>
    <w:rsid w:val="00F252C2"/>
    <w:rsid w:val="00F252F7"/>
    <w:rsid w:val="00F2537A"/>
    <w:rsid w:val="00F2538E"/>
    <w:rsid w:val="00F25393"/>
    <w:rsid w:val="00F25497"/>
    <w:rsid w:val="00F254E8"/>
    <w:rsid w:val="00F2568E"/>
    <w:rsid w:val="00F257B5"/>
    <w:rsid w:val="00F25897"/>
    <w:rsid w:val="00F25AEC"/>
    <w:rsid w:val="00F25B38"/>
    <w:rsid w:val="00F25FCA"/>
    <w:rsid w:val="00F26017"/>
    <w:rsid w:val="00F2603D"/>
    <w:rsid w:val="00F26061"/>
    <w:rsid w:val="00F2616A"/>
    <w:rsid w:val="00F26263"/>
    <w:rsid w:val="00F262CA"/>
    <w:rsid w:val="00F26658"/>
    <w:rsid w:val="00F2665E"/>
    <w:rsid w:val="00F26816"/>
    <w:rsid w:val="00F268D7"/>
    <w:rsid w:val="00F26AB4"/>
    <w:rsid w:val="00F26CAC"/>
    <w:rsid w:val="00F26D48"/>
    <w:rsid w:val="00F26D8F"/>
    <w:rsid w:val="00F26DC2"/>
    <w:rsid w:val="00F26DC6"/>
    <w:rsid w:val="00F26FD9"/>
    <w:rsid w:val="00F271B1"/>
    <w:rsid w:val="00F2720E"/>
    <w:rsid w:val="00F272A4"/>
    <w:rsid w:val="00F2730E"/>
    <w:rsid w:val="00F2731A"/>
    <w:rsid w:val="00F27321"/>
    <w:rsid w:val="00F273FA"/>
    <w:rsid w:val="00F2776D"/>
    <w:rsid w:val="00F27843"/>
    <w:rsid w:val="00F27919"/>
    <w:rsid w:val="00F27A18"/>
    <w:rsid w:val="00F27A4D"/>
    <w:rsid w:val="00F27A79"/>
    <w:rsid w:val="00F27AA0"/>
    <w:rsid w:val="00F27B58"/>
    <w:rsid w:val="00F27F88"/>
    <w:rsid w:val="00F30005"/>
    <w:rsid w:val="00F30069"/>
    <w:rsid w:val="00F300C7"/>
    <w:rsid w:val="00F3017E"/>
    <w:rsid w:val="00F30280"/>
    <w:rsid w:val="00F303A2"/>
    <w:rsid w:val="00F3040F"/>
    <w:rsid w:val="00F30416"/>
    <w:rsid w:val="00F30423"/>
    <w:rsid w:val="00F30450"/>
    <w:rsid w:val="00F305DF"/>
    <w:rsid w:val="00F30770"/>
    <w:rsid w:val="00F308A3"/>
    <w:rsid w:val="00F309F6"/>
    <w:rsid w:val="00F30A40"/>
    <w:rsid w:val="00F30B74"/>
    <w:rsid w:val="00F30BB8"/>
    <w:rsid w:val="00F30D39"/>
    <w:rsid w:val="00F30DB3"/>
    <w:rsid w:val="00F30F7D"/>
    <w:rsid w:val="00F3102E"/>
    <w:rsid w:val="00F314F7"/>
    <w:rsid w:val="00F31680"/>
    <w:rsid w:val="00F316D0"/>
    <w:rsid w:val="00F31822"/>
    <w:rsid w:val="00F31950"/>
    <w:rsid w:val="00F31BEC"/>
    <w:rsid w:val="00F31C52"/>
    <w:rsid w:val="00F31C9D"/>
    <w:rsid w:val="00F31F50"/>
    <w:rsid w:val="00F3204E"/>
    <w:rsid w:val="00F321FC"/>
    <w:rsid w:val="00F324F9"/>
    <w:rsid w:val="00F325D7"/>
    <w:rsid w:val="00F32651"/>
    <w:rsid w:val="00F32780"/>
    <w:rsid w:val="00F32BF3"/>
    <w:rsid w:val="00F32D8F"/>
    <w:rsid w:val="00F32DE1"/>
    <w:rsid w:val="00F32DFC"/>
    <w:rsid w:val="00F33302"/>
    <w:rsid w:val="00F3333D"/>
    <w:rsid w:val="00F33392"/>
    <w:rsid w:val="00F33431"/>
    <w:rsid w:val="00F33579"/>
    <w:rsid w:val="00F3370B"/>
    <w:rsid w:val="00F33734"/>
    <w:rsid w:val="00F33B26"/>
    <w:rsid w:val="00F33BDC"/>
    <w:rsid w:val="00F33BF9"/>
    <w:rsid w:val="00F33EB2"/>
    <w:rsid w:val="00F33F01"/>
    <w:rsid w:val="00F33F30"/>
    <w:rsid w:val="00F340A5"/>
    <w:rsid w:val="00F340A6"/>
    <w:rsid w:val="00F34194"/>
    <w:rsid w:val="00F34214"/>
    <w:rsid w:val="00F34300"/>
    <w:rsid w:val="00F344DA"/>
    <w:rsid w:val="00F344FB"/>
    <w:rsid w:val="00F3450A"/>
    <w:rsid w:val="00F346E6"/>
    <w:rsid w:val="00F3470C"/>
    <w:rsid w:val="00F3473C"/>
    <w:rsid w:val="00F34773"/>
    <w:rsid w:val="00F3482F"/>
    <w:rsid w:val="00F34972"/>
    <w:rsid w:val="00F34C18"/>
    <w:rsid w:val="00F34CE9"/>
    <w:rsid w:val="00F34D35"/>
    <w:rsid w:val="00F35087"/>
    <w:rsid w:val="00F3524F"/>
    <w:rsid w:val="00F354F5"/>
    <w:rsid w:val="00F35564"/>
    <w:rsid w:val="00F35593"/>
    <w:rsid w:val="00F35679"/>
    <w:rsid w:val="00F35718"/>
    <w:rsid w:val="00F35755"/>
    <w:rsid w:val="00F35772"/>
    <w:rsid w:val="00F35831"/>
    <w:rsid w:val="00F359DA"/>
    <w:rsid w:val="00F359F1"/>
    <w:rsid w:val="00F35BB3"/>
    <w:rsid w:val="00F35BE1"/>
    <w:rsid w:val="00F35CD9"/>
    <w:rsid w:val="00F35EDD"/>
    <w:rsid w:val="00F3616E"/>
    <w:rsid w:val="00F3618A"/>
    <w:rsid w:val="00F362A4"/>
    <w:rsid w:val="00F3637F"/>
    <w:rsid w:val="00F363B3"/>
    <w:rsid w:val="00F364BF"/>
    <w:rsid w:val="00F3657F"/>
    <w:rsid w:val="00F36705"/>
    <w:rsid w:val="00F3672A"/>
    <w:rsid w:val="00F36A3B"/>
    <w:rsid w:val="00F36AD8"/>
    <w:rsid w:val="00F36CA3"/>
    <w:rsid w:val="00F3716A"/>
    <w:rsid w:val="00F372F3"/>
    <w:rsid w:val="00F37331"/>
    <w:rsid w:val="00F3734F"/>
    <w:rsid w:val="00F37368"/>
    <w:rsid w:val="00F374C8"/>
    <w:rsid w:val="00F3750B"/>
    <w:rsid w:val="00F40193"/>
    <w:rsid w:val="00F401EF"/>
    <w:rsid w:val="00F4040B"/>
    <w:rsid w:val="00F4049C"/>
    <w:rsid w:val="00F404E8"/>
    <w:rsid w:val="00F4060E"/>
    <w:rsid w:val="00F40864"/>
    <w:rsid w:val="00F40A3A"/>
    <w:rsid w:val="00F40BBC"/>
    <w:rsid w:val="00F40C22"/>
    <w:rsid w:val="00F40FB5"/>
    <w:rsid w:val="00F4102A"/>
    <w:rsid w:val="00F41076"/>
    <w:rsid w:val="00F411B5"/>
    <w:rsid w:val="00F414A8"/>
    <w:rsid w:val="00F41570"/>
    <w:rsid w:val="00F419B2"/>
    <w:rsid w:val="00F41B0A"/>
    <w:rsid w:val="00F41B71"/>
    <w:rsid w:val="00F41D4B"/>
    <w:rsid w:val="00F41FCE"/>
    <w:rsid w:val="00F420B1"/>
    <w:rsid w:val="00F420C0"/>
    <w:rsid w:val="00F42125"/>
    <w:rsid w:val="00F421E5"/>
    <w:rsid w:val="00F423ED"/>
    <w:rsid w:val="00F42542"/>
    <w:rsid w:val="00F42566"/>
    <w:rsid w:val="00F42608"/>
    <w:rsid w:val="00F42A44"/>
    <w:rsid w:val="00F42BA8"/>
    <w:rsid w:val="00F42C41"/>
    <w:rsid w:val="00F42CEF"/>
    <w:rsid w:val="00F42D08"/>
    <w:rsid w:val="00F42EA9"/>
    <w:rsid w:val="00F42F10"/>
    <w:rsid w:val="00F430B2"/>
    <w:rsid w:val="00F43328"/>
    <w:rsid w:val="00F43564"/>
    <w:rsid w:val="00F436C7"/>
    <w:rsid w:val="00F4386E"/>
    <w:rsid w:val="00F439D5"/>
    <w:rsid w:val="00F43DB9"/>
    <w:rsid w:val="00F44140"/>
    <w:rsid w:val="00F44277"/>
    <w:rsid w:val="00F442FF"/>
    <w:rsid w:val="00F4436F"/>
    <w:rsid w:val="00F44380"/>
    <w:rsid w:val="00F44546"/>
    <w:rsid w:val="00F4458E"/>
    <w:rsid w:val="00F445E5"/>
    <w:rsid w:val="00F44895"/>
    <w:rsid w:val="00F44917"/>
    <w:rsid w:val="00F44948"/>
    <w:rsid w:val="00F44977"/>
    <w:rsid w:val="00F44A24"/>
    <w:rsid w:val="00F44B4F"/>
    <w:rsid w:val="00F44CD3"/>
    <w:rsid w:val="00F44D91"/>
    <w:rsid w:val="00F44E0D"/>
    <w:rsid w:val="00F44EE9"/>
    <w:rsid w:val="00F44F04"/>
    <w:rsid w:val="00F44F2B"/>
    <w:rsid w:val="00F44FA4"/>
    <w:rsid w:val="00F451CA"/>
    <w:rsid w:val="00F45218"/>
    <w:rsid w:val="00F45239"/>
    <w:rsid w:val="00F452E5"/>
    <w:rsid w:val="00F455BD"/>
    <w:rsid w:val="00F456A0"/>
    <w:rsid w:val="00F45816"/>
    <w:rsid w:val="00F45999"/>
    <w:rsid w:val="00F45A1F"/>
    <w:rsid w:val="00F45B09"/>
    <w:rsid w:val="00F45B8A"/>
    <w:rsid w:val="00F45C15"/>
    <w:rsid w:val="00F45C3E"/>
    <w:rsid w:val="00F45D29"/>
    <w:rsid w:val="00F45E27"/>
    <w:rsid w:val="00F45E98"/>
    <w:rsid w:val="00F45F64"/>
    <w:rsid w:val="00F4604E"/>
    <w:rsid w:val="00F46059"/>
    <w:rsid w:val="00F4605A"/>
    <w:rsid w:val="00F46630"/>
    <w:rsid w:val="00F46643"/>
    <w:rsid w:val="00F46885"/>
    <w:rsid w:val="00F468E1"/>
    <w:rsid w:val="00F46948"/>
    <w:rsid w:val="00F46BE0"/>
    <w:rsid w:val="00F46E39"/>
    <w:rsid w:val="00F46FF1"/>
    <w:rsid w:val="00F47111"/>
    <w:rsid w:val="00F471E0"/>
    <w:rsid w:val="00F4727E"/>
    <w:rsid w:val="00F4740B"/>
    <w:rsid w:val="00F47460"/>
    <w:rsid w:val="00F4748B"/>
    <w:rsid w:val="00F474A4"/>
    <w:rsid w:val="00F475BF"/>
    <w:rsid w:val="00F47666"/>
    <w:rsid w:val="00F476CE"/>
    <w:rsid w:val="00F47789"/>
    <w:rsid w:val="00F47BF5"/>
    <w:rsid w:val="00F47C2E"/>
    <w:rsid w:val="00F47FB2"/>
    <w:rsid w:val="00F501A7"/>
    <w:rsid w:val="00F50507"/>
    <w:rsid w:val="00F50585"/>
    <w:rsid w:val="00F5067D"/>
    <w:rsid w:val="00F50735"/>
    <w:rsid w:val="00F5075F"/>
    <w:rsid w:val="00F50AEB"/>
    <w:rsid w:val="00F50B4A"/>
    <w:rsid w:val="00F50BB7"/>
    <w:rsid w:val="00F50BD4"/>
    <w:rsid w:val="00F50CA3"/>
    <w:rsid w:val="00F50DCC"/>
    <w:rsid w:val="00F50E41"/>
    <w:rsid w:val="00F50FA6"/>
    <w:rsid w:val="00F511C0"/>
    <w:rsid w:val="00F51220"/>
    <w:rsid w:val="00F513C2"/>
    <w:rsid w:val="00F516E3"/>
    <w:rsid w:val="00F517AE"/>
    <w:rsid w:val="00F51AFF"/>
    <w:rsid w:val="00F51D13"/>
    <w:rsid w:val="00F51EFB"/>
    <w:rsid w:val="00F520C2"/>
    <w:rsid w:val="00F521C0"/>
    <w:rsid w:val="00F525D9"/>
    <w:rsid w:val="00F5261F"/>
    <w:rsid w:val="00F52736"/>
    <w:rsid w:val="00F527CF"/>
    <w:rsid w:val="00F5286A"/>
    <w:rsid w:val="00F528C2"/>
    <w:rsid w:val="00F52950"/>
    <w:rsid w:val="00F52A43"/>
    <w:rsid w:val="00F52B5C"/>
    <w:rsid w:val="00F52C0A"/>
    <w:rsid w:val="00F52E0F"/>
    <w:rsid w:val="00F52F47"/>
    <w:rsid w:val="00F52F5E"/>
    <w:rsid w:val="00F52F9D"/>
    <w:rsid w:val="00F53151"/>
    <w:rsid w:val="00F532C0"/>
    <w:rsid w:val="00F532F4"/>
    <w:rsid w:val="00F53301"/>
    <w:rsid w:val="00F5333C"/>
    <w:rsid w:val="00F53517"/>
    <w:rsid w:val="00F5355B"/>
    <w:rsid w:val="00F536B6"/>
    <w:rsid w:val="00F5372D"/>
    <w:rsid w:val="00F53730"/>
    <w:rsid w:val="00F53800"/>
    <w:rsid w:val="00F5397A"/>
    <w:rsid w:val="00F53B65"/>
    <w:rsid w:val="00F53BCE"/>
    <w:rsid w:val="00F53D5E"/>
    <w:rsid w:val="00F53D75"/>
    <w:rsid w:val="00F53F1C"/>
    <w:rsid w:val="00F53FD9"/>
    <w:rsid w:val="00F54081"/>
    <w:rsid w:val="00F5418D"/>
    <w:rsid w:val="00F54255"/>
    <w:rsid w:val="00F54276"/>
    <w:rsid w:val="00F5429B"/>
    <w:rsid w:val="00F542AA"/>
    <w:rsid w:val="00F5438D"/>
    <w:rsid w:val="00F543DA"/>
    <w:rsid w:val="00F543F4"/>
    <w:rsid w:val="00F54540"/>
    <w:rsid w:val="00F5454B"/>
    <w:rsid w:val="00F54667"/>
    <w:rsid w:val="00F54744"/>
    <w:rsid w:val="00F54832"/>
    <w:rsid w:val="00F54953"/>
    <w:rsid w:val="00F54A01"/>
    <w:rsid w:val="00F54BD8"/>
    <w:rsid w:val="00F54BEA"/>
    <w:rsid w:val="00F54BFE"/>
    <w:rsid w:val="00F54CC4"/>
    <w:rsid w:val="00F54D46"/>
    <w:rsid w:val="00F54E7C"/>
    <w:rsid w:val="00F5506F"/>
    <w:rsid w:val="00F552BE"/>
    <w:rsid w:val="00F552E3"/>
    <w:rsid w:val="00F5560D"/>
    <w:rsid w:val="00F5561F"/>
    <w:rsid w:val="00F55854"/>
    <w:rsid w:val="00F5594E"/>
    <w:rsid w:val="00F55980"/>
    <w:rsid w:val="00F559F9"/>
    <w:rsid w:val="00F55AB2"/>
    <w:rsid w:val="00F55AC0"/>
    <w:rsid w:val="00F55CAB"/>
    <w:rsid w:val="00F55DBE"/>
    <w:rsid w:val="00F560BC"/>
    <w:rsid w:val="00F561F4"/>
    <w:rsid w:val="00F56235"/>
    <w:rsid w:val="00F562E9"/>
    <w:rsid w:val="00F56334"/>
    <w:rsid w:val="00F56458"/>
    <w:rsid w:val="00F56481"/>
    <w:rsid w:val="00F565CE"/>
    <w:rsid w:val="00F566F7"/>
    <w:rsid w:val="00F56A16"/>
    <w:rsid w:val="00F56BA9"/>
    <w:rsid w:val="00F56BF3"/>
    <w:rsid w:val="00F56C9D"/>
    <w:rsid w:val="00F56D98"/>
    <w:rsid w:val="00F56E4F"/>
    <w:rsid w:val="00F56F94"/>
    <w:rsid w:val="00F57004"/>
    <w:rsid w:val="00F5700E"/>
    <w:rsid w:val="00F57358"/>
    <w:rsid w:val="00F5757A"/>
    <w:rsid w:val="00F575AC"/>
    <w:rsid w:val="00F57709"/>
    <w:rsid w:val="00F57762"/>
    <w:rsid w:val="00F577C6"/>
    <w:rsid w:val="00F57885"/>
    <w:rsid w:val="00F57918"/>
    <w:rsid w:val="00F57BDF"/>
    <w:rsid w:val="00F601ED"/>
    <w:rsid w:val="00F603E1"/>
    <w:rsid w:val="00F60416"/>
    <w:rsid w:val="00F6045B"/>
    <w:rsid w:val="00F6068F"/>
    <w:rsid w:val="00F6072D"/>
    <w:rsid w:val="00F6081D"/>
    <w:rsid w:val="00F6088A"/>
    <w:rsid w:val="00F60A8B"/>
    <w:rsid w:val="00F60AA5"/>
    <w:rsid w:val="00F60AC3"/>
    <w:rsid w:val="00F60C8A"/>
    <w:rsid w:val="00F60CE1"/>
    <w:rsid w:val="00F60CFD"/>
    <w:rsid w:val="00F60D19"/>
    <w:rsid w:val="00F60F48"/>
    <w:rsid w:val="00F61043"/>
    <w:rsid w:val="00F61107"/>
    <w:rsid w:val="00F61172"/>
    <w:rsid w:val="00F61231"/>
    <w:rsid w:val="00F6127B"/>
    <w:rsid w:val="00F61290"/>
    <w:rsid w:val="00F6139C"/>
    <w:rsid w:val="00F613A3"/>
    <w:rsid w:val="00F613F3"/>
    <w:rsid w:val="00F61580"/>
    <w:rsid w:val="00F615AB"/>
    <w:rsid w:val="00F6171D"/>
    <w:rsid w:val="00F6189D"/>
    <w:rsid w:val="00F61911"/>
    <w:rsid w:val="00F61A75"/>
    <w:rsid w:val="00F61B1F"/>
    <w:rsid w:val="00F61CB6"/>
    <w:rsid w:val="00F61EB4"/>
    <w:rsid w:val="00F6218E"/>
    <w:rsid w:val="00F621F3"/>
    <w:rsid w:val="00F62541"/>
    <w:rsid w:val="00F62571"/>
    <w:rsid w:val="00F62573"/>
    <w:rsid w:val="00F62853"/>
    <w:rsid w:val="00F62854"/>
    <w:rsid w:val="00F62B3E"/>
    <w:rsid w:val="00F62C2B"/>
    <w:rsid w:val="00F62CBD"/>
    <w:rsid w:val="00F62EBE"/>
    <w:rsid w:val="00F62F87"/>
    <w:rsid w:val="00F631F7"/>
    <w:rsid w:val="00F632DE"/>
    <w:rsid w:val="00F632FB"/>
    <w:rsid w:val="00F63522"/>
    <w:rsid w:val="00F63530"/>
    <w:rsid w:val="00F63864"/>
    <w:rsid w:val="00F63995"/>
    <w:rsid w:val="00F63B45"/>
    <w:rsid w:val="00F63B66"/>
    <w:rsid w:val="00F63C69"/>
    <w:rsid w:val="00F63DDC"/>
    <w:rsid w:val="00F63E36"/>
    <w:rsid w:val="00F641D9"/>
    <w:rsid w:val="00F642F8"/>
    <w:rsid w:val="00F64306"/>
    <w:rsid w:val="00F64386"/>
    <w:rsid w:val="00F644FD"/>
    <w:rsid w:val="00F64555"/>
    <w:rsid w:val="00F6462B"/>
    <w:rsid w:val="00F6465B"/>
    <w:rsid w:val="00F646B1"/>
    <w:rsid w:val="00F64C57"/>
    <w:rsid w:val="00F64D4C"/>
    <w:rsid w:val="00F64E88"/>
    <w:rsid w:val="00F6506F"/>
    <w:rsid w:val="00F65282"/>
    <w:rsid w:val="00F653ED"/>
    <w:rsid w:val="00F65456"/>
    <w:rsid w:val="00F654D6"/>
    <w:rsid w:val="00F65544"/>
    <w:rsid w:val="00F65632"/>
    <w:rsid w:val="00F65916"/>
    <w:rsid w:val="00F65932"/>
    <w:rsid w:val="00F65A0C"/>
    <w:rsid w:val="00F65B10"/>
    <w:rsid w:val="00F65B52"/>
    <w:rsid w:val="00F65BCB"/>
    <w:rsid w:val="00F65E44"/>
    <w:rsid w:val="00F65ECE"/>
    <w:rsid w:val="00F65EEF"/>
    <w:rsid w:val="00F66144"/>
    <w:rsid w:val="00F661DB"/>
    <w:rsid w:val="00F666D6"/>
    <w:rsid w:val="00F666DA"/>
    <w:rsid w:val="00F66A65"/>
    <w:rsid w:val="00F66C10"/>
    <w:rsid w:val="00F66D45"/>
    <w:rsid w:val="00F66E37"/>
    <w:rsid w:val="00F66E6E"/>
    <w:rsid w:val="00F66F47"/>
    <w:rsid w:val="00F66F6A"/>
    <w:rsid w:val="00F6713F"/>
    <w:rsid w:val="00F67278"/>
    <w:rsid w:val="00F672E7"/>
    <w:rsid w:val="00F67335"/>
    <w:rsid w:val="00F673A8"/>
    <w:rsid w:val="00F6740B"/>
    <w:rsid w:val="00F674AC"/>
    <w:rsid w:val="00F674C3"/>
    <w:rsid w:val="00F67674"/>
    <w:rsid w:val="00F676FF"/>
    <w:rsid w:val="00F6781B"/>
    <w:rsid w:val="00F67DF7"/>
    <w:rsid w:val="00F67EE3"/>
    <w:rsid w:val="00F67F16"/>
    <w:rsid w:val="00F67F22"/>
    <w:rsid w:val="00F70002"/>
    <w:rsid w:val="00F70038"/>
    <w:rsid w:val="00F70060"/>
    <w:rsid w:val="00F70098"/>
    <w:rsid w:val="00F700FC"/>
    <w:rsid w:val="00F70105"/>
    <w:rsid w:val="00F7012B"/>
    <w:rsid w:val="00F70218"/>
    <w:rsid w:val="00F702A8"/>
    <w:rsid w:val="00F702C2"/>
    <w:rsid w:val="00F7035E"/>
    <w:rsid w:val="00F7045A"/>
    <w:rsid w:val="00F704D7"/>
    <w:rsid w:val="00F705BA"/>
    <w:rsid w:val="00F7061C"/>
    <w:rsid w:val="00F708E6"/>
    <w:rsid w:val="00F709C6"/>
    <w:rsid w:val="00F709F3"/>
    <w:rsid w:val="00F70C58"/>
    <w:rsid w:val="00F70D19"/>
    <w:rsid w:val="00F70FC1"/>
    <w:rsid w:val="00F7100F"/>
    <w:rsid w:val="00F7110D"/>
    <w:rsid w:val="00F7113F"/>
    <w:rsid w:val="00F711A5"/>
    <w:rsid w:val="00F71230"/>
    <w:rsid w:val="00F712E5"/>
    <w:rsid w:val="00F7141C"/>
    <w:rsid w:val="00F714B0"/>
    <w:rsid w:val="00F715BF"/>
    <w:rsid w:val="00F71642"/>
    <w:rsid w:val="00F71888"/>
    <w:rsid w:val="00F7197F"/>
    <w:rsid w:val="00F719EA"/>
    <w:rsid w:val="00F71CA9"/>
    <w:rsid w:val="00F71DFC"/>
    <w:rsid w:val="00F71FA3"/>
    <w:rsid w:val="00F72111"/>
    <w:rsid w:val="00F72149"/>
    <w:rsid w:val="00F7234C"/>
    <w:rsid w:val="00F7244A"/>
    <w:rsid w:val="00F7257B"/>
    <w:rsid w:val="00F725C8"/>
    <w:rsid w:val="00F72736"/>
    <w:rsid w:val="00F72801"/>
    <w:rsid w:val="00F72924"/>
    <w:rsid w:val="00F72992"/>
    <w:rsid w:val="00F72ADD"/>
    <w:rsid w:val="00F72BD4"/>
    <w:rsid w:val="00F72C4A"/>
    <w:rsid w:val="00F72C59"/>
    <w:rsid w:val="00F72C5F"/>
    <w:rsid w:val="00F72CD4"/>
    <w:rsid w:val="00F730C8"/>
    <w:rsid w:val="00F732A6"/>
    <w:rsid w:val="00F734BE"/>
    <w:rsid w:val="00F7353A"/>
    <w:rsid w:val="00F73555"/>
    <w:rsid w:val="00F736CD"/>
    <w:rsid w:val="00F73709"/>
    <w:rsid w:val="00F73798"/>
    <w:rsid w:val="00F73863"/>
    <w:rsid w:val="00F738D5"/>
    <w:rsid w:val="00F738F7"/>
    <w:rsid w:val="00F73984"/>
    <w:rsid w:val="00F73ABD"/>
    <w:rsid w:val="00F73B68"/>
    <w:rsid w:val="00F73B81"/>
    <w:rsid w:val="00F73D05"/>
    <w:rsid w:val="00F73E0C"/>
    <w:rsid w:val="00F74141"/>
    <w:rsid w:val="00F741FE"/>
    <w:rsid w:val="00F74226"/>
    <w:rsid w:val="00F74296"/>
    <w:rsid w:val="00F74397"/>
    <w:rsid w:val="00F743F5"/>
    <w:rsid w:val="00F7479F"/>
    <w:rsid w:val="00F747AA"/>
    <w:rsid w:val="00F7485A"/>
    <w:rsid w:val="00F74957"/>
    <w:rsid w:val="00F74963"/>
    <w:rsid w:val="00F74994"/>
    <w:rsid w:val="00F749B4"/>
    <w:rsid w:val="00F74B51"/>
    <w:rsid w:val="00F74B89"/>
    <w:rsid w:val="00F74C58"/>
    <w:rsid w:val="00F74E7F"/>
    <w:rsid w:val="00F74F01"/>
    <w:rsid w:val="00F7504C"/>
    <w:rsid w:val="00F750A0"/>
    <w:rsid w:val="00F75199"/>
    <w:rsid w:val="00F753A1"/>
    <w:rsid w:val="00F753BD"/>
    <w:rsid w:val="00F753D1"/>
    <w:rsid w:val="00F755BD"/>
    <w:rsid w:val="00F7563A"/>
    <w:rsid w:val="00F758F1"/>
    <w:rsid w:val="00F75B2A"/>
    <w:rsid w:val="00F75B57"/>
    <w:rsid w:val="00F75DBC"/>
    <w:rsid w:val="00F75E9B"/>
    <w:rsid w:val="00F75FD5"/>
    <w:rsid w:val="00F7602C"/>
    <w:rsid w:val="00F7604F"/>
    <w:rsid w:val="00F76436"/>
    <w:rsid w:val="00F764E7"/>
    <w:rsid w:val="00F76581"/>
    <w:rsid w:val="00F76C23"/>
    <w:rsid w:val="00F76EB4"/>
    <w:rsid w:val="00F76F77"/>
    <w:rsid w:val="00F770F0"/>
    <w:rsid w:val="00F77192"/>
    <w:rsid w:val="00F7738B"/>
    <w:rsid w:val="00F77490"/>
    <w:rsid w:val="00F777D6"/>
    <w:rsid w:val="00F77875"/>
    <w:rsid w:val="00F77A53"/>
    <w:rsid w:val="00F77C41"/>
    <w:rsid w:val="00F77CDE"/>
    <w:rsid w:val="00F77D43"/>
    <w:rsid w:val="00F77DF3"/>
    <w:rsid w:val="00F77F0E"/>
    <w:rsid w:val="00F77F57"/>
    <w:rsid w:val="00F77F70"/>
    <w:rsid w:val="00F800C7"/>
    <w:rsid w:val="00F8015E"/>
    <w:rsid w:val="00F80207"/>
    <w:rsid w:val="00F8027C"/>
    <w:rsid w:val="00F80303"/>
    <w:rsid w:val="00F803E2"/>
    <w:rsid w:val="00F807B3"/>
    <w:rsid w:val="00F80A41"/>
    <w:rsid w:val="00F80A7D"/>
    <w:rsid w:val="00F80E30"/>
    <w:rsid w:val="00F80ED1"/>
    <w:rsid w:val="00F80FCA"/>
    <w:rsid w:val="00F810BE"/>
    <w:rsid w:val="00F811BC"/>
    <w:rsid w:val="00F81362"/>
    <w:rsid w:val="00F815BA"/>
    <w:rsid w:val="00F81753"/>
    <w:rsid w:val="00F817A8"/>
    <w:rsid w:val="00F81988"/>
    <w:rsid w:val="00F81C99"/>
    <w:rsid w:val="00F81CD0"/>
    <w:rsid w:val="00F81D60"/>
    <w:rsid w:val="00F81DA0"/>
    <w:rsid w:val="00F81ECC"/>
    <w:rsid w:val="00F82003"/>
    <w:rsid w:val="00F82051"/>
    <w:rsid w:val="00F821FE"/>
    <w:rsid w:val="00F8224B"/>
    <w:rsid w:val="00F82326"/>
    <w:rsid w:val="00F823E8"/>
    <w:rsid w:val="00F82446"/>
    <w:rsid w:val="00F8265F"/>
    <w:rsid w:val="00F8266B"/>
    <w:rsid w:val="00F82698"/>
    <w:rsid w:val="00F82948"/>
    <w:rsid w:val="00F82ADA"/>
    <w:rsid w:val="00F82BE0"/>
    <w:rsid w:val="00F82DAF"/>
    <w:rsid w:val="00F82E64"/>
    <w:rsid w:val="00F8300B"/>
    <w:rsid w:val="00F8304D"/>
    <w:rsid w:val="00F830C5"/>
    <w:rsid w:val="00F830F8"/>
    <w:rsid w:val="00F83196"/>
    <w:rsid w:val="00F831D3"/>
    <w:rsid w:val="00F832A9"/>
    <w:rsid w:val="00F83372"/>
    <w:rsid w:val="00F83386"/>
    <w:rsid w:val="00F8342D"/>
    <w:rsid w:val="00F8351F"/>
    <w:rsid w:val="00F835FA"/>
    <w:rsid w:val="00F8379B"/>
    <w:rsid w:val="00F83A27"/>
    <w:rsid w:val="00F83AE0"/>
    <w:rsid w:val="00F83B8C"/>
    <w:rsid w:val="00F83C31"/>
    <w:rsid w:val="00F83D54"/>
    <w:rsid w:val="00F8404D"/>
    <w:rsid w:val="00F84272"/>
    <w:rsid w:val="00F844AD"/>
    <w:rsid w:val="00F847E8"/>
    <w:rsid w:val="00F8483D"/>
    <w:rsid w:val="00F8486A"/>
    <w:rsid w:val="00F84899"/>
    <w:rsid w:val="00F84AB2"/>
    <w:rsid w:val="00F84B01"/>
    <w:rsid w:val="00F84B4B"/>
    <w:rsid w:val="00F84B8B"/>
    <w:rsid w:val="00F84C86"/>
    <w:rsid w:val="00F84CA7"/>
    <w:rsid w:val="00F84D8A"/>
    <w:rsid w:val="00F84E78"/>
    <w:rsid w:val="00F84F23"/>
    <w:rsid w:val="00F8505F"/>
    <w:rsid w:val="00F85087"/>
    <w:rsid w:val="00F853E2"/>
    <w:rsid w:val="00F853E6"/>
    <w:rsid w:val="00F8548A"/>
    <w:rsid w:val="00F854EE"/>
    <w:rsid w:val="00F8599C"/>
    <w:rsid w:val="00F859EE"/>
    <w:rsid w:val="00F85A87"/>
    <w:rsid w:val="00F85ADA"/>
    <w:rsid w:val="00F85ADF"/>
    <w:rsid w:val="00F85AE2"/>
    <w:rsid w:val="00F85C2F"/>
    <w:rsid w:val="00F85CEC"/>
    <w:rsid w:val="00F85CED"/>
    <w:rsid w:val="00F85E5B"/>
    <w:rsid w:val="00F85F63"/>
    <w:rsid w:val="00F8608A"/>
    <w:rsid w:val="00F860E0"/>
    <w:rsid w:val="00F86481"/>
    <w:rsid w:val="00F864AA"/>
    <w:rsid w:val="00F86584"/>
    <w:rsid w:val="00F86597"/>
    <w:rsid w:val="00F86680"/>
    <w:rsid w:val="00F8676A"/>
    <w:rsid w:val="00F86C36"/>
    <w:rsid w:val="00F86DD1"/>
    <w:rsid w:val="00F87038"/>
    <w:rsid w:val="00F870C7"/>
    <w:rsid w:val="00F874FC"/>
    <w:rsid w:val="00F875A8"/>
    <w:rsid w:val="00F87624"/>
    <w:rsid w:val="00F87703"/>
    <w:rsid w:val="00F87A4A"/>
    <w:rsid w:val="00F90127"/>
    <w:rsid w:val="00F901B6"/>
    <w:rsid w:val="00F90311"/>
    <w:rsid w:val="00F90444"/>
    <w:rsid w:val="00F90621"/>
    <w:rsid w:val="00F907B9"/>
    <w:rsid w:val="00F9088F"/>
    <w:rsid w:val="00F90B13"/>
    <w:rsid w:val="00F90BC3"/>
    <w:rsid w:val="00F90D0A"/>
    <w:rsid w:val="00F90EAD"/>
    <w:rsid w:val="00F90FE7"/>
    <w:rsid w:val="00F9113B"/>
    <w:rsid w:val="00F91353"/>
    <w:rsid w:val="00F913FB"/>
    <w:rsid w:val="00F9146D"/>
    <w:rsid w:val="00F91728"/>
    <w:rsid w:val="00F91A2D"/>
    <w:rsid w:val="00F91A66"/>
    <w:rsid w:val="00F91AD4"/>
    <w:rsid w:val="00F91DFF"/>
    <w:rsid w:val="00F91F00"/>
    <w:rsid w:val="00F920FF"/>
    <w:rsid w:val="00F92112"/>
    <w:rsid w:val="00F92456"/>
    <w:rsid w:val="00F925B7"/>
    <w:rsid w:val="00F926C3"/>
    <w:rsid w:val="00F92752"/>
    <w:rsid w:val="00F9279F"/>
    <w:rsid w:val="00F9289C"/>
    <w:rsid w:val="00F928DC"/>
    <w:rsid w:val="00F92A3B"/>
    <w:rsid w:val="00F92B63"/>
    <w:rsid w:val="00F92E25"/>
    <w:rsid w:val="00F92FD5"/>
    <w:rsid w:val="00F92FF9"/>
    <w:rsid w:val="00F9308F"/>
    <w:rsid w:val="00F931CD"/>
    <w:rsid w:val="00F93339"/>
    <w:rsid w:val="00F934DA"/>
    <w:rsid w:val="00F93583"/>
    <w:rsid w:val="00F93593"/>
    <w:rsid w:val="00F93614"/>
    <w:rsid w:val="00F937BB"/>
    <w:rsid w:val="00F93841"/>
    <w:rsid w:val="00F93A2A"/>
    <w:rsid w:val="00F93CC5"/>
    <w:rsid w:val="00F93DD2"/>
    <w:rsid w:val="00F940E7"/>
    <w:rsid w:val="00F9418A"/>
    <w:rsid w:val="00F941C1"/>
    <w:rsid w:val="00F94271"/>
    <w:rsid w:val="00F94557"/>
    <w:rsid w:val="00F945E3"/>
    <w:rsid w:val="00F9467A"/>
    <w:rsid w:val="00F94706"/>
    <w:rsid w:val="00F94766"/>
    <w:rsid w:val="00F948E4"/>
    <w:rsid w:val="00F94906"/>
    <w:rsid w:val="00F94A67"/>
    <w:rsid w:val="00F94C26"/>
    <w:rsid w:val="00F94CC2"/>
    <w:rsid w:val="00F94CCB"/>
    <w:rsid w:val="00F94E1E"/>
    <w:rsid w:val="00F94F42"/>
    <w:rsid w:val="00F951BC"/>
    <w:rsid w:val="00F9525B"/>
    <w:rsid w:val="00F952DA"/>
    <w:rsid w:val="00F958C6"/>
    <w:rsid w:val="00F9593C"/>
    <w:rsid w:val="00F95A1A"/>
    <w:rsid w:val="00F95BD9"/>
    <w:rsid w:val="00F95D55"/>
    <w:rsid w:val="00F95FA0"/>
    <w:rsid w:val="00F96137"/>
    <w:rsid w:val="00F9619D"/>
    <w:rsid w:val="00F961E3"/>
    <w:rsid w:val="00F9630C"/>
    <w:rsid w:val="00F96377"/>
    <w:rsid w:val="00F96658"/>
    <w:rsid w:val="00F96671"/>
    <w:rsid w:val="00F966A9"/>
    <w:rsid w:val="00F966AF"/>
    <w:rsid w:val="00F9684A"/>
    <w:rsid w:val="00F9686A"/>
    <w:rsid w:val="00F968B3"/>
    <w:rsid w:val="00F9694C"/>
    <w:rsid w:val="00F96A74"/>
    <w:rsid w:val="00F96A87"/>
    <w:rsid w:val="00F96C99"/>
    <w:rsid w:val="00F970D1"/>
    <w:rsid w:val="00F971FB"/>
    <w:rsid w:val="00F972F0"/>
    <w:rsid w:val="00F97373"/>
    <w:rsid w:val="00F973E2"/>
    <w:rsid w:val="00F973F6"/>
    <w:rsid w:val="00F97467"/>
    <w:rsid w:val="00F9759A"/>
    <w:rsid w:val="00F9763D"/>
    <w:rsid w:val="00F97BFE"/>
    <w:rsid w:val="00F97D23"/>
    <w:rsid w:val="00F97D9E"/>
    <w:rsid w:val="00F97F15"/>
    <w:rsid w:val="00F9EBCD"/>
    <w:rsid w:val="00FA0007"/>
    <w:rsid w:val="00FA00A6"/>
    <w:rsid w:val="00FA00F7"/>
    <w:rsid w:val="00FA0123"/>
    <w:rsid w:val="00FA01EE"/>
    <w:rsid w:val="00FA02DE"/>
    <w:rsid w:val="00FA0374"/>
    <w:rsid w:val="00FA0446"/>
    <w:rsid w:val="00FA04B5"/>
    <w:rsid w:val="00FA0645"/>
    <w:rsid w:val="00FA0790"/>
    <w:rsid w:val="00FA0825"/>
    <w:rsid w:val="00FA08AD"/>
    <w:rsid w:val="00FA08EB"/>
    <w:rsid w:val="00FA0B06"/>
    <w:rsid w:val="00FA0E85"/>
    <w:rsid w:val="00FA0F3E"/>
    <w:rsid w:val="00FA1082"/>
    <w:rsid w:val="00FA1309"/>
    <w:rsid w:val="00FA14B9"/>
    <w:rsid w:val="00FA15EE"/>
    <w:rsid w:val="00FA169C"/>
    <w:rsid w:val="00FA19C8"/>
    <w:rsid w:val="00FA19D5"/>
    <w:rsid w:val="00FA1A24"/>
    <w:rsid w:val="00FA1AF7"/>
    <w:rsid w:val="00FA1B2C"/>
    <w:rsid w:val="00FA1DFA"/>
    <w:rsid w:val="00FA1E5F"/>
    <w:rsid w:val="00FA1F32"/>
    <w:rsid w:val="00FA1FF0"/>
    <w:rsid w:val="00FA20C3"/>
    <w:rsid w:val="00FA23F1"/>
    <w:rsid w:val="00FA2737"/>
    <w:rsid w:val="00FA2A7B"/>
    <w:rsid w:val="00FA2D1E"/>
    <w:rsid w:val="00FA2D8B"/>
    <w:rsid w:val="00FA2DA2"/>
    <w:rsid w:val="00FA2E02"/>
    <w:rsid w:val="00FA2E7C"/>
    <w:rsid w:val="00FA2F27"/>
    <w:rsid w:val="00FA31BE"/>
    <w:rsid w:val="00FA3530"/>
    <w:rsid w:val="00FA368E"/>
    <w:rsid w:val="00FA3826"/>
    <w:rsid w:val="00FA390A"/>
    <w:rsid w:val="00FA3A1F"/>
    <w:rsid w:val="00FA3AE0"/>
    <w:rsid w:val="00FA3AE6"/>
    <w:rsid w:val="00FA3BAA"/>
    <w:rsid w:val="00FA3BD5"/>
    <w:rsid w:val="00FA3D3D"/>
    <w:rsid w:val="00FA3DA8"/>
    <w:rsid w:val="00FA3DC8"/>
    <w:rsid w:val="00FA3E5D"/>
    <w:rsid w:val="00FA3FB5"/>
    <w:rsid w:val="00FA3FC6"/>
    <w:rsid w:val="00FA4150"/>
    <w:rsid w:val="00FA415F"/>
    <w:rsid w:val="00FA4184"/>
    <w:rsid w:val="00FA4264"/>
    <w:rsid w:val="00FA4354"/>
    <w:rsid w:val="00FA44A5"/>
    <w:rsid w:val="00FA462C"/>
    <w:rsid w:val="00FA47AF"/>
    <w:rsid w:val="00FA47E1"/>
    <w:rsid w:val="00FA48B1"/>
    <w:rsid w:val="00FA48C2"/>
    <w:rsid w:val="00FA4935"/>
    <w:rsid w:val="00FA49C8"/>
    <w:rsid w:val="00FA4A70"/>
    <w:rsid w:val="00FA4A8B"/>
    <w:rsid w:val="00FA4AAC"/>
    <w:rsid w:val="00FA4B85"/>
    <w:rsid w:val="00FA4C7C"/>
    <w:rsid w:val="00FA4D82"/>
    <w:rsid w:val="00FA4DA6"/>
    <w:rsid w:val="00FA4DCB"/>
    <w:rsid w:val="00FA4EEB"/>
    <w:rsid w:val="00FA4F14"/>
    <w:rsid w:val="00FA4FCB"/>
    <w:rsid w:val="00FA50B0"/>
    <w:rsid w:val="00FA5471"/>
    <w:rsid w:val="00FA54EF"/>
    <w:rsid w:val="00FA5525"/>
    <w:rsid w:val="00FA558A"/>
    <w:rsid w:val="00FA5756"/>
    <w:rsid w:val="00FA5766"/>
    <w:rsid w:val="00FA5B94"/>
    <w:rsid w:val="00FA5BB8"/>
    <w:rsid w:val="00FA5ED6"/>
    <w:rsid w:val="00FA5F91"/>
    <w:rsid w:val="00FA60BB"/>
    <w:rsid w:val="00FA60CF"/>
    <w:rsid w:val="00FA61A6"/>
    <w:rsid w:val="00FA6327"/>
    <w:rsid w:val="00FA6468"/>
    <w:rsid w:val="00FA65D3"/>
    <w:rsid w:val="00FA6851"/>
    <w:rsid w:val="00FA6874"/>
    <w:rsid w:val="00FA6958"/>
    <w:rsid w:val="00FA6A11"/>
    <w:rsid w:val="00FA6ADA"/>
    <w:rsid w:val="00FA6BFB"/>
    <w:rsid w:val="00FA6DA5"/>
    <w:rsid w:val="00FA6DA6"/>
    <w:rsid w:val="00FA6E6B"/>
    <w:rsid w:val="00FA6F42"/>
    <w:rsid w:val="00FA6FF8"/>
    <w:rsid w:val="00FA700D"/>
    <w:rsid w:val="00FA7038"/>
    <w:rsid w:val="00FA7225"/>
    <w:rsid w:val="00FA728F"/>
    <w:rsid w:val="00FA7292"/>
    <w:rsid w:val="00FA74CC"/>
    <w:rsid w:val="00FA76A0"/>
    <w:rsid w:val="00FA797C"/>
    <w:rsid w:val="00FA7A5C"/>
    <w:rsid w:val="00FA7C00"/>
    <w:rsid w:val="00FA7D7D"/>
    <w:rsid w:val="00FA7DA1"/>
    <w:rsid w:val="00FA7E39"/>
    <w:rsid w:val="00FA7FA0"/>
    <w:rsid w:val="00FA7FA4"/>
    <w:rsid w:val="00FA7FD0"/>
    <w:rsid w:val="00FB027F"/>
    <w:rsid w:val="00FB0505"/>
    <w:rsid w:val="00FB052E"/>
    <w:rsid w:val="00FB0712"/>
    <w:rsid w:val="00FB0C54"/>
    <w:rsid w:val="00FB0CDD"/>
    <w:rsid w:val="00FB0D0C"/>
    <w:rsid w:val="00FB0D2D"/>
    <w:rsid w:val="00FB0D38"/>
    <w:rsid w:val="00FB0E73"/>
    <w:rsid w:val="00FB10A7"/>
    <w:rsid w:val="00FB11C1"/>
    <w:rsid w:val="00FB1230"/>
    <w:rsid w:val="00FB1249"/>
    <w:rsid w:val="00FB131E"/>
    <w:rsid w:val="00FB1403"/>
    <w:rsid w:val="00FB1793"/>
    <w:rsid w:val="00FB17BF"/>
    <w:rsid w:val="00FB1858"/>
    <w:rsid w:val="00FB1C5B"/>
    <w:rsid w:val="00FB1C86"/>
    <w:rsid w:val="00FB1CFF"/>
    <w:rsid w:val="00FB224D"/>
    <w:rsid w:val="00FB24AA"/>
    <w:rsid w:val="00FB24E2"/>
    <w:rsid w:val="00FB2825"/>
    <w:rsid w:val="00FB2836"/>
    <w:rsid w:val="00FB2857"/>
    <w:rsid w:val="00FB28CF"/>
    <w:rsid w:val="00FB2A82"/>
    <w:rsid w:val="00FB2E27"/>
    <w:rsid w:val="00FB2EBD"/>
    <w:rsid w:val="00FB2F6C"/>
    <w:rsid w:val="00FB2FF6"/>
    <w:rsid w:val="00FB3061"/>
    <w:rsid w:val="00FB3131"/>
    <w:rsid w:val="00FB31E3"/>
    <w:rsid w:val="00FB32B8"/>
    <w:rsid w:val="00FB32DB"/>
    <w:rsid w:val="00FB348A"/>
    <w:rsid w:val="00FB34D7"/>
    <w:rsid w:val="00FB35C8"/>
    <w:rsid w:val="00FB36CF"/>
    <w:rsid w:val="00FB3738"/>
    <w:rsid w:val="00FB3747"/>
    <w:rsid w:val="00FB38FC"/>
    <w:rsid w:val="00FB3914"/>
    <w:rsid w:val="00FB39D8"/>
    <w:rsid w:val="00FB3BAD"/>
    <w:rsid w:val="00FB3C7E"/>
    <w:rsid w:val="00FB3CD3"/>
    <w:rsid w:val="00FB40C4"/>
    <w:rsid w:val="00FB4376"/>
    <w:rsid w:val="00FB46F8"/>
    <w:rsid w:val="00FB4757"/>
    <w:rsid w:val="00FB4963"/>
    <w:rsid w:val="00FB4AA5"/>
    <w:rsid w:val="00FB4BB3"/>
    <w:rsid w:val="00FB4C3C"/>
    <w:rsid w:val="00FB4FB5"/>
    <w:rsid w:val="00FB5009"/>
    <w:rsid w:val="00FB50B3"/>
    <w:rsid w:val="00FB50C8"/>
    <w:rsid w:val="00FB52CA"/>
    <w:rsid w:val="00FB53A3"/>
    <w:rsid w:val="00FB54EE"/>
    <w:rsid w:val="00FB558E"/>
    <w:rsid w:val="00FB5624"/>
    <w:rsid w:val="00FB5758"/>
    <w:rsid w:val="00FB576D"/>
    <w:rsid w:val="00FB591F"/>
    <w:rsid w:val="00FB59F2"/>
    <w:rsid w:val="00FB5B51"/>
    <w:rsid w:val="00FB5B8C"/>
    <w:rsid w:val="00FB5B8D"/>
    <w:rsid w:val="00FB5BDE"/>
    <w:rsid w:val="00FB5CD5"/>
    <w:rsid w:val="00FB5D30"/>
    <w:rsid w:val="00FB5DBE"/>
    <w:rsid w:val="00FB5E9D"/>
    <w:rsid w:val="00FB600B"/>
    <w:rsid w:val="00FB6132"/>
    <w:rsid w:val="00FB6137"/>
    <w:rsid w:val="00FB61F6"/>
    <w:rsid w:val="00FB61FD"/>
    <w:rsid w:val="00FB620D"/>
    <w:rsid w:val="00FB627A"/>
    <w:rsid w:val="00FB63D8"/>
    <w:rsid w:val="00FB656A"/>
    <w:rsid w:val="00FB660A"/>
    <w:rsid w:val="00FB6724"/>
    <w:rsid w:val="00FB6899"/>
    <w:rsid w:val="00FB68D0"/>
    <w:rsid w:val="00FB697D"/>
    <w:rsid w:val="00FB69DD"/>
    <w:rsid w:val="00FB6A36"/>
    <w:rsid w:val="00FB6A5F"/>
    <w:rsid w:val="00FB6AE4"/>
    <w:rsid w:val="00FB6C2C"/>
    <w:rsid w:val="00FB6C3A"/>
    <w:rsid w:val="00FB6D96"/>
    <w:rsid w:val="00FB6E71"/>
    <w:rsid w:val="00FB6F51"/>
    <w:rsid w:val="00FB6F67"/>
    <w:rsid w:val="00FB7130"/>
    <w:rsid w:val="00FB7214"/>
    <w:rsid w:val="00FB726E"/>
    <w:rsid w:val="00FB73CC"/>
    <w:rsid w:val="00FB752E"/>
    <w:rsid w:val="00FB75A5"/>
    <w:rsid w:val="00FB761E"/>
    <w:rsid w:val="00FB7650"/>
    <w:rsid w:val="00FB79DA"/>
    <w:rsid w:val="00FB79EB"/>
    <w:rsid w:val="00FB7A0D"/>
    <w:rsid w:val="00FB7A16"/>
    <w:rsid w:val="00FB7B1C"/>
    <w:rsid w:val="00FB7B7B"/>
    <w:rsid w:val="00FB7E59"/>
    <w:rsid w:val="00FB7F85"/>
    <w:rsid w:val="00FC003C"/>
    <w:rsid w:val="00FC0194"/>
    <w:rsid w:val="00FC0571"/>
    <w:rsid w:val="00FC065A"/>
    <w:rsid w:val="00FC06A5"/>
    <w:rsid w:val="00FC0906"/>
    <w:rsid w:val="00FC0966"/>
    <w:rsid w:val="00FC0A6B"/>
    <w:rsid w:val="00FC0AD7"/>
    <w:rsid w:val="00FC0AEB"/>
    <w:rsid w:val="00FC0C71"/>
    <w:rsid w:val="00FC10DE"/>
    <w:rsid w:val="00FC1229"/>
    <w:rsid w:val="00FC128A"/>
    <w:rsid w:val="00FC12DE"/>
    <w:rsid w:val="00FC1536"/>
    <w:rsid w:val="00FC1724"/>
    <w:rsid w:val="00FC18EA"/>
    <w:rsid w:val="00FC1A04"/>
    <w:rsid w:val="00FC1A94"/>
    <w:rsid w:val="00FC1EC0"/>
    <w:rsid w:val="00FC1F00"/>
    <w:rsid w:val="00FC1F7A"/>
    <w:rsid w:val="00FC2014"/>
    <w:rsid w:val="00FC20B8"/>
    <w:rsid w:val="00FC2124"/>
    <w:rsid w:val="00FC2516"/>
    <w:rsid w:val="00FC2727"/>
    <w:rsid w:val="00FC27E8"/>
    <w:rsid w:val="00FC2AA2"/>
    <w:rsid w:val="00FC2B7F"/>
    <w:rsid w:val="00FC2C18"/>
    <w:rsid w:val="00FC2C5E"/>
    <w:rsid w:val="00FC2D5F"/>
    <w:rsid w:val="00FC2DED"/>
    <w:rsid w:val="00FC2E8B"/>
    <w:rsid w:val="00FC2EAC"/>
    <w:rsid w:val="00FC2F5E"/>
    <w:rsid w:val="00FC3211"/>
    <w:rsid w:val="00FC3221"/>
    <w:rsid w:val="00FC3328"/>
    <w:rsid w:val="00FC34E6"/>
    <w:rsid w:val="00FC3513"/>
    <w:rsid w:val="00FC36F2"/>
    <w:rsid w:val="00FC378A"/>
    <w:rsid w:val="00FC3B29"/>
    <w:rsid w:val="00FC3B9B"/>
    <w:rsid w:val="00FC3D9A"/>
    <w:rsid w:val="00FC4082"/>
    <w:rsid w:val="00FC4192"/>
    <w:rsid w:val="00FC4211"/>
    <w:rsid w:val="00FC4358"/>
    <w:rsid w:val="00FC4720"/>
    <w:rsid w:val="00FC48C7"/>
    <w:rsid w:val="00FC48F0"/>
    <w:rsid w:val="00FC49CA"/>
    <w:rsid w:val="00FC4B2F"/>
    <w:rsid w:val="00FC4B82"/>
    <w:rsid w:val="00FC4C31"/>
    <w:rsid w:val="00FC4C37"/>
    <w:rsid w:val="00FC4D77"/>
    <w:rsid w:val="00FC54C9"/>
    <w:rsid w:val="00FC54E7"/>
    <w:rsid w:val="00FC5603"/>
    <w:rsid w:val="00FC5690"/>
    <w:rsid w:val="00FC5716"/>
    <w:rsid w:val="00FC5762"/>
    <w:rsid w:val="00FC5802"/>
    <w:rsid w:val="00FC5813"/>
    <w:rsid w:val="00FC5896"/>
    <w:rsid w:val="00FC5939"/>
    <w:rsid w:val="00FC59A1"/>
    <w:rsid w:val="00FC59E7"/>
    <w:rsid w:val="00FC5C3D"/>
    <w:rsid w:val="00FC5EF0"/>
    <w:rsid w:val="00FC5F76"/>
    <w:rsid w:val="00FC5F88"/>
    <w:rsid w:val="00FC60B4"/>
    <w:rsid w:val="00FC60C4"/>
    <w:rsid w:val="00FC619B"/>
    <w:rsid w:val="00FC6201"/>
    <w:rsid w:val="00FC649E"/>
    <w:rsid w:val="00FC64EE"/>
    <w:rsid w:val="00FC6500"/>
    <w:rsid w:val="00FC6616"/>
    <w:rsid w:val="00FC67E3"/>
    <w:rsid w:val="00FC68BA"/>
    <w:rsid w:val="00FC6BED"/>
    <w:rsid w:val="00FC6C81"/>
    <w:rsid w:val="00FC7098"/>
    <w:rsid w:val="00FC71E0"/>
    <w:rsid w:val="00FC729B"/>
    <w:rsid w:val="00FC73A8"/>
    <w:rsid w:val="00FC756D"/>
    <w:rsid w:val="00FC75D7"/>
    <w:rsid w:val="00FC7707"/>
    <w:rsid w:val="00FC78DE"/>
    <w:rsid w:val="00FC7AE8"/>
    <w:rsid w:val="00FC7BB8"/>
    <w:rsid w:val="00FC7C16"/>
    <w:rsid w:val="00FC7CC6"/>
    <w:rsid w:val="00FC7F86"/>
    <w:rsid w:val="00FD0149"/>
    <w:rsid w:val="00FD0178"/>
    <w:rsid w:val="00FD01FC"/>
    <w:rsid w:val="00FD031F"/>
    <w:rsid w:val="00FD0327"/>
    <w:rsid w:val="00FD05B3"/>
    <w:rsid w:val="00FD0701"/>
    <w:rsid w:val="00FD071E"/>
    <w:rsid w:val="00FD0745"/>
    <w:rsid w:val="00FD076F"/>
    <w:rsid w:val="00FD0916"/>
    <w:rsid w:val="00FD0993"/>
    <w:rsid w:val="00FD0B28"/>
    <w:rsid w:val="00FD0DC2"/>
    <w:rsid w:val="00FD0DC4"/>
    <w:rsid w:val="00FD1014"/>
    <w:rsid w:val="00FD10FC"/>
    <w:rsid w:val="00FD1239"/>
    <w:rsid w:val="00FD1249"/>
    <w:rsid w:val="00FD1258"/>
    <w:rsid w:val="00FD1420"/>
    <w:rsid w:val="00FD144A"/>
    <w:rsid w:val="00FD15FA"/>
    <w:rsid w:val="00FD1676"/>
    <w:rsid w:val="00FD1691"/>
    <w:rsid w:val="00FD175A"/>
    <w:rsid w:val="00FD17BA"/>
    <w:rsid w:val="00FD17BF"/>
    <w:rsid w:val="00FD188B"/>
    <w:rsid w:val="00FD1ABE"/>
    <w:rsid w:val="00FD1B4D"/>
    <w:rsid w:val="00FD1C76"/>
    <w:rsid w:val="00FD1CEF"/>
    <w:rsid w:val="00FD227A"/>
    <w:rsid w:val="00FD27F4"/>
    <w:rsid w:val="00FD2A21"/>
    <w:rsid w:val="00FD2AB0"/>
    <w:rsid w:val="00FD2B7F"/>
    <w:rsid w:val="00FD2BDC"/>
    <w:rsid w:val="00FD2C35"/>
    <w:rsid w:val="00FD2C9D"/>
    <w:rsid w:val="00FD2DED"/>
    <w:rsid w:val="00FD2E1D"/>
    <w:rsid w:val="00FD2F0E"/>
    <w:rsid w:val="00FD2F51"/>
    <w:rsid w:val="00FD2F74"/>
    <w:rsid w:val="00FD305E"/>
    <w:rsid w:val="00FD335D"/>
    <w:rsid w:val="00FD339E"/>
    <w:rsid w:val="00FD35FF"/>
    <w:rsid w:val="00FD3665"/>
    <w:rsid w:val="00FD36DD"/>
    <w:rsid w:val="00FD36E8"/>
    <w:rsid w:val="00FD390C"/>
    <w:rsid w:val="00FD3AAF"/>
    <w:rsid w:val="00FD3B3F"/>
    <w:rsid w:val="00FD3B4E"/>
    <w:rsid w:val="00FD3B84"/>
    <w:rsid w:val="00FD3B94"/>
    <w:rsid w:val="00FD3BBF"/>
    <w:rsid w:val="00FD3BE6"/>
    <w:rsid w:val="00FD3F1E"/>
    <w:rsid w:val="00FD3F36"/>
    <w:rsid w:val="00FD3F56"/>
    <w:rsid w:val="00FD3FEC"/>
    <w:rsid w:val="00FD4038"/>
    <w:rsid w:val="00FD40DD"/>
    <w:rsid w:val="00FD40E4"/>
    <w:rsid w:val="00FD418D"/>
    <w:rsid w:val="00FD41C6"/>
    <w:rsid w:val="00FD43B3"/>
    <w:rsid w:val="00FD44BD"/>
    <w:rsid w:val="00FD4527"/>
    <w:rsid w:val="00FD4631"/>
    <w:rsid w:val="00FD4641"/>
    <w:rsid w:val="00FD469C"/>
    <w:rsid w:val="00FD4749"/>
    <w:rsid w:val="00FD47FD"/>
    <w:rsid w:val="00FD4899"/>
    <w:rsid w:val="00FD48D2"/>
    <w:rsid w:val="00FD490A"/>
    <w:rsid w:val="00FD49DD"/>
    <w:rsid w:val="00FD4A0A"/>
    <w:rsid w:val="00FD4B83"/>
    <w:rsid w:val="00FD4CBA"/>
    <w:rsid w:val="00FD4D0C"/>
    <w:rsid w:val="00FD4E32"/>
    <w:rsid w:val="00FD4F72"/>
    <w:rsid w:val="00FD5101"/>
    <w:rsid w:val="00FD527C"/>
    <w:rsid w:val="00FD5363"/>
    <w:rsid w:val="00FD5380"/>
    <w:rsid w:val="00FD5401"/>
    <w:rsid w:val="00FD54F7"/>
    <w:rsid w:val="00FD575E"/>
    <w:rsid w:val="00FD5772"/>
    <w:rsid w:val="00FD590C"/>
    <w:rsid w:val="00FD59D2"/>
    <w:rsid w:val="00FD5A26"/>
    <w:rsid w:val="00FD5B11"/>
    <w:rsid w:val="00FD5B48"/>
    <w:rsid w:val="00FD5CA1"/>
    <w:rsid w:val="00FD5E2A"/>
    <w:rsid w:val="00FD5F0C"/>
    <w:rsid w:val="00FD5F35"/>
    <w:rsid w:val="00FD5F6A"/>
    <w:rsid w:val="00FD6295"/>
    <w:rsid w:val="00FD638E"/>
    <w:rsid w:val="00FD64B1"/>
    <w:rsid w:val="00FD64B8"/>
    <w:rsid w:val="00FD66B4"/>
    <w:rsid w:val="00FD66F3"/>
    <w:rsid w:val="00FD673B"/>
    <w:rsid w:val="00FD691E"/>
    <w:rsid w:val="00FD6AC9"/>
    <w:rsid w:val="00FD6CB3"/>
    <w:rsid w:val="00FD6E70"/>
    <w:rsid w:val="00FD708E"/>
    <w:rsid w:val="00FD70AA"/>
    <w:rsid w:val="00FD7161"/>
    <w:rsid w:val="00FD7194"/>
    <w:rsid w:val="00FD721A"/>
    <w:rsid w:val="00FD72EB"/>
    <w:rsid w:val="00FD7368"/>
    <w:rsid w:val="00FD752A"/>
    <w:rsid w:val="00FD75ED"/>
    <w:rsid w:val="00FD76B2"/>
    <w:rsid w:val="00FD77FB"/>
    <w:rsid w:val="00FD781E"/>
    <w:rsid w:val="00FD796F"/>
    <w:rsid w:val="00FD7C65"/>
    <w:rsid w:val="00FD7DA5"/>
    <w:rsid w:val="00FD7E40"/>
    <w:rsid w:val="00FD7F6F"/>
    <w:rsid w:val="00FE0042"/>
    <w:rsid w:val="00FE008C"/>
    <w:rsid w:val="00FE00C8"/>
    <w:rsid w:val="00FE0252"/>
    <w:rsid w:val="00FE03DC"/>
    <w:rsid w:val="00FE0683"/>
    <w:rsid w:val="00FE0754"/>
    <w:rsid w:val="00FE075D"/>
    <w:rsid w:val="00FE07AB"/>
    <w:rsid w:val="00FE08A7"/>
    <w:rsid w:val="00FE09CC"/>
    <w:rsid w:val="00FE0C46"/>
    <w:rsid w:val="00FE0CDA"/>
    <w:rsid w:val="00FE0DD0"/>
    <w:rsid w:val="00FE0E6F"/>
    <w:rsid w:val="00FE0F57"/>
    <w:rsid w:val="00FE0FFB"/>
    <w:rsid w:val="00FE1118"/>
    <w:rsid w:val="00FE114F"/>
    <w:rsid w:val="00FE1329"/>
    <w:rsid w:val="00FE14C2"/>
    <w:rsid w:val="00FE14C5"/>
    <w:rsid w:val="00FE1502"/>
    <w:rsid w:val="00FE15B9"/>
    <w:rsid w:val="00FE1954"/>
    <w:rsid w:val="00FE1958"/>
    <w:rsid w:val="00FE1966"/>
    <w:rsid w:val="00FE1AB4"/>
    <w:rsid w:val="00FE1BC2"/>
    <w:rsid w:val="00FE1E22"/>
    <w:rsid w:val="00FE1F13"/>
    <w:rsid w:val="00FE1FC9"/>
    <w:rsid w:val="00FE21EF"/>
    <w:rsid w:val="00FE2225"/>
    <w:rsid w:val="00FE257E"/>
    <w:rsid w:val="00FE2603"/>
    <w:rsid w:val="00FE2928"/>
    <w:rsid w:val="00FE2973"/>
    <w:rsid w:val="00FE2A61"/>
    <w:rsid w:val="00FE2AAD"/>
    <w:rsid w:val="00FE2BD6"/>
    <w:rsid w:val="00FE2C35"/>
    <w:rsid w:val="00FE2EAE"/>
    <w:rsid w:val="00FE2F17"/>
    <w:rsid w:val="00FE300D"/>
    <w:rsid w:val="00FE308A"/>
    <w:rsid w:val="00FE3109"/>
    <w:rsid w:val="00FE35F7"/>
    <w:rsid w:val="00FE36AA"/>
    <w:rsid w:val="00FE3978"/>
    <w:rsid w:val="00FE3AB0"/>
    <w:rsid w:val="00FE3B30"/>
    <w:rsid w:val="00FE3BB4"/>
    <w:rsid w:val="00FE3BC8"/>
    <w:rsid w:val="00FE3C88"/>
    <w:rsid w:val="00FE3DB6"/>
    <w:rsid w:val="00FE3E05"/>
    <w:rsid w:val="00FE3F64"/>
    <w:rsid w:val="00FE405E"/>
    <w:rsid w:val="00FE40B5"/>
    <w:rsid w:val="00FE40E5"/>
    <w:rsid w:val="00FE4123"/>
    <w:rsid w:val="00FE412C"/>
    <w:rsid w:val="00FE42ED"/>
    <w:rsid w:val="00FE42EF"/>
    <w:rsid w:val="00FE4335"/>
    <w:rsid w:val="00FE440D"/>
    <w:rsid w:val="00FE4423"/>
    <w:rsid w:val="00FE4571"/>
    <w:rsid w:val="00FE45AB"/>
    <w:rsid w:val="00FE45EC"/>
    <w:rsid w:val="00FE45FD"/>
    <w:rsid w:val="00FE466B"/>
    <w:rsid w:val="00FE46CD"/>
    <w:rsid w:val="00FE4739"/>
    <w:rsid w:val="00FE48DF"/>
    <w:rsid w:val="00FE48F1"/>
    <w:rsid w:val="00FE495F"/>
    <w:rsid w:val="00FE4A6C"/>
    <w:rsid w:val="00FE4DB2"/>
    <w:rsid w:val="00FE4FD4"/>
    <w:rsid w:val="00FE5014"/>
    <w:rsid w:val="00FE51C7"/>
    <w:rsid w:val="00FE5306"/>
    <w:rsid w:val="00FE5549"/>
    <w:rsid w:val="00FE55DF"/>
    <w:rsid w:val="00FE573F"/>
    <w:rsid w:val="00FE5866"/>
    <w:rsid w:val="00FE5AA4"/>
    <w:rsid w:val="00FE5F00"/>
    <w:rsid w:val="00FE60BD"/>
    <w:rsid w:val="00FE6195"/>
    <w:rsid w:val="00FE6293"/>
    <w:rsid w:val="00FE6416"/>
    <w:rsid w:val="00FE6422"/>
    <w:rsid w:val="00FE6426"/>
    <w:rsid w:val="00FE650E"/>
    <w:rsid w:val="00FE65AF"/>
    <w:rsid w:val="00FE665B"/>
    <w:rsid w:val="00FE681D"/>
    <w:rsid w:val="00FE6841"/>
    <w:rsid w:val="00FE6951"/>
    <w:rsid w:val="00FE6AAE"/>
    <w:rsid w:val="00FE6B6F"/>
    <w:rsid w:val="00FE6BFB"/>
    <w:rsid w:val="00FE6C49"/>
    <w:rsid w:val="00FE6C83"/>
    <w:rsid w:val="00FE6DE3"/>
    <w:rsid w:val="00FE6DFC"/>
    <w:rsid w:val="00FE7256"/>
    <w:rsid w:val="00FE74DF"/>
    <w:rsid w:val="00FE7673"/>
    <w:rsid w:val="00FE7680"/>
    <w:rsid w:val="00FE7763"/>
    <w:rsid w:val="00FE7A5B"/>
    <w:rsid w:val="00FE7D29"/>
    <w:rsid w:val="00FE7DC0"/>
    <w:rsid w:val="00FE7FB6"/>
    <w:rsid w:val="00FF002F"/>
    <w:rsid w:val="00FF03AF"/>
    <w:rsid w:val="00FF03DF"/>
    <w:rsid w:val="00FF041B"/>
    <w:rsid w:val="00FF051A"/>
    <w:rsid w:val="00FF05F5"/>
    <w:rsid w:val="00FF0755"/>
    <w:rsid w:val="00FF07DE"/>
    <w:rsid w:val="00FF080B"/>
    <w:rsid w:val="00FF08BD"/>
    <w:rsid w:val="00FF0942"/>
    <w:rsid w:val="00FF0DBD"/>
    <w:rsid w:val="00FF0DE0"/>
    <w:rsid w:val="00FF0E6B"/>
    <w:rsid w:val="00FF0E99"/>
    <w:rsid w:val="00FF0F67"/>
    <w:rsid w:val="00FF109C"/>
    <w:rsid w:val="00FF10E7"/>
    <w:rsid w:val="00FF118F"/>
    <w:rsid w:val="00FF1219"/>
    <w:rsid w:val="00FF12A2"/>
    <w:rsid w:val="00FF1378"/>
    <w:rsid w:val="00FF1396"/>
    <w:rsid w:val="00FF13F9"/>
    <w:rsid w:val="00FF14D0"/>
    <w:rsid w:val="00FF14DB"/>
    <w:rsid w:val="00FF1599"/>
    <w:rsid w:val="00FF15DB"/>
    <w:rsid w:val="00FF160D"/>
    <w:rsid w:val="00FF16D6"/>
    <w:rsid w:val="00FF184E"/>
    <w:rsid w:val="00FF1BE9"/>
    <w:rsid w:val="00FF1D61"/>
    <w:rsid w:val="00FF1E04"/>
    <w:rsid w:val="00FF1E92"/>
    <w:rsid w:val="00FF1FD9"/>
    <w:rsid w:val="00FF1FE1"/>
    <w:rsid w:val="00FF20A1"/>
    <w:rsid w:val="00FF2100"/>
    <w:rsid w:val="00FF226D"/>
    <w:rsid w:val="00FF2317"/>
    <w:rsid w:val="00FF26B0"/>
    <w:rsid w:val="00FF2703"/>
    <w:rsid w:val="00FF2759"/>
    <w:rsid w:val="00FF2826"/>
    <w:rsid w:val="00FF287D"/>
    <w:rsid w:val="00FF2984"/>
    <w:rsid w:val="00FF2A03"/>
    <w:rsid w:val="00FF2B50"/>
    <w:rsid w:val="00FF2B51"/>
    <w:rsid w:val="00FF2C7B"/>
    <w:rsid w:val="00FF2C8B"/>
    <w:rsid w:val="00FF2E32"/>
    <w:rsid w:val="00FF2EA0"/>
    <w:rsid w:val="00FF3087"/>
    <w:rsid w:val="00FF3096"/>
    <w:rsid w:val="00FF31D4"/>
    <w:rsid w:val="00FF3293"/>
    <w:rsid w:val="00FF37E8"/>
    <w:rsid w:val="00FF3A07"/>
    <w:rsid w:val="00FF3CE8"/>
    <w:rsid w:val="00FF3D78"/>
    <w:rsid w:val="00FF3EAA"/>
    <w:rsid w:val="00FF3FEA"/>
    <w:rsid w:val="00FF4038"/>
    <w:rsid w:val="00FF41E6"/>
    <w:rsid w:val="00FF471A"/>
    <w:rsid w:val="00FF47C8"/>
    <w:rsid w:val="00FF4980"/>
    <w:rsid w:val="00FF49BA"/>
    <w:rsid w:val="00FF4BE1"/>
    <w:rsid w:val="00FF4C68"/>
    <w:rsid w:val="00FF4CC7"/>
    <w:rsid w:val="00FF4D8D"/>
    <w:rsid w:val="00FF4E16"/>
    <w:rsid w:val="00FF4EB6"/>
    <w:rsid w:val="00FF4F09"/>
    <w:rsid w:val="00FF4F73"/>
    <w:rsid w:val="00FF4F88"/>
    <w:rsid w:val="00FF4FBD"/>
    <w:rsid w:val="00FF4FD7"/>
    <w:rsid w:val="00FF50F9"/>
    <w:rsid w:val="00FF5132"/>
    <w:rsid w:val="00FF51B0"/>
    <w:rsid w:val="00FF56D4"/>
    <w:rsid w:val="00FF571F"/>
    <w:rsid w:val="00FF581C"/>
    <w:rsid w:val="00FF58A0"/>
    <w:rsid w:val="00FF5A22"/>
    <w:rsid w:val="00FF5A6F"/>
    <w:rsid w:val="00FF5DC2"/>
    <w:rsid w:val="00FF5E87"/>
    <w:rsid w:val="00FF5F45"/>
    <w:rsid w:val="00FF6387"/>
    <w:rsid w:val="00FF640B"/>
    <w:rsid w:val="00FF6427"/>
    <w:rsid w:val="00FF6660"/>
    <w:rsid w:val="00FF69D3"/>
    <w:rsid w:val="00FF69E9"/>
    <w:rsid w:val="00FF6A62"/>
    <w:rsid w:val="00FF6ABA"/>
    <w:rsid w:val="00FF6BF7"/>
    <w:rsid w:val="00FF6C36"/>
    <w:rsid w:val="00FF6EC5"/>
    <w:rsid w:val="00FF6F03"/>
    <w:rsid w:val="00FF719A"/>
    <w:rsid w:val="00FF7302"/>
    <w:rsid w:val="00FF730E"/>
    <w:rsid w:val="00FF73B4"/>
    <w:rsid w:val="00FF7454"/>
    <w:rsid w:val="00FF752E"/>
    <w:rsid w:val="00FF755E"/>
    <w:rsid w:val="00FF75A3"/>
    <w:rsid w:val="00FF781E"/>
    <w:rsid w:val="00FF7BEC"/>
    <w:rsid w:val="01657F39"/>
    <w:rsid w:val="017F5159"/>
    <w:rsid w:val="01BE32B6"/>
    <w:rsid w:val="01FD6F0F"/>
    <w:rsid w:val="027F5C6C"/>
    <w:rsid w:val="02956FCA"/>
    <w:rsid w:val="02BC92B4"/>
    <w:rsid w:val="03398763"/>
    <w:rsid w:val="039AB017"/>
    <w:rsid w:val="03B44010"/>
    <w:rsid w:val="03DF1E45"/>
    <w:rsid w:val="04A86A92"/>
    <w:rsid w:val="04B2D5FC"/>
    <w:rsid w:val="05C66BCD"/>
    <w:rsid w:val="06E91940"/>
    <w:rsid w:val="070F91CB"/>
    <w:rsid w:val="07C26DEA"/>
    <w:rsid w:val="084005FC"/>
    <w:rsid w:val="085FF426"/>
    <w:rsid w:val="08715562"/>
    <w:rsid w:val="08A049FC"/>
    <w:rsid w:val="08B056F3"/>
    <w:rsid w:val="091E1CA7"/>
    <w:rsid w:val="0A3A31E7"/>
    <w:rsid w:val="0A43556E"/>
    <w:rsid w:val="0A56DDBB"/>
    <w:rsid w:val="0A5B1E13"/>
    <w:rsid w:val="0AE1A5EF"/>
    <w:rsid w:val="0B982229"/>
    <w:rsid w:val="0BE0C3CD"/>
    <w:rsid w:val="0C0B5125"/>
    <w:rsid w:val="0C5A9AE0"/>
    <w:rsid w:val="0C6D9964"/>
    <w:rsid w:val="0C7C0B59"/>
    <w:rsid w:val="0CBBA8FD"/>
    <w:rsid w:val="0CE35BA7"/>
    <w:rsid w:val="0D6B1448"/>
    <w:rsid w:val="0DAD8C65"/>
    <w:rsid w:val="0DDA03B3"/>
    <w:rsid w:val="0E50739D"/>
    <w:rsid w:val="0EE2E18D"/>
    <w:rsid w:val="0FAC3308"/>
    <w:rsid w:val="0FB9DC19"/>
    <w:rsid w:val="0FD18E01"/>
    <w:rsid w:val="0FF314E8"/>
    <w:rsid w:val="1030B516"/>
    <w:rsid w:val="107B970F"/>
    <w:rsid w:val="10BA55C3"/>
    <w:rsid w:val="10DB17C9"/>
    <w:rsid w:val="111BA933"/>
    <w:rsid w:val="11264F6B"/>
    <w:rsid w:val="11D3C925"/>
    <w:rsid w:val="11F9E4A8"/>
    <w:rsid w:val="12F87352"/>
    <w:rsid w:val="12FF1CFB"/>
    <w:rsid w:val="13DBD744"/>
    <w:rsid w:val="152B9C56"/>
    <w:rsid w:val="15A9DD2C"/>
    <w:rsid w:val="15DAE4A2"/>
    <w:rsid w:val="15EC35E1"/>
    <w:rsid w:val="15F735C0"/>
    <w:rsid w:val="160803BD"/>
    <w:rsid w:val="17405395"/>
    <w:rsid w:val="1794578C"/>
    <w:rsid w:val="1827EB00"/>
    <w:rsid w:val="1835BB0B"/>
    <w:rsid w:val="189C4A8E"/>
    <w:rsid w:val="18AAB6A5"/>
    <w:rsid w:val="18CB58EF"/>
    <w:rsid w:val="190A3711"/>
    <w:rsid w:val="19AA267C"/>
    <w:rsid w:val="19F78337"/>
    <w:rsid w:val="1A175385"/>
    <w:rsid w:val="1AA557B7"/>
    <w:rsid w:val="1AF52BA6"/>
    <w:rsid w:val="1B07C6E9"/>
    <w:rsid w:val="1B1368A2"/>
    <w:rsid w:val="1B6E2FE1"/>
    <w:rsid w:val="1C395A08"/>
    <w:rsid w:val="1C3F2BA2"/>
    <w:rsid w:val="1C4A9E33"/>
    <w:rsid w:val="1C731736"/>
    <w:rsid w:val="1CF0E84F"/>
    <w:rsid w:val="1D439119"/>
    <w:rsid w:val="1D98DAAE"/>
    <w:rsid w:val="1DA186E5"/>
    <w:rsid w:val="1E0AF366"/>
    <w:rsid w:val="1EF813B9"/>
    <w:rsid w:val="1F05E4F3"/>
    <w:rsid w:val="204DC0B9"/>
    <w:rsid w:val="206CF78E"/>
    <w:rsid w:val="207B08B8"/>
    <w:rsid w:val="20F25571"/>
    <w:rsid w:val="211ED69A"/>
    <w:rsid w:val="212A06B6"/>
    <w:rsid w:val="21319E0D"/>
    <w:rsid w:val="2131E391"/>
    <w:rsid w:val="21768915"/>
    <w:rsid w:val="2217A654"/>
    <w:rsid w:val="2238B669"/>
    <w:rsid w:val="227ECD15"/>
    <w:rsid w:val="22B67721"/>
    <w:rsid w:val="2365D566"/>
    <w:rsid w:val="236818B9"/>
    <w:rsid w:val="2391BD24"/>
    <w:rsid w:val="24928B46"/>
    <w:rsid w:val="24E0E91A"/>
    <w:rsid w:val="25572D8E"/>
    <w:rsid w:val="256EBB26"/>
    <w:rsid w:val="2586D23E"/>
    <w:rsid w:val="25F58B76"/>
    <w:rsid w:val="260B5C12"/>
    <w:rsid w:val="26D8BB7F"/>
    <w:rsid w:val="282AAAE5"/>
    <w:rsid w:val="28AECDD0"/>
    <w:rsid w:val="28FB3DB2"/>
    <w:rsid w:val="292AEB94"/>
    <w:rsid w:val="29387CF8"/>
    <w:rsid w:val="29BA6D96"/>
    <w:rsid w:val="2A12AE01"/>
    <w:rsid w:val="2BB7D7FD"/>
    <w:rsid w:val="2C67176E"/>
    <w:rsid w:val="2C71A234"/>
    <w:rsid w:val="2CE49715"/>
    <w:rsid w:val="2D3AE18B"/>
    <w:rsid w:val="2D421A55"/>
    <w:rsid w:val="2D425BFB"/>
    <w:rsid w:val="2DB6336F"/>
    <w:rsid w:val="2DF1F9B8"/>
    <w:rsid w:val="2E31525C"/>
    <w:rsid w:val="2ECDF946"/>
    <w:rsid w:val="2F333822"/>
    <w:rsid w:val="2F3728B2"/>
    <w:rsid w:val="2F91055E"/>
    <w:rsid w:val="2FAFA559"/>
    <w:rsid w:val="2FB92E66"/>
    <w:rsid w:val="2FB9AAA7"/>
    <w:rsid w:val="2FEB2955"/>
    <w:rsid w:val="302565CC"/>
    <w:rsid w:val="31803CED"/>
    <w:rsid w:val="31BEF5D5"/>
    <w:rsid w:val="31BF9653"/>
    <w:rsid w:val="31C99891"/>
    <w:rsid w:val="3209C3C2"/>
    <w:rsid w:val="323B9097"/>
    <w:rsid w:val="324659FE"/>
    <w:rsid w:val="330CE94D"/>
    <w:rsid w:val="331B5C41"/>
    <w:rsid w:val="332E85E7"/>
    <w:rsid w:val="334BEF93"/>
    <w:rsid w:val="336FDE8A"/>
    <w:rsid w:val="33B124A1"/>
    <w:rsid w:val="33C1649A"/>
    <w:rsid w:val="33ED9708"/>
    <w:rsid w:val="33EE9574"/>
    <w:rsid w:val="3457E81B"/>
    <w:rsid w:val="34DA6028"/>
    <w:rsid w:val="34DEA301"/>
    <w:rsid w:val="35CE8C0D"/>
    <w:rsid w:val="36619974"/>
    <w:rsid w:val="37237A8F"/>
    <w:rsid w:val="373064EB"/>
    <w:rsid w:val="37440123"/>
    <w:rsid w:val="38242050"/>
    <w:rsid w:val="38D420E1"/>
    <w:rsid w:val="390BAE14"/>
    <w:rsid w:val="395930E1"/>
    <w:rsid w:val="3983F3D7"/>
    <w:rsid w:val="39BDA9A7"/>
    <w:rsid w:val="39BF26D1"/>
    <w:rsid w:val="39C237DC"/>
    <w:rsid w:val="3AC4AB1E"/>
    <w:rsid w:val="3AF1DB37"/>
    <w:rsid w:val="3AFBD912"/>
    <w:rsid w:val="3B8A4550"/>
    <w:rsid w:val="3BCAD2EE"/>
    <w:rsid w:val="3BE50D7F"/>
    <w:rsid w:val="3C3D9274"/>
    <w:rsid w:val="3C866F6F"/>
    <w:rsid w:val="3CEB0145"/>
    <w:rsid w:val="3CEC377E"/>
    <w:rsid w:val="3D084DE3"/>
    <w:rsid w:val="3D2E7D56"/>
    <w:rsid w:val="3D496B47"/>
    <w:rsid w:val="3D6C95DD"/>
    <w:rsid w:val="3DA2E2E5"/>
    <w:rsid w:val="3DF0ED05"/>
    <w:rsid w:val="3F0969E2"/>
    <w:rsid w:val="3F75E4B9"/>
    <w:rsid w:val="3F8F1461"/>
    <w:rsid w:val="3F911664"/>
    <w:rsid w:val="3FB3830C"/>
    <w:rsid w:val="3FCF44AE"/>
    <w:rsid w:val="409B5F6C"/>
    <w:rsid w:val="40C546F6"/>
    <w:rsid w:val="418AB2A9"/>
    <w:rsid w:val="41D0932E"/>
    <w:rsid w:val="42033242"/>
    <w:rsid w:val="4235A65B"/>
    <w:rsid w:val="42BE095C"/>
    <w:rsid w:val="42D7CBD4"/>
    <w:rsid w:val="433DC144"/>
    <w:rsid w:val="4359A22D"/>
    <w:rsid w:val="436937FF"/>
    <w:rsid w:val="43AC33F8"/>
    <w:rsid w:val="442AFD46"/>
    <w:rsid w:val="4432C6BB"/>
    <w:rsid w:val="4563049E"/>
    <w:rsid w:val="45774F5E"/>
    <w:rsid w:val="4645C655"/>
    <w:rsid w:val="47BC30E0"/>
    <w:rsid w:val="481430BA"/>
    <w:rsid w:val="481D1935"/>
    <w:rsid w:val="48A3DB37"/>
    <w:rsid w:val="48B3BBF9"/>
    <w:rsid w:val="48C5945B"/>
    <w:rsid w:val="48CC41E7"/>
    <w:rsid w:val="4935CEFE"/>
    <w:rsid w:val="49835B5A"/>
    <w:rsid w:val="49C05326"/>
    <w:rsid w:val="49D2EF24"/>
    <w:rsid w:val="49D5DF7C"/>
    <w:rsid w:val="4A7FC86C"/>
    <w:rsid w:val="4A8F7ECF"/>
    <w:rsid w:val="4ADD2203"/>
    <w:rsid w:val="4AF74936"/>
    <w:rsid w:val="4B9A3A47"/>
    <w:rsid w:val="4BB2AF1F"/>
    <w:rsid w:val="4C32D4B1"/>
    <w:rsid w:val="4C3C369C"/>
    <w:rsid w:val="4C410673"/>
    <w:rsid w:val="4C5FE71F"/>
    <w:rsid w:val="4CC1ABE9"/>
    <w:rsid w:val="4CD3C469"/>
    <w:rsid w:val="4D189821"/>
    <w:rsid w:val="4DB8BC2F"/>
    <w:rsid w:val="4E413252"/>
    <w:rsid w:val="4F000D5A"/>
    <w:rsid w:val="4F43B8F2"/>
    <w:rsid w:val="4FA3D053"/>
    <w:rsid w:val="4FBE9B56"/>
    <w:rsid w:val="4FC5DB42"/>
    <w:rsid w:val="4FE57FCC"/>
    <w:rsid w:val="502D5710"/>
    <w:rsid w:val="503D14F9"/>
    <w:rsid w:val="50417F97"/>
    <w:rsid w:val="50BB72EA"/>
    <w:rsid w:val="50E3A579"/>
    <w:rsid w:val="52118728"/>
    <w:rsid w:val="52820778"/>
    <w:rsid w:val="528CA726"/>
    <w:rsid w:val="53014A84"/>
    <w:rsid w:val="5327D453"/>
    <w:rsid w:val="534EFB2A"/>
    <w:rsid w:val="536BF348"/>
    <w:rsid w:val="53A363E3"/>
    <w:rsid w:val="53BBBAC7"/>
    <w:rsid w:val="54A6D8E6"/>
    <w:rsid w:val="54F019E4"/>
    <w:rsid w:val="555820AB"/>
    <w:rsid w:val="5568E4D1"/>
    <w:rsid w:val="55925D35"/>
    <w:rsid w:val="55CCB00A"/>
    <w:rsid w:val="564AF26F"/>
    <w:rsid w:val="56755800"/>
    <w:rsid w:val="56A00ECE"/>
    <w:rsid w:val="56B7D994"/>
    <w:rsid w:val="56DD90CA"/>
    <w:rsid w:val="5749AE77"/>
    <w:rsid w:val="578DCDC5"/>
    <w:rsid w:val="57BD9B59"/>
    <w:rsid w:val="5806CCC2"/>
    <w:rsid w:val="588D58D1"/>
    <w:rsid w:val="58B904DA"/>
    <w:rsid w:val="59177F9F"/>
    <w:rsid w:val="59490100"/>
    <w:rsid w:val="5A0672CB"/>
    <w:rsid w:val="5A420B62"/>
    <w:rsid w:val="5B08318E"/>
    <w:rsid w:val="5B68B3AF"/>
    <w:rsid w:val="5B76BB7F"/>
    <w:rsid w:val="5B9855A0"/>
    <w:rsid w:val="5BBA2562"/>
    <w:rsid w:val="5C536D68"/>
    <w:rsid w:val="5C9DDBCF"/>
    <w:rsid w:val="5CB0CF50"/>
    <w:rsid w:val="5CB6FB65"/>
    <w:rsid w:val="5D2C9815"/>
    <w:rsid w:val="5D53EB4C"/>
    <w:rsid w:val="5E0DDB64"/>
    <w:rsid w:val="5E7D0269"/>
    <w:rsid w:val="5EB698D5"/>
    <w:rsid w:val="5EBE7A10"/>
    <w:rsid w:val="5FA29A8D"/>
    <w:rsid w:val="60606FC0"/>
    <w:rsid w:val="60D5C601"/>
    <w:rsid w:val="60E1F43F"/>
    <w:rsid w:val="60E2755C"/>
    <w:rsid w:val="61087765"/>
    <w:rsid w:val="61201138"/>
    <w:rsid w:val="6169C906"/>
    <w:rsid w:val="61A19AEA"/>
    <w:rsid w:val="61A9A45C"/>
    <w:rsid w:val="61B754E1"/>
    <w:rsid w:val="61E5F0A6"/>
    <w:rsid w:val="630F528C"/>
    <w:rsid w:val="643AD473"/>
    <w:rsid w:val="644C8509"/>
    <w:rsid w:val="64944FCF"/>
    <w:rsid w:val="656660A2"/>
    <w:rsid w:val="65F5B14B"/>
    <w:rsid w:val="660625BE"/>
    <w:rsid w:val="661CB1AB"/>
    <w:rsid w:val="66A69253"/>
    <w:rsid w:val="6793779C"/>
    <w:rsid w:val="67BC53F0"/>
    <w:rsid w:val="67F41F75"/>
    <w:rsid w:val="68315C88"/>
    <w:rsid w:val="684745A3"/>
    <w:rsid w:val="686915FC"/>
    <w:rsid w:val="688C55D5"/>
    <w:rsid w:val="68F50862"/>
    <w:rsid w:val="68FD2ACB"/>
    <w:rsid w:val="69CBC432"/>
    <w:rsid w:val="69E2366E"/>
    <w:rsid w:val="69F2AF15"/>
    <w:rsid w:val="6A6B3382"/>
    <w:rsid w:val="6AA741E4"/>
    <w:rsid w:val="6C0D0ED5"/>
    <w:rsid w:val="6D37A846"/>
    <w:rsid w:val="6D4BFD35"/>
    <w:rsid w:val="6DBCD13B"/>
    <w:rsid w:val="6DDD796A"/>
    <w:rsid w:val="6DE7B809"/>
    <w:rsid w:val="6DEA5017"/>
    <w:rsid w:val="6E106BCE"/>
    <w:rsid w:val="6E31EB7A"/>
    <w:rsid w:val="6E3A2D83"/>
    <w:rsid w:val="6E4681EF"/>
    <w:rsid w:val="6E6B9F49"/>
    <w:rsid w:val="6EADD3D0"/>
    <w:rsid w:val="6EBC0988"/>
    <w:rsid w:val="6EF30832"/>
    <w:rsid w:val="6F33B90C"/>
    <w:rsid w:val="6F6A1456"/>
    <w:rsid w:val="6F7E2A75"/>
    <w:rsid w:val="6FAA5359"/>
    <w:rsid w:val="6FB7752E"/>
    <w:rsid w:val="6FC2EB75"/>
    <w:rsid w:val="6FFFBF43"/>
    <w:rsid w:val="70519392"/>
    <w:rsid w:val="70957AAD"/>
    <w:rsid w:val="70D0412F"/>
    <w:rsid w:val="70D5F297"/>
    <w:rsid w:val="70DE2583"/>
    <w:rsid w:val="711ED770"/>
    <w:rsid w:val="716B5D1D"/>
    <w:rsid w:val="719BEA2F"/>
    <w:rsid w:val="71D8EE62"/>
    <w:rsid w:val="7277F987"/>
    <w:rsid w:val="72D0D66A"/>
    <w:rsid w:val="7309AAEC"/>
    <w:rsid w:val="73466DAC"/>
    <w:rsid w:val="73DCC424"/>
    <w:rsid w:val="73F557A7"/>
    <w:rsid w:val="7435E7EA"/>
    <w:rsid w:val="74602E8A"/>
    <w:rsid w:val="747E9C42"/>
    <w:rsid w:val="749B240D"/>
    <w:rsid w:val="757FEB4D"/>
    <w:rsid w:val="75F46BFE"/>
    <w:rsid w:val="760AC585"/>
    <w:rsid w:val="7632D386"/>
    <w:rsid w:val="766B8898"/>
    <w:rsid w:val="76837BAF"/>
    <w:rsid w:val="76D1904C"/>
    <w:rsid w:val="7754D6FE"/>
    <w:rsid w:val="7773F3CC"/>
    <w:rsid w:val="77B4B815"/>
    <w:rsid w:val="77C1930B"/>
    <w:rsid w:val="7857E8FE"/>
    <w:rsid w:val="79011D15"/>
    <w:rsid w:val="79F2F040"/>
    <w:rsid w:val="7A0A4DEA"/>
    <w:rsid w:val="7B07B15B"/>
    <w:rsid w:val="7B999848"/>
    <w:rsid w:val="7BAA5D47"/>
    <w:rsid w:val="7CD6E354"/>
    <w:rsid w:val="7CFE6319"/>
    <w:rsid w:val="7D0562DB"/>
    <w:rsid w:val="7D2393CD"/>
    <w:rsid w:val="7D27484E"/>
    <w:rsid w:val="7D6275A0"/>
    <w:rsid w:val="7E43D97B"/>
    <w:rsid w:val="7ECC3264"/>
    <w:rsid w:val="7F73D5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A1"/>
    <w:pPr>
      <w:spacing w:before="120" w:after="180" w:line="240" w:lineRule="auto"/>
    </w:pPr>
    <w:rPr>
      <w:rFonts w:ascii="Franklin Gothic Book" w:eastAsia="Times New Roman" w:hAnsi="Franklin Gothic Book" w:cs="Times New Roman"/>
      <w:szCs w:val="24"/>
      <w:lang w:eastAsia="en-GB"/>
    </w:rPr>
  </w:style>
  <w:style w:type="paragraph" w:styleId="Heading1">
    <w:name w:val="heading 1"/>
    <w:basedOn w:val="Normal"/>
    <w:next w:val="Normal"/>
    <w:link w:val="Heading1Char"/>
    <w:uiPriority w:val="9"/>
    <w:qFormat/>
    <w:rsid w:val="006A2EC4"/>
    <w:pPr>
      <w:keepNext/>
      <w:keepLines/>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140CC"/>
    <w:pPr>
      <w:keepNext/>
      <w:keepLines/>
      <w:spacing w:before="360" w:after="24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7B3619"/>
    <w:pPr>
      <w:keepNext/>
      <w:keepLines/>
      <w:tabs>
        <w:tab w:val="left" w:pos="851"/>
      </w:tabs>
      <w:spacing w:before="240" w:after="200"/>
      <w:outlineLvl w:val="2"/>
    </w:pPr>
    <w:rPr>
      <w:rFonts w:ascii="Franklin Gothic Medium" w:eastAsiaTheme="majorEastAsia" w:hAnsi="Franklin Gothic Medium" w:cstheme="majorBidi"/>
    </w:rPr>
  </w:style>
  <w:style w:type="paragraph" w:styleId="Heading4">
    <w:name w:val="heading 4"/>
    <w:basedOn w:val="Heading3"/>
    <w:next w:val="Normal"/>
    <w:link w:val="Heading4Char"/>
    <w:uiPriority w:val="9"/>
    <w:unhideWhenUsed/>
    <w:qFormat/>
    <w:rsid w:val="006771E3"/>
    <w:pPr>
      <w:outlineLvl w:val="3"/>
    </w:pPr>
    <w:rPr>
      <w:i/>
    </w:rPr>
  </w:style>
  <w:style w:type="paragraph" w:styleId="Heading5">
    <w:name w:val="heading 5"/>
    <w:basedOn w:val="NormalWeb"/>
    <w:next w:val="Normal"/>
    <w:link w:val="Heading5Char"/>
    <w:uiPriority w:val="9"/>
    <w:unhideWhenUsed/>
    <w:qFormat/>
    <w:rsid w:val="00B371FD"/>
    <w:pPr>
      <w:spacing w:before="240" w:after="240"/>
      <w:outlineLvl w:val="4"/>
    </w:pPr>
    <w:rPr>
      <w:rFonts w:eastAsia="ScalaLancetPro"/>
      <w:u w:val="single"/>
    </w:rPr>
  </w:style>
  <w:style w:type="paragraph" w:styleId="Heading6">
    <w:name w:val="heading 6"/>
    <w:basedOn w:val="Heading5"/>
    <w:next w:val="Normal"/>
    <w:link w:val="Heading6Char"/>
    <w:uiPriority w:val="9"/>
    <w:unhideWhenUsed/>
    <w:qFormat/>
    <w:rsid w:val="006374A5"/>
    <w:pPr>
      <w:outlineLvl w:val="5"/>
    </w:pPr>
    <w:rPr>
      <w:i/>
      <w:iCs/>
    </w:rPr>
  </w:style>
  <w:style w:type="paragraph" w:styleId="Heading7">
    <w:name w:val="heading 7"/>
    <w:basedOn w:val="Normal"/>
    <w:next w:val="Normal"/>
    <w:link w:val="Heading7Char"/>
    <w:uiPriority w:val="9"/>
    <w:semiHidden/>
    <w:unhideWhenUsed/>
    <w:qFormat/>
    <w:rsid w:val="008430FC"/>
    <w:pPr>
      <w:keepNext/>
      <w:keepLines/>
      <w:spacing w:before="40" w:after="0" w:line="259" w:lineRule="auto"/>
      <w:outlineLvl w:val="6"/>
    </w:pPr>
    <w:rPr>
      <w:rFonts w:ascii="Aptos" w:hAnsi="Aptos"/>
      <w:color w:val="595959"/>
      <w:kern w:val="2"/>
      <w:szCs w:val="22"/>
      <w:lang w:eastAsia="en-US"/>
    </w:rPr>
  </w:style>
  <w:style w:type="paragraph" w:styleId="Heading8">
    <w:name w:val="heading 8"/>
    <w:basedOn w:val="Normal"/>
    <w:next w:val="Normal"/>
    <w:link w:val="Heading8Char"/>
    <w:uiPriority w:val="9"/>
    <w:semiHidden/>
    <w:unhideWhenUsed/>
    <w:qFormat/>
    <w:rsid w:val="008430FC"/>
    <w:pPr>
      <w:keepNext/>
      <w:keepLines/>
      <w:spacing w:before="0" w:after="0" w:line="259" w:lineRule="auto"/>
      <w:outlineLvl w:val="7"/>
    </w:pPr>
    <w:rPr>
      <w:rFonts w:ascii="Aptos" w:hAnsi="Aptos"/>
      <w:i/>
      <w:iCs/>
      <w:color w:val="272727"/>
      <w:kern w:val="2"/>
      <w:szCs w:val="22"/>
      <w:lang w:eastAsia="en-US"/>
    </w:rPr>
  </w:style>
  <w:style w:type="paragraph" w:styleId="Heading9">
    <w:name w:val="heading 9"/>
    <w:basedOn w:val="Normal"/>
    <w:next w:val="Normal"/>
    <w:link w:val="Heading9Char"/>
    <w:uiPriority w:val="9"/>
    <w:semiHidden/>
    <w:unhideWhenUsed/>
    <w:qFormat/>
    <w:rsid w:val="008430FC"/>
    <w:pPr>
      <w:keepNext/>
      <w:keepLines/>
      <w:spacing w:before="0" w:after="0" w:line="259" w:lineRule="auto"/>
      <w:outlineLvl w:val="8"/>
    </w:pPr>
    <w:rPr>
      <w:rFonts w:ascii="Aptos" w:hAnsi="Aptos"/>
      <w:color w:val="272727"/>
      <w:kern w:val="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655549"/>
    <w:pPr>
      <w:spacing w:before="0" w:after="0"/>
    </w:pPr>
    <w:rPr>
      <w:rFonts w:ascii="Arial Narrow" w:eastAsiaTheme="minorHAnsi" w:hAnsi="Arial Narrow"/>
      <w:sz w:val="20"/>
    </w:rPr>
  </w:style>
  <w:style w:type="paragraph" w:customStyle="1" w:styleId="TableHeading">
    <w:name w:val="TableHeading"/>
    <w:basedOn w:val="Normal"/>
    <w:link w:val="TableHeadingChar"/>
    <w:qFormat/>
    <w:rsid w:val="00B151CF"/>
    <w:pPr>
      <w:keepNext/>
      <w:spacing w:after="60"/>
    </w:pPr>
    <w:rPr>
      <w:rFonts w:ascii="Arial Narrow" w:hAnsi="Arial Narrow"/>
      <w:b/>
      <w:sz w:val="20"/>
    </w:rPr>
  </w:style>
  <w:style w:type="paragraph" w:styleId="CommentText">
    <w:name w:val="annotation text"/>
    <w:basedOn w:val="Normal"/>
    <w:link w:val="CommentTextChar"/>
    <w:uiPriority w:val="99"/>
    <w:unhideWhenUsed/>
    <w:rsid w:val="003E7773"/>
    <w:rPr>
      <w:rFonts w:ascii="Calibri" w:hAnsi="Calibri"/>
      <w:color w:val="000000"/>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 w:val="24"/>
      <w:szCs w:val="24"/>
      <w:lang w:eastAsia="en-GB"/>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655549"/>
    <w:rPr>
      <w:rFonts w:ascii="Arial Narrow" w:eastAsiaTheme="minorHAnsi" w:hAnsi="Arial Narrow" w:cs="Times New Roman"/>
      <w:sz w:val="20"/>
      <w:lang w:eastAsia="en-GB"/>
    </w:rPr>
  </w:style>
  <w:style w:type="character" w:customStyle="1" w:styleId="TableHeadingChar">
    <w:name w:val="TableHeading Char"/>
    <w:link w:val="TableHeading"/>
    <w:rsid w:val="00B151CF"/>
    <w:rPr>
      <w:rFonts w:ascii="Arial Narrow" w:eastAsia="Times New Roman" w:hAnsi="Arial Narrow" w:cs="Times New Roman"/>
      <w:b/>
      <w:sz w:val="20"/>
      <w:lang w:eastAsia="en-AU"/>
    </w:rPr>
  </w:style>
  <w:style w:type="paragraph" w:styleId="BalloonText">
    <w:name w:val="Balloon Text"/>
    <w:basedOn w:val="Normal"/>
    <w:link w:val="BalloonTextChar"/>
    <w:uiPriority w:val="99"/>
    <w:semiHidden/>
    <w:unhideWhenUsed/>
    <w:rsid w:val="003E7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3E7773"/>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heme="minorHAnsi" w:hAnsi="Calibri" w:cs="Times New Roman"/>
      <w:b/>
      <w:bCs/>
      <w:color w:val="000000"/>
      <w:sz w:val="20"/>
      <w:szCs w:val="20"/>
      <w:lang w:eastAsia="en-GB"/>
    </w:rPr>
  </w:style>
  <w:style w:type="character" w:customStyle="1" w:styleId="Heading1Char">
    <w:name w:val="Heading 1 Char"/>
    <w:basedOn w:val="DefaultParagraphFont"/>
    <w:link w:val="Heading1"/>
    <w:uiPriority w:val="9"/>
    <w:rsid w:val="006A2EC4"/>
    <w:rPr>
      <w:rFonts w:ascii="Franklin Gothic Medium" w:eastAsiaTheme="majorEastAsia" w:hAnsi="Franklin Gothic Medium" w:cstheme="majorBidi"/>
      <w:sz w:val="44"/>
      <w:szCs w:val="32"/>
      <w:lang w:eastAsia="en-GB"/>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lang w:eastAsia="en-GB"/>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lang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uiPriority w:val="35"/>
    <w:qFormat/>
    <w:rsid w:val="009A06F4"/>
    <w:pPr>
      <w:keepNext/>
      <w:spacing w:before="360"/>
    </w:pPr>
    <w:rPr>
      <w:rFonts w:ascii="Arial Narrow" w:hAnsi="Arial Narrow"/>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uiPriority w:val="35"/>
    <w:rsid w:val="009A06F4"/>
    <w:rPr>
      <w:rFonts w:ascii="Arial Narrow" w:eastAsia="Times New Roman" w:hAnsi="Arial Narrow" w:cs="Times New Roman"/>
      <w:b/>
      <w:bCs/>
      <w:sz w:val="20"/>
      <w:szCs w:val="20"/>
      <w:lang w:eastAsia="en-GB"/>
    </w:rPr>
  </w:style>
  <w:style w:type="table" w:styleId="TableGrid">
    <w:name w:val="Table Grid"/>
    <w:aliases w:val="Summary box,Table Gridbeth,RTI AMCP Table,new style,ASD Table,HealthConsult,CMA Table Template,MSD Table Grid,HTAtableplain,PBAC table,Dossier table,Summary Table,PHE Table Grid,Lash Style Table,Section 3- footnotes,Table Grid nm,Sourc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contextualSpacing/>
    </w:pPr>
    <w:rPr>
      <w:sz w:val="18"/>
    </w:rPr>
  </w:style>
  <w:style w:type="paragraph" w:styleId="ListParagraph">
    <w:name w:val="List Paragraph"/>
    <w:aliases w:val="Numbered para,ES Paragraph,PBAC ES Paragraph,BulletPoint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pPr>
    <w:rPr>
      <w:rFonts w:ascii="Arial Narrow" w:hAnsi="Arial Narrow"/>
      <w:b/>
      <w:sz w:val="20"/>
    </w:rPr>
  </w:style>
  <w:style w:type="paragraph" w:customStyle="1" w:styleId="TableFigNoteLast">
    <w:name w:val="TableFigNote Last"/>
    <w:basedOn w:val="TableFigNote"/>
    <w:qFormat/>
    <w:rsid w:val="006F6101"/>
    <w:pPr>
      <w:spacing w:before="0" w:after="0"/>
    </w:pPr>
  </w:style>
  <w:style w:type="character" w:customStyle="1" w:styleId="Heading4Char">
    <w:name w:val="Heading 4 Char"/>
    <w:basedOn w:val="DefaultParagraphFont"/>
    <w:link w:val="Heading4"/>
    <w:uiPriority w:val="9"/>
    <w:rsid w:val="006771E3"/>
    <w:rPr>
      <w:rFonts w:ascii="Franklin Gothic Medium" w:eastAsiaTheme="majorEastAsia" w:hAnsi="Franklin Gothic Medium" w:cstheme="majorBidi"/>
      <w:i/>
      <w:lang w:eastAsia="en-GB"/>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pPr>
    <w:rPr>
      <w:rFonts w:asciiTheme="minorHAnsi" w:hAnsiTheme="minorHAnsi"/>
    </w:rPr>
  </w:style>
  <w:style w:type="paragraph" w:styleId="TOC3">
    <w:name w:val="toc 3"/>
    <w:basedOn w:val="Normal"/>
    <w:next w:val="Normal"/>
    <w:autoRedefine/>
    <w:uiPriority w:val="39"/>
    <w:unhideWhenUsed/>
    <w:rsid w:val="0088445B"/>
    <w:pPr>
      <w:spacing w:after="100"/>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lang w:eastAsia="en-AU"/>
    </w:rPr>
  </w:style>
  <w:style w:type="paragraph" w:customStyle="1" w:styleId="Sub-title">
    <w:name w:val="Sub-title"/>
    <w:basedOn w:val="Normal"/>
    <w:locked/>
    <w:rsid w:val="00401DBF"/>
    <w:pPr>
      <w:spacing w:before="1701"/>
      <w:ind w:left="4536"/>
    </w:pPr>
    <w:rPr>
      <w:rFonts w:ascii="Arial" w:hAnsi="Arial" w:cs="Tahoma"/>
      <w:b/>
      <w:sz w:val="32"/>
      <w:lang w:eastAsia="en-AU"/>
    </w:rPr>
  </w:style>
  <w:style w:type="paragraph" w:customStyle="1" w:styleId="Nnumberedlist">
    <w:name w:val="Nnumbered list"/>
    <w:basedOn w:val="Normal"/>
    <w:rsid w:val="00AF3D39"/>
    <w:pPr>
      <w:numPr>
        <w:numId w:val="1"/>
      </w:numPr>
    </w:pPr>
    <w:rPr>
      <w:rFonts w:ascii="Calibri" w:hAnsi="Calibri" w:cs="Tahoma"/>
      <w:lang w:eastAsia="en-AU"/>
    </w:rPr>
  </w:style>
  <w:style w:type="paragraph" w:styleId="TOCHeading">
    <w:name w:val="TOC Heading"/>
    <w:basedOn w:val="Heading1"/>
    <w:next w:val="Normal"/>
    <w:uiPriority w:val="39"/>
    <w:unhideWhenUsed/>
    <w:qFormat/>
    <w:rsid w:val="00DE7099"/>
    <w:pPr>
      <w:pBdr>
        <w:bottom w:val="none" w:sz="0" w:space="0" w:color="auto"/>
      </w:pBdr>
      <w:spacing w:before="240" w:after="0"/>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72852"/>
    <w:pPr>
      <w:tabs>
        <w:tab w:val="left" w:pos="284"/>
      </w:tabs>
      <w:spacing w:before="0" w:after="0"/>
    </w:pPr>
    <w:rPr>
      <w:rFonts w:ascii="Arial Narrow" w:hAnsi="Arial Narrow" w:cs="Arial"/>
      <w:snapToGrid w:val="0"/>
      <w:sz w:val="18"/>
    </w:rPr>
  </w:style>
  <w:style w:type="character" w:customStyle="1" w:styleId="TableFigureFooterChar">
    <w:name w:val="Table/Figure Footer Char"/>
    <w:link w:val="TableFigureFooter"/>
    <w:rsid w:val="00972852"/>
    <w:rPr>
      <w:rFonts w:ascii="Arial Narrow" w:eastAsia="Times New Roman" w:hAnsi="Arial Narrow" w:cs="Arial"/>
      <w:snapToGrid w:val="0"/>
      <w:sz w:val="18"/>
      <w:szCs w:val="24"/>
      <w:lang w:eastAsia="en-GB"/>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pPr>
  </w:style>
  <w:style w:type="character" w:customStyle="1" w:styleId="HeaderChar">
    <w:name w:val="Header Char"/>
    <w:basedOn w:val="DefaultParagraphFont"/>
    <w:link w:val="Header"/>
    <w:uiPriority w:val="99"/>
    <w:rsid w:val="00B62D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62DF2"/>
    <w:pPr>
      <w:tabs>
        <w:tab w:val="center" w:pos="4513"/>
        <w:tab w:val="right" w:pos="9026"/>
      </w:tabs>
    </w:pPr>
  </w:style>
  <w:style w:type="character" w:customStyle="1" w:styleId="FooterChar">
    <w:name w:val="Footer Char"/>
    <w:basedOn w:val="DefaultParagraphFont"/>
    <w:link w:val="Footer"/>
    <w:uiPriority w:val="99"/>
    <w:rsid w:val="00B62DF2"/>
    <w:rPr>
      <w:rFonts w:ascii="Times New Roman" w:eastAsia="Times New Roman" w:hAnsi="Times New Roman" w:cs="Times New Roman"/>
      <w:sz w:val="24"/>
      <w:szCs w:val="24"/>
      <w:lang w:eastAsia="en-GB"/>
    </w:rPr>
  </w:style>
  <w:style w:type="paragraph" w:customStyle="1" w:styleId="Tablenotes">
    <w:name w:val="Tablenotes"/>
    <w:basedOn w:val="Normal"/>
    <w:link w:val="TablenotesChar"/>
    <w:qFormat/>
    <w:rsid w:val="00242F4E"/>
    <w:pPr>
      <w:widowControl w:val="0"/>
      <w:contextualSpacing/>
    </w:pPr>
    <w:rPr>
      <w:rFonts w:ascii="Arial Narrow"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lang w:eastAsia="en-GB"/>
    </w:rPr>
  </w:style>
  <w:style w:type="character" w:customStyle="1" w:styleId="ListParagraphChar">
    <w:name w:val="List Paragraph Char"/>
    <w:aliases w:val="Numbered para Char,ES Paragraph Char,PBAC ES Paragraph Char,BulletPoints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2"/>
      </w:numPr>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pPr>
    <w:rPr>
      <w:rFonts w:ascii="Arial Narrow" w:hAnsi="Arial Narrow" w:cs="Tahoma"/>
      <w:sz w:val="20"/>
      <w:szCs w:val="20"/>
    </w:rPr>
  </w:style>
  <w:style w:type="character" w:customStyle="1" w:styleId="TabletextChar0">
    <w:name w:val="Table text Char"/>
    <w:link w:val="Tabletext0"/>
    <w:rsid w:val="001B2CD4"/>
    <w:rPr>
      <w:rFonts w:ascii="Arial Narrow" w:eastAsia="Times New Roman" w:hAnsi="Arial Narrow" w:cs="Tahoma"/>
      <w:sz w:val="20"/>
      <w:szCs w:val="20"/>
      <w:lang w:eastAsia="en-GB"/>
    </w:rPr>
  </w:style>
  <w:style w:type="paragraph" w:customStyle="1" w:styleId="Tablenotes0">
    <w:name w:val="Table notes"/>
    <w:basedOn w:val="Normal"/>
    <w:link w:val="TablenotesChar0"/>
    <w:qFormat/>
    <w:rsid w:val="001B2CD4"/>
    <w:pPr>
      <w:contextualSpacing/>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eastAsia="Times New Roman" w:hAnsi="Arial Narrow" w:cs="Arial"/>
      <w:sz w:val="18"/>
      <w:lang w:eastAsia="en-GB"/>
    </w:rPr>
  </w:style>
  <w:style w:type="numbering" w:customStyle="1" w:styleId="ESSectionheading-numbered">
    <w:name w:val="ES. Section heading - numbered"/>
    <w:uiPriority w:val="99"/>
    <w:rsid w:val="002A4084"/>
    <w:pPr>
      <w:numPr>
        <w:numId w:val="11"/>
      </w:numPr>
    </w:pPr>
  </w:style>
  <w:style w:type="paragraph" w:customStyle="1" w:styleId="2-SectionHeading">
    <w:name w:val="2-Section Heading"/>
    <w:qFormat/>
    <w:rsid w:val="005131D3"/>
    <w:pPr>
      <w:keepNext/>
      <w:numPr>
        <w:numId w:val="3"/>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3"/>
      </w:numPr>
      <w:contextualSpacing w:val="0"/>
    </w:pPr>
    <w:rPr>
      <w:rFonts w:asciiTheme="minorHAnsi" w:hAnsiTheme="minorHAnsi" w:cs="Arial"/>
      <w:snapToGrid w:val="0"/>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eastAsia="Times New Roman" w:hAnsi="Calibri" w:cs="Calibri"/>
      <w:color w:val="0070C0"/>
      <w:szCs w:val="24"/>
      <w:lang w:eastAsia="en-GB"/>
    </w:rPr>
  </w:style>
  <w:style w:type="paragraph" w:customStyle="1" w:styleId="InstructionBulletpoint">
    <w:name w:val="Instruction Bullet point"/>
    <w:basedOn w:val="Normal"/>
    <w:link w:val="InstructionBulletpointChar"/>
    <w:uiPriority w:val="3"/>
    <w:qFormat/>
    <w:rsid w:val="00107DCD"/>
    <w:pPr>
      <w:numPr>
        <w:numId w:val="4"/>
      </w:numPr>
      <w:ind w:left="714" w:hanging="357"/>
    </w:pPr>
    <w:rPr>
      <w:rFonts w:ascii="Calibri" w:hAnsi="Calibri" w:cs="Calibri"/>
      <w:color w:val="0070C0"/>
    </w:rPr>
  </w:style>
  <w:style w:type="character" w:customStyle="1" w:styleId="TableFooterChar">
    <w:name w:val="Table Footer Char"/>
    <w:link w:val="TableFooter"/>
    <w:locked/>
    <w:rsid w:val="007B0880"/>
    <w:rPr>
      <w:rFonts w:ascii="Arial Narrow" w:eastAsia="Times New Roman" w:hAnsi="Arial Narrow" w:cs="Arial"/>
      <w:sz w:val="18"/>
      <w:szCs w:val="20"/>
      <w:lang w:eastAsia="en-GB"/>
    </w:rPr>
  </w:style>
  <w:style w:type="paragraph" w:customStyle="1" w:styleId="TableFooter">
    <w:name w:val="Table Footer"/>
    <w:basedOn w:val="Normal"/>
    <w:link w:val="TableFooterChar"/>
    <w:qFormat/>
    <w:rsid w:val="007B0880"/>
    <w:pPr>
      <w:widowControl w:val="0"/>
      <w:snapToGrid w:val="0"/>
      <w:contextualSpacing/>
    </w:pPr>
    <w:rPr>
      <w:rFonts w:ascii="Arial Narrow"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0112C5"/>
    <w:pPr>
      <w:spacing w:before="0" w:after="0"/>
      <w:ind w:left="170" w:hanging="170"/>
    </w:pPr>
    <w:rPr>
      <w:sz w:val="16"/>
      <w:szCs w:val="20"/>
    </w:rPr>
  </w:style>
  <w:style w:type="character" w:customStyle="1" w:styleId="FootnoteTextChar">
    <w:name w:val="Footnote Text Char"/>
    <w:basedOn w:val="DefaultParagraphFont"/>
    <w:link w:val="FootnoteText"/>
    <w:uiPriority w:val="99"/>
    <w:rsid w:val="000112C5"/>
    <w:rPr>
      <w:rFonts w:ascii="Franklin Gothic Book" w:eastAsia="Times New Roman" w:hAnsi="Franklin Gothic Book" w:cs="Times New Roman"/>
      <w:sz w:val="16"/>
      <w:szCs w:val="20"/>
      <w:lang w:eastAsia="en-GB"/>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pPr>
    <w:rPr>
      <w:rFonts w:ascii="Arial Narrow" w:hAnsi="Arial Narrow" w:cs="Tahoma"/>
      <w:b/>
      <w:lang w:eastAsia="en-AU"/>
    </w:rPr>
  </w:style>
  <w:style w:type="paragraph" w:customStyle="1" w:styleId="TableText1">
    <w:name w:val="TableText"/>
    <w:basedOn w:val="Normal"/>
    <w:link w:val="TableTextChar1"/>
    <w:rsid w:val="001C2A48"/>
    <w:pPr>
      <w:keepNext/>
      <w:spacing w:before="40" w:after="40"/>
    </w:pPr>
    <w:rPr>
      <w:rFonts w:ascii="Arial Narrow"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line="312" w:lineRule="auto"/>
      <w:ind w:left="1440" w:hanging="720"/>
    </w:pPr>
    <w:rPr>
      <w:rFonts w:ascii="Calibri" w:hAnsi="Calibri" w:cs="Tahoma"/>
    </w:rPr>
  </w:style>
  <w:style w:type="paragraph" w:styleId="Title">
    <w:name w:val="Title"/>
    <w:basedOn w:val="Normal"/>
    <w:next w:val="Normal"/>
    <w:link w:val="TitleChar"/>
    <w:qFormat/>
    <w:rsid w:val="00D54DB0"/>
    <w:pPr>
      <w:spacing w:before="480"/>
      <w:jc w:val="center"/>
    </w:pPr>
    <w:rPr>
      <w:rFonts w:ascii="Arial" w:hAnsi="Arial" w:cs="Arial"/>
      <w:b/>
      <w:bCs/>
      <w:color w:val="000080"/>
      <w:sz w:val="36"/>
      <w:szCs w:val="36"/>
      <w:lang w:eastAsia="en-US"/>
    </w:rPr>
  </w:style>
  <w:style w:type="character" w:customStyle="1" w:styleId="TitleChar">
    <w:name w:val="Title Char"/>
    <w:basedOn w:val="DefaultParagraphFont"/>
    <w:link w:val="Title"/>
    <w:rsid w:val="00D54DB0"/>
    <w:rPr>
      <w:rFonts w:ascii="Arial" w:eastAsia="Times New Roman" w:hAnsi="Arial" w:cs="Arial"/>
      <w:b/>
      <w:bCs/>
      <w:color w:val="000080"/>
      <w:sz w:val="36"/>
      <w:szCs w:val="36"/>
    </w:rPr>
  </w:style>
  <w:style w:type="paragraph" w:styleId="Subtitle">
    <w:name w:val="Subtitle"/>
    <w:basedOn w:val="Normal"/>
    <w:next w:val="Normal"/>
    <w:link w:val="SubtitleChar"/>
    <w:qFormat/>
    <w:rsid w:val="00772829"/>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numId w:val="5"/>
      </w:numPr>
      <w:spacing w:before="240"/>
      <w:ind w:left="2154" w:hanging="357"/>
    </w:pPr>
  </w:style>
  <w:style w:type="paragraph" w:customStyle="1" w:styleId="NormalBeforeBullet">
    <w:name w:val="Normal Before Bullet"/>
    <w:basedOn w:val="Normal"/>
    <w:qFormat/>
    <w:rsid w:val="00091C59"/>
    <w:pPr>
      <w:keepNext/>
    </w:pPr>
    <w:rPr>
      <w:rFonts w:asciiTheme="minorHAnsi" w:hAnsiTheme="minorHAnsi"/>
    </w:rPr>
  </w:style>
  <w:style w:type="paragraph" w:customStyle="1" w:styleId="Dash">
    <w:name w:val="Dash"/>
    <w:basedOn w:val="Bullet"/>
    <w:qFormat/>
    <w:rsid w:val="00091C59"/>
    <w:pPr>
      <w:numPr>
        <w:numId w:val="6"/>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8"/>
      </w:numPr>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pPr>
    <w:rPr>
      <w:b/>
      <w:color w:val="0070C0"/>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D13865"/>
    <w:rPr>
      <w:color w:val="605E5C"/>
      <w:shd w:val="clear" w:color="auto" w:fill="E1DFDD"/>
    </w:rPr>
  </w:style>
  <w:style w:type="character" w:customStyle="1" w:styleId="Heading5Char">
    <w:name w:val="Heading 5 Char"/>
    <w:basedOn w:val="DefaultParagraphFont"/>
    <w:link w:val="Heading5"/>
    <w:uiPriority w:val="9"/>
    <w:rsid w:val="00B168AD"/>
    <w:rPr>
      <w:rFonts w:ascii="Franklin Gothic Book" w:eastAsia="ScalaLancetPro" w:hAnsi="Franklin Gothic Book" w:cs="Times New Roman"/>
      <w:u w:val="single"/>
      <w:lang w:eastAsia="en-GB"/>
    </w:rPr>
  </w:style>
  <w:style w:type="table" w:styleId="PlainTable4">
    <w:name w:val="Plain Table 4"/>
    <w:basedOn w:val="TableNormal"/>
    <w:uiPriority w:val="44"/>
    <w:rsid w:val="000751FA"/>
    <w:pPr>
      <w:spacing w:after="0" w:line="240" w:lineRule="auto"/>
    </w:pPr>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751FA"/>
  </w:style>
  <w:style w:type="character" w:styleId="Mention">
    <w:name w:val="Mention"/>
    <w:basedOn w:val="DefaultParagraphFont"/>
    <w:uiPriority w:val="99"/>
    <w:unhideWhenUsed/>
    <w:rsid w:val="008B17EE"/>
    <w:rPr>
      <w:color w:val="2B579A"/>
      <w:shd w:val="clear" w:color="auto" w:fill="E1DFDD"/>
    </w:rPr>
  </w:style>
  <w:style w:type="paragraph" w:customStyle="1" w:styleId="EndNoteBibliographyTitle">
    <w:name w:val="EndNote Bibliography Title"/>
    <w:basedOn w:val="Normal"/>
    <w:link w:val="EndNoteBibliographyTitleChar"/>
    <w:rsid w:val="00633AC9"/>
    <w:pPr>
      <w:spacing w:before="0" w:after="0"/>
      <w:jc w:val="center"/>
    </w:pPr>
    <w:rPr>
      <w:rFonts w:ascii="Academy Engraved LET" w:hAnsi="Academy Engraved LET"/>
      <w:lang w:val="en-US"/>
    </w:rPr>
  </w:style>
  <w:style w:type="character" w:customStyle="1" w:styleId="EndNoteBibliographyTitleChar">
    <w:name w:val="EndNote Bibliography Title Char"/>
    <w:basedOn w:val="DefaultParagraphFont"/>
    <w:link w:val="EndNoteBibliographyTitle"/>
    <w:rsid w:val="00633AC9"/>
    <w:rPr>
      <w:rFonts w:ascii="Academy Engraved LET" w:eastAsia="Times New Roman" w:hAnsi="Academy Engraved LET" w:cs="Times New Roman"/>
      <w:szCs w:val="24"/>
      <w:lang w:val="en-US" w:eastAsia="en-GB"/>
    </w:rPr>
  </w:style>
  <w:style w:type="paragraph" w:customStyle="1" w:styleId="EndNoteBibliography">
    <w:name w:val="EndNote Bibliography"/>
    <w:basedOn w:val="Normal"/>
    <w:link w:val="EndNoteBibliographyChar"/>
    <w:rsid w:val="00633AC9"/>
    <w:pPr>
      <w:spacing w:before="0" w:after="0"/>
    </w:pPr>
    <w:rPr>
      <w:rFonts w:ascii="Academy Engraved LET" w:hAnsi="Academy Engraved LET"/>
      <w:lang w:val="en-US"/>
    </w:rPr>
  </w:style>
  <w:style w:type="character" w:customStyle="1" w:styleId="EndNoteBibliographyChar">
    <w:name w:val="EndNote Bibliography Char"/>
    <w:basedOn w:val="DefaultParagraphFont"/>
    <w:link w:val="EndNoteBibliography"/>
    <w:rsid w:val="00633AC9"/>
    <w:rPr>
      <w:rFonts w:ascii="Academy Engraved LET" w:eastAsia="Times New Roman" w:hAnsi="Academy Engraved LET" w:cs="Times New Roman"/>
      <w:szCs w:val="24"/>
      <w:lang w:val="en-US" w:eastAsia="en-GB"/>
    </w:rPr>
  </w:style>
  <w:style w:type="paragraph" w:customStyle="1" w:styleId="TableParagraph">
    <w:name w:val="Table Paragraph"/>
    <w:basedOn w:val="Normal"/>
    <w:uiPriority w:val="1"/>
    <w:qFormat/>
    <w:rsid w:val="00D10282"/>
    <w:pPr>
      <w:widowControl w:val="0"/>
      <w:autoSpaceDE w:val="0"/>
      <w:autoSpaceDN w:val="0"/>
      <w:spacing w:before="40"/>
    </w:pPr>
    <w:rPr>
      <w:rFonts w:ascii="Arial Narrow" w:eastAsia="Arial Narrow" w:hAnsi="Arial Narrow" w:cs="Arial Narrow"/>
      <w:lang w:bidi="en-AU"/>
    </w:rPr>
  </w:style>
  <w:style w:type="character" w:customStyle="1" w:styleId="hgkelc">
    <w:name w:val="hgkelc"/>
    <w:basedOn w:val="DefaultParagraphFont"/>
    <w:rsid w:val="00FC2124"/>
  </w:style>
  <w:style w:type="paragraph" w:customStyle="1" w:styleId="msonormal0">
    <w:name w:val="msonormal"/>
    <w:basedOn w:val="Normal"/>
    <w:rsid w:val="0037625E"/>
    <w:pPr>
      <w:spacing w:before="100" w:beforeAutospacing="1" w:after="100" w:afterAutospacing="1"/>
    </w:pPr>
  </w:style>
  <w:style w:type="paragraph" w:customStyle="1" w:styleId="font5">
    <w:name w:val="font5"/>
    <w:basedOn w:val="Normal"/>
    <w:rsid w:val="0037625E"/>
    <w:pPr>
      <w:spacing w:before="100" w:beforeAutospacing="1" w:after="100" w:afterAutospacing="1"/>
    </w:pPr>
    <w:rPr>
      <w:rFonts w:ascii="Aptos Narrow" w:hAnsi="Aptos Narrow"/>
    </w:rPr>
  </w:style>
  <w:style w:type="paragraph" w:customStyle="1" w:styleId="font6">
    <w:name w:val="font6"/>
    <w:basedOn w:val="Normal"/>
    <w:rsid w:val="0037625E"/>
    <w:pPr>
      <w:spacing w:before="100" w:beforeAutospacing="1" w:after="100" w:afterAutospacing="1"/>
    </w:pPr>
    <w:rPr>
      <w:rFonts w:ascii="Aptos Narrow" w:hAnsi="Aptos Narrow"/>
      <w:color w:val="FF0000"/>
    </w:rPr>
  </w:style>
  <w:style w:type="paragraph" w:customStyle="1" w:styleId="xl65">
    <w:name w:val="xl65"/>
    <w:basedOn w:val="Normal"/>
    <w:rsid w:val="0037625E"/>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textAlignment w:val="top"/>
    </w:pPr>
    <w:rPr>
      <w:rFonts w:ascii="Aptos Narrow" w:hAnsi="Aptos Narrow"/>
      <w:b/>
      <w:bCs/>
    </w:rPr>
  </w:style>
  <w:style w:type="paragraph" w:customStyle="1" w:styleId="xl66">
    <w:name w:val="xl66"/>
    <w:basedOn w:val="Normal"/>
    <w:rsid w:val="0037625E"/>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textAlignment w:val="top"/>
    </w:pPr>
    <w:rPr>
      <w:rFonts w:ascii="Aptos Narrow" w:hAnsi="Aptos Narrow"/>
      <w:b/>
      <w:bCs/>
    </w:rPr>
  </w:style>
  <w:style w:type="paragraph" w:customStyle="1" w:styleId="xl67">
    <w:name w:val="xl67"/>
    <w:basedOn w:val="Normal"/>
    <w:rsid w:val="0037625E"/>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textAlignment w:val="top"/>
    </w:pPr>
    <w:rPr>
      <w:rFonts w:ascii="Aptos Narrow" w:hAnsi="Aptos Narrow"/>
      <w:b/>
      <w:bCs/>
    </w:rPr>
  </w:style>
  <w:style w:type="paragraph" w:customStyle="1" w:styleId="xl68">
    <w:name w:val="xl68"/>
    <w:basedOn w:val="Normal"/>
    <w:rsid w:val="0037625E"/>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textAlignment w:val="top"/>
    </w:pPr>
    <w:rPr>
      <w:rFonts w:ascii="Aptos Narrow" w:hAnsi="Aptos Narrow"/>
      <w:b/>
      <w:bCs/>
    </w:rPr>
  </w:style>
  <w:style w:type="paragraph" w:customStyle="1" w:styleId="xl69">
    <w:name w:val="xl69"/>
    <w:basedOn w:val="Normal"/>
    <w:rsid w:val="0037625E"/>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textAlignment w:val="top"/>
    </w:pPr>
    <w:rPr>
      <w:rFonts w:ascii="Aptos Narrow" w:hAnsi="Aptos Narrow"/>
    </w:rPr>
  </w:style>
  <w:style w:type="paragraph" w:customStyle="1" w:styleId="xl70">
    <w:name w:val="xl70"/>
    <w:basedOn w:val="Normal"/>
    <w:rsid w:val="0037625E"/>
    <w:pPr>
      <w:pBdr>
        <w:top w:val="single" w:sz="4" w:space="0" w:color="auto"/>
        <w:left w:val="single" w:sz="4" w:space="0" w:color="auto"/>
        <w:bottom w:val="single" w:sz="4" w:space="0" w:color="auto"/>
        <w:right w:val="single" w:sz="4" w:space="0" w:color="auto"/>
      </w:pBdr>
      <w:shd w:val="clear" w:color="000000" w:fill="C1F0C8"/>
      <w:spacing w:before="100" w:beforeAutospacing="1" w:after="100" w:afterAutospacing="1"/>
      <w:textAlignment w:val="top"/>
    </w:pPr>
    <w:rPr>
      <w:rFonts w:ascii="Aptos Narrow" w:hAnsi="Aptos Narrow"/>
    </w:rPr>
  </w:style>
  <w:style w:type="paragraph" w:customStyle="1" w:styleId="xl71">
    <w:name w:val="xl71"/>
    <w:basedOn w:val="Normal"/>
    <w:rsid w:val="0037625E"/>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textAlignment w:val="top"/>
    </w:pPr>
    <w:rPr>
      <w:rFonts w:ascii="Aptos Narrow" w:hAnsi="Aptos Narrow"/>
    </w:rPr>
  </w:style>
  <w:style w:type="paragraph" w:customStyle="1" w:styleId="xl72">
    <w:name w:val="xl72"/>
    <w:basedOn w:val="Normal"/>
    <w:rsid w:val="0037625E"/>
    <w:pPr>
      <w:pBdr>
        <w:top w:val="single" w:sz="4" w:space="0" w:color="auto"/>
        <w:left w:val="single" w:sz="4" w:space="0" w:color="auto"/>
        <w:bottom w:val="single" w:sz="4" w:space="0" w:color="auto"/>
        <w:right w:val="single" w:sz="4" w:space="0" w:color="auto"/>
      </w:pBdr>
      <w:shd w:val="clear" w:color="000000" w:fill="F2CEEF"/>
      <w:spacing w:before="100" w:beforeAutospacing="1" w:after="100" w:afterAutospacing="1"/>
      <w:textAlignment w:val="top"/>
    </w:pPr>
    <w:rPr>
      <w:rFonts w:ascii="Aptos Narrow" w:hAnsi="Aptos Narrow"/>
    </w:rPr>
  </w:style>
  <w:style w:type="paragraph" w:customStyle="1" w:styleId="xl73">
    <w:name w:val="xl73"/>
    <w:basedOn w:val="Normal"/>
    <w:rsid w:val="0037625E"/>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textAlignment w:val="top"/>
    </w:pPr>
    <w:rPr>
      <w:rFonts w:ascii="Aptos Narrow" w:hAnsi="Aptos Narrow"/>
      <w:b/>
      <w:bCs/>
    </w:rPr>
  </w:style>
  <w:style w:type="paragraph" w:customStyle="1" w:styleId="xl74">
    <w:name w:val="xl74"/>
    <w:basedOn w:val="Normal"/>
    <w:rsid w:val="0037625E"/>
    <w:pPr>
      <w:spacing w:before="100" w:beforeAutospacing="1" w:after="100" w:afterAutospacing="1"/>
      <w:textAlignment w:val="top"/>
    </w:pPr>
  </w:style>
  <w:style w:type="paragraph" w:customStyle="1" w:styleId="xl75">
    <w:name w:val="xl75"/>
    <w:basedOn w:val="Normal"/>
    <w:rsid w:val="0037625E"/>
    <w:pPr>
      <w:spacing w:before="100" w:beforeAutospacing="1" w:after="100" w:afterAutospacing="1"/>
      <w:textAlignment w:val="top"/>
    </w:pPr>
  </w:style>
  <w:style w:type="paragraph" w:customStyle="1" w:styleId="xl76">
    <w:name w:val="xl76"/>
    <w:basedOn w:val="Normal"/>
    <w:rsid w:val="0037625E"/>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textAlignment w:val="top"/>
    </w:pPr>
  </w:style>
  <w:style w:type="paragraph" w:customStyle="1" w:styleId="xl77">
    <w:name w:val="xl77"/>
    <w:basedOn w:val="Normal"/>
    <w:rsid w:val="0037625E"/>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textAlignment w:val="top"/>
    </w:pPr>
    <w:rPr>
      <w:b/>
      <w:bCs/>
    </w:rPr>
  </w:style>
  <w:style w:type="paragraph" w:customStyle="1" w:styleId="xl78">
    <w:name w:val="xl78"/>
    <w:basedOn w:val="Normal"/>
    <w:rsid w:val="0037625E"/>
    <w:pPr>
      <w:spacing w:before="100" w:beforeAutospacing="1" w:after="100" w:afterAutospacing="1"/>
      <w:textAlignment w:val="top"/>
    </w:pPr>
    <w:rPr>
      <w:color w:val="467886"/>
      <w:u w:val="single"/>
    </w:rPr>
  </w:style>
  <w:style w:type="paragraph" w:customStyle="1" w:styleId="xl79">
    <w:name w:val="xl79"/>
    <w:basedOn w:val="Normal"/>
    <w:rsid w:val="0037625E"/>
    <w:pPr>
      <w:spacing w:before="100" w:beforeAutospacing="1" w:after="100" w:afterAutospacing="1"/>
      <w:textAlignment w:val="top"/>
    </w:pPr>
  </w:style>
  <w:style w:type="paragraph" w:customStyle="1" w:styleId="xl80">
    <w:name w:val="xl80"/>
    <w:basedOn w:val="Normal"/>
    <w:rsid w:val="0037625E"/>
    <w:pPr>
      <w:spacing w:before="100" w:beforeAutospacing="1" w:after="100" w:afterAutospacing="1"/>
      <w:textAlignment w:val="top"/>
    </w:pPr>
  </w:style>
  <w:style w:type="paragraph" w:customStyle="1" w:styleId="xl81">
    <w:name w:val="xl81"/>
    <w:basedOn w:val="Normal"/>
    <w:rsid w:val="0037625E"/>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textAlignment w:val="top"/>
    </w:pPr>
    <w:rPr>
      <w:rFonts w:ascii="Aptos Narrow" w:hAnsi="Aptos Narrow"/>
      <w:b/>
      <w:bCs/>
    </w:rPr>
  </w:style>
  <w:style w:type="paragraph" w:customStyle="1" w:styleId="xl82">
    <w:name w:val="xl82"/>
    <w:basedOn w:val="Normal"/>
    <w:rsid w:val="0037625E"/>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textAlignment w:val="top"/>
    </w:pPr>
    <w:rPr>
      <w:rFonts w:ascii="Aptos Narrow" w:hAnsi="Aptos Narrow"/>
    </w:rPr>
  </w:style>
  <w:style w:type="paragraph" w:customStyle="1" w:styleId="xl83">
    <w:name w:val="xl83"/>
    <w:basedOn w:val="Normal"/>
    <w:rsid w:val="0037625E"/>
    <w:pPr>
      <w:spacing w:before="100" w:beforeAutospacing="1" w:after="100" w:afterAutospacing="1"/>
      <w:jc w:val="right"/>
      <w:textAlignment w:val="top"/>
    </w:pPr>
  </w:style>
  <w:style w:type="paragraph" w:customStyle="1" w:styleId="xl84">
    <w:name w:val="xl84"/>
    <w:basedOn w:val="Normal"/>
    <w:rsid w:val="0037625E"/>
    <w:pPr>
      <w:shd w:val="clear" w:color="000000" w:fill="DAF2D0"/>
      <w:spacing w:before="100" w:beforeAutospacing="1" w:after="100" w:afterAutospacing="1"/>
      <w:textAlignment w:val="top"/>
    </w:pPr>
  </w:style>
  <w:style w:type="paragraph" w:customStyle="1" w:styleId="xl85">
    <w:name w:val="xl85"/>
    <w:basedOn w:val="Normal"/>
    <w:rsid w:val="0037625E"/>
    <w:pPr>
      <w:shd w:val="clear" w:color="000000" w:fill="DAF2D0"/>
      <w:spacing w:before="100" w:beforeAutospacing="1" w:after="100" w:afterAutospacing="1"/>
      <w:textAlignment w:val="top"/>
    </w:pPr>
  </w:style>
  <w:style w:type="paragraph" w:customStyle="1" w:styleId="xl86">
    <w:name w:val="xl86"/>
    <w:basedOn w:val="Normal"/>
    <w:rsid w:val="0037625E"/>
    <w:pPr>
      <w:shd w:val="clear" w:color="000000" w:fill="FFBCB4"/>
      <w:spacing w:before="100" w:beforeAutospacing="1" w:after="100" w:afterAutospacing="1"/>
      <w:textAlignment w:val="top"/>
    </w:pPr>
  </w:style>
  <w:style w:type="paragraph" w:customStyle="1" w:styleId="xl87">
    <w:name w:val="xl87"/>
    <w:basedOn w:val="Normal"/>
    <w:rsid w:val="0037625E"/>
    <w:pPr>
      <w:shd w:val="clear" w:color="000000" w:fill="FFBCB4"/>
      <w:spacing w:before="100" w:beforeAutospacing="1" w:after="100" w:afterAutospacing="1"/>
      <w:textAlignment w:val="top"/>
    </w:pPr>
  </w:style>
  <w:style w:type="paragraph" w:customStyle="1" w:styleId="xl88">
    <w:name w:val="xl88"/>
    <w:basedOn w:val="Normal"/>
    <w:rsid w:val="0037625E"/>
    <w:pPr>
      <w:shd w:val="clear" w:color="000000" w:fill="D9D9D9"/>
      <w:spacing w:before="100" w:beforeAutospacing="1" w:after="100" w:afterAutospacing="1"/>
      <w:textAlignment w:val="top"/>
    </w:pPr>
  </w:style>
  <w:style w:type="paragraph" w:customStyle="1" w:styleId="xl89">
    <w:name w:val="xl89"/>
    <w:basedOn w:val="Normal"/>
    <w:rsid w:val="0037625E"/>
    <w:pPr>
      <w:shd w:val="clear" w:color="000000" w:fill="D9D9D9"/>
      <w:spacing w:before="100" w:beforeAutospacing="1" w:after="100" w:afterAutospacing="1"/>
      <w:textAlignment w:val="top"/>
    </w:pPr>
  </w:style>
  <w:style w:type="paragraph" w:customStyle="1" w:styleId="xl90">
    <w:name w:val="xl90"/>
    <w:basedOn w:val="Normal"/>
    <w:rsid w:val="0037625E"/>
    <w:pPr>
      <w:shd w:val="clear" w:color="000000" w:fill="D9D9D9"/>
      <w:spacing w:before="100" w:beforeAutospacing="1" w:after="100" w:afterAutospacing="1"/>
    </w:pPr>
    <w:rPr>
      <w:rFonts w:ascii="Arial" w:hAnsi="Arial" w:cs="Arial"/>
    </w:rPr>
  </w:style>
  <w:style w:type="paragraph" w:customStyle="1" w:styleId="xl91">
    <w:name w:val="xl91"/>
    <w:basedOn w:val="Normal"/>
    <w:rsid w:val="0037625E"/>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jc w:val="right"/>
      <w:textAlignment w:val="top"/>
    </w:pPr>
    <w:rPr>
      <w:rFonts w:ascii="Aptos Narrow" w:hAnsi="Aptos Narrow"/>
      <w:b/>
      <w:bCs/>
    </w:rPr>
  </w:style>
  <w:style w:type="paragraph" w:customStyle="1" w:styleId="xl92">
    <w:name w:val="xl92"/>
    <w:basedOn w:val="Normal"/>
    <w:rsid w:val="0037625E"/>
    <w:pPr>
      <w:pBdr>
        <w:top w:val="single" w:sz="4" w:space="0" w:color="auto"/>
        <w:left w:val="single" w:sz="4" w:space="0" w:color="auto"/>
        <w:bottom w:val="single" w:sz="4" w:space="0" w:color="auto"/>
        <w:right w:val="single" w:sz="4" w:space="0" w:color="auto"/>
      </w:pBdr>
      <w:shd w:val="clear" w:color="000000" w:fill="F2CEEF"/>
      <w:spacing w:before="100" w:beforeAutospacing="1" w:after="100" w:afterAutospacing="1"/>
      <w:jc w:val="right"/>
      <w:textAlignment w:val="top"/>
    </w:pPr>
    <w:rPr>
      <w:rFonts w:ascii="Aptos Narrow" w:hAnsi="Aptos Narrow"/>
    </w:rPr>
  </w:style>
  <w:style w:type="paragraph" w:customStyle="1" w:styleId="xl93">
    <w:name w:val="xl93"/>
    <w:basedOn w:val="Normal"/>
    <w:rsid w:val="0037625E"/>
    <w:pPr>
      <w:shd w:val="clear" w:color="000000" w:fill="DAF2D0"/>
      <w:spacing w:before="100" w:beforeAutospacing="1" w:after="100" w:afterAutospacing="1"/>
      <w:jc w:val="right"/>
      <w:textAlignment w:val="top"/>
    </w:pPr>
  </w:style>
  <w:style w:type="paragraph" w:customStyle="1" w:styleId="xl94">
    <w:name w:val="xl94"/>
    <w:basedOn w:val="Normal"/>
    <w:rsid w:val="0037625E"/>
    <w:pPr>
      <w:shd w:val="clear" w:color="000000" w:fill="FFBCB4"/>
      <w:spacing w:before="100" w:beforeAutospacing="1" w:after="100" w:afterAutospacing="1"/>
      <w:jc w:val="right"/>
      <w:textAlignment w:val="top"/>
    </w:pPr>
  </w:style>
  <w:style w:type="paragraph" w:customStyle="1" w:styleId="xl95">
    <w:name w:val="xl95"/>
    <w:basedOn w:val="Normal"/>
    <w:rsid w:val="0037625E"/>
    <w:pPr>
      <w:spacing w:before="100" w:beforeAutospacing="1" w:after="100" w:afterAutospacing="1"/>
      <w:jc w:val="right"/>
      <w:textAlignment w:val="top"/>
    </w:pPr>
  </w:style>
  <w:style w:type="paragraph" w:customStyle="1" w:styleId="xl96">
    <w:name w:val="xl96"/>
    <w:basedOn w:val="Normal"/>
    <w:rsid w:val="0037625E"/>
    <w:pPr>
      <w:shd w:val="clear" w:color="000000" w:fill="D9D9D9"/>
      <w:spacing w:before="100" w:beforeAutospacing="1" w:after="100" w:afterAutospacing="1"/>
      <w:jc w:val="right"/>
      <w:textAlignment w:val="top"/>
    </w:pPr>
  </w:style>
  <w:style w:type="paragraph" w:customStyle="1" w:styleId="xl97">
    <w:name w:val="xl97"/>
    <w:basedOn w:val="Normal"/>
    <w:rsid w:val="0037625E"/>
    <w:pPr>
      <w:shd w:val="clear" w:color="000000" w:fill="DAF2D0"/>
      <w:spacing w:before="100" w:beforeAutospacing="1" w:after="100" w:afterAutospacing="1"/>
      <w:textAlignment w:val="top"/>
    </w:pPr>
  </w:style>
  <w:style w:type="paragraph" w:customStyle="1" w:styleId="xl98">
    <w:name w:val="xl98"/>
    <w:basedOn w:val="Normal"/>
    <w:rsid w:val="0037625E"/>
    <w:pPr>
      <w:shd w:val="clear" w:color="000000" w:fill="DAF2D0"/>
      <w:spacing w:before="100" w:beforeAutospacing="1" w:after="100" w:afterAutospacing="1"/>
      <w:jc w:val="right"/>
      <w:textAlignment w:val="top"/>
    </w:pPr>
  </w:style>
  <w:style w:type="paragraph" w:customStyle="1" w:styleId="xl99">
    <w:name w:val="xl99"/>
    <w:basedOn w:val="Normal"/>
    <w:rsid w:val="0037625E"/>
    <w:pPr>
      <w:shd w:val="clear" w:color="000000" w:fill="FFBCB4"/>
      <w:spacing w:before="100" w:beforeAutospacing="1" w:after="100" w:afterAutospacing="1"/>
      <w:textAlignment w:val="top"/>
    </w:pPr>
  </w:style>
  <w:style w:type="paragraph" w:customStyle="1" w:styleId="xl100">
    <w:name w:val="xl100"/>
    <w:basedOn w:val="Normal"/>
    <w:rsid w:val="0037625E"/>
    <w:pPr>
      <w:shd w:val="clear" w:color="000000" w:fill="DAF2D0"/>
      <w:spacing w:before="100" w:beforeAutospacing="1" w:after="100" w:afterAutospacing="1"/>
      <w:jc w:val="center"/>
      <w:textAlignment w:val="top"/>
    </w:pPr>
  </w:style>
  <w:style w:type="paragraph" w:customStyle="1" w:styleId="authors">
    <w:name w:val="authors"/>
    <w:basedOn w:val="Normal"/>
    <w:rsid w:val="0037625E"/>
    <w:pPr>
      <w:spacing w:before="100" w:beforeAutospacing="1" w:after="100" w:afterAutospacing="1"/>
    </w:pPr>
  </w:style>
  <w:style w:type="character" w:customStyle="1" w:styleId="sp">
    <w:name w:val="sp"/>
    <w:basedOn w:val="DefaultParagraphFont"/>
    <w:rsid w:val="00F73E0C"/>
  </w:style>
  <w:style w:type="table" w:customStyle="1" w:styleId="HealthConsult1">
    <w:name w:val="HealthConsult1"/>
    <w:basedOn w:val="TableNormal"/>
    <w:next w:val="TableGrid"/>
    <w:uiPriority w:val="39"/>
    <w:rsid w:val="00222B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4TABLEBULLET">
    <w:name w:val="2024_TABLE BULLET"/>
    <w:basedOn w:val="TableText"/>
    <w:qFormat/>
    <w:rsid w:val="00685151"/>
    <w:pPr>
      <w:numPr>
        <w:numId w:val="9"/>
      </w:numPr>
    </w:pPr>
    <w:rPr>
      <w:lang w:eastAsia="zh-CN"/>
    </w:rPr>
  </w:style>
  <w:style w:type="paragraph" w:customStyle="1" w:styleId="2024TABLETEXT">
    <w:name w:val="2024_TABLE TEXT"/>
    <w:basedOn w:val="TableText"/>
    <w:qFormat/>
    <w:rsid w:val="00957443"/>
  </w:style>
  <w:style w:type="paragraph" w:customStyle="1" w:styleId="2024TABLEHEADING">
    <w:name w:val="2024_TABLE HEADING"/>
    <w:basedOn w:val="TableHeading"/>
    <w:qFormat/>
    <w:rsid w:val="00D62EB9"/>
    <w:pPr>
      <w:spacing w:before="60"/>
    </w:pPr>
  </w:style>
  <w:style w:type="character" w:customStyle="1" w:styleId="Heading6Char">
    <w:name w:val="Heading 6 Char"/>
    <w:basedOn w:val="DefaultParagraphFont"/>
    <w:link w:val="Heading6"/>
    <w:uiPriority w:val="9"/>
    <w:rsid w:val="006374A5"/>
    <w:rPr>
      <w:rFonts w:ascii="Franklin Gothic Book" w:eastAsia="ScalaLancetPro" w:hAnsi="Franklin Gothic Book" w:cs="Times New Roman"/>
      <w:i/>
      <w:iCs/>
      <w:u w:val="single"/>
      <w:lang w:eastAsia="en-GB"/>
    </w:rPr>
  </w:style>
  <w:style w:type="paragraph" w:customStyle="1" w:styleId="Default">
    <w:name w:val="Default"/>
    <w:rsid w:val="006374A5"/>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A9317C"/>
  </w:style>
  <w:style w:type="paragraph" w:customStyle="1" w:styleId="xl63">
    <w:name w:val="xl63"/>
    <w:basedOn w:val="Normal"/>
    <w:rsid w:val="009E2E9E"/>
    <w:pPr>
      <w:spacing w:before="100" w:beforeAutospacing="1" w:after="100" w:afterAutospacing="1"/>
    </w:pPr>
    <w:rPr>
      <w:rFonts w:ascii="Arial" w:hAnsi="Arial" w:cs="Arial"/>
      <w:color w:val="000000"/>
      <w:sz w:val="18"/>
      <w:szCs w:val="18"/>
    </w:rPr>
  </w:style>
  <w:style w:type="paragraph" w:customStyle="1" w:styleId="font0">
    <w:name w:val="font0"/>
    <w:basedOn w:val="Normal"/>
    <w:rsid w:val="004B684D"/>
    <w:pPr>
      <w:spacing w:before="100" w:beforeAutospacing="1" w:after="100" w:afterAutospacing="1"/>
    </w:pPr>
    <w:rPr>
      <w:rFonts w:ascii="Aptos Narrow" w:hAnsi="Aptos Narrow"/>
      <w:color w:val="000000"/>
      <w:sz w:val="24"/>
    </w:rPr>
  </w:style>
  <w:style w:type="paragraph" w:customStyle="1" w:styleId="font7">
    <w:name w:val="font7"/>
    <w:basedOn w:val="Normal"/>
    <w:rsid w:val="004B684D"/>
    <w:pPr>
      <w:spacing w:before="100" w:beforeAutospacing="1" w:after="100" w:afterAutospacing="1"/>
    </w:pPr>
    <w:rPr>
      <w:rFonts w:ascii="Calibri" w:hAnsi="Calibri" w:cs="Calibri"/>
      <w:i/>
      <w:iCs/>
      <w:color w:val="000000"/>
    </w:rPr>
  </w:style>
  <w:style w:type="paragraph" w:customStyle="1" w:styleId="font8">
    <w:name w:val="font8"/>
    <w:basedOn w:val="Normal"/>
    <w:rsid w:val="004B684D"/>
    <w:pPr>
      <w:spacing w:before="100" w:beforeAutospacing="1" w:after="100" w:afterAutospacing="1"/>
    </w:pPr>
    <w:rPr>
      <w:rFonts w:ascii="Calibri" w:hAnsi="Calibri" w:cs="Calibri"/>
      <w:color w:val="FF0000"/>
    </w:rPr>
  </w:style>
  <w:style w:type="paragraph" w:customStyle="1" w:styleId="font9">
    <w:name w:val="font9"/>
    <w:basedOn w:val="Normal"/>
    <w:rsid w:val="004B684D"/>
    <w:pPr>
      <w:spacing w:before="100" w:beforeAutospacing="1" w:after="100" w:afterAutospacing="1"/>
    </w:pPr>
    <w:rPr>
      <w:rFonts w:ascii="Calibri" w:hAnsi="Calibri" w:cs="Calibri"/>
      <w:b/>
      <w:bCs/>
      <w:color w:val="00B050"/>
      <w:u w:val="single"/>
    </w:rPr>
  </w:style>
  <w:style w:type="paragraph" w:customStyle="1" w:styleId="font10">
    <w:name w:val="font10"/>
    <w:basedOn w:val="Normal"/>
    <w:rsid w:val="004B684D"/>
    <w:pPr>
      <w:spacing w:before="100" w:beforeAutospacing="1" w:after="100" w:afterAutospacing="1"/>
    </w:pPr>
    <w:rPr>
      <w:rFonts w:ascii="Calibri" w:hAnsi="Calibri" w:cs="Calibri"/>
      <w:b/>
      <w:bCs/>
      <w:color w:val="FF0000"/>
    </w:rPr>
  </w:style>
  <w:style w:type="paragraph" w:customStyle="1" w:styleId="font11">
    <w:name w:val="font11"/>
    <w:basedOn w:val="Normal"/>
    <w:rsid w:val="004B684D"/>
    <w:pPr>
      <w:spacing w:before="100" w:beforeAutospacing="1" w:after="100" w:afterAutospacing="1"/>
    </w:pPr>
    <w:rPr>
      <w:rFonts w:ascii="Calibri" w:hAnsi="Calibri" w:cs="Calibri"/>
      <w:color w:val="00B050"/>
      <w:u w:val="single"/>
    </w:rPr>
  </w:style>
  <w:style w:type="paragraph" w:customStyle="1" w:styleId="font12">
    <w:name w:val="font12"/>
    <w:basedOn w:val="Normal"/>
    <w:rsid w:val="004B684D"/>
    <w:pPr>
      <w:spacing w:before="100" w:beforeAutospacing="1" w:after="100" w:afterAutospacing="1"/>
    </w:pPr>
    <w:rPr>
      <w:rFonts w:ascii="Calibri" w:hAnsi="Calibri" w:cs="Calibri"/>
      <w:color w:val="00B050"/>
    </w:rPr>
  </w:style>
  <w:style w:type="paragraph" w:customStyle="1" w:styleId="font13">
    <w:name w:val="font13"/>
    <w:basedOn w:val="Normal"/>
    <w:rsid w:val="004B684D"/>
    <w:pPr>
      <w:spacing w:before="100" w:beforeAutospacing="1" w:after="100" w:afterAutospacing="1"/>
    </w:pPr>
    <w:rPr>
      <w:rFonts w:ascii="Aptos Narrow" w:hAnsi="Aptos Narrow"/>
      <w:i/>
      <w:iCs/>
      <w:color w:val="000000"/>
      <w:sz w:val="24"/>
    </w:rPr>
  </w:style>
  <w:style w:type="paragraph" w:customStyle="1" w:styleId="font14">
    <w:name w:val="font14"/>
    <w:basedOn w:val="Normal"/>
    <w:rsid w:val="004B684D"/>
    <w:pPr>
      <w:spacing w:before="100" w:beforeAutospacing="1" w:after="100" w:afterAutospacing="1"/>
    </w:pPr>
    <w:rPr>
      <w:rFonts w:ascii="Calibri" w:hAnsi="Calibri" w:cs="Calibri"/>
      <w:color w:val="000000"/>
      <w:sz w:val="24"/>
    </w:rPr>
  </w:style>
  <w:style w:type="paragraph" w:customStyle="1" w:styleId="font15">
    <w:name w:val="font15"/>
    <w:basedOn w:val="Normal"/>
    <w:rsid w:val="004B684D"/>
    <w:pPr>
      <w:spacing w:before="100" w:beforeAutospacing="1" w:after="100" w:afterAutospacing="1"/>
    </w:pPr>
    <w:rPr>
      <w:rFonts w:ascii="Calibri" w:hAnsi="Calibri" w:cs="Calibri"/>
      <w:i/>
      <w:iCs/>
      <w:color w:val="000000"/>
      <w:sz w:val="24"/>
    </w:rPr>
  </w:style>
  <w:style w:type="paragraph" w:customStyle="1" w:styleId="xl64">
    <w:name w:val="xl64"/>
    <w:basedOn w:val="Normal"/>
    <w:rsid w:val="004B684D"/>
    <w:pPr>
      <w:pBdr>
        <w:top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01">
    <w:name w:val="xl101"/>
    <w:basedOn w:val="Normal"/>
    <w:rsid w:val="004B684D"/>
    <w:pPr>
      <w:pBdr>
        <w:left w:val="single" w:sz="8" w:space="0" w:color="auto"/>
      </w:pBdr>
      <w:spacing w:before="100" w:beforeAutospacing="1" w:after="100" w:afterAutospacing="1"/>
      <w:jc w:val="center"/>
    </w:pPr>
    <w:rPr>
      <w:rFonts w:ascii="Calibri" w:hAnsi="Calibri" w:cs="Calibri"/>
    </w:rPr>
  </w:style>
  <w:style w:type="paragraph" w:customStyle="1" w:styleId="xl102">
    <w:name w:val="xl102"/>
    <w:basedOn w:val="Normal"/>
    <w:rsid w:val="004B684D"/>
    <w:pPr>
      <w:pBdr>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03">
    <w:name w:val="xl103"/>
    <w:basedOn w:val="Normal"/>
    <w:rsid w:val="004B684D"/>
    <w:pPr>
      <w:pBdr>
        <w:bottom w:val="single" w:sz="8" w:space="0" w:color="auto"/>
      </w:pBdr>
      <w:spacing w:before="100" w:beforeAutospacing="1" w:after="100" w:afterAutospacing="1"/>
      <w:jc w:val="center"/>
      <w:textAlignment w:val="center"/>
    </w:pPr>
    <w:rPr>
      <w:rFonts w:ascii="Calibri" w:hAnsi="Calibri" w:cs="Calibri"/>
    </w:rPr>
  </w:style>
  <w:style w:type="paragraph" w:customStyle="1" w:styleId="xl104">
    <w:name w:val="xl104"/>
    <w:basedOn w:val="Normal"/>
    <w:rsid w:val="004B684D"/>
    <w:pPr>
      <w:pBdr>
        <w:top w:val="single" w:sz="8" w:space="0" w:color="auto"/>
        <w:left w:val="single" w:sz="8" w:space="0" w:color="auto"/>
        <w:bottom w:val="single" w:sz="8" w:space="0" w:color="auto"/>
        <w:right w:val="single" w:sz="4" w:space="0" w:color="auto"/>
      </w:pBdr>
      <w:shd w:val="clear" w:color="000000" w:fill="C0E6F5"/>
      <w:spacing w:before="100" w:beforeAutospacing="1" w:after="100" w:afterAutospacing="1"/>
      <w:textAlignment w:val="center"/>
    </w:pPr>
    <w:rPr>
      <w:rFonts w:ascii="Calibri" w:hAnsi="Calibri" w:cs="Calibri"/>
      <w:b/>
      <w:bCs/>
    </w:rPr>
  </w:style>
  <w:style w:type="paragraph" w:customStyle="1" w:styleId="xl105">
    <w:name w:val="xl105"/>
    <w:basedOn w:val="Normal"/>
    <w:rsid w:val="004B684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106">
    <w:name w:val="xl106"/>
    <w:basedOn w:val="Normal"/>
    <w:rsid w:val="004B684D"/>
    <w:pPr>
      <w:pBdr>
        <w:bottom w:val="single" w:sz="8" w:space="0" w:color="D9D9D9"/>
      </w:pBdr>
      <w:spacing w:before="100" w:beforeAutospacing="1" w:after="100" w:afterAutospacing="1"/>
      <w:jc w:val="center"/>
      <w:textAlignment w:val="center"/>
    </w:pPr>
    <w:rPr>
      <w:rFonts w:ascii="Calibri" w:hAnsi="Calibri" w:cs="Calibri"/>
      <w:color w:val="00B050"/>
      <w:u w:val="single"/>
    </w:rPr>
  </w:style>
  <w:style w:type="paragraph" w:customStyle="1" w:styleId="xl107">
    <w:name w:val="xl107"/>
    <w:basedOn w:val="Normal"/>
    <w:rsid w:val="004B684D"/>
    <w:pPr>
      <w:pBdr>
        <w:top w:val="single" w:sz="8" w:space="0" w:color="auto"/>
        <w:bottom w:val="single" w:sz="8" w:space="0" w:color="auto"/>
      </w:pBdr>
      <w:spacing w:before="100" w:beforeAutospacing="1" w:after="100" w:afterAutospacing="1"/>
      <w:textAlignment w:val="center"/>
    </w:pPr>
    <w:rPr>
      <w:rFonts w:ascii="Calibri" w:hAnsi="Calibri" w:cs="Calibri"/>
      <w:b/>
      <w:bCs/>
    </w:rPr>
  </w:style>
  <w:style w:type="paragraph" w:customStyle="1" w:styleId="xl108">
    <w:name w:val="xl108"/>
    <w:basedOn w:val="Normal"/>
    <w:rsid w:val="004B684D"/>
    <w:pPr>
      <w:pBdr>
        <w:left w:val="single" w:sz="8" w:space="0" w:color="auto"/>
      </w:pBdr>
      <w:spacing w:before="100" w:beforeAutospacing="1" w:after="100" w:afterAutospacing="1"/>
      <w:jc w:val="center"/>
    </w:pPr>
    <w:rPr>
      <w:rFonts w:ascii="Calibri" w:hAnsi="Calibri" w:cs="Calibri"/>
      <w:color w:val="47D359"/>
    </w:rPr>
  </w:style>
  <w:style w:type="paragraph" w:customStyle="1" w:styleId="xl109">
    <w:name w:val="xl109"/>
    <w:basedOn w:val="Normal"/>
    <w:rsid w:val="004B684D"/>
    <w:pPr>
      <w:pBdr>
        <w:bottom w:val="single" w:sz="8" w:space="0" w:color="D9D9D9"/>
      </w:pBdr>
      <w:spacing w:before="100" w:beforeAutospacing="1" w:after="100" w:afterAutospacing="1"/>
      <w:jc w:val="center"/>
      <w:textAlignment w:val="center"/>
    </w:pPr>
    <w:rPr>
      <w:rFonts w:ascii="Calibri" w:hAnsi="Calibri" w:cs="Calibri"/>
      <w:color w:val="FF0000"/>
    </w:rPr>
  </w:style>
  <w:style w:type="paragraph" w:customStyle="1" w:styleId="xl110">
    <w:name w:val="xl110"/>
    <w:basedOn w:val="Normal"/>
    <w:rsid w:val="004B684D"/>
    <w:pPr>
      <w:pBdr>
        <w:top w:val="single" w:sz="8" w:space="0" w:color="auto"/>
        <w:bottom w:val="single" w:sz="8" w:space="0" w:color="D9D9D9"/>
        <w:right w:val="single" w:sz="4" w:space="0" w:color="auto"/>
      </w:pBdr>
      <w:spacing w:before="100" w:beforeAutospacing="1" w:after="100" w:afterAutospacing="1"/>
      <w:textAlignment w:val="center"/>
    </w:pPr>
    <w:rPr>
      <w:rFonts w:ascii="Calibri" w:hAnsi="Calibri" w:cs="Calibri"/>
      <w:b/>
      <w:bCs/>
    </w:rPr>
  </w:style>
  <w:style w:type="paragraph" w:customStyle="1" w:styleId="xl111">
    <w:name w:val="xl111"/>
    <w:basedOn w:val="Normal"/>
    <w:rsid w:val="004B684D"/>
    <w:pPr>
      <w:pBdr>
        <w:top w:val="single" w:sz="8" w:space="0" w:color="D9D9D9"/>
        <w:bottom w:val="single" w:sz="8" w:space="0" w:color="D9D9D9"/>
        <w:right w:val="single" w:sz="4" w:space="0" w:color="auto"/>
      </w:pBdr>
      <w:spacing w:before="100" w:beforeAutospacing="1" w:after="100" w:afterAutospacing="1"/>
      <w:textAlignment w:val="center"/>
    </w:pPr>
    <w:rPr>
      <w:rFonts w:ascii="Calibri" w:hAnsi="Calibri" w:cs="Calibri"/>
      <w:b/>
      <w:bCs/>
    </w:rPr>
  </w:style>
  <w:style w:type="paragraph" w:customStyle="1" w:styleId="xl112">
    <w:name w:val="xl112"/>
    <w:basedOn w:val="Normal"/>
    <w:rsid w:val="004B684D"/>
    <w:pPr>
      <w:pBdr>
        <w:top w:val="single" w:sz="8" w:space="0" w:color="D9D9D9"/>
        <w:right w:val="single" w:sz="4" w:space="0" w:color="auto"/>
      </w:pBdr>
      <w:spacing w:before="100" w:beforeAutospacing="1" w:after="100" w:afterAutospacing="1"/>
      <w:textAlignment w:val="center"/>
    </w:pPr>
    <w:rPr>
      <w:rFonts w:ascii="Calibri" w:hAnsi="Calibri" w:cs="Calibri"/>
    </w:rPr>
  </w:style>
  <w:style w:type="paragraph" w:customStyle="1" w:styleId="xl113">
    <w:name w:val="xl113"/>
    <w:basedOn w:val="Normal"/>
    <w:rsid w:val="004B684D"/>
    <w:pPr>
      <w:pBdr>
        <w:right w:val="single" w:sz="4" w:space="0" w:color="auto"/>
      </w:pBdr>
      <w:spacing w:before="100" w:beforeAutospacing="1" w:after="100" w:afterAutospacing="1"/>
      <w:jc w:val="both"/>
      <w:textAlignment w:val="center"/>
    </w:pPr>
    <w:rPr>
      <w:rFonts w:ascii="Calibri" w:hAnsi="Calibri" w:cs="Calibri"/>
    </w:rPr>
  </w:style>
  <w:style w:type="paragraph" w:customStyle="1" w:styleId="xl114">
    <w:name w:val="xl114"/>
    <w:basedOn w:val="Normal"/>
    <w:rsid w:val="004B684D"/>
    <w:pPr>
      <w:pBdr>
        <w:bottom w:val="single" w:sz="8" w:space="0" w:color="D9D9D9"/>
        <w:right w:val="single" w:sz="4" w:space="0" w:color="auto"/>
      </w:pBdr>
      <w:spacing w:before="100" w:beforeAutospacing="1" w:after="100" w:afterAutospacing="1"/>
      <w:textAlignment w:val="center"/>
    </w:pPr>
    <w:rPr>
      <w:rFonts w:ascii="Calibri" w:hAnsi="Calibri" w:cs="Calibri"/>
    </w:rPr>
  </w:style>
  <w:style w:type="paragraph" w:customStyle="1" w:styleId="xl115">
    <w:name w:val="xl115"/>
    <w:basedOn w:val="Normal"/>
    <w:rsid w:val="004B684D"/>
    <w:pPr>
      <w:spacing w:before="100" w:beforeAutospacing="1" w:after="100" w:afterAutospacing="1"/>
      <w:textAlignment w:val="top"/>
    </w:pPr>
    <w:rPr>
      <w:rFonts w:ascii="Calibri" w:hAnsi="Calibri" w:cs="Calibri"/>
    </w:rPr>
  </w:style>
  <w:style w:type="paragraph" w:customStyle="1" w:styleId="xl116">
    <w:name w:val="xl116"/>
    <w:basedOn w:val="Normal"/>
    <w:rsid w:val="004B684D"/>
    <w:pPr>
      <w:pBdr>
        <w:right w:val="single" w:sz="8" w:space="0" w:color="auto"/>
      </w:pBdr>
      <w:spacing w:before="100" w:beforeAutospacing="1" w:after="100" w:afterAutospacing="1"/>
      <w:textAlignment w:val="top"/>
    </w:pPr>
    <w:rPr>
      <w:rFonts w:ascii="Calibri" w:hAnsi="Calibri" w:cs="Calibri"/>
    </w:rPr>
  </w:style>
  <w:style w:type="paragraph" w:customStyle="1" w:styleId="xl117">
    <w:name w:val="xl117"/>
    <w:basedOn w:val="Normal"/>
    <w:rsid w:val="004B684D"/>
    <w:pPr>
      <w:spacing w:before="100" w:beforeAutospacing="1" w:after="100" w:afterAutospacing="1"/>
      <w:textAlignment w:val="top"/>
    </w:pPr>
    <w:rPr>
      <w:rFonts w:ascii="Calibri" w:hAnsi="Calibri" w:cs="Calibri"/>
    </w:rPr>
  </w:style>
  <w:style w:type="paragraph" w:customStyle="1" w:styleId="xl118">
    <w:name w:val="xl118"/>
    <w:basedOn w:val="Normal"/>
    <w:rsid w:val="004B684D"/>
    <w:pPr>
      <w:pBdr>
        <w:right w:val="single" w:sz="8" w:space="0" w:color="auto"/>
      </w:pBdr>
      <w:spacing w:before="100" w:beforeAutospacing="1" w:after="100" w:afterAutospacing="1"/>
    </w:pPr>
    <w:rPr>
      <w:rFonts w:ascii="Calibri" w:hAnsi="Calibri" w:cs="Calibri"/>
    </w:rPr>
  </w:style>
  <w:style w:type="paragraph" w:customStyle="1" w:styleId="xl119">
    <w:name w:val="xl119"/>
    <w:basedOn w:val="Normal"/>
    <w:rsid w:val="004B684D"/>
    <w:pPr>
      <w:pBdr>
        <w:bottom w:val="single" w:sz="8" w:space="0" w:color="D9D9D9"/>
        <w:right w:val="single" w:sz="4"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20">
    <w:name w:val="xl120"/>
    <w:basedOn w:val="Normal"/>
    <w:rsid w:val="004B684D"/>
    <w:pPr>
      <w:pBdr>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1">
    <w:name w:val="xl121"/>
    <w:basedOn w:val="Normal"/>
    <w:rsid w:val="004B684D"/>
    <w:pPr>
      <w:pBdr>
        <w:right w:val="single" w:sz="4" w:space="0" w:color="auto"/>
      </w:pBdr>
      <w:spacing w:before="100" w:beforeAutospacing="1" w:after="100" w:afterAutospacing="1"/>
    </w:pPr>
    <w:rPr>
      <w:rFonts w:ascii="Times New Roman" w:hAnsi="Times New Roman"/>
      <w:sz w:val="24"/>
    </w:rPr>
  </w:style>
  <w:style w:type="paragraph" w:customStyle="1" w:styleId="xl122">
    <w:name w:val="xl122"/>
    <w:basedOn w:val="Normal"/>
    <w:rsid w:val="004B684D"/>
    <w:pPr>
      <w:pBdr>
        <w:right w:val="single" w:sz="4" w:space="0" w:color="auto"/>
      </w:pBdr>
      <w:spacing w:before="100" w:beforeAutospacing="1" w:after="100" w:afterAutospacing="1"/>
      <w:textAlignment w:val="center"/>
    </w:pPr>
    <w:rPr>
      <w:rFonts w:ascii="Calibri" w:hAnsi="Calibri" w:cs="Calibri"/>
    </w:rPr>
  </w:style>
  <w:style w:type="paragraph" w:customStyle="1" w:styleId="xl123">
    <w:name w:val="xl123"/>
    <w:basedOn w:val="Normal"/>
    <w:rsid w:val="004B684D"/>
    <w:pPr>
      <w:spacing w:before="100" w:beforeAutospacing="1" w:after="100" w:afterAutospacing="1"/>
      <w:jc w:val="center"/>
      <w:textAlignment w:val="center"/>
    </w:pPr>
    <w:rPr>
      <w:rFonts w:ascii="Calibri" w:hAnsi="Calibri" w:cs="Calibri"/>
      <w:color w:val="47D359"/>
    </w:rPr>
  </w:style>
  <w:style w:type="paragraph" w:customStyle="1" w:styleId="xl124">
    <w:name w:val="xl124"/>
    <w:basedOn w:val="Normal"/>
    <w:rsid w:val="004B684D"/>
    <w:pPr>
      <w:spacing w:before="100" w:beforeAutospacing="1" w:after="100" w:afterAutospacing="1"/>
      <w:jc w:val="center"/>
    </w:pPr>
    <w:rPr>
      <w:rFonts w:ascii="Calibri" w:hAnsi="Calibri" w:cs="Calibri"/>
      <w:color w:val="47D359"/>
    </w:rPr>
  </w:style>
  <w:style w:type="paragraph" w:customStyle="1" w:styleId="xl125">
    <w:name w:val="xl125"/>
    <w:basedOn w:val="Normal"/>
    <w:rsid w:val="004B684D"/>
    <w:pPr>
      <w:spacing w:before="100" w:beforeAutospacing="1" w:after="100" w:afterAutospacing="1"/>
      <w:jc w:val="center"/>
    </w:pPr>
    <w:rPr>
      <w:rFonts w:ascii="Calibri" w:hAnsi="Calibri" w:cs="Calibri"/>
    </w:rPr>
  </w:style>
  <w:style w:type="paragraph" w:customStyle="1" w:styleId="xl126">
    <w:name w:val="xl126"/>
    <w:basedOn w:val="Normal"/>
    <w:rsid w:val="004B684D"/>
    <w:pPr>
      <w:spacing w:before="100" w:beforeAutospacing="1" w:after="100" w:afterAutospacing="1"/>
      <w:jc w:val="center"/>
    </w:pPr>
    <w:rPr>
      <w:rFonts w:ascii="Calibri" w:hAnsi="Calibri" w:cs="Calibri"/>
      <w:b/>
      <w:bCs/>
    </w:rPr>
  </w:style>
  <w:style w:type="paragraph" w:customStyle="1" w:styleId="xl127">
    <w:name w:val="xl127"/>
    <w:basedOn w:val="Normal"/>
    <w:rsid w:val="004B684D"/>
    <w:pPr>
      <w:spacing w:before="100" w:beforeAutospacing="1" w:after="100" w:afterAutospacing="1"/>
      <w:textAlignment w:val="top"/>
    </w:pPr>
    <w:rPr>
      <w:rFonts w:ascii="Calibri" w:hAnsi="Calibri" w:cs="Calibri"/>
    </w:rPr>
  </w:style>
  <w:style w:type="paragraph" w:customStyle="1" w:styleId="xl128">
    <w:name w:val="xl128"/>
    <w:basedOn w:val="Normal"/>
    <w:rsid w:val="004B684D"/>
    <w:pPr>
      <w:spacing w:before="100" w:beforeAutospacing="1" w:after="100" w:afterAutospacing="1"/>
    </w:pPr>
    <w:rPr>
      <w:rFonts w:ascii="Calibri" w:hAnsi="Calibri" w:cs="Calibri"/>
    </w:rPr>
  </w:style>
  <w:style w:type="paragraph" w:customStyle="1" w:styleId="xl129">
    <w:name w:val="xl129"/>
    <w:basedOn w:val="Normal"/>
    <w:rsid w:val="004B684D"/>
    <w:pPr>
      <w:pBdr>
        <w:left w:val="single" w:sz="8" w:space="0" w:color="auto"/>
      </w:pBdr>
      <w:spacing w:before="100" w:beforeAutospacing="1" w:after="100" w:afterAutospacing="1"/>
      <w:jc w:val="center"/>
    </w:pPr>
    <w:rPr>
      <w:rFonts w:ascii="Calibri" w:hAnsi="Calibri" w:cs="Calibri"/>
      <w:b/>
      <w:bCs/>
    </w:rPr>
  </w:style>
  <w:style w:type="paragraph" w:customStyle="1" w:styleId="xl130">
    <w:name w:val="xl130"/>
    <w:basedOn w:val="Normal"/>
    <w:rsid w:val="004B684D"/>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color w:val="FF0000"/>
    </w:rPr>
  </w:style>
  <w:style w:type="paragraph" w:customStyle="1" w:styleId="xl131">
    <w:name w:val="xl131"/>
    <w:basedOn w:val="Normal"/>
    <w:rsid w:val="004B684D"/>
    <w:pPr>
      <w:spacing w:before="100" w:beforeAutospacing="1" w:after="100" w:afterAutospacing="1"/>
      <w:textAlignment w:val="top"/>
    </w:pPr>
    <w:rPr>
      <w:rFonts w:ascii="Times New Roman" w:hAnsi="Times New Roman"/>
      <w:sz w:val="24"/>
    </w:rPr>
  </w:style>
  <w:style w:type="paragraph" w:customStyle="1" w:styleId="xl132">
    <w:name w:val="xl132"/>
    <w:basedOn w:val="Normal"/>
    <w:rsid w:val="004B684D"/>
    <w:pPr>
      <w:pBdr>
        <w:right w:val="single" w:sz="8" w:space="0" w:color="auto"/>
      </w:pBdr>
      <w:spacing w:before="100" w:beforeAutospacing="1" w:after="100" w:afterAutospacing="1"/>
      <w:jc w:val="center"/>
      <w:textAlignment w:val="center"/>
    </w:pPr>
    <w:rPr>
      <w:rFonts w:ascii="Calibri" w:hAnsi="Calibri" w:cs="Calibri"/>
      <w:color w:val="FF0000"/>
    </w:rPr>
  </w:style>
  <w:style w:type="paragraph" w:customStyle="1" w:styleId="xl133">
    <w:name w:val="xl133"/>
    <w:basedOn w:val="Normal"/>
    <w:rsid w:val="004B684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Calibri" w:hAnsi="Calibri" w:cs="Calibri"/>
      <w:color w:val="FF0000"/>
    </w:rPr>
  </w:style>
  <w:style w:type="paragraph" w:customStyle="1" w:styleId="xl134">
    <w:name w:val="xl134"/>
    <w:basedOn w:val="Normal"/>
    <w:rsid w:val="004B684D"/>
    <w:pPr>
      <w:pBdr>
        <w:top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35">
    <w:name w:val="xl135"/>
    <w:basedOn w:val="Normal"/>
    <w:rsid w:val="004B684D"/>
    <w:pPr>
      <w:spacing w:before="100" w:beforeAutospacing="1" w:after="100" w:afterAutospacing="1"/>
      <w:jc w:val="center"/>
      <w:textAlignment w:val="center"/>
    </w:pPr>
    <w:rPr>
      <w:rFonts w:ascii="Times New Roman" w:hAnsi="Times New Roman"/>
      <w:sz w:val="24"/>
    </w:rPr>
  </w:style>
  <w:style w:type="paragraph" w:customStyle="1" w:styleId="xl136">
    <w:name w:val="xl136"/>
    <w:basedOn w:val="Normal"/>
    <w:rsid w:val="004B684D"/>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hAnsi="Calibri" w:cs="Calibri"/>
      <w:b/>
      <w:bCs/>
      <w:sz w:val="24"/>
    </w:rPr>
  </w:style>
  <w:style w:type="paragraph" w:customStyle="1" w:styleId="xl137">
    <w:name w:val="xl137"/>
    <w:basedOn w:val="Normal"/>
    <w:rsid w:val="004B684D"/>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4"/>
    </w:rPr>
  </w:style>
  <w:style w:type="paragraph" w:customStyle="1" w:styleId="xl138">
    <w:name w:val="xl138"/>
    <w:basedOn w:val="Normal"/>
    <w:rsid w:val="004B684D"/>
    <w:pPr>
      <w:spacing w:before="100" w:beforeAutospacing="1" w:after="100" w:afterAutospacing="1"/>
    </w:pPr>
    <w:rPr>
      <w:rFonts w:ascii="Calibri" w:hAnsi="Calibri" w:cs="Calibri"/>
      <w:sz w:val="24"/>
    </w:rPr>
  </w:style>
  <w:style w:type="paragraph" w:customStyle="1" w:styleId="xl139">
    <w:name w:val="xl139"/>
    <w:basedOn w:val="Normal"/>
    <w:rsid w:val="004B684D"/>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sz w:val="24"/>
    </w:rPr>
  </w:style>
  <w:style w:type="paragraph" w:customStyle="1" w:styleId="xl140">
    <w:name w:val="xl140"/>
    <w:basedOn w:val="Normal"/>
    <w:rsid w:val="004B684D"/>
    <w:pPr>
      <w:spacing w:before="100" w:beforeAutospacing="1" w:after="100" w:afterAutospacing="1"/>
      <w:textAlignment w:val="top"/>
    </w:pPr>
    <w:rPr>
      <w:rFonts w:ascii="Calibri" w:hAnsi="Calibri" w:cs="Calibri"/>
      <w:color w:val="FF0000"/>
      <w:sz w:val="24"/>
    </w:rPr>
  </w:style>
  <w:style w:type="paragraph" w:customStyle="1" w:styleId="xl141">
    <w:name w:val="xl141"/>
    <w:basedOn w:val="Normal"/>
    <w:rsid w:val="004B684D"/>
    <w:pPr>
      <w:spacing w:before="100" w:beforeAutospacing="1" w:after="100" w:afterAutospacing="1"/>
      <w:jc w:val="center"/>
      <w:textAlignment w:val="center"/>
    </w:pPr>
    <w:rPr>
      <w:rFonts w:ascii="Calibri" w:hAnsi="Calibri" w:cs="Calibri"/>
      <w:sz w:val="24"/>
    </w:rPr>
  </w:style>
  <w:style w:type="paragraph" w:customStyle="1" w:styleId="xl142">
    <w:name w:val="xl142"/>
    <w:basedOn w:val="Normal"/>
    <w:rsid w:val="004B684D"/>
    <w:pPr>
      <w:spacing w:before="100" w:beforeAutospacing="1" w:after="100" w:afterAutospacing="1"/>
      <w:jc w:val="center"/>
      <w:textAlignment w:val="center"/>
    </w:pPr>
    <w:rPr>
      <w:rFonts w:ascii="Calibri" w:hAnsi="Calibri" w:cs="Calibri"/>
      <w:color w:val="FF0000"/>
      <w:sz w:val="24"/>
    </w:rPr>
  </w:style>
  <w:style w:type="paragraph" w:customStyle="1" w:styleId="xl143">
    <w:name w:val="xl143"/>
    <w:basedOn w:val="Normal"/>
    <w:rsid w:val="004B684D"/>
    <w:pPr>
      <w:spacing w:before="100" w:beforeAutospacing="1" w:after="100" w:afterAutospacing="1"/>
      <w:textAlignment w:val="top"/>
    </w:pPr>
    <w:rPr>
      <w:rFonts w:ascii="Calibri" w:hAnsi="Calibri" w:cs="Calibri"/>
      <w:sz w:val="24"/>
    </w:rPr>
  </w:style>
  <w:style w:type="paragraph" w:customStyle="1" w:styleId="xl144">
    <w:name w:val="xl144"/>
    <w:basedOn w:val="Normal"/>
    <w:rsid w:val="004B684D"/>
    <w:pPr>
      <w:spacing w:before="100" w:beforeAutospacing="1" w:after="100" w:afterAutospacing="1"/>
    </w:pPr>
    <w:rPr>
      <w:rFonts w:ascii="Calibri" w:hAnsi="Calibri" w:cs="Calibri"/>
      <w:sz w:val="24"/>
    </w:rPr>
  </w:style>
  <w:style w:type="paragraph" w:customStyle="1" w:styleId="xl145">
    <w:name w:val="xl145"/>
    <w:basedOn w:val="Normal"/>
    <w:rsid w:val="004B684D"/>
    <w:pPr>
      <w:spacing w:before="100" w:beforeAutospacing="1" w:after="100" w:afterAutospacing="1"/>
      <w:jc w:val="center"/>
      <w:textAlignment w:val="center"/>
    </w:pPr>
    <w:rPr>
      <w:rFonts w:ascii="Calibri" w:hAnsi="Calibri" w:cs="Calibri"/>
      <w:color w:val="47D359"/>
      <w:sz w:val="24"/>
    </w:rPr>
  </w:style>
  <w:style w:type="paragraph" w:customStyle="1" w:styleId="xl146">
    <w:name w:val="xl146"/>
    <w:basedOn w:val="Normal"/>
    <w:rsid w:val="004B684D"/>
    <w:pPr>
      <w:spacing w:before="100" w:beforeAutospacing="1" w:after="100" w:afterAutospacing="1"/>
      <w:jc w:val="center"/>
      <w:textAlignment w:val="center"/>
    </w:pPr>
    <w:rPr>
      <w:rFonts w:ascii="Calibri" w:hAnsi="Calibri" w:cs="Calibri"/>
      <w:color w:val="47D359"/>
      <w:sz w:val="24"/>
    </w:rPr>
  </w:style>
  <w:style w:type="paragraph" w:customStyle="1" w:styleId="xl147">
    <w:name w:val="xl147"/>
    <w:basedOn w:val="Normal"/>
    <w:rsid w:val="004B684D"/>
    <w:pPr>
      <w:spacing w:before="100" w:beforeAutospacing="1" w:after="100" w:afterAutospacing="1"/>
    </w:pPr>
    <w:rPr>
      <w:rFonts w:ascii="Calibri" w:hAnsi="Calibri" w:cs="Calibri"/>
      <w:color w:val="47D359"/>
      <w:sz w:val="24"/>
    </w:rPr>
  </w:style>
  <w:style w:type="paragraph" w:customStyle="1" w:styleId="xl148">
    <w:name w:val="xl148"/>
    <w:basedOn w:val="Normal"/>
    <w:rsid w:val="004B684D"/>
    <w:pPr>
      <w:spacing w:before="100" w:beforeAutospacing="1" w:after="100" w:afterAutospacing="1"/>
      <w:jc w:val="center"/>
      <w:textAlignment w:val="center"/>
    </w:pPr>
    <w:rPr>
      <w:rFonts w:ascii="Times New Roman" w:hAnsi="Times New Roman"/>
      <w:color w:val="47D359"/>
      <w:sz w:val="24"/>
    </w:rPr>
  </w:style>
  <w:style w:type="paragraph" w:customStyle="1" w:styleId="xl149">
    <w:name w:val="xl149"/>
    <w:basedOn w:val="Normal"/>
    <w:rsid w:val="004B684D"/>
    <w:pPr>
      <w:spacing w:before="100" w:beforeAutospacing="1" w:after="100" w:afterAutospacing="1"/>
    </w:pPr>
    <w:rPr>
      <w:rFonts w:ascii="Calibri" w:hAnsi="Calibri" w:cs="Calibri"/>
      <w:color w:val="FF0000"/>
      <w:sz w:val="24"/>
    </w:rPr>
  </w:style>
  <w:style w:type="paragraph" w:customStyle="1" w:styleId="xl150">
    <w:name w:val="xl150"/>
    <w:basedOn w:val="Normal"/>
    <w:rsid w:val="004B684D"/>
    <w:pPr>
      <w:pBdr>
        <w:top w:val="single" w:sz="4" w:space="0" w:color="auto"/>
        <w:right w:val="single" w:sz="8" w:space="0" w:color="auto"/>
      </w:pBdr>
      <w:spacing w:before="100" w:beforeAutospacing="1" w:after="100" w:afterAutospacing="1"/>
      <w:jc w:val="center"/>
      <w:textAlignment w:val="top"/>
    </w:pPr>
    <w:rPr>
      <w:rFonts w:ascii="Calibri" w:hAnsi="Calibri" w:cs="Calibri"/>
    </w:rPr>
  </w:style>
  <w:style w:type="paragraph" w:customStyle="1" w:styleId="xl151">
    <w:name w:val="xl151"/>
    <w:basedOn w:val="Normal"/>
    <w:rsid w:val="004B684D"/>
    <w:pPr>
      <w:pBdr>
        <w:right w:val="single" w:sz="8" w:space="0" w:color="auto"/>
      </w:pBdr>
      <w:spacing w:before="100" w:beforeAutospacing="1" w:after="100" w:afterAutospacing="1"/>
      <w:jc w:val="center"/>
      <w:textAlignment w:val="top"/>
    </w:pPr>
    <w:rPr>
      <w:rFonts w:ascii="Calibri" w:hAnsi="Calibri" w:cs="Calibri"/>
    </w:rPr>
  </w:style>
  <w:style w:type="paragraph" w:customStyle="1" w:styleId="xl152">
    <w:name w:val="xl152"/>
    <w:basedOn w:val="Normal"/>
    <w:rsid w:val="004B684D"/>
    <w:pPr>
      <w:pBdr>
        <w:bottom w:val="single" w:sz="4" w:space="0" w:color="auto"/>
        <w:right w:val="single" w:sz="8" w:space="0" w:color="auto"/>
      </w:pBdr>
      <w:spacing w:before="100" w:beforeAutospacing="1" w:after="100" w:afterAutospacing="1"/>
      <w:jc w:val="center"/>
      <w:textAlignment w:val="top"/>
    </w:pPr>
    <w:rPr>
      <w:rFonts w:ascii="Calibri" w:hAnsi="Calibri" w:cs="Calibri"/>
    </w:rPr>
  </w:style>
  <w:style w:type="paragraph" w:customStyle="1" w:styleId="xl153">
    <w:name w:val="xl153"/>
    <w:basedOn w:val="Normal"/>
    <w:rsid w:val="004B684D"/>
    <w:pPr>
      <w:pBdr>
        <w:top w:val="single" w:sz="8" w:space="0" w:color="D9D9D9"/>
        <w:bottom w:val="single" w:sz="8" w:space="0" w:color="D9D9D9"/>
      </w:pBdr>
      <w:spacing w:before="100" w:beforeAutospacing="1" w:after="100" w:afterAutospacing="1"/>
      <w:textAlignment w:val="center"/>
    </w:pPr>
    <w:rPr>
      <w:rFonts w:ascii="Calibri" w:hAnsi="Calibri" w:cs="Calibri"/>
      <w:b/>
      <w:bCs/>
    </w:rPr>
  </w:style>
  <w:style w:type="paragraph" w:customStyle="1" w:styleId="xl154">
    <w:name w:val="xl154"/>
    <w:basedOn w:val="Normal"/>
    <w:rsid w:val="004B684D"/>
    <w:pPr>
      <w:pBdr>
        <w:top w:val="single" w:sz="8" w:space="0" w:color="auto"/>
      </w:pBdr>
      <w:spacing w:before="100" w:beforeAutospacing="1" w:after="100" w:afterAutospacing="1"/>
      <w:jc w:val="center"/>
      <w:textAlignment w:val="center"/>
    </w:pPr>
    <w:rPr>
      <w:rFonts w:ascii="Calibri" w:hAnsi="Calibri" w:cs="Calibri"/>
      <w:color w:val="FF0000"/>
    </w:rPr>
  </w:style>
  <w:style w:type="paragraph" w:customStyle="1" w:styleId="a-TableFOOTER">
    <w:name w:val="a-TableFOOTER"/>
    <w:basedOn w:val="TableFigureFooter"/>
    <w:qFormat/>
    <w:rsid w:val="002239CE"/>
    <w:pPr>
      <w:spacing w:after="360"/>
    </w:pPr>
    <w:rPr>
      <w:rFonts w:eastAsia="Calibri"/>
      <w:szCs w:val="20"/>
      <w:lang w:eastAsia="en-AU"/>
    </w:rPr>
  </w:style>
  <w:style w:type="paragraph" w:styleId="EndnoteText">
    <w:name w:val="endnote text"/>
    <w:basedOn w:val="Normal"/>
    <w:link w:val="EndnoteTextChar"/>
    <w:uiPriority w:val="99"/>
    <w:semiHidden/>
    <w:unhideWhenUsed/>
    <w:rsid w:val="00030F77"/>
    <w:pPr>
      <w:spacing w:before="0" w:after="0"/>
    </w:pPr>
    <w:rPr>
      <w:sz w:val="20"/>
      <w:szCs w:val="20"/>
    </w:rPr>
  </w:style>
  <w:style w:type="character" w:customStyle="1" w:styleId="EndnoteTextChar">
    <w:name w:val="Endnote Text Char"/>
    <w:basedOn w:val="DefaultParagraphFont"/>
    <w:link w:val="EndnoteText"/>
    <w:uiPriority w:val="99"/>
    <w:semiHidden/>
    <w:rsid w:val="00030F77"/>
    <w:rPr>
      <w:rFonts w:ascii="Franklin Gothic Book" w:eastAsia="Times New Roman" w:hAnsi="Franklin Gothic Book" w:cs="Times New Roman"/>
      <w:sz w:val="20"/>
      <w:szCs w:val="20"/>
      <w:lang w:eastAsia="en-GB"/>
    </w:rPr>
  </w:style>
  <w:style w:type="character" w:styleId="EndnoteReference">
    <w:name w:val="endnote reference"/>
    <w:basedOn w:val="DefaultParagraphFont"/>
    <w:uiPriority w:val="99"/>
    <w:semiHidden/>
    <w:unhideWhenUsed/>
    <w:rsid w:val="00030F77"/>
    <w:rPr>
      <w:vertAlign w:val="superscript"/>
    </w:rPr>
  </w:style>
  <w:style w:type="paragraph" w:customStyle="1" w:styleId="paragraph">
    <w:name w:val="paragraph"/>
    <w:basedOn w:val="Normal"/>
    <w:rsid w:val="00C21C01"/>
    <w:pPr>
      <w:spacing w:before="100" w:beforeAutospacing="1" w:after="100" w:afterAutospacing="1"/>
    </w:pPr>
    <w:rPr>
      <w:rFonts w:ascii="Times New Roman" w:hAnsi="Times New Roman"/>
      <w:sz w:val="24"/>
      <w:lang w:eastAsia="en-AU"/>
    </w:rPr>
  </w:style>
  <w:style w:type="character" w:customStyle="1" w:styleId="eop">
    <w:name w:val="eop"/>
    <w:basedOn w:val="DefaultParagraphFont"/>
    <w:rsid w:val="00C21C01"/>
  </w:style>
  <w:style w:type="paragraph" w:customStyle="1" w:styleId="TableBullet">
    <w:name w:val="TableBullet"/>
    <w:basedOn w:val="TableText1"/>
    <w:rsid w:val="00BE1BA2"/>
    <w:pPr>
      <w:numPr>
        <w:numId w:val="25"/>
      </w:numPr>
      <w:tabs>
        <w:tab w:val="clear" w:pos="360"/>
        <w:tab w:val="left" w:pos="216"/>
      </w:tabs>
      <w:spacing w:before="60" w:after="60"/>
      <w:ind w:left="216" w:hanging="216"/>
    </w:pPr>
    <w:rPr>
      <w:rFonts w:ascii="Franklin Gothic Book" w:hAnsi="Franklin Gothic Book" w:cs="Times New Roman"/>
      <w:color w:val="000000"/>
      <w:sz w:val="21"/>
      <w:szCs w:val="21"/>
    </w:rPr>
  </w:style>
  <w:style w:type="paragraph" w:customStyle="1" w:styleId="BulletBeforeDash">
    <w:name w:val="BulletBeforeDash"/>
    <w:basedOn w:val="Normal"/>
    <w:rsid w:val="00BE1BA2"/>
    <w:pPr>
      <w:numPr>
        <w:numId w:val="26"/>
      </w:numPr>
      <w:spacing w:before="0" w:after="0"/>
    </w:pPr>
    <w:rPr>
      <w:color w:val="000000"/>
      <w:szCs w:val="20"/>
      <w:lang w:eastAsia="en-AU"/>
    </w:rPr>
  </w:style>
  <w:style w:type="paragraph" w:customStyle="1" w:styleId="BulletLast">
    <w:name w:val="BulletLast"/>
    <w:basedOn w:val="Bullet"/>
    <w:qFormat/>
    <w:rsid w:val="006B4649"/>
    <w:pPr>
      <w:numPr>
        <w:numId w:val="0"/>
      </w:numPr>
      <w:spacing w:before="0" w:after="240"/>
      <w:ind w:left="720" w:hanging="720"/>
    </w:pPr>
    <w:rPr>
      <w:rFonts w:ascii="Franklin Gothic Book" w:hAnsi="Franklin Gothic Book"/>
      <w:color w:val="000000"/>
      <w:szCs w:val="20"/>
      <w:lang w:eastAsia="en-AU"/>
    </w:rPr>
  </w:style>
  <w:style w:type="paragraph" w:customStyle="1" w:styleId="NormalBeforeBullet0">
    <w:name w:val="NormalBeforeBullet"/>
    <w:basedOn w:val="Normal"/>
    <w:qFormat/>
    <w:rsid w:val="00BE1BA2"/>
    <w:pPr>
      <w:keepNext/>
      <w:spacing w:before="0" w:after="120"/>
    </w:pPr>
    <w:rPr>
      <w:color w:val="000000"/>
      <w:szCs w:val="20"/>
      <w:lang w:eastAsia="en-AU"/>
    </w:rPr>
  </w:style>
  <w:style w:type="paragraph" w:customStyle="1" w:styleId="BoxName0">
    <w:name w:val="BoxName"/>
    <w:basedOn w:val="Normal"/>
    <w:rsid w:val="00BE1BA2"/>
    <w:pPr>
      <w:keepNext/>
      <w:pBdr>
        <w:top w:val="single" w:sz="4" w:space="4" w:color="000000"/>
        <w:left w:val="single" w:sz="4" w:space="4" w:color="000000"/>
        <w:bottom w:val="single" w:sz="4" w:space="4" w:color="000000"/>
        <w:right w:val="single" w:sz="4" w:space="4" w:color="000000"/>
      </w:pBdr>
      <w:spacing w:before="240" w:after="240"/>
      <w:ind w:left="1077" w:hanging="1077"/>
    </w:pPr>
    <w:rPr>
      <w:b/>
      <w:bCs/>
      <w:color w:val="000000"/>
      <w:sz w:val="24"/>
      <w:szCs w:val="20"/>
      <w:lang w:eastAsia="en-AU"/>
    </w:rPr>
  </w:style>
  <w:style w:type="paragraph" w:customStyle="1" w:styleId="BoxHeading">
    <w:name w:val="BoxHeading"/>
    <w:basedOn w:val="Normal"/>
    <w:rsid w:val="00BE1BA2"/>
    <w:pPr>
      <w:keepNext/>
      <w:pBdr>
        <w:top w:val="single" w:sz="4" w:space="4" w:color="000000"/>
        <w:left w:val="single" w:sz="4" w:space="4" w:color="000000"/>
        <w:bottom w:val="single" w:sz="4" w:space="4" w:color="000000"/>
        <w:right w:val="single" w:sz="4" w:space="4" w:color="000000"/>
      </w:pBdr>
      <w:spacing w:after="60"/>
    </w:pPr>
    <w:rPr>
      <w:b/>
      <w:bCs/>
      <w:color w:val="000000"/>
      <w:szCs w:val="20"/>
      <w:lang w:eastAsia="en-AU"/>
    </w:rPr>
  </w:style>
  <w:style w:type="paragraph" w:customStyle="1" w:styleId="BoxBullet">
    <w:name w:val="BoxBullet"/>
    <w:basedOn w:val="Normal"/>
    <w:rsid w:val="00BE1BA2"/>
    <w:pPr>
      <w:numPr>
        <w:numId w:val="27"/>
      </w:numPr>
      <w:pBdr>
        <w:top w:val="single" w:sz="4" w:space="4" w:color="000000"/>
        <w:left w:val="single" w:sz="4" w:space="4" w:color="000000"/>
        <w:bottom w:val="single" w:sz="4" w:space="4" w:color="000000"/>
        <w:right w:val="single" w:sz="4" w:space="4" w:color="000000"/>
      </w:pBdr>
      <w:spacing w:before="0" w:after="120"/>
    </w:pPr>
    <w:rPr>
      <w:color w:val="000000"/>
      <w:szCs w:val="20"/>
      <w:lang w:eastAsia="en-AU"/>
    </w:rPr>
  </w:style>
  <w:style w:type="paragraph" w:customStyle="1" w:styleId="Char1">
    <w:name w:val="Char1"/>
    <w:basedOn w:val="Normal"/>
    <w:rsid w:val="0067758F"/>
    <w:pPr>
      <w:spacing w:before="0" w:after="0"/>
    </w:pPr>
    <w:rPr>
      <w:rFonts w:ascii="Arial" w:hAnsi="Arial" w:cs="Arial"/>
      <w:szCs w:val="22"/>
      <w:lang w:eastAsia="en-US"/>
    </w:rPr>
  </w:style>
  <w:style w:type="character" w:customStyle="1" w:styleId="Heading7Char">
    <w:name w:val="Heading 7 Char"/>
    <w:basedOn w:val="DefaultParagraphFont"/>
    <w:link w:val="Heading7"/>
    <w:uiPriority w:val="9"/>
    <w:semiHidden/>
    <w:rsid w:val="008430FC"/>
    <w:rPr>
      <w:rFonts w:ascii="Aptos" w:eastAsia="Times New Roman" w:hAnsi="Aptos" w:cs="Times New Roman"/>
      <w:color w:val="595959"/>
      <w:kern w:val="2"/>
    </w:rPr>
  </w:style>
  <w:style w:type="character" w:customStyle="1" w:styleId="Heading8Char">
    <w:name w:val="Heading 8 Char"/>
    <w:basedOn w:val="DefaultParagraphFont"/>
    <w:link w:val="Heading8"/>
    <w:uiPriority w:val="9"/>
    <w:semiHidden/>
    <w:rsid w:val="008430FC"/>
    <w:rPr>
      <w:rFonts w:ascii="Aptos" w:eastAsia="Times New Roman" w:hAnsi="Aptos" w:cs="Times New Roman"/>
      <w:i/>
      <w:iCs/>
      <w:color w:val="272727"/>
      <w:kern w:val="2"/>
    </w:rPr>
  </w:style>
  <w:style w:type="character" w:customStyle="1" w:styleId="Heading9Char">
    <w:name w:val="Heading 9 Char"/>
    <w:basedOn w:val="DefaultParagraphFont"/>
    <w:link w:val="Heading9"/>
    <w:uiPriority w:val="9"/>
    <w:semiHidden/>
    <w:rsid w:val="008430FC"/>
    <w:rPr>
      <w:rFonts w:ascii="Aptos" w:eastAsia="Times New Roman" w:hAnsi="Aptos" w:cs="Times New Roman"/>
      <w:color w:val="272727"/>
      <w:kern w:val="2"/>
    </w:rPr>
  </w:style>
  <w:style w:type="paragraph" w:styleId="Quote">
    <w:name w:val="Quote"/>
    <w:basedOn w:val="Normal"/>
    <w:next w:val="Normal"/>
    <w:link w:val="QuoteChar"/>
    <w:uiPriority w:val="29"/>
    <w:qFormat/>
    <w:rsid w:val="008430FC"/>
    <w:pPr>
      <w:spacing w:before="160" w:after="160" w:line="259" w:lineRule="auto"/>
      <w:jc w:val="center"/>
    </w:pPr>
    <w:rPr>
      <w:rFonts w:ascii="Aptos" w:eastAsia="Aptos" w:hAnsi="Aptos"/>
      <w:i/>
      <w:iCs/>
      <w:color w:val="404040"/>
      <w:kern w:val="2"/>
      <w:szCs w:val="22"/>
      <w:lang w:eastAsia="en-US"/>
    </w:rPr>
  </w:style>
  <w:style w:type="character" w:customStyle="1" w:styleId="QuoteChar">
    <w:name w:val="Quote Char"/>
    <w:basedOn w:val="DefaultParagraphFont"/>
    <w:link w:val="Quote"/>
    <w:uiPriority w:val="29"/>
    <w:rsid w:val="008430FC"/>
    <w:rPr>
      <w:rFonts w:ascii="Aptos" w:eastAsia="Aptos" w:hAnsi="Aptos" w:cs="Times New Roman"/>
      <w:i/>
      <w:iCs/>
      <w:color w:val="404040"/>
      <w:kern w:val="2"/>
    </w:rPr>
  </w:style>
  <w:style w:type="character" w:styleId="IntenseEmphasis">
    <w:name w:val="Intense Emphasis"/>
    <w:uiPriority w:val="21"/>
    <w:qFormat/>
    <w:rsid w:val="008430FC"/>
    <w:rPr>
      <w:i/>
      <w:iCs/>
      <w:color w:val="0F4761"/>
    </w:rPr>
  </w:style>
  <w:style w:type="paragraph" w:styleId="IntenseQuote">
    <w:name w:val="Intense Quote"/>
    <w:basedOn w:val="Normal"/>
    <w:next w:val="Normal"/>
    <w:link w:val="IntenseQuoteChar"/>
    <w:uiPriority w:val="30"/>
    <w:qFormat/>
    <w:rsid w:val="008430FC"/>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Cs w:val="22"/>
      <w:lang w:eastAsia="en-US"/>
    </w:rPr>
  </w:style>
  <w:style w:type="character" w:customStyle="1" w:styleId="IntenseQuoteChar">
    <w:name w:val="Intense Quote Char"/>
    <w:basedOn w:val="DefaultParagraphFont"/>
    <w:link w:val="IntenseQuote"/>
    <w:uiPriority w:val="30"/>
    <w:rsid w:val="008430FC"/>
    <w:rPr>
      <w:rFonts w:ascii="Aptos" w:eastAsia="Aptos" w:hAnsi="Aptos" w:cs="Times New Roman"/>
      <w:i/>
      <w:iCs/>
      <w:color w:val="0F4761"/>
      <w:kern w:val="2"/>
    </w:rPr>
  </w:style>
  <w:style w:type="character" w:styleId="IntenseReference">
    <w:name w:val="Intense Reference"/>
    <w:uiPriority w:val="32"/>
    <w:qFormat/>
    <w:rsid w:val="008430FC"/>
    <w:rPr>
      <w:b/>
      <w:bCs/>
      <w:smallCaps/>
      <w:color w:val="0F4761"/>
      <w:spacing w:val="5"/>
    </w:rPr>
  </w:style>
  <w:style w:type="paragraph" w:customStyle="1" w:styleId="InstructionalText0">
    <w:name w:val="Instructional Text"/>
    <w:basedOn w:val="MSACESParagraph"/>
    <w:link w:val="InstructionalTextChar0"/>
    <w:uiPriority w:val="3"/>
    <w:qFormat/>
    <w:rsid w:val="00476193"/>
    <w:pPr>
      <w:jc w:val="both"/>
    </w:pPr>
    <w:rPr>
      <w:rFonts w:asciiTheme="minorHAnsi" w:eastAsia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476193"/>
    <w:rPr>
      <w:rFonts w:eastAsiaTheme="minorHAnsi" w:cstheme="minorHAnsi"/>
      <w:color w:val="3366FF"/>
      <w:sz w:val="24"/>
    </w:rPr>
  </w:style>
  <w:style w:type="paragraph" w:styleId="BodyText">
    <w:name w:val="Body Text"/>
    <w:basedOn w:val="Normal"/>
    <w:link w:val="BodyTextChar"/>
    <w:uiPriority w:val="4"/>
    <w:unhideWhenUsed/>
    <w:rsid w:val="00476193"/>
    <w:pPr>
      <w:spacing w:after="120"/>
      <w:jc w:val="both"/>
    </w:pPr>
    <w:rPr>
      <w:rFonts w:asciiTheme="minorHAnsi" w:eastAsiaTheme="minorHAnsi" w:hAnsiTheme="minorHAnsi" w:cstheme="minorBidi"/>
      <w:sz w:val="24"/>
      <w:szCs w:val="22"/>
      <w:lang w:eastAsia="en-US"/>
    </w:rPr>
  </w:style>
  <w:style w:type="character" w:customStyle="1" w:styleId="BodyTextChar">
    <w:name w:val="Body Text Char"/>
    <w:basedOn w:val="DefaultParagraphFont"/>
    <w:link w:val="BodyText"/>
    <w:uiPriority w:val="4"/>
    <w:rsid w:val="00476193"/>
    <w:rPr>
      <w:rFonts w:eastAsiaTheme="minorHAnsi"/>
      <w:sz w:val="24"/>
    </w:rPr>
  </w:style>
  <w:style w:type="character" w:customStyle="1" w:styleId="UnresolvedMention3">
    <w:name w:val="Unresolved Mention3"/>
    <w:basedOn w:val="DefaultParagraphFont"/>
    <w:uiPriority w:val="99"/>
    <w:unhideWhenUsed/>
    <w:rsid w:val="00AC4BEC"/>
    <w:rPr>
      <w:color w:val="605E5C"/>
      <w:shd w:val="clear" w:color="auto" w:fill="E1DFDD"/>
    </w:rPr>
  </w:style>
  <w:style w:type="character" w:customStyle="1" w:styleId="Mention1">
    <w:name w:val="Mention1"/>
    <w:basedOn w:val="DefaultParagraphFont"/>
    <w:uiPriority w:val="99"/>
    <w:unhideWhenUsed/>
    <w:rsid w:val="00AC4BEC"/>
    <w:rPr>
      <w:color w:val="2B579A"/>
      <w:shd w:val="clear" w:color="auto" w:fill="E1DFDD"/>
    </w:rPr>
  </w:style>
  <w:style w:type="character" w:customStyle="1" w:styleId="id-label">
    <w:name w:val="id-label"/>
    <w:basedOn w:val="DefaultParagraphFont"/>
    <w:rsid w:val="00AC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789">
      <w:bodyDiv w:val="1"/>
      <w:marLeft w:val="0"/>
      <w:marRight w:val="0"/>
      <w:marTop w:val="0"/>
      <w:marBottom w:val="0"/>
      <w:divBdr>
        <w:top w:val="none" w:sz="0" w:space="0" w:color="auto"/>
        <w:left w:val="none" w:sz="0" w:space="0" w:color="auto"/>
        <w:bottom w:val="none" w:sz="0" w:space="0" w:color="auto"/>
        <w:right w:val="none" w:sz="0" w:space="0" w:color="auto"/>
      </w:divBdr>
    </w:div>
    <w:div w:id="5912347">
      <w:bodyDiv w:val="1"/>
      <w:marLeft w:val="0"/>
      <w:marRight w:val="0"/>
      <w:marTop w:val="0"/>
      <w:marBottom w:val="0"/>
      <w:divBdr>
        <w:top w:val="none" w:sz="0" w:space="0" w:color="auto"/>
        <w:left w:val="none" w:sz="0" w:space="0" w:color="auto"/>
        <w:bottom w:val="none" w:sz="0" w:space="0" w:color="auto"/>
        <w:right w:val="none" w:sz="0" w:space="0" w:color="auto"/>
      </w:divBdr>
      <w:divsChild>
        <w:div w:id="278882808">
          <w:marLeft w:val="0"/>
          <w:marRight w:val="0"/>
          <w:marTop w:val="0"/>
          <w:marBottom w:val="0"/>
          <w:divBdr>
            <w:top w:val="single" w:sz="2" w:space="0" w:color="auto"/>
            <w:left w:val="single" w:sz="2" w:space="0" w:color="auto"/>
            <w:bottom w:val="single" w:sz="2" w:space="0" w:color="auto"/>
            <w:right w:val="single" w:sz="2" w:space="0" w:color="auto"/>
          </w:divBdr>
        </w:div>
        <w:div w:id="339964179">
          <w:marLeft w:val="0"/>
          <w:marRight w:val="0"/>
          <w:marTop w:val="0"/>
          <w:marBottom w:val="0"/>
          <w:divBdr>
            <w:top w:val="single" w:sz="2" w:space="5" w:color="auto"/>
            <w:left w:val="single" w:sz="2" w:space="0" w:color="auto"/>
            <w:bottom w:val="single" w:sz="2" w:space="5" w:color="auto"/>
            <w:right w:val="single" w:sz="2" w:space="0" w:color="auto"/>
          </w:divBdr>
        </w:div>
      </w:divsChild>
    </w:div>
    <w:div w:id="8027285">
      <w:bodyDiv w:val="1"/>
      <w:marLeft w:val="0"/>
      <w:marRight w:val="0"/>
      <w:marTop w:val="0"/>
      <w:marBottom w:val="0"/>
      <w:divBdr>
        <w:top w:val="none" w:sz="0" w:space="0" w:color="auto"/>
        <w:left w:val="none" w:sz="0" w:space="0" w:color="auto"/>
        <w:bottom w:val="none" w:sz="0" w:space="0" w:color="auto"/>
        <w:right w:val="none" w:sz="0" w:space="0" w:color="auto"/>
      </w:divBdr>
      <w:divsChild>
        <w:div w:id="8676983">
          <w:marLeft w:val="0"/>
          <w:marRight w:val="0"/>
          <w:marTop w:val="0"/>
          <w:marBottom w:val="0"/>
          <w:divBdr>
            <w:top w:val="none" w:sz="0" w:space="0" w:color="auto"/>
            <w:left w:val="none" w:sz="0" w:space="0" w:color="auto"/>
            <w:bottom w:val="none" w:sz="0" w:space="0" w:color="auto"/>
            <w:right w:val="none" w:sz="0" w:space="0" w:color="auto"/>
          </w:divBdr>
          <w:divsChild>
            <w:div w:id="541674074">
              <w:marLeft w:val="0"/>
              <w:marRight w:val="0"/>
              <w:marTop w:val="0"/>
              <w:marBottom w:val="0"/>
              <w:divBdr>
                <w:top w:val="none" w:sz="0" w:space="0" w:color="auto"/>
                <w:left w:val="none" w:sz="0" w:space="0" w:color="auto"/>
                <w:bottom w:val="none" w:sz="0" w:space="0" w:color="auto"/>
                <w:right w:val="none" w:sz="0" w:space="0" w:color="auto"/>
              </w:divBdr>
              <w:divsChild>
                <w:div w:id="21276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180">
      <w:bodyDiv w:val="1"/>
      <w:marLeft w:val="0"/>
      <w:marRight w:val="0"/>
      <w:marTop w:val="0"/>
      <w:marBottom w:val="0"/>
      <w:divBdr>
        <w:top w:val="none" w:sz="0" w:space="0" w:color="auto"/>
        <w:left w:val="none" w:sz="0" w:space="0" w:color="auto"/>
        <w:bottom w:val="none" w:sz="0" w:space="0" w:color="auto"/>
        <w:right w:val="none" w:sz="0" w:space="0" w:color="auto"/>
      </w:divBdr>
    </w:div>
    <w:div w:id="15809074">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9693958">
      <w:bodyDiv w:val="1"/>
      <w:marLeft w:val="0"/>
      <w:marRight w:val="0"/>
      <w:marTop w:val="0"/>
      <w:marBottom w:val="0"/>
      <w:divBdr>
        <w:top w:val="none" w:sz="0" w:space="0" w:color="auto"/>
        <w:left w:val="none" w:sz="0" w:space="0" w:color="auto"/>
        <w:bottom w:val="none" w:sz="0" w:space="0" w:color="auto"/>
        <w:right w:val="none" w:sz="0" w:space="0" w:color="auto"/>
      </w:divBdr>
    </w:div>
    <w:div w:id="33431282">
      <w:bodyDiv w:val="1"/>
      <w:marLeft w:val="0"/>
      <w:marRight w:val="0"/>
      <w:marTop w:val="0"/>
      <w:marBottom w:val="0"/>
      <w:divBdr>
        <w:top w:val="none" w:sz="0" w:space="0" w:color="auto"/>
        <w:left w:val="none" w:sz="0" w:space="0" w:color="auto"/>
        <w:bottom w:val="none" w:sz="0" w:space="0" w:color="auto"/>
        <w:right w:val="none" w:sz="0" w:space="0" w:color="auto"/>
      </w:divBdr>
    </w:div>
    <w:div w:id="34307365">
      <w:bodyDiv w:val="1"/>
      <w:marLeft w:val="0"/>
      <w:marRight w:val="0"/>
      <w:marTop w:val="0"/>
      <w:marBottom w:val="0"/>
      <w:divBdr>
        <w:top w:val="none" w:sz="0" w:space="0" w:color="auto"/>
        <w:left w:val="none" w:sz="0" w:space="0" w:color="auto"/>
        <w:bottom w:val="none" w:sz="0" w:space="0" w:color="auto"/>
        <w:right w:val="none" w:sz="0" w:space="0" w:color="auto"/>
      </w:divBdr>
      <w:divsChild>
        <w:div w:id="1237863242">
          <w:marLeft w:val="0"/>
          <w:marRight w:val="0"/>
          <w:marTop w:val="0"/>
          <w:marBottom w:val="0"/>
          <w:divBdr>
            <w:top w:val="none" w:sz="0" w:space="0" w:color="auto"/>
            <w:left w:val="none" w:sz="0" w:space="0" w:color="auto"/>
            <w:bottom w:val="none" w:sz="0" w:space="0" w:color="auto"/>
            <w:right w:val="none" w:sz="0" w:space="0" w:color="auto"/>
          </w:divBdr>
          <w:divsChild>
            <w:div w:id="156773030">
              <w:marLeft w:val="0"/>
              <w:marRight w:val="0"/>
              <w:marTop w:val="0"/>
              <w:marBottom w:val="0"/>
              <w:divBdr>
                <w:top w:val="none" w:sz="0" w:space="0" w:color="auto"/>
                <w:left w:val="none" w:sz="0" w:space="0" w:color="auto"/>
                <w:bottom w:val="none" w:sz="0" w:space="0" w:color="auto"/>
                <w:right w:val="none" w:sz="0" w:space="0" w:color="auto"/>
              </w:divBdr>
              <w:divsChild>
                <w:div w:id="2021351154">
                  <w:marLeft w:val="0"/>
                  <w:marRight w:val="0"/>
                  <w:marTop w:val="0"/>
                  <w:marBottom w:val="0"/>
                  <w:divBdr>
                    <w:top w:val="none" w:sz="0" w:space="0" w:color="auto"/>
                    <w:left w:val="none" w:sz="0" w:space="0" w:color="auto"/>
                    <w:bottom w:val="none" w:sz="0" w:space="0" w:color="auto"/>
                    <w:right w:val="none" w:sz="0" w:space="0" w:color="auto"/>
                  </w:divBdr>
                  <w:divsChild>
                    <w:div w:id="21453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282">
      <w:bodyDiv w:val="1"/>
      <w:marLeft w:val="0"/>
      <w:marRight w:val="0"/>
      <w:marTop w:val="0"/>
      <w:marBottom w:val="0"/>
      <w:divBdr>
        <w:top w:val="none" w:sz="0" w:space="0" w:color="auto"/>
        <w:left w:val="none" w:sz="0" w:space="0" w:color="auto"/>
        <w:bottom w:val="none" w:sz="0" w:space="0" w:color="auto"/>
        <w:right w:val="none" w:sz="0" w:space="0" w:color="auto"/>
      </w:divBdr>
      <w:divsChild>
        <w:div w:id="428308341">
          <w:marLeft w:val="0"/>
          <w:marRight w:val="0"/>
          <w:marTop w:val="0"/>
          <w:marBottom w:val="0"/>
          <w:divBdr>
            <w:top w:val="none" w:sz="0" w:space="0" w:color="auto"/>
            <w:left w:val="none" w:sz="0" w:space="0" w:color="auto"/>
            <w:bottom w:val="none" w:sz="0" w:space="0" w:color="auto"/>
            <w:right w:val="none" w:sz="0" w:space="0" w:color="auto"/>
          </w:divBdr>
          <w:divsChild>
            <w:div w:id="982347831">
              <w:marLeft w:val="0"/>
              <w:marRight w:val="0"/>
              <w:marTop w:val="0"/>
              <w:marBottom w:val="0"/>
              <w:divBdr>
                <w:top w:val="none" w:sz="0" w:space="0" w:color="auto"/>
                <w:left w:val="none" w:sz="0" w:space="0" w:color="auto"/>
                <w:bottom w:val="none" w:sz="0" w:space="0" w:color="auto"/>
                <w:right w:val="none" w:sz="0" w:space="0" w:color="auto"/>
              </w:divBdr>
              <w:divsChild>
                <w:div w:id="2064402942">
                  <w:marLeft w:val="0"/>
                  <w:marRight w:val="0"/>
                  <w:marTop w:val="0"/>
                  <w:marBottom w:val="0"/>
                  <w:divBdr>
                    <w:top w:val="none" w:sz="0" w:space="0" w:color="auto"/>
                    <w:left w:val="none" w:sz="0" w:space="0" w:color="auto"/>
                    <w:bottom w:val="none" w:sz="0" w:space="0" w:color="auto"/>
                    <w:right w:val="none" w:sz="0" w:space="0" w:color="auto"/>
                  </w:divBdr>
                  <w:divsChild>
                    <w:div w:id="3898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4042">
      <w:bodyDiv w:val="1"/>
      <w:marLeft w:val="0"/>
      <w:marRight w:val="0"/>
      <w:marTop w:val="0"/>
      <w:marBottom w:val="0"/>
      <w:divBdr>
        <w:top w:val="none" w:sz="0" w:space="0" w:color="auto"/>
        <w:left w:val="none" w:sz="0" w:space="0" w:color="auto"/>
        <w:bottom w:val="none" w:sz="0" w:space="0" w:color="auto"/>
        <w:right w:val="none" w:sz="0" w:space="0" w:color="auto"/>
      </w:divBdr>
    </w:div>
    <w:div w:id="42365806">
      <w:bodyDiv w:val="1"/>
      <w:marLeft w:val="0"/>
      <w:marRight w:val="0"/>
      <w:marTop w:val="0"/>
      <w:marBottom w:val="0"/>
      <w:divBdr>
        <w:top w:val="none" w:sz="0" w:space="0" w:color="auto"/>
        <w:left w:val="none" w:sz="0" w:space="0" w:color="auto"/>
        <w:bottom w:val="none" w:sz="0" w:space="0" w:color="auto"/>
        <w:right w:val="none" w:sz="0" w:space="0" w:color="auto"/>
      </w:divBdr>
    </w:div>
    <w:div w:id="43414448">
      <w:bodyDiv w:val="1"/>
      <w:marLeft w:val="0"/>
      <w:marRight w:val="0"/>
      <w:marTop w:val="0"/>
      <w:marBottom w:val="0"/>
      <w:divBdr>
        <w:top w:val="none" w:sz="0" w:space="0" w:color="auto"/>
        <w:left w:val="none" w:sz="0" w:space="0" w:color="auto"/>
        <w:bottom w:val="none" w:sz="0" w:space="0" w:color="auto"/>
        <w:right w:val="none" w:sz="0" w:space="0" w:color="auto"/>
      </w:divBdr>
    </w:div>
    <w:div w:id="45221026">
      <w:bodyDiv w:val="1"/>
      <w:marLeft w:val="0"/>
      <w:marRight w:val="0"/>
      <w:marTop w:val="0"/>
      <w:marBottom w:val="0"/>
      <w:divBdr>
        <w:top w:val="none" w:sz="0" w:space="0" w:color="auto"/>
        <w:left w:val="none" w:sz="0" w:space="0" w:color="auto"/>
        <w:bottom w:val="none" w:sz="0" w:space="0" w:color="auto"/>
        <w:right w:val="none" w:sz="0" w:space="0" w:color="auto"/>
      </w:divBdr>
    </w:div>
    <w:div w:id="45958225">
      <w:bodyDiv w:val="1"/>
      <w:marLeft w:val="0"/>
      <w:marRight w:val="0"/>
      <w:marTop w:val="0"/>
      <w:marBottom w:val="0"/>
      <w:divBdr>
        <w:top w:val="none" w:sz="0" w:space="0" w:color="auto"/>
        <w:left w:val="none" w:sz="0" w:space="0" w:color="auto"/>
        <w:bottom w:val="none" w:sz="0" w:space="0" w:color="auto"/>
        <w:right w:val="none" w:sz="0" w:space="0" w:color="auto"/>
      </w:divBdr>
      <w:divsChild>
        <w:div w:id="1907762759">
          <w:marLeft w:val="0"/>
          <w:marRight w:val="0"/>
          <w:marTop w:val="0"/>
          <w:marBottom w:val="0"/>
          <w:divBdr>
            <w:top w:val="none" w:sz="0" w:space="0" w:color="auto"/>
            <w:left w:val="none" w:sz="0" w:space="0" w:color="auto"/>
            <w:bottom w:val="none" w:sz="0" w:space="0" w:color="auto"/>
            <w:right w:val="none" w:sz="0" w:space="0" w:color="auto"/>
          </w:divBdr>
          <w:divsChild>
            <w:div w:id="697122656">
              <w:marLeft w:val="0"/>
              <w:marRight w:val="0"/>
              <w:marTop w:val="0"/>
              <w:marBottom w:val="0"/>
              <w:divBdr>
                <w:top w:val="none" w:sz="0" w:space="0" w:color="auto"/>
                <w:left w:val="none" w:sz="0" w:space="0" w:color="auto"/>
                <w:bottom w:val="none" w:sz="0" w:space="0" w:color="auto"/>
                <w:right w:val="none" w:sz="0" w:space="0" w:color="auto"/>
              </w:divBdr>
              <w:divsChild>
                <w:div w:id="1005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429">
      <w:bodyDiv w:val="1"/>
      <w:marLeft w:val="0"/>
      <w:marRight w:val="0"/>
      <w:marTop w:val="0"/>
      <w:marBottom w:val="0"/>
      <w:divBdr>
        <w:top w:val="none" w:sz="0" w:space="0" w:color="auto"/>
        <w:left w:val="none" w:sz="0" w:space="0" w:color="auto"/>
        <w:bottom w:val="none" w:sz="0" w:space="0" w:color="auto"/>
        <w:right w:val="none" w:sz="0" w:space="0" w:color="auto"/>
      </w:divBdr>
      <w:divsChild>
        <w:div w:id="1644193859">
          <w:marLeft w:val="0"/>
          <w:marRight w:val="0"/>
          <w:marTop w:val="0"/>
          <w:marBottom w:val="0"/>
          <w:divBdr>
            <w:top w:val="none" w:sz="0" w:space="0" w:color="auto"/>
            <w:left w:val="none" w:sz="0" w:space="0" w:color="auto"/>
            <w:bottom w:val="none" w:sz="0" w:space="0" w:color="auto"/>
            <w:right w:val="none" w:sz="0" w:space="0" w:color="auto"/>
          </w:divBdr>
          <w:divsChild>
            <w:div w:id="537477644">
              <w:marLeft w:val="0"/>
              <w:marRight w:val="0"/>
              <w:marTop w:val="0"/>
              <w:marBottom w:val="0"/>
              <w:divBdr>
                <w:top w:val="none" w:sz="0" w:space="0" w:color="auto"/>
                <w:left w:val="none" w:sz="0" w:space="0" w:color="auto"/>
                <w:bottom w:val="none" w:sz="0" w:space="0" w:color="auto"/>
                <w:right w:val="none" w:sz="0" w:space="0" w:color="auto"/>
              </w:divBdr>
              <w:divsChild>
                <w:div w:id="1019090429">
                  <w:marLeft w:val="0"/>
                  <w:marRight w:val="0"/>
                  <w:marTop w:val="0"/>
                  <w:marBottom w:val="0"/>
                  <w:divBdr>
                    <w:top w:val="none" w:sz="0" w:space="0" w:color="auto"/>
                    <w:left w:val="none" w:sz="0" w:space="0" w:color="auto"/>
                    <w:bottom w:val="none" w:sz="0" w:space="0" w:color="auto"/>
                    <w:right w:val="none" w:sz="0" w:space="0" w:color="auto"/>
                  </w:divBdr>
                  <w:divsChild>
                    <w:div w:id="20476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128">
      <w:bodyDiv w:val="1"/>
      <w:marLeft w:val="0"/>
      <w:marRight w:val="0"/>
      <w:marTop w:val="0"/>
      <w:marBottom w:val="0"/>
      <w:divBdr>
        <w:top w:val="none" w:sz="0" w:space="0" w:color="auto"/>
        <w:left w:val="none" w:sz="0" w:space="0" w:color="auto"/>
        <w:bottom w:val="none" w:sz="0" w:space="0" w:color="auto"/>
        <w:right w:val="none" w:sz="0" w:space="0" w:color="auto"/>
      </w:divBdr>
      <w:divsChild>
        <w:div w:id="948203598">
          <w:marLeft w:val="0"/>
          <w:marRight w:val="0"/>
          <w:marTop w:val="0"/>
          <w:marBottom w:val="0"/>
          <w:divBdr>
            <w:top w:val="none" w:sz="0" w:space="0" w:color="auto"/>
            <w:left w:val="none" w:sz="0" w:space="0" w:color="auto"/>
            <w:bottom w:val="none" w:sz="0" w:space="0" w:color="auto"/>
            <w:right w:val="none" w:sz="0" w:space="0" w:color="auto"/>
          </w:divBdr>
          <w:divsChild>
            <w:div w:id="2127194037">
              <w:marLeft w:val="0"/>
              <w:marRight w:val="0"/>
              <w:marTop w:val="0"/>
              <w:marBottom w:val="0"/>
              <w:divBdr>
                <w:top w:val="none" w:sz="0" w:space="0" w:color="auto"/>
                <w:left w:val="none" w:sz="0" w:space="0" w:color="auto"/>
                <w:bottom w:val="none" w:sz="0" w:space="0" w:color="auto"/>
                <w:right w:val="none" w:sz="0" w:space="0" w:color="auto"/>
              </w:divBdr>
              <w:divsChild>
                <w:div w:id="259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0270">
      <w:bodyDiv w:val="1"/>
      <w:marLeft w:val="0"/>
      <w:marRight w:val="0"/>
      <w:marTop w:val="0"/>
      <w:marBottom w:val="0"/>
      <w:divBdr>
        <w:top w:val="none" w:sz="0" w:space="0" w:color="auto"/>
        <w:left w:val="none" w:sz="0" w:space="0" w:color="auto"/>
        <w:bottom w:val="none" w:sz="0" w:space="0" w:color="auto"/>
        <w:right w:val="none" w:sz="0" w:space="0" w:color="auto"/>
      </w:divBdr>
    </w:div>
    <w:div w:id="60762194">
      <w:bodyDiv w:val="1"/>
      <w:marLeft w:val="0"/>
      <w:marRight w:val="0"/>
      <w:marTop w:val="0"/>
      <w:marBottom w:val="0"/>
      <w:divBdr>
        <w:top w:val="none" w:sz="0" w:space="0" w:color="auto"/>
        <w:left w:val="none" w:sz="0" w:space="0" w:color="auto"/>
        <w:bottom w:val="none" w:sz="0" w:space="0" w:color="auto"/>
        <w:right w:val="none" w:sz="0" w:space="0" w:color="auto"/>
      </w:divBdr>
    </w:div>
    <w:div w:id="66073257">
      <w:bodyDiv w:val="1"/>
      <w:marLeft w:val="0"/>
      <w:marRight w:val="0"/>
      <w:marTop w:val="0"/>
      <w:marBottom w:val="0"/>
      <w:divBdr>
        <w:top w:val="none" w:sz="0" w:space="0" w:color="auto"/>
        <w:left w:val="none" w:sz="0" w:space="0" w:color="auto"/>
        <w:bottom w:val="none" w:sz="0" w:space="0" w:color="auto"/>
        <w:right w:val="none" w:sz="0" w:space="0" w:color="auto"/>
      </w:divBdr>
    </w:div>
    <w:div w:id="70156248">
      <w:bodyDiv w:val="1"/>
      <w:marLeft w:val="0"/>
      <w:marRight w:val="0"/>
      <w:marTop w:val="0"/>
      <w:marBottom w:val="0"/>
      <w:divBdr>
        <w:top w:val="none" w:sz="0" w:space="0" w:color="auto"/>
        <w:left w:val="none" w:sz="0" w:space="0" w:color="auto"/>
        <w:bottom w:val="none" w:sz="0" w:space="0" w:color="auto"/>
        <w:right w:val="none" w:sz="0" w:space="0" w:color="auto"/>
      </w:divBdr>
    </w:div>
    <w:div w:id="7355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66184">
          <w:marLeft w:val="0"/>
          <w:marRight w:val="0"/>
          <w:marTop w:val="0"/>
          <w:marBottom w:val="0"/>
          <w:divBdr>
            <w:top w:val="none" w:sz="0" w:space="0" w:color="auto"/>
            <w:left w:val="none" w:sz="0" w:space="0" w:color="auto"/>
            <w:bottom w:val="none" w:sz="0" w:space="0" w:color="auto"/>
            <w:right w:val="none" w:sz="0" w:space="0" w:color="auto"/>
          </w:divBdr>
          <w:divsChild>
            <w:div w:id="591932989">
              <w:marLeft w:val="0"/>
              <w:marRight w:val="0"/>
              <w:marTop w:val="0"/>
              <w:marBottom w:val="0"/>
              <w:divBdr>
                <w:top w:val="none" w:sz="0" w:space="0" w:color="auto"/>
                <w:left w:val="none" w:sz="0" w:space="0" w:color="auto"/>
                <w:bottom w:val="none" w:sz="0" w:space="0" w:color="auto"/>
                <w:right w:val="none" w:sz="0" w:space="0" w:color="auto"/>
              </w:divBdr>
              <w:divsChild>
                <w:div w:id="882254311">
                  <w:marLeft w:val="0"/>
                  <w:marRight w:val="0"/>
                  <w:marTop w:val="0"/>
                  <w:marBottom w:val="0"/>
                  <w:divBdr>
                    <w:top w:val="none" w:sz="0" w:space="0" w:color="auto"/>
                    <w:left w:val="none" w:sz="0" w:space="0" w:color="auto"/>
                    <w:bottom w:val="none" w:sz="0" w:space="0" w:color="auto"/>
                    <w:right w:val="none" w:sz="0" w:space="0" w:color="auto"/>
                  </w:divBdr>
                  <w:divsChild>
                    <w:div w:id="15814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5322654">
      <w:bodyDiv w:val="1"/>
      <w:marLeft w:val="0"/>
      <w:marRight w:val="0"/>
      <w:marTop w:val="0"/>
      <w:marBottom w:val="0"/>
      <w:divBdr>
        <w:top w:val="none" w:sz="0" w:space="0" w:color="auto"/>
        <w:left w:val="none" w:sz="0" w:space="0" w:color="auto"/>
        <w:bottom w:val="none" w:sz="0" w:space="0" w:color="auto"/>
        <w:right w:val="none" w:sz="0" w:space="0" w:color="auto"/>
      </w:divBdr>
      <w:divsChild>
        <w:div w:id="490678405">
          <w:marLeft w:val="0"/>
          <w:marRight w:val="0"/>
          <w:marTop w:val="0"/>
          <w:marBottom w:val="0"/>
          <w:divBdr>
            <w:top w:val="none" w:sz="0" w:space="0" w:color="auto"/>
            <w:left w:val="none" w:sz="0" w:space="0" w:color="auto"/>
            <w:bottom w:val="none" w:sz="0" w:space="0" w:color="auto"/>
            <w:right w:val="none" w:sz="0" w:space="0" w:color="auto"/>
          </w:divBdr>
          <w:divsChild>
            <w:div w:id="1353993162">
              <w:marLeft w:val="0"/>
              <w:marRight w:val="0"/>
              <w:marTop w:val="0"/>
              <w:marBottom w:val="0"/>
              <w:divBdr>
                <w:top w:val="none" w:sz="0" w:space="0" w:color="auto"/>
                <w:left w:val="none" w:sz="0" w:space="0" w:color="auto"/>
                <w:bottom w:val="none" w:sz="0" w:space="0" w:color="auto"/>
                <w:right w:val="none" w:sz="0" w:space="0" w:color="auto"/>
              </w:divBdr>
              <w:divsChild>
                <w:div w:id="1593318260">
                  <w:marLeft w:val="0"/>
                  <w:marRight w:val="0"/>
                  <w:marTop w:val="0"/>
                  <w:marBottom w:val="0"/>
                  <w:divBdr>
                    <w:top w:val="none" w:sz="0" w:space="0" w:color="auto"/>
                    <w:left w:val="none" w:sz="0" w:space="0" w:color="auto"/>
                    <w:bottom w:val="none" w:sz="0" w:space="0" w:color="auto"/>
                    <w:right w:val="none" w:sz="0" w:space="0" w:color="auto"/>
                  </w:divBdr>
                  <w:divsChild>
                    <w:div w:id="493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907">
      <w:bodyDiv w:val="1"/>
      <w:marLeft w:val="0"/>
      <w:marRight w:val="0"/>
      <w:marTop w:val="0"/>
      <w:marBottom w:val="0"/>
      <w:divBdr>
        <w:top w:val="none" w:sz="0" w:space="0" w:color="auto"/>
        <w:left w:val="none" w:sz="0" w:space="0" w:color="auto"/>
        <w:bottom w:val="none" w:sz="0" w:space="0" w:color="auto"/>
        <w:right w:val="none" w:sz="0" w:space="0" w:color="auto"/>
      </w:divBdr>
      <w:divsChild>
        <w:div w:id="1081634006">
          <w:marLeft w:val="0"/>
          <w:marRight w:val="0"/>
          <w:marTop w:val="0"/>
          <w:marBottom w:val="0"/>
          <w:divBdr>
            <w:top w:val="none" w:sz="0" w:space="0" w:color="auto"/>
            <w:left w:val="none" w:sz="0" w:space="0" w:color="auto"/>
            <w:bottom w:val="none" w:sz="0" w:space="0" w:color="auto"/>
            <w:right w:val="none" w:sz="0" w:space="0" w:color="auto"/>
          </w:divBdr>
          <w:divsChild>
            <w:div w:id="259339753">
              <w:marLeft w:val="0"/>
              <w:marRight w:val="0"/>
              <w:marTop w:val="0"/>
              <w:marBottom w:val="0"/>
              <w:divBdr>
                <w:top w:val="none" w:sz="0" w:space="0" w:color="auto"/>
                <w:left w:val="none" w:sz="0" w:space="0" w:color="auto"/>
                <w:bottom w:val="none" w:sz="0" w:space="0" w:color="auto"/>
                <w:right w:val="none" w:sz="0" w:space="0" w:color="auto"/>
              </w:divBdr>
              <w:divsChild>
                <w:div w:id="1315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0356">
      <w:bodyDiv w:val="1"/>
      <w:marLeft w:val="0"/>
      <w:marRight w:val="0"/>
      <w:marTop w:val="0"/>
      <w:marBottom w:val="0"/>
      <w:divBdr>
        <w:top w:val="none" w:sz="0" w:space="0" w:color="auto"/>
        <w:left w:val="none" w:sz="0" w:space="0" w:color="auto"/>
        <w:bottom w:val="none" w:sz="0" w:space="0" w:color="auto"/>
        <w:right w:val="none" w:sz="0" w:space="0" w:color="auto"/>
      </w:divBdr>
      <w:divsChild>
        <w:div w:id="123544115">
          <w:marLeft w:val="0"/>
          <w:marRight w:val="0"/>
          <w:marTop w:val="0"/>
          <w:marBottom w:val="0"/>
          <w:divBdr>
            <w:top w:val="none" w:sz="0" w:space="0" w:color="auto"/>
            <w:left w:val="none" w:sz="0" w:space="0" w:color="auto"/>
            <w:bottom w:val="none" w:sz="0" w:space="0" w:color="auto"/>
            <w:right w:val="none" w:sz="0" w:space="0" w:color="auto"/>
          </w:divBdr>
          <w:divsChild>
            <w:div w:id="544022841">
              <w:marLeft w:val="0"/>
              <w:marRight w:val="0"/>
              <w:marTop w:val="0"/>
              <w:marBottom w:val="0"/>
              <w:divBdr>
                <w:top w:val="none" w:sz="0" w:space="0" w:color="auto"/>
                <w:left w:val="none" w:sz="0" w:space="0" w:color="auto"/>
                <w:bottom w:val="none" w:sz="0" w:space="0" w:color="auto"/>
                <w:right w:val="none" w:sz="0" w:space="0" w:color="auto"/>
              </w:divBdr>
              <w:divsChild>
                <w:div w:id="1866602525">
                  <w:marLeft w:val="0"/>
                  <w:marRight w:val="0"/>
                  <w:marTop w:val="0"/>
                  <w:marBottom w:val="0"/>
                  <w:divBdr>
                    <w:top w:val="none" w:sz="0" w:space="0" w:color="auto"/>
                    <w:left w:val="none" w:sz="0" w:space="0" w:color="auto"/>
                    <w:bottom w:val="none" w:sz="0" w:space="0" w:color="auto"/>
                    <w:right w:val="none" w:sz="0" w:space="0" w:color="auto"/>
                  </w:divBdr>
                  <w:divsChild>
                    <w:div w:id="12061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494">
      <w:bodyDiv w:val="1"/>
      <w:marLeft w:val="0"/>
      <w:marRight w:val="0"/>
      <w:marTop w:val="0"/>
      <w:marBottom w:val="0"/>
      <w:divBdr>
        <w:top w:val="none" w:sz="0" w:space="0" w:color="auto"/>
        <w:left w:val="none" w:sz="0" w:space="0" w:color="auto"/>
        <w:bottom w:val="none" w:sz="0" w:space="0" w:color="auto"/>
        <w:right w:val="none" w:sz="0" w:space="0" w:color="auto"/>
      </w:divBdr>
      <w:divsChild>
        <w:div w:id="665472449">
          <w:marLeft w:val="0"/>
          <w:marRight w:val="0"/>
          <w:marTop w:val="0"/>
          <w:marBottom w:val="0"/>
          <w:divBdr>
            <w:top w:val="none" w:sz="0" w:space="0" w:color="auto"/>
            <w:left w:val="none" w:sz="0" w:space="0" w:color="auto"/>
            <w:bottom w:val="none" w:sz="0" w:space="0" w:color="auto"/>
            <w:right w:val="none" w:sz="0" w:space="0" w:color="auto"/>
          </w:divBdr>
          <w:divsChild>
            <w:div w:id="1429084453">
              <w:marLeft w:val="0"/>
              <w:marRight w:val="0"/>
              <w:marTop w:val="0"/>
              <w:marBottom w:val="0"/>
              <w:divBdr>
                <w:top w:val="none" w:sz="0" w:space="0" w:color="auto"/>
                <w:left w:val="none" w:sz="0" w:space="0" w:color="auto"/>
                <w:bottom w:val="none" w:sz="0" w:space="0" w:color="auto"/>
                <w:right w:val="none" w:sz="0" w:space="0" w:color="auto"/>
              </w:divBdr>
              <w:divsChild>
                <w:div w:id="1538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562">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120415982">
      <w:bodyDiv w:val="1"/>
      <w:marLeft w:val="0"/>
      <w:marRight w:val="0"/>
      <w:marTop w:val="0"/>
      <w:marBottom w:val="0"/>
      <w:divBdr>
        <w:top w:val="none" w:sz="0" w:space="0" w:color="auto"/>
        <w:left w:val="none" w:sz="0" w:space="0" w:color="auto"/>
        <w:bottom w:val="none" w:sz="0" w:space="0" w:color="auto"/>
        <w:right w:val="none" w:sz="0" w:space="0" w:color="auto"/>
      </w:divBdr>
      <w:divsChild>
        <w:div w:id="1500921567">
          <w:marLeft w:val="0"/>
          <w:marRight w:val="0"/>
          <w:marTop w:val="0"/>
          <w:marBottom w:val="0"/>
          <w:divBdr>
            <w:top w:val="none" w:sz="0" w:space="0" w:color="auto"/>
            <w:left w:val="none" w:sz="0" w:space="0" w:color="auto"/>
            <w:bottom w:val="none" w:sz="0" w:space="0" w:color="auto"/>
            <w:right w:val="none" w:sz="0" w:space="0" w:color="auto"/>
          </w:divBdr>
          <w:divsChild>
            <w:div w:id="2095009012">
              <w:marLeft w:val="0"/>
              <w:marRight w:val="0"/>
              <w:marTop w:val="0"/>
              <w:marBottom w:val="0"/>
              <w:divBdr>
                <w:top w:val="none" w:sz="0" w:space="0" w:color="auto"/>
                <w:left w:val="none" w:sz="0" w:space="0" w:color="auto"/>
                <w:bottom w:val="none" w:sz="0" w:space="0" w:color="auto"/>
                <w:right w:val="none" w:sz="0" w:space="0" w:color="auto"/>
              </w:divBdr>
              <w:divsChild>
                <w:div w:id="3991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290">
      <w:bodyDiv w:val="1"/>
      <w:marLeft w:val="0"/>
      <w:marRight w:val="0"/>
      <w:marTop w:val="0"/>
      <w:marBottom w:val="0"/>
      <w:divBdr>
        <w:top w:val="none" w:sz="0" w:space="0" w:color="auto"/>
        <w:left w:val="none" w:sz="0" w:space="0" w:color="auto"/>
        <w:bottom w:val="none" w:sz="0" w:space="0" w:color="auto"/>
        <w:right w:val="none" w:sz="0" w:space="0" w:color="auto"/>
      </w:divBdr>
      <w:divsChild>
        <w:div w:id="374232690">
          <w:marLeft w:val="0"/>
          <w:marRight w:val="0"/>
          <w:marTop w:val="0"/>
          <w:marBottom w:val="0"/>
          <w:divBdr>
            <w:top w:val="none" w:sz="0" w:space="0" w:color="auto"/>
            <w:left w:val="none" w:sz="0" w:space="0" w:color="auto"/>
            <w:bottom w:val="none" w:sz="0" w:space="0" w:color="auto"/>
            <w:right w:val="none" w:sz="0" w:space="0" w:color="auto"/>
          </w:divBdr>
          <w:divsChild>
            <w:div w:id="934093607">
              <w:marLeft w:val="0"/>
              <w:marRight w:val="0"/>
              <w:marTop w:val="0"/>
              <w:marBottom w:val="0"/>
              <w:divBdr>
                <w:top w:val="none" w:sz="0" w:space="0" w:color="auto"/>
                <w:left w:val="none" w:sz="0" w:space="0" w:color="auto"/>
                <w:bottom w:val="none" w:sz="0" w:space="0" w:color="auto"/>
                <w:right w:val="none" w:sz="0" w:space="0" w:color="auto"/>
              </w:divBdr>
              <w:divsChild>
                <w:div w:id="19060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7219">
      <w:bodyDiv w:val="1"/>
      <w:marLeft w:val="0"/>
      <w:marRight w:val="0"/>
      <w:marTop w:val="0"/>
      <w:marBottom w:val="0"/>
      <w:divBdr>
        <w:top w:val="none" w:sz="0" w:space="0" w:color="auto"/>
        <w:left w:val="none" w:sz="0" w:space="0" w:color="auto"/>
        <w:bottom w:val="none" w:sz="0" w:space="0" w:color="auto"/>
        <w:right w:val="none" w:sz="0" w:space="0" w:color="auto"/>
      </w:divBdr>
    </w:div>
    <w:div w:id="129641784">
      <w:bodyDiv w:val="1"/>
      <w:marLeft w:val="0"/>
      <w:marRight w:val="0"/>
      <w:marTop w:val="0"/>
      <w:marBottom w:val="0"/>
      <w:divBdr>
        <w:top w:val="none" w:sz="0" w:space="0" w:color="auto"/>
        <w:left w:val="none" w:sz="0" w:space="0" w:color="auto"/>
        <w:bottom w:val="none" w:sz="0" w:space="0" w:color="auto"/>
        <w:right w:val="none" w:sz="0" w:space="0" w:color="auto"/>
      </w:divBdr>
      <w:divsChild>
        <w:div w:id="99037398">
          <w:marLeft w:val="0"/>
          <w:marRight w:val="0"/>
          <w:marTop w:val="0"/>
          <w:marBottom w:val="0"/>
          <w:divBdr>
            <w:top w:val="none" w:sz="0" w:space="0" w:color="auto"/>
            <w:left w:val="none" w:sz="0" w:space="0" w:color="auto"/>
            <w:bottom w:val="none" w:sz="0" w:space="0" w:color="auto"/>
            <w:right w:val="none" w:sz="0" w:space="0" w:color="auto"/>
          </w:divBdr>
          <w:divsChild>
            <w:div w:id="1406025349">
              <w:marLeft w:val="0"/>
              <w:marRight w:val="0"/>
              <w:marTop w:val="0"/>
              <w:marBottom w:val="0"/>
              <w:divBdr>
                <w:top w:val="none" w:sz="0" w:space="0" w:color="auto"/>
                <w:left w:val="none" w:sz="0" w:space="0" w:color="auto"/>
                <w:bottom w:val="none" w:sz="0" w:space="0" w:color="auto"/>
                <w:right w:val="none" w:sz="0" w:space="0" w:color="auto"/>
              </w:divBdr>
              <w:divsChild>
                <w:div w:id="1458063517">
                  <w:marLeft w:val="0"/>
                  <w:marRight w:val="0"/>
                  <w:marTop w:val="0"/>
                  <w:marBottom w:val="0"/>
                  <w:divBdr>
                    <w:top w:val="none" w:sz="0" w:space="0" w:color="auto"/>
                    <w:left w:val="none" w:sz="0" w:space="0" w:color="auto"/>
                    <w:bottom w:val="none" w:sz="0" w:space="0" w:color="auto"/>
                    <w:right w:val="none" w:sz="0" w:space="0" w:color="auto"/>
                  </w:divBdr>
                  <w:divsChild>
                    <w:div w:id="784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2751">
      <w:bodyDiv w:val="1"/>
      <w:marLeft w:val="0"/>
      <w:marRight w:val="0"/>
      <w:marTop w:val="0"/>
      <w:marBottom w:val="0"/>
      <w:divBdr>
        <w:top w:val="none" w:sz="0" w:space="0" w:color="auto"/>
        <w:left w:val="none" w:sz="0" w:space="0" w:color="auto"/>
        <w:bottom w:val="none" w:sz="0" w:space="0" w:color="auto"/>
        <w:right w:val="none" w:sz="0" w:space="0" w:color="auto"/>
      </w:divBdr>
    </w:div>
    <w:div w:id="134177158">
      <w:bodyDiv w:val="1"/>
      <w:marLeft w:val="0"/>
      <w:marRight w:val="0"/>
      <w:marTop w:val="0"/>
      <w:marBottom w:val="0"/>
      <w:divBdr>
        <w:top w:val="none" w:sz="0" w:space="0" w:color="auto"/>
        <w:left w:val="none" w:sz="0" w:space="0" w:color="auto"/>
        <w:bottom w:val="none" w:sz="0" w:space="0" w:color="auto"/>
        <w:right w:val="none" w:sz="0" w:space="0" w:color="auto"/>
      </w:divBdr>
    </w:div>
    <w:div w:id="134493371">
      <w:bodyDiv w:val="1"/>
      <w:marLeft w:val="0"/>
      <w:marRight w:val="0"/>
      <w:marTop w:val="0"/>
      <w:marBottom w:val="0"/>
      <w:divBdr>
        <w:top w:val="none" w:sz="0" w:space="0" w:color="auto"/>
        <w:left w:val="none" w:sz="0" w:space="0" w:color="auto"/>
        <w:bottom w:val="none" w:sz="0" w:space="0" w:color="auto"/>
        <w:right w:val="none" w:sz="0" w:space="0" w:color="auto"/>
      </w:divBdr>
    </w:div>
    <w:div w:id="138378122">
      <w:bodyDiv w:val="1"/>
      <w:marLeft w:val="0"/>
      <w:marRight w:val="0"/>
      <w:marTop w:val="0"/>
      <w:marBottom w:val="0"/>
      <w:divBdr>
        <w:top w:val="none" w:sz="0" w:space="0" w:color="auto"/>
        <w:left w:val="none" w:sz="0" w:space="0" w:color="auto"/>
        <w:bottom w:val="none" w:sz="0" w:space="0" w:color="auto"/>
        <w:right w:val="none" w:sz="0" w:space="0" w:color="auto"/>
      </w:divBdr>
      <w:divsChild>
        <w:div w:id="1501970236">
          <w:marLeft w:val="0"/>
          <w:marRight w:val="0"/>
          <w:marTop w:val="0"/>
          <w:marBottom w:val="0"/>
          <w:divBdr>
            <w:top w:val="none" w:sz="0" w:space="0" w:color="auto"/>
            <w:left w:val="none" w:sz="0" w:space="0" w:color="auto"/>
            <w:bottom w:val="none" w:sz="0" w:space="0" w:color="auto"/>
            <w:right w:val="none" w:sz="0" w:space="0" w:color="auto"/>
          </w:divBdr>
          <w:divsChild>
            <w:div w:id="493763797">
              <w:marLeft w:val="0"/>
              <w:marRight w:val="0"/>
              <w:marTop w:val="0"/>
              <w:marBottom w:val="0"/>
              <w:divBdr>
                <w:top w:val="none" w:sz="0" w:space="0" w:color="auto"/>
                <w:left w:val="none" w:sz="0" w:space="0" w:color="auto"/>
                <w:bottom w:val="none" w:sz="0" w:space="0" w:color="auto"/>
                <w:right w:val="none" w:sz="0" w:space="0" w:color="auto"/>
              </w:divBdr>
              <w:divsChild>
                <w:div w:id="1817187907">
                  <w:marLeft w:val="0"/>
                  <w:marRight w:val="0"/>
                  <w:marTop w:val="0"/>
                  <w:marBottom w:val="0"/>
                  <w:divBdr>
                    <w:top w:val="none" w:sz="0" w:space="0" w:color="auto"/>
                    <w:left w:val="none" w:sz="0" w:space="0" w:color="auto"/>
                    <w:bottom w:val="none" w:sz="0" w:space="0" w:color="auto"/>
                    <w:right w:val="none" w:sz="0" w:space="0" w:color="auto"/>
                  </w:divBdr>
                  <w:divsChild>
                    <w:div w:id="7422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2429">
      <w:bodyDiv w:val="1"/>
      <w:marLeft w:val="0"/>
      <w:marRight w:val="0"/>
      <w:marTop w:val="0"/>
      <w:marBottom w:val="0"/>
      <w:divBdr>
        <w:top w:val="none" w:sz="0" w:space="0" w:color="auto"/>
        <w:left w:val="none" w:sz="0" w:space="0" w:color="auto"/>
        <w:bottom w:val="none" w:sz="0" w:space="0" w:color="auto"/>
        <w:right w:val="none" w:sz="0" w:space="0" w:color="auto"/>
      </w:divBdr>
    </w:div>
    <w:div w:id="150802158">
      <w:bodyDiv w:val="1"/>
      <w:marLeft w:val="0"/>
      <w:marRight w:val="0"/>
      <w:marTop w:val="0"/>
      <w:marBottom w:val="0"/>
      <w:divBdr>
        <w:top w:val="none" w:sz="0" w:space="0" w:color="auto"/>
        <w:left w:val="none" w:sz="0" w:space="0" w:color="auto"/>
        <w:bottom w:val="none" w:sz="0" w:space="0" w:color="auto"/>
        <w:right w:val="none" w:sz="0" w:space="0" w:color="auto"/>
      </w:divBdr>
      <w:divsChild>
        <w:div w:id="206917965">
          <w:marLeft w:val="0"/>
          <w:marRight w:val="0"/>
          <w:marTop w:val="0"/>
          <w:marBottom w:val="0"/>
          <w:divBdr>
            <w:top w:val="none" w:sz="0" w:space="0" w:color="auto"/>
            <w:left w:val="none" w:sz="0" w:space="0" w:color="auto"/>
            <w:bottom w:val="none" w:sz="0" w:space="0" w:color="auto"/>
            <w:right w:val="none" w:sz="0" w:space="0" w:color="auto"/>
          </w:divBdr>
          <w:divsChild>
            <w:div w:id="17249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2818">
      <w:bodyDiv w:val="1"/>
      <w:marLeft w:val="0"/>
      <w:marRight w:val="0"/>
      <w:marTop w:val="0"/>
      <w:marBottom w:val="0"/>
      <w:divBdr>
        <w:top w:val="none" w:sz="0" w:space="0" w:color="auto"/>
        <w:left w:val="none" w:sz="0" w:space="0" w:color="auto"/>
        <w:bottom w:val="none" w:sz="0" w:space="0" w:color="auto"/>
        <w:right w:val="none" w:sz="0" w:space="0" w:color="auto"/>
      </w:divBdr>
    </w:div>
    <w:div w:id="155197115">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8662475">
      <w:bodyDiv w:val="1"/>
      <w:marLeft w:val="0"/>
      <w:marRight w:val="0"/>
      <w:marTop w:val="0"/>
      <w:marBottom w:val="0"/>
      <w:divBdr>
        <w:top w:val="none" w:sz="0" w:space="0" w:color="auto"/>
        <w:left w:val="none" w:sz="0" w:space="0" w:color="auto"/>
        <w:bottom w:val="none" w:sz="0" w:space="0" w:color="auto"/>
        <w:right w:val="none" w:sz="0" w:space="0" w:color="auto"/>
      </w:divBdr>
    </w:div>
    <w:div w:id="181476240">
      <w:bodyDiv w:val="1"/>
      <w:marLeft w:val="0"/>
      <w:marRight w:val="0"/>
      <w:marTop w:val="0"/>
      <w:marBottom w:val="0"/>
      <w:divBdr>
        <w:top w:val="none" w:sz="0" w:space="0" w:color="auto"/>
        <w:left w:val="none" w:sz="0" w:space="0" w:color="auto"/>
        <w:bottom w:val="none" w:sz="0" w:space="0" w:color="auto"/>
        <w:right w:val="none" w:sz="0" w:space="0" w:color="auto"/>
      </w:divBdr>
    </w:div>
    <w:div w:id="182135819">
      <w:bodyDiv w:val="1"/>
      <w:marLeft w:val="0"/>
      <w:marRight w:val="0"/>
      <w:marTop w:val="0"/>
      <w:marBottom w:val="0"/>
      <w:divBdr>
        <w:top w:val="none" w:sz="0" w:space="0" w:color="auto"/>
        <w:left w:val="none" w:sz="0" w:space="0" w:color="auto"/>
        <w:bottom w:val="none" w:sz="0" w:space="0" w:color="auto"/>
        <w:right w:val="none" w:sz="0" w:space="0" w:color="auto"/>
      </w:divBdr>
      <w:divsChild>
        <w:div w:id="1539926914">
          <w:marLeft w:val="0"/>
          <w:marRight w:val="0"/>
          <w:marTop w:val="0"/>
          <w:marBottom w:val="0"/>
          <w:divBdr>
            <w:top w:val="none" w:sz="0" w:space="0" w:color="auto"/>
            <w:left w:val="none" w:sz="0" w:space="0" w:color="auto"/>
            <w:bottom w:val="none" w:sz="0" w:space="0" w:color="auto"/>
            <w:right w:val="none" w:sz="0" w:space="0" w:color="auto"/>
          </w:divBdr>
          <w:divsChild>
            <w:div w:id="1286810089">
              <w:marLeft w:val="0"/>
              <w:marRight w:val="0"/>
              <w:marTop w:val="0"/>
              <w:marBottom w:val="0"/>
              <w:divBdr>
                <w:top w:val="none" w:sz="0" w:space="0" w:color="auto"/>
                <w:left w:val="none" w:sz="0" w:space="0" w:color="auto"/>
                <w:bottom w:val="none" w:sz="0" w:space="0" w:color="auto"/>
                <w:right w:val="none" w:sz="0" w:space="0" w:color="auto"/>
              </w:divBdr>
              <w:divsChild>
                <w:div w:id="1239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85027402">
      <w:bodyDiv w:val="1"/>
      <w:marLeft w:val="0"/>
      <w:marRight w:val="0"/>
      <w:marTop w:val="0"/>
      <w:marBottom w:val="0"/>
      <w:divBdr>
        <w:top w:val="none" w:sz="0" w:space="0" w:color="auto"/>
        <w:left w:val="none" w:sz="0" w:space="0" w:color="auto"/>
        <w:bottom w:val="none" w:sz="0" w:space="0" w:color="auto"/>
        <w:right w:val="none" w:sz="0" w:space="0" w:color="auto"/>
      </w:divBdr>
    </w:div>
    <w:div w:id="193738224">
      <w:bodyDiv w:val="1"/>
      <w:marLeft w:val="0"/>
      <w:marRight w:val="0"/>
      <w:marTop w:val="0"/>
      <w:marBottom w:val="0"/>
      <w:divBdr>
        <w:top w:val="none" w:sz="0" w:space="0" w:color="auto"/>
        <w:left w:val="none" w:sz="0" w:space="0" w:color="auto"/>
        <w:bottom w:val="none" w:sz="0" w:space="0" w:color="auto"/>
        <w:right w:val="none" w:sz="0" w:space="0" w:color="auto"/>
      </w:divBdr>
      <w:divsChild>
        <w:div w:id="376051237">
          <w:marLeft w:val="0"/>
          <w:marRight w:val="0"/>
          <w:marTop w:val="0"/>
          <w:marBottom w:val="0"/>
          <w:divBdr>
            <w:top w:val="none" w:sz="0" w:space="0" w:color="auto"/>
            <w:left w:val="none" w:sz="0" w:space="0" w:color="auto"/>
            <w:bottom w:val="none" w:sz="0" w:space="0" w:color="auto"/>
            <w:right w:val="none" w:sz="0" w:space="0" w:color="auto"/>
          </w:divBdr>
          <w:divsChild>
            <w:div w:id="815951773">
              <w:marLeft w:val="0"/>
              <w:marRight w:val="0"/>
              <w:marTop w:val="0"/>
              <w:marBottom w:val="0"/>
              <w:divBdr>
                <w:top w:val="none" w:sz="0" w:space="0" w:color="auto"/>
                <w:left w:val="none" w:sz="0" w:space="0" w:color="auto"/>
                <w:bottom w:val="none" w:sz="0" w:space="0" w:color="auto"/>
                <w:right w:val="none" w:sz="0" w:space="0" w:color="auto"/>
              </w:divBdr>
              <w:divsChild>
                <w:div w:id="635640802">
                  <w:marLeft w:val="0"/>
                  <w:marRight w:val="0"/>
                  <w:marTop w:val="0"/>
                  <w:marBottom w:val="0"/>
                  <w:divBdr>
                    <w:top w:val="none" w:sz="0" w:space="0" w:color="auto"/>
                    <w:left w:val="none" w:sz="0" w:space="0" w:color="auto"/>
                    <w:bottom w:val="none" w:sz="0" w:space="0" w:color="auto"/>
                    <w:right w:val="none" w:sz="0" w:space="0" w:color="auto"/>
                  </w:divBdr>
                  <w:divsChild>
                    <w:div w:id="6624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5107">
      <w:bodyDiv w:val="1"/>
      <w:marLeft w:val="0"/>
      <w:marRight w:val="0"/>
      <w:marTop w:val="0"/>
      <w:marBottom w:val="0"/>
      <w:divBdr>
        <w:top w:val="none" w:sz="0" w:space="0" w:color="auto"/>
        <w:left w:val="none" w:sz="0" w:space="0" w:color="auto"/>
        <w:bottom w:val="none" w:sz="0" w:space="0" w:color="auto"/>
        <w:right w:val="none" w:sz="0" w:space="0" w:color="auto"/>
      </w:divBdr>
      <w:divsChild>
        <w:div w:id="17313051">
          <w:marLeft w:val="0"/>
          <w:marRight w:val="0"/>
          <w:marTop w:val="0"/>
          <w:marBottom w:val="0"/>
          <w:divBdr>
            <w:top w:val="none" w:sz="0" w:space="0" w:color="auto"/>
            <w:left w:val="none" w:sz="0" w:space="0" w:color="auto"/>
            <w:bottom w:val="none" w:sz="0" w:space="0" w:color="auto"/>
            <w:right w:val="none" w:sz="0" w:space="0" w:color="auto"/>
          </w:divBdr>
          <w:divsChild>
            <w:div w:id="1120998952">
              <w:marLeft w:val="0"/>
              <w:marRight w:val="0"/>
              <w:marTop w:val="0"/>
              <w:marBottom w:val="0"/>
              <w:divBdr>
                <w:top w:val="none" w:sz="0" w:space="0" w:color="auto"/>
                <w:left w:val="none" w:sz="0" w:space="0" w:color="auto"/>
                <w:bottom w:val="none" w:sz="0" w:space="0" w:color="auto"/>
                <w:right w:val="none" w:sz="0" w:space="0" w:color="auto"/>
              </w:divBdr>
              <w:divsChild>
                <w:div w:id="12266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4771">
      <w:bodyDiv w:val="1"/>
      <w:marLeft w:val="0"/>
      <w:marRight w:val="0"/>
      <w:marTop w:val="0"/>
      <w:marBottom w:val="0"/>
      <w:divBdr>
        <w:top w:val="none" w:sz="0" w:space="0" w:color="auto"/>
        <w:left w:val="none" w:sz="0" w:space="0" w:color="auto"/>
        <w:bottom w:val="none" w:sz="0" w:space="0" w:color="auto"/>
        <w:right w:val="none" w:sz="0" w:space="0" w:color="auto"/>
      </w:divBdr>
    </w:div>
    <w:div w:id="205870035">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08032423">
      <w:bodyDiv w:val="1"/>
      <w:marLeft w:val="0"/>
      <w:marRight w:val="0"/>
      <w:marTop w:val="0"/>
      <w:marBottom w:val="0"/>
      <w:divBdr>
        <w:top w:val="none" w:sz="0" w:space="0" w:color="auto"/>
        <w:left w:val="none" w:sz="0" w:space="0" w:color="auto"/>
        <w:bottom w:val="none" w:sz="0" w:space="0" w:color="auto"/>
        <w:right w:val="none" w:sz="0" w:space="0" w:color="auto"/>
      </w:divBdr>
      <w:divsChild>
        <w:div w:id="883831518">
          <w:marLeft w:val="0"/>
          <w:marRight w:val="0"/>
          <w:marTop w:val="0"/>
          <w:marBottom w:val="0"/>
          <w:divBdr>
            <w:top w:val="none" w:sz="0" w:space="0" w:color="auto"/>
            <w:left w:val="none" w:sz="0" w:space="0" w:color="auto"/>
            <w:bottom w:val="none" w:sz="0" w:space="0" w:color="auto"/>
            <w:right w:val="none" w:sz="0" w:space="0" w:color="auto"/>
          </w:divBdr>
          <w:divsChild>
            <w:div w:id="2075547288">
              <w:marLeft w:val="0"/>
              <w:marRight w:val="0"/>
              <w:marTop w:val="0"/>
              <w:marBottom w:val="0"/>
              <w:divBdr>
                <w:top w:val="none" w:sz="0" w:space="0" w:color="auto"/>
                <w:left w:val="none" w:sz="0" w:space="0" w:color="auto"/>
                <w:bottom w:val="none" w:sz="0" w:space="0" w:color="auto"/>
                <w:right w:val="none" w:sz="0" w:space="0" w:color="auto"/>
              </w:divBdr>
              <w:divsChild>
                <w:div w:id="6657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13">
      <w:bodyDiv w:val="1"/>
      <w:marLeft w:val="0"/>
      <w:marRight w:val="0"/>
      <w:marTop w:val="0"/>
      <w:marBottom w:val="0"/>
      <w:divBdr>
        <w:top w:val="none" w:sz="0" w:space="0" w:color="auto"/>
        <w:left w:val="none" w:sz="0" w:space="0" w:color="auto"/>
        <w:bottom w:val="none" w:sz="0" w:space="0" w:color="auto"/>
        <w:right w:val="none" w:sz="0" w:space="0" w:color="auto"/>
      </w:divBdr>
      <w:divsChild>
        <w:div w:id="332151082">
          <w:marLeft w:val="0"/>
          <w:marRight w:val="0"/>
          <w:marTop w:val="0"/>
          <w:marBottom w:val="0"/>
          <w:divBdr>
            <w:top w:val="none" w:sz="0" w:space="0" w:color="auto"/>
            <w:left w:val="none" w:sz="0" w:space="0" w:color="auto"/>
            <w:bottom w:val="none" w:sz="0" w:space="0" w:color="auto"/>
            <w:right w:val="none" w:sz="0" w:space="0" w:color="auto"/>
          </w:divBdr>
          <w:divsChild>
            <w:div w:id="1962957184">
              <w:marLeft w:val="0"/>
              <w:marRight w:val="0"/>
              <w:marTop w:val="0"/>
              <w:marBottom w:val="0"/>
              <w:divBdr>
                <w:top w:val="none" w:sz="0" w:space="0" w:color="auto"/>
                <w:left w:val="none" w:sz="0" w:space="0" w:color="auto"/>
                <w:bottom w:val="none" w:sz="0" w:space="0" w:color="auto"/>
                <w:right w:val="none" w:sz="0" w:space="0" w:color="auto"/>
              </w:divBdr>
              <w:divsChild>
                <w:div w:id="1503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2688">
      <w:bodyDiv w:val="1"/>
      <w:marLeft w:val="0"/>
      <w:marRight w:val="0"/>
      <w:marTop w:val="0"/>
      <w:marBottom w:val="0"/>
      <w:divBdr>
        <w:top w:val="none" w:sz="0" w:space="0" w:color="auto"/>
        <w:left w:val="none" w:sz="0" w:space="0" w:color="auto"/>
        <w:bottom w:val="none" w:sz="0" w:space="0" w:color="auto"/>
        <w:right w:val="none" w:sz="0" w:space="0" w:color="auto"/>
      </w:divBdr>
      <w:divsChild>
        <w:div w:id="1495992895">
          <w:marLeft w:val="0"/>
          <w:marRight w:val="0"/>
          <w:marTop w:val="0"/>
          <w:marBottom w:val="0"/>
          <w:divBdr>
            <w:top w:val="none" w:sz="0" w:space="0" w:color="auto"/>
            <w:left w:val="none" w:sz="0" w:space="0" w:color="auto"/>
            <w:bottom w:val="none" w:sz="0" w:space="0" w:color="auto"/>
            <w:right w:val="none" w:sz="0" w:space="0" w:color="auto"/>
          </w:divBdr>
          <w:divsChild>
            <w:div w:id="959529210">
              <w:marLeft w:val="0"/>
              <w:marRight w:val="0"/>
              <w:marTop w:val="0"/>
              <w:marBottom w:val="0"/>
              <w:divBdr>
                <w:top w:val="none" w:sz="0" w:space="0" w:color="auto"/>
                <w:left w:val="none" w:sz="0" w:space="0" w:color="auto"/>
                <w:bottom w:val="none" w:sz="0" w:space="0" w:color="auto"/>
                <w:right w:val="none" w:sz="0" w:space="0" w:color="auto"/>
              </w:divBdr>
              <w:divsChild>
                <w:div w:id="1787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054">
      <w:bodyDiv w:val="1"/>
      <w:marLeft w:val="0"/>
      <w:marRight w:val="0"/>
      <w:marTop w:val="0"/>
      <w:marBottom w:val="0"/>
      <w:divBdr>
        <w:top w:val="none" w:sz="0" w:space="0" w:color="auto"/>
        <w:left w:val="none" w:sz="0" w:space="0" w:color="auto"/>
        <w:bottom w:val="none" w:sz="0" w:space="0" w:color="auto"/>
        <w:right w:val="none" w:sz="0" w:space="0" w:color="auto"/>
      </w:divBdr>
      <w:divsChild>
        <w:div w:id="840269433">
          <w:marLeft w:val="0"/>
          <w:marRight w:val="0"/>
          <w:marTop w:val="0"/>
          <w:marBottom w:val="0"/>
          <w:divBdr>
            <w:top w:val="none" w:sz="0" w:space="0" w:color="auto"/>
            <w:left w:val="none" w:sz="0" w:space="0" w:color="auto"/>
            <w:bottom w:val="none" w:sz="0" w:space="0" w:color="auto"/>
            <w:right w:val="none" w:sz="0" w:space="0" w:color="auto"/>
          </w:divBdr>
          <w:divsChild>
            <w:div w:id="1755466462">
              <w:marLeft w:val="0"/>
              <w:marRight w:val="0"/>
              <w:marTop w:val="0"/>
              <w:marBottom w:val="0"/>
              <w:divBdr>
                <w:top w:val="none" w:sz="0" w:space="0" w:color="auto"/>
                <w:left w:val="none" w:sz="0" w:space="0" w:color="auto"/>
                <w:bottom w:val="none" w:sz="0" w:space="0" w:color="auto"/>
                <w:right w:val="none" w:sz="0" w:space="0" w:color="auto"/>
              </w:divBdr>
              <w:divsChild>
                <w:div w:id="9800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70674">
      <w:bodyDiv w:val="1"/>
      <w:marLeft w:val="0"/>
      <w:marRight w:val="0"/>
      <w:marTop w:val="0"/>
      <w:marBottom w:val="0"/>
      <w:divBdr>
        <w:top w:val="none" w:sz="0" w:space="0" w:color="auto"/>
        <w:left w:val="none" w:sz="0" w:space="0" w:color="auto"/>
        <w:bottom w:val="none" w:sz="0" w:space="0" w:color="auto"/>
        <w:right w:val="none" w:sz="0" w:space="0" w:color="auto"/>
      </w:divBdr>
    </w:div>
    <w:div w:id="224486000">
      <w:bodyDiv w:val="1"/>
      <w:marLeft w:val="0"/>
      <w:marRight w:val="0"/>
      <w:marTop w:val="0"/>
      <w:marBottom w:val="0"/>
      <w:divBdr>
        <w:top w:val="none" w:sz="0" w:space="0" w:color="auto"/>
        <w:left w:val="none" w:sz="0" w:space="0" w:color="auto"/>
        <w:bottom w:val="none" w:sz="0" w:space="0" w:color="auto"/>
        <w:right w:val="none" w:sz="0" w:space="0" w:color="auto"/>
      </w:divBdr>
    </w:div>
    <w:div w:id="226957206">
      <w:bodyDiv w:val="1"/>
      <w:marLeft w:val="0"/>
      <w:marRight w:val="0"/>
      <w:marTop w:val="0"/>
      <w:marBottom w:val="0"/>
      <w:divBdr>
        <w:top w:val="none" w:sz="0" w:space="0" w:color="auto"/>
        <w:left w:val="none" w:sz="0" w:space="0" w:color="auto"/>
        <w:bottom w:val="none" w:sz="0" w:space="0" w:color="auto"/>
        <w:right w:val="none" w:sz="0" w:space="0" w:color="auto"/>
      </w:divBdr>
      <w:divsChild>
        <w:div w:id="1789229638">
          <w:marLeft w:val="0"/>
          <w:marRight w:val="0"/>
          <w:marTop w:val="0"/>
          <w:marBottom w:val="0"/>
          <w:divBdr>
            <w:top w:val="none" w:sz="0" w:space="0" w:color="auto"/>
            <w:left w:val="none" w:sz="0" w:space="0" w:color="auto"/>
            <w:bottom w:val="none" w:sz="0" w:space="0" w:color="auto"/>
            <w:right w:val="none" w:sz="0" w:space="0" w:color="auto"/>
          </w:divBdr>
          <w:divsChild>
            <w:div w:id="384913423">
              <w:marLeft w:val="0"/>
              <w:marRight w:val="0"/>
              <w:marTop w:val="0"/>
              <w:marBottom w:val="0"/>
              <w:divBdr>
                <w:top w:val="none" w:sz="0" w:space="0" w:color="auto"/>
                <w:left w:val="none" w:sz="0" w:space="0" w:color="auto"/>
                <w:bottom w:val="none" w:sz="0" w:space="0" w:color="auto"/>
                <w:right w:val="none" w:sz="0" w:space="0" w:color="auto"/>
              </w:divBdr>
              <w:divsChild>
                <w:div w:id="1491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4100">
      <w:bodyDiv w:val="1"/>
      <w:marLeft w:val="0"/>
      <w:marRight w:val="0"/>
      <w:marTop w:val="0"/>
      <w:marBottom w:val="0"/>
      <w:divBdr>
        <w:top w:val="none" w:sz="0" w:space="0" w:color="auto"/>
        <w:left w:val="none" w:sz="0" w:space="0" w:color="auto"/>
        <w:bottom w:val="none" w:sz="0" w:space="0" w:color="auto"/>
        <w:right w:val="none" w:sz="0" w:space="0" w:color="auto"/>
      </w:divBdr>
      <w:divsChild>
        <w:div w:id="1732340467">
          <w:marLeft w:val="0"/>
          <w:marRight w:val="0"/>
          <w:marTop w:val="0"/>
          <w:marBottom w:val="0"/>
          <w:divBdr>
            <w:top w:val="none" w:sz="0" w:space="0" w:color="auto"/>
            <w:left w:val="none" w:sz="0" w:space="0" w:color="auto"/>
            <w:bottom w:val="none" w:sz="0" w:space="0" w:color="auto"/>
            <w:right w:val="none" w:sz="0" w:space="0" w:color="auto"/>
          </w:divBdr>
          <w:divsChild>
            <w:div w:id="769277175">
              <w:marLeft w:val="0"/>
              <w:marRight w:val="0"/>
              <w:marTop w:val="0"/>
              <w:marBottom w:val="0"/>
              <w:divBdr>
                <w:top w:val="none" w:sz="0" w:space="0" w:color="auto"/>
                <w:left w:val="none" w:sz="0" w:space="0" w:color="auto"/>
                <w:bottom w:val="none" w:sz="0" w:space="0" w:color="auto"/>
                <w:right w:val="none" w:sz="0" w:space="0" w:color="auto"/>
              </w:divBdr>
              <w:divsChild>
                <w:div w:id="48194034">
                  <w:marLeft w:val="0"/>
                  <w:marRight w:val="0"/>
                  <w:marTop w:val="0"/>
                  <w:marBottom w:val="0"/>
                  <w:divBdr>
                    <w:top w:val="none" w:sz="0" w:space="0" w:color="auto"/>
                    <w:left w:val="none" w:sz="0" w:space="0" w:color="auto"/>
                    <w:bottom w:val="none" w:sz="0" w:space="0" w:color="auto"/>
                    <w:right w:val="none" w:sz="0" w:space="0" w:color="auto"/>
                  </w:divBdr>
                  <w:divsChild>
                    <w:div w:id="1134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9362">
      <w:bodyDiv w:val="1"/>
      <w:marLeft w:val="0"/>
      <w:marRight w:val="0"/>
      <w:marTop w:val="0"/>
      <w:marBottom w:val="0"/>
      <w:divBdr>
        <w:top w:val="none" w:sz="0" w:space="0" w:color="auto"/>
        <w:left w:val="none" w:sz="0" w:space="0" w:color="auto"/>
        <w:bottom w:val="none" w:sz="0" w:space="0" w:color="auto"/>
        <w:right w:val="none" w:sz="0" w:space="0" w:color="auto"/>
      </w:divBdr>
    </w:div>
    <w:div w:id="237399615">
      <w:bodyDiv w:val="1"/>
      <w:marLeft w:val="0"/>
      <w:marRight w:val="0"/>
      <w:marTop w:val="0"/>
      <w:marBottom w:val="0"/>
      <w:divBdr>
        <w:top w:val="none" w:sz="0" w:space="0" w:color="auto"/>
        <w:left w:val="none" w:sz="0" w:space="0" w:color="auto"/>
        <w:bottom w:val="none" w:sz="0" w:space="0" w:color="auto"/>
        <w:right w:val="none" w:sz="0" w:space="0" w:color="auto"/>
      </w:divBdr>
      <w:divsChild>
        <w:div w:id="1601792194">
          <w:marLeft w:val="0"/>
          <w:marRight w:val="0"/>
          <w:marTop w:val="0"/>
          <w:marBottom w:val="0"/>
          <w:divBdr>
            <w:top w:val="none" w:sz="0" w:space="0" w:color="auto"/>
            <w:left w:val="none" w:sz="0" w:space="0" w:color="auto"/>
            <w:bottom w:val="none" w:sz="0" w:space="0" w:color="auto"/>
            <w:right w:val="none" w:sz="0" w:space="0" w:color="auto"/>
          </w:divBdr>
          <w:divsChild>
            <w:div w:id="1887331731">
              <w:marLeft w:val="0"/>
              <w:marRight w:val="0"/>
              <w:marTop w:val="0"/>
              <w:marBottom w:val="0"/>
              <w:divBdr>
                <w:top w:val="none" w:sz="0" w:space="0" w:color="auto"/>
                <w:left w:val="none" w:sz="0" w:space="0" w:color="auto"/>
                <w:bottom w:val="none" w:sz="0" w:space="0" w:color="auto"/>
                <w:right w:val="none" w:sz="0" w:space="0" w:color="auto"/>
              </w:divBdr>
              <w:divsChild>
                <w:div w:id="2091610763">
                  <w:marLeft w:val="0"/>
                  <w:marRight w:val="0"/>
                  <w:marTop w:val="0"/>
                  <w:marBottom w:val="0"/>
                  <w:divBdr>
                    <w:top w:val="none" w:sz="0" w:space="0" w:color="auto"/>
                    <w:left w:val="none" w:sz="0" w:space="0" w:color="auto"/>
                    <w:bottom w:val="none" w:sz="0" w:space="0" w:color="auto"/>
                    <w:right w:val="none" w:sz="0" w:space="0" w:color="auto"/>
                  </w:divBdr>
                  <w:divsChild>
                    <w:div w:id="12531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1646553">
      <w:bodyDiv w:val="1"/>
      <w:marLeft w:val="0"/>
      <w:marRight w:val="0"/>
      <w:marTop w:val="0"/>
      <w:marBottom w:val="0"/>
      <w:divBdr>
        <w:top w:val="none" w:sz="0" w:space="0" w:color="auto"/>
        <w:left w:val="none" w:sz="0" w:space="0" w:color="auto"/>
        <w:bottom w:val="none" w:sz="0" w:space="0" w:color="auto"/>
        <w:right w:val="none" w:sz="0" w:space="0" w:color="auto"/>
      </w:divBdr>
    </w:div>
    <w:div w:id="245068390">
      <w:bodyDiv w:val="1"/>
      <w:marLeft w:val="0"/>
      <w:marRight w:val="0"/>
      <w:marTop w:val="0"/>
      <w:marBottom w:val="0"/>
      <w:divBdr>
        <w:top w:val="none" w:sz="0" w:space="0" w:color="auto"/>
        <w:left w:val="none" w:sz="0" w:space="0" w:color="auto"/>
        <w:bottom w:val="none" w:sz="0" w:space="0" w:color="auto"/>
        <w:right w:val="none" w:sz="0" w:space="0" w:color="auto"/>
      </w:divBdr>
      <w:divsChild>
        <w:div w:id="1016888379">
          <w:marLeft w:val="0"/>
          <w:marRight w:val="0"/>
          <w:marTop w:val="0"/>
          <w:marBottom w:val="0"/>
          <w:divBdr>
            <w:top w:val="none" w:sz="0" w:space="0" w:color="auto"/>
            <w:left w:val="none" w:sz="0" w:space="0" w:color="auto"/>
            <w:bottom w:val="none" w:sz="0" w:space="0" w:color="auto"/>
            <w:right w:val="none" w:sz="0" w:space="0" w:color="auto"/>
          </w:divBdr>
          <w:divsChild>
            <w:div w:id="134304292">
              <w:marLeft w:val="0"/>
              <w:marRight w:val="0"/>
              <w:marTop w:val="0"/>
              <w:marBottom w:val="0"/>
              <w:divBdr>
                <w:top w:val="none" w:sz="0" w:space="0" w:color="auto"/>
                <w:left w:val="none" w:sz="0" w:space="0" w:color="auto"/>
                <w:bottom w:val="none" w:sz="0" w:space="0" w:color="auto"/>
                <w:right w:val="none" w:sz="0" w:space="0" w:color="auto"/>
              </w:divBdr>
              <w:divsChild>
                <w:div w:id="18147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727">
      <w:bodyDiv w:val="1"/>
      <w:marLeft w:val="0"/>
      <w:marRight w:val="0"/>
      <w:marTop w:val="0"/>
      <w:marBottom w:val="0"/>
      <w:divBdr>
        <w:top w:val="none" w:sz="0" w:space="0" w:color="auto"/>
        <w:left w:val="none" w:sz="0" w:space="0" w:color="auto"/>
        <w:bottom w:val="none" w:sz="0" w:space="0" w:color="auto"/>
        <w:right w:val="none" w:sz="0" w:space="0" w:color="auto"/>
      </w:divBdr>
    </w:div>
    <w:div w:id="246574712">
      <w:bodyDiv w:val="1"/>
      <w:marLeft w:val="0"/>
      <w:marRight w:val="0"/>
      <w:marTop w:val="0"/>
      <w:marBottom w:val="0"/>
      <w:divBdr>
        <w:top w:val="none" w:sz="0" w:space="0" w:color="auto"/>
        <w:left w:val="none" w:sz="0" w:space="0" w:color="auto"/>
        <w:bottom w:val="none" w:sz="0" w:space="0" w:color="auto"/>
        <w:right w:val="none" w:sz="0" w:space="0" w:color="auto"/>
      </w:divBdr>
    </w:div>
    <w:div w:id="250896388">
      <w:bodyDiv w:val="1"/>
      <w:marLeft w:val="0"/>
      <w:marRight w:val="0"/>
      <w:marTop w:val="0"/>
      <w:marBottom w:val="0"/>
      <w:divBdr>
        <w:top w:val="none" w:sz="0" w:space="0" w:color="auto"/>
        <w:left w:val="none" w:sz="0" w:space="0" w:color="auto"/>
        <w:bottom w:val="none" w:sz="0" w:space="0" w:color="auto"/>
        <w:right w:val="none" w:sz="0" w:space="0" w:color="auto"/>
      </w:divBdr>
    </w:div>
    <w:div w:id="255872635">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3251781">
      <w:bodyDiv w:val="1"/>
      <w:marLeft w:val="0"/>
      <w:marRight w:val="0"/>
      <w:marTop w:val="0"/>
      <w:marBottom w:val="0"/>
      <w:divBdr>
        <w:top w:val="none" w:sz="0" w:space="0" w:color="auto"/>
        <w:left w:val="none" w:sz="0" w:space="0" w:color="auto"/>
        <w:bottom w:val="none" w:sz="0" w:space="0" w:color="auto"/>
        <w:right w:val="none" w:sz="0" w:space="0" w:color="auto"/>
      </w:divBdr>
    </w:div>
    <w:div w:id="276566192">
      <w:bodyDiv w:val="1"/>
      <w:marLeft w:val="0"/>
      <w:marRight w:val="0"/>
      <w:marTop w:val="0"/>
      <w:marBottom w:val="0"/>
      <w:divBdr>
        <w:top w:val="none" w:sz="0" w:space="0" w:color="auto"/>
        <w:left w:val="none" w:sz="0" w:space="0" w:color="auto"/>
        <w:bottom w:val="none" w:sz="0" w:space="0" w:color="auto"/>
        <w:right w:val="none" w:sz="0" w:space="0" w:color="auto"/>
      </w:divBdr>
    </w:div>
    <w:div w:id="287009209">
      <w:bodyDiv w:val="1"/>
      <w:marLeft w:val="0"/>
      <w:marRight w:val="0"/>
      <w:marTop w:val="0"/>
      <w:marBottom w:val="0"/>
      <w:divBdr>
        <w:top w:val="none" w:sz="0" w:space="0" w:color="auto"/>
        <w:left w:val="none" w:sz="0" w:space="0" w:color="auto"/>
        <w:bottom w:val="none" w:sz="0" w:space="0" w:color="auto"/>
        <w:right w:val="none" w:sz="0" w:space="0" w:color="auto"/>
      </w:divBdr>
      <w:divsChild>
        <w:div w:id="1098721867">
          <w:marLeft w:val="0"/>
          <w:marRight w:val="0"/>
          <w:marTop w:val="0"/>
          <w:marBottom w:val="0"/>
          <w:divBdr>
            <w:top w:val="none" w:sz="0" w:space="0" w:color="auto"/>
            <w:left w:val="none" w:sz="0" w:space="0" w:color="auto"/>
            <w:bottom w:val="none" w:sz="0" w:space="0" w:color="auto"/>
            <w:right w:val="none" w:sz="0" w:space="0" w:color="auto"/>
          </w:divBdr>
          <w:divsChild>
            <w:div w:id="1233387962">
              <w:marLeft w:val="0"/>
              <w:marRight w:val="0"/>
              <w:marTop w:val="0"/>
              <w:marBottom w:val="0"/>
              <w:divBdr>
                <w:top w:val="none" w:sz="0" w:space="0" w:color="auto"/>
                <w:left w:val="none" w:sz="0" w:space="0" w:color="auto"/>
                <w:bottom w:val="none" w:sz="0" w:space="0" w:color="auto"/>
                <w:right w:val="none" w:sz="0" w:space="0" w:color="auto"/>
              </w:divBdr>
              <w:divsChild>
                <w:div w:id="729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6249">
      <w:bodyDiv w:val="1"/>
      <w:marLeft w:val="0"/>
      <w:marRight w:val="0"/>
      <w:marTop w:val="0"/>
      <w:marBottom w:val="0"/>
      <w:divBdr>
        <w:top w:val="none" w:sz="0" w:space="0" w:color="auto"/>
        <w:left w:val="none" w:sz="0" w:space="0" w:color="auto"/>
        <w:bottom w:val="none" w:sz="0" w:space="0" w:color="auto"/>
        <w:right w:val="none" w:sz="0" w:space="0" w:color="auto"/>
      </w:divBdr>
      <w:divsChild>
        <w:div w:id="304091184">
          <w:marLeft w:val="0"/>
          <w:marRight w:val="0"/>
          <w:marTop w:val="0"/>
          <w:marBottom w:val="0"/>
          <w:divBdr>
            <w:top w:val="none" w:sz="0" w:space="0" w:color="auto"/>
            <w:left w:val="none" w:sz="0" w:space="0" w:color="auto"/>
            <w:bottom w:val="none" w:sz="0" w:space="0" w:color="auto"/>
            <w:right w:val="none" w:sz="0" w:space="0" w:color="auto"/>
          </w:divBdr>
          <w:divsChild>
            <w:div w:id="2054113549">
              <w:marLeft w:val="0"/>
              <w:marRight w:val="0"/>
              <w:marTop w:val="0"/>
              <w:marBottom w:val="0"/>
              <w:divBdr>
                <w:top w:val="none" w:sz="0" w:space="0" w:color="auto"/>
                <w:left w:val="none" w:sz="0" w:space="0" w:color="auto"/>
                <w:bottom w:val="none" w:sz="0" w:space="0" w:color="auto"/>
                <w:right w:val="none" w:sz="0" w:space="0" w:color="auto"/>
              </w:divBdr>
              <w:divsChild>
                <w:div w:id="16398416">
                  <w:marLeft w:val="0"/>
                  <w:marRight w:val="0"/>
                  <w:marTop w:val="0"/>
                  <w:marBottom w:val="0"/>
                  <w:divBdr>
                    <w:top w:val="none" w:sz="0" w:space="0" w:color="auto"/>
                    <w:left w:val="none" w:sz="0" w:space="0" w:color="auto"/>
                    <w:bottom w:val="none" w:sz="0" w:space="0" w:color="auto"/>
                    <w:right w:val="none" w:sz="0" w:space="0" w:color="auto"/>
                  </w:divBdr>
                  <w:divsChild>
                    <w:div w:id="10283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63324">
      <w:bodyDiv w:val="1"/>
      <w:marLeft w:val="0"/>
      <w:marRight w:val="0"/>
      <w:marTop w:val="0"/>
      <w:marBottom w:val="0"/>
      <w:divBdr>
        <w:top w:val="none" w:sz="0" w:space="0" w:color="auto"/>
        <w:left w:val="none" w:sz="0" w:space="0" w:color="auto"/>
        <w:bottom w:val="none" w:sz="0" w:space="0" w:color="auto"/>
        <w:right w:val="none" w:sz="0" w:space="0" w:color="auto"/>
      </w:divBdr>
      <w:divsChild>
        <w:div w:id="1983389845">
          <w:marLeft w:val="0"/>
          <w:marRight w:val="0"/>
          <w:marTop w:val="0"/>
          <w:marBottom w:val="0"/>
          <w:divBdr>
            <w:top w:val="none" w:sz="0" w:space="0" w:color="auto"/>
            <w:left w:val="none" w:sz="0" w:space="0" w:color="auto"/>
            <w:bottom w:val="none" w:sz="0" w:space="0" w:color="auto"/>
            <w:right w:val="none" w:sz="0" w:space="0" w:color="auto"/>
          </w:divBdr>
          <w:divsChild>
            <w:div w:id="1457873673">
              <w:marLeft w:val="0"/>
              <w:marRight w:val="0"/>
              <w:marTop w:val="0"/>
              <w:marBottom w:val="0"/>
              <w:divBdr>
                <w:top w:val="none" w:sz="0" w:space="0" w:color="auto"/>
                <w:left w:val="none" w:sz="0" w:space="0" w:color="auto"/>
                <w:bottom w:val="none" w:sz="0" w:space="0" w:color="auto"/>
                <w:right w:val="none" w:sz="0" w:space="0" w:color="auto"/>
              </w:divBdr>
              <w:divsChild>
                <w:div w:id="17452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99702">
      <w:bodyDiv w:val="1"/>
      <w:marLeft w:val="0"/>
      <w:marRight w:val="0"/>
      <w:marTop w:val="0"/>
      <w:marBottom w:val="0"/>
      <w:divBdr>
        <w:top w:val="none" w:sz="0" w:space="0" w:color="auto"/>
        <w:left w:val="none" w:sz="0" w:space="0" w:color="auto"/>
        <w:bottom w:val="none" w:sz="0" w:space="0" w:color="auto"/>
        <w:right w:val="none" w:sz="0" w:space="0" w:color="auto"/>
      </w:divBdr>
      <w:divsChild>
        <w:div w:id="304118002">
          <w:marLeft w:val="0"/>
          <w:marRight w:val="0"/>
          <w:marTop w:val="0"/>
          <w:marBottom w:val="0"/>
          <w:divBdr>
            <w:top w:val="none" w:sz="0" w:space="0" w:color="auto"/>
            <w:left w:val="none" w:sz="0" w:space="0" w:color="auto"/>
            <w:bottom w:val="none" w:sz="0" w:space="0" w:color="auto"/>
            <w:right w:val="none" w:sz="0" w:space="0" w:color="auto"/>
          </w:divBdr>
          <w:divsChild>
            <w:div w:id="323974710">
              <w:marLeft w:val="0"/>
              <w:marRight w:val="0"/>
              <w:marTop w:val="0"/>
              <w:marBottom w:val="0"/>
              <w:divBdr>
                <w:top w:val="none" w:sz="0" w:space="0" w:color="auto"/>
                <w:left w:val="none" w:sz="0" w:space="0" w:color="auto"/>
                <w:bottom w:val="none" w:sz="0" w:space="0" w:color="auto"/>
                <w:right w:val="none" w:sz="0" w:space="0" w:color="auto"/>
              </w:divBdr>
              <w:divsChild>
                <w:div w:id="17725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483">
      <w:bodyDiv w:val="1"/>
      <w:marLeft w:val="0"/>
      <w:marRight w:val="0"/>
      <w:marTop w:val="0"/>
      <w:marBottom w:val="0"/>
      <w:divBdr>
        <w:top w:val="none" w:sz="0" w:space="0" w:color="auto"/>
        <w:left w:val="none" w:sz="0" w:space="0" w:color="auto"/>
        <w:bottom w:val="none" w:sz="0" w:space="0" w:color="auto"/>
        <w:right w:val="none" w:sz="0" w:space="0" w:color="auto"/>
      </w:divBdr>
    </w:div>
    <w:div w:id="301741041">
      <w:bodyDiv w:val="1"/>
      <w:marLeft w:val="0"/>
      <w:marRight w:val="0"/>
      <w:marTop w:val="0"/>
      <w:marBottom w:val="0"/>
      <w:divBdr>
        <w:top w:val="none" w:sz="0" w:space="0" w:color="auto"/>
        <w:left w:val="none" w:sz="0" w:space="0" w:color="auto"/>
        <w:bottom w:val="none" w:sz="0" w:space="0" w:color="auto"/>
        <w:right w:val="none" w:sz="0" w:space="0" w:color="auto"/>
      </w:divBdr>
    </w:div>
    <w:div w:id="308247263">
      <w:bodyDiv w:val="1"/>
      <w:marLeft w:val="0"/>
      <w:marRight w:val="0"/>
      <w:marTop w:val="0"/>
      <w:marBottom w:val="0"/>
      <w:divBdr>
        <w:top w:val="none" w:sz="0" w:space="0" w:color="auto"/>
        <w:left w:val="none" w:sz="0" w:space="0" w:color="auto"/>
        <w:bottom w:val="none" w:sz="0" w:space="0" w:color="auto"/>
        <w:right w:val="none" w:sz="0" w:space="0" w:color="auto"/>
      </w:divBdr>
    </w:div>
    <w:div w:id="308442379">
      <w:bodyDiv w:val="1"/>
      <w:marLeft w:val="0"/>
      <w:marRight w:val="0"/>
      <w:marTop w:val="0"/>
      <w:marBottom w:val="0"/>
      <w:divBdr>
        <w:top w:val="none" w:sz="0" w:space="0" w:color="auto"/>
        <w:left w:val="none" w:sz="0" w:space="0" w:color="auto"/>
        <w:bottom w:val="none" w:sz="0" w:space="0" w:color="auto"/>
        <w:right w:val="none" w:sz="0" w:space="0" w:color="auto"/>
      </w:divBdr>
      <w:divsChild>
        <w:div w:id="1820730734">
          <w:marLeft w:val="0"/>
          <w:marRight w:val="0"/>
          <w:marTop w:val="0"/>
          <w:marBottom w:val="0"/>
          <w:divBdr>
            <w:top w:val="none" w:sz="0" w:space="0" w:color="auto"/>
            <w:left w:val="none" w:sz="0" w:space="0" w:color="auto"/>
            <w:bottom w:val="none" w:sz="0" w:space="0" w:color="auto"/>
            <w:right w:val="none" w:sz="0" w:space="0" w:color="auto"/>
          </w:divBdr>
          <w:divsChild>
            <w:div w:id="785539502">
              <w:marLeft w:val="0"/>
              <w:marRight w:val="0"/>
              <w:marTop w:val="0"/>
              <w:marBottom w:val="0"/>
              <w:divBdr>
                <w:top w:val="none" w:sz="0" w:space="0" w:color="auto"/>
                <w:left w:val="none" w:sz="0" w:space="0" w:color="auto"/>
                <w:bottom w:val="none" w:sz="0" w:space="0" w:color="auto"/>
                <w:right w:val="none" w:sz="0" w:space="0" w:color="auto"/>
              </w:divBdr>
              <w:divsChild>
                <w:div w:id="2069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8369">
      <w:bodyDiv w:val="1"/>
      <w:marLeft w:val="0"/>
      <w:marRight w:val="0"/>
      <w:marTop w:val="0"/>
      <w:marBottom w:val="0"/>
      <w:divBdr>
        <w:top w:val="none" w:sz="0" w:space="0" w:color="auto"/>
        <w:left w:val="none" w:sz="0" w:space="0" w:color="auto"/>
        <w:bottom w:val="none" w:sz="0" w:space="0" w:color="auto"/>
        <w:right w:val="none" w:sz="0" w:space="0" w:color="auto"/>
      </w:divBdr>
    </w:div>
    <w:div w:id="316420876">
      <w:bodyDiv w:val="1"/>
      <w:marLeft w:val="0"/>
      <w:marRight w:val="0"/>
      <w:marTop w:val="0"/>
      <w:marBottom w:val="0"/>
      <w:divBdr>
        <w:top w:val="none" w:sz="0" w:space="0" w:color="auto"/>
        <w:left w:val="none" w:sz="0" w:space="0" w:color="auto"/>
        <w:bottom w:val="none" w:sz="0" w:space="0" w:color="auto"/>
        <w:right w:val="none" w:sz="0" w:space="0" w:color="auto"/>
      </w:divBdr>
    </w:div>
    <w:div w:id="317391017">
      <w:bodyDiv w:val="1"/>
      <w:marLeft w:val="0"/>
      <w:marRight w:val="0"/>
      <w:marTop w:val="0"/>
      <w:marBottom w:val="0"/>
      <w:divBdr>
        <w:top w:val="none" w:sz="0" w:space="0" w:color="auto"/>
        <w:left w:val="none" w:sz="0" w:space="0" w:color="auto"/>
        <w:bottom w:val="none" w:sz="0" w:space="0" w:color="auto"/>
        <w:right w:val="none" w:sz="0" w:space="0" w:color="auto"/>
      </w:divBdr>
    </w:div>
    <w:div w:id="317418381">
      <w:bodyDiv w:val="1"/>
      <w:marLeft w:val="0"/>
      <w:marRight w:val="0"/>
      <w:marTop w:val="0"/>
      <w:marBottom w:val="0"/>
      <w:divBdr>
        <w:top w:val="none" w:sz="0" w:space="0" w:color="auto"/>
        <w:left w:val="none" w:sz="0" w:space="0" w:color="auto"/>
        <w:bottom w:val="none" w:sz="0" w:space="0" w:color="auto"/>
        <w:right w:val="none" w:sz="0" w:space="0" w:color="auto"/>
      </w:divBdr>
      <w:divsChild>
        <w:div w:id="1533417356">
          <w:marLeft w:val="0"/>
          <w:marRight w:val="0"/>
          <w:marTop w:val="0"/>
          <w:marBottom w:val="0"/>
          <w:divBdr>
            <w:top w:val="none" w:sz="0" w:space="0" w:color="auto"/>
            <w:left w:val="none" w:sz="0" w:space="0" w:color="auto"/>
            <w:bottom w:val="none" w:sz="0" w:space="0" w:color="auto"/>
            <w:right w:val="none" w:sz="0" w:space="0" w:color="auto"/>
          </w:divBdr>
        </w:div>
        <w:div w:id="1633824885">
          <w:marLeft w:val="0"/>
          <w:marRight w:val="0"/>
          <w:marTop w:val="0"/>
          <w:marBottom w:val="0"/>
          <w:divBdr>
            <w:top w:val="none" w:sz="0" w:space="0" w:color="auto"/>
            <w:left w:val="none" w:sz="0" w:space="0" w:color="auto"/>
            <w:bottom w:val="none" w:sz="0" w:space="0" w:color="auto"/>
            <w:right w:val="none" w:sz="0" w:space="0" w:color="auto"/>
          </w:divBdr>
        </w:div>
      </w:divsChild>
    </w:div>
    <w:div w:id="322243864">
      <w:bodyDiv w:val="1"/>
      <w:marLeft w:val="0"/>
      <w:marRight w:val="0"/>
      <w:marTop w:val="0"/>
      <w:marBottom w:val="0"/>
      <w:divBdr>
        <w:top w:val="none" w:sz="0" w:space="0" w:color="auto"/>
        <w:left w:val="none" w:sz="0" w:space="0" w:color="auto"/>
        <w:bottom w:val="none" w:sz="0" w:space="0" w:color="auto"/>
        <w:right w:val="none" w:sz="0" w:space="0" w:color="auto"/>
      </w:divBdr>
      <w:divsChild>
        <w:div w:id="531118752">
          <w:marLeft w:val="0"/>
          <w:marRight w:val="0"/>
          <w:marTop w:val="0"/>
          <w:marBottom w:val="0"/>
          <w:divBdr>
            <w:top w:val="none" w:sz="0" w:space="0" w:color="auto"/>
            <w:left w:val="none" w:sz="0" w:space="0" w:color="auto"/>
            <w:bottom w:val="none" w:sz="0" w:space="0" w:color="auto"/>
            <w:right w:val="none" w:sz="0" w:space="0" w:color="auto"/>
          </w:divBdr>
          <w:divsChild>
            <w:div w:id="661082769">
              <w:marLeft w:val="0"/>
              <w:marRight w:val="0"/>
              <w:marTop w:val="0"/>
              <w:marBottom w:val="0"/>
              <w:divBdr>
                <w:top w:val="none" w:sz="0" w:space="0" w:color="auto"/>
                <w:left w:val="none" w:sz="0" w:space="0" w:color="auto"/>
                <w:bottom w:val="none" w:sz="0" w:space="0" w:color="auto"/>
                <w:right w:val="none" w:sz="0" w:space="0" w:color="auto"/>
              </w:divBdr>
              <w:divsChild>
                <w:div w:id="80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670792897">
          <w:marLeft w:val="0"/>
          <w:marRight w:val="0"/>
          <w:marTop w:val="0"/>
          <w:marBottom w:val="0"/>
          <w:divBdr>
            <w:top w:val="none" w:sz="0" w:space="0" w:color="auto"/>
            <w:left w:val="none" w:sz="0" w:space="0" w:color="auto"/>
            <w:bottom w:val="none" w:sz="0" w:space="0" w:color="auto"/>
            <w:right w:val="none" w:sz="0" w:space="0" w:color="auto"/>
          </w:divBdr>
          <w:divsChild>
            <w:div w:id="730153232">
              <w:marLeft w:val="0"/>
              <w:marRight w:val="0"/>
              <w:marTop w:val="0"/>
              <w:marBottom w:val="0"/>
              <w:divBdr>
                <w:top w:val="none" w:sz="0" w:space="0" w:color="auto"/>
                <w:left w:val="none" w:sz="0" w:space="0" w:color="auto"/>
                <w:bottom w:val="none" w:sz="0" w:space="0" w:color="auto"/>
                <w:right w:val="none" w:sz="0" w:space="0" w:color="auto"/>
              </w:divBdr>
              <w:divsChild>
                <w:div w:id="1472477639">
                  <w:marLeft w:val="0"/>
                  <w:marRight w:val="0"/>
                  <w:marTop w:val="0"/>
                  <w:marBottom w:val="0"/>
                  <w:divBdr>
                    <w:top w:val="none" w:sz="0" w:space="0" w:color="auto"/>
                    <w:left w:val="none" w:sz="0" w:space="0" w:color="auto"/>
                    <w:bottom w:val="none" w:sz="0" w:space="0" w:color="auto"/>
                    <w:right w:val="none" w:sz="0" w:space="0" w:color="auto"/>
                  </w:divBdr>
                  <w:divsChild>
                    <w:div w:id="2957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4153">
      <w:bodyDiv w:val="1"/>
      <w:marLeft w:val="0"/>
      <w:marRight w:val="0"/>
      <w:marTop w:val="0"/>
      <w:marBottom w:val="0"/>
      <w:divBdr>
        <w:top w:val="none" w:sz="0" w:space="0" w:color="auto"/>
        <w:left w:val="none" w:sz="0" w:space="0" w:color="auto"/>
        <w:bottom w:val="none" w:sz="0" w:space="0" w:color="auto"/>
        <w:right w:val="none" w:sz="0" w:space="0" w:color="auto"/>
      </w:divBdr>
      <w:divsChild>
        <w:div w:id="1321811175">
          <w:marLeft w:val="0"/>
          <w:marRight w:val="0"/>
          <w:marTop w:val="0"/>
          <w:marBottom w:val="0"/>
          <w:divBdr>
            <w:top w:val="none" w:sz="0" w:space="0" w:color="auto"/>
            <w:left w:val="none" w:sz="0" w:space="0" w:color="auto"/>
            <w:bottom w:val="none" w:sz="0" w:space="0" w:color="auto"/>
            <w:right w:val="none" w:sz="0" w:space="0" w:color="auto"/>
          </w:divBdr>
          <w:divsChild>
            <w:div w:id="1372000045">
              <w:marLeft w:val="0"/>
              <w:marRight w:val="0"/>
              <w:marTop w:val="0"/>
              <w:marBottom w:val="0"/>
              <w:divBdr>
                <w:top w:val="none" w:sz="0" w:space="0" w:color="auto"/>
                <w:left w:val="none" w:sz="0" w:space="0" w:color="auto"/>
                <w:bottom w:val="none" w:sz="0" w:space="0" w:color="auto"/>
                <w:right w:val="none" w:sz="0" w:space="0" w:color="auto"/>
              </w:divBdr>
              <w:divsChild>
                <w:div w:id="1180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0484">
      <w:bodyDiv w:val="1"/>
      <w:marLeft w:val="0"/>
      <w:marRight w:val="0"/>
      <w:marTop w:val="0"/>
      <w:marBottom w:val="0"/>
      <w:divBdr>
        <w:top w:val="none" w:sz="0" w:space="0" w:color="auto"/>
        <w:left w:val="none" w:sz="0" w:space="0" w:color="auto"/>
        <w:bottom w:val="none" w:sz="0" w:space="0" w:color="auto"/>
        <w:right w:val="none" w:sz="0" w:space="0" w:color="auto"/>
      </w:divBdr>
    </w:div>
    <w:div w:id="337773248">
      <w:bodyDiv w:val="1"/>
      <w:marLeft w:val="0"/>
      <w:marRight w:val="0"/>
      <w:marTop w:val="0"/>
      <w:marBottom w:val="0"/>
      <w:divBdr>
        <w:top w:val="none" w:sz="0" w:space="0" w:color="auto"/>
        <w:left w:val="none" w:sz="0" w:space="0" w:color="auto"/>
        <w:bottom w:val="none" w:sz="0" w:space="0" w:color="auto"/>
        <w:right w:val="none" w:sz="0" w:space="0" w:color="auto"/>
      </w:divBdr>
    </w:div>
    <w:div w:id="348995315">
      <w:bodyDiv w:val="1"/>
      <w:marLeft w:val="0"/>
      <w:marRight w:val="0"/>
      <w:marTop w:val="0"/>
      <w:marBottom w:val="0"/>
      <w:divBdr>
        <w:top w:val="none" w:sz="0" w:space="0" w:color="auto"/>
        <w:left w:val="none" w:sz="0" w:space="0" w:color="auto"/>
        <w:bottom w:val="none" w:sz="0" w:space="0" w:color="auto"/>
        <w:right w:val="none" w:sz="0" w:space="0" w:color="auto"/>
      </w:divBdr>
    </w:div>
    <w:div w:id="349651006">
      <w:bodyDiv w:val="1"/>
      <w:marLeft w:val="0"/>
      <w:marRight w:val="0"/>
      <w:marTop w:val="0"/>
      <w:marBottom w:val="0"/>
      <w:divBdr>
        <w:top w:val="none" w:sz="0" w:space="0" w:color="auto"/>
        <w:left w:val="none" w:sz="0" w:space="0" w:color="auto"/>
        <w:bottom w:val="none" w:sz="0" w:space="0" w:color="auto"/>
        <w:right w:val="none" w:sz="0" w:space="0" w:color="auto"/>
      </w:divBdr>
    </w:div>
    <w:div w:id="354622854">
      <w:bodyDiv w:val="1"/>
      <w:marLeft w:val="0"/>
      <w:marRight w:val="0"/>
      <w:marTop w:val="0"/>
      <w:marBottom w:val="0"/>
      <w:divBdr>
        <w:top w:val="none" w:sz="0" w:space="0" w:color="auto"/>
        <w:left w:val="none" w:sz="0" w:space="0" w:color="auto"/>
        <w:bottom w:val="none" w:sz="0" w:space="0" w:color="auto"/>
        <w:right w:val="none" w:sz="0" w:space="0" w:color="auto"/>
      </w:divBdr>
    </w:div>
    <w:div w:id="355038994">
      <w:bodyDiv w:val="1"/>
      <w:marLeft w:val="0"/>
      <w:marRight w:val="0"/>
      <w:marTop w:val="0"/>
      <w:marBottom w:val="0"/>
      <w:divBdr>
        <w:top w:val="none" w:sz="0" w:space="0" w:color="auto"/>
        <w:left w:val="none" w:sz="0" w:space="0" w:color="auto"/>
        <w:bottom w:val="none" w:sz="0" w:space="0" w:color="auto"/>
        <w:right w:val="none" w:sz="0" w:space="0" w:color="auto"/>
      </w:divBdr>
    </w:div>
    <w:div w:id="356197756">
      <w:bodyDiv w:val="1"/>
      <w:marLeft w:val="0"/>
      <w:marRight w:val="0"/>
      <w:marTop w:val="0"/>
      <w:marBottom w:val="0"/>
      <w:divBdr>
        <w:top w:val="none" w:sz="0" w:space="0" w:color="auto"/>
        <w:left w:val="none" w:sz="0" w:space="0" w:color="auto"/>
        <w:bottom w:val="none" w:sz="0" w:space="0" w:color="auto"/>
        <w:right w:val="none" w:sz="0" w:space="0" w:color="auto"/>
      </w:divBdr>
      <w:divsChild>
        <w:div w:id="1734354847">
          <w:marLeft w:val="0"/>
          <w:marRight w:val="0"/>
          <w:marTop w:val="0"/>
          <w:marBottom w:val="0"/>
          <w:divBdr>
            <w:top w:val="none" w:sz="0" w:space="0" w:color="auto"/>
            <w:left w:val="none" w:sz="0" w:space="0" w:color="auto"/>
            <w:bottom w:val="none" w:sz="0" w:space="0" w:color="auto"/>
            <w:right w:val="none" w:sz="0" w:space="0" w:color="auto"/>
          </w:divBdr>
          <w:divsChild>
            <w:div w:id="306788619">
              <w:marLeft w:val="0"/>
              <w:marRight w:val="0"/>
              <w:marTop w:val="0"/>
              <w:marBottom w:val="0"/>
              <w:divBdr>
                <w:top w:val="none" w:sz="0" w:space="0" w:color="auto"/>
                <w:left w:val="none" w:sz="0" w:space="0" w:color="auto"/>
                <w:bottom w:val="none" w:sz="0" w:space="0" w:color="auto"/>
                <w:right w:val="none" w:sz="0" w:space="0" w:color="auto"/>
              </w:divBdr>
              <w:divsChild>
                <w:div w:id="1512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4897">
      <w:bodyDiv w:val="1"/>
      <w:marLeft w:val="0"/>
      <w:marRight w:val="0"/>
      <w:marTop w:val="0"/>
      <w:marBottom w:val="0"/>
      <w:divBdr>
        <w:top w:val="none" w:sz="0" w:space="0" w:color="auto"/>
        <w:left w:val="none" w:sz="0" w:space="0" w:color="auto"/>
        <w:bottom w:val="none" w:sz="0" w:space="0" w:color="auto"/>
        <w:right w:val="none" w:sz="0" w:space="0" w:color="auto"/>
      </w:divBdr>
      <w:divsChild>
        <w:div w:id="992678817">
          <w:marLeft w:val="0"/>
          <w:marRight w:val="0"/>
          <w:marTop w:val="0"/>
          <w:marBottom w:val="0"/>
          <w:divBdr>
            <w:top w:val="none" w:sz="0" w:space="0" w:color="auto"/>
            <w:left w:val="none" w:sz="0" w:space="0" w:color="auto"/>
            <w:bottom w:val="none" w:sz="0" w:space="0" w:color="auto"/>
            <w:right w:val="none" w:sz="0" w:space="0" w:color="auto"/>
          </w:divBdr>
          <w:divsChild>
            <w:div w:id="1034035250">
              <w:marLeft w:val="0"/>
              <w:marRight w:val="0"/>
              <w:marTop w:val="0"/>
              <w:marBottom w:val="0"/>
              <w:divBdr>
                <w:top w:val="none" w:sz="0" w:space="0" w:color="auto"/>
                <w:left w:val="none" w:sz="0" w:space="0" w:color="auto"/>
                <w:bottom w:val="none" w:sz="0" w:space="0" w:color="auto"/>
                <w:right w:val="none" w:sz="0" w:space="0" w:color="auto"/>
              </w:divBdr>
              <w:divsChild>
                <w:div w:id="482938035">
                  <w:marLeft w:val="0"/>
                  <w:marRight w:val="0"/>
                  <w:marTop w:val="0"/>
                  <w:marBottom w:val="0"/>
                  <w:divBdr>
                    <w:top w:val="none" w:sz="0" w:space="0" w:color="auto"/>
                    <w:left w:val="none" w:sz="0" w:space="0" w:color="auto"/>
                    <w:bottom w:val="none" w:sz="0" w:space="0" w:color="auto"/>
                    <w:right w:val="none" w:sz="0" w:space="0" w:color="auto"/>
                  </w:divBdr>
                  <w:divsChild>
                    <w:div w:id="14797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647">
      <w:bodyDiv w:val="1"/>
      <w:marLeft w:val="0"/>
      <w:marRight w:val="0"/>
      <w:marTop w:val="0"/>
      <w:marBottom w:val="0"/>
      <w:divBdr>
        <w:top w:val="none" w:sz="0" w:space="0" w:color="auto"/>
        <w:left w:val="none" w:sz="0" w:space="0" w:color="auto"/>
        <w:bottom w:val="none" w:sz="0" w:space="0" w:color="auto"/>
        <w:right w:val="none" w:sz="0" w:space="0" w:color="auto"/>
      </w:divBdr>
    </w:div>
    <w:div w:id="366300510">
      <w:bodyDiv w:val="1"/>
      <w:marLeft w:val="0"/>
      <w:marRight w:val="0"/>
      <w:marTop w:val="0"/>
      <w:marBottom w:val="0"/>
      <w:divBdr>
        <w:top w:val="none" w:sz="0" w:space="0" w:color="auto"/>
        <w:left w:val="none" w:sz="0" w:space="0" w:color="auto"/>
        <w:bottom w:val="none" w:sz="0" w:space="0" w:color="auto"/>
        <w:right w:val="none" w:sz="0" w:space="0" w:color="auto"/>
      </w:divBdr>
    </w:div>
    <w:div w:id="366950241">
      <w:bodyDiv w:val="1"/>
      <w:marLeft w:val="0"/>
      <w:marRight w:val="0"/>
      <w:marTop w:val="0"/>
      <w:marBottom w:val="0"/>
      <w:divBdr>
        <w:top w:val="none" w:sz="0" w:space="0" w:color="auto"/>
        <w:left w:val="none" w:sz="0" w:space="0" w:color="auto"/>
        <w:bottom w:val="none" w:sz="0" w:space="0" w:color="auto"/>
        <w:right w:val="none" w:sz="0" w:space="0" w:color="auto"/>
      </w:divBdr>
      <w:divsChild>
        <w:div w:id="2093355667">
          <w:marLeft w:val="0"/>
          <w:marRight w:val="0"/>
          <w:marTop w:val="0"/>
          <w:marBottom w:val="0"/>
          <w:divBdr>
            <w:top w:val="none" w:sz="0" w:space="0" w:color="auto"/>
            <w:left w:val="none" w:sz="0" w:space="0" w:color="auto"/>
            <w:bottom w:val="none" w:sz="0" w:space="0" w:color="auto"/>
            <w:right w:val="none" w:sz="0" w:space="0" w:color="auto"/>
          </w:divBdr>
          <w:divsChild>
            <w:div w:id="585500325">
              <w:marLeft w:val="0"/>
              <w:marRight w:val="0"/>
              <w:marTop w:val="0"/>
              <w:marBottom w:val="0"/>
              <w:divBdr>
                <w:top w:val="none" w:sz="0" w:space="0" w:color="auto"/>
                <w:left w:val="none" w:sz="0" w:space="0" w:color="auto"/>
                <w:bottom w:val="none" w:sz="0" w:space="0" w:color="auto"/>
                <w:right w:val="none" w:sz="0" w:space="0" w:color="auto"/>
              </w:divBdr>
              <w:divsChild>
                <w:div w:id="1452020351">
                  <w:marLeft w:val="0"/>
                  <w:marRight w:val="0"/>
                  <w:marTop w:val="0"/>
                  <w:marBottom w:val="0"/>
                  <w:divBdr>
                    <w:top w:val="none" w:sz="0" w:space="0" w:color="auto"/>
                    <w:left w:val="none" w:sz="0" w:space="0" w:color="auto"/>
                    <w:bottom w:val="none" w:sz="0" w:space="0" w:color="auto"/>
                    <w:right w:val="none" w:sz="0" w:space="0" w:color="auto"/>
                  </w:divBdr>
                  <w:divsChild>
                    <w:div w:id="15869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0171">
      <w:bodyDiv w:val="1"/>
      <w:marLeft w:val="0"/>
      <w:marRight w:val="0"/>
      <w:marTop w:val="0"/>
      <w:marBottom w:val="0"/>
      <w:divBdr>
        <w:top w:val="none" w:sz="0" w:space="0" w:color="auto"/>
        <w:left w:val="none" w:sz="0" w:space="0" w:color="auto"/>
        <w:bottom w:val="none" w:sz="0" w:space="0" w:color="auto"/>
        <w:right w:val="none" w:sz="0" w:space="0" w:color="auto"/>
      </w:divBdr>
    </w:div>
    <w:div w:id="373966854">
      <w:bodyDiv w:val="1"/>
      <w:marLeft w:val="0"/>
      <w:marRight w:val="0"/>
      <w:marTop w:val="0"/>
      <w:marBottom w:val="0"/>
      <w:divBdr>
        <w:top w:val="none" w:sz="0" w:space="0" w:color="auto"/>
        <w:left w:val="none" w:sz="0" w:space="0" w:color="auto"/>
        <w:bottom w:val="none" w:sz="0" w:space="0" w:color="auto"/>
        <w:right w:val="none" w:sz="0" w:space="0" w:color="auto"/>
      </w:divBdr>
      <w:divsChild>
        <w:div w:id="1296176564">
          <w:marLeft w:val="0"/>
          <w:marRight w:val="0"/>
          <w:marTop w:val="0"/>
          <w:marBottom w:val="0"/>
          <w:divBdr>
            <w:top w:val="none" w:sz="0" w:space="0" w:color="auto"/>
            <w:left w:val="none" w:sz="0" w:space="0" w:color="auto"/>
            <w:bottom w:val="none" w:sz="0" w:space="0" w:color="auto"/>
            <w:right w:val="none" w:sz="0" w:space="0" w:color="auto"/>
          </w:divBdr>
          <w:divsChild>
            <w:div w:id="513417837">
              <w:marLeft w:val="0"/>
              <w:marRight w:val="0"/>
              <w:marTop w:val="0"/>
              <w:marBottom w:val="0"/>
              <w:divBdr>
                <w:top w:val="none" w:sz="0" w:space="0" w:color="auto"/>
                <w:left w:val="none" w:sz="0" w:space="0" w:color="auto"/>
                <w:bottom w:val="none" w:sz="0" w:space="0" w:color="auto"/>
                <w:right w:val="none" w:sz="0" w:space="0" w:color="auto"/>
              </w:divBdr>
              <w:divsChild>
                <w:div w:id="6024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611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5111684">
      <w:bodyDiv w:val="1"/>
      <w:marLeft w:val="0"/>
      <w:marRight w:val="0"/>
      <w:marTop w:val="0"/>
      <w:marBottom w:val="0"/>
      <w:divBdr>
        <w:top w:val="none" w:sz="0" w:space="0" w:color="auto"/>
        <w:left w:val="none" w:sz="0" w:space="0" w:color="auto"/>
        <w:bottom w:val="none" w:sz="0" w:space="0" w:color="auto"/>
        <w:right w:val="none" w:sz="0" w:space="0" w:color="auto"/>
      </w:divBdr>
      <w:divsChild>
        <w:div w:id="96826420">
          <w:marLeft w:val="0"/>
          <w:marRight w:val="0"/>
          <w:marTop w:val="0"/>
          <w:marBottom w:val="0"/>
          <w:divBdr>
            <w:top w:val="none" w:sz="0" w:space="0" w:color="auto"/>
            <w:left w:val="none" w:sz="0" w:space="0" w:color="auto"/>
            <w:bottom w:val="none" w:sz="0" w:space="0" w:color="auto"/>
            <w:right w:val="none" w:sz="0" w:space="0" w:color="auto"/>
          </w:divBdr>
          <w:divsChild>
            <w:div w:id="257062944">
              <w:marLeft w:val="0"/>
              <w:marRight w:val="0"/>
              <w:marTop w:val="0"/>
              <w:marBottom w:val="0"/>
              <w:divBdr>
                <w:top w:val="none" w:sz="0" w:space="0" w:color="auto"/>
                <w:left w:val="none" w:sz="0" w:space="0" w:color="auto"/>
                <w:bottom w:val="none" w:sz="0" w:space="0" w:color="auto"/>
                <w:right w:val="none" w:sz="0" w:space="0" w:color="auto"/>
              </w:divBdr>
              <w:divsChild>
                <w:div w:id="1943949338">
                  <w:marLeft w:val="0"/>
                  <w:marRight w:val="0"/>
                  <w:marTop w:val="0"/>
                  <w:marBottom w:val="0"/>
                  <w:divBdr>
                    <w:top w:val="none" w:sz="0" w:space="0" w:color="auto"/>
                    <w:left w:val="none" w:sz="0" w:space="0" w:color="auto"/>
                    <w:bottom w:val="none" w:sz="0" w:space="0" w:color="auto"/>
                    <w:right w:val="none" w:sz="0" w:space="0" w:color="auto"/>
                  </w:divBdr>
                  <w:divsChild>
                    <w:div w:id="1487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7884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2777333">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5931072">
      <w:bodyDiv w:val="1"/>
      <w:marLeft w:val="0"/>
      <w:marRight w:val="0"/>
      <w:marTop w:val="0"/>
      <w:marBottom w:val="0"/>
      <w:divBdr>
        <w:top w:val="none" w:sz="0" w:space="0" w:color="auto"/>
        <w:left w:val="none" w:sz="0" w:space="0" w:color="auto"/>
        <w:bottom w:val="none" w:sz="0" w:space="0" w:color="auto"/>
        <w:right w:val="none" w:sz="0" w:space="0" w:color="auto"/>
      </w:divBdr>
      <w:divsChild>
        <w:div w:id="1967855355">
          <w:marLeft w:val="0"/>
          <w:marRight w:val="0"/>
          <w:marTop w:val="0"/>
          <w:marBottom w:val="0"/>
          <w:divBdr>
            <w:top w:val="none" w:sz="0" w:space="0" w:color="auto"/>
            <w:left w:val="none" w:sz="0" w:space="0" w:color="auto"/>
            <w:bottom w:val="none" w:sz="0" w:space="0" w:color="auto"/>
            <w:right w:val="none" w:sz="0" w:space="0" w:color="auto"/>
          </w:divBdr>
          <w:divsChild>
            <w:div w:id="782697058">
              <w:marLeft w:val="0"/>
              <w:marRight w:val="0"/>
              <w:marTop w:val="0"/>
              <w:marBottom w:val="0"/>
              <w:divBdr>
                <w:top w:val="none" w:sz="0" w:space="0" w:color="auto"/>
                <w:left w:val="none" w:sz="0" w:space="0" w:color="auto"/>
                <w:bottom w:val="none" w:sz="0" w:space="0" w:color="auto"/>
                <w:right w:val="none" w:sz="0" w:space="0" w:color="auto"/>
              </w:divBdr>
              <w:divsChild>
                <w:div w:id="1756318486">
                  <w:marLeft w:val="0"/>
                  <w:marRight w:val="0"/>
                  <w:marTop w:val="0"/>
                  <w:marBottom w:val="0"/>
                  <w:divBdr>
                    <w:top w:val="none" w:sz="0" w:space="0" w:color="auto"/>
                    <w:left w:val="none" w:sz="0" w:space="0" w:color="auto"/>
                    <w:bottom w:val="none" w:sz="0" w:space="0" w:color="auto"/>
                    <w:right w:val="none" w:sz="0" w:space="0" w:color="auto"/>
                  </w:divBdr>
                  <w:divsChild>
                    <w:div w:id="1894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82857">
      <w:bodyDiv w:val="1"/>
      <w:marLeft w:val="0"/>
      <w:marRight w:val="0"/>
      <w:marTop w:val="0"/>
      <w:marBottom w:val="0"/>
      <w:divBdr>
        <w:top w:val="none" w:sz="0" w:space="0" w:color="auto"/>
        <w:left w:val="none" w:sz="0" w:space="0" w:color="auto"/>
        <w:bottom w:val="none" w:sz="0" w:space="0" w:color="auto"/>
        <w:right w:val="none" w:sz="0" w:space="0" w:color="auto"/>
      </w:divBdr>
      <w:divsChild>
        <w:div w:id="417991304">
          <w:marLeft w:val="0"/>
          <w:marRight w:val="0"/>
          <w:marTop w:val="0"/>
          <w:marBottom w:val="0"/>
          <w:divBdr>
            <w:top w:val="none" w:sz="0" w:space="0" w:color="auto"/>
            <w:left w:val="none" w:sz="0" w:space="0" w:color="auto"/>
            <w:bottom w:val="none" w:sz="0" w:space="0" w:color="auto"/>
            <w:right w:val="none" w:sz="0" w:space="0" w:color="auto"/>
          </w:divBdr>
          <w:divsChild>
            <w:div w:id="1769808792">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sChild>
                    <w:div w:id="13060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2740">
      <w:bodyDiv w:val="1"/>
      <w:marLeft w:val="0"/>
      <w:marRight w:val="0"/>
      <w:marTop w:val="0"/>
      <w:marBottom w:val="0"/>
      <w:divBdr>
        <w:top w:val="none" w:sz="0" w:space="0" w:color="auto"/>
        <w:left w:val="none" w:sz="0" w:space="0" w:color="auto"/>
        <w:bottom w:val="none" w:sz="0" w:space="0" w:color="auto"/>
        <w:right w:val="none" w:sz="0" w:space="0" w:color="auto"/>
      </w:divBdr>
      <w:divsChild>
        <w:div w:id="1687514987">
          <w:marLeft w:val="0"/>
          <w:marRight w:val="0"/>
          <w:marTop w:val="0"/>
          <w:marBottom w:val="0"/>
          <w:divBdr>
            <w:top w:val="none" w:sz="0" w:space="0" w:color="auto"/>
            <w:left w:val="none" w:sz="0" w:space="0" w:color="auto"/>
            <w:bottom w:val="none" w:sz="0" w:space="0" w:color="auto"/>
            <w:right w:val="none" w:sz="0" w:space="0" w:color="auto"/>
          </w:divBdr>
          <w:divsChild>
            <w:div w:id="1492911624">
              <w:marLeft w:val="0"/>
              <w:marRight w:val="0"/>
              <w:marTop w:val="0"/>
              <w:marBottom w:val="0"/>
              <w:divBdr>
                <w:top w:val="none" w:sz="0" w:space="0" w:color="auto"/>
                <w:left w:val="none" w:sz="0" w:space="0" w:color="auto"/>
                <w:bottom w:val="none" w:sz="0" w:space="0" w:color="auto"/>
                <w:right w:val="none" w:sz="0" w:space="0" w:color="auto"/>
              </w:divBdr>
              <w:divsChild>
                <w:div w:id="881212122">
                  <w:marLeft w:val="0"/>
                  <w:marRight w:val="0"/>
                  <w:marTop w:val="0"/>
                  <w:marBottom w:val="0"/>
                  <w:divBdr>
                    <w:top w:val="none" w:sz="0" w:space="0" w:color="auto"/>
                    <w:left w:val="none" w:sz="0" w:space="0" w:color="auto"/>
                    <w:bottom w:val="none" w:sz="0" w:space="0" w:color="auto"/>
                    <w:right w:val="none" w:sz="0" w:space="0" w:color="auto"/>
                  </w:divBdr>
                </w:div>
                <w:div w:id="8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0749">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9">
          <w:marLeft w:val="0"/>
          <w:marRight w:val="0"/>
          <w:marTop w:val="0"/>
          <w:marBottom w:val="0"/>
          <w:divBdr>
            <w:top w:val="none" w:sz="0" w:space="0" w:color="auto"/>
            <w:left w:val="none" w:sz="0" w:space="0" w:color="auto"/>
            <w:bottom w:val="none" w:sz="0" w:space="0" w:color="auto"/>
            <w:right w:val="none" w:sz="0" w:space="0" w:color="auto"/>
          </w:divBdr>
          <w:divsChild>
            <w:div w:id="107895210">
              <w:marLeft w:val="0"/>
              <w:marRight w:val="0"/>
              <w:marTop w:val="0"/>
              <w:marBottom w:val="0"/>
              <w:divBdr>
                <w:top w:val="none" w:sz="0" w:space="0" w:color="auto"/>
                <w:left w:val="none" w:sz="0" w:space="0" w:color="auto"/>
                <w:bottom w:val="none" w:sz="0" w:space="0" w:color="auto"/>
                <w:right w:val="none" w:sz="0" w:space="0" w:color="auto"/>
              </w:divBdr>
              <w:divsChild>
                <w:div w:id="1119030983">
                  <w:marLeft w:val="0"/>
                  <w:marRight w:val="0"/>
                  <w:marTop w:val="0"/>
                  <w:marBottom w:val="0"/>
                  <w:divBdr>
                    <w:top w:val="none" w:sz="0" w:space="0" w:color="auto"/>
                    <w:left w:val="none" w:sz="0" w:space="0" w:color="auto"/>
                    <w:bottom w:val="none" w:sz="0" w:space="0" w:color="auto"/>
                    <w:right w:val="none" w:sz="0" w:space="0" w:color="auto"/>
                  </w:divBdr>
                  <w:divsChild>
                    <w:div w:id="8251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5784383">
      <w:bodyDiv w:val="1"/>
      <w:marLeft w:val="0"/>
      <w:marRight w:val="0"/>
      <w:marTop w:val="0"/>
      <w:marBottom w:val="0"/>
      <w:divBdr>
        <w:top w:val="none" w:sz="0" w:space="0" w:color="auto"/>
        <w:left w:val="none" w:sz="0" w:space="0" w:color="auto"/>
        <w:bottom w:val="none" w:sz="0" w:space="0" w:color="auto"/>
        <w:right w:val="none" w:sz="0" w:space="0" w:color="auto"/>
      </w:divBdr>
      <w:divsChild>
        <w:div w:id="657537075">
          <w:marLeft w:val="0"/>
          <w:marRight w:val="0"/>
          <w:marTop w:val="0"/>
          <w:marBottom w:val="0"/>
          <w:divBdr>
            <w:top w:val="none" w:sz="0" w:space="0" w:color="auto"/>
            <w:left w:val="none" w:sz="0" w:space="0" w:color="auto"/>
            <w:bottom w:val="none" w:sz="0" w:space="0" w:color="auto"/>
            <w:right w:val="none" w:sz="0" w:space="0" w:color="auto"/>
          </w:divBdr>
          <w:divsChild>
            <w:div w:id="625891785">
              <w:marLeft w:val="0"/>
              <w:marRight w:val="0"/>
              <w:marTop w:val="0"/>
              <w:marBottom w:val="0"/>
              <w:divBdr>
                <w:top w:val="none" w:sz="0" w:space="0" w:color="auto"/>
                <w:left w:val="none" w:sz="0" w:space="0" w:color="auto"/>
                <w:bottom w:val="none" w:sz="0" w:space="0" w:color="auto"/>
                <w:right w:val="none" w:sz="0" w:space="0" w:color="auto"/>
              </w:divBdr>
              <w:divsChild>
                <w:div w:id="155263516">
                  <w:marLeft w:val="0"/>
                  <w:marRight w:val="0"/>
                  <w:marTop w:val="0"/>
                  <w:marBottom w:val="0"/>
                  <w:divBdr>
                    <w:top w:val="none" w:sz="0" w:space="0" w:color="auto"/>
                    <w:left w:val="none" w:sz="0" w:space="0" w:color="auto"/>
                    <w:bottom w:val="none" w:sz="0" w:space="0" w:color="auto"/>
                    <w:right w:val="none" w:sz="0" w:space="0" w:color="auto"/>
                  </w:divBdr>
                  <w:divsChild>
                    <w:div w:id="671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4651">
      <w:bodyDiv w:val="1"/>
      <w:marLeft w:val="0"/>
      <w:marRight w:val="0"/>
      <w:marTop w:val="0"/>
      <w:marBottom w:val="0"/>
      <w:divBdr>
        <w:top w:val="none" w:sz="0" w:space="0" w:color="auto"/>
        <w:left w:val="none" w:sz="0" w:space="0" w:color="auto"/>
        <w:bottom w:val="none" w:sz="0" w:space="0" w:color="auto"/>
        <w:right w:val="none" w:sz="0" w:space="0" w:color="auto"/>
      </w:divBdr>
      <w:divsChild>
        <w:div w:id="1797217274">
          <w:marLeft w:val="0"/>
          <w:marRight w:val="0"/>
          <w:marTop w:val="0"/>
          <w:marBottom w:val="0"/>
          <w:divBdr>
            <w:top w:val="none" w:sz="0" w:space="0" w:color="auto"/>
            <w:left w:val="none" w:sz="0" w:space="0" w:color="auto"/>
            <w:bottom w:val="none" w:sz="0" w:space="0" w:color="auto"/>
            <w:right w:val="none" w:sz="0" w:space="0" w:color="auto"/>
          </w:divBdr>
          <w:divsChild>
            <w:div w:id="12418013">
              <w:marLeft w:val="0"/>
              <w:marRight w:val="0"/>
              <w:marTop w:val="0"/>
              <w:marBottom w:val="0"/>
              <w:divBdr>
                <w:top w:val="none" w:sz="0" w:space="0" w:color="auto"/>
                <w:left w:val="none" w:sz="0" w:space="0" w:color="auto"/>
                <w:bottom w:val="none" w:sz="0" w:space="0" w:color="auto"/>
                <w:right w:val="none" w:sz="0" w:space="0" w:color="auto"/>
              </w:divBdr>
              <w:divsChild>
                <w:div w:id="20731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7075">
      <w:bodyDiv w:val="1"/>
      <w:marLeft w:val="0"/>
      <w:marRight w:val="0"/>
      <w:marTop w:val="0"/>
      <w:marBottom w:val="0"/>
      <w:divBdr>
        <w:top w:val="none" w:sz="0" w:space="0" w:color="auto"/>
        <w:left w:val="none" w:sz="0" w:space="0" w:color="auto"/>
        <w:bottom w:val="none" w:sz="0" w:space="0" w:color="auto"/>
        <w:right w:val="none" w:sz="0" w:space="0" w:color="auto"/>
      </w:divBdr>
      <w:divsChild>
        <w:div w:id="1075592961">
          <w:marLeft w:val="0"/>
          <w:marRight w:val="0"/>
          <w:marTop w:val="0"/>
          <w:marBottom w:val="0"/>
          <w:divBdr>
            <w:top w:val="none" w:sz="0" w:space="0" w:color="auto"/>
            <w:left w:val="none" w:sz="0" w:space="0" w:color="auto"/>
            <w:bottom w:val="none" w:sz="0" w:space="0" w:color="auto"/>
            <w:right w:val="none" w:sz="0" w:space="0" w:color="auto"/>
          </w:divBdr>
          <w:divsChild>
            <w:div w:id="1631738211">
              <w:marLeft w:val="0"/>
              <w:marRight w:val="0"/>
              <w:marTop w:val="0"/>
              <w:marBottom w:val="0"/>
              <w:divBdr>
                <w:top w:val="none" w:sz="0" w:space="0" w:color="auto"/>
                <w:left w:val="none" w:sz="0" w:space="0" w:color="auto"/>
                <w:bottom w:val="none" w:sz="0" w:space="0" w:color="auto"/>
                <w:right w:val="none" w:sz="0" w:space="0" w:color="auto"/>
              </w:divBdr>
              <w:divsChild>
                <w:div w:id="4251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2905">
      <w:bodyDiv w:val="1"/>
      <w:marLeft w:val="0"/>
      <w:marRight w:val="0"/>
      <w:marTop w:val="0"/>
      <w:marBottom w:val="0"/>
      <w:divBdr>
        <w:top w:val="none" w:sz="0" w:space="0" w:color="auto"/>
        <w:left w:val="none" w:sz="0" w:space="0" w:color="auto"/>
        <w:bottom w:val="none" w:sz="0" w:space="0" w:color="auto"/>
        <w:right w:val="none" w:sz="0" w:space="0" w:color="auto"/>
      </w:divBdr>
      <w:divsChild>
        <w:div w:id="96365082">
          <w:marLeft w:val="0"/>
          <w:marRight w:val="0"/>
          <w:marTop w:val="0"/>
          <w:marBottom w:val="0"/>
          <w:divBdr>
            <w:top w:val="none" w:sz="0" w:space="0" w:color="auto"/>
            <w:left w:val="none" w:sz="0" w:space="0" w:color="auto"/>
            <w:bottom w:val="none" w:sz="0" w:space="0" w:color="auto"/>
            <w:right w:val="none" w:sz="0" w:space="0" w:color="auto"/>
          </w:divBdr>
          <w:divsChild>
            <w:div w:id="1270504374">
              <w:marLeft w:val="0"/>
              <w:marRight w:val="0"/>
              <w:marTop w:val="0"/>
              <w:marBottom w:val="0"/>
              <w:divBdr>
                <w:top w:val="none" w:sz="0" w:space="0" w:color="auto"/>
                <w:left w:val="none" w:sz="0" w:space="0" w:color="auto"/>
                <w:bottom w:val="none" w:sz="0" w:space="0" w:color="auto"/>
                <w:right w:val="none" w:sz="0" w:space="0" w:color="auto"/>
              </w:divBdr>
              <w:divsChild>
                <w:div w:id="680858794">
                  <w:marLeft w:val="0"/>
                  <w:marRight w:val="0"/>
                  <w:marTop w:val="0"/>
                  <w:marBottom w:val="0"/>
                  <w:divBdr>
                    <w:top w:val="none" w:sz="0" w:space="0" w:color="auto"/>
                    <w:left w:val="none" w:sz="0" w:space="0" w:color="auto"/>
                    <w:bottom w:val="none" w:sz="0" w:space="0" w:color="auto"/>
                    <w:right w:val="none" w:sz="0" w:space="0" w:color="auto"/>
                  </w:divBdr>
                  <w:divsChild>
                    <w:div w:id="13324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97980">
      <w:bodyDiv w:val="1"/>
      <w:marLeft w:val="0"/>
      <w:marRight w:val="0"/>
      <w:marTop w:val="0"/>
      <w:marBottom w:val="0"/>
      <w:divBdr>
        <w:top w:val="none" w:sz="0" w:space="0" w:color="auto"/>
        <w:left w:val="none" w:sz="0" w:space="0" w:color="auto"/>
        <w:bottom w:val="none" w:sz="0" w:space="0" w:color="auto"/>
        <w:right w:val="none" w:sz="0" w:space="0" w:color="auto"/>
      </w:divBdr>
      <w:divsChild>
        <w:div w:id="2440720">
          <w:marLeft w:val="0"/>
          <w:marRight w:val="0"/>
          <w:marTop w:val="0"/>
          <w:marBottom w:val="0"/>
          <w:divBdr>
            <w:top w:val="none" w:sz="0" w:space="0" w:color="auto"/>
            <w:left w:val="none" w:sz="0" w:space="0" w:color="auto"/>
            <w:bottom w:val="none" w:sz="0" w:space="0" w:color="auto"/>
            <w:right w:val="none" w:sz="0" w:space="0" w:color="auto"/>
          </w:divBdr>
          <w:divsChild>
            <w:div w:id="1631472842">
              <w:marLeft w:val="0"/>
              <w:marRight w:val="0"/>
              <w:marTop w:val="0"/>
              <w:marBottom w:val="0"/>
              <w:divBdr>
                <w:top w:val="none" w:sz="0" w:space="0" w:color="auto"/>
                <w:left w:val="none" w:sz="0" w:space="0" w:color="auto"/>
                <w:bottom w:val="none" w:sz="0" w:space="0" w:color="auto"/>
                <w:right w:val="none" w:sz="0" w:space="0" w:color="auto"/>
              </w:divBdr>
              <w:divsChild>
                <w:div w:id="956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27121488">
      <w:bodyDiv w:val="1"/>
      <w:marLeft w:val="0"/>
      <w:marRight w:val="0"/>
      <w:marTop w:val="0"/>
      <w:marBottom w:val="0"/>
      <w:divBdr>
        <w:top w:val="none" w:sz="0" w:space="0" w:color="auto"/>
        <w:left w:val="none" w:sz="0" w:space="0" w:color="auto"/>
        <w:bottom w:val="none" w:sz="0" w:space="0" w:color="auto"/>
        <w:right w:val="none" w:sz="0" w:space="0" w:color="auto"/>
      </w:divBdr>
      <w:divsChild>
        <w:div w:id="575483254">
          <w:marLeft w:val="0"/>
          <w:marRight w:val="0"/>
          <w:marTop w:val="0"/>
          <w:marBottom w:val="0"/>
          <w:divBdr>
            <w:top w:val="none" w:sz="0" w:space="0" w:color="auto"/>
            <w:left w:val="none" w:sz="0" w:space="0" w:color="auto"/>
            <w:bottom w:val="none" w:sz="0" w:space="0" w:color="auto"/>
            <w:right w:val="none" w:sz="0" w:space="0" w:color="auto"/>
          </w:divBdr>
          <w:divsChild>
            <w:div w:id="115805950">
              <w:marLeft w:val="0"/>
              <w:marRight w:val="0"/>
              <w:marTop w:val="0"/>
              <w:marBottom w:val="0"/>
              <w:divBdr>
                <w:top w:val="none" w:sz="0" w:space="0" w:color="auto"/>
                <w:left w:val="none" w:sz="0" w:space="0" w:color="auto"/>
                <w:bottom w:val="none" w:sz="0" w:space="0" w:color="auto"/>
                <w:right w:val="none" w:sz="0" w:space="0" w:color="auto"/>
              </w:divBdr>
              <w:divsChild>
                <w:div w:id="9548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41058">
      <w:bodyDiv w:val="1"/>
      <w:marLeft w:val="0"/>
      <w:marRight w:val="0"/>
      <w:marTop w:val="0"/>
      <w:marBottom w:val="0"/>
      <w:divBdr>
        <w:top w:val="none" w:sz="0" w:space="0" w:color="auto"/>
        <w:left w:val="none" w:sz="0" w:space="0" w:color="auto"/>
        <w:bottom w:val="none" w:sz="0" w:space="0" w:color="auto"/>
        <w:right w:val="none" w:sz="0" w:space="0" w:color="auto"/>
      </w:divBdr>
    </w:div>
    <w:div w:id="435951472">
      <w:bodyDiv w:val="1"/>
      <w:marLeft w:val="0"/>
      <w:marRight w:val="0"/>
      <w:marTop w:val="0"/>
      <w:marBottom w:val="0"/>
      <w:divBdr>
        <w:top w:val="none" w:sz="0" w:space="0" w:color="auto"/>
        <w:left w:val="none" w:sz="0" w:space="0" w:color="auto"/>
        <w:bottom w:val="none" w:sz="0" w:space="0" w:color="auto"/>
        <w:right w:val="none" w:sz="0" w:space="0" w:color="auto"/>
      </w:divBdr>
      <w:divsChild>
        <w:div w:id="868446200">
          <w:marLeft w:val="0"/>
          <w:marRight w:val="0"/>
          <w:marTop w:val="0"/>
          <w:marBottom w:val="0"/>
          <w:divBdr>
            <w:top w:val="none" w:sz="0" w:space="0" w:color="auto"/>
            <w:left w:val="none" w:sz="0" w:space="0" w:color="auto"/>
            <w:bottom w:val="none" w:sz="0" w:space="0" w:color="auto"/>
            <w:right w:val="none" w:sz="0" w:space="0" w:color="auto"/>
          </w:divBdr>
          <w:divsChild>
            <w:div w:id="526793310">
              <w:marLeft w:val="0"/>
              <w:marRight w:val="0"/>
              <w:marTop w:val="0"/>
              <w:marBottom w:val="0"/>
              <w:divBdr>
                <w:top w:val="none" w:sz="0" w:space="0" w:color="auto"/>
                <w:left w:val="none" w:sz="0" w:space="0" w:color="auto"/>
                <w:bottom w:val="none" w:sz="0" w:space="0" w:color="auto"/>
                <w:right w:val="none" w:sz="0" w:space="0" w:color="auto"/>
              </w:divBdr>
              <w:divsChild>
                <w:div w:id="16814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0054620">
      <w:bodyDiv w:val="1"/>
      <w:marLeft w:val="0"/>
      <w:marRight w:val="0"/>
      <w:marTop w:val="0"/>
      <w:marBottom w:val="0"/>
      <w:divBdr>
        <w:top w:val="none" w:sz="0" w:space="0" w:color="auto"/>
        <w:left w:val="none" w:sz="0" w:space="0" w:color="auto"/>
        <w:bottom w:val="none" w:sz="0" w:space="0" w:color="auto"/>
        <w:right w:val="none" w:sz="0" w:space="0" w:color="auto"/>
      </w:divBdr>
      <w:divsChild>
        <w:div w:id="1740245994">
          <w:marLeft w:val="0"/>
          <w:marRight w:val="0"/>
          <w:marTop w:val="0"/>
          <w:marBottom w:val="0"/>
          <w:divBdr>
            <w:top w:val="none" w:sz="0" w:space="0" w:color="auto"/>
            <w:left w:val="none" w:sz="0" w:space="0" w:color="auto"/>
            <w:bottom w:val="none" w:sz="0" w:space="0" w:color="auto"/>
            <w:right w:val="none" w:sz="0" w:space="0" w:color="auto"/>
          </w:divBdr>
          <w:divsChild>
            <w:div w:id="503712157">
              <w:marLeft w:val="0"/>
              <w:marRight w:val="0"/>
              <w:marTop w:val="0"/>
              <w:marBottom w:val="0"/>
              <w:divBdr>
                <w:top w:val="none" w:sz="0" w:space="0" w:color="auto"/>
                <w:left w:val="none" w:sz="0" w:space="0" w:color="auto"/>
                <w:bottom w:val="none" w:sz="0" w:space="0" w:color="auto"/>
                <w:right w:val="none" w:sz="0" w:space="0" w:color="auto"/>
              </w:divBdr>
              <w:divsChild>
                <w:div w:id="35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95783">
      <w:bodyDiv w:val="1"/>
      <w:marLeft w:val="0"/>
      <w:marRight w:val="0"/>
      <w:marTop w:val="0"/>
      <w:marBottom w:val="0"/>
      <w:divBdr>
        <w:top w:val="none" w:sz="0" w:space="0" w:color="auto"/>
        <w:left w:val="none" w:sz="0" w:space="0" w:color="auto"/>
        <w:bottom w:val="none" w:sz="0" w:space="0" w:color="auto"/>
        <w:right w:val="none" w:sz="0" w:space="0" w:color="auto"/>
      </w:divBdr>
      <w:divsChild>
        <w:div w:id="1764034421">
          <w:marLeft w:val="0"/>
          <w:marRight w:val="0"/>
          <w:marTop w:val="0"/>
          <w:marBottom w:val="0"/>
          <w:divBdr>
            <w:top w:val="none" w:sz="0" w:space="0" w:color="auto"/>
            <w:left w:val="none" w:sz="0" w:space="0" w:color="auto"/>
            <w:bottom w:val="none" w:sz="0" w:space="0" w:color="auto"/>
            <w:right w:val="none" w:sz="0" w:space="0" w:color="auto"/>
          </w:divBdr>
          <w:divsChild>
            <w:div w:id="1112166455">
              <w:marLeft w:val="0"/>
              <w:marRight w:val="0"/>
              <w:marTop w:val="0"/>
              <w:marBottom w:val="0"/>
              <w:divBdr>
                <w:top w:val="none" w:sz="0" w:space="0" w:color="auto"/>
                <w:left w:val="none" w:sz="0" w:space="0" w:color="auto"/>
                <w:bottom w:val="none" w:sz="0" w:space="0" w:color="auto"/>
                <w:right w:val="none" w:sz="0" w:space="0" w:color="auto"/>
              </w:divBdr>
              <w:divsChild>
                <w:div w:id="1369841017">
                  <w:marLeft w:val="0"/>
                  <w:marRight w:val="0"/>
                  <w:marTop w:val="0"/>
                  <w:marBottom w:val="0"/>
                  <w:divBdr>
                    <w:top w:val="none" w:sz="0" w:space="0" w:color="auto"/>
                    <w:left w:val="none" w:sz="0" w:space="0" w:color="auto"/>
                    <w:bottom w:val="none" w:sz="0" w:space="0" w:color="auto"/>
                    <w:right w:val="none" w:sz="0" w:space="0" w:color="auto"/>
                  </w:divBdr>
                  <w:divsChild>
                    <w:div w:id="13134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492">
      <w:bodyDiv w:val="1"/>
      <w:marLeft w:val="0"/>
      <w:marRight w:val="0"/>
      <w:marTop w:val="0"/>
      <w:marBottom w:val="0"/>
      <w:divBdr>
        <w:top w:val="none" w:sz="0" w:space="0" w:color="auto"/>
        <w:left w:val="none" w:sz="0" w:space="0" w:color="auto"/>
        <w:bottom w:val="none" w:sz="0" w:space="0" w:color="auto"/>
        <w:right w:val="none" w:sz="0" w:space="0" w:color="auto"/>
      </w:divBdr>
      <w:divsChild>
        <w:div w:id="1564245659">
          <w:marLeft w:val="0"/>
          <w:marRight w:val="0"/>
          <w:marTop w:val="0"/>
          <w:marBottom w:val="0"/>
          <w:divBdr>
            <w:top w:val="none" w:sz="0" w:space="0" w:color="auto"/>
            <w:left w:val="none" w:sz="0" w:space="0" w:color="auto"/>
            <w:bottom w:val="none" w:sz="0" w:space="0" w:color="auto"/>
            <w:right w:val="none" w:sz="0" w:space="0" w:color="auto"/>
          </w:divBdr>
          <w:divsChild>
            <w:div w:id="1998218880">
              <w:marLeft w:val="0"/>
              <w:marRight w:val="0"/>
              <w:marTop w:val="0"/>
              <w:marBottom w:val="0"/>
              <w:divBdr>
                <w:top w:val="none" w:sz="0" w:space="0" w:color="auto"/>
                <w:left w:val="none" w:sz="0" w:space="0" w:color="auto"/>
                <w:bottom w:val="none" w:sz="0" w:space="0" w:color="auto"/>
                <w:right w:val="none" w:sz="0" w:space="0" w:color="auto"/>
              </w:divBdr>
              <w:divsChild>
                <w:div w:id="1530683245">
                  <w:marLeft w:val="0"/>
                  <w:marRight w:val="0"/>
                  <w:marTop w:val="0"/>
                  <w:marBottom w:val="0"/>
                  <w:divBdr>
                    <w:top w:val="none" w:sz="0" w:space="0" w:color="auto"/>
                    <w:left w:val="none" w:sz="0" w:space="0" w:color="auto"/>
                    <w:bottom w:val="none" w:sz="0" w:space="0" w:color="auto"/>
                    <w:right w:val="none" w:sz="0" w:space="0" w:color="auto"/>
                  </w:divBdr>
                  <w:divsChild>
                    <w:div w:id="5487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5302">
      <w:bodyDiv w:val="1"/>
      <w:marLeft w:val="0"/>
      <w:marRight w:val="0"/>
      <w:marTop w:val="0"/>
      <w:marBottom w:val="0"/>
      <w:divBdr>
        <w:top w:val="none" w:sz="0" w:space="0" w:color="auto"/>
        <w:left w:val="none" w:sz="0" w:space="0" w:color="auto"/>
        <w:bottom w:val="none" w:sz="0" w:space="0" w:color="auto"/>
        <w:right w:val="none" w:sz="0" w:space="0" w:color="auto"/>
      </w:divBdr>
      <w:divsChild>
        <w:div w:id="121584114">
          <w:marLeft w:val="0"/>
          <w:marRight w:val="0"/>
          <w:marTop w:val="0"/>
          <w:marBottom w:val="0"/>
          <w:divBdr>
            <w:top w:val="none" w:sz="0" w:space="0" w:color="auto"/>
            <w:left w:val="none" w:sz="0" w:space="0" w:color="auto"/>
            <w:bottom w:val="none" w:sz="0" w:space="0" w:color="auto"/>
            <w:right w:val="none" w:sz="0" w:space="0" w:color="auto"/>
          </w:divBdr>
          <w:divsChild>
            <w:div w:id="1441561178">
              <w:marLeft w:val="0"/>
              <w:marRight w:val="0"/>
              <w:marTop w:val="0"/>
              <w:marBottom w:val="0"/>
              <w:divBdr>
                <w:top w:val="none" w:sz="0" w:space="0" w:color="auto"/>
                <w:left w:val="none" w:sz="0" w:space="0" w:color="auto"/>
                <w:bottom w:val="none" w:sz="0" w:space="0" w:color="auto"/>
                <w:right w:val="none" w:sz="0" w:space="0" w:color="auto"/>
              </w:divBdr>
              <w:divsChild>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6733">
      <w:bodyDiv w:val="1"/>
      <w:marLeft w:val="0"/>
      <w:marRight w:val="0"/>
      <w:marTop w:val="0"/>
      <w:marBottom w:val="0"/>
      <w:divBdr>
        <w:top w:val="none" w:sz="0" w:space="0" w:color="auto"/>
        <w:left w:val="none" w:sz="0" w:space="0" w:color="auto"/>
        <w:bottom w:val="none" w:sz="0" w:space="0" w:color="auto"/>
        <w:right w:val="none" w:sz="0" w:space="0" w:color="auto"/>
      </w:divBdr>
    </w:div>
    <w:div w:id="477259695">
      <w:bodyDiv w:val="1"/>
      <w:marLeft w:val="0"/>
      <w:marRight w:val="0"/>
      <w:marTop w:val="0"/>
      <w:marBottom w:val="0"/>
      <w:divBdr>
        <w:top w:val="none" w:sz="0" w:space="0" w:color="auto"/>
        <w:left w:val="none" w:sz="0" w:space="0" w:color="auto"/>
        <w:bottom w:val="none" w:sz="0" w:space="0" w:color="auto"/>
        <w:right w:val="none" w:sz="0" w:space="0" w:color="auto"/>
      </w:divBdr>
      <w:divsChild>
        <w:div w:id="866716103">
          <w:marLeft w:val="0"/>
          <w:marRight w:val="0"/>
          <w:marTop w:val="0"/>
          <w:marBottom w:val="0"/>
          <w:divBdr>
            <w:top w:val="single" w:sz="2" w:space="0" w:color="auto"/>
            <w:left w:val="single" w:sz="2" w:space="0" w:color="auto"/>
            <w:bottom w:val="single" w:sz="2" w:space="0" w:color="auto"/>
            <w:right w:val="single" w:sz="2" w:space="0" w:color="auto"/>
          </w:divBdr>
        </w:div>
        <w:div w:id="1660648892">
          <w:marLeft w:val="0"/>
          <w:marRight w:val="0"/>
          <w:marTop w:val="0"/>
          <w:marBottom w:val="0"/>
          <w:divBdr>
            <w:top w:val="single" w:sz="2" w:space="5" w:color="auto"/>
            <w:left w:val="single" w:sz="2" w:space="0" w:color="auto"/>
            <w:bottom w:val="single" w:sz="2" w:space="5" w:color="auto"/>
            <w:right w:val="single" w:sz="2" w:space="0" w:color="auto"/>
          </w:divBdr>
        </w:div>
      </w:divsChild>
    </w:div>
    <w:div w:id="477379649">
      <w:bodyDiv w:val="1"/>
      <w:marLeft w:val="0"/>
      <w:marRight w:val="0"/>
      <w:marTop w:val="0"/>
      <w:marBottom w:val="0"/>
      <w:divBdr>
        <w:top w:val="none" w:sz="0" w:space="0" w:color="auto"/>
        <w:left w:val="none" w:sz="0" w:space="0" w:color="auto"/>
        <w:bottom w:val="none" w:sz="0" w:space="0" w:color="auto"/>
        <w:right w:val="none" w:sz="0" w:space="0" w:color="auto"/>
      </w:divBdr>
    </w:div>
    <w:div w:id="482280131">
      <w:bodyDiv w:val="1"/>
      <w:marLeft w:val="0"/>
      <w:marRight w:val="0"/>
      <w:marTop w:val="0"/>
      <w:marBottom w:val="0"/>
      <w:divBdr>
        <w:top w:val="none" w:sz="0" w:space="0" w:color="auto"/>
        <w:left w:val="none" w:sz="0" w:space="0" w:color="auto"/>
        <w:bottom w:val="none" w:sz="0" w:space="0" w:color="auto"/>
        <w:right w:val="none" w:sz="0" w:space="0" w:color="auto"/>
      </w:divBdr>
      <w:divsChild>
        <w:div w:id="600381032">
          <w:marLeft w:val="0"/>
          <w:marRight w:val="0"/>
          <w:marTop w:val="0"/>
          <w:marBottom w:val="0"/>
          <w:divBdr>
            <w:top w:val="none" w:sz="0" w:space="0" w:color="auto"/>
            <w:left w:val="none" w:sz="0" w:space="0" w:color="auto"/>
            <w:bottom w:val="none" w:sz="0" w:space="0" w:color="auto"/>
            <w:right w:val="none" w:sz="0" w:space="0" w:color="auto"/>
          </w:divBdr>
          <w:divsChild>
            <w:div w:id="144398610">
              <w:marLeft w:val="0"/>
              <w:marRight w:val="0"/>
              <w:marTop w:val="0"/>
              <w:marBottom w:val="0"/>
              <w:divBdr>
                <w:top w:val="none" w:sz="0" w:space="0" w:color="auto"/>
                <w:left w:val="none" w:sz="0" w:space="0" w:color="auto"/>
                <w:bottom w:val="none" w:sz="0" w:space="0" w:color="auto"/>
                <w:right w:val="none" w:sz="0" w:space="0" w:color="auto"/>
              </w:divBdr>
              <w:divsChild>
                <w:div w:id="2510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0148">
      <w:bodyDiv w:val="1"/>
      <w:marLeft w:val="0"/>
      <w:marRight w:val="0"/>
      <w:marTop w:val="0"/>
      <w:marBottom w:val="0"/>
      <w:divBdr>
        <w:top w:val="none" w:sz="0" w:space="0" w:color="auto"/>
        <w:left w:val="none" w:sz="0" w:space="0" w:color="auto"/>
        <w:bottom w:val="none" w:sz="0" w:space="0" w:color="auto"/>
        <w:right w:val="none" w:sz="0" w:space="0" w:color="auto"/>
      </w:divBdr>
      <w:divsChild>
        <w:div w:id="81027176">
          <w:marLeft w:val="0"/>
          <w:marRight w:val="0"/>
          <w:marTop w:val="0"/>
          <w:marBottom w:val="0"/>
          <w:divBdr>
            <w:top w:val="none" w:sz="0" w:space="0" w:color="auto"/>
            <w:left w:val="none" w:sz="0" w:space="0" w:color="auto"/>
            <w:bottom w:val="none" w:sz="0" w:space="0" w:color="auto"/>
            <w:right w:val="none" w:sz="0" w:space="0" w:color="auto"/>
          </w:divBdr>
          <w:divsChild>
            <w:div w:id="271016396">
              <w:marLeft w:val="0"/>
              <w:marRight w:val="0"/>
              <w:marTop w:val="0"/>
              <w:marBottom w:val="0"/>
              <w:divBdr>
                <w:top w:val="none" w:sz="0" w:space="0" w:color="auto"/>
                <w:left w:val="none" w:sz="0" w:space="0" w:color="auto"/>
                <w:bottom w:val="none" w:sz="0" w:space="0" w:color="auto"/>
                <w:right w:val="none" w:sz="0" w:space="0" w:color="auto"/>
              </w:divBdr>
              <w:divsChild>
                <w:div w:id="2472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4489">
      <w:bodyDiv w:val="1"/>
      <w:marLeft w:val="0"/>
      <w:marRight w:val="0"/>
      <w:marTop w:val="0"/>
      <w:marBottom w:val="0"/>
      <w:divBdr>
        <w:top w:val="none" w:sz="0" w:space="0" w:color="auto"/>
        <w:left w:val="none" w:sz="0" w:space="0" w:color="auto"/>
        <w:bottom w:val="none" w:sz="0" w:space="0" w:color="auto"/>
        <w:right w:val="none" w:sz="0" w:space="0" w:color="auto"/>
      </w:divBdr>
    </w:div>
    <w:div w:id="491674987">
      <w:bodyDiv w:val="1"/>
      <w:marLeft w:val="0"/>
      <w:marRight w:val="0"/>
      <w:marTop w:val="0"/>
      <w:marBottom w:val="0"/>
      <w:divBdr>
        <w:top w:val="none" w:sz="0" w:space="0" w:color="auto"/>
        <w:left w:val="none" w:sz="0" w:space="0" w:color="auto"/>
        <w:bottom w:val="none" w:sz="0" w:space="0" w:color="auto"/>
        <w:right w:val="none" w:sz="0" w:space="0" w:color="auto"/>
      </w:divBdr>
    </w:div>
    <w:div w:id="492263266">
      <w:bodyDiv w:val="1"/>
      <w:marLeft w:val="0"/>
      <w:marRight w:val="0"/>
      <w:marTop w:val="0"/>
      <w:marBottom w:val="0"/>
      <w:divBdr>
        <w:top w:val="none" w:sz="0" w:space="0" w:color="auto"/>
        <w:left w:val="none" w:sz="0" w:space="0" w:color="auto"/>
        <w:bottom w:val="none" w:sz="0" w:space="0" w:color="auto"/>
        <w:right w:val="none" w:sz="0" w:space="0" w:color="auto"/>
      </w:divBdr>
      <w:divsChild>
        <w:div w:id="1186864494">
          <w:marLeft w:val="0"/>
          <w:marRight w:val="0"/>
          <w:marTop w:val="0"/>
          <w:marBottom w:val="0"/>
          <w:divBdr>
            <w:top w:val="none" w:sz="0" w:space="0" w:color="auto"/>
            <w:left w:val="none" w:sz="0" w:space="0" w:color="auto"/>
            <w:bottom w:val="none" w:sz="0" w:space="0" w:color="auto"/>
            <w:right w:val="none" w:sz="0" w:space="0" w:color="auto"/>
          </w:divBdr>
          <w:divsChild>
            <w:div w:id="964772317">
              <w:marLeft w:val="0"/>
              <w:marRight w:val="0"/>
              <w:marTop w:val="0"/>
              <w:marBottom w:val="0"/>
              <w:divBdr>
                <w:top w:val="none" w:sz="0" w:space="0" w:color="auto"/>
                <w:left w:val="none" w:sz="0" w:space="0" w:color="auto"/>
                <w:bottom w:val="none" w:sz="0" w:space="0" w:color="auto"/>
                <w:right w:val="none" w:sz="0" w:space="0" w:color="auto"/>
              </w:divBdr>
              <w:divsChild>
                <w:div w:id="277032227">
                  <w:marLeft w:val="0"/>
                  <w:marRight w:val="0"/>
                  <w:marTop w:val="0"/>
                  <w:marBottom w:val="0"/>
                  <w:divBdr>
                    <w:top w:val="none" w:sz="0" w:space="0" w:color="auto"/>
                    <w:left w:val="none" w:sz="0" w:space="0" w:color="auto"/>
                    <w:bottom w:val="none" w:sz="0" w:space="0" w:color="auto"/>
                    <w:right w:val="none" w:sz="0" w:space="0" w:color="auto"/>
                  </w:divBdr>
                  <w:divsChild>
                    <w:div w:id="1519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3492">
      <w:bodyDiv w:val="1"/>
      <w:marLeft w:val="0"/>
      <w:marRight w:val="0"/>
      <w:marTop w:val="0"/>
      <w:marBottom w:val="0"/>
      <w:divBdr>
        <w:top w:val="none" w:sz="0" w:space="0" w:color="auto"/>
        <w:left w:val="none" w:sz="0" w:space="0" w:color="auto"/>
        <w:bottom w:val="none" w:sz="0" w:space="0" w:color="auto"/>
        <w:right w:val="none" w:sz="0" w:space="0" w:color="auto"/>
      </w:divBdr>
    </w:div>
    <w:div w:id="495339649">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498079455">
      <w:bodyDiv w:val="1"/>
      <w:marLeft w:val="0"/>
      <w:marRight w:val="0"/>
      <w:marTop w:val="0"/>
      <w:marBottom w:val="0"/>
      <w:divBdr>
        <w:top w:val="none" w:sz="0" w:space="0" w:color="auto"/>
        <w:left w:val="none" w:sz="0" w:space="0" w:color="auto"/>
        <w:bottom w:val="none" w:sz="0" w:space="0" w:color="auto"/>
        <w:right w:val="none" w:sz="0" w:space="0" w:color="auto"/>
      </w:divBdr>
      <w:divsChild>
        <w:div w:id="1058866545">
          <w:marLeft w:val="0"/>
          <w:marRight w:val="0"/>
          <w:marTop w:val="0"/>
          <w:marBottom w:val="0"/>
          <w:divBdr>
            <w:top w:val="none" w:sz="0" w:space="0" w:color="auto"/>
            <w:left w:val="none" w:sz="0" w:space="0" w:color="auto"/>
            <w:bottom w:val="none" w:sz="0" w:space="0" w:color="auto"/>
            <w:right w:val="none" w:sz="0" w:space="0" w:color="auto"/>
          </w:divBdr>
        </w:div>
        <w:div w:id="1331442282">
          <w:marLeft w:val="0"/>
          <w:marRight w:val="0"/>
          <w:marTop w:val="0"/>
          <w:marBottom w:val="0"/>
          <w:divBdr>
            <w:top w:val="none" w:sz="0" w:space="0" w:color="auto"/>
            <w:left w:val="none" w:sz="0" w:space="0" w:color="auto"/>
            <w:bottom w:val="none" w:sz="0" w:space="0" w:color="auto"/>
            <w:right w:val="none" w:sz="0" w:space="0" w:color="auto"/>
          </w:divBdr>
        </w:div>
      </w:divsChild>
    </w:div>
    <w:div w:id="501239141">
      <w:bodyDiv w:val="1"/>
      <w:marLeft w:val="0"/>
      <w:marRight w:val="0"/>
      <w:marTop w:val="0"/>
      <w:marBottom w:val="0"/>
      <w:divBdr>
        <w:top w:val="none" w:sz="0" w:space="0" w:color="auto"/>
        <w:left w:val="none" w:sz="0" w:space="0" w:color="auto"/>
        <w:bottom w:val="none" w:sz="0" w:space="0" w:color="auto"/>
        <w:right w:val="none" w:sz="0" w:space="0" w:color="auto"/>
      </w:divBdr>
      <w:divsChild>
        <w:div w:id="325135274">
          <w:marLeft w:val="0"/>
          <w:marRight w:val="0"/>
          <w:marTop w:val="0"/>
          <w:marBottom w:val="0"/>
          <w:divBdr>
            <w:top w:val="none" w:sz="0" w:space="0" w:color="auto"/>
            <w:left w:val="none" w:sz="0" w:space="0" w:color="auto"/>
            <w:bottom w:val="none" w:sz="0" w:space="0" w:color="auto"/>
            <w:right w:val="none" w:sz="0" w:space="0" w:color="auto"/>
          </w:divBdr>
        </w:div>
        <w:div w:id="860893388">
          <w:marLeft w:val="0"/>
          <w:marRight w:val="0"/>
          <w:marTop w:val="0"/>
          <w:marBottom w:val="0"/>
          <w:divBdr>
            <w:top w:val="none" w:sz="0" w:space="0" w:color="auto"/>
            <w:left w:val="none" w:sz="0" w:space="0" w:color="auto"/>
            <w:bottom w:val="none" w:sz="0" w:space="0" w:color="auto"/>
            <w:right w:val="none" w:sz="0" w:space="0" w:color="auto"/>
          </w:divBdr>
        </w:div>
      </w:divsChild>
    </w:div>
    <w:div w:id="502358860">
      <w:bodyDiv w:val="1"/>
      <w:marLeft w:val="0"/>
      <w:marRight w:val="0"/>
      <w:marTop w:val="0"/>
      <w:marBottom w:val="0"/>
      <w:divBdr>
        <w:top w:val="none" w:sz="0" w:space="0" w:color="auto"/>
        <w:left w:val="none" w:sz="0" w:space="0" w:color="auto"/>
        <w:bottom w:val="none" w:sz="0" w:space="0" w:color="auto"/>
        <w:right w:val="none" w:sz="0" w:space="0" w:color="auto"/>
      </w:divBdr>
    </w:div>
    <w:div w:id="506289590">
      <w:bodyDiv w:val="1"/>
      <w:marLeft w:val="0"/>
      <w:marRight w:val="0"/>
      <w:marTop w:val="0"/>
      <w:marBottom w:val="0"/>
      <w:divBdr>
        <w:top w:val="none" w:sz="0" w:space="0" w:color="auto"/>
        <w:left w:val="none" w:sz="0" w:space="0" w:color="auto"/>
        <w:bottom w:val="none" w:sz="0" w:space="0" w:color="auto"/>
        <w:right w:val="none" w:sz="0" w:space="0" w:color="auto"/>
      </w:divBdr>
      <w:divsChild>
        <w:div w:id="1268851378">
          <w:marLeft w:val="0"/>
          <w:marRight w:val="0"/>
          <w:marTop w:val="0"/>
          <w:marBottom w:val="0"/>
          <w:divBdr>
            <w:top w:val="none" w:sz="0" w:space="0" w:color="auto"/>
            <w:left w:val="none" w:sz="0" w:space="0" w:color="auto"/>
            <w:bottom w:val="none" w:sz="0" w:space="0" w:color="auto"/>
            <w:right w:val="none" w:sz="0" w:space="0" w:color="auto"/>
          </w:divBdr>
          <w:divsChild>
            <w:div w:id="978806253">
              <w:marLeft w:val="0"/>
              <w:marRight w:val="0"/>
              <w:marTop w:val="0"/>
              <w:marBottom w:val="0"/>
              <w:divBdr>
                <w:top w:val="none" w:sz="0" w:space="0" w:color="auto"/>
                <w:left w:val="none" w:sz="0" w:space="0" w:color="auto"/>
                <w:bottom w:val="none" w:sz="0" w:space="0" w:color="auto"/>
                <w:right w:val="none" w:sz="0" w:space="0" w:color="auto"/>
              </w:divBdr>
              <w:divsChild>
                <w:div w:id="10525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8374">
      <w:bodyDiv w:val="1"/>
      <w:marLeft w:val="0"/>
      <w:marRight w:val="0"/>
      <w:marTop w:val="0"/>
      <w:marBottom w:val="0"/>
      <w:divBdr>
        <w:top w:val="none" w:sz="0" w:space="0" w:color="auto"/>
        <w:left w:val="none" w:sz="0" w:space="0" w:color="auto"/>
        <w:bottom w:val="none" w:sz="0" w:space="0" w:color="auto"/>
        <w:right w:val="none" w:sz="0" w:space="0" w:color="auto"/>
      </w:divBdr>
      <w:divsChild>
        <w:div w:id="1318917115">
          <w:marLeft w:val="0"/>
          <w:marRight w:val="0"/>
          <w:marTop w:val="0"/>
          <w:marBottom w:val="0"/>
          <w:divBdr>
            <w:top w:val="none" w:sz="0" w:space="0" w:color="auto"/>
            <w:left w:val="none" w:sz="0" w:space="0" w:color="auto"/>
            <w:bottom w:val="none" w:sz="0" w:space="0" w:color="auto"/>
            <w:right w:val="none" w:sz="0" w:space="0" w:color="auto"/>
          </w:divBdr>
          <w:divsChild>
            <w:div w:id="123815783">
              <w:marLeft w:val="0"/>
              <w:marRight w:val="0"/>
              <w:marTop w:val="0"/>
              <w:marBottom w:val="0"/>
              <w:divBdr>
                <w:top w:val="none" w:sz="0" w:space="0" w:color="auto"/>
                <w:left w:val="none" w:sz="0" w:space="0" w:color="auto"/>
                <w:bottom w:val="none" w:sz="0" w:space="0" w:color="auto"/>
                <w:right w:val="none" w:sz="0" w:space="0" w:color="auto"/>
              </w:divBdr>
              <w:divsChild>
                <w:div w:id="2091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9245">
      <w:bodyDiv w:val="1"/>
      <w:marLeft w:val="0"/>
      <w:marRight w:val="0"/>
      <w:marTop w:val="0"/>
      <w:marBottom w:val="0"/>
      <w:divBdr>
        <w:top w:val="none" w:sz="0" w:space="0" w:color="auto"/>
        <w:left w:val="none" w:sz="0" w:space="0" w:color="auto"/>
        <w:bottom w:val="none" w:sz="0" w:space="0" w:color="auto"/>
        <w:right w:val="none" w:sz="0" w:space="0" w:color="auto"/>
      </w:divBdr>
      <w:divsChild>
        <w:div w:id="1892765582">
          <w:marLeft w:val="0"/>
          <w:marRight w:val="0"/>
          <w:marTop w:val="0"/>
          <w:marBottom w:val="0"/>
          <w:divBdr>
            <w:top w:val="none" w:sz="0" w:space="0" w:color="auto"/>
            <w:left w:val="none" w:sz="0" w:space="0" w:color="auto"/>
            <w:bottom w:val="none" w:sz="0" w:space="0" w:color="auto"/>
            <w:right w:val="none" w:sz="0" w:space="0" w:color="auto"/>
          </w:divBdr>
          <w:divsChild>
            <w:div w:id="1483501152">
              <w:marLeft w:val="0"/>
              <w:marRight w:val="0"/>
              <w:marTop w:val="0"/>
              <w:marBottom w:val="0"/>
              <w:divBdr>
                <w:top w:val="none" w:sz="0" w:space="0" w:color="auto"/>
                <w:left w:val="none" w:sz="0" w:space="0" w:color="auto"/>
                <w:bottom w:val="none" w:sz="0" w:space="0" w:color="auto"/>
                <w:right w:val="none" w:sz="0" w:space="0" w:color="auto"/>
              </w:divBdr>
              <w:divsChild>
                <w:div w:id="1409032010">
                  <w:marLeft w:val="0"/>
                  <w:marRight w:val="0"/>
                  <w:marTop w:val="0"/>
                  <w:marBottom w:val="0"/>
                  <w:divBdr>
                    <w:top w:val="none" w:sz="0" w:space="0" w:color="auto"/>
                    <w:left w:val="none" w:sz="0" w:space="0" w:color="auto"/>
                    <w:bottom w:val="none" w:sz="0" w:space="0" w:color="auto"/>
                    <w:right w:val="none" w:sz="0" w:space="0" w:color="auto"/>
                  </w:divBdr>
                  <w:divsChild>
                    <w:div w:id="20970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07834">
      <w:bodyDiv w:val="1"/>
      <w:marLeft w:val="0"/>
      <w:marRight w:val="0"/>
      <w:marTop w:val="0"/>
      <w:marBottom w:val="0"/>
      <w:divBdr>
        <w:top w:val="none" w:sz="0" w:space="0" w:color="auto"/>
        <w:left w:val="none" w:sz="0" w:space="0" w:color="auto"/>
        <w:bottom w:val="none" w:sz="0" w:space="0" w:color="auto"/>
        <w:right w:val="none" w:sz="0" w:space="0" w:color="auto"/>
      </w:divBdr>
      <w:divsChild>
        <w:div w:id="152725135">
          <w:marLeft w:val="0"/>
          <w:marRight w:val="0"/>
          <w:marTop w:val="0"/>
          <w:marBottom w:val="0"/>
          <w:divBdr>
            <w:top w:val="none" w:sz="0" w:space="0" w:color="auto"/>
            <w:left w:val="none" w:sz="0" w:space="0" w:color="auto"/>
            <w:bottom w:val="none" w:sz="0" w:space="0" w:color="auto"/>
            <w:right w:val="none" w:sz="0" w:space="0" w:color="auto"/>
          </w:divBdr>
          <w:divsChild>
            <w:div w:id="1343240103">
              <w:marLeft w:val="0"/>
              <w:marRight w:val="0"/>
              <w:marTop w:val="0"/>
              <w:marBottom w:val="0"/>
              <w:divBdr>
                <w:top w:val="none" w:sz="0" w:space="0" w:color="auto"/>
                <w:left w:val="none" w:sz="0" w:space="0" w:color="auto"/>
                <w:bottom w:val="none" w:sz="0" w:space="0" w:color="auto"/>
                <w:right w:val="none" w:sz="0" w:space="0" w:color="auto"/>
              </w:divBdr>
              <w:divsChild>
                <w:div w:id="1776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7046">
      <w:bodyDiv w:val="1"/>
      <w:marLeft w:val="0"/>
      <w:marRight w:val="0"/>
      <w:marTop w:val="0"/>
      <w:marBottom w:val="0"/>
      <w:divBdr>
        <w:top w:val="none" w:sz="0" w:space="0" w:color="auto"/>
        <w:left w:val="none" w:sz="0" w:space="0" w:color="auto"/>
        <w:bottom w:val="none" w:sz="0" w:space="0" w:color="auto"/>
        <w:right w:val="none" w:sz="0" w:space="0" w:color="auto"/>
      </w:divBdr>
    </w:div>
    <w:div w:id="514348219">
      <w:bodyDiv w:val="1"/>
      <w:marLeft w:val="0"/>
      <w:marRight w:val="0"/>
      <w:marTop w:val="0"/>
      <w:marBottom w:val="0"/>
      <w:divBdr>
        <w:top w:val="none" w:sz="0" w:space="0" w:color="auto"/>
        <w:left w:val="none" w:sz="0" w:space="0" w:color="auto"/>
        <w:bottom w:val="none" w:sz="0" w:space="0" w:color="auto"/>
        <w:right w:val="none" w:sz="0" w:space="0" w:color="auto"/>
      </w:divBdr>
    </w:div>
    <w:div w:id="514736531">
      <w:bodyDiv w:val="1"/>
      <w:marLeft w:val="0"/>
      <w:marRight w:val="0"/>
      <w:marTop w:val="0"/>
      <w:marBottom w:val="0"/>
      <w:divBdr>
        <w:top w:val="none" w:sz="0" w:space="0" w:color="auto"/>
        <w:left w:val="none" w:sz="0" w:space="0" w:color="auto"/>
        <w:bottom w:val="none" w:sz="0" w:space="0" w:color="auto"/>
        <w:right w:val="none" w:sz="0" w:space="0" w:color="auto"/>
      </w:divBdr>
    </w:div>
    <w:div w:id="515266302">
      <w:bodyDiv w:val="1"/>
      <w:marLeft w:val="0"/>
      <w:marRight w:val="0"/>
      <w:marTop w:val="0"/>
      <w:marBottom w:val="0"/>
      <w:divBdr>
        <w:top w:val="none" w:sz="0" w:space="0" w:color="auto"/>
        <w:left w:val="none" w:sz="0" w:space="0" w:color="auto"/>
        <w:bottom w:val="none" w:sz="0" w:space="0" w:color="auto"/>
        <w:right w:val="none" w:sz="0" w:space="0" w:color="auto"/>
      </w:divBdr>
    </w:div>
    <w:div w:id="517081959">
      <w:bodyDiv w:val="1"/>
      <w:marLeft w:val="0"/>
      <w:marRight w:val="0"/>
      <w:marTop w:val="0"/>
      <w:marBottom w:val="0"/>
      <w:divBdr>
        <w:top w:val="none" w:sz="0" w:space="0" w:color="auto"/>
        <w:left w:val="none" w:sz="0" w:space="0" w:color="auto"/>
        <w:bottom w:val="none" w:sz="0" w:space="0" w:color="auto"/>
        <w:right w:val="none" w:sz="0" w:space="0" w:color="auto"/>
      </w:divBdr>
    </w:div>
    <w:div w:id="518931597">
      <w:bodyDiv w:val="1"/>
      <w:marLeft w:val="0"/>
      <w:marRight w:val="0"/>
      <w:marTop w:val="0"/>
      <w:marBottom w:val="0"/>
      <w:divBdr>
        <w:top w:val="none" w:sz="0" w:space="0" w:color="auto"/>
        <w:left w:val="none" w:sz="0" w:space="0" w:color="auto"/>
        <w:bottom w:val="none" w:sz="0" w:space="0" w:color="auto"/>
        <w:right w:val="none" w:sz="0" w:space="0" w:color="auto"/>
      </w:divBdr>
    </w:div>
    <w:div w:id="522137368">
      <w:bodyDiv w:val="1"/>
      <w:marLeft w:val="0"/>
      <w:marRight w:val="0"/>
      <w:marTop w:val="0"/>
      <w:marBottom w:val="0"/>
      <w:divBdr>
        <w:top w:val="none" w:sz="0" w:space="0" w:color="auto"/>
        <w:left w:val="none" w:sz="0" w:space="0" w:color="auto"/>
        <w:bottom w:val="none" w:sz="0" w:space="0" w:color="auto"/>
        <w:right w:val="none" w:sz="0" w:space="0" w:color="auto"/>
      </w:divBdr>
    </w:div>
    <w:div w:id="522744558">
      <w:bodyDiv w:val="1"/>
      <w:marLeft w:val="0"/>
      <w:marRight w:val="0"/>
      <w:marTop w:val="0"/>
      <w:marBottom w:val="0"/>
      <w:divBdr>
        <w:top w:val="none" w:sz="0" w:space="0" w:color="auto"/>
        <w:left w:val="none" w:sz="0" w:space="0" w:color="auto"/>
        <w:bottom w:val="none" w:sz="0" w:space="0" w:color="auto"/>
        <w:right w:val="none" w:sz="0" w:space="0" w:color="auto"/>
      </w:divBdr>
    </w:div>
    <w:div w:id="525095023">
      <w:bodyDiv w:val="1"/>
      <w:marLeft w:val="0"/>
      <w:marRight w:val="0"/>
      <w:marTop w:val="0"/>
      <w:marBottom w:val="0"/>
      <w:divBdr>
        <w:top w:val="none" w:sz="0" w:space="0" w:color="auto"/>
        <w:left w:val="none" w:sz="0" w:space="0" w:color="auto"/>
        <w:bottom w:val="none" w:sz="0" w:space="0" w:color="auto"/>
        <w:right w:val="none" w:sz="0" w:space="0" w:color="auto"/>
      </w:divBdr>
    </w:div>
    <w:div w:id="528954285">
      <w:bodyDiv w:val="1"/>
      <w:marLeft w:val="0"/>
      <w:marRight w:val="0"/>
      <w:marTop w:val="0"/>
      <w:marBottom w:val="0"/>
      <w:divBdr>
        <w:top w:val="none" w:sz="0" w:space="0" w:color="auto"/>
        <w:left w:val="none" w:sz="0" w:space="0" w:color="auto"/>
        <w:bottom w:val="none" w:sz="0" w:space="0" w:color="auto"/>
        <w:right w:val="none" w:sz="0" w:space="0" w:color="auto"/>
      </w:divBdr>
      <w:divsChild>
        <w:div w:id="448478797">
          <w:marLeft w:val="0"/>
          <w:marRight w:val="0"/>
          <w:marTop w:val="0"/>
          <w:marBottom w:val="0"/>
          <w:divBdr>
            <w:top w:val="none" w:sz="0" w:space="0" w:color="auto"/>
            <w:left w:val="none" w:sz="0" w:space="0" w:color="auto"/>
            <w:bottom w:val="none" w:sz="0" w:space="0" w:color="auto"/>
            <w:right w:val="none" w:sz="0" w:space="0" w:color="auto"/>
          </w:divBdr>
          <w:divsChild>
            <w:div w:id="1799178466">
              <w:marLeft w:val="0"/>
              <w:marRight w:val="0"/>
              <w:marTop w:val="0"/>
              <w:marBottom w:val="0"/>
              <w:divBdr>
                <w:top w:val="none" w:sz="0" w:space="0" w:color="auto"/>
                <w:left w:val="none" w:sz="0" w:space="0" w:color="auto"/>
                <w:bottom w:val="none" w:sz="0" w:space="0" w:color="auto"/>
                <w:right w:val="none" w:sz="0" w:space="0" w:color="auto"/>
              </w:divBdr>
              <w:divsChild>
                <w:div w:id="5759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6002">
      <w:bodyDiv w:val="1"/>
      <w:marLeft w:val="0"/>
      <w:marRight w:val="0"/>
      <w:marTop w:val="0"/>
      <w:marBottom w:val="0"/>
      <w:divBdr>
        <w:top w:val="none" w:sz="0" w:space="0" w:color="auto"/>
        <w:left w:val="none" w:sz="0" w:space="0" w:color="auto"/>
        <w:bottom w:val="none" w:sz="0" w:space="0" w:color="auto"/>
        <w:right w:val="none" w:sz="0" w:space="0" w:color="auto"/>
      </w:divBdr>
      <w:divsChild>
        <w:div w:id="907883097">
          <w:marLeft w:val="0"/>
          <w:marRight w:val="0"/>
          <w:marTop w:val="0"/>
          <w:marBottom w:val="0"/>
          <w:divBdr>
            <w:top w:val="single" w:sz="2" w:space="0" w:color="auto"/>
            <w:left w:val="single" w:sz="2" w:space="0" w:color="auto"/>
            <w:bottom w:val="single" w:sz="2" w:space="0" w:color="auto"/>
            <w:right w:val="single" w:sz="2" w:space="0" w:color="auto"/>
          </w:divBdr>
        </w:div>
        <w:div w:id="1778985081">
          <w:marLeft w:val="0"/>
          <w:marRight w:val="0"/>
          <w:marTop w:val="0"/>
          <w:marBottom w:val="0"/>
          <w:divBdr>
            <w:top w:val="single" w:sz="2" w:space="5" w:color="auto"/>
            <w:left w:val="single" w:sz="2" w:space="0" w:color="auto"/>
            <w:bottom w:val="single" w:sz="2" w:space="5" w:color="auto"/>
            <w:right w:val="single" w:sz="2" w:space="0" w:color="auto"/>
          </w:divBdr>
        </w:div>
      </w:divsChild>
    </w:div>
    <w:div w:id="530991303">
      <w:bodyDiv w:val="1"/>
      <w:marLeft w:val="0"/>
      <w:marRight w:val="0"/>
      <w:marTop w:val="0"/>
      <w:marBottom w:val="0"/>
      <w:divBdr>
        <w:top w:val="none" w:sz="0" w:space="0" w:color="auto"/>
        <w:left w:val="none" w:sz="0" w:space="0" w:color="auto"/>
        <w:bottom w:val="none" w:sz="0" w:space="0" w:color="auto"/>
        <w:right w:val="none" w:sz="0" w:space="0" w:color="auto"/>
      </w:divBdr>
    </w:div>
    <w:div w:id="53269542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29">
          <w:marLeft w:val="0"/>
          <w:marRight w:val="0"/>
          <w:marTop w:val="0"/>
          <w:marBottom w:val="0"/>
          <w:divBdr>
            <w:top w:val="none" w:sz="0" w:space="0" w:color="auto"/>
            <w:left w:val="none" w:sz="0" w:space="0" w:color="auto"/>
            <w:bottom w:val="none" w:sz="0" w:space="0" w:color="auto"/>
            <w:right w:val="none" w:sz="0" w:space="0" w:color="auto"/>
          </w:divBdr>
          <w:divsChild>
            <w:div w:id="1411078937">
              <w:marLeft w:val="0"/>
              <w:marRight w:val="0"/>
              <w:marTop w:val="0"/>
              <w:marBottom w:val="0"/>
              <w:divBdr>
                <w:top w:val="none" w:sz="0" w:space="0" w:color="auto"/>
                <w:left w:val="none" w:sz="0" w:space="0" w:color="auto"/>
                <w:bottom w:val="none" w:sz="0" w:space="0" w:color="auto"/>
                <w:right w:val="none" w:sz="0" w:space="0" w:color="auto"/>
              </w:divBdr>
              <w:divsChild>
                <w:div w:id="2084529004">
                  <w:marLeft w:val="0"/>
                  <w:marRight w:val="0"/>
                  <w:marTop w:val="0"/>
                  <w:marBottom w:val="0"/>
                  <w:divBdr>
                    <w:top w:val="none" w:sz="0" w:space="0" w:color="auto"/>
                    <w:left w:val="none" w:sz="0" w:space="0" w:color="auto"/>
                    <w:bottom w:val="none" w:sz="0" w:space="0" w:color="auto"/>
                    <w:right w:val="none" w:sz="0" w:space="0" w:color="auto"/>
                  </w:divBdr>
                  <w:divsChild>
                    <w:div w:id="17447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0130">
      <w:bodyDiv w:val="1"/>
      <w:marLeft w:val="0"/>
      <w:marRight w:val="0"/>
      <w:marTop w:val="0"/>
      <w:marBottom w:val="0"/>
      <w:divBdr>
        <w:top w:val="none" w:sz="0" w:space="0" w:color="auto"/>
        <w:left w:val="none" w:sz="0" w:space="0" w:color="auto"/>
        <w:bottom w:val="none" w:sz="0" w:space="0" w:color="auto"/>
        <w:right w:val="none" w:sz="0" w:space="0" w:color="auto"/>
      </w:divBdr>
    </w:div>
    <w:div w:id="536084736">
      <w:bodyDiv w:val="1"/>
      <w:marLeft w:val="0"/>
      <w:marRight w:val="0"/>
      <w:marTop w:val="0"/>
      <w:marBottom w:val="0"/>
      <w:divBdr>
        <w:top w:val="none" w:sz="0" w:space="0" w:color="auto"/>
        <w:left w:val="none" w:sz="0" w:space="0" w:color="auto"/>
        <w:bottom w:val="none" w:sz="0" w:space="0" w:color="auto"/>
        <w:right w:val="none" w:sz="0" w:space="0" w:color="auto"/>
      </w:divBdr>
    </w:div>
    <w:div w:id="536939638">
      <w:bodyDiv w:val="1"/>
      <w:marLeft w:val="0"/>
      <w:marRight w:val="0"/>
      <w:marTop w:val="0"/>
      <w:marBottom w:val="0"/>
      <w:divBdr>
        <w:top w:val="none" w:sz="0" w:space="0" w:color="auto"/>
        <w:left w:val="none" w:sz="0" w:space="0" w:color="auto"/>
        <w:bottom w:val="none" w:sz="0" w:space="0" w:color="auto"/>
        <w:right w:val="none" w:sz="0" w:space="0" w:color="auto"/>
      </w:divBdr>
    </w:div>
    <w:div w:id="536969113">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2810014">
      <w:bodyDiv w:val="1"/>
      <w:marLeft w:val="0"/>
      <w:marRight w:val="0"/>
      <w:marTop w:val="0"/>
      <w:marBottom w:val="0"/>
      <w:divBdr>
        <w:top w:val="none" w:sz="0" w:space="0" w:color="auto"/>
        <w:left w:val="none" w:sz="0" w:space="0" w:color="auto"/>
        <w:bottom w:val="none" w:sz="0" w:space="0" w:color="auto"/>
        <w:right w:val="none" w:sz="0" w:space="0" w:color="auto"/>
      </w:divBdr>
      <w:divsChild>
        <w:div w:id="1675842436">
          <w:marLeft w:val="0"/>
          <w:marRight w:val="0"/>
          <w:marTop w:val="0"/>
          <w:marBottom w:val="0"/>
          <w:divBdr>
            <w:top w:val="none" w:sz="0" w:space="0" w:color="auto"/>
            <w:left w:val="none" w:sz="0" w:space="0" w:color="auto"/>
            <w:bottom w:val="none" w:sz="0" w:space="0" w:color="auto"/>
            <w:right w:val="none" w:sz="0" w:space="0" w:color="auto"/>
          </w:divBdr>
          <w:divsChild>
            <w:div w:id="1552618580">
              <w:marLeft w:val="0"/>
              <w:marRight w:val="0"/>
              <w:marTop w:val="0"/>
              <w:marBottom w:val="0"/>
              <w:divBdr>
                <w:top w:val="none" w:sz="0" w:space="0" w:color="auto"/>
                <w:left w:val="none" w:sz="0" w:space="0" w:color="auto"/>
                <w:bottom w:val="none" w:sz="0" w:space="0" w:color="auto"/>
                <w:right w:val="none" w:sz="0" w:space="0" w:color="auto"/>
              </w:divBdr>
              <w:divsChild>
                <w:div w:id="600724441">
                  <w:marLeft w:val="0"/>
                  <w:marRight w:val="0"/>
                  <w:marTop w:val="0"/>
                  <w:marBottom w:val="0"/>
                  <w:divBdr>
                    <w:top w:val="none" w:sz="0" w:space="0" w:color="auto"/>
                    <w:left w:val="none" w:sz="0" w:space="0" w:color="auto"/>
                    <w:bottom w:val="none" w:sz="0" w:space="0" w:color="auto"/>
                    <w:right w:val="none" w:sz="0" w:space="0" w:color="auto"/>
                  </w:divBdr>
                  <w:divsChild>
                    <w:div w:id="7302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83573">
      <w:bodyDiv w:val="1"/>
      <w:marLeft w:val="0"/>
      <w:marRight w:val="0"/>
      <w:marTop w:val="0"/>
      <w:marBottom w:val="0"/>
      <w:divBdr>
        <w:top w:val="none" w:sz="0" w:space="0" w:color="auto"/>
        <w:left w:val="none" w:sz="0" w:space="0" w:color="auto"/>
        <w:bottom w:val="none" w:sz="0" w:space="0" w:color="auto"/>
        <w:right w:val="none" w:sz="0" w:space="0" w:color="auto"/>
      </w:divBdr>
      <w:divsChild>
        <w:div w:id="3286663">
          <w:marLeft w:val="0"/>
          <w:marRight w:val="0"/>
          <w:marTop w:val="0"/>
          <w:marBottom w:val="0"/>
          <w:divBdr>
            <w:top w:val="none" w:sz="0" w:space="0" w:color="auto"/>
            <w:left w:val="none" w:sz="0" w:space="0" w:color="auto"/>
            <w:bottom w:val="none" w:sz="0" w:space="0" w:color="auto"/>
            <w:right w:val="none" w:sz="0" w:space="0" w:color="auto"/>
          </w:divBdr>
          <w:divsChild>
            <w:div w:id="1390694155">
              <w:marLeft w:val="0"/>
              <w:marRight w:val="0"/>
              <w:marTop w:val="0"/>
              <w:marBottom w:val="0"/>
              <w:divBdr>
                <w:top w:val="none" w:sz="0" w:space="0" w:color="auto"/>
                <w:left w:val="none" w:sz="0" w:space="0" w:color="auto"/>
                <w:bottom w:val="none" w:sz="0" w:space="0" w:color="auto"/>
                <w:right w:val="none" w:sz="0" w:space="0" w:color="auto"/>
              </w:divBdr>
              <w:divsChild>
                <w:div w:id="1887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5121204">
      <w:bodyDiv w:val="1"/>
      <w:marLeft w:val="0"/>
      <w:marRight w:val="0"/>
      <w:marTop w:val="0"/>
      <w:marBottom w:val="0"/>
      <w:divBdr>
        <w:top w:val="none" w:sz="0" w:space="0" w:color="auto"/>
        <w:left w:val="none" w:sz="0" w:space="0" w:color="auto"/>
        <w:bottom w:val="none" w:sz="0" w:space="0" w:color="auto"/>
        <w:right w:val="none" w:sz="0" w:space="0" w:color="auto"/>
      </w:divBdr>
    </w:div>
    <w:div w:id="558325906">
      <w:bodyDiv w:val="1"/>
      <w:marLeft w:val="0"/>
      <w:marRight w:val="0"/>
      <w:marTop w:val="0"/>
      <w:marBottom w:val="0"/>
      <w:divBdr>
        <w:top w:val="none" w:sz="0" w:space="0" w:color="auto"/>
        <w:left w:val="none" w:sz="0" w:space="0" w:color="auto"/>
        <w:bottom w:val="none" w:sz="0" w:space="0" w:color="auto"/>
        <w:right w:val="none" w:sz="0" w:space="0" w:color="auto"/>
      </w:divBdr>
    </w:div>
    <w:div w:id="560677230">
      <w:bodyDiv w:val="1"/>
      <w:marLeft w:val="0"/>
      <w:marRight w:val="0"/>
      <w:marTop w:val="0"/>
      <w:marBottom w:val="0"/>
      <w:divBdr>
        <w:top w:val="none" w:sz="0" w:space="0" w:color="auto"/>
        <w:left w:val="none" w:sz="0" w:space="0" w:color="auto"/>
        <w:bottom w:val="none" w:sz="0" w:space="0" w:color="auto"/>
        <w:right w:val="none" w:sz="0" w:space="0" w:color="auto"/>
      </w:divBdr>
      <w:divsChild>
        <w:div w:id="770245183">
          <w:marLeft w:val="0"/>
          <w:marRight w:val="0"/>
          <w:marTop w:val="0"/>
          <w:marBottom w:val="0"/>
          <w:divBdr>
            <w:top w:val="none" w:sz="0" w:space="0" w:color="auto"/>
            <w:left w:val="none" w:sz="0" w:space="0" w:color="auto"/>
            <w:bottom w:val="none" w:sz="0" w:space="0" w:color="auto"/>
            <w:right w:val="none" w:sz="0" w:space="0" w:color="auto"/>
          </w:divBdr>
          <w:divsChild>
            <w:div w:id="2088379072">
              <w:marLeft w:val="0"/>
              <w:marRight w:val="0"/>
              <w:marTop w:val="0"/>
              <w:marBottom w:val="0"/>
              <w:divBdr>
                <w:top w:val="none" w:sz="0" w:space="0" w:color="auto"/>
                <w:left w:val="none" w:sz="0" w:space="0" w:color="auto"/>
                <w:bottom w:val="none" w:sz="0" w:space="0" w:color="auto"/>
                <w:right w:val="none" w:sz="0" w:space="0" w:color="auto"/>
              </w:divBdr>
              <w:divsChild>
                <w:div w:id="13893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43235">
      <w:bodyDiv w:val="1"/>
      <w:marLeft w:val="0"/>
      <w:marRight w:val="0"/>
      <w:marTop w:val="0"/>
      <w:marBottom w:val="0"/>
      <w:divBdr>
        <w:top w:val="none" w:sz="0" w:space="0" w:color="auto"/>
        <w:left w:val="none" w:sz="0" w:space="0" w:color="auto"/>
        <w:bottom w:val="none" w:sz="0" w:space="0" w:color="auto"/>
        <w:right w:val="none" w:sz="0" w:space="0" w:color="auto"/>
      </w:divBdr>
    </w:div>
    <w:div w:id="565604896">
      <w:bodyDiv w:val="1"/>
      <w:marLeft w:val="0"/>
      <w:marRight w:val="0"/>
      <w:marTop w:val="0"/>
      <w:marBottom w:val="0"/>
      <w:divBdr>
        <w:top w:val="none" w:sz="0" w:space="0" w:color="auto"/>
        <w:left w:val="none" w:sz="0" w:space="0" w:color="auto"/>
        <w:bottom w:val="none" w:sz="0" w:space="0" w:color="auto"/>
        <w:right w:val="none" w:sz="0" w:space="0" w:color="auto"/>
      </w:divBdr>
    </w:div>
    <w:div w:id="566694050">
      <w:bodyDiv w:val="1"/>
      <w:marLeft w:val="0"/>
      <w:marRight w:val="0"/>
      <w:marTop w:val="0"/>
      <w:marBottom w:val="0"/>
      <w:divBdr>
        <w:top w:val="none" w:sz="0" w:space="0" w:color="auto"/>
        <w:left w:val="none" w:sz="0" w:space="0" w:color="auto"/>
        <w:bottom w:val="none" w:sz="0" w:space="0" w:color="auto"/>
        <w:right w:val="none" w:sz="0" w:space="0" w:color="auto"/>
      </w:divBdr>
      <w:divsChild>
        <w:div w:id="1286889333">
          <w:marLeft w:val="0"/>
          <w:marRight w:val="0"/>
          <w:marTop w:val="0"/>
          <w:marBottom w:val="0"/>
          <w:divBdr>
            <w:top w:val="none" w:sz="0" w:space="0" w:color="auto"/>
            <w:left w:val="none" w:sz="0" w:space="0" w:color="auto"/>
            <w:bottom w:val="none" w:sz="0" w:space="0" w:color="auto"/>
            <w:right w:val="none" w:sz="0" w:space="0" w:color="auto"/>
          </w:divBdr>
          <w:divsChild>
            <w:div w:id="910507004">
              <w:marLeft w:val="0"/>
              <w:marRight w:val="0"/>
              <w:marTop w:val="0"/>
              <w:marBottom w:val="0"/>
              <w:divBdr>
                <w:top w:val="none" w:sz="0" w:space="0" w:color="auto"/>
                <w:left w:val="none" w:sz="0" w:space="0" w:color="auto"/>
                <w:bottom w:val="none" w:sz="0" w:space="0" w:color="auto"/>
                <w:right w:val="none" w:sz="0" w:space="0" w:color="auto"/>
              </w:divBdr>
              <w:divsChild>
                <w:div w:id="1004356734">
                  <w:marLeft w:val="0"/>
                  <w:marRight w:val="0"/>
                  <w:marTop w:val="0"/>
                  <w:marBottom w:val="0"/>
                  <w:divBdr>
                    <w:top w:val="none" w:sz="0" w:space="0" w:color="auto"/>
                    <w:left w:val="none" w:sz="0" w:space="0" w:color="auto"/>
                    <w:bottom w:val="none" w:sz="0" w:space="0" w:color="auto"/>
                    <w:right w:val="none" w:sz="0" w:space="0" w:color="auto"/>
                  </w:divBdr>
                  <w:divsChild>
                    <w:div w:id="11598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60169">
      <w:bodyDiv w:val="1"/>
      <w:marLeft w:val="0"/>
      <w:marRight w:val="0"/>
      <w:marTop w:val="0"/>
      <w:marBottom w:val="0"/>
      <w:divBdr>
        <w:top w:val="none" w:sz="0" w:space="0" w:color="auto"/>
        <w:left w:val="none" w:sz="0" w:space="0" w:color="auto"/>
        <w:bottom w:val="none" w:sz="0" w:space="0" w:color="auto"/>
        <w:right w:val="none" w:sz="0" w:space="0" w:color="auto"/>
      </w:divBdr>
      <w:divsChild>
        <w:div w:id="975792963">
          <w:marLeft w:val="0"/>
          <w:marRight w:val="0"/>
          <w:marTop w:val="0"/>
          <w:marBottom w:val="0"/>
          <w:divBdr>
            <w:top w:val="none" w:sz="0" w:space="0" w:color="auto"/>
            <w:left w:val="none" w:sz="0" w:space="0" w:color="auto"/>
            <w:bottom w:val="none" w:sz="0" w:space="0" w:color="auto"/>
            <w:right w:val="none" w:sz="0" w:space="0" w:color="auto"/>
          </w:divBdr>
          <w:divsChild>
            <w:div w:id="2091805044">
              <w:marLeft w:val="0"/>
              <w:marRight w:val="0"/>
              <w:marTop w:val="0"/>
              <w:marBottom w:val="0"/>
              <w:divBdr>
                <w:top w:val="none" w:sz="0" w:space="0" w:color="auto"/>
                <w:left w:val="none" w:sz="0" w:space="0" w:color="auto"/>
                <w:bottom w:val="none" w:sz="0" w:space="0" w:color="auto"/>
                <w:right w:val="none" w:sz="0" w:space="0" w:color="auto"/>
              </w:divBdr>
              <w:divsChild>
                <w:div w:id="3301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20137">
      <w:bodyDiv w:val="1"/>
      <w:marLeft w:val="0"/>
      <w:marRight w:val="0"/>
      <w:marTop w:val="0"/>
      <w:marBottom w:val="0"/>
      <w:divBdr>
        <w:top w:val="none" w:sz="0" w:space="0" w:color="auto"/>
        <w:left w:val="none" w:sz="0" w:space="0" w:color="auto"/>
        <w:bottom w:val="none" w:sz="0" w:space="0" w:color="auto"/>
        <w:right w:val="none" w:sz="0" w:space="0" w:color="auto"/>
      </w:divBdr>
    </w:div>
    <w:div w:id="571237696">
      <w:bodyDiv w:val="1"/>
      <w:marLeft w:val="0"/>
      <w:marRight w:val="0"/>
      <w:marTop w:val="0"/>
      <w:marBottom w:val="0"/>
      <w:divBdr>
        <w:top w:val="none" w:sz="0" w:space="0" w:color="auto"/>
        <w:left w:val="none" w:sz="0" w:space="0" w:color="auto"/>
        <w:bottom w:val="none" w:sz="0" w:space="0" w:color="auto"/>
        <w:right w:val="none" w:sz="0" w:space="0" w:color="auto"/>
      </w:divBdr>
    </w:div>
    <w:div w:id="571742952">
      <w:bodyDiv w:val="1"/>
      <w:marLeft w:val="0"/>
      <w:marRight w:val="0"/>
      <w:marTop w:val="0"/>
      <w:marBottom w:val="0"/>
      <w:divBdr>
        <w:top w:val="none" w:sz="0" w:space="0" w:color="auto"/>
        <w:left w:val="none" w:sz="0" w:space="0" w:color="auto"/>
        <w:bottom w:val="none" w:sz="0" w:space="0" w:color="auto"/>
        <w:right w:val="none" w:sz="0" w:space="0" w:color="auto"/>
      </w:divBdr>
      <w:divsChild>
        <w:div w:id="1335917164">
          <w:marLeft w:val="0"/>
          <w:marRight w:val="0"/>
          <w:marTop w:val="0"/>
          <w:marBottom w:val="0"/>
          <w:divBdr>
            <w:top w:val="none" w:sz="0" w:space="0" w:color="auto"/>
            <w:left w:val="none" w:sz="0" w:space="0" w:color="auto"/>
            <w:bottom w:val="none" w:sz="0" w:space="0" w:color="auto"/>
            <w:right w:val="none" w:sz="0" w:space="0" w:color="auto"/>
          </w:divBdr>
          <w:divsChild>
            <w:div w:id="219558691">
              <w:marLeft w:val="0"/>
              <w:marRight w:val="0"/>
              <w:marTop w:val="0"/>
              <w:marBottom w:val="0"/>
              <w:divBdr>
                <w:top w:val="none" w:sz="0" w:space="0" w:color="auto"/>
                <w:left w:val="none" w:sz="0" w:space="0" w:color="auto"/>
                <w:bottom w:val="none" w:sz="0" w:space="0" w:color="auto"/>
                <w:right w:val="none" w:sz="0" w:space="0" w:color="auto"/>
              </w:divBdr>
            </w:div>
            <w:div w:id="635912383">
              <w:marLeft w:val="0"/>
              <w:marRight w:val="0"/>
              <w:marTop w:val="0"/>
              <w:marBottom w:val="0"/>
              <w:divBdr>
                <w:top w:val="none" w:sz="0" w:space="0" w:color="auto"/>
                <w:left w:val="none" w:sz="0" w:space="0" w:color="auto"/>
                <w:bottom w:val="none" w:sz="0" w:space="0" w:color="auto"/>
                <w:right w:val="none" w:sz="0" w:space="0" w:color="auto"/>
              </w:divBdr>
            </w:div>
            <w:div w:id="926112870">
              <w:marLeft w:val="0"/>
              <w:marRight w:val="0"/>
              <w:marTop w:val="0"/>
              <w:marBottom w:val="0"/>
              <w:divBdr>
                <w:top w:val="none" w:sz="0" w:space="0" w:color="auto"/>
                <w:left w:val="none" w:sz="0" w:space="0" w:color="auto"/>
                <w:bottom w:val="none" w:sz="0" w:space="0" w:color="auto"/>
                <w:right w:val="none" w:sz="0" w:space="0" w:color="auto"/>
              </w:divBdr>
            </w:div>
            <w:div w:id="1032415375">
              <w:marLeft w:val="0"/>
              <w:marRight w:val="0"/>
              <w:marTop w:val="0"/>
              <w:marBottom w:val="0"/>
              <w:divBdr>
                <w:top w:val="none" w:sz="0" w:space="0" w:color="auto"/>
                <w:left w:val="none" w:sz="0" w:space="0" w:color="auto"/>
                <w:bottom w:val="none" w:sz="0" w:space="0" w:color="auto"/>
                <w:right w:val="none" w:sz="0" w:space="0" w:color="auto"/>
              </w:divBdr>
            </w:div>
            <w:div w:id="1039011558">
              <w:marLeft w:val="0"/>
              <w:marRight w:val="0"/>
              <w:marTop w:val="0"/>
              <w:marBottom w:val="0"/>
              <w:divBdr>
                <w:top w:val="none" w:sz="0" w:space="0" w:color="auto"/>
                <w:left w:val="none" w:sz="0" w:space="0" w:color="auto"/>
                <w:bottom w:val="none" w:sz="0" w:space="0" w:color="auto"/>
                <w:right w:val="none" w:sz="0" w:space="0" w:color="auto"/>
              </w:divBdr>
            </w:div>
            <w:div w:id="1107039410">
              <w:marLeft w:val="0"/>
              <w:marRight w:val="0"/>
              <w:marTop w:val="0"/>
              <w:marBottom w:val="0"/>
              <w:divBdr>
                <w:top w:val="none" w:sz="0" w:space="0" w:color="auto"/>
                <w:left w:val="none" w:sz="0" w:space="0" w:color="auto"/>
                <w:bottom w:val="none" w:sz="0" w:space="0" w:color="auto"/>
                <w:right w:val="none" w:sz="0" w:space="0" w:color="auto"/>
              </w:divBdr>
            </w:div>
            <w:div w:id="1172570615">
              <w:marLeft w:val="0"/>
              <w:marRight w:val="0"/>
              <w:marTop w:val="0"/>
              <w:marBottom w:val="0"/>
              <w:divBdr>
                <w:top w:val="none" w:sz="0" w:space="0" w:color="auto"/>
                <w:left w:val="none" w:sz="0" w:space="0" w:color="auto"/>
                <w:bottom w:val="none" w:sz="0" w:space="0" w:color="auto"/>
                <w:right w:val="none" w:sz="0" w:space="0" w:color="auto"/>
              </w:divBdr>
            </w:div>
            <w:div w:id="1221134543">
              <w:marLeft w:val="0"/>
              <w:marRight w:val="0"/>
              <w:marTop w:val="0"/>
              <w:marBottom w:val="0"/>
              <w:divBdr>
                <w:top w:val="none" w:sz="0" w:space="0" w:color="auto"/>
                <w:left w:val="none" w:sz="0" w:space="0" w:color="auto"/>
                <w:bottom w:val="none" w:sz="0" w:space="0" w:color="auto"/>
                <w:right w:val="none" w:sz="0" w:space="0" w:color="auto"/>
              </w:divBdr>
            </w:div>
            <w:div w:id="1347094799">
              <w:marLeft w:val="0"/>
              <w:marRight w:val="0"/>
              <w:marTop w:val="0"/>
              <w:marBottom w:val="0"/>
              <w:divBdr>
                <w:top w:val="none" w:sz="0" w:space="0" w:color="auto"/>
                <w:left w:val="none" w:sz="0" w:space="0" w:color="auto"/>
                <w:bottom w:val="none" w:sz="0" w:space="0" w:color="auto"/>
                <w:right w:val="none" w:sz="0" w:space="0" w:color="auto"/>
              </w:divBdr>
            </w:div>
            <w:div w:id="1355810947">
              <w:marLeft w:val="0"/>
              <w:marRight w:val="0"/>
              <w:marTop w:val="0"/>
              <w:marBottom w:val="0"/>
              <w:divBdr>
                <w:top w:val="none" w:sz="0" w:space="0" w:color="auto"/>
                <w:left w:val="none" w:sz="0" w:space="0" w:color="auto"/>
                <w:bottom w:val="none" w:sz="0" w:space="0" w:color="auto"/>
                <w:right w:val="none" w:sz="0" w:space="0" w:color="auto"/>
              </w:divBdr>
            </w:div>
            <w:div w:id="1396126115">
              <w:marLeft w:val="0"/>
              <w:marRight w:val="0"/>
              <w:marTop w:val="0"/>
              <w:marBottom w:val="0"/>
              <w:divBdr>
                <w:top w:val="none" w:sz="0" w:space="0" w:color="auto"/>
                <w:left w:val="none" w:sz="0" w:space="0" w:color="auto"/>
                <w:bottom w:val="none" w:sz="0" w:space="0" w:color="auto"/>
                <w:right w:val="none" w:sz="0" w:space="0" w:color="auto"/>
              </w:divBdr>
            </w:div>
            <w:div w:id="1440372601">
              <w:marLeft w:val="0"/>
              <w:marRight w:val="0"/>
              <w:marTop w:val="0"/>
              <w:marBottom w:val="0"/>
              <w:divBdr>
                <w:top w:val="none" w:sz="0" w:space="0" w:color="auto"/>
                <w:left w:val="none" w:sz="0" w:space="0" w:color="auto"/>
                <w:bottom w:val="none" w:sz="0" w:space="0" w:color="auto"/>
                <w:right w:val="none" w:sz="0" w:space="0" w:color="auto"/>
              </w:divBdr>
            </w:div>
            <w:div w:id="1971939492">
              <w:marLeft w:val="0"/>
              <w:marRight w:val="0"/>
              <w:marTop w:val="0"/>
              <w:marBottom w:val="0"/>
              <w:divBdr>
                <w:top w:val="none" w:sz="0" w:space="0" w:color="auto"/>
                <w:left w:val="none" w:sz="0" w:space="0" w:color="auto"/>
                <w:bottom w:val="none" w:sz="0" w:space="0" w:color="auto"/>
                <w:right w:val="none" w:sz="0" w:space="0" w:color="auto"/>
              </w:divBdr>
            </w:div>
            <w:div w:id="2101176763">
              <w:marLeft w:val="0"/>
              <w:marRight w:val="0"/>
              <w:marTop w:val="0"/>
              <w:marBottom w:val="0"/>
              <w:divBdr>
                <w:top w:val="none" w:sz="0" w:space="0" w:color="auto"/>
                <w:left w:val="none" w:sz="0" w:space="0" w:color="auto"/>
                <w:bottom w:val="none" w:sz="0" w:space="0" w:color="auto"/>
                <w:right w:val="none" w:sz="0" w:space="0" w:color="auto"/>
              </w:divBdr>
            </w:div>
          </w:divsChild>
        </w:div>
        <w:div w:id="1765883739">
          <w:marLeft w:val="0"/>
          <w:marRight w:val="0"/>
          <w:marTop w:val="0"/>
          <w:marBottom w:val="0"/>
          <w:divBdr>
            <w:top w:val="none" w:sz="0" w:space="0" w:color="auto"/>
            <w:left w:val="none" w:sz="0" w:space="0" w:color="auto"/>
            <w:bottom w:val="none" w:sz="0" w:space="0" w:color="auto"/>
            <w:right w:val="none" w:sz="0" w:space="0" w:color="auto"/>
          </w:divBdr>
          <w:divsChild>
            <w:div w:id="447893169">
              <w:marLeft w:val="0"/>
              <w:marRight w:val="0"/>
              <w:marTop w:val="0"/>
              <w:marBottom w:val="0"/>
              <w:divBdr>
                <w:top w:val="none" w:sz="0" w:space="0" w:color="auto"/>
                <w:left w:val="none" w:sz="0" w:space="0" w:color="auto"/>
                <w:bottom w:val="none" w:sz="0" w:space="0" w:color="auto"/>
                <w:right w:val="none" w:sz="0" w:space="0" w:color="auto"/>
              </w:divBdr>
            </w:div>
            <w:div w:id="595602701">
              <w:marLeft w:val="0"/>
              <w:marRight w:val="0"/>
              <w:marTop w:val="0"/>
              <w:marBottom w:val="0"/>
              <w:divBdr>
                <w:top w:val="none" w:sz="0" w:space="0" w:color="auto"/>
                <w:left w:val="none" w:sz="0" w:space="0" w:color="auto"/>
                <w:bottom w:val="none" w:sz="0" w:space="0" w:color="auto"/>
                <w:right w:val="none" w:sz="0" w:space="0" w:color="auto"/>
              </w:divBdr>
            </w:div>
            <w:div w:id="697048563">
              <w:marLeft w:val="0"/>
              <w:marRight w:val="0"/>
              <w:marTop w:val="0"/>
              <w:marBottom w:val="0"/>
              <w:divBdr>
                <w:top w:val="none" w:sz="0" w:space="0" w:color="auto"/>
                <w:left w:val="none" w:sz="0" w:space="0" w:color="auto"/>
                <w:bottom w:val="none" w:sz="0" w:space="0" w:color="auto"/>
                <w:right w:val="none" w:sz="0" w:space="0" w:color="auto"/>
              </w:divBdr>
            </w:div>
            <w:div w:id="700672033">
              <w:marLeft w:val="0"/>
              <w:marRight w:val="0"/>
              <w:marTop w:val="0"/>
              <w:marBottom w:val="0"/>
              <w:divBdr>
                <w:top w:val="none" w:sz="0" w:space="0" w:color="auto"/>
                <w:left w:val="none" w:sz="0" w:space="0" w:color="auto"/>
                <w:bottom w:val="none" w:sz="0" w:space="0" w:color="auto"/>
                <w:right w:val="none" w:sz="0" w:space="0" w:color="auto"/>
              </w:divBdr>
            </w:div>
            <w:div w:id="884440230">
              <w:marLeft w:val="0"/>
              <w:marRight w:val="0"/>
              <w:marTop w:val="0"/>
              <w:marBottom w:val="0"/>
              <w:divBdr>
                <w:top w:val="none" w:sz="0" w:space="0" w:color="auto"/>
                <w:left w:val="none" w:sz="0" w:space="0" w:color="auto"/>
                <w:bottom w:val="none" w:sz="0" w:space="0" w:color="auto"/>
                <w:right w:val="none" w:sz="0" w:space="0" w:color="auto"/>
              </w:divBdr>
            </w:div>
            <w:div w:id="1122698774">
              <w:marLeft w:val="0"/>
              <w:marRight w:val="0"/>
              <w:marTop w:val="0"/>
              <w:marBottom w:val="0"/>
              <w:divBdr>
                <w:top w:val="none" w:sz="0" w:space="0" w:color="auto"/>
                <w:left w:val="none" w:sz="0" w:space="0" w:color="auto"/>
                <w:bottom w:val="none" w:sz="0" w:space="0" w:color="auto"/>
                <w:right w:val="none" w:sz="0" w:space="0" w:color="auto"/>
              </w:divBdr>
            </w:div>
            <w:div w:id="1279527040">
              <w:marLeft w:val="0"/>
              <w:marRight w:val="0"/>
              <w:marTop w:val="0"/>
              <w:marBottom w:val="0"/>
              <w:divBdr>
                <w:top w:val="none" w:sz="0" w:space="0" w:color="auto"/>
                <w:left w:val="none" w:sz="0" w:space="0" w:color="auto"/>
                <w:bottom w:val="none" w:sz="0" w:space="0" w:color="auto"/>
                <w:right w:val="none" w:sz="0" w:space="0" w:color="auto"/>
              </w:divBdr>
            </w:div>
            <w:div w:id="1524973809">
              <w:marLeft w:val="0"/>
              <w:marRight w:val="0"/>
              <w:marTop w:val="0"/>
              <w:marBottom w:val="0"/>
              <w:divBdr>
                <w:top w:val="none" w:sz="0" w:space="0" w:color="auto"/>
                <w:left w:val="none" w:sz="0" w:space="0" w:color="auto"/>
                <w:bottom w:val="none" w:sz="0" w:space="0" w:color="auto"/>
                <w:right w:val="none" w:sz="0" w:space="0" w:color="auto"/>
              </w:divBdr>
            </w:div>
            <w:div w:id="1573392807">
              <w:marLeft w:val="0"/>
              <w:marRight w:val="0"/>
              <w:marTop w:val="0"/>
              <w:marBottom w:val="0"/>
              <w:divBdr>
                <w:top w:val="none" w:sz="0" w:space="0" w:color="auto"/>
                <w:left w:val="none" w:sz="0" w:space="0" w:color="auto"/>
                <w:bottom w:val="none" w:sz="0" w:space="0" w:color="auto"/>
                <w:right w:val="none" w:sz="0" w:space="0" w:color="auto"/>
              </w:divBdr>
            </w:div>
            <w:div w:id="1610164983">
              <w:marLeft w:val="0"/>
              <w:marRight w:val="0"/>
              <w:marTop w:val="0"/>
              <w:marBottom w:val="0"/>
              <w:divBdr>
                <w:top w:val="none" w:sz="0" w:space="0" w:color="auto"/>
                <w:left w:val="none" w:sz="0" w:space="0" w:color="auto"/>
                <w:bottom w:val="none" w:sz="0" w:space="0" w:color="auto"/>
                <w:right w:val="none" w:sz="0" w:space="0" w:color="auto"/>
              </w:divBdr>
            </w:div>
            <w:div w:id="1683586621">
              <w:marLeft w:val="0"/>
              <w:marRight w:val="0"/>
              <w:marTop w:val="0"/>
              <w:marBottom w:val="0"/>
              <w:divBdr>
                <w:top w:val="none" w:sz="0" w:space="0" w:color="auto"/>
                <w:left w:val="none" w:sz="0" w:space="0" w:color="auto"/>
                <w:bottom w:val="none" w:sz="0" w:space="0" w:color="auto"/>
                <w:right w:val="none" w:sz="0" w:space="0" w:color="auto"/>
              </w:divBdr>
            </w:div>
            <w:div w:id="1712225745">
              <w:marLeft w:val="0"/>
              <w:marRight w:val="0"/>
              <w:marTop w:val="0"/>
              <w:marBottom w:val="0"/>
              <w:divBdr>
                <w:top w:val="none" w:sz="0" w:space="0" w:color="auto"/>
                <w:left w:val="none" w:sz="0" w:space="0" w:color="auto"/>
                <w:bottom w:val="none" w:sz="0" w:space="0" w:color="auto"/>
                <w:right w:val="none" w:sz="0" w:space="0" w:color="auto"/>
              </w:divBdr>
            </w:div>
            <w:div w:id="1744329130">
              <w:marLeft w:val="0"/>
              <w:marRight w:val="0"/>
              <w:marTop w:val="0"/>
              <w:marBottom w:val="0"/>
              <w:divBdr>
                <w:top w:val="none" w:sz="0" w:space="0" w:color="auto"/>
                <w:left w:val="none" w:sz="0" w:space="0" w:color="auto"/>
                <w:bottom w:val="none" w:sz="0" w:space="0" w:color="auto"/>
                <w:right w:val="none" w:sz="0" w:space="0" w:color="auto"/>
              </w:divBdr>
            </w:div>
            <w:div w:id="1751804071">
              <w:marLeft w:val="0"/>
              <w:marRight w:val="0"/>
              <w:marTop w:val="0"/>
              <w:marBottom w:val="0"/>
              <w:divBdr>
                <w:top w:val="none" w:sz="0" w:space="0" w:color="auto"/>
                <w:left w:val="none" w:sz="0" w:space="0" w:color="auto"/>
                <w:bottom w:val="none" w:sz="0" w:space="0" w:color="auto"/>
                <w:right w:val="none" w:sz="0" w:space="0" w:color="auto"/>
              </w:divBdr>
            </w:div>
            <w:div w:id="1812625389">
              <w:marLeft w:val="0"/>
              <w:marRight w:val="0"/>
              <w:marTop w:val="0"/>
              <w:marBottom w:val="0"/>
              <w:divBdr>
                <w:top w:val="none" w:sz="0" w:space="0" w:color="auto"/>
                <w:left w:val="none" w:sz="0" w:space="0" w:color="auto"/>
                <w:bottom w:val="none" w:sz="0" w:space="0" w:color="auto"/>
                <w:right w:val="none" w:sz="0" w:space="0" w:color="auto"/>
              </w:divBdr>
            </w:div>
            <w:div w:id="2056193706">
              <w:marLeft w:val="0"/>
              <w:marRight w:val="0"/>
              <w:marTop w:val="0"/>
              <w:marBottom w:val="0"/>
              <w:divBdr>
                <w:top w:val="none" w:sz="0" w:space="0" w:color="auto"/>
                <w:left w:val="none" w:sz="0" w:space="0" w:color="auto"/>
                <w:bottom w:val="none" w:sz="0" w:space="0" w:color="auto"/>
                <w:right w:val="none" w:sz="0" w:space="0" w:color="auto"/>
              </w:divBdr>
            </w:div>
            <w:div w:id="20984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8479">
      <w:bodyDiv w:val="1"/>
      <w:marLeft w:val="0"/>
      <w:marRight w:val="0"/>
      <w:marTop w:val="0"/>
      <w:marBottom w:val="0"/>
      <w:divBdr>
        <w:top w:val="none" w:sz="0" w:space="0" w:color="auto"/>
        <w:left w:val="none" w:sz="0" w:space="0" w:color="auto"/>
        <w:bottom w:val="none" w:sz="0" w:space="0" w:color="auto"/>
        <w:right w:val="none" w:sz="0" w:space="0" w:color="auto"/>
      </w:divBdr>
    </w:div>
    <w:div w:id="574316585">
      <w:bodyDiv w:val="1"/>
      <w:marLeft w:val="0"/>
      <w:marRight w:val="0"/>
      <w:marTop w:val="0"/>
      <w:marBottom w:val="0"/>
      <w:divBdr>
        <w:top w:val="none" w:sz="0" w:space="0" w:color="auto"/>
        <w:left w:val="none" w:sz="0" w:space="0" w:color="auto"/>
        <w:bottom w:val="none" w:sz="0" w:space="0" w:color="auto"/>
        <w:right w:val="none" w:sz="0" w:space="0" w:color="auto"/>
      </w:divBdr>
      <w:divsChild>
        <w:div w:id="2046131550">
          <w:marLeft w:val="0"/>
          <w:marRight w:val="0"/>
          <w:marTop w:val="0"/>
          <w:marBottom w:val="0"/>
          <w:divBdr>
            <w:top w:val="none" w:sz="0" w:space="0" w:color="auto"/>
            <w:left w:val="none" w:sz="0" w:space="0" w:color="auto"/>
            <w:bottom w:val="none" w:sz="0" w:space="0" w:color="auto"/>
            <w:right w:val="none" w:sz="0" w:space="0" w:color="auto"/>
          </w:divBdr>
          <w:divsChild>
            <w:div w:id="970093322">
              <w:marLeft w:val="0"/>
              <w:marRight w:val="0"/>
              <w:marTop w:val="0"/>
              <w:marBottom w:val="0"/>
              <w:divBdr>
                <w:top w:val="none" w:sz="0" w:space="0" w:color="auto"/>
                <w:left w:val="none" w:sz="0" w:space="0" w:color="auto"/>
                <w:bottom w:val="none" w:sz="0" w:space="0" w:color="auto"/>
                <w:right w:val="none" w:sz="0" w:space="0" w:color="auto"/>
              </w:divBdr>
              <w:divsChild>
                <w:div w:id="2405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7327">
      <w:bodyDiv w:val="1"/>
      <w:marLeft w:val="0"/>
      <w:marRight w:val="0"/>
      <w:marTop w:val="0"/>
      <w:marBottom w:val="0"/>
      <w:divBdr>
        <w:top w:val="none" w:sz="0" w:space="0" w:color="auto"/>
        <w:left w:val="none" w:sz="0" w:space="0" w:color="auto"/>
        <w:bottom w:val="none" w:sz="0" w:space="0" w:color="auto"/>
        <w:right w:val="none" w:sz="0" w:space="0" w:color="auto"/>
      </w:divBdr>
      <w:divsChild>
        <w:div w:id="1954247225">
          <w:marLeft w:val="0"/>
          <w:marRight w:val="0"/>
          <w:marTop w:val="0"/>
          <w:marBottom w:val="0"/>
          <w:divBdr>
            <w:top w:val="none" w:sz="0" w:space="0" w:color="auto"/>
            <w:left w:val="none" w:sz="0" w:space="0" w:color="auto"/>
            <w:bottom w:val="none" w:sz="0" w:space="0" w:color="auto"/>
            <w:right w:val="none" w:sz="0" w:space="0" w:color="auto"/>
          </w:divBdr>
          <w:divsChild>
            <w:div w:id="923953366">
              <w:marLeft w:val="0"/>
              <w:marRight w:val="0"/>
              <w:marTop w:val="0"/>
              <w:marBottom w:val="0"/>
              <w:divBdr>
                <w:top w:val="none" w:sz="0" w:space="0" w:color="auto"/>
                <w:left w:val="none" w:sz="0" w:space="0" w:color="auto"/>
                <w:bottom w:val="none" w:sz="0" w:space="0" w:color="auto"/>
                <w:right w:val="none" w:sz="0" w:space="0" w:color="auto"/>
              </w:divBdr>
              <w:divsChild>
                <w:div w:id="163476279">
                  <w:marLeft w:val="0"/>
                  <w:marRight w:val="0"/>
                  <w:marTop w:val="0"/>
                  <w:marBottom w:val="0"/>
                  <w:divBdr>
                    <w:top w:val="none" w:sz="0" w:space="0" w:color="auto"/>
                    <w:left w:val="none" w:sz="0" w:space="0" w:color="auto"/>
                    <w:bottom w:val="none" w:sz="0" w:space="0" w:color="auto"/>
                    <w:right w:val="none" w:sz="0" w:space="0" w:color="auto"/>
                  </w:divBdr>
                  <w:divsChild>
                    <w:div w:id="8123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2804">
      <w:bodyDiv w:val="1"/>
      <w:marLeft w:val="0"/>
      <w:marRight w:val="0"/>
      <w:marTop w:val="0"/>
      <w:marBottom w:val="0"/>
      <w:divBdr>
        <w:top w:val="none" w:sz="0" w:space="0" w:color="auto"/>
        <w:left w:val="none" w:sz="0" w:space="0" w:color="auto"/>
        <w:bottom w:val="none" w:sz="0" w:space="0" w:color="auto"/>
        <w:right w:val="none" w:sz="0" w:space="0" w:color="auto"/>
      </w:divBdr>
      <w:divsChild>
        <w:div w:id="326788701">
          <w:marLeft w:val="0"/>
          <w:marRight w:val="0"/>
          <w:marTop w:val="0"/>
          <w:marBottom w:val="0"/>
          <w:divBdr>
            <w:top w:val="none" w:sz="0" w:space="0" w:color="auto"/>
            <w:left w:val="none" w:sz="0" w:space="0" w:color="auto"/>
            <w:bottom w:val="none" w:sz="0" w:space="0" w:color="auto"/>
            <w:right w:val="none" w:sz="0" w:space="0" w:color="auto"/>
          </w:divBdr>
          <w:divsChild>
            <w:div w:id="649674467">
              <w:marLeft w:val="0"/>
              <w:marRight w:val="0"/>
              <w:marTop w:val="0"/>
              <w:marBottom w:val="0"/>
              <w:divBdr>
                <w:top w:val="none" w:sz="0" w:space="0" w:color="auto"/>
                <w:left w:val="none" w:sz="0" w:space="0" w:color="auto"/>
                <w:bottom w:val="none" w:sz="0" w:space="0" w:color="auto"/>
                <w:right w:val="none" w:sz="0" w:space="0" w:color="auto"/>
              </w:divBdr>
              <w:divsChild>
                <w:div w:id="1593052035">
                  <w:marLeft w:val="0"/>
                  <w:marRight w:val="0"/>
                  <w:marTop w:val="0"/>
                  <w:marBottom w:val="0"/>
                  <w:divBdr>
                    <w:top w:val="none" w:sz="0" w:space="0" w:color="auto"/>
                    <w:left w:val="none" w:sz="0" w:space="0" w:color="auto"/>
                    <w:bottom w:val="none" w:sz="0" w:space="0" w:color="auto"/>
                    <w:right w:val="none" w:sz="0" w:space="0" w:color="auto"/>
                  </w:divBdr>
                  <w:divsChild>
                    <w:div w:id="351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1429">
      <w:bodyDiv w:val="1"/>
      <w:marLeft w:val="0"/>
      <w:marRight w:val="0"/>
      <w:marTop w:val="0"/>
      <w:marBottom w:val="0"/>
      <w:divBdr>
        <w:top w:val="none" w:sz="0" w:space="0" w:color="auto"/>
        <w:left w:val="none" w:sz="0" w:space="0" w:color="auto"/>
        <w:bottom w:val="none" w:sz="0" w:space="0" w:color="auto"/>
        <w:right w:val="none" w:sz="0" w:space="0" w:color="auto"/>
      </w:divBdr>
    </w:div>
    <w:div w:id="589509523">
      <w:bodyDiv w:val="1"/>
      <w:marLeft w:val="0"/>
      <w:marRight w:val="0"/>
      <w:marTop w:val="0"/>
      <w:marBottom w:val="0"/>
      <w:divBdr>
        <w:top w:val="none" w:sz="0" w:space="0" w:color="auto"/>
        <w:left w:val="none" w:sz="0" w:space="0" w:color="auto"/>
        <w:bottom w:val="none" w:sz="0" w:space="0" w:color="auto"/>
        <w:right w:val="none" w:sz="0" w:space="0" w:color="auto"/>
      </w:divBdr>
    </w:div>
    <w:div w:id="593440230">
      <w:bodyDiv w:val="1"/>
      <w:marLeft w:val="0"/>
      <w:marRight w:val="0"/>
      <w:marTop w:val="0"/>
      <w:marBottom w:val="0"/>
      <w:divBdr>
        <w:top w:val="none" w:sz="0" w:space="0" w:color="auto"/>
        <w:left w:val="none" w:sz="0" w:space="0" w:color="auto"/>
        <w:bottom w:val="none" w:sz="0" w:space="0" w:color="auto"/>
        <w:right w:val="none" w:sz="0" w:space="0" w:color="auto"/>
      </w:divBdr>
      <w:divsChild>
        <w:div w:id="640960411">
          <w:marLeft w:val="0"/>
          <w:marRight w:val="0"/>
          <w:marTop w:val="0"/>
          <w:marBottom w:val="0"/>
          <w:divBdr>
            <w:top w:val="none" w:sz="0" w:space="0" w:color="auto"/>
            <w:left w:val="none" w:sz="0" w:space="0" w:color="auto"/>
            <w:bottom w:val="none" w:sz="0" w:space="0" w:color="auto"/>
            <w:right w:val="none" w:sz="0" w:space="0" w:color="auto"/>
          </w:divBdr>
          <w:divsChild>
            <w:div w:id="334459583">
              <w:marLeft w:val="0"/>
              <w:marRight w:val="0"/>
              <w:marTop w:val="0"/>
              <w:marBottom w:val="0"/>
              <w:divBdr>
                <w:top w:val="none" w:sz="0" w:space="0" w:color="auto"/>
                <w:left w:val="none" w:sz="0" w:space="0" w:color="auto"/>
                <w:bottom w:val="none" w:sz="0" w:space="0" w:color="auto"/>
                <w:right w:val="none" w:sz="0" w:space="0" w:color="auto"/>
              </w:divBdr>
              <w:divsChild>
                <w:div w:id="8911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5310">
      <w:bodyDiv w:val="1"/>
      <w:marLeft w:val="0"/>
      <w:marRight w:val="0"/>
      <w:marTop w:val="0"/>
      <w:marBottom w:val="0"/>
      <w:divBdr>
        <w:top w:val="none" w:sz="0" w:space="0" w:color="auto"/>
        <w:left w:val="none" w:sz="0" w:space="0" w:color="auto"/>
        <w:bottom w:val="none" w:sz="0" w:space="0" w:color="auto"/>
        <w:right w:val="none" w:sz="0" w:space="0" w:color="auto"/>
      </w:divBdr>
      <w:divsChild>
        <w:div w:id="86001923">
          <w:marLeft w:val="0"/>
          <w:marRight w:val="0"/>
          <w:marTop w:val="0"/>
          <w:marBottom w:val="0"/>
          <w:divBdr>
            <w:top w:val="none" w:sz="0" w:space="0" w:color="auto"/>
            <w:left w:val="none" w:sz="0" w:space="0" w:color="auto"/>
            <w:bottom w:val="none" w:sz="0" w:space="0" w:color="auto"/>
            <w:right w:val="none" w:sz="0" w:space="0" w:color="auto"/>
          </w:divBdr>
          <w:divsChild>
            <w:div w:id="751856421">
              <w:marLeft w:val="0"/>
              <w:marRight w:val="0"/>
              <w:marTop w:val="0"/>
              <w:marBottom w:val="0"/>
              <w:divBdr>
                <w:top w:val="none" w:sz="0" w:space="0" w:color="auto"/>
                <w:left w:val="none" w:sz="0" w:space="0" w:color="auto"/>
                <w:bottom w:val="none" w:sz="0" w:space="0" w:color="auto"/>
                <w:right w:val="none" w:sz="0" w:space="0" w:color="auto"/>
              </w:divBdr>
              <w:divsChild>
                <w:div w:id="144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8423">
      <w:bodyDiv w:val="1"/>
      <w:marLeft w:val="0"/>
      <w:marRight w:val="0"/>
      <w:marTop w:val="0"/>
      <w:marBottom w:val="0"/>
      <w:divBdr>
        <w:top w:val="none" w:sz="0" w:space="0" w:color="auto"/>
        <w:left w:val="none" w:sz="0" w:space="0" w:color="auto"/>
        <w:bottom w:val="none" w:sz="0" w:space="0" w:color="auto"/>
        <w:right w:val="none" w:sz="0" w:space="0" w:color="auto"/>
      </w:divBdr>
      <w:divsChild>
        <w:div w:id="1730103962">
          <w:marLeft w:val="0"/>
          <w:marRight w:val="0"/>
          <w:marTop w:val="0"/>
          <w:marBottom w:val="0"/>
          <w:divBdr>
            <w:top w:val="none" w:sz="0" w:space="0" w:color="auto"/>
            <w:left w:val="none" w:sz="0" w:space="0" w:color="auto"/>
            <w:bottom w:val="none" w:sz="0" w:space="0" w:color="auto"/>
            <w:right w:val="none" w:sz="0" w:space="0" w:color="auto"/>
          </w:divBdr>
          <w:divsChild>
            <w:div w:id="1515850292">
              <w:marLeft w:val="0"/>
              <w:marRight w:val="0"/>
              <w:marTop w:val="0"/>
              <w:marBottom w:val="0"/>
              <w:divBdr>
                <w:top w:val="none" w:sz="0" w:space="0" w:color="auto"/>
                <w:left w:val="none" w:sz="0" w:space="0" w:color="auto"/>
                <w:bottom w:val="none" w:sz="0" w:space="0" w:color="auto"/>
                <w:right w:val="none" w:sz="0" w:space="0" w:color="auto"/>
              </w:divBdr>
              <w:divsChild>
                <w:div w:id="2100716490">
                  <w:marLeft w:val="0"/>
                  <w:marRight w:val="0"/>
                  <w:marTop w:val="0"/>
                  <w:marBottom w:val="0"/>
                  <w:divBdr>
                    <w:top w:val="none" w:sz="0" w:space="0" w:color="auto"/>
                    <w:left w:val="none" w:sz="0" w:space="0" w:color="auto"/>
                    <w:bottom w:val="none" w:sz="0" w:space="0" w:color="auto"/>
                    <w:right w:val="none" w:sz="0" w:space="0" w:color="auto"/>
                  </w:divBdr>
                  <w:divsChild>
                    <w:div w:id="15518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56031">
      <w:bodyDiv w:val="1"/>
      <w:marLeft w:val="0"/>
      <w:marRight w:val="0"/>
      <w:marTop w:val="0"/>
      <w:marBottom w:val="0"/>
      <w:divBdr>
        <w:top w:val="none" w:sz="0" w:space="0" w:color="auto"/>
        <w:left w:val="none" w:sz="0" w:space="0" w:color="auto"/>
        <w:bottom w:val="none" w:sz="0" w:space="0" w:color="auto"/>
        <w:right w:val="none" w:sz="0" w:space="0" w:color="auto"/>
      </w:divBdr>
      <w:divsChild>
        <w:div w:id="1441879264">
          <w:marLeft w:val="0"/>
          <w:marRight w:val="0"/>
          <w:marTop w:val="0"/>
          <w:marBottom w:val="0"/>
          <w:divBdr>
            <w:top w:val="none" w:sz="0" w:space="0" w:color="auto"/>
            <w:left w:val="none" w:sz="0" w:space="0" w:color="auto"/>
            <w:bottom w:val="none" w:sz="0" w:space="0" w:color="auto"/>
            <w:right w:val="none" w:sz="0" w:space="0" w:color="auto"/>
          </w:divBdr>
          <w:divsChild>
            <w:div w:id="1226531676">
              <w:marLeft w:val="0"/>
              <w:marRight w:val="0"/>
              <w:marTop w:val="0"/>
              <w:marBottom w:val="0"/>
              <w:divBdr>
                <w:top w:val="none" w:sz="0" w:space="0" w:color="auto"/>
                <w:left w:val="none" w:sz="0" w:space="0" w:color="auto"/>
                <w:bottom w:val="none" w:sz="0" w:space="0" w:color="auto"/>
                <w:right w:val="none" w:sz="0" w:space="0" w:color="auto"/>
              </w:divBdr>
              <w:divsChild>
                <w:div w:id="2134789054">
                  <w:marLeft w:val="0"/>
                  <w:marRight w:val="0"/>
                  <w:marTop w:val="0"/>
                  <w:marBottom w:val="0"/>
                  <w:divBdr>
                    <w:top w:val="none" w:sz="0" w:space="0" w:color="auto"/>
                    <w:left w:val="none" w:sz="0" w:space="0" w:color="auto"/>
                    <w:bottom w:val="none" w:sz="0" w:space="0" w:color="auto"/>
                    <w:right w:val="none" w:sz="0" w:space="0" w:color="auto"/>
                  </w:divBdr>
                  <w:divsChild>
                    <w:div w:id="18697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69513">
      <w:bodyDiv w:val="1"/>
      <w:marLeft w:val="0"/>
      <w:marRight w:val="0"/>
      <w:marTop w:val="0"/>
      <w:marBottom w:val="0"/>
      <w:divBdr>
        <w:top w:val="none" w:sz="0" w:space="0" w:color="auto"/>
        <w:left w:val="none" w:sz="0" w:space="0" w:color="auto"/>
        <w:bottom w:val="none" w:sz="0" w:space="0" w:color="auto"/>
        <w:right w:val="none" w:sz="0" w:space="0" w:color="auto"/>
      </w:divBdr>
      <w:divsChild>
        <w:div w:id="959339671">
          <w:marLeft w:val="0"/>
          <w:marRight w:val="0"/>
          <w:marTop w:val="0"/>
          <w:marBottom w:val="0"/>
          <w:divBdr>
            <w:top w:val="none" w:sz="0" w:space="0" w:color="auto"/>
            <w:left w:val="none" w:sz="0" w:space="0" w:color="auto"/>
            <w:bottom w:val="none" w:sz="0" w:space="0" w:color="auto"/>
            <w:right w:val="none" w:sz="0" w:space="0" w:color="auto"/>
          </w:divBdr>
          <w:divsChild>
            <w:div w:id="1290624218">
              <w:marLeft w:val="0"/>
              <w:marRight w:val="0"/>
              <w:marTop w:val="0"/>
              <w:marBottom w:val="0"/>
              <w:divBdr>
                <w:top w:val="none" w:sz="0" w:space="0" w:color="auto"/>
                <w:left w:val="none" w:sz="0" w:space="0" w:color="auto"/>
                <w:bottom w:val="none" w:sz="0" w:space="0" w:color="auto"/>
                <w:right w:val="none" w:sz="0" w:space="0" w:color="auto"/>
              </w:divBdr>
              <w:divsChild>
                <w:div w:id="1804731291">
                  <w:marLeft w:val="0"/>
                  <w:marRight w:val="0"/>
                  <w:marTop w:val="0"/>
                  <w:marBottom w:val="0"/>
                  <w:divBdr>
                    <w:top w:val="none" w:sz="0" w:space="0" w:color="auto"/>
                    <w:left w:val="none" w:sz="0" w:space="0" w:color="auto"/>
                    <w:bottom w:val="none" w:sz="0" w:space="0" w:color="auto"/>
                    <w:right w:val="none" w:sz="0" w:space="0" w:color="auto"/>
                  </w:divBdr>
                  <w:divsChild>
                    <w:div w:id="20788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71936">
      <w:bodyDiv w:val="1"/>
      <w:marLeft w:val="0"/>
      <w:marRight w:val="0"/>
      <w:marTop w:val="0"/>
      <w:marBottom w:val="0"/>
      <w:divBdr>
        <w:top w:val="none" w:sz="0" w:space="0" w:color="auto"/>
        <w:left w:val="none" w:sz="0" w:space="0" w:color="auto"/>
        <w:bottom w:val="none" w:sz="0" w:space="0" w:color="auto"/>
        <w:right w:val="none" w:sz="0" w:space="0" w:color="auto"/>
      </w:divBdr>
    </w:div>
    <w:div w:id="630745922">
      <w:bodyDiv w:val="1"/>
      <w:marLeft w:val="0"/>
      <w:marRight w:val="0"/>
      <w:marTop w:val="0"/>
      <w:marBottom w:val="0"/>
      <w:divBdr>
        <w:top w:val="none" w:sz="0" w:space="0" w:color="auto"/>
        <w:left w:val="none" w:sz="0" w:space="0" w:color="auto"/>
        <w:bottom w:val="none" w:sz="0" w:space="0" w:color="auto"/>
        <w:right w:val="none" w:sz="0" w:space="0" w:color="auto"/>
      </w:divBdr>
      <w:divsChild>
        <w:div w:id="2105370102">
          <w:marLeft w:val="0"/>
          <w:marRight w:val="0"/>
          <w:marTop w:val="0"/>
          <w:marBottom w:val="0"/>
          <w:divBdr>
            <w:top w:val="none" w:sz="0" w:space="0" w:color="auto"/>
            <w:left w:val="none" w:sz="0" w:space="0" w:color="auto"/>
            <w:bottom w:val="none" w:sz="0" w:space="0" w:color="auto"/>
            <w:right w:val="none" w:sz="0" w:space="0" w:color="auto"/>
          </w:divBdr>
          <w:divsChild>
            <w:div w:id="1120757523">
              <w:marLeft w:val="0"/>
              <w:marRight w:val="0"/>
              <w:marTop w:val="0"/>
              <w:marBottom w:val="0"/>
              <w:divBdr>
                <w:top w:val="none" w:sz="0" w:space="0" w:color="auto"/>
                <w:left w:val="none" w:sz="0" w:space="0" w:color="auto"/>
                <w:bottom w:val="none" w:sz="0" w:space="0" w:color="auto"/>
                <w:right w:val="none" w:sz="0" w:space="0" w:color="auto"/>
              </w:divBdr>
              <w:divsChild>
                <w:div w:id="2579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1741270">
      <w:bodyDiv w:val="1"/>
      <w:marLeft w:val="0"/>
      <w:marRight w:val="0"/>
      <w:marTop w:val="0"/>
      <w:marBottom w:val="0"/>
      <w:divBdr>
        <w:top w:val="none" w:sz="0" w:space="0" w:color="auto"/>
        <w:left w:val="none" w:sz="0" w:space="0" w:color="auto"/>
        <w:bottom w:val="none" w:sz="0" w:space="0" w:color="auto"/>
        <w:right w:val="none" w:sz="0" w:space="0" w:color="auto"/>
      </w:divBdr>
      <w:divsChild>
        <w:div w:id="321393126">
          <w:marLeft w:val="0"/>
          <w:marRight w:val="0"/>
          <w:marTop w:val="0"/>
          <w:marBottom w:val="0"/>
          <w:divBdr>
            <w:top w:val="none" w:sz="0" w:space="0" w:color="auto"/>
            <w:left w:val="none" w:sz="0" w:space="0" w:color="auto"/>
            <w:bottom w:val="none" w:sz="0" w:space="0" w:color="auto"/>
            <w:right w:val="none" w:sz="0" w:space="0" w:color="auto"/>
          </w:divBdr>
          <w:divsChild>
            <w:div w:id="766265980">
              <w:marLeft w:val="0"/>
              <w:marRight w:val="0"/>
              <w:marTop w:val="0"/>
              <w:marBottom w:val="0"/>
              <w:divBdr>
                <w:top w:val="none" w:sz="0" w:space="0" w:color="auto"/>
                <w:left w:val="none" w:sz="0" w:space="0" w:color="auto"/>
                <w:bottom w:val="none" w:sz="0" w:space="0" w:color="auto"/>
                <w:right w:val="none" w:sz="0" w:space="0" w:color="auto"/>
              </w:divBdr>
              <w:divsChild>
                <w:div w:id="1230651771">
                  <w:marLeft w:val="0"/>
                  <w:marRight w:val="0"/>
                  <w:marTop w:val="0"/>
                  <w:marBottom w:val="0"/>
                  <w:divBdr>
                    <w:top w:val="none" w:sz="0" w:space="0" w:color="auto"/>
                    <w:left w:val="none" w:sz="0" w:space="0" w:color="auto"/>
                    <w:bottom w:val="none" w:sz="0" w:space="0" w:color="auto"/>
                    <w:right w:val="none" w:sz="0" w:space="0" w:color="auto"/>
                  </w:divBdr>
                  <w:divsChild>
                    <w:div w:id="14502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8773">
      <w:bodyDiv w:val="1"/>
      <w:marLeft w:val="0"/>
      <w:marRight w:val="0"/>
      <w:marTop w:val="0"/>
      <w:marBottom w:val="0"/>
      <w:divBdr>
        <w:top w:val="none" w:sz="0" w:space="0" w:color="auto"/>
        <w:left w:val="none" w:sz="0" w:space="0" w:color="auto"/>
        <w:bottom w:val="none" w:sz="0" w:space="0" w:color="auto"/>
        <w:right w:val="none" w:sz="0" w:space="0" w:color="auto"/>
      </w:divBdr>
      <w:divsChild>
        <w:div w:id="575818037">
          <w:marLeft w:val="0"/>
          <w:marRight w:val="0"/>
          <w:marTop w:val="0"/>
          <w:marBottom w:val="0"/>
          <w:divBdr>
            <w:top w:val="none" w:sz="0" w:space="0" w:color="auto"/>
            <w:left w:val="none" w:sz="0" w:space="0" w:color="auto"/>
            <w:bottom w:val="none" w:sz="0" w:space="0" w:color="auto"/>
            <w:right w:val="none" w:sz="0" w:space="0" w:color="auto"/>
          </w:divBdr>
          <w:divsChild>
            <w:div w:id="757676621">
              <w:marLeft w:val="0"/>
              <w:marRight w:val="0"/>
              <w:marTop w:val="0"/>
              <w:marBottom w:val="0"/>
              <w:divBdr>
                <w:top w:val="none" w:sz="0" w:space="0" w:color="auto"/>
                <w:left w:val="none" w:sz="0" w:space="0" w:color="auto"/>
                <w:bottom w:val="none" w:sz="0" w:space="0" w:color="auto"/>
                <w:right w:val="none" w:sz="0" w:space="0" w:color="auto"/>
              </w:divBdr>
              <w:divsChild>
                <w:div w:id="165747441">
                  <w:marLeft w:val="0"/>
                  <w:marRight w:val="0"/>
                  <w:marTop w:val="0"/>
                  <w:marBottom w:val="0"/>
                  <w:divBdr>
                    <w:top w:val="none" w:sz="0" w:space="0" w:color="auto"/>
                    <w:left w:val="none" w:sz="0" w:space="0" w:color="auto"/>
                    <w:bottom w:val="none" w:sz="0" w:space="0" w:color="auto"/>
                    <w:right w:val="none" w:sz="0" w:space="0" w:color="auto"/>
                  </w:divBdr>
                  <w:divsChild>
                    <w:div w:id="7286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7614">
      <w:bodyDiv w:val="1"/>
      <w:marLeft w:val="0"/>
      <w:marRight w:val="0"/>
      <w:marTop w:val="0"/>
      <w:marBottom w:val="0"/>
      <w:divBdr>
        <w:top w:val="none" w:sz="0" w:space="0" w:color="auto"/>
        <w:left w:val="none" w:sz="0" w:space="0" w:color="auto"/>
        <w:bottom w:val="none" w:sz="0" w:space="0" w:color="auto"/>
        <w:right w:val="none" w:sz="0" w:space="0" w:color="auto"/>
      </w:divBdr>
    </w:div>
    <w:div w:id="646934665">
      <w:bodyDiv w:val="1"/>
      <w:marLeft w:val="0"/>
      <w:marRight w:val="0"/>
      <w:marTop w:val="0"/>
      <w:marBottom w:val="0"/>
      <w:divBdr>
        <w:top w:val="none" w:sz="0" w:space="0" w:color="auto"/>
        <w:left w:val="none" w:sz="0" w:space="0" w:color="auto"/>
        <w:bottom w:val="none" w:sz="0" w:space="0" w:color="auto"/>
        <w:right w:val="none" w:sz="0" w:space="0" w:color="auto"/>
      </w:divBdr>
      <w:divsChild>
        <w:div w:id="1736925342">
          <w:marLeft w:val="0"/>
          <w:marRight w:val="0"/>
          <w:marTop w:val="0"/>
          <w:marBottom w:val="0"/>
          <w:divBdr>
            <w:top w:val="none" w:sz="0" w:space="0" w:color="auto"/>
            <w:left w:val="none" w:sz="0" w:space="0" w:color="auto"/>
            <w:bottom w:val="none" w:sz="0" w:space="0" w:color="auto"/>
            <w:right w:val="none" w:sz="0" w:space="0" w:color="auto"/>
          </w:divBdr>
          <w:divsChild>
            <w:div w:id="680206955">
              <w:marLeft w:val="0"/>
              <w:marRight w:val="0"/>
              <w:marTop w:val="0"/>
              <w:marBottom w:val="0"/>
              <w:divBdr>
                <w:top w:val="none" w:sz="0" w:space="0" w:color="auto"/>
                <w:left w:val="none" w:sz="0" w:space="0" w:color="auto"/>
                <w:bottom w:val="none" w:sz="0" w:space="0" w:color="auto"/>
                <w:right w:val="none" w:sz="0" w:space="0" w:color="auto"/>
              </w:divBdr>
              <w:divsChild>
                <w:div w:id="1267077472">
                  <w:marLeft w:val="0"/>
                  <w:marRight w:val="0"/>
                  <w:marTop w:val="0"/>
                  <w:marBottom w:val="0"/>
                  <w:divBdr>
                    <w:top w:val="none" w:sz="0" w:space="0" w:color="auto"/>
                    <w:left w:val="none" w:sz="0" w:space="0" w:color="auto"/>
                    <w:bottom w:val="none" w:sz="0" w:space="0" w:color="auto"/>
                    <w:right w:val="none" w:sz="0" w:space="0" w:color="auto"/>
                  </w:divBdr>
                  <w:divsChild>
                    <w:div w:id="15613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5763120">
      <w:bodyDiv w:val="1"/>
      <w:marLeft w:val="0"/>
      <w:marRight w:val="0"/>
      <w:marTop w:val="0"/>
      <w:marBottom w:val="0"/>
      <w:divBdr>
        <w:top w:val="none" w:sz="0" w:space="0" w:color="auto"/>
        <w:left w:val="none" w:sz="0" w:space="0" w:color="auto"/>
        <w:bottom w:val="none" w:sz="0" w:space="0" w:color="auto"/>
        <w:right w:val="none" w:sz="0" w:space="0" w:color="auto"/>
      </w:divBdr>
    </w:div>
    <w:div w:id="658534823">
      <w:bodyDiv w:val="1"/>
      <w:marLeft w:val="0"/>
      <w:marRight w:val="0"/>
      <w:marTop w:val="0"/>
      <w:marBottom w:val="0"/>
      <w:divBdr>
        <w:top w:val="none" w:sz="0" w:space="0" w:color="auto"/>
        <w:left w:val="none" w:sz="0" w:space="0" w:color="auto"/>
        <w:bottom w:val="none" w:sz="0" w:space="0" w:color="auto"/>
        <w:right w:val="none" w:sz="0" w:space="0" w:color="auto"/>
      </w:divBdr>
    </w:div>
    <w:div w:id="663053746">
      <w:bodyDiv w:val="1"/>
      <w:marLeft w:val="0"/>
      <w:marRight w:val="0"/>
      <w:marTop w:val="0"/>
      <w:marBottom w:val="0"/>
      <w:divBdr>
        <w:top w:val="none" w:sz="0" w:space="0" w:color="auto"/>
        <w:left w:val="none" w:sz="0" w:space="0" w:color="auto"/>
        <w:bottom w:val="none" w:sz="0" w:space="0" w:color="auto"/>
        <w:right w:val="none" w:sz="0" w:space="0" w:color="auto"/>
      </w:divBdr>
      <w:divsChild>
        <w:div w:id="1297099279">
          <w:marLeft w:val="0"/>
          <w:marRight w:val="0"/>
          <w:marTop w:val="0"/>
          <w:marBottom w:val="0"/>
          <w:divBdr>
            <w:top w:val="none" w:sz="0" w:space="0" w:color="auto"/>
            <w:left w:val="none" w:sz="0" w:space="0" w:color="auto"/>
            <w:bottom w:val="none" w:sz="0" w:space="0" w:color="auto"/>
            <w:right w:val="none" w:sz="0" w:space="0" w:color="auto"/>
          </w:divBdr>
          <w:divsChild>
            <w:div w:id="1692799563">
              <w:marLeft w:val="0"/>
              <w:marRight w:val="0"/>
              <w:marTop w:val="0"/>
              <w:marBottom w:val="0"/>
              <w:divBdr>
                <w:top w:val="none" w:sz="0" w:space="0" w:color="auto"/>
                <w:left w:val="none" w:sz="0" w:space="0" w:color="auto"/>
                <w:bottom w:val="none" w:sz="0" w:space="0" w:color="auto"/>
                <w:right w:val="none" w:sz="0" w:space="0" w:color="auto"/>
              </w:divBdr>
              <w:divsChild>
                <w:div w:id="169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94478">
      <w:bodyDiv w:val="1"/>
      <w:marLeft w:val="0"/>
      <w:marRight w:val="0"/>
      <w:marTop w:val="0"/>
      <w:marBottom w:val="0"/>
      <w:divBdr>
        <w:top w:val="none" w:sz="0" w:space="0" w:color="auto"/>
        <w:left w:val="none" w:sz="0" w:space="0" w:color="auto"/>
        <w:bottom w:val="none" w:sz="0" w:space="0" w:color="auto"/>
        <w:right w:val="none" w:sz="0" w:space="0" w:color="auto"/>
      </w:divBdr>
      <w:divsChild>
        <w:div w:id="42099259">
          <w:marLeft w:val="0"/>
          <w:marRight w:val="0"/>
          <w:marTop w:val="0"/>
          <w:marBottom w:val="0"/>
          <w:divBdr>
            <w:top w:val="none" w:sz="0" w:space="0" w:color="auto"/>
            <w:left w:val="none" w:sz="0" w:space="0" w:color="auto"/>
            <w:bottom w:val="none" w:sz="0" w:space="0" w:color="auto"/>
            <w:right w:val="none" w:sz="0" w:space="0" w:color="auto"/>
          </w:divBdr>
          <w:divsChild>
            <w:div w:id="902716779">
              <w:marLeft w:val="0"/>
              <w:marRight w:val="0"/>
              <w:marTop w:val="0"/>
              <w:marBottom w:val="0"/>
              <w:divBdr>
                <w:top w:val="none" w:sz="0" w:space="0" w:color="auto"/>
                <w:left w:val="none" w:sz="0" w:space="0" w:color="auto"/>
                <w:bottom w:val="none" w:sz="0" w:space="0" w:color="auto"/>
                <w:right w:val="none" w:sz="0" w:space="0" w:color="auto"/>
              </w:divBdr>
              <w:divsChild>
                <w:div w:id="1822189773">
                  <w:marLeft w:val="0"/>
                  <w:marRight w:val="0"/>
                  <w:marTop w:val="0"/>
                  <w:marBottom w:val="0"/>
                  <w:divBdr>
                    <w:top w:val="none" w:sz="0" w:space="0" w:color="auto"/>
                    <w:left w:val="none" w:sz="0" w:space="0" w:color="auto"/>
                    <w:bottom w:val="none" w:sz="0" w:space="0" w:color="auto"/>
                    <w:right w:val="none" w:sz="0" w:space="0" w:color="auto"/>
                  </w:divBdr>
                  <w:divsChild>
                    <w:div w:id="932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49634">
      <w:bodyDiv w:val="1"/>
      <w:marLeft w:val="0"/>
      <w:marRight w:val="0"/>
      <w:marTop w:val="0"/>
      <w:marBottom w:val="0"/>
      <w:divBdr>
        <w:top w:val="none" w:sz="0" w:space="0" w:color="auto"/>
        <w:left w:val="none" w:sz="0" w:space="0" w:color="auto"/>
        <w:bottom w:val="none" w:sz="0" w:space="0" w:color="auto"/>
        <w:right w:val="none" w:sz="0" w:space="0" w:color="auto"/>
      </w:divBdr>
      <w:divsChild>
        <w:div w:id="1314792989">
          <w:marLeft w:val="0"/>
          <w:marRight w:val="0"/>
          <w:marTop w:val="0"/>
          <w:marBottom w:val="0"/>
          <w:divBdr>
            <w:top w:val="none" w:sz="0" w:space="0" w:color="auto"/>
            <w:left w:val="none" w:sz="0" w:space="0" w:color="auto"/>
            <w:bottom w:val="none" w:sz="0" w:space="0" w:color="auto"/>
            <w:right w:val="none" w:sz="0" w:space="0" w:color="auto"/>
          </w:divBdr>
          <w:divsChild>
            <w:div w:id="204801320">
              <w:marLeft w:val="0"/>
              <w:marRight w:val="0"/>
              <w:marTop w:val="0"/>
              <w:marBottom w:val="0"/>
              <w:divBdr>
                <w:top w:val="none" w:sz="0" w:space="0" w:color="auto"/>
                <w:left w:val="none" w:sz="0" w:space="0" w:color="auto"/>
                <w:bottom w:val="none" w:sz="0" w:space="0" w:color="auto"/>
                <w:right w:val="none" w:sz="0" w:space="0" w:color="auto"/>
              </w:divBdr>
              <w:divsChild>
                <w:div w:id="4452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6135">
      <w:bodyDiv w:val="1"/>
      <w:marLeft w:val="0"/>
      <w:marRight w:val="0"/>
      <w:marTop w:val="0"/>
      <w:marBottom w:val="0"/>
      <w:divBdr>
        <w:top w:val="none" w:sz="0" w:space="0" w:color="auto"/>
        <w:left w:val="none" w:sz="0" w:space="0" w:color="auto"/>
        <w:bottom w:val="none" w:sz="0" w:space="0" w:color="auto"/>
        <w:right w:val="none" w:sz="0" w:space="0" w:color="auto"/>
      </w:divBdr>
      <w:divsChild>
        <w:div w:id="1365054086">
          <w:marLeft w:val="0"/>
          <w:marRight w:val="0"/>
          <w:marTop w:val="0"/>
          <w:marBottom w:val="0"/>
          <w:divBdr>
            <w:top w:val="none" w:sz="0" w:space="0" w:color="auto"/>
            <w:left w:val="none" w:sz="0" w:space="0" w:color="auto"/>
            <w:bottom w:val="none" w:sz="0" w:space="0" w:color="auto"/>
            <w:right w:val="none" w:sz="0" w:space="0" w:color="auto"/>
          </w:divBdr>
          <w:divsChild>
            <w:div w:id="1560360229">
              <w:marLeft w:val="0"/>
              <w:marRight w:val="0"/>
              <w:marTop w:val="0"/>
              <w:marBottom w:val="0"/>
              <w:divBdr>
                <w:top w:val="none" w:sz="0" w:space="0" w:color="auto"/>
                <w:left w:val="none" w:sz="0" w:space="0" w:color="auto"/>
                <w:bottom w:val="none" w:sz="0" w:space="0" w:color="auto"/>
                <w:right w:val="none" w:sz="0" w:space="0" w:color="auto"/>
              </w:divBdr>
              <w:divsChild>
                <w:div w:id="35548123">
                  <w:marLeft w:val="0"/>
                  <w:marRight w:val="0"/>
                  <w:marTop w:val="0"/>
                  <w:marBottom w:val="0"/>
                  <w:divBdr>
                    <w:top w:val="none" w:sz="0" w:space="0" w:color="auto"/>
                    <w:left w:val="none" w:sz="0" w:space="0" w:color="auto"/>
                    <w:bottom w:val="none" w:sz="0" w:space="0" w:color="auto"/>
                    <w:right w:val="none" w:sz="0" w:space="0" w:color="auto"/>
                  </w:divBdr>
                  <w:divsChild>
                    <w:div w:id="1430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9488">
      <w:bodyDiv w:val="1"/>
      <w:marLeft w:val="0"/>
      <w:marRight w:val="0"/>
      <w:marTop w:val="0"/>
      <w:marBottom w:val="0"/>
      <w:divBdr>
        <w:top w:val="none" w:sz="0" w:space="0" w:color="auto"/>
        <w:left w:val="none" w:sz="0" w:space="0" w:color="auto"/>
        <w:bottom w:val="none" w:sz="0" w:space="0" w:color="auto"/>
        <w:right w:val="none" w:sz="0" w:space="0" w:color="auto"/>
      </w:divBdr>
    </w:div>
    <w:div w:id="684673625">
      <w:bodyDiv w:val="1"/>
      <w:marLeft w:val="0"/>
      <w:marRight w:val="0"/>
      <w:marTop w:val="0"/>
      <w:marBottom w:val="0"/>
      <w:divBdr>
        <w:top w:val="none" w:sz="0" w:space="0" w:color="auto"/>
        <w:left w:val="none" w:sz="0" w:space="0" w:color="auto"/>
        <w:bottom w:val="none" w:sz="0" w:space="0" w:color="auto"/>
        <w:right w:val="none" w:sz="0" w:space="0" w:color="auto"/>
      </w:divBdr>
      <w:divsChild>
        <w:div w:id="99877455">
          <w:marLeft w:val="0"/>
          <w:marRight w:val="0"/>
          <w:marTop w:val="0"/>
          <w:marBottom w:val="0"/>
          <w:divBdr>
            <w:top w:val="none" w:sz="0" w:space="0" w:color="auto"/>
            <w:left w:val="none" w:sz="0" w:space="0" w:color="auto"/>
            <w:bottom w:val="none" w:sz="0" w:space="0" w:color="auto"/>
            <w:right w:val="none" w:sz="0" w:space="0" w:color="auto"/>
          </w:divBdr>
          <w:divsChild>
            <w:div w:id="1353605093">
              <w:marLeft w:val="0"/>
              <w:marRight w:val="0"/>
              <w:marTop w:val="0"/>
              <w:marBottom w:val="0"/>
              <w:divBdr>
                <w:top w:val="none" w:sz="0" w:space="0" w:color="auto"/>
                <w:left w:val="none" w:sz="0" w:space="0" w:color="auto"/>
                <w:bottom w:val="none" w:sz="0" w:space="0" w:color="auto"/>
                <w:right w:val="none" w:sz="0" w:space="0" w:color="auto"/>
              </w:divBdr>
              <w:divsChild>
                <w:div w:id="772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7451">
      <w:bodyDiv w:val="1"/>
      <w:marLeft w:val="0"/>
      <w:marRight w:val="0"/>
      <w:marTop w:val="0"/>
      <w:marBottom w:val="0"/>
      <w:divBdr>
        <w:top w:val="none" w:sz="0" w:space="0" w:color="auto"/>
        <w:left w:val="none" w:sz="0" w:space="0" w:color="auto"/>
        <w:bottom w:val="none" w:sz="0" w:space="0" w:color="auto"/>
        <w:right w:val="none" w:sz="0" w:space="0" w:color="auto"/>
      </w:divBdr>
    </w:div>
    <w:div w:id="692917899">
      <w:bodyDiv w:val="1"/>
      <w:marLeft w:val="0"/>
      <w:marRight w:val="0"/>
      <w:marTop w:val="0"/>
      <w:marBottom w:val="0"/>
      <w:divBdr>
        <w:top w:val="none" w:sz="0" w:space="0" w:color="auto"/>
        <w:left w:val="none" w:sz="0" w:space="0" w:color="auto"/>
        <w:bottom w:val="none" w:sz="0" w:space="0" w:color="auto"/>
        <w:right w:val="none" w:sz="0" w:space="0" w:color="auto"/>
      </w:divBdr>
    </w:div>
    <w:div w:id="699865940">
      <w:bodyDiv w:val="1"/>
      <w:marLeft w:val="0"/>
      <w:marRight w:val="0"/>
      <w:marTop w:val="0"/>
      <w:marBottom w:val="0"/>
      <w:divBdr>
        <w:top w:val="none" w:sz="0" w:space="0" w:color="auto"/>
        <w:left w:val="none" w:sz="0" w:space="0" w:color="auto"/>
        <w:bottom w:val="none" w:sz="0" w:space="0" w:color="auto"/>
        <w:right w:val="none" w:sz="0" w:space="0" w:color="auto"/>
      </w:divBdr>
    </w:div>
    <w:div w:id="702748324">
      <w:bodyDiv w:val="1"/>
      <w:marLeft w:val="0"/>
      <w:marRight w:val="0"/>
      <w:marTop w:val="0"/>
      <w:marBottom w:val="0"/>
      <w:divBdr>
        <w:top w:val="none" w:sz="0" w:space="0" w:color="auto"/>
        <w:left w:val="none" w:sz="0" w:space="0" w:color="auto"/>
        <w:bottom w:val="none" w:sz="0" w:space="0" w:color="auto"/>
        <w:right w:val="none" w:sz="0" w:space="0" w:color="auto"/>
      </w:divBdr>
      <w:divsChild>
        <w:div w:id="873418415">
          <w:marLeft w:val="0"/>
          <w:marRight w:val="0"/>
          <w:marTop w:val="0"/>
          <w:marBottom w:val="0"/>
          <w:divBdr>
            <w:top w:val="none" w:sz="0" w:space="0" w:color="auto"/>
            <w:left w:val="none" w:sz="0" w:space="0" w:color="auto"/>
            <w:bottom w:val="none" w:sz="0" w:space="0" w:color="auto"/>
            <w:right w:val="none" w:sz="0" w:space="0" w:color="auto"/>
          </w:divBdr>
          <w:divsChild>
            <w:div w:id="1997297675">
              <w:marLeft w:val="0"/>
              <w:marRight w:val="0"/>
              <w:marTop w:val="0"/>
              <w:marBottom w:val="0"/>
              <w:divBdr>
                <w:top w:val="none" w:sz="0" w:space="0" w:color="auto"/>
                <w:left w:val="none" w:sz="0" w:space="0" w:color="auto"/>
                <w:bottom w:val="none" w:sz="0" w:space="0" w:color="auto"/>
                <w:right w:val="none" w:sz="0" w:space="0" w:color="auto"/>
              </w:divBdr>
              <w:divsChild>
                <w:div w:id="10018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58796">
      <w:bodyDiv w:val="1"/>
      <w:marLeft w:val="0"/>
      <w:marRight w:val="0"/>
      <w:marTop w:val="0"/>
      <w:marBottom w:val="0"/>
      <w:divBdr>
        <w:top w:val="none" w:sz="0" w:space="0" w:color="auto"/>
        <w:left w:val="none" w:sz="0" w:space="0" w:color="auto"/>
        <w:bottom w:val="none" w:sz="0" w:space="0" w:color="auto"/>
        <w:right w:val="none" w:sz="0" w:space="0" w:color="auto"/>
      </w:divBdr>
    </w:div>
    <w:div w:id="707417288">
      <w:bodyDiv w:val="1"/>
      <w:marLeft w:val="0"/>
      <w:marRight w:val="0"/>
      <w:marTop w:val="0"/>
      <w:marBottom w:val="0"/>
      <w:divBdr>
        <w:top w:val="none" w:sz="0" w:space="0" w:color="auto"/>
        <w:left w:val="none" w:sz="0" w:space="0" w:color="auto"/>
        <w:bottom w:val="none" w:sz="0" w:space="0" w:color="auto"/>
        <w:right w:val="none" w:sz="0" w:space="0" w:color="auto"/>
      </w:divBdr>
      <w:divsChild>
        <w:div w:id="196551213">
          <w:marLeft w:val="0"/>
          <w:marRight w:val="0"/>
          <w:marTop w:val="0"/>
          <w:marBottom w:val="0"/>
          <w:divBdr>
            <w:top w:val="none" w:sz="0" w:space="0" w:color="auto"/>
            <w:left w:val="none" w:sz="0" w:space="0" w:color="auto"/>
            <w:bottom w:val="none" w:sz="0" w:space="0" w:color="auto"/>
            <w:right w:val="none" w:sz="0" w:space="0" w:color="auto"/>
          </w:divBdr>
          <w:divsChild>
            <w:div w:id="1388609482">
              <w:marLeft w:val="0"/>
              <w:marRight w:val="0"/>
              <w:marTop w:val="0"/>
              <w:marBottom w:val="0"/>
              <w:divBdr>
                <w:top w:val="none" w:sz="0" w:space="0" w:color="auto"/>
                <w:left w:val="none" w:sz="0" w:space="0" w:color="auto"/>
                <w:bottom w:val="none" w:sz="0" w:space="0" w:color="auto"/>
                <w:right w:val="none" w:sz="0" w:space="0" w:color="auto"/>
              </w:divBdr>
              <w:divsChild>
                <w:div w:id="767040836">
                  <w:marLeft w:val="0"/>
                  <w:marRight w:val="0"/>
                  <w:marTop w:val="0"/>
                  <w:marBottom w:val="0"/>
                  <w:divBdr>
                    <w:top w:val="none" w:sz="0" w:space="0" w:color="auto"/>
                    <w:left w:val="none" w:sz="0" w:space="0" w:color="auto"/>
                    <w:bottom w:val="none" w:sz="0" w:space="0" w:color="auto"/>
                    <w:right w:val="none" w:sz="0" w:space="0" w:color="auto"/>
                  </w:divBdr>
                  <w:divsChild>
                    <w:div w:id="18617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4397">
      <w:bodyDiv w:val="1"/>
      <w:marLeft w:val="0"/>
      <w:marRight w:val="0"/>
      <w:marTop w:val="0"/>
      <w:marBottom w:val="0"/>
      <w:divBdr>
        <w:top w:val="none" w:sz="0" w:space="0" w:color="auto"/>
        <w:left w:val="none" w:sz="0" w:space="0" w:color="auto"/>
        <w:bottom w:val="none" w:sz="0" w:space="0" w:color="auto"/>
        <w:right w:val="none" w:sz="0" w:space="0" w:color="auto"/>
      </w:divBdr>
      <w:divsChild>
        <w:div w:id="1406032103">
          <w:marLeft w:val="0"/>
          <w:marRight w:val="0"/>
          <w:marTop w:val="0"/>
          <w:marBottom w:val="0"/>
          <w:divBdr>
            <w:top w:val="none" w:sz="0" w:space="0" w:color="auto"/>
            <w:left w:val="none" w:sz="0" w:space="0" w:color="auto"/>
            <w:bottom w:val="none" w:sz="0" w:space="0" w:color="auto"/>
            <w:right w:val="none" w:sz="0" w:space="0" w:color="auto"/>
          </w:divBdr>
          <w:divsChild>
            <w:div w:id="1042176165">
              <w:marLeft w:val="0"/>
              <w:marRight w:val="0"/>
              <w:marTop w:val="0"/>
              <w:marBottom w:val="0"/>
              <w:divBdr>
                <w:top w:val="none" w:sz="0" w:space="0" w:color="auto"/>
                <w:left w:val="none" w:sz="0" w:space="0" w:color="auto"/>
                <w:bottom w:val="none" w:sz="0" w:space="0" w:color="auto"/>
                <w:right w:val="none" w:sz="0" w:space="0" w:color="auto"/>
              </w:divBdr>
              <w:divsChild>
                <w:div w:id="678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70894">
      <w:bodyDiv w:val="1"/>
      <w:marLeft w:val="0"/>
      <w:marRight w:val="0"/>
      <w:marTop w:val="0"/>
      <w:marBottom w:val="0"/>
      <w:divBdr>
        <w:top w:val="none" w:sz="0" w:space="0" w:color="auto"/>
        <w:left w:val="none" w:sz="0" w:space="0" w:color="auto"/>
        <w:bottom w:val="none" w:sz="0" w:space="0" w:color="auto"/>
        <w:right w:val="none" w:sz="0" w:space="0" w:color="auto"/>
      </w:divBdr>
      <w:divsChild>
        <w:div w:id="196627869">
          <w:marLeft w:val="0"/>
          <w:marRight w:val="0"/>
          <w:marTop w:val="0"/>
          <w:marBottom w:val="0"/>
          <w:divBdr>
            <w:top w:val="none" w:sz="0" w:space="0" w:color="auto"/>
            <w:left w:val="none" w:sz="0" w:space="0" w:color="auto"/>
            <w:bottom w:val="none" w:sz="0" w:space="0" w:color="auto"/>
            <w:right w:val="none" w:sz="0" w:space="0" w:color="auto"/>
          </w:divBdr>
          <w:divsChild>
            <w:div w:id="1499660912">
              <w:marLeft w:val="0"/>
              <w:marRight w:val="0"/>
              <w:marTop w:val="0"/>
              <w:marBottom w:val="0"/>
              <w:divBdr>
                <w:top w:val="none" w:sz="0" w:space="0" w:color="auto"/>
                <w:left w:val="none" w:sz="0" w:space="0" w:color="auto"/>
                <w:bottom w:val="none" w:sz="0" w:space="0" w:color="auto"/>
                <w:right w:val="none" w:sz="0" w:space="0" w:color="auto"/>
              </w:divBdr>
              <w:divsChild>
                <w:div w:id="1692797968">
                  <w:marLeft w:val="0"/>
                  <w:marRight w:val="0"/>
                  <w:marTop w:val="0"/>
                  <w:marBottom w:val="0"/>
                  <w:divBdr>
                    <w:top w:val="none" w:sz="0" w:space="0" w:color="auto"/>
                    <w:left w:val="none" w:sz="0" w:space="0" w:color="auto"/>
                    <w:bottom w:val="none" w:sz="0" w:space="0" w:color="auto"/>
                    <w:right w:val="none" w:sz="0" w:space="0" w:color="auto"/>
                  </w:divBdr>
                  <w:divsChild>
                    <w:div w:id="17645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1445358">
      <w:bodyDiv w:val="1"/>
      <w:marLeft w:val="0"/>
      <w:marRight w:val="0"/>
      <w:marTop w:val="0"/>
      <w:marBottom w:val="0"/>
      <w:divBdr>
        <w:top w:val="none" w:sz="0" w:space="0" w:color="auto"/>
        <w:left w:val="none" w:sz="0" w:space="0" w:color="auto"/>
        <w:bottom w:val="none" w:sz="0" w:space="0" w:color="auto"/>
        <w:right w:val="none" w:sz="0" w:space="0" w:color="auto"/>
      </w:divBdr>
      <w:divsChild>
        <w:div w:id="2088917326">
          <w:marLeft w:val="0"/>
          <w:marRight w:val="0"/>
          <w:marTop w:val="0"/>
          <w:marBottom w:val="0"/>
          <w:divBdr>
            <w:top w:val="none" w:sz="0" w:space="0" w:color="auto"/>
            <w:left w:val="none" w:sz="0" w:space="0" w:color="auto"/>
            <w:bottom w:val="none" w:sz="0" w:space="0" w:color="auto"/>
            <w:right w:val="none" w:sz="0" w:space="0" w:color="auto"/>
          </w:divBdr>
          <w:divsChild>
            <w:div w:id="683940105">
              <w:marLeft w:val="0"/>
              <w:marRight w:val="0"/>
              <w:marTop w:val="0"/>
              <w:marBottom w:val="0"/>
              <w:divBdr>
                <w:top w:val="none" w:sz="0" w:space="0" w:color="auto"/>
                <w:left w:val="none" w:sz="0" w:space="0" w:color="auto"/>
                <w:bottom w:val="none" w:sz="0" w:space="0" w:color="auto"/>
                <w:right w:val="none" w:sz="0" w:space="0" w:color="auto"/>
              </w:divBdr>
              <w:divsChild>
                <w:div w:id="13988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5970">
      <w:bodyDiv w:val="1"/>
      <w:marLeft w:val="0"/>
      <w:marRight w:val="0"/>
      <w:marTop w:val="0"/>
      <w:marBottom w:val="0"/>
      <w:divBdr>
        <w:top w:val="none" w:sz="0" w:space="0" w:color="auto"/>
        <w:left w:val="none" w:sz="0" w:space="0" w:color="auto"/>
        <w:bottom w:val="none" w:sz="0" w:space="0" w:color="auto"/>
        <w:right w:val="none" w:sz="0" w:space="0" w:color="auto"/>
      </w:divBdr>
    </w:div>
    <w:div w:id="729573333">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35326484">
      <w:bodyDiv w:val="1"/>
      <w:marLeft w:val="0"/>
      <w:marRight w:val="0"/>
      <w:marTop w:val="0"/>
      <w:marBottom w:val="0"/>
      <w:divBdr>
        <w:top w:val="none" w:sz="0" w:space="0" w:color="auto"/>
        <w:left w:val="none" w:sz="0" w:space="0" w:color="auto"/>
        <w:bottom w:val="none" w:sz="0" w:space="0" w:color="auto"/>
        <w:right w:val="none" w:sz="0" w:space="0" w:color="auto"/>
      </w:divBdr>
    </w:div>
    <w:div w:id="743138609">
      <w:bodyDiv w:val="1"/>
      <w:marLeft w:val="0"/>
      <w:marRight w:val="0"/>
      <w:marTop w:val="0"/>
      <w:marBottom w:val="0"/>
      <w:divBdr>
        <w:top w:val="none" w:sz="0" w:space="0" w:color="auto"/>
        <w:left w:val="none" w:sz="0" w:space="0" w:color="auto"/>
        <w:bottom w:val="none" w:sz="0" w:space="0" w:color="auto"/>
        <w:right w:val="none" w:sz="0" w:space="0" w:color="auto"/>
      </w:divBdr>
      <w:divsChild>
        <w:div w:id="1603535870">
          <w:marLeft w:val="0"/>
          <w:marRight w:val="0"/>
          <w:marTop w:val="0"/>
          <w:marBottom w:val="0"/>
          <w:divBdr>
            <w:top w:val="none" w:sz="0" w:space="0" w:color="auto"/>
            <w:left w:val="none" w:sz="0" w:space="0" w:color="auto"/>
            <w:bottom w:val="none" w:sz="0" w:space="0" w:color="auto"/>
            <w:right w:val="none" w:sz="0" w:space="0" w:color="auto"/>
          </w:divBdr>
          <w:divsChild>
            <w:div w:id="2101558419">
              <w:marLeft w:val="0"/>
              <w:marRight w:val="0"/>
              <w:marTop w:val="0"/>
              <w:marBottom w:val="0"/>
              <w:divBdr>
                <w:top w:val="none" w:sz="0" w:space="0" w:color="auto"/>
                <w:left w:val="none" w:sz="0" w:space="0" w:color="auto"/>
                <w:bottom w:val="none" w:sz="0" w:space="0" w:color="auto"/>
                <w:right w:val="none" w:sz="0" w:space="0" w:color="auto"/>
              </w:divBdr>
              <w:divsChild>
                <w:div w:id="20987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8103">
      <w:bodyDiv w:val="1"/>
      <w:marLeft w:val="0"/>
      <w:marRight w:val="0"/>
      <w:marTop w:val="0"/>
      <w:marBottom w:val="0"/>
      <w:divBdr>
        <w:top w:val="none" w:sz="0" w:space="0" w:color="auto"/>
        <w:left w:val="none" w:sz="0" w:space="0" w:color="auto"/>
        <w:bottom w:val="none" w:sz="0" w:space="0" w:color="auto"/>
        <w:right w:val="none" w:sz="0" w:space="0" w:color="auto"/>
      </w:divBdr>
    </w:div>
    <w:div w:id="776097723">
      <w:bodyDiv w:val="1"/>
      <w:marLeft w:val="0"/>
      <w:marRight w:val="0"/>
      <w:marTop w:val="0"/>
      <w:marBottom w:val="0"/>
      <w:divBdr>
        <w:top w:val="none" w:sz="0" w:space="0" w:color="auto"/>
        <w:left w:val="none" w:sz="0" w:space="0" w:color="auto"/>
        <w:bottom w:val="none" w:sz="0" w:space="0" w:color="auto"/>
        <w:right w:val="none" w:sz="0" w:space="0" w:color="auto"/>
      </w:divBdr>
    </w:div>
    <w:div w:id="776174795">
      <w:bodyDiv w:val="1"/>
      <w:marLeft w:val="0"/>
      <w:marRight w:val="0"/>
      <w:marTop w:val="0"/>
      <w:marBottom w:val="0"/>
      <w:divBdr>
        <w:top w:val="none" w:sz="0" w:space="0" w:color="auto"/>
        <w:left w:val="none" w:sz="0" w:space="0" w:color="auto"/>
        <w:bottom w:val="none" w:sz="0" w:space="0" w:color="auto"/>
        <w:right w:val="none" w:sz="0" w:space="0" w:color="auto"/>
      </w:divBdr>
      <w:divsChild>
        <w:div w:id="1142234769">
          <w:marLeft w:val="0"/>
          <w:marRight w:val="0"/>
          <w:marTop w:val="0"/>
          <w:marBottom w:val="0"/>
          <w:divBdr>
            <w:top w:val="none" w:sz="0" w:space="0" w:color="auto"/>
            <w:left w:val="none" w:sz="0" w:space="0" w:color="auto"/>
            <w:bottom w:val="none" w:sz="0" w:space="0" w:color="auto"/>
            <w:right w:val="none" w:sz="0" w:space="0" w:color="auto"/>
          </w:divBdr>
          <w:divsChild>
            <w:div w:id="1009597339">
              <w:marLeft w:val="0"/>
              <w:marRight w:val="0"/>
              <w:marTop w:val="0"/>
              <w:marBottom w:val="0"/>
              <w:divBdr>
                <w:top w:val="none" w:sz="0" w:space="0" w:color="auto"/>
                <w:left w:val="none" w:sz="0" w:space="0" w:color="auto"/>
                <w:bottom w:val="none" w:sz="0" w:space="0" w:color="auto"/>
                <w:right w:val="none" w:sz="0" w:space="0" w:color="auto"/>
              </w:divBdr>
              <w:divsChild>
                <w:div w:id="12189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9795">
      <w:bodyDiv w:val="1"/>
      <w:marLeft w:val="0"/>
      <w:marRight w:val="0"/>
      <w:marTop w:val="0"/>
      <w:marBottom w:val="0"/>
      <w:divBdr>
        <w:top w:val="none" w:sz="0" w:space="0" w:color="auto"/>
        <w:left w:val="none" w:sz="0" w:space="0" w:color="auto"/>
        <w:bottom w:val="none" w:sz="0" w:space="0" w:color="auto"/>
        <w:right w:val="none" w:sz="0" w:space="0" w:color="auto"/>
      </w:divBdr>
      <w:divsChild>
        <w:div w:id="837379838">
          <w:marLeft w:val="0"/>
          <w:marRight w:val="0"/>
          <w:marTop w:val="0"/>
          <w:marBottom w:val="0"/>
          <w:divBdr>
            <w:top w:val="none" w:sz="0" w:space="0" w:color="auto"/>
            <w:left w:val="none" w:sz="0" w:space="0" w:color="auto"/>
            <w:bottom w:val="none" w:sz="0" w:space="0" w:color="auto"/>
            <w:right w:val="none" w:sz="0" w:space="0" w:color="auto"/>
          </w:divBdr>
        </w:div>
        <w:div w:id="1292327013">
          <w:marLeft w:val="0"/>
          <w:marRight w:val="0"/>
          <w:marTop w:val="0"/>
          <w:marBottom w:val="0"/>
          <w:divBdr>
            <w:top w:val="none" w:sz="0" w:space="0" w:color="auto"/>
            <w:left w:val="none" w:sz="0" w:space="0" w:color="auto"/>
            <w:bottom w:val="none" w:sz="0" w:space="0" w:color="auto"/>
            <w:right w:val="none" w:sz="0" w:space="0" w:color="auto"/>
          </w:divBdr>
        </w:div>
      </w:divsChild>
    </w:div>
    <w:div w:id="781074468">
      <w:bodyDiv w:val="1"/>
      <w:marLeft w:val="0"/>
      <w:marRight w:val="0"/>
      <w:marTop w:val="0"/>
      <w:marBottom w:val="0"/>
      <w:divBdr>
        <w:top w:val="none" w:sz="0" w:space="0" w:color="auto"/>
        <w:left w:val="none" w:sz="0" w:space="0" w:color="auto"/>
        <w:bottom w:val="none" w:sz="0" w:space="0" w:color="auto"/>
        <w:right w:val="none" w:sz="0" w:space="0" w:color="auto"/>
      </w:divBdr>
    </w:div>
    <w:div w:id="781807408">
      <w:bodyDiv w:val="1"/>
      <w:marLeft w:val="0"/>
      <w:marRight w:val="0"/>
      <w:marTop w:val="0"/>
      <w:marBottom w:val="0"/>
      <w:divBdr>
        <w:top w:val="none" w:sz="0" w:space="0" w:color="auto"/>
        <w:left w:val="none" w:sz="0" w:space="0" w:color="auto"/>
        <w:bottom w:val="none" w:sz="0" w:space="0" w:color="auto"/>
        <w:right w:val="none" w:sz="0" w:space="0" w:color="auto"/>
      </w:divBdr>
      <w:divsChild>
        <w:div w:id="278341763">
          <w:marLeft w:val="0"/>
          <w:marRight w:val="0"/>
          <w:marTop w:val="0"/>
          <w:marBottom w:val="0"/>
          <w:divBdr>
            <w:top w:val="none" w:sz="0" w:space="0" w:color="auto"/>
            <w:left w:val="none" w:sz="0" w:space="0" w:color="auto"/>
            <w:bottom w:val="none" w:sz="0" w:space="0" w:color="auto"/>
            <w:right w:val="none" w:sz="0" w:space="0" w:color="auto"/>
          </w:divBdr>
          <w:divsChild>
            <w:div w:id="2135638548">
              <w:marLeft w:val="0"/>
              <w:marRight w:val="0"/>
              <w:marTop w:val="0"/>
              <w:marBottom w:val="0"/>
              <w:divBdr>
                <w:top w:val="none" w:sz="0" w:space="0" w:color="auto"/>
                <w:left w:val="none" w:sz="0" w:space="0" w:color="auto"/>
                <w:bottom w:val="none" w:sz="0" w:space="0" w:color="auto"/>
                <w:right w:val="none" w:sz="0" w:space="0" w:color="auto"/>
              </w:divBdr>
              <w:divsChild>
                <w:div w:id="322971914">
                  <w:marLeft w:val="0"/>
                  <w:marRight w:val="0"/>
                  <w:marTop w:val="0"/>
                  <w:marBottom w:val="0"/>
                  <w:divBdr>
                    <w:top w:val="none" w:sz="0" w:space="0" w:color="auto"/>
                    <w:left w:val="none" w:sz="0" w:space="0" w:color="auto"/>
                    <w:bottom w:val="none" w:sz="0" w:space="0" w:color="auto"/>
                    <w:right w:val="none" w:sz="0" w:space="0" w:color="auto"/>
                  </w:divBdr>
                  <w:divsChild>
                    <w:div w:id="8025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63247">
      <w:bodyDiv w:val="1"/>
      <w:marLeft w:val="0"/>
      <w:marRight w:val="0"/>
      <w:marTop w:val="0"/>
      <w:marBottom w:val="0"/>
      <w:divBdr>
        <w:top w:val="none" w:sz="0" w:space="0" w:color="auto"/>
        <w:left w:val="none" w:sz="0" w:space="0" w:color="auto"/>
        <w:bottom w:val="none" w:sz="0" w:space="0" w:color="auto"/>
        <w:right w:val="none" w:sz="0" w:space="0" w:color="auto"/>
      </w:divBdr>
    </w:div>
    <w:div w:id="794904928">
      <w:bodyDiv w:val="1"/>
      <w:marLeft w:val="0"/>
      <w:marRight w:val="0"/>
      <w:marTop w:val="0"/>
      <w:marBottom w:val="0"/>
      <w:divBdr>
        <w:top w:val="none" w:sz="0" w:space="0" w:color="auto"/>
        <w:left w:val="none" w:sz="0" w:space="0" w:color="auto"/>
        <w:bottom w:val="none" w:sz="0" w:space="0" w:color="auto"/>
        <w:right w:val="none" w:sz="0" w:space="0" w:color="auto"/>
      </w:divBdr>
      <w:divsChild>
        <w:div w:id="689449171">
          <w:marLeft w:val="0"/>
          <w:marRight w:val="0"/>
          <w:marTop w:val="0"/>
          <w:marBottom w:val="0"/>
          <w:divBdr>
            <w:top w:val="none" w:sz="0" w:space="0" w:color="auto"/>
            <w:left w:val="none" w:sz="0" w:space="0" w:color="auto"/>
            <w:bottom w:val="none" w:sz="0" w:space="0" w:color="auto"/>
            <w:right w:val="none" w:sz="0" w:space="0" w:color="auto"/>
          </w:divBdr>
          <w:divsChild>
            <w:div w:id="2117015628">
              <w:marLeft w:val="0"/>
              <w:marRight w:val="0"/>
              <w:marTop w:val="0"/>
              <w:marBottom w:val="0"/>
              <w:divBdr>
                <w:top w:val="none" w:sz="0" w:space="0" w:color="auto"/>
                <w:left w:val="none" w:sz="0" w:space="0" w:color="auto"/>
                <w:bottom w:val="none" w:sz="0" w:space="0" w:color="auto"/>
                <w:right w:val="none" w:sz="0" w:space="0" w:color="auto"/>
              </w:divBdr>
              <w:divsChild>
                <w:div w:id="474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1288">
      <w:bodyDiv w:val="1"/>
      <w:marLeft w:val="0"/>
      <w:marRight w:val="0"/>
      <w:marTop w:val="0"/>
      <w:marBottom w:val="0"/>
      <w:divBdr>
        <w:top w:val="none" w:sz="0" w:space="0" w:color="auto"/>
        <w:left w:val="none" w:sz="0" w:space="0" w:color="auto"/>
        <w:bottom w:val="none" w:sz="0" w:space="0" w:color="auto"/>
        <w:right w:val="none" w:sz="0" w:space="0" w:color="auto"/>
      </w:divBdr>
    </w:div>
    <w:div w:id="805392033">
      <w:bodyDiv w:val="1"/>
      <w:marLeft w:val="0"/>
      <w:marRight w:val="0"/>
      <w:marTop w:val="0"/>
      <w:marBottom w:val="0"/>
      <w:divBdr>
        <w:top w:val="none" w:sz="0" w:space="0" w:color="auto"/>
        <w:left w:val="none" w:sz="0" w:space="0" w:color="auto"/>
        <w:bottom w:val="none" w:sz="0" w:space="0" w:color="auto"/>
        <w:right w:val="none" w:sz="0" w:space="0" w:color="auto"/>
      </w:divBdr>
    </w:div>
    <w:div w:id="809244810">
      <w:bodyDiv w:val="1"/>
      <w:marLeft w:val="0"/>
      <w:marRight w:val="0"/>
      <w:marTop w:val="0"/>
      <w:marBottom w:val="0"/>
      <w:divBdr>
        <w:top w:val="none" w:sz="0" w:space="0" w:color="auto"/>
        <w:left w:val="none" w:sz="0" w:space="0" w:color="auto"/>
        <w:bottom w:val="none" w:sz="0" w:space="0" w:color="auto"/>
        <w:right w:val="none" w:sz="0" w:space="0" w:color="auto"/>
      </w:divBdr>
      <w:divsChild>
        <w:div w:id="1866408667">
          <w:marLeft w:val="0"/>
          <w:marRight w:val="0"/>
          <w:marTop w:val="0"/>
          <w:marBottom w:val="0"/>
          <w:divBdr>
            <w:top w:val="none" w:sz="0" w:space="0" w:color="auto"/>
            <w:left w:val="none" w:sz="0" w:space="0" w:color="auto"/>
            <w:bottom w:val="none" w:sz="0" w:space="0" w:color="auto"/>
            <w:right w:val="none" w:sz="0" w:space="0" w:color="auto"/>
          </w:divBdr>
          <w:divsChild>
            <w:div w:id="1808859469">
              <w:marLeft w:val="0"/>
              <w:marRight w:val="0"/>
              <w:marTop w:val="0"/>
              <w:marBottom w:val="0"/>
              <w:divBdr>
                <w:top w:val="none" w:sz="0" w:space="0" w:color="auto"/>
                <w:left w:val="none" w:sz="0" w:space="0" w:color="auto"/>
                <w:bottom w:val="none" w:sz="0" w:space="0" w:color="auto"/>
                <w:right w:val="none" w:sz="0" w:space="0" w:color="auto"/>
              </w:divBdr>
              <w:divsChild>
                <w:div w:id="16278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1193148">
      <w:bodyDiv w:val="1"/>
      <w:marLeft w:val="0"/>
      <w:marRight w:val="0"/>
      <w:marTop w:val="0"/>
      <w:marBottom w:val="0"/>
      <w:divBdr>
        <w:top w:val="none" w:sz="0" w:space="0" w:color="auto"/>
        <w:left w:val="none" w:sz="0" w:space="0" w:color="auto"/>
        <w:bottom w:val="none" w:sz="0" w:space="0" w:color="auto"/>
        <w:right w:val="none" w:sz="0" w:space="0" w:color="auto"/>
      </w:divBdr>
    </w:div>
    <w:div w:id="822240185">
      <w:bodyDiv w:val="1"/>
      <w:marLeft w:val="0"/>
      <w:marRight w:val="0"/>
      <w:marTop w:val="0"/>
      <w:marBottom w:val="0"/>
      <w:divBdr>
        <w:top w:val="none" w:sz="0" w:space="0" w:color="auto"/>
        <w:left w:val="none" w:sz="0" w:space="0" w:color="auto"/>
        <w:bottom w:val="none" w:sz="0" w:space="0" w:color="auto"/>
        <w:right w:val="none" w:sz="0" w:space="0" w:color="auto"/>
      </w:divBdr>
    </w:div>
    <w:div w:id="823276448">
      <w:bodyDiv w:val="1"/>
      <w:marLeft w:val="0"/>
      <w:marRight w:val="0"/>
      <w:marTop w:val="0"/>
      <w:marBottom w:val="0"/>
      <w:divBdr>
        <w:top w:val="none" w:sz="0" w:space="0" w:color="auto"/>
        <w:left w:val="none" w:sz="0" w:space="0" w:color="auto"/>
        <w:bottom w:val="none" w:sz="0" w:space="0" w:color="auto"/>
        <w:right w:val="none" w:sz="0" w:space="0" w:color="auto"/>
      </w:divBdr>
      <w:divsChild>
        <w:div w:id="1013067547">
          <w:marLeft w:val="0"/>
          <w:marRight w:val="0"/>
          <w:marTop w:val="0"/>
          <w:marBottom w:val="0"/>
          <w:divBdr>
            <w:top w:val="none" w:sz="0" w:space="0" w:color="auto"/>
            <w:left w:val="none" w:sz="0" w:space="0" w:color="auto"/>
            <w:bottom w:val="none" w:sz="0" w:space="0" w:color="auto"/>
            <w:right w:val="none" w:sz="0" w:space="0" w:color="auto"/>
          </w:divBdr>
          <w:divsChild>
            <w:div w:id="1574848228">
              <w:marLeft w:val="0"/>
              <w:marRight w:val="0"/>
              <w:marTop w:val="0"/>
              <w:marBottom w:val="0"/>
              <w:divBdr>
                <w:top w:val="none" w:sz="0" w:space="0" w:color="auto"/>
                <w:left w:val="none" w:sz="0" w:space="0" w:color="auto"/>
                <w:bottom w:val="none" w:sz="0" w:space="0" w:color="auto"/>
                <w:right w:val="none" w:sz="0" w:space="0" w:color="auto"/>
              </w:divBdr>
              <w:divsChild>
                <w:div w:id="439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5292">
      <w:bodyDiv w:val="1"/>
      <w:marLeft w:val="0"/>
      <w:marRight w:val="0"/>
      <w:marTop w:val="0"/>
      <w:marBottom w:val="0"/>
      <w:divBdr>
        <w:top w:val="none" w:sz="0" w:space="0" w:color="auto"/>
        <w:left w:val="none" w:sz="0" w:space="0" w:color="auto"/>
        <w:bottom w:val="none" w:sz="0" w:space="0" w:color="auto"/>
        <w:right w:val="none" w:sz="0" w:space="0" w:color="auto"/>
      </w:divBdr>
    </w:div>
    <w:div w:id="832985902">
      <w:bodyDiv w:val="1"/>
      <w:marLeft w:val="0"/>
      <w:marRight w:val="0"/>
      <w:marTop w:val="0"/>
      <w:marBottom w:val="0"/>
      <w:divBdr>
        <w:top w:val="none" w:sz="0" w:space="0" w:color="auto"/>
        <w:left w:val="none" w:sz="0" w:space="0" w:color="auto"/>
        <w:bottom w:val="none" w:sz="0" w:space="0" w:color="auto"/>
        <w:right w:val="none" w:sz="0" w:space="0" w:color="auto"/>
      </w:divBdr>
      <w:divsChild>
        <w:div w:id="1825974796">
          <w:marLeft w:val="0"/>
          <w:marRight w:val="0"/>
          <w:marTop w:val="0"/>
          <w:marBottom w:val="0"/>
          <w:divBdr>
            <w:top w:val="none" w:sz="0" w:space="0" w:color="auto"/>
            <w:left w:val="none" w:sz="0" w:space="0" w:color="auto"/>
            <w:bottom w:val="none" w:sz="0" w:space="0" w:color="auto"/>
            <w:right w:val="none" w:sz="0" w:space="0" w:color="auto"/>
          </w:divBdr>
          <w:divsChild>
            <w:div w:id="1159925153">
              <w:marLeft w:val="0"/>
              <w:marRight w:val="0"/>
              <w:marTop w:val="0"/>
              <w:marBottom w:val="0"/>
              <w:divBdr>
                <w:top w:val="none" w:sz="0" w:space="0" w:color="auto"/>
                <w:left w:val="none" w:sz="0" w:space="0" w:color="auto"/>
                <w:bottom w:val="none" w:sz="0" w:space="0" w:color="auto"/>
                <w:right w:val="none" w:sz="0" w:space="0" w:color="auto"/>
              </w:divBdr>
              <w:divsChild>
                <w:div w:id="1071003307">
                  <w:marLeft w:val="0"/>
                  <w:marRight w:val="0"/>
                  <w:marTop w:val="0"/>
                  <w:marBottom w:val="0"/>
                  <w:divBdr>
                    <w:top w:val="none" w:sz="0" w:space="0" w:color="auto"/>
                    <w:left w:val="none" w:sz="0" w:space="0" w:color="auto"/>
                    <w:bottom w:val="none" w:sz="0" w:space="0" w:color="auto"/>
                    <w:right w:val="none" w:sz="0" w:space="0" w:color="auto"/>
                  </w:divBdr>
                  <w:divsChild>
                    <w:div w:id="1186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0598">
      <w:bodyDiv w:val="1"/>
      <w:marLeft w:val="0"/>
      <w:marRight w:val="0"/>
      <w:marTop w:val="0"/>
      <w:marBottom w:val="0"/>
      <w:divBdr>
        <w:top w:val="none" w:sz="0" w:space="0" w:color="auto"/>
        <w:left w:val="none" w:sz="0" w:space="0" w:color="auto"/>
        <w:bottom w:val="none" w:sz="0" w:space="0" w:color="auto"/>
        <w:right w:val="none" w:sz="0" w:space="0" w:color="auto"/>
      </w:divBdr>
    </w:div>
    <w:div w:id="835537803">
      <w:bodyDiv w:val="1"/>
      <w:marLeft w:val="0"/>
      <w:marRight w:val="0"/>
      <w:marTop w:val="0"/>
      <w:marBottom w:val="0"/>
      <w:divBdr>
        <w:top w:val="none" w:sz="0" w:space="0" w:color="auto"/>
        <w:left w:val="none" w:sz="0" w:space="0" w:color="auto"/>
        <w:bottom w:val="none" w:sz="0" w:space="0" w:color="auto"/>
        <w:right w:val="none" w:sz="0" w:space="0" w:color="auto"/>
      </w:divBdr>
    </w:div>
    <w:div w:id="842547527">
      <w:bodyDiv w:val="1"/>
      <w:marLeft w:val="0"/>
      <w:marRight w:val="0"/>
      <w:marTop w:val="0"/>
      <w:marBottom w:val="0"/>
      <w:divBdr>
        <w:top w:val="none" w:sz="0" w:space="0" w:color="auto"/>
        <w:left w:val="none" w:sz="0" w:space="0" w:color="auto"/>
        <w:bottom w:val="none" w:sz="0" w:space="0" w:color="auto"/>
        <w:right w:val="none" w:sz="0" w:space="0" w:color="auto"/>
      </w:divBdr>
      <w:divsChild>
        <w:div w:id="559289707">
          <w:marLeft w:val="0"/>
          <w:marRight w:val="0"/>
          <w:marTop w:val="0"/>
          <w:marBottom w:val="0"/>
          <w:divBdr>
            <w:top w:val="none" w:sz="0" w:space="0" w:color="auto"/>
            <w:left w:val="none" w:sz="0" w:space="0" w:color="auto"/>
            <w:bottom w:val="none" w:sz="0" w:space="0" w:color="auto"/>
            <w:right w:val="none" w:sz="0" w:space="0" w:color="auto"/>
          </w:divBdr>
          <w:divsChild>
            <w:div w:id="1325668091">
              <w:marLeft w:val="0"/>
              <w:marRight w:val="0"/>
              <w:marTop w:val="0"/>
              <w:marBottom w:val="0"/>
              <w:divBdr>
                <w:top w:val="none" w:sz="0" w:space="0" w:color="auto"/>
                <w:left w:val="none" w:sz="0" w:space="0" w:color="auto"/>
                <w:bottom w:val="none" w:sz="0" w:space="0" w:color="auto"/>
                <w:right w:val="none" w:sz="0" w:space="0" w:color="auto"/>
              </w:divBdr>
              <w:divsChild>
                <w:div w:id="13930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3752">
      <w:bodyDiv w:val="1"/>
      <w:marLeft w:val="0"/>
      <w:marRight w:val="0"/>
      <w:marTop w:val="0"/>
      <w:marBottom w:val="0"/>
      <w:divBdr>
        <w:top w:val="none" w:sz="0" w:space="0" w:color="auto"/>
        <w:left w:val="none" w:sz="0" w:space="0" w:color="auto"/>
        <w:bottom w:val="none" w:sz="0" w:space="0" w:color="auto"/>
        <w:right w:val="none" w:sz="0" w:space="0" w:color="auto"/>
      </w:divBdr>
      <w:divsChild>
        <w:div w:id="2067798152">
          <w:marLeft w:val="0"/>
          <w:marRight w:val="0"/>
          <w:marTop w:val="0"/>
          <w:marBottom w:val="0"/>
          <w:divBdr>
            <w:top w:val="none" w:sz="0" w:space="0" w:color="auto"/>
            <w:left w:val="none" w:sz="0" w:space="0" w:color="auto"/>
            <w:bottom w:val="none" w:sz="0" w:space="0" w:color="auto"/>
            <w:right w:val="none" w:sz="0" w:space="0" w:color="auto"/>
          </w:divBdr>
          <w:divsChild>
            <w:div w:id="698507224">
              <w:marLeft w:val="0"/>
              <w:marRight w:val="0"/>
              <w:marTop w:val="0"/>
              <w:marBottom w:val="0"/>
              <w:divBdr>
                <w:top w:val="none" w:sz="0" w:space="0" w:color="auto"/>
                <w:left w:val="none" w:sz="0" w:space="0" w:color="auto"/>
                <w:bottom w:val="none" w:sz="0" w:space="0" w:color="auto"/>
                <w:right w:val="none" w:sz="0" w:space="0" w:color="auto"/>
              </w:divBdr>
              <w:divsChild>
                <w:div w:id="1567495864">
                  <w:marLeft w:val="0"/>
                  <w:marRight w:val="0"/>
                  <w:marTop w:val="0"/>
                  <w:marBottom w:val="0"/>
                  <w:divBdr>
                    <w:top w:val="none" w:sz="0" w:space="0" w:color="auto"/>
                    <w:left w:val="none" w:sz="0" w:space="0" w:color="auto"/>
                    <w:bottom w:val="none" w:sz="0" w:space="0" w:color="auto"/>
                    <w:right w:val="none" w:sz="0" w:space="0" w:color="auto"/>
                  </w:divBdr>
                  <w:divsChild>
                    <w:div w:id="369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1652303">
      <w:bodyDiv w:val="1"/>
      <w:marLeft w:val="0"/>
      <w:marRight w:val="0"/>
      <w:marTop w:val="0"/>
      <w:marBottom w:val="0"/>
      <w:divBdr>
        <w:top w:val="none" w:sz="0" w:space="0" w:color="auto"/>
        <w:left w:val="none" w:sz="0" w:space="0" w:color="auto"/>
        <w:bottom w:val="none" w:sz="0" w:space="0" w:color="auto"/>
        <w:right w:val="none" w:sz="0" w:space="0" w:color="auto"/>
      </w:divBdr>
    </w:div>
    <w:div w:id="854073345">
      <w:bodyDiv w:val="1"/>
      <w:marLeft w:val="0"/>
      <w:marRight w:val="0"/>
      <w:marTop w:val="0"/>
      <w:marBottom w:val="0"/>
      <w:divBdr>
        <w:top w:val="none" w:sz="0" w:space="0" w:color="auto"/>
        <w:left w:val="none" w:sz="0" w:space="0" w:color="auto"/>
        <w:bottom w:val="none" w:sz="0" w:space="0" w:color="auto"/>
        <w:right w:val="none" w:sz="0" w:space="0" w:color="auto"/>
      </w:divBdr>
    </w:div>
    <w:div w:id="859977885">
      <w:bodyDiv w:val="1"/>
      <w:marLeft w:val="0"/>
      <w:marRight w:val="0"/>
      <w:marTop w:val="0"/>
      <w:marBottom w:val="0"/>
      <w:divBdr>
        <w:top w:val="none" w:sz="0" w:space="0" w:color="auto"/>
        <w:left w:val="none" w:sz="0" w:space="0" w:color="auto"/>
        <w:bottom w:val="none" w:sz="0" w:space="0" w:color="auto"/>
        <w:right w:val="none" w:sz="0" w:space="0" w:color="auto"/>
      </w:divBdr>
    </w:div>
    <w:div w:id="860246451">
      <w:bodyDiv w:val="1"/>
      <w:marLeft w:val="0"/>
      <w:marRight w:val="0"/>
      <w:marTop w:val="0"/>
      <w:marBottom w:val="0"/>
      <w:divBdr>
        <w:top w:val="none" w:sz="0" w:space="0" w:color="auto"/>
        <w:left w:val="none" w:sz="0" w:space="0" w:color="auto"/>
        <w:bottom w:val="none" w:sz="0" w:space="0" w:color="auto"/>
        <w:right w:val="none" w:sz="0" w:space="0" w:color="auto"/>
      </w:divBdr>
    </w:div>
    <w:div w:id="862280152">
      <w:bodyDiv w:val="1"/>
      <w:marLeft w:val="0"/>
      <w:marRight w:val="0"/>
      <w:marTop w:val="0"/>
      <w:marBottom w:val="0"/>
      <w:divBdr>
        <w:top w:val="none" w:sz="0" w:space="0" w:color="auto"/>
        <w:left w:val="none" w:sz="0" w:space="0" w:color="auto"/>
        <w:bottom w:val="none" w:sz="0" w:space="0" w:color="auto"/>
        <w:right w:val="none" w:sz="0" w:space="0" w:color="auto"/>
      </w:divBdr>
    </w:div>
    <w:div w:id="864753965">
      <w:bodyDiv w:val="1"/>
      <w:marLeft w:val="0"/>
      <w:marRight w:val="0"/>
      <w:marTop w:val="0"/>
      <w:marBottom w:val="0"/>
      <w:divBdr>
        <w:top w:val="none" w:sz="0" w:space="0" w:color="auto"/>
        <w:left w:val="none" w:sz="0" w:space="0" w:color="auto"/>
        <w:bottom w:val="none" w:sz="0" w:space="0" w:color="auto"/>
        <w:right w:val="none" w:sz="0" w:space="0" w:color="auto"/>
      </w:divBdr>
      <w:divsChild>
        <w:div w:id="1714619630">
          <w:marLeft w:val="0"/>
          <w:marRight w:val="0"/>
          <w:marTop w:val="0"/>
          <w:marBottom w:val="0"/>
          <w:divBdr>
            <w:top w:val="none" w:sz="0" w:space="0" w:color="auto"/>
            <w:left w:val="none" w:sz="0" w:space="0" w:color="auto"/>
            <w:bottom w:val="none" w:sz="0" w:space="0" w:color="auto"/>
            <w:right w:val="none" w:sz="0" w:space="0" w:color="auto"/>
          </w:divBdr>
          <w:divsChild>
            <w:div w:id="1209537733">
              <w:marLeft w:val="0"/>
              <w:marRight w:val="0"/>
              <w:marTop w:val="0"/>
              <w:marBottom w:val="0"/>
              <w:divBdr>
                <w:top w:val="none" w:sz="0" w:space="0" w:color="auto"/>
                <w:left w:val="none" w:sz="0" w:space="0" w:color="auto"/>
                <w:bottom w:val="none" w:sz="0" w:space="0" w:color="auto"/>
                <w:right w:val="none" w:sz="0" w:space="0" w:color="auto"/>
              </w:divBdr>
              <w:divsChild>
                <w:div w:id="7426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0455">
      <w:bodyDiv w:val="1"/>
      <w:marLeft w:val="0"/>
      <w:marRight w:val="0"/>
      <w:marTop w:val="0"/>
      <w:marBottom w:val="0"/>
      <w:divBdr>
        <w:top w:val="none" w:sz="0" w:space="0" w:color="auto"/>
        <w:left w:val="none" w:sz="0" w:space="0" w:color="auto"/>
        <w:bottom w:val="none" w:sz="0" w:space="0" w:color="auto"/>
        <w:right w:val="none" w:sz="0" w:space="0" w:color="auto"/>
      </w:divBdr>
      <w:divsChild>
        <w:div w:id="1244753158">
          <w:marLeft w:val="0"/>
          <w:marRight w:val="0"/>
          <w:marTop w:val="0"/>
          <w:marBottom w:val="0"/>
          <w:divBdr>
            <w:top w:val="none" w:sz="0" w:space="0" w:color="auto"/>
            <w:left w:val="none" w:sz="0" w:space="0" w:color="auto"/>
            <w:bottom w:val="none" w:sz="0" w:space="0" w:color="auto"/>
            <w:right w:val="none" w:sz="0" w:space="0" w:color="auto"/>
          </w:divBdr>
          <w:divsChild>
            <w:div w:id="353728032">
              <w:marLeft w:val="0"/>
              <w:marRight w:val="0"/>
              <w:marTop w:val="0"/>
              <w:marBottom w:val="0"/>
              <w:divBdr>
                <w:top w:val="none" w:sz="0" w:space="0" w:color="auto"/>
                <w:left w:val="none" w:sz="0" w:space="0" w:color="auto"/>
                <w:bottom w:val="none" w:sz="0" w:space="0" w:color="auto"/>
                <w:right w:val="none" w:sz="0" w:space="0" w:color="auto"/>
              </w:divBdr>
              <w:divsChild>
                <w:div w:id="2130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3385">
      <w:bodyDiv w:val="1"/>
      <w:marLeft w:val="0"/>
      <w:marRight w:val="0"/>
      <w:marTop w:val="0"/>
      <w:marBottom w:val="0"/>
      <w:divBdr>
        <w:top w:val="none" w:sz="0" w:space="0" w:color="auto"/>
        <w:left w:val="none" w:sz="0" w:space="0" w:color="auto"/>
        <w:bottom w:val="none" w:sz="0" w:space="0" w:color="auto"/>
        <w:right w:val="none" w:sz="0" w:space="0" w:color="auto"/>
      </w:divBdr>
    </w:div>
    <w:div w:id="879363343">
      <w:bodyDiv w:val="1"/>
      <w:marLeft w:val="0"/>
      <w:marRight w:val="0"/>
      <w:marTop w:val="0"/>
      <w:marBottom w:val="0"/>
      <w:divBdr>
        <w:top w:val="none" w:sz="0" w:space="0" w:color="auto"/>
        <w:left w:val="none" w:sz="0" w:space="0" w:color="auto"/>
        <w:bottom w:val="none" w:sz="0" w:space="0" w:color="auto"/>
        <w:right w:val="none" w:sz="0" w:space="0" w:color="auto"/>
      </w:divBdr>
      <w:divsChild>
        <w:div w:id="70079789">
          <w:marLeft w:val="0"/>
          <w:marRight w:val="0"/>
          <w:marTop w:val="0"/>
          <w:marBottom w:val="0"/>
          <w:divBdr>
            <w:top w:val="none" w:sz="0" w:space="0" w:color="auto"/>
            <w:left w:val="none" w:sz="0" w:space="0" w:color="auto"/>
            <w:bottom w:val="none" w:sz="0" w:space="0" w:color="auto"/>
            <w:right w:val="none" w:sz="0" w:space="0" w:color="auto"/>
          </w:divBdr>
          <w:divsChild>
            <w:div w:id="624196120">
              <w:marLeft w:val="0"/>
              <w:marRight w:val="0"/>
              <w:marTop w:val="0"/>
              <w:marBottom w:val="0"/>
              <w:divBdr>
                <w:top w:val="none" w:sz="0" w:space="0" w:color="auto"/>
                <w:left w:val="none" w:sz="0" w:space="0" w:color="auto"/>
                <w:bottom w:val="none" w:sz="0" w:space="0" w:color="auto"/>
                <w:right w:val="none" w:sz="0" w:space="0" w:color="auto"/>
              </w:divBdr>
              <w:divsChild>
                <w:div w:id="1451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0577500">
      <w:bodyDiv w:val="1"/>
      <w:marLeft w:val="0"/>
      <w:marRight w:val="0"/>
      <w:marTop w:val="0"/>
      <w:marBottom w:val="0"/>
      <w:divBdr>
        <w:top w:val="none" w:sz="0" w:space="0" w:color="auto"/>
        <w:left w:val="none" w:sz="0" w:space="0" w:color="auto"/>
        <w:bottom w:val="none" w:sz="0" w:space="0" w:color="auto"/>
        <w:right w:val="none" w:sz="0" w:space="0" w:color="auto"/>
      </w:divBdr>
      <w:divsChild>
        <w:div w:id="1921014505">
          <w:marLeft w:val="0"/>
          <w:marRight w:val="0"/>
          <w:marTop w:val="0"/>
          <w:marBottom w:val="0"/>
          <w:divBdr>
            <w:top w:val="none" w:sz="0" w:space="0" w:color="auto"/>
            <w:left w:val="none" w:sz="0" w:space="0" w:color="auto"/>
            <w:bottom w:val="none" w:sz="0" w:space="0" w:color="auto"/>
            <w:right w:val="none" w:sz="0" w:space="0" w:color="auto"/>
          </w:divBdr>
          <w:divsChild>
            <w:div w:id="1268466879">
              <w:marLeft w:val="0"/>
              <w:marRight w:val="0"/>
              <w:marTop w:val="0"/>
              <w:marBottom w:val="0"/>
              <w:divBdr>
                <w:top w:val="none" w:sz="0" w:space="0" w:color="auto"/>
                <w:left w:val="none" w:sz="0" w:space="0" w:color="auto"/>
                <w:bottom w:val="none" w:sz="0" w:space="0" w:color="auto"/>
                <w:right w:val="none" w:sz="0" w:space="0" w:color="auto"/>
              </w:divBdr>
              <w:divsChild>
                <w:div w:id="1470397817">
                  <w:marLeft w:val="0"/>
                  <w:marRight w:val="0"/>
                  <w:marTop w:val="0"/>
                  <w:marBottom w:val="0"/>
                  <w:divBdr>
                    <w:top w:val="none" w:sz="0" w:space="0" w:color="auto"/>
                    <w:left w:val="none" w:sz="0" w:space="0" w:color="auto"/>
                    <w:bottom w:val="none" w:sz="0" w:space="0" w:color="auto"/>
                    <w:right w:val="none" w:sz="0" w:space="0" w:color="auto"/>
                  </w:divBdr>
                  <w:divsChild>
                    <w:div w:id="3058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558">
      <w:bodyDiv w:val="1"/>
      <w:marLeft w:val="0"/>
      <w:marRight w:val="0"/>
      <w:marTop w:val="0"/>
      <w:marBottom w:val="0"/>
      <w:divBdr>
        <w:top w:val="none" w:sz="0" w:space="0" w:color="auto"/>
        <w:left w:val="none" w:sz="0" w:space="0" w:color="auto"/>
        <w:bottom w:val="none" w:sz="0" w:space="0" w:color="auto"/>
        <w:right w:val="none" w:sz="0" w:space="0" w:color="auto"/>
      </w:divBdr>
    </w:div>
    <w:div w:id="898979820">
      <w:bodyDiv w:val="1"/>
      <w:marLeft w:val="0"/>
      <w:marRight w:val="0"/>
      <w:marTop w:val="0"/>
      <w:marBottom w:val="0"/>
      <w:divBdr>
        <w:top w:val="none" w:sz="0" w:space="0" w:color="auto"/>
        <w:left w:val="none" w:sz="0" w:space="0" w:color="auto"/>
        <w:bottom w:val="none" w:sz="0" w:space="0" w:color="auto"/>
        <w:right w:val="none" w:sz="0" w:space="0" w:color="auto"/>
      </w:divBdr>
    </w:div>
    <w:div w:id="900288358">
      <w:bodyDiv w:val="1"/>
      <w:marLeft w:val="0"/>
      <w:marRight w:val="0"/>
      <w:marTop w:val="0"/>
      <w:marBottom w:val="0"/>
      <w:divBdr>
        <w:top w:val="none" w:sz="0" w:space="0" w:color="auto"/>
        <w:left w:val="none" w:sz="0" w:space="0" w:color="auto"/>
        <w:bottom w:val="none" w:sz="0" w:space="0" w:color="auto"/>
        <w:right w:val="none" w:sz="0" w:space="0" w:color="auto"/>
      </w:divBdr>
    </w:div>
    <w:div w:id="903416185">
      <w:bodyDiv w:val="1"/>
      <w:marLeft w:val="0"/>
      <w:marRight w:val="0"/>
      <w:marTop w:val="0"/>
      <w:marBottom w:val="0"/>
      <w:divBdr>
        <w:top w:val="none" w:sz="0" w:space="0" w:color="auto"/>
        <w:left w:val="none" w:sz="0" w:space="0" w:color="auto"/>
        <w:bottom w:val="none" w:sz="0" w:space="0" w:color="auto"/>
        <w:right w:val="none" w:sz="0" w:space="0" w:color="auto"/>
      </w:divBdr>
      <w:divsChild>
        <w:div w:id="244607348">
          <w:marLeft w:val="0"/>
          <w:marRight w:val="0"/>
          <w:marTop w:val="0"/>
          <w:marBottom w:val="0"/>
          <w:divBdr>
            <w:top w:val="none" w:sz="0" w:space="0" w:color="auto"/>
            <w:left w:val="none" w:sz="0" w:space="0" w:color="auto"/>
            <w:bottom w:val="none" w:sz="0" w:space="0" w:color="auto"/>
            <w:right w:val="none" w:sz="0" w:space="0" w:color="auto"/>
          </w:divBdr>
          <w:divsChild>
            <w:div w:id="1461649965">
              <w:marLeft w:val="0"/>
              <w:marRight w:val="0"/>
              <w:marTop w:val="0"/>
              <w:marBottom w:val="0"/>
              <w:divBdr>
                <w:top w:val="none" w:sz="0" w:space="0" w:color="auto"/>
                <w:left w:val="none" w:sz="0" w:space="0" w:color="auto"/>
                <w:bottom w:val="none" w:sz="0" w:space="0" w:color="auto"/>
                <w:right w:val="none" w:sz="0" w:space="0" w:color="auto"/>
              </w:divBdr>
              <w:divsChild>
                <w:div w:id="690960477">
                  <w:marLeft w:val="0"/>
                  <w:marRight w:val="0"/>
                  <w:marTop w:val="0"/>
                  <w:marBottom w:val="0"/>
                  <w:divBdr>
                    <w:top w:val="none" w:sz="0" w:space="0" w:color="auto"/>
                    <w:left w:val="none" w:sz="0" w:space="0" w:color="auto"/>
                    <w:bottom w:val="none" w:sz="0" w:space="0" w:color="auto"/>
                    <w:right w:val="none" w:sz="0" w:space="0" w:color="auto"/>
                  </w:divBdr>
                  <w:divsChild>
                    <w:div w:id="6330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5579">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2936111">
      <w:bodyDiv w:val="1"/>
      <w:marLeft w:val="0"/>
      <w:marRight w:val="0"/>
      <w:marTop w:val="0"/>
      <w:marBottom w:val="0"/>
      <w:divBdr>
        <w:top w:val="none" w:sz="0" w:space="0" w:color="auto"/>
        <w:left w:val="none" w:sz="0" w:space="0" w:color="auto"/>
        <w:bottom w:val="none" w:sz="0" w:space="0" w:color="auto"/>
        <w:right w:val="none" w:sz="0" w:space="0" w:color="auto"/>
      </w:divBdr>
    </w:div>
    <w:div w:id="913976036">
      <w:bodyDiv w:val="1"/>
      <w:marLeft w:val="0"/>
      <w:marRight w:val="0"/>
      <w:marTop w:val="0"/>
      <w:marBottom w:val="0"/>
      <w:divBdr>
        <w:top w:val="none" w:sz="0" w:space="0" w:color="auto"/>
        <w:left w:val="none" w:sz="0" w:space="0" w:color="auto"/>
        <w:bottom w:val="none" w:sz="0" w:space="0" w:color="auto"/>
        <w:right w:val="none" w:sz="0" w:space="0" w:color="auto"/>
      </w:divBdr>
    </w:div>
    <w:div w:id="917058371">
      <w:bodyDiv w:val="1"/>
      <w:marLeft w:val="0"/>
      <w:marRight w:val="0"/>
      <w:marTop w:val="0"/>
      <w:marBottom w:val="0"/>
      <w:divBdr>
        <w:top w:val="none" w:sz="0" w:space="0" w:color="auto"/>
        <w:left w:val="none" w:sz="0" w:space="0" w:color="auto"/>
        <w:bottom w:val="none" w:sz="0" w:space="0" w:color="auto"/>
        <w:right w:val="none" w:sz="0" w:space="0" w:color="auto"/>
      </w:divBdr>
      <w:divsChild>
        <w:div w:id="750003087">
          <w:marLeft w:val="0"/>
          <w:marRight w:val="0"/>
          <w:marTop w:val="0"/>
          <w:marBottom w:val="0"/>
          <w:divBdr>
            <w:top w:val="none" w:sz="0" w:space="0" w:color="auto"/>
            <w:left w:val="none" w:sz="0" w:space="0" w:color="auto"/>
            <w:bottom w:val="none" w:sz="0" w:space="0" w:color="auto"/>
            <w:right w:val="none" w:sz="0" w:space="0" w:color="auto"/>
          </w:divBdr>
          <w:divsChild>
            <w:div w:id="1315716385">
              <w:marLeft w:val="0"/>
              <w:marRight w:val="0"/>
              <w:marTop w:val="0"/>
              <w:marBottom w:val="0"/>
              <w:divBdr>
                <w:top w:val="none" w:sz="0" w:space="0" w:color="auto"/>
                <w:left w:val="none" w:sz="0" w:space="0" w:color="auto"/>
                <w:bottom w:val="none" w:sz="0" w:space="0" w:color="auto"/>
                <w:right w:val="none" w:sz="0" w:space="0" w:color="auto"/>
              </w:divBdr>
              <w:divsChild>
                <w:div w:id="11918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025">
      <w:bodyDiv w:val="1"/>
      <w:marLeft w:val="0"/>
      <w:marRight w:val="0"/>
      <w:marTop w:val="0"/>
      <w:marBottom w:val="0"/>
      <w:divBdr>
        <w:top w:val="none" w:sz="0" w:space="0" w:color="auto"/>
        <w:left w:val="none" w:sz="0" w:space="0" w:color="auto"/>
        <w:bottom w:val="none" w:sz="0" w:space="0" w:color="auto"/>
        <w:right w:val="none" w:sz="0" w:space="0" w:color="auto"/>
      </w:divBdr>
      <w:divsChild>
        <w:div w:id="187179959">
          <w:marLeft w:val="0"/>
          <w:marRight w:val="0"/>
          <w:marTop w:val="0"/>
          <w:marBottom w:val="0"/>
          <w:divBdr>
            <w:top w:val="none" w:sz="0" w:space="0" w:color="auto"/>
            <w:left w:val="none" w:sz="0" w:space="0" w:color="auto"/>
            <w:bottom w:val="none" w:sz="0" w:space="0" w:color="auto"/>
            <w:right w:val="none" w:sz="0" w:space="0" w:color="auto"/>
          </w:divBdr>
          <w:divsChild>
            <w:div w:id="381448447">
              <w:marLeft w:val="0"/>
              <w:marRight w:val="0"/>
              <w:marTop w:val="0"/>
              <w:marBottom w:val="0"/>
              <w:divBdr>
                <w:top w:val="none" w:sz="0" w:space="0" w:color="auto"/>
                <w:left w:val="none" w:sz="0" w:space="0" w:color="auto"/>
                <w:bottom w:val="none" w:sz="0" w:space="0" w:color="auto"/>
                <w:right w:val="none" w:sz="0" w:space="0" w:color="auto"/>
              </w:divBdr>
              <w:divsChild>
                <w:div w:id="5897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8056">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5847151">
      <w:bodyDiv w:val="1"/>
      <w:marLeft w:val="0"/>
      <w:marRight w:val="0"/>
      <w:marTop w:val="0"/>
      <w:marBottom w:val="0"/>
      <w:divBdr>
        <w:top w:val="none" w:sz="0" w:space="0" w:color="auto"/>
        <w:left w:val="none" w:sz="0" w:space="0" w:color="auto"/>
        <w:bottom w:val="none" w:sz="0" w:space="0" w:color="auto"/>
        <w:right w:val="none" w:sz="0" w:space="0" w:color="auto"/>
      </w:divBdr>
    </w:div>
    <w:div w:id="927423516">
      <w:bodyDiv w:val="1"/>
      <w:marLeft w:val="0"/>
      <w:marRight w:val="0"/>
      <w:marTop w:val="0"/>
      <w:marBottom w:val="0"/>
      <w:divBdr>
        <w:top w:val="none" w:sz="0" w:space="0" w:color="auto"/>
        <w:left w:val="none" w:sz="0" w:space="0" w:color="auto"/>
        <w:bottom w:val="none" w:sz="0" w:space="0" w:color="auto"/>
        <w:right w:val="none" w:sz="0" w:space="0" w:color="auto"/>
      </w:divBdr>
      <w:divsChild>
        <w:div w:id="690186459">
          <w:marLeft w:val="0"/>
          <w:marRight w:val="0"/>
          <w:marTop w:val="0"/>
          <w:marBottom w:val="0"/>
          <w:divBdr>
            <w:top w:val="none" w:sz="0" w:space="0" w:color="auto"/>
            <w:left w:val="none" w:sz="0" w:space="0" w:color="auto"/>
            <w:bottom w:val="none" w:sz="0" w:space="0" w:color="auto"/>
            <w:right w:val="none" w:sz="0" w:space="0" w:color="auto"/>
          </w:divBdr>
          <w:divsChild>
            <w:div w:id="397900396">
              <w:marLeft w:val="0"/>
              <w:marRight w:val="0"/>
              <w:marTop w:val="0"/>
              <w:marBottom w:val="0"/>
              <w:divBdr>
                <w:top w:val="none" w:sz="0" w:space="0" w:color="auto"/>
                <w:left w:val="none" w:sz="0" w:space="0" w:color="auto"/>
                <w:bottom w:val="none" w:sz="0" w:space="0" w:color="auto"/>
                <w:right w:val="none" w:sz="0" w:space="0" w:color="auto"/>
              </w:divBdr>
              <w:divsChild>
                <w:div w:id="1984462791">
                  <w:marLeft w:val="0"/>
                  <w:marRight w:val="0"/>
                  <w:marTop w:val="0"/>
                  <w:marBottom w:val="0"/>
                  <w:divBdr>
                    <w:top w:val="none" w:sz="0" w:space="0" w:color="auto"/>
                    <w:left w:val="none" w:sz="0" w:space="0" w:color="auto"/>
                    <w:bottom w:val="none" w:sz="0" w:space="0" w:color="auto"/>
                    <w:right w:val="none" w:sz="0" w:space="0" w:color="auto"/>
                  </w:divBdr>
                  <w:divsChild>
                    <w:div w:id="18910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2753">
      <w:bodyDiv w:val="1"/>
      <w:marLeft w:val="0"/>
      <w:marRight w:val="0"/>
      <w:marTop w:val="0"/>
      <w:marBottom w:val="0"/>
      <w:divBdr>
        <w:top w:val="none" w:sz="0" w:space="0" w:color="auto"/>
        <w:left w:val="none" w:sz="0" w:space="0" w:color="auto"/>
        <w:bottom w:val="none" w:sz="0" w:space="0" w:color="auto"/>
        <w:right w:val="none" w:sz="0" w:space="0" w:color="auto"/>
      </w:divBdr>
      <w:divsChild>
        <w:div w:id="1695617677">
          <w:marLeft w:val="0"/>
          <w:marRight w:val="0"/>
          <w:marTop w:val="0"/>
          <w:marBottom w:val="0"/>
          <w:divBdr>
            <w:top w:val="none" w:sz="0" w:space="0" w:color="auto"/>
            <w:left w:val="none" w:sz="0" w:space="0" w:color="auto"/>
            <w:bottom w:val="none" w:sz="0" w:space="0" w:color="auto"/>
            <w:right w:val="none" w:sz="0" w:space="0" w:color="auto"/>
          </w:divBdr>
          <w:divsChild>
            <w:div w:id="1162892333">
              <w:marLeft w:val="0"/>
              <w:marRight w:val="0"/>
              <w:marTop w:val="0"/>
              <w:marBottom w:val="0"/>
              <w:divBdr>
                <w:top w:val="none" w:sz="0" w:space="0" w:color="auto"/>
                <w:left w:val="none" w:sz="0" w:space="0" w:color="auto"/>
                <w:bottom w:val="none" w:sz="0" w:space="0" w:color="auto"/>
                <w:right w:val="none" w:sz="0" w:space="0" w:color="auto"/>
              </w:divBdr>
              <w:divsChild>
                <w:div w:id="1764304477">
                  <w:marLeft w:val="0"/>
                  <w:marRight w:val="0"/>
                  <w:marTop w:val="0"/>
                  <w:marBottom w:val="0"/>
                  <w:divBdr>
                    <w:top w:val="none" w:sz="0" w:space="0" w:color="auto"/>
                    <w:left w:val="none" w:sz="0" w:space="0" w:color="auto"/>
                    <w:bottom w:val="none" w:sz="0" w:space="0" w:color="auto"/>
                    <w:right w:val="none" w:sz="0" w:space="0" w:color="auto"/>
                  </w:divBdr>
                  <w:divsChild>
                    <w:div w:id="15734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569">
      <w:bodyDiv w:val="1"/>
      <w:marLeft w:val="0"/>
      <w:marRight w:val="0"/>
      <w:marTop w:val="0"/>
      <w:marBottom w:val="0"/>
      <w:divBdr>
        <w:top w:val="none" w:sz="0" w:space="0" w:color="auto"/>
        <w:left w:val="none" w:sz="0" w:space="0" w:color="auto"/>
        <w:bottom w:val="none" w:sz="0" w:space="0" w:color="auto"/>
        <w:right w:val="none" w:sz="0" w:space="0" w:color="auto"/>
      </w:divBdr>
    </w:div>
    <w:div w:id="931429753">
      <w:bodyDiv w:val="1"/>
      <w:marLeft w:val="0"/>
      <w:marRight w:val="0"/>
      <w:marTop w:val="0"/>
      <w:marBottom w:val="0"/>
      <w:divBdr>
        <w:top w:val="none" w:sz="0" w:space="0" w:color="auto"/>
        <w:left w:val="none" w:sz="0" w:space="0" w:color="auto"/>
        <w:bottom w:val="none" w:sz="0" w:space="0" w:color="auto"/>
        <w:right w:val="none" w:sz="0" w:space="0" w:color="auto"/>
      </w:divBdr>
      <w:divsChild>
        <w:div w:id="450251002">
          <w:marLeft w:val="0"/>
          <w:marRight w:val="0"/>
          <w:marTop w:val="0"/>
          <w:marBottom w:val="0"/>
          <w:divBdr>
            <w:top w:val="none" w:sz="0" w:space="0" w:color="auto"/>
            <w:left w:val="none" w:sz="0" w:space="0" w:color="auto"/>
            <w:bottom w:val="none" w:sz="0" w:space="0" w:color="auto"/>
            <w:right w:val="none" w:sz="0" w:space="0" w:color="auto"/>
          </w:divBdr>
          <w:divsChild>
            <w:div w:id="2138836850">
              <w:marLeft w:val="0"/>
              <w:marRight w:val="0"/>
              <w:marTop w:val="0"/>
              <w:marBottom w:val="0"/>
              <w:divBdr>
                <w:top w:val="none" w:sz="0" w:space="0" w:color="auto"/>
                <w:left w:val="none" w:sz="0" w:space="0" w:color="auto"/>
                <w:bottom w:val="none" w:sz="0" w:space="0" w:color="auto"/>
                <w:right w:val="none" w:sz="0" w:space="0" w:color="auto"/>
              </w:divBdr>
              <w:divsChild>
                <w:div w:id="869877698">
                  <w:marLeft w:val="0"/>
                  <w:marRight w:val="0"/>
                  <w:marTop w:val="0"/>
                  <w:marBottom w:val="0"/>
                  <w:divBdr>
                    <w:top w:val="none" w:sz="0" w:space="0" w:color="auto"/>
                    <w:left w:val="none" w:sz="0" w:space="0" w:color="auto"/>
                    <w:bottom w:val="none" w:sz="0" w:space="0" w:color="auto"/>
                    <w:right w:val="none" w:sz="0" w:space="0" w:color="auto"/>
                  </w:divBdr>
                  <w:divsChild>
                    <w:div w:id="581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259">
      <w:bodyDiv w:val="1"/>
      <w:marLeft w:val="0"/>
      <w:marRight w:val="0"/>
      <w:marTop w:val="0"/>
      <w:marBottom w:val="0"/>
      <w:divBdr>
        <w:top w:val="none" w:sz="0" w:space="0" w:color="auto"/>
        <w:left w:val="none" w:sz="0" w:space="0" w:color="auto"/>
        <w:bottom w:val="none" w:sz="0" w:space="0" w:color="auto"/>
        <w:right w:val="none" w:sz="0" w:space="0" w:color="auto"/>
      </w:divBdr>
      <w:divsChild>
        <w:div w:id="1262643399">
          <w:marLeft w:val="0"/>
          <w:marRight w:val="0"/>
          <w:marTop w:val="0"/>
          <w:marBottom w:val="0"/>
          <w:divBdr>
            <w:top w:val="none" w:sz="0" w:space="0" w:color="auto"/>
            <w:left w:val="none" w:sz="0" w:space="0" w:color="auto"/>
            <w:bottom w:val="none" w:sz="0" w:space="0" w:color="auto"/>
            <w:right w:val="none" w:sz="0" w:space="0" w:color="auto"/>
          </w:divBdr>
          <w:divsChild>
            <w:div w:id="532233466">
              <w:marLeft w:val="0"/>
              <w:marRight w:val="0"/>
              <w:marTop w:val="0"/>
              <w:marBottom w:val="0"/>
              <w:divBdr>
                <w:top w:val="none" w:sz="0" w:space="0" w:color="auto"/>
                <w:left w:val="none" w:sz="0" w:space="0" w:color="auto"/>
                <w:bottom w:val="none" w:sz="0" w:space="0" w:color="auto"/>
                <w:right w:val="none" w:sz="0" w:space="0" w:color="auto"/>
              </w:divBdr>
              <w:divsChild>
                <w:div w:id="157424035">
                  <w:marLeft w:val="0"/>
                  <w:marRight w:val="0"/>
                  <w:marTop w:val="0"/>
                  <w:marBottom w:val="0"/>
                  <w:divBdr>
                    <w:top w:val="none" w:sz="0" w:space="0" w:color="auto"/>
                    <w:left w:val="none" w:sz="0" w:space="0" w:color="auto"/>
                    <w:bottom w:val="none" w:sz="0" w:space="0" w:color="auto"/>
                    <w:right w:val="none" w:sz="0" w:space="0" w:color="auto"/>
                  </w:divBdr>
                  <w:divsChild>
                    <w:div w:id="20843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82647">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46082713">
      <w:bodyDiv w:val="1"/>
      <w:marLeft w:val="0"/>
      <w:marRight w:val="0"/>
      <w:marTop w:val="0"/>
      <w:marBottom w:val="0"/>
      <w:divBdr>
        <w:top w:val="none" w:sz="0" w:space="0" w:color="auto"/>
        <w:left w:val="none" w:sz="0" w:space="0" w:color="auto"/>
        <w:bottom w:val="none" w:sz="0" w:space="0" w:color="auto"/>
        <w:right w:val="none" w:sz="0" w:space="0" w:color="auto"/>
      </w:divBdr>
      <w:divsChild>
        <w:div w:id="619146519">
          <w:marLeft w:val="0"/>
          <w:marRight w:val="0"/>
          <w:marTop w:val="0"/>
          <w:marBottom w:val="0"/>
          <w:divBdr>
            <w:top w:val="none" w:sz="0" w:space="0" w:color="auto"/>
            <w:left w:val="none" w:sz="0" w:space="0" w:color="auto"/>
            <w:bottom w:val="none" w:sz="0" w:space="0" w:color="auto"/>
            <w:right w:val="none" w:sz="0" w:space="0" w:color="auto"/>
          </w:divBdr>
          <w:divsChild>
            <w:div w:id="1022510369">
              <w:marLeft w:val="0"/>
              <w:marRight w:val="0"/>
              <w:marTop w:val="0"/>
              <w:marBottom w:val="0"/>
              <w:divBdr>
                <w:top w:val="none" w:sz="0" w:space="0" w:color="auto"/>
                <w:left w:val="none" w:sz="0" w:space="0" w:color="auto"/>
                <w:bottom w:val="none" w:sz="0" w:space="0" w:color="auto"/>
                <w:right w:val="none" w:sz="0" w:space="0" w:color="auto"/>
              </w:divBdr>
              <w:divsChild>
                <w:div w:id="261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449">
      <w:bodyDiv w:val="1"/>
      <w:marLeft w:val="0"/>
      <w:marRight w:val="0"/>
      <w:marTop w:val="0"/>
      <w:marBottom w:val="0"/>
      <w:divBdr>
        <w:top w:val="none" w:sz="0" w:space="0" w:color="auto"/>
        <w:left w:val="none" w:sz="0" w:space="0" w:color="auto"/>
        <w:bottom w:val="none" w:sz="0" w:space="0" w:color="auto"/>
        <w:right w:val="none" w:sz="0" w:space="0" w:color="auto"/>
      </w:divBdr>
    </w:div>
    <w:div w:id="960651590">
      <w:bodyDiv w:val="1"/>
      <w:marLeft w:val="0"/>
      <w:marRight w:val="0"/>
      <w:marTop w:val="0"/>
      <w:marBottom w:val="0"/>
      <w:divBdr>
        <w:top w:val="none" w:sz="0" w:space="0" w:color="auto"/>
        <w:left w:val="none" w:sz="0" w:space="0" w:color="auto"/>
        <w:bottom w:val="none" w:sz="0" w:space="0" w:color="auto"/>
        <w:right w:val="none" w:sz="0" w:space="0" w:color="auto"/>
      </w:divBdr>
      <w:divsChild>
        <w:div w:id="1149174328">
          <w:marLeft w:val="0"/>
          <w:marRight w:val="0"/>
          <w:marTop w:val="0"/>
          <w:marBottom w:val="0"/>
          <w:divBdr>
            <w:top w:val="none" w:sz="0" w:space="0" w:color="auto"/>
            <w:left w:val="none" w:sz="0" w:space="0" w:color="auto"/>
            <w:bottom w:val="none" w:sz="0" w:space="0" w:color="auto"/>
            <w:right w:val="none" w:sz="0" w:space="0" w:color="auto"/>
          </w:divBdr>
          <w:divsChild>
            <w:div w:id="653069681">
              <w:marLeft w:val="0"/>
              <w:marRight w:val="0"/>
              <w:marTop w:val="0"/>
              <w:marBottom w:val="0"/>
              <w:divBdr>
                <w:top w:val="none" w:sz="0" w:space="0" w:color="auto"/>
                <w:left w:val="none" w:sz="0" w:space="0" w:color="auto"/>
                <w:bottom w:val="none" w:sz="0" w:space="0" w:color="auto"/>
                <w:right w:val="none" w:sz="0" w:space="0" w:color="auto"/>
              </w:divBdr>
              <w:divsChild>
                <w:div w:id="1330980057">
                  <w:marLeft w:val="0"/>
                  <w:marRight w:val="0"/>
                  <w:marTop w:val="0"/>
                  <w:marBottom w:val="0"/>
                  <w:divBdr>
                    <w:top w:val="none" w:sz="0" w:space="0" w:color="auto"/>
                    <w:left w:val="none" w:sz="0" w:space="0" w:color="auto"/>
                    <w:bottom w:val="none" w:sz="0" w:space="0" w:color="auto"/>
                    <w:right w:val="none" w:sz="0" w:space="0" w:color="auto"/>
                  </w:divBdr>
                  <w:divsChild>
                    <w:div w:id="19224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9813">
      <w:bodyDiv w:val="1"/>
      <w:marLeft w:val="0"/>
      <w:marRight w:val="0"/>
      <w:marTop w:val="0"/>
      <w:marBottom w:val="0"/>
      <w:divBdr>
        <w:top w:val="none" w:sz="0" w:space="0" w:color="auto"/>
        <w:left w:val="none" w:sz="0" w:space="0" w:color="auto"/>
        <w:bottom w:val="none" w:sz="0" w:space="0" w:color="auto"/>
        <w:right w:val="none" w:sz="0" w:space="0" w:color="auto"/>
      </w:divBdr>
    </w:div>
    <w:div w:id="966744758">
      <w:bodyDiv w:val="1"/>
      <w:marLeft w:val="0"/>
      <w:marRight w:val="0"/>
      <w:marTop w:val="0"/>
      <w:marBottom w:val="0"/>
      <w:divBdr>
        <w:top w:val="none" w:sz="0" w:space="0" w:color="auto"/>
        <w:left w:val="none" w:sz="0" w:space="0" w:color="auto"/>
        <w:bottom w:val="none" w:sz="0" w:space="0" w:color="auto"/>
        <w:right w:val="none" w:sz="0" w:space="0" w:color="auto"/>
      </w:divBdr>
      <w:divsChild>
        <w:div w:id="848182094">
          <w:marLeft w:val="0"/>
          <w:marRight w:val="0"/>
          <w:marTop w:val="0"/>
          <w:marBottom w:val="0"/>
          <w:divBdr>
            <w:top w:val="none" w:sz="0" w:space="0" w:color="auto"/>
            <w:left w:val="none" w:sz="0" w:space="0" w:color="auto"/>
            <w:bottom w:val="none" w:sz="0" w:space="0" w:color="auto"/>
            <w:right w:val="none" w:sz="0" w:space="0" w:color="auto"/>
          </w:divBdr>
          <w:divsChild>
            <w:div w:id="880824417">
              <w:marLeft w:val="0"/>
              <w:marRight w:val="0"/>
              <w:marTop w:val="0"/>
              <w:marBottom w:val="0"/>
              <w:divBdr>
                <w:top w:val="none" w:sz="0" w:space="0" w:color="auto"/>
                <w:left w:val="none" w:sz="0" w:space="0" w:color="auto"/>
                <w:bottom w:val="none" w:sz="0" w:space="0" w:color="auto"/>
                <w:right w:val="none" w:sz="0" w:space="0" w:color="auto"/>
              </w:divBdr>
              <w:divsChild>
                <w:div w:id="12029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306">
      <w:bodyDiv w:val="1"/>
      <w:marLeft w:val="0"/>
      <w:marRight w:val="0"/>
      <w:marTop w:val="0"/>
      <w:marBottom w:val="0"/>
      <w:divBdr>
        <w:top w:val="none" w:sz="0" w:space="0" w:color="auto"/>
        <w:left w:val="none" w:sz="0" w:space="0" w:color="auto"/>
        <w:bottom w:val="none" w:sz="0" w:space="0" w:color="auto"/>
        <w:right w:val="none" w:sz="0" w:space="0" w:color="auto"/>
      </w:divBdr>
    </w:div>
    <w:div w:id="973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482285">
          <w:marLeft w:val="0"/>
          <w:marRight w:val="0"/>
          <w:marTop w:val="0"/>
          <w:marBottom w:val="0"/>
          <w:divBdr>
            <w:top w:val="none" w:sz="0" w:space="0" w:color="auto"/>
            <w:left w:val="none" w:sz="0" w:space="0" w:color="auto"/>
            <w:bottom w:val="none" w:sz="0" w:space="0" w:color="auto"/>
            <w:right w:val="none" w:sz="0" w:space="0" w:color="auto"/>
          </w:divBdr>
          <w:divsChild>
            <w:div w:id="1605264886">
              <w:marLeft w:val="0"/>
              <w:marRight w:val="0"/>
              <w:marTop w:val="0"/>
              <w:marBottom w:val="0"/>
              <w:divBdr>
                <w:top w:val="none" w:sz="0" w:space="0" w:color="auto"/>
                <w:left w:val="none" w:sz="0" w:space="0" w:color="auto"/>
                <w:bottom w:val="none" w:sz="0" w:space="0" w:color="auto"/>
                <w:right w:val="none" w:sz="0" w:space="0" w:color="auto"/>
              </w:divBdr>
              <w:divsChild>
                <w:div w:id="50545004">
                  <w:marLeft w:val="0"/>
                  <w:marRight w:val="0"/>
                  <w:marTop w:val="0"/>
                  <w:marBottom w:val="0"/>
                  <w:divBdr>
                    <w:top w:val="none" w:sz="0" w:space="0" w:color="auto"/>
                    <w:left w:val="none" w:sz="0" w:space="0" w:color="auto"/>
                    <w:bottom w:val="none" w:sz="0" w:space="0" w:color="auto"/>
                    <w:right w:val="none" w:sz="0" w:space="0" w:color="auto"/>
                  </w:divBdr>
                  <w:divsChild>
                    <w:div w:id="19360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8998223">
      <w:bodyDiv w:val="1"/>
      <w:marLeft w:val="0"/>
      <w:marRight w:val="0"/>
      <w:marTop w:val="0"/>
      <w:marBottom w:val="0"/>
      <w:divBdr>
        <w:top w:val="none" w:sz="0" w:space="0" w:color="auto"/>
        <w:left w:val="none" w:sz="0" w:space="0" w:color="auto"/>
        <w:bottom w:val="none" w:sz="0" w:space="0" w:color="auto"/>
        <w:right w:val="none" w:sz="0" w:space="0" w:color="auto"/>
      </w:divBdr>
    </w:div>
    <w:div w:id="981888013">
      <w:bodyDiv w:val="1"/>
      <w:marLeft w:val="0"/>
      <w:marRight w:val="0"/>
      <w:marTop w:val="0"/>
      <w:marBottom w:val="0"/>
      <w:divBdr>
        <w:top w:val="none" w:sz="0" w:space="0" w:color="auto"/>
        <w:left w:val="none" w:sz="0" w:space="0" w:color="auto"/>
        <w:bottom w:val="none" w:sz="0" w:space="0" w:color="auto"/>
        <w:right w:val="none" w:sz="0" w:space="0" w:color="auto"/>
      </w:divBdr>
      <w:divsChild>
        <w:div w:id="1616256624">
          <w:marLeft w:val="0"/>
          <w:marRight w:val="0"/>
          <w:marTop w:val="0"/>
          <w:marBottom w:val="0"/>
          <w:divBdr>
            <w:top w:val="none" w:sz="0" w:space="0" w:color="auto"/>
            <w:left w:val="none" w:sz="0" w:space="0" w:color="auto"/>
            <w:bottom w:val="none" w:sz="0" w:space="0" w:color="auto"/>
            <w:right w:val="none" w:sz="0" w:space="0" w:color="auto"/>
          </w:divBdr>
          <w:divsChild>
            <w:div w:id="1932660432">
              <w:marLeft w:val="0"/>
              <w:marRight w:val="0"/>
              <w:marTop w:val="0"/>
              <w:marBottom w:val="0"/>
              <w:divBdr>
                <w:top w:val="none" w:sz="0" w:space="0" w:color="auto"/>
                <w:left w:val="none" w:sz="0" w:space="0" w:color="auto"/>
                <w:bottom w:val="none" w:sz="0" w:space="0" w:color="auto"/>
                <w:right w:val="none" w:sz="0" w:space="0" w:color="auto"/>
              </w:divBdr>
              <w:divsChild>
                <w:div w:id="4362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8059">
      <w:bodyDiv w:val="1"/>
      <w:marLeft w:val="0"/>
      <w:marRight w:val="0"/>
      <w:marTop w:val="0"/>
      <w:marBottom w:val="0"/>
      <w:divBdr>
        <w:top w:val="none" w:sz="0" w:space="0" w:color="auto"/>
        <w:left w:val="none" w:sz="0" w:space="0" w:color="auto"/>
        <w:bottom w:val="none" w:sz="0" w:space="0" w:color="auto"/>
        <w:right w:val="none" w:sz="0" w:space="0" w:color="auto"/>
      </w:divBdr>
    </w:div>
    <w:div w:id="988941916">
      <w:bodyDiv w:val="1"/>
      <w:marLeft w:val="0"/>
      <w:marRight w:val="0"/>
      <w:marTop w:val="0"/>
      <w:marBottom w:val="0"/>
      <w:divBdr>
        <w:top w:val="none" w:sz="0" w:space="0" w:color="auto"/>
        <w:left w:val="none" w:sz="0" w:space="0" w:color="auto"/>
        <w:bottom w:val="none" w:sz="0" w:space="0" w:color="auto"/>
        <w:right w:val="none" w:sz="0" w:space="0" w:color="auto"/>
      </w:divBdr>
      <w:divsChild>
        <w:div w:id="1523208890">
          <w:marLeft w:val="0"/>
          <w:marRight w:val="0"/>
          <w:marTop w:val="0"/>
          <w:marBottom w:val="0"/>
          <w:divBdr>
            <w:top w:val="none" w:sz="0" w:space="0" w:color="auto"/>
            <w:left w:val="none" w:sz="0" w:space="0" w:color="auto"/>
            <w:bottom w:val="none" w:sz="0" w:space="0" w:color="auto"/>
            <w:right w:val="none" w:sz="0" w:space="0" w:color="auto"/>
          </w:divBdr>
          <w:divsChild>
            <w:div w:id="2028406567">
              <w:marLeft w:val="0"/>
              <w:marRight w:val="0"/>
              <w:marTop w:val="0"/>
              <w:marBottom w:val="0"/>
              <w:divBdr>
                <w:top w:val="none" w:sz="0" w:space="0" w:color="auto"/>
                <w:left w:val="none" w:sz="0" w:space="0" w:color="auto"/>
                <w:bottom w:val="none" w:sz="0" w:space="0" w:color="auto"/>
                <w:right w:val="none" w:sz="0" w:space="0" w:color="auto"/>
              </w:divBdr>
              <w:divsChild>
                <w:div w:id="10085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4800">
      <w:bodyDiv w:val="1"/>
      <w:marLeft w:val="0"/>
      <w:marRight w:val="0"/>
      <w:marTop w:val="0"/>
      <w:marBottom w:val="0"/>
      <w:divBdr>
        <w:top w:val="none" w:sz="0" w:space="0" w:color="auto"/>
        <w:left w:val="none" w:sz="0" w:space="0" w:color="auto"/>
        <w:bottom w:val="none" w:sz="0" w:space="0" w:color="auto"/>
        <w:right w:val="none" w:sz="0" w:space="0" w:color="auto"/>
      </w:divBdr>
    </w:div>
    <w:div w:id="993025491">
      <w:bodyDiv w:val="1"/>
      <w:marLeft w:val="0"/>
      <w:marRight w:val="0"/>
      <w:marTop w:val="0"/>
      <w:marBottom w:val="0"/>
      <w:divBdr>
        <w:top w:val="none" w:sz="0" w:space="0" w:color="auto"/>
        <w:left w:val="none" w:sz="0" w:space="0" w:color="auto"/>
        <w:bottom w:val="none" w:sz="0" w:space="0" w:color="auto"/>
        <w:right w:val="none" w:sz="0" w:space="0" w:color="auto"/>
      </w:divBdr>
    </w:div>
    <w:div w:id="994799608">
      <w:bodyDiv w:val="1"/>
      <w:marLeft w:val="0"/>
      <w:marRight w:val="0"/>
      <w:marTop w:val="0"/>
      <w:marBottom w:val="0"/>
      <w:divBdr>
        <w:top w:val="none" w:sz="0" w:space="0" w:color="auto"/>
        <w:left w:val="none" w:sz="0" w:space="0" w:color="auto"/>
        <w:bottom w:val="none" w:sz="0" w:space="0" w:color="auto"/>
        <w:right w:val="none" w:sz="0" w:space="0" w:color="auto"/>
      </w:divBdr>
    </w:div>
    <w:div w:id="1000616680">
      <w:bodyDiv w:val="1"/>
      <w:marLeft w:val="0"/>
      <w:marRight w:val="0"/>
      <w:marTop w:val="0"/>
      <w:marBottom w:val="0"/>
      <w:divBdr>
        <w:top w:val="none" w:sz="0" w:space="0" w:color="auto"/>
        <w:left w:val="none" w:sz="0" w:space="0" w:color="auto"/>
        <w:bottom w:val="none" w:sz="0" w:space="0" w:color="auto"/>
        <w:right w:val="none" w:sz="0" w:space="0" w:color="auto"/>
      </w:divBdr>
      <w:divsChild>
        <w:div w:id="356125218">
          <w:marLeft w:val="0"/>
          <w:marRight w:val="0"/>
          <w:marTop w:val="0"/>
          <w:marBottom w:val="0"/>
          <w:divBdr>
            <w:top w:val="none" w:sz="0" w:space="0" w:color="auto"/>
            <w:left w:val="none" w:sz="0" w:space="0" w:color="auto"/>
            <w:bottom w:val="none" w:sz="0" w:space="0" w:color="auto"/>
            <w:right w:val="none" w:sz="0" w:space="0" w:color="auto"/>
          </w:divBdr>
          <w:divsChild>
            <w:div w:id="553587157">
              <w:marLeft w:val="0"/>
              <w:marRight w:val="0"/>
              <w:marTop w:val="0"/>
              <w:marBottom w:val="0"/>
              <w:divBdr>
                <w:top w:val="none" w:sz="0" w:space="0" w:color="auto"/>
                <w:left w:val="none" w:sz="0" w:space="0" w:color="auto"/>
                <w:bottom w:val="none" w:sz="0" w:space="0" w:color="auto"/>
                <w:right w:val="none" w:sz="0" w:space="0" w:color="auto"/>
              </w:divBdr>
              <w:divsChild>
                <w:div w:id="1816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0269">
      <w:bodyDiv w:val="1"/>
      <w:marLeft w:val="0"/>
      <w:marRight w:val="0"/>
      <w:marTop w:val="0"/>
      <w:marBottom w:val="0"/>
      <w:divBdr>
        <w:top w:val="none" w:sz="0" w:space="0" w:color="auto"/>
        <w:left w:val="none" w:sz="0" w:space="0" w:color="auto"/>
        <w:bottom w:val="none" w:sz="0" w:space="0" w:color="auto"/>
        <w:right w:val="none" w:sz="0" w:space="0" w:color="auto"/>
      </w:divBdr>
      <w:divsChild>
        <w:div w:id="444426617">
          <w:marLeft w:val="0"/>
          <w:marRight w:val="0"/>
          <w:marTop w:val="0"/>
          <w:marBottom w:val="0"/>
          <w:divBdr>
            <w:top w:val="none" w:sz="0" w:space="0" w:color="auto"/>
            <w:left w:val="none" w:sz="0" w:space="0" w:color="auto"/>
            <w:bottom w:val="none" w:sz="0" w:space="0" w:color="auto"/>
            <w:right w:val="none" w:sz="0" w:space="0" w:color="auto"/>
          </w:divBdr>
        </w:div>
        <w:div w:id="1546020189">
          <w:marLeft w:val="0"/>
          <w:marRight w:val="0"/>
          <w:marTop w:val="0"/>
          <w:marBottom w:val="0"/>
          <w:divBdr>
            <w:top w:val="none" w:sz="0" w:space="0" w:color="auto"/>
            <w:left w:val="none" w:sz="0" w:space="0" w:color="auto"/>
            <w:bottom w:val="none" w:sz="0" w:space="0" w:color="auto"/>
            <w:right w:val="none" w:sz="0" w:space="0" w:color="auto"/>
          </w:divBdr>
        </w:div>
        <w:div w:id="2081128219">
          <w:marLeft w:val="0"/>
          <w:marRight w:val="0"/>
          <w:marTop w:val="0"/>
          <w:marBottom w:val="0"/>
          <w:divBdr>
            <w:top w:val="none" w:sz="0" w:space="0" w:color="auto"/>
            <w:left w:val="none" w:sz="0" w:space="0" w:color="auto"/>
            <w:bottom w:val="none" w:sz="0" w:space="0" w:color="auto"/>
            <w:right w:val="none" w:sz="0" w:space="0" w:color="auto"/>
          </w:divBdr>
        </w:div>
      </w:divsChild>
    </w:div>
    <w:div w:id="1006782719">
      <w:bodyDiv w:val="1"/>
      <w:marLeft w:val="0"/>
      <w:marRight w:val="0"/>
      <w:marTop w:val="0"/>
      <w:marBottom w:val="0"/>
      <w:divBdr>
        <w:top w:val="none" w:sz="0" w:space="0" w:color="auto"/>
        <w:left w:val="none" w:sz="0" w:space="0" w:color="auto"/>
        <w:bottom w:val="none" w:sz="0" w:space="0" w:color="auto"/>
        <w:right w:val="none" w:sz="0" w:space="0" w:color="auto"/>
      </w:divBdr>
    </w:div>
    <w:div w:id="1013455447">
      <w:bodyDiv w:val="1"/>
      <w:marLeft w:val="0"/>
      <w:marRight w:val="0"/>
      <w:marTop w:val="0"/>
      <w:marBottom w:val="0"/>
      <w:divBdr>
        <w:top w:val="none" w:sz="0" w:space="0" w:color="auto"/>
        <w:left w:val="none" w:sz="0" w:space="0" w:color="auto"/>
        <w:bottom w:val="none" w:sz="0" w:space="0" w:color="auto"/>
        <w:right w:val="none" w:sz="0" w:space="0" w:color="auto"/>
      </w:divBdr>
      <w:divsChild>
        <w:div w:id="1229801842">
          <w:marLeft w:val="0"/>
          <w:marRight w:val="0"/>
          <w:marTop w:val="0"/>
          <w:marBottom w:val="0"/>
          <w:divBdr>
            <w:top w:val="none" w:sz="0" w:space="0" w:color="auto"/>
            <w:left w:val="none" w:sz="0" w:space="0" w:color="auto"/>
            <w:bottom w:val="none" w:sz="0" w:space="0" w:color="auto"/>
            <w:right w:val="none" w:sz="0" w:space="0" w:color="auto"/>
          </w:divBdr>
          <w:divsChild>
            <w:div w:id="1886217028">
              <w:marLeft w:val="0"/>
              <w:marRight w:val="0"/>
              <w:marTop w:val="0"/>
              <w:marBottom w:val="0"/>
              <w:divBdr>
                <w:top w:val="none" w:sz="0" w:space="0" w:color="auto"/>
                <w:left w:val="none" w:sz="0" w:space="0" w:color="auto"/>
                <w:bottom w:val="none" w:sz="0" w:space="0" w:color="auto"/>
                <w:right w:val="none" w:sz="0" w:space="0" w:color="auto"/>
              </w:divBdr>
              <w:divsChild>
                <w:div w:id="129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38772">
      <w:bodyDiv w:val="1"/>
      <w:marLeft w:val="0"/>
      <w:marRight w:val="0"/>
      <w:marTop w:val="0"/>
      <w:marBottom w:val="0"/>
      <w:divBdr>
        <w:top w:val="none" w:sz="0" w:space="0" w:color="auto"/>
        <w:left w:val="none" w:sz="0" w:space="0" w:color="auto"/>
        <w:bottom w:val="none" w:sz="0" w:space="0" w:color="auto"/>
        <w:right w:val="none" w:sz="0" w:space="0" w:color="auto"/>
      </w:divBdr>
    </w:div>
    <w:div w:id="101489080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20085927">
      <w:bodyDiv w:val="1"/>
      <w:marLeft w:val="0"/>
      <w:marRight w:val="0"/>
      <w:marTop w:val="0"/>
      <w:marBottom w:val="0"/>
      <w:divBdr>
        <w:top w:val="none" w:sz="0" w:space="0" w:color="auto"/>
        <w:left w:val="none" w:sz="0" w:space="0" w:color="auto"/>
        <w:bottom w:val="none" w:sz="0" w:space="0" w:color="auto"/>
        <w:right w:val="none" w:sz="0" w:space="0" w:color="auto"/>
      </w:divBdr>
    </w:div>
    <w:div w:id="1020089685">
      <w:bodyDiv w:val="1"/>
      <w:marLeft w:val="0"/>
      <w:marRight w:val="0"/>
      <w:marTop w:val="0"/>
      <w:marBottom w:val="0"/>
      <w:divBdr>
        <w:top w:val="none" w:sz="0" w:space="0" w:color="auto"/>
        <w:left w:val="none" w:sz="0" w:space="0" w:color="auto"/>
        <w:bottom w:val="none" w:sz="0" w:space="0" w:color="auto"/>
        <w:right w:val="none" w:sz="0" w:space="0" w:color="auto"/>
      </w:divBdr>
    </w:div>
    <w:div w:id="1020855160">
      <w:bodyDiv w:val="1"/>
      <w:marLeft w:val="0"/>
      <w:marRight w:val="0"/>
      <w:marTop w:val="0"/>
      <w:marBottom w:val="0"/>
      <w:divBdr>
        <w:top w:val="none" w:sz="0" w:space="0" w:color="auto"/>
        <w:left w:val="none" w:sz="0" w:space="0" w:color="auto"/>
        <w:bottom w:val="none" w:sz="0" w:space="0" w:color="auto"/>
        <w:right w:val="none" w:sz="0" w:space="0" w:color="auto"/>
      </w:divBdr>
    </w:div>
    <w:div w:id="1021709853">
      <w:bodyDiv w:val="1"/>
      <w:marLeft w:val="0"/>
      <w:marRight w:val="0"/>
      <w:marTop w:val="0"/>
      <w:marBottom w:val="0"/>
      <w:divBdr>
        <w:top w:val="none" w:sz="0" w:space="0" w:color="auto"/>
        <w:left w:val="none" w:sz="0" w:space="0" w:color="auto"/>
        <w:bottom w:val="none" w:sz="0" w:space="0" w:color="auto"/>
        <w:right w:val="none" w:sz="0" w:space="0" w:color="auto"/>
      </w:divBdr>
    </w:div>
    <w:div w:id="1023942930">
      <w:bodyDiv w:val="1"/>
      <w:marLeft w:val="0"/>
      <w:marRight w:val="0"/>
      <w:marTop w:val="0"/>
      <w:marBottom w:val="0"/>
      <w:divBdr>
        <w:top w:val="none" w:sz="0" w:space="0" w:color="auto"/>
        <w:left w:val="none" w:sz="0" w:space="0" w:color="auto"/>
        <w:bottom w:val="none" w:sz="0" w:space="0" w:color="auto"/>
        <w:right w:val="none" w:sz="0" w:space="0" w:color="auto"/>
      </w:divBdr>
    </w:div>
    <w:div w:id="1032224247">
      <w:bodyDiv w:val="1"/>
      <w:marLeft w:val="0"/>
      <w:marRight w:val="0"/>
      <w:marTop w:val="0"/>
      <w:marBottom w:val="0"/>
      <w:divBdr>
        <w:top w:val="none" w:sz="0" w:space="0" w:color="auto"/>
        <w:left w:val="none" w:sz="0" w:space="0" w:color="auto"/>
        <w:bottom w:val="none" w:sz="0" w:space="0" w:color="auto"/>
        <w:right w:val="none" w:sz="0" w:space="0" w:color="auto"/>
      </w:divBdr>
    </w:div>
    <w:div w:id="1039622974">
      <w:bodyDiv w:val="1"/>
      <w:marLeft w:val="0"/>
      <w:marRight w:val="0"/>
      <w:marTop w:val="0"/>
      <w:marBottom w:val="0"/>
      <w:divBdr>
        <w:top w:val="none" w:sz="0" w:space="0" w:color="auto"/>
        <w:left w:val="none" w:sz="0" w:space="0" w:color="auto"/>
        <w:bottom w:val="none" w:sz="0" w:space="0" w:color="auto"/>
        <w:right w:val="none" w:sz="0" w:space="0" w:color="auto"/>
      </w:divBdr>
    </w:div>
    <w:div w:id="1044404308">
      <w:bodyDiv w:val="1"/>
      <w:marLeft w:val="0"/>
      <w:marRight w:val="0"/>
      <w:marTop w:val="0"/>
      <w:marBottom w:val="0"/>
      <w:divBdr>
        <w:top w:val="none" w:sz="0" w:space="0" w:color="auto"/>
        <w:left w:val="none" w:sz="0" w:space="0" w:color="auto"/>
        <w:bottom w:val="none" w:sz="0" w:space="0" w:color="auto"/>
        <w:right w:val="none" w:sz="0" w:space="0" w:color="auto"/>
      </w:divBdr>
      <w:divsChild>
        <w:div w:id="34082945">
          <w:marLeft w:val="0"/>
          <w:marRight w:val="0"/>
          <w:marTop w:val="0"/>
          <w:marBottom w:val="0"/>
          <w:divBdr>
            <w:top w:val="none" w:sz="0" w:space="0" w:color="auto"/>
            <w:left w:val="none" w:sz="0" w:space="0" w:color="auto"/>
            <w:bottom w:val="none" w:sz="0" w:space="0" w:color="auto"/>
            <w:right w:val="none" w:sz="0" w:space="0" w:color="auto"/>
          </w:divBdr>
          <w:divsChild>
            <w:div w:id="1896965777">
              <w:marLeft w:val="0"/>
              <w:marRight w:val="0"/>
              <w:marTop w:val="0"/>
              <w:marBottom w:val="0"/>
              <w:divBdr>
                <w:top w:val="none" w:sz="0" w:space="0" w:color="auto"/>
                <w:left w:val="none" w:sz="0" w:space="0" w:color="auto"/>
                <w:bottom w:val="none" w:sz="0" w:space="0" w:color="auto"/>
                <w:right w:val="none" w:sz="0" w:space="0" w:color="auto"/>
              </w:divBdr>
              <w:divsChild>
                <w:div w:id="4075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62056">
      <w:bodyDiv w:val="1"/>
      <w:marLeft w:val="0"/>
      <w:marRight w:val="0"/>
      <w:marTop w:val="0"/>
      <w:marBottom w:val="0"/>
      <w:divBdr>
        <w:top w:val="none" w:sz="0" w:space="0" w:color="auto"/>
        <w:left w:val="none" w:sz="0" w:space="0" w:color="auto"/>
        <w:bottom w:val="none" w:sz="0" w:space="0" w:color="auto"/>
        <w:right w:val="none" w:sz="0" w:space="0" w:color="auto"/>
      </w:divBdr>
      <w:divsChild>
        <w:div w:id="1734348936">
          <w:marLeft w:val="0"/>
          <w:marRight w:val="0"/>
          <w:marTop w:val="0"/>
          <w:marBottom w:val="0"/>
          <w:divBdr>
            <w:top w:val="none" w:sz="0" w:space="0" w:color="auto"/>
            <w:left w:val="none" w:sz="0" w:space="0" w:color="auto"/>
            <w:bottom w:val="none" w:sz="0" w:space="0" w:color="auto"/>
            <w:right w:val="none" w:sz="0" w:space="0" w:color="auto"/>
          </w:divBdr>
          <w:divsChild>
            <w:div w:id="622612051">
              <w:marLeft w:val="0"/>
              <w:marRight w:val="0"/>
              <w:marTop w:val="0"/>
              <w:marBottom w:val="0"/>
              <w:divBdr>
                <w:top w:val="none" w:sz="0" w:space="0" w:color="auto"/>
                <w:left w:val="none" w:sz="0" w:space="0" w:color="auto"/>
                <w:bottom w:val="none" w:sz="0" w:space="0" w:color="auto"/>
                <w:right w:val="none" w:sz="0" w:space="0" w:color="auto"/>
              </w:divBdr>
              <w:divsChild>
                <w:div w:id="1062798741">
                  <w:marLeft w:val="0"/>
                  <w:marRight w:val="0"/>
                  <w:marTop w:val="0"/>
                  <w:marBottom w:val="0"/>
                  <w:divBdr>
                    <w:top w:val="none" w:sz="0" w:space="0" w:color="auto"/>
                    <w:left w:val="none" w:sz="0" w:space="0" w:color="auto"/>
                    <w:bottom w:val="none" w:sz="0" w:space="0" w:color="auto"/>
                    <w:right w:val="none" w:sz="0" w:space="0" w:color="auto"/>
                  </w:divBdr>
                  <w:divsChild>
                    <w:div w:id="11223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9213">
      <w:bodyDiv w:val="1"/>
      <w:marLeft w:val="0"/>
      <w:marRight w:val="0"/>
      <w:marTop w:val="0"/>
      <w:marBottom w:val="0"/>
      <w:divBdr>
        <w:top w:val="none" w:sz="0" w:space="0" w:color="auto"/>
        <w:left w:val="none" w:sz="0" w:space="0" w:color="auto"/>
        <w:bottom w:val="none" w:sz="0" w:space="0" w:color="auto"/>
        <w:right w:val="none" w:sz="0" w:space="0" w:color="auto"/>
      </w:divBdr>
    </w:div>
    <w:div w:id="1053694363">
      <w:bodyDiv w:val="1"/>
      <w:marLeft w:val="0"/>
      <w:marRight w:val="0"/>
      <w:marTop w:val="0"/>
      <w:marBottom w:val="0"/>
      <w:divBdr>
        <w:top w:val="none" w:sz="0" w:space="0" w:color="auto"/>
        <w:left w:val="none" w:sz="0" w:space="0" w:color="auto"/>
        <w:bottom w:val="none" w:sz="0" w:space="0" w:color="auto"/>
        <w:right w:val="none" w:sz="0" w:space="0" w:color="auto"/>
      </w:divBdr>
    </w:div>
    <w:div w:id="1058557555">
      <w:bodyDiv w:val="1"/>
      <w:marLeft w:val="0"/>
      <w:marRight w:val="0"/>
      <w:marTop w:val="0"/>
      <w:marBottom w:val="0"/>
      <w:divBdr>
        <w:top w:val="none" w:sz="0" w:space="0" w:color="auto"/>
        <w:left w:val="none" w:sz="0" w:space="0" w:color="auto"/>
        <w:bottom w:val="none" w:sz="0" w:space="0" w:color="auto"/>
        <w:right w:val="none" w:sz="0" w:space="0" w:color="auto"/>
      </w:divBdr>
      <w:divsChild>
        <w:div w:id="140850044">
          <w:marLeft w:val="0"/>
          <w:marRight w:val="0"/>
          <w:marTop w:val="0"/>
          <w:marBottom w:val="0"/>
          <w:divBdr>
            <w:top w:val="none" w:sz="0" w:space="0" w:color="auto"/>
            <w:left w:val="none" w:sz="0" w:space="0" w:color="auto"/>
            <w:bottom w:val="none" w:sz="0" w:space="0" w:color="auto"/>
            <w:right w:val="none" w:sz="0" w:space="0" w:color="auto"/>
          </w:divBdr>
          <w:divsChild>
            <w:div w:id="915556547">
              <w:marLeft w:val="0"/>
              <w:marRight w:val="0"/>
              <w:marTop w:val="0"/>
              <w:marBottom w:val="0"/>
              <w:divBdr>
                <w:top w:val="none" w:sz="0" w:space="0" w:color="auto"/>
                <w:left w:val="none" w:sz="0" w:space="0" w:color="auto"/>
                <w:bottom w:val="none" w:sz="0" w:space="0" w:color="auto"/>
                <w:right w:val="none" w:sz="0" w:space="0" w:color="auto"/>
              </w:divBdr>
              <w:divsChild>
                <w:div w:id="1450389378">
                  <w:marLeft w:val="0"/>
                  <w:marRight w:val="0"/>
                  <w:marTop w:val="0"/>
                  <w:marBottom w:val="0"/>
                  <w:divBdr>
                    <w:top w:val="none" w:sz="0" w:space="0" w:color="auto"/>
                    <w:left w:val="none" w:sz="0" w:space="0" w:color="auto"/>
                    <w:bottom w:val="none" w:sz="0" w:space="0" w:color="auto"/>
                    <w:right w:val="none" w:sz="0" w:space="0" w:color="auto"/>
                  </w:divBdr>
                  <w:divsChild>
                    <w:div w:id="4792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5147">
      <w:bodyDiv w:val="1"/>
      <w:marLeft w:val="0"/>
      <w:marRight w:val="0"/>
      <w:marTop w:val="0"/>
      <w:marBottom w:val="0"/>
      <w:divBdr>
        <w:top w:val="none" w:sz="0" w:space="0" w:color="auto"/>
        <w:left w:val="none" w:sz="0" w:space="0" w:color="auto"/>
        <w:bottom w:val="none" w:sz="0" w:space="0" w:color="auto"/>
        <w:right w:val="none" w:sz="0" w:space="0" w:color="auto"/>
      </w:divBdr>
    </w:div>
    <w:div w:id="1060714147">
      <w:bodyDiv w:val="1"/>
      <w:marLeft w:val="0"/>
      <w:marRight w:val="0"/>
      <w:marTop w:val="0"/>
      <w:marBottom w:val="0"/>
      <w:divBdr>
        <w:top w:val="none" w:sz="0" w:space="0" w:color="auto"/>
        <w:left w:val="none" w:sz="0" w:space="0" w:color="auto"/>
        <w:bottom w:val="none" w:sz="0" w:space="0" w:color="auto"/>
        <w:right w:val="none" w:sz="0" w:space="0" w:color="auto"/>
      </w:divBdr>
      <w:divsChild>
        <w:div w:id="122040749">
          <w:marLeft w:val="0"/>
          <w:marRight w:val="0"/>
          <w:marTop w:val="0"/>
          <w:marBottom w:val="0"/>
          <w:divBdr>
            <w:top w:val="none" w:sz="0" w:space="0" w:color="auto"/>
            <w:left w:val="none" w:sz="0" w:space="0" w:color="auto"/>
            <w:bottom w:val="none" w:sz="0" w:space="0" w:color="auto"/>
            <w:right w:val="none" w:sz="0" w:space="0" w:color="auto"/>
          </w:divBdr>
          <w:divsChild>
            <w:div w:id="1766538805">
              <w:marLeft w:val="0"/>
              <w:marRight w:val="0"/>
              <w:marTop w:val="0"/>
              <w:marBottom w:val="0"/>
              <w:divBdr>
                <w:top w:val="none" w:sz="0" w:space="0" w:color="auto"/>
                <w:left w:val="none" w:sz="0" w:space="0" w:color="auto"/>
                <w:bottom w:val="none" w:sz="0" w:space="0" w:color="auto"/>
                <w:right w:val="none" w:sz="0" w:space="0" w:color="auto"/>
              </w:divBdr>
              <w:divsChild>
                <w:div w:id="1222904932">
                  <w:marLeft w:val="0"/>
                  <w:marRight w:val="0"/>
                  <w:marTop w:val="0"/>
                  <w:marBottom w:val="0"/>
                  <w:divBdr>
                    <w:top w:val="none" w:sz="0" w:space="0" w:color="auto"/>
                    <w:left w:val="none" w:sz="0" w:space="0" w:color="auto"/>
                    <w:bottom w:val="none" w:sz="0" w:space="0" w:color="auto"/>
                    <w:right w:val="none" w:sz="0" w:space="0" w:color="auto"/>
                  </w:divBdr>
                  <w:divsChild>
                    <w:div w:id="1618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3010">
      <w:bodyDiv w:val="1"/>
      <w:marLeft w:val="0"/>
      <w:marRight w:val="0"/>
      <w:marTop w:val="0"/>
      <w:marBottom w:val="0"/>
      <w:divBdr>
        <w:top w:val="none" w:sz="0" w:space="0" w:color="auto"/>
        <w:left w:val="none" w:sz="0" w:space="0" w:color="auto"/>
        <w:bottom w:val="none" w:sz="0" w:space="0" w:color="auto"/>
        <w:right w:val="none" w:sz="0" w:space="0" w:color="auto"/>
      </w:divBdr>
      <w:divsChild>
        <w:div w:id="371925186">
          <w:marLeft w:val="0"/>
          <w:marRight w:val="0"/>
          <w:marTop w:val="0"/>
          <w:marBottom w:val="0"/>
          <w:divBdr>
            <w:top w:val="none" w:sz="0" w:space="0" w:color="auto"/>
            <w:left w:val="none" w:sz="0" w:space="0" w:color="auto"/>
            <w:bottom w:val="none" w:sz="0" w:space="0" w:color="auto"/>
            <w:right w:val="none" w:sz="0" w:space="0" w:color="auto"/>
          </w:divBdr>
          <w:divsChild>
            <w:div w:id="38021268">
              <w:marLeft w:val="0"/>
              <w:marRight w:val="0"/>
              <w:marTop w:val="0"/>
              <w:marBottom w:val="0"/>
              <w:divBdr>
                <w:top w:val="none" w:sz="0" w:space="0" w:color="auto"/>
                <w:left w:val="none" w:sz="0" w:space="0" w:color="auto"/>
                <w:bottom w:val="none" w:sz="0" w:space="0" w:color="auto"/>
                <w:right w:val="none" w:sz="0" w:space="0" w:color="auto"/>
              </w:divBdr>
            </w:div>
            <w:div w:id="376202897">
              <w:marLeft w:val="0"/>
              <w:marRight w:val="0"/>
              <w:marTop w:val="0"/>
              <w:marBottom w:val="0"/>
              <w:divBdr>
                <w:top w:val="none" w:sz="0" w:space="0" w:color="auto"/>
                <w:left w:val="none" w:sz="0" w:space="0" w:color="auto"/>
                <w:bottom w:val="none" w:sz="0" w:space="0" w:color="auto"/>
                <w:right w:val="none" w:sz="0" w:space="0" w:color="auto"/>
              </w:divBdr>
            </w:div>
            <w:div w:id="409042128">
              <w:marLeft w:val="0"/>
              <w:marRight w:val="0"/>
              <w:marTop w:val="0"/>
              <w:marBottom w:val="0"/>
              <w:divBdr>
                <w:top w:val="none" w:sz="0" w:space="0" w:color="auto"/>
                <w:left w:val="none" w:sz="0" w:space="0" w:color="auto"/>
                <w:bottom w:val="none" w:sz="0" w:space="0" w:color="auto"/>
                <w:right w:val="none" w:sz="0" w:space="0" w:color="auto"/>
              </w:divBdr>
            </w:div>
            <w:div w:id="585769854">
              <w:marLeft w:val="0"/>
              <w:marRight w:val="0"/>
              <w:marTop w:val="0"/>
              <w:marBottom w:val="0"/>
              <w:divBdr>
                <w:top w:val="none" w:sz="0" w:space="0" w:color="auto"/>
                <w:left w:val="none" w:sz="0" w:space="0" w:color="auto"/>
                <w:bottom w:val="none" w:sz="0" w:space="0" w:color="auto"/>
                <w:right w:val="none" w:sz="0" w:space="0" w:color="auto"/>
              </w:divBdr>
            </w:div>
            <w:div w:id="735668422">
              <w:marLeft w:val="0"/>
              <w:marRight w:val="0"/>
              <w:marTop w:val="0"/>
              <w:marBottom w:val="0"/>
              <w:divBdr>
                <w:top w:val="none" w:sz="0" w:space="0" w:color="auto"/>
                <w:left w:val="none" w:sz="0" w:space="0" w:color="auto"/>
                <w:bottom w:val="none" w:sz="0" w:space="0" w:color="auto"/>
                <w:right w:val="none" w:sz="0" w:space="0" w:color="auto"/>
              </w:divBdr>
            </w:div>
            <w:div w:id="830682875">
              <w:marLeft w:val="0"/>
              <w:marRight w:val="0"/>
              <w:marTop w:val="0"/>
              <w:marBottom w:val="0"/>
              <w:divBdr>
                <w:top w:val="none" w:sz="0" w:space="0" w:color="auto"/>
                <w:left w:val="none" w:sz="0" w:space="0" w:color="auto"/>
                <w:bottom w:val="none" w:sz="0" w:space="0" w:color="auto"/>
                <w:right w:val="none" w:sz="0" w:space="0" w:color="auto"/>
              </w:divBdr>
            </w:div>
            <w:div w:id="1077247548">
              <w:marLeft w:val="0"/>
              <w:marRight w:val="0"/>
              <w:marTop w:val="0"/>
              <w:marBottom w:val="0"/>
              <w:divBdr>
                <w:top w:val="none" w:sz="0" w:space="0" w:color="auto"/>
                <w:left w:val="none" w:sz="0" w:space="0" w:color="auto"/>
                <w:bottom w:val="none" w:sz="0" w:space="0" w:color="auto"/>
                <w:right w:val="none" w:sz="0" w:space="0" w:color="auto"/>
              </w:divBdr>
            </w:div>
            <w:div w:id="1175073500">
              <w:marLeft w:val="0"/>
              <w:marRight w:val="0"/>
              <w:marTop w:val="0"/>
              <w:marBottom w:val="0"/>
              <w:divBdr>
                <w:top w:val="none" w:sz="0" w:space="0" w:color="auto"/>
                <w:left w:val="none" w:sz="0" w:space="0" w:color="auto"/>
                <w:bottom w:val="none" w:sz="0" w:space="0" w:color="auto"/>
                <w:right w:val="none" w:sz="0" w:space="0" w:color="auto"/>
              </w:divBdr>
            </w:div>
            <w:div w:id="1408768641">
              <w:marLeft w:val="0"/>
              <w:marRight w:val="0"/>
              <w:marTop w:val="0"/>
              <w:marBottom w:val="0"/>
              <w:divBdr>
                <w:top w:val="none" w:sz="0" w:space="0" w:color="auto"/>
                <w:left w:val="none" w:sz="0" w:space="0" w:color="auto"/>
                <w:bottom w:val="none" w:sz="0" w:space="0" w:color="auto"/>
                <w:right w:val="none" w:sz="0" w:space="0" w:color="auto"/>
              </w:divBdr>
            </w:div>
            <w:div w:id="1428232765">
              <w:marLeft w:val="0"/>
              <w:marRight w:val="0"/>
              <w:marTop w:val="0"/>
              <w:marBottom w:val="0"/>
              <w:divBdr>
                <w:top w:val="none" w:sz="0" w:space="0" w:color="auto"/>
                <w:left w:val="none" w:sz="0" w:space="0" w:color="auto"/>
                <w:bottom w:val="none" w:sz="0" w:space="0" w:color="auto"/>
                <w:right w:val="none" w:sz="0" w:space="0" w:color="auto"/>
              </w:divBdr>
            </w:div>
            <w:div w:id="1647276296">
              <w:marLeft w:val="0"/>
              <w:marRight w:val="0"/>
              <w:marTop w:val="0"/>
              <w:marBottom w:val="0"/>
              <w:divBdr>
                <w:top w:val="none" w:sz="0" w:space="0" w:color="auto"/>
                <w:left w:val="none" w:sz="0" w:space="0" w:color="auto"/>
                <w:bottom w:val="none" w:sz="0" w:space="0" w:color="auto"/>
                <w:right w:val="none" w:sz="0" w:space="0" w:color="auto"/>
              </w:divBdr>
            </w:div>
            <w:div w:id="1699744160">
              <w:marLeft w:val="0"/>
              <w:marRight w:val="0"/>
              <w:marTop w:val="0"/>
              <w:marBottom w:val="0"/>
              <w:divBdr>
                <w:top w:val="none" w:sz="0" w:space="0" w:color="auto"/>
                <w:left w:val="none" w:sz="0" w:space="0" w:color="auto"/>
                <w:bottom w:val="none" w:sz="0" w:space="0" w:color="auto"/>
                <w:right w:val="none" w:sz="0" w:space="0" w:color="auto"/>
              </w:divBdr>
            </w:div>
            <w:div w:id="1703049025">
              <w:marLeft w:val="0"/>
              <w:marRight w:val="0"/>
              <w:marTop w:val="0"/>
              <w:marBottom w:val="0"/>
              <w:divBdr>
                <w:top w:val="none" w:sz="0" w:space="0" w:color="auto"/>
                <w:left w:val="none" w:sz="0" w:space="0" w:color="auto"/>
                <w:bottom w:val="none" w:sz="0" w:space="0" w:color="auto"/>
                <w:right w:val="none" w:sz="0" w:space="0" w:color="auto"/>
              </w:divBdr>
            </w:div>
            <w:div w:id="1729916592">
              <w:marLeft w:val="0"/>
              <w:marRight w:val="0"/>
              <w:marTop w:val="0"/>
              <w:marBottom w:val="0"/>
              <w:divBdr>
                <w:top w:val="none" w:sz="0" w:space="0" w:color="auto"/>
                <w:left w:val="none" w:sz="0" w:space="0" w:color="auto"/>
                <w:bottom w:val="none" w:sz="0" w:space="0" w:color="auto"/>
                <w:right w:val="none" w:sz="0" w:space="0" w:color="auto"/>
              </w:divBdr>
            </w:div>
            <w:div w:id="1869634645">
              <w:marLeft w:val="0"/>
              <w:marRight w:val="0"/>
              <w:marTop w:val="0"/>
              <w:marBottom w:val="0"/>
              <w:divBdr>
                <w:top w:val="none" w:sz="0" w:space="0" w:color="auto"/>
                <w:left w:val="none" w:sz="0" w:space="0" w:color="auto"/>
                <w:bottom w:val="none" w:sz="0" w:space="0" w:color="auto"/>
                <w:right w:val="none" w:sz="0" w:space="0" w:color="auto"/>
              </w:divBdr>
            </w:div>
            <w:div w:id="2044554428">
              <w:marLeft w:val="0"/>
              <w:marRight w:val="0"/>
              <w:marTop w:val="0"/>
              <w:marBottom w:val="0"/>
              <w:divBdr>
                <w:top w:val="none" w:sz="0" w:space="0" w:color="auto"/>
                <w:left w:val="none" w:sz="0" w:space="0" w:color="auto"/>
                <w:bottom w:val="none" w:sz="0" w:space="0" w:color="auto"/>
                <w:right w:val="none" w:sz="0" w:space="0" w:color="auto"/>
              </w:divBdr>
            </w:div>
            <w:div w:id="2067601295">
              <w:marLeft w:val="0"/>
              <w:marRight w:val="0"/>
              <w:marTop w:val="0"/>
              <w:marBottom w:val="0"/>
              <w:divBdr>
                <w:top w:val="none" w:sz="0" w:space="0" w:color="auto"/>
                <w:left w:val="none" w:sz="0" w:space="0" w:color="auto"/>
                <w:bottom w:val="none" w:sz="0" w:space="0" w:color="auto"/>
                <w:right w:val="none" w:sz="0" w:space="0" w:color="auto"/>
              </w:divBdr>
            </w:div>
          </w:divsChild>
        </w:div>
        <w:div w:id="1077751317">
          <w:marLeft w:val="0"/>
          <w:marRight w:val="0"/>
          <w:marTop w:val="0"/>
          <w:marBottom w:val="0"/>
          <w:divBdr>
            <w:top w:val="none" w:sz="0" w:space="0" w:color="auto"/>
            <w:left w:val="none" w:sz="0" w:space="0" w:color="auto"/>
            <w:bottom w:val="none" w:sz="0" w:space="0" w:color="auto"/>
            <w:right w:val="none" w:sz="0" w:space="0" w:color="auto"/>
          </w:divBdr>
          <w:divsChild>
            <w:div w:id="152183260">
              <w:marLeft w:val="0"/>
              <w:marRight w:val="0"/>
              <w:marTop w:val="0"/>
              <w:marBottom w:val="0"/>
              <w:divBdr>
                <w:top w:val="none" w:sz="0" w:space="0" w:color="auto"/>
                <w:left w:val="none" w:sz="0" w:space="0" w:color="auto"/>
                <w:bottom w:val="none" w:sz="0" w:space="0" w:color="auto"/>
                <w:right w:val="none" w:sz="0" w:space="0" w:color="auto"/>
              </w:divBdr>
            </w:div>
            <w:div w:id="207108456">
              <w:marLeft w:val="0"/>
              <w:marRight w:val="0"/>
              <w:marTop w:val="0"/>
              <w:marBottom w:val="0"/>
              <w:divBdr>
                <w:top w:val="none" w:sz="0" w:space="0" w:color="auto"/>
                <w:left w:val="none" w:sz="0" w:space="0" w:color="auto"/>
                <w:bottom w:val="none" w:sz="0" w:space="0" w:color="auto"/>
                <w:right w:val="none" w:sz="0" w:space="0" w:color="auto"/>
              </w:divBdr>
            </w:div>
            <w:div w:id="617107251">
              <w:marLeft w:val="0"/>
              <w:marRight w:val="0"/>
              <w:marTop w:val="0"/>
              <w:marBottom w:val="0"/>
              <w:divBdr>
                <w:top w:val="none" w:sz="0" w:space="0" w:color="auto"/>
                <w:left w:val="none" w:sz="0" w:space="0" w:color="auto"/>
                <w:bottom w:val="none" w:sz="0" w:space="0" w:color="auto"/>
                <w:right w:val="none" w:sz="0" w:space="0" w:color="auto"/>
              </w:divBdr>
            </w:div>
            <w:div w:id="743840446">
              <w:marLeft w:val="0"/>
              <w:marRight w:val="0"/>
              <w:marTop w:val="0"/>
              <w:marBottom w:val="0"/>
              <w:divBdr>
                <w:top w:val="none" w:sz="0" w:space="0" w:color="auto"/>
                <w:left w:val="none" w:sz="0" w:space="0" w:color="auto"/>
                <w:bottom w:val="none" w:sz="0" w:space="0" w:color="auto"/>
                <w:right w:val="none" w:sz="0" w:space="0" w:color="auto"/>
              </w:divBdr>
            </w:div>
            <w:div w:id="837616996">
              <w:marLeft w:val="0"/>
              <w:marRight w:val="0"/>
              <w:marTop w:val="0"/>
              <w:marBottom w:val="0"/>
              <w:divBdr>
                <w:top w:val="none" w:sz="0" w:space="0" w:color="auto"/>
                <w:left w:val="none" w:sz="0" w:space="0" w:color="auto"/>
                <w:bottom w:val="none" w:sz="0" w:space="0" w:color="auto"/>
                <w:right w:val="none" w:sz="0" w:space="0" w:color="auto"/>
              </w:divBdr>
            </w:div>
            <w:div w:id="884565251">
              <w:marLeft w:val="0"/>
              <w:marRight w:val="0"/>
              <w:marTop w:val="0"/>
              <w:marBottom w:val="0"/>
              <w:divBdr>
                <w:top w:val="none" w:sz="0" w:space="0" w:color="auto"/>
                <w:left w:val="none" w:sz="0" w:space="0" w:color="auto"/>
                <w:bottom w:val="none" w:sz="0" w:space="0" w:color="auto"/>
                <w:right w:val="none" w:sz="0" w:space="0" w:color="auto"/>
              </w:divBdr>
            </w:div>
            <w:div w:id="899092776">
              <w:marLeft w:val="0"/>
              <w:marRight w:val="0"/>
              <w:marTop w:val="0"/>
              <w:marBottom w:val="0"/>
              <w:divBdr>
                <w:top w:val="none" w:sz="0" w:space="0" w:color="auto"/>
                <w:left w:val="none" w:sz="0" w:space="0" w:color="auto"/>
                <w:bottom w:val="none" w:sz="0" w:space="0" w:color="auto"/>
                <w:right w:val="none" w:sz="0" w:space="0" w:color="auto"/>
              </w:divBdr>
            </w:div>
            <w:div w:id="975451175">
              <w:marLeft w:val="0"/>
              <w:marRight w:val="0"/>
              <w:marTop w:val="0"/>
              <w:marBottom w:val="0"/>
              <w:divBdr>
                <w:top w:val="none" w:sz="0" w:space="0" w:color="auto"/>
                <w:left w:val="none" w:sz="0" w:space="0" w:color="auto"/>
                <w:bottom w:val="none" w:sz="0" w:space="0" w:color="auto"/>
                <w:right w:val="none" w:sz="0" w:space="0" w:color="auto"/>
              </w:divBdr>
            </w:div>
            <w:div w:id="1096560288">
              <w:marLeft w:val="0"/>
              <w:marRight w:val="0"/>
              <w:marTop w:val="0"/>
              <w:marBottom w:val="0"/>
              <w:divBdr>
                <w:top w:val="none" w:sz="0" w:space="0" w:color="auto"/>
                <w:left w:val="none" w:sz="0" w:space="0" w:color="auto"/>
                <w:bottom w:val="none" w:sz="0" w:space="0" w:color="auto"/>
                <w:right w:val="none" w:sz="0" w:space="0" w:color="auto"/>
              </w:divBdr>
            </w:div>
            <w:div w:id="1228879511">
              <w:marLeft w:val="0"/>
              <w:marRight w:val="0"/>
              <w:marTop w:val="0"/>
              <w:marBottom w:val="0"/>
              <w:divBdr>
                <w:top w:val="none" w:sz="0" w:space="0" w:color="auto"/>
                <w:left w:val="none" w:sz="0" w:space="0" w:color="auto"/>
                <w:bottom w:val="none" w:sz="0" w:space="0" w:color="auto"/>
                <w:right w:val="none" w:sz="0" w:space="0" w:color="auto"/>
              </w:divBdr>
            </w:div>
            <w:div w:id="1379165573">
              <w:marLeft w:val="0"/>
              <w:marRight w:val="0"/>
              <w:marTop w:val="0"/>
              <w:marBottom w:val="0"/>
              <w:divBdr>
                <w:top w:val="none" w:sz="0" w:space="0" w:color="auto"/>
                <w:left w:val="none" w:sz="0" w:space="0" w:color="auto"/>
                <w:bottom w:val="none" w:sz="0" w:space="0" w:color="auto"/>
                <w:right w:val="none" w:sz="0" w:space="0" w:color="auto"/>
              </w:divBdr>
            </w:div>
            <w:div w:id="1421872088">
              <w:marLeft w:val="0"/>
              <w:marRight w:val="0"/>
              <w:marTop w:val="0"/>
              <w:marBottom w:val="0"/>
              <w:divBdr>
                <w:top w:val="none" w:sz="0" w:space="0" w:color="auto"/>
                <w:left w:val="none" w:sz="0" w:space="0" w:color="auto"/>
                <w:bottom w:val="none" w:sz="0" w:space="0" w:color="auto"/>
                <w:right w:val="none" w:sz="0" w:space="0" w:color="auto"/>
              </w:divBdr>
            </w:div>
            <w:div w:id="1759643330">
              <w:marLeft w:val="0"/>
              <w:marRight w:val="0"/>
              <w:marTop w:val="0"/>
              <w:marBottom w:val="0"/>
              <w:divBdr>
                <w:top w:val="none" w:sz="0" w:space="0" w:color="auto"/>
                <w:left w:val="none" w:sz="0" w:space="0" w:color="auto"/>
                <w:bottom w:val="none" w:sz="0" w:space="0" w:color="auto"/>
                <w:right w:val="none" w:sz="0" w:space="0" w:color="auto"/>
              </w:divBdr>
            </w:div>
            <w:div w:id="1893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5034">
      <w:bodyDiv w:val="1"/>
      <w:marLeft w:val="0"/>
      <w:marRight w:val="0"/>
      <w:marTop w:val="0"/>
      <w:marBottom w:val="0"/>
      <w:divBdr>
        <w:top w:val="none" w:sz="0" w:space="0" w:color="auto"/>
        <w:left w:val="none" w:sz="0" w:space="0" w:color="auto"/>
        <w:bottom w:val="none" w:sz="0" w:space="0" w:color="auto"/>
        <w:right w:val="none" w:sz="0" w:space="0" w:color="auto"/>
      </w:divBdr>
      <w:divsChild>
        <w:div w:id="335304271">
          <w:marLeft w:val="0"/>
          <w:marRight w:val="0"/>
          <w:marTop w:val="0"/>
          <w:marBottom w:val="0"/>
          <w:divBdr>
            <w:top w:val="none" w:sz="0" w:space="0" w:color="auto"/>
            <w:left w:val="none" w:sz="0" w:space="0" w:color="auto"/>
            <w:bottom w:val="none" w:sz="0" w:space="0" w:color="auto"/>
            <w:right w:val="none" w:sz="0" w:space="0" w:color="auto"/>
          </w:divBdr>
          <w:divsChild>
            <w:div w:id="873884707">
              <w:marLeft w:val="0"/>
              <w:marRight w:val="0"/>
              <w:marTop w:val="0"/>
              <w:marBottom w:val="0"/>
              <w:divBdr>
                <w:top w:val="none" w:sz="0" w:space="0" w:color="auto"/>
                <w:left w:val="none" w:sz="0" w:space="0" w:color="auto"/>
                <w:bottom w:val="none" w:sz="0" w:space="0" w:color="auto"/>
                <w:right w:val="none" w:sz="0" w:space="0" w:color="auto"/>
              </w:divBdr>
              <w:divsChild>
                <w:div w:id="19681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88416">
      <w:bodyDiv w:val="1"/>
      <w:marLeft w:val="0"/>
      <w:marRight w:val="0"/>
      <w:marTop w:val="0"/>
      <w:marBottom w:val="0"/>
      <w:divBdr>
        <w:top w:val="none" w:sz="0" w:space="0" w:color="auto"/>
        <w:left w:val="none" w:sz="0" w:space="0" w:color="auto"/>
        <w:bottom w:val="none" w:sz="0" w:space="0" w:color="auto"/>
        <w:right w:val="none" w:sz="0" w:space="0" w:color="auto"/>
      </w:divBdr>
    </w:div>
    <w:div w:id="1074006164">
      <w:bodyDiv w:val="1"/>
      <w:marLeft w:val="0"/>
      <w:marRight w:val="0"/>
      <w:marTop w:val="0"/>
      <w:marBottom w:val="0"/>
      <w:divBdr>
        <w:top w:val="none" w:sz="0" w:space="0" w:color="auto"/>
        <w:left w:val="none" w:sz="0" w:space="0" w:color="auto"/>
        <w:bottom w:val="none" w:sz="0" w:space="0" w:color="auto"/>
        <w:right w:val="none" w:sz="0" w:space="0" w:color="auto"/>
      </w:divBdr>
      <w:divsChild>
        <w:div w:id="1246039786">
          <w:marLeft w:val="0"/>
          <w:marRight w:val="0"/>
          <w:marTop w:val="0"/>
          <w:marBottom w:val="0"/>
          <w:divBdr>
            <w:top w:val="none" w:sz="0" w:space="0" w:color="auto"/>
            <w:left w:val="none" w:sz="0" w:space="0" w:color="auto"/>
            <w:bottom w:val="none" w:sz="0" w:space="0" w:color="auto"/>
            <w:right w:val="none" w:sz="0" w:space="0" w:color="auto"/>
          </w:divBdr>
          <w:divsChild>
            <w:div w:id="796417593">
              <w:marLeft w:val="0"/>
              <w:marRight w:val="0"/>
              <w:marTop w:val="0"/>
              <w:marBottom w:val="0"/>
              <w:divBdr>
                <w:top w:val="none" w:sz="0" w:space="0" w:color="auto"/>
                <w:left w:val="none" w:sz="0" w:space="0" w:color="auto"/>
                <w:bottom w:val="none" w:sz="0" w:space="0" w:color="auto"/>
                <w:right w:val="none" w:sz="0" w:space="0" w:color="auto"/>
              </w:divBdr>
              <w:divsChild>
                <w:div w:id="868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0506">
      <w:bodyDiv w:val="1"/>
      <w:marLeft w:val="0"/>
      <w:marRight w:val="0"/>
      <w:marTop w:val="0"/>
      <w:marBottom w:val="0"/>
      <w:divBdr>
        <w:top w:val="none" w:sz="0" w:space="0" w:color="auto"/>
        <w:left w:val="none" w:sz="0" w:space="0" w:color="auto"/>
        <w:bottom w:val="none" w:sz="0" w:space="0" w:color="auto"/>
        <w:right w:val="none" w:sz="0" w:space="0" w:color="auto"/>
      </w:divBdr>
    </w:div>
    <w:div w:id="1076394449">
      <w:bodyDiv w:val="1"/>
      <w:marLeft w:val="0"/>
      <w:marRight w:val="0"/>
      <w:marTop w:val="0"/>
      <w:marBottom w:val="0"/>
      <w:divBdr>
        <w:top w:val="none" w:sz="0" w:space="0" w:color="auto"/>
        <w:left w:val="none" w:sz="0" w:space="0" w:color="auto"/>
        <w:bottom w:val="none" w:sz="0" w:space="0" w:color="auto"/>
        <w:right w:val="none" w:sz="0" w:space="0" w:color="auto"/>
      </w:divBdr>
    </w:div>
    <w:div w:id="1092703332">
      <w:bodyDiv w:val="1"/>
      <w:marLeft w:val="0"/>
      <w:marRight w:val="0"/>
      <w:marTop w:val="0"/>
      <w:marBottom w:val="0"/>
      <w:divBdr>
        <w:top w:val="none" w:sz="0" w:space="0" w:color="auto"/>
        <w:left w:val="none" w:sz="0" w:space="0" w:color="auto"/>
        <w:bottom w:val="none" w:sz="0" w:space="0" w:color="auto"/>
        <w:right w:val="none" w:sz="0" w:space="0" w:color="auto"/>
      </w:divBdr>
      <w:divsChild>
        <w:div w:id="698893111">
          <w:marLeft w:val="0"/>
          <w:marRight w:val="0"/>
          <w:marTop w:val="0"/>
          <w:marBottom w:val="0"/>
          <w:divBdr>
            <w:top w:val="none" w:sz="0" w:space="0" w:color="auto"/>
            <w:left w:val="none" w:sz="0" w:space="0" w:color="auto"/>
            <w:bottom w:val="none" w:sz="0" w:space="0" w:color="auto"/>
            <w:right w:val="none" w:sz="0" w:space="0" w:color="auto"/>
          </w:divBdr>
          <w:divsChild>
            <w:div w:id="1768578509">
              <w:marLeft w:val="0"/>
              <w:marRight w:val="0"/>
              <w:marTop w:val="0"/>
              <w:marBottom w:val="0"/>
              <w:divBdr>
                <w:top w:val="none" w:sz="0" w:space="0" w:color="auto"/>
                <w:left w:val="none" w:sz="0" w:space="0" w:color="auto"/>
                <w:bottom w:val="none" w:sz="0" w:space="0" w:color="auto"/>
                <w:right w:val="none" w:sz="0" w:space="0" w:color="auto"/>
              </w:divBdr>
              <w:divsChild>
                <w:div w:id="1515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4295">
      <w:bodyDiv w:val="1"/>
      <w:marLeft w:val="0"/>
      <w:marRight w:val="0"/>
      <w:marTop w:val="0"/>
      <w:marBottom w:val="0"/>
      <w:divBdr>
        <w:top w:val="none" w:sz="0" w:space="0" w:color="auto"/>
        <w:left w:val="none" w:sz="0" w:space="0" w:color="auto"/>
        <w:bottom w:val="none" w:sz="0" w:space="0" w:color="auto"/>
        <w:right w:val="none" w:sz="0" w:space="0" w:color="auto"/>
      </w:divBdr>
      <w:divsChild>
        <w:div w:id="1852337451">
          <w:marLeft w:val="0"/>
          <w:marRight w:val="0"/>
          <w:marTop w:val="0"/>
          <w:marBottom w:val="0"/>
          <w:divBdr>
            <w:top w:val="none" w:sz="0" w:space="0" w:color="auto"/>
            <w:left w:val="none" w:sz="0" w:space="0" w:color="auto"/>
            <w:bottom w:val="none" w:sz="0" w:space="0" w:color="auto"/>
            <w:right w:val="none" w:sz="0" w:space="0" w:color="auto"/>
          </w:divBdr>
          <w:divsChild>
            <w:div w:id="100684138">
              <w:marLeft w:val="0"/>
              <w:marRight w:val="0"/>
              <w:marTop w:val="0"/>
              <w:marBottom w:val="0"/>
              <w:divBdr>
                <w:top w:val="none" w:sz="0" w:space="0" w:color="auto"/>
                <w:left w:val="none" w:sz="0" w:space="0" w:color="auto"/>
                <w:bottom w:val="none" w:sz="0" w:space="0" w:color="auto"/>
                <w:right w:val="none" w:sz="0" w:space="0" w:color="auto"/>
              </w:divBdr>
              <w:divsChild>
                <w:div w:id="1783573534">
                  <w:marLeft w:val="0"/>
                  <w:marRight w:val="0"/>
                  <w:marTop w:val="0"/>
                  <w:marBottom w:val="0"/>
                  <w:divBdr>
                    <w:top w:val="none" w:sz="0" w:space="0" w:color="auto"/>
                    <w:left w:val="none" w:sz="0" w:space="0" w:color="auto"/>
                    <w:bottom w:val="none" w:sz="0" w:space="0" w:color="auto"/>
                    <w:right w:val="none" w:sz="0" w:space="0" w:color="auto"/>
                  </w:divBdr>
                  <w:divsChild>
                    <w:div w:id="15691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2431">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19375423">
      <w:bodyDiv w:val="1"/>
      <w:marLeft w:val="0"/>
      <w:marRight w:val="0"/>
      <w:marTop w:val="0"/>
      <w:marBottom w:val="0"/>
      <w:divBdr>
        <w:top w:val="none" w:sz="0" w:space="0" w:color="auto"/>
        <w:left w:val="none" w:sz="0" w:space="0" w:color="auto"/>
        <w:bottom w:val="none" w:sz="0" w:space="0" w:color="auto"/>
        <w:right w:val="none" w:sz="0" w:space="0" w:color="auto"/>
      </w:divBdr>
      <w:divsChild>
        <w:div w:id="1795295141">
          <w:marLeft w:val="0"/>
          <w:marRight w:val="0"/>
          <w:marTop w:val="0"/>
          <w:marBottom w:val="0"/>
          <w:divBdr>
            <w:top w:val="none" w:sz="0" w:space="0" w:color="auto"/>
            <w:left w:val="none" w:sz="0" w:space="0" w:color="auto"/>
            <w:bottom w:val="none" w:sz="0" w:space="0" w:color="auto"/>
            <w:right w:val="none" w:sz="0" w:space="0" w:color="auto"/>
          </w:divBdr>
          <w:divsChild>
            <w:div w:id="363675428">
              <w:marLeft w:val="0"/>
              <w:marRight w:val="0"/>
              <w:marTop w:val="0"/>
              <w:marBottom w:val="0"/>
              <w:divBdr>
                <w:top w:val="none" w:sz="0" w:space="0" w:color="auto"/>
                <w:left w:val="none" w:sz="0" w:space="0" w:color="auto"/>
                <w:bottom w:val="none" w:sz="0" w:space="0" w:color="auto"/>
                <w:right w:val="none" w:sz="0" w:space="0" w:color="auto"/>
              </w:divBdr>
              <w:divsChild>
                <w:div w:id="11820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274">
      <w:bodyDiv w:val="1"/>
      <w:marLeft w:val="0"/>
      <w:marRight w:val="0"/>
      <w:marTop w:val="0"/>
      <w:marBottom w:val="0"/>
      <w:divBdr>
        <w:top w:val="none" w:sz="0" w:space="0" w:color="auto"/>
        <w:left w:val="none" w:sz="0" w:space="0" w:color="auto"/>
        <w:bottom w:val="none" w:sz="0" w:space="0" w:color="auto"/>
        <w:right w:val="none" w:sz="0" w:space="0" w:color="auto"/>
      </w:divBdr>
    </w:div>
    <w:div w:id="1131240815">
      <w:bodyDiv w:val="1"/>
      <w:marLeft w:val="0"/>
      <w:marRight w:val="0"/>
      <w:marTop w:val="0"/>
      <w:marBottom w:val="0"/>
      <w:divBdr>
        <w:top w:val="none" w:sz="0" w:space="0" w:color="auto"/>
        <w:left w:val="none" w:sz="0" w:space="0" w:color="auto"/>
        <w:bottom w:val="none" w:sz="0" w:space="0" w:color="auto"/>
        <w:right w:val="none" w:sz="0" w:space="0" w:color="auto"/>
      </w:divBdr>
      <w:divsChild>
        <w:div w:id="1126897310">
          <w:marLeft w:val="0"/>
          <w:marRight w:val="0"/>
          <w:marTop w:val="0"/>
          <w:marBottom w:val="0"/>
          <w:divBdr>
            <w:top w:val="none" w:sz="0" w:space="0" w:color="auto"/>
            <w:left w:val="none" w:sz="0" w:space="0" w:color="auto"/>
            <w:bottom w:val="none" w:sz="0" w:space="0" w:color="auto"/>
            <w:right w:val="none" w:sz="0" w:space="0" w:color="auto"/>
          </w:divBdr>
          <w:divsChild>
            <w:div w:id="122580344">
              <w:marLeft w:val="0"/>
              <w:marRight w:val="0"/>
              <w:marTop w:val="0"/>
              <w:marBottom w:val="0"/>
              <w:divBdr>
                <w:top w:val="none" w:sz="0" w:space="0" w:color="auto"/>
                <w:left w:val="none" w:sz="0" w:space="0" w:color="auto"/>
                <w:bottom w:val="none" w:sz="0" w:space="0" w:color="auto"/>
                <w:right w:val="none" w:sz="0" w:space="0" w:color="auto"/>
              </w:divBdr>
              <w:divsChild>
                <w:div w:id="1678071924">
                  <w:marLeft w:val="0"/>
                  <w:marRight w:val="0"/>
                  <w:marTop w:val="0"/>
                  <w:marBottom w:val="0"/>
                  <w:divBdr>
                    <w:top w:val="none" w:sz="0" w:space="0" w:color="auto"/>
                    <w:left w:val="none" w:sz="0" w:space="0" w:color="auto"/>
                    <w:bottom w:val="none" w:sz="0" w:space="0" w:color="auto"/>
                    <w:right w:val="none" w:sz="0" w:space="0" w:color="auto"/>
                  </w:divBdr>
                  <w:divsChild>
                    <w:div w:id="12259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0722">
      <w:bodyDiv w:val="1"/>
      <w:marLeft w:val="0"/>
      <w:marRight w:val="0"/>
      <w:marTop w:val="0"/>
      <w:marBottom w:val="0"/>
      <w:divBdr>
        <w:top w:val="none" w:sz="0" w:space="0" w:color="auto"/>
        <w:left w:val="none" w:sz="0" w:space="0" w:color="auto"/>
        <w:bottom w:val="none" w:sz="0" w:space="0" w:color="auto"/>
        <w:right w:val="none" w:sz="0" w:space="0" w:color="auto"/>
      </w:divBdr>
    </w:div>
    <w:div w:id="1137646736">
      <w:bodyDiv w:val="1"/>
      <w:marLeft w:val="0"/>
      <w:marRight w:val="0"/>
      <w:marTop w:val="0"/>
      <w:marBottom w:val="0"/>
      <w:divBdr>
        <w:top w:val="none" w:sz="0" w:space="0" w:color="auto"/>
        <w:left w:val="none" w:sz="0" w:space="0" w:color="auto"/>
        <w:bottom w:val="none" w:sz="0" w:space="0" w:color="auto"/>
        <w:right w:val="none" w:sz="0" w:space="0" w:color="auto"/>
      </w:divBdr>
      <w:divsChild>
        <w:div w:id="1320890827">
          <w:marLeft w:val="0"/>
          <w:marRight w:val="0"/>
          <w:marTop w:val="0"/>
          <w:marBottom w:val="0"/>
          <w:divBdr>
            <w:top w:val="none" w:sz="0" w:space="0" w:color="auto"/>
            <w:left w:val="none" w:sz="0" w:space="0" w:color="auto"/>
            <w:bottom w:val="none" w:sz="0" w:space="0" w:color="auto"/>
            <w:right w:val="none" w:sz="0" w:space="0" w:color="auto"/>
          </w:divBdr>
          <w:divsChild>
            <w:div w:id="1111512309">
              <w:marLeft w:val="0"/>
              <w:marRight w:val="0"/>
              <w:marTop w:val="0"/>
              <w:marBottom w:val="0"/>
              <w:divBdr>
                <w:top w:val="none" w:sz="0" w:space="0" w:color="auto"/>
                <w:left w:val="none" w:sz="0" w:space="0" w:color="auto"/>
                <w:bottom w:val="none" w:sz="0" w:space="0" w:color="auto"/>
                <w:right w:val="none" w:sz="0" w:space="0" w:color="auto"/>
              </w:divBdr>
              <w:divsChild>
                <w:div w:id="13119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807">
      <w:bodyDiv w:val="1"/>
      <w:marLeft w:val="0"/>
      <w:marRight w:val="0"/>
      <w:marTop w:val="0"/>
      <w:marBottom w:val="0"/>
      <w:divBdr>
        <w:top w:val="none" w:sz="0" w:space="0" w:color="auto"/>
        <w:left w:val="none" w:sz="0" w:space="0" w:color="auto"/>
        <w:bottom w:val="none" w:sz="0" w:space="0" w:color="auto"/>
        <w:right w:val="none" w:sz="0" w:space="0" w:color="auto"/>
      </w:divBdr>
      <w:divsChild>
        <w:div w:id="1652442425">
          <w:marLeft w:val="0"/>
          <w:marRight w:val="0"/>
          <w:marTop w:val="0"/>
          <w:marBottom w:val="0"/>
          <w:divBdr>
            <w:top w:val="none" w:sz="0" w:space="0" w:color="auto"/>
            <w:left w:val="none" w:sz="0" w:space="0" w:color="auto"/>
            <w:bottom w:val="none" w:sz="0" w:space="0" w:color="auto"/>
            <w:right w:val="none" w:sz="0" w:space="0" w:color="auto"/>
          </w:divBdr>
          <w:divsChild>
            <w:div w:id="801461767">
              <w:marLeft w:val="0"/>
              <w:marRight w:val="0"/>
              <w:marTop w:val="0"/>
              <w:marBottom w:val="0"/>
              <w:divBdr>
                <w:top w:val="none" w:sz="0" w:space="0" w:color="auto"/>
                <w:left w:val="none" w:sz="0" w:space="0" w:color="auto"/>
                <w:bottom w:val="none" w:sz="0" w:space="0" w:color="auto"/>
                <w:right w:val="none" w:sz="0" w:space="0" w:color="auto"/>
              </w:divBdr>
              <w:divsChild>
                <w:div w:id="1531410071">
                  <w:marLeft w:val="0"/>
                  <w:marRight w:val="0"/>
                  <w:marTop w:val="0"/>
                  <w:marBottom w:val="0"/>
                  <w:divBdr>
                    <w:top w:val="none" w:sz="0" w:space="0" w:color="auto"/>
                    <w:left w:val="none" w:sz="0" w:space="0" w:color="auto"/>
                    <w:bottom w:val="none" w:sz="0" w:space="0" w:color="auto"/>
                    <w:right w:val="none" w:sz="0" w:space="0" w:color="auto"/>
                  </w:divBdr>
                  <w:divsChild>
                    <w:div w:id="2093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59339">
      <w:bodyDiv w:val="1"/>
      <w:marLeft w:val="0"/>
      <w:marRight w:val="0"/>
      <w:marTop w:val="0"/>
      <w:marBottom w:val="0"/>
      <w:divBdr>
        <w:top w:val="none" w:sz="0" w:space="0" w:color="auto"/>
        <w:left w:val="none" w:sz="0" w:space="0" w:color="auto"/>
        <w:bottom w:val="none" w:sz="0" w:space="0" w:color="auto"/>
        <w:right w:val="none" w:sz="0" w:space="0" w:color="auto"/>
      </w:divBdr>
    </w:div>
    <w:div w:id="1138453638">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4783230">
      <w:bodyDiv w:val="1"/>
      <w:marLeft w:val="0"/>
      <w:marRight w:val="0"/>
      <w:marTop w:val="0"/>
      <w:marBottom w:val="0"/>
      <w:divBdr>
        <w:top w:val="none" w:sz="0" w:space="0" w:color="auto"/>
        <w:left w:val="none" w:sz="0" w:space="0" w:color="auto"/>
        <w:bottom w:val="none" w:sz="0" w:space="0" w:color="auto"/>
        <w:right w:val="none" w:sz="0" w:space="0" w:color="auto"/>
      </w:divBdr>
      <w:divsChild>
        <w:div w:id="515652314">
          <w:marLeft w:val="0"/>
          <w:marRight w:val="0"/>
          <w:marTop w:val="0"/>
          <w:marBottom w:val="0"/>
          <w:divBdr>
            <w:top w:val="none" w:sz="0" w:space="0" w:color="auto"/>
            <w:left w:val="none" w:sz="0" w:space="0" w:color="auto"/>
            <w:bottom w:val="none" w:sz="0" w:space="0" w:color="auto"/>
            <w:right w:val="none" w:sz="0" w:space="0" w:color="auto"/>
          </w:divBdr>
          <w:divsChild>
            <w:div w:id="1838570133">
              <w:marLeft w:val="0"/>
              <w:marRight w:val="0"/>
              <w:marTop w:val="0"/>
              <w:marBottom w:val="0"/>
              <w:divBdr>
                <w:top w:val="none" w:sz="0" w:space="0" w:color="auto"/>
                <w:left w:val="none" w:sz="0" w:space="0" w:color="auto"/>
                <w:bottom w:val="none" w:sz="0" w:space="0" w:color="auto"/>
                <w:right w:val="none" w:sz="0" w:space="0" w:color="auto"/>
              </w:divBdr>
              <w:divsChild>
                <w:div w:id="862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816">
      <w:bodyDiv w:val="1"/>
      <w:marLeft w:val="0"/>
      <w:marRight w:val="0"/>
      <w:marTop w:val="0"/>
      <w:marBottom w:val="0"/>
      <w:divBdr>
        <w:top w:val="none" w:sz="0" w:space="0" w:color="auto"/>
        <w:left w:val="none" w:sz="0" w:space="0" w:color="auto"/>
        <w:bottom w:val="none" w:sz="0" w:space="0" w:color="auto"/>
        <w:right w:val="none" w:sz="0" w:space="0" w:color="auto"/>
      </w:divBdr>
      <w:divsChild>
        <w:div w:id="498348417">
          <w:marLeft w:val="0"/>
          <w:marRight w:val="0"/>
          <w:marTop w:val="0"/>
          <w:marBottom w:val="0"/>
          <w:divBdr>
            <w:top w:val="none" w:sz="0" w:space="0" w:color="auto"/>
            <w:left w:val="none" w:sz="0" w:space="0" w:color="auto"/>
            <w:bottom w:val="none" w:sz="0" w:space="0" w:color="auto"/>
            <w:right w:val="none" w:sz="0" w:space="0" w:color="auto"/>
          </w:divBdr>
          <w:divsChild>
            <w:div w:id="1445609430">
              <w:marLeft w:val="0"/>
              <w:marRight w:val="0"/>
              <w:marTop w:val="0"/>
              <w:marBottom w:val="0"/>
              <w:divBdr>
                <w:top w:val="none" w:sz="0" w:space="0" w:color="auto"/>
                <w:left w:val="none" w:sz="0" w:space="0" w:color="auto"/>
                <w:bottom w:val="none" w:sz="0" w:space="0" w:color="auto"/>
                <w:right w:val="none" w:sz="0" w:space="0" w:color="auto"/>
              </w:divBdr>
              <w:divsChild>
                <w:div w:id="366494760">
                  <w:marLeft w:val="0"/>
                  <w:marRight w:val="0"/>
                  <w:marTop w:val="0"/>
                  <w:marBottom w:val="0"/>
                  <w:divBdr>
                    <w:top w:val="none" w:sz="0" w:space="0" w:color="auto"/>
                    <w:left w:val="none" w:sz="0" w:space="0" w:color="auto"/>
                    <w:bottom w:val="none" w:sz="0" w:space="0" w:color="auto"/>
                    <w:right w:val="none" w:sz="0" w:space="0" w:color="auto"/>
                  </w:divBdr>
                  <w:divsChild>
                    <w:div w:id="18794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9451">
      <w:bodyDiv w:val="1"/>
      <w:marLeft w:val="0"/>
      <w:marRight w:val="0"/>
      <w:marTop w:val="0"/>
      <w:marBottom w:val="0"/>
      <w:divBdr>
        <w:top w:val="none" w:sz="0" w:space="0" w:color="auto"/>
        <w:left w:val="none" w:sz="0" w:space="0" w:color="auto"/>
        <w:bottom w:val="none" w:sz="0" w:space="0" w:color="auto"/>
        <w:right w:val="none" w:sz="0" w:space="0" w:color="auto"/>
      </w:divBdr>
      <w:divsChild>
        <w:div w:id="1352026422">
          <w:marLeft w:val="0"/>
          <w:marRight w:val="0"/>
          <w:marTop w:val="0"/>
          <w:marBottom w:val="0"/>
          <w:divBdr>
            <w:top w:val="none" w:sz="0" w:space="0" w:color="auto"/>
            <w:left w:val="none" w:sz="0" w:space="0" w:color="auto"/>
            <w:bottom w:val="none" w:sz="0" w:space="0" w:color="auto"/>
            <w:right w:val="none" w:sz="0" w:space="0" w:color="auto"/>
          </w:divBdr>
          <w:divsChild>
            <w:div w:id="1009524326">
              <w:marLeft w:val="0"/>
              <w:marRight w:val="0"/>
              <w:marTop w:val="0"/>
              <w:marBottom w:val="0"/>
              <w:divBdr>
                <w:top w:val="none" w:sz="0" w:space="0" w:color="auto"/>
                <w:left w:val="none" w:sz="0" w:space="0" w:color="auto"/>
                <w:bottom w:val="none" w:sz="0" w:space="0" w:color="auto"/>
                <w:right w:val="none" w:sz="0" w:space="0" w:color="auto"/>
              </w:divBdr>
              <w:divsChild>
                <w:div w:id="1984967862">
                  <w:marLeft w:val="0"/>
                  <w:marRight w:val="0"/>
                  <w:marTop w:val="0"/>
                  <w:marBottom w:val="0"/>
                  <w:divBdr>
                    <w:top w:val="none" w:sz="0" w:space="0" w:color="auto"/>
                    <w:left w:val="none" w:sz="0" w:space="0" w:color="auto"/>
                    <w:bottom w:val="none" w:sz="0" w:space="0" w:color="auto"/>
                    <w:right w:val="none" w:sz="0" w:space="0" w:color="auto"/>
                  </w:divBdr>
                  <w:divsChild>
                    <w:div w:id="150026901">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1073430097">
                      <w:marLeft w:val="0"/>
                      <w:marRight w:val="0"/>
                      <w:marTop w:val="0"/>
                      <w:marBottom w:val="0"/>
                      <w:divBdr>
                        <w:top w:val="none" w:sz="0" w:space="0" w:color="auto"/>
                        <w:left w:val="none" w:sz="0" w:space="0" w:color="auto"/>
                        <w:bottom w:val="none" w:sz="0" w:space="0" w:color="auto"/>
                        <w:right w:val="none" w:sz="0" w:space="0" w:color="auto"/>
                      </w:divBdr>
                      <w:divsChild>
                        <w:div w:id="856843673">
                          <w:marLeft w:val="0"/>
                          <w:marRight w:val="0"/>
                          <w:marTop w:val="0"/>
                          <w:marBottom w:val="0"/>
                          <w:divBdr>
                            <w:top w:val="none" w:sz="0" w:space="0" w:color="auto"/>
                            <w:left w:val="none" w:sz="0" w:space="0" w:color="auto"/>
                            <w:bottom w:val="none" w:sz="0" w:space="0" w:color="auto"/>
                            <w:right w:val="none" w:sz="0" w:space="0" w:color="auto"/>
                          </w:divBdr>
                        </w:div>
                        <w:div w:id="14030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3418">
              <w:marLeft w:val="0"/>
              <w:marRight w:val="0"/>
              <w:marTop w:val="0"/>
              <w:marBottom w:val="0"/>
              <w:divBdr>
                <w:top w:val="none" w:sz="0" w:space="0" w:color="auto"/>
                <w:left w:val="none" w:sz="0" w:space="0" w:color="auto"/>
                <w:bottom w:val="none" w:sz="0" w:space="0" w:color="auto"/>
                <w:right w:val="none" w:sz="0" w:space="0" w:color="auto"/>
              </w:divBdr>
              <w:divsChild>
                <w:div w:id="758138701">
                  <w:marLeft w:val="0"/>
                  <w:marRight w:val="0"/>
                  <w:marTop w:val="0"/>
                  <w:marBottom w:val="0"/>
                  <w:divBdr>
                    <w:top w:val="none" w:sz="0" w:space="0" w:color="auto"/>
                    <w:left w:val="none" w:sz="0" w:space="0" w:color="auto"/>
                    <w:bottom w:val="none" w:sz="0" w:space="0" w:color="auto"/>
                    <w:right w:val="none" w:sz="0" w:space="0" w:color="auto"/>
                  </w:divBdr>
                  <w:divsChild>
                    <w:div w:id="1497111508">
                      <w:marLeft w:val="0"/>
                      <w:marRight w:val="0"/>
                      <w:marTop w:val="0"/>
                      <w:marBottom w:val="0"/>
                      <w:divBdr>
                        <w:top w:val="none" w:sz="0" w:space="0" w:color="auto"/>
                        <w:left w:val="none" w:sz="0" w:space="0" w:color="auto"/>
                        <w:bottom w:val="none" w:sz="0" w:space="0" w:color="auto"/>
                        <w:right w:val="none" w:sz="0" w:space="0" w:color="auto"/>
                      </w:divBdr>
                      <w:divsChild>
                        <w:div w:id="3653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5139">
          <w:marLeft w:val="0"/>
          <w:marRight w:val="0"/>
          <w:marTop w:val="0"/>
          <w:marBottom w:val="0"/>
          <w:divBdr>
            <w:top w:val="none" w:sz="0" w:space="0" w:color="auto"/>
            <w:left w:val="none" w:sz="0" w:space="0" w:color="auto"/>
            <w:bottom w:val="none" w:sz="0" w:space="0" w:color="auto"/>
            <w:right w:val="none" w:sz="0" w:space="0" w:color="auto"/>
          </w:divBdr>
          <w:divsChild>
            <w:div w:id="20254641">
              <w:marLeft w:val="0"/>
              <w:marRight w:val="0"/>
              <w:marTop w:val="0"/>
              <w:marBottom w:val="0"/>
              <w:divBdr>
                <w:top w:val="none" w:sz="0" w:space="0" w:color="auto"/>
                <w:left w:val="none" w:sz="0" w:space="0" w:color="auto"/>
                <w:bottom w:val="none" w:sz="0" w:space="0" w:color="auto"/>
                <w:right w:val="none" w:sz="0" w:space="0" w:color="auto"/>
              </w:divBdr>
              <w:divsChild>
                <w:div w:id="404454499">
                  <w:marLeft w:val="0"/>
                  <w:marRight w:val="0"/>
                  <w:marTop w:val="0"/>
                  <w:marBottom w:val="0"/>
                  <w:divBdr>
                    <w:top w:val="none" w:sz="0" w:space="0" w:color="auto"/>
                    <w:left w:val="none" w:sz="0" w:space="0" w:color="auto"/>
                    <w:bottom w:val="none" w:sz="0" w:space="0" w:color="auto"/>
                    <w:right w:val="none" w:sz="0" w:space="0" w:color="auto"/>
                  </w:divBdr>
                  <w:divsChild>
                    <w:div w:id="1876694348">
                      <w:marLeft w:val="0"/>
                      <w:marRight w:val="0"/>
                      <w:marTop w:val="0"/>
                      <w:marBottom w:val="0"/>
                      <w:divBdr>
                        <w:top w:val="none" w:sz="0" w:space="0" w:color="auto"/>
                        <w:left w:val="none" w:sz="0" w:space="0" w:color="auto"/>
                        <w:bottom w:val="none" w:sz="0" w:space="0" w:color="auto"/>
                        <w:right w:val="none" w:sz="0" w:space="0" w:color="auto"/>
                      </w:divBdr>
                      <w:divsChild>
                        <w:div w:id="1040087515">
                          <w:marLeft w:val="0"/>
                          <w:marRight w:val="0"/>
                          <w:marTop w:val="0"/>
                          <w:marBottom w:val="0"/>
                          <w:divBdr>
                            <w:top w:val="none" w:sz="0" w:space="0" w:color="auto"/>
                            <w:left w:val="none" w:sz="0" w:space="0" w:color="auto"/>
                            <w:bottom w:val="none" w:sz="0" w:space="0" w:color="auto"/>
                            <w:right w:val="none" w:sz="0" w:space="0" w:color="auto"/>
                          </w:divBdr>
                        </w:div>
                        <w:div w:id="20053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7753">
                  <w:marLeft w:val="0"/>
                  <w:marRight w:val="0"/>
                  <w:marTop w:val="0"/>
                  <w:marBottom w:val="0"/>
                  <w:divBdr>
                    <w:top w:val="none" w:sz="0" w:space="0" w:color="auto"/>
                    <w:left w:val="none" w:sz="0" w:space="0" w:color="auto"/>
                    <w:bottom w:val="none" w:sz="0" w:space="0" w:color="auto"/>
                    <w:right w:val="none" w:sz="0" w:space="0" w:color="auto"/>
                  </w:divBdr>
                  <w:divsChild>
                    <w:div w:id="1755005098">
                      <w:marLeft w:val="0"/>
                      <w:marRight w:val="0"/>
                      <w:marTop w:val="0"/>
                      <w:marBottom w:val="0"/>
                      <w:divBdr>
                        <w:top w:val="none" w:sz="0" w:space="0" w:color="auto"/>
                        <w:left w:val="none" w:sz="0" w:space="0" w:color="auto"/>
                        <w:bottom w:val="none" w:sz="0" w:space="0" w:color="auto"/>
                        <w:right w:val="none" w:sz="0" w:space="0" w:color="auto"/>
                      </w:divBdr>
                      <w:divsChild>
                        <w:div w:id="939801173">
                          <w:marLeft w:val="0"/>
                          <w:marRight w:val="0"/>
                          <w:marTop w:val="0"/>
                          <w:marBottom w:val="0"/>
                          <w:divBdr>
                            <w:top w:val="none" w:sz="0" w:space="0" w:color="auto"/>
                            <w:left w:val="none" w:sz="0" w:space="0" w:color="auto"/>
                            <w:bottom w:val="none" w:sz="0" w:space="0" w:color="auto"/>
                            <w:right w:val="none" w:sz="0" w:space="0" w:color="auto"/>
                          </w:divBdr>
                        </w:div>
                      </w:divsChild>
                    </w:div>
                    <w:div w:id="2037847236">
                      <w:marLeft w:val="0"/>
                      <w:marRight w:val="0"/>
                      <w:marTop w:val="0"/>
                      <w:marBottom w:val="0"/>
                      <w:divBdr>
                        <w:top w:val="none" w:sz="0" w:space="0" w:color="auto"/>
                        <w:left w:val="none" w:sz="0" w:space="0" w:color="auto"/>
                        <w:bottom w:val="none" w:sz="0" w:space="0" w:color="auto"/>
                        <w:right w:val="none" w:sz="0" w:space="0" w:color="auto"/>
                      </w:divBdr>
                      <w:divsChild>
                        <w:div w:id="12828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276">
                  <w:marLeft w:val="0"/>
                  <w:marRight w:val="0"/>
                  <w:marTop w:val="0"/>
                  <w:marBottom w:val="0"/>
                  <w:divBdr>
                    <w:top w:val="none" w:sz="0" w:space="0" w:color="auto"/>
                    <w:left w:val="none" w:sz="0" w:space="0" w:color="auto"/>
                    <w:bottom w:val="none" w:sz="0" w:space="0" w:color="auto"/>
                    <w:right w:val="none" w:sz="0" w:space="0" w:color="auto"/>
                  </w:divBdr>
                  <w:divsChild>
                    <w:div w:id="330566345">
                      <w:marLeft w:val="0"/>
                      <w:marRight w:val="0"/>
                      <w:marTop w:val="0"/>
                      <w:marBottom w:val="0"/>
                      <w:divBdr>
                        <w:top w:val="none" w:sz="0" w:space="0" w:color="auto"/>
                        <w:left w:val="none" w:sz="0" w:space="0" w:color="auto"/>
                        <w:bottom w:val="none" w:sz="0" w:space="0" w:color="auto"/>
                        <w:right w:val="none" w:sz="0" w:space="0" w:color="auto"/>
                      </w:divBdr>
                      <w:divsChild>
                        <w:div w:id="2036467686">
                          <w:marLeft w:val="0"/>
                          <w:marRight w:val="0"/>
                          <w:marTop w:val="0"/>
                          <w:marBottom w:val="0"/>
                          <w:divBdr>
                            <w:top w:val="none" w:sz="0" w:space="0" w:color="auto"/>
                            <w:left w:val="none" w:sz="0" w:space="0" w:color="auto"/>
                            <w:bottom w:val="none" w:sz="0" w:space="0" w:color="auto"/>
                            <w:right w:val="none" w:sz="0" w:space="0" w:color="auto"/>
                          </w:divBdr>
                          <w:divsChild>
                            <w:div w:id="7640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37736">
              <w:marLeft w:val="0"/>
              <w:marRight w:val="0"/>
              <w:marTop w:val="0"/>
              <w:marBottom w:val="0"/>
              <w:divBdr>
                <w:top w:val="none" w:sz="0" w:space="0" w:color="auto"/>
                <w:left w:val="none" w:sz="0" w:space="0" w:color="auto"/>
                <w:bottom w:val="none" w:sz="0" w:space="0" w:color="auto"/>
                <w:right w:val="none" w:sz="0" w:space="0" w:color="auto"/>
              </w:divBdr>
              <w:divsChild>
                <w:div w:id="1047223219">
                  <w:marLeft w:val="0"/>
                  <w:marRight w:val="0"/>
                  <w:marTop w:val="0"/>
                  <w:marBottom w:val="0"/>
                  <w:divBdr>
                    <w:top w:val="none" w:sz="0" w:space="0" w:color="auto"/>
                    <w:left w:val="none" w:sz="0" w:space="0" w:color="auto"/>
                    <w:bottom w:val="none" w:sz="0" w:space="0" w:color="auto"/>
                    <w:right w:val="none" w:sz="0" w:space="0" w:color="auto"/>
                  </w:divBdr>
                  <w:divsChild>
                    <w:div w:id="1358386033">
                      <w:marLeft w:val="0"/>
                      <w:marRight w:val="0"/>
                      <w:marTop w:val="0"/>
                      <w:marBottom w:val="0"/>
                      <w:divBdr>
                        <w:top w:val="none" w:sz="0" w:space="0" w:color="auto"/>
                        <w:left w:val="none" w:sz="0" w:space="0" w:color="auto"/>
                        <w:bottom w:val="none" w:sz="0" w:space="0" w:color="auto"/>
                        <w:right w:val="none" w:sz="0" w:space="0" w:color="auto"/>
                      </w:divBdr>
                      <w:divsChild>
                        <w:div w:id="12779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7268">
                  <w:marLeft w:val="0"/>
                  <w:marRight w:val="0"/>
                  <w:marTop w:val="0"/>
                  <w:marBottom w:val="0"/>
                  <w:divBdr>
                    <w:top w:val="none" w:sz="0" w:space="0" w:color="auto"/>
                    <w:left w:val="none" w:sz="0" w:space="0" w:color="auto"/>
                    <w:bottom w:val="none" w:sz="0" w:space="0" w:color="auto"/>
                    <w:right w:val="none" w:sz="0" w:space="0" w:color="auto"/>
                  </w:divBdr>
                  <w:divsChild>
                    <w:div w:id="896360263">
                      <w:marLeft w:val="0"/>
                      <w:marRight w:val="0"/>
                      <w:marTop w:val="0"/>
                      <w:marBottom w:val="0"/>
                      <w:divBdr>
                        <w:top w:val="none" w:sz="0" w:space="0" w:color="auto"/>
                        <w:left w:val="none" w:sz="0" w:space="0" w:color="auto"/>
                        <w:bottom w:val="none" w:sz="0" w:space="0" w:color="auto"/>
                        <w:right w:val="none" w:sz="0" w:space="0" w:color="auto"/>
                      </w:divBdr>
                      <w:divsChild>
                        <w:div w:id="20983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08574">
      <w:bodyDiv w:val="1"/>
      <w:marLeft w:val="0"/>
      <w:marRight w:val="0"/>
      <w:marTop w:val="0"/>
      <w:marBottom w:val="0"/>
      <w:divBdr>
        <w:top w:val="none" w:sz="0" w:space="0" w:color="auto"/>
        <w:left w:val="none" w:sz="0" w:space="0" w:color="auto"/>
        <w:bottom w:val="none" w:sz="0" w:space="0" w:color="auto"/>
        <w:right w:val="none" w:sz="0" w:space="0" w:color="auto"/>
      </w:divBdr>
    </w:div>
    <w:div w:id="1154420301">
      <w:bodyDiv w:val="1"/>
      <w:marLeft w:val="0"/>
      <w:marRight w:val="0"/>
      <w:marTop w:val="0"/>
      <w:marBottom w:val="0"/>
      <w:divBdr>
        <w:top w:val="none" w:sz="0" w:space="0" w:color="auto"/>
        <w:left w:val="none" w:sz="0" w:space="0" w:color="auto"/>
        <w:bottom w:val="none" w:sz="0" w:space="0" w:color="auto"/>
        <w:right w:val="none" w:sz="0" w:space="0" w:color="auto"/>
      </w:divBdr>
      <w:divsChild>
        <w:div w:id="1323393002">
          <w:marLeft w:val="0"/>
          <w:marRight w:val="0"/>
          <w:marTop w:val="0"/>
          <w:marBottom w:val="0"/>
          <w:divBdr>
            <w:top w:val="none" w:sz="0" w:space="0" w:color="auto"/>
            <w:left w:val="none" w:sz="0" w:space="0" w:color="auto"/>
            <w:bottom w:val="none" w:sz="0" w:space="0" w:color="auto"/>
            <w:right w:val="none" w:sz="0" w:space="0" w:color="auto"/>
          </w:divBdr>
          <w:divsChild>
            <w:div w:id="358822460">
              <w:marLeft w:val="0"/>
              <w:marRight w:val="0"/>
              <w:marTop w:val="0"/>
              <w:marBottom w:val="0"/>
              <w:divBdr>
                <w:top w:val="none" w:sz="0" w:space="0" w:color="auto"/>
                <w:left w:val="none" w:sz="0" w:space="0" w:color="auto"/>
                <w:bottom w:val="none" w:sz="0" w:space="0" w:color="auto"/>
                <w:right w:val="none" w:sz="0" w:space="0" w:color="auto"/>
              </w:divBdr>
              <w:divsChild>
                <w:div w:id="5604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6935">
      <w:bodyDiv w:val="1"/>
      <w:marLeft w:val="0"/>
      <w:marRight w:val="0"/>
      <w:marTop w:val="0"/>
      <w:marBottom w:val="0"/>
      <w:divBdr>
        <w:top w:val="none" w:sz="0" w:space="0" w:color="auto"/>
        <w:left w:val="none" w:sz="0" w:space="0" w:color="auto"/>
        <w:bottom w:val="none" w:sz="0" w:space="0" w:color="auto"/>
        <w:right w:val="none" w:sz="0" w:space="0" w:color="auto"/>
      </w:divBdr>
    </w:div>
    <w:div w:id="1164661437">
      <w:bodyDiv w:val="1"/>
      <w:marLeft w:val="0"/>
      <w:marRight w:val="0"/>
      <w:marTop w:val="0"/>
      <w:marBottom w:val="0"/>
      <w:divBdr>
        <w:top w:val="none" w:sz="0" w:space="0" w:color="auto"/>
        <w:left w:val="none" w:sz="0" w:space="0" w:color="auto"/>
        <w:bottom w:val="none" w:sz="0" w:space="0" w:color="auto"/>
        <w:right w:val="none" w:sz="0" w:space="0" w:color="auto"/>
      </w:divBdr>
    </w:div>
    <w:div w:id="1164664837">
      <w:bodyDiv w:val="1"/>
      <w:marLeft w:val="0"/>
      <w:marRight w:val="0"/>
      <w:marTop w:val="0"/>
      <w:marBottom w:val="0"/>
      <w:divBdr>
        <w:top w:val="none" w:sz="0" w:space="0" w:color="auto"/>
        <w:left w:val="none" w:sz="0" w:space="0" w:color="auto"/>
        <w:bottom w:val="none" w:sz="0" w:space="0" w:color="auto"/>
        <w:right w:val="none" w:sz="0" w:space="0" w:color="auto"/>
      </w:divBdr>
    </w:div>
    <w:div w:id="1164858799">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5536709">
      <w:bodyDiv w:val="1"/>
      <w:marLeft w:val="0"/>
      <w:marRight w:val="0"/>
      <w:marTop w:val="0"/>
      <w:marBottom w:val="0"/>
      <w:divBdr>
        <w:top w:val="none" w:sz="0" w:space="0" w:color="auto"/>
        <w:left w:val="none" w:sz="0" w:space="0" w:color="auto"/>
        <w:bottom w:val="none" w:sz="0" w:space="0" w:color="auto"/>
        <w:right w:val="none" w:sz="0" w:space="0" w:color="auto"/>
      </w:divBdr>
    </w:div>
    <w:div w:id="1182552565">
      <w:bodyDiv w:val="1"/>
      <w:marLeft w:val="0"/>
      <w:marRight w:val="0"/>
      <w:marTop w:val="0"/>
      <w:marBottom w:val="0"/>
      <w:divBdr>
        <w:top w:val="none" w:sz="0" w:space="0" w:color="auto"/>
        <w:left w:val="none" w:sz="0" w:space="0" w:color="auto"/>
        <w:bottom w:val="none" w:sz="0" w:space="0" w:color="auto"/>
        <w:right w:val="none" w:sz="0" w:space="0" w:color="auto"/>
      </w:divBdr>
      <w:divsChild>
        <w:div w:id="397823537">
          <w:marLeft w:val="0"/>
          <w:marRight w:val="0"/>
          <w:marTop w:val="0"/>
          <w:marBottom w:val="0"/>
          <w:divBdr>
            <w:top w:val="none" w:sz="0" w:space="0" w:color="auto"/>
            <w:left w:val="none" w:sz="0" w:space="0" w:color="auto"/>
            <w:bottom w:val="none" w:sz="0" w:space="0" w:color="auto"/>
            <w:right w:val="none" w:sz="0" w:space="0" w:color="auto"/>
          </w:divBdr>
          <w:divsChild>
            <w:div w:id="2035301030">
              <w:marLeft w:val="0"/>
              <w:marRight w:val="0"/>
              <w:marTop w:val="0"/>
              <w:marBottom w:val="0"/>
              <w:divBdr>
                <w:top w:val="none" w:sz="0" w:space="0" w:color="auto"/>
                <w:left w:val="none" w:sz="0" w:space="0" w:color="auto"/>
                <w:bottom w:val="none" w:sz="0" w:space="0" w:color="auto"/>
                <w:right w:val="none" w:sz="0" w:space="0" w:color="auto"/>
              </w:divBdr>
              <w:divsChild>
                <w:div w:id="17133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1907">
      <w:bodyDiv w:val="1"/>
      <w:marLeft w:val="0"/>
      <w:marRight w:val="0"/>
      <w:marTop w:val="0"/>
      <w:marBottom w:val="0"/>
      <w:divBdr>
        <w:top w:val="none" w:sz="0" w:space="0" w:color="auto"/>
        <w:left w:val="none" w:sz="0" w:space="0" w:color="auto"/>
        <w:bottom w:val="none" w:sz="0" w:space="0" w:color="auto"/>
        <w:right w:val="none" w:sz="0" w:space="0" w:color="auto"/>
      </w:divBdr>
    </w:div>
    <w:div w:id="1190219165">
      <w:bodyDiv w:val="1"/>
      <w:marLeft w:val="0"/>
      <w:marRight w:val="0"/>
      <w:marTop w:val="0"/>
      <w:marBottom w:val="0"/>
      <w:divBdr>
        <w:top w:val="none" w:sz="0" w:space="0" w:color="auto"/>
        <w:left w:val="none" w:sz="0" w:space="0" w:color="auto"/>
        <w:bottom w:val="none" w:sz="0" w:space="0" w:color="auto"/>
        <w:right w:val="none" w:sz="0" w:space="0" w:color="auto"/>
      </w:divBdr>
      <w:divsChild>
        <w:div w:id="150752003">
          <w:marLeft w:val="0"/>
          <w:marRight w:val="0"/>
          <w:marTop w:val="0"/>
          <w:marBottom w:val="0"/>
          <w:divBdr>
            <w:top w:val="none" w:sz="0" w:space="0" w:color="auto"/>
            <w:left w:val="none" w:sz="0" w:space="0" w:color="auto"/>
            <w:bottom w:val="none" w:sz="0" w:space="0" w:color="auto"/>
            <w:right w:val="none" w:sz="0" w:space="0" w:color="auto"/>
          </w:divBdr>
          <w:divsChild>
            <w:div w:id="571505372">
              <w:marLeft w:val="0"/>
              <w:marRight w:val="0"/>
              <w:marTop w:val="0"/>
              <w:marBottom w:val="0"/>
              <w:divBdr>
                <w:top w:val="none" w:sz="0" w:space="0" w:color="auto"/>
                <w:left w:val="none" w:sz="0" w:space="0" w:color="auto"/>
                <w:bottom w:val="none" w:sz="0" w:space="0" w:color="auto"/>
                <w:right w:val="none" w:sz="0" w:space="0" w:color="auto"/>
              </w:divBdr>
              <w:divsChild>
                <w:div w:id="1025595222">
                  <w:marLeft w:val="0"/>
                  <w:marRight w:val="0"/>
                  <w:marTop w:val="0"/>
                  <w:marBottom w:val="0"/>
                  <w:divBdr>
                    <w:top w:val="none" w:sz="0" w:space="0" w:color="auto"/>
                    <w:left w:val="none" w:sz="0" w:space="0" w:color="auto"/>
                    <w:bottom w:val="none" w:sz="0" w:space="0" w:color="auto"/>
                    <w:right w:val="none" w:sz="0" w:space="0" w:color="auto"/>
                  </w:divBdr>
                  <w:divsChild>
                    <w:div w:id="14986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7152">
      <w:bodyDiv w:val="1"/>
      <w:marLeft w:val="0"/>
      <w:marRight w:val="0"/>
      <w:marTop w:val="0"/>
      <w:marBottom w:val="0"/>
      <w:divBdr>
        <w:top w:val="none" w:sz="0" w:space="0" w:color="auto"/>
        <w:left w:val="none" w:sz="0" w:space="0" w:color="auto"/>
        <w:bottom w:val="none" w:sz="0" w:space="0" w:color="auto"/>
        <w:right w:val="none" w:sz="0" w:space="0" w:color="auto"/>
      </w:divBdr>
      <w:divsChild>
        <w:div w:id="193076011">
          <w:marLeft w:val="0"/>
          <w:marRight w:val="0"/>
          <w:marTop w:val="0"/>
          <w:marBottom w:val="0"/>
          <w:divBdr>
            <w:top w:val="none" w:sz="0" w:space="0" w:color="auto"/>
            <w:left w:val="none" w:sz="0" w:space="0" w:color="auto"/>
            <w:bottom w:val="none" w:sz="0" w:space="0" w:color="auto"/>
            <w:right w:val="none" w:sz="0" w:space="0" w:color="auto"/>
          </w:divBdr>
          <w:divsChild>
            <w:div w:id="1172329211">
              <w:marLeft w:val="0"/>
              <w:marRight w:val="0"/>
              <w:marTop w:val="0"/>
              <w:marBottom w:val="0"/>
              <w:divBdr>
                <w:top w:val="none" w:sz="0" w:space="0" w:color="auto"/>
                <w:left w:val="none" w:sz="0" w:space="0" w:color="auto"/>
                <w:bottom w:val="none" w:sz="0" w:space="0" w:color="auto"/>
                <w:right w:val="none" w:sz="0" w:space="0" w:color="auto"/>
              </w:divBdr>
              <w:divsChild>
                <w:div w:id="1777168624">
                  <w:marLeft w:val="0"/>
                  <w:marRight w:val="0"/>
                  <w:marTop w:val="0"/>
                  <w:marBottom w:val="0"/>
                  <w:divBdr>
                    <w:top w:val="none" w:sz="0" w:space="0" w:color="auto"/>
                    <w:left w:val="none" w:sz="0" w:space="0" w:color="auto"/>
                    <w:bottom w:val="none" w:sz="0" w:space="0" w:color="auto"/>
                    <w:right w:val="none" w:sz="0" w:space="0" w:color="auto"/>
                  </w:divBdr>
                  <w:divsChild>
                    <w:div w:id="18552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08329">
      <w:bodyDiv w:val="1"/>
      <w:marLeft w:val="0"/>
      <w:marRight w:val="0"/>
      <w:marTop w:val="0"/>
      <w:marBottom w:val="0"/>
      <w:divBdr>
        <w:top w:val="none" w:sz="0" w:space="0" w:color="auto"/>
        <w:left w:val="none" w:sz="0" w:space="0" w:color="auto"/>
        <w:bottom w:val="none" w:sz="0" w:space="0" w:color="auto"/>
        <w:right w:val="none" w:sz="0" w:space="0" w:color="auto"/>
      </w:divBdr>
      <w:divsChild>
        <w:div w:id="856114444">
          <w:marLeft w:val="0"/>
          <w:marRight w:val="0"/>
          <w:marTop w:val="0"/>
          <w:marBottom w:val="0"/>
          <w:divBdr>
            <w:top w:val="none" w:sz="0" w:space="0" w:color="auto"/>
            <w:left w:val="none" w:sz="0" w:space="0" w:color="auto"/>
            <w:bottom w:val="none" w:sz="0" w:space="0" w:color="auto"/>
            <w:right w:val="none" w:sz="0" w:space="0" w:color="auto"/>
          </w:divBdr>
          <w:divsChild>
            <w:div w:id="285896403">
              <w:marLeft w:val="0"/>
              <w:marRight w:val="0"/>
              <w:marTop w:val="0"/>
              <w:marBottom w:val="0"/>
              <w:divBdr>
                <w:top w:val="none" w:sz="0" w:space="0" w:color="auto"/>
                <w:left w:val="none" w:sz="0" w:space="0" w:color="auto"/>
                <w:bottom w:val="none" w:sz="0" w:space="0" w:color="auto"/>
                <w:right w:val="none" w:sz="0" w:space="0" w:color="auto"/>
              </w:divBdr>
            </w:div>
            <w:div w:id="502161917">
              <w:marLeft w:val="0"/>
              <w:marRight w:val="0"/>
              <w:marTop w:val="0"/>
              <w:marBottom w:val="0"/>
              <w:divBdr>
                <w:top w:val="none" w:sz="0" w:space="0" w:color="auto"/>
                <w:left w:val="none" w:sz="0" w:space="0" w:color="auto"/>
                <w:bottom w:val="none" w:sz="0" w:space="0" w:color="auto"/>
                <w:right w:val="none" w:sz="0" w:space="0" w:color="auto"/>
              </w:divBdr>
            </w:div>
            <w:div w:id="586692454">
              <w:marLeft w:val="0"/>
              <w:marRight w:val="0"/>
              <w:marTop w:val="0"/>
              <w:marBottom w:val="0"/>
              <w:divBdr>
                <w:top w:val="none" w:sz="0" w:space="0" w:color="auto"/>
                <w:left w:val="none" w:sz="0" w:space="0" w:color="auto"/>
                <w:bottom w:val="none" w:sz="0" w:space="0" w:color="auto"/>
                <w:right w:val="none" w:sz="0" w:space="0" w:color="auto"/>
              </w:divBdr>
            </w:div>
            <w:div w:id="656350525">
              <w:marLeft w:val="0"/>
              <w:marRight w:val="0"/>
              <w:marTop w:val="0"/>
              <w:marBottom w:val="0"/>
              <w:divBdr>
                <w:top w:val="none" w:sz="0" w:space="0" w:color="auto"/>
                <w:left w:val="none" w:sz="0" w:space="0" w:color="auto"/>
                <w:bottom w:val="none" w:sz="0" w:space="0" w:color="auto"/>
                <w:right w:val="none" w:sz="0" w:space="0" w:color="auto"/>
              </w:divBdr>
            </w:div>
            <w:div w:id="753747707">
              <w:marLeft w:val="0"/>
              <w:marRight w:val="0"/>
              <w:marTop w:val="0"/>
              <w:marBottom w:val="0"/>
              <w:divBdr>
                <w:top w:val="none" w:sz="0" w:space="0" w:color="auto"/>
                <w:left w:val="none" w:sz="0" w:space="0" w:color="auto"/>
                <w:bottom w:val="none" w:sz="0" w:space="0" w:color="auto"/>
                <w:right w:val="none" w:sz="0" w:space="0" w:color="auto"/>
              </w:divBdr>
            </w:div>
            <w:div w:id="904217678">
              <w:marLeft w:val="0"/>
              <w:marRight w:val="0"/>
              <w:marTop w:val="0"/>
              <w:marBottom w:val="0"/>
              <w:divBdr>
                <w:top w:val="none" w:sz="0" w:space="0" w:color="auto"/>
                <w:left w:val="none" w:sz="0" w:space="0" w:color="auto"/>
                <w:bottom w:val="none" w:sz="0" w:space="0" w:color="auto"/>
                <w:right w:val="none" w:sz="0" w:space="0" w:color="auto"/>
              </w:divBdr>
            </w:div>
            <w:div w:id="1118061434">
              <w:marLeft w:val="0"/>
              <w:marRight w:val="0"/>
              <w:marTop w:val="0"/>
              <w:marBottom w:val="0"/>
              <w:divBdr>
                <w:top w:val="none" w:sz="0" w:space="0" w:color="auto"/>
                <w:left w:val="none" w:sz="0" w:space="0" w:color="auto"/>
                <w:bottom w:val="none" w:sz="0" w:space="0" w:color="auto"/>
                <w:right w:val="none" w:sz="0" w:space="0" w:color="auto"/>
              </w:divBdr>
            </w:div>
            <w:div w:id="1134522597">
              <w:marLeft w:val="0"/>
              <w:marRight w:val="0"/>
              <w:marTop w:val="0"/>
              <w:marBottom w:val="0"/>
              <w:divBdr>
                <w:top w:val="none" w:sz="0" w:space="0" w:color="auto"/>
                <w:left w:val="none" w:sz="0" w:space="0" w:color="auto"/>
                <w:bottom w:val="none" w:sz="0" w:space="0" w:color="auto"/>
                <w:right w:val="none" w:sz="0" w:space="0" w:color="auto"/>
              </w:divBdr>
            </w:div>
            <w:div w:id="1479300151">
              <w:marLeft w:val="0"/>
              <w:marRight w:val="0"/>
              <w:marTop w:val="0"/>
              <w:marBottom w:val="0"/>
              <w:divBdr>
                <w:top w:val="none" w:sz="0" w:space="0" w:color="auto"/>
                <w:left w:val="none" w:sz="0" w:space="0" w:color="auto"/>
                <w:bottom w:val="none" w:sz="0" w:space="0" w:color="auto"/>
                <w:right w:val="none" w:sz="0" w:space="0" w:color="auto"/>
              </w:divBdr>
            </w:div>
            <w:div w:id="1482889896">
              <w:marLeft w:val="0"/>
              <w:marRight w:val="0"/>
              <w:marTop w:val="0"/>
              <w:marBottom w:val="0"/>
              <w:divBdr>
                <w:top w:val="none" w:sz="0" w:space="0" w:color="auto"/>
                <w:left w:val="none" w:sz="0" w:space="0" w:color="auto"/>
                <w:bottom w:val="none" w:sz="0" w:space="0" w:color="auto"/>
                <w:right w:val="none" w:sz="0" w:space="0" w:color="auto"/>
              </w:divBdr>
            </w:div>
            <w:div w:id="1638801662">
              <w:marLeft w:val="0"/>
              <w:marRight w:val="0"/>
              <w:marTop w:val="0"/>
              <w:marBottom w:val="0"/>
              <w:divBdr>
                <w:top w:val="none" w:sz="0" w:space="0" w:color="auto"/>
                <w:left w:val="none" w:sz="0" w:space="0" w:color="auto"/>
                <w:bottom w:val="none" w:sz="0" w:space="0" w:color="auto"/>
                <w:right w:val="none" w:sz="0" w:space="0" w:color="auto"/>
              </w:divBdr>
            </w:div>
            <w:div w:id="1676032893">
              <w:marLeft w:val="0"/>
              <w:marRight w:val="0"/>
              <w:marTop w:val="0"/>
              <w:marBottom w:val="0"/>
              <w:divBdr>
                <w:top w:val="none" w:sz="0" w:space="0" w:color="auto"/>
                <w:left w:val="none" w:sz="0" w:space="0" w:color="auto"/>
                <w:bottom w:val="none" w:sz="0" w:space="0" w:color="auto"/>
                <w:right w:val="none" w:sz="0" w:space="0" w:color="auto"/>
              </w:divBdr>
            </w:div>
            <w:div w:id="1924102509">
              <w:marLeft w:val="0"/>
              <w:marRight w:val="0"/>
              <w:marTop w:val="0"/>
              <w:marBottom w:val="0"/>
              <w:divBdr>
                <w:top w:val="none" w:sz="0" w:space="0" w:color="auto"/>
                <w:left w:val="none" w:sz="0" w:space="0" w:color="auto"/>
                <w:bottom w:val="none" w:sz="0" w:space="0" w:color="auto"/>
                <w:right w:val="none" w:sz="0" w:space="0" w:color="auto"/>
              </w:divBdr>
            </w:div>
            <w:div w:id="1971781761">
              <w:marLeft w:val="0"/>
              <w:marRight w:val="0"/>
              <w:marTop w:val="0"/>
              <w:marBottom w:val="0"/>
              <w:divBdr>
                <w:top w:val="none" w:sz="0" w:space="0" w:color="auto"/>
                <w:left w:val="none" w:sz="0" w:space="0" w:color="auto"/>
                <w:bottom w:val="none" w:sz="0" w:space="0" w:color="auto"/>
                <w:right w:val="none" w:sz="0" w:space="0" w:color="auto"/>
              </w:divBdr>
            </w:div>
          </w:divsChild>
        </w:div>
        <w:div w:id="1016879676">
          <w:marLeft w:val="0"/>
          <w:marRight w:val="0"/>
          <w:marTop w:val="0"/>
          <w:marBottom w:val="0"/>
          <w:divBdr>
            <w:top w:val="none" w:sz="0" w:space="0" w:color="auto"/>
            <w:left w:val="none" w:sz="0" w:space="0" w:color="auto"/>
            <w:bottom w:val="none" w:sz="0" w:space="0" w:color="auto"/>
            <w:right w:val="none" w:sz="0" w:space="0" w:color="auto"/>
          </w:divBdr>
          <w:divsChild>
            <w:div w:id="72162223">
              <w:marLeft w:val="0"/>
              <w:marRight w:val="0"/>
              <w:marTop w:val="0"/>
              <w:marBottom w:val="0"/>
              <w:divBdr>
                <w:top w:val="none" w:sz="0" w:space="0" w:color="auto"/>
                <w:left w:val="none" w:sz="0" w:space="0" w:color="auto"/>
                <w:bottom w:val="none" w:sz="0" w:space="0" w:color="auto"/>
                <w:right w:val="none" w:sz="0" w:space="0" w:color="auto"/>
              </w:divBdr>
            </w:div>
            <w:div w:id="124012539">
              <w:marLeft w:val="0"/>
              <w:marRight w:val="0"/>
              <w:marTop w:val="0"/>
              <w:marBottom w:val="0"/>
              <w:divBdr>
                <w:top w:val="none" w:sz="0" w:space="0" w:color="auto"/>
                <w:left w:val="none" w:sz="0" w:space="0" w:color="auto"/>
                <w:bottom w:val="none" w:sz="0" w:space="0" w:color="auto"/>
                <w:right w:val="none" w:sz="0" w:space="0" w:color="auto"/>
              </w:divBdr>
            </w:div>
            <w:div w:id="192883489">
              <w:marLeft w:val="0"/>
              <w:marRight w:val="0"/>
              <w:marTop w:val="0"/>
              <w:marBottom w:val="0"/>
              <w:divBdr>
                <w:top w:val="none" w:sz="0" w:space="0" w:color="auto"/>
                <w:left w:val="none" w:sz="0" w:space="0" w:color="auto"/>
                <w:bottom w:val="none" w:sz="0" w:space="0" w:color="auto"/>
                <w:right w:val="none" w:sz="0" w:space="0" w:color="auto"/>
              </w:divBdr>
            </w:div>
            <w:div w:id="251282879">
              <w:marLeft w:val="0"/>
              <w:marRight w:val="0"/>
              <w:marTop w:val="0"/>
              <w:marBottom w:val="0"/>
              <w:divBdr>
                <w:top w:val="none" w:sz="0" w:space="0" w:color="auto"/>
                <w:left w:val="none" w:sz="0" w:space="0" w:color="auto"/>
                <w:bottom w:val="none" w:sz="0" w:space="0" w:color="auto"/>
                <w:right w:val="none" w:sz="0" w:space="0" w:color="auto"/>
              </w:divBdr>
            </w:div>
            <w:div w:id="401948728">
              <w:marLeft w:val="0"/>
              <w:marRight w:val="0"/>
              <w:marTop w:val="0"/>
              <w:marBottom w:val="0"/>
              <w:divBdr>
                <w:top w:val="none" w:sz="0" w:space="0" w:color="auto"/>
                <w:left w:val="none" w:sz="0" w:space="0" w:color="auto"/>
                <w:bottom w:val="none" w:sz="0" w:space="0" w:color="auto"/>
                <w:right w:val="none" w:sz="0" w:space="0" w:color="auto"/>
              </w:divBdr>
            </w:div>
            <w:div w:id="990866882">
              <w:marLeft w:val="0"/>
              <w:marRight w:val="0"/>
              <w:marTop w:val="0"/>
              <w:marBottom w:val="0"/>
              <w:divBdr>
                <w:top w:val="none" w:sz="0" w:space="0" w:color="auto"/>
                <w:left w:val="none" w:sz="0" w:space="0" w:color="auto"/>
                <w:bottom w:val="none" w:sz="0" w:space="0" w:color="auto"/>
                <w:right w:val="none" w:sz="0" w:space="0" w:color="auto"/>
              </w:divBdr>
            </w:div>
            <w:div w:id="1205412967">
              <w:marLeft w:val="0"/>
              <w:marRight w:val="0"/>
              <w:marTop w:val="0"/>
              <w:marBottom w:val="0"/>
              <w:divBdr>
                <w:top w:val="none" w:sz="0" w:space="0" w:color="auto"/>
                <w:left w:val="none" w:sz="0" w:space="0" w:color="auto"/>
                <w:bottom w:val="none" w:sz="0" w:space="0" w:color="auto"/>
                <w:right w:val="none" w:sz="0" w:space="0" w:color="auto"/>
              </w:divBdr>
            </w:div>
            <w:div w:id="1224874185">
              <w:marLeft w:val="0"/>
              <w:marRight w:val="0"/>
              <w:marTop w:val="0"/>
              <w:marBottom w:val="0"/>
              <w:divBdr>
                <w:top w:val="none" w:sz="0" w:space="0" w:color="auto"/>
                <w:left w:val="none" w:sz="0" w:space="0" w:color="auto"/>
                <w:bottom w:val="none" w:sz="0" w:space="0" w:color="auto"/>
                <w:right w:val="none" w:sz="0" w:space="0" w:color="auto"/>
              </w:divBdr>
            </w:div>
            <w:div w:id="1227760521">
              <w:marLeft w:val="0"/>
              <w:marRight w:val="0"/>
              <w:marTop w:val="0"/>
              <w:marBottom w:val="0"/>
              <w:divBdr>
                <w:top w:val="none" w:sz="0" w:space="0" w:color="auto"/>
                <w:left w:val="none" w:sz="0" w:space="0" w:color="auto"/>
                <w:bottom w:val="none" w:sz="0" w:space="0" w:color="auto"/>
                <w:right w:val="none" w:sz="0" w:space="0" w:color="auto"/>
              </w:divBdr>
            </w:div>
            <w:div w:id="1248152020">
              <w:marLeft w:val="0"/>
              <w:marRight w:val="0"/>
              <w:marTop w:val="0"/>
              <w:marBottom w:val="0"/>
              <w:divBdr>
                <w:top w:val="none" w:sz="0" w:space="0" w:color="auto"/>
                <w:left w:val="none" w:sz="0" w:space="0" w:color="auto"/>
                <w:bottom w:val="none" w:sz="0" w:space="0" w:color="auto"/>
                <w:right w:val="none" w:sz="0" w:space="0" w:color="auto"/>
              </w:divBdr>
            </w:div>
            <w:div w:id="1257976135">
              <w:marLeft w:val="0"/>
              <w:marRight w:val="0"/>
              <w:marTop w:val="0"/>
              <w:marBottom w:val="0"/>
              <w:divBdr>
                <w:top w:val="none" w:sz="0" w:space="0" w:color="auto"/>
                <w:left w:val="none" w:sz="0" w:space="0" w:color="auto"/>
                <w:bottom w:val="none" w:sz="0" w:space="0" w:color="auto"/>
                <w:right w:val="none" w:sz="0" w:space="0" w:color="auto"/>
              </w:divBdr>
            </w:div>
            <w:div w:id="1302149858">
              <w:marLeft w:val="0"/>
              <w:marRight w:val="0"/>
              <w:marTop w:val="0"/>
              <w:marBottom w:val="0"/>
              <w:divBdr>
                <w:top w:val="none" w:sz="0" w:space="0" w:color="auto"/>
                <w:left w:val="none" w:sz="0" w:space="0" w:color="auto"/>
                <w:bottom w:val="none" w:sz="0" w:space="0" w:color="auto"/>
                <w:right w:val="none" w:sz="0" w:space="0" w:color="auto"/>
              </w:divBdr>
            </w:div>
            <w:div w:id="1493107601">
              <w:marLeft w:val="0"/>
              <w:marRight w:val="0"/>
              <w:marTop w:val="0"/>
              <w:marBottom w:val="0"/>
              <w:divBdr>
                <w:top w:val="none" w:sz="0" w:space="0" w:color="auto"/>
                <w:left w:val="none" w:sz="0" w:space="0" w:color="auto"/>
                <w:bottom w:val="none" w:sz="0" w:space="0" w:color="auto"/>
                <w:right w:val="none" w:sz="0" w:space="0" w:color="auto"/>
              </w:divBdr>
            </w:div>
            <w:div w:id="1637445405">
              <w:marLeft w:val="0"/>
              <w:marRight w:val="0"/>
              <w:marTop w:val="0"/>
              <w:marBottom w:val="0"/>
              <w:divBdr>
                <w:top w:val="none" w:sz="0" w:space="0" w:color="auto"/>
                <w:left w:val="none" w:sz="0" w:space="0" w:color="auto"/>
                <w:bottom w:val="none" w:sz="0" w:space="0" w:color="auto"/>
                <w:right w:val="none" w:sz="0" w:space="0" w:color="auto"/>
              </w:divBdr>
            </w:div>
            <w:div w:id="1758675842">
              <w:marLeft w:val="0"/>
              <w:marRight w:val="0"/>
              <w:marTop w:val="0"/>
              <w:marBottom w:val="0"/>
              <w:divBdr>
                <w:top w:val="none" w:sz="0" w:space="0" w:color="auto"/>
                <w:left w:val="none" w:sz="0" w:space="0" w:color="auto"/>
                <w:bottom w:val="none" w:sz="0" w:space="0" w:color="auto"/>
                <w:right w:val="none" w:sz="0" w:space="0" w:color="auto"/>
              </w:divBdr>
            </w:div>
            <w:div w:id="1899590109">
              <w:marLeft w:val="0"/>
              <w:marRight w:val="0"/>
              <w:marTop w:val="0"/>
              <w:marBottom w:val="0"/>
              <w:divBdr>
                <w:top w:val="none" w:sz="0" w:space="0" w:color="auto"/>
                <w:left w:val="none" w:sz="0" w:space="0" w:color="auto"/>
                <w:bottom w:val="none" w:sz="0" w:space="0" w:color="auto"/>
                <w:right w:val="none" w:sz="0" w:space="0" w:color="auto"/>
              </w:divBdr>
            </w:div>
            <w:div w:id="21281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1326">
      <w:bodyDiv w:val="1"/>
      <w:marLeft w:val="0"/>
      <w:marRight w:val="0"/>
      <w:marTop w:val="0"/>
      <w:marBottom w:val="0"/>
      <w:divBdr>
        <w:top w:val="none" w:sz="0" w:space="0" w:color="auto"/>
        <w:left w:val="none" w:sz="0" w:space="0" w:color="auto"/>
        <w:bottom w:val="none" w:sz="0" w:space="0" w:color="auto"/>
        <w:right w:val="none" w:sz="0" w:space="0" w:color="auto"/>
      </w:divBdr>
      <w:divsChild>
        <w:div w:id="68888270">
          <w:marLeft w:val="0"/>
          <w:marRight w:val="0"/>
          <w:marTop w:val="0"/>
          <w:marBottom w:val="0"/>
          <w:divBdr>
            <w:top w:val="none" w:sz="0" w:space="0" w:color="auto"/>
            <w:left w:val="none" w:sz="0" w:space="0" w:color="auto"/>
            <w:bottom w:val="none" w:sz="0" w:space="0" w:color="auto"/>
            <w:right w:val="none" w:sz="0" w:space="0" w:color="auto"/>
          </w:divBdr>
          <w:divsChild>
            <w:div w:id="1563104788">
              <w:marLeft w:val="0"/>
              <w:marRight w:val="0"/>
              <w:marTop w:val="0"/>
              <w:marBottom w:val="0"/>
              <w:divBdr>
                <w:top w:val="none" w:sz="0" w:space="0" w:color="auto"/>
                <w:left w:val="none" w:sz="0" w:space="0" w:color="auto"/>
                <w:bottom w:val="none" w:sz="0" w:space="0" w:color="auto"/>
                <w:right w:val="none" w:sz="0" w:space="0" w:color="auto"/>
              </w:divBdr>
              <w:divsChild>
                <w:div w:id="6291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48359">
      <w:bodyDiv w:val="1"/>
      <w:marLeft w:val="0"/>
      <w:marRight w:val="0"/>
      <w:marTop w:val="0"/>
      <w:marBottom w:val="0"/>
      <w:divBdr>
        <w:top w:val="none" w:sz="0" w:space="0" w:color="auto"/>
        <w:left w:val="none" w:sz="0" w:space="0" w:color="auto"/>
        <w:bottom w:val="none" w:sz="0" w:space="0" w:color="auto"/>
        <w:right w:val="none" w:sz="0" w:space="0" w:color="auto"/>
      </w:divBdr>
      <w:divsChild>
        <w:div w:id="774135453">
          <w:marLeft w:val="0"/>
          <w:marRight w:val="0"/>
          <w:marTop w:val="0"/>
          <w:marBottom w:val="0"/>
          <w:divBdr>
            <w:top w:val="none" w:sz="0" w:space="0" w:color="auto"/>
            <w:left w:val="none" w:sz="0" w:space="0" w:color="auto"/>
            <w:bottom w:val="none" w:sz="0" w:space="0" w:color="auto"/>
            <w:right w:val="none" w:sz="0" w:space="0" w:color="auto"/>
          </w:divBdr>
          <w:divsChild>
            <w:div w:id="1123767296">
              <w:marLeft w:val="0"/>
              <w:marRight w:val="0"/>
              <w:marTop w:val="0"/>
              <w:marBottom w:val="0"/>
              <w:divBdr>
                <w:top w:val="none" w:sz="0" w:space="0" w:color="auto"/>
                <w:left w:val="none" w:sz="0" w:space="0" w:color="auto"/>
                <w:bottom w:val="none" w:sz="0" w:space="0" w:color="auto"/>
                <w:right w:val="none" w:sz="0" w:space="0" w:color="auto"/>
              </w:divBdr>
              <w:divsChild>
                <w:div w:id="11556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4293345">
      <w:bodyDiv w:val="1"/>
      <w:marLeft w:val="0"/>
      <w:marRight w:val="0"/>
      <w:marTop w:val="0"/>
      <w:marBottom w:val="0"/>
      <w:divBdr>
        <w:top w:val="none" w:sz="0" w:space="0" w:color="auto"/>
        <w:left w:val="none" w:sz="0" w:space="0" w:color="auto"/>
        <w:bottom w:val="none" w:sz="0" w:space="0" w:color="auto"/>
        <w:right w:val="none" w:sz="0" w:space="0" w:color="auto"/>
      </w:divBdr>
    </w:div>
    <w:div w:id="1226450220">
      <w:bodyDiv w:val="1"/>
      <w:marLeft w:val="0"/>
      <w:marRight w:val="0"/>
      <w:marTop w:val="0"/>
      <w:marBottom w:val="0"/>
      <w:divBdr>
        <w:top w:val="none" w:sz="0" w:space="0" w:color="auto"/>
        <w:left w:val="none" w:sz="0" w:space="0" w:color="auto"/>
        <w:bottom w:val="none" w:sz="0" w:space="0" w:color="auto"/>
        <w:right w:val="none" w:sz="0" w:space="0" w:color="auto"/>
      </w:divBdr>
      <w:divsChild>
        <w:div w:id="1230312568">
          <w:marLeft w:val="0"/>
          <w:marRight w:val="0"/>
          <w:marTop w:val="0"/>
          <w:marBottom w:val="0"/>
          <w:divBdr>
            <w:top w:val="none" w:sz="0" w:space="0" w:color="auto"/>
            <w:left w:val="none" w:sz="0" w:space="0" w:color="auto"/>
            <w:bottom w:val="none" w:sz="0" w:space="0" w:color="auto"/>
            <w:right w:val="none" w:sz="0" w:space="0" w:color="auto"/>
          </w:divBdr>
          <w:divsChild>
            <w:div w:id="418454388">
              <w:marLeft w:val="0"/>
              <w:marRight w:val="0"/>
              <w:marTop w:val="0"/>
              <w:marBottom w:val="0"/>
              <w:divBdr>
                <w:top w:val="none" w:sz="0" w:space="0" w:color="auto"/>
                <w:left w:val="none" w:sz="0" w:space="0" w:color="auto"/>
                <w:bottom w:val="none" w:sz="0" w:space="0" w:color="auto"/>
                <w:right w:val="none" w:sz="0" w:space="0" w:color="auto"/>
              </w:divBdr>
              <w:divsChild>
                <w:div w:id="1026634319">
                  <w:marLeft w:val="0"/>
                  <w:marRight w:val="0"/>
                  <w:marTop w:val="0"/>
                  <w:marBottom w:val="0"/>
                  <w:divBdr>
                    <w:top w:val="none" w:sz="0" w:space="0" w:color="auto"/>
                    <w:left w:val="none" w:sz="0" w:space="0" w:color="auto"/>
                    <w:bottom w:val="none" w:sz="0" w:space="0" w:color="auto"/>
                    <w:right w:val="none" w:sz="0" w:space="0" w:color="auto"/>
                  </w:divBdr>
                  <w:divsChild>
                    <w:div w:id="1018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0657662">
      <w:bodyDiv w:val="1"/>
      <w:marLeft w:val="0"/>
      <w:marRight w:val="0"/>
      <w:marTop w:val="0"/>
      <w:marBottom w:val="0"/>
      <w:divBdr>
        <w:top w:val="none" w:sz="0" w:space="0" w:color="auto"/>
        <w:left w:val="none" w:sz="0" w:space="0" w:color="auto"/>
        <w:bottom w:val="none" w:sz="0" w:space="0" w:color="auto"/>
        <w:right w:val="none" w:sz="0" w:space="0" w:color="auto"/>
      </w:divBdr>
    </w:div>
    <w:div w:id="1232808214">
      <w:bodyDiv w:val="1"/>
      <w:marLeft w:val="0"/>
      <w:marRight w:val="0"/>
      <w:marTop w:val="0"/>
      <w:marBottom w:val="0"/>
      <w:divBdr>
        <w:top w:val="none" w:sz="0" w:space="0" w:color="auto"/>
        <w:left w:val="none" w:sz="0" w:space="0" w:color="auto"/>
        <w:bottom w:val="none" w:sz="0" w:space="0" w:color="auto"/>
        <w:right w:val="none" w:sz="0" w:space="0" w:color="auto"/>
      </w:divBdr>
      <w:divsChild>
        <w:div w:id="332033494">
          <w:marLeft w:val="0"/>
          <w:marRight w:val="0"/>
          <w:marTop w:val="0"/>
          <w:marBottom w:val="0"/>
          <w:divBdr>
            <w:top w:val="none" w:sz="0" w:space="0" w:color="auto"/>
            <w:left w:val="none" w:sz="0" w:space="0" w:color="auto"/>
            <w:bottom w:val="none" w:sz="0" w:space="0" w:color="auto"/>
            <w:right w:val="none" w:sz="0" w:space="0" w:color="auto"/>
          </w:divBdr>
          <w:divsChild>
            <w:div w:id="493297053">
              <w:marLeft w:val="0"/>
              <w:marRight w:val="0"/>
              <w:marTop w:val="0"/>
              <w:marBottom w:val="0"/>
              <w:divBdr>
                <w:top w:val="none" w:sz="0" w:space="0" w:color="auto"/>
                <w:left w:val="none" w:sz="0" w:space="0" w:color="auto"/>
                <w:bottom w:val="none" w:sz="0" w:space="0" w:color="auto"/>
                <w:right w:val="none" w:sz="0" w:space="0" w:color="auto"/>
              </w:divBdr>
              <w:divsChild>
                <w:div w:id="587889577">
                  <w:marLeft w:val="0"/>
                  <w:marRight w:val="0"/>
                  <w:marTop w:val="0"/>
                  <w:marBottom w:val="0"/>
                  <w:divBdr>
                    <w:top w:val="none" w:sz="0" w:space="0" w:color="auto"/>
                    <w:left w:val="none" w:sz="0" w:space="0" w:color="auto"/>
                    <w:bottom w:val="none" w:sz="0" w:space="0" w:color="auto"/>
                    <w:right w:val="none" w:sz="0" w:space="0" w:color="auto"/>
                  </w:divBdr>
                  <w:divsChild>
                    <w:div w:id="344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58299">
      <w:bodyDiv w:val="1"/>
      <w:marLeft w:val="0"/>
      <w:marRight w:val="0"/>
      <w:marTop w:val="0"/>
      <w:marBottom w:val="0"/>
      <w:divBdr>
        <w:top w:val="none" w:sz="0" w:space="0" w:color="auto"/>
        <w:left w:val="none" w:sz="0" w:space="0" w:color="auto"/>
        <w:bottom w:val="none" w:sz="0" w:space="0" w:color="auto"/>
        <w:right w:val="none" w:sz="0" w:space="0" w:color="auto"/>
      </w:divBdr>
    </w:div>
    <w:div w:id="1241215131">
      <w:bodyDiv w:val="1"/>
      <w:marLeft w:val="0"/>
      <w:marRight w:val="0"/>
      <w:marTop w:val="0"/>
      <w:marBottom w:val="0"/>
      <w:divBdr>
        <w:top w:val="none" w:sz="0" w:space="0" w:color="auto"/>
        <w:left w:val="none" w:sz="0" w:space="0" w:color="auto"/>
        <w:bottom w:val="none" w:sz="0" w:space="0" w:color="auto"/>
        <w:right w:val="none" w:sz="0" w:space="0" w:color="auto"/>
      </w:divBdr>
      <w:divsChild>
        <w:div w:id="1343243074">
          <w:marLeft w:val="0"/>
          <w:marRight w:val="0"/>
          <w:marTop w:val="0"/>
          <w:marBottom w:val="0"/>
          <w:divBdr>
            <w:top w:val="none" w:sz="0" w:space="0" w:color="auto"/>
            <w:left w:val="none" w:sz="0" w:space="0" w:color="auto"/>
            <w:bottom w:val="none" w:sz="0" w:space="0" w:color="auto"/>
            <w:right w:val="none" w:sz="0" w:space="0" w:color="auto"/>
          </w:divBdr>
          <w:divsChild>
            <w:div w:id="958682417">
              <w:marLeft w:val="0"/>
              <w:marRight w:val="0"/>
              <w:marTop w:val="0"/>
              <w:marBottom w:val="0"/>
              <w:divBdr>
                <w:top w:val="none" w:sz="0" w:space="0" w:color="auto"/>
                <w:left w:val="none" w:sz="0" w:space="0" w:color="auto"/>
                <w:bottom w:val="none" w:sz="0" w:space="0" w:color="auto"/>
                <w:right w:val="none" w:sz="0" w:space="0" w:color="auto"/>
              </w:divBdr>
              <w:divsChild>
                <w:div w:id="1579972244">
                  <w:marLeft w:val="0"/>
                  <w:marRight w:val="0"/>
                  <w:marTop w:val="0"/>
                  <w:marBottom w:val="0"/>
                  <w:divBdr>
                    <w:top w:val="none" w:sz="0" w:space="0" w:color="auto"/>
                    <w:left w:val="none" w:sz="0" w:space="0" w:color="auto"/>
                    <w:bottom w:val="none" w:sz="0" w:space="0" w:color="auto"/>
                    <w:right w:val="none" w:sz="0" w:space="0" w:color="auto"/>
                  </w:divBdr>
                  <w:divsChild>
                    <w:div w:id="10914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44414487">
      <w:bodyDiv w:val="1"/>
      <w:marLeft w:val="0"/>
      <w:marRight w:val="0"/>
      <w:marTop w:val="0"/>
      <w:marBottom w:val="0"/>
      <w:divBdr>
        <w:top w:val="none" w:sz="0" w:space="0" w:color="auto"/>
        <w:left w:val="none" w:sz="0" w:space="0" w:color="auto"/>
        <w:bottom w:val="none" w:sz="0" w:space="0" w:color="auto"/>
        <w:right w:val="none" w:sz="0" w:space="0" w:color="auto"/>
      </w:divBdr>
      <w:divsChild>
        <w:div w:id="2011518253">
          <w:marLeft w:val="0"/>
          <w:marRight w:val="0"/>
          <w:marTop w:val="0"/>
          <w:marBottom w:val="0"/>
          <w:divBdr>
            <w:top w:val="none" w:sz="0" w:space="0" w:color="auto"/>
            <w:left w:val="none" w:sz="0" w:space="0" w:color="auto"/>
            <w:bottom w:val="none" w:sz="0" w:space="0" w:color="auto"/>
            <w:right w:val="none" w:sz="0" w:space="0" w:color="auto"/>
          </w:divBdr>
          <w:divsChild>
            <w:div w:id="862205912">
              <w:marLeft w:val="0"/>
              <w:marRight w:val="0"/>
              <w:marTop w:val="0"/>
              <w:marBottom w:val="0"/>
              <w:divBdr>
                <w:top w:val="none" w:sz="0" w:space="0" w:color="auto"/>
                <w:left w:val="none" w:sz="0" w:space="0" w:color="auto"/>
                <w:bottom w:val="none" w:sz="0" w:space="0" w:color="auto"/>
                <w:right w:val="none" w:sz="0" w:space="0" w:color="auto"/>
              </w:divBdr>
              <w:divsChild>
                <w:div w:id="9475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8781">
      <w:bodyDiv w:val="1"/>
      <w:marLeft w:val="0"/>
      <w:marRight w:val="0"/>
      <w:marTop w:val="0"/>
      <w:marBottom w:val="0"/>
      <w:divBdr>
        <w:top w:val="none" w:sz="0" w:space="0" w:color="auto"/>
        <w:left w:val="none" w:sz="0" w:space="0" w:color="auto"/>
        <w:bottom w:val="none" w:sz="0" w:space="0" w:color="auto"/>
        <w:right w:val="none" w:sz="0" w:space="0" w:color="auto"/>
      </w:divBdr>
    </w:div>
    <w:div w:id="1254241243">
      <w:bodyDiv w:val="1"/>
      <w:marLeft w:val="0"/>
      <w:marRight w:val="0"/>
      <w:marTop w:val="0"/>
      <w:marBottom w:val="0"/>
      <w:divBdr>
        <w:top w:val="none" w:sz="0" w:space="0" w:color="auto"/>
        <w:left w:val="none" w:sz="0" w:space="0" w:color="auto"/>
        <w:bottom w:val="none" w:sz="0" w:space="0" w:color="auto"/>
        <w:right w:val="none" w:sz="0" w:space="0" w:color="auto"/>
      </w:divBdr>
    </w:div>
    <w:div w:id="1254778025">
      <w:bodyDiv w:val="1"/>
      <w:marLeft w:val="0"/>
      <w:marRight w:val="0"/>
      <w:marTop w:val="0"/>
      <w:marBottom w:val="0"/>
      <w:divBdr>
        <w:top w:val="none" w:sz="0" w:space="0" w:color="auto"/>
        <w:left w:val="none" w:sz="0" w:space="0" w:color="auto"/>
        <w:bottom w:val="none" w:sz="0" w:space="0" w:color="auto"/>
        <w:right w:val="none" w:sz="0" w:space="0" w:color="auto"/>
      </w:divBdr>
      <w:divsChild>
        <w:div w:id="288633561">
          <w:marLeft w:val="0"/>
          <w:marRight w:val="0"/>
          <w:marTop w:val="0"/>
          <w:marBottom w:val="0"/>
          <w:divBdr>
            <w:top w:val="none" w:sz="0" w:space="0" w:color="auto"/>
            <w:left w:val="none" w:sz="0" w:space="0" w:color="auto"/>
            <w:bottom w:val="none" w:sz="0" w:space="0" w:color="auto"/>
            <w:right w:val="none" w:sz="0" w:space="0" w:color="auto"/>
          </w:divBdr>
          <w:divsChild>
            <w:div w:id="918714971">
              <w:marLeft w:val="0"/>
              <w:marRight w:val="0"/>
              <w:marTop w:val="0"/>
              <w:marBottom w:val="0"/>
              <w:divBdr>
                <w:top w:val="none" w:sz="0" w:space="0" w:color="auto"/>
                <w:left w:val="none" w:sz="0" w:space="0" w:color="auto"/>
                <w:bottom w:val="none" w:sz="0" w:space="0" w:color="auto"/>
                <w:right w:val="none" w:sz="0" w:space="0" w:color="auto"/>
              </w:divBdr>
              <w:divsChild>
                <w:div w:id="9993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57592987">
      <w:bodyDiv w:val="1"/>
      <w:marLeft w:val="0"/>
      <w:marRight w:val="0"/>
      <w:marTop w:val="0"/>
      <w:marBottom w:val="0"/>
      <w:divBdr>
        <w:top w:val="none" w:sz="0" w:space="0" w:color="auto"/>
        <w:left w:val="none" w:sz="0" w:space="0" w:color="auto"/>
        <w:bottom w:val="none" w:sz="0" w:space="0" w:color="auto"/>
        <w:right w:val="none" w:sz="0" w:space="0" w:color="auto"/>
      </w:divBdr>
    </w:div>
    <w:div w:id="1257977371">
      <w:bodyDiv w:val="1"/>
      <w:marLeft w:val="0"/>
      <w:marRight w:val="0"/>
      <w:marTop w:val="0"/>
      <w:marBottom w:val="0"/>
      <w:divBdr>
        <w:top w:val="none" w:sz="0" w:space="0" w:color="auto"/>
        <w:left w:val="none" w:sz="0" w:space="0" w:color="auto"/>
        <w:bottom w:val="none" w:sz="0" w:space="0" w:color="auto"/>
        <w:right w:val="none" w:sz="0" w:space="0" w:color="auto"/>
      </w:divBdr>
      <w:divsChild>
        <w:div w:id="1922592611">
          <w:marLeft w:val="0"/>
          <w:marRight w:val="0"/>
          <w:marTop w:val="0"/>
          <w:marBottom w:val="0"/>
          <w:divBdr>
            <w:top w:val="none" w:sz="0" w:space="0" w:color="auto"/>
            <w:left w:val="none" w:sz="0" w:space="0" w:color="auto"/>
            <w:bottom w:val="none" w:sz="0" w:space="0" w:color="auto"/>
            <w:right w:val="none" w:sz="0" w:space="0" w:color="auto"/>
          </w:divBdr>
          <w:divsChild>
            <w:div w:id="1165826403">
              <w:marLeft w:val="0"/>
              <w:marRight w:val="0"/>
              <w:marTop w:val="0"/>
              <w:marBottom w:val="0"/>
              <w:divBdr>
                <w:top w:val="none" w:sz="0" w:space="0" w:color="auto"/>
                <w:left w:val="none" w:sz="0" w:space="0" w:color="auto"/>
                <w:bottom w:val="none" w:sz="0" w:space="0" w:color="auto"/>
                <w:right w:val="none" w:sz="0" w:space="0" w:color="auto"/>
              </w:divBdr>
              <w:divsChild>
                <w:div w:id="295179984">
                  <w:marLeft w:val="0"/>
                  <w:marRight w:val="0"/>
                  <w:marTop w:val="0"/>
                  <w:marBottom w:val="0"/>
                  <w:divBdr>
                    <w:top w:val="none" w:sz="0" w:space="0" w:color="auto"/>
                    <w:left w:val="none" w:sz="0" w:space="0" w:color="auto"/>
                    <w:bottom w:val="none" w:sz="0" w:space="0" w:color="auto"/>
                    <w:right w:val="none" w:sz="0" w:space="0" w:color="auto"/>
                  </w:divBdr>
                  <w:divsChild>
                    <w:div w:id="1827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8185">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063652">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4918080">
      <w:bodyDiv w:val="1"/>
      <w:marLeft w:val="0"/>
      <w:marRight w:val="0"/>
      <w:marTop w:val="0"/>
      <w:marBottom w:val="0"/>
      <w:divBdr>
        <w:top w:val="none" w:sz="0" w:space="0" w:color="auto"/>
        <w:left w:val="none" w:sz="0" w:space="0" w:color="auto"/>
        <w:bottom w:val="none" w:sz="0" w:space="0" w:color="auto"/>
        <w:right w:val="none" w:sz="0" w:space="0" w:color="auto"/>
      </w:divBdr>
      <w:divsChild>
        <w:div w:id="1724597144">
          <w:marLeft w:val="0"/>
          <w:marRight w:val="0"/>
          <w:marTop w:val="0"/>
          <w:marBottom w:val="0"/>
          <w:divBdr>
            <w:top w:val="none" w:sz="0" w:space="0" w:color="auto"/>
            <w:left w:val="none" w:sz="0" w:space="0" w:color="auto"/>
            <w:bottom w:val="none" w:sz="0" w:space="0" w:color="auto"/>
            <w:right w:val="none" w:sz="0" w:space="0" w:color="auto"/>
          </w:divBdr>
          <w:divsChild>
            <w:div w:id="1150250271">
              <w:marLeft w:val="0"/>
              <w:marRight w:val="0"/>
              <w:marTop w:val="0"/>
              <w:marBottom w:val="0"/>
              <w:divBdr>
                <w:top w:val="none" w:sz="0" w:space="0" w:color="auto"/>
                <w:left w:val="none" w:sz="0" w:space="0" w:color="auto"/>
                <w:bottom w:val="none" w:sz="0" w:space="0" w:color="auto"/>
                <w:right w:val="none" w:sz="0" w:space="0" w:color="auto"/>
              </w:divBdr>
              <w:divsChild>
                <w:div w:id="4994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47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706">
          <w:marLeft w:val="0"/>
          <w:marRight w:val="0"/>
          <w:marTop w:val="0"/>
          <w:marBottom w:val="0"/>
          <w:divBdr>
            <w:top w:val="none" w:sz="0" w:space="0" w:color="auto"/>
            <w:left w:val="none" w:sz="0" w:space="0" w:color="auto"/>
            <w:bottom w:val="none" w:sz="0" w:space="0" w:color="auto"/>
            <w:right w:val="none" w:sz="0" w:space="0" w:color="auto"/>
          </w:divBdr>
          <w:divsChild>
            <w:div w:id="13726894">
              <w:marLeft w:val="0"/>
              <w:marRight w:val="0"/>
              <w:marTop w:val="0"/>
              <w:marBottom w:val="0"/>
              <w:divBdr>
                <w:top w:val="none" w:sz="0" w:space="0" w:color="auto"/>
                <w:left w:val="none" w:sz="0" w:space="0" w:color="auto"/>
                <w:bottom w:val="none" w:sz="0" w:space="0" w:color="auto"/>
                <w:right w:val="none" w:sz="0" w:space="0" w:color="auto"/>
              </w:divBdr>
              <w:divsChild>
                <w:div w:id="1905070388">
                  <w:marLeft w:val="0"/>
                  <w:marRight w:val="0"/>
                  <w:marTop w:val="0"/>
                  <w:marBottom w:val="0"/>
                  <w:divBdr>
                    <w:top w:val="none" w:sz="0" w:space="0" w:color="auto"/>
                    <w:left w:val="none" w:sz="0" w:space="0" w:color="auto"/>
                    <w:bottom w:val="none" w:sz="0" w:space="0" w:color="auto"/>
                    <w:right w:val="none" w:sz="0" w:space="0" w:color="auto"/>
                  </w:divBdr>
                  <w:divsChild>
                    <w:div w:id="626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7627">
      <w:bodyDiv w:val="1"/>
      <w:marLeft w:val="0"/>
      <w:marRight w:val="0"/>
      <w:marTop w:val="0"/>
      <w:marBottom w:val="0"/>
      <w:divBdr>
        <w:top w:val="none" w:sz="0" w:space="0" w:color="auto"/>
        <w:left w:val="none" w:sz="0" w:space="0" w:color="auto"/>
        <w:bottom w:val="none" w:sz="0" w:space="0" w:color="auto"/>
        <w:right w:val="none" w:sz="0" w:space="0" w:color="auto"/>
      </w:divBdr>
    </w:div>
    <w:div w:id="1272208172">
      <w:bodyDiv w:val="1"/>
      <w:marLeft w:val="0"/>
      <w:marRight w:val="0"/>
      <w:marTop w:val="0"/>
      <w:marBottom w:val="0"/>
      <w:divBdr>
        <w:top w:val="none" w:sz="0" w:space="0" w:color="auto"/>
        <w:left w:val="none" w:sz="0" w:space="0" w:color="auto"/>
        <w:bottom w:val="none" w:sz="0" w:space="0" w:color="auto"/>
        <w:right w:val="none" w:sz="0" w:space="0" w:color="auto"/>
      </w:divBdr>
    </w:div>
    <w:div w:id="1282303303">
      <w:bodyDiv w:val="1"/>
      <w:marLeft w:val="0"/>
      <w:marRight w:val="0"/>
      <w:marTop w:val="0"/>
      <w:marBottom w:val="0"/>
      <w:divBdr>
        <w:top w:val="none" w:sz="0" w:space="0" w:color="auto"/>
        <w:left w:val="none" w:sz="0" w:space="0" w:color="auto"/>
        <w:bottom w:val="none" w:sz="0" w:space="0" w:color="auto"/>
        <w:right w:val="none" w:sz="0" w:space="0" w:color="auto"/>
      </w:divBdr>
      <w:divsChild>
        <w:div w:id="221528484">
          <w:marLeft w:val="0"/>
          <w:marRight w:val="0"/>
          <w:marTop w:val="0"/>
          <w:marBottom w:val="0"/>
          <w:divBdr>
            <w:top w:val="none" w:sz="0" w:space="0" w:color="auto"/>
            <w:left w:val="none" w:sz="0" w:space="0" w:color="auto"/>
            <w:bottom w:val="none" w:sz="0" w:space="0" w:color="auto"/>
            <w:right w:val="none" w:sz="0" w:space="0" w:color="auto"/>
          </w:divBdr>
          <w:divsChild>
            <w:div w:id="1200047736">
              <w:marLeft w:val="0"/>
              <w:marRight w:val="0"/>
              <w:marTop w:val="0"/>
              <w:marBottom w:val="0"/>
              <w:divBdr>
                <w:top w:val="none" w:sz="0" w:space="0" w:color="auto"/>
                <w:left w:val="none" w:sz="0" w:space="0" w:color="auto"/>
                <w:bottom w:val="none" w:sz="0" w:space="0" w:color="auto"/>
                <w:right w:val="none" w:sz="0" w:space="0" w:color="auto"/>
              </w:divBdr>
              <w:divsChild>
                <w:div w:id="513345328">
                  <w:marLeft w:val="0"/>
                  <w:marRight w:val="0"/>
                  <w:marTop w:val="0"/>
                  <w:marBottom w:val="0"/>
                  <w:divBdr>
                    <w:top w:val="none" w:sz="0" w:space="0" w:color="auto"/>
                    <w:left w:val="none" w:sz="0" w:space="0" w:color="auto"/>
                    <w:bottom w:val="none" w:sz="0" w:space="0" w:color="auto"/>
                    <w:right w:val="none" w:sz="0" w:space="0" w:color="auto"/>
                  </w:divBdr>
                  <w:divsChild>
                    <w:div w:id="2368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6811">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297838176">
      <w:bodyDiv w:val="1"/>
      <w:marLeft w:val="0"/>
      <w:marRight w:val="0"/>
      <w:marTop w:val="0"/>
      <w:marBottom w:val="0"/>
      <w:divBdr>
        <w:top w:val="none" w:sz="0" w:space="0" w:color="auto"/>
        <w:left w:val="none" w:sz="0" w:space="0" w:color="auto"/>
        <w:bottom w:val="none" w:sz="0" w:space="0" w:color="auto"/>
        <w:right w:val="none" w:sz="0" w:space="0" w:color="auto"/>
      </w:divBdr>
    </w:div>
    <w:div w:id="1300064382">
      <w:bodyDiv w:val="1"/>
      <w:marLeft w:val="0"/>
      <w:marRight w:val="0"/>
      <w:marTop w:val="0"/>
      <w:marBottom w:val="0"/>
      <w:divBdr>
        <w:top w:val="none" w:sz="0" w:space="0" w:color="auto"/>
        <w:left w:val="none" w:sz="0" w:space="0" w:color="auto"/>
        <w:bottom w:val="none" w:sz="0" w:space="0" w:color="auto"/>
        <w:right w:val="none" w:sz="0" w:space="0" w:color="auto"/>
      </w:divBdr>
      <w:divsChild>
        <w:div w:id="1876230179">
          <w:marLeft w:val="0"/>
          <w:marRight w:val="0"/>
          <w:marTop w:val="0"/>
          <w:marBottom w:val="0"/>
          <w:divBdr>
            <w:top w:val="none" w:sz="0" w:space="0" w:color="auto"/>
            <w:left w:val="none" w:sz="0" w:space="0" w:color="auto"/>
            <w:bottom w:val="none" w:sz="0" w:space="0" w:color="auto"/>
            <w:right w:val="none" w:sz="0" w:space="0" w:color="auto"/>
          </w:divBdr>
          <w:divsChild>
            <w:div w:id="2137409981">
              <w:marLeft w:val="0"/>
              <w:marRight w:val="0"/>
              <w:marTop w:val="0"/>
              <w:marBottom w:val="0"/>
              <w:divBdr>
                <w:top w:val="none" w:sz="0" w:space="0" w:color="auto"/>
                <w:left w:val="none" w:sz="0" w:space="0" w:color="auto"/>
                <w:bottom w:val="none" w:sz="0" w:space="0" w:color="auto"/>
                <w:right w:val="none" w:sz="0" w:space="0" w:color="auto"/>
              </w:divBdr>
              <w:divsChild>
                <w:div w:id="7306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2667">
      <w:bodyDiv w:val="1"/>
      <w:marLeft w:val="0"/>
      <w:marRight w:val="0"/>
      <w:marTop w:val="0"/>
      <w:marBottom w:val="0"/>
      <w:divBdr>
        <w:top w:val="none" w:sz="0" w:space="0" w:color="auto"/>
        <w:left w:val="none" w:sz="0" w:space="0" w:color="auto"/>
        <w:bottom w:val="none" w:sz="0" w:space="0" w:color="auto"/>
        <w:right w:val="none" w:sz="0" w:space="0" w:color="auto"/>
      </w:divBdr>
    </w:div>
    <w:div w:id="1307398547">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09746710">
      <w:bodyDiv w:val="1"/>
      <w:marLeft w:val="0"/>
      <w:marRight w:val="0"/>
      <w:marTop w:val="0"/>
      <w:marBottom w:val="0"/>
      <w:divBdr>
        <w:top w:val="none" w:sz="0" w:space="0" w:color="auto"/>
        <w:left w:val="none" w:sz="0" w:space="0" w:color="auto"/>
        <w:bottom w:val="none" w:sz="0" w:space="0" w:color="auto"/>
        <w:right w:val="none" w:sz="0" w:space="0" w:color="auto"/>
      </w:divBdr>
    </w:div>
    <w:div w:id="1311133298">
      <w:bodyDiv w:val="1"/>
      <w:marLeft w:val="0"/>
      <w:marRight w:val="0"/>
      <w:marTop w:val="0"/>
      <w:marBottom w:val="0"/>
      <w:divBdr>
        <w:top w:val="none" w:sz="0" w:space="0" w:color="auto"/>
        <w:left w:val="none" w:sz="0" w:space="0" w:color="auto"/>
        <w:bottom w:val="none" w:sz="0" w:space="0" w:color="auto"/>
        <w:right w:val="none" w:sz="0" w:space="0" w:color="auto"/>
      </w:divBdr>
      <w:divsChild>
        <w:div w:id="1721978337">
          <w:marLeft w:val="0"/>
          <w:marRight w:val="0"/>
          <w:marTop w:val="0"/>
          <w:marBottom w:val="0"/>
          <w:divBdr>
            <w:top w:val="none" w:sz="0" w:space="0" w:color="auto"/>
            <w:left w:val="none" w:sz="0" w:space="0" w:color="auto"/>
            <w:bottom w:val="none" w:sz="0" w:space="0" w:color="auto"/>
            <w:right w:val="none" w:sz="0" w:space="0" w:color="auto"/>
          </w:divBdr>
        </w:div>
      </w:divsChild>
    </w:div>
    <w:div w:id="1318412043">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0384585">
      <w:bodyDiv w:val="1"/>
      <w:marLeft w:val="0"/>
      <w:marRight w:val="0"/>
      <w:marTop w:val="0"/>
      <w:marBottom w:val="0"/>
      <w:divBdr>
        <w:top w:val="none" w:sz="0" w:space="0" w:color="auto"/>
        <w:left w:val="none" w:sz="0" w:space="0" w:color="auto"/>
        <w:bottom w:val="none" w:sz="0" w:space="0" w:color="auto"/>
        <w:right w:val="none" w:sz="0" w:space="0" w:color="auto"/>
      </w:divBdr>
    </w:div>
    <w:div w:id="1322852093">
      <w:bodyDiv w:val="1"/>
      <w:marLeft w:val="0"/>
      <w:marRight w:val="0"/>
      <w:marTop w:val="0"/>
      <w:marBottom w:val="0"/>
      <w:divBdr>
        <w:top w:val="none" w:sz="0" w:space="0" w:color="auto"/>
        <w:left w:val="none" w:sz="0" w:space="0" w:color="auto"/>
        <w:bottom w:val="none" w:sz="0" w:space="0" w:color="auto"/>
        <w:right w:val="none" w:sz="0" w:space="0" w:color="auto"/>
      </w:divBdr>
      <w:divsChild>
        <w:div w:id="1990354039">
          <w:marLeft w:val="0"/>
          <w:marRight w:val="0"/>
          <w:marTop w:val="0"/>
          <w:marBottom w:val="0"/>
          <w:divBdr>
            <w:top w:val="none" w:sz="0" w:space="0" w:color="auto"/>
            <w:left w:val="none" w:sz="0" w:space="0" w:color="auto"/>
            <w:bottom w:val="none" w:sz="0" w:space="0" w:color="auto"/>
            <w:right w:val="none" w:sz="0" w:space="0" w:color="auto"/>
          </w:divBdr>
          <w:divsChild>
            <w:div w:id="2126805774">
              <w:marLeft w:val="0"/>
              <w:marRight w:val="0"/>
              <w:marTop w:val="0"/>
              <w:marBottom w:val="0"/>
              <w:divBdr>
                <w:top w:val="none" w:sz="0" w:space="0" w:color="auto"/>
                <w:left w:val="none" w:sz="0" w:space="0" w:color="auto"/>
                <w:bottom w:val="none" w:sz="0" w:space="0" w:color="auto"/>
                <w:right w:val="none" w:sz="0" w:space="0" w:color="auto"/>
              </w:divBdr>
              <w:divsChild>
                <w:div w:id="1445465552">
                  <w:marLeft w:val="0"/>
                  <w:marRight w:val="0"/>
                  <w:marTop w:val="0"/>
                  <w:marBottom w:val="0"/>
                  <w:divBdr>
                    <w:top w:val="none" w:sz="0" w:space="0" w:color="auto"/>
                    <w:left w:val="none" w:sz="0" w:space="0" w:color="auto"/>
                    <w:bottom w:val="none" w:sz="0" w:space="0" w:color="auto"/>
                    <w:right w:val="none" w:sz="0" w:space="0" w:color="auto"/>
                  </w:divBdr>
                  <w:divsChild>
                    <w:div w:id="19796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8660">
      <w:bodyDiv w:val="1"/>
      <w:marLeft w:val="0"/>
      <w:marRight w:val="0"/>
      <w:marTop w:val="0"/>
      <w:marBottom w:val="0"/>
      <w:divBdr>
        <w:top w:val="none" w:sz="0" w:space="0" w:color="auto"/>
        <w:left w:val="none" w:sz="0" w:space="0" w:color="auto"/>
        <w:bottom w:val="none" w:sz="0" w:space="0" w:color="auto"/>
        <w:right w:val="none" w:sz="0" w:space="0" w:color="auto"/>
      </w:divBdr>
      <w:divsChild>
        <w:div w:id="971835271">
          <w:marLeft w:val="0"/>
          <w:marRight w:val="0"/>
          <w:marTop w:val="0"/>
          <w:marBottom w:val="0"/>
          <w:divBdr>
            <w:top w:val="none" w:sz="0" w:space="0" w:color="auto"/>
            <w:left w:val="none" w:sz="0" w:space="0" w:color="auto"/>
            <w:bottom w:val="none" w:sz="0" w:space="0" w:color="auto"/>
            <w:right w:val="none" w:sz="0" w:space="0" w:color="auto"/>
          </w:divBdr>
          <w:divsChild>
            <w:div w:id="1915504720">
              <w:marLeft w:val="0"/>
              <w:marRight w:val="0"/>
              <w:marTop w:val="0"/>
              <w:marBottom w:val="0"/>
              <w:divBdr>
                <w:top w:val="none" w:sz="0" w:space="0" w:color="auto"/>
                <w:left w:val="none" w:sz="0" w:space="0" w:color="auto"/>
                <w:bottom w:val="none" w:sz="0" w:space="0" w:color="auto"/>
                <w:right w:val="none" w:sz="0" w:space="0" w:color="auto"/>
              </w:divBdr>
              <w:divsChild>
                <w:div w:id="677346819">
                  <w:marLeft w:val="0"/>
                  <w:marRight w:val="0"/>
                  <w:marTop w:val="0"/>
                  <w:marBottom w:val="0"/>
                  <w:divBdr>
                    <w:top w:val="none" w:sz="0" w:space="0" w:color="auto"/>
                    <w:left w:val="none" w:sz="0" w:space="0" w:color="auto"/>
                    <w:bottom w:val="none" w:sz="0" w:space="0" w:color="auto"/>
                    <w:right w:val="none" w:sz="0" w:space="0" w:color="auto"/>
                  </w:divBdr>
                  <w:divsChild>
                    <w:div w:id="13543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479">
      <w:bodyDiv w:val="1"/>
      <w:marLeft w:val="0"/>
      <w:marRight w:val="0"/>
      <w:marTop w:val="0"/>
      <w:marBottom w:val="0"/>
      <w:divBdr>
        <w:top w:val="none" w:sz="0" w:space="0" w:color="auto"/>
        <w:left w:val="none" w:sz="0" w:space="0" w:color="auto"/>
        <w:bottom w:val="none" w:sz="0" w:space="0" w:color="auto"/>
        <w:right w:val="none" w:sz="0" w:space="0" w:color="auto"/>
      </w:divBdr>
      <w:divsChild>
        <w:div w:id="1082415409">
          <w:marLeft w:val="0"/>
          <w:marRight w:val="0"/>
          <w:marTop w:val="0"/>
          <w:marBottom w:val="0"/>
          <w:divBdr>
            <w:top w:val="none" w:sz="0" w:space="0" w:color="auto"/>
            <w:left w:val="none" w:sz="0" w:space="0" w:color="auto"/>
            <w:bottom w:val="none" w:sz="0" w:space="0" w:color="auto"/>
            <w:right w:val="none" w:sz="0" w:space="0" w:color="auto"/>
          </w:divBdr>
          <w:divsChild>
            <w:div w:id="1613628244">
              <w:marLeft w:val="0"/>
              <w:marRight w:val="0"/>
              <w:marTop w:val="0"/>
              <w:marBottom w:val="0"/>
              <w:divBdr>
                <w:top w:val="none" w:sz="0" w:space="0" w:color="auto"/>
                <w:left w:val="none" w:sz="0" w:space="0" w:color="auto"/>
                <w:bottom w:val="none" w:sz="0" w:space="0" w:color="auto"/>
                <w:right w:val="none" w:sz="0" w:space="0" w:color="auto"/>
              </w:divBdr>
              <w:divsChild>
                <w:div w:id="1820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83578">
      <w:bodyDiv w:val="1"/>
      <w:marLeft w:val="0"/>
      <w:marRight w:val="0"/>
      <w:marTop w:val="0"/>
      <w:marBottom w:val="0"/>
      <w:divBdr>
        <w:top w:val="none" w:sz="0" w:space="0" w:color="auto"/>
        <w:left w:val="none" w:sz="0" w:space="0" w:color="auto"/>
        <w:bottom w:val="none" w:sz="0" w:space="0" w:color="auto"/>
        <w:right w:val="none" w:sz="0" w:space="0" w:color="auto"/>
      </w:divBdr>
      <w:divsChild>
        <w:div w:id="948896170">
          <w:marLeft w:val="0"/>
          <w:marRight w:val="0"/>
          <w:marTop w:val="0"/>
          <w:marBottom w:val="0"/>
          <w:divBdr>
            <w:top w:val="none" w:sz="0" w:space="0" w:color="auto"/>
            <w:left w:val="none" w:sz="0" w:space="0" w:color="auto"/>
            <w:bottom w:val="none" w:sz="0" w:space="0" w:color="auto"/>
            <w:right w:val="none" w:sz="0" w:space="0" w:color="auto"/>
          </w:divBdr>
          <w:divsChild>
            <w:div w:id="1165169356">
              <w:marLeft w:val="0"/>
              <w:marRight w:val="0"/>
              <w:marTop w:val="0"/>
              <w:marBottom w:val="0"/>
              <w:divBdr>
                <w:top w:val="none" w:sz="0" w:space="0" w:color="auto"/>
                <w:left w:val="none" w:sz="0" w:space="0" w:color="auto"/>
                <w:bottom w:val="none" w:sz="0" w:space="0" w:color="auto"/>
                <w:right w:val="none" w:sz="0" w:space="0" w:color="auto"/>
              </w:divBdr>
              <w:divsChild>
                <w:div w:id="80178986">
                  <w:marLeft w:val="0"/>
                  <w:marRight w:val="0"/>
                  <w:marTop w:val="0"/>
                  <w:marBottom w:val="0"/>
                  <w:divBdr>
                    <w:top w:val="none" w:sz="0" w:space="0" w:color="auto"/>
                    <w:left w:val="none" w:sz="0" w:space="0" w:color="auto"/>
                    <w:bottom w:val="none" w:sz="0" w:space="0" w:color="auto"/>
                    <w:right w:val="none" w:sz="0" w:space="0" w:color="auto"/>
                  </w:divBdr>
                  <w:divsChild>
                    <w:div w:id="18312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40549282">
      <w:bodyDiv w:val="1"/>
      <w:marLeft w:val="0"/>
      <w:marRight w:val="0"/>
      <w:marTop w:val="0"/>
      <w:marBottom w:val="0"/>
      <w:divBdr>
        <w:top w:val="none" w:sz="0" w:space="0" w:color="auto"/>
        <w:left w:val="none" w:sz="0" w:space="0" w:color="auto"/>
        <w:bottom w:val="none" w:sz="0" w:space="0" w:color="auto"/>
        <w:right w:val="none" w:sz="0" w:space="0" w:color="auto"/>
      </w:divBdr>
    </w:div>
    <w:div w:id="1341812453">
      <w:bodyDiv w:val="1"/>
      <w:marLeft w:val="0"/>
      <w:marRight w:val="0"/>
      <w:marTop w:val="0"/>
      <w:marBottom w:val="0"/>
      <w:divBdr>
        <w:top w:val="none" w:sz="0" w:space="0" w:color="auto"/>
        <w:left w:val="none" w:sz="0" w:space="0" w:color="auto"/>
        <w:bottom w:val="none" w:sz="0" w:space="0" w:color="auto"/>
        <w:right w:val="none" w:sz="0" w:space="0" w:color="auto"/>
      </w:divBdr>
    </w:div>
    <w:div w:id="1342127715">
      <w:bodyDiv w:val="1"/>
      <w:marLeft w:val="0"/>
      <w:marRight w:val="0"/>
      <w:marTop w:val="0"/>
      <w:marBottom w:val="0"/>
      <w:divBdr>
        <w:top w:val="none" w:sz="0" w:space="0" w:color="auto"/>
        <w:left w:val="none" w:sz="0" w:space="0" w:color="auto"/>
        <w:bottom w:val="none" w:sz="0" w:space="0" w:color="auto"/>
        <w:right w:val="none" w:sz="0" w:space="0" w:color="auto"/>
      </w:divBdr>
      <w:divsChild>
        <w:div w:id="1489713278">
          <w:marLeft w:val="0"/>
          <w:marRight w:val="0"/>
          <w:marTop w:val="0"/>
          <w:marBottom w:val="0"/>
          <w:divBdr>
            <w:top w:val="none" w:sz="0" w:space="0" w:color="auto"/>
            <w:left w:val="none" w:sz="0" w:space="0" w:color="auto"/>
            <w:bottom w:val="none" w:sz="0" w:space="0" w:color="auto"/>
            <w:right w:val="none" w:sz="0" w:space="0" w:color="auto"/>
          </w:divBdr>
          <w:divsChild>
            <w:div w:id="142433596">
              <w:marLeft w:val="0"/>
              <w:marRight w:val="0"/>
              <w:marTop w:val="0"/>
              <w:marBottom w:val="0"/>
              <w:divBdr>
                <w:top w:val="none" w:sz="0" w:space="0" w:color="auto"/>
                <w:left w:val="none" w:sz="0" w:space="0" w:color="auto"/>
                <w:bottom w:val="none" w:sz="0" w:space="0" w:color="auto"/>
                <w:right w:val="none" w:sz="0" w:space="0" w:color="auto"/>
              </w:divBdr>
              <w:divsChild>
                <w:div w:id="20513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9011">
      <w:bodyDiv w:val="1"/>
      <w:marLeft w:val="0"/>
      <w:marRight w:val="0"/>
      <w:marTop w:val="0"/>
      <w:marBottom w:val="0"/>
      <w:divBdr>
        <w:top w:val="none" w:sz="0" w:space="0" w:color="auto"/>
        <w:left w:val="none" w:sz="0" w:space="0" w:color="auto"/>
        <w:bottom w:val="none" w:sz="0" w:space="0" w:color="auto"/>
        <w:right w:val="none" w:sz="0" w:space="0" w:color="auto"/>
      </w:divBdr>
      <w:divsChild>
        <w:div w:id="1272010793">
          <w:marLeft w:val="0"/>
          <w:marRight w:val="0"/>
          <w:marTop w:val="0"/>
          <w:marBottom w:val="0"/>
          <w:divBdr>
            <w:top w:val="none" w:sz="0" w:space="0" w:color="auto"/>
            <w:left w:val="none" w:sz="0" w:space="0" w:color="auto"/>
            <w:bottom w:val="none" w:sz="0" w:space="0" w:color="auto"/>
            <w:right w:val="none" w:sz="0" w:space="0" w:color="auto"/>
          </w:divBdr>
        </w:div>
      </w:divsChild>
    </w:div>
    <w:div w:id="1347707922">
      <w:bodyDiv w:val="1"/>
      <w:marLeft w:val="0"/>
      <w:marRight w:val="0"/>
      <w:marTop w:val="0"/>
      <w:marBottom w:val="0"/>
      <w:divBdr>
        <w:top w:val="none" w:sz="0" w:space="0" w:color="auto"/>
        <w:left w:val="none" w:sz="0" w:space="0" w:color="auto"/>
        <w:bottom w:val="none" w:sz="0" w:space="0" w:color="auto"/>
        <w:right w:val="none" w:sz="0" w:space="0" w:color="auto"/>
      </w:divBdr>
    </w:div>
    <w:div w:id="1357586437">
      <w:bodyDiv w:val="1"/>
      <w:marLeft w:val="0"/>
      <w:marRight w:val="0"/>
      <w:marTop w:val="0"/>
      <w:marBottom w:val="0"/>
      <w:divBdr>
        <w:top w:val="none" w:sz="0" w:space="0" w:color="auto"/>
        <w:left w:val="none" w:sz="0" w:space="0" w:color="auto"/>
        <w:bottom w:val="none" w:sz="0" w:space="0" w:color="auto"/>
        <w:right w:val="none" w:sz="0" w:space="0" w:color="auto"/>
      </w:divBdr>
    </w:div>
    <w:div w:id="1358502873">
      <w:bodyDiv w:val="1"/>
      <w:marLeft w:val="0"/>
      <w:marRight w:val="0"/>
      <w:marTop w:val="0"/>
      <w:marBottom w:val="0"/>
      <w:divBdr>
        <w:top w:val="none" w:sz="0" w:space="0" w:color="auto"/>
        <w:left w:val="none" w:sz="0" w:space="0" w:color="auto"/>
        <w:bottom w:val="none" w:sz="0" w:space="0" w:color="auto"/>
        <w:right w:val="none" w:sz="0" w:space="0" w:color="auto"/>
      </w:divBdr>
    </w:div>
    <w:div w:id="1366297943">
      <w:bodyDiv w:val="1"/>
      <w:marLeft w:val="0"/>
      <w:marRight w:val="0"/>
      <w:marTop w:val="0"/>
      <w:marBottom w:val="0"/>
      <w:divBdr>
        <w:top w:val="none" w:sz="0" w:space="0" w:color="auto"/>
        <w:left w:val="none" w:sz="0" w:space="0" w:color="auto"/>
        <w:bottom w:val="none" w:sz="0" w:space="0" w:color="auto"/>
        <w:right w:val="none" w:sz="0" w:space="0" w:color="auto"/>
      </w:divBdr>
    </w:div>
    <w:div w:id="1367020432">
      <w:bodyDiv w:val="1"/>
      <w:marLeft w:val="0"/>
      <w:marRight w:val="0"/>
      <w:marTop w:val="0"/>
      <w:marBottom w:val="0"/>
      <w:divBdr>
        <w:top w:val="none" w:sz="0" w:space="0" w:color="auto"/>
        <w:left w:val="none" w:sz="0" w:space="0" w:color="auto"/>
        <w:bottom w:val="none" w:sz="0" w:space="0" w:color="auto"/>
        <w:right w:val="none" w:sz="0" w:space="0" w:color="auto"/>
      </w:divBdr>
      <w:divsChild>
        <w:div w:id="1770276904">
          <w:marLeft w:val="0"/>
          <w:marRight w:val="0"/>
          <w:marTop w:val="0"/>
          <w:marBottom w:val="0"/>
          <w:divBdr>
            <w:top w:val="none" w:sz="0" w:space="0" w:color="auto"/>
            <w:left w:val="none" w:sz="0" w:space="0" w:color="auto"/>
            <w:bottom w:val="none" w:sz="0" w:space="0" w:color="auto"/>
            <w:right w:val="none" w:sz="0" w:space="0" w:color="auto"/>
          </w:divBdr>
          <w:divsChild>
            <w:div w:id="683097929">
              <w:marLeft w:val="0"/>
              <w:marRight w:val="0"/>
              <w:marTop w:val="0"/>
              <w:marBottom w:val="0"/>
              <w:divBdr>
                <w:top w:val="none" w:sz="0" w:space="0" w:color="auto"/>
                <w:left w:val="none" w:sz="0" w:space="0" w:color="auto"/>
                <w:bottom w:val="none" w:sz="0" w:space="0" w:color="auto"/>
                <w:right w:val="none" w:sz="0" w:space="0" w:color="auto"/>
              </w:divBdr>
              <w:divsChild>
                <w:div w:id="1859006899">
                  <w:marLeft w:val="0"/>
                  <w:marRight w:val="0"/>
                  <w:marTop w:val="0"/>
                  <w:marBottom w:val="0"/>
                  <w:divBdr>
                    <w:top w:val="none" w:sz="0" w:space="0" w:color="auto"/>
                    <w:left w:val="none" w:sz="0" w:space="0" w:color="auto"/>
                    <w:bottom w:val="none" w:sz="0" w:space="0" w:color="auto"/>
                    <w:right w:val="none" w:sz="0" w:space="0" w:color="auto"/>
                  </w:divBdr>
                  <w:divsChild>
                    <w:div w:id="4938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2218">
      <w:bodyDiv w:val="1"/>
      <w:marLeft w:val="0"/>
      <w:marRight w:val="0"/>
      <w:marTop w:val="0"/>
      <w:marBottom w:val="0"/>
      <w:divBdr>
        <w:top w:val="none" w:sz="0" w:space="0" w:color="auto"/>
        <w:left w:val="none" w:sz="0" w:space="0" w:color="auto"/>
        <w:bottom w:val="none" w:sz="0" w:space="0" w:color="auto"/>
        <w:right w:val="none" w:sz="0" w:space="0" w:color="auto"/>
      </w:divBdr>
    </w:div>
    <w:div w:id="1384211440">
      <w:bodyDiv w:val="1"/>
      <w:marLeft w:val="0"/>
      <w:marRight w:val="0"/>
      <w:marTop w:val="0"/>
      <w:marBottom w:val="0"/>
      <w:divBdr>
        <w:top w:val="none" w:sz="0" w:space="0" w:color="auto"/>
        <w:left w:val="none" w:sz="0" w:space="0" w:color="auto"/>
        <w:bottom w:val="none" w:sz="0" w:space="0" w:color="auto"/>
        <w:right w:val="none" w:sz="0" w:space="0" w:color="auto"/>
      </w:divBdr>
    </w:div>
    <w:div w:id="1391997138">
      <w:bodyDiv w:val="1"/>
      <w:marLeft w:val="0"/>
      <w:marRight w:val="0"/>
      <w:marTop w:val="0"/>
      <w:marBottom w:val="0"/>
      <w:divBdr>
        <w:top w:val="none" w:sz="0" w:space="0" w:color="auto"/>
        <w:left w:val="none" w:sz="0" w:space="0" w:color="auto"/>
        <w:bottom w:val="none" w:sz="0" w:space="0" w:color="auto"/>
        <w:right w:val="none" w:sz="0" w:space="0" w:color="auto"/>
      </w:divBdr>
    </w:div>
    <w:div w:id="1408111758">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12265692">
      <w:bodyDiv w:val="1"/>
      <w:marLeft w:val="0"/>
      <w:marRight w:val="0"/>
      <w:marTop w:val="0"/>
      <w:marBottom w:val="0"/>
      <w:divBdr>
        <w:top w:val="none" w:sz="0" w:space="0" w:color="auto"/>
        <w:left w:val="none" w:sz="0" w:space="0" w:color="auto"/>
        <w:bottom w:val="none" w:sz="0" w:space="0" w:color="auto"/>
        <w:right w:val="none" w:sz="0" w:space="0" w:color="auto"/>
      </w:divBdr>
    </w:div>
    <w:div w:id="1418206928">
      <w:bodyDiv w:val="1"/>
      <w:marLeft w:val="0"/>
      <w:marRight w:val="0"/>
      <w:marTop w:val="0"/>
      <w:marBottom w:val="0"/>
      <w:divBdr>
        <w:top w:val="none" w:sz="0" w:space="0" w:color="auto"/>
        <w:left w:val="none" w:sz="0" w:space="0" w:color="auto"/>
        <w:bottom w:val="none" w:sz="0" w:space="0" w:color="auto"/>
        <w:right w:val="none" w:sz="0" w:space="0" w:color="auto"/>
      </w:divBdr>
      <w:divsChild>
        <w:div w:id="268322303">
          <w:marLeft w:val="0"/>
          <w:marRight w:val="0"/>
          <w:marTop w:val="0"/>
          <w:marBottom w:val="0"/>
          <w:divBdr>
            <w:top w:val="none" w:sz="0" w:space="0" w:color="auto"/>
            <w:left w:val="none" w:sz="0" w:space="0" w:color="auto"/>
            <w:bottom w:val="none" w:sz="0" w:space="0" w:color="auto"/>
            <w:right w:val="none" w:sz="0" w:space="0" w:color="auto"/>
          </w:divBdr>
          <w:divsChild>
            <w:div w:id="661785588">
              <w:marLeft w:val="0"/>
              <w:marRight w:val="0"/>
              <w:marTop w:val="0"/>
              <w:marBottom w:val="0"/>
              <w:divBdr>
                <w:top w:val="none" w:sz="0" w:space="0" w:color="auto"/>
                <w:left w:val="none" w:sz="0" w:space="0" w:color="auto"/>
                <w:bottom w:val="none" w:sz="0" w:space="0" w:color="auto"/>
                <w:right w:val="none" w:sz="0" w:space="0" w:color="auto"/>
              </w:divBdr>
              <w:divsChild>
                <w:div w:id="1534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1931">
      <w:bodyDiv w:val="1"/>
      <w:marLeft w:val="0"/>
      <w:marRight w:val="0"/>
      <w:marTop w:val="0"/>
      <w:marBottom w:val="0"/>
      <w:divBdr>
        <w:top w:val="none" w:sz="0" w:space="0" w:color="auto"/>
        <w:left w:val="none" w:sz="0" w:space="0" w:color="auto"/>
        <w:bottom w:val="none" w:sz="0" w:space="0" w:color="auto"/>
        <w:right w:val="none" w:sz="0" w:space="0" w:color="auto"/>
      </w:divBdr>
    </w:div>
    <w:div w:id="1433666440">
      <w:bodyDiv w:val="1"/>
      <w:marLeft w:val="0"/>
      <w:marRight w:val="0"/>
      <w:marTop w:val="0"/>
      <w:marBottom w:val="0"/>
      <w:divBdr>
        <w:top w:val="none" w:sz="0" w:space="0" w:color="auto"/>
        <w:left w:val="none" w:sz="0" w:space="0" w:color="auto"/>
        <w:bottom w:val="none" w:sz="0" w:space="0" w:color="auto"/>
        <w:right w:val="none" w:sz="0" w:space="0" w:color="auto"/>
      </w:divBdr>
    </w:div>
    <w:div w:id="1444105758">
      <w:bodyDiv w:val="1"/>
      <w:marLeft w:val="0"/>
      <w:marRight w:val="0"/>
      <w:marTop w:val="0"/>
      <w:marBottom w:val="0"/>
      <w:divBdr>
        <w:top w:val="none" w:sz="0" w:space="0" w:color="auto"/>
        <w:left w:val="none" w:sz="0" w:space="0" w:color="auto"/>
        <w:bottom w:val="none" w:sz="0" w:space="0" w:color="auto"/>
        <w:right w:val="none" w:sz="0" w:space="0" w:color="auto"/>
      </w:divBdr>
    </w:div>
    <w:div w:id="1445880635">
      <w:bodyDiv w:val="1"/>
      <w:marLeft w:val="0"/>
      <w:marRight w:val="0"/>
      <w:marTop w:val="0"/>
      <w:marBottom w:val="0"/>
      <w:divBdr>
        <w:top w:val="none" w:sz="0" w:space="0" w:color="auto"/>
        <w:left w:val="none" w:sz="0" w:space="0" w:color="auto"/>
        <w:bottom w:val="none" w:sz="0" w:space="0" w:color="auto"/>
        <w:right w:val="none" w:sz="0" w:space="0" w:color="auto"/>
      </w:divBdr>
      <w:divsChild>
        <w:div w:id="1671787360">
          <w:marLeft w:val="0"/>
          <w:marRight w:val="0"/>
          <w:marTop w:val="0"/>
          <w:marBottom w:val="0"/>
          <w:divBdr>
            <w:top w:val="none" w:sz="0" w:space="0" w:color="auto"/>
            <w:left w:val="none" w:sz="0" w:space="0" w:color="auto"/>
            <w:bottom w:val="none" w:sz="0" w:space="0" w:color="auto"/>
            <w:right w:val="none" w:sz="0" w:space="0" w:color="auto"/>
          </w:divBdr>
          <w:divsChild>
            <w:div w:id="204030966">
              <w:marLeft w:val="0"/>
              <w:marRight w:val="0"/>
              <w:marTop w:val="0"/>
              <w:marBottom w:val="0"/>
              <w:divBdr>
                <w:top w:val="none" w:sz="0" w:space="0" w:color="auto"/>
                <w:left w:val="none" w:sz="0" w:space="0" w:color="auto"/>
                <w:bottom w:val="none" w:sz="0" w:space="0" w:color="auto"/>
                <w:right w:val="none" w:sz="0" w:space="0" w:color="auto"/>
              </w:divBdr>
              <w:divsChild>
                <w:div w:id="16566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0314790">
      <w:bodyDiv w:val="1"/>
      <w:marLeft w:val="0"/>
      <w:marRight w:val="0"/>
      <w:marTop w:val="0"/>
      <w:marBottom w:val="0"/>
      <w:divBdr>
        <w:top w:val="none" w:sz="0" w:space="0" w:color="auto"/>
        <w:left w:val="none" w:sz="0" w:space="0" w:color="auto"/>
        <w:bottom w:val="none" w:sz="0" w:space="0" w:color="auto"/>
        <w:right w:val="none" w:sz="0" w:space="0" w:color="auto"/>
      </w:divBdr>
      <w:divsChild>
        <w:div w:id="793906533">
          <w:marLeft w:val="0"/>
          <w:marRight w:val="0"/>
          <w:marTop w:val="0"/>
          <w:marBottom w:val="0"/>
          <w:divBdr>
            <w:top w:val="none" w:sz="0" w:space="0" w:color="auto"/>
            <w:left w:val="none" w:sz="0" w:space="0" w:color="auto"/>
            <w:bottom w:val="none" w:sz="0" w:space="0" w:color="auto"/>
            <w:right w:val="none" w:sz="0" w:space="0" w:color="auto"/>
          </w:divBdr>
          <w:divsChild>
            <w:div w:id="1100179378">
              <w:marLeft w:val="0"/>
              <w:marRight w:val="0"/>
              <w:marTop w:val="0"/>
              <w:marBottom w:val="0"/>
              <w:divBdr>
                <w:top w:val="none" w:sz="0" w:space="0" w:color="auto"/>
                <w:left w:val="none" w:sz="0" w:space="0" w:color="auto"/>
                <w:bottom w:val="none" w:sz="0" w:space="0" w:color="auto"/>
                <w:right w:val="none" w:sz="0" w:space="0" w:color="auto"/>
              </w:divBdr>
              <w:divsChild>
                <w:div w:id="884869923">
                  <w:marLeft w:val="0"/>
                  <w:marRight w:val="0"/>
                  <w:marTop w:val="0"/>
                  <w:marBottom w:val="0"/>
                  <w:divBdr>
                    <w:top w:val="none" w:sz="0" w:space="0" w:color="auto"/>
                    <w:left w:val="none" w:sz="0" w:space="0" w:color="auto"/>
                    <w:bottom w:val="none" w:sz="0" w:space="0" w:color="auto"/>
                    <w:right w:val="none" w:sz="0" w:space="0" w:color="auto"/>
                  </w:divBdr>
                  <w:divsChild>
                    <w:div w:id="9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11950">
      <w:bodyDiv w:val="1"/>
      <w:marLeft w:val="0"/>
      <w:marRight w:val="0"/>
      <w:marTop w:val="0"/>
      <w:marBottom w:val="0"/>
      <w:divBdr>
        <w:top w:val="none" w:sz="0" w:space="0" w:color="auto"/>
        <w:left w:val="none" w:sz="0" w:space="0" w:color="auto"/>
        <w:bottom w:val="none" w:sz="0" w:space="0" w:color="auto"/>
        <w:right w:val="none" w:sz="0" w:space="0" w:color="auto"/>
      </w:divBdr>
      <w:divsChild>
        <w:div w:id="269166570">
          <w:marLeft w:val="0"/>
          <w:marRight w:val="0"/>
          <w:marTop w:val="0"/>
          <w:marBottom w:val="0"/>
          <w:divBdr>
            <w:top w:val="none" w:sz="0" w:space="0" w:color="auto"/>
            <w:left w:val="none" w:sz="0" w:space="0" w:color="auto"/>
            <w:bottom w:val="none" w:sz="0" w:space="0" w:color="auto"/>
            <w:right w:val="none" w:sz="0" w:space="0" w:color="auto"/>
          </w:divBdr>
          <w:divsChild>
            <w:div w:id="315959236">
              <w:marLeft w:val="0"/>
              <w:marRight w:val="0"/>
              <w:marTop w:val="0"/>
              <w:marBottom w:val="0"/>
              <w:divBdr>
                <w:top w:val="none" w:sz="0" w:space="0" w:color="auto"/>
                <w:left w:val="none" w:sz="0" w:space="0" w:color="auto"/>
                <w:bottom w:val="none" w:sz="0" w:space="0" w:color="auto"/>
                <w:right w:val="none" w:sz="0" w:space="0" w:color="auto"/>
              </w:divBdr>
              <w:divsChild>
                <w:div w:id="17693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3579">
      <w:bodyDiv w:val="1"/>
      <w:marLeft w:val="0"/>
      <w:marRight w:val="0"/>
      <w:marTop w:val="0"/>
      <w:marBottom w:val="0"/>
      <w:divBdr>
        <w:top w:val="none" w:sz="0" w:space="0" w:color="auto"/>
        <w:left w:val="none" w:sz="0" w:space="0" w:color="auto"/>
        <w:bottom w:val="none" w:sz="0" w:space="0" w:color="auto"/>
        <w:right w:val="none" w:sz="0" w:space="0" w:color="auto"/>
      </w:divBdr>
    </w:div>
    <w:div w:id="1460345602">
      <w:bodyDiv w:val="1"/>
      <w:marLeft w:val="0"/>
      <w:marRight w:val="0"/>
      <w:marTop w:val="0"/>
      <w:marBottom w:val="0"/>
      <w:divBdr>
        <w:top w:val="none" w:sz="0" w:space="0" w:color="auto"/>
        <w:left w:val="none" w:sz="0" w:space="0" w:color="auto"/>
        <w:bottom w:val="none" w:sz="0" w:space="0" w:color="auto"/>
        <w:right w:val="none" w:sz="0" w:space="0" w:color="auto"/>
      </w:divBdr>
    </w:div>
    <w:div w:id="14616546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4228348">
      <w:bodyDiv w:val="1"/>
      <w:marLeft w:val="0"/>
      <w:marRight w:val="0"/>
      <w:marTop w:val="0"/>
      <w:marBottom w:val="0"/>
      <w:divBdr>
        <w:top w:val="none" w:sz="0" w:space="0" w:color="auto"/>
        <w:left w:val="none" w:sz="0" w:space="0" w:color="auto"/>
        <w:bottom w:val="none" w:sz="0" w:space="0" w:color="auto"/>
        <w:right w:val="none" w:sz="0" w:space="0" w:color="auto"/>
      </w:divBdr>
    </w:div>
    <w:div w:id="1464538895">
      <w:bodyDiv w:val="1"/>
      <w:marLeft w:val="0"/>
      <w:marRight w:val="0"/>
      <w:marTop w:val="0"/>
      <w:marBottom w:val="0"/>
      <w:divBdr>
        <w:top w:val="none" w:sz="0" w:space="0" w:color="auto"/>
        <w:left w:val="none" w:sz="0" w:space="0" w:color="auto"/>
        <w:bottom w:val="none" w:sz="0" w:space="0" w:color="auto"/>
        <w:right w:val="none" w:sz="0" w:space="0" w:color="auto"/>
      </w:divBdr>
      <w:divsChild>
        <w:div w:id="1995137984">
          <w:marLeft w:val="0"/>
          <w:marRight w:val="0"/>
          <w:marTop w:val="0"/>
          <w:marBottom w:val="0"/>
          <w:divBdr>
            <w:top w:val="single" w:sz="2" w:space="0" w:color="auto"/>
            <w:left w:val="single" w:sz="2" w:space="0" w:color="auto"/>
            <w:bottom w:val="single" w:sz="2" w:space="0" w:color="auto"/>
            <w:right w:val="single" w:sz="2" w:space="0" w:color="auto"/>
          </w:divBdr>
        </w:div>
        <w:div w:id="2059821439">
          <w:marLeft w:val="0"/>
          <w:marRight w:val="0"/>
          <w:marTop w:val="0"/>
          <w:marBottom w:val="0"/>
          <w:divBdr>
            <w:top w:val="single" w:sz="2" w:space="5" w:color="auto"/>
            <w:left w:val="single" w:sz="2" w:space="0" w:color="auto"/>
            <w:bottom w:val="single" w:sz="2" w:space="5" w:color="auto"/>
            <w:right w:val="single" w:sz="2" w:space="0" w:color="auto"/>
          </w:divBdr>
        </w:div>
      </w:divsChild>
    </w:div>
    <w:div w:id="1473329868">
      <w:bodyDiv w:val="1"/>
      <w:marLeft w:val="0"/>
      <w:marRight w:val="0"/>
      <w:marTop w:val="0"/>
      <w:marBottom w:val="0"/>
      <w:divBdr>
        <w:top w:val="none" w:sz="0" w:space="0" w:color="auto"/>
        <w:left w:val="none" w:sz="0" w:space="0" w:color="auto"/>
        <w:bottom w:val="none" w:sz="0" w:space="0" w:color="auto"/>
        <w:right w:val="none" w:sz="0" w:space="0" w:color="auto"/>
      </w:divBdr>
    </w:div>
    <w:div w:id="1481728765">
      <w:bodyDiv w:val="1"/>
      <w:marLeft w:val="0"/>
      <w:marRight w:val="0"/>
      <w:marTop w:val="0"/>
      <w:marBottom w:val="0"/>
      <w:divBdr>
        <w:top w:val="none" w:sz="0" w:space="0" w:color="auto"/>
        <w:left w:val="none" w:sz="0" w:space="0" w:color="auto"/>
        <w:bottom w:val="none" w:sz="0" w:space="0" w:color="auto"/>
        <w:right w:val="none" w:sz="0" w:space="0" w:color="auto"/>
      </w:divBdr>
    </w:div>
    <w:div w:id="1485270219">
      <w:bodyDiv w:val="1"/>
      <w:marLeft w:val="0"/>
      <w:marRight w:val="0"/>
      <w:marTop w:val="0"/>
      <w:marBottom w:val="0"/>
      <w:divBdr>
        <w:top w:val="none" w:sz="0" w:space="0" w:color="auto"/>
        <w:left w:val="none" w:sz="0" w:space="0" w:color="auto"/>
        <w:bottom w:val="none" w:sz="0" w:space="0" w:color="auto"/>
        <w:right w:val="none" w:sz="0" w:space="0" w:color="auto"/>
      </w:divBdr>
    </w:div>
    <w:div w:id="1490706085">
      <w:bodyDiv w:val="1"/>
      <w:marLeft w:val="0"/>
      <w:marRight w:val="0"/>
      <w:marTop w:val="0"/>
      <w:marBottom w:val="0"/>
      <w:divBdr>
        <w:top w:val="none" w:sz="0" w:space="0" w:color="auto"/>
        <w:left w:val="none" w:sz="0" w:space="0" w:color="auto"/>
        <w:bottom w:val="none" w:sz="0" w:space="0" w:color="auto"/>
        <w:right w:val="none" w:sz="0" w:space="0" w:color="auto"/>
      </w:divBdr>
    </w:div>
    <w:div w:id="1493832336">
      <w:bodyDiv w:val="1"/>
      <w:marLeft w:val="0"/>
      <w:marRight w:val="0"/>
      <w:marTop w:val="0"/>
      <w:marBottom w:val="0"/>
      <w:divBdr>
        <w:top w:val="none" w:sz="0" w:space="0" w:color="auto"/>
        <w:left w:val="none" w:sz="0" w:space="0" w:color="auto"/>
        <w:bottom w:val="none" w:sz="0" w:space="0" w:color="auto"/>
        <w:right w:val="none" w:sz="0" w:space="0" w:color="auto"/>
      </w:divBdr>
    </w:div>
    <w:div w:id="1495099854">
      <w:bodyDiv w:val="1"/>
      <w:marLeft w:val="0"/>
      <w:marRight w:val="0"/>
      <w:marTop w:val="0"/>
      <w:marBottom w:val="0"/>
      <w:divBdr>
        <w:top w:val="none" w:sz="0" w:space="0" w:color="auto"/>
        <w:left w:val="none" w:sz="0" w:space="0" w:color="auto"/>
        <w:bottom w:val="none" w:sz="0" w:space="0" w:color="auto"/>
        <w:right w:val="none" w:sz="0" w:space="0" w:color="auto"/>
      </w:divBdr>
      <w:divsChild>
        <w:div w:id="901335211">
          <w:marLeft w:val="0"/>
          <w:marRight w:val="0"/>
          <w:marTop w:val="0"/>
          <w:marBottom w:val="0"/>
          <w:divBdr>
            <w:top w:val="none" w:sz="0" w:space="0" w:color="auto"/>
            <w:left w:val="none" w:sz="0" w:space="0" w:color="auto"/>
            <w:bottom w:val="none" w:sz="0" w:space="0" w:color="auto"/>
            <w:right w:val="none" w:sz="0" w:space="0" w:color="auto"/>
          </w:divBdr>
          <w:divsChild>
            <w:div w:id="1959020557">
              <w:marLeft w:val="0"/>
              <w:marRight w:val="0"/>
              <w:marTop w:val="0"/>
              <w:marBottom w:val="0"/>
              <w:divBdr>
                <w:top w:val="none" w:sz="0" w:space="0" w:color="auto"/>
                <w:left w:val="none" w:sz="0" w:space="0" w:color="auto"/>
                <w:bottom w:val="none" w:sz="0" w:space="0" w:color="auto"/>
                <w:right w:val="none" w:sz="0" w:space="0" w:color="auto"/>
              </w:divBdr>
              <w:divsChild>
                <w:div w:id="2094472851">
                  <w:marLeft w:val="0"/>
                  <w:marRight w:val="0"/>
                  <w:marTop w:val="0"/>
                  <w:marBottom w:val="0"/>
                  <w:divBdr>
                    <w:top w:val="none" w:sz="0" w:space="0" w:color="auto"/>
                    <w:left w:val="none" w:sz="0" w:space="0" w:color="auto"/>
                    <w:bottom w:val="none" w:sz="0" w:space="0" w:color="auto"/>
                    <w:right w:val="none" w:sz="0" w:space="0" w:color="auto"/>
                  </w:divBdr>
                  <w:divsChild>
                    <w:div w:id="19358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93656">
      <w:bodyDiv w:val="1"/>
      <w:marLeft w:val="0"/>
      <w:marRight w:val="0"/>
      <w:marTop w:val="0"/>
      <w:marBottom w:val="0"/>
      <w:divBdr>
        <w:top w:val="none" w:sz="0" w:space="0" w:color="auto"/>
        <w:left w:val="none" w:sz="0" w:space="0" w:color="auto"/>
        <w:bottom w:val="none" w:sz="0" w:space="0" w:color="auto"/>
        <w:right w:val="none" w:sz="0" w:space="0" w:color="auto"/>
      </w:divBdr>
    </w:div>
    <w:div w:id="1496648985">
      <w:bodyDiv w:val="1"/>
      <w:marLeft w:val="0"/>
      <w:marRight w:val="0"/>
      <w:marTop w:val="0"/>
      <w:marBottom w:val="0"/>
      <w:divBdr>
        <w:top w:val="none" w:sz="0" w:space="0" w:color="auto"/>
        <w:left w:val="none" w:sz="0" w:space="0" w:color="auto"/>
        <w:bottom w:val="none" w:sz="0" w:space="0" w:color="auto"/>
        <w:right w:val="none" w:sz="0" w:space="0" w:color="auto"/>
      </w:divBdr>
    </w:div>
    <w:div w:id="1497837272">
      <w:bodyDiv w:val="1"/>
      <w:marLeft w:val="0"/>
      <w:marRight w:val="0"/>
      <w:marTop w:val="0"/>
      <w:marBottom w:val="0"/>
      <w:divBdr>
        <w:top w:val="none" w:sz="0" w:space="0" w:color="auto"/>
        <w:left w:val="none" w:sz="0" w:space="0" w:color="auto"/>
        <w:bottom w:val="none" w:sz="0" w:space="0" w:color="auto"/>
        <w:right w:val="none" w:sz="0" w:space="0" w:color="auto"/>
      </w:divBdr>
    </w:div>
    <w:div w:id="1518351253">
      <w:bodyDiv w:val="1"/>
      <w:marLeft w:val="0"/>
      <w:marRight w:val="0"/>
      <w:marTop w:val="0"/>
      <w:marBottom w:val="0"/>
      <w:divBdr>
        <w:top w:val="none" w:sz="0" w:space="0" w:color="auto"/>
        <w:left w:val="none" w:sz="0" w:space="0" w:color="auto"/>
        <w:bottom w:val="none" w:sz="0" w:space="0" w:color="auto"/>
        <w:right w:val="none" w:sz="0" w:space="0" w:color="auto"/>
      </w:divBdr>
    </w:div>
    <w:div w:id="1519007572">
      <w:bodyDiv w:val="1"/>
      <w:marLeft w:val="0"/>
      <w:marRight w:val="0"/>
      <w:marTop w:val="0"/>
      <w:marBottom w:val="0"/>
      <w:divBdr>
        <w:top w:val="none" w:sz="0" w:space="0" w:color="auto"/>
        <w:left w:val="none" w:sz="0" w:space="0" w:color="auto"/>
        <w:bottom w:val="none" w:sz="0" w:space="0" w:color="auto"/>
        <w:right w:val="none" w:sz="0" w:space="0" w:color="auto"/>
      </w:divBdr>
    </w:div>
    <w:div w:id="1519082527">
      <w:bodyDiv w:val="1"/>
      <w:marLeft w:val="0"/>
      <w:marRight w:val="0"/>
      <w:marTop w:val="0"/>
      <w:marBottom w:val="0"/>
      <w:divBdr>
        <w:top w:val="none" w:sz="0" w:space="0" w:color="auto"/>
        <w:left w:val="none" w:sz="0" w:space="0" w:color="auto"/>
        <w:bottom w:val="none" w:sz="0" w:space="0" w:color="auto"/>
        <w:right w:val="none" w:sz="0" w:space="0" w:color="auto"/>
      </w:divBdr>
    </w:div>
    <w:div w:id="1522860114">
      <w:bodyDiv w:val="1"/>
      <w:marLeft w:val="0"/>
      <w:marRight w:val="0"/>
      <w:marTop w:val="0"/>
      <w:marBottom w:val="0"/>
      <w:divBdr>
        <w:top w:val="none" w:sz="0" w:space="0" w:color="auto"/>
        <w:left w:val="none" w:sz="0" w:space="0" w:color="auto"/>
        <w:bottom w:val="none" w:sz="0" w:space="0" w:color="auto"/>
        <w:right w:val="none" w:sz="0" w:space="0" w:color="auto"/>
      </w:divBdr>
    </w:div>
    <w:div w:id="15245923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18">
          <w:marLeft w:val="0"/>
          <w:marRight w:val="0"/>
          <w:marTop w:val="0"/>
          <w:marBottom w:val="0"/>
          <w:divBdr>
            <w:top w:val="none" w:sz="0" w:space="0" w:color="auto"/>
            <w:left w:val="none" w:sz="0" w:space="0" w:color="auto"/>
            <w:bottom w:val="none" w:sz="0" w:space="0" w:color="auto"/>
            <w:right w:val="none" w:sz="0" w:space="0" w:color="auto"/>
          </w:divBdr>
          <w:divsChild>
            <w:div w:id="1623340223">
              <w:marLeft w:val="0"/>
              <w:marRight w:val="0"/>
              <w:marTop w:val="0"/>
              <w:marBottom w:val="0"/>
              <w:divBdr>
                <w:top w:val="none" w:sz="0" w:space="0" w:color="auto"/>
                <w:left w:val="none" w:sz="0" w:space="0" w:color="auto"/>
                <w:bottom w:val="none" w:sz="0" w:space="0" w:color="auto"/>
                <w:right w:val="none" w:sz="0" w:space="0" w:color="auto"/>
              </w:divBdr>
              <w:divsChild>
                <w:div w:id="1090812699">
                  <w:marLeft w:val="0"/>
                  <w:marRight w:val="0"/>
                  <w:marTop w:val="0"/>
                  <w:marBottom w:val="0"/>
                  <w:divBdr>
                    <w:top w:val="none" w:sz="0" w:space="0" w:color="auto"/>
                    <w:left w:val="none" w:sz="0" w:space="0" w:color="auto"/>
                    <w:bottom w:val="none" w:sz="0" w:space="0" w:color="auto"/>
                    <w:right w:val="none" w:sz="0" w:space="0" w:color="auto"/>
                  </w:divBdr>
                  <w:divsChild>
                    <w:div w:id="4419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6399">
      <w:bodyDiv w:val="1"/>
      <w:marLeft w:val="0"/>
      <w:marRight w:val="0"/>
      <w:marTop w:val="0"/>
      <w:marBottom w:val="0"/>
      <w:divBdr>
        <w:top w:val="none" w:sz="0" w:space="0" w:color="auto"/>
        <w:left w:val="none" w:sz="0" w:space="0" w:color="auto"/>
        <w:bottom w:val="none" w:sz="0" w:space="0" w:color="auto"/>
        <w:right w:val="none" w:sz="0" w:space="0" w:color="auto"/>
      </w:divBdr>
      <w:divsChild>
        <w:div w:id="306014828">
          <w:marLeft w:val="0"/>
          <w:marRight w:val="0"/>
          <w:marTop w:val="0"/>
          <w:marBottom w:val="0"/>
          <w:divBdr>
            <w:top w:val="none" w:sz="0" w:space="0" w:color="auto"/>
            <w:left w:val="none" w:sz="0" w:space="0" w:color="auto"/>
            <w:bottom w:val="none" w:sz="0" w:space="0" w:color="auto"/>
            <w:right w:val="none" w:sz="0" w:space="0" w:color="auto"/>
          </w:divBdr>
          <w:divsChild>
            <w:div w:id="131139738">
              <w:marLeft w:val="0"/>
              <w:marRight w:val="0"/>
              <w:marTop w:val="0"/>
              <w:marBottom w:val="0"/>
              <w:divBdr>
                <w:top w:val="none" w:sz="0" w:space="0" w:color="auto"/>
                <w:left w:val="none" w:sz="0" w:space="0" w:color="auto"/>
                <w:bottom w:val="none" w:sz="0" w:space="0" w:color="auto"/>
                <w:right w:val="none" w:sz="0" w:space="0" w:color="auto"/>
              </w:divBdr>
              <w:divsChild>
                <w:div w:id="21096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6398">
      <w:bodyDiv w:val="1"/>
      <w:marLeft w:val="0"/>
      <w:marRight w:val="0"/>
      <w:marTop w:val="0"/>
      <w:marBottom w:val="0"/>
      <w:divBdr>
        <w:top w:val="none" w:sz="0" w:space="0" w:color="auto"/>
        <w:left w:val="none" w:sz="0" w:space="0" w:color="auto"/>
        <w:bottom w:val="none" w:sz="0" w:space="0" w:color="auto"/>
        <w:right w:val="none" w:sz="0" w:space="0" w:color="auto"/>
      </w:divBdr>
    </w:div>
    <w:div w:id="1529022772">
      <w:bodyDiv w:val="1"/>
      <w:marLeft w:val="0"/>
      <w:marRight w:val="0"/>
      <w:marTop w:val="0"/>
      <w:marBottom w:val="0"/>
      <w:divBdr>
        <w:top w:val="none" w:sz="0" w:space="0" w:color="auto"/>
        <w:left w:val="none" w:sz="0" w:space="0" w:color="auto"/>
        <w:bottom w:val="none" w:sz="0" w:space="0" w:color="auto"/>
        <w:right w:val="none" w:sz="0" w:space="0" w:color="auto"/>
      </w:divBdr>
      <w:divsChild>
        <w:div w:id="1527937792">
          <w:marLeft w:val="0"/>
          <w:marRight w:val="0"/>
          <w:marTop w:val="0"/>
          <w:marBottom w:val="0"/>
          <w:divBdr>
            <w:top w:val="none" w:sz="0" w:space="0" w:color="auto"/>
            <w:left w:val="none" w:sz="0" w:space="0" w:color="auto"/>
            <w:bottom w:val="none" w:sz="0" w:space="0" w:color="auto"/>
            <w:right w:val="none" w:sz="0" w:space="0" w:color="auto"/>
          </w:divBdr>
          <w:divsChild>
            <w:div w:id="2090034799">
              <w:marLeft w:val="0"/>
              <w:marRight w:val="0"/>
              <w:marTop w:val="0"/>
              <w:marBottom w:val="0"/>
              <w:divBdr>
                <w:top w:val="none" w:sz="0" w:space="0" w:color="auto"/>
                <w:left w:val="none" w:sz="0" w:space="0" w:color="auto"/>
                <w:bottom w:val="none" w:sz="0" w:space="0" w:color="auto"/>
                <w:right w:val="none" w:sz="0" w:space="0" w:color="auto"/>
              </w:divBdr>
              <w:divsChild>
                <w:div w:id="277031058">
                  <w:marLeft w:val="0"/>
                  <w:marRight w:val="0"/>
                  <w:marTop w:val="0"/>
                  <w:marBottom w:val="0"/>
                  <w:divBdr>
                    <w:top w:val="none" w:sz="0" w:space="0" w:color="auto"/>
                    <w:left w:val="none" w:sz="0" w:space="0" w:color="auto"/>
                    <w:bottom w:val="none" w:sz="0" w:space="0" w:color="auto"/>
                    <w:right w:val="none" w:sz="0" w:space="0" w:color="auto"/>
                  </w:divBdr>
                  <w:divsChild>
                    <w:div w:id="2976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261">
      <w:bodyDiv w:val="1"/>
      <w:marLeft w:val="0"/>
      <w:marRight w:val="0"/>
      <w:marTop w:val="0"/>
      <w:marBottom w:val="0"/>
      <w:divBdr>
        <w:top w:val="none" w:sz="0" w:space="0" w:color="auto"/>
        <w:left w:val="none" w:sz="0" w:space="0" w:color="auto"/>
        <w:bottom w:val="none" w:sz="0" w:space="0" w:color="auto"/>
        <w:right w:val="none" w:sz="0" w:space="0" w:color="auto"/>
      </w:divBdr>
    </w:div>
    <w:div w:id="1551066915">
      <w:bodyDiv w:val="1"/>
      <w:marLeft w:val="0"/>
      <w:marRight w:val="0"/>
      <w:marTop w:val="0"/>
      <w:marBottom w:val="0"/>
      <w:divBdr>
        <w:top w:val="none" w:sz="0" w:space="0" w:color="auto"/>
        <w:left w:val="none" w:sz="0" w:space="0" w:color="auto"/>
        <w:bottom w:val="none" w:sz="0" w:space="0" w:color="auto"/>
        <w:right w:val="none" w:sz="0" w:space="0" w:color="auto"/>
      </w:divBdr>
      <w:divsChild>
        <w:div w:id="467625166">
          <w:marLeft w:val="0"/>
          <w:marRight w:val="0"/>
          <w:marTop w:val="0"/>
          <w:marBottom w:val="0"/>
          <w:divBdr>
            <w:top w:val="none" w:sz="0" w:space="0" w:color="auto"/>
            <w:left w:val="none" w:sz="0" w:space="0" w:color="auto"/>
            <w:bottom w:val="none" w:sz="0" w:space="0" w:color="auto"/>
            <w:right w:val="none" w:sz="0" w:space="0" w:color="auto"/>
          </w:divBdr>
          <w:divsChild>
            <w:div w:id="352153448">
              <w:marLeft w:val="0"/>
              <w:marRight w:val="0"/>
              <w:marTop w:val="0"/>
              <w:marBottom w:val="0"/>
              <w:divBdr>
                <w:top w:val="none" w:sz="0" w:space="0" w:color="auto"/>
                <w:left w:val="none" w:sz="0" w:space="0" w:color="auto"/>
                <w:bottom w:val="none" w:sz="0" w:space="0" w:color="auto"/>
                <w:right w:val="none" w:sz="0" w:space="0" w:color="auto"/>
              </w:divBdr>
              <w:divsChild>
                <w:div w:id="1381173659">
                  <w:marLeft w:val="0"/>
                  <w:marRight w:val="0"/>
                  <w:marTop w:val="0"/>
                  <w:marBottom w:val="0"/>
                  <w:divBdr>
                    <w:top w:val="none" w:sz="0" w:space="0" w:color="auto"/>
                    <w:left w:val="none" w:sz="0" w:space="0" w:color="auto"/>
                    <w:bottom w:val="none" w:sz="0" w:space="0" w:color="auto"/>
                    <w:right w:val="none" w:sz="0" w:space="0" w:color="auto"/>
                  </w:divBdr>
                  <w:divsChild>
                    <w:div w:id="1175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5240">
      <w:bodyDiv w:val="1"/>
      <w:marLeft w:val="0"/>
      <w:marRight w:val="0"/>
      <w:marTop w:val="0"/>
      <w:marBottom w:val="0"/>
      <w:divBdr>
        <w:top w:val="none" w:sz="0" w:space="0" w:color="auto"/>
        <w:left w:val="none" w:sz="0" w:space="0" w:color="auto"/>
        <w:bottom w:val="none" w:sz="0" w:space="0" w:color="auto"/>
        <w:right w:val="none" w:sz="0" w:space="0" w:color="auto"/>
      </w:divBdr>
    </w:div>
    <w:div w:id="1561095161">
      <w:bodyDiv w:val="1"/>
      <w:marLeft w:val="0"/>
      <w:marRight w:val="0"/>
      <w:marTop w:val="0"/>
      <w:marBottom w:val="0"/>
      <w:divBdr>
        <w:top w:val="none" w:sz="0" w:space="0" w:color="auto"/>
        <w:left w:val="none" w:sz="0" w:space="0" w:color="auto"/>
        <w:bottom w:val="none" w:sz="0" w:space="0" w:color="auto"/>
        <w:right w:val="none" w:sz="0" w:space="0" w:color="auto"/>
      </w:divBdr>
      <w:divsChild>
        <w:div w:id="521553914">
          <w:marLeft w:val="0"/>
          <w:marRight w:val="0"/>
          <w:marTop w:val="0"/>
          <w:marBottom w:val="0"/>
          <w:divBdr>
            <w:top w:val="none" w:sz="0" w:space="0" w:color="auto"/>
            <w:left w:val="none" w:sz="0" w:space="0" w:color="auto"/>
            <w:bottom w:val="none" w:sz="0" w:space="0" w:color="auto"/>
            <w:right w:val="none" w:sz="0" w:space="0" w:color="auto"/>
          </w:divBdr>
          <w:divsChild>
            <w:div w:id="1393232130">
              <w:marLeft w:val="0"/>
              <w:marRight w:val="0"/>
              <w:marTop w:val="0"/>
              <w:marBottom w:val="0"/>
              <w:divBdr>
                <w:top w:val="none" w:sz="0" w:space="0" w:color="auto"/>
                <w:left w:val="none" w:sz="0" w:space="0" w:color="auto"/>
                <w:bottom w:val="none" w:sz="0" w:space="0" w:color="auto"/>
                <w:right w:val="none" w:sz="0" w:space="0" w:color="auto"/>
              </w:divBdr>
              <w:divsChild>
                <w:div w:id="740522435">
                  <w:marLeft w:val="0"/>
                  <w:marRight w:val="0"/>
                  <w:marTop w:val="0"/>
                  <w:marBottom w:val="0"/>
                  <w:divBdr>
                    <w:top w:val="none" w:sz="0" w:space="0" w:color="auto"/>
                    <w:left w:val="none" w:sz="0" w:space="0" w:color="auto"/>
                    <w:bottom w:val="none" w:sz="0" w:space="0" w:color="auto"/>
                    <w:right w:val="none" w:sz="0" w:space="0" w:color="auto"/>
                  </w:divBdr>
                  <w:divsChild>
                    <w:div w:id="13792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4405">
      <w:bodyDiv w:val="1"/>
      <w:marLeft w:val="0"/>
      <w:marRight w:val="0"/>
      <w:marTop w:val="0"/>
      <w:marBottom w:val="0"/>
      <w:divBdr>
        <w:top w:val="none" w:sz="0" w:space="0" w:color="auto"/>
        <w:left w:val="none" w:sz="0" w:space="0" w:color="auto"/>
        <w:bottom w:val="none" w:sz="0" w:space="0" w:color="auto"/>
        <w:right w:val="none" w:sz="0" w:space="0" w:color="auto"/>
      </w:divBdr>
    </w:div>
    <w:div w:id="1568684443">
      <w:bodyDiv w:val="1"/>
      <w:marLeft w:val="0"/>
      <w:marRight w:val="0"/>
      <w:marTop w:val="0"/>
      <w:marBottom w:val="0"/>
      <w:divBdr>
        <w:top w:val="none" w:sz="0" w:space="0" w:color="auto"/>
        <w:left w:val="none" w:sz="0" w:space="0" w:color="auto"/>
        <w:bottom w:val="none" w:sz="0" w:space="0" w:color="auto"/>
        <w:right w:val="none" w:sz="0" w:space="0" w:color="auto"/>
      </w:divBdr>
      <w:divsChild>
        <w:div w:id="19358509">
          <w:marLeft w:val="0"/>
          <w:marRight w:val="0"/>
          <w:marTop w:val="0"/>
          <w:marBottom w:val="0"/>
          <w:divBdr>
            <w:top w:val="none" w:sz="0" w:space="0" w:color="auto"/>
            <w:left w:val="none" w:sz="0" w:space="0" w:color="auto"/>
            <w:bottom w:val="none" w:sz="0" w:space="0" w:color="auto"/>
            <w:right w:val="none" w:sz="0" w:space="0" w:color="auto"/>
          </w:divBdr>
          <w:divsChild>
            <w:div w:id="1589341872">
              <w:marLeft w:val="0"/>
              <w:marRight w:val="0"/>
              <w:marTop w:val="0"/>
              <w:marBottom w:val="0"/>
              <w:divBdr>
                <w:top w:val="none" w:sz="0" w:space="0" w:color="auto"/>
                <w:left w:val="none" w:sz="0" w:space="0" w:color="auto"/>
                <w:bottom w:val="none" w:sz="0" w:space="0" w:color="auto"/>
                <w:right w:val="none" w:sz="0" w:space="0" w:color="auto"/>
              </w:divBdr>
              <w:divsChild>
                <w:div w:id="1374575415">
                  <w:marLeft w:val="0"/>
                  <w:marRight w:val="0"/>
                  <w:marTop w:val="0"/>
                  <w:marBottom w:val="0"/>
                  <w:divBdr>
                    <w:top w:val="none" w:sz="0" w:space="0" w:color="auto"/>
                    <w:left w:val="none" w:sz="0" w:space="0" w:color="auto"/>
                    <w:bottom w:val="none" w:sz="0" w:space="0" w:color="auto"/>
                    <w:right w:val="none" w:sz="0" w:space="0" w:color="auto"/>
                  </w:divBdr>
                  <w:divsChild>
                    <w:div w:id="12513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4456">
      <w:bodyDiv w:val="1"/>
      <w:marLeft w:val="0"/>
      <w:marRight w:val="0"/>
      <w:marTop w:val="0"/>
      <w:marBottom w:val="0"/>
      <w:divBdr>
        <w:top w:val="none" w:sz="0" w:space="0" w:color="auto"/>
        <w:left w:val="none" w:sz="0" w:space="0" w:color="auto"/>
        <w:bottom w:val="none" w:sz="0" w:space="0" w:color="auto"/>
        <w:right w:val="none" w:sz="0" w:space="0" w:color="auto"/>
      </w:divBdr>
      <w:divsChild>
        <w:div w:id="1610892225">
          <w:marLeft w:val="0"/>
          <w:marRight w:val="0"/>
          <w:marTop w:val="0"/>
          <w:marBottom w:val="0"/>
          <w:divBdr>
            <w:top w:val="none" w:sz="0" w:space="0" w:color="auto"/>
            <w:left w:val="none" w:sz="0" w:space="0" w:color="auto"/>
            <w:bottom w:val="none" w:sz="0" w:space="0" w:color="auto"/>
            <w:right w:val="none" w:sz="0" w:space="0" w:color="auto"/>
          </w:divBdr>
          <w:divsChild>
            <w:div w:id="81687559">
              <w:marLeft w:val="0"/>
              <w:marRight w:val="0"/>
              <w:marTop w:val="0"/>
              <w:marBottom w:val="0"/>
              <w:divBdr>
                <w:top w:val="none" w:sz="0" w:space="0" w:color="auto"/>
                <w:left w:val="none" w:sz="0" w:space="0" w:color="auto"/>
                <w:bottom w:val="none" w:sz="0" w:space="0" w:color="auto"/>
                <w:right w:val="none" w:sz="0" w:space="0" w:color="auto"/>
              </w:divBdr>
              <w:divsChild>
                <w:div w:id="5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3746">
      <w:bodyDiv w:val="1"/>
      <w:marLeft w:val="0"/>
      <w:marRight w:val="0"/>
      <w:marTop w:val="0"/>
      <w:marBottom w:val="0"/>
      <w:divBdr>
        <w:top w:val="none" w:sz="0" w:space="0" w:color="auto"/>
        <w:left w:val="none" w:sz="0" w:space="0" w:color="auto"/>
        <w:bottom w:val="none" w:sz="0" w:space="0" w:color="auto"/>
        <w:right w:val="none" w:sz="0" w:space="0" w:color="auto"/>
      </w:divBdr>
    </w:div>
    <w:div w:id="1574075073">
      <w:bodyDiv w:val="1"/>
      <w:marLeft w:val="0"/>
      <w:marRight w:val="0"/>
      <w:marTop w:val="0"/>
      <w:marBottom w:val="0"/>
      <w:divBdr>
        <w:top w:val="none" w:sz="0" w:space="0" w:color="auto"/>
        <w:left w:val="none" w:sz="0" w:space="0" w:color="auto"/>
        <w:bottom w:val="none" w:sz="0" w:space="0" w:color="auto"/>
        <w:right w:val="none" w:sz="0" w:space="0" w:color="auto"/>
      </w:divBdr>
      <w:divsChild>
        <w:div w:id="946236496">
          <w:marLeft w:val="0"/>
          <w:marRight w:val="0"/>
          <w:marTop w:val="0"/>
          <w:marBottom w:val="0"/>
          <w:divBdr>
            <w:top w:val="none" w:sz="0" w:space="0" w:color="auto"/>
            <w:left w:val="none" w:sz="0" w:space="0" w:color="auto"/>
            <w:bottom w:val="none" w:sz="0" w:space="0" w:color="auto"/>
            <w:right w:val="none" w:sz="0" w:space="0" w:color="auto"/>
          </w:divBdr>
        </w:div>
        <w:div w:id="1974409619">
          <w:marLeft w:val="0"/>
          <w:marRight w:val="0"/>
          <w:marTop w:val="0"/>
          <w:marBottom w:val="0"/>
          <w:divBdr>
            <w:top w:val="none" w:sz="0" w:space="0" w:color="auto"/>
            <w:left w:val="none" w:sz="0" w:space="0" w:color="auto"/>
            <w:bottom w:val="none" w:sz="0" w:space="0" w:color="auto"/>
            <w:right w:val="none" w:sz="0" w:space="0" w:color="auto"/>
          </w:divBdr>
        </w:div>
      </w:divsChild>
    </w:div>
    <w:div w:id="1578900050">
      <w:bodyDiv w:val="1"/>
      <w:marLeft w:val="0"/>
      <w:marRight w:val="0"/>
      <w:marTop w:val="0"/>
      <w:marBottom w:val="0"/>
      <w:divBdr>
        <w:top w:val="none" w:sz="0" w:space="0" w:color="auto"/>
        <w:left w:val="none" w:sz="0" w:space="0" w:color="auto"/>
        <w:bottom w:val="none" w:sz="0" w:space="0" w:color="auto"/>
        <w:right w:val="none" w:sz="0" w:space="0" w:color="auto"/>
      </w:divBdr>
      <w:divsChild>
        <w:div w:id="1903707797">
          <w:marLeft w:val="0"/>
          <w:marRight w:val="0"/>
          <w:marTop w:val="0"/>
          <w:marBottom w:val="0"/>
          <w:divBdr>
            <w:top w:val="none" w:sz="0" w:space="0" w:color="auto"/>
            <w:left w:val="none" w:sz="0" w:space="0" w:color="auto"/>
            <w:bottom w:val="none" w:sz="0" w:space="0" w:color="auto"/>
            <w:right w:val="none" w:sz="0" w:space="0" w:color="auto"/>
          </w:divBdr>
          <w:divsChild>
            <w:div w:id="923224626">
              <w:marLeft w:val="0"/>
              <w:marRight w:val="0"/>
              <w:marTop w:val="0"/>
              <w:marBottom w:val="0"/>
              <w:divBdr>
                <w:top w:val="none" w:sz="0" w:space="0" w:color="auto"/>
                <w:left w:val="none" w:sz="0" w:space="0" w:color="auto"/>
                <w:bottom w:val="none" w:sz="0" w:space="0" w:color="auto"/>
                <w:right w:val="none" w:sz="0" w:space="0" w:color="auto"/>
              </w:divBdr>
              <w:divsChild>
                <w:div w:id="16771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0675">
      <w:bodyDiv w:val="1"/>
      <w:marLeft w:val="0"/>
      <w:marRight w:val="0"/>
      <w:marTop w:val="0"/>
      <w:marBottom w:val="0"/>
      <w:divBdr>
        <w:top w:val="none" w:sz="0" w:space="0" w:color="auto"/>
        <w:left w:val="none" w:sz="0" w:space="0" w:color="auto"/>
        <w:bottom w:val="none" w:sz="0" w:space="0" w:color="auto"/>
        <w:right w:val="none" w:sz="0" w:space="0" w:color="auto"/>
      </w:divBdr>
    </w:div>
    <w:div w:id="1585266045">
      <w:bodyDiv w:val="1"/>
      <w:marLeft w:val="0"/>
      <w:marRight w:val="0"/>
      <w:marTop w:val="0"/>
      <w:marBottom w:val="0"/>
      <w:divBdr>
        <w:top w:val="none" w:sz="0" w:space="0" w:color="auto"/>
        <w:left w:val="none" w:sz="0" w:space="0" w:color="auto"/>
        <w:bottom w:val="none" w:sz="0" w:space="0" w:color="auto"/>
        <w:right w:val="none" w:sz="0" w:space="0" w:color="auto"/>
      </w:divBdr>
    </w:div>
    <w:div w:id="1590583283">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0653335">
      <w:bodyDiv w:val="1"/>
      <w:marLeft w:val="0"/>
      <w:marRight w:val="0"/>
      <w:marTop w:val="0"/>
      <w:marBottom w:val="0"/>
      <w:divBdr>
        <w:top w:val="none" w:sz="0" w:space="0" w:color="auto"/>
        <w:left w:val="none" w:sz="0" w:space="0" w:color="auto"/>
        <w:bottom w:val="none" w:sz="0" w:space="0" w:color="auto"/>
        <w:right w:val="none" w:sz="0" w:space="0" w:color="auto"/>
      </w:divBdr>
    </w:div>
    <w:div w:id="1595745122">
      <w:bodyDiv w:val="1"/>
      <w:marLeft w:val="0"/>
      <w:marRight w:val="0"/>
      <w:marTop w:val="0"/>
      <w:marBottom w:val="0"/>
      <w:divBdr>
        <w:top w:val="none" w:sz="0" w:space="0" w:color="auto"/>
        <w:left w:val="none" w:sz="0" w:space="0" w:color="auto"/>
        <w:bottom w:val="none" w:sz="0" w:space="0" w:color="auto"/>
        <w:right w:val="none" w:sz="0" w:space="0" w:color="auto"/>
      </w:divBdr>
      <w:divsChild>
        <w:div w:id="1392994634">
          <w:marLeft w:val="0"/>
          <w:marRight w:val="0"/>
          <w:marTop w:val="0"/>
          <w:marBottom w:val="0"/>
          <w:divBdr>
            <w:top w:val="none" w:sz="0" w:space="0" w:color="auto"/>
            <w:left w:val="none" w:sz="0" w:space="0" w:color="auto"/>
            <w:bottom w:val="none" w:sz="0" w:space="0" w:color="auto"/>
            <w:right w:val="none" w:sz="0" w:space="0" w:color="auto"/>
          </w:divBdr>
          <w:divsChild>
            <w:div w:id="133766201">
              <w:marLeft w:val="0"/>
              <w:marRight w:val="0"/>
              <w:marTop w:val="0"/>
              <w:marBottom w:val="0"/>
              <w:divBdr>
                <w:top w:val="none" w:sz="0" w:space="0" w:color="auto"/>
                <w:left w:val="none" w:sz="0" w:space="0" w:color="auto"/>
                <w:bottom w:val="none" w:sz="0" w:space="0" w:color="auto"/>
                <w:right w:val="none" w:sz="0" w:space="0" w:color="auto"/>
              </w:divBdr>
              <w:divsChild>
                <w:div w:id="2139686712">
                  <w:marLeft w:val="0"/>
                  <w:marRight w:val="0"/>
                  <w:marTop w:val="0"/>
                  <w:marBottom w:val="0"/>
                  <w:divBdr>
                    <w:top w:val="none" w:sz="0" w:space="0" w:color="auto"/>
                    <w:left w:val="none" w:sz="0" w:space="0" w:color="auto"/>
                    <w:bottom w:val="none" w:sz="0" w:space="0" w:color="auto"/>
                    <w:right w:val="none" w:sz="0" w:space="0" w:color="auto"/>
                  </w:divBdr>
                  <w:divsChild>
                    <w:div w:id="1796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3612084">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08386551">
      <w:bodyDiv w:val="1"/>
      <w:marLeft w:val="0"/>
      <w:marRight w:val="0"/>
      <w:marTop w:val="0"/>
      <w:marBottom w:val="0"/>
      <w:divBdr>
        <w:top w:val="none" w:sz="0" w:space="0" w:color="auto"/>
        <w:left w:val="none" w:sz="0" w:space="0" w:color="auto"/>
        <w:bottom w:val="none" w:sz="0" w:space="0" w:color="auto"/>
        <w:right w:val="none" w:sz="0" w:space="0" w:color="auto"/>
      </w:divBdr>
      <w:divsChild>
        <w:div w:id="807626735">
          <w:marLeft w:val="0"/>
          <w:marRight w:val="0"/>
          <w:marTop w:val="0"/>
          <w:marBottom w:val="0"/>
          <w:divBdr>
            <w:top w:val="none" w:sz="0" w:space="0" w:color="auto"/>
            <w:left w:val="none" w:sz="0" w:space="0" w:color="auto"/>
            <w:bottom w:val="none" w:sz="0" w:space="0" w:color="auto"/>
            <w:right w:val="none" w:sz="0" w:space="0" w:color="auto"/>
          </w:divBdr>
          <w:divsChild>
            <w:div w:id="1841194005">
              <w:marLeft w:val="0"/>
              <w:marRight w:val="0"/>
              <w:marTop w:val="0"/>
              <w:marBottom w:val="0"/>
              <w:divBdr>
                <w:top w:val="none" w:sz="0" w:space="0" w:color="auto"/>
                <w:left w:val="none" w:sz="0" w:space="0" w:color="auto"/>
                <w:bottom w:val="none" w:sz="0" w:space="0" w:color="auto"/>
                <w:right w:val="none" w:sz="0" w:space="0" w:color="auto"/>
              </w:divBdr>
              <w:divsChild>
                <w:div w:id="1782533492">
                  <w:marLeft w:val="0"/>
                  <w:marRight w:val="0"/>
                  <w:marTop w:val="0"/>
                  <w:marBottom w:val="0"/>
                  <w:divBdr>
                    <w:top w:val="none" w:sz="0" w:space="0" w:color="auto"/>
                    <w:left w:val="none" w:sz="0" w:space="0" w:color="auto"/>
                    <w:bottom w:val="none" w:sz="0" w:space="0" w:color="auto"/>
                    <w:right w:val="none" w:sz="0" w:space="0" w:color="auto"/>
                  </w:divBdr>
                  <w:divsChild>
                    <w:div w:id="1911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3374">
      <w:bodyDiv w:val="1"/>
      <w:marLeft w:val="0"/>
      <w:marRight w:val="0"/>
      <w:marTop w:val="0"/>
      <w:marBottom w:val="0"/>
      <w:divBdr>
        <w:top w:val="none" w:sz="0" w:space="0" w:color="auto"/>
        <w:left w:val="none" w:sz="0" w:space="0" w:color="auto"/>
        <w:bottom w:val="none" w:sz="0" w:space="0" w:color="auto"/>
        <w:right w:val="none" w:sz="0" w:space="0" w:color="auto"/>
      </w:divBdr>
    </w:div>
    <w:div w:id="1612784677">
      <w:bodyDiv w:val="1"/>
      <w:marLeft w:val="0"/>
      <w:marRight w:val="0"/>
      <w:marTop w:val="0"/>
      <w:marBottom w:val="0"/>
      <w:divBdr>
        <w:top w:val="none" w:sz="0" w:space="0" w:color="auto"/>
        <w:left w:val="none" w:sz="0" w:space="0" w:color="auto"/>
        <w:bottom w:val="none" w:sz="0" w:space="0" w:color="auto"/>
        <w:right w:val="none" w:sz="0" w:space="0" w:color="auto"/>
      </w:divBdr>
      <w:divsChild>
        <w:div w:id="1480801880">
          <w:marLeft w:val="0"/>
          <w:marRight w:val="0"/>
          <w:marTop w:val="0"/>
          <w:marBottom w:val="0"/>
          <w:divBdr>
            <w:top w:val="none" w:sz="0" w:space="0" w:color="auto"/>
            <w:left w:val="none" w:sz="0" w:space="0" w:color="auto"/>
            <w:bottom w:val="none" w:sz="0" w:space="0" w:color="auto"/>
            <w:right w:val="none" w:sz="0" w:space="0" w:color="auto"/>
          </w:divBdr>
          <w:divsChild>
            <w:div w:id="1817406964">
              <w:marLeft w:val="0"/>
              <w:marRight w:val="0"/>
              <w:marTop w:val="0"/>
              <w:marBottom w:val="0"/>
              <w:divBdr>
                <w:top w:val="none" w:sz="0" w:space="0" w:color="auto"/>
                <w:left w:val="none" w:sz="0" w:space="0" w:color="auto"/>
                <w:bottom w:val="none" w:sz="0" w:space="0" w:color="auto"/>
                <w:right w:val="none" w:sz="0" w:space="0" w:color="auto"/>
              </w:divBdr>
              <w:divsChild>
                <w:div w:id="823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147">
      <w:bodyDiv w:val="1"/>
      <w:marLeft w:val="0"/>
      <w:marRight w:val="0"/>
      <w:marTop w:val="0"/>
      <w:marBottom w:val="0"/>
      <w:divBdr>
        <w:top w:val="none" w:sz="0" w:space="0" w:color="auto"/>
        <w:left w:val="none" w:sz="0" w:space="0" w:color="auto"/>
        <w:bottom w:val="none" w:sz="0" w:space="0" w:color="auto"/>
        <w:right w:val="none" w:sz="0" w:space="0" w:color="auto"/>
      </w:divBdr>
    </w:div>
    <w:div w:id="1615747262">
      <w:bodyDiv w:val="1"/>
      <w:marLeft w:val="0"/>
      <w:marRight w:val="0"/>
      <w:marTop w:val="0"/>
      <w:marBottom w:val="0"/>
      <w:divBdr>
        <w:top w:val="none" w:sz="0" w:space="0" w:color="auto"/>
        <w:left w:val="none" w:sz="0" w:space="0" w:color="auto"/>
        <w:bottom w:val="none" w:sz="0" w:space="0" w:color="auto"/>
        <w:right w:val="none" w:sz="0" w:space="0" w:color="auto"/>
      </w:divBdr>
    </w:div>
    <w:div w:id="1616212069">
      <w:bodyDiv w:val="1"/>
      <w:marLeft w:val="0"/>
      <w:marRight w:val="0"/>
      <w:marTop w:val="0"/>
      <w:marBottom w:val="0"/>
      <w:divBdr>
        <w:top w:val="none" w:sz="0" w:space="0" w:color="auto"/>
        <w:left w:val="none" w:sz="0" w:space="0" w:color="auto"/>
        <w:bottom w:val="none" w:sz="0" w:space="0" w:color="auto"/>
        <w:right w:val="none" w:sz="0" w:space="0" w:color="auto"/>
      </w:divBdr>
    </w:div>
    <w:div w:id="1617441502">
      <w:bodyDiv w:val="1"/>
      <w:marLeft w:val="0"/>
      <w:marRight w:val="0"/>
      <w:marTop w:val="0"/>
      <w:marBottom w:val="0"/>
      <w:divBdr>
        <w:top w:val="none" w:sz="0" w:space="0" w:color="auto"/>
        <w:left w:val="none" w:sz="0" w:space="0" w:color="auto"/>
        <w:bottom w:val="none" w:sz="0" w:space="0" w:color="auto"/>
        <w:right w:val="none" w:sz="0" w:space="0" w:color="auto"/>
      </w:divBdr>
    </w:div>
    <w:div w:id="1620336869">
      <w:bodyDiv w:val="1"/>
      <w:marLeft w:val="0"/>
      <w:marRight w:val="0"/>
      <w:marTop w:val="0"/>
      <w:marBottom w:val="0"/>
      <w:divBdr>
        <w:top w:val="none" w:sz="0" w:space="0" w:color="auto"/>
        <w:left w:val="none" w:sz="0" w:space="0" w:color="auto"/>
        <w:bottom w:val="none" w:sz="0" w:space="0" w:color="auto"/>
        <w:right w:val="none" w:sz="0" w:space="0" w:color="auto"/>
      </w:divBdr>
      <w:divsChild>
        <w:div w:id="103157280">
          <w:marLeft w:val="0"/>
          <w:marRight w:val="0"/>
          <w:marTop w:val="0"/>
          <w:marBottom w:val="0"/>
          <w:divBdr>
            <w:top w:val="none" w:sz="0" w:space="0" w:color="auto"/>
            <w:left w:val="none" w:sz="0" w:space="0" w:color="auto"/>
            <w:bottom w:val="none" w:sz="0" w:space="0" w:color="auto"/>
            <w:right w:val="none" w:sz="0" w:space="0" w:color="auto"/>
          </w:divBdr>
          <w:divsChild>
            <w:div w:id="1824391381">
              <w:marLeft w:val="0"/>
              <w:marRight w:val="0"/>
              <w:marTop w:val="0"/>
              <w:marBottom w:val="0"/>
              <w:divBdr>
                <w:top w:val="none" w:sz="0" w:space="0" w:color="auto"/>
                <w:left w:val="none" w:sz="0" w:space="0" w:color="auto"/>
                <w:bottom w:val="none" w:sz="0" w:space="0" w:color="auto"/>
                <w:right w:val="none" w:sz="0" w:space="0" w:color="auto"/>
              </w:divBdr>
              <w:divsChild>
                <w:div w:id="1898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9259">
      <w:bodyDiv w:val="1"/>
      <w:marLeft w:val="0"/>
      <w:marRight w:val="0"/>
      <w:marTop w:val="0"/>
      <w:marBottom w:val="0"/>
      <w:divBdr>
        <w:top w:val="none" w:sz="0" w:space="0" w:color="auto"/>
        <w:left w:val="none" w:sz="0" w:space="0" w:color="auto"/>
        <w:bottom w:val="none" w:sz="0" w:space="0" w:color="auto"/>
        <w:right w:val="none" w:sz="0" w:space="0" w:color="auto"/>
      </w:divBdr>
    </w:div>
    <w:div w:id="1627345271">
      <w:bodyDiv w:val="1"/>
      <w:marLeft w:val="0"/>
      <w:marRight w:val="0"/>
      <w:marTop w:val="0"/>
      <w:marBottom w:val="0"/>
      <w:divBdr>
        <w:top w:val="none" w:sz="0" w:space="0" w:color="auto"/>
        <w:left w:val="none" w:sz="0" w:space="0" w:color="auto"/>
        <w:bottom w:val="none" w:sz="0" w:space="0" w:color="auto"/>
        <w:right w:val="none" w:sz="0" w:space="0" w:color="auto"/>
      </w:divBdr>
    </w:div>
    <w:div w:id="1629891387">
      <w:bodyDiv w:val="1"/>
      <w:marLeft w:val="0"/>
      <w:marRight w:val="0"/>
      <w:marTop w:val="0"/>
      <w:marBottom w:val="0"/>
      <w:divBdr>
        <w:top w:val="none" w:sz="0" w:space="0" w:color="auto"/>
        <w:left w:val="none" w:sz="0" w:space="0" w:color="auto"/>
        <w:bottom w:val="none" w:sz="0" w:space="0" w:color="auto"/>
        <w:right w:val="none" w:sz="0" w:space="0" w:color="auto"/>
      </w:divBdr>
      <w:divsChild>
        <w:div w:id="1214775926">
          <w:marLeft w:val="0"/>
          <w:marRight w:val="0"/>
          <w:marTop w:val="0"/>
          <w:marBottom w:val="0"/>
          <w:divBdr>
            <w:top w:val="none" w:sz="0" w:space="0" w:color="auto"/>
            <w:left w:val="none" w:sz="0" w:space="0" w:color="auto"/>
            <w:bottom w:val="none" w:sz="0" w:space="0" w:color="auto"/>
            <w:right w:val="none" w:sz="0" w:space="0" w:color="auto"/>
          </w:divBdr>
          <w:divsChild>
            <w:div w:id="1198398631">
              <w:marLeft w:val="0"/>
              <w:marRight w:val="0"/>
              <w:marTop w:val="0"/>
              <w:marBottom w:val="0"/>
              <w:divBdr>
                <w:top w:val="none" w:sz="0" w:space="0" w:color="auto"/>
                <w:left w:val="none" w:sz="0" w:space="0" w:color="auto"/>
                <w:bottom w:val="none" w:sz="0" w:space="0" w:color="auto"/>
                <w:right w:val="none" w:sz="0" w:space="0" w:color="auto"/>
              </w:divBdr>
              <w:divsChild>
                <w:div w:id="18454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4253">
      <w:bodyDiv w:val="1"/>
      <w:marLeft w:val="0"/>
      <w:marRight w:val="0"/>
      <w:marTop w:val="0"/>
      <w:marBottom w:val="0"/>
      <w:divBdr>
        <w:top w:val="none" w:sz="0" w:space="0" w:color="auto"/>
        <w:left w:val="none" w:sz="0" w:space="0" w:color="auto"/>
        <w:bottom w:val="none" w:sz="0" w:space="0" w:color="auto"/>
        <w:right w:val="none" w:sz="0" w:space="0" w:color="auto"/>
      </w:divBdr>
    </w:div>
    <w:div w:id="1640838679">
      <w:bodyDiv w:val="1"/>
      <w:marLeft w:val="0"/>
      <w:marRight w:val="0"/>
      <w:marTop w:val="0"/>
      <w:marBottom w:val="0"/>
      <w:divBdr>
        <w:top w:val="none" w:sz="0" w:space="0" w:color="auto"/>
        <w:left w:val="none" w:sz="0" w:space="0" w:color="auto"/>
        <w:bottom w:val="none" w:sz="0" w:space="0" w:color="auto"/>
        <w:right w:val="none" w:sz="0" w:space="0" w:color="auto"/>
      </w:divBdr>
      <w:divsChild>
        <w:div w:id="1267495416">
          <w:marLeft w:val="0"/>
          <w:marRight w:val="0"/>
          <w:marTop w:val="0"/>
          <w:marBottom w:val="0"/>
          <w:divBdr>
            <w:top w:val="none" w:sz="0" w:space="0" w:color="auto"/>
            <w:left w:val="none" w:sz="0" w:space="0" w:color="auto"/>
            <w:bottom w:val="none" w:sz="0" w:space="0" w:color="auto"/>
            <w:right w:val="none" w:sz="0" w:space="0" w:color="auto"/>
          </w:divBdr>
          <w:divsChild>
            <w:div w:id="797146750">
              <w:marLeft w:val="0"/>
              <w:marRight w:val="0"/>
              <w:marTop w:val="0"/>
              <w:marBottom w:val="0"/>
              <w:divBdr>
                <w:top w:val="none" w:sz="0" w:space="0" w:color="auto"/>
                <w:left w:val="none" w:sz="0" w:space="0" w:color="auto"/>
                <w:bottom w:val="none" w:sz="0" w:space="0" w:color="auto"/>
                <w:right w:val="none" w:sz="0" w:space="0" w:color="auto"/>
              </w:divBdr>
              <w:divsChild>
                <w:div w:id="1859193224">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79341">
      <w:bodyDiv w:val="1"/>
      <w:marLeft w:val="0"/>
      <w:marRight w:val="0"/>
      <w:marTop w:val="0"/>
      <w:marBottom w:val="0"/>
      <w:divBdr>
        <w:top w:val="none" w:sz="0" w:space="0" w:color="auto"/>
        <w:left w:val="none" w:sz="0" w:space="0" w:color="auto"/>
        <w:bottom w:val="none" w:sz="0" w:space="0" w:color="auto"/>
        <w:right w:val="none" w:sz="0" w:space="0" w:color="auto"/>
      </w:divBdr>
    </w:div>
    <w:div w:id="1643341877">
      <w:bodyDiv w:val="1"/>
      <w:marLeft w:val="0"/>
      <w:marRight w:val="0"/>
      <w:marTop w:val="0"/>
      <w:marBottom w:val="0"/>
      <w:divBdr>
        <w:top w:val="none" w:sz="0" w:space="0" w:color="auto"/>
        <w:left w:val="none" w:sz="0" w:space="0" w:color="auto"/>
        <w:bottom w:val="none" w:sz="0" w:space="0" w:color="auto"/>
        <w:right w:val="none" w:sz="0" w:space="0" w:color="auto"/>
      </w:divBdr>
    </w:div>
    <w:div w:id="1644121938">
      <w:bodyDiv w:val="1"/>
      <w:marLeft w:val="0"/>
      <w:marRight w:val="0"/>
      <w:marTop w:val="0"/>
      <w:marBottom w:val="0"/>
      <w:divBdr>
        <w:top w:val="none" w:sz="0" w:space="0" w:color="auto"/>
        <w:left w:val="none" w:sz="0" w:space="0" w:color="auto"/>
        <w:bottom w:val="none" w:sz="0" w:space="0" w:color="auto"/>
        <w:right w:val="none" w:sz="0" w:space="0" w:color="auto"/>
      </w:divBdr>
    </w:div>
    <w:div w:id="1644846755">
      <w:bodyDiv w:val="1"/>
      <w:marLeft w:val="0"/>
      <w:marRight w:val="0"/>
      <w:marTop w:val="0"/>
      <w:marBottom w:val="0"/>
      <w:divBdr>
        <w:top w:val="none" w:sz="0" w:space="0" w:color="auto"/>
        <w:left w:val="none" w:sz="0" w:space="0" w:color="auto"/>
        <w:bottom w:val="none" w:sz="0" w:space="0" w:color="auto"/>
        <w:right w:val="none" w:sz="0" w:space="0" w:color="auto"/>
      </w:divBdr>
    </w:div>
    <w:div w:id="1645155269">
      <w:bodyDiv w:val="1"/>
      <w:marLeft w:val="0"/>
      <w:marRight w:val="0"/>
      <w:marTop w:val="0"/>
      <w:marBottom w:val="0"/>
      <w:divBdr>
        <w:top w:val="none" w:sz="0" w:space="0" w:color="auto"/>
        <w:left w:val="none" w:sz="0" w:space="0" w:color="auto"/>
        <w:bottom w:val="none" w:sz="0" w:space="0" w:color="auto"/>
        <w:right w:val="none" w:sz="0" w:space="0" w:color="auto"/>
      </w:divBdr>
    </w:div>
    <w:div w:id="1655177754">
      <w:bodyDiv w:val="1"/>
      <w:marLeft w:val="0"/>
      <w:marRight w:val="0"/>
      <w:marTop w:val="0"/>
      <w:marBottom w:val="0"/>
      <w:divBdr>
        <w:top w:val="none" w:sz="0" w:space="0" w:color="auto"/>
        <w:left w:val="none" w:sz="0" w:space="0" w:color="auto"/>
        <w:bottom w:val="none" w:sz="0" w:space="0" w:color="auto"/>
        <w:right w:val="none" w:sz="0" w:space="0" w:color="auto"/>
      </w:divBdr>
    </w:div>
    <w:div w:id="1655910406">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3698991">
      <w:bodyDiv w:val="1"/>
      <w:marLeft w:val="0"/>
      <w:marRight w:val="0"/>
      <w:marTop w:val="0"/>
      <w:marBottom w:val="0"/>
      <w:divBdr>
        <w:top w:val="none" w:sz="0" w:space="0" w:color="auto"/>
        <w:left w:val="none" w:sz="0" w:space="0" w:color="auto"/>
        <w:bottom w:val="none" w:sz="0" w:space="0" w:color="auto"/>
        <w:right w:val="none" w:sz="0" w:space="0" w:color="auto"/>
      </w:divBdr>
      <w:divsChild>
        <w:div w:id="1380860565">
          <w:marLeft w:val="0"/>
          <w:marRight w:val="0"/>
          <w:marTop w:val="0"/>
          <w:marBottom w:val="0"/>
          <w:divBdr>
            <w:top w:val="none" w:sz="0" w:space="0" w:color="auto"/>
            <w:left w:val="none" w:sz="0" w:space="0" w:color="auto"/>
            <w:bottom w:val="none" w:sz="0" w:space="0" w:color="auto"/>
            <w:right w:val="none" w:sz="0" w:space="0" w:color="auto"/>
          </w:divBdr>
          <w:divsChild>
            <w:div w:id="264383119">
              <w:marLeft w:val="0"/>
              <w:marRight w:val="0"/>
              <w:marTop w:val="0"/>
              <w:marBottom w:val="0"/>
              <w:divBdr>
                <w:top w:val="none" w:sz="0" w:space="0" w:color="auto"/>
                <w:left w:val="none" w:sz="0" w:space="0" w:color="auto"/>
                <w:bottom w:val="none" w:sz="0" w:space="0" w:color="auto"/>
                <w:right w:val="none" w:sz="0" w:space="0" w:color="auto"/>
              </w:divBdr>
              <w:divsChild>
                <w:div w:id="389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3708">
      <w:bodyDiv w:val="1"/>
      <w:marLeft w:val="0"/>
      <w:marRight w:val="0"/>
      <w:marTop w:val="0"/>
      <w:marBottom w:val="0"/>
      <w:divBdr>
        <w:top w:val="none" w:sz="0" w:space="0" w:color="auto"/>
        <w:left w:val="none" w:sz="0" w:space="0" w:color="auto"/>
        <w:bottom w:val="none" w:sz="0" w:space="0" w:color="auto"/>
        <w:right w:val="none" w:sz="0" w:space="0" w:color="auto"/>
      </w:divBdr>
    </w:div>
    <w:div w:id="1673871904">
      <w:bodyDiv w:val="1"/>
      <w:marLeft w:val="0"/>
      <w:marRight w:val="0"/>
      <w:marTop w:val="0"/>
      <w:marBottom w:val="0"/>
      <w:divBdr>
        <w:top w:val="none" w:sz="0" w:space="0" w:color="auto"/>
        <w:left w:val="none" w:sz="0" w:space="0" w:color="auto"/>
        <w:bottom w:val="none" w:sz="0" w:space="0" w:color="auto"/>
        <w:right w:val="none" w:sz="0" w:space="0" w:color="auto"/>
      </w:divBdr>
      <w:divsChild>
        <w:div w:id="774638115">
          <w:marLeft w:val="0"/>
          <w:marRight w:val="0"/>
          <w:marTop w:val="0"/>
          <w:marBottom w:val="0"/>
          <w:divBdr>
            <w:top w:val="none" w:sz="0" w:space="0" w:color="auto"/>
            <w:left w:val="none" w:sz="0" w:space="0" w:color="auto"/>
            <w:bottom w:val="none" w:sz="0" w:space="0" w:color="auto"/>
            <w:right w:val="none" w:sz="0" w:space="0" w:color="auto"/>
          </w:divBdr>
          <w:divsChild>
            <w:div w:id="484470279">
              <w:marLeft w:val="0"/>
              <w:marRight w:val="0"/>
              <w:marTop w:val="0"/>
              <w:marBottom w:val="0"/>
              <w:divBdr>
                <w:top w:val="none" w:sz="0" w:space="0" w:color="auto"/>
                <w:left w:val="none" w:sz="0" w:space="0" w:color="auto"/>
                <w:bottom w:val="none" w:sz="0" w:space="0" w:color="auto"/>
                <w:right w:val="none" w:sz="0" w:space="0" w:color="auto"/>
              </w:divBdr>
              <w:divsChild>
                <w:div w:id="370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7957">
      <w:bodyDiv w:val="1"/>
      <w:marLeft w:val="0"/>
      <w:marRight w:val="0"/>
      <w:marTop w:val="0"/>
      <w:marBottom w:val="0"/>
      <w:divBdr>
        <w:top w:val="none" w:sz="0" w:space="0" w:color="auto"/>
        <w:left w:val="none" w:sz="0" w:space="0" w:color="auto"/>
        <w:bottom w:val="none" w:sz="0" w:space="0" w:color="auto"/>
        <w:right w:val="none" w:sz="0" w:space="0" w:color="auto"/>
      </w:divBdr>
      <w:divsChild>
        <w:div w:id="1122267193">
          <w:marLeft w:val="0"/>
          <w:marRight w:val="0"/>
          <w:marTop w:val="0"/>
          <w:marBottom w:val="0"/>
          <w:divBdr>
            <w:top w:val="none" w:sz="0" w:space="0" w:color="auto"/>
            <w:left w:val="none" w:sz="0" w:space="0" w:color="auto"/>
            <w:bottom w:val="none" w:sz="0" w:space="0" w:color="auto"/>
            <w:right w:val="none" w:sz="0" w:space="0" w:color="auto"/>
          </w:divBdr>
          <w:divsChild>
            <w:div w:id="1549341602">
              <w:marLeft w:val="0"/>
              <w:marRight w:val="0"/>
              <w:marTop w:val="0"/>
              <w:marBottom w:val="0"/>
              <w:divBdr>
                <w:top w:val="none" w:sz="0" w:space="0" w:color="auto"/>
                <w:left w:val="none" w:sz="0" w:space="0" w:color="auto"/>
                <w:bottom w:val="none" w:sz="0" w:space="0" w:color="auto"/>
                <w:right w:val="none" w:sz="0" w:space="0" w:color="auto"/>
              </w:divBdr>
              <w:divsChild>
                <w:div w:id="1520460769">
                  <w:marLeft w:val="0"/>
                  <w:marRight w:val="0"/>
                  <w:marTop w:val="0"/>
                  <w:marBottom w:val="0"/>
                  <w:divBdr>
                    <w:top w:val="none" w:sz="0" w:space="0" w:color="auto"/>
                    <w:left w:val="none" w:sz="0" w:space="0" w:color="auto"/>
                    <w:bottom w:val="none" w:sz="0" w:space="0" w:color="auto"/>
                    <w:right w:val="none" w:sz="0" w:space="0" w:color="auto"/>
                  </w:divBdr>
                  <w:divsChild>
                    <w:div w:id="980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04810">
      <w:bodyDiv w:val="1"/>
      <w:marLeft w:val="0"/>
      <w:marRight w:val="0"/>
      <w:marTop w:val="0"/>
      <w:marBottom w:val="0"/>
      <w:divBdr>
        <w:top w:val="none" w:sz="0" w:space="0" w:color="auto"/>
        <w:left w:val="none" w:sz="0" w:space="0" w:color="auto"/>
        <w:bottom w:val="none" w:sz="0" w:space="0" w:color="auto"/>
        <w:right w:val="none" w:sz="0" w:space="0" w:color="auto"/>
      </w:divBdr>
      <w:divsChild>
        <w:div w:id="287858567">
          <w:marLeft w:val="0"/>
          <w:marRight w:val="0"/>
          <w:marTop w:val="0"/>
          <w:marBottom w:val="0"/>
          <w:divBdr>
            <w:top w:val="none" w:sz="0" w:space="0" w:color="auto"/>
            <w:left w:val="none" w:sz="0" w:space="0" w:color="auto"/>
            <w:bottom w:val="none" w:sz="0" w:space="0" w:color="auto"/>
            <w:right w:val="none" w:sz="0" w:space="0" w:color="auto"/>
          </w:divBdr>
          <w:divsChild>
            <w:div w:id="673802381">
              <w:marLeft w:val="0"/>
              <w:marRight w:val="0"/>
              <w:marTop w:val="0"/>
              <w:marBottom w:val="0"/>
              <w:divBdr>
                <w:top w:val="none" w:sz="0" w:space="0" w:color="auto"/>
                <w:left w:val="none" w:sz="0" w:space="0" w:color="auto"/>
                <w:bottom w:val="none" w:sz="0" w:space="0" w:color="auto"/>
                <w:right w:val="none" w:sz="0" w:space="0" w:color="auto"/>
              </w:divBdr>
              <w:divsChild>
                <w:div w:id="1569726440">
                  <w:marLeft w:val="0"/>
                  <w:marRight w:val="0"/>
                  <w:marTop w:val="0"/>
                  <w:marBottom w:val="0"/>
                  <w:divBdr>
                    <w:top w:val="none" w:sz="0" w:space="0" w:color="auto"/>
                    <w:left w:val="none" w:sz="0" w:space="0" w:color="auto"/>
                    <w:bottom w:val="none" w:sz="0" w:space="0" w:color="auto"/>
                    <w:right w:val="none" w:sz="0" w:space="0" w:color="auto"/>
                  </w:divBdr>
                  <w:divsChild>
                    <w:div w:id="4113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9944">
      <w:bodyDiv w:val="1"/>
      <w:marLeft w:val="0"/>
      <w:marRight w:val="0"/>
      <w:marTop w:val="0"/>
      <w:marBottom w:val="0"/>
      <w:divBdr>
        <w:top w:val="none" w:sz="0" w:space="0" w:color="auto"/>
        <w:left w:val="none" w:sz="0" w:space="0" w:color="auto"/>
        <w:bottom w:val="none" w:sz="0" w:space="0" w:color="auto"/>
        <w:right w:val="none" w:sz="0" w:space="0" w:color="auto"/>
      </w:divBdr>
      <w:divsChild>
        <w:div w:id="2050370719">
          <w:marLeft w:val="0"/>
          <w:marRight w:val="0"/>
          <w:marTop w:val="0"/>
          <w:marBottom w:val="0"/>
          <w:divBdr>
            <w:top w:val="none" w:sz="0" w:space="0" w:color="auto"/>
            <w:left w:val="none" w:sz="0" w:space="0" w:color="auto"/>
            <w:bottom w:val="none" w:sz="0" w:space="0" w:color="auto"/>
            <w:right w:val="none" w:sz="0" w:space="0" w:color="auto"/>
          </w:divBdr>
          <w:divsChild>
            <w:div w:id="1638562904">
              <w:marLeft w:val="0"/>
              <w:marRight w:val="0"/>
              <w:marTop w:val="0"/>
              <w:marBottom w:val="0"/>
              <w:divBdr>
                <w:top w:val="none" w:sz="0" w:space="0" w:color="auto"/>
                <w:left w:val="none" w:sz="0" w:space="0" w:color="auto"/>
                <w:bottom w:val="none" w:sz="0" w:space="0" w:color="auto"/>
                <w:right w:val="none" w:sz="0" w:space="0" w:color="auto"/>
              </w:divBdr>
              <w:divsChild>
                <w:div w:id="12531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0047">
      <w:bodyDiv w:val="1"/>
      <w:marLeft w:val="0"/>
      <w:marRight w:val="0"/>
      <w:marTop w:val="0"/>
      <w:marBottom w:val="0"/>
      <w:divBdr>
        <w:top w:val="none" w:sz="0" w:space="0" w:color="auto"/>
        <w:left w:val="none" w:sz="0" w:space="0" w:color="auto"/>
        <w:bottom w:val="none" w:sz="0" w:space="0" w:color="auto"/>
        <w:right w:val="none" w:sz="0" w:space="0" w:color="auto"/>
      </w:divBdr>
    </w:div>
    <w:div w:id="1691182252">
      <w:bodyDiv w:val="1"/>
      <w:marLeft w:val="0"/>
      <w:marRight w:val="0"/>
      <w:marTop w:val="0"/>
      <w:marBottom w:val="0"/>
      <w:divBdr>
        <w:top w:val="none" w:sz="0" w:space="0" w:color="auto"/>
        <w:left w:val="none" w:sz="0" w:space="0" w:color="auto"/>
        <w:bottom w:val="none" w:sz="0" w:space="0" w:color="auto"/>
        <w:right w:val="none" w:sz="0" w:space="0" w:color="auto"/>
      </w:divBdr>
    </w:div>
    <w:div w:id="1694961329">
      <w:bodyDiv w:val="1"/>
      <w:marLeft w:val="0"/>
      <w:marRight w:val="0"/>
      <w:marTop w:val="0"/>
      <w:marBottom w:val="0"/>
      <w:divBdr>
        <w:top w:val="none" w:sz="0" w:space="0" w:color="auto"/>
        <w:left w:val="none" w:sz="0" w:space="0" w:color="auto"/>
        <w:bottom w:val="none" w:sz="0" w:space="0" w:color="auto"/>
        <w:right w:val="none" w:sz="0" w:space="0" w:color="auto"/>
      </w:divBdr>
    </w:div>
    <w:div w:id="1695302180">
      <w:bodyDiv w:val="1"/>
      <w:marLeft w:val="0"/>
      <w:marRight w:val="0"/>
      <w:marTop w:val="0"/>
      <w:marBottom w:val="0"/>
      <w:divBdr>
        <w:top w:val="none" w:sz="0" w:space="0" w:color="auto"/>
        <w:left w:val="none" w:sz="0" w:space="0" w:color="auto"/>
        <w:bottom w:val="none" w:sz="0" w:space="0" w:color="auto"/>
        <w:right w:val="none" w:sz="0" w:space="0" w:color="auto"/>
      </w:divBdr>
      <w:divsChild>
        <w:div w:id="461926417">
          <w:marLeft w:val="0"/>
          <w:marRight w:val="0"/>
          <w:marTop w:val="0"/>
          <w:marBottom w:val="0"/>
          <w:divBdr>
            <w:top w:val="none" w:sz="0" w:space="0" w:color="auto"/>
            <w:left w:val="none" w:sz="0" w:space="0" w:color="auto"/>
            <w:bottom w:val="none" w:sz="0" w:space="0" w:color="auto"/>
            <w:right w:val="none" w:sz="0" w:space="0" w:color="auto"/>
          </w:divBdr>
          <w:divsChild>
            <w:div w:id="540632018">
              <w:marLeft w:val="0"/>
              <w:marRight w:val="0"/>
              <w:marTop w:val="0"/>
              <w:marBottom w:val="0"/>
              <w:divBdr>
                <w:top w:val="none" w:sz="0" w:space="0" w:color="auto"/>
                <w:left w:val="none" w:sz="0" w:space="0" w:color="auto"/>
                <w:bottom w:val="none" w:sz="0" w:space="0" w:color="auto"/>
                <w:right w:val="none" w:sz="0" w:space="0" w:color="auto"/>
              </w:divBdr>
              <w:divsChild>
                <w:div w:id="1524587394">
                  <w:marLeft w:val="0"/>
                  <w:marRight w:val="0"/>
                  <w:marTop w:val="0"/>
                  <w:marBottom w:val="0"/>
                  <w:divBdr>
                    <w:top w:val="none" w:sz="0" w:space="0" w:color="auto"/>
                    <w:left w:val="none" w:sz="0" w:space="0" w:color="auto"/>
                    <w:bottom w:val="none" w:sz="0" w:space="0" w:color="auto"/>
                    <w:right w:val="none" w:sz="0" w:space="0" w:color="auto"/>
                  </w:divBdr>
                  <w:divsChild>
                    <w:div w:id="9462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3375">
      <w:bodyDiv w:val="1"/>
      <w:marLeft w:val="0"/>
      <w:marRight w:val="0"/>
      <w:marTop w:val="0"/>
      <w:marBottom w:val="0"/>
      <w:divBdr>
        <w:top w:val="none" w:sz="0" w:space="0" w:color="auto"/>
        <w:left w:val="none" w:sz="0" w:space="0" w:color="auto"/>
        <w:bottom w:val="none" w:sz="0" w:space="0" w:color="auto"/>
        <w:right w:val="none" w:sz="0" w:space="0" w:color="auto"/>
      </w:divBdr>
      <w:divsChild>
        <w:div w:id="517743254">
          <w:marLeft w:val="0"/>
          <w:marRight w:val="0"/>
          <w:marTop w:val="0"/>
          <w:marBottom w:val="0"/>
          <w:divBdr>
            <w:top w:val="none" w:sz="0" w:space="0" w:color="auto"/>
            <w:left w:val="none" w:sz="0" w:space="0" w:color="auto"/>
            <w:bottom w:val="none" w:sz="0" w:space="0" w:color="auto"/>
            <w:right w:val="none" w:sz="0" w:space="0" w:color="auto"/>
          </w:divBdr>
          <w:divsChild>
            <w:div w:id="652563389">
              <w:marLeft w:val="0"/>
              <w:marRight w:val="0"/>
              <w:marTop w:val="0"/>
              <w:marBottom w:val="0"/>
              <w:divBdr>
                <w:top w:val="none" w:sz="0" w:space="0" w:color="auto"/>
                <w:left w:val="none" w:sz="0" w:space="0" w:color="auto"/>
                <w:bottom w:val="none" w:sz="0" w:space="0" w:color="auto"/>
                <w:right w:val="none" w:sz="0" w:space="0" w:color="auto"/>
              </w:divBdr>
              <w:divsChild>
                <w:div w:id="740297726">
                  <w:marLeft w:val="0"/>
                  <w:marRight w:val="0"/>
                  <w:marTop w:val="0"/>
                  <w:marBottom w:val="0"/>
                  <w:divBdr>
                    <w:top w:val="none" w:sz="0" w:space="0" w:color="auto"/>
                    <w:left w:val="none" w:sz="0" w:space="0" w:color="auto"/>
                    <w:bottom w:val="none" w:sz="0" w:space="0" w:color="auto"/>
                    <w:right w:val="none" w:sz="0" w:space="0" w:color="auto"/>
                  </w:divBdr>
                  <w:divsChild>
                    <w:div w:id="10017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20227">
      <w:bodyDiv w:val="1"/>
      <w:marLeft w:val="0"/>
      <w:marRight w:val="0"/>
      <w:marTop w:val="0"/>
      <w:marBottom w:val="0"/>
      <w:divBdr>
        <w:top w:val="none" w:sz="0" w:space="0" w:color="auto"/>
        <w:left w:val="none" w:sz="0" w:space="0" w:color="auto"/>
        <w:bottom w:val="none" w:sz="0" w:space="0" w:color="auto"/>
        <w:right w:val="none" w:sz="0" w:space="0" w:color="auto"/>
      </w:divBdr>
    </w:div>
    <w:div w:id="1720202017">
      <w:bodyDiv w:val="1"/>
      <w:marLeft w:val="0"/>
      <w:marRight w:val="0"/>
      <w:marTop w:val="0"/>
      <w:marBottom w:val="0"/>
      <w:divBdr>
        <w:top w:val="none" w:sz="0" w:space="0" w:color="auto"/>
        <w:left w:val="none" w:sz="0" w:space="0" w:color="auto"/>
        <w:bottom w:val="none" w:sz="0" w:space="0" w:color="auto"/>
        <w:right w:val="none" w:sz="0" w:space="0" w:color="auto"/>
      </w:divBdr>
      <w:divsChild>
        <w:div w:id="2061904741">
          <w:marLeft w:val="0"/>
          <w:marRight w:val="0"/>
          <w:marTop w:val="0"/>
          <w:marBottom w:val="0"/>
          <w:divBdr>
            <w:top w:val="none" w:sz="0" w:space="0" w:color="auto"/>
            <w:left w:val="none" w:sz="0" w:space="0" w:color="auto"/>
            <w:bottom w:val="none" w:sz="0" w:space="0" w:color="auto"/>
            <w:right w:val="none" w:sz="0" w:space="0" w:color="auto"/>
          </w:divBdr>
          <w:divsChild>
            <w:div w:id="283850522">
              <w:marLeft w:val="0"/>
              <w:marRight w:val="0"/>
              <w:marTop w:val="0"/>
              <w:marBottom w:val="0"/>
              <w:divBdr>
                <w:top w:val="none" w:sz="0" w:space="0" w:color="auto"/>
                <w:left w:val="none" w:sz="0" w:space="0" w:color="auto"/>
                <w:bottom w:val="none" w:sz="0" w:space="0" w:color="auto"/>
                <w:right w:val="none" w:sz="0" w:space="0" w:color="auto"/>
              </w:divBdr>
              <w:divsChild>
                <w:div w:id="1105661333">
                  <w:marLeft w:val="0"/>
                  <w:marRight w:val="0"/>
                  <w:marTop w:val="0"/>
                  <w:marBottom w:val="0"/>
                  <w:divBdr>
                    <w:top w:val="none" w:sz="0" w:space="0" w:color="auto"/>
                    <w:left w:val="none" w:sz="0" w:space="0" w:color="auto"/>
                    <w:bottom w:val="none" w:sz="0" w:space="0" w:color="auto"/>
                    <w:right w:val="none" w:sz="0" w:space="0" w:color="auto"/>
                  </w:divBdr>
                  <w:divsChild>
                    <w:div w:id="8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7124">
      <w:bodyDiv w:val="1"/>
      <w:marLeft w:val="0"/>
      <w:marRight w:val="0"/>
      <w:marTop w:val="0"/>
      <w:marBottom w:val="0"/>
      <w:divBdr>
        <w:top w:val="none" w:sz="0" w:space="0" w:color="auto"/>
        <w:left w:val="none" w:sz="0" w:space="0" w:color="auto"/>
        <w:bottom w:val="none" w:sz="0" w:space="0" w:color="auto"/>
        <w:right w:val="none" w:sz="0" w:space="0" w:color="auto"/>
      </w:divBdr>
      <w:divsChild>
        <w:div w:id="1230582193">
          <w:marLeft w:val="0"/>
          <w:marRight w:val="0"/>
          <w:marTop w:val="0"/>
          <w:marBottom w:val="0"/>
          <w:divBdr>
            <w:top w:val="none" w:sz="0" w:space="0" w:color="auto"/>
            <w:left w:val="none" w:sz="0" w:space="0" w:color="auto"/>
            <w:bottom w:val="none" w:sz="0" w:space="0" w:color="auto"/>
            <w:right w:val="none" w:sz="0" w:space="0" w:color="auto"/>
          </w:divBdr>
          <w:divsChild>
            <w:div w:id="1343389013">
              <w:marLeft w:val="0"/>
              <w:marRight w:val="0"/>
              <w:marTop w:val="0"/>
              <w:marBottom w:val="0"/>
              <w:divBdr>
                <w:top w:val="none" w:sz="0" w:space="0" w:color="auto"/>
                <w:left w:val="none" w:sz="0" w:space="0" w:color="auto"/>
                <w:bottom w:val="none" w:sz="0" w:space="0" w:color="auto"/>
                <w:right w:val="none" w:sz="0" w:space="0" w:color="auto"/>
              </w:divBdr>
              <w:divsChild>
                <w:div w:id="17236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1912">
      <w:bodyDiv w:val="1"/>
      <w:marLeft w:val="0"/>
      <w:marRight w:val="0"/>
      <w:marTop w:val="0"/>
      <w:marBottom w:val="0"/>
      <w:divBdr>
        <w:top w:val="none" w:sz="0" w:space="0" w:color="auto"/>
        <w:left w:val="none" w:sz="0" w:space="0" w:color="auto"/>
        <w:bottom w:val="none" w:sz="0" w:space="0" w:color="auto"/>
        <w:right w:val="none" w:sz="0" w:space="0" w:color="auto"/>
      </w:divBdr>
    </w:div>
    <w:div w:id="1726484876">
      <w:bodyDiv w:val="1"/>
      <w:marLeft w:val="0"/>
      <w:marRight w:val="0"/>
      <w:marTop w:val="0"/>
      <w:marBottom w:val="0"/>
      <w:divBdr>
        <w:top w:val="none" w:sz="0" w:space="0" w:color="auto"/>
        <w:left w:val="none" w:sz="0" w:space="0" w:color="auto"/>
        <w:bottom w:val="none" w:sz="0" w:space="0" w:color="auto"/>
        <w:right w:val="none" w:sz="0" w:space="0" w:color="auto"/>
      </w:divBdr>
    </w:div>
    <w:div w:id="1728533057">
      <w:bodyDiv w:val="1"/>
      <w:marLeft w:val="0"/>
      <w:marRight w:val="0"/>
      <w:marTop w:val="0"/>
      <w:marBottom w:val="0"/>
      <w:divBdr>
        <w:top w:val="none" w:sz="0" w:space="0" w:color="auto"/>
        <w:left w:val="none" w:sz="0" w:space="0" w:color="auto"/>
        <w:bottom w:val="none" w:sz="0" w:space="0" w:color="auto"/>
        <w:right w:val="none" w:sz="0" w:space="0" w:color="auto"/>
      </w:divBdr>
    </w:div>
    <w:div w:id="1729379205">
      <w:bodyDiv w:val="1"/>
      <w:marLeft w:val="0"/>
      <w:marRight w:val="0"/>
      <w:marTop w:val="0"/>
      <w:marBottom w:val="0"/>
      <w:divBdr>
        <w:top w:val="none" w:sz="0" w:space="0" w:color="auto"/>
        <w:left w:val="none" w:sz="0" w:space="0" w:color="auto"/>
        <w:bottom w:val="none" w:sz="0" w:space="0" w:color="auto"/>
        <w:right w:val="none" w:sz="0" w:space="0" w:color="auto"/>
      </w:divBdr>
      <w:divsChild>
        <w:div w:id="1637443664">
          <w:marLeft w:val="0"/>
          <w:marRight w:val="0"/>
          <w:marTop w:val="0"/>
          <w:marBottom w:val="0"/>
          <w:divBdr>
            <w:top w:val="none" w:sz="0" w:space="0" w:color="auto"/>
            <w:left w:val="none" w:sz="0" w:space="0" w:color="auto"/>
            <w:bottom w:val="none" w:sz="0" w:space="0" w:color="auto"/>
            <w:right w:val="none" w:sz="0" w:space="0" w:color="auto"/>
          </w:divBdr>
          <w:divsChild>
            <w:div w:id="429008211">
              <w:marLeft w:val="0"/>
              <w:marRight w:val="0"/>
              <w:marTop w:val="0"/>
              <w:marBottom w:val="0"/>
              <w:divBdr>
                <w:top w:val="none" w:sz="0" w:space="0" w:color="auto"/>
                <w:left w:val="none" w:sz="0" w:space="0" w:color="auto"/>
                <w:bottom w:val="none" w:sz="0" w:space="0" w:color="auto"/>
                <w:right w:val="none" w:sz="0" w:space="0" w:color="auto"/>
              </w:divBdr>
              <w:divsChild>
                <w:div w:id="1859418918">
                  <w:marLeft w:val="0"/>
                  <w:marRight w:val="0"/>
                  <w:marTop w:val="0"/>
                  <w:marBottom w:val="0"/>
                  <w:divBdr>
                    <w:top w:val="none" w:sz="0" w:space="0" w:color="auto"/>
                    <w:left w:val="none" w:sz="0" w:space="0" w:color="auto"/>
                    <w:bottom w:val="none" w:sz="0" w:space="0" w:color="auto"/>
                    <w:right w:val="none" w:sz="0" w:space="0" w:color="auto"/>
                  </w:divBdr>
                  <w:divsChild>
                    <w:div w:id="19256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0626">
      <w:bodyDiv w:val="1"/>
      <w:marLeft w:val="0"/>
      <w:marRight w:val="0"/>
      <w:marTop w:val="0"/>
      <w:marBottom w:val="0"/>
      <w:divBdr>
        <w:top w:val="none" w:sz="0" w:space="0" w:color="auto"/>
        <w:left w:val="none" w:sz="0" w:space="0" w:color="auto"/>
        <w:bottom w:val="none" w:sz="0" w:space="0" w:color="auto"/>
        <w:right w:val="none" w:sz="0" w:space="0" w:color="auto"/>
      </w:divBdr>
      <w:divsChild>
        <w:div w:id="568735123">
          <w:marLeft w:val="0"/>
          <w:marRight w:val="0"/>
          <w:marTop w:val="0"/>
          <w:marBottom w:val="0"/>
          <w:divBdr>
            <w:top w:val="none" w:sz="0" w:space="0" w:color="auto"/>
            <w:left w:val="none" w:sz="0" w:space="0" w:color="auto"/>
            <w:bottom w:val="none" w:sz="0" w:space="0" w:color="auto"/>
            <w:right w:val="none" w:sz="0" w:space="0" w:color="auto"/>
          </w:divBdr>
          <w:divsChild>
            <w:div w:id="201017350">
              <w:marLeft w:val="0"/>
              <w:marRight w:val="0"/>
              <w:marTop w:val="0"/>
              <w:marBottom w:val="0"/>
              <w:divBdr>
                <w:top w:val="none" w:sz="0" w:space="0" w:color="auto"/>
                <w:left w:val="none" w:sz="0" w:space="0" w:color="auto"/>
                <w:bottom w:val="none" w:sz="0" w:space="0" w:color="auto"/>
                <w:right w:val="none" w:sz="0" w:space="0" w:color="auto"/>
              </w:divBdr>
              <w:divsChild>
                <w:div w:id="9294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7871">
      <w:bodyDiv w:val="1"/>
      <w:marLeft w:val="0"/>
      <w:marRight w:val="0"/>
      <w:marTop w:val="0"/>
      <w:marBottom w:val="0"/>
      <w:divBdr>
        <w:top w:val="none" w:sz="0" w:space="0" w:color="auto"/>
        <w:left w:val="none" w:sz="0" w:space="0" w:color="auto"/>
        <w:bottom w:val="none" w:sz="0" w:space="0" w:color="auto"/>
        <w:right w:val="none" w:sz="0" w:space="0" w:color="auto"/>
      </w:divBdr>
      <w:divsChild>
        <w:div w:id="609776287">
          <w:marLeft w:val="0"/>
          <w:marRight w:val="0"/>
          <w:marTop w:val="0"/>
          <w:marBottom w:val="0"/>
          <w:divBdr>
            <w:top w:val="none" w:sz="0" w:space="0" w:color="auto"/>
            <w:left w:val="none" w:sz="0" w:space="0" w:color="auto"/>
            <w:bottom w:val="none" w:sz="0" w:space="0" w:color="auto"/>
            <w:right w:val="none" w:sz="0" w:space="0" w:color="auto"/>
          </w:divBdr>
          <w:divsChild>
            <w:div w:id="1073116769">
              <w:marLeft w:val="0"/>
              <w:marRight w:val="0"/>
              <w:marTop w:val="0"/>
              <w:marBottom w:val="0"/>
              <w:divBdr>
                <w:top w:val="none" w:sz="0" w:space="0" w:color="auto"/>
                <w:left w:val="none" w:sz="0" w:space="0" w:color="auto"/>
                <w:bottom w:val="none" w:sz="0" w:space="0" w:color="auto"/>
                <w:right w:val="none" w:sz="0" w:space="0" w:color="auto"/>
              </w:divBdr>
              <w:divsChild>
                <w:div w:id="670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138">
      <w:bodyDiv w:val="1"/>
      <w:marLeft w:val="0"/>
      <w:marRight w:val="0"/>
      <w:marTop w:val="0"/>
      <w:marBottom w:val="0"/>
      <w:divBdr>
        <w:top w:val="none" w:sz="0" w:space="0" w:color="auto"/>
        <w:left w:val="none" w:sz="0" w:space="0" w:color="auto"/>
        <w:bottom w:val="none" w:sz="0" w:space="0" w:color="auto"/>
        <w:right w:val="none" w:sz="0" w:space="0" w:color="auto"/>
      </w:divBdr>
      <w:divsChild>
        <w:div w:id="874120598">
          <w:marLeft w:val="0"/>
          <w:marRight w:val="0"/>
          <w:marTop w:val="0"/>
          <w:marBottom w:val="0"/>
          <w:divBdr>
            <w:top w:val="none" w:sz="0" w:space="0" w:color="auto"/>
            <w:left w:val="none" w:sz="0" w:space="0" w:color="auto"/>
            <w:bottom w:val="none" w:sz="0" w:space="0" w:color="auto"/>
            <w:right w:val="none" w:sz="0" w:space="0" w:color="auto"/>
          </w:divBdr>
          <w:divsChild>
            <w:div w:id="1029259326">
              <w:marLeft w:val="0"/>
              <w:marRight w:val="0"/>
              <w:marTop w:val="0"/>
              <w:marBottom w:val="0"/>
              <w:divBdr>
                <w:top w:val="none" w:sz="0" w:space="0" w:color="auto"/>
                <w:left w:val="none" w:sz="0" w:space="0" w:color="auto"/>
                <w:bottom w:val="none" w:sz="0" w:space="0" w:color="auto"/>
                <w:right w:val="none" w:sz="0" w:space="0" w:color="auto"/>
              </w:divBdr>
              <w:divsChild>
                <w:div w:id="20398400">
                  <w:marLeft w:val="0"/>
                  <w:marRight w:val="0"/>
                  <w:marTop w:val="0"/>
                  <w:marBottom w:val="0"/>
                  <w:divBdr>
                    <w:top w:val="none" w:sz="0" w:space="0" w:color="auto"/>
                    <w:left w:val="none" w:sz="0" w:space="0" w:color="auto"/>
                    <w:bottom w:val="none" w:sz="0" w:space="0" w:color="auto"/>
                    <w:right w:val="none" w:sz="0" w:space="0" w:color="auto"/>
                  </w:divBdr>
                  <w:divsChild>
                    <w:div w:id="21403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70462">
      <w:bodyDiv w:val="1"/>
      <w:marLeft w:val="0"/>
      <w:marRight w:val="0"/>
      <w:marTop w:val="0"/>
      <w:marBottom w:val="0"/>
      <w:divBdr>
        <w:top w:val="none" w:sz="0" w:space="0" w:color="auto"/>
        <w:left w:val="none" w:sz="0" w:space="0" w:color="auto"/>
        <w:bottom w:val="none" w:sz="0" w:space="0" w:color="auto"/>
        <w:right w:val="none" w:sz="0" w:space="0" w:color="auto"/>
      </w:divBdr>
    </w:div>
    <w:div w:id="1740404125">
      <w:bodyDiv w:val="1"/>
      <w:marLeft w:val="0"/>
      <w:marRight w:val="0"/>
      <w:marTop w:val="0"/>
      <w:marBottom w:val="0"/>
      <w:divBdr>
        <w:top w:val="none" w:sz="0" w:space="0" w:color="auto"/>
        <w:left w:val="none" w:sz="0" w:space="0" w:color="auto"/>
        <w:bottom w:val="none" w:sz="0" w:space="0" w:color="auto"/>
        <w:right w:val="none" w:sz="0" w:space="0" w:color="auto"/>
      </w:divBdr>
      <w:divsChild>
        <w:div w:id="459423297">
          <w:marLeft w:val="0"/>
          <w:marRight w:val="0"/>
          <w:marTop w:val="0"/>
          <w:marBottom w:val="0"/>
          <w:divBdr>
            <w:top w:val="none" w:sz="0" w:space="0" w:color="auto"/>
            <w:left w:val="none" w:sz="0" w:space="0" w:color="auto"/>
            <w:bottom w:val="none" w:sz="0" w:space="0" w:color="auto"/>
            <w:right w:val="none" w:sz="0" w:space="0" w:color="auto"/>
          </w:divBdr>
          <w:divsChild>
            <w:div w:id="1083262127">
              <w:marLeft w:val="0"/>
              <w:marRight w:val="0"/>
              <w:marTop w:val="0"/>
              <w:marBottom w:val="0"/>
              <w:divBdr>
                <w:top w:val="none" w:sz="0" w:space="0" w:color="auto"/>
                <w:left w:val="none" w:sz="0" w:space="0" w:color="auto"/>
                <w:bottom w:val="none" w:sz="0" w:space="0" w:color="auto"/>
                <w:right w:val="none" w:sz="0" w:space="0" w:color="auto"/>
              </w:divBdr>
              <w:divsChild>
                <w:div w:id="1933463456">
                  <w:marLeft w:val="0"/>
                  <w:marRight w:val="0"/>
                  <w:marTop w:val="0"/>
                  <w:marBottom w:val="0"/>
                  <w:divBdr>
                    <w:top w:val="none" w:sz="0" w:space="0" w:color="auto"/>
                    <w:left w:val="none" w:sz="0" w:space="0" w:color="auto"/>
                    <w:bottom w:val="none" w:sz="0" w:space="0" w:color="auto"/>
                    <w:right w:val="none" w:sz="0" w:space="0" w:color="auto"/>
                  </w:divBdr>
                  <w:divsChild>
                    <w:div w:id="1412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5332">
      <w:bodyDiv w:val="1"/>
      <w:marLeft w:val="0"/>
      <w:marRight w:val="0"/>
      <w:marTop w:val="0"/>
      <w:marBottom w:val="0"/>
      <w:divBdr>
        <w:top w:val="none" w:sz="0" w:space="0" w:color="auto"/>
        <w:left w:val="none" w:sz="0" w:space="0" w:color="auto"/>
        <w:bottom w:val="none" w:sz="0" w:space="0" w:color="auto"/>
        <w:right w:val="none" w:sz="0" w:space="0" w:color="auto"/>
      </w:divBdr>
    </w:div>
    <w:div w:id="1746948606">
      <w:bodyDiv w:val="1"/>
      <w:marLeft w:val="0"/>
      <w:marRight w:val="0"/>
      <w:marTop w:val="0"/>
      <w:marBottom w:val="0"/>
      <w:divBdr>
        <w:top w:val="none" w:sz="0" w:space="0" w:color="auto"/>
        <w:left w:val="none" w:sz="0" w:space="0" w:color="auto"/>
        <w:bottom w:val="none" w:sz="0" w:space="0" w:color="auto"/>
        <w:right w:val="none" w:sz="0" w:space="0" w:color="auto"/>
      </w:divBdr>
    </w:div>
    <w:div w:id="1747340576">
      <w:bodyDiv w:val="1"/>
      <w:marLeft w:val="0"/>
      <w:marRight w:val="0"/>
      <w:marTop w:val="0"/>
      <w:marBottom w:val="0"/>
      <w:divBdr>
        <w:top w:val="none" w:sz="0" w:space="0" w:color="auto"/>
        <w:left w:val="none" w:sz="0" w:space="0" w:color="auto"/>
        <w:bottom w:val="none" w:sz="0" w:space="0" w:color="auto"/>
        <w:right w:val="none" w:sz="0" w:space="0" w:color="auto"/>
      </w:divBdr>
      <w:divsChild>
        <w:div w:id="439449621">
          <w:marLeft w:val="0"/>
          <w:marRight w:val="0"/>
          <w:marTop w:val="0"/>
          <w:marBottom w:val="0"/>
          <w:divBdr>
            <w:top w:val="none" w:sz="0" w:space="0" w:color="auto"/>
            <w:left w:val="none" w:sz="0" w:space="0" w:color="auto"/>
            <w:bottom w:val="none" w:sz="0" w:space="0" w:color="auto"/>
            <w:right w:val="none" w:sz="0" w:space="0" w:color="auto"/>
          </w:divBdr>
          <w:divsChild>
            <w:div w:id="1536238215">
              <w:marLeft w:val="0"/>
              <w:marRight w:val="0"/>
              <w:marTop w:val="0"/>
              <w:marBottom w:val="0"/>
              <w:divBdr>
                <w:top w:val="none" w:sz="0" w:space="0" w:color="auto"/>
                <w:left w:val="none" w:sz="0" w:space="0" w:color="auto"/>
                <w:bottom w:val="none" w:sz="0" w:space="0" w:color="auto"/>
                <w:right w:val="none" w:sz="0" w:space="0" w:color="auto"/>
              </w:divBdr>
              <w:divsChild>
                <w:div w:id="1816407386">
                  <w:marLeft w:val="0"/>
                  <w:marRight w:val="0"/>
                  <w:marTop w:val="0"/>
                  <w:marBottom w:val="0"/>
                  <w:divBdr>
                    <w:top w:val="none" w:sz="0" w:space="0" w:color="auto"/>
                    <w:left w:val="none" w:sz="0" w:space="0" w:color="auto"/>
                    <w:bottom w:val="none" w:sz="0" w:space="0" w:color="auto"/>
                    <w:right w:val="none" w:sz="0" w:space="0" w:color="auto"/>
                  </w:divBdr>
                  <w:divsChild>
                    <w:div w:id="9139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95261">
      <w:bodyDiv w:val="1"/>
      <w:marLeft w:val="0"/>
      <w:marRight w:val="0"/>
      <w:marTop w:val="0"/>
      <w:marBottom w:val="0"/>
      <w:divBdr>
        <w:top w:val="none" w:sz="0" w:space="0" w:color="auto"/>
        <w:left w:val="none" w:sz="0" w:space="0" w:color="auto"/>
        <w:bottom w:val="none" w:sz="0" w:space="0" w:color="auto"/>
        <w:right w:val="none" w:sz="0" w:space="0" w:color="auto"/>
      </w:divBdr>
      <w:divsChild>
        <w:div w:id="1065372396">
          <w:marLeft w:val="0"/>
          <w:marRight w:val="0"/>
          <w:marTop w:val="0"/>
          <w:marBottom w:val="0"/>
          <w:divBdr>
            <w:top w:val="single" w:sz="2" w:space="0" w:color="auto"/>
            <w:left w:val="single" w:sz="2" w:space="0" w:color="auto"/>
            <w:bottom w:val="single" w:sz="2" w:space="0" w:color="auto"/>
            <w:right w:val="single" w:sz="2" w:space="0" w:color="auto"/>
          </w:divBdr>
        </w:div>
        <w:div w:id="1774126535">
          <w:marLeft w:val="0"/>
          <w:marRight w:val="0"/>
          <w:marTop w:val="0"/>
          <w:marBottom w:val="0"/>
          <w:divBdr>
            <w:top w:val="single" w:sz="2" w:space="5" w:color="auto"/>
            <w:left w:val="single" w:sz="2" w:space="0" w:color="auto"/>
            <w:bottom w:val="single" w:sz="2" w:space="5" w:color="auto"/>
            <w:right w:val="single" w:sz="2" w:space="0" w:color="auto"/>
          </w:divBdr>
        </w:div>
      </w:divsChild>
    </w:div>
    <w:div w:id="1753042941">
      <w:bodyDiv w:val="1"/>
      <w:marLeft w:val="0"/>
      <w:marRight w:val="0"/>
      <w:marTop w:val="0"/>
      <w:marBottom w:val="0"/>
      <w:divBdr>
        <w:top w:val="none" w:sz="0" w:space="0" w:color="auto"/>
        <w:left w:val="none" w:sz="0" w:space="0" w:color="auto"/>
        <w:bottom w:val="none" w:sz="0" w:space="0" w:color="auto"/>
        <w:right w:val="none" w:sz="0" w:space="0" w:color="auto"/>
      </w:divBdr>
    </w:div>
    <w:div w:id="1756972886">
      <w:bodyDiv w:val="1"/>
      <w:marLeft w:val="0"/>
      <w:marRight w:val="0"/>
      <w:marTop w:val="0"/>
      <w:marBottom w:val="0"/>
      <w:divBdr>
        <w:top w:val="none" w:sz="0" w:space="0" w:color="auto"/>
        <w:left w:val="none" w:sz="0" w:space="0" w:color="auto"/>
        <w:bottom w:val="none" w:sz="0" w:space="0" w:color="auto"/>
        <w:right w:val="none" w:sz="0" w:space="0" w:color="auto"/>
      </w:divBdr>
      <w:divsChild>
        <w:div w:id="620452119">
          <w:marLeft w:val="0"/>
          <w:marRight w:val="0"/>
          <w:marTop w:val="0"/>
          <w:marBottom w:val="0"/>
          <w:divBdr>
            <w:top w:val="none" w:sz="0" w:space="0" w:color="auto"/>
            <w:left w:val="none" w:sz="0" w:space="0" w:color="auto"/>
            <w:bottom w:val="none" w:sz="0" w:space="0" w:color="auto"/>
            <w:right w:val="none" w:sz="0" w:space="0" w:color="auto"/>
          </w:divBdr>
          <w:divsChild>
            <w:div w:id="375128172">
              <w:marLeft w:val="0"/>
              <w:marRight w:val="0"/>
              <w:marTop w:val="0"/>
              <w:marBottom w:val="0"/>
              <w:divBdr>
                <w:top w:val="none" w:sz="0" w:space="0" w:color="auto"/>
                <w:left w:val="none" w:sz="0" w:space="0" w:color="auto"/>
                <w:bottom w:val="none" w:sz="0" w:space="0" w:color="auto"/>
                <w:right w:val="none" w:sz="0" w:space="0" w:color="auto"/>
              </w:divBdr>
              <w:divsChild>
                <w:div w:id="7290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2495">
      <w:bodyDiv w:val="1"/>
      <w:marLeft w:val="0"/>
      <w:marRight w:val="0"/>
      <w:marTop w:val="0"/>
      <w:marBottom w:val="0"/>
      <w:divBdr>
        <w:top w:val="none" w:sz="0" w:space="0" w:color="auto"/>
        <w:left w:val="none" w:sz="0" w:space="0" w:color="auto"/>
        <w:bottom w:val="none" w:sz="0" w:space="0" w:color="auto"/>
        <w:right w:val="none" w:sz="0" w:space="0" w:color="auto"/>
      </w:divBdr>
    </w:div>
    <w:div w:id="1760373765">
      <w:bodyDiv w:val="1"/>
      <w:marLeft w:val="0"/>
      <w:marRight w:val="0"/>
      <w:marTop w:val="0"/>
      <w:marBottom w:val="0"/>
      <w:divBdr>
        <w:top w:val="none" w:sz="0" w:space="0" w:color="auto"/>
        <w:left w:val="none" w:sz="0" w:space="0" w:color="auto"/>
        <w:bottom w:val="none" w:sz="0" w:space="0" w:color="auto"/>
        <w:right w:val="none" w:sz="0" w:space="0" w:color="auto"/>
      </w:divBdr>
    </w:div>
    <w:div w:id="1768305758">
      <w:bodyDiv w:val="1"/>
      <w:marLeft w:val="0"/>
      <w:marRight w:val="0"/>
      <w:marTop w:val="0"/>
      <w:marBottom w:val="0"/>
      <w:divBdr>
        <w:top w:val="none" w:sz="0" w:space="0" w:color="auto"/>
        <w:left w:val="none" w:sz="0" w:space="0" w:color="auto"/>
        <w:bottom w:val="none" w:sz="0" w:space="0" w:color="auto"/>
        <w:right w:val="none" w:sz="0" w:space="0" w:color="auto"/>
      </w:divBdr>
      <w:divsChild>
        <w:div w:id="1453744745">
          <w:marLeft w:val="0"/>
          <w:marRight w:val="0"/>
          <w:marTop w:val="0"/>
          <w:marBottom w:val="0"/>
          <w:divBdr>
            <w:top w:val="none" w:sz="0" w:space="0" w:color="auto"/>
            <w:left w:val="none" w:sz="0" w:space="0" w:color="auto"/>
            <w:bottom w:val="none" w:sz="0" w:space="0" w:color="auto"/>
            <w:right w:val="none" w:sz="0" w:space="0" w:color="auto"/>
          </w:divBdr>
          <w:divsChild>
            <w:div w:id="1877813306">
              <w:marLeft w:val="0"/>
              <w:marRight w:val="0"/>
              <w:marTop w:val="0"/>
              <w:marBottom w:val="0"/>
              <w:divBdr>
                <w:top w:val="none" w:sz="0" w:space="0" w:color="auto"/>
                <w:left w:val="none" w:sz="0" w:space="0" w:color="auto"/>
                <w:bottom w:val="none" w:sz="0" w:space="0" w:color="auto"/>
                <w:right w:val="none" w:sz="0" w:space="0" w:color="auto"/>
              </w:divBdr>
              <w:divsChild>
                <w:div w:id="657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532">
      <w:bodyDiv w:val="1"/>
      <w:marLeft w:val="0"/>
      <w:marRight w:val="0"/>
      <w:marTop w:val="0"/>
      <w:marBottom w:val="0"/>
      <w:divBdr>
        <w:top w:val="none" w:sz="0" w:space="0" w:color="auto"/>
        <w:left w:val="none" w:sz="0" w:space="0" w:color="auto"/>
        <w:bottom w:val="none" w:sz="0" w:space="0" w:color="auto"/>
        <w:right w:val="none" w:sz="0" w:space="0" w:color="auto"/>
      </w:divBdr>
    </w:div>
    <w:div w:id="1773014333">
      <w:bodyDiv w:val="1"/>
      <w:marLeft w:val="0"/>
      <w:marRight w:val="0"/>
      <w:marTop w:val="0"/>
      <w:marBottom w:val="0"/>
      <w:divBdr>
        <w:top w:val="none" w:sz="0" w:space="0" w:color="auto"/>
        <w:left w:val="none" w:sz="0" w:space="0" w:color="auto"/>
        <w:bottom w:val="none" w:sz="0" w:space="0" w:color="auto"/>
        <w:right w:val="none" w:sz="0" w:space="0" w:color="auto"/>
      </w:divBdr>
      <w:divsChild>
        <w:div w:id="1685324709">
          <w:marLeft w:val="0"/>
          <w:marRight w:val="0"/>
          <w:marTop w:val="0"/>
          <w:marBottom w:val="0"/>
          <w:divBdr>
            <w:top w:val="none" w:sz="0" w:space="0" w:color="auto"/>
            <w:left w:val="none" w:sz="0" w:space="0" w:color="auto"/>
            <w:bottom w:val="none" w:sz="0" w:space="0" w:color="auto"/>
            <w:right w:val="none" w:sz="0" w:space="0" w:color="auto"/>
          </w:divBdr>
          <w:divsChild>
            <w:div w:id="388186930">
              <w:marLeft w:val="0"/>
              <w:marRight w:val="0"/>
              <w:marTop w:val="0"/>
              <w:marBottom w:val="0"/>
              <w:divBdr>
                <w:top w:val="none" w:sz="0" w:space="0" w:color="auto"/>
                <w:left w:val="none" w:sz="0" w:space="0" w:color="auto"/>
                <w:bottom w:val="none" w:sz="0" w:space="0" w:color="auto"/>
                <w:right w:val="none" w:sz="0" w:space="0" w:color="auto"/>
              </w:divBdr>
              <w:divsChild>
                <w:div w:id="174881895">
                  <w:marLeft w:val="0"/>
                  <w:marRight w:val="0"/>
                  <w:marTop w:val="0"/>
                  <w:marBottom w:val="0"/>
                  <w:divBdr>
                    <w:top w:val="none" w:sz="0" w:space="0" w:color="auto"/>
                    <w:left w:val="none" w:sz="0" w:space="0" w:color="auto"/>
                    <w:bottom w:val="none" w:sz="0" w:space="0" w:color="auto"/>
                    <w:right w:val="none" w:sz="0" w:space="0" w:color="auto"/>
                  </w:divBdr>
                  <w:divsChild>
                    <w:div w:id="6376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88793">
      <w:bodyDiv w:val="1"/>
      <w:marLeft w:val="0"/>
      <w:marRight w:val="0"/>
      <w:marTop w:val="0"/>
      <w:marBottom w:val="0"/>
      <w:divBdr>
        <w:top w:val="none" w:sz="0" w:space="0" w:color="auto"/>
        <w:left w:val="none" w:sz="0" w:space="0" w:color="auto"/>
        <w:bottom w:val="none" w:sz="0" w:space="0" w:color="auto"/>
        <w:right w:val="none" w:sz="0" w:space="0" w:color="auto"/>
      </w:divBdr>
    </w:div>
    <w:div w:id="1774936820">
      <w:bodyDiv w:val="1"/>
      <w:marLeft w:val="0"/>
      <w:marRight w:val="0"/>
      <w:marTop w:val="0"/>
      <w:marBottom w:val="0"/>
      <w:divBdr>
        <w:top w:val="none" w:sz="0" w:space="0" w:color="auto"/>
        <w:left w:val="none" w:sz="0" w:space="0" w:color="auto"/>
        <w:bottom w:val="none" w:sz="0" w:space="0" w:color="auto"/>
        <w:right w:val="none" w:sz="0" w:space="0" w:color="auto"/>
      </w:divBdr>
    </w:div>
    <w:div w:id="1776092137">
      <w:bodyDiv w:val="1"/>
      <w:marLeft w:val="0"/>
      <w:marRight w:val="0"/>
      <w:marTop w:val="0"/>
      <w:marBottom w:val="0"/>
      <w:divBdr>
        <w:top w:val="none" w:sz="0" w:space="0" w:color="auto"/>
        <w:left w:val="none" w:sz="0" w:space="0" w:color="auto"/>
        <w:bottom w:val="none" w:sz="0" w:space="0" w:color="auto"/>
        <w:right w:val="none" w:sz="0" w:space="0" w:color="auto"/>
      </w:divBdr>
    </w:div>
    <w:div w:id="1778988838">
      <w:bodyDiv w:val="1"/>
      <w:marLeft w:val="0"/>
      <w:marRight w:val="0"/>
      <w:marTop w:val="0"/>
      <w:marBottom w:val="0"/>
      <w:divBdr>
        <w:top w:val="none" w:sz="0" w:space="0" w:color="auto"/>
        <w:left w:val="none" w:sz="0" w:space="0" w:color="auto"/>
        <w:bottom w:val="none" w:sz="0" w:space="0" w:color="auto"/>
        <w:right w:val="none" w:sz="0" w:space="0" w:color="auto"/>
      </w:divBdr>
    </w:div>
    <w:div w:id="1779258601">
      <w:bodyDiv w:val="1"/>
      <w:marLeft w:val="0"/>
      <w:marRight w:val="0"/>
      <w:marTop w:val="0"/>
      <w:marBottom w:val="0"/>
      <w:divBdr>
        <w:top w:val="none" w:sz="0" w:space="0" w:color="auto"/>
        <w:left w:val="none" w:sz="0" w:space="0" w:color="auto"/>
        <w:bottom w:val="none" w:sz="0" w:space="0" w:color="auto"/>
        <w:right w:val="none" w:sz="0" w:space="0" w:color="auto"/>
      </w:divBdr>
    </w:div>
    <w:div w:id="1781754878">
      <w:bodyDiv w:val="1"/>
      <w:marLeft w:val="0"/>
      <w:marRight w:val="0"/>
      <w:marTop w:val="0"/>
      <w:marBottom w:val="0"/>
      <w:divBdr>
        <w:top w:val="none" w:sz="0" w:space="0" w:color="auto"/>
        <w:left w:val="none" w:sz="0" w:space="0" w:color="auto"/>
        <w:bottom w:val="none" w:sz="0" w:space="0" w:color="auto"/>
        <w:right w:val="none" w:sz="0" w:space="0" w:color="auto"/>
      </w:divBdr>
    </w:div>
    <w:div w:id="1781874216">
      <w:bodyDiv w:val="1"/>
      <w:marLeft w:val="0"/>
      <w:marRight w:val="0"/>
      <w:marTop w:val="0"/>
      <w:marBottom w:val="0"/>
      <w:divBdr>
        <w:top w:val="none" w:sz="0" w:space="0" w:color="auto"/>
        <w:left w:val="none" w:sz="0" w:space="0" w:color="auto"/>
        <w:bottom w:val="none" w:sz="0" w:space="0" w:color="auto"/>
        <w:right w:val="none" w:sz="0" w:space="0" w:color="auto"/>
      </w:divBdr>
    </w:div>
    <w:div w:id="1784763948">
      <w:bodyDiv w:val="1"/>
      <w:marLeft w:val="0"/>
      <w:marRight w:val="0"/>
      <w:marTop w:val="0"/>
      <w:marBottom w:val="0"/>
      <w:divBdr>
        <w:top w:val="none" w:sz="0" w:space="0" w:color="auto"/>
        <w:left w:val="none" w:sz="0" w:space="0" w:color="auto"/>
        <w:bottom w:val="none" w:sz="0" w:space="0" w:color="auto"/>
        <w:right w:val="none" w:sz="0" w:space="0" w:color="auto"/>
      </w:divBdr>
      <w:divsChild>
        <w:div w:id="1394504755">
          <w:marLeft w:val="0"/>
          <w:marRight w:val="0"/>
          <w:marTop w:val="0"/>
          <w:marBottom w:val="0"/>
          <w:divBdr>
            <w:top w:val="none" w:sz="0" w:space="0" w:color="auto"/>
            <w:left w:val="none" w:sz="0" w:space="0" w:color="auto"/>
            <w:bottom w:val="none" w:sz="0" w:space="0" w:color="auto"/>
            <w:right w:val="none" w:sz="0" w:space="0" w:color="auto"/>
          </w:divBdr>
          <w:divsChild>
            <w:div w:id="726143476">
              <w:marLeft w:val="0"/>
              <w:marRight w:val="0"/>
              <w:marTop w:val="0"/>
              <w:marBottom w:val="0"/>
              <w:divBdr>
                <w:top w:val="none" w:sz="0" w:space="0" w:color="auto"/>
                <w:left w:val="none" w:sz="0" w:space="0" w:color="auto"/>
                <w:bottom w:val="none" w:sz="0" w:space="0" w:color="auto"/>
                <w:right w:val="none" w:sz="0" w:space="0" w:color="auto"/>
              </w:divBdr>
              <w:divsChild>
                <w:div w:id="1384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89664934">
      <w:bodyDiv w:val="1"/>
      <w:marLeft w:val="0"/>
      <w:marRight w:val="0"/>
      <w:marTop w:val="0"/>
      <w:marBottom w:val="0"/>
      <w:divBdr>
        <w:top w:val="none" w:sz="0" w:space="0" w:color="auto"/>
        <w:left w:val="none" w:sz="0" w:space="0" w:color="auto"/>
        <w:bottom w:val="none" w:sz="0" w:space="0" w:color="auto"/>
        <w:right w:val="none" w:sz="0" w:space="0" w:color="auto"/>
      </w:divBdr>
    </w:div>
    <w:div w:id="1795172319">
      <w:bodyDiv w:val="1"/>
      <w:marLeft w:val="0"/>
      <w:marRight w:val="0"/>
      <w:marTop w:val="0"/>
      <w:marBottom w:val="0"/>
      <w:divBdr>
        <w:top w:val="none" w:sz="0" w:space="0" w:color="auto"/>
        <w:left w:val="none" w:sz="0" w:space="0" w:color="auto"/>
        <w:bottom w:val="none" w:sz="0" w:space="0" w:color="auto"/>
        <w:right w:val="none" w:sz="0" w:space="0" w:color="auto"/>
      </w:divBdr>
    </w:div>
    <w:div w:id="1795561092">
      <w:bodyDiv w:val="1"/>
      <w:marLeft w:val="0"/>
      <w:marRight w:val="0"/>
      <w:marTop w:val="0"/>
      <w:marBottom w:val="0"/>
      <w:divBdr>
        <w:top w:val="none" w:sz="0" w:space="0" w:color="auto"/>
        <w:left w:val="none" w:sz="0" w:space="0" w:color="auto"/>
        <w:bottom w:val="none" w:sz="0" w:space="0" w:color="auto"/>
        <w:right w:val="none" w:sz="0" w:space="0" w:color="auto"/>
      </w:divBdr>
    </w:div>
    <w:div w:id="1796026896">
      <w:bodyDiv w:val="1"/>
      <w:marLeft w:val="0"/>
      <w:marRight w:val="0"/>
      <w:marTop w:val="0"/>
      <w:marBottom w:val="0"/>
      <w:divBdr>
        <w:top w:val="none" w:sz="0" w:space="0" w:color="auto"/>
        <w:left w:val="none" w:sz="0" w:space="0" w:color="auto"/>
        <w:bottom w:val="none" w:sz="0" w:space="0" w:color="auto"/>
        <w:right w:val="none" w:sz="0" w:space="0" w:color="auto"/>
      </w:divBdr>
    </w:div>
    <w:div w:id="1796483625">
      <w:bodyDiv w:val="1"/>
      <w:marLeft w:val="0"/>
      <w:marRight w:val="0"/>
      <w:marTop w:val="0"/>
      <w:marBottom w:val="0"/>
      <w:divBdr>
        <w:top w:val="none" w:sz="0" w:space="0" w:color="auto"/>
        <w:left w:val="none" w:sz="0" w:space="0" w:color="auto"/>
        <w:bottom w:val="none" w:sz="0" w:space="0" w:color="auto"/>
        <w:right w:val="none" w:sz="0" w:space="0" w:color="auto"/>
      </w:divBdr>
      <w:divsChild>
        <w:div w:id="1118061202">
          <w:marLeft w:val="0"/>
          <w:marRight w:val="0"/>
          <w:marTop w:val="0"/>
          <w:marBottom w:val="0"/>
          <w:divBdr>
            <w:top w:val="none" w:sz="0" w:space="0" w:color="auto"/>
            <w:left w:val="none" w:sz="0" w:space="0" w:color="auto"/>
            <w:bottom w:val="none" w:sz="0" w:space="0" w:color="auto"/>
            <w:right w:val="none" w:sz="0" w:space="0" w:color="auto"/>
          </w:divBdr>
          <w:divsChild>
            <w:div w:id="1767461789">
              <w:marLeft w:val="0"/>
              <w:marRight w:val="0"/>
              <w:marTop w:val="0"/>
              <w:marBottom w:val="0"/>
              <w:divBdr>
                <w:top w:val="none" w:sz="0" w:space="0" w:color="auto"/>
                <w:left w:val="none" w:sz="0" w:space="0" w:color="auto"/>
                <w:bottom w:val="none" w:sz="0" w:space="0" w:color="auto"/>
                <w:right w:val="none" w:sz="0" w:space="0" w:color="auto"/>
              </w:divBdr>
              <w:divsChild>
                <w:div w:id="622810808">
                  <w:marLeft w:val="0"/>
                  <w:marRight w:val="0"/>
                  <w:marTop w:val="0"/>
                  <w:marBottom w:val="0"/>
                  <w:divBdr>
                    <w:top w:val="none" w:sz="0" w:space="0" w:color="auto"/>
                    <w:left w:val="none" w:sz="0" w:space="0" w:color="auto"/>
                    <w:bottom w:val="none" w:sz="0" w:space="0" w:color="auto"/>
                    <w:right w:val="none" w:sz="0" w:space="0" w:color="auto"/>
                  </w:divBdr>
                  <w:divsChild>
                    <w:div w:id="10741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74563">
      <w:bodyDiv w:val="1"/>
      <w:marLeft w:val="0"/>
      <w:marRight w:val="0"/>
      <w:marTop w:val="0"/>
      <w:marBottom w:val="0"/>
      <w:divBdr>
        <w:top w:val="none" w:sz="0" w:space="0" w:color="auto"/>
        <w:left w:val="none" w:sz="0" w:space="0" w:color="auto"/>
        <w:bottom w:val="none" w:sz="0" w:space="0" w:color="auto"/>
        <w:right w:val="none" w:sz="0" w:space="0" w:color="auto"/>
      </w:divBdr>
    </w:div>
    <w:div w:id="1806896475">
      <w:bodyDiv w:val="1"/>
      <w:marLeft w:val="0"/>
      <w:marRight w:val="0"/>
      <w:marTop w:val="0"/>
      <w:marBottom w:val="0"/>
      <w:divBdr>
        <w:top w:val="none" w:sz="0" w:space="0" w:color="auto"/>
        <w:left w:val="none" w:sz="0" w:space="0" w:color="auto"/>
        <w:bottom w:val="none" w:sz="0" w:space="0" w:color="auto"/>
        <w:right w:val="none" w:sz="0" w:space="0" w:color="auto"/>
      </w:divBdr>
    </w:div>
    <w:div w:id="1812360427">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3692170">
      <w:bodyDiv w:val="1"/>
      <w:marLeft w:val="0"/>
      <w:marRight w:val="0"/>
      <w:marTop w:val="0"/>
      <w:marBottom w:val="0"/>
      <w:divBdr>
        <w:top w:val="none" w:sz="0" w:space="0" w:color="auto"/>
        <w:left w:val="none" w:sz="0" w:space="0" w:color="auto"/>
        <w:bottom w:val="none" w:sz="0" w:space="0" w:color="auto"/>
        <w:right w:val="none" w:sz="0" w:space="0" w:color="auto"/>
      </w:divBdr>
      <w:divsChild>
        <w:div w:id="90130970">
          <w:marLeft w:val="0"/>
          <w:marRight w:val="0"/>
          <w:marTop w:val="0"/>
          <w:marBottom w:val="0"/>
          <w:divBdr>
            <w:top w:val="none" w:sz="0" w:space="0" w:color="auto"/>
            <w:left w:val="none" w:sz="0" w:space="0" w:color="auto"/>
            <w:bottom w:val="none" w:sz="0" w:space="0" w:color="auto"/>
            <w:right w:val="none" w:sz="0" w:space="0" w:color="auto"/>
          </w:divBdr>
          <w:divsChild>
            <w:div w:id="1958370020">
              <w:marLeft w:val="0"/>
              <w:marRight w:val="0"/>
              <w:marTop w:val="0"/>
              <w:marBottom w:val="0"/>
              <w:divBdr>
                <w:top w:val="none" w:sz="0" w:space="0" w:color="auto"/>
                <w:left w:val="none" w:sz="0" w:space="0" w:color="auto"/>
                <w:bottom w:val="none" w:sz="0" w:space="0" w:color="auto"/>
                <w:right w:val="none" w:sz="0" w:space="0" w:color="auto"/>
              </w:divBdr>
              <w:divsChild>
                <w:div w:id="1863743659">
                  <w:marLeft w:val="0"/>
                  <w:marRight w:val="0"/>
                  <w:marTop w:val="0"/>
                  <w:marBottom w:val="0"/>
                  <w:divBdr>
                    <w:top w:val="none" w:sz="0" w:space="0" w:color="auto"/>
                    <w:left w:val="none" w:sz="0" w:space="0" w:color="auto"/>
                    <w:bottom w:val="none" w:sz="0" w:space="0" w:color="auto"/>
                    <w:right w:val="none" w:sz="0" w:space="0" w:color="auto"/>
                  </w:divBdr>
                  <w:divsChild>
                    <w:div w:id="751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39403">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0704204">
      <w:bodyDiv w:val="1"/>
      <w:marLeft w:val="0"/>
      <w:marRight w:val="0"/>
      <w:marTop w:val="0"/>
      <w:marBottom w:val="0"/>
      <w:divBdr>
        <w:top w:val="none" w:sz="0" w:space="0" w:color="auto"/>
        <w:left w:val="none" w:sz="0" w:space="0" w:color="auto"/>
        <w:bottom w:val="none" w:sz="0" w:space="0" w:color="auto"/>
        <w:right w:val="none" w:sz="0" w:space="0" w:color="auto"/>
      </w:divBdr>
    </w:div>
    <w:div w:id="1831555412">
      <w:bodyDiv w:val="1"/>
      <w:marLeft w:val="0"/>
      <w:marRight w:val="0"/>
      <w:marTop w:val="0"/>
      <w:marBottom w:val="0"/>
      <w:divBdr>
        <w:top w:val="none" w:sz="0" w:space="0" w:color="auto"/>
        <w:left w:val="none" w:sz="0" w:space="0" w:color="auto"/>
        <w:bottom w:val="none" w:sz="0" w:space="0" w:color="auto"/>
        <w:right w:val="none" w:sz="0" w:space="0" w:color="auto"/>
      </w:divBdr>
    </w:div>
    <w:div w:id="1834031360">
      <w:bodyDiv w:val="1"/>
      <w:marLeft w:val="0"/>
      <w:marRight w:val="0"/>
      <w:marTop w:val="0"/>
      <w:marBottom w:val="0"/>
      <w:divBdr>
        <w:top w:val="none" w:sz="0" w:space="0" w:color="auto"/>
        <w:left w:val="none" w:sz="0" w:space="0" w:color="auto"/>
        <w:bottom w:val="none" w:sz="0" w:space="0" w:color="auto"/>
        <w:right w:val="none" w:sz="0" w:space="0" w:color="auto"/>
      </w:divBdr>
    </w:div>
    <w:div w:id="1834448353">
      <w:bodyDiv w:val="1"/>
      <w:marLeft w:val="0"/>
      <w:marRight w:val="0"/>
      <w:marTop w:val="0"/>
      <w:marBottom w:val="0"/>
      <w:divBdr>
        <w:top w:val="none" w:sz="0" w:space="0" w:color="auto"/>
        <w:left w:val="none" w:sz="0" w:space="0" w:color="auto"/>
        <w:bottom w:val="none" w:sz="0" w:space="0" w:color="auto"/>
        <w:right w:val="none" w:sz="0" w:space="0" w:color="auto"/>
      </w:divBdr>
      <w:divsChild>
        <w:div w:id="946156463">
          <w:marLeft w:val="0"/>
          <w:marRight w:val="0"/>
          <w:marTop w:val="0"/>
          <w:marBottom w:val="0"/>
          <w:divBdr>
            <w:top w:val="single" w:sz="2" w:space="5" w:color="auto"/>
            <w:left w:val="single" w:sz="2" w:space="0" w:color="auto"/>
            <w:bottom w:val="single" w:sz="2" w:space="5" w:color="auto"/>
            <w:right w:val="single" w:sz="2" w:space="0" w:color="auto"/>
          </w:divBdr>
        </w:div>
        <w:div w:id="1220478769">
          <w:marLeft w:val="0"/>
          <w:marRight w:val="0"/>
          <w:marTop w:val="0"/>
          <w:marBottom w:val="0"/>
          <w:divBdr>
            <w:top w:val="single" w:sz="2" w:space="0" w:color="auto"/>
            <w:left w:val="single" w:sz="2" w:space="0" w:color="auto"/>
            <w:bottom w:val="single" w:sz="2" w:space="0" w:color="auto"/>
            <w:right w:val="single" w:sz="2" w:space="0" w:color="auto"/>
          </w:divBdr>
        </w:div>
      </w:divsChild>
    </w:div>
    <w:div w:id="1835755231">
      <w:bodyDiv w:val="1"/>
      <w:marLeft w:val="0"/>
      <w:marRight w:val="0"/>
      <w:marTop w:val="0"/>
      <w:marBottom w:val="0"/>
      <w:divBdr>
        <w:top w:val="none" w:sz="0" w:space="0" w:color="auto"/>
        <w:left w:val="none" w:sz="0" w:space="0" w:color="auto"/>
        <w:bottom w:val="none" w:sz="0" w:space="0" w:color="auto"/>
        <w:right w:val="none" w:sz="0" w:space="0" w:color="auto"/>
      </w:divBdr>
      <w:divsChild>
        <w:div w:id="493691659">
          <w:marLeft w:val="0"/>
          <w:marRight w:val="0"/>
          <w:marTop w:val="0"/>
          <w:marBottom w:val="0"/>
          <w:divBdr>
            <w:top w:val="none" w:sz="0" w:space="0" w:color="auto"/>
            <w:left w:val="none" w:sz="0" w:space="0" w:color="auto"/>
            <w:bottom w:val="none" w:sz="0" w:space="0" w:color="auto"/>
            <w:right w:val="none" w:sz="0" w:space="0" w:color="auto"/>
          </w:divBdr>
          <w:divsChild>
            <w:div w:id="2104303782">
              <w:marLeft w:val="0"/>
              <w:marRight w:val="0"/>
              <w:marTop w:val="0"/>
              <w:marBottom w:val="0"/>
              <w:divBdr>
                <w:top w:val="none" w:sz="0" w:space="0" w:color="auto"/>
                <w:left w:val="none" w:sz="0" w:space="0" w:color="auto"/>
                <w:bottom w:val="none" w:sz="0" w:space="0" w:color="auto"/>
                <w:right w:val="none" w:sz="0" w:space="0" w:color="auto"/>
              </w:divBdr>
              <w:divsChild>
                <w:div w:id="98529845">
                  <w:marLeft w:val="0"/>
                  <w:marRight w:val="0"/>
                  <w:marTop w:val="0"/>
                  <w:marBottom w:val="0"/>
                  <w:divBdr>
                    <w:top w:val="none" w:sz="0" w:space="0" w:color="auto"/>
                    <w:left w:val="none" w:sz="0" w:space="0" w:color="auto"/>
                    <w:bottom w:val="none" w:sz="0" w:space="0" w:color="auto"/>
                    <w:right w:val="none" w:sz="0" w:space="0" w:color="auto"/>
                  </w:divBdr>
                  <w:divsChild>
                    <w:div w:id="12901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8782">
      <w:bodyDiv w:val="1"/>
      <w:marLeft w:val="0"/>
      <w:marRight w:val="0"/>
      <w:marTop w:val="0"/>
      <w:marBottom w:val="0"/>
      <w:divBdr>
        <w:top w:val="none" w:sz="0" w:space="0" w:color="auto"/>
        <w:left w:val="none" w:sz="0" w:space="0" w:color="auto"/>
        <w:bottom w:val="none" w:sz="0" w:space="0" w:color="auto"/>
        <w:right w:val="none" w:sz="0" w:space="0" w:color="auto"/>
      </w:divBdr>
    </w:div>
    <w:div w:id="1836996399">
      <w:bodyDiv w:val="1"/>
      <w:marLeft w:val="0"/>
      <w:marRight w:val="0"/>
      <w:marTop w:val="0"/>
      <w:marBottom w:val="0"/>
      <w:divBdr>
        <w:top w:val="none" w:sz="0" w:space="0" w:color="auto"/>
        <w:left w:val="none" w:sz="0" w:space="0" w:color="auto"/>
        <w:bottom w:val="none" w:sz="0" w:space="0" w:color="auto"/>
        <w:right w:val="none" w:sz="0" w:space="0" w:color="auto"/>
      </w:divBdr>
      <w:divsChild>
        <w:div w:id="2034459865">
          <w:marLeft w:val="0"/>
          <w:marRight w:val="0"/>
          <w:marTop w:val="0"/>
          <w:marBottom w:val="0"/>
          <w:divBdr>
            <w:top w:val="none" w:sz="0" w:space="0" w:color="auto"/>
            <w:left w:val="none" w:sz="0" w:space="0" w:color="auto"/>
            <w:bottom w:val="none" w:sz="0" w:space="0" w:color="auto"/>
            <w:right w:val="none" w:sz="0" w:space="0" w:color="auto"/>
          </w:divBdr>
          <w:divsChild>
            <w:div w:id="764376742">
              <w:marLeft w:val="0"/>
              <w:marRight w:val="0"/>
              <w:marTop w:val="0"/>
              <w:marBottom w:val="0"/>
              <w:divBdr>
                <w:top w:val="none" w:sz="0" w:space="0" w:color="auto"/>
                <w:left w:val="none" w:sz="0" w:space="0" w:color="auto"/>
                <w:bottom w:val="none" w:sz="0" w:space="0" w:color="auto"/>
                <w:right w:val="none" w:sz="0" w:space="0" w:color="auto"/>
              </w:divBdr>
              <w:divsChild>
                <w:div w:id="1275675851">
                  <w:marLeft w:val="0"/>
                  <w:marRight w:val="0"/>
                  <w:marTop w:val="0"/>
                  <w:marBottom w:val="0"/>
                  <w:divBdr>
                    <w:top w:val="none" w:sz="0" w:space="0" w:color="auto"/>
                    <w:left w:val="none" w:sz="0" w:space="0" w:color="auto"/>
                    <w:bottom w:val="none" w:sz="0" w:space="0" w:color="auto"/>
                    <w:right w:val="none" w:sz="0" w:space="0" w:color="auto"/>
                  </w:divBdr>
                  <w:divsChild>
                    <w:div w:id="10741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39536953">
      <w:bodyDiv w:val="1"/>
      <w:marLeft w:val="0"/>
      <w:marRight w:val="0"/>
      <w:marTop w:val="0"/>
      <w:marBottom w:val="0"/>
      <w:divBdr>
        <w:top w:val="none" w:sz="0" w:space="0" w:color="auto"/>
        <w:left w:val="none" w:sz="0" w:space="0" w:color="auto"/>
        <w:bottom w:val="none" w:sz="0" w:space="0" w:color="auto"/>
        <w:right w:val="none" w:sz="0" w:space="0" w:color="auto"/>
      </w:divBdr>
      <w:divsChild>
        <w:div w:id="1345093580">
          <w:marLeft w:val="0"/>
          <w:marRight w:val="0"/>
          <w:marTop w:val="0"/>
          <w:marBottom w:val="0"/>
          <w:divBdr>
            <w:top w:val="none" w:sz="0" w:space="0" w:color="auto"/>
            <w:left w:val="none" w:sz="0" w:space="0" w:color="auto"/>
            <w:bottom w:val="none" w:sz="0" w:space="0" w:color="auto"/>
            <w:right w:val="none" w:sz="0" w:space="0" w:color="auto"/>
          </w:divBdr>
          <w:divsChild>
            <w:div w:id="313489372">
              <w:marLeft w:val="0"/>
              <w:marRight w:val="0"/>
              <w:marTop w:val="0"/>
              <w:marBottom w:val="0"/>
              <w:divBdr>
                <w:top w:val="none" w:sz="0" w:space="0" w:color="auto"/>
                <w:left w:val="none" w:sz="0" w:space="0" w:color="auto"/>
                <w:bottom w:val="none" w:sz="0" w:space="0" w:color="auto"/>
                <w:right w:val="none" w:sz="0" w:space="0" w:color="auto"/>
              </w:divBdr>
              <w:divsChild>
                <w:div w:id="681199378">
                  <w:marLeft w:val="0"/>
                  <w:marRight w:val="0"/>
                  <w:marTop w:val="0"/>
                  <w:marBottom w:val="0"/>
                  <w:divBdr>
                    <w:top w:val="none" w:sz="0" w:space="0" w:color="auto"/>
                    <w:left w:val="none" w:sz="0" w:space="0" w:color="auto"/>
                    <w:bottom w:val="none" w:sz="0" w:space="0" w:color="auto"/>
                    <w:right w:val="none" w:sz="0" w:space="0" w:color="auto"/>
                  </w:divBdr>
                  <w:divsChild>
                    <w:div w:id="3872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7403">
      <w:bodyDiv w:val="1"/>
      <w:marLeft w:val="0"/>
      <w:marRight w:val="0"/>
      <w:marTop w:val="0"/>
      <w:marBottom w:val="0"/>
      <w:divBdr>
        <w:top w:val="none" w:sz="0" w:space="0" w:color="auto"/>
        <w:left w:val="none" w:sz="0" w:space="0" w:color="auto"/>
        <w:bottom w:val="none" w:sz="0" w:space="0" w:color="auto"/>
        <w:right w:val="none" w:sz="0" w:space="0" w:color="auto"/>
      </w:divBdr>
      <w:divsChild>
        <w:div w:id="1633167365">
          <w:marLeft w:val="0"/>
          <w:marRight w:val="0"/>
          <w:marTop w:val="0"/>
          <w:marBottom w:val="0"/>
          <w:divBdr>
            <w:top w:val="none" w:sz="0" w:space="0" w:color="auto"/>
            <w:left w:val="none" w:sz="0" w:space="0" w:color="auto"/>
            <w:bottom w:val="none" w:sz="0" w:space="0" w:color="auto"/>
            <w:right w:val="none" w:sz="0" w:space="0" w:color="auto"/>
          </w:divBdr>
          <w:divsChild>
            <w:div w:id="1388450730">
              <w:marLeft w:val="0"/>
              <w:marRight w:val="0"/>
              <w:marTop w:val="0"/>
              <w:marBottom w:val="0"/>
              <w:divBdr>
                <w:top w:val="none" w:sz="0" w:space="0" w:color="auto"/>
                <w:left w:val="none" w:sz="0" w:space="0" w:color="auto"/>
                <w:bottom w:val="none" w:sz="0" w:space="0" w:color="auto"/>
                <w:right w:val="none" w:sz="0" w:space="0" w:color="auto"/>
              </w:divBdr>
              <w:divsChild>
                <w:div w:id="1996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2966">
      <w:bodyDiv w:val="1"/>
      <w:marLeft w:val="0"/>
      <w:marRight w:val="0"/>
      <w:marTop w:val="0"/>
      <w:marBottom w:val="0"/>
      <w:divBdr>
        <w:top w:val="none" w:sz="0" w:space="0" w:color="auto"/>
        <w:left w:val="none" w:sz="0" w:space="0" w:color="auto"/>
        <w:bottom w:val="none" w:sz="0" w:space="0" w:color="auto"/>
        <w:right w:val="none" w:sz="0" w:space="0" w:color="auto"/>
      </w:divBdr>
      <w:divsChild>
        <w:div w:id="1666320527">
          <w:marLeft w:val="0"/>
          <w:marRight w:val="0"/>
          <w:marTop w:val="0"/>
          <w:marBottom w:val="0"/>
          <w:divBdr>
            <w:top w:val="none" w:sz="0" w:space="0" w:color="auto"/>
            <w:left w:val="none" w:sz="0" w:space="0" w:color="auto"/>
            <w:bottom w:val="none" w:sz="0" w:space="0" w:color="auto"/>
            <w:right w:val="none" w:sz="0" w:space="0" w:color="auto"/>
          </w:divBdr>
          <w:divsChild>
            <w:div w:id="582252929">
              <w:marLeft w:val="0"/>
              <w:marRight w:val="0"/>
              <w:marTop w:val="0"/>
              <w:marBottom w:val="0"/>
              <w:divBdr>
                <w:top w:val="none" w:sz="0" w:space="0" w:color="auto"/>
                <w:left w:val="none" w:sz="0" w:space="0" w:color="auto"/>
                <w:bottom w:val="none" w:sz="0" w:space="0" w:color="auto"/>
                <w:right w:val="none" w:sz="0" w:space="0" w:color="auto"/>
              </w:divBdr>
              <w:divsChild>
                <w:div w:id="260144998">
                  <w:marLeft w:val="0"/>
                  <w:marRight w:val="0"/>
                  <w:marTop w:val="0"/>
                  <w:marBottom w:val="0"/>
                  <w:divBdr>
                    <w:top w:val="none" w:sz="0" w:space="0" w:color="auto"/>
                    <w:left w:val="none" w:sz="0" w:space="0" w:color="auto"/>
                    <w:bottom w:val="none" w:sz="0" w:space="0" w:color="auto"/>
                    <w:right w:val="none" w:sz="0" w:space="0" w:color="auto"/>
                  </w:divBdr>
                  <w:divsChild>
                    <w:div w:id="4421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4778">
      <w:bodyDiv w:val="1"/>
      <w:marLeft w:val="0"/>
      <w:marRight w:val="0"/>
      <w:marTop w:val="0"/>
      <w:marBottom w:val="0"/>
      <w:divBdr>
        <w:top w:val="none" w:sz="0" w:space="0" w:color="auto"/>
        <w:left w:val="none" w:sz="0" w:space="0" w:color="auto"/>
        <w:bottom w:val="none" w:sz="0" w:space="0" w:color="auto"/>
        <w:right w:val="none" w:sz="0" w:space="0" w:color="auto"/>
      </w:divBdr>
    </w:div>
    <w:div w:id="1853913929">
      <w:bodyDiv w:val="1"/>
      <w:marLeft w:val="0"/>
      <w:marRight w:val="0"/>
      <w:marTop w:val="0"/>
      <w:marBottom w:val="0"/>
      <w:divBdr>
        <w:top w:val="none" w:sz="0" w:space="0" w:color="auto"/>
        <w:left w:val="none" w:sz="0" w:space="0" w:color="auto"/>
        <w:bottom w:val="none" w:sz="0" w:space="0" w:color="auto"/>
        <w:right w:val="none" w:sz="0" w:space="0" w:color="auto"/>
      </w:divBdr>
    </w:div>
    <w:div w:id="1857764482">
      <w:bodyDiv w:val="1"/>
      <w:marLeft w:val="0"/>
      <w:marRight w:val="0"/>
      <w:marTop w:val="0"/>
      <w:marBottom w:val="0"/>
      <w:divBdr>
        <w:top w:val="none" w:sz="0" w:space="0" w:color="auto"/>
        <w:left w:val="none" w:sz="0" w:space="0" w:color="auto"/>
        <w:bottom w:val="none" w:sz="0" w:space="0" w:color="auto"/>
        <w:right w:val="none" w:sz="0" w:space="0" w:color="auto"/>
      </w:divBdr>
      <w:divsChild>
        <w:div w:id="926423635">
          <w:marLeft w:val="0"/>
          <w:marRight w:val="0"/>
          <w:marTop w:val="0"/>
          <w:marBottom w:val="0"/>
          <w:divBdr>
            <w:top w:val="none" w:sz="0" w:space="0" w:color="auto"/>
            <w:left w:val="none" w:sz="0" w:space="0" w:color="auto"/>
            <w:bottom w:val="none" w:sz="0" w:space="0" w:color="auto"/>
            <w:right w:val="none" w:sz="0" w:space="0" w:color="auto"/>
          </w:divBdr>
          <w:divsChild>
            <w:div w:id="1574927437">
              <w:marLeft w:val="0"/>
              <w:marRight w:val="0"/>
              <w:marTop w:val="0"/>
              <w:marBottom w:val="0"/>
              <w:divBdr>
                <w:top w:val="none" w:sz="0" w:space="0" w:color="auto"/>
                <w:left w:val="none" w:sz="0" w:space="0" w:color="auto"/>
                <w:bottom w:val="none" w:sz="0" w:space="0" w:color="auto"/>
                <w:right w:val="none" w:sz="0" w:space="0" w:color="auto"/>
              </w:divBdr>
              <w:divsChild>
                <w:div w:id="684289938">
                  <w:marLeft w:val="0"/>
                  <w:marRight w:val="0"/>
                  <w:marTop w:val="0"/>
                  <w:marBottom w:val="0"/>
                  <w:divBdr>
                    <w:top w:val="none" w:sz="0" w:space="0" w:color="auto"/>
                    <w:left w:val="none" w:sz="0" w:space="0" w:color="auto"/>
                    <w:bottom w:val="none" w:sz="0" w:space="0" w:color="auto"/>
                    <w:right w:val="none" w:sz="0" w:space="0" w:color="auto"/>
                  </w:divBdr>
                  <w:divsChild>
                    <w:div w:id="21129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9928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9275042">
      <w:bodyDiv w:val="1"/>
      <w:marLeft w:val="0"/>
      <w:marRight w:val="0"/>
      <w:marTop w:val="0"/>
      <w:marBottom w:val="0"/>
      <w:divBdr>
        <w:top w:val="none" w:sz="0" w:space="0" w:color="auto"/>
        <w:left w:val="none" w:sz="0" w:space="0" w:color="auto"/>
        <w:bottom w:val="none" w:sz="0" w:space="0" w:color="auto"/>
        <w:right w:val="none" w:sz="0" w:space="0" w:color="auto"/>
      </w:divBdr>
    </w:div>
    <w:div w:id="1880897250">
      <w:bodyDiv w:val="1"/>
      <w:marLeft w:val="0"/>
      <w:marRight w:val="0"/>
      <w:marTop w:val="0"/>
      <w:marBottom w:val="0"/>
      <w:divBdr>
        <w:top w:val="none" w:sz="0" w:space="0" w:color="auto"/>
        <w:left w:val="none" w:sz="0" w:space="0" w:color="auto"/>
        <w:bottom w:val="none" w:sz="0" w:space="0" w:color="auto"/>
        <w:right w:val="none" w:sz="0" w:space="0" w:color="auto"/>
      </w:divBdr>
      <w:divsChild>
        <w:div w:id="2094431167">
          <w:marLeft w:val="0"/>
          <w:marRight w:val="0"/>
          <w:marTop w:val="0"/>
          <w:marBottom w:val="0"/>
          <w:divBdr>
            <w:top w:val="none" w:sz="0" w:space="0" w:color="auto"/>
            <w:left w:val="none" w:sz="0" w:space="0" w:color="auto"/>
            <w:bottom w:val="none" w:sz="0" w:space="0" w:color="auto"/>
            <w:right w:val="none" w:sz="0" w:space="0" w:color="auto"/>
          </w:divBdr>
          <w:divsChild>
            <w:div w:id="1231040592">
              <w:marLeft w:val="0"/>
              <w:marRight w:val="0"/>
              <w:marTop w:val="0"/>
              <w:marBottom w:val="0"/>
              <w:divBdr>
                <w:top w:val="none" w:sz="0" w:space="0" w:color="auto"/>
                <w:left w:val="none" w:sz="0" w:space="0" w:color="auto"/>
                <w:bottom w:val="none" w:sz="0" w:space="0" w:color="auto"/>
                <w:right w:val="none" w:sz="0" w:space="0" w:color="auto"/>
              </w:divBdr>
              <w:divsChild>
                <w:div w:id="2100757202">
                  <w:marLeft w:val="0"/>
                  <w:marRight w:val="0"/>
                  <w:marTop w:val="0"/>
                  <w:marBottom w:val="0"/>
                  <w:divBdr>
                    <w:top w:val="none" w:sz="0" w:space="0" w:color="auto"/>
                    <w:left w:val="none" w:sz="0" w:space="0" w:color="auto"/>
                    <w:bottom w:val="none" w:sz="0" w:space="0" w:color="auto"/>
                    <w:right w:val="none" w:sz="0" w:space="0" w:color="auto"/>
                  </w:divBdr>
                  <w:divsChild>
                    <w:div w:id="15517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5139">
      <w:bodyDiv w:val="1"/>
      <w:marLeft w:val="0"/>
      <w:marRight w:val="0"/>
      <w:marTop w:val="0"/>
      <w:marBottom w:val="0"/>
      <w:divBdr>
        <w:top w:val="none" w:sz="0" w:space="0" w:color="auto"/>
        <w:left w:val="none" w:sz="0" w:space="0" w:color="auto"/>
        <w:bottom w:val="none" w:sz="0" w:space="0" w:color="auto"/>
        <w:right w:val="none" w:sz="0" w:space="0" w:color="auto"/>
      </w:divBdr>
    </w:div>
    <w:div w:id="1884252111">
      <w:bodyDiv w:val="1"/>
      <w:marLeft w:val="0"/>
      <w:marRight w:val="0"/>
      <w:marTop w:val="0"/>
      <w:marBottom w:val="0"/>
      <w:divBdr>
        <w:top w:val="none" w:sz="0" w:space="0" w:color="auto"/>
        <w:left w:val="none" w:sz="0" w:space="0" w:color="auto"/>
        <w:bottom w:val="none" w:sz="0" w:space="0" w:color="auto"/>
        <w:right w:val="none" w:sz="0" w:space="0" w:color="auto"/>
      </w:divBdr>
      <w:divsChild>
        <w:div w:id="1868836750">
          <w:marLeft w:val="0"/>
          <w:marRight w:val="0"/>
          <w:marTop w:val="0"/>
          <w:marBottom w:val="0"/>
          <w:divBdr>
            <w:top w:val="none" w:sz="0" w:space="0" w:color="auto"/>
            <w:left w:val="none" w:sz="0" w:space="0" w:color="auto"/>
            <w:bottom w:val="none" w:sz="0" w:space="0" w:color="auto"/>
            <w:right w:val="none" w:sz="0" w:space="0" w:color="auto"/>
          </w:divBdr>
          <w:divsChild>
            <w:div w:id="1916747313">
              <w:marLeft w:val="0"/>
              <w:marRight w:val="0"/>
              <w:marTop w:val="0"/>
              <w:marBottom w:val="0"/>
              <w:divBdr>
                <w:top w:val="none" w:sz="0" w:space="0" w:color="auto"/>
                <w:left w:val="none" w:sz="0" w:space="0" w:color="auto"/>
                <w:bottom w:val="none" w:sz="0" w:space="0" w:color="auto"/>
                <w:right w:val="none" w:sz="0" w:space="0" w:color="auto"/>
              </w:divBdr>
              <w:divsChild>
                <w:div w:id="1388266213">
                  <w:marLeft w:val="0"/>
                  <w:marRight w:val="0"/>
                  <w:marTop w:val="0"/>
                  <w:marBottom w:val="0"/>
                  <w:divBdr>
                    <w:top w:val="none" w:sz="0" w:space="0" w:color="auto"/>
                    <w:left w:val="none" w:sz="0" w:space="0" w:color="auto"/>
                    <w:bottom w:val="none" w:sz="0" w:space="0" w:color="auto"/>
                    <w:right w:val="none" w:sz="0" w:space="0" w:color="auto"/>
                  </w:divBdr>
                  <w:divsChild>
                    <w:div w:id="17089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1224">
      <w:bodyDiv w:val="1"/>
      <w:marLeft w:val="0"/>
      <w:marRight w:val="0"/>
      <w:marTop w:val="0"/>
      <w:marBottom w:val="0"/>
      <w:divBdr>
        <w:top w:val="none" w:sz="0" w:space="0" w:color="auto"/>
        <w:left w:val="none" w:sz="0" w:space="0" w:color="auto"/>
        <w:bottom w:val="none" w:sz="0" w:space="0" w:color="auto"/>
        <w:right w:val="none" w:sz="0" w:space="0" w:color="auto"/>
      </w:divBdr>
      <w:divsChild>
        <w:div w:id="1103384664">
          <w:marLeft w:val="0"/>
          <w:marRight w:val="0"/>
          <w:marTop w:val="0"/>
          <w:marBottom w:val="0"/>
          <w:divBdr>
            <w:top w:val="none" w:sz="0" w:space="0" w:color="auto"/>
            <w:left w:val="none" w:sz="0" w:space="0" w:color="auto"/>
            <w:bottom w:val="none" w:sz="0" w:space="0" w:color="auto"/>
            <w:right w:val="none" w:sz="0" w:space="0" w:color="auto"/>
          </w:divBdr>
          <w:divsChild>
            <w:div w:id="283662974">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17172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8125599">
      <w:bodyDiv w:val="1"/>
      <w:marLeft w:val="0"/>
      <w:marRight w:val="0"/>
      <w:marTop w:val="0"/>
      <w:marBottom w:val="0"/>
      <w:divBdr>
        <w:top w:val="none" w:sz="0" w:space="0" w:color="auto"/>
        <w:left w:val="none" w:sz="0" w:space="0" w:color="auto"/>
        <w:bottom w:val="none" w:sz="0" w:space="0" w:color="auto"/>
        <w:right w:val="none" w:sz="0" w:space="0" w:color="auto"/>
      </w:divBdr>
    </w:div>
    <w:div w:id="1898390911">
      <w:bodyDiv w:val="1"/>
      <w:marLeft w:val="0"/>
      <w:marRight w:val="0"/>
      <w:marTop w:val="0"/>
      <w:marBottom w:val="0"/>
      <w:divBdr>
        <w:top w:val="none" w:sz="0" w:space="0" w:color="auto"/>
        <w:left w:val="none" w:sz="0" w:space="0" w:color="auto"/>
        <w:bottom w:val="none" w:sz="0" w:space="0" w:color="auto"/>
        <w:right w:val="none" w:sz="0" w:space="0" w:color="auto"/>
      </w:divBdr>
      <w:divsChild>
        <w:div w:id="538932081">
          <w:marLeft w:val="0"/>
          <w:marRight w:val="0"/>
          <w:marTop w:val="0"/>
          <w:marBottom w:val="0"/>
          <w:divBdr>
            <w:top w:val="none" w:sz="0" w:space="0" w:color="auto"/>
            <w:left w:val="none" w:sz="0" w:space="0" w:color="auto"/>
            <w:bottom w:val="none" w:sz="0" w:space="0" w:color="auto"/>
            <w:right w:val="none" w:sz="0" w:space="0" w:color="auto"/>
          </w:divBdr>
          <w:divsChild>
            <w:div w:id="1454329011">
              <w:marLeft w:val="0"/>
              <w:marRight w:val="0"/>
              <w:marTop w:val="0"/>
              <w:marBottom w:val="0"/>
              <w:divBdr>
                <w:top w:val="none" w:sz="0" w:space="0" w:color="auto"/>
                <w:left w:val="none" w:sz="0" w:space="0" w:color="auto"/>
                <w:bottom w:val="none" w:sz="0" w:space="0" w:color="auto"/>
                <w:right w:val="none" w:sz="0" w:space="0" w:color="auto"/>
              </w:divBdr>
              <w:divsChild>
                <w:div w:id="13699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88900">
      <w:bodyDiv w:val="1"/>
      <w:marLeft w:val="0"/>
      <w:marRight w:val="0"/>
      <w:marTop w:val="0"/>
      <w:marBottom w:val="0"/>
      <w:divBdr>
        <w:top w:val="none" w:sz="0" w:space="0" w:color="auto"/>
        <w:left w:val="none" w:sz="0" w:space="0" w:color="auto"/>
        <w:bottom w:val="none" w:sz="0" w:space="0" w:color="auto"/>
        <w:right w:val="none" w:sz="0" w:space="0" w:color="auto"/>
      </w:divBdr>
    </w:div>
    <w:div w:id="1901137546">
      <w:bodyDiv w:val="1"/>
      <w:marLeft w:val="0"/>
      <w:marRight w:val="0"/>
      <w:marTop w:val="0"/>
      <w:marBottom w:val="0"/>
      <w:divBdr>
        <w:top w:val="none" w:sz="0" w:space="0" w:color="auto"/>
        <w:left w:val="none" w:sz="0" w:space="0" w:color="auto"/>
        <w:bottom w:val="none" w:sz="0" w:space="0" w:color="auto"/>
        <w:right w:val="none" w:sz="0" w:space="0" w:color="auto"/>
      </w:divBdr>
    </w:div>
    <w:div w:id="1903253795">
      <w:bodyDiv w:val="1"/>
      <w:marLeft w:val="0"/>
      <w:marRight w:val="0"/>
      <w:marTop w:val="0"/>
      <w:marBottom w:val="0"/>
      <w:divBdr>
        <w:top w:val="none" w:sz="0" w:space="0" w:color="auto"/>
        <w:left w:val="none" w:sz="0" w:space="0" w:color="auto"/>
        <w:bottom w:val="none" w:sz="0" w:space="0" w:color="auto"/>
        <w:right w:val="none" w:sz="0" w:space="0" w:color="auto"/>
      </w:divBdr>
    </w:div>
    <w:div w:id="1904171281">
      <w:bodyDiv w:val="1"/>
      <w:marLeft w:val="0"/>
      <w:marRight w:val="0"/>
      <w:marTop w:val="0"/>
      <w:marBottom w:val="0"/>
      <w:divBdr>
        <w:top w:val="none" w:sz="0" w:space="0" w:color="auto"/>
        <w:left w:val="none" w:sz="0" w:space="0" w:color="auto"/>
        <w:bottom w:val="none" w:sz="0" w:space="0" w:color="auto"/>
        <w:right w:val="none" w:sz="0" w:space="0" w:color="auto"/>
      </w:divBdr>
    </w:div>
    <w:div w:id="1907034147">
      <w:bodyDiv w:val="1"/>
      <w:marLeft w:val="0"/>
      <w:marRight w:val="0"/>
      <w:marTop w:val="0"/>
      <w:marBottom w:val="0"/>
      <w:divBdr>
        <w:top w:val="none" w:sz="0" w:space="0" w:color="auto"/>
        <w:left w:val="none" w:sz="0" w:space="0" w:color="auto"/>
        <w:bottom w:val="none" w:sz="0" w:space="0" w:color="auto"/>
        <w:right w:val="none" w:sz="0" w:space="0" w:color="auto"/>
      </w:divBdr>
    </w:div>
    <w:div w:id="1908418138">
      <w:bodyDiv w:val="1"/>
      <w:marLeft w:val="0"/>
      <w:marRight w:val="0"/>
      <w:marTop w:val="0"/>
      <w:marBottom w:val="0"/>
      <w:divBdr>
        <w:top w:val="none" w:sz="0" w:space="0" w:color="auto"/>
        <w:left w:val="none" w:sz="0" w:space="0" w:color="auto"/>
        <w:bottom w:val="none" w:sz="0" w:space="0" w:color="auto"/>
        <w:right w:val="none" w:sz="0" w:space="0" w:color="auto"/>
      </w:divBdr>
      <w:divsChild>
        <w:div w:id="1870680680">
          <w:marLeft w:val="0"/>
          <w:marRight w:val="0"/>
          <w:marTop w:val="0"/>
          <w:marBottom w:val="0"/>
          <w:divBdr>
            <w:top w:val="none" w:sz="0" w:space="0" w:color="auto"/>
            <w:left w:val="none" w:sz="0" w:space="0" w:color="auto"/>
            <w:bottom w:val="none" w:sz="0" w:space="0" w:color="auto"/>
            <w:right w:val="none" w:sz="0" w:space="0" w:color="auto"/>
          </w:divBdr>
          <w:divsChild>
            <w:div w:id="826871198">
              <w:marLeft w:val="0"/>
              <w:marRight w:val="0"/>
              <w:marTop w:val="0"/>
              <w:marBottom w:val="0"/>
              <w:divBdr>
                <w:top w:val="none" w:sz="0" w:space="0" w:color="auto"/>
                <w:left w:val="none" w:sz="0" w:space="0" w:color="auto"/>
                <w:bottom w:val="none" w:sz="0" w:space="0" w:color="auto"/>
                <w:right w:val="none" w:sz="0" w:space="0" w:color="auto"/>
              </w:divBdr>
              <w:divsChild>
                <w:div w:id="504396860">
                  <w:marLeft w:val="0"/>
                  <w:marRight w:val="0"/>
                  <w:marTop w:val="0"/>
                  <w:marBottom w:val="0"/>
                  <w:divBdr>
                    <w:top w:val="none" w:sz="0" w:space="0" w:color="auto"/>
                    <w:left w:val="none" w:sz="0" w:space="0" w:color="auto"/>
                    <w:bottom w:val="none" w:sz="0" w:space="0" w:color="auto"/>
                    <w:right w:val="none" w:sz="0" w:space="0" w:color="auto"/>
                  </w:divBdr>
                  <w:divsChild>
                    <w:div w:id="17509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9717">
      <w:bodyDiv w:val="1"/>
      <w:marLeft w:val="0"/>
      <w:marRight w:val="0"/>
      <w:marTop w:val="0"/>
      <w:marBottom w:val="0"/>
      <w:divBdr>
        <w:top w:val="none" w:sz="0" w:space="0" w:color="auto"/>
        <w:left w:val="none" w:sz="0" w:space="0" w:color="auto"/>
        <w:bottom w:val="none" w:sz="0" w:space="0" w:color="auto"/>
        <w:right w:val="none" w:sz="0" w:space="0" w:color="auto"/>
      </w:divBdr>
    </w:div>
    <w:div w:id="1930382039">
      <w:bodyDiv w:val="1"/>
      <w:marLeft w:val="0"/>
      <w:marRight w:val="0"/>
      <w:marTop w:val="0"/>
      <w:marBottom w:val="0"/>
      <w:divBdr>
        <w:top w:val="none" w:sz="0" w:space="0" w:color="auto"/>
        <w:left w:val="none" w:sz="0" w:space="0" w:color="auto"/>
        <w:bottom w:val="none" w:sz="0" w:space="0" w:color="auto"/>
        <w:right w:val="none" w:sz="0" w:space="0" w:color="auto"/>
      </w:divBdr>
    </w:div>
    <w:div w:id="1935626788">
      <w:bodyDiv w:val="1"/>
      <w:marLeft w:val="0"/>
      <w:marRight w:val="0"/>
      <w:marTop w:val="0"/>
      <w:marBottom w:val="0"/>
      <w:divBdr>
        <w:top w:val="none" w:sz="0" w:space="0" w:color="auto"/>
        <w:left w:val="none" w:sz="0" w:space="0" w:color="auto"/>
        <w:bottom w:val="none" w:sz="0" w:space="0" w:color="auto"/>
        <w:right w:val="none" w:sz="0" w:space="0" w:color="auto"/>
      </w:divBdr>
      <w:divsChild>
        <w:div w:id="1296833808">
          <w:marLeft w:val="0"/>
          <w:marRight w:val="0"/>
          <w:marTop w:val="0"/>
          <w:marBottom w:val="0"/>
          <w:divBdr>
            <w:top w:val="none" w:sz="0" w:space="0" w:color="auto"/>
            <w:left w:val="none" w:sz="0" w:space="0" w:color="auto"/>
            <w:bottom w:val="none" w:sz="0" w:space="0" w:color="auto"/>
            <w:right w:val="none" w:sz="0" w:space="0" w:color="auto"/>
          </w:divBdr>
          <w:divsChild>
            <w:div w:id="2111464433">
              <w:marLeft w:val="0"/>
              <w:marRight w:val="0"/>
              <w:marTop w:val="0"/>
              <w:marBottom w:val="0"/>
              <w:divBdr>
                <w:top w:val="none" w:sz="0" w:space="0" w:color="auto"/>
                <w:left w:val="none" w:sz="0" w:space="0" w:color="auto"/>
                <w:bottom w:val="none" w:sz="0" w:space="0" w:color="auto"/>
                <w:right w:val="none" w:sz="0" w:space="0" w:color="auto"/>
              </w:divBdr>
              <w:divsChild>
                <w:div w:id="16084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5959">
      <w:bodyDiv w:val="1"/>
      <w:marLeft w:val="0"/>
      <w:marRight w:val="0"/>
      <w:marTop w:val="0"/>
      <w:marBottom w:val="0"/>
      <w:divBdr>
        <w:top w:val="none" w:sz="0" w:space="0" w:color="auto"/>
        <w:left w:val="none" w:sz="0" w:space="0" w:color="auto"/>
        <w:bottom w:val="none" w:sz="0" w:space="0" w:color="auto"/>
        <w:right w:val="none" w:sz="0" w:space="0" w:color="auto"/>
      </w:divBdr>
    </w:div>
    <w:div w:id="1941908439">
      <w:bodyDiv w:val="1"/>
      <w:marLeft w:val="0"/>
      <w:marRight w:val="0"/>
      <w:marTop w:val="0"/>
      <w:marBottom w:val="0"/>
      <w:divBdr>
        <w:top w:val="none" w:sz="0" w:space="0" w:color="auto"/>
        <w:left w:val="none" w:sz="0" w:space="0" w:color="auto"/>
        <w:bottom w:val="none" w:sz="0" w:space="0" w:color="auto"/>
        <w:right w:val="none" w:sz="0" w:space="0" w:color="auto"/>
      </w:divBdr>
    </w:div>
    <w:div w:id="1944921598">
      <w:bodyDiv w:val="1"/>
      <w:marLeft w:val="0"/>
      <w:marRight w:val="0"/>
      <w:marTop w:val="0"/>
      <w:marBottom w:val="0"/>
      <w:divBdr>
        <w:top w:val="none" w:sz="0" w:space="0" w:color="auto"/>
        <w:left w:val="none" w:sz="0" w:space="0" w:color="auto"/>
        <w:bottom w:val="none" w:sz="0" w:space="0" w:color="auto"/>
        <w:right w:val="none" w:sz="0" w:space="0" w:color="auto"/>
      </w:divBdr>
    </w:div>
    <w:div w:id="1947731982">
      <w:bodyDiv w:val="1"/>
      <w:marLeft w:val="0"/>
      <w:marRight w:val="0"/>
      <w:marTop w:val="0"/>
      <w:marBottom w:val="0"/>
      <w:divBdr>
        <w:top w:val="none" w:sz="0" w:space="0" w:color="auto"/>
        <w:left w:val="none" w:sz="0" w:space="0" w:color="auto"/>
        <w:bottom w:val="none" w:sz="0" w:space="0" w:color="auto"/>
        <w:right w:val="none" w:sz="0" w:space="0" w:color="auto"/>
      </w:divBdr>
    </w:div>
    <w:div w:id="1947805094">
      <w:bodyDiv w:val="1"/>
      <w:marLeft w:val="0"/>
      <w:marRight w:val="0"/>
      <w:marTop w:val="0"/>
      <w:marBottom w:val="0"/>
      <w:divBdr>
        <w:top w:val="none" w:sz="0" w:space="0" w:color="auto"/>
        <w:left w:val="none" w:sz="0" w:space="0" w:color="auto"/>
        <w:bottom w:val="none" w:sz="0" w:space="0" w:color="auto"/>
        <w:right w:val="none" w:sz="0" w:space="0" w:color="auto"/>
      </w:divBdr>
      <w:divsChild>
        <w:div w:id="542450613">
          <w:marLeft w:val="0"/>
          <w:marRight w:val="0"/>
          <w:marTop w:val="0"/>
          <w:marBottom w:val="0"/>
          <w:divBdr>
            <w:top w:val="none" w:sz="0" w:space="0" w:color="auto"/>
            <w:left w:val="none" w:sz="0" w:space="0" w:color="auto"/>
            <w:bottom w:val="none" w:sz="0" w:space="0" w:color="auto"/>
            <w:right w:val="none" w:sz="0" w:space="0" w:color="auto"/>
          </w:divBdr>
          <w:divsChild>
            <w:div w:id="1025256458">
              <w:marLeft w:val="0"/>
              <w:marRight w:val="0"/>
              <w:marTop w:val="0"/>
              <w:marBottom w:val="0"/>
              <w:divBdr>
                <w:top w:val="none" w:sz="0" w:space="0" w:color="auto"/>
                <w:left w:val="none" w:sz="0" w:space="0" w:color="auto"/>
                <w:bottom w:val="none" w:sz="0" w:space="0" w:color="auto"/>
                <w:right w:val="none" w:sz="0" w:space="0" w:color="auto"/>
              </w:divBdr>
              <w:divsChild>
                <w:div w:id="166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80399">
      <w:bodyDiv w:val="1"/>
      <w:marLeft w:val="0"/>
      <w:marRight w:val="0"/>
      <w:marTop w:val="0"/>
      <w:marBottom w:val="0"/>
      <w:divBdr>
        <w:top w:val="none" w:sz="0" w:space="0" w:color="auto"/>
        <w:left w:val="none" w:sz="0" w:space="0" w:color="auto"/>
        <w:bottom w:val="none" w:sz="0" w:space="0" w:color="auto"/>
        <w:right w:val="none" w:sz="0" w:space="0" w:color="auto"/>
      </w:divBdr>
    </w:div>
    <w:div w:id="1956984652">
      <w:bodyDiv w:val="1"/>
      <w:marLeft w:val="0"/>
      <w:marRight w:val="0"/>
      <w:marTop w:val="0"/>
      <w:marBottom w:val="0"/>
      <w:divBdr>
        <w:top w:val="none" w:sz="0" w:space="0" w:color="auto"/>
        <w:left w:val="none" w:sz="0" w:space="0" w:color="auto"/>
        <w:bottom w:val="none" w:sz="0" w:space="0" w:color="auto"/>
        <w:right w:val="none" w:sz="0" w:space="0" w:color="auto"/>
      </w:divBdr>
    </w:div>
    <w:div w:id="1958100265">
      <w:bodyDiv w:val="1"/>
      <w:marLeft w:val="0"/>
      <w:marRight w:val="0"/>
      <w:marTop w:val="0"/>
      <w:marBottom w:val="0"/>
      <w:divBdr>
        <w:top w:val="none" w:sz="0" w:space="0" w:color="auto"/>
        <w:left w:val="none" w:sz="0" w:space="0" w:color="auto"/>
        <w:bottom w:val="none" w:sz="0" w:space="0" w:color="auto"/>
        <w:right w:val="none" w:sz="0" w:space="0" w:color="auto"/>
      </w:divBdr>
      <w:divsChild>
        <w:div w:id="965084584">
          <w:marLeft w:val="0"/>
          <w:marRight w:val="0"/>
          <w:marTop w:val="0"/>
          <w:marBottom w:val="0"/>
          <w:divBdr>
            <w:top w:val="none" w:sz="0" w:space="0" w:color="auto"/>
            <w:left w:val="none" w:sz="0" w:space="0" w:color="auto"/>
            <w:bottom w:val="none" w:sz="0" w:space="0" w:color="auto"/>
            <w:right w:val="none" w:sz="0" w:space="0" w:color="auto"/>
          </w:divBdr>
          <w:divsChild>
            <w:div w:id="556277977">
              <w:marLeft w:val="0"/>
              <w:marRight w:val="0"/>
              <w:marTop w:val="0"/>
              <w:marBottom w:val="0"/>
              <w:divBdr>
                <w:top w:val="none" w:sz="0" w:space="0" w:color="auto"/>
                <w:left w:val="none" w:sz="0" w:space="0" w:color="auto"/>
                <w:bottom w:val="none" w:sz="0" w:space="0" w:color="auto"/>
                <w:right w:val="none" w:sz="0" w:space="0" w:color="auto"/>
              </w:divBdr>
              <w:divsChild>
                <w:div w:id="762073068">
                  <w:marLeft w:val="0"/>
                  <w:marRight w:val="0"/>
                  <w:marTop w:val="0"/>
                  <w:marBottom w:val="0"/>
                  <w:divBdr>
                    <w:top w:val="none" w:sz="0" w:space="0" w:color="auto"/>
                    <w:left w:val="none" w:sz="0" w:space="0" w:color="auto"/>
                    <w:bottom w:val="none" w:sz="0" w:space="0" w:color="auto"/>
                    <w:right w:val="none" w:sz="0" w:space="0" w:color="auto"/>
                  </w:divBdr>
                  <w:divsChild>
                    <w:div w:id="20548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2822">
      <w:bodyDiv w:val="1"/>
      <w:marLeft w:val="0"/>
      <w:marRight w:val="0"/>
      <w:marTop w:val="0"/>
      <w:marBottom w:val="0"/>
      <w:divBdr>
        <w:top w:val="none" w:sz="0" w:space="0" w:color="auto"/>
        <w:left w:val="none" w:sz="0" w:space="0" w:color="auto"/>
        <w:bottom w:val="none" w:sz="0" w:space="0" w:color="auto"/>
        <w:right w:val="none" w:sz="0" w:space="0" w:color="auto"/>
      </w:divBdr>
    </w:div>
    <w:div w:id="1962761081">
      <w:bodyDiv w:val="1"/>
      <w:marLeft w:val="0"/>
      <w:marRight w:val="0"/>
      <w:marTop w:val="0"/>
      <w:marBottom w:val="0"/>
      <w:divBdr>
        <w:top w:val="none" w:sz="0" w:space="0" w:color="auto"/>
        <w:left w:val="none" w:sz="0" w:space="0" w:color="auto"/>
        <w:bottom w:val="none" w:sz="0" w:space="0" w:color="auto"/>
        <w:right w:val="none" w:sz="0" w:space="0" w:color="auto"/>
      </w:divBdr>
      <w:divsChild>
        <w:div w:id="640308767">
          <w:marLeft w:val="0"/>
          <w:marRight w:val="0"/>
          <w:marTop w:val="0"/>
          <w:marBottom w:val="0"/>
          <w:divBdr>
            <w:top w:val="none" w:sz="0" w:space="0" w:color="auto"/>
            <w:left w:val="none" w:sz="0" w:space="0" w:color="auto"/>
            <w:bottom w:val="none" w:sz="0" w:space="0" w:color="auto"/>
            <w:right w:val="none" w:sz="0" w:space="0" w:color="auto"/>
          </w:divBdr>
          <w:divsChild>
            <w:div w:id="1279335116">
              <w:marLeft w:val="0"/>
              <w:marRight w:val="0"/>
              <w:marTop w:val="0"/>
              <w:marBottom w:val="0"/>
              <w:divBdr>
                <w:top w:val="none" w:sz="0" w:space="0" w:color="auto"/>
                <w:left w:val="none" w:sz="0" w:space="0" w:color="auto"/>
                <w:bottom w:val="none" w:sz="0" w:space="0" w:color="auto"/>
                <w:right w:val="none" w:sz="0" w:space="0" w:color="auto"/>
              </w:divBdr>
              <w:divsChild>
                <w:div w:id="1753040412">
                  <w:marLeft w:val="0"/>
                  <w:marRight w:val="0"/>
                  <w:marTop w:val="0"/>
                  <w:marBottom w:val="0"/>
                  <w:divBdr>
                    <w:top w:val="none" w:sz="0" w:space="0" w:color="auto"/>
                    <w:left w:val="none" w:sz="0" w:space="0" w:color="auto"/>
                    <w:bottom w:val="none" w:sz="0" w:space="0" w:color="auto"/>
                    <w:right w:val="none" w:sz="0" w:space="0" w:color="auto"/>
                  </w:divBdr>
                  <w:divsChild>
                    <w:div w:id="20172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011">
      <w:bodyDiv w:val="1"/>
      <w:marLeft w:val="0"/>
      <w:marRight w:val="0"/>
      <w:marTop w:val="0"/>
      <w:marBottom w:val="0"/>
      <w:divBdr>
        <w:top w:val="none" w:sz="0" w:space="0" w:color="auto"/>
        <w:left w:val="none" w:sz="0" w:space="0" w:color="auto"/>
        <w:bottom w:val="none" w:sz="0" w:space="0" w:color="auto"/>
        <w:right w:val="none" w:sz="0" w:space="0" w:color="auto"/>
      </w:divBdr>
    </w:div>
    <w:div w:id="1963998579">
      <w:bodyDiv w:val="1"/>
      <w:marLeft w:val="0"/>
      <w:marRight w:val="0"/>
      <w:marTop w:val="0"/>
      <w:marBottom w:val="0"/>
      <w:divBdr>
        <w:top w:val="none" w:sz="0" w:space="0" w:color="auto"/>
        <w:left w:val="none" w:sz="0" w:space="0" w:color="auto"/>
        <w:bottom w:val="none" w:sz="0" w:space="0" w:color="auto"/>
        <w:right w:val="none" w:sz="0" w:space="0" w:color="auto"/>
      </w:divBdr>
      <w:divsChild>
        <w:div w:id="10571615">
          <w:marLeft w:val="0"/>
          <w:marRight w:val="0"/>
          <w:marTop w:val="0"/>
          <w:marBottom w:val="0"/>
          <w:divBdr>
            <w:top w:val="single" w:sz="2" w:space="5" w:color="auto"/>
            <w:left w:val="single" w:sz="2" w:space="0" w:color="auto"/>
            <w:bottom w:val="single" w:sz="2" w:space="5" w:color="auto"/>
            <w:right w:val="single" w:sz="2" w:space="0" w:color="auto"/>
          </w:divBdr>
        </w:div>
        <w:div w:id="536548356">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9621576">
      <w:bodyDiv w:val="1"/>
      <w:marLeft w:val="0"/>
      <w:marRight w:val="0"/>
      <w:marTop w:val="0"/>
      <w:marBottom w:val="0"/>
      <w:divBdr>
        <w:top w:val="none" w:sz="0" w:space="0" w:color="auto"/>
        <w:left w:val="none" w:sz="0" w:space="0" w:color="auto"/>
        <w:bottom w:val="none" w:sz="0" w:space="0" w:color="auto"/>
        <w:right w:val="none" w:sz="0" w:space="0" w:color="auto"/>
      </w:divBdr>
    </w:div>
    <w:div w:id="1978680432">
      <w:bodyDiv w:val="1"/>
      <w:marLeft w:val="0"/>
      <w:marRight w:val="0"/>
      <w:marTop w:val="0"/>
      <w:marBottom w:val="0"/>
      <w:divBdr>
        <w:top w:val="none" w:sz="0" w:space="0" w:color="auto"/>
        <w:left w:val="none" w:sz="0" w:space="0" w:color="auto"/>
        <w:bottom w:val="none" w:sz="0" w:space="0" w:color="auto"/>
        <w:right w:val="none" w:sz="0" w:space="0" w:color="auto"/>
      </w:divBdr>
      <w:divsChild>
        <w:div w:id="1677422129">
          <w:marLeft w:val="0"/>
          <w:marRight w:val="0"/>
          <w:marTop w:val="0"/>
          <w:marBottom w:val="0"/>
          <w:divBdr>
            <w:top w:val="none" w:sz="0" w:space="0" w:color="auto"/>
            <w:left w:val="none" w:sz="0" w:space="0" w:color="auto"/>
            <w:bottom w:val="none" w:sz="0" w:space="0" w:color="auto"/>
            <w:right w:val="none" w:sz="0" w:space="0" w:color="auto"/>
          </w:divBdr>
          <w:divsChild>
            <w:div w:id="173149057">
              <w:marLeft w:val="0"/>
              <w:marRight w:val="0"/>
              <w:marTop w:val="0"/>
              <w:marBottom w:val="0"/>
              <w:divBdr>
                <w:top w:val="none" w:sz="0" w:space="0" w:color="auto"/>
                <w:left w:val="none" w:sz="0" w:space="0" w:color="auto"/>
                <w:bottom w:val="none" w:sz="0" w:space="0" w:color="auto"/>
                <w:right w:val="none" w:sz="0" w:space="0" w:color="auto"/>
              </w:divBdr>
              <w:divsChild>
                <w:div w:id="682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2871">
      <w:bodyDiv w:val="1"/>
      <w:marLeft w:val="0"/>
      <w:marRight w:val="0"/>
      <w:marTop w:val="0"/>
      <w:marBottom w:val="0"/>
      <w:divBdr>
        <w:top w:val="none" w:sz="0" w:space="0" w:color="auto"/>
        <w:left w:val="none" w:sz="0" w:space="0" w:color="auto"/>
        <w:bottom w:val="none" w:sz="0" w:space="0" w:color="auto"/>
        <w:right w:val="none" w:sz="0" w:space="0" w:color="auto"/>
      </w:divBdr>
      <w:divsChild>
        <w:div w:id="1144081840">
          <w:marLeft w:val="0"/>
          <w:marRight w:val="0"/>
          <w:marTop w:val="0"/>
          <w:marBottom w:val="0"/>
          <w:divBdr>
            <w:top w:val="none" w:sz="0" w:space="0" w:color="auto"/>
            <w:left w:val="none" w:sz="0" w:space="0" w:color="auto"/>
            <w:bottom w:val="none" w:sz="0" w:space="0" w:color="auto"/>
            <w:right w:val="none" w:sz="0" w:space="0" w:color="auto"/>
          </w:divBdr>
          <w:divsChild>
            <w:div w:id="574509684">
              <w:marLeft w:val="0"/>
              <w:marRight w:val="0"/>
              <w:marTop w:val="0"/>
              <w:marBottom w:val="0"/>
              <w:divBdr>
                <w:top w:val="none" w:sz="0" w:space="0" w:color="auto"/>
                <w:left w:val="none" w:sz="0" w:space="0" w:color="auto"/>
                <w:bottom w:val="none" w:sz="0" w:space="0" w:color="auto"/>
                <w:right w:val="none" w:sz="0" w:space="0" w:color="auto"/>
              </w:divBdr>
              <w:divsChild>
                <w:div w:id="11505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804">
      <w:bodyDiv w:val="1"/>
      <w:marLeft w:val="0"/>
      <w:marRight w:val="0"/>
      <w:marTop w:val="0"/>
      <w:marBottom w:val="0"/>
      <w:divBdr>
        <w:top w:val="none" w:sz="0" w:space="0" w:color="auto"/>
        <w:left w:val="none" w:sz="0" w:space="0" w:color="auto"/>
        <w:bottom w:val="none" w:sz="0" w:space="0" w:color="auto"/>
        <w:right w:val="none" w:sz="0" w:space="0" w:color="auto"/>
      </w:divBdr>
      <w:divsChild>
        <w:div w:id="1282374741">
          <w:marLeft w:val="0"/>
          <w:marRight w:val="0"/>
          <w:marTop w:val="0"/>
          <w:marBottom w:val="0"/>
          <w:divBdr>
            <w:top w:val="none" w:sz="0" w:space="0" w:color="auto"/>
            <w:left w:val="none" w:sz="0" w:space="0" w:color="auto"/>
            <w:bottom w:val="none" w:sz="0" w:space="0" w:color="auto"/>
            <w:right w:val="none" w:sz="0" w:space="0" w:color="auto"/>
          </w:divBdr>
          <w:divsChild>
            <w:div w:id="57899128">
              <w:marLeft w:val="0"/>
              <w:marRight w:val="0"/>
              <w:marTop w:val="0"/>
              <w:marBottom w:val="0"/>
              <w:divBdr>
                <w:top w:val="none" w:sz="0" w:space="0" w:color="auto"/>
                <w:left w:val="none" w:sz="0" w:space="0" w:color="auto"/>
                <w:bottom w:val="none" w:sz="0" w:space="0" w:color="auto"/>
                <w:right w:val="none" w:sz="0" w:space="0" w:color="auto"/>
              </w:divBdr>
              <w:divsChild>
                <w:div w:id="1292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144">
      <w:bodyDiv w:val="1"/>
      <w:marLeft w:val="0"/>
      <w:marRight w:val="0"/>
      <w:marTop w:val="0"/>
      <w:marBottom w:val="0"/>
      <w:divBdr>
        <w:top w:val="none" w:sz="0" w:space="0" w:color="auto"/>
        <w:left w:val="none" w:sz="0" w:space="0" w:color="auto"/>
        <w:bottom w:val="none" w:sz="0" w:space="0" w:color="auto"/>
        <w:right w:val="none" w:sz="0" w:space="0" w:color="auto"/>
      </w:divBdr>
      <w:divsChild>
        <w:div w:id="1829589938">
          <w:marLeft w:val="0"/>
          <w:marRight w:val="0"/>
          <w:marTop w:val="0"/>
          <w:marBottom w:val="0"/>
          <w:divBdr>
            <w:top w:val="none" w:sz="0" w:space="0" w:color="auto"/>
            <w:left w:val="none" w:sz="0" w:space="0" w:color="auto"/>
            <w:bottom w:val="none" w:sz="0" w:space="0" w:color="auto"/>
            <w:right w:val="none" w:sz="0" w:space="0" w:color="auto"/>
          </w:divBdr>
          <w:divsChild>
            <w:div w:id="1786078121">
              <w:marLeft w:val="0"/>
              <w:marRight w:val="0"/>
              <w:marTop w:val="0"/>
              <w:marBottom w:val="0"/>
              <w:divBdr>
                <w:top w:val="none" w:sz="0" w:space="0" w:color="auto"/>
                <w:left w:val="none" w:sz="0" w:space="0" w:color="auto"/>
                <w:bottom w:val="none" w:sz="0" w:space="0" w:color="auto"/>
                <w:right w:val="none" w:sz="0" w:space="0" w:color="auto"/>
              </w:divBdr>
              <w:divsChild>
                <w:div w:id="1627661741">
                  <w:marLeft w:val="0"/>
                  <w:marRight w:val="0"/>
                  <w:marTop w:val="0"/>
                  <w:marBottom w:val="0"/>
                  <w:divBdr>
                    <w:top w:val="none" w:sz="0" w:space="0" w:color="auto"/>
                    <w:left w:val="none" w:sz="0" w:space="0" w:color="auto"/>
                    <w:bottom w:val="none" w:sz="0" w:space="0" w:color="auto"/>
                    <w:right w:val="none" w:sz="0" w:space="0" w:color="auto"/>
                  </w:divBdr>
                  <w:divsChild>
                    <w:div w:id="738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1769">
      <w:bodyDiv w:val="1"/>
      <w:marLeft w:val="0"/>
      <w:marRight w:val="0"/>
      <w:marTop w:val="0"/>
      <w:marBottom w:val="0"/>
      <w:divBdr>
        <w:top w:val="none" w:sz="0" w:space="0" w:color="auto"/>
        <w:left w:val="none" w:sz="0" w:space="0" w:color="auto"/>
        <w:bottom w:val="none" w:sz="0" w:space="0" w:color="auto"/>
        <w:right w:val="none" w:sz="0" w:space="0" w:color="auto"/>
      </w:divBdr>
    </w:div>
    <w:div w:id="1996101814">
      <w:bodyDiv w:val="1"/>
      <w:marLeft w:val="0"/>
      <w:marRight w:val="0"/>
      <w:marTop w:val="0"/>
      <w:marBottom w:val="0"/>
      <w:divBdr>
        <w:top w:val="none" w:sz="0" w:space="0" w:color="auto"/>
        <w:left w:val="none" w:sz="0" w:space="0" w:color="auto"/>
        <w:bottom w:val="none" w:sz="0" w:space="0" w:color="auto"/>
        <w:right w:val="none" w:sz="0" w:space="0" w:color="auto"/>
      </w:divBdr>
    </w:div>
    <w:div w:id="1996491032">
      <w:bodyDiv w:val="1"/>
      <w:marLeft w:val="0"/>
      <w:marRight w:val="0"/>
      <w:marTop w:val="0"/>
      <w:marBottom w:val="0"/>
      <w:divBdr>
        <w:top w:val="none" w:sz="0" w:space="0" w:color="auto"/>
        <w:left w:val="none" w:sz="0" w:space="0" w:color="auto"/>
        <w:bottom w:val="none" w:sz="0" w:space="0" w:color="auto"/>
        <w:right w:val="none" w:sz="0" w:space="0" w:color="auto"/>
      </w:divBdr>
    </w:div>
    <w:div w:id="2004699196">
      <w:bodyDiv w:val="1"/>
      <w:marLeft w:val="0"/>
      <w:marRight w:val="0"/>
      <w:marTop w:val="0"/>
      <w:marBottom w:val="0"/>
      <w:divBdr>
        <w:top w:val="none" w:sz="0" w:space="0" w:color="auto"/>
        <w:left w:val="none" w:sz="0" w:space="0" w:color="auto"/>
        <w:bottom w:val="none" w:sz="0" w:space="0" w:color="auto"/>
        <w:right w:val="none" w:sz="0" w:space="0" w:color="auto"/>
      </w:divBdr>
      <w:divsChild>
        <w:div w:id="1125661309">
          <w:marLeft w:val="0"/>
          <w:marRight w:val="0"/>
          <w:marTop w:val="0"/>
          <w:marBottom w:val="0"/>
          <w:divBdr>
            <w:top w:val="none" w:sz="0" w:space="0" w:color="auto"/>
            <w:left w:val="none" w:sz="0" w:space="0" w:color="auto"/>
            <w:bottom w:val="none" w:sz="0" w:space="0" w:color="auto"/>
            <w:right w:val="none" w:sz="0" w:space="0" w:color="auto"/>
          </w:divBdr>
          <w:divsChild>
            <w:div w:id="1012998598">
              <w:marLeft w:val="0"/>
              <w:marRight w:val="0"/>
              <w:marTop w:val="0"/>
              <w:marBottom w:val="0"/>
              <w:divBdr>
                <w:top w:val="none" w:sz="0" w:space="0" w:color="auto"/>
                <w:left w:val="none" w:sz="0" w:space="0" w:color="auto"/>
                <w:bottom w:val="none" w:sz="0" w:space="0" w:color="auto"/>
                <w:right w:val="none" w:sz="0" w:space="0" w:color="auto"/>
              </w:divBdr>
              <w:divsChild>
                <w:div w:id="624235179">
                  <w:marLeft w:val="0"/>
                  <w:marRight w:val="0"/>
                  <w:marTop w:val="0"/>
                  <w:marBottom w:val="0"/>
                  <w:divBdr>
                    <w:top w:val="none" w:sz="0" w:space="0" w:color="auto"/>
                    <w:left w:val="none" w:sz="0" w:space="0" w:color="auto"/>
                    <w:bottom w:val="none" w:sz="0" w:space="0" w:color="auto"/>
                    <w:right w:val="none" w:sz="0" w:space="0" w:color="auto"/>
                  </w:divBdr>
                  <w:divsChild>
                    <w:div w:id="15547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5065836">
      <w:bodyDiv w:val="1"/>
      <w:marLeft w:val="0"/>
      <w:marRight w:val="0"/>
      <w:marTop w:val="0"/>
      <w:marBottom w:val="0"/>
      <w:divBdr>
        <w:top w:val="none" w:sz="0" w:space="0" w:color="auto"/>
        <w:left w:val="none" w:sz="0" w:space="0" w:color="auto"/>
        <w:bottom w:val="none" w:sz="0" w:space="0" w:color="auto"/>
        <w:right w:val="none" w:sz="0" w:space="0" w:color="auto"/>
      </w:divBdr>
    </w:div>
    <w:div w:id="2018193550">
      <w:bodyDiv w:val="1"/>
      <w:marLeft w:val="0"/>
      <w:marRight w:val="0"/>
      <w:marTop w:val="0"/>
      <w:marBottom w:val="0"/>
      <w:divBdr>
        <w:top w:val="none" w:sz="0" w:space="0" w:color="auto"/>
        <w:left w:val="none" w:sz="0" w:space="0" w:color="auto"/>
        <w:bottom w:val="none" w:sz="0" w:space="0" w:color="auto"/>
        <w:right w:val="none" w:sz="0" w:space="0" w:color="auto"/>
      </w:divBdr>
      <w:divsChild>
        <w:div w:id="153763047">
          <w:marLeft w:val="0"/>
          <w:marRight w:val="0"/>
          <w:marTop w:val="0"/>
          <w:marBottom w:val="0"/>
          <w:divBdr>
            <w:top w:val="none" w:sz="0" w:space="0" w:color="auto"/>
            <w:left w:val="none" w:sz="0" w:space="0" w:color="auto"/>
            <w:bottom w:val="none" w:sz="0" w:space="0" w:color="auto"/>
            <w:right w:val="none" w:sz="0" w:space="0" w:color="auto"/>
          </w:divBdr>
          <w:divsChild>
            <w:div w:id="2113167287">
              <w:marLeft w:val="0"/>
              <w:marRight w:val="0"/>
              <w:marTop w:val="0"/>
              <w:marBottom w:val="0"/>
              <w:divBdr>
                <w:top w:val="none" w:sz="0" w:space="0" w:color="auto"/>
                <w:left w:val="none" w:sz="0" w:space="0" w:color="auto"/>
                <w:bottom w:val="none" w:sz="0" w:space="0" w:color="auto"/>
                <w:right w:val="none" w:sz="0" w:space="0" w:color="auto"/>
              </w:divBdr>
              <w:divsChild>
                <w:div w:id="8718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0866">
      <w:bodyDiv w:val="1"/>
      <w:marLeft w:val="0"/>
      <w:marRight w:val="0"/>
      <w:marTop w:val="0"/>
      <w:marBottom w:val="0"/>
      <w:divBdr>
        <w:top w:val="none" w:sz="0" w:space="0" w:color="auto"/>
        <w:left w:val="none" w:sz="0" w:space="0" w:color="auto"/>
        <w:bottom w:val="none" w:sz="0" w:space="0" w:color="auto"/>
        <w:right w:val="none" w:sz="0" w:space="0" w:color="auto"/>
      </w:divBdr>
    </w:div>
    <w:div w:id="2021663269">
      <w:bodyDiv w:val="1"/>
      <w:marLeft w:val="0"/>
      <w:marRight w:val="0"/>
      <w:marTop w:val="0"/>
      <w:marBottom w:val="0"/>
      <w:divBdr>
        <w:top w:val="none" w:sz="0" w:space="0" w:color="auto"/>
        <w:left w:val="none" w:sz="0" w:space="0" w:color="auto"/>
        <w:bottom w:val="none" w:sz="0" w:space="0" w:color="auto"/>
        <w:right w:val="none" w:sz="0" w:space="0" w:color="auto"/>
      </w:divBdr>
    </w:div>
    <w:div w:id="2022005895">
      <w:bodyDiv w:val="1"/>
      <w:marLeft w:val="0"/>
      <w:marRight w:val="0"/>
      <w:marTop w:val="0"/>
      <w:marBottom w:val="0"/>
      <w:divBdr>
        <w:top w:val="none" w:sz="0" w:space="0" w:color="auto"/>
        <w:left w:val="none" w:sz="0" w:space="0" w:color="auto"/>
        <w:bottom w:val="none" w:sz="0" w:space="0" w:color="auto"/>
        <w:right w:val="none" w:sz="0" w:space="0" w:color="auto"/>
      </w:divBdr>
    </w:div>
    <w:div w:id="2022582143">
      <w:bodyDiv w:val="1"/>
      <w:marLeft w:val="0"/>
      <w:marRight w:val="0"/>
      <w:marTop w:val="0"/>
      <w:marBottom w:val="0"/>
      <w:divBdr>
        <w:top w:val="none" w:sz="0" w:space="0" w:color="auto"/>
        <w:left w:val="none" w:sz="0" w:space="0" w:color="auto"/>
        <w:bottom w:val="none" w:sz="0" w:space="0" w:color="auto"/>
        <w:right w:val="none" w:sz="0" w:space="0" w:color="auto"/>
      </w:divBdr>
    </w:div>
    <w:div w:id="2029528316">
      <w:bodyDiv w:val="1"/>
      <w:marLeft w:val="0"/>
      <w:marRight w:val="0"/>
      <w:marTop w:val="0"/>
      <w:marBottom w:val="0"/>
      <w:divBdr>
        <w:top w:val="none" w:sz="0" w:space="0" w:color="auto"/>
        <w:left w:val="none" w:sz="0" w:space="0" w:color="auto"/>
        <w:bottom w:val="none" w:sz="0" w:space="0" w:color="auto"/>
        <w:right w:val="none" w:sz="0" w:space="0" w:color="auto"/>
      </w:divBdr>
    </w:div>
    <w:div w:id="2031909767">
      <w:bodyDiv w:val="1"/>
      <w:marLeft w:val="0"/>
      <w:marRight w:val="0"/>
      <w:marTop w:val="0"/>
      <w:marBottom w:val="0"/>
      <w:divBdr>
        <w:top w:val="none" w:sz="0" w:space="0" w:color="auto"/>
        <w:left w:val="none" w:sz="0" w:space="0" w:color="auto"/>
        <w:bottom w:val="none" w:sz="0" w:space="0" w:color="auto"/>
        <w:right w:val="none" w:sz="0" w:space="0" w:color="auto"/>
      </w:divBdr>
      <w:divsChild>
        <w:div w:id="1237521479">
          <w:marLeft w:val="0"/>
          <w:marRight w:val="0"/>
          <w:marTop w:val="0"/>
          <w:marBottom w:val="0"/>
          <w:divBdr>
            <w:top w:val="none" w:sz="0" w:space="0" w:color="auto"/>
            <w:left w:val="none" w:sz="0" w:space="0" w:color="auto"/>
            <w:bottom w:val="none" w:sz="0" w:space="0" w:color="auto"/>
            <w:right w:val="none" w:sz="0" w:space="0" w:color="auto"/>
          </w:divBdr>
          <w:divsChild>
            <w:div w:id="1344824312">
              <w:marLeft w:val="0"/>
              <w:marRight w:val="0"/>
              <w:marTop w:val="0"/>
              <w:marBottom w:val="0"/>
              <w:divBdr>
                <w:top w:val="none" w:sz="0" w:space="0" w:color="auto"/>
                <w:left w:val="none" w:sz="0" w:space="0" w:color="auto"/>
                <w:bottom w:val="none" w:sz="0" w:space="0" w:color="auto"/>
                <w:right w:val="none" w:sz="0" w:space="0" w:color="auto"/>
              </w:divBdr>
              <w:divsChild>
                <w:div w:id="121575991">
                  <w:marLeft w:val="0"/>
                  <w:marRight w:val="0"/>
                  <w:marTop w:val="0"/>
                  <w:marBottom w:val="0"/>
                  <w:divBdr>
                    <w:top w:val="none" w:sz="0" w:space="0" w:color="auto"/>
                    <w:left w:val="none" w:sz="0" w:space="0" w:color="auto"/>
                    <w:bottom w:val="none" w:sz="0" w:space="0" w:color="auto"/>
                    <w:right w:val="none" w:sz="0" w:space="0" w:color="auto"/>
                  </w:divBdr>
                  <w:divsChild>
                    <w:div w:id="481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11">
      <w:bodyDiv w:val="1"/>
      <w:marLeft w:val="0"/>
      <w:marRight w:val="0"/>
      <w:marTop w:val="0"/>
      <w:marBottom w:val="0"/>
      <w:divBdr>
        <w:top w:val="none" w:sz="0" w:space="0" w:color="auto"/>
        <w:left w:val="none" w:sz="0" w:space="0" w:color="auto"/>
        <w:bottom w:val="none" w:sz="0" w:space="0" w:color="auto"/>
        <w:right w:val="none" w:sz="0" w:space="0" w:color="auto"/>
      </w:divBdr>
      <w:divsChild>
        <w:div w:id="149950128">
          <w:marLeft w:val="0"/>
          <w:marRight w:val="0"/>
          <w:marTop w:val="0"/>
          <w:marBottom w:val="0"/>
          <w:divBdr>
            <w:top w:val="none" w:sz="0" w:space="0" w:color="auto"/>
            <w:left w:val="none" w:sz="0" w:space="0" w:color="auto"/>
            <w:bottom w:val="none" w:sz="0" w:space="0" w:color="auto"/>
            <w:right w:val="none" w:sz="0" w:space="0" w:color="auto"/>
          </w:divBdr>
          <w:divsChild>
            <w:div w:id="1236893104">
              <w:marLeft w:val="0"/>
              <w:marRight w:val="0"/>
              <w:marTop w:val="0"/>
              <w:marBottom w:val="0"/>
              <w:divBdr>
                <w:top w:val="none" w:sz="0" w:space="0" w:color="auto"/>
                <w:left w:val="none" w:sz="0" w:space="0" w:color="auto"/>
                <w:bottom w:val="none" w:sz="0" w:space="0" w:color="auto"/>
                <w:right w:val="none" w:sz="0" w:space="0" w:color="auto"/>
              </w:divBdr>
              <w:divsChild>
                <w:div w:id="83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2034">
      <w:bodyDiv w:val="1"/>
      <w:marLeft w:val="0"/>
      <w:marRight w:val="0"/>
      <w:marTop w:val="0"/>
      <w:marBottom w:val="0"/>
      <w:divBdr>
        <w:top w:val="none" w:sz="0" w:space="0" w:color="auto"/>
        <w:left w:val="none" w:sz="0" w:space="0" w:color="auto"/>
        <w:bottom w:val="none" w:sz="0" w:space="0" w:color="auto"/>
        <w:right w:val="none" w:sz="0" w:space="0" w:color="auto"/>
      </w:divBdr>
    </w:div>
    <w:div w:id="2043557272">
      <w:bodyDiv w:val="1"/>
      <w:marLeft w:val="0"/>
      <w:marRight w:val="0"/>
      <w:marTop w:val="0"/>
      <w:marBottom w:val="0"/>
      <w:divBdr>
        <w:top w:val="none" w:sz="0" w:space="0" w:color="auto"/>
        <w:left w:val="none" w:sz="0" w:space="0" w:color="auto"/>
        <w:bottom w:val="none" w:sz="0" w:space="0" w:color="auto"/>
        <w:right w:val="none" w:sz="0" w:space="0" w:color="auto"/>
      </w:divBdr>
      <w:divsChild>
        <w:div w:id="151872402">
          <w:marLeft w:val="0"/>
          <w:marRight w:val="0"/>
          <w:marTop w:val="0"/>
          <w:marBottom w:val="0"/>
          <w:divBdr>
            <w:top w:val="none" w:sz="0" w:space="0" w:color="auto"/>
            <w:left w:val="none" w:sz="0" w:space="0" w:color="auto"/>
            <w:bottom w:val="none" w:sz="0" w:space="0" w:color="auto"/>
            <w:right w:val="none" w:sz="0" w:space="0" w:color="auto"/>
          </w:divBdr>
          <w:divsChild>
            <w:div w:id="18362532">
              <w:marLeft w:val="0"/>
              <w:marRight w:val="0"/>
              <w:marTop w:val="0"/>
              <w:marBottom w:val="0"/>
              <w:divBdr>
                <w:top w:val="none" w:sz="0" w:space="0" w:color="auto"/>
                <w:left w:val="none" w:sz="0" w:space="0" w:color="auto"/>
                <w:bottom w:val="none" w:sz="0" w:space="0" w:color="auto"/>
                <w:right w:val="none" w:sz="0" w:space="0" w:color="auto"/>
              </w:divBdr>
              <w:divsChild>
                <w:div w:id="151264695">
                  <w:marLeft w:val="0"/>
                  <w:marRight w:val="0"/>
                  <w:marTop w:val="0"/>
                  <w:marBottom w:val="0"/>
                  <w:divBdr>
                    <w:top w:val="none" w:sz="0" w:space="0" w:color="auto"/>
                    <w:left w:val="none" w:sz="0" w:space="0" w:color="auto"/>
                    <w:bottom w:val="none" w:sz="0" w:space="0" w:color="auto"/>
                    <w:right w:val="none" w:sz="0" w:space="0" w:color="auto"/>
                  </w:divBdr>
                  <w:divsChild>
                    <w:div w:id="13657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48222">
      <w:bodyDiv w:val="1"/>
      <w:marLeft w:val="0"/>
      <w:marRight w:val="0"/>
      <w:marTop w:val="0"/>
      <w:marBottom w:val="0"/>
      <w:divBdr>
        <w:top w:val="none" w:sz="0" w:space="0" w:color="auto"/>
        <w:left w:val="none" w:sz="0" w:space="0" w:color="auto"/>
        <w:bottom w:val="none" w:sz="0" w:space="0" w:color="auto"/>
        <w:right w:val="none" w:sz="0" w:space="0" w:color="auto"/>
      </w:divBdr>
      <w:divsChild>
        <w:div w:id="1263302784">
          <w:marLeft w:val="0"/>
          <w:marRight w:val="0"/>
          <w:marTop w:val="0"/>
          <w:marBottom w:val="0"/>
          <w:divBdr>
            <w:top w:val="none" w:sz="0" w:space="0" w:color="auto"/>
            <w:left w:val="none" w:sz="0" w:space="0" w:color="auto"/>
            <w:bottom w:val="none" w:sz="0" w:space="0" w:color="auto"/>
            <w:right w:val="none" w:sz="0" w:space="0" w:color="auto"/>
          </w:divBdr>
          <w:divsChild>
            <w:div w:id="1444418587">
              <w:marLeft w:val="0"/>
              <w:marRight w:val="0"/>
              <w:marTop w:val="0"/>
              <w:marBottom w:val="0"/>
              <w:divBdr>
                <w:top w:val="none" w:sz="0" w:space="0" w:color="auto"/>
                <w:left w:val="none" w:sz="0" w:space="0" w:color="auto"/>
                <w:bottom w:val="none" w:sz="0" w:space="0" w:color="auto"/>
                <w:right w:val="none" w:sz="0" w:space="0" w:color="auto"/>
              </w:divBdr>
              <w:divsChild>
                <w:div w:id="381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7056">
      <w:bodyDiv w:val="1"/>
      <w:marLeft w:val="0"/>
      <w:marRight w:val="0"/>
      <w:marTop w:val="0"/>
      <w:marBottom w:val="0"/>
      <w:divBdr>
        <w:top w:val="none" w:sz="0" w:space="0" w:color="auto"/>
        <w:left w:val="none" w:sz="0" w:space="0" w:color="auto"/>
        <w:bottom w:val="none" w:sz="0" w:space="0" w:color="auto"/>
        <w:right w:val="none" w:sz="0" w:space="0" w:color="auto"/>
      </w:divBdr>
    </w:div>
    <w:div w:id="2048943015">
      <w:bodyDiv w:val="1"/>
      <w:marLeft w:val="0"/>
      <w:marRight w:val="0"/>
      <w:marTop w:val="0"/>
      <w:marBottom w:val="0"/>
      <w:divBdr>
        <w:top w:val="none" w:sz="0" w:space="0" w:color="auto"/>
        <w:left w:val="none" w:sz="0" w:space="0" w:color="auto"/>
        <w:bottom w:val="none" w:sz="0" w:space="0" w:color="auto"/>
        <w:right w:val="none" w:sz="0" w:space="0" w:color="auto"/>
      </w:divBdr>
    </w:div>
    <w:div w:id="2049260250">
      <w:bodyDiv w:val="1"/>
      <w:marLeft w:val="0"/>
      <w:marRight w:val="0"/>
      <w:marTop w:val="0"/>
      <w:marBottom w:val="0"/>
      <w:divBdr>
        <w:top w:val="none" w:sz="0" w:space="0" w:color="auto"/>
        <w:left w:val="none" w:sz="0" w:space="0" w:color="auto"/>
        <w:bottom w:val="none" w:sz="0" w:space="0" w:color="auto"/>
        <w:right w:val="none" w:sz="0" w:space="0" w:color="auto"/>
      </w:divBdr>
      <w:divsChild>
        <w:div w:id="548877492">
          <w:marLeft w:val="0"/>
          <w:marRight w:val="0"/>
          <w:marTop w:val="0"/>
          <w:marBottom w:val="0"/>
          <w:divBdr>
            <w:top w:val="none" w:sz="0" w:space="0" w:color="auto"/>
            <w:left w:val="none" w:sz="0" w:space="0" w:color="auto"/>
            <w:bottom w:val="none" w:sz="0" w:space="0" w:color="auto"/>
            <w:right w:val="none" w:sz="0" w:space="0" w:color="auto"/>
          </w:divBdr>
          <w:divsChild>
            <w:div w:id="1574467249">
              <w:marLeft w:val="0"/>
              <w:marRight w:val="0"/>
              <w:marTop w:val="0"/>
              <w:marBottom w:val="0"/>
              <w:divBdr>
                <w:top w:val="none" w:sz="0" w:space="0" w:color="auto"/>
                <w:left w:val="none" w:sz="0" w:space="0" w:color="auto"/>
                <w:bottom w:val="none" w:sz="0" w:space="0" w:color="auto"/>
                <w:right w:val="none" w:sz="0" w:space="0" w:color="auto"/>
              </w:divBdr>
              <w:divsChild>
                <w:div w:id="732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493">
      <w:bodyDiv w:val="1"/>
      <w:marLeft w:val="0"/>
      <w:marRight w:val="0"/>
      <w:marTop w:val="0"/>
      <w:marBottom w:val="0"/>
      <w:divBdr>
        <w:top w:val="none" w:sz="0" w:space="0" w:color="auto"/>
        <w:left w:val="none" w:sz="0" w:space="0" w:color="auto"/>
        <w:bottom w:val="none" w:sz="0" w:space="0" w:color="auto"/>
        <w:right w:val="none" w:sz="0" w:space="0" w:color="auto"/>
      </w:divBdr>
    </w:div>
    <w:div w:id="2052919015">
      <w:bodyDiv w:val="1"/>
      <w:marLeft w:val="0"/>
      <w:marRight w:val="0"/>
      <w:marTop w:val="0"/>
      <w:marBottom w:val="0"/>
      <w:divBdr>
        <w:top w:val="none" w:sz="0" w:space="0" w:color="auto"/>
        <w:left w:val="none" w:sz="0" w:space="0" w:color="auto"/>
        <w:bottom w:val="none" w:sz="0" w:space="0" w:color="auto"/>
        <w:right w:val="none" w:sz="0" w:space="0" w:color="auto"/>
      </w:divBdr>
    </w:div>
    <w:div w:id="2054648236">
      <w:bodyDiv w:val="1"/>
      <w:marLeft w:val="0"/>
      <w:marRight w:val="0"/>
      <w:marTop w:val="0"/>
      <w:marBottom w:val="0"/>
      <w:divBdr>
        <w:top w:val="none" w:sz="0" w:space="0" w:color="auto"/>
        <w:left w:val="none" w:sz="0" w:space="0" w:color="auto"/>
        <w:bottom w:val="none" w:sz="0" w:space="0" w:color="auto"/>
        <w:right w:val="none" w:sz="0" w:space="0" w:color="auto"/>
      </w:divBdr>
    </w:div>
    <w:div w:id="2057047122">
      <w:bodyDiv w:val="1"/>
      <w:marLeft w:val="0"/>
      <w:marRight w:val="0"/>
      <w:marTop w:val="0"/>
      <w:marBottom w:val="0"/>
      <w:divBdr>
        <w:top w:val="none" w:sz="0" w:space="0" w:color="auto"/>
        <w:left w:val="none" w:sz="0" w:space="0" w:color="auto"/>
        <w:bottom w:val="none" w:sz="0" w:space="0" w:color="auto"/>
        <w:right w:val="none" w:sz="0" w:space="0" w:color="auto"/>
      </w:divBdr>
      <w:divsChild>
        <w:div w:id="1844970673">
          <w:marLeft w:val="0"/>
          <w:marRight w:val="0"/>
          <w:marTop w:val="0"/>
          <w:marBottom w:val="0"/>
          <w:divBdr>
            <w:top w:val="none" w:sz="0" w:space="0" w:color="auto"/>
            <w:left w:val="none" w:sz="0" w:space="0" w:color="auto"/>
            <w:bottom w:val="none" w:sz="0" w:space="0" w:color="auto"/>
            <w:right w:val="none" w:sz="0" w:space="0" w:color="auto"/>
          </w:divBdr>
          <w:divsChild>
            <w:div w:id="90047991">
              <w:marLeft w:val="0"/>
              <w:marRight w:val="0"/>
              <w:marTop w:val="0"/>
              <w:marBottom w:val="0"/>
              <w:divBdr>
                <w:top w:val="none" w:sz="0" w:space="0" w:color="auto"/>
                <w:left w:val="none" w:sz="0" w:space="0" w:color="auto"/>
                <w:bottom w:val="none" w:sz="0" w:space="0" w:color="auto"/>
                <w:right w:val="none" w:sz="0" w:space="0" w:color="auto"/>
              </w:divBdr>
              <w:divsChild>
                <w:div w:id="1999503634">
                  <w:marLeft w:val="0"/>
                  <w:marRight w:val="0"/>
                  <w:marTop w:val="0"/>
                  <w:marBottom w:val="0"/>
                  <w:divBdr>
                    <w:top w:val="none" w:sz="0" w:space="0" w:color="auto"/>
                    <w:left w:val="none" w:sz="0" w:space="0" w:color="auto"/>
                    <w:bottom w:val="none" w:sz="0" w:space="0" w:color="auto"/>
                    <w:right w:val="none" w:sz="0" w:space="0" w:color="auto"/>
                  </w:divBdr>
                  <w:divsChild>
                    <w:div w:id="1009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1265">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0877006">
      <w:bodyDiv w:val="1"/>
      <w:marLeft w:val="0"/>
      <w:marRight w:val="0"/>
      <w:marTop w:val="0"/>
      <w:marBottom w:val="0"/>
      <w:divBdr>
        <w:top w:val="none" w:sz="0" w:space="0" w:color="auto"/>
        <w:left w:val="none" w:sz="0" w:space="0" w:color="auto"/>
        <w:bottom w:val="none" w:sz="0" w:space="0" w:color="auto"/>
        <w:right w:val="none" w:sz="0" w:space="0" w:color="auto"/>
      </w:divBdr>
    </w:div>
    <w:div w:id="2072189442">
      <w:bodyDiv w:val="1"/>
      <w:marLeft w:val="0"/>
      <w:marRight w:val="0"/>
      <w:marTop w:val="0"/>
      <w:marBottom w:val="0"/>
      <w:divBdr>
        <w:top w:val="none" w:sz="0" w:space="0" w:color="auto"/>
        <w:left w:val="none" w:sz="0" w:space="0" w:color="auto"/>
        <w:bottom w:val="none" w:sz="0" w:space="0" w:color="auto"/>
        <w:right w:val="none" w:sz="0" w:space="0" w:color="auto"/>
      </w:divBdr>
      <w:divsChild>
        <w:div w:id="1756778371">
          <w:marLeft w:val="0"/>
          <w:marRight w:val="0"/>
          <w:marTop w:val="0"/>
          <w:marBottom w:val="0"/>
          <w:divBdr>
            <w:top w:val="none" w:sz="0" w:space="0" w:color="auto"/>
            <w:left w:val="none" w:sz="0" w:space="0" w:color="auto"/>
            <w:bottom w:val="none" w:sz="0" w:space="0" w:color="auto"/>
            <w:right w:val="none" w:sz="0" w:space="0" w:color="auto"/>
          </w:divBdr>
          <w:divsChild>
            <w:div w:id="1390297766">
              <w:marLeft w:val="0"/>
              <w:marRight w:val="0"/>
              <w:marTop w:val="0"/>
              <w:marBottom w:val="0"/>
              <w:divBdr>
                <w:top w:val="none" w:sz="0" w:space="0" w:color="auto"/>
                <w:left w:val="none" w:sz="0" w:space="0" w:color="auto"/>
                <w:bottom w:val="none" w:sz="0" w:space="0" w:color="auto"/>
                <w:right w:val="none" w:sz="0" w:space="0" w:color="auto"/>
              </w:divBdr>
              <w:divsChild>
                <w:div w:id="571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969">
      <w:bodyDiv w:val="1"/>
      <w:marLeft w:val="0"/>
      <w:marRight w:val="0"/>
      <w:marTop w:val="0"/>
      <w:marBottom w:val="0"/>
      <w:divBdr>
        <w:top w:val="none" w:sz="0" w:space="0" w:color="auto"/>
        <w:left w:val="none" w:sz="0" w:space="0" w:color="auto"/>
        <w:bottom w:val="none" w:sz="0" w:space="0" w:color="auto"/>
        <w:right w:val="none" w:sz="0" w:space="0" w:color="auto"/>
      </w:divBdr>
    </w:div>
    <w:div w:id="2079204283">
      <w:bodyDiv w:val="1"/>
      <w:marLeft w:val="0"/>
      <w:marRight w:val="0"/>
      <w:marTop w:val="0"/>
      <w:marBottom w:val="0"/>
      <w:divBdr>
        <w:top w:val="none" w:sz="0" w:space="0" w:color="auto"/>
        <w:left w:val="none" w:sz="0" w:space="0" w:color="auto"/>
        <w:bottom w:val="none" w:sz="0" w:space="0" w:color="auto"/>
        <w:right w:val="none" w:sz="0" w:space="0" w:color="auto"/>
      </w:divBdr>
    </w:div>
    <w:div w:id="2085058501">
      <w:bodyDiv w:val="1"/>
      <w:marLeft w:val="0"/>
      <w:marRight w:val="0"/>
      <w:marTop w:val="0"/>
      <w:marBottom w:val="0"/>
      <w:divBdr>
        <w:top w:val="none" w:sz="0" w:space="0" w:color="auto"/>
        <w:left w:val="none" w:sz="0" w:space="0" w:color="auto"/>
        <w:bottom w:val="none" w:sz="0" w:space="0" w:color="auto"/>
        <w:right w:val="none" w:sz="0" w:space="0" w:color="auto"/>
      </w:divBdr>
    </w:div>
    <w:div w:id="2086368145">
      <w:bodyDiv w:val="1"/>
      <w:marLeft w:val="0"/>
      <w:marRight w:val="0"/>
      <w:marTop w:val="0"/>
      <w:marBottom w:val="0"/>
      <w:divBdr>
        <w:top w:val="none" w:sz="0" w:space="0" w:color="auto"/>
        <w:left w:val="none" w:sz="0" w:space="0" w:color="auto"/>
        <w:bottom w:val="none" w:sz="0" w:space="0" w:color="auto"/>
        <w:right w:val="none" w:sz="0" w:space="0" w:color="auto"/>
      </w:divBdr>
    </w:div>
    <w:div w:id="2091153704">
      <w:bodyDiv w:val="1"/>
      <w:marLeft w:val="0"/>
      <w:marRight w:val="0"/>
      <w:marTop w:val="0"/>
      <w:marBottom w:val="0"/>
      <w:divBdr>
        <w:top w:val="none" w:sz="0" w:space="0" w:color="auto"/>
        <w:left w:val="none" w:sz="0" w:space="0" w:color="auto"/>
        <w:bottom w:val="none" w:sz="0" w:space="0" w:color="auto"/>
        <w:right w:val="none" w:sz="0" w:space="0" w:color="auto"/>
      </w:divBdr>
    </w:div>
    <w:div w:id="2096824636">
      <w:bodyDiv w:val="1"/>
      <w:marLeft w:val="0"/>
      <w:marRight w:val="0"/>
      <w:marTop w:val="0"/>
      <w:marBottom w:val="0"/>
      <w:divBdr>
        <w:top w:val="none" w:sz="0" w:space="0" w:color="auto"/>
        <w:left w:val="none" w:sz="0" w:space="0" w:color="auto"/>
        <w:bottom w:val="none" w:sz="0" w:space="0" w:color="auto"/>
        <w:right w:val="none" w:sz="0" w:space="0" w:color="auto"/>
      </w:divBdr>
      <w:divsChild>
        <w:div w:id="297732767">
          <w:marLeft w:val="0"/>
          <w:marRight w:val="0"/>
          <w:marTop w:val="0"/>
          <w:marBottom w:val="0"/>
          <w:divBdr>
            <w:top w:val="none" w:sz="0" w:space="0" w:color="auto"/>
            <w:left w:val="none" w:sz="0" w:space="0" w:color="auto"/>
            <w:bottom w:val="none" w:sz="0" w:space="0" w:color="auto"/>
            <w:right w:val="none" w:sz="0" w:space="0" w:color="auto"/>
          </w:divBdr>
          <w:divsChild>
            <w:div w:id="232089991">
              <w:marLeft w:val="0"/>
              <w:marRight w:val="0"/>
              <w:marTop w:val="0"/>
              <w:marBottom w:val="0"/>
              <w:divBdr>
                <w:top w:val="none" w:sz="0" w:space="0" w:color="auto"/>
                <w:left w:val="none" w:sz="0" w:space="0" w:color="auto"/>
                <w:bottom w:val="none" w:sz="0" w:space="0" w:color="auto"/>
                <w:right w:val="none" w:sz="0" w:space="0" w:color="auto"/>
              </w:divBdr>
              <w:divsChild>
                <w:div w:id="1430197470">
                  <w:marLeft w:val="0"/>
                  <w:marRight w:val="0"/>
                  <w:marTop w:val="0"/>
                  <w:marBottom w:val="0"/>
                  <w:divBdr>
                    <w:top w:val="none" w:sz="0" w:space="0" w:color="auto"/>
                    <w:left w:val="none" w:sz="0" w:space="0" w:color="auto"/>
                    <w:bottom w:val="none" w:sz="0" w:space="0" w:color="auto"/>
                    <w:right w:val="none" w:sz="0" w:space="0" w:color="auto"/>
                  </w:divBdr>
                  <w:divsChild>
                    <w:div w:id="642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41461">
      <w:bodyDiv w:val="1"/>
      <w:marLeft w:val="0"/>
      <w:marRight w:val="0"/>
      <w:marTop w:val="0"/>
      <w:marBottom w:val="0"/>
      <w:divBdr>
        <w:top w:val="none" w:sz="0" w:space="0" w:color="auto"/>
        <w:left w:val="none" w:sz="0" w:space="0" w:color="auto"/>
        <w:bottom w:val="none" w:sz="0" w:space="0" w:color="auto"/>
        <w:right w:val="none" w:sz="0" w:space="0" w:color="auto"/>
      </w:divBdr>
    </w:div>
    <w:div w:id="2098943190">
      <w:bodyDiv w:val="1"/>
      <w:marLeft w:val="0"/>
      <w:marRight w:val="0"/>
      <w:marTop w:val="0"/>
      <w:marBottom w:val="0"/>
      <w:divBdr>
        <w:top w:val="none" w:sz="0" w:space="0" w:color="auto"/>
        <w:left w:val="none" w:sz="0" w:space="0" w:color="auto"/>
        <w:bottom w:val="none" w:sz="0" w:space="0" w:color="auto"/>
        <w:right w:val="none" w:sz="0" w:space="0" w:color="auto"/>
      </w:divBdr>
    </w:div>
    <w:div w:id="2104103011">
      <w:bodyDiv w:val="1"/>
      <w:marLeft w:val="0"/>
      <w:marRight w:val="0"/>
      <w:marTop w:val="0"/>
      <w:marBottom w:val="0"/>
      <w:divBdr>
        <w:top w:val="none" w:sz="0" w:space="0" w:color="auto"/>
        <w:left w:val="none" w:sz="0" w:space="0" w:color="auto"/>
        <w:bottom w:val="none" w:sz="0" w:space="0" w:color="auto"/>
        <w:right w:val="none" w:sz="0" w:space="0" w:color="auto"/>
      </w:divBdr>
      <w:divsChild>
        <w:div w:id="2134515537">
          <w:marLeft w:val="0"/>
          <w:marRight w:val="0"/>
          <w:marTop w:val="0"/>
          <w:marBottom w:val="0"/>
          <w:divBdr>
            <w:top w:val="none" w:sz="0" w:space="0" w:color="auto"/>
            <w:left w:val="none" w:sz="0" w:space="0" w:color="auto"/>
            <w:bottom w:val="none" w:sz="0" w:space="0" w:color="auto"/>
            <w:right w:val="none" w:sz="0" w:space="0" w:color="auto"/>
          </w:divBdr>
          <w:divsChild>
            <w:div w:id="1844974163">
              <w:marLeft w:val="0"/>
              <w:marRight w:val="0"/>
              <w:marTop w:val="0"/>
              <w:marBottom w:val="0"/>
              <w:divBdr>
                <w:top w:val="none" w:sz="0" w:space="0" w:color="auto"/>
                <w:left w:val="none" w:sz="0" w:space="0" w:color="auto"/>
                <w:bottom w:val="none" w:sz="0" w:space="0" w:color="auto"/>
                <w:right w:val="none" w:sz="0" w:space="0" w:color="auto"/>
              </w:divBdr>
              <w:divsChild>
                <w:div w:id="12009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06923292">
      <w:bodyDiv w:val="1"/>
      <w:marLeft w:val="0"/>
      <w:marRight w:val="0"/>
      <w:marTop w:val="0"/>
      <w:marBottom w:val="0"/>
      <w:divBdr>
        <w:top w:val="none" w:sz="0" w:space="0" w:color="auto"/>
        <w:left w:val="none" w:sz="0" w:space="0" w:color="auto"/>
        <w:bottom w:val="none" w:sz="0" w:space="0" w:color="auto"/>
        <w:right w:val="none" w:sz="0" w:space="0" w:color="auto"/>
      </w:divBdr>
    </w:div>
    <w:div w:id="2106995435">
      <w:bodyDiv w:val="1"/>
      <w:marLeft w:val="0"/>
      <w:marRight w:val="0"/>
      <w:marTop w:val="0"/>
      <w:marBottom w:val="0"/>
      <w:divBdr>
        <w:top w:val="none" w:sz="0" w:space="0" w:color="auto"/>
        <w:left w:val="none" w:sz="0" w:space="0" w:color="auto"/>
        <w:bottom w:val="none" w:sz="0" w:space="0" w:color="auto"/>
        <w:right w:val="none" w:sz="0" w:space="0" w:color="auto"/>
      </w:divBdr>
    </w:div>
    <w:div w:id="2111076463">
      <w:bodyDiv w:val="1"/>
      <w:marLeft w:val="0"/>
      <w:marRight w:val="0"/>
      <w:marTop w:val="0"/>
      <w:marBottom w:val="0"/>
      <w:divBdr>
        <w:top w:val="none" w:sz="0" w:space="0" w:color="auto"/>
        <w:left w:val="none" w:sz="0" w:space="0" w:color="auto"/>
        <w:bottom w:val="none" w:sz="0" w:space="0" w:color="auto"/>
        <w:right w:val="none" w:sz="0" w:space="0" w:color="auto"/>
      </w:divBdr>
    </w:div>
    <w:div w:id="2114781371">
      <w:bodyDiv w:val="1"/>
      <w:marLeft w:val="0"/>
      <w:marRight w:val="0"/>
      <w:marTop w:val="0"/>
      <w:marBottom w:val="0"/>
      <w:divBdr>
        <w:top w:val="none" w:sz="0" w:space="0" w:color="auto"/>
        <w:left w:val="none" w:sz="0" w:space="0" w:color="auto"/>
        <w:bottom w:val="none" w:sz="0" w:space="0" w:color="auto"/>
        <w:right w:val="none" w:sz="0" w:space="0" w:color="auto"/>
      </w:divBdr>
    </w:div>
    <w:div w:id="2115858463">
      <w:bodyDiv w:val="1"/>
      <w:marLeft w:val="0"/>
      <w:marRight w:val="0"/>
      <w:marTop w:val="0"/>
      <w:marBottom w:val="0"/>
      <w:divBdr>
        <w:top w:val="none" w:sz="0" w:space="0" w:color="auto"/>
        <w:left w:val="none" w:sz="0" w:space="0" w:color="auto"/>
        <w:bottom w:val="none" w:sz="0" w:space="0" w:color="auto"/>
        <w:right w:val="none" w:sz="0" w:space="0" w:color="auto"/>
      </w:divBdr>
    </w:div>
    <w:div w:id="2121143416">
      <w:bodyDiv w:val="1"/>
      <w:marLeft w:val="0"/>
      <w:marRight w:val="0"/>
      <w:marTop w:val="0"/>
      <w:marBottom w:val="0"/>
      <w:divBdr>
        <w:top w:val="none" w:sz="0" w:space="0" w:color="auto"/>
        <w:left w:val="none" w:sz="0" w:space="0" w:color="auto"/>
        <w:bottom w:val="none" w:sz="0" w:space="0" w:color="auto"/>
        <w:right w:val="none" w:sz="0" w:space="0" w:color="auto"/>
      </w:divBdr>
    </w:div>
    <w:div w:id="2122530224">
      <w:bodyDiv w:val="1"/>
      <w:marLeft w:val="0"/>
      <w:marRight w:val="0"/>
      <w:marTop w:val="0"/>
      <w:marBottom w:val="0"/>
      <w:divBdr>
        <w:top w:val="none" w:sz="0" w:space="0" w:color="auto"/>
        <w:left w:val="none" w:sz="0" w:space="0" w:color="auto"/>
        <w:bottom w:val="none" w:sz="0" w:space="0" w:color="auto"/>
        <w:right w:val="none" w:sz="0" w:space="0" w:color="auto"/>
      </w:divBdr>
    </w:div>
    <w:div w:id="2129159833">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6092945">
      <w:bodyDiv w:val="1"/>
      <w:marLeft w:val="0"/>
      <w:marRight w:val="0"/>
      <w:marTop w:val="0"/>
      <w:marBottom w:val="0"/>
      <w:divBdr>
        <w:top w:val="none" w:sz="0" w:space="0" w:color="auto"/>
        <w:left w:val="none" w:sz="0" w:space="0" w:color="auto"/>
        <w:bottom w:val="none" w:sz="0" w:space="0" w:color="auto"/>
        <w:right w:val="none" w:sz="0" w:space="0" w:color="auto"/>
      </w:divBdr>
    </w:div>
    <w:div w:id="2140030299">
      <w:bodyDiv w:val="1"/>
      <w:marLeft w:val="0"/>
      <w:marRight w:val="0"/>
      <w:marTop w:val="0"/>
      <w:marBottom w:val="0"/>
      <w:divBdr>
        <w:top w:val="none" w:sz="0" w:space="0" w:color="auto"/>
        <w:left w:val="none" w:sz="0" w:space="0" w:color="auto"/>
        <w:bottom w:val="none" w:sz="0" w:space="0" w:color="auto"/>
        <w:right w:val="none" w:sz="0" w:space="0" w:color="auto"/>
      </w:divBdr>
    </w:div>
    <w:div w:id="2143771428">
      <w:bodyDiv w:val="1"/>
      <w:marLeft w:val="0"/>
      <w:marRight w:val="0"/>
      <w:marTop w:val="0"/>
      <w:marBottom w:val="0"/>
      <w:divBdr>
        <w:top w:val="none" w:sz="0" w:space="0" w:color="auto"/>
        <w:left w:val="none" w:sz="0" w:space="0" w:color="auto"/>
        <w:bottom w:val="none" w:sz="0" w:space="0" w:color="auto"/>
        <w:right w:val="none" w:sz="0" w:space="0" w:color="auto"/>
      </w:divBdr>
    </w:div>
    <w:div w:id="21442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ac.gov.au/internet/msac/publishing.nsf/Content/Hom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sac.gov.au/sites/default/files/documents/1760%2520Ratified%2520PIC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internet/msac/publishing.nsf/Content/74039117D875C48ACA258A2300183AA0/$File/1760%20Ratified%20PICO.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viq.org.au/clinical-resources/side-effect-and-toxicity-management/prophylaxis-and-treatment/1744-dihydropyrimidine-dehydrogenase-dpd-enzyme" TargetMode="External"/><Relationship Id="rId7" Type="http://schemas.openxmlformats.org/officeDocument/2006/relationships/hyperlink" Target="https://doi.org/10.1038/s41416-024-02754-z" TargetMode="External"/><Relationship Id="rId2" Type="http://schemas.openxmlformats.org/officeDocument/2006/relationships/hyperlink" Target="https://ascopubs.org/doi/10.1200/JCO.2024.42.16_suppl.12121" TargetMode="External"/><Relationship Id="rId1" Type="http://schemas.openxmlformats.org/officeDocument/2006/relationships/hyperlink" Target="https://www.eviq.org.au/clinical-resources/side-effect-and-toxicity-management/prophylaxis-and-treatment/1744-dihydropyrimidine-dehydrogenase-dpd-enzyme" TargetMode="External"/><Relationship Id="rId6" Type="http://schemas.openxmlformats.org/officeDocument/2006/relationships/hyperlink" Target="https://doi.org/10.1186/s13073-024-01354-z" TargetMode="External"/><Relationship Id="rId5" Type="http://schemas.openxmlformats.org/officeDocument/2006/relationships/hyperlink" Target="https://www.anzctr.org.au/Trial/Registration/TrialReview.aspx?id=381022" TargetMode="External"/><Relationship Id="rId4" Type="http://schemas.openxmlformats.org/officeDocument/2006/relationships/hyperlink" Target="https://cpicpgx.org/guidelines/guideline-for-fluoropyrimidines-and-dp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customXml/itemProps2.xml><?xml version="1.0" encoding="utf-8"?>
<ds:datastoreItem xmlns:ds="http://schemas.openxmlformats.org/officeDocument/2006/customXml" ds:itemID="{56FDB8CB-4A55-46B8-880D-1B69555906B7}"/>
</file>

<file path=customXml/itemProps3.xml><?xml version="1.0" encoding="utf-8"?>
<ds:datastoreItem xmlns:ds="http://schemas.openxmlformats.org/officeDocument/2006/customXml" ds:itemID="{DC302894-C4EC-48EF-A5D5-31042008F68E}"/>
</file>

<file path=customXml/itemProps4.xml><?xml version="1.0" encoding="utf-8"?>
<ds:datastoreItem xmlns:ds="http://schemas.openxmlformats.org/officeDocument/2006/customXml" ds:itemID="{34CEED8E-7645-4A17-AC14-400A6240B936}"/>
</file>

<file path=docMetadata/LabelInfo.xml><?xml version="1.0" encoding="utf-8"?>
<clbl:labelList xmlns:clbl="http://schemas.microsoft.com/office/2020/mipLabelMetadata">
  <clbl:label id="{adaa4be3-f650-4692-881a-64ae220cbceb}"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13578</Words>
  <Characters>77398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2025-02-07T03:43:00Z</dcterms:created>
  <dcterms:modified xsi:type="dcterms:W3CDTF">2025-02-07T03:43:00Z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