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30FF7" w14:textId="77777777" w:rsidR="00C949CC" w:rsidRPr="00C949CC" w:rsidRDefault="00430C72" w:rsidP="005B6DF4">
      <w:pPr>
        <w:pStyle w:val="Heading1"/>
        <w:numPr>
          <w:ilvl w:val="0"/>
          <w:numId w:val="0"/>
        </w:numPr>
        <w:pBdr>
          <w:bottom w:val="none" w:sz="0" w:space="0" w:color="auto"/>
        </w:pBdr>
        <w:spacing w:before="480" w:after="360"/>
        <w:ind w:left="357"/>
        <w:jc w:val="center"/>
        <w:rPr>
          <w:rFonts w:ascii="Arial" w:hAnsi="Arial" w:cs="Arial"/>
          <w:b/>
          <w:bCs/>
          <w:color w:val="000080"/>
          <w:sz w:val="36"/>
          <w:szCs w:val="36"/>
        </w:rPr>
      </w:pPr>
      <w:r w:rsidRPr="5DC81180">
        <w:rPr>
          <w:rFonts w:ascii="Arial" w:hAnsi="Arial" w:cs="Arial"/>
          <w:b/>
          <w:bCs/>
          <w:color w:val="000080"/>
          <w:sz w:val="36"/>
          <w:szCs w:val="36"/>
        </w:rPr>
        <w:t xml:space="preserve"> </w:t>
      </w:r>
      <w:r w:rsidR="00C949CC" w:rsidRPr="5DC81180">
        <w:rPr>
          <w:rFonts w:ascii="Arial" w:hAnsi="Arial" w:cs="Arial"/>
          <w:b/>
          <w:bCs/>
          <w:color w:val="000080"/>
          <w:sz w:val="36"/>
          <w:szCs w:val="36"/>
        </w:rPr>
        <w:t>Medical Services Advisory Committee (MSAC)</w:t>
      </w:r>
      <w:r>
        <w:br/>
      </w:r>
      <w:r w:rsidR="00C949CC" w:rsidRPr="5DC81180">
        <w:rPr>
          <w:rFonts w:ascii="Arial" w:hAnsi="Arial" w:cs="Arial"/>
          <w:b/>
          <w:bCs/>
          <w:color w:val="000080"/>
          <w:sz w:val="36"/>
          <w:szCs w:val="36"/>
        </w:rPr>
        <w:t>Public Summary Document</w:t>
      </w:r>
    </w:p>
    <w:p w14:paraId="7A128FDE" w14:textId="44189CFD" w:rsidR="00772829" w:rsidRPr="00CE28E3" w:rsidRDefault="00772829" w:rsidP="00772829">
      <w:pPr>
        <w:pStyle w:val="Subtitle"/>
      </w:pPr>
      <w:r w:rsidRPr="00CE28E3">
        <w:t xml:space="preserve">Application No. </w:t>
      </w:r>
      <w:r w:rsidR="009640A5" w:rsidRPr="009640A5">
        <w:t xml:space="preserve">1734 </w:t>
      </w:r>
      <w:r w:rsidR="001F24B5">
        <w:t xml:space="preserve">resubmission </w:t>
      </w:r>
      <w:r w:rsidR="009640A5" w:rsidRPr="009640A5">
        <w:t>– Intravascular lithotripsy for the treatment of moderately or severely calcified peripheral artery disease</w:t>
      </w:r>
    </w:p>
    <w:p w14:paraId="3E9AAE4F" w14:textId="479A6472" w:rsidR="00516A7A" w:rsidRDefault="00772829" w:rsidP="2F1EB167">
      <w:pPr>
        <w:tabs>
          <w:tab w:val="left" w:pos="3686"/>
        </w:tabs>
        <w:spacing w:after="240"/>
        <w:ind w:left="720" w:hanging="720"/>
        <w:rPr>
          <w:rFonts w:ascii="Arial" w:hAnsi="Arial" w:cs="Arial"/>
          <w:b/>
          <w:bCs/>
        </w:rPr>
      </w:pPr>
      <w:r w:rsidRPr="2F1EB167">
        <w:rPr>
          <w:rFonts w:ascii="Arial" w:hAnsi="Arial" w:cs="Arial"/>
          <w:b/>
          <w:bCs/>
        </w:rPr>
        <w:t>Applicant:</w:t>
      </w:r>
      <w:r>
        <w:tab/>
      </w:r>
      <w:r w:rsidR="00516A7A" w:rsidRPr="2F1EB167">
        <w:rPr>
          <w:rFonts w:ascii="Arial" w:hAnsi="Arial" w:cs="Arial"/>
          <w:b/>
          <w:bCs/>
        </w:rPr>
        <w:t xml:space="preserve">Shockwave Medical Inc (Manufacturer) and </w:t>
      </w:r>
      <w:r>
        <w:tab/>
      </w:r>
      <w:r w:rsidR="00516A7A" w:rsidRPr="2F1EB167">
        <w:rPr>
          <w:rFonts w:ascii="Arial" w:hAnsi="Arial" w:cs="Arial"/>
          <w:b/>
          <w:bCs/>
        </w:rPr>
        <w:t>Diverse Devices Pty Ltd (Distributor)</w:t>
      </w:r>
    </w:p>
    <w:p w14:paraId="15DA9C4A" w14:textId="1E8B5D13" w:rsidR="009A3778" w:rsidRDefault="00772829" w:rsidP="2F1EB167">
      <w:pPr>
        <w:tabs>
          <w:tab w:val="left" w:pos="3686"/>
        </w:tabs>
        <w:spacing w:after="240"/>
        <w:rPr>
          <w:rFonts w:ascii="Arial" w:hAnsi="Arial" w:cs="Arial"/>
          <w:b/>
          <w:bCs/>
        </w:rPr>
      </w:pPr>
      <w:r w:rsidRPr="2F1EB167">
        <w:rPr>
          <w:rFonts w:ascii="Arial" w:hAnsi="Arial" w:cs="Arial"/>
          <w:b/>
          <w:bCs/>
        </w:rPr>
        <w:t xml:space="preserve">Date of </w:t>
      </w:r>
      <w:r w:rsidR="00C949CC" w:rsidRPr="2F1EB167">
        <w:rPr>
          <w:rFonts w:ascii="Arial" w:hAnsi="Arial" w:cs="Arial"/>
          <w:b/>
          <w:bCs/>
        </w:rPr>
        <w:t>MSAC</w:t>
      </w:r>
      <w:r w:rsidRPr="2F1EB167">
        <w:rPr>
          <w:rFonts w:ascii="Arial" w:hAnsi="Arial" w:cs="Arial"/>
          <w:b/>
          <w:bCs/>
        </w:rPr>
        <w:t xml:space="preserve"> consideration:</w:t>
      </w:r>
      <w:r>
        <w:tab/>
      </w:r>
      <w:r w:rsidR="00C949CC" w:rsidRPr="2F1EB167">
        <w:rPr>
          <w:rFonts w:ascii="Arial" w:hAnsi="Arial" w:cs="Arial"/>
          <w:b/>
          <w:bCs/>
        </w:rPr>
        <w:t>29 November</w:t>
      </w:r>
      <w:r w:rsidR="00D64ED1" w:rsidRPr="2F1EB167">
        <w:rPr>
          <w:rFonts w:ascii="Arial" w:hAnsi="Arial" w:cs="Arial"/>
          <w:b/>
          <w:bCs/>
        </w:rPr>
        <w:t xml:space="preserve"> 2024</w:t>
      </w:r>
    </w:p>
    <w:p w14:paraId="3F778F89" w14:textId="18305FE6" w:rsidR="00C949CC" w:rsidRPr="00201854" w:rsidRDefault="00C949CC" w:rsidP="2F1EB167">
      <w:pPr>
        <w:spacing w:after="360"/>
        <w:rPr>
          <w:color w:val="0000FF"/>
          <w:u w:val="single"/>
          <w:lang w:val="en-GB"/>
        </w:rPr>
      </w:pPr>
      <w:r w:rsidRPr="7DEC5E09">
        <w:rPr>
          <w:lang w:val="en-GB"/>
        </w:rPr>
        <w:t xml:space="preserve">Context for decision: MSAC makes its advice in accordance with its Terms of Reference, </w:t>
      </w:r>
      <w:hyperlink r:id="rId11">
        <w:r w:rsidRPr="7DEC5E09">
          <w:rPr>
            <w:rStyle w:val="Hyperlink"/>
            <w:lang w:val="en-GB"/>
          </w:rPr>
          <w:t>visit the MSAC website</w:t>
        </w:r>
      </w:hyperlink>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6BF31FF2" w14:textId="1EE99A11" w:rsidR="00772829" w:rsidRDefault="003C0B18" w:rsidP="00772829">
      <w:pPr>
        <w:spacing w:after="240"/>
        <w:rPr>
          <w:lang w:val="en-GB"/>
        </w:rPr>
      </w:pPr>
      <w:bookmarkStart w:id="1" w:name="_Hlk69734469"/>
      <w:r w:rsidRPr="7DEC5E09">
        <w:rPr>
          <w:lang w:val="en-GB"/>
        </w:rPr>
        <w:t>An application requesting Medicare Benefits Schedule (MBS) listing for providing intravascular lithotripsy (IVL)</w:t>
      </w:r>
      <w:r w:rsidR="000428F3" w:rsidRPr="7DEC5E09">
        <w:rPr>
          <w:lang w:val="en-GB"/>
        </w:rPr>
        <w:t xml:space="preserve"> </w:t>
      </w:r>
      <w:r w:rsidRPr="7DEC5E09">
        <w:rPr>
          <w:lang w:val="en-GB"/>
        </w:rPr>
        <w:t>in patients with moderately or severely calcified peripheral arter</w:t>
      </w:r>
      <w:r w:rsidR="00D97AAE" w:rsidRPr="7DEC5E09">
        <w:rPr>
          <w:lang w:val="en-GB"/>
        </w:rPr>
        <w:t>y</w:t>
      </w:r>
      <w:r w:rsidRPr="7DEC5E09">
        <w:rPr>
          <w:lang w:val="en-GB"/>
        </w:rPr>
        <w:t xml:space="preserve"> disease (PAD) in lower limbs and who are indicated for endovascular revascularisation was received from Shockwave Medical Inc</w:t>
      </w:r>
      <w:r w:rsidR="001A1212" w:rsidRPr="7DEC5E09">
        <w:rPr>
          <w:lang w:val="en-GB"/>
        </w:rPr>
        <w:t>.</w:t>
      </w:r>
      <w:r w:rsidRPr="7DEC5E09">
        <w:rPr>
          <w:lang w:val="en-GB"/>
        </w:rPr>
        <w:t xml:space="preserve"> (Manufacturer) and Diverse Devices Pty Ltd</w:t>
      </w:r>
      <w:r w:rsidR="00126865" w:rsidRPr="7DEC5E09">
        <w:rPr>
          <w:lang w:val="en-GB"/>
        </w:rPr>
        <w:t>.</w:t>
      </w:r>
      <w:r w:rsidRPr="7DEC5E09">
        <w:rPr>
          <w:lang w:val="en-GB"/>
        </w:rPr>
        <w:t xml:space="preserve"> (Distributor) by the Department of Health and Aged Care</w:t>
      </w:r>
      <w:r w:rsidR="00AB4047" w:rsidRPr="7DEC5E09">
        <w:rPr>
          <w:lang w:val="en-GB"/>
        </w:rPr>
        <w:t>.</w:t>
      </w:r>
      <w:r w:rsidR="000428F3" w:rsidRPr="7DEC5E09">
        <w:rPr>
          <w:lang w:val="en-GB"/>
        </w:rPr>
        <w:t xml:space="preserve"> IVL </w:t>
      </w:r>
      <w:r w:rsidR="007F5079" w:rsidRPr="7DEC5E09">
        <w:rPr>
          <w:lang w:val="en-GB"/>
        </w:rPr>
        <w:t xml:space="preserve">was proposed </w:t>
      </w:r>
      <w:r w:rsidR="000428F3" w:rsidRPr="7DEC5E09">
        <w:rPr>
          <w:lang w:val="en-GB"/>
        </w:rPr>
        <w:t>as a stand-alone treatment or as a vessel preparation strategy prior to treatment with a drug-coated balloon (DCB)</w:t>
      </w:r>
      <w:r w:rsidR="00C7722D" w:rsidRPr="7DEC5E09">
        <w:rPr>
          <w:lang w:val="en-GB"/>
        </w:rPr>
        <w:t xml:space="preserve"> and/or stent insertion</w:t>
      </w:r>
      <w:r w:rsidR="007F5079" w:rsidRPr="7DEC5E09">
        <w:rPr>
          <w:lang w:val="en-GB"/>
        </w:rPr>
        <w:t>.</w:t>
      </w:r>
    </w:p>
    <w:p w14:paraId="4610C66A" w14:textId="58AC2EB4" w:rsidR="00C949CC" w:rsidRPr="00C949CC" w:rsidRDefault="00C949CC" w:rsidP="00C949CC">
      <w:pPr>
        <w:pStyle w:val="Heading2"/>
        <w:numPr>
          <w:ilvl w:val="0"/>
          <w:numId w:val="0"/>
        </w:numPr>
      </w:pPr>
      <w:r>
        <w:t>2.</w:t>
      </w:r>
      <w:r>
        <w:tab/>
      </w:r>
      <w:r w:rsidRPr="00201854">
        <w:t>MSAC’s advice to the Minister</w:t>
      </w:r>
    </w:p>
    <w:p w14:paraId="5ADF2E75" w14:textId="1C7AEE7C" w:rsidR="00060597" w:rsidRDefault="00C949CC" w:rsidP="000E436C">
      <w:pPr>
        <w:widowControl w:val="0"/>
        <w:spacing w:before="0" w:after="240"/>
        <w:contextualSpacing/>
        <w:rPr>
          <w:lang w:val="en-GB"/>
        </w:rPr>
      </w:pPr>
      <w:r w:rsidRPr="7DEC5E09">
        <w:rPr>
          <w:lang w:val="en-GB"/>
        </w:rPr>
        <w:t xml:space="preserve">After considering the strength of the available evidence in relation to comparative safety, clinical effectiveness, cost-effectiveness and total cost, </w:t>
      </w:r>
      <w:r w:rsidR="00060597" w:rsidRPr="7DEC5E09">
        <w:rPr>
          <w:lang w:val="en-GB"/>
        </w:rPr>
        <w:t>MSAC supported the creation of a new Medicare Benefits Schedule (MBS) item for intravascular lithotripsy (IVL) for the treatment of moderately or severely calcified symptomatic peripheral artery disease (PAD) that requires endovascular revascularisation. MSAC recalled that it had deferred its advice at its November 2023 meeting but noted there is likely superior procedural effectiveness and non-inferior safety for IVL compared to standard balloon angioplasty when used as a vessel preparation strategy for drug coated balloon or stent</w:t>
      </w:r>
      <w:r w:rsidR="00C30BCD" w:rsidRPr="7DEC5E09">
        <w:rPr>
          <w:lang w:val="en-GB"/>
        </w:rPr>
        <w:t xml:space="preserve"> in patients with moderately or severely calcified peripheral artery disease (PAD) in lower limbs and who are indicated for endovascular revascularisation.</w:t>
      </w:r>
      <w:r w:rsidR="00060597" w:rsidRPr="7DEC5E09">
        <w:rPr>
          <w:lang w:val="en-GB"/>
        </w:rPr>
        <w:t xml:space="preserve"> MSAC considered that there was weak but sufficient evidence for superior effectiveness and non-inferior safety compared to standard balloon angioplasty (SBA) when IVL is used as a stand-alone therapy.</w:t>
      </w:r>
      <w:r w:rsidR="00060597" w:rsidRPr="7DEC5E09">
        <w:rPr>
          <w:rFonts w:ascii="Arial" w:hAnsi="Arial" w:cs="Arial"/>
          <w:lang w:val="en-GB"/>
        </w:rPr>
        <w:t> </w:t>
      </w:r>
      <w:r w:rsidR="00060597" w:rsidRPr="7DEC5E09">
        <w:rPr>
          <w:lang w:val="en-GB"/>
        </w:rPr>
        <w:t xml:space="preserve"> MSAC noted that the evidence related to use in lower limb only and considered that it was appropriate to restrict use of IVL to lower limb PAD.</w:t>
      </w:r>
    </w:p>
    <w:p w14:paraId="0770DA77" w14:textId="4A3AC79F" w:rsidR="0067759D" w:rsidRDefault="00060597" w:rsidP="0067759D">
      <w:pPr>
        <w:widowControl w:val="0"/>
        <w:spacing w:before="0" w:after="240"/>
        <w:rPr>
          <w:lang w:val="en-GB"/>
        </w:rPr>
      </w:pPr>
      <w:r w:rsidRPr="7DEC5E09">
        <w:rPr>
          <w:lang w:val="en-GB"/>
        </w:rPr>
        <w:t xml:space="preserve">MSAC considered the revised economic evaluation showed IVL was cost-effective compared with SBA, inclusive of the cost of the IVL catheter. MSAC considered the financial estimates reasonable but likely overestimated the uptake in clinical practice. MSAC noted the cost of the IVL catheter will not be funded on the MBS. </w:t>
      </w:r>
      <w:r w:rsidR="0067759D">
        <w:rPr>
          <w:lang w:val="en-GB"/>
        </w:rPr>
        <w:br w:type="page"/>
      </w:r>
    </w:p>
    <w:tbl>
      <w:tblPr>
        <w:tblW w:w="9015" w:type="dxa"/>
        <w:tblLayout w:type="fixed"/>
        <w:tblLook w:val="04A0" w:firstRow="1" w:lastRow="0" w:firstColumn="1" w:lastColumn="0" w:noHBand="0" w:noVBand="1"/>
        <w:tblDescription w:val="Consumer summary of MSAC consideration"/>
      </w:tblPr>
      <w:tblGrid>
        <w:gridCol w:w="9015"/>
      </w:tblGrid>
      <w:tr w:rsidR="27C72C43" w14:paraId="28A61731" w14:textId="77777777" w:rsidTr="0067759D">
        <w:trPr>
          <w:cantSplit/>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F7C35C" w14:textId="14E2BCAF" w:rsidR="27C72C43" w:rsidRPr="00D1286A" w:rsidRDefault="27C72C43" w:rsidP="005B6DF4">
            <w:pPr>
              <w:spacing w:before="60" w:after="60"/>
              <w:rPr>
                <w:rFonts w:ascii="Arial Narrow" w:eastAsia="Calibri" w:hAnsi="Arial Narrow" w:cs="Calibri"/>
                <w:sz w:val="20"/>
                <w:szCs w:val="20"/>
                <w:lang w:val="en-US"/>
              </w:rPr>
            </w:pPr>
            <w:r w:rsidRPr="00D1286A">
              <w:rPr>
                <w:rFonts w:ascii="Arial Narrow" w:eastAsia="Calibri" w:hAnsi="Arial Narrow" w:cs="Calibri"/>
                <w:sz w:val="20"/>
                <w:szCs w:val="20"/>
                <w:lang w:val="en-US"/>
              </w:rPr>
              <w:lastRenderedPageBreak/>
              <w:t>Category 3 – Therapeutic Procedures</w:t>
            </w:r>
          </w:p>
        </w:tc>
      </w:tr>
      <w:tr w:rsidR="27C72C43" w14:paraId="69B1F152" w14:textId="77777777" w:rsidTr="0067759D">
        <w:trPr>
          <w:cantSplit/>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92898D" w14:textId="329C17CA" w:rsidR="27C72C43" w:rsidRPr="00D1286A" w:rsidRDefault="27C72C43" w:rsidP="005B6DF4">
            <w:pPr>
              <w:spacing w:before="60" w:after="60"/>
              <w:rPr>
                <w:rFonts w:ascii="Arial Narrow" w:eastAsia="Calibri" w:hAnsi="Arial Narrow" w:cs="Calibri"/>
                <w:sz w:val="20"/>
                <w:szCs w:val="20"/>
                <w:lang w:val="en-US"/>
              </w:rPr>
            </w:pPr>
            <w:r w:rsidRPr="00D1286A">
              <w:rPr>
                <w:rFonts w:ascii="Arial Narrow" w:eastAsia="Calibri" w:hAnsi="Arial Narrow" w:cs="Calibri"/>
                <w:sz w:val="20"/>
                <w:szCs w:val="20"/>
                <w:lang w:val="en-US"/>
              </w:rPr>
              <w:t>MBS item (number)</w:t>
            </w:r>
          </w:p>
          <w:p w14:paraId="728159CC" w14:textId="17D41A89" w:rsidR="27C72C43" w:rsidRPr="00D1286A" w:rsidRDefault="27C72C43" w:rsidP="0067759D">
            <w:pPr>
              <w:spacing w:before="240" w:after="60"/>
              <w:rPr>
                <w:rFonts w:ascii="Arial Narrow" w:eastAsia="Calibri" w:hAnsi="Arial Narrow" w:cs="Calibri"/>
                <w:sz w:val="20"/>
                <w:szCs w:val="20"/>
                <w:lang w:val="en-US"/>
              </w:rPr>
            </w:pPr>
            <w:r w:rsidRPr="00D1286A">
              <w:rPr>
                <w:rFonts w:ascii="Arial Narrow" w:eastAsia="Calibri" w:hAnsi="Arial Narrow" w:cs="Calibri"/>
                <w:sz w:val="20"/>
                <w:szCs w:val="20"/>
                <w:lang w:val="en-US"/>
              </w:rPr>
              <w:t xml:space="preserve">PERIPHERAL INTRAVASCULAR LITHOTRIPSY, including associated balloon dilatation </w:t>
            </w:r>
            <w:r w:rsidR="520C28BA" w:rsidRPr="00D1286A">
              <w:rPr>
                <w:rFonts w:ascii="Arial Narrow" w:eastAsia="Calibri" w:hAnsi="Arial Narrow" w:cs="Calibri"/>
                <w:sz w:val="20"/>
                <w:szCs w:val="20"/>
                <w:lang w:val="en-US"/>
              </w:rPr>
              <w:t xml:space="preserve">and stent insertion, as required, </w:t>
            </w:r>
            <w:r w:rsidRPr="00D1286A">
              <w:rPr>
                <w:rFonts w:ascii="Arial Narrow" w:eastAsia="Calibri" w:hAnsi="Arial Narrow" w:cs="Calibri"/>
                <w:sz w:val="20"/>
                <w:szCs w:val="20"/>
                <w:lang w:val="en-US"/>
              </w:rPr>
              <w:t xml:space="preserve">of 1 lower limb, percutaneous or by open exposure, in patients who have </w:t>
            </w:r>
            <w:r w:rsidR="1670EA02" w:rsidRPr="00D1286A">
              <w:rPr>
                <w:rFonts w:ascii="Arial Narrow" w:eastAsia="Calibri" w:hAnsi="Arial Narrow" w:cs="Calibri"/>
                <w:sz w:val="20"/>
                <w:szCs w:val="20"/>
                <w:lang w:val="en-US"/>
              </w:rPr>
              <w:t xml:space="preserve">symptomatic </w:t>
            </w:r>
            <w:r w:rsidRPr="00D1286A">
              <w:rPr>
                <w:rFonts w:ascii="Arial Narrow" w:eastAsia="Calibri" w:hAnsi="Arial Narrow" w:cs="Calibri"/>
                <w:sz w:val="20"/>
                <w:szCs w:val="20"/>
                <w:lang w:val="en-US"/>
              </w:rPr>
              <w:t xml:space="preserve">moderately or severely calcified peripheral artery disease (PAD) requiring endovascular </w:t>
            </w:r>
            <w:proofErr w:type="spellStart"/>
            <w:r w:rsidRPr="00D1286A">
              <w:rPr>
                <w:rFonts w:ascii="Arial Narrow" w:eastAsia="Calibri" w:hAnsi="Arial Narrow" w:cs="Calibri"/>
                <w:sz w:val="20"/>
                <w:szCs w:val="20"/>
                <w:lang w:val="en-US"/>
              </w:rPr>
              <w:t>revascularisation</w:t>
            </w:r>
            <w:proofErr w:type="spellEnd"/>
            <w:r w:rsidR="2BEE9351" w:rsidRPr="00D1286A">
              <w:rPr>
                <w:rFonts w:ascii="Arial Narrow" w:eastAsia="Calibri" w:hAnsi="Arial Narrow" w:cs="Calibri"/>
                <w:sz w:val="20"/>
                <w:szCs w:val="20"/>
                <w:lang w:val="en-US"/>
              </w:rPr>
              <w:t>, if</w:t>
            </w:r>
            <w:r w:rsidRPr="00D1286A">
              <w:rPr>
                <w:rFonts w:ascii="Arial Narrow" w:eastAsia="Calibri" w:hAnsi="Arial Narrow" w:cs="Calibri"/>
                <w:sz w:val="20"/>
                <w:szCs w:val="20"/>
                <w:lang w:val="en-US"/>
              </w:rPr>
              <w:t>:</w:t>
            </w:r>
          </w:p>
          <w:p w14:paraId="3FFDF9BF" w14:textId="0E172B05" w:rsidR="27C72C43" w:rsidRPr="00D1286A" w:rsidRDefault="480EB9A4" w:rsidP="27C72C43">
            <w:pPr>
              <w:pStyle w:val="ListParagraph"/>
              <w:numPr>
                <w:ilvl w:val="0"/>
                <w:numId w:val="23"/>
              </w:numPr>
              <w:spacing w:before="0" w:after="0"/>
              <w:ind w:left="360"/>
              <w:rPr>
                <w:rFonts w:ascii="Arial Narrow" w:eastAsia="Calibri" w:hAnsi="Arial Narrow" w:cs="Calibri"/>
                <w:sz w:val="20"/>
                <w:szCs w:val="20"/>
                <w:lang w:val="en-US"/>
              </w:rPr>
            </w:pPr>
            <w:r w:rsidRPr="00D1286A">
              <w:rPr>
                <w:rFonts w:ascii="Arial Narrow" w:eastAsia="Calibri" w:hAnsi="Arial Narrow" w:cs="Calibri"/>
                <w:sz w:val="20"/>
                <w:szCs w:val="20"/>
                <w:lang w:val="en-US"/>
              </w:rPr>
              <w:t xml:space="preserve">The service is not provided in association with items 35300, 35303, 35306 or 35309 for the same lesion/s </w:t>
            </w:r>
            <w:proofErr w:type="gramStart"/>
            <w:r w:rsidRPr="00D1286A">
              <w:rPr>
                <w:rFonts w:ascii="Arial Narrow" w:eastAsia="Calibri" w:hAnsi="Arial Narrow" w:cs="Calibri"/>
                <w:sz w:val="20"/>
                <w:szCs w:val="20"/>
                <w:lang w:val="en-US"/>
              </w:rPr>
              <w:t>and;</w:t>
            </w:r>
            <w:proofErr w:type="gramEnd"/>
          </w:p>
          <w:p w14:paraId="3CEB7360" w14:textId="29497368" w:rsidR="27C72C43" w:rsidRPr="00D1286A" w:rsidRDefault="724C2FF5" w:rsidP="27C72C43">
            <w:pPr>
              <w:pStyle w:val="ListParagraph"/>
              <w:numPr>
                <w:ilvl w:val="0"/>
                <w:numId w:val="23"/>
              </w:numPr>
              <w:spacing w:before="0" w:after="0"/>
              <w:ind w:left="360"/>
              <w:rPr>
                <w:rFonts w:ascii="Arial Narrow" w:eastAsia="Calibri" w:hAnsi="Arial Narrow" w:cs="Calibri"/>
                <w:sz w:val="20"/>
                <w:szCs w:val="20"/>
                <w:lang w:val="en-US"/>
              </w:rPr>
            </w:pPr>
            <w:r w:rsidRPr="00D1286A">
              <w:rPr>
                <w:rFonts w:ascii="Arial Narrow" w:eastAsia="Calibri" w:hAnsi="Arial Narrow" w:cs="Calibri"/>
                <w:sz w:val="20"/>
                <w:szCs w:val="20"/>
                <w:lang w:val="en-US"/>
              </w:rPr>
              <w:t xml:space="preserve">The service is performed by </w:t>
            </w:r>
            <w:r w:rsidR="27C72C43" w:rsidRPr="00D1286A" w:rsidDel="724C2FF5">
              <w:rPr>
                <w:rFonts w:ascii="Arial Narrow" w:eastAsia="Calibri" w:hAnsi="Arial Narrow" w:cs="Calibri"/>
                <w:sz w:val="20"/>
                <w:szCs w:val="20"/>
                <w:lang w:val="en-US"/>
              </w:rPr>
              <w:t xml:space="preserve">a </w:t>
            </w:r>
            <w:r w:rsidR="3D33A45D" w:rsidRPr="00D1286A">
              <w:rPr>
                <w:rFonts w:ascii="Arial Narrow" w:eastAsia="Calibri" w:hAnsi="Arial Narrow" w:cs="Calibri"/>
                <w:sz w:val="20"/>
                <w:szCs w:val="20"/>
                <w:lang w:val="en-US"/>
              </w:rPr>
              <w:t xml:space="preserve">specialist or consultant physician </w:t>
            </w:r>
            <w:r w:rsidR="7BBE055B" w:rsidRPr="00D1286A">
              <w:rPr>
                <w:rFonts w:ascii="Arial Narrow" w:eastAsia="Calibri" w:hAnsi="Arial Narrow" w:cs="Calibri"/>
                <w:sz w:val="20"/>
                <w:szCs w:val="20"/>
              </w:rPr>
              <w:t xml:space="preserve">practicing in their specialty of vascular surgery or diagnostic radiology </w:t>
            </w:r>
            <w:r w:rsidRPr="00D1286A">
              <w:rPr>
                <w:rFonts w:ascii="Arial Narrow" w:eastAsia="Calibri" w:hAnsi="Arial Narrow" w:cs="Calibri"/>
                <w:sz w:val="20"/>
                <w:szCs w:val="20"/>
              </w:rPr>
              <w:t>who has undertaken appropriate training in the intravascular lithotripsy procedure</w:t>
            </w:r>
            <w:r w:rsidRPr="00D1286A">
              <w:rPr>
                <w:rFonts w:ascii="Arial Narrow" w:eastAsia="Calibri" w:hAnsi="Arial Narrow" w:cs="Calibri"/>
                <w:sz w:val="20"/>
                <w:szCs w:val="20"/>
                <w:lang w:val="en-US"/>
              </w:rPr>
              <w:t xml:space="preserve">.  </w:t>
            </w:r>
          </w:p>
          <w:p w14:paraId="70AA8F19" w14:textId="235CC266" w:rsidR="27C72C43" w:rsidRPr="00D1286A" w:rsidRDefault="27C72C43" w:rsidP="00AF2CB2">
            <w:pPr>
              <w:pStyle w:val="ListParagraph"/>
              <w:numPr>
                <w:ilvl w:val="0"/>
                <w:numId w:val="22"/>
              </w:numPr>
              <w:spacing w:before="0" w:after="0"/>
              <w:ind w:left="360"/>
              <w:rPr>
                <w:rFonts w:ascii="Arial Narrow" w:eastAsia="Calibri" w:hAnsi="Arial Narrow" w:cs="Calibri"/>
                <w:color w:val="000000" w:themeColor="text1"/>
                <w:sz w:val="20"/>
                <w:szCs w:val="20"/>
                <w:lang w:val="en-US"/>
              </w:rPr>
            </w:pPr>
            <w:r w:rsidRPr="00D1286A">
              <w:rPr>
                <w:rFonts w:ascii="Arial Narrow" w:eastAsia="Calibri" w:hAnsi="Arial Narrow" w:cs="Calibri"/>
                <w:sz w:val="20"/>
                <w:szCs w:val="20"/>
                <w:lang w:val="en-US"/>
              </w:rPr>
              <w:t>Providers retain a</w:t>
            </w:r>
            <w:r w:rsidRPr="00D1286A">
              <w:rPr>
                <w:rFonts w:ascii="Arial Narrow" w:eastAsia="Calibri" w:hAnsi="Arial Narrow" w:cs="Calibri"/>
                <w:color w:val="000000" w:themeColor="text1"/>
                <w:sz w:val="20"/>
                <w:szCs w:val="20"/>
                <w:lang w:val="en-US"/>
              </w:rPr>
              <w:t>ppropriate documentation, ideally with photographic and/or recordings and/or diagnostic imaging evidence, demonstrating the patient’s calcification severity and the clinical need for the service, which documentation may be subject to audit.</w:t>
            </w:r>
          </w:p>
          <w:p w14:paraId="6FBE4358" w14:textId="702C886D" w:rsidR="27C72C43" w:rsidRPr="00D1286A" w:rsidRDefault="27C72C43" w:rsidP="0067759D">
            <w:pPr>
              <w:pStyle w:val="ListParagraph"/>
              <w:numPr>
                <w:ilvl w:val="0"/>
                <w:numId w:val="22"/>
              </w:numPr>
              <w:spacing w:before="0" w:after="0"/>
              <w:ind w:left="360"/>
              <w:rPr>
                <w:rFonts w:ascii="Arial Narrow" w:eastAsia="Calibri" w:hAnsi="Arial Narrow" w:cs="Calibri"/>
                <w:color w:val="000000" w:themeColor="text1"/>
                <w:sz w:val="20"/>
                <w:szCs w:val="20"/>
                <w:lang w:val="en-US"/>
              </w:rPr>
            </w:pPr>
            <w:r w:rsidRPr="00D1286A">
              <w:rPr>
                <w:rFonts w:ascii="Arial Narrow" w:eastAsia="Calibri" w:hAnsi="Arial Narrow" w:cs="Calibri"/>
                <w:sz w:val="20"/>
                <w:szCs w:val="20"/>
                <w:lang w:val="en-US"/>
              </w:rPr>
              <w:t>If</w:t>
            </w:r>
            <w:r w:rsidRPr="00D1286A">
              <w:rPr>
                <w:rFonts w:ascii="Arial Narrow" w:eastAsia="Calibri" w:hAnsi="Arial Narrow" w:cs="Calibri"/>
                <w:color w:val="000000" w:themeColor="text1"/>
                <w:sz w:val="20"/>
                <w:szCs w:val="20"/>
                <w:lang w:val="en-US"/>
              </w:rPr>
              <w:t xml:space="preserve"> photographic or diagnostic imaging is not retained, the reason for this is clearly documented.</w:t>
            </w:r>
          </w:p>
          <w:p w14:paraId="30BEEB62" w14:textId="62B2D898" w:rsidR="27C72C43" w:rsidRPr="00D1286A" w:rsidRDefault="27C72C43" w:rsidP="0067759D">
            <w:pPr>
              <w:spacing w:before="240" w:after="240"/>
              <w:rPr>
                <w:rFonts w:ascii="Arial Narrow" w:eastAsia="Calibri" w:hAnsi="Arial Narrow" w:cs="Calibri"/>
                <w:sz w:val="20"/>
                <w:szCs w:val="20"/>
                <w:lang w:val="en-US"/>
              </w:rPr>
            </w:pPr>
            <w:r w:rsidRPr="00D1286A">
              <w:rPr>
                <w:rFonts w:ascii="Arial Narrow" w:eastAsia="Calibri" w:hAnsi="Arial Narrow" w:cs="Calibri"/>
                <w:sz w:val="20"/>
                <w:szCs w:val="20"/>
                <w:lang w:val="en-US"/>
              </w:rPr>
              <w:t xml:space="preserve">Applicable not more than once in each 3-month period. Excludes aftercare (H)  </w:t>
            </w:r>
          </w:p>
          <w:p w14:paraId="463F1DDF" w14:textId="7A3E581A" w:rsidR="27C72C43" w:rsidRPr="00D1286A" w:rsidRDefault="27C72C43" w:rsidP="0067759D">
            <w:pPr>
              <w:spacing w:before="60" w:after="240"/>
              <w:rPr>
                <w:rFonts w:ascii="Arial Narrow" w:eastAsia="Calibri" w:hAnsi="Arial Narrow" w:cs="Calibri"/>
                <w:sz w:val="20"/>
                <w:szCs w:val="20"/>
                <w:lang w:val="en-US"/>
              </w:rPr>
            </w:pPr>
            <w:r w:rsidRPr="00D1286A">
              <w:rPr>
                <w:rFonts w:ascii="Arial Narrow" w:eastAsia="Calibri" w:hAnsi="Arial Narrow" w:cs="Calibri"/>
                <w:sz w:val="20"/>
                <w:szCs w:val="20"/>
                <w:lang w:val="en-US"/>
              </w:rPr>
              <w:t>Multiple Operation Rule</w:t>
            </w:r>
          </w:p>
          <w:p w14:paraId="1D49F87B" w14:textId="5700ED0E" w:rsidR="27C72C43" w:rsidRPr="00D1286A" w:rsidRDefault="27C72C43" w:rsidP="00AF2CB2">
            <w:pPr>
              <w:spacing w:before="60" w:after="60"/>
              <w:rPr>
                <w:rFonts w:ascii="Arial Narrow" w:eastAsia="Calibri" w:hAnsi="Arial Narrow" w:cs="Calibri"/>
                <w:sz w:val="20"/>
                <w:szCs w:val="20"/>
                <w:lang w:val="en-US"/>
              </w:rPr>
            </w:pPr>
            <w:r w:rsidRPr="00D1286A">
              <w:rPr>
                <w:rFonts w:ascii="Arial Narrow" w:eastAsia="Calibri" w:hAnsi="Arial Narrow" w:cs="Calibri"/>
                <w:sz w:val="20"/>
                <w:szCs w:val="20"/>
                <w:lang w:val="en-US"/>
              </w:rPr>
              <w:t>(Anaes.) (Assist.)</w:t>
            </w:r>
          </w:p>
        </w:tc>
      </w:tr>
      <w:tr w:rsidR="27C72C43" w14:paraId="5C0CEA3A" w14:textId="77777777" w:rsidTr="0067759D">
        <w:trPr>
          <w:cantSplit/>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666AE7" w14:textId="68701A78" w:rsidR="27C72C43" w:rsidRPr="00D1286A" w:rsidRDefault="27C72C43" w:rsidP="00AF2CB2">
            <w:pPr>
              <w:spacing w:before="60" w:after="60"/>
              <w:rPr>
                <w:rFonts w:ascii="Arial Narrow" w:eastAsia="Calibri" w:hAnsi="Arial Narrow" w:cs="Calibri"/>
                <w:sz w:val="20"/>
                <w:szCs w:val="20"/>
                <w:lang w:val="en-US"/>
              </w:rPr>
            </w:pPr>
            <w:r w:rsidRPr="00D1286A">
              <w:rPr>
                <w:rFonts w:ascii="Arial Narrow" w:eastAsia="Calibri" w:hAnsi="Arial Narrow" w:cs="Calibri"/>
                <w:sz w:val="20"/>
                <w:szCs w:val="20"/>
                <w:lang w:val="en-US"/>
              </w:rPr>
              <w:t xml:space="preserve">Fee: $736.25 Benefit: 75% = $552.18 </w:t>
            </w:r>
          </w:p>
        </w:tc>
      </w:tr>
    </w:tbl>
    <w:tbl>
      <w:tblPr>
        <w:tblStyle w:val="TableGrid"/>
        <w:tblW w:w="0" w:type="auto"/>
        <w:tblLook w:val="04A0" w:firstRow="1" w:lastRow="0" w:firstColumn="1" w:lastColumn="0" w:noHBand="0" w:noVBand="1"/>
        <w:tblDescription w:val="Consumer summary of MSAC consideration"/>
      </w:tblPr>
      <w:tblGrid>
        <w:gridCol w:w="9016"/>
      </w:tblGrid>
      <w:tr w:rsidR="00C949CC" w:rsidRPr="003F6F2A" w14:paraId="3E522BA1" w14:textId="77777777" w:rsidTr="2F1EB167">
        <w:trPr>
          <w:tblHeader/>
        </w:trPr>
        <w:tc>
          <w:tcPr>
            <w:tcW w:w="9016" w:type="dxa"/>
            <w:shd w:val="clear" w:color="auto" w:fill="auto"/>
          </w:tcPr>
          <w:p w14:paraId="3CEBD4DE" w14:textId="77777777" w:rsidR="00C949CC" w:rsidRPr="00C949CC" w:rsidRDefault="00C949CC">
            <w:pPr>
              <w:keepNext/>
              <w:keepLines/>
              <w:spacing w:after="200"/>
              <w:outlineLvl w:val="2"/>
              <w:rPr>
                <w:rFonts w:eastAsia="Calibri" w:cs="Times New Roman"/>
                <w:b/>
                <w:bCs/>
                <w:iCs/>
                <w:color w:val="1F3763"/>
              </w:rPr>
            </w:pPr>
            <w:r w:rsidRPr="00C949CC">
              <w:rPr>
                <w:rFonts w:eastAsia="Times New Roman" w:cs="Times New Roman"/>
                <w:b/>
                <w:bCs/>
              </w:rPr>
              <w:lastRenderedPageBreak/>
              <w:t>Consumer summary</w:t>
            </w:r>
          </w:p>
        </w:tc>
      </w:tr>
      <w:tr w:rsidR="00C949CC" w:rsidRPr="003F6F2A" w14:paraId="7DB1FB33" w14:textId="77777777" w:rsidTr="2F1EB167">
        <w:tc>
          <w:tcPr>
            <w:tcW w:w="9016" w:type="dxa"/>
          </w:tcPr>
          <w:p w14:paraId="58569D46" w14:textId="77777777" w:rsidR="00F87BFE" w:rsidRPr="00F87BFE" w:rsidRDefault="00F87BFE" w:rsidP="00F87BFE">
            <w:pPr>
              <w:keepNext/>
              <w:keepLines/>
              <w:outlineLvl w:val="2"/>
              <w:rPr>
                <w:rFonts w:eastAsia="Times New Roman" w:cs="Times New Roman"/>
              </w:rPr>
            </w:pPr>
            <w:r w:rsidRPr="00F87BFE">
              <w:rPr>
                <w:rFonts w:eastAsia="Times New Roman" w:cs="Times New Roman"/>
              </w:rPr>
              <w:t>This is an application from Shockwave Medical Inc (manufacturer) and Diverse Devices Pty Ltd (distributor) requesting Medicare Benefits Schedule (MBS) listing of intravascular lithotripsy (IVL) in patients who have moderately or severely calcified peripheral arterial disease (PAD) in lower limbs.</w:t>
            </w:r>
          </w:p>
          <w:p w14:paraId="0DDC5D0D" w14:textId="3DC1C6C5" w:rsidR="00F87BFE" w:rsidRPr="00F87BFE" w:rsidRDefault="00F87BFE" w:rsidP="2F1EB167">
            <w:pPr>
              <w:keepNext/>
              <w:keepLines/>
              <w:outlineLvl w:val="2"/>
              <w:rPr>
                <w:rFonts w:eastAsia="Times New Roman" w:cs="Times New Roman"/>
              </w:rPr>
            </w:pPr>
            <w:r w:rsidRPr="2F1EB167">
              <w:rPr>
                <w:rFonts w:eastAsia="Times New Roman" w:cs="Times New Roman"/>
              </w:rPr>
              <w:t xml:space="preserve">PAD is a condition in which the build-up of fatty deposits (plaque) in arteries results in narrowing of the arteries in the arms or legs. This in turn reduces blood flow. The plaque build-up can cause arteries to </w:t>
            </w:r>
            <w:r w:rsidR="003D07EA" w:rsidRPr="2F1EB167">
              <w:rPr>
                <w:rFonts w:eastAsia="Times New Roman" w:cs="Times New Roman"/>
              </w:rPr>
              <w:t>narrow</w:t>
            </w:r>
            <w:r w:rsidRPr="2F1EB167">
              <w:rPr>
                <w:rFonts w:eastAsia="Times New Roman" w:cs="Times New Roman"/>
              </w:rPr>
              <w:t xml:space="preserve"> and hard calcium crystals can form within the plaque, which makes the arteries even stiffer.</w:t>
            </w:r>
            <w:r w:rsidR="003D07EA" w:rsidRPr="2F1EB167">
              <w:rPr>
                <w:rFonts w:eastAsia="Times New Roman" w:cs="Times New Roman"/>
              </w:rPr>
              <w:t xml:space="preserve"> Narrowed and stiff</w:t>
            </w:r>
            <w:r w:rsidRPr="2F1EB167">
              <w:rPr>
                <w:rFonts w:eastAsia="Times New Roman" w:cs="Times New Roman"/>
              </w:rPr>
              <w:t xml:space="preserve"> arteries can cause several problems, including reduced blood flow to the body’s tissues and the heart having to work harder</w:t>
            </w:r>
            <w:r w:rsidR="00E92086" w:rsidRPr="2F1EB167">
              <w:rPr>
                <w:rFonts w:eastAsia="Times New Roman" w:cs="Times New Roman"/>
              </w:rPr>
              <w:t xml:space="preserve"> to pump blood through the arteries</w:t>
            </w:r>
            <w:r w:rsidRPr="2F1EB167">
              <w:rPr>
                <w:rFonts w:eastAsia="Times New Roman" w:cs="Times New Roman"/>
              </w:rPr>
              <w:t>. PAD most commonly affects the arteries supplying the legs, causing the circulation to be partially cut off which can cause pain and difficulties with walking. People with PAD are at higher risk of cardiovascular disease, stroke and death.</w:t>
            </w:r>
          </w:p>
          <w:p w14:paraId="59EA6E4C" w14:textId="6995B0A0" w:rsidR="00F87BFE" w:rsidRPr="00F87BFE" w:rsidRDefault="00F87BFE" w:rsidP="00F87BFE">
            <w:pPr>
              <w:keepNext/>
              <w:keepLines/>
              <w:outlineLvl w:val="2"/>
              <w:rPr>
                <w:rFonts w:eastAsia="Times New Roman" w:cs="Times New Roman"/>
              </w:rPr>
            </w:pPr>
            <w:r w:rsidRPr="00F87BFE">
              <w:rPr>
                <w:rFonts w:eastAsia="Times New Roman" w:cs="Times New Roman"/>
              </w:rPr>
              <w:t xml:space="preserve">IVL involves inserting a tiny device into the affected arteries in the lower legs. The device gives off high-pressure shockwaves </w:t>
            </w:r>
            <w:r w:rsidR="00106198">
              <w:rPr>
                <w:rFonts w:eastAsia="Times New Roman" w:cs="Times New Roman"/>
              </w:rPr>
              <w:t xml:space="preserve">into the affected arteries, </w:t>
            </w:r>
            <w:r w:rsidRPr="00F87BFE">
              <w:rPr>
                <w:rFonts w:eastAsia="Times New Roman" w:cs="Times New Roman"/>
              </w:rPr>
              <w:t>that help to break up</w:t>
            </w:r>
            <w:r w:rsidR="00275FE5">
              <w:rPr>
                <w:rFonts w:eastAsia="Times New Roman" w:cs="Times New Roman"/>
              </w:rPr>
              <w:t xml:space="preserve"> the calcification in</w:t>
            </w:r>
            <w:r w:rsidRPr="00F87BFE">
              <w:rPr>
                <w:rFonts w:eastAsia="Times New Roman" w:cs="Times New Roman"/>
              </w:rPr>
              <w:t xml:space="preserve"> plaques and improve blood flow</w:t>
            </w:r>
            <w:r w:rsidR="00106198">
              <w:rPr>
                <w:rFonts w:eastAsia="Times New Roman" w:cs="Times New Roman"/>
              </w:rPr>
              <w:t xml:space="preserve"> to the lower limbs</w:t>
            </w:r>
            <w:r w:rsidRPr="00F87BFE">
              <w:rPr>
                <w:rFonts w:eastAsia="Times New Roman" w:cs="Times New Roman"/>
              </w:rPr>
              <w:t>.</w:t>
            </w:r>
          </w:p>
          <w:p w14:paraId="11964AC1" w14:textId="506D93D5" w:rsidR="00F87BFE" w:rsidRPr="00F87BFE" w:rsidRDefault="00F87BFE" w:rsidP="2F1EB167">
            <w:pPr>
              <w:keepNext/>
              <w:keepLines/>
              <w:outlineLvl w:val="2"/>
              <w:rPr>
                <w:rFonts w:eastAsia="Times New Roman" w:cs="Times New Roman"/>
              </w:rPr>
            </w:pPr>
            <w:r w:rsidRPr="2F1EB167">
              <w:rPr>
                <w:rFonts w:eastAsia="Times New Roman" w:cs="Times New Roman"/>
              </w:rPr>
              <w:t xml:space="preserve">MSAC had previously considered this application at its meeting in November 2023. MSAC had concluded that IVL is safe and effective but requested more information and a different approach to how value for money was calculated before it could </w:t>
            </w:r>
            <w:proofErr w:type="gramStart"/>
            <w:r w:rsidRPr="2F1EB167">
              <w:rPr>
                <w:rFonts w:eastAsia="Times New Roman" w:cs="Times New Roman"/>
              </w:rPr>
              <w:t>make a decision</w:t>
            </w:r>
            <w:proofErr w:type="gramEnd"/>
            <w:r w:rsidRPr="2F1EB167">
              <w:rPr>
                <w:rFonts w:eastAsia="Times New Roman" w:cs="Times New Roman"/>
              </w:rPr>
              <w:t>.</w:t>
            </w:r>
          </w:p>
          <w:p w14:paraId="219960AE" w14:textId="29E4452F" w:rsidR="00C949CC" w:rsidRDefault="00F87BFE" w:rsidP="2F1EB167">
            <w:pPr>
              <w:keepNext/>
              <w:keepLines/>
              <w:outlineLvl w:val="2"/>
              <w:rPr>
                <w:rFonts w:eastAsia="Times New Roman" w:cs="Times New Roman"/>
              </w:rPr>
            </w:pPr>
            <w:r w:rsidRPr="2F1EB167">
              <w:rPr>
                <w:rFonts w:eastAsia="Times New Roman" w:cs="Times New Roman"/>
              </w:rPr>
              <w:t xml:space="preserve">In this resubmission, the applicant </w:t>
            </w:r>
            <w:r w:rsidR="00275FE5" w:rsidRPr="2F1EB167">
              <w:rPr>
                <w:rFonts w:eastAsia="Times New Roman" w:cs="Times New Roman"/>
              </w:rPr>
              <w:t>revised</w:t>
            </w:r>
            <w:r w:rsidRPr="2F1EB167">
              <w:rPr>
                <w:rFonts w:eastAsia="Times New Roman" w:cs="Times New Roman"/>
              </w:rPr>
              <w:t xml:space="preserve"> the economic model and financial impact analysis as MSAC requested. With this new information, MSAC considered that IVL was good value for money and the overall financial impact was reasonable. MSAC also accepted that data were not available on quality of life or outcomes beyond 2 years, so </w:t>
            </w:r>
            <w:r w:rsidR="00E06851">
              <w:rPr>
                <w:rFonts w:eastAsia="Times New Roman" w:cs="Times New Roman"/>
              </w:rPr>
              <w:t>health outcomes beyond this timeframe</w:t>
            </w:r>
            <w:r w:rsidR="00E06851" w:rsidRPr="2F1EB167">
              <w:rPr>
                <w:rFonts w:eastAsia="Times New Roman" w:cs="Times New Roman"/>
              </w:rPr>
              <w:t xml:space="preserve"> </w:t>
            </w:r>
            <w:r w:rsidRPr="2F1EB167">
              <w:rPr>
                <w:rFonts w:eastAsia="Times New Roman" w:cs="Times New Roman"/>
              </w:rPr>
              <w:t>remained uncertain.</w:t>
            </w:r>
            <w:r w:rsidR="006205F4">
              <w:rPr>
                <w:rFonts w:eastAsia="Times New Roman" w:cs="Times New Roman"/>
              </w:rPr>
              <w:t xml:space="preserve"> </w:t>
            </w:r>
            <w:r w:rsidR="006205F4" w:rsidDel="00D44921">
              <w:rPr>
                <w:rFonts w:eastAsia="Times New Roman" w:cs="Times New Roman"/>
              </w:rPr>
              <w:t xml:space="preserve">MSAC </w:t>
            </w:r>
            <w:r w:rsidR="00766683" w:rsidRPr="37869555" w:rsidDel="00D44921">
              <w:rPr>
                <w:rFonts w:eastAsia="Times New Roman" w:cs="Times New Roman"/>
              </w:rPr>
              <w:t>note</w:t>
            </w:r>
            <w:r w:rsidR="00385A7F" w:rsidRPr="37869555" w:rsidDel="00D44921">
              <w:rPr>
                <w:rFonts w:eastAsia="Times New Roman" w:cs="Times New Roman"/>
              </w:rPr>
              <w:t>d</w:t>
            </w:r>
            <w:r w:rsidR="00766683" w:rsidDel="00D44921">
              <w:rPr>
                <w:rFonts w:eastAsia="Times New Roman" w:cs="Times New Roman"/>
              </w:rPr>
              <w:t xml:space="preserve"> that the cost of the catheter </w:t>
            </w:r>
            <w:r w:rsidR="00936CB7" w:rsidDel="00D44921">
              <w:rPr>
                <w:rFonts w:eastAsia="Times New Roman" w:cs="Times New Roman"/>
              </w:rPr>
              <w:t xml:space="preserve">is not covered </w:t>
            </w:r>
            <w:r w:rsidR="00936CB7" w:rsidDel="00D01693">
              <w:rPr>
                <w:rFonts w:eastAsia="Times New Roman" w:cs="Times New Roman"/>
              </w:rPr>
              <w:t>on</w:t>
            </w:r>
            <w:r w:rsidR="00936CB7" w:rsidDel="00D44921">
              <w:rPr>
                <w:rFonts w:eastAsia="Times New Roman" w:cs="Times New Roman"/>
              </w:rPr>
              <w:t xml:space="preserve"> the MBS </w:t>
            </w:r>
            <w:r w:rsidR="00732BD3" w:rsidDel="00D44921">
              <w:rPr>
                <w:rFonts w:eastAsia="Times New Roman" w:cs="Times New Roman"/>
              </w:rPr>
              <w:t xml:space="preserve">and </w:t>
            </w:r>
            <w:r w:rsidR="74EE70F3" w:rsidRPr="3C48D18E">
              <w:rPr>
                <w:rFonts w:eastAsia="Times New Roman" w:cs="Times New Roman"/>
              </w:rPr>
              <w:t>may not be</w:t>
            </w:r>
            <w:r w:rsidR="00732BD3" w:rsidDel="00D44921">
              <w:rPr>
                <w:rFonts w:eastAsia="Times New Roman" w:cs="Times New Roman"/>
              </w:rPr>
              <w:t xml:space="preserve"> eligible </w:t>
            </w:r>
            <w:r w:rsidR="00A7418B" w:rsidDel="00D44921">
              <w:rPr>
                <w:rFonts w:eastAsia="Times New Roman" w:cs="Times New Roman"/>
              </w:rPr>
              <w:t xml:space="preserve">for funding under the Prescribed </w:t>
            </w:r>
            <w:r w:rsidR="006F1983" w:rsidDel="00D44921">
              <w:rPr>
                <w:rFonts w:eastAsia="Times New Roman" w:cs="Times New Roman"/>
              </w:rPr>
              <w:t>L</w:t>
            </w:r>
            <w:r w:rsidR="00A7418B" w:rsidDel="00D44921">
              <w:rPr>
                <w:rFonts w:eastAsia="Times New Roman" w:cs="Times New Roman"/>
              </w:rPr>
              <w:t xml:space="preserve">ist </w:t>
            </w:r>
            <w:r w:rsidR="00A7418B" w:rsidRPr="000E7BE3" w:rsidDel="00D44921">
              <w:rPr>
                <w:rFonts w:eastAsiaTheme="minorEastAsia"/>
              </w:rPr>
              <w:t>of Medical Devices and Human Tissue Products</w:t>
            </w:r>
            <w:r w:rsidR="00A7418B" w:rsidDel="00D44921">
              <w:rPr>
                <w:rFonts w:eastAsiaTheme="minorEastAsia"/>
              </w:rPr>
              <w:t>.</w:t>
            </w:r>
          </w:p>
          <w:p w14:paraId="141EC8DB" w14:textId="6306DE3E" w:rsidR="00C949CC" w:rsidRPr="003F6F2A" w:rsidRDefault="00C949CC" w:rsidP="2F1EB167">
            <w:pPr>
              <w:keepNext/>
              <w:keepLines/>
              <w:outlineLvl w:val="2"/>
              <w:rPr>
                <w:rFonts w:eastAsia="Times New Roman" w:cs="Times New Roman"/>
                <w:b/>
                <w:bCs/>
              </w:rPr>
            </w:pPr>
            <w:r w:rsidRPr="2F1EB167">
              <w:rPr>
                <w:rFonts w:eastAsia="Times New Roman" w:cs="Times New Roman"/>
                <w:b/>
                <w:bCs/>
              </w:rPr>
              <w:t xml:space="preserve">MSAC’s advice to the </w:t>
            </w:r>
            <w:proofErr w:type="gramStart"/>
            <w:r w:rsidRPr="2F1EB167">
              <w:rPr>
                <w:rFonts w:eastAsia="Times New Roman" w:cs="Times New Roman"/>
                <w:b/>
                <w:bCs/>
              </w:rPr>
              <w:t>Commonwealth Minister</w:t>
            </w:r>
            <w:proofErr w:type="gramEnd"/>
            <w:r w:rsidRPr="2F1EB167">
              <w:rPr>
                <w:rFonts w:eastAsia="Times New Roman" w:cs="Times New Roman"/>
                <w:b/>
                <w:bCs/>
              </w:rPr>
              <w:t xml:space="preserve"> for Health and Aged Care</w:t>
            </w:r>
          </w:p>
          <w:p w14:paraId="7C0C44A2" w14:textId="113DC7F9" w:rsidR="00C949CC" w:rsidRPr="003F6F2A" w:rsidRDefault="00122D10" w:rsidP="2F1EB167">
            <w:pPr>
              <w:spacing w:after="120"/>
              <w:rPr>
                <w:rFonts w:eastAsia="Calibri" w:cs="Times New Roman"/>
              </w:rPr>
            </w:pPr>
            <w:r w:rsidRPr="2F1EB167">
              <w:rPr>
                <w:rFonts w:eastAsia="Calibri" w:cs="Times New Roman"/>
              </w:rPr>
              <w:t>MSAC supported MBS listing of IVL in patients who have moderately or severely calcified PAD in lower limbs. MSAC concluded that IVL is safe, effective and good value for money.</w:t>
            </w:r>
          </w:p>
        </w:tc>
      </w:tr>
    </w:tbl>
    <w:p w14:paraId="5EEDB497" w14:textId="25380C64" w:rsidR="00C949CC" w:rsidRPr="00C949CC" w:rsidRDefault="00C949CC" w:rsidP="00C949CC">
      <w:pPr>
        <w:pStyle w:val="Heading2"/>
        <w:numPr>
          <w:ilvl w:val="0"/>
          <w:numId w:val="0"/>
        </w:numPr>
      </w:pPr>
      <w:r>
        <w:t>3.</w:t>
      </w:r>
      <w:r>
        <w:tab/>
      </w:r>
      <w:r w:rsidRPr="003F6F2A">
        <w:t>Summary of consideration and rationale for MSAC’s advice</w:t>
      </w:r>
    </w:p>
    <w:p w14:paraId="16F1604E" w14:textId="6F4147A4" w:rsidR="00565C96" w:rsidRPr="00565C96" w:rsidRDefault="00565C96" w:rsidP="2F1EB167">
      <w:pPr>
        <w:pStyle w:val="Heading2"/>
        <w:numPr>
          <w:ilvl w:val="0"/>
          <w:numId w:val="0"/>
        </w:numPr>
        <w:spacing w:before="120" w:after="120"/>
        <w:rPr>
          <w:rFonts w:ascii="Franklin Gothic Book" w:eastAsiaTheme="minorEastAsia" w:hAnsi="Franklin Gothic Book" w:cstheme="minorBidi"/>
          <w:color w:val="auto"/>
          <w:sz w:val="22"/>
          <w:szCs w:val="22"/>
        </w:rPr>
      </w:pPr>
      <w:r w:rsidRPr="2F1EB167">
        <w:rPr>
          <w:rFonts w:ascii="Franklin Gothic Book" w:eastAsiaTheme="minorEastAsia" w:hAnsi="Franklin Gothic Book" w:cstheme="minorBidi"/>
          <w:color w:val="auto"/>
          <w:sz w:val="22"/>
          <w:szCs w:val="22"/>
        </w:rPr>
        <w:t xml:space="preserve">MSAC noted this </w:t>
      </w:r>
      <w:r w:rsidR="0099515F" w:rsidRPr="2F1EB167">
        <w:rPr>
          <w:rFonts w:ascii="Franklin Gothic Book" w:eastAsiaTheme="minorEastAsia" w:hAnsi="Franklin Gothic Book" w:cstheme="minorBidi"/>
          <w:color w:val="auto"/>
          <w:sz w:val="22"/>
          <w:szCs w:val="22"/>
        </w:rPr>
        <w:t>application</w:t>
      </w:r>
      <w:r w:rsidRPr="2F1EB167">
        <w:rPr>
          <w:rFonts w:ascii="Franklin Gothic Book" w:eastAsiaTheme="minorEastAsia" w:hAnsi="Franklin Gothic Book" w:cstheme="minorBidi"/>
          <w:color w:val="auto"/>
          <w:sz w:val="22"/>
          <w:szCs w:val="22"/>
        </w:rPr>
        <w:t xml:space="preserve"> requesting MBS listing for providing intravascular lithotripsy (IVL) in patients with moderately or severely calcified peripheral artery disease (PAD) in lower limbs and who are indicated for endovascular revascularisation. IVL was proposed as a standalone treatment or as a vessel preparation strategy before treatment with a drug-coated balloon (DCB) and/or stent insertion.</w:t>
      </w:r>
    </w:p>
    <w:p w14:paraId="45083EF1" w14:textId="7A2A3C5D" w:rsidR="00565C96" w:rsidRPr="00565C96" w:rsidRDefault="00565C96" w:rsidP="2F1EB167">
      <w:pPr>
        <w:pStyle w:val="Heading2"/>
        <w:numPr>
          <w:ilvl w:val="0"/>
          <w:numId w:val="0"/>
        </w:numPr>
        <w:spacing w:before="120" w:after="120"/>
        <w:rPr>
          <w:rFonts w:ascii="Franklin Gothic Book" w:eastAsiaTheme="minorEastAsia" w:hAnsi="Franklin Gothic Book" w:cstheme="minorBidi"/>
          <w:color w:val="auto"/>
          <w:sz w:val="22"/>
          <w:szCs w:val="22"/>
        </w:rPr>
      </w:pPr>
      <w:r w:rsidRPr="2F1EB167">
        <w:rPr>
          <w:rFonts w:ascii="Franklin Gothic Book" w:eastAsiaTheme="minorEastAsia" w:hAnsi="Franklin Gothic Book" w:cstheme="minorBidi"/>
          <w:color w:val="auto"/>
          <w:sz w:val="22"/>
          <w:szCs w:val="22"/>
        </w:rPr>
        <w:t xml:space="preserve">MSAC recalled that it had previously considered this application at its November 2023 meeting and had deferred its decision on public funding of IVL. MSAC had </w:t>
      </w:r>
      <w:r w:rsidR="001138CF" w:rsidRPr="2F1EB167">
        <w:rPr>
          <w:rFonts w:ascii="Franklin Gothic Book" w:eastAsiaTheme="minorEastAsia" w:hAnsi="Franklin Gothic Book" w:cstheme="minorBidi"/>
          <w:color w:val="auto"/>
          <w:sz w:val="22"/>
          <w:szCs w:val="22"/>
        </w:rPr>
        <w:t xml:space="preserve">considered </w:t>
      </w:r>
      <w:r w:rsidRPr="2F1EB167">
        <w:rPr>
          <w:rFonts w:ascii="Franklin Gothic Book" w:eastAsiaTheme="minorEastAsia" w:hAnsi="Franklin Gothic Book" w:cstheme="minorBidi"/>
          <w:color w:val="auto"/>
          <w:sz w:val="22"/>
          <w:szCs w:val="22"/>
        </w:rPr>
        <w:t>there is likely superior procedural effectiveness and non-inferior safety for IVL compared to standard balloon angioplasty (SBA) when used as a vessel preparation strategy before DCB or stent insertion. MSAC had considered that there was weak evidence for superior effectiveness and non-inferior safety to SBA when IVL is employed as a standalone therapy. MSAC</w:t>
      </w:r>
      <w:r w:rsidR="00DC7E2E" w:rsidRPr="2F1EB167">
        <w:rPr>
          <w:rFonts w:ascii="Franklin Gothic Book" w:eastAsiaTheme="minorEastAsia" w:hAnsi="Franklin Gothic Book" w:cstheme="minorBidi"/>
          <w:color w:val="auto"/>
          <w:sz w:val="22"/>
          <w:szCs w:val="22"/>
        </w:rPr>
        <w:t xml:space="preserve"> recommended that any resubmission should include a revised clinical algorithm that is not split into two populations since this is not reflective of clinical practice where stenting is provisional depending on the outcome of the IVL as perceived by the clinician in real time.</w:t>
      </w:r>
      <w:r w:rsidRPr="2F1EB167">
        <w:rPr>
          <w:rFonts w:ascii="Franklin Gothic Book" w:eastAsiaTheme="minorEastAsia" w:hAnsi="Franklin Gothic Book" w:cstheme="minorBidi"/>
          <w:color w:val="auto"/>
          <w:sz w:val="22"/>
          <w:szCs w:val="22"/>
        </w:rPr>
        <w:t xml:space="preserve"> </w:t>
      </w:r>
      <w:r w:rsidR="00DC7E2E" w:rsidRPr="2F1EB167">
        <w:rPr>
          <w:rFonts w:ascii="Franklin Gothic Book" w:eastAsiaTheme="minorEastAsia" w:hAnsi="Franklin Gothic Book" w:cstheme="minorBidi"/>
          <w:color w:val="auto"/>
          <w:sz w:val="22"/>
          <w:szCs w:val="22"/>
        </w:rPr>
        <w:t xml:space="preserve">MSAC </w:t>
      </w:r>
      <w:r w:rsidRPr="2F1EB167">
        <w:rPr>
          <w:rFonts w:ascii="Franklin Gothic Book" w:eastAsiaTheme="minorEastAsia" w:hAnsi="Franklin Gothic Book" w:cstheme="minorBidi"/>
          <w:color w:val="auto"/>
          <w:sz w:val="22"/>
          <w:szCs w:val="22"/>
        </w:rPr>
        <w:t>requested a revised economic assessment for a resubmission using a cost-consequence analysis</w:t>
      </w:r>
      <w:r w:rsidR="00A91AAA" w:rsidRPr="2F1EB167">
        <w:rPr>
          <w:rFonts w:ascii="Franklin Gothic Book" w:eastAsiaTheme="minorEastAsia" w:hAnsi="Franklin Gothic Book" w:cstheme="minorBidi"/>
          <w:color w:val="auto"/>
          <w:sz w:val="22"/>
          <w:szCs w:val="22"/>
        </w:rPr>
        <w:t xml:space="preserve"> focused on procedural outcomes and costs, and changes in resource use</w:t>
      </w:r>
      <w:r w:rsidRPr="2F1EB167">
        <w:rPr>
          <w:rFonts w:ascii="Franklin Gothic Book" w:eastAsiaTheme="minorEastAsia" w:hAnsi="Franklin Gothic Book" w:cstheme="minorBidi"/>
          <w:color w:val="auto"/>
          <w:sz w:val="22"/>
          <w:szCs w:val="22"/>
        </w:rPr>
        <w:t>.</w:t>
      </w:r>
    </w:p>
    <w:p w14:paraId="68637CA3" w14:textId="77777777" w:rsidR="00565C96" w:rsidRPr="00565C96" w:rsidRDefault="00565C96" w:rsidP="00565C96">
      <w:pPr>
        <w:pStyle w:val="Heading2"/>
        <w:numPr>
          <w:ilvl w:val="0"/>
          <w:numId w:val="0"/>
        </w:numPr>
        <w:spacing w:before="120" w:after="120"/>
        <w:rPr>
          <w:rFonts w:ascii="Franklin Gothic Book" w:eastAsiaTheme="minorHAnsi" w:hAnsi="Franklin Gothic Book" w:cstheme="minorBidi"/>
          <w:iCs/>
          <w:color w:val="auto"/>
          <w:sz w:val="22"/>
          <w:szCs w:val="22"/>
        </w:rPr>
      </w:pPr>
      <w:r w:rsidRPr="00565C96">
        <w:rPr>
          <w:rFonts w:ascii="Franklin Gothic Book" w:eastAsiaTheme="minorHAnsi" w:hAnsi="Franklin Gothic Book" w:cstheme="minorBidi"/>
          <w:iCs/>
          <w:color w:val="auto"/>
          <w:sz w:val="22"/>
          <w:szCs w:val="22"/>
        </w:rPr>
        <w:lastRenderedPageBreak/>
        <w:t>MSAC noted the consultation feedback received from individual vascular surgeons and the Royal Australian and New Zealand College of Radiologists, which were supportive of the application.</w:t>
      </w:r>
    </w:p>
    <w:p w14:paraId="4BB1784B" w14:textId="6691126C" w:rsidR="00565C96" w:rsidRPr="00565C96" w:rsidRDefault="00565C96" w:rsidP="2F1EB167">
      <w:pPr>
        <w:pStyle w:val="Heading2"/>
        <w:numPr>
          <w:ilvl w:val="0"/>
          <w:numId w:val="0"/>
        </w:numPr>
        <w:spacing w:before="120" w:after="120"/>
        <w:rPr>
          <w:rFonts w:ascii="Franklin Gothic Book" w:eastAsiaTheme="minorEastAsia" w:hAnsi="Franklin Gothic Book" w:cstheme="minorBidi"/>
          <w:color w:val="auto"/>
          <w:sz w:val="22"/>
          <w:szCs w:val="22"/>
        </w:rPr>
      </w:pPr>
      <w:r w:rsidRPr="2F1EB167">
        <w:rPr>
          <w:rFonts w:ascii="Franklin Gothic Book" w:eastAsiaTheme="minorEastAsia" w:hAnsi="Franklin Gothic Book" w:cstheme="minorBidi"/>
          <w:color w:val="auto"/>
          <w:sz w:val="22"/>
          <w:szCs w:val="22"/>
        </w:rPr>
        <w:t xml:space="preserve">MSAC </w:t>
      </w:r>
      <w:r w:rsidR="00EF2676" w:rsidRPr="2F1EB167">
        <w:rPr>
          <w:rFonts w:ascii="Franklin Gothic Book" w:eastAsiaTheme="minorEastAsia" w:hAnsi="Franklin Gothic Book" w:cstheme="minorBidi"/>
          <w:color w:val="auto"/>
          <w:sz w:val="22"/>
          <w:szCs w:val="22"/>
        </w:rPr>
        <w:t xml:space="preserve">noted </w:t>
      </w:r>
      <w:r w:rsidRPr="2F1EB167">
        <w:rPr>
          <w:rFonts w:ascii="Franklin Gothic Book" w:eastAsiaTheme="minorEastAsia" w:hAnsi="Franklin Gothic Book" w:cstheme="minorBidi"/>
          <w:color w:val="auto"/>
          <w:sz w:val="22"/>
          <w:szCs w:val="22"/>
        </w:rPr>
        <w:t xml:space="preserve">that the burden of calcification (moderate or severe), and whether IVL will be </w:t>
      </w:r>
      <w:r w:rsidR="00106198" w:rsidRPr="2F1EB167">
        <w:rPr>
          <w:rFonts w:ascii="Franklin Gothic Book" w:eastAsiaTheme="minorEastAsia" w:hAnsi="Franklin Gothic Book" w:cstheme="minorBidi"/>
          <w:color w:val="auto"/>
          <w:sz w:val="22"/>
          <w:szCs w:val="22"/>
        </w:rPr>
        <w:t xml:space="preserve">a </w:t>
      </w:r>
      <w:r w:rsidRPr="2F1EB167">
        <w:rPr>
          <w:rFonts w:ascii="Franklin Gothic Book" w:eastAsiaTheme="minorEastAsia" w:hAnsi="Franklin Gothic Book" w:cstheme="minorBidi"/>
          <w:color w:val="auto"/>
          <w:sz w:val="22"/>
          <w:szCs w:val="22"/>
        </w:rPr>
        <w:t xml:space="preserve">standalone </w:t>
      </w:r>
      <w:r w:rsidR="00106198" w:rsidRPr="2F1EB167">
        <w:rPr>
          <w:rFonts w:ascii="Franklin Gothic Book" w:eastAsiaTheme="minorEastAsia" w:hAnsi="Franklin Gothic Book" w:cstheme="minorBidi"/>
          <w:color w:val="auto"/>
          <w:sz w:val="22"/>
          <w:szCs w:val="22"/>
        </w:rPr>
        <w:t xml:space="preserve">procedure </w:t>
      </w:r>
      <w:r w:rsidRPr="2F1EB167">
        <w:rPr>
          <w:rFonts w:ascii="Franklin Gothic Book" w:eastAsiaTheme="minorEastAsia" w:hAnsi="Franklin Gothic Book" w:cstheme="minorBidi"/>
          <w:color w:val="auto"/>
          <w:sz w:val="22"/>
          <w:szCs w:val="22"/>
        </w:rPr>
        <w:t xml:space="preserve">or </w:t>
      </w:r>
      <w:r w:rsidR="00106198" w:rsidRPr="2F1EB167">
        <w:rPr>
          <w:rFonts w:ascii="Franklin Gothic Book" w:eastAsiaTheme="minorEastAsia" w:hAnsi="Franklin Gothic Book" w:cstheme="minorBidi"/>
          <w:color w:val="auto"/>
          <w:sz w:val="22"/>
          <w:szCs w:val="22"/>
        </w:rPr>
        <w:t xml:space="preserve">used </w:t>
      </w:r>
      <w:r w:rsidRPr="2F1EB167">
        <w:rPr>
          <w:rFonts w:ascii="Franklin Gothic Book" w:eastAsiaTheme="minorEastAsia" w:hAnsi="Franklin Gothic Book" w:cstheme="minorBidi"/>
          <w:color w:val="auto"/>
          <w:sz w:val="22"/>
          <w:szCs w:val="22"/>
        </w:rPr>
        <w:t>in conjunction with DCB or stent, are determined in real time at the time of the procedure, so it is not possible to separate these populations. MSAC confirmed that the revised clinical management algorithm and the single MBS item and descriptor (rather than the two separate populations in the original submission) accurately reflect this.</w:t>
      </w:r>
    </w:p>
    <w:p w14:paraId="7260B17B" w14:textId="2E507CE0" w:rsidR="00565C96" w:rsidRPr="00565C96" w:rsidRDefault="00565C96" w:rsidP="2F1EB167">
      <w:pPr>
        <w:pStyle w:val="Heading2"/>
        <w:numPr>
          <w:ilvl w:val="0"/>
          <w:numId w:val="0"/>
        </w:numPr>
        <w:spacing w:before="120" w:after="120"/>
        <w:rPr>
          <w:rFonts w:ascii="Franklin Gothic Book" w:eastAsiaTheme="minorEastAsia" w:hAnsi="Franklin Gothic Book" w:cstheme="minorBidi"/>
          <w:color w:val="auto"/>
          <w:sz w:val="22"/>
          <w:szCs w:val="22"/>
        </w:rPr>
      </w:pPr>
      <w:r w:rsidRPr="2F1EB167">
        <w:rPr>
          <w:rFonts w:ascii="Franklin Gothic Book" w:eastAsiaTheme="minorEastAsia" w:hAnsi="Franklin Gothic Book" w:cstheme="minorBidi"/>
          <w:color w:val="auto"/>
          <w:sz w:val="22"/>
          <w:szCs w:val="22"/>
        </w:rPr>
        <w:t xml:space="preserve">MSAC confirmed that the revised MBS item descriptor was appropriate, including specification of IVL use in lower limbs only. MSAC </w:t>
      </w:r>
      <w:r w:rsidR="000F1ABD" w:rsidRPr="2F1EB167">
        <w:rPr>
          <w:rFonts w:ascii="Franklin Gothic Book" w:eastAsiaTheme="minorEastAsia" w:hAnsi="Franklin Gothic Book" w:cstheme="minorBidi"/>
          <w:color w:val="auto"/>
          <w:sz w:val="22"/>
          <w:szCs w:val="22"/>
        </w:rPr>
        <w:t xml:space="preserve">considered </w:t>
      </w:r>
      <w:r w:rsidR="00B87A93" w:rsidRPr="2F1EB167">
        <w:rPr>
          <w:rFonts w:ascii="Franklin Gothic Book" w:eastAsiaTheme="minorEastAsia" w:hAnsi="Franklin Gothic Book" w:cstheme="minorBidi"/>
          <w:color w:val="auto"/>
          <w:sz w:val="22"/>
          <w:szCs w:val="22"/>
        </w:rPr>
        <w:t xml:space="preserve">use of the item </w:t>
      </w:r>
      <w:r w:rsidR="00C16EE5" w:rsidRPr="2F1EB167">
        <w:rPr>
          <w:rFonts w:ascii="Franklin Gothic Book" w:eastAsiaTheme="minorEastAsia" w:hAnsi="Franklin Gothic Book" w:cstheme="minorBidi"/>
          <w:color w:val="auto"/>
          <w:sz w:val="22"/>
          <w:szCs w:val="22"/>
        </w:rPr>
        <w:t xml:space="preserve">should </w:t>
      </w:r>
      <w:r w:rsidR="00B87A93" w:rsidRPr="2F1EB167">
        <w:rPr>
          <w:rFonts w:ascii="Franklin Gothic Book" w:eastAsiaTheme="minorEastAsia" w:hAnsi="Franklin Gothic Book" w:cstheme="minorBidi"/>
          <w:color w:val="auto"/>
          <w:sz w:val="22"/>
          <w:szCs w:val="22"/>
        </w:rPr>
        <w:t>be restricted to vascular surgeons or interventional radiologists trained in endovascular techniques</w:t>
      </w:r>
      <w:r w:rsidRPr="2F1EB167">
        <w:rPr>
          <w:rFonts w:ascii="Franklin Gothic Book" w:eastAsiaTheme="minorEastAsia" w:hAnsi="Franklin Gothic Book" w:cstheme="minorBidi"/>
          <w:color w:val="auto"/>
          <w:sz w:val="22"/>
          <w:szCs w:val="22"/>
        </w:rPr>
        <w:t>. MSAC also confirmed that it was appropriate to restrict use of this item number to not more than once in each 3-month period.</w:t>
      </w:r>
      <w:r w:rsidR="00904925" w:rsidRPr="2F1EB167">
        <w:rPr>
          <w:rFonts w:ascii="Franklin Gothic Book" w:eastAsiaTheme="minorEastAsia" w:hAnsi="Franklin Gothic Book" w:cstheme="minorBidi"/>
          <w:color w:val="auto"/>
          <w:sz w:val="22"/>
          <w:szCs w:val="22"/>
        </w:rPr>
        <w:t xml:space="preserve"> </w:t>
      </w:r>
      <w:r w:rsidR="008217E3">
        <w:rPr>
          <w:rFonts w:ascii="Franklin Gothic Book" w:eastAsiaTheme="minorEastAsia" w:hAnsi="Franklin Gothic Book" w:cstheme="minorBidi"/>
          <w:color w:val="auto"/>
          <w:sz w:val="22"/>
          <w:szCs w:val="22"/>
        </w:rPr>
        <w:t xml:space="preserve">The </w:t>
      </w:r>
      <w:r w:rsidR="00904925" w:rsidRPr="2F1EB167">
        <w:rPr>
          <w:rFonts w:ascii="Franklin Gothic Book" w:eastAsiaTheme="minorEastAsia" w:hAnsi="Franklin Gothic Book" w:cstheme="minorBidi"/>
          <w:color w:val="auto"/>
          <w:sz w:val="22"/>
          <w:szCs w:val="22"/>
        </w:rPr>
        <w:t xml:space="preserve">MBS </w:t>
      </w:r>
      <w:r w:rsidR="00E41B5D" w:rsidRPr="2F1EB167">
        <w:rPr>
          <w:rFonts w:ascii="Franklin Gothic Book" w:eastAsiaTheme="minorEastAsia" w:hAnsi="Franklin Gothic Book" w:cstheme="minorBidi"/>
          <w:color w:val="auto"/>
          <w:sz w:val="22"/>
          <w:szCs w:val="22"/>
        </w:rPr>
        <w:t>item descriptor</w:t>
      </w:r>
      <w:r w:rsidR="008217E3">
        <w:rPr>
          <w:rFonts w:ascii="Franklin Gothic Book" w:eastAsiaTheme="minorEastAsia" w:hAnsi="Franklin Gothic Book" w:cstheme="minorBidi"/>
          <w:color w:val="auto"/>
          <w:sz w:val="22"/>
          <w:szCs w:val="22"/>
        </w:rPr>
        <w:t xml:space="preserve"> </w:t>
      </w:r>
      <w:r w:rsidR="00476550">
        <w:rPr>
          <w:rFonts w:ascii="Franklin Gothic Book" w:eastAsiaTheme="minorEastAsia" w:hAnsi="Franklin Gothic Book" w:cstheme="minorBidi"/>
          <w:color w:val="auto"/>
          <w:sz w:val="22"/>
          <w:szCs w:val="22"/>
        </w:rPr>
        <w:t xml:space="preserve">supported by MSAC was </w:t>
      </w:r>
      <w:r w:rsidR="006625F9">
        <w:rPr>
          <w:rFonts w:ascii="Franklin Gothic Book" w:eastAsiaTheme="minorEastAsia" w:hAnsi="Franklin Gothic Book" w:cstheme="minorBidi"/>
          <w:color w:val="auto"/>
          <w:sz w:val="22"/>
          <w:szCs w:val="22"/>
        </w:rPr>
        <w:t>ratified</w:t>
      </w:r>
      <w:r w:rsidR="00E41B5D" w:rsidRPr="2F1EB167">
        <w:rPr>
          <w:rFonts w:ascii="Franklin Gothic Book" w:eastAsiaTheme="minorEastAsia" w:hAnsi="Franklin Gothic Book" w:cstheme="minorBidi"/>
          <w:color w:val="auto"/>
          <w:sz w:val="22"/>
          <w:szCs w:val="22"/>
        </w:rPr>
        <w:t xml:space="preserve"> out of session</w:t>
      </w:r>
      <w:r w:rsidR="49411DE1" w:rsidRPr="37869555">
        <w:rPr>
          <w:rFonts w:ascii="Franklin Gothic Book" w:eastAsiaTheme="minorEastAsia" w:hAnsi="Franklin Gothic Book" w:cstheme="minorBidi"/>
          <w:color w:val="auto"/>
          <w:sz w:val="22"/>
          <w:szCs w:val="22"/>
        </w:rPr>
        <w:t xml:space="preserve"> and</w:t>
      </w:r>
      <w:r w:rsidR="00886907">
        <w:rPr>
          <w:rFonts w:ascii="Franklin Gothic Book" w:eastAsiaTheme="minorEastAsia" w:hAnsi="Franklin Gothic Book" w:cstheme="minorBidi"/>
          <w:color w:val="auto"/>
          <w:sz w:val="22"/>
          <w:szCs w:val="22"/>
        </w:rPr>
        <w:t xml:space="preserve"> has been included on </w:t>
      </w:r>
      <w:r w:rsidR="006625F9">
        <w:rPr>
          <w:rFonts w:ascii="Franklin Gothic Book" w:eastAsiaTheme="minorEastAsia" w:hAnsi="Franklin Gothic Book" w:cstheme="minorBidi"/>
          <w:color w:val="auto"/>
          <w:sz w:val="22"/>
          <w:szCs w:val="22"/>
        </w:rPr>
        <w:t xml:space="preserve">page 2 of this document. </w:t>
      </w:r>
      <w:r w:rsidR="00E41B5D" w:rsidRPr="2F1EB167">
        <w:rPr>
          <w:rFonts w:ascii="Franklin Gothic Book" w:eastAsiaTheme="minorEastAsia" w:hAnsi="Franklin Gothic Book" w:cstheme="minorBidi"/>
          <w:color w:val="auto"/>
          <w:sz w:val="22"/>
          <w:szCs w:val="22"/>
        </w:rPr>
        <w:t xml:space="preserve">MSAC advised that </w:t>
      </w:r>
      <w:r w:rsidR="00B97E53" w:rsidRPr="2F1EB167">
        <w:rPr>
          <w:rFonts w:ascii="Franklin Gothic Book" w:eastAsiaTheme="minorEastAsia" w:hAnsi="Franklin Gothic Book" w:cstheme="minorBidi"/>
          <w:color w:val="auto"/>
          <w:sz w:val="22"/>
          <w:szCs w:val="22"/>
        </w:rPr>
        <w:t>the item descriptor should enable</w:t>
      </w:r>
      <w:r w:rsidR="00817DAF" w:rsidRPr="2F1EB167">
        <w:rPr>
          <w:rFonts w:ascii="Franklin Gothic Book" w:eastAsiaTheme="minorEastAsia" w:hAnsi="Franklin Gothic Book" w:cstheme="minorBidi"/>
          <w:color w:val="auto"/>
          <w:sz w:val="22"/>
          <w:szCs w:val="22"/>
        </w:rPr>
        <w:t xml:space="preserve"> the</w:t>
      </w:r>
      <w:r w:rsidR="00B97E53" w:rsidRPr="2F1EB167">
        <w:rPr>
          <w:rFonts w:ascii="Franklin Gothic Book" w:eastAsiaTheme="minorEastAsia" w:hAnsi="Franklin Gothic Book" w:cstheme="minorBidi"/>
          <w:color w:val="auto"/>
          <w:sz w:val="22"/>
          <w:szCs w:val="22"/>
        </w:rPr>
        <w:t xml:space="preserve"> use of IVL </w:t>
      </w:r>
      <w:r w:rsidR="00BC7EF0" w:rsidRPr="2F1EB167">
        <w:rPr>
          <w:rFonts w:ascii="Franklin Gothic Book" w:eastAsiaTheme="minorEastAsia" w:hAnsi="Franklin Gothic Book" w:cstheme="minorBidi"/>
          <w:color w:val="auto"/>
          <w:sz w:val="22"/>
          <w:szCs w:val="22"/>
        </w:rPr>
        <w:t>in patients with moderate</w:t>
      </w:r>
      <w:r w:rsidR="00FD77E2" w:rsidRPr="2F1EB167">
        <w:rPr>
          <w:rFonts w:ascii="Franklin Gothic Book" w:eastAsiaTheme="minorEastAsia" w:hAnsi="Franklin Gothic Book" w:cstheme="minorBidi"/>
          <w:color w:val="auto"/>
          <w:sz w:val="22"/>
          <w:szCs w:val="22"/>
        </w:rPr>
        <w:t>ly</w:t>
      </w:r>
      <w:r w:rsidR="00BC7EF0" w:rsidRPr="2F1EB167">
        <w:rPr>
          <w:rFonts w:ascii="Franklin Gothic Book" w:eastAsiaTheme="minorEastAsia" w:hAnsi="Franklin Gothic Book" w:cstheme="minorBidi"/>
          <w:color w:val="auto"/>
          <w:sz w:val="22"/>
          <w:szCs w:val="22"/>
        </w:rPr>
        <w:t xml:space="preserve"> </w:t>
      </w:r>
      <w:r w:rsidR="00FD77E2" w:rsidRPr="2F1EB167">
        <w:rPr>
          <w:rFonts w:ascii="Franklin Gothic Book" w:eastAsiaTheme="minorEastAsia" w:hAnsi="Franklin Gothic Book" w:cstheme="minorBidi"/>
          <w:color w:val="auto"/>
          <w:sz w:val="22"/>
          <w:szCs w:val="22"/>
        </w:rPr>
        <w:t>or</w:t>
      </w:r>
      <w:r w:rsidR="00BC7EF0" w:rsidRPr="2F1EB167">
        <w:rPr>
          <w:rFonts w:ascii="Franklin Gothic Book" w:eastAsiaTheme="minorEastAsia" w:hAnsi="Franklin Gothic Book" w:cstheme="minorBidi"/>
          <w:color w:val="auto"/>
          <w:sz w:val="22"/>
          <w:szCs w:val="22"/>
        </w:rPr>
        <w:t xml:space="preserve"> </w:t>
      </w:r>
      <w:r w:rsidR="00CB417D" w:rsidRPr="2F1EB167">
        <w:rPr>
          <w:rFonts w:ascii="Franklin Gothic Book" w:eastAsiaTheme="minorEastAsia" w:hAnsi="Franklin Gothic Book" w:cstheme="minorBidi"/>
          <w:color w:val="auto"/>
          <w:sz w:val="22"/>
          <w:szCs w:val="22"/>
        </w:rPr>
        <w:t>severely calcified</w:t>
      </w:r>
      <w:r w:rsidR="00BC7EF0" w:rsidRPr="2F1EB167">
        <w:rPr>
          <w:rFonts w:ascii="Franklin Gothic Book" w:eastAsiaTheme="minorEastAsia" w:hAnsi="Franklin Gothic Book" w:cstheme="minorBidi"/>
          <w:color w:val="auto"/>
          <w:sz w:val="22"/>
          <w:szCs w:val="22"/>
        </w:rPr>
        <w:t xml:space="preserve"> PAD, either as a standalone procedure or as a vessel preparation strategy</w:t>
      </w:r>
      <w:r w:rsidR="007C6991" w:rsidRPr="2F1EB167">
        <w:rPr>
          <w:rFonts w:ascii="Franklin Gothic Book" w:eastAsiaTheme="minorEastAsia" w:hAnsi="Franklin Gothic Book" w:cstheme="minorBidi"/>
          <w:color w:val="auto"/>
          <w:sz w:val="22"/>
          <w:szCs w:val="22"/>
        </w:rPr>
        <w:t xml:space="preserve"> prior to </w:t>
      </w:r>
      <w:r w:rsidR="003B5D46" w:rsidRPr="2F1EB167">
        <w:rPr>
          <w:rFonts w:ascii="Franklin Gothic Book" w:eastAsiaTheme="minorEastAsia" w:hAnsi="Franklin Gothic Book" w:cstheme="minorBidi"/>
          <w:color w:val="auto"/>
          <w:sz w:val="22"/>
          <w:szCs w:val="22"/>
        </w:rPr>
        <w:t xml:space="preserve">treatment with DCB and/or stent insertion. </w:t>
      </w:r>
      <w:r w:rsidR="00A4601A" w:rsidRPr="2F1EB167">
        <w:rPr>
          <w:rFonts w:ascii="Franklin Gothic Book" w:eastAsiaTheme="minorEastAsia" w:hAnsi="Franklin Gothic Book" w:cstheme="minorBidi"/>
          <w:color w:val="auto"/>
          <w:sz w:val="22"/>
          <w:szCs w:val="22"/>
        </w:rPr>
        <w:t xml:space="preserve">However, </w:t>
      </w:r>
      <w:r w:rsidR="003A7722" w:rsidRPr="2F1EB167">
        <w:rPr>
          <w:rFonts w:ascii="Franklin Gothic Book" w:eastAsiaTheme="minorEastAsia" w:hAnsi="Franklin Gothic Book" w:cstheme="minorBidi"/>
          <w:color w:val="auto"/>
          <w:sz w:val="22"/>
          <w:szCs w:val="22"/>
        </w:rPr>
        <w:t xml:space="preserve">MSAC advised that </w:t>
      </w:r>
      <w:r w:rsidR="00A4601A" w:rsidRPr="2F1EB167">
        <w:rPr>
          <w:rFonts w:ascii="Franklin Gothic Book" w:eastAsiaTheme="minorEastAsia" w:hAnsi="Franklin Gothic Book" w:cstheme="minorBidi"/>
          <w:color w:val="auto"/>
          <w:sz w:val="22"/>
          <w:szCs w:val="22"/>
        </w:rPr>
        <w:t xml:space="preserve">co-claiming of IVL with </w:t>
      </w:r>
      <w:r w:rsidR="005902F4" w:rsidRPr="2F1EB167">
        <w:rPr>
          <w:rFonts w:ascii="Franklin Gothic Book" w:eastAsiaTheme="minorEastAsia" w:hAnsi="Franklin Gothic Book" w:cstheme="minorBidi"/>
          <w:color w:val="auto"/>
          <w:sz w:val="22"/>
          <w:szCs w:val="22"/>
        </w:rPr>
        <w:t xml:space="preserve">other MBS </w:t>
      </w:r>
      <w:r w:rsidR="00637BFE" w:rsidRPr="2F1EB167">
        <w:rPr>
          <w:rFonts w:ascii="Franklin Gothic Book" w:eastAsiaTheme="minorEastAsia" w:hAnsi="Franklin Gothic Book" w:cstheme="minorBidi"/>
          <w:color w:val="auto"/>
          <w:sz w:val="22"/>
          <w:szCs w:val="22"/>
        </w:rPr>
        <w:t>item</w:t>
      </w:r>
      <w:r w:rsidR="00583D6E" w:rsidRPr="2F1EB167">
        <w:rPr>
          <w:rFonts w:ascii="Franklin Gothic Book" w:eastAsiaTheme="minorEastAsia" w:hAnsi="Franklin Gothic Book" w:cstheme="minorBidi"/>
          <w:color w:val="auto"/>
          <w:sz w:val="22"/>
          <w:szCs w:val="22"/>
        </w:rPr>
        <w:t>s for DCB and/or stent insertion should not occur</w:t>
      </w:r>
      <w:r w:rsidR="00354FF5" w:rsidRPr="2F1EB167">
        <w:rPr>
          <w:rFonts w:ascii="Franklin Gothic Book" w:eastAsiaTheme="minorEastAsia" w:hAnsi="Franklin Gothic Book" w:cstheme="minorBidi"/>
          <w:color w:val="auto"/>
          <w:sz w:val="22"/>
          <w:szCs w:val="22"/>
        </w:rPr>
        <w:t>.</w:t>
      </w:r>
      <w:r w:rsidR="00025C1E" w:rsidRPr="2F1EB167">
        <w:rPr>
          <w:rFonts w:ascii="Franklin Gothic Book" w:eastAsiaTheme="minorEastAsia" w:hAnsi="Franklin Gothic Book" w:cstheme="minorBidi"/>
          <w:color w:val="auto"/>
          <w:sz w:val="22"/>
          <w:szCs w:val="22"/>
        </w:rPr>
        <w:t xml:space="preserve"> </w:t>
      </w:r>
      <w:r w:rsidR="005464A3" w:rsidRPr="2F1EB167">
        <w:rPr>
          <w:rFonts w:ascii="Franklin Gothic Book" w:eastAsiaTheme="minorEastAsia" w:hAnsi="Franklin Gothic Book" w:cstheme="minorBidi"/>
          <w:color w:val="auto"/>
          <w:sz w:val="22"/>
          <w:szCs w:val="22"/>
        </w:rPr>
        <w:t xml:space="preserve">MSAC advised that the intent of the IVL item is to cover the </w:t>
      </w:r>
      <w:r w:rsidR="00585B59" w:rsidRPr="2F1EB167">
        <w:rPr>
          <w:rFonts w:ascii="Franklin Gothic Book" w:eastAsiaTheme="minorEastAsia" w:hAnsi="Franklin Gothic Book" w:cstheme="minorBidi"/>
          <w:color w:val="auto"/>
          <w:sz w:val="22"/>
          <w:szCs w:val="22"/>
        </w:rPr>
        <w:t>costs</w:t>
      </w:r>
      <w:r w:rsidR="00CE7570" w:rsidRPr="2F1EB167">
        <w:rPr>
          <w:rFonts w:ascii="Franklin Gothic Book" w:eastAsiaTheme="minorEastAsia" w:hAnsi="Franklin Gothic Book" w:cstheme="minorBidi"/>
          <w:color w:val="auto"/>
          <w:sz w:val="22"/>
          <w:szCs w:val="22"/>
        </w:rPr>
        <w:t xml:space="preserve"> </w:t>
      </w:r>
      <w:r w:rsidR="00631CBB" w:rsidRPr="2F1EB167">
        <w:rPr>
          <w:rFonts w:ascii="Franklin Gothic Book" w:eastAsiaTheme="minorEastAsia" w:hAnsi="Franklin Gothic Book" w:cstheme="minorBidi"/>
          <w:color w:val="auto"/>
          <w:sz w:val="22"/>
          <w:szCs w:val="22"/>
        </w:rPr>
        <w:t xml:space="preserve">of the IVL procedure, </w:t>
      </w:r>
      <w:r w:rsidR="001536A4" w:rsidRPr="2F1EB167">
        <w:rPr>
          <w:rFonts w:ascii="Franklin Gothic Book" w:eastAsiaTheme="minorEastAsia" w:hAnsi="Franklin Gothic Book" w:cstheme="minorBidi"/>
          <w:color w:val="auto"/>
          <w:sz w:val="22"/>
          <w:szCs w:val="22"/>
        </w:rPr>
        <w:t xml:space="preserve">including </w:t>
      </w:r>
      <w:r w:rsidR="001A5F65" w:rsidRPr="2F1EB167">
        <w:rPr>
          <w:rFonts w:ascii="Franklin Gothic Book" w:eastAsiaTheme="minorEastAsia" w:hAnsi="Franklin Gothic Book" w:cstheme="minorBidi"/>
          <w:color w:val="auto"/>
          <w:sz w:val="22"/>
          <w:szCs w:val="22"/>
        </w:rPr>
        <w:t>DCB and/or stent insertion</w:t>
      </w:r>
      <w:r w:rsidR="00953E46" w:rsidRPr="2F1EB167">
        <w:rPr>
          <w:rFonts w:ascii="Franklin Gothic Book" w:eastAsiaTheme="minorEastAsia" w:hAnsi="Franklin Gothic Book" w:cstheme="minorBidi"/>
          <w:color w:val="auto"/>
          <w:sz w:val="22"/>
          <w:szCs w:val="22"/>
        </w:rPr>
        <w:t xml:space="preserve">, </w:t>
      </w:r>
      <w:r w:rsidR="00A10944" w:rsidRPr="2F1EB167">
        <w:rPr>
          <w:rFonts w:ascii="Franklin Gothic Book" w:eastAsiaTheme="minorEastAsia" w:hAnsi="Franklin Gothic Book" w:cstheme="minorBidi"/>
          <w:color w:val="auto"/>
          <w:sz w:val="22"/>
          <w:szCs w:val="22"/>
        </w:rPr>
        <w:t>should</w:t>
      </w:r>
      <w:r w:rsidR="00953E46" w:rsidRPr="2F1EB167">
        <w:rPr>
          <w:rFonts w:ascii="Franklin Gothic Book" w:eastAsiaTheme="minorEastAsia" w:hAnsi="Franklin Gothic Book" w:cstheme="minorBidi"/>
          <w:color w:val="auto"/>
          <w:sz w:val="22"/>
          <w:szCs w:val="22"/>
        </w:rPr>
        <w:t xml:space="preserve"> these take place</w:t>
      </w:r>
      <w:r w:rsidR="001F2002" w:rsidRPr="2F1EB167">
        <w:rPr>
          <w:rFonts w:ascii="Franklin Gothic Book" w:eastAsiaTheme="minorEastAsia" w:hAnsi="Franklin Gothic Book" w:cstheme="minorBidi"/>
          <w:color w:val="auto"/>
          <w:sz w:val="22"/>
          <w:szCs w:val="22"/>
        </w:rPr>
        <w:t xml:space="preserve"> and allow patients to receive</w:t>
      </w:r>
      <w:r w:rsidR="00027718" w:rsidRPr="2F1EB167">
        <w:rPr>
          <w:rFonts w:ascii="Franklin Gothic Book" w:eastAsiaTheme="minorEastAsia" w:hAnsi="Franklin Gothic Book" w:cstheme="minorBidi"/>
          <w:color w:val="auto"/>
          <w:sz w:val="22"/>
          <w:szCs w:val="22"/>
        </w:rPr>
        <w:t xml:space="preserve"> benefits </w:t>
      </w:r>
      <w:r w:rsidR="00EB20CD" w:rsidRPr="2F1EB167">
        <w:rPr>
          <w:rFonts w:ascii="Franklin Gothic Book" w:eastAsiaTheme="minorEastAsia" w:hAnsi="Franklin Gothic Book" w:cstheme="minorBidi"/>
          <w:color w:val="auto"/>
          <w:sz w:val="22"/>
          <w:szCs w:val="22"/>
        </w:rPr>
        <w:t xml:space="preserve">for </w:t>
      </w:r>
      <w:r w:rsidR="00E859FA" w:rsidRPr="2F1EB167">
        <w:rPr>
          <w:rFonts w:ascii="Franklin Gothic Book" w:eastAsiaTheme="minorEastAsia" w:hAnsi="Franklin Gothic Book" w:cstheme="minorBidi"/>
          <w:color w:val="auto"/>
          <w:sz w:val="22"/>
          <w:szCs w:val="22"/>
        </w:rPr>
        <w:t xml:space="preserve">relevant </w:t>
      </w:r>
      <w:r w:rsidR="00EB20CD" w:rsidRPr="2F1EB167">
        <w:rPr>
          <w:rFonts w:ascii="Franklin Gothic Book" w:eastAsiaTheme="minorEastAsia" w:hAnsi="Franklin Gothic Book" w:cstheme="minorBidi"/>
          <w:color w:val="auto"/>
          <w:sz w:val="22"/>
          <w:szCs w:val="22"/>
        </w:rPr>
        <w:t>medical</w:t>
      </w:r>
      <w:r w:rsidR="00027718" w:rsidRPr="2F1EB167">
        <w:rPr>
          <w:rFonts w:ascii="Franklin Gothic Book" w:eastAsiaTheme="minorEastAsia" w:hAnsi="Franklin Gothic Book" w:cstheme="minorBidi"/>
          <w:color w:val="auto"/>
          <w:sz w:val="22"/>
          <w:szCs w:val="22"/>
        </w:rPr>
        <w:t xml:space="preserve"> devices if they are included on the Prescribed List</w:t>
      </w:r>
      <w:r w:rsidR="000E7BE3">
        <w:rPr>
          <w:rFonts w:ascii="Franklin Gothic Book" w:eastAsiaTheme="minorEastAsia" w:hAnsi="Franklin Gothic Book" w:cstheme="minorBidi"/>
          <w:color w:val="auto"/>
          <w:sz w:val="22"/>
          <w:szCs w:val="22"/>
        </w:rPr>
        <w:t xml:space="preserve"> </w:t>
      </w:r>
      <w:r w:rsidR="000E7BE3" w:rsidRPr="000E7BE3">
        <w:rPr>
          <w:rFonts w:ascii="Franklin Gothic Book" w:eastAsiaTheme="minorEastAsia" w:hAnsi="Franklin Gothic Book" w:cstheme="minorBidi"/>
          <w:color w:val="auto"/>
          <w:sz w:val="22"/>
          <w:szCs w:val="22"/>
        </w:rPr>
        <w:t>of Medical Devices and Human Tissue Products</w:t>
      </w:r>
      <w:r w:rsidR="007D6966" w:rsidRPr="2F1EB167">
        <w:rPr>
          <w:rFonts w:ascii="Franklin Gothic Book" w:eastAsiaTheme="minorEastAsia" w:hAnsi="Franklin Gothic Book" w:cstheme="minorBidi"/>
          <w:color w:val="auto"/>
          <w:sz w:val="22"/>
          <w:szCs w:val="22"/>
        </w:rPr>
        <w:t xml:space="preserve"> (PL)</w:t>
      </w:r>
      <w:r w:rsidR="001A5F65" w:rsidRPr="2F1EB167">
        <w:rPr>
          <w:rFonts w:ascii="Franklin Gothic Book" w:eastAsiaTheme="minorEastAsia" w:hAnsi="Franklin Gothic Book" w:cstheme="minorBidi"/>
          <w:color w:val="auto"/>
          <w:sz w:val="22"/>
          <w:szCs w:val="22"/>
        </w:rPr>
        <w:t>.</w:t>
      </w:r>
      <w:r w:rsidR="00010421" w:rsidRPr="2F1EB167">
        <w:rPr>
          <w:rFonts w:ascii="Franklin Gothic Book" w:eastAsiaTheme="minorEastAsia" w:hAnsi="Franklin Gothic Book" w:cstheme="minorBidi"/>
          <w:color w:val="auto"/>
          <w:sz w:val="22"/>
          <w:szCs w:val="22"/>
        </w:rPr>
        <w:t xml:space="preserve"> MSAC advised the </w:t>
      </w:r>
      <w:r w:rsidR="00C21E60" w:rsidRPr="2F1EB167">
        <w:rPr>
          <w:rFonts w:ascii="Franklin Gothic Book" w:eastAsiaTheme="minorEastAsia" w:hAnsi="Franklin Gothic Book" w:cstheme="minorBidi"/>
          <w:color w:val="auto"/>
          <w:sz w:val="22"/>
          <w:szCs w:val="22"/>
        </w:rPr>
        <w:t xml:space="preserve">funding arrangements should </w:t>
      </w:r>
      <w:r w:rsidR="002A18CD" w:rsidRPr="2F1EB167">
        <w:rPr>
          <w:rFonts w:ascii="Franklin Gothic Book" w:eastAsiaTheme="minorEastAsia" w:hAnsi="Franklin Gothic Book" w:cstheme="minorBidi"/>
          <w:color w:val="auto"/>
          <w:sz w:val="22"/>
          <w:szCs w:val="22"/>
        </w:rPr>
        <w:t xml:space="preserve">not incentivise IVL and </w:t>
      </w:r>
      <w:r w:rsidR="00E5182E" w:rsidRPr="2F1EB167">
        <w:rPr>
          <w:rFonts w:ascii="Franklin Gothic Book" w:eastAsiaTheme="minorEastAsia" w:hAnsi="Franklin Gothic Book" w:cstheme="minorBidi"/>
          <w:color w:val="auto"/>
          <w:sz w:val="22"/>
          <w:szCs w:val="22"/>
        </w:rPr>
        <w:t>associated DCB or stenting to be performed</w:t>
      </w:r>
      <w:r w:rsidR="00210FE9" w:rsidRPr="2F1EB167">
        <w:rPr>
          <w:rFonts w:ascii="Franklin Gothic Book" w:eastAsiaTheme="minorEastAsia" w:hAnsi="Franklin Gothic Book" w:cstheme="minorBidi"/>
          <w:color w:val="auto"/>
          <w:sz w:val="22"/>
          <w:szCs w:val="22"/>
        </w:rPr>
        <w:t xml:space="preserve"> as separate procedures.</w:t>
      </w:r>
      <w:r w:rsidR="00953E46" w:rsidRPr="2F1EB167">
        <w:rPr>
          <w:rFonts w:ascii="Franklin Gothic Book" w:eastAsiaTheme="minorEastAsia" w:hAnsi="Franklin Gothic Book" w:cstheme="minorBidi"/>
          <w:color w:val="auto"/>
          <w:sz w:val="22"/>
          <w:szCs w:val="22"/>
        </w:rPr>
        <w:t xml:space="preserve"> </w:t>
      </w:r>
    </w:p>
    <w:p w14:paraId="0285AC88" w14:textId="39C064EF" w:rsidR="00565C96" w:rsidRPr="00565C96" w:rsidRDefault="00565C96" w:rsidP="2F1EB167">
      <w:pPr>
        <w:pStyle w:val="Heading2"/>
        <w:numPr>
          <w:ilvl w:val="0"/>
          <w:numId w:val="0"/>
        </w:numPr>
        <w:spacing w:before="120" w:after="120"/>
        <w:rPr>
          <w:rFonts w:ascii="Franklin Gothic Book" w:eastAsiaTheme="minorEastAsia" w:hAnsi="Franklin Gothic Book" w:cstheme="minorBidi"/>
          <w:color w:val="auto"/>
          <w:sz w:val="22"/>
          <w:szCs w:val="22"/>
        </w:rPr>
      </w:pPr>
      <w:r w:rsidRPr="2F1EB167">
        <w:rPr>
          <w:rFonts w:ascii="Franklin Gothic Book" w:eastAsiaTheme="minorEastAsia" w:hAnsi="Franklin Gothic Book" w:cstheme="minorBidi"/>
          <w:color w:val="auto"/>
          <w:sz w:val="22"/>
          <w:szCs w:val="22"/>
        </w:rPr>
        <w:t xml:space="preserve">MSAC confirmed that clinical data show likely superior procedural effectiveness and non-inferior safety for IVL compared with SBA, at least in the medium term. Alternatives to IVL may be less safe and require reintervention in a proportion of cases, </w:t>
      </w:r>
      <w:r w:rsidR="00956913" w:rsidRPr="2F1EB167">
        <w:rPr>
          <w:rFonts w:ascii="Franklin Gothic Book" w:eastAsiaTheme="minorEastAsia" w:hAnsi="Franklin Gothic Book" w:cstheme="minorBidi"/>
          <w:color w:val="auto"/>
          <w:sz w:val="22"/>
          <w:szCs w:val="22"/>
        </w:rPr>
        <w:t>which can lead</w:t>
      </w:r>
      <w:r w:rsidRPr="2F1EB167">
        <w:rPr>
          <w:rFonts w:ascii="Franklin Gothic Book" w:eastAsiaTheme="minorEastAsia" w:hAnsi="Franklin Gothic Book" w:cstheme="minorBidi"/>
          <w:color w:val="auto"/>
          <w:sz w:val="22"/>
          <w:szCs w:val="22"/>
        </w:rPr>
        <w:t xml:space="preserve"> to stent use </w:t>
      </w:r>
      <w:r w:rsidR="00956913" w:rsidRPr="2F1EB167">
        <w:rPr>
          <w:rFonts w:ascii="Franklin Gothic Book" w:eastAsiaTheme="minorEastAsia" w:hAnsi="Franklin Gothic Book" w:cstheme="minorBidi"/>
          <w:color w:val="auto"/>
          <w:sz w:val="22"/>
          <w:szCs w:val="22"/>
        </w:rPr>
        <w:t>to manage</w:t>
      </w:r>
      <w:r w:rsidRPr="2F1EB167">
        <w:rPr>
          <w:rFonts w:ascii="Franklin Gothic Book" w:eastAsiaTheme="minorEastAsia" w:hAnsi="Franklin Gothic Book" w:cstheme="minorBidi"/>
          <w:color w:val="auto"/>
          <w:sz w:val="22"/>
          <w:szCs w:val="22"/>
        </w:rPr>
        <w:t xml:space="preserve"> cases of vessel dissection or perforation.</w:t>
      </w:r>
    </w:p>
    <w:p w14:paraId="5D387FCC" w14:textId="279E35F4" w:rsidR="00565C96" w:rsidRPr="00565C96" w:rsidRDefault="00565C96" w:rsidP="2F1EB167">
      <w:pPr>
        <w:pStyle w:val="Heading2"/>
        <w:numPr>
          <w:ilvl w:val="0"/>
          <w:numId w:val="0"/>
        </w:numPr>
        <w:spacing w:before="120" w:after="120"/>
        <w:rPr>
          <w:rFonts w:ascii="Franklin Gothic Book" w:eastAsiaTheme="minorEastAsia" w:hAnsi="Franklin Gothic Book" w:cstheme="minorBidi"/>
          <w:color w:val="auto"/>
          <w:sz w:val="22"/>
          <w:szCs w:val="22"/>
        </w:rPr>
      </w:pPr>
      <w:r w:rsidRPr="2F1EB167">
        <w:rPr>
          <w:rFonts w:ascii="Franklin Gothic Book" w:eastAsiaTheme="minorEastAsia" w:hAnsi="Franklin Gothic Book" w:cstheme="minorBidi"/>
          <w:color w:val="auto"/>
          <w:sz w:val="22"/>
          <w:szCs w:val="22"/>
        </w:rPr>
        <w:t>MSAC noted that guidelines from the UK National Institute for Health and Care Excellence (NICE) on IVL had been published in January 2024. The NICE guidelines specify that, due to limited data on outcomes, IVL for calcified arteries in PAD should only be used with ‘special arrangements’</w:t>
      </w:r>
      <w:r w:rsidR="00592159" w:rsidRPr="2F1EB167">
        <w:rPr>
          <w:rFonts w:ascii="Franklin Gothic Book" w:eastAsiaTheme="minorEastAsia" w:hAnsi="Franklin Gothic Book" w:cstheme="minorBidi"/>
          <w:color w:val="auto"/>
          <w:sz w:val="22"/>
          <w:szCs w:val="22"/>
        </w:rPr>
        <w:t xml:space="preserve"> (as opposed to ‘standard </w:t>
      </w:r>
      <w:r w:rsidR="004A08DA" w:rsidRPr="2F1EB167">
        <w:rPr>
          <w:rFonts w:ascii="Franklin Gothic Book" w:eastAsiaTheme="minorEastAsia" w:hAnsi="Franklin Gothic Book" w:cstheme="minorBidi"/>
          <w:color w:val="auto"/>
          <w:sz w:val="22"/>
          <w:szCs w:val="22"/>
        </w:rPr>
        <w:t>arrangements’, ‘use</w:t>
      </w:r>
      <w:r w:rsidR="00592159" w:rsidRPr="2F1EB167">
        <w:rPr>
          <w:rFonts w:ascii="Franklin Gothic Book" w:eastAsiaTheme="minorEastAsia" w:hAnsi="Franklin Gothic Book" w:cstheme="minorBidi"/>
          <w:color w:val="auto"/>
          <w:sz w:val="22"/>
          <w:szCs w:val="22"/>
        </w:rPr>
        <w:t xml:space="preserve"> only in research’, or ‘do not use’) for clinical governance, consent, and audit or research. </w:t>
      </w:r>
      <w:r w:rsidRPr="2F1EB167">
        <w:rPr>
          <w:rFonts w:ascii="Franklin Gothic Book" w:eastAsiaTheme="minorEastAsia" w:hAnsi="Franklin Gothic Book" w:cstheme="minorBidi"/>
          <w:color w:val="auto"/>
          <w:sz w:val="22"/>
          <w:szCs w:val="22"/>
        </w:rPr>
        <w:t xml:space="preserve">MSAC considered that the </w:t>
      </w:r>
      <w:r w:rsidR="00592159" w:rsidRPr="2F1EB167">
        <w:rPr>
          <w:rFonts w:ascii="Franklin Gothic Book" w:eastAsiaTheme="minorEastAsia" w:hAnsi="Franklin Gothic Book" w:cstheme="minorBidi"/>
          <w:color w:val="auto"/>
          <w:sz w:val="22"/>
          <w:szCs w:val="22"/>
        </w:rPr>
        <w:t>‘</w:t>
      </w:r>
      <w:r w:rsidRPr="2F1EB167">
        <w:rPr>
          <w:rFonts w:ascii="Franklin Gothic Book" w:eastAsiaTheme="minorEastAsia" w:hAnsi="Franklin Gothic Book" w:cstheme="minorBidi"/>
          <w:color w:val="auto"/>
          <w:sz w:val="22"/>
          <w:szCs w:val="22"/>
        </w:rPr>
        <w:t>special arrangements</w:t>
      </w:r>
      <w:r w:rsidR="00592159" w:rsidRPr="2F1EB167">
        <w:rPr>
          <w:rFonts w:ascii="Franklin Gothic Book" w:eastAsiaTheme="minorEastAsia" w:hAnsi="Franklin Gothic Book" w:cstheme="minorBidi"/>
          <w:color w:val="auto"/>
          <w:sz w:val="22"/>
          <w:szCs w:val="22"/>
        </w:rPr>
        <w:t>’</w:t>
      </w:r>
      <w:r w:rsidRPr="2F1EB167">
        <w:rPr>
          <w:rFonts w:ascii="Franklin Gothic Book" w:eastAsiaTheme="minorEastAsia" w:hAnsi="Franklin Gothic Book" w:cstheme="minorBidi"/>
          <w:color w:val="auto"/>
          <w:sz w:val="22"/>
          <w:szCs w:val="22"/>
        </w:rPr>
        <w:t xml:space="preserve"> specified in the NICE guidelines reflected standard practice</w:t>
      </w:r>
      <w:r w:rsidR="00C764D2" w:rsidRPr="2F1EB167">
        <w:rPr>
          <w:rFonts w:ascii="Franklin Gothic Book" w:eastAsiaTheme="minorEastAsia" w:hAnsi="Franklin Gothic Book" w:cstheme="minorBidi"/>
          <w:color w:val="auto"/>
          <w:sz w:val="22"/>
          <w:szCs w:val="22"/>
        </w:rPr>
        <w:t xml:space="preserve"> and </w:t>
      </w:r>
      <w:r w:rsidR="004A08DA" w:rsidRPr="2F1EB167">
        <w:rPr>
          <w:rFonts w:ascii="Franklin Gothic Book" w:eastAsiaTheme="minorEastAsia" w:hAnsi="Franklin Gothic Book" w:cstheme="minorBidi"/>
          <w:color w:val="auto"/>
          <w:sz w:val="22"/>
          <w:szCs w:val="22"/>
        </w:rPr>
        <w:t xml:space="preserve">clinical </w:t>
      </w:r>
      <w:r w:rsidR="00C764D2" w:rsidRPr="2F1EB167">
        <w:rPr>
          <w:rFonts w:ascii="Franklin Gothic Book" w:eastAsiaTheme="minorEastAsia" w:hAnsi="Franklin Gothic Book" w:cstheme="minorBidi"/>
          <w:color w:val="auto"/>
          <w:sz w:val="22"/>
          <w:szCs w:val="22"/>
        </w:rPr>
        <w:t>governance</w:t>
      </w:r>
      <w:r w:rsidRPr="2F1EB167">
        <w:rPr>
          <w:rFonts w:ascii="Franklin Gothic Book" w:eastAsiaTheme="minorEastAsia" w:hAnsi="Franklin Gothic Book" w:cstheme="minorBidi"/>
          <w:color w:val="auto"/>
          <w:sz w:val="22"/>
          <w:szCs w:val="22"/>
        </w:rPr>
        <w:t xml:space="preserve"> in Australian healthcare organisations</w:t>
      </w:r>
      <w:r w:rsidR="00B94865" w:rsidRPr="2F1EB167">
        <w:rPr>
          <w:rFonts w:ascii="Franklin Gothic Book" w:eastAsiaTheme="minorEastAsia" w:hAnsi="Franklin Gothic Book" w:cstheme="minorBidi"/>
          <w:color w:val="auto"/>
          <w:sz w:val="22"/>
          <w:szCs w:val="22"/>
        </w:rPr>
        <w:t>.</w:t>
      </w:r>
    </w:p>
    <w:p w14:paraId="04E93383" w14:textId="3F7B1D82" w:rsidR="008927D2" w:rsidRDefault="009547D3" w:rsidP="2F1EB167">
      <w:pPr>
        <w:pStyle w:val="Heading2"/>
        <w:numPr>
          <w:ilvl w:val="0"/>
          <w:numId w:val="0"/>
        </w:numPr>
        <w:spacing w:before="120" w:after="120"/>
        <w:rPr>
          <w:rFonts w:ascii="Franklin Gothic Book" w:eastAsiaTheme="minorEastAsia" w:hAnsi="Franklin Gothic Book" w:cstheme="minorBidi"/>
          <w:color w:val="auto"/>
          <w:sz w:val="22"/>
          <w:szCs w:val="22"/>
        </w:rPr>
      </w:pPr>
      <w:bookmarkStart w:id="2" w:name="_Toc69491416"/>
      <w:bookmarkEnd w:id="1"/>
      <w:r w:rsidRPr="2F1EB167">
        <w:rPr>
          <w:rFonts w:ascii="Franklin Gothic Book" w:eastAsiaTheme="minorEastAsia" w:hAnsi="Franklin Gothic Book" w:cstheme="minorBidi"/>
          <w:color w:val="auto"/>
          <w:sz w:val="22"/>
          <w:szCs w:val="22"/>
        </w:rPr>
        <w:t>MSAC noted the cost-consequence analysis</w:t>
      </w:r>
      <w:r w:rsidR="00357067" w:rsidRPr="2F1EB167">
        <w:rPr>
          <w:rFonts w:ascii="Franklin Gothic Book" w:eastAsiaTheme="minorEastAsia" w:hAnsi="Franklin Gothic Book" w:cstheme="minorBidi"/>
          <w:color w:val="auto"/>
          <w:sz w:val="22"/>
          <w:szCs w:val="22"/>
        </w:rPr>
        <w:t xml:space="preserve"> alternative base case</w:t>
      </w:r>
      <w:r w:rsidRPr="2F1EB167">
        <w:rPr>
          <w:rFonts w:ascii="Franklin Gothic Book" w:eastAsiaTheme="minorEastAsia" w:hAnsi="Franklin Gothic Book" w:cstheme="minorBidi"/>
          <w:color w:val="auto"/>
          <w:sz w:val="22"/>
          <w:szCs w:val="22"/>
        </w:rPr>
        <w:t xml:space="preserve"> </w:t>
      </w:r>
      <w:r w:rsidR="001D08FC" w:rsidRPr="2F1EB167">
        <w:rPr>
          <w:rFonts w:ascii="Franklin Gothic Book" w:eastAsiaTheme="minorEastAsia" w:hAnsi="Franklin Gothic Book" w:cstheme="minorBidi"/>
          <w:color w:val="auto"/>
          <w:sz w:val="22"/>
          <w:szCs w:val="22"/>
        </w:rPr>
        <w:t xml:space="preserve">developed for the commentary was </w:t>
      </w:r>
      <w:r w:rsidR="00A96899" w:rsidRPr="2F1EB167">
        <w:rPr>
          <w:rFonts w:ascii="Franklin Gothic Book" w:eastAsiaTheme="minorEastAsia" w:hAnsi="Franklin Gothic Book" w:cstheme="minorBidi"/>
          <w:color w:val="auto"/>
          <w:sz w:val="22"/>
          <w:szCs w:val="22"/>
        </w:rPr>
        <w:t>revised by</w:t>
      </w:r>
      <w:r w:rsidR="001D08FC" w:rsidRPr="2F1EB167">
        <w:rPr>
          <w:rFonts w:ascii="Franklin Gothic Book" w:eastAsiaTheme="minorEastAsia" w:hAnsi="Franklin Gothic Book" w:cstheme="minorBidi"/>
          <w:color w:val="auto"/>
          <w:sz w:val="22"/>
          <w:szCs w:val="22"/>
        </w:rPr>
        <w:t xml:space="preserve"> ESC</w:t>
      </w:r>
      <w:r w:rsidR="00A96899" w:rsidRPr="2F1EB167">
        <w:rPr>
          <w:rFonts w:ascii="Franklin Gothic Book" w:eastAsiaTheme="minorEastAsia" w:hAnsi="Franklin Gothic Book" w:cstheme="minorBidi"/>
          <w:color w:val="auto"/>
          <w:sz w:val="22"/>
          <w:szCs w:val="22"/>
        </w:rPr>
        <w:t xml:space="preserve"> with updated hospital costs</w:t>
      </w:r>
      <w:r w:rsidRPr="2F1EB167">
        <w:rPr>
          <w:rFonts w:ascii="Franklin Gothic Book" w:eastAsiaTheme="minorEastAsia" w:hAnsi="Franklin Gothic Book" w:cstheme="minorBidi"/>
          <w:color w:val="auto"/>
          <w:sz w:val="22"/>
          <w:szCs w:val="22"/>
        </w:rPr>
        <w:t>.</w:t>
      </w:r>
      <w:r w:rsidR="00A96899" w:rsidRPr="2F1EB167">
        <w:rPr>
          <w:rFonts w:ascii="Franklin Gothic Book" w:eastAsiaTheme="minorEastAsia" w:hAnsi="Franklin Gothic Book" w:cstheme="minorBidi"/>
          <w:color w:val="auto"/>
          <w:sz w:val="22"/>
          <w:szCs w:val="22"/>
        </w:rPr>
        <w:t xml:space="preserve"> MSAC considered the</w:t>
      </w:r>
      <w:r w:rsidR="00B5714A" w:rsidRPr="2F1EB167">
        <w:rPr>
          <w:rFonts w:ascii="Franklin Gothic Book" w:eastAsiaTheme="minorEastAsia" w:hAnsi="Franklin Gothic Book" w:cstheme="minorBidi"/>
          <w:color w:val="auto"/>
          <w:sz w:val="22"/>
          <w:szCs w:val="22"/>
        </w:rPr>
        <w:t xml:space="preserve"> revised commentary base case </w:t>
      </w:r>
      <w:r w:rsidR="006F27C4" w:rsidRPr="2F1EB167">
        <w:rPr>
          <w:rFonts w:ascii="Franklin Gothic Book" w:eastAsiaTheme="minorEastAsia" w:hAnsi="Franklin Gothic Book" w:cstheme="minorBidi"/>
          <w:color w:val="auto"/>
          <w:sz w:val="22"/>
          <w:szCs w:val="22"/>
        </w:rPr>
        <w:t xml:space="preserve">to </w:t>
      </w:r>
      <w:r w:rsidR="00233505" w:rsidRPr="2F1EB167">
        <w:rPr>
          <w:rFonts w:ascii="Franklin Gothic Book" w:eastAsiaTheme="minorEastAsia" w:hAnsi="Franklin Gothic Book" w:cstheme="minorBidi"/>
          <w:color w:val="auto"/>
          <w:sz w:val="22"/>
          <w:szCs w:val="22"/>
        </w:rPr>
        <w:t>be an improved estimate over the original submission</w:t>
      </w:r>
      <w:r w:rsidR="00342915" w:rsidRPr="2F1EB167">
        <w:rPr>
          <w:rFonts w:ascii="Franklin Gothic Book" w:eastAsiaTheme="minorEastAsia" w:hAnsi="Franklin Gothic Book" w:cstheme="minorBidi"/>
          <w:color w:val="auto"/>
          <w:sz w:val="22"/>
          <w:szCs w:val="22"/>
        </w:rPr>
        <w:t xml:space="preserve"> and</w:t>
      </w:r>
      <w:r w:rsidR="00C7618B" w:rsidRPr="2F1EB167">
        <w:rPr>
          <w:rFonts w:ascii="Franklin Gothic Book" w:eastAsiaTheme="minorEastAsia" w:hAnsi="Franklin Gothic Book" w:cstheme="minorBidi"/>
          <w:color w:val="auto"/>
          <w:sz w:val="22"/>
          <w:szCs w:val="22"/>
        </w:rPr>
        <w:t xml:space="preserve"> resubmission</w:t>
      </w:r>
      <w:r w:rsidR="00233505" w:rsidRPr="2F1EB167">
        <w:rPr>
          <w:rFonts w:ascii="Franklin Gothic Book" w:eastAsiaTheme="minorEastAsia" w:hAnsi="Franklin Gothic Book" w:cstheme="minorBidi"/>
          <w:color w:val="auto"/>
          <w:sz w:val="22"/>
          <w:szCs w:val="22"/>
        </w:rPr>
        <w:t xml:space="preserve"> </w:t>
      </w:r>
      <w:r w:rsidR="004C2093" w:rsidRPr="2F1EB167">
        <w:rPr>
          <w:rFonts w:ascii="Franklin Gothic Book" w:eastAsiaTheme="minorEastAsia" w:hAnsi="Franklin Gothic Book" w:cstheme="minorBidi"/>
          <w:color w:val="auto"/>
          <w:sz w:val="22"/>
          <w:szCs w:val="22"/>
        </w:rPr>
        <w:t>and</w:t>
      </w:r>
      <w:r w:rsidR="00C7618B" w:rsidRPr="2F1EB167">
        <w:rPr>
          <w:rFonts w:ascii="Franklin Gothic Book" w:eastAsiaTheme="minorEastAsia" w:hAnsi="Franklin Gothic Book" w:cstheme="minorBidi"/>
          <w:color w:val="auto"/>
          <w:sz w:val="22"/>
          <w:szCs w:val="22"/>
        </w:rPr>
        <w:t xml:space="preserve"> was</w:t>
      </w:r>
      <w:r w:rsidR="004C2093" w:rsidRPr="2F1EB167">
        <w:rPr>
          <w:rFonts w:ascii="Franklin Gothic Book" w:eastAsiaTheme="minorEastAsia" w:hAnsi="Franklin Gothic Book" w:cstheme="minorBidi"/>
          <w:color w:val="auto"/>
          <w:sz w:val="22"/>
          <w:szCs w:val="22"/>
        </w:rPr>
        <w:t xml:space="preserve"> unlikely to be </w:t>
      </w:r>
      <w:r w:rsidR="00E717C3" w:rsidRPr="2F1EB167">
        <w:rPr>
          <w:rFonts w:ascii="Franklin Gothic Book" w:eastAsiaTheme="minorEastAsia" w:hAnsi="Franklin Gothic Book" w:cstheme="minorBidi"/>
          <w:color w:val="auto"/>
          <w:sz w:val="22"/>
          <w:szCs w:val="22"/>
        </w:rPr>
        <w:t xml:space="preserve">improved </w:t>
      </w:r>
      <w:r w:rsidR="00134FB4" w:rsidRPr="2F1EB167">
        <w:rPr>
          <w:rFonts w:ascii="Franklin Gothic Book" w:eastAsiaTheme="minorEastAsia" w:hAnsi="Franklin Gothic Book" w:cstheme="minorBidi"/>
          <w:color w:val="auto"/>
          <w:sz w:val="22"/>
          <w:szCs w:val="22"/>
        </w:rPr>
        <w:t>based on</w:t>
      </w:r>
      <w:r w:rsidR="00E717C3" w:rsidRPr="2F1EB167">
        <w:rPr>
          <w:rFonts w:ascii="Franklin Gothic Book" w:eastAsiaTheme="minorEastAsia" w:hAnsi="Franklin Gothic Book" w:cstheme="minorBidi"/>
          <w:color w:val="auto"/>
          <w:sz w:val="22"/>
          <w:szCs w:val="22"/>
        </w:rPr>
        <w:t xml:space="preserve"> currently available data. MSAC considered the proportion of </w:t>
      </w:r>
      <w:r w:rsidR="00E0052A" w:rsidRPr="2F1EB167">
        <w:rPr>
          <w:rFonts w:ascii="Franklin Gothic Book" w:eastAsiaTheme="minorEastAsia" w:hAnsi="Franklin Gothic Book" w:cstheme="minorBidi"/>
          <w:color w:val="auto"/>
          <w:sz w:val="22"/>
          <w:szCs w:val="22"/>
        </w:rPr>
        <w:t xml:space="preserve">standalone procedures included in the base case analysis appropriate based on current </w:t>
      </w:r>
      <w:r w:rsidR="008C5FA3" w:rsidRPr="2F1EB167">
        <w:rPr>
          <w:rFonts w:ascii="Franklin Gothic Book" w:eastAsiaTheme="minorEastAsia" w:hAnsi="Franklin Gothic Book" w:cstheme="minorBidi"/>
          <w:color w:val="auto"/>
          <w:sz w:val="22"/>
          <w:szCs w:val="22"/>
        </w:rPr>
        <w:t>knowledge of use of IVL in clinical practice.</w:t>
      </w:r>
    </w:p>
    <w:p w14:paraId="161CF041" w14:textId="1EFFB783" w:rsidR="00565C96" w:rsidRDefault="004E41D9" w:rsidP="2F1EB167">
      <w:pPr>
        <w:pStyle w:val="Heading2"/>
        <w:numPr>
          <w:ilvl w:val="0"/>
          <w:numId w:val="0"/>
        </w:numPr>
        <w:spacing w:before="120" w:after="120"/>
        <w:rPr>
          <w:rFonts w:ascii="Franklin Gothic Book" w:eastAsiaTheme="minorEastAsia" w:hAnsi="Franklin Gothic Book" w:cstheme="minorBidi"/>
          <w:color w:val="auto"/>
          <w:sz w:val="22"/>
          <w:szCs w:val="22"/>
        </w:rPr>
      </w:pPr>
      <w:r w:rsidRPr="2F1EB167">
        <w:rPr>
          <w:rFonts w:ascii="Franklin Gothic Book" w:eastAsiaTheme="minorEastAsia" w:hAnsi="Franklin Gothic Book" w:cstheme="minorBidi"/>
          <w:color w:val="auto"/>
          <w:sz w:val="22"/>
          <w:szCs w:val="22"/>
        </w:rPr>
        <w:t>MSAC considered that although the</w:t>
      </w:r>
      <w:r w:rsidR="005E19A8" w:rsidRPr="2F1EB167">
        <w:rPr>
          <w:rFonts w:ascii="Franklin Gothic Book" w:eastAsiaTheme="minorEastAsia" w:hAnsi="Franklin Gothic Book" w:cstheme="minorBidi"/>
          <w:color w:val="auto"/>
          <w:sz w:val="22"/>
          <w:szCs w:val="22"/>
        </w:rPr>
        <w:t xml:space="preserve"> certainty of the</w:t>
      </w:r>
      <w:r w:rsidRPr="2F1EB167">
        <w:rPr>
          <w:rFonts w:ascii="Franklin Gothic Book" w:eastAsiaTheme="minorEastAsia" w:hAnsi="Franklin Gothic Book" w:cstheme="minorBidi"/>
          <w:color w:val="auto"/>
          <w:sz w:val="22"/>
          <w:szCs w:val="22"/>
        </w:rPr>
        <w:t xml:space="preserve"> cost-consequence analysis was limited </w:t>
      </w:r>
      <w:r w:rsidR="00EC02E1" w:rsidRPr="2F1EB167">
        <w:rPr>
          <w:rFonts w:ascii="Franklin Gothic Book" w:eastAsiaTheme="minorEastAsia" w:hAnsi="Franklin Gothic Book" w:cstheme="minorBidi"/>
          <w:color w:val="auto"/>
          <w:sz w:val="22"/>
          <w:szCs w:val="22"/>
        </w:rPr>
        <w:t xml:space="preserve">by </w:t>
      </w:r>
      <w:r w:rsidRPr="2F1EB167">
        <w:rPr>
          <w:rFonts w:ascii="Franklin Gothic Book" w:eastAsiaTheme="minorEastAsia" w:hAnsi="Franklin Gothic Book" w:cstheme="minorBidi"/>
          <w:color w:val="auto"/>
          <w:sz w:val="22"/>
          <w:szCs w:val="22"/>
        </w:rPr>
        <w:t>the uncertainty of long-term clinical outcomes</w:t>
      </w:r>
      <w:r w:rsidR="00EC02E1" w:rsidRPr="2F1EB167">
        <w:rPr>
          <w:rFonts w:ascii="Franklin Gothic Book" w:eastAsiaTheme="minorEastAsia" w:hAnsi="Franklin Gothic Book" w:cstheme="minorBidi"/>
          <w:color w:val="auto"/>
          <w:sz w:val="22"/>
          <w:szCs w:val="22"/>
        </w:rPr>
        <w:t xml:space="preserve"> and stenting rates in practice</w:t>
      </w:r>
      <w:r w:rsidRPr="2F1EB167">
        <w:rPr>
          <w:rFonts w:ascii="Franklin Gothic Book" w:eastAsiaTheme="minorEastAsia" w:hAnsi="Franklin Gothic Book" w:cstheme="minorBidi"/>
          <w:color w:val="auto"/>
          <w:sz w:val="22"/>
          <w:szCs w:val="22"/>
        </w:rPr>
        <w:t>, MSAC considered that IVL was acceptably cost-effective</w:t>
      </w:r>
      <w:r w:rsidR="00EC02E1" w:rsidRPr="2F1EB167">
        <w:rPr>
          <w:rFonts w:ascii="Franklin Gothic Book" w:eastAsiaTheme="minorEastAsia" w:hAnsi="Franklin Gothic Book" w:cstheme="minorBidi"/>
          <w:color w:val="auto"/>
          <w:sz w:val="22"/>
          <w:szCs w:val="22"/>
        </w:rPr>
        <w:t xml:space="preserve"> </w:t>
      </w:r>
      <w:r w:rsidR="00565C96" w:rsidRPr="2F1EB167">
        <w:rPr>
          <w:rFonts w:ascii="Franklin Gothic Book" w:eastAsiaTheme="minorEastAsia" w:hAnsi="Franklin Gothic Book" w:cstheme="minorBidi"/>
          <w:color w:val="auto"/>
          <w:sz w:val="22"/>
          <w:szCs w:val="22"/>
        </w:rPr>
        <w:t>at the proposed price</w:t>
      </w:r>
      <w:r w:rsidR="00E40A94">
        <w:rPr>
          <w:rFonts w:ascii="Franklin Gothic Book" w:eastAsiaTheme="minorEastAsia" w:hAnsi="Franklin Gothic Book" w:cstheme="minorBidi"/>
          <w:color w:val="auto"/>
          <w:sz w:val="22"/>
          <w:szCs w:val="22"/>
        </w:rPr>
        <w:t xml:space="preserve"> </w:t>
      </w:r>
      <w:r w:rsidR="00E40A94" w:rsidRPr="00A535BD">
        <w:rPr>
          <w:rFonts w:ascii="Franklin Gothic Book" w:eastAsiaTheme="minorEastAsia" w:hAnsi="Franklin Gothic Book" w:cstheme="minorBidi"/>
          <w:color w:val="auto"/>
          <w:sz w:val="22"/>
          <w:szCs w:val="22"/>
        </w:rPr>
        <w:t>($</w:t>
      </w:r>
      <w:r w:rsidR="00A535BD" w:rsidRPr="00A535BD">
        <w:rPr>
          <w:rFonts w:ascii="Franklin Gothic Book" w:eastAsiaTheme="minorEastAsia" w:hAnsi="Franklin Gothic Book" w:cstheme="minorBidi"/>
          <w:b/>
          <w:bCs/>
          <w:color w:val="auto"/>
          <w:sz w:val="22"/>
          <w:szCs w:val="22"/>
        </w:rPr>
        <w:t>redacted</w:t>
      </w:r>
      <w:r w:rsidR="00E40A94" w:rsidRPr="00A535BD">
        <w:rPr>
          <w:rFonts w:ascii="Franklin Gothic Book" w:eastAsiaTheme="minorEastAsia" w:hAnsi="Franklin Gothic Book" w:cstheme="minorBidi"/>
          <w:color w:val="auto"/>
          <w:sz w:val="22"/>
          <w:szCs w:val="22"/>
        </w:rPr>
        <w:t>)</w:t>
      </w:r>
      <w:r w:rsidR="00565C96" w:rsidRPr="00A535BD">
        <w:rPr>
          <w:rFonts w:ascii="Franklin Gothic Book" w:eastAsiaTheme="minorEastAsia" w:hAnsi="Franklin Gothic Book" w:cstheme="minorBidi"/>
          <w:color w:val="auto"/>
          <w:sz w:val="22"/>
          <w:szCs w:val="22"/>
        </w:rPr>
        <w:t>,</w:t>
      </w:r>
      <w:r w:rsidR="00565C96" w:rsidRPr="2F1EB167">
        <w:rPr>
          <w:rFonts w:ascii="Franklin Gothic Book" w:eastAsiaTheme="minorEastAsia" w:hAnsi="Franklin Gothic Book" w:cstheme="minorBidi"/>
          <w:color w:val="auto"/>
          <w:sz w:val="22"/>
          <w:szCs w:val="22"/>
        </w:rPr>
        <w:t xml:space="preserve"> noting the </w:t>
      </w:r>
      <w:r w:rsidR="006C0081" w:rsidRPr="2F1EB167">
        <w:rPr>
          <w:rFonts w:ascii="Franklin Gothic Book" w:eastAsiaTheme="minorEastAsia" w:hAnsi="Franklin Gothic Book" w:cstheme="minorBidi"/>
          <w:color w:val="auto"/>
          <w:sz w:val="22"/>
          <w:szCs w:val="22"/>
        </w:rPr>
        <w:t xml:space="preserve">likely superior procedural effectiveness and non-inferior safety for IVL compared with SBA, at least in the medium term. </w:t>
      </w:r>
      <w:r w:rsidR="00FB7105">
        <w:rPr>
          <w:rFonts w:ascii="Franklin Gothic Book" w:eastAsiaTheme="minorEastAsia" w:hAnsi="Franklin Gothic Book" w:cstheme="minorBidi"/>
          <w:color w:val="auto"/>
          <w:sz w:val="22"/>
          <w:szCs w:val="22"/>
        </w:rPr>
        <w:t xml:space="preserve">MSAC noted that </w:t>
      </w:r>
      <w:r w:rsidR="00BE0D31">
        <w:rPr>
          <w:rFonts w:ascii="Franklin Gothic Book" w:eastAsiaTheme="minorEastAsia" w:hAnsi="Franklin Gothic Book" w:cstheme="minorBidi"/>
          <w:color w:val="auto"/>
          <w:sz w:val="22"/>
          <w:szCs w:val="22"/>
        </w:rPr>
        <w:t>a</w:t>
      </w:r>
      <w:r w:rsidR="006C0081" w:rsidRPr="2F1EB167">
        <w:rPr>
          <w:rFonts w:ascii="Franklin Gothic Book" w:eastAsiaTheme="minorEastAsia" w:hAnsi="Franklin Gothic Book" w:cstheme="minorBidi"/>
          <w:color w:val="auto"/>
          <w:sz w:val="22"/>
          <w:szCs w:val="22"/>
        </w:rPr>
        <w:t>lternatives to IVL may be less safe and require reintervention in a proportion of cases</w:t>
      </w:r>
      <w:r w:rsidR="00AD4F5F">
        <w:rPr>
          <w:rFonts w:ascii="Franklin Gothic Book" w:eastAsiaTheme="minorEastAsia" w:hAnsi="Franklin Gothic Book" w:cstheme="minorBidi"/>
          <w:color w:val="auto"/>
          <w:sz w:val="22"/>
          <w:szCs w:val="22"/>
        </w:rPr>
        <w:t xml:space="preserve">, due to adverse events such as </w:t>
      </w:r>
      <w:r w:rsidR="00AD4F5F" w:rsidRPr="2F1EB167">
        <w:rPr>
          <w:rFonts w:ascii="Franklin Gothic Book" w:eastAsiaTheme="minorEastAsia" w:hAnsi="Franklin Gothic Book" w:cstheme="minorBidi"/>
          <w:color w:val="auto"/>
          <w:sz w:val="22"/>
          <w:szCs w:val="22"/>
        </w:rPr>
        <w:t>vessel dissection or perforation</w:t>
      </w:r>
      <w:r w:rsidR="00D848BF">
        <w:rPr>
          <w:rFonts w:ascii="Franklin Gothic Book" w:eastAsiaTheme="minorEastAsia" w:hAnsi="Franklin Gothic Book" w:cstheme="minorBidi"/>
          <w:color w:val="auto"/>
          <w:sz w:val="22"/>
          <w:szCs w:val="22"/>
        </w:rPr>
        <w:t>.</w:t>
      </w:r>
      <w:r w:rsidR="00457A8D">
        <w:rPr>
          <w:rFonts w:ascii="Franklin Gothic Book" w:eastAsiaTheme="minorEastAsia" w:hAnsi="Franklin Gothic Book" w:cstheme="minorBidi"/>
          <w:color w:val="auto"/>
          <w:sz w:val="22"/>
          <w:szCs w:val="22"/>
        </w:rPr>
        <w:t xml:space="preserve"> </w:t>
      </w:r>
      <w:r w:rsidR="00D848BF">
        <w:rPr>
          <w:rFonts w:ascii="Franklin Gothic Book" w:eastAsiaTheme="minorEastAsia" w:hAnsi="Franklin Gothic Book" w:cstheme="minorBidi"/>
          <w:color w:val="auto"/>
          <w:sz w:val="22"/>
          <w:szCs w:val="22"/>
        </w:rPr>
        <w:t>This</w:t>
      </w:r>
      <w:r w:rsidR="006C0081" w:rsidRPr="2F1EB167">
        <w:rPr>
          <w:rFonts w:ascii="Franklin Gothic Book" w:eastAsiaTheme="minorEastAsia" w:hAnsi="Franklin Gothic Book" w:cstheme="minorBidi"/>
          <w:color w:val="auto"/>
          <w:sz w:val="22"/>
          <w:szCs w:val="22"/>
        </w:rPr>
        <w:t xml:space="preserve"> </w:t>
      </w:r>
      <w:r w:rsidR="003644B2">
        <w:rPr>
          <w:rFonts w:ascii="Franklin Gothic Book" w:eastAsiaTheme="minorEastAsia" w:hAnsi="Franklin Gothic Book" w:cstheme="minorBidi"/>
          <w:color w:val="auto"/>
          <w:sz w:val="22"/>
          <w:szCs w:val="22"/>
        </w:rPr>
        <w:t>may</w:t>
      </w:r>
      <w:r w:rsidR="003644B2" w:rsidRPr="2F1EB167">
        <w:rPr>
          <w:rFonts w:ascii="Franklin Gothic Book" w:eastAsiaTheme="minorEastAsia" w:hAnsi="Franklin Gothic Book" w:cstheme="minorBidi"/>
          <w:color w:val="auto"/>
          <w:sz w:val="22"/>
          <w:szCs w:val="22"/>
        </w:rPr>
        <w:t xml:space="preserve"> </w:t>
      </w:r>
      <w:r w:rsidR="006C0081" w:rsidRPr="2F1EB167">
        <w:rPr>
          <w:rFonts w:ascii="Franklin Gothic Book" w:eastAsiaTheme="minorEastAsia" w:hAnsi="Franklin Gothic Book" w:cstheme="minorBidi"/>
          <w:color w:val="auto"/>
          <w:sz w:val="22"/>
          <w:szCs w:val="22"/>
        </w:rPr>
        <w:t>lead to</w:t>
      </w:r>
      <w:r w:rsidR="001803FD">
        <w:rPr>
          <w:rFonts w:ascii="Franklin Gothic Book" w:eastAsiaTheme="minorEastAsia" w:hAnsi="Franklin Gothic Book" w:cstheme="minorBidi"/>
          <w:color w:val="auto"/>
          <w:sz w:val="22"/>
          <w:szCs w:val="22"/>
        </w:rPr>
        <w:t xml:space="preserve"> </w:t>
      </w:r>
      <w:r w:rsidR="003644B2">
        <w:rPr>
          <w:rFonts w:ascii="Franklin Gothic Book" w:eastAsiaTheme="minorEastAsia" w:hAnsi="Franklin Gothic Book" w:cstheme="minorBidi"/>
          <w:color w:val="auto"/>
          <w:sz w:val="22"/>
          <w:szCs w:val="22"/>
        </w:rPr>
        <w:t>the use of</w:t>
      </w:r>
      <w:r w:rsidR="006C0081" w:rsidRPr="2F1EB167">
        <w:rPr>
          <w:rFonts w:ascii="Franklin Gothic Book" w:eastAsiaTheme="minorEastAsia" w:hAnsi="Franklin Gothic Book" w:cstheme="minorBidi"/>
          <w:color w:val="auto"/>
          <w:sz w:val="22"/>
          <w:szCs w:val="22"/>
        </w:rPr>
        <w:t xml:space="preserve"> </w:t>
      </w:r>
      <w:r w:rsidR="001803FD">
        <w:rPr>
          <w:rFonts w:ascii="Franklin Gothic Book" w:eastAsiaTheme="minorEastAsia" w:hAnsi="Franklin Gothic Book" w:cstheme="minorBidi"/>
          <w:color w:val="auto"/>
          <w:sz w:val="22"/>
          <w:szCs w:val="22"/>
        </w:rPr>
        <w:t xml:space="preserve">other </w:t>
      </w:r>
      <w:r w:rsidR="00D679D2">
        <w:rPr>
          <w:rFonts w:ascii="Franklin Gothic Book" w:eastAsiaTheme="minorEastAsia" w:hAnsi="Franklin Gothic Book" w:cstheme="minorBidi"/>
          <w:color w:val="auto"/>
          <w:sz w:val="22"/>
          <w:szCs w:val="22"/>
        </w:rPr>
        <w:t xml:space="preserve">vascular </w:t>
      </w:r>
      <w:r w:rsidR="001803FD">
        <w:rPr>
          <w:rFonts w:ascii="Franklin Gothic Book" w:eastAsiaTheme="minorEastAsia" w:hAnsi="Franklin Gothic Book" w:cstheme="minorBidi"/>
          <w:color w:val="auto"/>
          <w:sz w:val="22"/>
          <w:szCs w:val="22"/>
        </w:rPr>
        <w:t>interventions</w:t>
      </w:r>
      <w:r w:rsidR="005E580D">
        <w:rPr>
          <w:rFonts w:ascii="Franklin Gothic Book" w:eastAsiaTheme="minorEastAsia" w:hAnsi="Franklin Gothic Book" w:cstheme="minorBidi"/>
          <w:color w:val="auto"/>
          <w:sz w:val="22"/>
          <w:szCs w:val="22"/>
        </w:rPr>
        <w:t>,</w:t>
      </w:r>
      <w:r w:rsidR="001803FD">
        <w:rPr>
          <w:rFonts w:ascii="Franklin Gothic Book" w:eastAsiaTheme="minorEastAsia" w:hAnsi="Franklin Gothic Book" w:cstheme="minorBidi"/>
          <w:color w:val="auto"/>
          <w:sz w:val="22"/>
          <w:szCs w:val="22"/>
        </w:rPr>
        <w:t xml:space="preserve"> including</w:t>
      </w:r>
      <w:r w:rsidR="006C0081" w:rsidRPr="2F1EB167">
        <w:rPr>
          <w:rFonts w:ascii="Franklin Gothic Book" w:eastAsiaTheme="minorEastAsia" w:hAnsi="Franklin Gothic Book" w:cstheme="minorBidi"/>
          <w:color w:val="auto"/>
          <w:sz w:val="22"/>
          <w:szCs w:val="22"/>
        </w:rPr>
        <w:t xml:space="preserve"> stent</w:t>
      </w:r>
      <w:r w:rsidR="004162C8">
        <w:rPr>
          <w:rFonts w:ascii="Franklin Gothic Book" w:eastAsiaTheme="minorEastAsia" w:hAnsi="Franklin Gothic Book" w:cstheme="minorBidi"/>
          <w:color w:val="auto"/>
          <w:sz w:val="22"/>
          <w:szCs w:val="22"/>
        </w:rPr>
        <w:t>s</w:t>
      </w:r>
      <w:r w:rsidR="0028592E">
        <w:rPr>
          <w:rFonts w:ascii="Franklin Gothic Book" w:eastAsiaTheme="minorEastAsia" w:hAnsi="Franklin Gothic Book" w:cstheme="minorBidi"/>
          <w:color w:val="auto"/>
          <w:sz w:val="22"/>
          <w:szCs w:val="22"/>
        </w:rPr>
        <w:t>.</w:t>
      </w:r>
    </w:p>
    <w:p w14:paraId="2458F2F5" w14:textId="608CE734" w:rsidR="002C6837" w:rsidRDefault="0037171C" w:rsidP="2F1EB167">
      <w:pPr>
        <w:pStyle w:val="Heading2"/>
        <w:numPr>
          <w:ilvl w:val="0"/>
          <w:numId w:val="0"/>
        </w:numPr>
        <w:spacing w:before="120" w:after="120"/>
        <w:rPr>
          <w:rFonts w:ascii="Franklin Gothic Book" w:eastAsiaTheme="minorEastAsia" w:hAnsi="Franklin Gothic Book" w:cstheme="minorBidi"/>
          <w:color w:val="auto"/>
          <w:sz w:val="22"/>
          <w:szCs w:val="22"/>
        </w:rPr>
      </w:pPr>
      <w:r w:rsidRPr="2F1EB167">
        <w:rPr>
          <w:rFonts w:ascii="Franklin Gothic Book" w:eastAsiaTheme="minorEastAsia" w:hAnsi="Franklin Gothic Book" w:cstheme="minorBidi"/>
          <w:color w:val="auto"/>
          <w:sz w:val="22"/>
          <w:szCs w:val="22"/>
        </w:rPr>
        <w:lastRenderedPageBreak/>
        <w:t>MSAC noted the</w:t>
      </w:r>
      <w:r w:rsidR="000A22E9" w:rsidRPr="2F1EB167">
        <w:rPr>
          <w:rFonts w:ascii="Franklin Gothic Book" w:eastAsiaTheme="minorEastAsia" w:hAnsi="Franklin Gothic Book" w:cstheme="minorBidi"/>
          <w:color w:val="auto"/>
          <w:sz w:val="22"/>
          <w:szCs w:val="22"/>
        </w:rPr>
        <w:t xml:space="preserve"> </w:t>
      </w:r>
      <w:r w:rsidR="00EC02E1" w:rsidRPr="2F1EB167">
        <w:rPr>
          <w:rFonts w:ascii="Franklin Gothic Book" w:eastAsiaTheme="minorEastAsia" w:hAnsi="Franklin Gothic Book" w:cstheme="minorBidi"/>
          <w:color w:val="auto"/>
          <w:sz w:val="22"/>
          <w:szCs w:val="22"/>
        </w:rPr>
        <w:t xml:space="preserve">financial impact </w:t>
      </w:r>
      <w:r w:rsidR="00505E89" w:rsidRPr="2F1EB167">
        <w:rPr>
          <w:rFonts w:ascii="Franklin Gothic Book" w:eastAsiaTheme="minorEastAsia" w:hAnsi="Franklin Gothic Book" w:cstheme="minorBidi"/>
          <w:color w:val="auto"/>
          <w:sz w:val="22"/>
          <w:szCs w:val="22"/>
        </w:rPr>
        <w:t xml:space="preserve">analysis </w:t>
      </w:r>
      <w:r w:rsidR="002C6837" w:rsidRPr="2F1EB167">
        <w:rPr>
          <w:rFonts w:ascii="Franklin Gothic Book" w:eastAsiaTheme="minorEastAsia" w:hAnsi="Franklin Gothic Book" w:cstheme="minorBidi"/>
          <w:color w:val="auto"/>
          <w:sz w:val="22"/>
          <w:szCs w:val="22"/>
        </w:rPr>
        <w:t>indicate</w:t>
      </w:r>
      <w:r w:rsidRPr="2F1EB167">
        <w:rPr>
          <w:rFonts w:ascii="Franklin Gothic Book" w:eastAsiaTheme="minorEastAsia" w:hAnsi="Franklin Gothic Book" w:cstheme="minorBidi"/>
          <w:color w:val="auto"/>
          <w:sz w:val="22"/>
          <w:szCs w:val="22"/>
        </w:rPr>
        <w:t xml:space="preserve">d </w:t>
      </w:r>
      <w:r w:rsidR="002C6837" w:rsidRPr="2F1EB167">
        <w:rPr>
          <w:rFonts w:ascii="Franklin Gothic Book" w:eastAsiaTheme="minorEastAsia" w:hAnsi="Franklin Gothic Book" w:cstheme="minorBidi"/>
          <w:color w:val="auto"/>
          <w:sz w:val="22"/>
          <w:szCs w:val="22"/>
        </w:rPr>
        <w:t xml:space="preserve">net savings to the MBS over 6 years, but overall costs to health budgets </w:t>
      </w:r>
      <w:r w:rsidR="00C343D6" w:rsidRPr="2F1EB167">
        <w:rPr>
          <w:rFonts w:ascii="Franklin Gothic Book" w:eastAsiaTheme="minorEastAsia" w:hAnsi="Franklin Gothic Book" w:cstheme="minorBidi"/>
          <w:color w:val="auto"/>
          <w:sz w:val="22"/>
          <w:szCs w:val="22"/>
        </w:rPr>
        <w:t xml:space="preserve">(including the MBS) </w:t>
      </w:r>
      <w:r w:rsidR="002C6837" w:rsidRPr="2F1EB167">
        <w:rPr>
          <w:rFonts w:ascii="Franklin Gothic Book" w:eastAsiaTheme="minorEastAsia" w:hAnsi="Franklin Gothic Book" w:cstheme="minorBidi"/>
          <w:color w:val="auto"/>
          <w:sz w:val="22"/>
          <w:szCs w:val="22"/>
        </w:rPr>
        <w:t>of around $8.</w:t>
      </w:r>
      <w:r w:rsidR="007854AF" w:rsidRPr="2F1EB167">
        <w:rPr>
          <w:rFonts w:ascii="Franklin Gothic Book" w:eastAsiaTheme="minorEastAsia" w:hAnsi="Franklin Gothic Book" w:cstheme="minorBidi"/>
          <w:color w:val="auto"/>
          <w:sz w:val="22"/>
          <w:szCs w:val="22"/>
        </w:rPr>
        <w:t>3</w:t>
      </w:r>
      <w:r w:rsidR="002C6837" w:rsidRPr="2F1EB167">
        <w:rPr>
          <w:rFonts w:ascii="Franklin Gothic Book" w:eastAsiaTheme="minorEastAsia" w:hAnsi="Franklin Gothic Book" w:cstheme="minorBidi"/>
          <w:color w:val="auto"/>
          <w:sz w:val="22"/>
          <w:szCs w:val="22"/>
        </w:rPr>
        <w:t xml:space="preserve"> million in year 6</w:t>
      </w:r>
      <w:r w:rsidR="00367A8A" w:rsidRPr="2F1EB167">
        <w:rPr>
          <w:rFonts w:ascii="Franklin Gothic Book" w:eastAsiaTheme="minorEastAsia" w:hAnsi="Franklin Gothic Book" w:cstheme="minorBidi"/>
          <w:color w:val="auto"/>
          <w:sz w:val="22"/>
          <w:szCs w:val="22"/>
        </w:rPr>
        <w:t xml:space="preserve"> due to the net device costs for the IVL procedures</w:t>
      </w:r>
      <w:r w:rsidR="002C6837" w:rsidRPr="2F1EB167">
        <w:rPr>
          <w:rFonts w:ascii="Franklin Gothic Book" w:eastAsiaTheme="minorEastAsia" w:hAnsi="Franklin Gothic Book" w:cstheme="minorBidi"/>
          <w:color w:val="auto"/>
          <w:sz w:val="22"/>
          <w:szCs w:val="22"/>
        </w:rPr>
        <w:t xml:space="preserve">. </w:t>
      </w:r>
      <w:r w:rsidR="00366590" w:rsidRPr="2F1EB167">
        <w:rPr>
          <w:rFonts w:ascii="Franklin Gothic Book" w:eastAsiaTheme="minorEastAsia" w:hAnsi="Franklin Gothic Book" w:cstheme="minorBidi"/>
          <w:color w:val="auto"/>
          <w:sz w:val="22"/>
          <w:szCs w:val="22"/>
        </w:rPr>
        <w:t>MSAC also noted that the growth in IVL use over 6 years is offset by a reduction in the use of stents (which are on the PL) and re-intervention.</w:t>
      </w:r>
      <w:r w:rsidR="004E41D9" w:rsidRPr="2F1EB167">
        <w:rPr>
          <w:rFonts w:ascii="Franklin Gothic Book" w:eastAsiaTheme="minorEastAsia" w:hAnsi="Franklin Gothic Book" w:cstheme="minorBidi"/>
          <w:color w:val="auto"/>
          <w:sz w:val="22"/>
          <w:szCs w:val="22"/>
        </w:rPr>
        <w:t xml:space="preserve"> However,</w:t>
      </w:r>
      <w:r w:rsidR="00366590" w:rsidRPr="2F1EB167">
        <w:rPr>
          <w:rFonts w:ascii="Franklin Gothic Book" w:eastAsiaTheme="minorEastAsia" w:hAnsi="Franklin Gothic Book" w:cstheme="minorBidi"/>
          <w:color w:val="auto"/>
          <w:sz w:val="22"/>
          <w:szCs w:val="22"/>
        </w:rPr>
        <w:t xml:space="preserve"> </w:t>
      </w:r>
      <w:r w:rsidR="002C6837" w:rsidRPr="2F1EB167">
        <w:rPr>
          <w:rFonts w:ascii="Franklin Gothic Book" w:eastAsiaTheme="minorEastAsia" w:hAnsi="Franklin Gothic Book" w:cstheme="minorBidi"/>
          <w:color w:val="auto"/>
          <w:sz w:val="22"/>
          <w:szCs w:val="22"/>
        </w:rPr>
        <w:t xml:space="preserve">MSAC considered that utilisation may be overestimated in the base case – IVL takes more time than DCB or stent insertion, so uptake may not be as high in practice. MSAC noted the sensitivity analysis in which uptake rate was reduced by 10%, which reduced the overall financial implications for health budgets to around $6.7 million in year 6. MSAC considered the overall financial implications to be reasonable and recommended a review of utilisation after 2 years. </w:t>
      </w:r>
    </w:p>
    <w:p w14:paraId="4CADEFC9" w14:textId="7A0C81E3" w:rsidR="008678AF" w:rsidRPr="00162981" w:rsidRDefault="008678AF" w:rsidP="00AA6976">
      <w:r w:rsidRPr="2F1EB167">
        <w:rPr>
          <w:rFonts w:eastAsiaTheme="minorEastAsia"/>
        </w:rPr>
        <w:t xml:space="preserve">MSAC noted that </w:t>
      </w:r>
      <w:r w:rsidR="00D2370C">
        <w:rPr>
          <w:rFonts w:eastAsiaTheme="minorEastAsia"/>
        </w:rPr>
        <w:t xml:space="preserve">there </w:t>
      </w:r>
      <w:r w:rsidR="00FB2917">
        <w:rPr>
          <w:rFonts w:eastAsiaTheme="minorEastAsia"/>
        </w:rPr>
        <w:t>may be</w:t>
      </w:r>
      <w:r w:rsidR="00A44A61">
        <w:rPr>
          <w:rFonts w:eastAsiaTheme="minorEastAsia"/>
        </w:rPr>
        <w:t xml:space="preserve"> no funding mechanism</w:t>
      </w:r>
      <w:r w:rsidR="00BA19D1">
        <w:rPr>
          <w:rFonts w:eastAsiaTheme="minorEastAsia"/>
        </w:rPr>
        <w:t xml:space="preserve"> </w:t>
      </w:r>
      <w:r w:rsidR="009314BC">
        <w:rPr>
          <w:rFonts w:eastAsiaTheme="minorEastAsia"/>
        </w:rPr>
        <w:t xml:space="preserve">as the device </w:t>
      </w:r>
      <w:r w:rsidR="00D341DE" w:rsidRPr="37869555">
        <w:rPr>
          <w:rFonts w:eastAsiaTheme="minorEastAsia"/>
        </w:rPr>
        <w:t xml:space="preserve">(IVL catheter) </w:t>
      </w:r>
      <w:r w:rsidR="00022611">
        <w:rPr>
          <w:rFonts w:eastAsiaTheme="minorEastAsia"/>
        </w:rPr>
        <w:t xml:space="preserve">may not </w:t>
      </w:r>
      <w:r w:rsidR="00F8382D">
        <w:rPr>
          <w:rFonts w:eastAsiaTheme="minorEastAsia"/>
        </w:rPr>
        <w:t>be eligible for Part A of</w:t>
      </w:r>
      <w:r w:rsidR="00DC1ACC">
        <w:rPr>
          <w:rFonts w:eastAsiaTheme="minorEastAsia"/>
        </w:rPr>
        <w:t xml:space="preserve"> the PL</w:t>
      </w:r>
      <w:r w:rsidRPr="2F1EB167">
        <w:rPr>
          <w:rFonts w:eastAsiaTheme="minorEastAsia"/>
        </w:rPr>
        <w:t xml:space="preserve">. </w:t>
      </w:r>
      <w:r w:rsidR="004B52BB">
        <w:rPr>
          <w:rFonts w:eastAsiaTheme="minorEastAsia"/>
        </w:rPr>
        <w:t>MSAC noted the applicant</w:t>
      </w:r>
      <w:r w:rsidR="004C1E1A">
        <w:rPr>
          <w:rFonts w:eastAsiaTheme="minorEastAsia"/>
        </w:rPr>
        <w:t xml:space="preserve"> </w:t>
      </w:r>
      <w:r w:rsidR="00C96719">
        <w:rPr>
          <w:rFonts w:eastAsiaTheme="minorEastAsia"/>
        </w:rPr>
        <w:t>advised</w:t>
      </w:r>
      <w:r w:rsidR="004C1E1A">
        <w:rPr>
          <w:rFonts w:eastAsiaTheme="minorEastAsia"/>
        </w:rPr>
        <w:t xml:space="preserve"> the</w:t>
      </w:r>
      <w:r w:rsidR="007C153E">
        <w:rPr>
          <w:rFonts w:eastAsiaTheme="minorEastAsia"/>
        </w:rPr>
        <w:t xml:space="preserve"> device</w:t>
      </w:r>
      <w:r w:rsidR="00D657DF" w:rsidRPr="2F1EB167">
        <w:t xml:space="preserve"> cost is currently covered via private health insurance or hospital funding on an individual basis.</w:t>
      </w:r>
      <w:r w:rsidR="000E6688">
        <w:t xml:space="preserve"> The applicant considered that </w:t>
      </w:r>
      <w:r w:rsidR="000E6688" w:rsidRPr="2F1EB167">
        <w:t>under the</w:t>
      </w:r>
      <w:r w:rsidR="00932B37">
        <w:t xml:space="preserve"> </w:t>
      </w:r>
      <w:r w:rsidR="000E6688" w:rsidRPr="2F1EB167">
        <w:t xml:space="preserve">PL reforms, IVL catheters </w:t>
      </w:r>
      <w:r w:rsidR="00932B37">
        <w:t xml:space="preserve">may be eligible </w:t>
      </w:r>
      <w:r w:rsidR="000E6688" w:rsidRPr="2F1EB167">
        <w:t>to be included on Part C of the PL</w:t>
      </w:r>
      <w:r w:rsidR="007C743F">
        <w:t>.</w:t>
      </w:r>
      <w:r w:rsidR="000E6688">
        <w:t xml:space="preserve"> </w:t>
      </w:r>
      <w:r w:rsidR="00D657DF" w:rsidRPr="2F1EB167">
        <w:t xml:space="preserve">MSAC </w:t>
      </w:r>
      <w:r w:rsidR="007C743F">
        <w:t xml:space="preserve">considered </w:t>
      </w:r>
      <w:r w:rsidR="00D657DF" w:rsidRPr="2F1EB167">
        <w:t xml:space="preserve">that </w:t>
      </w:r>
      <w:r w:rsidR="007B25BB">
        <w:t>t</w:t>
      </w:r>
      <w:r w:rsidR="00D657DF" w:rsidRPr="2F1EB167">
        <w:t xml:space="preserve">he cost of IVL consumables </w:t>
      </w:r>
      <w:r w:rsidR="00413018">
        <w:t>may</w:t>
      </w:r>
      <w:r w:rsidR="00D657DF" w:rsidRPr="2F1EB167">
        <w:t xml:space="preserve"> be passed on to the patient as an out-of-pocket expense</w:t>
      </w:r>
      <w:r w:rsidR="2356B56F">
        <w:t xml:space="preserve"> if it is not funded through another mechanism</w:t>
      </w:r>
      <w:r w:rsidR="1E11DFB8">
        <w:t>.</w:t>
      </w:r>
      <w:r w:rsidR="00683859">
        <w:t xml:space="preserve"> </w:t>
      </w:r>
      <w:r w:rsidR="004C637F">
        <w:t xml:space="preserve">MSAC </w:t>
      </w:r>
      <w:r w:rsidR="009F23D3" w:rsidRPr="37869555">
        <w:t>requested that</w:t>
      </w:r>
      <w:r w:rsidR="00EC4E47">
        <w:t xml:space="preserve"> its advice regarding the </w:t>
      </w:r>
      <w:r w:rsidR="00763B52">
        <w:t xml:space="preserve">comparative safety, effectiveness and cost-effectiveness </w:t>
      </w:r>
      <w:r w:rsidR="00EC4E47">
        <w:t xml:space="preserve">be provided </w:t>
      </w:r>
      <w:r w:rsidR="00763B52">
        <w:t>to the</w:t>
      </w:r>
      <w:r w:rsidR="00176E66">
        <w:t xml:space="preserve"> </w:t>
      </w:r>
      <w:r w:rsidR="00176E66" w:rsidRPr="00176E66">
        <w:t>Medical Devices and Human Tissue Advisory Committee (MDHTAC)</w:t>
      </w:r>
      <w:r w:rsidR="00763B52">
        <w:t xml:space="preserve">. </w:t>
      </w:r>
    </w:p>
    <w:p w14:paraId="6710B69D" w14:textId="205095A5" w:rsidR="00772829" w:rsidRDefault="00C949CC" w:rsidP="002A18BE">
      <w:pPr>
        <w:pStyle w:val="Heading2"/>
        <w:numPr>
          <w:ilvl w:val="0"/>
          <w:numId w:val="0"/>
        </w:numPr>
      </w:pPr>
      <w:r>
        <w:t>4</w:t>
      </w:r>
      <w:r w:rsidR="00C36633">
        <w:t>.</w:t>
      </w:r>
      <w:r w:rsidR="00C36633">
        <w:tab/>
      </w:r>
      <w:r w:rsidR="00772829" w:rsidRPr="00CE28E3">
        <w:t>Background</w:t>
      </w:r>
      <w:bookmarkEnd w:id="2"/>
    </w:p>
    <w:p w14:paraId="3BDA66B3" w14:textId="154068FD" w:rsidR="0093289C" w:rsidRDefault="00C04BF9" w:rsidP="00236C73">
      <w:pPr>
        <w:rPr>
          <w:lang w:val="en-GB"/>
        </w:rPr>
      </w:pPr>
      <w:r w:rsidRPr="7DEC5E09">
        <w:rPr>
          <w:lang w:val="en-GB"/>
        </w:rPr>
        <w:t>The Medical Services Advisory Committee (</w:t>
      </w:r>
      <w:r w:rsidR="002B28D8" w:rsidRPr="7DEC5E09">
        <w:rPr>
          <w:lang w:val="en-GB"/>
        </w:rPr>
        <w:t>MSAC</w:t>
      </w:r>
      <w:r w:rsidRPr="7DEC5E09">
        <w:rPr>
          <w:lang w:val="en-GB"/>
        </w:rPr>
        <w:t>)</w:t>
      </w:r>
      <w:r w:rsidR="002B28D8" w:rsidRPr="7DEC5E09">
        <w:rPr>
          <w:lang w:val="en-GB"/>
        </w:rPr>
        <w:t xml:space="preserve"> </w:t>
      </w:r>
      <w:r w:rsidR="00BC0D50" w:rsidRPr="7DEC5E09">
        <w:rPr>
          <w:lang w:val="en-GB"/>
        </w:rPr>
        <w:t xml:space="preserve">considered </w:t>
      </w:r>
      <w:r w:rsidR="00FC70C4" w:rsidRPr="7DEC5E09">
        <w:rPr>
          <w:lang w:val="en-GB"/>
        </w:rPr>
        <w:t xml:space="preserve">IVL </w:t>
      </w:r>
      <w:r w:rsidR="005F696C" w:rsidRPr="7DEC5E09">
        <w:rPr>
          <w:lang w:val="en-GB"/>
        </w:rPr>
        <w:t>for</w:t>
      </w:r>
      <w:r w:rsidR="00DC67CA" w:rsidRPr="7DEC5E09">
        <w:rPr>
          <w:lang w:val="en-GB"/>
        </w:rPr>
        <w:t xml:space="preserve"> patients </w:t>
      </w:r>
      <w:r w:rsidR="00AD50CD" w:rsidRPr="7DEC5E09">
        <w:rPr>
          <w:lang w:val="en-GB"/>
        </w:rPr>
        <w:t xml:space="preserve">with moderately or severely calcified PAD </w:t>
      </w:r>
      <w:r w:rsidR="005F696C" w:rsidRPr="7DEC5E09">
        <w:rPr>
          <w:lang w:val="en-GB"/>
        </w:rPr>
        <w:t>(</w:t>
      </w:r>
      <w:hyperlink r:id="rId12">
        <w:r w:rsidR="005F696C" w:rsidRPr="7DEC5E09">
          <w:rPr>
            <w:rStyle w:val="Hyperlink"/>
            <w:lang w:val="en-GB"/>
          </w:rPr>
          <w:t>MSAC 1734</w:t>
        </w:r>
      </w:hyperlink>
      <w:r w:rsidR="005F696C" w:rsidRPr="7DEC5E09">
        <w:rPr>
          <w:lang w:val="en-GB"/>
        </w:rPr>
        <w:t xml:space="preserve">) </w:t>
      </w:r>
      <w:r w:rsidR="00676AA3" w:rsidRPr="7DEC5E09">
        <w:rPr>
          <w:lang w:val="en-GB"/>
        </w:rPr>
        <w:t>at the</w:t>
      </w:r>
      <w:r w:rsidR="009C5E17" w:rsidRPr="7DEC5E09">
        <w:rPr>
          <w:lang w:val="en-GB"/>
        </w:rPr>
        <w:t>ir</w:t>
      </w:r>
      <w:r w:rsidR="00676AA3" w:rsidRPr="7DEC5E09">
        <w:rPr>
          <w:lang w:val="en-GB"/>
        </w:rPr>
        <w:t xml:space="preserve"> </w:t>
      </w:r>
      <w:r w:rsidR="008B1B5A" w:rsidRPr="7DEC5E09">
        <w:rPr>
          <w:lang w:val="en-GB"/>
        </w:rPr>
        <w:t>November 2023</w:t>
      </w:r>
      <w:r w:rsidR="00BD2973" w:rsidRPr="7DEC5E09">
        <w:rPr>
          <w:lang w:val="en-GB"/>
        </w:rPr>
        <w:t xml:space="preserve"> meeting</w:t>
      </w:r>
      <w:r w:rsidR="00175154" w:rsidRPr="7DEC5E09">
        <w:rPr>
          <w:lang w:val="en-GB"/>
        </w:rPr>
        <w:t>.</w:t>
      </w:r>
      <w:r w:rsidR="004D1B22" w:rsidRPr="7DEC5E09">
        <w:rPr>
          <w:lang w:val="en-GB"/>
        </w:rPr>
        <w:t xml:space="preserve"> After considering the strength of the available evidence in relation to comparative safety, clinical effectiveness, cost-effectiveness and total cost, MSAC deferred its advice for public funding of IVL for the treatment of moderately or severely calcified PAD.</w:t>
      </w:r>
    </w:p>
    <w:p w14:paraId="386134DE" w14:textId="15F50E50" w:rsidR="00236C73" w:rsidRDefault="001C7224" w:rsidP="00236C73">
      <w:pPr>
        <w:rPr>
          <w:lang w:val="en-GB"/>
        </w:rPr>
      </w:pPr>
      <w:r w:rsidRPr="7DEC5E09">
        <w:rPr>
          <w:lang w:val="en-GB"/>
        </w:rPr>
        <w:t xml:space="preserve">According to the </w:t>
      </w:r>
      <w:hyperlink r:id="rId13">
        <w:r w:rsidRPr="7DEC5E09">
          <w:rPr>
            <w:rStyle w:val="Hyperlink"/>
            <w:lang w:val="en-GB"/>
          </w:rPr>
          <w:t>Public Summary Document (PSD)</w:t>
        </w:r>
      </w:hyperlink>
      <w:r w:rsidR="0053538D" w:rsidRPr="7DEC5E09">
        <w:rPr>
          <w:lang w:val="en-GB"/>
        </w:rPr>
        <w:t>,</w:t>
      </w:r>
      <w:r w:rsidRPr="7DEC5E09">
        <w:rPr>
          <w:lang w:val="en-GB"/>
        </w:rPr>
        <w:t xml:space="preserve"> </w:t>
      </w:r>
      <w:r w:rsidR="004D1B22" w:rsidRPr="7DEC5E09">
        <w:rPr>
          <w:lang w:val="en-GB"/>
        </w:rPr>
        <w:t xml:space="preserve">MSAC considered there is likely superior procedural effectiveness and non-inferior safety for IVL compared to standard balloon angioplasty </w:t>
      </w:r>
      <w:r w:rsidR="000D5B79" w:rsidRPr="7DEC5E09">
        <w:rPr>
          <w:lang w:val="en-GB"/>
        </w:rPr>
        <w:t xml:space="preserve">(SBA) </w:t>
      </w:r>
      <w:r w:rsidR="004D1B22" w:rsidRPr="7DEC5E09">
        <w:rPr>
          <w:lang w:val="en-GB"/>
        </w:rPr>
        <w:t xml:space="preserve">when used as a vessel preparation strategy for </w:t>
      </w:r>
      <w:r w:rsidR="0058396E" w:rsidRPr="7DEC5E09">
        <w:rPr>
          <w:lang w:val="en-GB"/>
        </w:rPr>
        <w:t>DCB</w:t>
      </w:r>
      <w:r w:rsidR="004D1B22" w:rsidRPr="7DEC5E09">
        <w:rPr>
          <w:lang w:val="en-GB"/>
        </w:rPr>
        <w:t xml:space="preserve"> or stent. MSAC considered there was weak evidence for superior effectiveness and non-inferior safety </w:t>
      </w:r>
      <w:r w:rsidR="0053161C" w:rsidRPr="7DEC5E09">
        <w:rPr>
          <w:lang w:val="en-GB"/>
        </w:rPr>
        <w:t xml:space="preserve">compared </w:t>
      </w:r>
      <w:r w:rsidR="004D1B22" w:rsidRPr="7DEC5E09">
        <w:rPr>
          <w:lang w:val="en-GB"/>
        </w:rPr>
        <w:t>to SBA when IVL is employed as a stand-alone therapy.</w:t>
      </w:r>
    </w:p>
    <w:p w14:paraId="72874BD0" w14:textId="096B8BF2" w:rsidR="000D3D8F" w:rsidRDefault="000D3D8F" w:rsidP="00236C73">
      <w:pPr>
        <w:rPr>
          <w:lang w:val="en-GB"/>
        </w:rPr>
      </w:pPr>
      <w:r w:rsidRPr="7DEC5E09">
        <w:rPr>
          <w:lang w:val="en-GB"/>
        </w:rPr>
        <w:t>MSAC considered that despite the weak and uncertain evidence, especially for IVL as a stand-alone procedure, its key concerns related to the inappropriate structure of the economic model</w:t>
      </w:r>
      <w:r w:rsidR="006258ED" w:rsidRPr="7DEC5E09">
        <w:rPr>
          <w:lang w:val="en-GB"/>
        </w:rPr>
        <w:t>, which</w:t>
      </w:r>
      <w:r w:rsidRPr="7DEC5E09">
        <w:rPr>
          <w:lang w:val="en-GB"/>
        </w:rPr>
        <w:t xml:space="preserve"> did not facilitate assessment of IVL’s cost effectiveness</w:t>
      </w:r>
      <w:r w:rsidR="003439A7" w:rsidRPr="7DEC5E09">
        <w:rPr>
          <w:lang w:val="en-GB"/>
        </w:rPr>
        <w:t>. However, MSAC acknowledged the clinical need for such a service, as the comparator has several related adverse events</w:t>
      </w:r>
      <w:r w:rsidRPr="7DEC5E09">
        <w:rPr>
          <w:lang w:val="en-GB"/>
        </w:rPr>
        <w:t>.</w:t>
      </w:r>
    </w:p>
    <w:p w14:paraId="5DCD9B10" w14:textId="2E508FA4" w:rsidR="009B66A5" w:rsidRDefault="003846F0" w:rsidP="009B66A5">
      <w:r>
        <w:t xml:space="preserve">The </w:t>
      </w:r>
      <w:r w:rsidR="00DD2ABF">
        <w:t xml:space="preserve">key matters of concern </w:t>
      </w:r>
      <w:r w:rsidR="000166F7">
        <w:t xml:space="preserve">raised by </w:t>
      </w:r>
      <w:r w:rsidR="00E535A9">
        <w:t xml:space="preserve">MSAC </w:t>
      </w:r>
      <w:r w:rsidR="00D2500F">
        <w:t xml:space="preserve">are summarised in </w:t>
      </w:r>
      <w:r w:rsidR="00D2500F">
        <w:fldChar w:fldCharType="begin"/>
      </w:r>
      <w:r w:rsidR="00D2500F">
        <w:instrText xml:space="preserve"> REF _Ref69480768 \h </w:instrText>
      </w:r>
      <w:r w:rsidR="00D2500F">
        <w:fldChar w:fldCharType="separate"/>
      </w:r>
      <w:r w:rsidR="000A04D8" w:rsidRPr="00CE28E3">
        <w:t>Table</w:t>
      </w:r>
      <w:r w:rsidR="000A04D8">
        <w:t> </w:t>
      </w:r>
      <w:r w:rsidR="000A04D8">
        <w:rPr>
          <w:noProof/>
        </w:rPr>
        <w:t>1</w:t>
      </w:r>
      <w:r w:rsidR="00D2500F">
        <w:fldChar w:fldCharType="end"/>
      </w:r>
      <w:r w:rsidR="00D72880">
        <w:t>.</w:t>
      </w:r>
    </w:p>
    <w:p w14:paraId="6EC12EDF" w14:textId="15CDF534" w:rsidR="0068682C" w:rsidRPr="00CE28E3" w:rsidRDefault="0068682C" w:rsidP="0068682C">
      <w:pPr>
        <w:pStyle w:val="Caption"/>
      </w:pPr>
      <w:bookmarkStart w:id="3" w:name="_Ref69480768"/>
      <w:bookmarkStart w:id="4" w:name="_Hlk69734557"/>
      <w:r w:rsidRPr="00CE28E3">
        <w:t>Table</w:t>
      </w:r>
      <w:r w:rsidR="004A4FDF">
        <w:t> </w:t>
      </w:r>
      <w:r w:rsidR="000A04D8">
        <w:fldChar w:fldCharType="begin"/>
      </w:r>
      <w:r w:rsidR="000A04D8">
        <w:instrText xml:space="preserve"> SEQ Table \* ARABIC </w:instrText>
      </w:r>
      <w:r w:rsidR="000A04D8">
        <w:fldChar w:fldCharType="separate"/>
      </w:r>
      <w:r w:rsidR="000A04D8">
        <w:rPr>
          <w:noProof/>
        </w:rPr>
        <w:t>1</w:t>
      </w:r>
      <w:r w:rsidR="000A04D8">
        <w:rPr>
          <w:noProof/>
        </w:rPr>
        <w:fldChar w:fldCharType="end"/>
      </w:r>
      <w:bookmarkEnd w:id="3"/>
      <w:r w:rsidRPr="00CE28E3">
        <w:tab/>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mmary of key matters of concern"/>
        <w:tblDescription w:val="The table summarises matters of concern raised by MSAC (taken from the Public Summary Document) and how the resubmission addresses it."/>
      </w:tblPr>
      <w:tblGrid>
        <w:gridCol w:w="1271"/>
        <w:gridCol w:w="4678"/>
        <w:gridCol w:w="3067"/>
      </w:tblGrid>
      <w:tr w:rsidR="002A4648" w:rsidRPr="00CE28E3" w14:paraId="2BDCC27B" w14:textId="77777777" w:rsidTr="2F1EB167">
        <w:trPr>
          <w:tblHeader/>
        </w:trPr>
        <w:tc>
          <w:tcPr>
            <w:tcW w:w="705" w:type="pct"/>
            <w:shd w:val="clear" w:color="auto" w:fill="auto"/>
          </w:tcPr>
          <w:p w14:paraId="58F6A808" w14:textId="45DB42AA" w:rsidR="00F57885" w:rsidRPr="00CE28E3" w:rsidRDefault="00F57885" w:rsidP="2F1EB167">
            <w:pPr>
              <w:pStyle w:val="TableHeading0"/>
              <w:rPr>
                <w:lang w:val="en-GB"/>
              </w:rPr>
            </w:pPr>
            <w:bookmarkStart w:id="5" w:name="ColumnTitle_Table1"/>
            <w:bookmarkStart w:id="6" w:name="_Hlk68275590"/>
            <w:bookmarkEnd w:id="5"/>
            <w:r w:rsidRPr="7DEC5E09">
              <w:rPr>
                <w:lang w:val="en-GB"/>
              </w:rPr>
              <w:t>Component</w:t>
            </w:r>
          </w:p>
        </w:tc>
        <w:tc>
          <w:tcPr>
            <w:tcW w:w="2594" w:type="pct"/>
            <w:shd w:val="clear" w:color="auto" w:fill="auto"/>
          </w:tcPr>
          <w:p w14:paraId="09992FB9" w14:textId="77777777" w:rsidR="00F57885" w:rsidRPr="00CE28E3" w:rsidRDefault="00F57885" w:rsidP="000D272D">
            <w:pPr>
              <w:pStyle w:val="TableHeading0"/>
            </w:pPr>
            <w:r w:rsidRPr="00CE28E3">
              <w:t>Matter of concern</w:t>
            </w:r>
          </w:p>
        </w:tc>
        <w:tc>
          <w:tcPr>
            <w:tcW w:w="1701" w:type="pct"/>
            <w:shd w:val="clear" w:color="auto" w:fill="auto"/>
          </w:tcPr>
          <w:p w14:paraId="54C88680" w14:textId="20910938" w:rsidR="00F57885" w:rsidRPr="00CE28E3" w:rsidRDefault="00F57885" w:rsidP="000D272D">
            <w:pPr>
              <w:pStyle w:val="TableHeading0"/>
            </w:pPr>
            <w:r w:rsidRPr="00CE28E3">
              <w:t xml:space="preserve">How the </w:t>
            </w:r>
            <w:r w:rsidR="00E07952">
              <w:t>resubmission</w:t>
            </w:r>
            <w:r w:rsidRPr="00CE28E3">
              <w:t xml:space="preserve"> addresses it</w:t>
            </w:r>
          </w:p>
        </w:tc>
      </w:tr>
      <w:tr w:rsidR="002A4648" w:rsidRPr="00CE28E3" w14:paraId="08A2D371" w14:textId="77777777" w:rsidTr="2F1EB167">
        <w:tc>
          <w:tcPr>
            <w:tcW w:w="705" w:type="pct"/>
          </w:tcPr>
          <w:p w14:paraId="5F25297C" w14:textId="77777777" w:rsidR="00906449" w:rsidRPr="00CE28E3" w:rsidRDefault="00906449" w:rsidP="00824458">
            <w:pPr>
              <w:pStyle w:val="TableText"/>
            </w:pPr>
            <w:r>
              <w:t>Population</w:t>
            </w:r>
          </w:p>
        </w:tc>
        <w:tc>
          <w:tcPr>
            <w:tcW w:w="2594" w:type="pct"/>
          </w:tcPr>
          <w:p w14:paraId="2FB5644C" w14:textId="389A94B7" w:rsidR="00906449" w:rsidRPr="00CE28E3" w:rsidRDefault="00906449" w:rsidP="00824458">
            <w:pPr>
              <w:pStyle w:val="TableText"/>
              <w:rPr>
                <w:rFonts w:eastAsia="Times New Roman" w:cs="Arial"/>
                <w:snapToGrid w:val="0"/>
                <w:szCs w:val="20"/>
              </w:rPr>
            </w:pPr>
            <w:r w:rsidRPr="001F48E4">
              <w:rPr>
                <w:rFonts w:eastAsia="Times New Roman" w:cs="Arial"/>
                <w:snapToGrid w:val="0"/>
                <w:szCs w:val="20"/>
              </w:rPr>
              <w:t xml:space="preserve">MSAC considered the proposed populations to be </w:t>
            </w:r>
            <w:r w:rsidR="00B821CD" w:rsidRPr="001F48E4">
              <w:rPr>
                <w:rFonts w:eastAsia="Times New Roman" w:cs="Arial"/>
                <w:snapToGrid w:val="0"/>
                <w:szCs w:val="20"/>
              </w:rPr>
              <w:t>inappropriate because</w:t>
            </w:r>
            <w:r w:rsidRPr="001F48E4">
              <w:rPr>
                <w:rFonts w:eastAsia="Times New Roman" w:cs="Arial"/>
                <w:snapToGrid w:val="0"/>
                <w:szCs w:val="20"/>
              </w:rPr>
              <w:t xml:space="preserve"> predetermining beforehand which patients belong to each of the two separate populations is not reflective of Australian clinical practice. MSAC considered that the decision is made in real time and that before IVL, it would be unknown whether the patient would receive IVL as a stand-alone treatment or require further stenting.</w:t>
            </w:r>
            <w:r>
              <w:rPr>
                <w:rFonts w:eastAsia="Times New Roman" w:cs="Arial"/>
                <w:snapToGrid w:val="0"/>
                <w:szCs w:val="20"/>
              </w:rPr>
              <w:t xml:space="preserve"> (PSD, p.3)</w:t>
            </w:r>
          </w:p>
        </w:tc>
        <w:tc>
          <w:tcPr>
            <w:tcW w:w="1701" w:type="pct"/>
          </w:tcPr>
          <w:p w14:paraId="5CD580D0" w14:textId="77777777" w:rsidR="00906449" w:rsidRDefault="00906449" w:rsidP="00824458">
            <w:pPr>
              <w:pStyle w:val="TableText"/>
              <w:rPr>
                <w:rFonts w:eastAsia="Times New Roman" w:cs="Arial"/>
                <w:bCs/>
                <w:snapToGrid w:val="0"/>
                <w:szCs w:val="20"/>
              </w:rPr>
            </w:pPr>
            <w:r>
              <w:rPr>
                <w:rFonts w:eastAsia="Times New Roman" w:cs="Arial"/>
                <w:bCs/>
                <w:snapToGrid w:val="0"/>
                <w:szCs w:val="20"/>
              </w:rPr>
              <w:t xml:space="preserve">Addressed. </w:t>
            </w:r>
          </w:p>
          <w:p w14:paraId="05BB972A" w14:textId="172BB533" w:rsidR="00906449" w:rsidRPr="00CE28E3" w:rsidRDefault="00906449" w:rsidP="2F1EB167">
            <w:pPr>
              <w:pStyle w:val="TableText"/>
              <w:rPr>
                <w:rFonts w:eastAsia="Times New Roman" w:cs="Arial"/>
                <w:snapToGrid w:val="0"/>
              </w:rPr>
            </w:pPr>
            <w:r w:rsidRPr="2F1EB167">
              <w:rPr>
                <w:rFonts w:eastAsia="Times New Roman" w:cs="Arial"/>
                <w:snapToGrid w:val="0"/>
              </w:rPr>
              <w:t xml:space="preserve">The PICO was updated in the resubmission to consolidate the two population sets from the original ADAR. </w:t>
            </w:r>
            <w:r w:rsidR="00A90947" w:rsidRPr="2F1EB167">
              <w:rPr>
                <w:rFonts w:eastAsia="Times New Roman" w:cs="Arial"/>
                <w:snapToGrid w:val="0"/>
              </w:rPr>
              <w:t xml:space="preserve">The population description </w:t>
            </w:r>
            <w:r w:rsidR="00B65911" w:rsidRPr="2F1EB167">
              <w:rPr>
                <w:rFonts w:eastAsia="Times New Roman" w:cs="Arial"/>
                <w:snapToGrid w:val="0"/>
              </w:rPr>
              <w:t>was</w:t>
            </w:r>
            <w:r w:rsidR="00A90947" w:rsidRPr="2F1EB167">
              <w:rPr>
                <w:rFonts w:eastAsia="Times New Roman" w:cs="Arial"/>
                <w:snapToGrid w:val="0"/>
              </w:rPr>
              <w:t xml:space="preserve"> amended </w:t>
            </w:r>
            <w:r w:rsidR="00B65911" w:rsidRPr="2F1EB167">
              <w:rPr>
                <w:rFonts w:eastAsia="Times New Roman" w:cs="Arial"/>
                <w:snapToGrid w:val="0"/>
              </w:rPr>
              <w:t xml:space="preserve">by the commentary </w:t>
            </w:r>
            <w:r w:rsidR="00A90947" w:rsidRPr="2F1EB167">
              <w:rPr>
                <w:rFonts w:eastAsia="Times New Roman" w:cs="Arial"/>
                <w:snapToGrid w:val="0"/>
              </w:rPr>
              <w:t>for consistency with the descriptions of the intervention and comparator, and with the clinical management algorithm.</w:t>
            </w:r>
          </w:p>
        </w:tc>
      </w:tr>
      <w:tr w:rsidR="00B65911" w:rsidRPr="00CE28E3" w14:paraId="179EBA55" w14:textId="77777777" w:rsidTr="2F1EB167">
        <w:tc>
          <w:tcPr>
            <w:tcW w:w="705" w:type="pct"/>
            <w:tcBorders>
              <w:bottom w:val="single" w:sz="4" w:space="0" w:color="auto"/>
            </w:tcBorders>
          </w:tcPr>
          <w:p w14:paraId="69965DD4" w14:textId="77777777" w:rsidR="00906449" w:rsidRPr="00CE28E3" w:rsidRDefault="00906449" w:rsidP="0015273A">
            <w:pPr>
              <w:pStyle w:val="TableText"/>
            </w:pPr>
            <w:r>
              <w:t>Clinical algorithm</w:t>
            </w:r>
          </w:p>
        </w:tc>
        <w:tc>
          <w:tcPr>
            <w:tcW w:w="2594" w:type="pct"/>
            <w:tcBorders>
              <w:bottom w:val="single" w:sz="4" w:space="0" w:color="auto"/>
            </w:tcBorders>
          </w:tcPr>
          <w:p w14:paraId="489A8EAB" w14:textId="1F811BD2" w:rsidR="00906449" w:rsidRPr="00CE28E3" w:rsidRDefault="00906449" w:rsidP="0015273A">
            <w:pPr>
              <w:pStyle w:val="TableText"/>
            </w:pPr>
            <w:r w:rsidRPr="2F1EB167">
              <w:t xml:space="preserve">MSAC recommended that any resubmission should include a revised clinical algorithm that it is not split into two </w:t>
            </w:r>
            <w:r w:rsidRPr="2F1EB167">
              <w:lastRenderedPageBreak/>
              <w:t>populations since this is not reflective of clinical practice where stenting is provisional depending on the outcome of the IVL as perceived by the clinician in real time. Rather, the clinical algorithm should reflect only one population, namely patients with PAD who have moderately or severely calcified lesions in their lower limb(s). This would result in one proposed MBS item and descriptor and would also serve as a basis for appropriate revisions to the structure of the economic model. (PSD, p.5).</w:t>
            </w:r>
          </w:p>
        </w:tc>
        <w:tc>
          <w:tcPr>
            <w:tcW w:w="1701" w:type="pct"/>
            <w:tcBorders>
              <w:bottom w:val="single" w:sz="4" w:space="0" w:color="auto"/>
            </w:tcBorders>
          </w:tcPr>
          <w:p w14:paraId="6C600B3D" w14:textId="77777777" w:rsidR="00906449" w:rsidRDefault="00906449" w:rsidP="0015273A">
            <w:pPr>
              <w:pStyle w:val="TableText"/>
              <w:rPr>
                <w:rFonts w:eastAsia="Times New Roman" w:cs="Arial"/>
                <w:bCs/>
                <w:snapToGrid w:val="0"/>
                <w:szCs w:val="20"/>
              </w:rPr>
            </w:pPr>
            <w:r>
              <w:rPr>
                <w:rFonts w:eastAsia="Times New Roman" w:cs="Arial"/>
                <w:bCs/>
                <w:snapToGrid w:val="0"/>
                <w:szCs w:val="20"/>
              </w:rPr>
              <w:lastRenderedPageBreak/>
              <w:t xml:space="preserve">Addressed. </w:t>
            </w:r>
          </w:p>
          <w:p w14:paraId="3B9C0A30" w14:textId="77777777" w:rsidR="00906449" w:rsidRPr="00F71ECE" w:rsidRDefault="00906449" w:rsidP="0015273A">
            <w:pPr>
              <w:pStyle w:val="TableText"/>
              <w:rPr>
                <w:rFonts w:eastAsia="Times New Roman" w:cs="Arial"/>
                <w:bCs/>
                <w:snapToGrid w:val="0"/>
                <w:szCs w:val="20"/>
              </w:rPr>
            </w:pPr>
            <w:r w:rsidRPr="00F71ECE">
              <w:rPr>
                <w:rFonts w:eastAsia="Times New Roman" w:cs="Arial"/>
                <w:bCs/>
                <w:snapToGrid w:val="0"/>
                <w:szCs w:val="20"/>
              </w:rPr>
              <w:lastRenderedPageBreak/>
              <w:t xml:space="preserve">No changes were made to the clinical algorithm nor the MBS item descriptor. </w:t>
            </w:r>
          </w:p>
          <w:p w14:paraId="6C3FA3FC" w14:textId="5FC442E2" w:rsidR="00906449" w:rsidRPr="00F71ECE" w:rsidRDefault="00906449" w:rsidP="2F1EB167">
            <w:pPr>
              <w:pStyle w:val="TableText"/>
              <w:rPr>
                <w:rFonts w:eastAsia="Times New Roman" w:cs="Arial"/>
                <w:snapToGrid w:val="0"/>
              </w:rPr>
            </w:pPr>
            <w:r w:rsidRPr="2F1EB167">
              <w:rPr>
                <w:rFonts w:eastAsia="Times New Roman" w:cs="Arial"/>
                <w:snapToGrid w:val="0"/>
              </w:rPr>
              <w:t xml:space="preserve">The resubmission noted the algorithm in the original ADAR already aligned with MSAC’s recommendation for a single population. </w:t>
            </w:r>
            <w:r w:rsidR="00500A3A" w:rsidRPr="2F1EB167">
              <w:rPr>
                <w:rFonts w:eastAsia="Times New Roman" w:cs="Arial"/>
                <w:snapToGrid w:val="0"/>
              </w:rPr>
              <w:t xml:space="preserve">Consistent with </w:t>
            </w:r>
            <w:r w:rsidR="0041608C" w:rsidRPr="2F1EB167">
              <w:rPr>
                <w:rFonts w:eastAsia="Times New Roman" w:cs="Arial"/>
                <w:snapToGrid w:val="0"/>
              </w:rPr>
              <w:t>Australian clinical practice, t</w:t>
            </w:r>
            <w:r w:rsidRPr="2F1EB167">
              <w:rPr>
                <w:rFonts w:eastAsia="Times New Roman" w:cs="Arial"/>
                <w:snapToGrid w:val="0"/>
              </w:rPr>
              <w:t>he decision for subsequent intervention after the index balloon dilation procedure is based on clinical judgement (e.g. consideration of level of residual stenosis or presence of a flow-limiting dissection).</w:t>
            </w:r>
          </w:p>
          <w:p w14:paraId="6082DE80" w14:textId="1B64BC5A" w:rsidR="00906449" w:rsidRPr="00CE28E3" w:rsidRDefault="00906449" w:rsidP="0015273A">
            <w:pPr>
              <w:pStyle w:val="TableText"/>
              <w:rPr>
                <w:rFonts w:eastAsia="Times New Roman" w:cs="Arial"/>
                <w:bCs/>
                <w:snapToGrid w:val="0"/>
                <w:szCs w:val="20"/>
              </w:rPr>
            </w:pPr>
            <w:r w:rsidRPr="00F71ECE">
              <w:rPr>
                <w:rFonts w:eastAsia="Times New Roman" w:cs="Arial"/>
                <w:bCs/>
                <w:snapToGrid w:val="0"/>
                <w:szCs w:val="20"/>
              </w:rPr>
              <w:t>The original submission proposed only one MBS item; the proposed descriptor aligns with the PICO in the resubmission</w:t>
            </w:r>
            <w:r>
              <w:rPr>
                <w:rFonts w:eastAsia="Times New Roman" w:cs="Arial"/>
                <w:bCs/>
                <w:snapToGrid w:val="0"/>
                <w:szCs w:val="20"/>
              </w:rPr>
              <w:t>, though the descriptor is not restricted to PAD in lower limbs.</w:t>
            </w:r>
            <w:r w:rsidR="006029CA">
              <w:rPr>
                <w:rFonts w:eastAsia="Times New Roman" w:cs="Arial"/>
                <w:bCs/>
                <w:snapToGrid w:val="0"/>
                <w:szCs w:val="20"/>
              </w:rPr>
              <w:t xml:space="preserve"> No evidence was provided </w:t>
            </w:r>
            <w:r w:rsidR="00380DF4">
              <w:rPr>
                <w:rFonts w:eastAsia="Times New Roman" w:cs="Arial"/>
                <w:bCs/>
                <w:snapToGrid w:val="0"/>
                <w:szCs w:val="20"/>
              </w:rPr>
              <w:t xml:space="preserve">in the original submission </w:t>
            </w:r>
            <w:r w:rsidR="00BE4414">
              <w:rPr>
                <w:rFonts w:eastAsia="Times New Roman" w:cs="Arial"/>
                <w:bCs/>
                <w:snapToGrid w:val="0"/>
                <w:szCs w:val="20"/>
              </w:rPr>
              <w:t>n</w:t>
            </w:r>
            <w:r w:rsidR="00380DF4">
              <w:rPr>
                <w:rFonts w:eastAsia="Times New Roman" w:cs="Arial"/>
                <w:bCs/>
                <w:snapToGrid w:val="0"/>
                <w:szCs w:val="20"/>
              </w:rPr>
              <w:t xml:space="preserve">or the resubmission </w:t>
            </w:r>
            <w:r w:rsidR="006029CA">
              <w:rPr>
                <w:rFonts w:eastAsia="Times New Roman" w:cs="Arial"/>
                <w:bCs/>
                <w:snapToGrid w:val="0"/>
                <w:szCs w:val="20"/>
              </w:rPr>
              <w:t>for</w:t>
            </w:r>
            <w:r w:rsidR="00380DF4">
              <w:rPr>
                <w:rFonts w:eastAsia="Times New Roman" w:cs="Arial"/>
                <w:bCs/>
                <w:snapToGrid w:val="0"/>
                <w:szCs w:val="20"/>
              </w:rPr>
              <w:t xml:space="preserve"> use of</w:t>
            </w:r>
            <w:r w:rsidR="006029CA">
              <w:rPr>
                <w:rFonts w:eastAsia="Times New Roman" w:cs="Arial"/>
                <w:bCs/>
                <w:snapToGrid w:val="0"/>
                <w:szCs w:val="20"/>
              </w:rPr>
              <w:t xml:space="preserve"> IVL in upper limb</w:t>
            </w:r>
            <w:r w:rsidR="00BE4414">
              <w:rPr>
                <w:rFonts w:eastAsia="Times New Roman" w:cs="Arial"/>
                <w:bCs/>
                <w:snapToGrid w:val="0"/>
                <w:szCs w:val="20"/>
              </w:rPr>
              <w:t xml:space="preserve"> lesion</w:t>
            </w:r>
            <w:r w:rsidR="006029CA">
              <w:rPr>
                <w:rFonts w:eastAsia="Times New Roman" w:cs="Arial"/>
                <w:bCs/>
                <w:snapToGrid w:val="0"/>
                <w:szCs w:val="20"/>
              </w:rPr>
              <w:t>s.</w:t>
            </w:r>
          </w:p>
        </w:tc>
      </w:tr>
      <w:tr w:rsidR="00B65911" w:rsidRPr="00CE28E3" w14:paraId="22B03AAE" w14:textId="77777777" w:rsidTr="2F1EB167">
        <w:tc>
          <w:tcPr>
            <w:tcW w:w="705" w:type="pct"/>
            <w:tcBorders>
              <w:bottom w:val="nil"/>
            </w:tcBorders>
          </w:tcPr>
          <w:p w14:paraId="2B827529" w14:textId="77777777" w:rsidR="00F27077" w:rsidRDefault="00F27077" w:rsidP="00824458">
            <w:pPr>
              <w:pStyle w:val="TableText"/>
            </w:pPr>
            <w:r>
              <w:lastRenderedPageBreak/>
              <w:t>Economic analysis</w:t>
            </w:r>
          </w:p>
        </w:tc>
        <w:tc>
          <w:tcPr>
            <w:tcW w:w="2594" w:type="pct"/>
            <w:tcBorders>
              <w:bottom w:val="single" w:sz="4" w:space="0" w:color="auto"/>
            </w:tcBorders>
          </w:tcPr>
          <w:p w14:paraId="46D57FE2" w14:textId="664B8B3F" w:rsidR="00F27077" w:rsidRDefault="00F27077" w:rsidP="006C13F1">
            <w:pPr>
              <w:pStyle w:val="TableText"/>
            </w:pPr>
            <w:r w:rsidRPr="2F1EB167">
              <w:t xml:space="preserve">MSAC considered the </w:t>
            </w:r>
            <w:r w:rsidR="0023101E" w:rsidRPr="2F1EB167">
              <w:t xml:space="preserve">CUA </w:t>
            </w:r>
            <w:r w:rsidRPr="2F1EB167">
              <w:t xml:space="preserve">for the economic model was inappropriate due to the lack of evidence demonstrating an increase in </w:t>
            </w:r>
            <w:proofErr w:type="spellStart"/>
            <w:r w:rsidRPr="2F1EB167">
              <w:t>HRQoL</w:t>
            </w:r>
            <w:proofErr w:type="spellEnd"/>
            <w:r w:rsidRPr="2F1EB167">
              <w:t xml:space="preserve"> or other patent related outcome gains.</w:t>
            </w:r>
          </w:p>
          <w:p w14:paraId="0797E0B7" w14:textId="16E72E63" w:rsidR="00F27077" w:rsidRPr="00CE28E3" w:rsidRDefault="00F27077" w:rsidP="006C13F1">
            <w:pPr>
              <w:pStyle w:val="TableText"/>
            </w:pPr>
            <w:r w:rsidRPr="2F1EB167">
              <w:t xml:space="preserve">MSAC considered that a resubmission to address these problems would require a revised clinical care pathway to better capture the decision pathway used by proceduralists to determine use of IVL as a stand-alone or adjunct intervention. This information should serve as the basis for a revised economic model (inclusive of both uses) which is more appropriately a </w:t>
            </w:r>
            <w:r w:rsidR="0023101E" w:rsidRPr="2F1EB167">
              <w:t>CCA</w:t>
            </w:r>
            <w:r w:rsidRPr="2F1EB167">
              <w:t xml:space="preserve"> rather than a </w:t>
            </w:r>
            <w:r w:rsidR="0023101E" w:rsidRPr="2F1EB167">
              <w:t>CUA</w:t>
            </w:r>
            <w:r w:rsidRPr="2F1EB167">
              <w:t xml:space="preserve">. MSAC considered that a </w:t>
            </w:r>
            <w:r w:rsidR="0023101E" w:rsidRPr="2F1EB167">
              <w:t>CCA</w:t>
            </w:r>
            <w:r w:rsidRPr="2F1EB167">
              <w:t xml:space="preserve"> focusing on costs of the procedure, costs of changes in resource use (i.e. stents and balloons used) with the outcomes being procedural outcomes would be useful</w:t>
            </w:r>
            <w:r w:rsidR="00B267CC" w:rsidRPr="2F1EB167">
              <w:t xml:space="preserve">. </w:t>
            </w:r>
            <w:r w:rsidRPr="2F1EB167">
              <w:t>(PSD, p.1).</w:t>
            </w:r>
          </w:p>
        </w:tc>
        <w:tc>
          <w:tcPr>
            <w:tcW w:w="1701" w:type="pct"/>
            <w:tcBorders>
              <w:bottom w:val="single" w:sz="4" w:space="0" w:color="auto"/>
            </w:tcBorders>
          </w:tcPr>
          <w:p w14:paraId="54C09504" w14:textId="77777777" w:rsidR="00F27077" w:rsidRDefault="00F03AB2" w:rsidP="00824458">
            <w:pPr>
              <w:pStyle w:val="TableText"/>
              <w:rPr>
                <w:rFonts w:eastAsia="Times New Roman" w:cs="Arial"/>
                <w:bCs/>
                <w:snapToGrid w:val="0"/>
                <w:szCs w:val="20"/>
              </w:rPr>
            </w:pPr>
            <w:r>
              <w:rPr>
                <w:rFonts w:eastAsia="Times New Roman" w:cs="Arial"/>
                <w:bCs/>
                <w:snapToGrid w:val="0"/>
                <w:szCs w:val="20"/>
              </w:rPr>
              <w:t xml:space="preserve">Addressed. </w:t>
            </w:r>
          </w:p>
          <w:p w14:paraId="68947743" w14:textId="09D9E4E8" w:rsidR="00787D9A" w:rsidRPr="00CE28E3" w:rsidRDefault="00373DAB" w:rsidP="2F1EB167">
            <w:pPr>
              <w:pStyle w:val="TableText"/>
              <w:rPr>
                <w:rFonts w:eastAsia="Times New Roman" w:cs="Arial"/>
                <w:snapToGrid w:val="0"/>
              </w:rPr>
            </w:pPr>
            <w:r w:rsidRPr="2F1EB167">
              <w:rPr>
                <w:rFonts w:eastAsia="Times New Roman" w:cs="Arial"/>
                <w:snapToGrid w:val="0"/>
              </w:rPr>
              <w:t xml:space="preserve">The economic model was revised in the resubmission to a </w:t>
            </w:r>
            <w:r w:rsidR="000900CC" w:rsidRPr="2F1EB167">
              <w:rPr>
                <w:rFonts w:eastAsia="Times New Roman" w:cs="Arial"/>
                <w:snapToGrid w:val="0"/>
              </w:rPr>
              <w:t>CCA</w:t>
            </w:r>
            <w:r w:rsidRPr="2F1EB167">
              <w:rPr>
                <w:rFonts w:eastAsia="Times New Roman" w:cs="Arial"/>
                <w:snapToGrid w:val="0"/>
              </w:rPr>
              <w:t xml:space="preserve"> in order </w:t>
            </w:r>
            <w:proofErr w:type="gramStart"/>
            <w:r w:rsidRPr="2F1EB167">
              <w:rPr>
                <w:rFonts w:eastAsia="Times New Roman" w:cs="Arial"/>
                <w:snapToGrid w:val="0"/>
              </w:rPr>
              <w:t>take into account</w:t>
            </w:r>
            <w:proofErr w:type="gramEnd"/>
            <w:r w:rsidRPr="2F1EB167">
              <w:rPr>
                <w:rFonts w:eastAsia="Times New Roman" w:cs="Arial"/>
                <w:snapToGrid w:val="0"/>
              </w:rPr>
              <w:t xml:space="preserve"> the revised clinical care pathway and MSAC’s recommendation to focus on costs of the procedure, costs of changes in resource use (i.e. stents and balloons used) with the outcomes being procedural outcomes.</w:t>
            </w:r>
          </w:p>
        </w:tc>
      </w:tr>
      <w:tr w:rsidR="00B65911" w:rsidRPr="00CE28E3" w14:paraId="577E6BD9" w14:textId="77777777" w:rsidTr="2F1EB167">
        <w:tc>
          <w:tcPr>
            <w:tcW w:w="705" w:type="pct"/>
            <w:tcBorders>
              <w:top w:val="nil"/>
              <w:bottom w:val="single" w:sz="4" w:space="0" w:color="auto"/>
            </w:tcBorders>
          </w:tcPr>
          <w:p w14:paraId="31D11CD3" w14:textId="77777777" w:rsidR="00B75DDE" w:rsidRDefault="00B75DDE" w:rsidP="00824458">
            <w:pPr>
              <w:pStyle w:val="TableText"/>
            </w:pPr>
          </w:p>
        </w:tc>
        <w:tc>
          <w:tcPr>
            <w:tcW w:w="2594" w:type="pct"/>
            <w:tcBorders>
              <w:top w:val="single" w:sz="4" w:space="0" w:color="auto"/>
              <w:bottom w:val="single" w:sz="4" w:space="0" w:color="auto"/>
            </w:tcBorders>
          </w:tcPr>
          <w:p w14:paraId="3E4BA1B8" w14:textId="053ADB98" w:rsidR="00B75DDE" w:rsidRDefault="00B75DDE" w:rsidP="006C13F1">
            <w:pPr>
              <w:pStyle w:val="TableText"/>
            </w:pPr>
            <w:r w:rsidRPr="2F1EB167">
              <w:t xml:space="preserve">It </w:t>
            </w:r>
            <w:r w:rsidR="00D226E0" w:rsidRPr="2F1EB167">
              <w:t xml:space="preserve">[the CCA] </w:t>
            </w:r>
            <w:r w:rsidRPr="2F1EB167">
              <w:t xml:space="preserve">should focus on procedure costs and costs of changes in resource use (stents, balloons used, etc.), with the procedural outcome (patency vs lack of patency) as the </w:t>
            </w:r>
            <w:proofErr w:type="gramStart"/>
            <w:r w:rsidRPr="2F1EB167">
              <w:t>final outcome</w:t>
            </w:r>
            <w:proofErr w:type="gramEnd"/>
            <w:r w:rsidRPr="2F1EB167">
              <w:t>. (PSD, p.6)</w:t>
            </w:r>
          </w:p>
        </w:tc>
        <w:tc>
          <w:tcPr>
            <w:tcW w:w="1701" w:type="pct"/>
            <w:tcBorders>
              <w:top w:val="single" w:sz="4" w:space="0" w:color="auto"/>
              <w:bottom w:val="single" w:sz="4" w:space="0" w:color="auto"/>
            </w:tcBorders>
          </w:tcPr>
          <w:p w14:paraId="7687EC3A" w14:textId="3A96B200" w:rsidR="00B75DDE" w:rsidRDefault="005B3E0F" w:rsidP="2F1EB167">
            <w:pPr>
              <w:pStyle w:val="TableText"/>
              <w:rPr>
                <w:rFonts w:eastAsia="Times New Roman" w:cs="Arial"/>
                <w:snapToGrid w:val="0"/>
              </w:rPr>
            </w:pPr>
            <w:r w:rsidRPr="2F1EB167">
              <w:rPr>
                <w:rFonts w:eastAsia="Times New Roman" w:cs="Arial"/>
                <w:snapToGrid w:val="0"/>
              </w:rPr>
              <w:t xml:space="preserve">Addressed, although the </w:t>
            </w:r>
            <w:r w:rsidR="00704716" w:rsidRPr="2F1EB167">
              <w:rPr>
                <w:rFonts w:eastAsia="Times New Roman" w:cs="Arial"/>
                <w:snapToGrid w:val="0"/>
              </w:rPr>
              <w:t>CCA</w:t>
            </w:r>
            <w:r w:rsidRPr="2F1EB167">
              <w:rPr>
                <w:rFonts w:eastAsia="Times New Roman" w:cs="Arial"/>
                <w:snapToGrid w:val="0"/>
              </w:rPr>
              <w:t xml:space="preserve"> does not </w:t>
            </w:r>
            <w:r w:rsidR="00D55F2C" w:rsidRPr="2F1EB167">
              <w:rPr>
                <w:rFonts w:eastAsia="Times New Roman" w:cs="Arial"/>
                <w:snapToGrid w:val="0"/>
              </w:rPr>
              <w:t xml:space="preserve">explicitly </w:t>
            </w:r>
            <w:r w:rsidRPr="2F1EB167">
              <w:rPr>
                <w:rFonts w:eastAsia="Times New Roman" w:cs="Arial"/>
                <w:snapToGrid w:val="0"/>
              </w:rPr>
              <w:t xml:space="preserve">consider patency versus lack of patency as the </w:t>
            </w:r>
            <w:proofErr w:type="gramStart"/>
            <w:r w:rsidRPr="2F1EB167">
              <w:rPr>
                <w:rFonts w:eastAsia="Times New Roman" w:cs="Arial"/>
                <w:snapToGrid w:val="0"/>
              </w:rPr>
              <w:t>final outcome</w:t>
            </w:r>
            <w:proofErr w:type="gramEnd"/>
            <w:r w:rsidRPr="2F1EB167">
              <w:rPr>
                <w:rFonts w:eastAsia="Times New Roman" w:cs="Arial"/>
                <w:snapToGrid w:val="0"/>
              </w:rPr>
              <w:t>. The commentary consider</w:t>
            </w:r>
            <w:r w:rsidR="00DE1896" w:rsidRPr="2F1EB167">
              <w:rPr>
                <w:rFonts w:eastAsia="Times New Roman" w:cs="Arial"/>
                <w:snapToGrid w:val="0"/>
              </w:rPr>
              <w:t>ed</w:t>
            </w:r>
            <w:r w:rsidRPr="2F1EB167">
              <w:rPr>
                <w:rFonts w:eastAsia="Times New Roman" w:cs="Arial"/>
                <w:snapToGrid w:val="0"/>
              </w:rPr>
              <w:t xml:space="preserve"> the omission of this mechanical outcome to be reasonable, and the use of stents avoided, reinterventions </w:t>
            </w:r>
            <w:proofErr w:type="gramStart"/>
            <w:r w:rsidRPr="2F1EB167">
              <w:rPr>
                <w:rFonts w:eastAsia="Times New Roman" w:cs="Arial"/>
                <w:snapToGrid w:val="0"/>
              </w:rPr>
              <w:t>avoided</w:t>
            </w:r>
            <w:proofErr w:type="gramEnd"/>
            <w:r w:rsidRPr="2F1EB167">
              <w:rPr>
                <w:rFonts w:eastAsia="Times New Roman" w:cs="Arial"/>
                <w:snapToGrid w:val="0"/>
              </w:rPr>
              <w:t xml:space="preserve"> and amputations avoided to be appropriate consequences for the CCA.</w:t>
            </w:r>
          </w:p>
        </w:tc>
      </w:tr>
      <w:tr w:rsidR="00B24991" w:rsidRPr="00CE28E3" w14:paraId="0F2702C6" w14:textId="77777777" w:rsidTr="2F1EB167">
        <w:tc>
          <w:tcPr>
            <w:tcW w:w="705" w:type="pct"/>
            <w:tcBorders>
              <w:bottom w:val="single" w:sz="4" w:space="0" w:color="auto"/>
            </w:tcBorders>
          </w:tcPr>
          <w:p w14:paraId="0A51BF51" w14:textId="12835CA6" w:rsidR="00880802" w:rsidRDefault="0013348F" w:rsidP="00824458">
            <w:pPr>
              <w:pStyle w:val="TableText"/>
            </w:pPr>
            <w:r>
              <w:t xml:space="preserve">Probabilities </w:t>
            </w:r>
            <w:r w:rsidR="00D326CF">
              <w:t>relevant to the CCA</w:t>
            </w:r>
          </w:p>
        </w:tc>
        <w:tc>
          <w:tcPr>
            <w:tcW w:w="2594" w:type="pct"/>
            <w:tcBorders>
              <w:bottom w:val="single" w:sz="4" w:space="0" w:color="auto"/>
            </w:tcBorders>
          </w:tcPr>
          <w:p w14:paraId="42297210" w14:textId="4CAA1E3F" w:rsidR="00B30F00" w:rsidRDefault="00B30F00" w:rsidP="00306A50">
            <w:pPr>
              <w:pStyle w:val="TableText"/>
            </w:pPr>
            <w:r>
              <w:t>Rate of stenting after the intervention:</w:t>
            </w:r>
          </w:p>
          <w:p w14:paraId="35F1BC49" w14:textId="140A3701" w:rsidR="00897A8A" w:rsidRDefault="007D6191" w:rsidP="00306A50">
            <w:pPr>
              <w:pStyle w:val="TableText"/>
            </w:pPr>
            <w:r>
              <w:t>T</w:t>
            </w:r>
            <w:r w:rsidR="00E2029F">
              <w:t xml:space="preserve">he ADAR used MBS data instead of trial-based data, but the MBS items were not specific enough to be used reliably, </w:t>
            </w:r>
            <w:r w:rsidR="00C923D7">
              <w:t xml:space="preserve">and </w:t>
            </w:r>
            <w:r w:rsidR="00E2029F">
              <w:t>the ADAR still applied the relative risk data from the trial which then overestimated the percentage of stenting avoided with the use of IVL. (PSD, p.5)</w:t>
            </w:r>
          </w:p>
          <w:p w14:paraId="7D2536E7" w14:textId="6068F350" w:rsidR="00B30F00" w:rsidRPr="001C4A40" w:rsidRDefault="00B30F00" w:rsidP="00306A50">
            <w:pPr>
              <w:pStyle w:val="TableText"/>
            </w:pPr>
            <w:r w:rsidRPr="2F1EB167">
              <w:t xml:space="preserve">MSAC considered the rate of stenting to be a major cause of uncertainty in the economic model and ICER. MSAC noted the pre-MSAC response, which advised that the Australasian Vascular Audit suggests a stenting rate of about 36.6% </w:t>
            </w:r>
            <w:r w:rsidRPr="2F1EB167">
              <w:lastRenderedPageBreak/>
              <w:t>(compared with 4% vs 18% stenting rates used in the DISRUPT PAD III trial). (PSD, p.5)</w:t>
            </w:r>
          </w:p>
        </w:tc>
        <w:tc>
          <w:tcPr>
            <w:tcW w:w="1701" w:type="pct"/>
            <w:tcBorders>
              <w:bottom w:val="single" w:sz="4" w:space="0" w:color="auto"/>
            </w:tcBorders>
          </w:tcPr>
          <w:p w14:paraId="4D1CC323" w14:textId="77777777" w:rsidR="00776E36" w:rsidRDefault="00776E36" w:rsidP="00776E36">
            <w:pPr>
              <w:pStyle w:val="TableText"/>
              <w:rPr>
                <w:rFonts w:eastAsia="Times New Roman" w:cs="Arial"/>
                <w:bCs/>
                <w:snapToGrid w:val="0"/>
                <w:szCs w:val="20"/>
              </w:rPr>
            </w:pPr>
            <w:r>
              <w:rPr>
                <w:rFonts w:eastAsia="Times New Roman" w:cs="Arial"/>
                <w:bCs/>
                <w:snapToGrid w:val="0"/>
                <w:szCs w:val="20"/>
              </w:rPr>
              <w:lastRenderedPageBreak/>
              <w:t>Partially addressed.</w:t>
            </w:r>
          </w:p>
          <w:p w14:paraId="45B915FE" w14:textId="27904DC4" w:rsidR="00F11563" w:rsidRDefault="00776E36" w:rsidP="00776E36">
            <w:pPr>
              <w:pStyle w:val="TableText"/>
              <w:rPr>
                <w:rFonts w:eastAsia="Times New Roman" w:cs="Arial"/>
                <w:bCs/>
                <w:snapToGrid w:val="0"/>
                <w:szCs w:val="20"/>
              </w:rPr>
            </w:pPr>
            <w:r w:rsidRPr="00CC093A">
              <w:rPr>
                <w:rFonts w:eastAsia="Times New Roman" w:cs="Arial"/>
                <w:bCs/>
                <w:snapToGrid w:val="0"/>
                <w:szCs w:val="20"/>
              </w:rPr>
              <w:t xml:space="preserve">The resubmission </w:t>
            </w:r>
            <w:r w:rsidR="005C581D">
              <w:rPr>
                <w:rFonts w:eastAsia="Times New Roman" w:cs="Arial"/>
                <w:bCs/>
                <w:snapToGrid w:val="0"/>
                <w:szCs w:val="20"/>
              </w:rPr>
              <w:t>applied</w:t>
            </w:r>
            <w:r w:rsidRPr="00CC093A">
              <w:rPr>
                <w:rFonts w:eastAsia="Times New Roman" w:cs="Arial"/>
                <w:bCs/>
                <w:snapToGrid w:val="0"/>
                <w:szCs w:val="20"/>
              </w:rPr>
              <w:t xml:space="preserve"> stenting rates</w:t>
            </w:r>
            <w:r w:rsidR="00B35994">
              <w:rPr>
                <w:rFonts w:eastAsia="Times New Roman" w:cs="Arial"/>
                <w:bCs/>
                <w:snapToGrid w:val="0"/>
                <w:szCs w:val="20"/>
              </w:rPr>
              <w:t xml:space="preserve"> directly</w:t>
            </w:r>
            <w:r w:rsidR="00603B39">
              <w:rPr>
                <w:rFonts w:eastAsia="Times New Roman" w:cs="Arial"/>
                <w:bCs/>
                <w:snapToGrid w:val="0"/>
                <w:szCs w:val="20"/>
              </w:rPr>
              <w:t xml:space="preserve"> from the DISRUPT PAD III RCT</w:t>
            </w:r>
            <w:r w:rsidR="00A073E6">
              <w:rPr>
                <w:rFonts w:eastAsia="Times New Roman" w:cs="Arial"/>
                <w:bCs/>
                <w:snapToGrid w:val="0"/>
                <w:szCs w:val="20"/>
              </w:rPr>
              <w:t>.</w:t>
            </w:r>
            <w:r w:rsidRPr="00CC093A">
              <w:rPr>
                <w:rFonts w:eastAsia="Times New Roman" w:cs="Arial"/>
                <w:bCs/>
                <w:snapToGrid w:val="0"/>
                <w:szCs w:val="20"/>
              </w:rPr>
              <w:t xml:space="preserve"> </w:t>
            </w:r>
            <w:r w:rsidR="00A073E6">
              <w:rPr>
                <w:rFonts w:eastAsia="Times New Roman" w:cs="Arial"/>
                <w:bCs/>
                <w:snapToGrid w:val="0"/>
                <w:szCs w:val="20"/>
              </w:rPr>
              <w:t xml:space="preserve">The baseline stenting rate </w:t>
            </w:r>
            <w:r w:rsidR="0009176B">
              <w:rPr>
                <w:rFonts w:eastAsia="Times New Roman" w:cs="Arial"/>
                <w:bCs/>
                <w:snapToGrid w:val="0"/>
                <w:szCs w:val="20"/>
              </w:rPr>
              <w:t>i</w:t>
            </w:r>
            <w:r w:rsidR="00BD6DDF">
              <w:rPr>
                <w:rFonts w:eastAsia="Times New Roman" w:cs="Arial"/>
                <w:bCs/>
                <w:snapToGrid w:val="0"/>
                <w:szCs w:val="20"/>
              </w:rPr>
              <w:t>n this trial was</w:t>
            </w:r>
            <w:r w:rsidR="0009176B">
              <w:rPr>
                <w:rFonts w:eastAsia="Times New Roman" w:cs="Arial"/>
                <w:bCs/>
                <w:snapToGrid w:val="0"/>
                <w:szCs w:val="20"/>
              </w:rPr>
              <w:t xml:space="preserve"> </w:t>
            </w:r>
            <w:r w:rsidR="00BD6DDF">
              <w:rPr>
                <w:rFonts w:eastAsia="Times New Roman" w:cs="Arial"/>
                <w:bCs/>
                <w:snapToGrid w:val="0"/>
                <w:szCs w:val="20"/>
              </w:rPr>
              <w:t xml:space="preserve">lower than seen in the </w:t>
            </w:r>
            <w:r w:rsidRPr="00CC093A">
              <w:rPr>
                <w:rFonts w:eastAsia="Times New Roman" w:cs="Arial"/>
                <w:bCs/>
                <w:snapToGrid w:val="0"/>
                <w:szCs w:val="20"/>
              </w:rPr>
              <w:t>Australian setting</w:t>
            </w:r>
            <w:r w:rsidR="00BD6DDF">
              <w:rPr>
                <w:rFonts w:eastAsia="Times New Roman" w:cs="Arial"/>
                <w:bCs/>
                <w:snapToGrid w:val="0"/>
                <w:szCs w:val="20"/>
              </w:rPr>
              <w:t xml:space="preserve"> and raises applicability concerns</w:t>
            </w:r>
            <w:r w:rsidRPr="00CC093A">
              <w:rPr>
                <w:rFonts w:eastAsia="Times New Roman" w:cs="Arial"/>
                <w:bCs/>
                <w:snapToGrid w:val="0"/>
                <w:szCs w:val="20"/>
              </w:rPr>
              <w:t xml:space="preserve">. Data from the </w:t>
            </w:r>
            <w:r w:rsidR="00B04247">
              <w:rPr>
                <w:rFonts w:eastAsia="Times New Roman" w:cs="Arial"/>
                <w:bCs/>
                <w:snapToGrid w:val="0"/>
                <w:szCs w:val="20"/>
              </w:rPr>
              <w:t xml:space="preserve">AVA </w:t>
            </w:r>
            <w:r w:rsidRPr="00CC093A">
              <w:rPr>
                <w:rFonts w:eastAsia="Times New Roman" w:cs="Arial"/>
                <w:bCs/>
                <w:snapToGrid w:val="0"/>
                <w:szCs w:val="20"/>
              </w:rPr>
              <w:t xml:space="preserve">were used in a sensitivity analysis </w:t>
            </w:r>
            <w:r w:rsidR="00BD6DDF">
              <w:rPr>
                <w:rFonts w:eastAsia="Times New Roman" w:cs="Arial"/>
                <w:bCs/>
                <w:snapToGrid w:val="0"/>
                <w:szCs w:val="20"/>
              </w:rPr>
              <w:t xml:space="preserve">in the resubmission </w:t>
            </w:r>
            <w:r w:rsidRPr="00CC093A">
              <w:rPr>
                <w:rFonts w:eastAsia="Times New Roman" w:cs="Arial"/>
                <w:bCs/>
                <w:snapToGrid w:val="0"/>
                <w:szCs w:val="20"/>
              </w:rPr>
              <w:t>but were inappropriately applied.</w:t>
            </w:r>
          </w:p>
          <w:p w14:paraId="17B829C4" w14:textId="1664AABA" w:rsidR="00C5416D" w:rsidRDefault="00776E36" w:rsidP="2F1EB167">
            <w:pPr>
              <w:pStyle w:val="TableText"/>
              <w:rPr>
                <w:rFonts w:eastAsia="Times New Roman" w:cs="Arial"/>
                <w:snapToGrid w:val="0"/>
              </w:rPr>
            </w:pPr>
            <w:r w:rsidRPr="2F1EB167">
              <w:rPr>
                <w:rFonts w:eastAsia="Times New Roman" w:cs="Arial"/>
                <w:snapToGrid w:val="0"/>
              </w:rPr>
              <w:lastRenderedPageBreak/>
              <w:t>The commentary provided an alternative base case</w:t>
            </w:r>
            <w:r w:rsidR="00FD6590" w:rsidRPr="2F1EB167">
              <w:rPr>
                <w:rFonts w:eastAsia="Times New Roman" w:cs="Arial"/>
                <w:snapToGrid w:val="0"/>
              </w:rPr>
              <w:t xml:space="preserve"> </w:t>
            </w:r>
            <w:r w:rsidR="009E530D" w:rsidRPr="2F1EB167">
              <w:rPr>
                <w:rFonts w:eastAsia="Times New Roman" w:cs="Arial"/>
                <w:snapToGrid w:val="0"/>
              </w:rPr>
              <w:t>that applied the relative risk from DISRUPT PAD III to</w:t>
            </w:r>
            <w:r w:rsidR="00FD6590" w:rsidRPr="2F1EB167">
              <w:rPr>
                <w:rFonts w:eastAsia="Times New Roman" w:cs="Arial"/>
                <w:snapToGrid w:val="0"/>
              </w:rPr>
              <w:t xml:space="preserve"> AVA data</w:t>
            </w:r>
            <w:r w:rsidRPr="2F1EB167">
              <w:rPr>
                <w:rFonts w:eastAsia="Times New Roman" w:cs="Arial"/>
                <w:snapToGrid w:val="0"/>
              </w:rPr>
              <w:t>.</w:t>
            </w:r>
            <w:r w:rsidR="00F70390" w:rsidRPr="2F1EB167">
              <w:rPr>
                <w:rFonts w:eastAsia="Times New Roman" w:cs="Arial"/>
                <w:snapToGrid w:val="0"/>
              </w:rPr>
              <w:t xml:space="preserve"> However, </w:t>
            </w:r>
            <w:r w:rsidR="000A26D8" w:rsidRPr="2F1EB167">
              <w:rPr>
                <w:rFonts w:eastAsia="Times New Roman" w:cs="Arial"/>
                <w:snapToGrid w:val="0"/>
              </w:rPr>
              <w:t xml:space="preserve">concerns remain </w:t>
            </w:r>
            <w:r w:rsidR="00E76E93" w:rsidRPr="2F1EB167">
              <w:rPr>
                <w:rFonts w:eastAsia="Times New Roman" w:cs="Arial"/>
                <w:snapToGrid w:val="0"/>
              </w:rPr>
              <w:t>about the relative risk reduction of stenting observed in the RCT</w:t>
            </w:r>
            <w:r w:rsidR="00881C10" w:rsidRPr="2F1EB167">
              <w:rPr>
                <w:rFonts w:eastAsia="Times New Roman" w:cs="Arial"/>
                <w:snapToGrid w:val="0"/>
              </w:rPr>
              <w:t>, which</w:t>
            </w:r>
            <w:r w:rsidR="00E76E93" w:rsidRPr="2F1EB167">
              <w:rPr>
                <w:rFonts w:eastAsia="Times New Roman" w:cs="Arial"/>
                <w:snapToGrid w:val="0"/>
              </w:rPr>
              <w:t xml:space="preserve"> </w:t>
            </w:r>
            <w:r w:rsidR="00881C10" w:rsidRPr="2F1EB167">
              <w:rPr>
                <w:rFonts w:eastAsia="Times New Roman" w:cs="Arial"/>
                <w:snapToGrid w:val="0"/>
              </w:rPr>
              <w:t>results in</w:t>
            </w:r>
            <w:r w:rsidR="00C5416D" w:rsidRPr="2F1EB167">
              <w:rPr>
                <w:rFonts w:eastAsia="Times New Roman" w:cs="Arial"/>
                <w:snapToGrid w:val="0"/>
              </w:rPr>
              <w:t xml:space="preserve"> a large decrease in absolute stenting rates that may be unrealistic to expect in clinical practice.</w:t>
            </w:r>
          </w:p>
        </w:tc>
      </w:tr>
      <w:tr w:rsidR="00047115" w:rsidRPr="00CE28E3" w14:paraId="2C2F77D0" w14:textId="77777777" w:rsidTr="2F1EB167">
        <w:tc>
          <w:tcPr>
            <w:tcW w:w="705" w:type="pct"/>
            <w:tcBorders>
              <w:top w:val="single" w:sz="4" w:space="0" w:color="auto"/>
              <w:bottom w:val="nil"/>
            </w:tcBorders>
          </w:tcPr>
          <w:p w14:paraId="4818F740" w14:textId="1FFE6C76" w:rsidR="00726CC3" w:rsidRPr="00CE28E3" w:rsidRDefault="00966F85" w:rsidP="006F2E4D">
            <w:pPr>
              <w:pStyle w:val="TableText"/>
              <w:keepNext/>
            </w:pPr>
            <w:r>
              <w:lastRenderedPageBreak/>
              <w:t>Costs relevant to the CCA</w:t>
            </w:r>
          </w:p>
        </w:tc>
        <w:tc>
          <w:tcPr>
            <w:tcW w:w="2594" w:type="pct"/>
            <w:tcBorders>
              <w:top w:val="single" w:sz="4" w:space="0" w:color="auto"/>
              <w:bottom w:val="single" w:sz="4" w:space="0" w:color="auto"/>
            </w:tcBorders>
          </w:tcPr>
          <w:p w14:paraId="23059646" w14:textId="77777777" w:rsidR="00016317" w:rsidRDefault="00343AF3" w:rsidP="006F2E4D">
            <w:pPr>
              <w:pStyle w:val="TableText"/>
              <w:keepNext/>
            </w:pPr>
            <w:r w:rsidRPr="00343AF3">
              <w:t xml:space="preserve">Healthcare resource use and cost: </w:t>
            </w:r>
          </w:p>
          <w:p w14:paraId="00D231DD" w14:textId="0B7E6BFE" w:rsidR="00726CC3" w:rsidRPr="00CE28E3" w:rsidRDefault="00343AF3" w:rsidP="006F2E4D">
            <w:pPr>
              <w:pStyle w:val="TableText"/>
              <w:keepNext/>
            </w:pPr>
            <w:r w:rsidRPr="2F1EB167">
              <w:t xml:space="preserve">DES costs were used, which are very expensive and not reflective of Australian practice (which uses </w:t>
            </w:r>
            <w:r w:rsidR="00647F18" w:rsidRPr="2F1EB167">
              <w:t>BMS</w:t>
            </w:r>
            <w:r w:rsidRPr="2F1EB167">
              <w:t>).</w:t>
            </w:r>
            <w:r w:rsidR="00592701" w:rsidRPr="2F1EB167">
              <w:t xml:space="preserve"> (PSD, p.5)</w:t>
            </w:r>
          </w:p>
        </w:tc>
        <w:tc>
          <w:tcPr>
            <w:tcW w:w="1701" w:type="pct"/>
            <w:tcBorders>
              <w:top w:val="single" w:sz="4" w:space="0" w:color="auto"/>
              <w:bottom w:val="single" w:sz="4" w:space="0" w:color="auto"/>
            </w:tcBorders>
          </w:tcPr>
          <w:p w14:paraId="169A6ADF" w14:textId="77777777" w:rsidR="00726CC3" w:rsidRDefault="007B5A08" w:rsidP="006F2E4D">
            <w:pPr>
              <w:pStyle w:val="TableText"/>
              <w:keepNext/>
              <w:rPr>
                <w:rFonts w:eastAsia="Times New Roman" w:cs="Arial"/>
                <w:bCs/>
                <w:snapToGrid w:val="0"/>
                <w:szCs w:val="20"/>
              </w:rPr>
            </w:pPr>
            <w:r>
              <w:rPr>
                <w:rFonts w:eastAsia="Times New Roman" w:cs="Arial"/>
                <w:bCs/>
                <w:snapToGrid w:val="0"/>
                <w:szCs w:val="20"/>
              </w:rPr>
              <w:t>Addressed.</w:t>
            </w:r>
          </w:p>
          <w:p w14:paraId="1ACFAD13" w14:textId="31B5E4CB" w:rsidR="007B5A08" w:rsidRPr="00CE28E3" w:rsidRDefault="00647F18" w:rsidP="006F2E4D">
            <w:pPr>
              <w:pStyle w:val="TableText"/>
              <w:keepNext/>
              <w:rPr>
                <w:rFonts w:eastAsia="Times New Roman" w:cs="Arial"/>
                <w:bCs/>
                <w:snapToGrid w:val="0"/>
                <w:szCs w:val="20"/>
              </w:rPr>
            </w:pPr>
            <w:r>
              <w:rPr>
                <w:rFonts w:eastAsia="Times New Roman" w:cs="Arial"/>
                <w:bCs/>
                <w:snapToGrid w:val="0"/>
                <w:szCs w:val="20"/>
              </w:rPr>
              <w:t>BMS</w:t>
            </w:r>
            <w:r w:rsidR="00CF7282" w:rsidRPr="00CF7282">
              <w:rPr>
                <w:rFonts w:eastAsia="Times New Roman" w:cs="Arial"/>
                <w:bCs/>
                <w:snapToGrid w:val="0"/>
                <w:szCs w:val="20"/>
              </w:rPr>
              <w:t xml:space="preserve"> costs were used in the economic analysis.</w:t>
            </w:r>
          </w:p>
        </w:tc>
      </w:tr>
      <w:tr w:rsidR="00B65911" w:rsidRPr="00CE28E3" w14:paraId="419C6038" w14:textId="77777777" w:rsidTr="2F1EB167">
        <w:tc>
          <w:tcPr>
            <w:tcW w:w="705" w:type="pct"/>
            <w:tcBorders>
              <w:top w:val="nil"/>
            </w:tcBorders>
          </w:tcPr>
          <w:p w14:paraId="524125C9" w14:textId="77777777" w:rsidR="00726CC3" w:rsidRPr="00CE28E3" w:rsidRDefault="00726CC3" w:rsidP="00824458">
            <w:pPr>
              <w:pStyle w:val="TableText"/>
            </w:pPr>
          </w:p>
        </w:tc>
        <w:tc>
          <w:tcPr>
            <w:tcW w:w="2594" w:type="pct"/>
            <w:tcBorders>
              <w:top w:val="single" w:sz="4" w:space="0" w:color="auto"/>
            </w:tcBorders>
          </w:tcPr>
          <w:p w14:paraId="285379EF" w14:textId="06F011F5" w:rsidR="00726CC3" w:rsidRPr="00CE28E3" w:rsidRDefault="009E60AC" w:rsidP="00016317">
            <w:pPr>
              <w:pStyle w:val="TableText"/>
            </w:pPr>
            <w:r w:rsidRPr="009E60AC">
              <w:t>IVL generator costs and fluoroscopy costs were not included.</w:t>
            </w:r>
            <w:r w:rsidR="00592701">
              <w:t xml:space="preserve"> (PSD, p.5)</w:t>
            </w:r>
          </w:p>
        </w:tc>
        <w:tc>
          <w:tcPr>
            <w:tcW w:w="1701" w:type="pct"/>
            <w:tcBorders>
              <w:top w:val="single" w:sz="4" w:space="0" w:color="auto"/>
            </w:tcBorders>
          </w:tcPr>
          <w:p w14:paraId="5BFF0F41" w14:textId="242B9382" w:rsidR="00726CC3" w:rsidRDefault="006865A5" w:rsidP="00824458">
            <w:pPr>
              <w:pStyle w:val="TableText"/>
              <w:rPr>
                <w:rFonts w:eastAsia="Times New Roman" w:cs="Arial"/>
                <w:bCs/>
                <w:snapToGrid w:val="0"/>
                <w:szCs w:val="20"/>
              </w:rPr>
            </w:pPr>
            <w:r>
              <w:rPr>
                <w:rFonts w:eastAsia="Times New Roman" w:cs="Arial"/>
                <w:bCs/>
                <w:snapToGrid w:val="0"/>
                <w:szCs w:val="20"/>
              </w:rPr>
              <w:t>Partially</w:t>
            </w:r>
            <w:r w:rsidR="00CF7282">
              <w:rPr>
                <w:rFonts w:eastAsia="Times New Roman" w:cs="Arial"/>
                <w:bCs/>
                <w:snapToGrid w:val="0"/>
                <w:szCs w:val="20"/>
              </w:rPr>
              <w:t xml:space="preserve"> addressed.</w:t>
            </w:r>
          </w:p>
          <w:p w14:paraId="5DC8FDF9" w14:textId="397955DB" w:rsidR="00A02F3D" w:rsidRPr="00A02F3D" w:rsidRDefault="00A02F3D" w:rsidP="2F1EB167">
            <w:pPr>
              <w:pStyle w:val="TableText"/>
              <w:rPr>
                <w:rFonts w:eastAsia="Times New Roman" w:cs="Arial"/>
                <w:snapToGrid w:val="0"/>
                <w:lang w:val="en-GB"/>
              </w:rPr>
            </w:pPr>
            <w:r w:rsidRPr="7DEC5E09">
              <w:rPr>
                <w:rFonts w:eastAsia="Times New Roman" w:cs="Arial"/>
                <w:snapToGrid w:val="0"/>
                <w:lang w:val="en-GB"/>
              </w:rPr>
              <w:t xml:space="preserve">The cost of the IVL generator and multi-use connectors were not captured in the </w:t>
            </w:r>
            <w:r w:rsidR="00CB68F3" w:rsidRPr="7DEC5E09">
              <w:rPr>
                <w:rFonts w:eastAsia="Times New Roman" w:cs="Arial"/>
                <w:snapToGrid w:val="0"/>
                <w:lang w:val="en-GB"/>
              </w:rPr>
              <w:t xml:space="preserve">resubmission’s </w:t>
            </w:r>
            <w:r w:rsidRPr="7DEC5E09">
              <w:rPr>
                <w:rFonts w:eastAsia="Times New Roman" w:cs="Arial"/>
                <w:snapToGrid w:val="0"/>
                <w:lang w:val="en-GB"/>
              </w:rPr>
              <w:t>economic analysis nor disclosed in the original ADAR or the resubmission.</w:t>
            </w:r>
            <w:r w:rsidR="006865A5" w:rsidRPr="7DEC5E09">
              <w:rPr>
                <w:rFonts w:eastAsia="Times New Roman" w:cs="Arial"/>
                <w:snapToGrid w:val="0"/>
                <w:lang w:val="en-GB"/>
              </w:rPr>
              <w:t xml:space="preserve"> In its pre-MSAC response, the applicant confirmed that the IVL generator and multi-use connectors would continue to be provided to the hospitals on loan, resulting in no extra cost associated with IVL other than what has been captured in the current CCA and financial estimates. Additionally, under conditions of the loan, all maintenance, servicing and additional costs are borne by the manufacturer, and no foreseeable long-term costs will be borne by the health budget or hospitals.</w:t>
            </w:r>
          </w:p>
          <w:p w14:paraId="257982D1" w14:textId="49623A89" w:rsidR="00CF7282" w:rsidRPr="00CE28E3" w:rsidRDefault="00A02F3D" w:rsidP="00A02F3D">
            <w:pPr>
              <w:pStyle w:val="TableText"/>
              <w:rPr>
                <w:rFonts w:eastAsia="Times New Roman" w:cs="Arial"/>
                <w:bCs/>
                <w:snapToGrid w:val="0"/>
                <w:szCs w:val="20"/>
              </w:rPr>
            </w:pPr>
            <w:r w:rsidRPr="00A02F3D">
              <w:rPr>
                <w:rFonts w:eastAsia="Times New Roman" w:cs="Arial"/>
                <w:bCs/>
                <w:snapToGrid w:val="0"/>
                <w:szCs w:val="20"/>
              </w:rPr>
              <w:t xml:space="preserve">The cost of fluoroscopy </w:t>
            </w:r>
            <w:r w:rsidR="00CB68F3">
              <w:rPr>
                <w:rFonts w:eastAsia="Times New Roman" w:cs="Arial"/>
                <w:bCs/>
                <w:snapToGrid w:val="0"/>
                <w:szCs w:val="20"/>
              </w:rPr>
              <w:t>wa</w:t>
            </w:r>
            <w:r w:rsidRPr="00A02F3D">
              <w:rPr>
                <w:rFonts w:eastAsia="Times New Roman" w:cs="Arial"/>
                <w:bCs/>
                <w:snapToGrid w:val="0"/>
                <w:szCs w:val="20"/>
              </w:rPr>
              <w:t>s not considered, though it is not expected to differ between the intervention and comparator for the index procedure.</w:t>
            </w:r>
          </w:p>
        </w:tc>
      </w:tr>
      <w:tr w:rsidR="002A4648" w:rsidRPr="00CE28E3" w14:paraId="2DF6FE69" w14:textId="77777777" w:rsidTr="2F1EB167">
        <w:tc>
          <w:tcPr>
            <w:tcW w:w="705" w:type="pct"/>
          </w:tcPr>
          <w:p w14:paraId="27242B72" w14:textId="2C5FC3F8" w:rsidR="00726CC3" w:rsidRPr="00CE28E3" w:rsidRDefault="00035BBD" w:rsidP="00824458">
            <w:pPr>
              <w:pStyle w:val="TableText"/>
            </w:pPr>
            <w:r>
              <w:t>Consumables and out-of-pocket costs</w:t>
            </w:r>
          </w:p>
        </w:tc>
        <w:tc>
          <w:tcPr>
            <w:tcW w:w="2594" w:type="pct"/>
          </w:tcPr>
          <w:p w14:paraId="31A38BDB" w14:textId="223C41E3" w:rsidR="00726CC3" w:rsidRPr="00CE28E3" w:rsidRDefault="00035BBD" w:rsidP="00824458">
            <w:pPr>
              <w:pStyle w:val="TableText"/>
              <w:rPr>
                <w:lang w:val="en-GB"/>
              </w:rPr>
            </w:pPr>
            <w:r w:rsidRPr="7DEC5E09">
              <w:rPr>
                <w:lang w:val="en-GB"/>
              </w:rPr>
              <w:t>MSAC requested that the sponsor clarify the cost of consumables and any potential out-of-pocket costs for patients in the resubmission. (p.6)</w:t>
            </w:r>
          </w:p>
        </w:tc>
        <w:tc>
          <w:tcPr>
            <w:tcW w:w="1701" w:type="pct"/>
          </w:tcPr>
          <w:p w14:paraId="5E7187BB" w14:textId="123FF7B2" w:rsidR="00726CC3" w:rsidRDefault="004B37AF" w:rsidP="00824458">
            <w:pPr>
              <w:pStyle w:val="TableText"/>
              <w:rPr>
                <w:rFonts w:eastAsia="Times New Roman" w:cs="Arial"/>
                <w:bCs/>
                <w:snapToGrid w:val="0"/>
                <w:szCs w:val="20"/>
              </w:rPr>
            </w:pPr>
            <w:r>
              <w:rPr>
                <w:rFonts w:eastAsia="Times New Roman" w:cs="Arial"/>
                <w:bCs/>
                <w:snapToGrid w:val="0"/>
                <w:szCs w:val="20"/>
              </w:rPr>
              <w:t>A</w:t>
            </w:r>
            <w:r w:rsidR="009713AD">
              <w:rPr>
                <w:rFonts w:eastAsia="Times New Roman" w:cs="Arial"/>
                <w:bCs/>
                <w:snapToGrid w:val="0"/>
                <w:szCs w:val="20"/>
              </w:rPr>
              <w:t>ddressed.</w:t>
            </w:r>
          </w:p>
          <w:p w14:paraId="6A39296C" w14:textId="5A84305F" w:rsidR="009713AD" w:rsidRPr="00CE28E3" w:rsidRDefault="00F12AAA" w:rsidP="2F1EB167">
            <w:pPr>
              <w:pStyle w:val="TableText"/>
              <w:rPr>
                <w:rFonts w:eastAsia="Times New Roman" w:cs="Arial"/>
                <w:snapToGrid w:val="0"/>
              </w:rPr>
            </w:pPr>
            <w:r w:rsidRPr="46356ED0">
              <w:rPr>
                <w:rFonts w:eastAsia="Times New Roman" w:cs="Arial"/>
                <w:snapToGrid w:val="0"/>
              </w:rPr>
              <w:t xml:space="preserve">Costs </w:t>
            </w:r>
            <w:r w:rsidR="007E6499" w:rsidRPr="46356ED0">
              <w:rPr>
                <w:rFonts w:eastAsia="Times New Roman" w:cs="Arial"/>
                <w:snapToGrid w:val="0"/>
              </w:rPr>
              <w:t>we</w:t>
            </w:r>
            <w:r w:rsidRPr="46356ED0">
              <w:rPr>
                <w:rFonts w:eastAsia="Times New Roman" w:cs="Arial"/>
                <w:snapToGrid w:val="0"/>
              </w:rPr>
              <w:t xml:space="preserve">re clarified and disaggregated in the </w:t>
            </w:r>
            <w:r w:rsidR="00D14A6C" w:rsidRPr="46356ED0">
              <w:rPr>
                <w:rFonts w:eastAsia="Times New Roman" w:cs="Arial"/>
                <w:snapToGrid w:val="0"/>
              </w:rPr>
              <w:t xml:space="preserve">resubmission’s </w:t>
            </w:r>
            <w:r w:rsidRPr="46356ED0">
              <w:rPr>
                <w:rFonts w:eastAsia="Times New Roman" w:cs="Arial"/>
                <w:snapToGrid w:val="0"/>
              </w:rPr>
              <w:t xml:space="preserve">economic and financial analyses. </w:t>
            </w:r>
            <w:r w:rsidR="007E6499" w:rsidRPr="46356ED0">
              <w:rPr>
                <w:rFonts w:eastAsia="Times New Roman" w:cs="Arial"/>
                <w:snapToGrid w:val="0"/>
              </w:rPr>
              <w:t>The a</w:t>
            </w:r>
            <w:r w:rsidR="009713AD" w:rsidRPr="46356ED0">
              <w:rPr>
                <w:rFonts w:eastAsia="Times New Roman" w:cs="Arial"/>
                <w:snapToGrid w:val="0"/>
              </w:rPr>
              <w:t>nalyses capture</w:t>
            </w:r>
            <w:r w:rsidR="007E6499" w:rsidRPr="46356ED0">
              <w:rPr>
                <w:rFonts w:eastAsia="Times New Roman" w:cs="Arial"/>
                <w:snapToGrid w:val="0"/>
              </w:rPr>
              <w:t>d</w:t>
            </w:r>
            <w:r w:rsidR="009713AD" w:rsidRPr="46356ED0">
              <w:rPr>
                <w:rFonts w:eastAsia="Times New Roman" w:cs="Arial"/>
                <w:snapToGrid w:val="0"/>
              </w:rPr>
              <w:t xml:space="preserve"> the cost of IVL catheter</w:t>
            </w:r>
            <w:r w:rsidR="00063B3C" w:rsidRPr="46356ED0">
              <w:rPr>
                <w:rFonts w:eastAsia="Times New Roman" w:cs="Arial"/>
                <w:snapToGrid w:val="0"/>
              </w:rPr>
              <w:t>s</w:t>
            </w:r>
            <w:r w:rsidR="004B37AF" w:rsidRPr="46356ED0">
              <w:rPr>
                <w:rFonts w:eastAsia="Times New Roman" w:cs="Arial"/>
                <w:snapToGrid w:val="0"/>
              </w:rPr>
              <w:t xml:space="preserve"> (</w:t>
            </w:r>
            <w:r w:rsidR="009713AD" w:rsidRPr="46356ED0">
              <w:rPr>
                <w:rFonts w:eastAsia="Times New Roman" w:cs="Arial"/>
                <w:snapToGrid w:val="0"/>
              </w:rPr>
              <w:t>assuming only one catheter used per procedure</w:t>
            </w:r>
            <w:proofErr w:type="gramStart"/>
            <w:r w:rsidR="004B37AF" w:rsidRPr="46356ED0">
              <w:rPr>
                <w:rFonts w:eastAsia="Times New Roman" w:cs="Arial"/>
                <w:snapToGrid w:val="0"/>
              </w:rPr>
              <w:t>)</w:t>
            </w:r>
            <w:proofErr w:type="gramEnd"/>
            <w:r w:rsidR="00063B3C" w:rsidRPr="46356ED0">
              <w:rPr>
                <w:rFonts w:eastAsia="Times New Roman" w:cs="Arial"/>
                <w:snapToGrid w:val="0"/>
              </w:rPr>
              <w:t xml:space="preserve"> but t</w:t>
            </w:r>
            <w:r w:rsidR="009713AD" w:rsidRPr="46356ED0">
              <w:rPr>
                <w:rFonts w:eastAsia="Times New Roman" w:cs="Arial"/>
                <w:snapToGrid w:val="0"/>
              </w:rPr>
              <w:t>he ADAR d</w:t>
            </w:r>
            <w:r w:rsidR="007E6499" w:rsidRPr="46356ED0">
              <w:rPr>
                <w:rFonts w:eastAsia="Times New Roman" w:cs="Arial"/>
                <w:snapToGrid w:val="0"/>
              </w:rPr>
              <w:t>id</w:t>
            </w:r>
            <w:r w:rsidR="009713AD" w:rsidRPr="46356ED0">
              <w:rPr>
                <w:rFonts w:eastAsia="Times New Roman" w:cs="Arial"/>
                <w:snapToGrid w:val="0"/>
              </w:rPr>
              <w:t xml:space="preserve"> not comment on whether this cost may be passed on to patients.</w:t>
            </w:r>
          </w:p>
        </w:tc>
      </w:tr>
      <w:tr w:rsidR="002A4648" w:rsidRPr="00CE28E3" w14:paraId="39909786" w14:textId="77777777" w:rsidTr="2F1EB167">
        <w:tc>
          <w:tcPr>
            <w:tcW w:w="705" w:type="pct"/>
          </w:tcPr>
          <w:p w14:paraId="778AC461" w14:textId="7F3BC105" w:rsidR="00726CC3" w:rsidRPr="00CE28E3" w:rsidRDefault="00051456" w:rsidP="00824458">
            <w:pPr>
              <w:pStyle w:val="TableText"/>
              <w:rPr>
                <w:lang w:val="en-GB"/>
              </w:rPr>
            </w:pPr>
            <w:r w:rsidRPr="7DEC5E09">
              <w:rPr>
                <w:lang w:val="en-GB"/>
              </w:rPr>
              <w:t>Financial impact</w:t>
            </w:r>
          </w:p>
        </w:tc>
        <w:tc>
          <w:tcPr>
            <w:tcW w:w="2594" w:type="pct"/>
          </w:tcPr>
          <w:p w14:paraId="6CB4B8F2" w14:textId="7D9ECCAB" w:rsidR="00726CC3" w:rsidRDefault="000D5B8F" w:rsidP="00824458">
            <w:pPr>
              <w:pStyle w:val="TableText"/>
              <w:rPr>
                <w:lang w:val="en-GB"/>
              </w:rPr>
            </w:pPr>
            <w:r w:rsidRPr="7DEC5E09">
              <w:rPr>
                <w:lang w:val="en-GB"/>
              </w:rPr>
              <w:t>T</w:t>
            </w:r>
            <w:r w:rsidR="00051456" w:rsidRPr="7DEC5E09">
              <w:rPr>
                <w:lang w:val="en-GB"/>
              </w:rPr>
              <w:t>he uncertainties in the economic modelling (such as the use of DES costs to calculate stenting costs and overestimate of stents avoided by the intervention) flowed through to the financial impact. The assumed uptake of between 15% and 50% over time was not based on the evidence presented and resulted in an uncertain financial impact. MSAC noted that the pre-MSAC response stated that this was a minimal financial impact, and MSAC agreed. (PSD, p</w:t>
            </w:r>
            <w:r w:rsidR="00374B3E" w:rsidRPr="7DEC5E09">
              <w:rPr>
                <w:lang w:val="en-GB"/>
              </w:rPr>
              <w:t>.</w:t>
            </w:r>
            <w:r w:rsidR="00051456" w:rsidRPr="7DEC5E09">
              <w:rPr>
                <w:lang w:val="en-GB"/>
              </w:rPr>
              <w:t>5)</w:t>
            </w:r>
          </w:p>
          <w:p w14:paraId="219CACF5" w14:textId="1BC00B8E" w:rsidR="00BD5700" w:rsidRPr="00CE28E3" w:rsidRDefault="00BD5700" w:rsidP="00824458">
            <w:pPr>
              <w:pStyle w:val="TableText"/>
            </w:pPr>
            <w:r w:rsidRPr="2F1EB167">
              <w:t>The resubmission should also produce revised financial estimates which address the issues identified by MSAC. (PSD, p</w:t>
            </w:r>
            <w:r w:rsidR="00374B3E" w:rsidRPr="2F1EB167">
              <w:t>.</w:t>
            </w:r>
            <w:r w:rsidRPr="2F1EB167">
              <w:t>6).</w:t>
            </w:r>
          </w:p>
        </w:tc>
        <w:tc>
          <w:tcPr>
            <w:tcW w:w="1701" w:type="pct"/>
          </w:tcPr>
          <w:p w14:paraId="5BBD8EA7" w14:textId="77777777" w:rsidR="00726CC3" w:rsidRDefault="00AC0EA8" w:rsidP="00824458">
            <w:pPr>
              <w:pStyle w:val="TableText"/>
              <w:rPr>
                <w:rFonts w:eastAsia="Times New Roman" w:cs="Arial"/>
                <w:bCs/>
                <w:snapToGrid w:val="0"/>
                <w:szCs w:val="20"/>
              </w:rPr>
            </w:pPr>
            <w:r>
              <w:rPr>
                <w:rFonts w:eastAsia="Times New Roman" w:cs="Arial"/>
                <w:bCs/>
                <w:snapToGrid w:val="0"/>
                <w:szCs w:val="20"/>
              </w:rPr>
              <w:t>Partially addressed.</w:t>
            </w:r>
          </w:p>
          <w:p w14:paraId="3F44B503" w14:textId="5B5F198A" w:rsidR="007D4CF3" w:rsidRDefault="007D4CF3" w:rsidP="00AC0EA8">
            <w:pPr>
              <w:pStyle w:val="TableText"/>
              <w:rPr>
                <w:rFonts w:eastAsia="Times New Roman" w:cs="Arial"/>
                <w:bCs/>
                <w:snapToGrid w:val="0"/>
                <w:szCs w:val="20"/>
              </w:rPr>
            </w:pPr>
            <w:r w:rsidRPr="007D4CF3">
              <w:rPr>
                <w:rFonts w:eastAsia="Times New Roman" w:cs="Arial"/>
                <w:bCs/>
                <w:snapToGrid w:val="0"/>
                <w:szCs w:val="20"/>
              </w:rPr>
              <w:t>The resubmission’s financial analysis considered the index procedure only</w:t>
            </w:r>
            <w:r w:rsidR="00E13AAD">
              <w:rPr>
                <w:rFonts w:eastAsia="Times New Roman" w:cs="Arial"/>
                <w:bCs/>
                <w:snapToGrid w:val="0"/>
                <w:szCs w:val="20"/>
              </w:rPr>
              <w:t xml:space="preserve">; </w:t>
            </w:r>
            <w:r w:rsidRPr="007D4CF3">
              <w:rPr>
                <w:rFonts w:eastAsia="Times New Roman" w:cs="Arial"/>
                <w:bCs/>
                <w:snapToGrid w:val="0"/>
                <w:szCs w:val="20"/>
              </w:rPr>
              <w:t>reintervention</w:t>
            </w:r>
            <w:r>
              <w:rPr>
                <w:rFonts w:eastAsia="Times New Roman" w:cs="Arial"/>
                <w:bCs/>
                <w:snapToGrid w:val="0"/>
                <w:szCs w:val="20"/>
              </w:rPr>
              <w:t xml:space="preserve"> costs were not explicitly considered</w:t>
            </w:r>
            <w:r w:rsidRPr="007D4CF3">
              <w:rPr>
                <w:rFonts w:eastAsia="Times New Roman" w:cs="Arial"/>
                <w:bCs/>
                <w:snapToGrid w:val="0"/>
                <w:szCs w:val="20"/>
              </w:rPr>
              <w:t>. Costs associated with radiological services (including fluoroscopy) were not considered.</w:t>
            </w:r>
          </w:p>
          <w:p w14:paraId="6286455D" w14:textId="25357EB9" w:rsidR="00AC0EA8" w:rsidRPr="00AC0EA8" w:rsidRDefault="00AC0EA8" w:rsidP="00AC0EA8">
            <w:pPr>
              <w:pStyle w:val="TableText"/>
              <w:rPr>
                <w:rFonts w:eastAsia="Times New Roman" w:cs="Arial"/>
                <w:bCs/>
                <w:snapToGrid w:val="0"/>
                <w:szCs w:val="20"/>
              </w:rPr>
            </w:pPr>
            <w:r w:rsidRPr="00AC0EA8">
              <w:rPr>
                <w:rFonts w:eastAsia="Times New Roman" w:cs="Arial"/>
                <w:bCs/>
                <w:snapToGrid w:val="0"/>
                <w:szCs w:val="20"/>
              </w:rPr>
              <w:t>Consistent with the economic analysis, the resubmission’s financial analysis used trial-based stenting rates</w:t>
            </w:r>
            <w:r w:rsidR="00686777">
              <w:rPr>
                <w:rFonts w:eastAsia="Times New Roman" w:cs="Arial"/>
                <w:bCs/>
                <w:snapToGrid w:val="0"/>
                <w:szCs w:val="20"/>
              </w:rPr>
              <w:t xml:space="preserve"> (</w:t>
            </w:r>
            <w:r w:rsidR="001E7B57">
              <w:rPr>
                <w:rFonts w:eastAsia="Times New Roman" w:cs="Arial"/>
                <w:bCs/>
                <w:snapToGrid w:val="0"/>
                <w:szCs w:val="20"/>
              </w:rPr>
              <w:t xml:space="preserve">raising </w:t>
            </w:r>
            <w:r w:rsidR="001E7B57">
              <w:rPr>
                <w:rFonts w:eastAsia="Times New Roman" w:cs="Arial"/>
                <w:bCs/>
                <w:snapToGrid w:val="0"/>
                <w:szCs w:val="20"/>
              </w:rPr>
              <w:lastRenderedPageBreak/>
              <w:t>applicability concerns</w:t>
            </w:r>
            <w:r w:rsidR="00686777">
              <w:rPr>
                <w:rFonts w:eastAsia="Times New Roman" w:cs="Arial"/>
                <w:bCs/>
                <w:snapToGrid w:val="0"/>
                <w:szCs w:val="20"/>
              </w:rPr>
              <w:t xml:space="preserve"> </w:t>
            </w:r>
            <w:r w:rsidR="00C923D7">
              <w:rPr>
                <w:rFonts w:eastAsia="Times New Roman" w:cs="Arial"/>
                <w:bCs/>
                <w:snapToGrid w:val="0"/>
                <w:szCs w:val="20"/>
              </w:rPr>
              <w:t xml:space="preserve">and noted in </w:t>
            </w:r>
            <w:r w:rsidR="00686777">
              <w:rPr>
                <w:rFonts w:eastAsia="Times New Roman" w:cs="Arial"/>
                <w:bCs/>
                <w:snapToGrid w:val="0"/>
                <w:szCs w:val="20"/>
              </w:rPr>
              <w:t>the commentary)</w:t>
            </w:r>
            <w:r w:rsidR="00887A7E">
              <w:rPr>
                <w:rFonts w:eastAsia="Times New Roman" w:cs="Arial"/>
                <w:bCs/>
                <w:snapToGrid w:val="0"/>
                <w:szCs w:val="20"/>
              </w:rPr>
              <w:t>.</w:t>
            </w:r>
          </w:p>
          <w:p w14:paraId="541FDD9F" w14:textId="123C7CEC" w:rsidR="00AC0EA8" w:rsidRPr="00AC0EA8" w:rsidRDefault="00D9036D" w:rsidP="00AC0EA8">
            <w:pPr>
              <w:pStyle w:val="TableText"/>
              <w:rPr>
                <w:rFonts w:eastAsia="Times New Roman" w:cs="Arial"/>
                <w:bCs/>
                <w:snapToGrid w:val="0"/>
                <w:szCs w:val="20"/>
              </w:rPr>
            </w:pPr>
            <w:r>
              <w:rPr>
                <w:rFonts w:eastAsia="Times New Roman" w:cs="Arial"/>
                <w:bCs/>
                <w:snapToGrid w:val="0"/>
                <w:szCs w:val="20"/>
              </w:rPr>
              <w:t>BMS</w:t>
            </w:r>
            <w:r w:rsidR="00AC0EA8" w:rsidRPr="00AC0EA8">
              <w:rPr>
                <w:rFonts w:eastAsia="Times New Roman" w:cs="Arial"/>
                <w:bCs/>
                <w:snapToGrid w:val="0"/>
                <w:szCs w:val="20"/>
              </w:rPr>
              <w:t xml:space="preserve"> </w:t>
            </w:r>
            <w:r>
              <w:rPr>
                <w:rFonts w:eastAsia="Times New Roman" w:cs="Arial"/>
                <w:bCs/>
                <w:snapToGrid w:val="0"/>
                <w:szCs w:val="20"/>
              </w:rPr>
              <w:t xml:space="preserve">rather than DES </w:t>
            </w:r>
            <w:r w:rsidR="00AC0EA8" w:rsidRPr="00AC0EA8">
              <w:rPr>
                <w:rFonts w:eastAsia="Times New Roman" w:cs="Arial"/>
                <w:bCs/>
                <w:snapToGrid w:val="0"/>
                <w:szCs w:val="20"/>
              </w:rPr>
              <w:t xml:space="preserve">costs were (appropriately) </w:t>
            </w:r>
            <w:r>
              <w:rPr>
                <w:rFonts w:eastAsia="Times New Roman" w:cs="Arial"/>
                <w:bCs/>
                <w:snapToGrid w:val="0"/>
                <w:szCs w:val="20"/>
              </w:rPr>
              <w:t>applied</w:t>
            </w:r>
            <w:r w:rsidR="00AC0EA8" w:rsidRPr="00AC0EA8">
              <w:rPr>
                <w:rFonts w:eastAsia="Times New Roman" w:cs="Arial"/>
                <w:bCs/>
                <w:snapToGrid w:val="0"/>
                <w:szCs w:val="20"/>
              </w:rPr>
              <w:t>.</w:t>
            </w:r>
          </w:p>
          <w:p w14:paraId="12A40641" w14:textId="161E152B" w:rsidR="00AC0EA8" w:rsidRPr="00CE28E3" w:rsidRDefault="00AC0EA8" w:rsidP="00AC0EA8">
            <w:pPr>
              <w:pStyle w:val="TableText"/>
              <w:rPr>
                <w:rFonts w:eastAsia="Times New Roman" w:cs="Arial"/>
                <w:bCs/>
                <w:snapToGrid w:val="0"/>
                <w:szCs w:val="20"/>
              </w:rPr>
            </w:pPr>
            <w:r w:rsidRPr="00AC0EA8">
              <w:rPr>
                <w:rFonts w:eastAsia="Times New Roman" w:cs="Arial"/>
                <w:bCs/>
                <w:snapToGrid w:val="0"/>
                <w:szCs w:val="20"/>
              </w:rPr>
              <w:t>IVL uptake rates used in the resubmission were identical to the original ADAR.</w:t>
            </w:r>
          </w:p>
        </w:tc>
      </w:tr>
      <w:tr w:rsidR="00B65911" w:rsidRPr="00CE28E3" w14:paraId="5338699A" w14:textId="77777777" w:rsidTr="2F1EB167">
        <w:tc>
          <w:tcPr>
            <w:tcW w:w="705" w:type="pct"/>
          </w:tcPr>
          <w:p w14:paraId="5FE99EFD" w14:textId="77777777" w:rsidR="0015273A" w:rsidRPr="00CE28E3" w:rsidRDefault="0015273A" w:rsidP="00824458">
            <w:pPr>
              <w:pStyle w:val="TableText"/>
            </w:pPr>
            <w:bookmarkStart w:id="7" w:name="_Hlk68275617"/>
            <w:bookmarkEnd w:id="6"/>
            <w:r>
              <w:lastRenderedPageBreak/>
              <w:t>Guidelines</w:t>
            </w:r>
          </w:p>
        </w:tc>
        <w:tc>
          <w:tcPr>
            <w:tcW w:w="2594" w:type="pct"/>
          </w:tcPr>
          <w:p w14:paraId="2085464D" w14:textId="3CFE4517" w:rsidR="0015273A" w:rsidRPr="00CE28E3" w:rsidRDefault="0015273A" w:rsidP="00824458">
            <w:pPr>
              <w:pStyle w:val="TableText"/>
            </w:pPr>
            <w:r w:rsidRPr="2F1EB167">
              <w:t xml:space="preserve">MSAC noted that there </w:t>
            </w:r>
            <w:proofErr w:type="gramStart"/>
            <w:r w:rsidRPr="2F1EB167">
              <w:t>was</w:t>
            </w:r>
            <w:proofErr w:type="gramEnd"/>
            <w:r w:rsidRPr="2F1EB167">
              <w:t xml:space="preserve"> upcoming updated NICE guidelines on IVL due in January 2024 and any implications of this could also be discussed in a resubmission. (PSD, p.6)</w:t>
            </w:r>
          </w:p>
        </w:tc>
        <w:tc>
          <w:tcPr>
            <w:tcW w:w="1701" w:type="pct"/>
          </w:tcPr>
          <w:p w14:paraId="33E6AB26" w14:textId="77777777" w:rsidR="0015273A" w:rsidRPr="009D7DAA" w:rsidRDefault="0015273A" w:rsidP="009D7DAA">
            <w:pPr>
              <w:pStyle w:val="TableText"/>
              <w:rPr>
                <w:rFonts w:eastAsia="Times New Roman" w:cs="Arial"/>
                <w:bCs/>
                <w:snapToGrid w:val="0"/>
                <w:szCs w:val="20"/>
              </w:rPr>
            </w:pPr>
            <w:r w:rsidRPr="009D7DAA">
              <w:rPr>
                <w:rFonts w:eastAsia="Times New Roman" w:cs="Arial"/>
                <w:bCs/>
                <w:snapToGrid w:val="0"/>
                <w:szCs w:val="20"/>
              </w:rPr>
              <w:t>Not addressed.</w:t>
            </w:r>
          </w:p>
          <w:p w14:paraId="3340ACF8" w14:textId="064E2880" w:rsidR="0015273A" w:rsidRPr="00CE28E3" w:rsidRDefault="0015273A" w:rsidP="2F1EB167">
            <w:pPr>
              <w:pStyle w:val="TableText"/>
              <w:rPr>
                <w:rFonts w:eastAsia="Times New Roman" w:cs="Arial"/>
                <w:snapToGrid w:val="0"/>
              </w:rPr>
            </w:pPr>
            <w:r w:rsidRPr="2F1EB167">
              <w:rPr>
                <w:rFonts w:eastAsia="Times New Roman" w:cs="Arial"/>
                <w:snapToGrid w:val="0"/>
              </w:rPr>
              <w:t>The resubmission did not explicitly refer to the 2024 NICE guidance (</w:t>
            </w:r>
            <w:hyperlink r:id="rId14" w:tooltip="Hyperlink to NICE website page for IPG780" w:history="1">
              <w:r w:rsidRPr="2F1EB167">
                <w:rPr>
                  <w:rStyle w:val="Hyperlink"/>
                  <w:rFonts w:eastAsia="Times New Roman" w:cs="Arial"/>
                  <w:snapToGrid w:val="0"/>
                </w:rPr>
                <w:t>IPG780</w:t>
              </w:r>
            </w:hyperlink>
            <w:r w:rsidRPr="2F1EB167">
              <w:rPr>
                <w:rFonts w:eastAsia="Times New Roman" w:cs="Arial"/>
                <w:snapToGrid w:val="0"/>
              </w:rPr>
              <w:t>). The commentary included a summary of the NICE recommendations and rationale. NICE considered clinical evidence but not costs, cost-effectiveness nor financial impact.</w:t>
            </w:r>
          </w:p>
        </w:tc>
      </w:tr>
    </w:tbl>
    <w:p w14:paraId="3EA0F47E" w14:textId="7078997C" w:rsidR="00F57885" w:rsidRPr="004C0706" w:rsidRDefault="005B3026" w:rsidP="00EB3B6E">
      <w:pPr>
        <w:pStyle w:val="TableFigureFooter"/>
        <w:spacing w:after="0"/>
      </w:pPr>
      <w:r w:rsidRPr="2F1EB167">
        <w:t xml:space="preserve">ADAR = Applicant Developed Assessment Report; </w:t>
      </w:r>
      <w:r w:rsidR="006B44E9" w:rsidRPr="2F1EB167">
        <w:t xml:space="preserve">AVA = Australasian Vascular Audit; </w:t>
      </w:r>
      <w:r w:rsidR="00D9036D" w:rsidRPr="2F1EB167">
        <w:t xml:space="preserve">BMS = bare metal stent; </w:t>
      </w:r>
      <w:r w:rsidR="0023101E" w:rsidRPr="2F1EB167">
        <w:t xml:space="preserve">CCA = cost-consequence analysis; CUA = cost-utility analysis; </w:t>
      </w:r>
      <w:r w:rsidR="00051456" w:rsidRPr="2F1EB167">
        <w:t xml:space="preserve">DES = drug-eluting stent; </w:t>
      </w:r>
      <w:proofErr w:type="spellStart"/>
      <w:r w:rsidR="0023101E" w:rsidRPr="2F1EB167">
        <w:t>HRQoL</w:t>
      </w:r>
      <w:proofErr w:type="spellEnd"/>
      <w:r w:rsidR="0023101E" w:rsidRPr="2F1EB167">
        <w:t xml:space="preserve"> = health-related quality of life;</w:t>
      </w:r>
      <w:r w:rsidR="004C0706" w:rsidRPr="2F1EB167">
        <w:t xml:space="preserve"> ICER = incremental cost-effectiveness ratio;</w:t>
      </w:r>
      <w:r w:rsidR="0023101E" w:rsidRPr="2F1EB167">
        <w:t xml:space="preserve"> </w:t>
      </w:r>
      <w:r w:rsidR="004C0706" w:rsidRPr="2F1EB167">
        <w:t xml:space="preserve">IVL = intravascular lithotripsy; </w:t>
      </w:r>
      <w:r w:rsidR="00D44496" w:rsidRPr="2F1EB167">
        <w:t xml:space="preserve">MBS = Medicare Benefits </w:t>
      </w:r>
      <w:r w:rsidR="009322DE" w:rsidRPr="2F1EB167">
        <w:t xml:space="preserve">Schedule; </w:t>
      </w:r>
      <w:r w:rsidR="00F57885" w:rsidRPr="2F1EB167">
        <w:t xml:space="preserve">MSAC = Medical Services Advisory Committee; </w:t>
      </w:r>
      <w:r w:rsidRPr="2F1EB167">
        <w:t xml:space="preserve">NICE = </w:t>
      </w:r>
      <w:r w:rsidR="00FB60F8" w:rsidRPr="2F1EB167">
        <w:t xml:space="preserve">National Institute for Health and Care Excellence; </w:t>
      </w:r>
      <w:r w:rsidR="009322DE" w:rsidRPr="2F1EB167">
        <w:t>PAD = peripheral arter</w:t>
      </w:r>
      <w:r w:rsidR="00D97AAE" w:rsidRPr="2F1EB167">
        <w:t>y</w:t>
      </w:r>
      <w:r w:rsidR="00DF18E6" w:rsidRPr="2F1EB167">
        <w:t xml:space="preserve"> disease;</w:t>
      </w:r>
      <w:r w:rsidR="009322DE" w:rsidRPr="2F1EB167">
        <w:t xml:space="preserve"> </w:t>
      </w:r>
      <w:r w:rsidR="00F57885" w:rsidRPr="2F1EB167">
        <w:t>PSD = Public Summary Document</w:t>
      </w:r>
      <w:r w:rsidR="005670D5" w:rsidRPr="2F1EB167">
        <w:t>; RCT = randomised controlled trial</w:t>
      </w:r>
      <w:r w:rsidR="0087277A" w:rsidRPr="2F1EB167">
        <w:t>.</w:t>
      </w:r>
    </w:p>
    <w:p w14:paraId="24DAFF5C" w14:textId="105219EB" w:rsidR="005B3012" w:rsidRPr="00CE28E3" w:rsidRDefault="005B3012" w:rsidP="00EB3B6E">
      <w:pPr>
        <w:pStyle w:val="TableFigureFooter"/>
        <w:spacing w:before="0"/>
      </w:pPr>
      <w:r w:rsidRPr="004C0706">
        <w:t xml:space="preserve">Source: Compiled from </w:t>
      </w:r>
      <w:r w:rsidR="00EB3B6E" w:rsidRPr="004C0706">
        <w:t>Table 1-1 of MSAC 1734 ADAR</w:t>
      </w:r>
      <w:r w:rsidR="00726CC3" w:rsidRPr="004C0706">
        <w:t xml:space="preserve"> resubmission + </w:t>
      </w:r>
      <w:r w:rsidR="00EB3B6E" w:rsidRPr="004C0706">
        <w:t>in-line commentary.</w:t>
      </w:r>
    </w:p>
    <w:p w14:paraId="6F52500A" w14:textId="1114CEEC" w:rsidR="00772829" w:rsidRDefault="00C949CC" w:rsidP="002A18BE">
      <w:pPr>
        <w:pStyle w:val="Heading2"/>
        <w:numPr>
          <w:ilvl w:val="0"/>
          <w:numId w:val="0"/>
        </w:numPr>
      </w:pPr>
      <w:bookmarkStart w:id="8" w:name="_Toc69491417"/>
      <w:bookmarkEnd w:id="4"/>
      <w:bookmarkEnd w:id="7"/>
      <w:r>
        <w:t>5</w:t>
      </w:r>
      <w:r w:rsidR="00C36633">
        <w:t>.</w:t>
      </w:r>
      <w:r w:rsidR="00C36633">
        <w:tab/>
      </w:r>
      <w:r w:rsidR="00772829" w:rsidRPr="00CE28E3">
        <w:t>Prerequisites to implementation of any funding advice</w:t>
      </w:r>
      <w:bookmarkEnd w:id="8"/>
    </w:p>
    <w:p w14:paraId="6B457B0D" w14:textId="1DF68CF0" w:rsidR="00A05293" w:rsidRDefault="00902877" w:rsidP="00A05293">
      <w:r>
        <w:t xml:space="preserve">The </w:t>
      </w:r>
      <w:r w:rsidR="00910278">
        <w:t>only</w:t>
      </w:r>
      <w:r w:rsidR="00A05293">
        <w:t xml:space="preserve"> IVL </w:t>
      </w:r>
      <w:r>
        <w:t xml:space="preserve">system </w:t>
      </w:r>
      <w:r w:rsidR="00A05293">
        <w:t xml:space="preserve">currently </w:t>
      </w:r>
      <w:r w:rsidR="00726956">
        <w:t>included</w:t>
      </w:r>
      <w:r w:rsidR="00A05293">
        <w:t xml:space="preserve"> in the Australian Register of Therapeutic Goods (ARTG)</w:t>
      </w:r>
      <w:r w:rsidR="00910278">
        <w:t xml:space="preserve"> </w:t>
      </w:r>
      <w:r w:rsidR="00CE7F92">
        <w:t xml:space="preserve">for </w:t>
      </w:r>
      <w:r w:rsidR="007B5641">
        <w:t xml:space="preserve">the </w:t>
      </w:r>
      <w:r w:rsidR="00CE7F92">
        <w:t xml:space="preserve">treatment of calcified lesions in patients with PAD </w:t>
      </w:r>
      <w:r w:rsidR="00910278">
        <w:t>is manufactured by Shockwave Medical Inc. (sponsored by AA-Med Pty Ltd)</w:t>
      </w:r>
      <w:r w:rsidR="00A05293">
        <w:t>.</w:t>
      </w:r>
      <w:r w:rsidR="00E13031">
        <w:t xml:space="preserve"> </w:t>
      </w:r>
      <w:r w:rsidR="002017AD">
        <w:t xml:space="preserve">The ARTG entries for the single-use transducers (catheters) are </w:t>
      </w:r>
      <w:r w:rsidR="000F10F3">
        <w:t xml:space="preserve">shown in </w:t>
      </w:r>
      <w:r w:rsidR="000F10F3">
        <w:fldChar w:fldCharType="begin"/>
      </w:r>
      <w:r w:rsidR="000F10F3">
        <w:instrText xml:space="preserve"> REF _Ref173267257 \h </w:instrText>
      </w:r>
      <w:r w:rsidR="000F10F3">
        <w:fldChar w:fldCharType="separate"/>
      </w:r>
      <w:r w:rsidR="000A04D8" w:rsidRPr="00CE28E3">
        <w:t>Table</w:t>
      </w:r>
      <w:r w:rsidR="000A04D8">
        <w:t> </w:t>
      </w:r>
      <w:r w:rsidR="000A04D8">
        <w:rPr>
          <w:noProof/>
        </w:rPr>
        <w:t>2</w:t>
      </w:r>
      <w:r w:rsidR="000F10F3">
        <w:fldChar w:fldCharType="end"/>
      </w:r>
      <w:r w:rsidR="000F10F3">
        <w:t xml:space="preserve">. The </w:t>
      </w:r>
      <w:r w:rsidR="00D72D89">
        <w:t xml:space="preserve">ARTG ID for the </w:t>
      </w:r>
      <w:r w:rsidR="004D322B">
        <w:t xml:space="preserve">IVL connector cable is </w:t>
      </w:r>
      <w:hyperlink r:id="rId15" w:tooltip="Hyperlink to ARTG entry for 342513" w:history="1">
        <w:r w:rsidR="004D322B" w:rsidRPr="000F4F79">
          <w:rPr>
            <w:rStyle w:val="Hyperlink"/>
          </w:rPr>
          <w:t>342513</w:t>
        </w:r>
      </w:hyperlink>
      <w:r w:rsidR="004D322B">
        <w:t xml:space="preserve"> and for the </w:t>
      </w:r>
      <w:r w:rsidR="00200C8C">
        <w:t>Shockwave Medical IVL</w:t>
      </w:r>
      <w:r w:rsidR="003946DC">
        <w:t xml:space="preserve"> system </w:t>
      </w:r>
      <w:r w:rsidR="00D72D89">
        <w:t xml:space="preserve">(generator and connector cable) is </w:t>
      </w:r>
      <w:hyperlink r:id="rId16" w:tooltip="Hyperlink to ARTG entry for 320483" w:history="1">
        <w:r w:rsidR="00D72D89" w:rsidRPr="00361B9D">
          <w:rPr>
            <w:rStyle w:val="Hyperlink"/>
          </w:rPr>
          <w:t>320</w:t>
        </w:r>
        <w:r w:rsidR="00AF546E" w:rsidRPr="00361B9D">
          <w:rPr>
            <w:rStyle w:val="Hyperlink"/>
          </w:rPr>
          <w:t>483</w:t>
        </w:r>
      </w:hyperlink>
      <w:r w:rsidR="004D322B">
        <w:t>.</w:t>
      </w:r>
    </w:p>
    <w:p w14:paraId="6D159399" w14:textId="195DD953" w:rsidR="004D322B" w:rsidRDefault="0003406A" w:rsidP="00A05293">
      <w:r>
        <w:t>T</w:t>
      </w:r>
      <w:r w:rsidR="00F1525E">
        <w:t xml:space="preserve">he Shockwave IVL devices </w:t>
      </w:r>
      <w:r w:rsidR="00A754ED">
        <w:t xml:space="preserve">are </w:t>
      </w:r>
      <w:r>
        <w:t xml:space="preserve">not </w:t>
      </w:r>
      <w:r w:rsidR="00A754ED">
        <w:t xml:space="preserve">restricted to use in </w:t>
      </w:r>
      <w:r w:rsidR="00025B81">
        <w:t xml:space="preserve">peripheral arteries in </w:t>
      </w:r>
      <w:r w:rsidR="00A754ED">
        <w:t>lower limbs</w:t>
      </w:r>
      <w:r w:rsidR="00DE1A40">
        <w:t xml:space="preserve">, nor to </w:t>
      </w:r>
      <w:r>
        <w:t>moderately or severely calcified lesions</w:t>
      </w:r>
      <w:r w:rsidR="00224C61">
        <w:t>.</w:t>
      </w:r>
    </w:p>
    <w:p w14:paraId="0D08DB70" w14:textId="37618367" w:rsidR="00A77CEE" w:rsidRPr="00CE28E3" w:rsidRDefault="00A77CEE" w:rsidP="00A77CEE">
      <w:pPr>
        <w:pStyle w:val="Caption"/>
      </w:pPr>
      <w:bookmarkStart w:id="9" w:name="_Ref173267257"/>
      <w:r w:rsidRPr="00CE28E3">
        <w:t>Table</w:t>
      </w:r>
      <w:r>
        <w:t> </w:t>
      </w:r>
      <w:r w:rsidR="000A04D8">
        <w:fldChar w:fldCharType="begin"/>
      </w:r>
      <w:r w:rsidR="000A04D8">
        <w:instrText xml:space="preserve"> SEQ Table \* ARABIC </w:instrText>
      </w:r>
      <w:r w:rsidR="000A04D8">
        <w:fldChar w:fldCharType="separate"/>
      </w:r>
      <w:r w:rsidR="000A04D8">
        <w:rPr>
          <w:noProof/>
        </w:rPr>
        <w:t>2</w:t>
      </w:r>
      <w:r w:rsidR="000A04D8">
        <w:rPr>
          <w:noProof/>
        </w:rPr>
        <w:fldChar w:fldCharType="end"/>
      </w:r>
      <w:bookmarkEnd w:id="9"/>
      <w:r w:rsidRPr="00CE28E3">
        <w:tab/>
      </w:r>
      <w:r w:rsidR="00C91828">
        <w:t>Regulatory status in Australia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gulatory status in Australia"/>
        <w:tblDescription w:val="The table presents the ARTG ID, class and start date for the two IVL catheters included in the ARTG, together with teh product name, GMDN and intended purpose."/>
      </w:tblPr>
      <w:tblGrid>
        <w:gridCol w:w="1414"/>
        <w:gridCol w:w="1700"/>
        <w:gridCol w:w="1843"/>
        <w:gridCol w:w="4059"/>
      </w:tblGrid>
      <w:tr w:rsidR="009E0BEE" w:rsidRPr="00CE28E3" w14:paraId="7FBCB67A" w14:textId="256D66B3" w:rsidTr="2F1EB167">
        <w:trPr>
          <w:cantSplit/>
          <w:tblHeader/>
        </w:trPr>
        <w:tc>
          <w:tcPr>
            <w:tcW w:w="784" w:type="pct"/>
            <w:shd w:val="clear" w:color="auto" w:fill="auto"/>
          </w:tcPr>
          <w:p w14:paraId="051B3494" w14:textId="7A6C5226" w:rsidR="009E0BEE" w:rsidRPr="00CE28E3" w:rsidRDefault="009E0BEE" w:rsidP="009E0BEE">
            <w:pPr>
              <w:pStyle w:val="TableHeading0"/>
            </w:pPr>
            <w:r>
              <w:t>ARTG ID, class and start date</w:t>
            </w:r>
          </w:p>
        </w:tc>
        <w:tc>
          <w:tcPr>
            <w:tcW w:w="943" w:type="pct"/>
          </w:tcPr>
          <w:p w14:paraId="168DE90E" w14:textId="376B1EF7" w:rsidR="009E0BEE" w:rsidRDefault="009E0BEE" w:rsidP="009E0BEE">
            <w:pPr>
              <w:pStyle w:val="TableHeading0"/>
            </w:pPr>
            <w:r>
              <w:t>Product name</w:t>
            </w:r>
          </w:p>
        </w:tc>
        <w:tc>
          <w:tcPr>
            <w:tcW w:w="1022" w:type="pct"/>
          </w:tcPr>
          <w:p w14:paraId="56B8A770" w14:textId="3C61FF5A" w:rsidR="009E0BEE" w:rsidRDefault="009E0BEE" w:rsidP="009E0BEE">
            <w:pPr>
              <w:pStyle w:val="TableHeading0"/>
            </w:pPr>
            <w:r>
              <w:t>GMDN</w:t>
            </w:r>
          </w:p>
        </w:tc>
        <w:tc>
          <w:tcPr>
            <w:tcW w:w="2251" w:type="pct"/>
          </w:tcPr>
          <w:p w14:paraId="7109B0E6" w14:textId="75294F9E" w:rsidR="009E0BEE" w:rsidRDefault="009E0BEE" w:rsidP="009E0BEE">
            <w:pPr>
              <w:pStyle w:val="TableHeading0"/>
            </w:pPr>
            <w:r>
              <w:t>Intended purpose</w:t>
            </w:r>
          </w:p>
        </w:tc>
      </w:tr>
      <w:tr w:rsidR="009E0BEE" w:rsidRPr="00CE28E3" w14:paraId="3F53BAE7" w14:textId="519C19E5" w:rsidTr="2F1EB167">
        <w:trPr>
          <w:cantSplit/>
        </w:trPr>
        <w:tc>
          <w:tcPr>
            <w:tcW w:w="784" w:type="pct"/>
          </w:tcPr>
          <w:p w14:paraId="65EC8FC1" w14:textId="4E2A241F" w:rsidR="009E0BEE" w:rsidRPr="00936F5A" w:rsidRDefault="000B0BA3">
            <w:pPr>
              <w:pStyle w:val="TableText"/>
              <w:rPr>
                <w:rFonts w:eastAsia="Times New Roman" w:cs="Arial"/>
                <w:bCs/>
                <w:snapToGrid w:val="0"/>
                <w:szCs w:val="20"/>
              </w:rPr>
            </w:pPr>
            <w:hyperlink r:id="rId17" w:tooltip="Hyperlink to ARTG entry for 388192" w:history="1">
              <w:r w:rsidRPr="00CF22D2">
                <w:rPr>
                  <w:rStyle w:val="Hyperlink"/>
                  <w:rFonts w:eastAsia="Times New Roman" w:cs="Arial"/>
                  <w:bCs/>
                  <w:snapToGrid w:val="0"/>
                  <w:szCs w:val="20"/>
                </w:rPr>
                <w:t>388192</w:t>
              </w:r>
            </w:hyperlink>
            <w:r w:rsidRPr="00936F5A">
              <w:rPr>
                <w:rFonts w:eastAsia="Times New Roman" w:cs="Arial"/>
                <w:bCs/>
                <w:snapToGrid w:val="0"/>
                <w:szCs w:val="20"/>
              </w:rPr>
              <w:br/>
              <w:t>Class IIb</w:t>
            </w:r>
            <w:r w:rsidRPr="00936F5A">
              <w:rPr>
                <w:rFonts w:eastAsia="Times New Roman" w:cs="Arial"/>
                <w:bCs/>
                <w:snapToGrid w:val="0"/>
                <w:szCs w:val="20"/>
              </w:rPr>
              <w:br/>
              <w:t>9 May 2022</w:t>
            </w:r>
          </w:p>
        </w:tc>
        <w:tc>
          <w:tcPr>
            <w:tcW w:w="943" w:type="pct"/>
          </w:tcPr>
          <w:p w14:paraId="674214D9" w14:textId="37E0B92D" w:rsidR="009E0BEE" w:rsidRPr="00CE28E3" w:rsidRDefault="000B0BA3" w:rsidP="2F1EB167">
            <w:pPr>
              <w:pStyle w:val="TableText"/>
              <w:rPr>
                <w:rFonts w:eastAsia="Times New Roman" w:cs="Arial"/>
                <w:snapToGrid w:val="0"/>
              </w:rPr>
            </w:pPr>
            <w:r w:rsidRPr="2F1EB167">
              <w:rPr>
                <w:rFonts w:eastAsia="Times New Roman" w:cs="Arial"/>
                <w:snapToGrid w:val="0"/>
              </w:rPr>
              <w:t xml:space="preserve">Ultrasonic lithotripsy system transducer, </w:t>
            </w:r>
            <w:proofErr w:type="gramStart"/>
            <w:r w:rsidRPr="2F1EB167">
              <w:rPr>
                <w:rFonts w:eastAsia="Times New Roman" w:cs="Arial"/>
                <w:snapToGrid w:val="0"/>
              </w:rPr>
              <w:t>single-use</w:t>
            </w:r>
            <w:proofErr w:type="gramEnd"/>
          </w:p>
        </w:tc>
        <w:tc>
          <w:tcPr>
            <w:tcW w:w="1022" w:type="pct"/>
          </w:tcPr>
          <w:p w14:paraId="1431FC62" w14:textId="2611D5FF" w:rsidR="009E0BEE" w:rsidRPr="00CE28E3" w:rsidRDefault="00D72AAC" w:rsidP="2F1EB167">
            <w:pPr>
              <w:pStyle w:val="TableText"/>
              <w:rPr>
                <w:rFonts w:eastAsia="Times New Roman" w:cs="Arial"/>
                <w:snapToGrid w:val="0"/>
              </w:rPr>
            </w:pPr>
            <w:r w:rsidRPr="2F1EB167">
              <w:rPr>
                <w:rFonts w:eastAsia="Times New Roman" w:cs="Arial"/>
                <w:snapToGrid w:val="0"/>
              </w:rPr>
              <w:t xml:space="preserve">44138 Ultrasonic lithotripsy system </w:t>
            </w:r>
            <w:proofErr w:type="gramStart"/>
            <w:r w:rsidRPr="2F1EB167">
              <w:rPr>
                <w:rFonts w:eastAsia="Times New Roman" w:cs="Arial"/>
                <w:snapToGrid w:val="0"/>
              </w:rPr>
              <w:t>transducer</w:t>
            </w:r>
            <w:proofErr w:type="gramEnd"/>
            <w:r w:rsidRPr="2F1EB167">
              <w:rPr>
                <w:rFonts w:eastAsia="Times New Roman" w:cs="Arial"/>
                <w:snapToGrid w:val="0"/>
              </w:rPr>
              <w:t>, single-use</w:t>
            </w:r>
          </w:p>
        </w:tc>
        <w:tc>
          <w:tcPr>
            <w:tcW w:w="2251" w:type="pct"/>
          </w:tcPr>
          <w:p w14:paraId="6C9A5A54" w14:textId="65240C3A" w:rsidR="009E0BEE" w:rsidRPr="00CE28E3" w:rsidRDefault="00FC5DAA" w:rsidP="2F1EB167">
            <w:pPr>
              <w:pStyle w:val="TableText"/>
              <w:rPr>
                <w:rFonts w:eastAsia="Times New Roman" w:cs="Arial"/>
                <w:snapToGrid w:val="0"/>
              </w:rPr>
            </w:pPr>
            <w:r w:rsidRPr="2F1EB167">
              <w:rPr>
                <w:rFonts w:eastAsia="Times New Roman" w:cs="Arial"/>
                <w:snapToGrid w:val="0"/>
              </w:rPr>
              <w:t>The Shockwave S4 Peripheral IVL System is indicated for lithotripsy-enhanced, low-pressure balloon dilatation of calcified, stenotic peripheral arteries, in patients who are candidates for percutaneous therapy. Not for use in the coronary, cerebral, aortic, or common iliac vasculature.</w:t>
            </w:r>
          </w:p>
        </w:tc>
      </w:tr>
      <w:tr w:rsidR="00674F09" w:rsidRPr="00CE28E3" w14:paraId="3B9A18ED" w14:textId="77777777" w:rsidTr="2F1EB167">
        <w:trPr>
          <w:cantSplit/>
        </w:trPr>
        <w:tc>
          <w:tcPr>
            <w:tcW w:w="784" w:type="pct"/>
          </w:tcPr>
          <w:p w14:paraId="787A9012" w14:textId="63967F98" w:rsidR="00674F09" w:rsidRPr="00936F5A" w:rsidRDefault="00674F09">
            <w:pPr>
              <w:pStyle w:val="TableText"/>
              <w:rPr>
                <w:rFonts w:eastAsia="Times New Roman" w:cs="Arial"/>
                <w:bCs/>
                <w:snapToGrid w:val="0"/>
                <w:szCs w:val="20"/>
              </w:rPr>
            </w:pPr>
            <w:hyperlink r:id="rId18" w:tooltip="Hyperlink to ARTG entry for 320482" w:history="1">
              <w:r w:rsidRPr="00976391">
                <w:rPr>
                  <w:rStyle w:val="Hyperlink"/>
                  <w:rFonts w:eastAsia="Times New Roman" w:cs="Arial"/>
                  <w:bCs/>
                  <w:snapToGrid w:val="0"/>
                  <w:szCs w:val="20"/>
                </w:rPr>
                <w:t>320482</w:t>
              </w:r>
            </w:hyperlink>
            <w:r w:rsidRPr="00936F5A">
              <w:rPr>
                <w:rFonts w:eastAsia="Times New Roman" w:cs="Arial"/>
                <w:bCs/>
                <w:snapToGrid w:val="0"/>
                <w:szCs w:val="20"/>
              </w:rPr>
              <w:br/>
              <w:t>Class IIb</w:t>
            </w:r>
          </w:p>
          <w:p w14:paraId="10F5FDA6" w14:textId="77777777" w:rsidR="00674F09" w:rsidRPr="00936F5A" w:rsidRDefault="00674F09">
            <w:pPr>
              <w:pStyle w:val="TableText"/>
              <w:rPr>
                <w:rFonts w:eastAsia="Times New Roman" w:cs="Arial"/>
                <w:bCs/>
                <w:snapToGrid w:val="0"/>
                <w:szCs w:val="20"/>
              </w:rPr>
            </w:pPr>
            <w:r w:rsidRPr="00936F5A">
              <w:rPr>
                <w:rFonts w:eastAsia="Times New Roman" w:cs="Arial"/>
                <w:bCs/>
                <w:snapToGrid w:val="0"/>
                <w:szCs w:val="20"/>
              </w:rPr>
              <w:t>19 Jul 2019</w:t>
            </w:r>
          </w:p>
        </w:tc>
        <w:tc>
          <w:tcPr>
            <w:tcW w:w="943" w:type="pct"/>
          </w:tcPr>
          <w:p w14:paraId="48108D90" w14:textId="77777777" w:rsidR="00674F09" w:rsidRPr="0038617A" w:rsidRDefault="00674F09" w:rsidP="2F1EB167">
            <w:pPr>
              <w:pStyle w:val="TableText"/>
              <w:rPr>
                <w:rFonts w:eastAsia="Times New Roman" w:cs="Arial"/>
                <w:snapToGrid w:val="0"/>
              </w:rPr>
            </w:pPr>
            <w:r w:rsidRPr="2F1EB167">
              <w:rPr>
                <w:rFonts w:eastAsia="Times New Roman" w:cs="Arial"/>
                <w:snapToGrid w:val="0"/>
              </w:rPr>
              <w:t xml:space="preserve">Ultrasonic lithotripsy system transducer, </w:t>
            </w:r>
            <w:proofErr w:type="gramStart"/>
            <w:r w:rsidRPr="2F1EB167">
              <w:rPr>
                <w:rFonts w:eastAsia="Times New Roman" w:cs="Arial"/>
                <w:snapToGrid w:val="0"/>
              </w:rPr>
              <w:t>single-use</w:t>
            </w:r>
            <w:proofErr w:type="gramEnd"/>
          </w:p>
        </w:tc>
        <w:tc>
          <w:tcPr>
            <w:tcW w:w="1022" w:type="pct"/>
          </w:tcPr>
          <w:p w14:paraId="3E13B95C" w14:textId="77777777" w:rsidR="00674F09" w:rsidRPr="00CC4AB6" w:rsidRDefault="00674F09" w:rsidP="2F1EB167">
            <w:pPr>
              <w:pStyle w:val="TableText"/>
              <w:rPr>
                <w:rFonts w:eastAsia="Times New Roman" w:cs="Arial"/>
                <w:snapToGrid w:val="0"/>
              </w:rPr>
            </w:pPr>
            <w:r w:rsidRPr="2F1EB167">
              <w:rPr>
                <w:rFonts w:eastAsia="Times New Roman" w:cs="Arial"/>
                <w:snapToGrid w:val="0"/>
              </w:rPr>
              <w:t xml:space="preserve">44138 Ultrasonic lithotripsy system </w:t>
            </w:r>
            <w:proofErr w:type="gramStart"/>
            <w:r w:rsidRPr="2F1EB167">
              <w:rPr>
                <w:rFonts w:eastAsia="Times New Roman" w:cs="Arial"/>
                <w:snapToGrid w:val="0"/>
              </w:rPr>
              <w:t>transducer</w:t>
            </w:r>
            <w:proofErr w:type="gramEnd"/>
            <w:r w:rsidRPr="2F1EB167">
              <w:rPr>
                <w:rFonts w:eastAsia="Times New Roman" w:cs="Arial"/>
                <w:snapToGrid w:val="0"/>
              </w:rPr>
              <w:t>, single-use</w:t>
            </w:r>
          </w:p>
        </w:tc>
        <w:tc>
          <w:tcPr>
            <w:tcW w:w="2251" w:type="pct"/>
          </w:tcPr>
          <w:p w14:paraId="15BAD56B" w14:textId="77777777" w:rsidR="00674F09" w:rsidRPr="00CE28E3" w:rsidRDefault="00674F09" w:rsidP="2F1EB167">
            <w:pPr>
              <w:pStyle w:val="TableText"/>
              <w:rPr>
                <w:rFonts w:eastAsia="Times New Roman" w:cs="Arial"/>
                <w:snapToGrid w:val="0"/>
              </w:rPr>
            </w:pPr>
            <w:r w:rsidRPr="2F1EB167">
              <w:rPr>
                <w:rFonts w:eastAsia="Times New Roman" w:cs="Arial"/>
                <w:snapToGrid w:val="0"/>
              </w:rPr>
              <w:t>The catheter is indicated for lithotripsy enhanced, low pressure balloon dilation of calcified peripheral stenotic arteries in patients who are candidates for percutaneous therapy. The catheters are not indicated for coronary or central vascular systems.</w:t>
            </w:r>
          </w:p>
        </w:tc>
      </w:tr>
    </w:tbl>
    <w:p w14:paraId="1B05DB05" w14:textId="374C1223" w:rsidR="00A77CEE" w:rsidRPr="004C0706" w:rsidRDefault="00C91828" w:rsidP="00A77CEE">
      <w:pPr>
        <w:pStyle w:val="TableFigureFooter"/>
        <w:spacing w:after="0"/>
      </w:pPr>
      <w:r>
        <w:t>ARTG</w:t>
      </w:r>
      <w:r w:rsidR="00A77CEE">
        <w:t xml:space="preserve"> = </w:t>
      </w:r>
      <w:r>
        <w:t>Australian Register of Therapeutic Goods</w:t>
      </w:r>
      <w:r w:rsidR="00295CBE">
        <w:t>; GMDN = Global Medical Device Nomenclature</w:t>
      </w:r>
      <w:r w:rsidR="00977625">
        <w:t>; IVL = intravascular lithotripsy</w:t>
      </w:r>
      <w:r w:rsidR="00A77CEE" w:rsidRPr="004C0706">
        <w:t>.</w:t>
      </w:r>
    </w:p>
    <w:p w14:paraId="4AB01DDE" w14:textId="401BD1B6" w:rsidR="00A77CEE" w:rsidRPr="00CE28E3" w:rsidRDefault="00A77CEE" w:rsidP="00A77CEE">
      <w:pPr>
        <w:pStyle w:val="TableFigureFooter"/>
        <w:spacing w:before="0"/>
      </w:pPr>
      <w:r w:rsidRPr="004C0706">
        <w:t xml:space="preserve">Source: </w:t>
      </w:r>
      <w:r w:rsidR="009011CB">
        <w:t xml:space="preserve">Compiled from </w:t>
      </w:r>
      <w:r w:rsidR="00460D96">
        <w:t>MSAC 1734 Public Summary Document</w:t>
      </w:r>
      <w:r w:rsidR="009011CB">
        <w:t xml:space="preserve"> and </w:t>
      </w:r>
      <w:r w:rsidR="00514E7D">
        <w:t>Australian Register of Therapeutic Goods</w:t>
      </w:r>
      <w:r w:rsidR="009011CB">
        <w:t>, accessed 30 July 2024</w:t>
      </w:r>
      <w:r w:rsidRPr="004C0706">
        <w:t>.</w:t>
      </w:r>
    </w:p>
    <w:p w14:paraId="44C3B242" w14:textId="15D3106A" w:rsidR="00772829" w:rsidRDefault="00C949CC" w:rsidP="002A18BE">
      <w:pPr>
        <w:pStyle w:val="Heading2"/>
        <w:numPr>
          <w:ilvl w:val="0"/>
          <w:numId w:val="0"/>
        </w:numPr>
      </w:pPr>
      <w:bookmarkStart w:id="10" w:name="_Toc69491418"/>
      <w:r>
        <w:lastRenderedPageBreak/>
        <w:t>6</w:t>
      </w:r>
      <w:r w:rsidR="00C36633">
        <w:t>.</w:t>
      </w:r>
      <w:r w:rsidR="00C36633">
        <w:tab/>
      </w:r>
      <w:r w:rsidR="00772829" w:rsidRPr="00CE28E3">
        <w:t>Proposal for public funding</w:t>
      </w:r>
      <w:bookmarkEnd w:id="10"/>
    </w:p>
    <w:p w14:paraId="268A0C9E" w14:textId="15BF5BF4" w:rsidR="000D3911" w:rsidRDefault="003F40BE" w:rsidP="00EE10CE">
      <w:r w:rsidRPr="003F40BE">
        <w:t xml:space="preserve">The applicant proposed a single new MBS item for peripheral IVL, including associated balloon dilatation of </w:t>
      </w:r>
      <w:r w:rsidR="008B5374">
        <w:t>one</w:t>
      </w:r>
      <w:r w:rsidRPr="003F40BE">
        <w:t xml:space="preserve"> peripheral artery of </w:t>
      </w:r>
      <w:r w:rsidR="008B5374">
        <w:t>one</w:t>
      </w:r>
      <w:r w:rsidRPr="003F40BE">
        <w:t xml:space="preserve"> limb.</w:t>
      </w:r>
      <w:r>
        <w:t xml:space="preserve"> </w:t>
      </w:r>
      <w:r>
        <w:fldChar w:fldCharType="begin"/>
      </w:r>
      <w:r>
        <w:instrText xml:space="preserve"> REF _Ref69481033 \h </w:instrText>
      </w:r>
      <w:r>
        <w:fldChar w:fldCharType="separate"/>
      </w:r>
      <w:r w:rsidR="000A04D8">
        <w:t>Table </w:t>
      </w:r>
      <w:r w:rsidR="000A04D8">
        <w:rPr>
          <w:noProof/>
        </w:rPr>
        <w:t>3</w:t>
      </w:r>
      <w:r>
        <w:fldChar w:fldCharType="end"/>
      </w:r>
      <w:r>
        <w:t xml:space="preserve"> presents the proposed item descriptor</w:t>
      </w:r>
      <w:r w:rsidR="00495DF9">
        <w:t>, which was reproduced</w:t>
      </w:r>
      <w:r>
        <w:t xml:space="preserve"> </w:t>
      </w:r>
      <w:r w:rsidR="004A5BB9">
        <w:t>from</w:t>
      </w:r>
      <w:r>
        <w:t xml:space="preserve"> the </w:t>
      </w:r>
      <w:r w:rsidR="00AD2C34">
        <w:t xml:space="preserve">original </w:t>
      </w:r>
      <w:r w:rsidR="00594CE8">
        <w:t>Applicant Developed Assessment Report (</w:t>
      </w:r>
      <w:r>
        <w:t>ADAR</w:t>
      </w:r>
      <w:r w:rsidR="00594CE8">
        <w:t>)</w:t>
      </w:r>
      <w:r>
        <w:t>.</w:t>
      </w:r>
      <w:r w:rsidR="00D871B5">
        <w:t xml:space="preserve"> No changes </w:t>
      </w:r>
      <w:r w:rsidR="002D2360">
        <w:t xml:space="preserve">to the descriptor or fee </w:t>
      </w:r>
      <w:r w:rsidR="009D5FA8">
        <w:t>were</w:t>
      </w:r>
      <w:r w:rsidR="00D871B5">
        <w:t xml:space="preserve"> proposed </w:t>
      </w:r>
      <w:r w:rsidR="009D5FA8">
        <w:t>in the resubmission</w:t>
      </w:r>
      <w:r w:rsidR="00D871B5">
        <w:t>.</w:t>
      </w:r>
      <w:r w:rsidR="00AC3614">
        <w:t xml:space="preserve"> </w:t>
      </w:r>
      <w:r w:rsidR="00FA77D7">
        <w:t>The proposal for a</w:t>
      </w:r>
      <w:r w:rsidR="00AC3614">
        <w:t xml:space="preserve"> single </w:t>
      </w:r>
      <w:r w:rsidR="00ED6F28">
        <w:t xml:space="preserve">MBS item for peripheral IVL </w:t>
      </w:r>
      <w:r w:rsidR="00406581">
        <w:t>i</w:t>
      </w:r>
      <w:r w:rsidR="00ED6F28">
        <w:t xml:space="preserve">s consistent with advice from MSAC </w:t>
      </w:r>
      <w:r w:rsidR="0055169E">
        <w:t xml:space="preserve">in November 2023 </w:t>
      </w:r>
      <w:r w:rsidR="00ED6F28">
        <w:t>(PSD, p.</w:t>
      </w:r>
      <w:r w:rsidR="00470A1A">
        <w:t>5</w:t>
      </w:r>
      <w:r w:rsidR="00ED6F28">
        <w:t>).</w:t>
      </w:r>
    </w:p>
    <w:p w14:paraId="39392CFD" w14:textId="1534E9FF" w:rsidR="003328A9" w:rsidRDefault="00310C3F" w:rsidP="00310C3F">
      <w:pPr>
        <w:pStyle w:val="Caption"/>
        <w:rPr>
          <w:rFonts w:cs="Arial"/>
        </w:rPr>
      </w:pPr>
      <w:bookmarkStart w:id="11" w:name="_Ref69481033"/>
      <w:r>
        <w:t>Table</w:t>
      </w:r>
      <w:r w:rsidR="004A4FDF">
        <w:t> </w:t>
      </w:r>
      <w:r w:rsidR="000A04D8">
        <w:fldChar w:fldCharType="begin"/>
      </w:r>
      <w:r w:rsidR="000A04D8">
        <w:instrText xml:space="preserve"> SEQ Table \* ARABIC </w:instrText>
      </w:r>
      <w:r w:rsidR="000A04D8">
        <w:fldChar w:fldCharType="separate"/>
      </w:r>
      <w:r w:rsidR="000A04D8">
        <w:rPr>
          <w:noProof/>
        </w:rPr>
        <w:t>3</w:t>
      </w:r>
      <w:r w:rsidR="000A04D8">
        <w:rPr>
          <w:noProof/>
        </w:rPr>
        <w:fldChar w:fldCharType="end"/>
      </w:r>
      <w:bookmarkEnd w:id="11"/>
      <w:r w:rsidR="003328A9" w:rsidRPr="00CE28E3">
        <w:rPr>
          <w:rFonts w:cs="Arial"/>
        </w:rPr>
        <w:tab/>
      </w:r>
      <w:r w:rsidR="003430EB">
        <w:rPr>
          <w:rFonts w:cs="Arial"/>
        </w:rPr>
        <w:t>P</w:t>
      </w:r>
      <w:r w:rsidR="00B26622" w:rsidRPr="00CE28E3">
        <w:rPr>
          <w:rFonts w:cs="Arial"/>
        </w:rPr>
        <w:t>roposed MBS item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MBS item"/>
        <w:tblDescription w:val="The table presents the descriptor and fee for the MBS item proposed in the ADAR."/>
      </w:tblPr>
      <w:tblGrid>
        <w:gridCol w:w="9016"/>
      </w:tblGrid>
      <w:tr w:rsidR="00E640B8" w:rsidRPr="00CE28E3" w14:paraId="440CB606" w14:textId="77777777" w:rsidTr="781C7419">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25893" w14:textId="77777777" w:rsidR="00E640B8" w:rsidRPr="00CE28E3" w:rsidRDefault="00E640B8">
            <w:pPr>
              <w:pStyle w:val="TableText"/>
              <w:rPr>
                <w:sz w:val="24"/>
              </w:rPr>
            </w:pPr>
            <w:r w:rsidRPr="00CE28E3">
              <w:t xml:space="preserve">Category </w:t>
            </w:r>
            <w:r>
              <w:t>3</w:t>
            </w:r>
            <w:r w:rsidRPr="00CE28E3">
              <w:t xml:space="preserve"> – </w:t>
            </w:r>
            <w:r>
              <w:t>THERAPEUTIC PROCEDURES</w:t>
            </w:r>
          </w:p>
        </w:tc>
      </w:tr>
      <w:tr w:rsidR="00E640B8" w:rsidRPr="00CE28E3" w14:paraId="472FC560" w14:textId="77777777" w:rsidTr="781C741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FEDFB" w14:textId="77777777" w:rsidR="00E640B8" w:rsidRPr="00170D5B" w:rsidRDefault="00E640B8">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MBS item *XXXX</w:t>
            </w:r>
          </w:p>
          <w:p w14:paraId="16497BF2" w14:textId="77777777" w:rsidR="00E640B8" w:rsidRPr="00052B65" w:rsidRDefault="00E640B8">
            <w:pPr>
              <w:spacing w:after="120" w:line="240" w:lineRule="auto"/>
              <w:rPr>
                <w:rFonts w:ascii="Arial Narrow" w:hAnsi="Arial Narrow"/>
                <w:sz w:val="20"/>
                <w:szCs w:val="20"/>
                <w:lang w:val="en-US" w:eastAsia="ja-JP"/>
              </w:rPr>
            </w:pPr>
            <w:r w:rsidRPr="00052B65">
              <w:rPr>
                <w:rFonts w:ascii="Arial Narrow" w:hAnsi="Arial Narrow"/>
                <w:sz w:val="20"/>
                <w:szCs w:val="20"/>
                <w:lang w:val="en-US" w:eastAsia="ja-JP"/>
              </w:rPr>
              <w:t>PERIPHERAL INTRAVASCULAR LITHOTRIPSY, including associated balloon dilatation of 1 limb, percutaneous or by open exposure, in patients who have moderately or severely calcified lesions, excluding associated radiological services or preparation, and excluding aftercare</w:t>
            </w:r>
          </w:p>
          <w:p w14:paraId="1C24AA83" w14:textId="77777777" w:rsidR="00E640B8" w:rsidRPr="00052B65" w:rsidRDefault="00E640B8">
            <w:pPr>
              <w:spacing w:after="120" w:line="240" w:lineRule="auto"/>
              <w:rPr>
                <w:rFonts w:ascii="Arial Narrow" w:hAnsi="Arial Narrow"/>
                <w:sz w:val="20"/>
                <w:szCs w:val="20"/>
                <w:lang w:val="en-US" w:eastAsia="ja-JP"/>
              </w:rPr>
            </w:pPr>
            <w:r w:rsidRPr="00052B65">
              <w:rPr>
                <w:rFonts w:ascii="Arial Narrow" w:hAnsi="Arial Narrow"/>
                <w:sz w:val="20"/>
                <w:szCs w:val="20"/>
                <w:lang w:val="en-US" w:eastAsia="ja-JP"/>
              </w:rPr>
              <w:t>Multiple Operation Rule</w:t>
            </w:r>
          </w:p>
          <w:p w14:paraId="45AE34E3" w14:textId="77777777" w:rsidR="00E640B8" w:rsidRPr="00170D5B" w:rsidRDefault="00E640B8">
            <w:pPr>
              <w:spacing w:after="120" w:line="240" w:lineRule="auto"/>
              <w:rPr>
                <w:rFonts w:ascii="Arial Narrow" w:hAnsi="Arial Narrow"/>
                <w:sz w:val="20"/>
                <w:szCs w:val="20"/>
                <w:lang w:val="en-US" w:eastAsia="ja-JP"/>
              </w:rPr>
            </w:pPr>
            <w:r w:rsidRPr="00052B65">
              <w:rPr>
                <w:rFonts w:ascii="Arial Narrow" w:hAnsi="Arial Narrow"/>
                <w:sz w:val="20"/>
                <w:szCs w:val="20"/>
                <w:lang w:val="en-US" w:eastAsia="ja-JP"/>
              </w:rPr>
              <w:t>(Anaes.) (Assist.)</w:t>
            </w:r>
          </w:p>
        </w:tc>
      </w:tr>
      <w:tr w:rsidR="00B60135" w:rsidRPr="00CE28E3" w14:paraId="28155300" w14:textId="77777777" w:rsidTr="781C741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19607" w14:textId="215176A8" w:rsidR="00B60135" w:rsidRPr="00170D5B" w:rsidRDefault="00E35299">
            <w:pPr>
              <w:spacing w:after="120" w:line="240" w:lineRule="auto"/>
              <w:rPr>
                <w:rFonts w:ascii="Arial Narrow" w:hAnsi="Arial Narrow"/>
                <w:sz w:val="20"/>
                <w:szCs w:val="20"/>
                <w:lang w:val="en-US" w:eastAsia="ja-JP"/>
              </w:rPr>
            </w:pPr>
            <w:r>
              <w:rPr>
                <w:rFonts w:ascii="Arial Narrow" w:hAnsi="Arial Narrow"/>
                <w:sz w:val="20"/>
                <w:szCs w:val="20"/>
                <w:lang w:val="en-US" w:eastAsia="ja-JP"/>
              </w:rPr>
              <w:t xml:space="preserve">Fee: </w:t>
            </w:r>
            <w:r w:rsidR="0054450D" w:rsidRPr="0054450D">
              <w:rPr>
                <w:rFonts w:ascii="Arial Narrow" w:hAnsi="Arial Narrow"/>
                <w:sz w:val="20"/>
                <w:szCs w:val="20"/>
                <w:lang w:val="en-US" w:eastAsia="ja-JP"/>
              </w:rPr>
              <w:t xml:space="preserve">$736.25 </w:t>
            </w:r>
            <w:r w:rsidR="001F30DD">
              <w:rPr>
                <w:rFonts w:ascii="Arial Narrow" w:hAnsi="Arial Narrow"/>
                <w:sz w:val="20"/>
                <w:szCs w:val="20"/>
                <w:lang w:val="en-US" w:eastAsia="ja-JP"/>
              </w:rPr>
              <w:t xml:space="preserve">  </w:t>
            </w:r>
            <w:r w:rsidR="0054450D" w:rsidRPr="0054450D">
              <w:rPr>
                <w:rFonts w:ascii="Arial Narrow" w:hAnsi="Arial Narrow"/>
                <w:sz w:val="20"/>
                <w:szCs w:val="20"/>
                <w:lang w:val="en-US" w:eastAsia="ja-JP"/>
              </w:rPr>
              <w:t xml:space="preserve">Benefit: 75% = $552.18 </w:t>
            </w:r>
            <w:r w:rsidR="001F30DD">
              <w:rPr>
                <w:rFonts w:ascii="Arial Narrow" w:hAnsi="Arial Narrow"/>
                <w:sz w:val="20"/>
                <w:szCs w:val="20"/>
                <w:lang w:val="en-US" w:eastAsia="ja-JP"/>
              </w:rPr>
              <w:t xml:space="preserve">  </w:t>
            </w:r>
            <w:r w:rsidR="0054450D" w:rsidRPr="0054450D">
              <w:rPr>
                <w:rFonts w:ascii="Arial Narrow" w:hAnsi="Arial Narrow"/>
                <w:sz w:val="20"/>
                <w:szCs w:val="20"/>
                <w:lang w:val="en-US" w:eastAsia="ja-JP"/>
              </w:rPr>
              <w:t>85% = $625.81</w:t>
            </w:r>
          </w:p>
        </w:tc>
      </w:tr>
    </w:tbl>
    <w:p w14:paraId="31D3FFA3" w14:textId="6F2DF71B" w:rsidR="008F2627" w:rsidRPr="003154D5" w:rsidRDefault="00E22E0F" w:rsidP="00E22E0F">
      <w:pPr>
        <w:pStyle w:val="Tablenotes0"/>
      </w:pPr>
      <w:r>
        <w:t xml:space="preserve">Source: </w:t>
      </w:r>
      <w:r w:rsidR="009A5235">
        <w:t>Table 1-3</w:t>
      </w:r>
      <w:r>
        <w:t xml:space="preserve"> </w:t>
      </w:r>
      <w:r w:rsidRPr="004C0706">
        <w:t>of MSAC 1734 ADAR resubmission + in-line commentary</w:t>
      </w:r>
      <w:r>
        <w:t>.</w:t>
      </w:r>
    </w:p>
    <w:p w14:paraId="66CDF5B3" w14:textId="0DA19826" w:rsidR="00D36DB8" w:rsidRDefault="00845328" w:rsidP="503CF2E3">
      <w:r w:rsidRPr="2F1EB167">
        <w:t>Although t</w:t>
      </w:r>
      <w:r w:rsidR="00D36DB8" w:rsidRPr="2F1EB167">
        <w:t>he PICO population w</w:t>
      </w:r>
      <w:r w:rsidR="0064245E" w:rsidRPr="2F1EB167">
        <w:t>as</w:t>
      </w:r>
      <w:r w:rsidR="00D36DB8" w:rsidRPr="2F1EB167">
        <w:t xml:space="preserve"> restricted to PAD in lower limbs, </w:t>
      </w:r>
      <w:r w:rsidRPr="2F1EB167">
        <w:t xml:space="preserve">the proposed </w:t>
      </w:r>
      <w:r w:rsidR="003D2450" w:rsidRPr="2F1EB167">
        <w:t xml:space="preserve">MBS item </w:t>
      </w:r>
      <w:r w:rsidRPr="2F1EB167">
        <w:t xml:space="preserve">descriptor </w:t>
      </w:r>
      <w:r w:rsidR="00923B79" w:rsidRPr="2F1EB167">
        <w:t>does</w:t>
      </w:r>
      <w:r w:rsidRPr="2F1EB167">
        <w:t xml:space="preserve"> not </w:t>
      </w:r>
      <w:r w:rsidR="00BF6E8F" w:rsidRPr="2F1EB167">
        <w:t xml:space="preserve">restrict use of IVL to </w:t>
      </w:r>
      <w:r w:rsidR="00B95BA4" w:rsidRPr="2F1EB167">
        <w:t>lower limb</w:t>
      </w:r>
      <w:r w:rsidR="00A95A94" w:rsidRPr="2F1EB167">
        <w:t xml:space="preserve"> lesions</w:t>
      </w:r>
      <w:r w:rsidR="00D36DB8" w:rsidRPr="2F1EB167">
        <w:t xml:space="preserve">. </w:t>
      </w:r>
      <w:r w:rsidR="3D5C8013" w:rsidRPr="2F1EB167">
        <w:t xml:space="preserve">In October 2023, the Evaluation Sub-committee (ESC) considered that this was appropriate because the ARTG listing does not specify whether IVL should be restricted to upper or lower limb(s). </w:t>
      </w:r>
    </w:p>
    <w:p w14:paraId="1869325B" w14:textId="093F7DE8" w:rsidR="00D36DB8" w:rsidRDefault="00001E5E" w:rsidP="00D36DB8">
      <w:r>
        <w:t>T</w:t>
      </w:r>
      <w:r w:rsidR="00D36DB8">
        <w:t xml:space="preserve">he </w:t>
      </w:r>
      <w:r w:rsidR="00E90C6A">
        <w:t>randomised controlled trial (</w:t>
      </w:r>
      <w:r w:rsidR="00D36DB8">
        <w:t>RCT</w:t>
      </w:r>
      <w:r w:rsidR="00697D43">
        <w:t>)</w:t>
      </w:r>
      <w:r w:rsidR="00D36DB8">
        <w:t xml:space="preserve"> evidence </w:t>
      </w:r>
      <w:r w:rsidR="002D54D3">
        <w:t xml:space="preserve">provided in the original ADAR </w:t>
      </w:r>
      <w:r w:rsidR="00696723">
        <w:t>(</w:t>
      </w:r>
      <w:hyperlink r:id="rId19">
        <w:r w:rsidR="001E1AEF" w:rsidRPr="503CF2E3">
          <w:rPr>
            <w:rStyle w:val="Hyperlink"/>
          </w:rPr>
          <w:t>DISRUPT PAD III</w:t>
        </w:r>
      </w:hyperlink>
      <w:r w:rsidR="001E1AEF">
        <w:t xml:space="preserve">) </w:t>
      </w:r>
      <w:r>
        <w:t xml:space="preserve">included patients with </w:t>
      </w:r>
      <w:r w:rsidR="006A167D">
        <w:t>superficial femoral artery or popliteal artery lesions</w:t>
      </w:r>
      <w:r w:rsidR="00755424">
        <w:t xml:space="preserve"> only</w:t>
      </w:r>
      <w:r w:rsidR="00D36DB8">
        <w:t>.</w:t>
      </w:r>
      <w:r w:rsidR="00836F8D">
        <w:t xml:space="preserve"> No evidence was provided to support </w:t>
      </w:r>
      <w:r w:rsidR="008351D6">
        <w:t>the safety and effectiveness of</w:t>
      </w:r>
      <w:r w:rsidR="00187904">
        <w:t xml:space="preserve"> IVL in</w:t>
      </w:r>
      <w:r w:rsidR="00C07ECA">
        <w:t xml:space="preserve"> upper limb lesions.</w:t>
      </w:r>
    </w:p>
    <w:p w14:paraId="7FC38052" w14:textId="7FB6194D" w:rsidR="00D36DB8" w:rsidRPr="00342F38" w:rsidRDefault="00D36DB8" w:rsidP="00D36DB8">
      <w:r w:rsidRPr="00342F38">
        <w:t xml:space="preserve">The proposed MBS item excludes associated radiological services. MBS item 60509 (fluoroscopy in conjunction with a surgical procedure lasting 1 hour or more; </w:t>
      </w:r>
      <w:r w:rsidR="00697D43">
        <w:t>f</w:t>
      </w:r>
      <w:r w:rsidRPr="00342F38">
        <w:t>ee $110.90) is likely to be used during the procedure to guide and check the positioning of the IVL catheter.</w:t>
      </w:r>
    </w:p>
    <w:p w14:paraId="630CF50A" w14:textId="765BE335" w:rsidR="00947E1D" w:rsidRDefault="00947E1D" w:rsidP="00D36DB8">
      <w:r w:rsidRPr="2F1EB167">
        <w:t>Although not mentioned in the resubmission, the ESC</w:t>
      </w:r>
      <w:r w:rsidR="00E53049" w:rsidRPr="2F1EB167">
        <w:t xml:space="preserve"> previously</w:t>
      </w:r>
      <w:r w:rsidRPr="2F1EB167">
        <w:t xml:space="preserve"> considered it appropriate to include co-claiming restrictions with angioplasty items (</w:t>
      </w:r>
      <w:r w:rsidR="007E57D7" w:rsidRPr="2F1EB167">
        <w:t xml:space="preserve">MBS </w:t>
      </w:r>
      <w:r w:rsidRPr="2F1EB167">
        <w:t>items 35300 and 35303), as the proposed IVL MBS item should replace these services (PSD, p.36).</w:t>
      </w:r>
    </w:p>
    <w:p w14:paraId="599FA0FB" w14:textId="51CA0889" w:rsidR="00947E1D" w:rsidRDefault="00ED309C" w:rsidP="00947E1D">
      <w:r w:rsidRPr="2F1EB167">
        <w:t>MSAC</w:t>
      </w:r>
      <w:r w:rsidR="00947E1D" w:rsidRPr="2F1EB167">
        <w:t xml:space="preserve"> noted the proposed item has no frequency restrictions. The original ADAR and the resubmission do not address whether a patient may undergo repeated IVL procedures to the same calcified lesion, though it has been reported in a small number of patients in IVL studies.</w:t>
      </w:r>
      <w:r w:rsidR="00947E1D" w:rsidRPr="2F1EB167">
        <w:rPr>
          <w:rStyle w:val="FootnoteReference"/>
        </w:rPr>
        <w:footnoteReference w:id="2"/>
      </w:r>
      <w:r w:rsidR="00947E1D" w:rsidRPr="2F1EB167">
        <w:rPr>
          <w:vertAlign w:val="superscript"/>
        </w:rPr>
        <w:t>,</w:t>
      </w:r>
      <w:r w:rsidR="00947E1D" w:rsidRPr="2F1EB167">
        <w:rPr>
          <w:rStyle w:val="FootnoteReference"/>
        </w:rPr>
        <w:footnoteReference w:id="3"/>
      </w:r>
      <w:r w:rsidR="00947E1D" w:rsidRPr="2F1EB167">
        <w:t xml:space="preserve"> Repeat IVL procedures are not captured in the economic nor financial analyses.</w:t>
      </w:r>
    </w:p>
    <w:p w14:paraId="07D9E8D9" w14:textId="224E3F8A" w:rsidR="00ED37C8" w:rsidRDefault="006C5076" w:rsidP="00D36DB8">
      <w:r w:rsidRPr="2F1EB167">
        <w:t xml:space="preserve">The </w:t>
      </w:r>
      <w:r w:rsidR="00505665" w:rsidRPr="2F1EB167">
        <w:t xml:space="preserve">proposed </w:t>
      </w:r>
      <w:r w:rsidR="001D7F42" w:rsidRPr="2F1EB167">
        <w:t xml:space="preserve">service requires </w:t>
      </w:r>
      <w:r w:rsidR="00354679" w:rsidRPr="2F1EB167">
        <w:t xml:space="preserve">the use of one or more </w:t>
      </w:r>
      <w:r w:rsidR="00155399" w:rsidRPr="2F1EB167">
        <w:t xml:space="preserve">single-use </w:t>
      </w:r>
      <w:r w:rsidRPr="2F1EB167">
        <w:t>Shockwave S4 or M5 catheter</w:t>
      </w:r>
      <w:r w:rsidR="00354679" w:rsidRPr="2F1EB167">
        <w:t>s</w:t>
      </w:r>
      <w:r w:rsidR="007C3D72" w:rsidRPr="2F1EB167">
        <w:t xml:space="preserve"> (indicated for different </w:t>
      </w:r>
      <w:r w:rsidR="00155399" w:rsidRPr="2F1EB167">
        <w:t>vessel diameters).</w:t>
      </w:r>
      <w:r w:rsidR="001D7F42" w:rsidRPr="2F1EB167">
        <w:t xml:space="preserve"> </w:t>
      </w:r>
      <w:r w:rsidR="00E3400B" w:rsidRPr="2F1EB167">
        <w:t xml:space="preserve">According to the </w:t>
      </w:r>
      <w:r w:rsidR="001D4AB5" w:rsidRPr="2F1EB167">
        <w:t>resubmission, e</w:t>
      </w:r>
      <w:r w:rsidR="00155399" w:rsidRPr="2F1EB167">
        <w:t xml:space="preserve">ach </w:t>
      </w:r>
      <w:r w:rsidR="0074367A" w:rsidRPr="2F1EB167">
        <w:t xml:space="preserve">IVL </w:t>
      </w:r>
      <w:r w:rsidR="00155399" w:rsidRPr="2F1EB167">
        <w:t>catheter costs</w:t>
      </w:r>
      <w:r w:rsidR="001D7F42" w:rsidRPr="2F1EB167">
        <w:t xml:space="preserve"> </w:t>
      </w:r>
      <w:r w:rsidR="001D7F42" w:rsidRPr="001D6D6C">
        <w:lastRenderedPageBreak/>
        <w:t>$</w:t>
      </w:r>
      <w:r w:rsidR="00A535BD" w:rsidRPr="001D6D6C">
        <w:rPr>
          <w:b/>
          <w:bCs/>
        </w:rPr>
        <w:t>redacted</w:t>
      </w:r>
      <w:r w:rsidR="001D7F42" w:rsidRPr="001D6D6C">
        <w:t>.</w:t>
      </w:r>
      <w:r w:rsidRPr="001D6D6C">
        <w:t xml:space="preserve"> </w:t>
      </w:r>
      <w:r w:rsidR="00155399" w:rsidRPr="2F1EB167">
        <w:t>This</w:t>
      </w:r>
      <w:r w:rsidRPr="2F1EB167">
        <w:t xml:space="preserve"> cost </w:t>
      </w:r>
      <w:r w:rsidR="00BC3805" w:rsidRPr="2F1EB167">
        <w:t xml:space="preserve">is </w:t>
      </w:r>
      <w:r w:rsidRPr="2F1EB167">
        <w:t>currently covered via private health insurance or hospital funding</w:t>
      </w:r>
      <w:r w:rsidR="00596E7C" w:rsidRPr="2F1EB167">
        <w:t xml:space="preserve"> </w:t>
      </w:r>
      <w:r w:rsidR="00AF67DD" w:rsidRPr="2F1EB167">
        <w:t>on an individual basis</w:t>
      </w:r>
      <w:r w:rsidRPr="2F1EB167">
        <w:t xml:space="preserve">. </w:t>
      </w:r>
      <w:r w:rsidR="00BD180C" w:rsidRPr="2F1EB167">
        <w:t>MSAC</w:t>
      </w:r>
      <w:r w:rsidR="00486A75" w:rsidRPr="2F1EB167">
        <w:t xml:space="preserve"> noted that the cost of </w:t>
      </w:r>
      <w:r w:rsidR="0074367A" w:rsidRPr="2F1EB167">
        <w:t>IVL</w:t>
      </w:r>
      <w:r w:rsidR="00486A75" w:rsidRPr="2F1EB167">
        <w:t xml:space="preserve"> </w:t>
      </w:r>
      <w:r w:rsidR="00155399" w:rsidRPr="2F1EB167">
        <w:t>consumables</w:t>
      </w:r>
      <w:r w:rsidR="00486A75" w:rsidRPr="2F1EB167">
        <w:t xml:space="preserve"> may also be passed on to the patient as an out-of-pocket expense.</w:t>
      </w:r>
      <w:r w:rsidR="000B03A8" w:rsidRPr="2F1EB167">
        <w:t xml:space="preserve"> </w:t>
      </w:r>
      <w:r w:rsidR="00ED37C8" w:rsidRPr="2F1EB167">
        <w:t xml:space="preserve">The resubmission </w:t>
      </w:r>
      <w:r w:rsidR="00736764" w:rsidRPr="2F1EB167">
        <w:t>claimed</w:t>
      </w:r>
      <w:r w:rsidR="007441E3" w:rsidRPr="2F1EB167">
        <w:t xml:space="preserve"> that u</w:t>
      </w:r>
      <w:r w:rsidR="00ED37C8" w:rsidRPr="2F1EB167">
        <w:t xml:space="preserve">nder the Prescribed List (PL) reforms, there is an opportunity for IVL catheters </w:t>
      </w:r>
      <w:r w:rsidR="00047116" w:rsidRPr="2F1EB167">
        <w:t xml:space="preserve">to be </w:t>
      </w:r>
      <w:r w:rsidR="00ED37C8" w:rsidRPr="2F1EB167">
        <w:t xml:space="preserve">included on </w:t>
      </w:r>
      <w:r w:rsidR="008D6C94" w:rsidRPr="2F1EB167">
        <w:t xml:space="preserve">Part C of </w:t>
      </w:r>
      <w:r w:rsidR="00ED37C8" w:rsidRPr="2F1EB167">
        <w:t>the PL</w:t>
      </w:r>
      <w:r w:rsidR="0093073A" w:rsidRPr="2F1EB167">
        <w:t xml:space="preserve"> – </w:t>
      </w:r>
      <w:r w:rsidR="0049040B" w:rsidRPr="2F1EB167">
        <w:t>akin to DCBs</w:t>
      </w:r>
      <w:r w:rsidR="0093073A" w:rsidRPr="2F1EB167">
        <w:t xml:space="preserve"> – </w:t>
      </w:r>
      <w:r w:rsidR="005D0FC8" w:rsidRPr="2F1EB167">
        <w:t xml:space="preserve">thereby resulting </w:t>
      </w:r>
      <w:r w:rsidR="00ED37C8" w:rsidRPr="2F1EB167">
        <w:t>in more equitable access for patients.</w:t>
      </w:r>
    </w:p>
    <w:p w14:paraId="1216FC53" w14:textId="14ED0B0F" w:rsidR="00BD208D" w:rsidRPr="00B658B6" w:rsidRDefault="00BD208D" w:rsidP="2F1EB167">
      <w:pPr>
        <w:rPr>
          <w:rFonts w:ascii="Arial Narrow" w:eastAsia="Times New Roman" w:hAnsi="Arial Narrow" w:cs="Arial"/>
          <w:snapToGrid w:val="0"/>
          <w:sz w:val="20"/>
          <w:szCs w:val="20"/>
        </w:rPr>
      </w:pPr>
      <w:r w:rsidRPr="2F1EB167">
        <w:t xml:space="preserve">The IVL generator and connector cable are multi-use and are </w:t>
      </w:r>
      <w:r w:rsidR="0068481E" w:rsidRPr="2F1EB167">
        <w:t xml:space="preserve">currently </w:t>
      </w:r>
      <w:r w:rsidRPr="2F1EB167">
        <w:t xml:space="preserve">provided to the hospitals on loan by the manufacturer. MSAC noted that the </w:t>
      </w:r>
      <w:r w:rsidR="0068481E" w:rsidRPr="2F1EB167">
        <w:t xml:space="preserve">applicant </w:t>
      </w:r>
      <w:r w:rsidRPr="2F1EB167">
        <w:t xml:space="preserve">confirmed in its pre-MSAC response that, under the conditions of the loan, all maintenance, servicing and additional costs are borne by the manufacturer and no foreseeable long-term costs of the IVL generator and connector cables will be borne by the health budget or hospitals. </w:t>
      </w:r>
    </w:p>
    <w:p w14:paraId="34E0B08F" w14:textId="16E155BE" w:rsidR="00772829" w:rsidRDefault="00C949CC" w:rsidP="002A18BE">
      <w:pPr>
        <w:pStyle w:val="Heading2"/>
        <w:numPr>
          <w:ilvl w:val="0"/>
          <w:numId w:val="0"/>
        </w:numPr>
      </w:pPr>
      <w:bookmarkStart w:id="12" w:name="_Toc69491419"/>
      <w:r>
        <w:t>7</w:t>
      </w:r>
      <w:r w:rsidR="00C36633">
        <w:t>.</w:t>
      </w:r>
      <w:r w:rsidR="00C36633">
        <w:tab/>
      </w:r>
      <w:r w:rsidR="00772829" w:rsidRPr="00CE28E3">
        <w:t>Population</w:t>
      </w:r>
      <w:bookmarkEnd w:id="12"/>
    </w:p>
    <w:p w14:paraId="5DCC3F6C" w14:textId="7F4DD84C" w:rsidR="00FC07F2" w:rsidRDefault="00D2667D" w:rsidP="008F02B3">
      <w:r w:rsidRPr="2F1EB167">
        <w:t xml:space="preserve">Consistent with advice from MSAC </w:t>
      </w:r>
      <w:r w:rsidR="00514B6B" w:rsidRPr="2F1EB167">
        <w:t xml:space="preserve">in November 2023 </w:t>
      </w:r>
      <w:r w:rsidRPr="2F1EB167">
        <w:t>(PSD, p.</w:t>
      </w:r>
      <w:r w:rsidR="008C3E9C" w:rsidRPr="2F1EB167">
        <w:t>5)</w:t>
      </w:r>
      <w:r w:rsidRPr="2F1EB167">
        <w:t>, t</w:t>
      </w:r>
      <w:r w:rsidR="00B114BC" w:rsidRPr="2F1EB167">
        <w:t xml:space="preserve">he proposed population </w:t>
      </w:r>
      <w:r w:rsidR="00E05D1A" w:rsidRPr="2F1EB167">
        <w:t xml:space="preserve">considered in the resubmission’s economic and financial analyses </w:t>
      </w:r>
      <w:r w:rsidR="000C6D1D" w:rsidRPr="2F1EB167">
        <w:t>was</w:t>
      </w:r>
      <w:r w:rsidR="00B114BC" w:rsidRPr="2F1EB167">
        <w:t xml:space="preserve"> patients with PAD in lower limbs</w:t>
      </w:r>
      <w:r w:rsidR="000C6D1D" w:rsidRPr="2F1EB167">
        <w:t xml:space="preserve"> with</w:t>
      </w:r>
      <w:r w:rsidR="00B114BC" w:rsidRPr="2F1EB167">
        <w:t xml:space="preserve"> moderate or severe calcification and who are indicated for endovascular revascularisation.</w:t>
      </w:r>
    </w:p>
    <w:p w14:paraId="358FC4EB" w14:textId="3A1F6652" w:rsidR="008F02B3" w:rsidRDefault="00916C24" w:rsidP="008F02B3">
      <w:r w:rsidRPr="2F1EB167">
        <w:t xml:space="preserve">As mentioned previously, </w:t>
      </w:r>
      <w:r w:rsidR="004F1A59" w:rsidRPr="2F1EB167">
        <w:t xml:space="preserve">the proposed MBS item is not restricted to </w:t>
      </w:r>
      <w:r w:rsidR="003A0197" w:rsidRPr="2F1EB167">
        <w:t>procedures</w:t>
      </w:r>
      <w:r w:rsidR="00B46C8B" w:rsidRPr="2F1EB167">
        <w:t xml:space="preserve"> in </w:t>
      </w:r>
      <w:r w:rsidR="004F1A59" w:rsidRPr="2F1EB167">
        <w:t>lower limbs</w:t>
      </w:r>
      <w:r w:rsidR="00681A27" w:rsidRPr="2F1EB167">
        <w:t>, nor is the registered indication</w:t>
      </w:r>
      <w:r w:rsidR="00A1427A" w:rsidRPr="2F1EB167">
        <w:t xml:space="preserve"> for Shock</w:t>
      </w:r>
      <w:r w:rsidR="001625D9" w:rsidRPr="2F1EB167">
        <w:t xml:space="preserve">wave </w:t>
      </w:r>
      <w:r w:rsidR="00A1427A" w:rsidRPr="2F1EB167">
        <w:t>IVL</w:t>
      </w:r>
      <w:r w:rsidR="00B46C8B" w:rsidRPr="2F1EB167">
        <w:t>.</w:t>
      </w:r>
    </w:p>
    <w:p w14:paraId="6BD07D5B" w14:textId="2BDEF009" w:rsidR="008F02B3" w:rsidRPr="008F02B3" w:rsidRDefault="008F02B3" w:rsidP="008F02B3">
      <w:r w:rsidRPr="00435D61">
        <w:t xml:space="preserve">The IVL </w:t>
      </w:r>
      <w:r>
        <w:t xml:space="preserve">system </w:t>
      </w:r>
      <w:r w:rsidRPr="00435D61">
        <w:t xml:space="preserve">is designed to be used in hospitals as an inpatient procedure </w:t>
      </w:r>
      <w:r w:rsidR="00853322">
        <w:t xml:space="preserve">and </w:t>
      </w:r>
      <w:r w:rsidRPr="00435D61">
        <w:t>is</w:t>
      </w:r>
      <w:r w:rsidR="00853322">
        <w:t xml:space="preserve"> intended</w:t>
      </w:r>
      <w:r w:rsidRPr="00435D61">
        <w:t xml:space="preserve"> to be performed by vascular surgeons or interventional radiologists trained in endovascular techniques.</w:t>
      </w:r>
    </w:p>
    <w:p w14:paraId="66BDFCC1" w14:textId="52978130" w:rsidR="00772829" w:rsidRDefault="00C949CC" w:rsidP="002A18BE">
      <w:pPr>
        <w:pStyle w:val="Heading2"/>
        <w:numPr>
          <w:ilvl w:val="0"/>
          <w:numId w:val="0"/>
        </w:numPr>
      </w:pPr>
      <w:bookmarkStart w:id="13" w:name="_Toc69491420"/>
      <w:r>
        <w:t>8</w:t>
      </w:r>
      <w:r w:rsidR="00C36633">
        <w:t>.</w:t>
      </w:r>
      <w:r w:rsidR="00C36633">
        <w:tab/>
      </w:r>
      <w:r w:rsidR="00772829" w:rsidRPr="00CE28E3">
        <w:t>Comparator</w:t>
      </w:r>
      <w:bookmarkEnd w:id="13"/>
    </w:p>
    <w:p w14:paraId="57310E16" w14:textId="6A68D001" w:rsidR="00D809C7" w:rsidRDefault="007B732E" w:rsidP="00A77B29">
      <w:r>
        <w:t xml:space="preserve">The comparator </w:t>
      </w:r>
      <w:r w:rsidR="00C20A9A">
        <w:t>proposed in the resubmission</w:t>
      </w:r>
      <w:r w:rsidR="00CA4ACB">
        <w:t xml:space="preserve">’s PICO </w:t>
      </w:r>
      <w:r w:rsidR="00250D1D">
        <w:t>was SBA as a stand-alone treatment or followed by DCB and/or stent</w:t>
      </w:r>
      <w:r w:rsidR="00653714">
        <w:t xml:space="preserve"> insertion</w:t>
      </w:r>
      <w:r w:rsidR="005E0D28">
        <w:t>.</w:t>
      </w:r>
    </w:p>
    <w:p w14:paraId="401ED40C" w14:textId="5DD990B4" w:rsidR="007B732E" w:rsidRDefault="006812AB" w:rsidP="00A77B29">
      <w:r w:rsidRPr="2F1EB167">
        <w:t xml:space="preserve">The economic and financial analyses </w:t>
      </w:r>
      <w:r w:rsidR="00570886" w:rsidRPr="2F1EB167">
        <w:t xml:space="preserve">considered </w:t>
      </w:r>
      <w:r w:rsidR="001F7F89" w:rsidRPr="2F1EB167">
        <w:t xml:space="preserve">that subsequent intervention </w:t>
      </w:r>
      <w:r w:rsidR="00211B2F" w:rsidRPr="2F1EB167">
        <w:t xml:space="preserve">involved </w:t>
      </w:r>
      <w:r w:rsidR="00D809C7" w:rsidRPr="2F1EB167">
        <w:t xml:space="preserve">receipt of </w:t>
      </w:r>
      <w:r w:rsidR="00570886" w:rsidRPr="2F1EB167">
        <w:t>DCB or stent</w:t>
      </w:r>
      <w:r w:rsidR="00CE1679" w:rsidRPr="2F1EB167">
        <w:t>. T</w:t>
      </w:r>
      <w:r w:rsidR="00D15009" w:rsidRPr="2F1EB167">
        <w:t>he</w:t>
      </w:r>
      <w:r w:rsidR="00211B2F" w:rsidRPr="2F1EB167">
        <w:t xml:space="preserve"> </w:t>
      </w:r>
      <w:r w:rsidR="00CE1679" w:rsidRPr="2F1EB167">
        <w:t xml:space="preserve">commentary noted the </w:t>
      </w:r>
      <w:r w:rsidR="00211B2F" w:rsidRPr="2F1EB167">
        <w:t xml:space="preserve">analyses did </w:t>
      </w:r>
      <w:r w:rsidR="009E3C25" w:rsidRPr="2F1EB167">
        <w:t xml:space="preserve">not account for patients who receive </w:t>
      </w:r>
      <w:r w:rsidR="00874DF7" w:rsidRPr="2F1EB167">
        <w:t xml:space="preserve">both DCB and </w:t>
      </w:r>
      <w:r w:rsidR="009E3C25" w:rsidRPr="2F1EB167">
        <w:t xml:space="preserve">stent </w:t>
      </w:r>
      <w:r w:rsidR="001363E1" w:rsidRPr="2F1EB167">
        <w:t>during the index procedure</w:t>
      </w:r>
      <w:r w:rsidR="00CE1679" w:rsidRPr="2F1EB167">
        <w:t xml:space="preserve">, nor </w:t>
      </w:r>
      <w:r w:rsidR="00665EB9" w:rsidRPr="2F1EB167">
        <w:t xml:space="preserve">were data </w:t>
      </w:r>
      <w:r w:rsidR="00CE1679" w:rsidRPr="2F1EB167">
        <w:t>provide</w:t>
      </w:r>
      <w:r w:rsidR="00665EB9" w:rsidRPr="2F1EB167">
        <w:t>d</w:t>
      </w:r>
      <w:r w:rsidR="00CE1679" w:rsidRPr="2F1EB167">
        <w:t xml:space="preserve"> </w:t>
      </w:r>
      <w:r w:rsidR="00665EB9" w:rsidRPr="2F1EB167">
        <w:t xml:space="preserve">to </w:t>
      </w:r>
      <w:r w:rsidR="00227871" w:rsidRPr="2F1EB167">
        <w:t xml:space="preserve">support omission of </w:t>
      </w:r>
      <w:r w:rsidR="00B356ED" w:rsidRPr="2F1EB167">
        <w:t>this combination</w:t>
      </w:r>
      <w:r w:rsidR="00227871" w:rsidRPr="2F1EB167">
        <w:t xml:space="preserve"> as a relevant treatment option</w:t>
      </w:r>
      <w:r w:rsidR="00D809C7" w:rsidRPr="2F1EB167">
        <w:t>.</w:t>
      </w:r>
    </w:p>
    <w:p w14:paraId="4724F966" w14:textId="42B71C23" w:rsidR="00C11844" w:rsidRDefault="00C11844" w:rsidP="00A77B29">
      <w:r w:rsidRPr="00C11844">
        <w:t xml:space="preserve">There are four existing </w:t>
      </w:r>
      <w:r w:rsidR="00976468">
        <w:t xml:space="preserve">MBS </w:t>
      </w:r>
      <w:r w:rsidRPr="00C11844">
        <w:t xml:space="preserve">items related to the comparator SBA (referred to as transluminal balloon angioplasty </w:t>
      </w:r>
      <w:r w:rsidR="0060690E">
        <w:t>[</w:t>
      </w:r>
      <w:r w:rsidRPr="00C11844">
        <w:t>TBA</w:t>
      </w:r>
      <w:r w:rsidR="0060690E">
        <w:t>]</w:t>
      </w:r>
      <w:r w:rsidRPr="00C11844">
        <w:t>) under category 3 therapeutic procedures</w:t>
      </w:r>
      <w:r w:rsidR="00CC49C3">
        <w:t>. The</w:t>
      </w:r>
      <w:r w:rsidR="00B07667">
        <w:t>se</w:t>
      </w:r>
      <w:r w:rsidR="00CC49C3">
        <w:t xml:space="preserve"> ite</w:t>
      </w:r>
      <w:r w:rsidR="000E1242">
        <w:t>ms are not confined to the peripheral arteries.</w:t>
      </w:r>
      <w:r w:rsidR="004379C6">
        <w:t xml:space="preserve"> </w:t>
      </w:r>
      <w:r w:rsidR="00D11668" w:rsidRPr="00D11668">
        <w:t xml:space="preserve">The MBS item descriptors enable </w:t>
      </w:r>
      <w:r w:rsidR="00D170A8">
        <w:t>TBA</w:t>
      </w:r>
      <w:r w:rsidR="00D11668" w:rsidRPr="00D11668">
        <w:t xml:space="preserve"> as a treatment alone </w:t>
      </w:r>
      <w:r w:rsidR="00AD5917">
        <w:t>(</w:t>
      </w:r>
      <w:r w:rsidR="001D6B22">
        <w:t xml:space="preserve">items 35300 and 35303) </w:t>
      </w:r>
      <w:r w:rsidR="00D11668" w:rsidRPr="00D11668">
        <w:t xml:space="preserve">or </w:t>
      </w:r>
      <w:r w:rsidR="007C1604">
        <w:t>in</w:t>
      </w:r>
      <w:r w:rsidR="00D11668" w:rsidRPr="00D11668">
        <w:t xml:space="preserve"> combination with stent insertion (</w:t>
      </w:r>
      <w:r w:rsidR="00DD6C60">
        <w:t xml:space="preserve">items 35306 and 35309 for </w:t>
      </w:r>
      <w:r w:rsidR="00D11668" w:rsidRPr="00D11668">
        <w:t>stent insertion include associated balloon dilatation). Only one MBS item is claimed per course of treatment (either balloon angioplasty or stent insertion).</w:t>
      </w:r>
    </w:p>
    <w:p w14:paraId="7C9C85F1" w14:textId="2DD2813B" w:rsidR="00C949CC" w:rsidRPr="00C949CC" w:rsidRDefault="00C949CC" w:rsidP="00C949CC">
      <w:pPr>
        <w:pStyle w:val="Heading2"/>
        <w:numPr>
          <w:ilvl w:val="0"/>
          <w:numId w:val="0"/>
        </w:numPr>
      </w:pPr>
      <w:bookmarkStart w:id="14" w:name="_Toc69491421"/>
      <w:r>
        <w:t>9.</w:t>
      </w:r>
      <w:r>
        <w:tab/>
      </w:r>
      <w:r w:rsidRPr="003F6F2A">
        <w:t>Summary of public consultation input</w:t>
      </w:r>
      <w:bookmarkEnd w:id="14"/>
    </w:p>
    <w:p w14:paraId="3EE34182" w14:textId="036AF4BD" w:rsidR="00674AAC" w:rsidRPr="00266590" w:rsidRDefault="00674AAC" w:rsidP="5314B337">
      <w:r w:rsidRPr="00266590">
        <w:t xml:space="preserve">The MSAC welcomed consultation input received for this application and noted the period for </w:t>
      </w:r>
      <w:r w:rsidR="00CA00CB" w:rsidRPr="00266590">
        <w:t xml:space="preserve">public </w:t>
      </w:r>
      <w:r w:rsidR="00C00B4B" w:rsidRPr="00266590">
        <w:t>consultation</w:t>
      </w:r>
      <w:r w:rsidRPr="00266590">
        <w:t xml:space="preserve"> </w:t>
      </w:r>
      <w:r w:rsidR="00C00B4B" w:rsidRPr="00266590">
        <w:t xml:space="preserve">closed on 11 October 2024. </w:t>
      </w:r>
    </w:p>
    <w:p w14:paraId="7E3CC69E" w14:textId="559AF3CD" w:rsidR="00C949CC" w:rsidRPr="00266590" w:rsidRDefault="004F15A0" w:rsidP="5314B337">
      <w:r w:rsidRPr="00266590">
        <w:t xml:space="preserve">The MSAC noted </w:t>
      </w:r>
      <w:r w:rsidR="00BA78E9" w:rsidRPr="00266590">
        <w:t xml:space="preserve">consultation input </w:t>
      </w:r>
      <w:r w:rsidR="005C6CC1" w:rsidRPr="00266590">
        <w:t>for this reconsideration</w:t>
      </w:r>
      <w:r w:rsidR="00BA78E9" w:rsidRPr="00266590">
        <w:t xml:space="preserve"> </w:t>
      </w:r>
      <w:r w:rsidR="00766B32" w:rsidRPr="00266590">
        <w:t xml:space="preserve">was </w:t>
      </w:r>
      <w:r w:rsidR="00E92732" w:rsidRPr="00266590">
        <w:t>received</w:t>
      </w:r>
      <w:r w:rsidR="00766B32" w:rsidRPr="00266590">
        <w:t xml:space="preserve"> in the form of a letter from </w:t>
      </w:r>
      <w:r w:rsidR="00CF06CD" w:rsidRPr="00266590">
        <w:t>The Royal Australian and New Zealand College of Radiologists (</w:t>
      </w:r>
      <w:r w:rsidR="00766B32" w:rsidRPr="00266590">
        <w:t>RANZCR</w:t>
      </w:r>
      <w:r w:rsidR="00CF06CD" w:rsidRPr="00266590">
        <w:t>)</w:t>
      </w:r>
      <w:r w:rsidR="00766B32" w:rsidRPr="00266590">
        <w:t xml:space="preserve"> with no further input received</w:t>
      </w:r>
      <w:r w:rsidR="000A5583" w:rsidRPr="00266590">
        <w:t xml:space="preserve"> from other organisations or individuals</w:t>
      </w:r>
      <w:r w:rsidR="00AA0F5A" w:rsidRPr="00266590">
        <w:t xml:space="preserve"> in the public consultation period</w:t>
      </w:r>
      <w:r w:rsidR="000A5583" w:rsidRPr="00266590">
        <w:t xml:space="preserve">. </w:t>
      </w:r>
    </w:p>
    <w:p w14:paraId="0BEF9749" w14:textId="6A6253BA" w:rsidR="00C011D3" w:rsidRPr="00266590" w:rsidRDefault="00C011D3" w:rsidP="5314B337">
      <w:r w:rsidRPr="2F1EB167">
        <w:lastRenderedPageBreak/>
        <w:t xml:space="preserve">RANZCR was supportive of public funding, </w:t>
      </w:r>
      <w:r w:rsidR="00235A15" w:rsidRPr="2F1EB167">
        <w:t>however,</w:t>
      </w:r>
      <w:r w:rsidRPr="2F1EB167">
        <w:t xml:space="preserve"> </w:t>
      </w:r>
      <w:r w:rsidR="00235A15" w:rsidRPr="2F1EB167">
        <w:t>they expressed</w:t>
      </w:r>
      <w:r w:rsidRPr="2F1EB167">
        <w:t xml:space="preserve"> concern</w:t>
      </w:r>
      <w:r w:rsidR="00235A15" w:rsidRPr="2F1EB167">
        <w:t xml:space="preserve"> at the proposal to </w:t>
      </w:r>
      <w:r w:rsidR="005331EC" w:rsidRPr="2F1EB167">
        <w:t>de</w:t>
      </w:r>
      <w:r w:rsidR="00023264" w:rsidRPr="2F1EB167">
        <w:t>termine eligibility for patients</w:t>
      </w:r>
      <w:r w:rsidR="005331EC" w:rsidRPr="2F1EB167">
        <w:t xml:space="preserve"> through vascular surgeons, believing it will limit patient access</w:t>
      </w:r>
      <w:r w:rsidR="00023264" w:rsidRPr="2F1EB167">
        <w:t xml:space="preserve">. </w:t>
      </w:r>
      <w:r w:rsidR="00132A05" w:rsidRPr="2F1EB167">
        <w:t xml:space="preserve">RANZCR also raised concern for the patient </w:t>
      </w:r>
      <w:r w:rsidR="001A741C" w:rsidRPr="2F1EB167">
        <w:t xml:space="preserve">potentially </w:t>
      </w:r>
      <w:r w:rsidR="00132A05" w:rsidRPr="2F1EB167">
        <w:t xml:space="preserve">incurring further out-of-pocket costs if needing a stent following the procedure. </w:t>
      </w:r>
      <w:r w:rsidR="00FD12DF" w:rsidRPr="2F1EB167">
        <w:t>Additionally, RANZCR</w:t>
      </w:r>
      <w:r w:rsidR="00B0731A" w:rsidRPr="2F1EB167">
        <w:t xml:space="preserve"> made the comment that current use of IVL among </w:t>
      </w:r>
      <w:r w:rsidR="008371BC" w:rsidRPr="2F1EB167">
        <w:t xml:space="preserve">interventional radiologists is limited, primarily due to cost and lack of infrastructure. </w:t>
      </w:r>
    </w:p>
    <w:p w14:paraId="239BE3FD" w14:textId="2CD20E53" w:rsidR="1C7372C4" w:rsidRPr="004B2BDB" w:rsidRDefault="00965560" w:rsidP="5314B337">
      <w:r w:rsidRPr="2F1EB167">
        <w:t xml:space="preserve">Further consultation input was </w:t>
      </w:r>
      <w:r w:rsidR="001328E6" w:rsidRPr="2F1EB167">
        <w:t xml:space="preserve">solicited </w:t>
      </w:r>
      <w:r w:rsidR="00DC2874" w:rsidRPr="2F1EB167">
        <w:t>by</w:t>
      </w:r>
      <w:r w:rsidR="001328E6" w:rsidRPr="2F1EB167">
        <w:t xml:space="preserve"> the applicant from two vascular surgeons</w:t>
      </w:r>
      <w:r w:rsidR="00DB7921" w:rsidRPr="2F1EB167">
        <w:t xml:space="preserve"> experienced in the use of IVL</w:t>
      </w:r>
      <w:r w:rsidR="00C3609B" w:rsidRPr="2F1EB167">
        <w:t xml:space="preserve">, who </w:t>
      </w:r>
      <w:r w:rsidR="00B6291E" w:rsidRPr="2F1EB167">
        <w:t xml:space="preserve">noted the </w:t>
      </w:r>
      <w:r w:rsidR="00E719E9" w:rsidRPr="2F1EB167">
        <w:t xml:space="preserve">importance of reducing calcification </w:t>
      </w:r>
      <w:r w:rsidR="003A4274" w:rsidRPr="2F1EB167">
        <w:t>and the safety of IVL</w:t>
      </w:r>
      <w:r w:rsidR="007A780A" w:rsidRPr="2F1EB167">
        <w:t xml:space="preserve"> compared to SBA</w:t>
      </w:r>
      <w:r w:rsidR="00B93B36" w:rsidRPr="2F1EB167">
        <w:t>.</w:t>
      </w:r>
      <w:r w:rsidR="009B3FA4" w:rsidRPr="2F1EB167">
        <w:t xml:space="preserve"> </w:t>
      </w:r>
    </w:p>
    <w:p w14:paraId="03C7A1F1" w14:textId="3AEAE95F" w:rsidR="00772829" w:rsidRDefault="00C949CC" w:rsidP="002A18BE">
      <w:pPr>
        <w:pStyle w:val="Heading2"/>
        <w:numPr>
          <w:ilvl w:val="0"/>
          <w:numId w:val="0"/>
        </w:numPr>
      </w:pPr>
      <w:bookmarkStart w:id="15" w:name="_Toc69491422"/>
      <w:r>
        <w:t>10</w:t>
      </w:r>
      <w:r w:rsidR="00C36633">
        <w:t>.</w:t>
      </w:r>
      <w:r w:rsidR="00C36633">
        <w:tab/>
      </w:r>
      <w:r w:rsidR="00772829" w:rsidRPr="00CE28E3">
        <w:t>Characteristics of the evidence base</w:t>
      </w:r>
      <w:bookmarkEnd w:id="15"/>
    </w:p>
    <w:p w14:paraId="2EBB5431" w14:textId="38C5EE17" w:rsidR="00F06715" w:rsidRDefault="004215AF" w:rsidP="00F06715">
      <w:r w:rsidRPr="2F1EB167">
        <w:t>The original ADAR provided evidence for use of IVL to treat moderate</w:t>
      </w:r>
      <w:r w:rsidR="00491694" w:rsidRPr="2F1EB167">
        <w:t>ly</w:t>
      </w:r>
      <w:r w:rsidRPr="2F1EB167">
        <w:t xml:space="preserve"> or severely calcified PAD based on five relevant studies identified through a systematic literature search. Of these, three were applicable to IVL as a stand-alone treatment (DISRUPT PAD I</w:t>
      </w:r>
      <w:r w:rsidR="00590578" w:rsidRPr="2F1EB167">
        <w:t xml:space="preserve"> [</w:t>
      </w:r>
      <w:hyperlink r:id="rId20">
        <w:r w:rsidR="000A2528" w:rsidRPr="2F1EB167">
          <w:rPr>
            <w:rStyle w:val="Hyperlink"/>
          </w:rPr>
          <w:t>NCT02071108</w:t>
        </w:r>
      </w:hyperlink>
      <w:r w:rsidR="00590578" w:rsidRPr="2F1EB167">
        <w:t>]</w:t>
      </w:r>
      <w:r w:rsidRPr="2F1EB167">
        <w:t xml:space="preserve">, DISRUPT PAD II </w:t>
      </w:r>
      <w:r w:rsidR="00590578" w:rsidRPr="2F1EB167">
        <w:t>[</w:t>
      </w:r>
      <w:hyperlink r:id="rId21">
        <w:r w:rsidR="002A0268" w:rsidRPr="2F1EB167">
          <w:rPr>
            <w:rStyle w:val="Hyperlink"/>
          </w:rPr>
          <w:t>NCT02369848</w:t>
        </w:r>
      </w:hyperlink>
      <w:r w:rsidR="00590578" w:rsidRPr="2F1EB167">
        <w:t xml:space="preserve">] </w:t>
      </w:r>
      <w:r w:rsidRPr="2F1EB167">
        <w:t>and DISRUPT BTK</w:t>
      </w:r>
      <w:r w:rsidR="00590578" w:rsidRPr="2F1EB167">
        <w:t xml:space="preserve"> [</w:t>
      </w:r>
      <w:hyperlink r:id="rId22">
        <w:r w:rsidR="00710521" w:rsidRPr="2F1EB167">
          <w:rPr>
            <w:rStyle w:val="Hyperlink"/>
          </w:rPr>
          <w:t>NCT02911623</w:t>
        </w:r>
      </w:hyperlink>
      <w:r w:rsidR="00590578" w:rsidRPr="2F1EB167">
        <w:t>]</w:t>
      </w:r>
      <w:r w:rsidRPr="2F1EB167">
        <w:t xml:space="preserve">), and two were applicable to IVL as a vessel preparation strategy followed by a DCB and/or stent insertion (DISRUPT PAD III RCT </w:t>
      </w:r>
      <w:r w:rsidR="00590578" w:rsidRPr="2F1EB167">
        <w:t>[</w:t>
      </w:r>
      <w:hyperlink r:id="rId23">
        <w:r w:rsidR="005E30B5" w:rsidRPr="2F1EB167">
          <w:rPr>
            <w:rStyle w:val="Hyperlink"/>
          </w:rPr>
          <w:t>NCT02923193</w:t>
        </w:r>
      </w:hyperlink>
      <w:r w:rsidR="00590578" w:rsidRPr="2F1EB167">
        <w:t xml:space="preserve">] </w:t>
      </w:r>
      <w:r w:rsidRPr="2F1EB167">
        <w:t>and DISRUPT PAD III O</w:t>
      </w:r>
      <w:r w:rsidR="00616B0F" w:rsidRPr="2F1EB167">
        <w:t xml:space="preserve">bservational </w:t>
      </w:r>
      <w:r w:rsidRPr="2F1EB167">
        <w:t>S</w:t>
      </w:r>
      <w:r w:rsidR="00616B0F" w:rsidRPr="2F1EB167">
        <w:t>tudy</w:t>
      </w:r>
      <w:r w:rsidR="00590578" w:rsidRPr="2F1EB167">
        <w:t xml:space="preserve"> [</w:t>
      </w:r>
      <w:hyperlink r:id="rId24">
        <w:r w:rsidR="009F112F" w:rsidRPr="2F1EB167">
          <w:rPr>
            <w:rStyle w:val="Hyperlink"/>
          </w:rPr>
          <w:t>NCT05881421</w:t>
        </w:r>
      </w:hyperlink>
      <w:r w:rsidR="00590578" w:rsidRPr="2F1EB167">
        <w:t>]</w:t>
      </w:r>
      <w:r w:rsidRPr="2F1EB167">
        <w:t>).</w:t>
      </w:r>
    </w:p>
    <w:p w14:paraId="15685F62" w14:textId="7CDFDBD8" w:rsidR="00A10C50" w:rsidRDefault="00A10C50" w:rsidP="00F06715">
      <w:r w:rsidRPr="2F1EB167">
        <w:t>DISRUPT PAD III RCT</w:t>
      </w:r>
      <w:r w:rsidR="00B718F2" w:rsidRPr="2F1EB167">
        <w:t xml:space="preserve"> </w:t>
      </w:r>
      <w:r w:rsidRPr="2F1EB167">
        <w:t xml:space="preserve">was a prospective, multicentre, single-blind, randomised (1:1) </w:t>
      </w:r>
      <w:r w:rsidR="00014408" w:rsidRPr="2F1EB167">
        <w:t>trial</w:t>
      </w:r>
      <w:r w:rsidRPr="2F1EB167">
        <w:t xml:space="preserve"> of IVL versus SBA for vessel preparation prior to DCB treatment or stenting in moderate</w:t>
      </w:r>
      <w:r w:rsidR="00840673" w:rsidRPr="2F1EB167">
        <w:t>ly</w:t>
      </w:r>
      <w:r w:rsidRPr="2F1EB167">
        <w:t xml:space="preserve"> or severely calcified femoropopliteal arteries. The DISRUPT PAD III </w:t>
      </w:r>
      <w:r w:rsidR="004636C4" w:rsidRPr="2F1EB167">
        <w:t>Observational Study</w:t>
      </w:r>
      <w:r w:rsidRPr="2F1EB167">
        <w:t xml:space="preserve"> was a prospective, multicentre, single-arm </w:t>
      </w:r>
      <w:r w:rsidR="00014408" w:rsidRPr="2F1EB167">
        <w:t>study</w:t>
      </w:r>
      <w:r w:rsidRPr="2F1EB167">
        <w:t xml:space="preserve"> for subjects who did not meet the </w:t>
      </w:r>
      <w:r w:rsidR="00014408" w:rsidRPr="2F1EB167">
        <w:t>eligibility</w:t>
      </w:r>
      <w:r w:rsidRPr="2F1EB167">
        <w:t xml:space="preserve"> criteria </w:t>
      </w:r>
      <w:r w:rsidR="00014408" w:rsidRPr="2F1EB167">
        <w:t>for the DISRUPT</w:t>
      </w:r>
      <w:r w:rsidRPr="2F1EB167">
        <w:t xml:space="preserve"> PAD III RCT or for subjects recruited after enrolment once the randomised portion of the </w:t>
      </w:r>
      <w:r w:rsidR="00FA22E9" w:rsidRPr="2F1EB167">
        <w:t>trial</w:t>
      </w:r>
      <w:r w:rsidRPr="2F1EB167">
        <w:t xml:space="preserve"> was completed.</w:t>
      </w:r>
    </w:p>
    <w:p w14:paraId="094135B1" w14:textId="77488263" w:rsidR="006405B0" w:rsidRDefault="006405B0" w:rsidP="00F06715">
      <w:r w:rsidRPr="2F1EB167">
        <w:t>No new studies or longer-term outcomes from previously identified studies were provided in the resubmission.</w:t>
      </w:r>
    </w:p>
    <w:p w14:paraId="0AD7A3EA" w14:textId="4490C60F" w:rsidR="008751C5" w:rsidRDefault="00C63E62" w:rsidP="00F06715">
      <w:r w:rsidRPr="2F1EB167">
        <w:t>The National Institute for Health and Care Excellence (NICE) recently published interventional procedures guidance relating to IVL for calcified arteries in PAD (</w:t>
      </w:r>
      <w:hyperlink r:id="rId25" w:tooltip="Hyperlink to NICE webpage for IPG780" w:history="1">
        <w:r w:rsidRPr="2F1EB167">
          <w:rPr>
            <w:rStyle w:val="Hyperlink"/>
          </w:rPr>
          <w:t>IPG780</w:t>
        </w:r>
      </w:hyperlink>
      <w:r w:rsidRPr="2F1EB167">
        <w:t xml:space="preserve">, January 2024). The evidence considered by NICE included </w:t>
      </w:r>
      <w:r w:rsidR="00B445F2" w:rsidRPr="2F1EB167">
        <w:t>a</w:t>
      </w:r>
      <w:r w:rsidRPr="2F1EB167">
        <w:t xml:space="preserve"> systematic review and meta-analysis,</w:t>
      </w:r>
      <w:r w:rsidR="008D48DE" w:rsidRPr="2F1EB167">
        <w:rPr>
          <w:rStyle w:val="FootnoteReference"/>
        </w:rPr>
        <w:footnoteReference w:id="4"/>
      </w:r>
      <w:r w:rsidRPr="2F1EB167">
        <w:t xml:space="preserve"> </w:t>
      </w:r>
      <w:r w:rsidR="00B445F2" w:rsidRPr="2F1EB167">
        <w:t>an</w:t>
      </w:r>
      <w:r w:rsidRPr="2F1EB167">
        <w:t xml:space="preserve"> individual patient-level pooled meta-analysis</w:t>
      </w:r>
      <w:r w:rsidR="001259A9" w:rsidRPr="2F1EB167">
        <w:t>,</w:t>
      </w:r>
      <w:r w:rsidR="001259A9" w:rsidRPr="2F1EB167">
        <w:rPr>
          <w:rStyle w:val="FootnoteReference"/>
        </w:rPr>
        <w:footnoteReference w:id="5"/>
      </w:r>
      <w:r w:rsidRPr="2F1EB167">
        <w:t xml:space="preserve"> </w:t>
      </w:r>
      <w:r w:rsidR="00EC02E3" w:rsidRPr="2F1EB167">
        <w:t xml:space="preserve">the </w:t>
      </w:r>
      <w:r w:rsidRPr="2F1EB167">
        <w:t>DISRUPT PAD III</w:t>
      </w:r>
      <w:r w:rsidR="00B445F2" w:rsidRPr="2F1EB167">
        <w:t xml:space="preserve"> RCT</w:t>
      </w:r>
      <w:r w:rsidR="005F43A6" w:rsidRPr="2F1EB167">
        <w:t>,</w:t>
      </w:r>
      <w:r w:rsidR="00B445F2" w:rsidRPr="2F1EB167">
        <w:t xml:space="preserve"> </w:t>
      </w:r>
      <w:r w:rsidRPr="2F1EB167">
        <w:t xml:space="preserve">DISRUPT PAD III </w:t>
      </w:r>
      <w:r w:rsidR="004636C4" w:rsidRPr="2F1EB167">
        <w:t>Observational Study</w:t>
      </w:r>
      <w:r w:rsidRPr="2F1EB167">
        <w:t>, two retrospective cohort studies (</w:t>
      </w:r>
      <w:r w:rsidR="009F7D95" w:rsidRPr="2F1EB167">
        <w:t xml:space="preserve">included in the </w:t>
      </w:r>
      <w:r w:rsidR="009C7A9A" w:rsidRPr="2F1EB167">
        <w:t>original ADAR as supportive evidence</w:t>
      </w:r>
      <w:r w:rsidRPr="2F1EB167">
        <w:t xml:space="preserve">), one prospective single centre registry and two case reports. The DISRUPT PAD I, DISRUPT PAD II and DISRUPT PAD BTK studies were not included in the main evidence summary for NICE because they </w:t>
      </w:r>
      <w:proofErr w:type="gramStart"/>
      <w:r w:rsidRPr="2F1EB167">
        <w:t xml:space="preserve">were </w:t>
      </w:r>
      <w:r w:rsidR="00FD373D" w:rsidRPr="2F1EB167">
        <w:t>considered to be</w:t>
      </w:r>
      <w:proofErr w:type="gramEnd"/>
      <w:r w:rsidR="00FD373D" w:rsidRPr="2F1EB167">
        <w:t xml:space="preserve"> </w:t>
      </w:r>
      <w:r w:rsidRPr="2F1EB167">
        <w:t>relatively small and were included in the published meta-analyses.</w:t>
      </w:r>
    </w:p>
    <w:p w14:paraId="122B9734" w14:textId="7827C771" w:rsidR="002C5814" w:rsidRDefault="00E25C7E" w:rsidP="00E25C7E">
      <w:proofErr w:type="gramStart"/>
      <w:r w:rsidRPr="2F1EB167">
        <w:t>On the basis of</w:t>
      </w:r>
      <w:proofErr w:type="gramEnd"/>
      <w:r w:rsidRPr="2F1EB167">
        <w:t xml:space="preserve"> the </w:t>
      </w:r>
      <w:r w:rsidR="006E458C" w:rsidRPr="2F1EB167">
        <w:t xml:space="preserve">available evidence, </w:t>
      </w:r>
      <w:r w:rsidR="002C5814" w:rsidRPr="2F1EB167">
        <w:t xml:space="preserve">NICE recommended </w:t>
      </w:r>
      <w:r w:rsidR="002F3271" w:rsidRPr="2F1EB167">
        <w:t xml:space="preserve">that </w:t>
      </w:r>
      <w:r w:rsidRPr="2F1EB167">
        <w:t xml:space="preserve">IVL for calcified arteries in PAD should only be used with special arrangements for clinical governance, consent, and audit or research. </w:t>
      </w:r>
      <w:r w:rsidR="00A71562" w:rsidRPr="2F1EB167">
        <w:t xml:space="preserve">The </w:t>
      </w:r>
      <w:r w:rsidR="00FF1D0A" w:rsidRPr="2F1EB167">
        <w:t>NICE</w:t>
      </w:r>
      <w:r w:rsidR="00A71562" w:rsidRPr="2F1EB167">
        <w:t xml:space="preserve"> committee </w:t>
      </w:r>
      <w:r w:rsidR="00D81DCC" w:rsidRPr="2F1EB167">
        <w:t xml:space="preserve">acknowledged </w:t>
      </w:r>
      <w:r w:rsidR="002B79CC" w:rsidRPr="2F1EB167">
        <w:t xml:space="preserve">that </w:t>
      </w:r>
      <w:r w:rsidR="00343343" w:rsidRPr="2F1EB167">
        <w:t xml:space="preserve">the evidence suggests that the </w:t>
      </w:r>
      <w:r w:rsidR="00C504A3" w:rsidRPr="2F1EB167">
        <w:t xml:space="preserve">IVL </w:t>
      </w:r>
      <w:r w:rsidR="00343343" w:rsidRPr="2F1EB167">
        <w:t>procedure is associated with a reduced need for a stent</w:t>
      </w:r>
      <w:r w:rsidR="000301CA" w:rsidRPr="2F1EB167">
        <w:t>, b</w:t>
      </w:r>
      <w:r w:rsidR="00343343" w:rsidRPr="2F1EB167">
        <w:t xml:space="preserve">ut there is not enough long-term evidence, or evidence about how many amputations will be </w:t>
      </w:r>
      <w:r w:rsidR="00EE0ADA" w:rsidRPr="2F1EB167">
        <w:t>avoided</w:t>
      </w:r>
      <w:r w:rsidR="00343343" w:rsidRPr="2F1EB167">
        <w:t xml:space="preserve"> by th</w:t>
      </w:r>
      <w:r w:rsidR="00D633F0" w:rsidRPr="2F1EB167">
        <w:t>e</w:t>
      </w:r>
      <w:r w:rsidR="00343343" w:rsidRPr="2F1EB167">
        <w:t xml:space="preserve"> procedure. </w:t>
      </w:r>
      <w:r w:rsidR="00B50ABA" w:rsidRPr="2F1EB167">
        <w:t xml:space="preserve">The </w:t>
      </w:r>
      <w:r w:rsidR="00FF1D0A" w:rsidRPr="2F1EB167">
        <w:t>NICE</w:t>
      </w:r>
      <w:r w:rsidR="00B50ABA" w:rsidRPr="2F1EB167">
        <w:t xml:space="preserve"> committee noted </w:t>
      </w:r>
      <w:r w:rsidR="00D81DCC" w:rsidRPr="2F1EB167">
        <w:t>the</w:t>
      </w:r>
      <w:r w:rsidR="00A71562" w:rsidRPr="2F1EB167">
        <w:t>re may be groups of people who would particularly benefit from this procedure</w:t>
      </w:r>
      <w:r w:rsidR="00D81DCC" w:rsidRPr="2F1EB167">
        <w:t xml:space="preserve">, such as </w:t>
      </w:r>
      <w:r w:rsidR="00D81DCC" w:rsidRPr="2F1EB167">
        <w:lastRenderedPageBreak/>
        <w:t xml:space="preserve">those </w:t>
      </w:r>
      <w:r w:rsidR="00A71562" w:rsidRPr="2F1EB167">
        <w:t>with smaller vessels or with calcified arteries in a location unsuitable for a stent, but more evidence is needed.</w:t>
      </w:r>
    </w:p>
    <w:p w14:paraId="65C08C2E" w14:textId="5813EA9C" w:rsidR="00886EEF" w:rsidRDefault="005C397E" w:rsidP="00E25C7E">
      <w:r w:rsidRPr="2F1EB167">
        <w:t xml:space="preserve">The NICE </w:t>
      </w:r>
      <w:r w:rsidR="00D80B39" w:rsidRPr="2F1EB167">
        <w:t xml:space="preserve">interventional procedure overview noted </w:t>
      </w:r>
      <w:r w:rsidR="002065AF" w:rsidRPr="2F1EB167">
        <w:t>four</w:t>
      </w:r>
      <w:r w:rsidR="00D80B39" w:rsidRPr="2F1EB167">
        <w:t xml:space="preserve"> </w:t>
      </w:r>
      <w:r w:rsidR="00890653" w:rsidRPr="2F1EB167">
        <w:t xml:space="preserve">relevant </w:t>
      </w:r>
      <w:r w:rsidR="00D80B39" w:rsidRPr="2F1EB167">
        <w:t>ongoing studies with sample size</w:t>
      </w:r>
      <w:r w:rsidR="00C504A3" w:rsidRPr="2F1EB167">
        <w:t>s</w:t>
      </w:r>
      <w:r w:rsidR="00D80B39" w:rsidRPr="2F1EB167">
        <w:t xml:space="preserve"> of 50 or more. All were non-randomised, single-arm studies</w:t>
      </w:r>
      <w:r w:rsidR="005301F7" w:rsidRPr="2F1EB167">
        <w:t xml:space="preserve"> with estimated study completion dates </w:t>
      </w:r>
      <w:r w:rsidR="00794791" w:rsidRPr="2F1EB167">
        <w:t>in</w:t>
      </w:r>
      <w:r w:rsidR="00DB7E8E" w:rsidRPr="2F1EB167">
        <w:t xml:space="preserve"> 2024 to 2026</w:t>
      </w:r>
      <w:r w:rsidR="00EB1C0A" w:rsidRPr="2F1EB167">
        <w:t xml:space="preserve">. </w:t>
      </w:r>
      <w:r w:rsidR="000633B1" w:rsidRPr="2F1EB167">
        <w:t xml:space="preserve">A fifth study </w:t>
      </w:r>
      <w:r w:rsidR="00AE4D5A" w:rsidRPr="2F1EB167">
        <w:t>(</w:t>
      </w:r>
      <w:r w:rsidR="00EC1721" w:rsidRPr="2F1EB167">
        <w:t xml:space="preserve">SHOCC; </w:t>
      </w:r>
      <w:hyperlink r:id="rId26" w:tooltip="Hyperlink to study entry on ISRCTN registry website " w:history="1">
        <w:r w:rsidR="00EC1721" w:rsidRPr="2F1EB167">
          <w:rPr>
            <w:rStyle w:val="Hyperlink"/>
          </w:rPr>
          <w:t>ISRCTN76218607</w:t>
        </w:r>
      </w:hyperlink>
      <w:r w:rsidR="00EC1721" w:rsidRPr="2F1EB167">
        <w:t xml:space="preserve">) </w:t>
      </w:r>
      <w:r w:rsidR="00FE6F4D" w:rsidRPr="2F1EB167">
        <w:t>recently published</w:t>
      </w:r>
      <w:r w:rsidR="00687464" w:rsidRPr="2F1EB167">
        <w:t xml:space="preserve"> results at 6 months follow up</w:t>
      </w:r>
      <w:r w:rsidR="002E3619" w:rsidRPr="2F1EB167">
        <w:t xml:space="preserve"> for 91 patients</w:t>
      </w:r>
      <w:r w:rsidR="00FE6F4D" w:rsidRPr="2F1EB167">
        <w:t>.</w:t>
      </w:r>
      <w:r w:rsidR="006563EE" w:rsidRPr="2F1EB167">
        <w:rPr>
          <w:rStyle w:val="FootnoteReference"/>
        </w:rPr>
        <w:footnoteReference w:id="6"/>
      </w:r>
      <w:r w:rsidR="00FE6F4D" w:rsidRPr="2F1EB167">
        <w:t xml:space="preserve"> </w:t>
      </w:r>
      <w:r w:rsidR="002E3619" w:rsidRPr="2F1EB167">
        <w:t>Due to its small size, lack of a control group and short-term follow up, this new observational study adds little to the body of evidence for the safety and effectiveness of IVL.</w:t>
      </w:r>
    </w:p>
    <w:p w14:paraId="22FE3718" w14:textId="66C73CE3" w:rsidR="00B50ABA" w:rsidRPr="00F06715" w:rsidRDefault="00A33CB8" w:rsidP="00E25C7E">
      <w:r w:rsidRPr="2F1EB167">
        <w:t xml:space="preserve">No new RCTs </w:t>
      </w:r>
      <w:r w:rsidR="00886EEF" w:rsidRPr="2F1EB167">
        <w:t xml:space="preserve">of IVL for the treatment of PAD </w:t>
      </w:r>
      <w:r w:rsidRPr="2F1EB167">
        <w:t>were identified by NICE or the commentary.</w:t>
      </w:r>
    </w:p>
    <w:p w14:paraId="3B9FC2AD" w14:textId="0B0636C4" w:rsidR="00772829" w:rsidRDefault="00C949CC" w:rsidP="002A18BE">
      <w:pPr>
        <w:pStyle w:val="Heading2"/>
        <w:numPr>
          <w:ilvl w:val="0"/>
          <w:numId w:val="0"/>
        </w:numPr>
      </w:pPr>
      <w:bookmarkStart w:id="16" w:name="_Toc69491423"/>
      <w:r>
        <w:t>11</w:t>
      </w:r>
      <w:r w:rsidR="00C36633">
        <w:t>.</w:t>
      </w:r>
      <w:r w:rsidR="00C36633">
        <w:tab/>
      </w:r>
      <w:r w:rsidR="00772829" w:rsidRPr="00CE28E3">
        <w:t>Comparative safety</w:t>
      </w:r>
      <w:bookmarkEnd w:id="16"/>
    </w:p>
    <w:p w14:paraId="57180BB4" w14:textId="082C47A1" w:rsidR="00F06715" w:rsidRPr="00F06715" w:rsidRDefault="00426C8D" w:rsidP="00F06715">
      <w:r>
        <w:t>T</w:t>
      </w:r>
      <w:r w:rsidRPr="00426C8D">
        <w:t xml:space="preserve">he </w:t>
      </w:r>
      <w:r>
        <w:t>safety</w:t>
      </w:r>
      <w:r w:rsidRPr="00426C8D">
        <w:t xml:space="preserve"> of IVL </w:t>
      </w:r>
      <w:r>
        <w:t>wa</w:t>
      </w:r>
      <w:r w:rsidRPr="00426C8D">
        <w:t xml:space="preserve">s </w:t>
      </w:r>
      <w:r w:rsidR="00CA34E7">
        <w:t xml:space="preserve">assessed in the original ADAR and was </w:t>
      </w:r>
      <w:r w:rsidRPr="00426C8D">
        <w:t xml:space="preserve">not </w:t>
      </w:r>
      <w:r w:rsidR="008D2436">
        <w:t xml:space="preserve">further </w:t>
      </w:r>
      <w:r w:rsidRPr="00426C8D">
        <w:t>considered in th</w:t>
      </w:r>
      <w:r>
        <w:t>e</w:t>
      </w:r>
      <w:r w:rsidRPr="00426C8D">
        <w:t xml:space="preserve"> </w:t>
      </w:r>
      <w:r>
        <w:t>re</w:t>
      </w:r>
      <w:r w:rsidRPr="00426C8D">
        <w:t>submission.</w:t>
      </w:r>
    </w:p>
    <w:p w14:paraId="3717AA01" w14:textId="360D89DA" w:rsidR="00772829" w:rsidRDefault="00C949CC" w:rsidP="002A18BE">
      <w:pPr>
        <w:pStyle w:val="Heading2"/>
        <w:numPr>
          <w:ilvl w:val="0"/>
          <w:numId w:val="0"/>
        </w:numPr>
      </w:pPr>
      <w:bookmarkStart w:id="17" w:name="_Toc69491424"/>
      <w:r>
        <w:t>12</w:t>
      </w:r>
      <w:r w:rsidR="00C36633">
        <w:t>.</w:t>
      </w:r>
      <w:r w:rsidR="00C36633">
        <w:tab/>
      </w:r>
      <w:r w:rsidR="00772829" w:rsidRPr="00CE28E3">
        <w:t>Comparative effectiveness</w:t>
      </w:r>
      <w:bookmarkEnd w:id="17"/>
    </w:p>
    <w:p w14:paraId="733561D0" w14:textId="6BFA1881" w:rsidR="008D2436" w:rsidRPr="00F06715" w:rsidRDefault="008D2436" w:rsidP="008D2436">
      <w:r>
        <w:t>T</w:t>
      </w:r>
      <w:r w:rsidRPr="00426C8D">
        <w:t xml:space="preserve">he </w:t>
      </w:r>
      <w:r>
        <w:t>clinical effectiveness</w:t>
      </w:r>
      <w:r w:rsidRPr="00426C8D">
        <w:t xml:space="preserve"> of IVL </w:t>
      </w:r>
      <w:r>
        <w:t>wa</w:t>
      </w:r>
      <w:r w:rsidRPr="00426C8D">
        <w:t xml:space="preserve">s </w:t>
      </w:r>
      <w:r>
        <w:t xml:space="preserve">assessed in the original ADAR and was </w:t>
      </w:r>
      <w:r w:rsidRPr="00426C8D">
        <w:t xml:space="preserve">not </w:t>
      </w:r>
      <w:r>
        <w:t xml:space="preserve">further </w:t>
      </w:r>
      <w:r w:rsidRPr="00426C8D">
        <w:t>considered in th</w:t>
      </w:r>
      <w:r>
        <w:t>e</w:t>
      </w:r>
      <w:r w:rsidRPr="00426C8D">
        <w:t xml:space="preserve"> </w:t>
      </w:r>
      <w:r>
        <w:t>re</w:t>
      </w:r>
      <w:r w:rsidRPr="00426C8D">
        <w:t>submission.</w:t>
      </w:r>
    </w:p>
    <w:p w14:paraId="213924C6" w14:textId="11D5654C" w:rsidR="00772829" w:rsidRDefault="00772829" w:rsidP="00C36305">
      <w:pPr>
        <w:keepNext/>
        <w:tabs>
          <w:tab w:val="left" w:pos="720"/>
          <w:tab w:val="left" w:pos="1140"/>
        </w:tabs>
        <w:spacing w:before="240" w:after="120"/>
        <w:rPr>
          <w:b/>
          <w:bCs/>
        </w:rPr>
      </w:pPr>
      <w:r w:rsidRPr="00223664">
        <w:rPr>
          <w:b/>
          <w:bCs/>
        </w:rPr>
        <w:t>Clinical claim</w:t>
      </w:r>
    </w:p>
    <w:p w14:paraId="1DC765D1" w14:textId="2E9413F2" w:rsidR="009933BC" w:rsidRDefault="00706CB7" w:rsidP="00706CB7">
      <w:pPr>
        <w:tabs>
          <w:tab w:val="left" w:pos="720"/>
          <w:tab w:val="left" w:pos="1140"/>
        </w:tabs>
        <w:spacing w:before="240" w:after="120"/>
      </w:pPr>
      <w:r>
        <w:t>According to the PSD for MSAC 1734</w:t>
      </w:r>
      <w:r w:rsidR="00662978">
        <w:t xml:space="preserve"> (November 2023)</w:t>
      </w:r>
      <w:r w:rsidR="009933BC">
        <w:t>:</w:t>
      </w:r>
    </w:p>
    <w:p w14:paraId="2212760B" w14:textId="76E02271" w:rsidR="005A35EA" w:rsidRDefault="00706CB7" w:rsidP="00C949CC">
      <w:pPr>
        <w:pStyle w:val="ListParagraph"/>
        <w:numPr>
          <w:ilvl w:val="0"/>
          <w:numId w:val="11"/>
        </w:numPr>
        <w:tabs>
          <w:tab w:val="left" w:pos="720"/>
          <w:tab w:val="left" w:pos="1140"/>
        </w:tabs>
        <w:spacing w:before="240" w:after="120"/>
      </w:pPr>
      <w:r w:rsidRPr="2F1EB167">
        <w:t xml:space="preserve">MSAC considered there is </w:t>
      </w:r>
      <w:r w:rsidRPr="2F1EB167">
        <w:rPr>
          <w:b/>
          <w:bCs/>
        </w:rPr>
        <w:t>likely superior procedural effectiveness and non-inferior safety</w:t>
      </w:r>
      <w:r w:rsidRPr="2F1EB167">
        <w:t xml:space="preserve"> for IVL compared to SBA when used as a vessel preparation strategy before stent insertion or treatment with a DCB. </w:t>
      </w:r>
    </w:p>
    <w:p w14:paraId="5BACD4F2" w14:textId="0BFA72CA" w:rsidR="009933BC" w:rsidRDefault="00706CB7" w:rsidP="005A35EA">
      <w:pPr>
        <w:pStyle w:val="ListParagraph"/>
        <w:tabs>
          <w:tab w:val="left" w:pos="720"/>
          <w:tab w:val="left" w:pos="1140"/>
        </w:tabs>
        <w:spacing w:before="240" w:after="120"/>
      </w:pPr>
      <w:r w:rsidRPr="00706CB7">
        <w:t>However, MSAC acknowledged the lack of evidence on long-term safety.</w:t>
      </w:r>
    </w:p>
    <w:p w14:paraId="3226B3F7" w14:textId="77777777" w:rsidR="009933BC" w:rsidRDefault="00706CB7" w:rsidP="00C949CC">
      <w:pPr>
        <w:pStyle w:val="ListParagraph"/>
        <w:numPr>
          <w:ilvl w:val="0"/>
          <w:numId w:val="11"/>
        </w:numPr>
        <w:tabs>
          <w:tab w:val="left" w:pos="720"/>
          <w:tab w:val="left" w:pos="1140"/>
        </w:tabs>
        <w:spacing w:before="240" w:after="120"/>
      </w:pPr>
      <w:r w:rsidRPr="00706CB7">
        <w:t xml:space="preserve">MSAC considered there was </w:t>
      </w:r>
      <w:r w:rsidRPr="009933BC">
        <w:rPr>
          <w:b/>
          <w:bCs/>
        </w:rPr>
        <w:t>weak evidence for superior effectiveness and non-inferior safety</w:t>
      </w:r>
      <w:r w:rsidRPr="00706CB7">
        <w:t xml:space="preserve"> compared to SBA when IVL is employed as a stand-alone therapy.</w:t>
      </w:r>
    </w:p>
    <w:p w14:paraId="25CC658A" w14:textId="18817ACD" w:rsidR="001148D5" w:rsidRPr="00706CB7" w:rsidRDefault="00706CB7" w:rsidP="00C949CC">
      <w:pPr>
        <w:pStyle w:val="ListParagraph"/>
        <w:numPr>
          <w:ilvl w:val="0"/>
          <w:numId w:val="11"/>
        </w:numPr>
        <w:tabs>
          <w:tab w:val="left" w:pos="720"/>
          <w:tab w:val="left" w:pos="1140"/>
        </w:tabs>
        <w:spacing w:before="240" w:after="120"/>
      </w:pPr>
      <w:r w:rsidRPr="2F1EB167">
        <w:t xml:space="preserve">MSAC also noted that the </w:t>
      </w:r>
      <w:r w:rsidRPr="2F1EB167">
        <w:rPr>
          <w:b/>
          <w:bCs/>
        </w:rPr>
        <w:t xml:space="preserve">evidence did not demonstrate any patient-reported outcomes </w:t>
      </w:r>
      <w:r w:rsidRPr="2F1EB167">
        <w:t xml:space="preserve">such as </w:t>
      </w:r>
      <w:r w:rsidR="00B52A4F" w:rsidRPr="2F1EB167">
        <w:t>quality of life</w:t>
      </w:r>
      <w:r w:rsidRPr="2F1EB167">
        <w:t xml:space="preserve"> benefit, ankle-brachial index scores or walking improvement, </w:t>
      </w:r>
      <w:r w:rsidRPr="2F1EB167">
        <w:rPr>
          <w:b/>
          <w:bCs/>
        </w:rPr>
        <w:t>nor any survival benefit</w:t>
      </w:r>
      <w:r w:rsidRPr="2F1EB167">
        <w:t xml:space="preserve"> demonstrated either directly, or from any linked evidence on avoidance of stenting.</w:t>
      </w:r>
    </w:p>
    <w:p w14:paraId="0D09C9E4" w14:textId="66A50A49" w:rsidR="00772829" w:rsidRDefault="00C36633" w:rsidP="002A18BE">
      <w:pPr>
        <w:pStyle w:val="Heading2"/>
        <w:numPr>
          <w:ilvl w:val="0"/>
          <w:numId w:val="0"/>
        </w:numPr>
      </w:pPr>
      <w:bookmarkStart w:id="18" w:name="_Toc69491425"/>
      <w:r>
        <w:t>1</w:t>
      </w:r>
      <w:r w:rsidR="00A106A5">
        <w:t>3</w:t>
      </w:r>
      <w:r>
        <w:t>.</w:t>
      </w:r>
      <w:r>
        <w:tab/>
      </w:r>
      <w:r w:rsidR="00772829" w:rsidRPr="00CE28E3">
        <w:t>Economic evaluation</w:t>
      </w:r>
      <w:bookmarkEnd w:id="18"/>
    </w:p>
    <w:p w14:paraId="0E245C11" w14:textId="37AF9C42" w:rsidR="00560F7E" w:rsidRPr="00560F7E" w:rsidRDefault="00560F7E" w:rsidP="00560F7E">
      <w:pPr>
        <w:pStyle w:val="Heading3"/>
      </w:pPr>
      <w:r>
        <w:t xml:space="preserve">Structure of the economic </w:t>
      </w:r>
      <w:r w:rsidR="00C71AC4">
        <w:t>evaluation</w:t>
      </w:r>
    </w:p>
    <w:p w14:paraId="2560BD1D" w14:textId="352F63A6" w:rsidR="00565DED" w:rsidRDefault="00565DED" w:rsidP="00565DED">
      <w:r w:rsidRPr="6DE7DC23">
        <w:rPr>
          <w:lang w:val="en-GB"/>
        </w:rPr>
        <w:t xml:space="preserve">The </w:t>
      </w:r>
      <w:r w:rsidR="008322D2" w:rsidRPr="6DE7DC23">
        <w:rPr>
          <w:lang w:val="en-GB"/>
        </w:rPr>
        <w:t xml:space="preserve">ADAR </w:t>
      </w:r>
      <w:r w:rsidRPr="6DE7DC23">
        <w:rPr>
          <w:lang w:val="en-GB"/>
        </w:rPr>
        <w:t xml:space="preserve">resubmission </w:t>
      </w:r>
      <w:r w:rsidR="00FE64C5" w:rsidRPr="6DE7DC23">
        <w:rPr>
          <w:lang w:val="en-GB"/>
        </w:rPr>
        <w:t xml:space="preserve">responded to the request from MSAC to present </w:t>
      </w:r>
      <w:r w:rsidR="00B1377B" w:rsidRPr="6DE7DC23">
        <w:rPr>
          <w:lang w:val="en-GB"/>
        </w:rPr>
        <w:t xml:space="preserve">a </w:t>
      </w:r>
      <w:r w:rsidR="00FE64C5" w:rsidRPr="6DE7DC23">
        <w:rPr>
          <w:lang w:val="en-GB"/>
        </w:rPr>
        <w:t>cost-consequence analysis</w:t>
      </w:r>
      <w:r w:rsidR="00AE6E35" w:rsidRPr="6DE7DC23">
        <w:rPr>
          <w:lang w:val="en-GB"/>
        </w:rPr>
        <w:t xml:space="preserve"> (CCA)</w:t>
      </w:r>
      <w:r w:rsidR="00FE64C5" w:rsidRPr="6DE7DC23">
        <w:rPr>
          <w:lang w:val="en-GB"/>
        </w:rPr>
        <w:t xml:space="preserve"> using a decision tree structure</w:t>
      </w:r>
      <w:r w:rsidR="00AE6E35" w:rsidRPr="6DE7DC23">
        <w:rPr>
          <w:lang w:val="en-GB"/>
        </w:rPr>
        <w:t xml:space="preserve">. </w:t>
      </w:r>
      <w:proofErr w:type="gramStart"/>
      <w:r w:rsidR="00CC253B" w:rsidRPr="6DE7DC23">
        <w:rPr>
          <w:lang w:val="en-GB"/>
        </w:rPr>
        <w:t>F</w:t>
      </w:r>
      <w:r w:rsidR="005244BF" w:rsidRPr="6DE7DC23">
        <w:rPr>
          <w:lang w:val="en-GB"/>
        </w:rPr>
        <w:t>or the purpose of</w:t>
      </w:r>
      <w:proofErr w:type="gramEnd"/>
      <w:r w:rsidR="005244BF" w:rsidRPr="6DE7DC23">
        <w:rPr>
          <w:lang w:val="en-GB"/>
        </w:rPr>
        <w:t xml:space="preserve"> </w:t>
      </w:r>
      <w:r w:rsidR="00536BE6" w:rsidRPr="6DE7DC23">
        <w:rPr>
          <w:lang w:val="en-GB"/>
        </w:rPr>
        <w:t>evaluation</w:t>
      </w:r>
      <w:r w:rsidR="00CC253B" w:rsidRPr="6DE7DC23">
        <w:rPr>
          <w:lang w:val="en-GB"/>
        </w:rPr>
        <w:t>,</w:t>
      </w:r>
      <w:r w:rsidR="00536BE6" w:rsidRPr="6DE7DC23">
        <w:rPr>
          <w:lang w:val="en-GB"/>
        </w:rPr>
        <w:t xml:space="preserve"> the commentary created </w:t>
      </w:r>
      <w:r w:rsidR="005244BF" w:rsidRPr="6DE7DC23">
        <w:rPr>
          <w:lang w:val="en-GB"/>
        </w:rPr>
        <w:t xml:space="preserve">a </w:t>
      </w:r>
      <w:r w:rsidR="00536BE6" w:rsidRPr="6DE7DC23">
        <w:rPr>
          <w:lang w:val="en-GB"/>
        </w:rPr>
        <w:t>graphic representation</w:t>
      </w:r>
      <w:r w:rsidR="005244BF" w:rsidRPr="6DE7DC23">
        <w:rPr>
          <w:lang w:val="en-GB"/>
        </w:rPr>
        <w:t xml:space="preserve"> of the </w:t>
      </w:r>
      <w:r w:rsidR="005D0353" w:rsidRPr="6DE7DC23">
        <w:rPr>
          <w:lang w:val="en-GB"/>
        </w:rPr>
        <w:t xml:space="preserve">tree structure </w:t>
      </w:r>
      <w:r w:rsidR="00536BE6" w:rsidRPr="6DE7DC23">
        <w:rPr>
          <w:lang w:val="en-GB"/>
        </w:rPr>
        <w:t>(</w:t>
      </w:r>
      <w:r>
        <w:fldChar w:fldCharType="begin"/>
      </w:r>
      <w:r>
        <w:instrText xml:space="preserve"> REF _Ref173231358 \h </w:instrText>
      </w:r>
      <w:r>
        <w:fldChar w:fldCharType="separate"/>
      </w:r>
      <w:r w:rsidR="000A04D8" w:rsidRPr="6DE7DC23">
        <w:rPr>
          <w:lang w:val="en-GB"/>
        </w:rPr>
        <w:t>Figure 1</w:t>
      </w:r>
      <w:r>
        <w:fldChar w:fldCharType="end"/>
      </w:r>
      <w:r w:rsidR="00B36EFF" w:rsidRPr="6DE7DC23">
        <w:rPr>
          <w:lang w:val="en-GB"/>
        </w:rPr>
        <w:t>).</w:t>
      </w:r>
    </w:p>
    <w:p w14:paraId="78360620" w14:textId="4A89BA24" w:rsidR="00536BE6" w:rsidRPr="00565DED" w:rsidRDefault="00536BE6" w:rsidP="00536BE6">
      <w:pPr>
        <w:pStyle w:val="Caption"/>
      </w:pPr>
      <w:bookmarkStart w:id="19" w:name="_Ref173231358"/>
      <w:r>
        <w:lastRenderedPageBreak/>
        <w:t xml:space="preserve">Figure </w:t>
      </w:r>
      <w:r w:rsidR="000A04D8">
        <w:fldChar w:fldCharType="begin"/>
      </w:r>
      <w:r w:rsidR="000A04D8">
        <w:instrText xml:space="preserve"> SEQ Figure \* ARABIC </w:instrText>
      </w:r>
      <w:r w:rsidR="000A04D8">
        <w:fldChar w:fldCharType="separate"/>
      </w:r>
      <w:r w:rsidR="000A04D8">
        <w:rPr>
          <w:noProof/>
        </w:rPr>
        <w:t>1</w:t>
      </w:r>
      <w:r w:rsidR="000A04D8">
        <w:rPr>
          <w:noProof/>
        </w:rPr>
        <w:fldChar w:fldCharType="end"/>
      </w:r>
      <w:bookmarkEnd w:id="19"/>
      <w:r>
        <w:tab/>
        <w:t xml:space="preserve">Decision </w:t>
      </w:r>
      <w:r w:rsidR="00A77CE1">
        <w:t xml:space="preserve">analytic </w:t>
      </w:r>
      <w:r>
        <w:t xml:space="preserve">tree </w:t>
      </w:r>
      <w:r w:rsidR="00A77CE1">
        <w:t>used in the cost-consequence analysis</w:t>
      </w:r>
      <w:r>
        <w:t xml:space="preserve"> </w:t>
      </w:r>
    </w:p>
    <w:p w14:paraId="2F0F4DF5" w14:textId="792E8A70" w:rsidR="0043742F" w:rsidRDefault="0043742F" w:rsidP="00857EE2">
      <w:pPr>
        <w:keepNext/>
        <w:pBdr>
          <w:top w:val="single" w:sz="4" w:space="1" w:color="auto"/>
          <w:left w:val="single" w:sz="4" w:space="4" w:color="auto"/>
          <w:bottom w:val="single" w:sz="4" w:space="1" w:color="auto"/>
          <w:right w:val="single" w:sz="4" w:space="4" w:color="auto"/>
        </w:pBdr>
      </w:pPr>
      <w:r>
        <w:rPr>
          <w:noProof/>
        </w:rPr>
        <w:drawing>
          <wp:inline distT="0" distB="0" distL="0" distR="0" wp14:anchorId="0981F41C" wp14:editId="7F70E715">
            <wp:extent cx="5772769" cy="3364301"/>
            <wp:effectExtent l="0" t="0" r="0" b="7620"/>
            <wp:docPr id="400073342" name="Picture 1" descr="Graphic representation of the decision tree structure used in the CCA, showing possible outcomes after index treatment with IVL or S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73342" name="Picture 1" descr="Graphic representation of the decision tree structure used in the CCA, showing possible outcomes after index treatment with IVL or SBA. "/>
                    <pic:cNvPicPr/>
                  </pic:nvPicPr>
                  <pic:blipFill rotWithShape="1">
                    <a:blip r:embed="rId27" cstate="print">
                      <a:extLst>
                        <a:ext uri="{28A0092B-C50C-407E-A947-70E740481C1C}">
                          <a14:useLocalDpi xmlns:a14="http://schemas.microsoft.com/office/drawing/2010/main" val="0"/>
                        </a:ext>
                      </a:extLst>
                    </a:blip>
                    <a:srcRect l="1205" t="1285" r="1315" b="1770"/>
                    <a:stretch/>
                  </pic:blipFill>
                  <pic:spPr bwMode="auto">
                    <a:xfrm>
                      <a:off x="0" y="0"/>
                      <a:ext cx="5792074" cy="3375552"/>
                    </a:xfrm>
                    <a:prstGeom prst="rect">
                      <a:avLst/>
                    </a:prstGeom>
                    <a:ln>
                      <a:noFill/>
                    </a:ln>
                    <a:extLst>
                      <a:ext uri="{53640926-AAD7-44D8-BBD7-CCE9431645EC}">
                        <a14:shadowObscured xmlns:a14="http://schemas.microsoft.com/office/drawing/2010/main"/>
                      </a:ext>
                    </a:extLst>
                  </pic:spPr>
                </pic:pic>
              </a:graphicData>
            </a:graphic>
          </wp:inline>
        </w:drawing>
      </w:r>
    </w:p>
    <w:p w14:paraId="19FF6D6C" w14:textId="659A1B09" w:rsidR="00574BEA" w:rsidRDefault="00574BEA" w:rsidP="00911BA7">
      <w:pPr>
        <w:pStyle w:val="Tablenotes0"/>
      </w:pPr>
      <w:r>
        <w:t>DCB</w:t>
      </w:r>
      <w:r w:rsidR="00B04E1B">
        <w:t xml:space="preserve"> = </w:t>
      </w:r>
      <w:r>
        <w:t>drug-coated balloon; IVL</w:t>
      </w:r>
      <w:r w:rsidR="00B04E1B">
        <w:t xml:space="preserve"> = </w:t>
      </w:r>
      <w:r>
        <w:t>intravascular lithotripsy; PAD</w:t>
      </w:r>
      <w:r w:rsidR="00B04E1B">
        <w:t xml:space="preserve"> = </w:t>
      </w:r>
      <w:r>
        <w:t>peripheral arter</w:t>
      </w:r>
      <w:r w:rsidR="002E6D68">
        <w:t>y</w:t>
      </w:r>
      <w:r>
        <w:t xml:space="preserve"> disease; SBA</w:t>
      </w:r>
      <w:r w:rsidR="00B04E1B">
        <w:t xml:space="preserve"> = </w:t>
      </w:r>
      <w:r>
        <w:t>standard balloon angiography.</w:t>
      </w:r>
    </w:p>
    <w:p w14:paraId="6F743B8A" w14:textId="4C891595" w:rsidR="00574BEA" w:rsidRDefault="00574BEA" w:rsidP="00911BA7">
      <w:pPr>
        <w:pStyle w:val="Tablenotes0"/>
      </w:pPr>
      <w:r>
        <w:t xml:space="preserve">Source: </w:t>
      </w:r>
      <w:r w:rsidR="009C6617">
        <w:t>Commentary Figure 1</w:t>
      </w:r>
      <w:r w:rsidR="003E1E5B">
        <w:t xml:space="preserve"> </w:t>
      </w:r>
      <w:r w:rsidR="003E1E5B" w:rsidRPr="004C0706">
        <w:t>of MSAC 1734 ADAR resubmission + in-line commentary</w:t>
      </w:r>
      <w:r>
        <w:t>, reconstructed based on the resubmission model.</w:t>
      </w:r>
    </w:p>
    <w:p w14:paraId="53413BA5" w14:textId="7F327C7B" w:rsidR="00CB7226" w:rsidRDefault="00606F63" w:rsidP="00CB7226">
      <w:r w:rsidRPr="2F1EB167">
        <w:t xml:space="preserve">The </w:t>
      </w:r>
      <w:r w:rsidR="00AA23B7" w:rsidRPr="2F1EB167">
        <w:t>CCA</w:t>
      </w:r>
      <w:r w:rsidRPr="2F1EB167">
        <w:t xml:space="preserve"> </w:t>
      </w:r>
      <w:r w:rsidR="00726010" w:rsidRPr="2F1EB167">
        <w:t>wa</w:t>
      </w:r>
      <w:r w:rsidRPr="2F1EB167">
        <w:t xml:space="preserve">s a </w:t>
      </w:r>
      <w:r w:rsidR="00E73B4B" w:rsidRPr="2F1EB167">
        <w:t xml:space="preserve">partly </w:t>
      </w:r>
      <w:r w:rsidRPr="2F1EB167">
        <w:t>trial-based analysis</w:t>
      </w:r>
      <w:r w:rsidR="000A201B" w:rsidRPr="2F1EB167">
        <w:t>,</w:t>
      </w:r>
      <w:r w:rsidRPr="2F1EB167">
        <w:t xml:space="preserve"> with index procedure outcomes </w:t>
      </w:r>
      <w:r w:rsidR="009C2060" w:rsidRPr="2F1EB167">
        <w:t>informed by</w:t>
      </w:r>
      <w:r w:rsidRPr="2F1EB167">
        <w:t xml:space="preserve"> the DISRUPT PAD III RCT and reintervention outcomes informed from identified literature</w:t>
      </w:r>
      <w:r w:rsidR="005D465C" w:rsidRPr="2F1EB167">
        <w:t>. Outcomes include</w:t>
      </w:r>
      <w:r w:rsidR="00726010" w:rsidRPr="2F1EB167">
        <w:t>d</w:t>
      </w:r>
      <w:r w:rsidR="005D465C" w:rsidRPr="2F1EB167">
        <w:t xml:space="preserve"> provisional stents avoided at index procedure, reintervention procedures avoided </w:t>
      </w:r>
      <w:r w:rsidR="005C0710" w:rsidRPr="2F1EB167">
        <w:t>(</w:t>
      </w:r>
      <w:r w:rsidR="005D465C" w:rsidRPr="2F1EB167">
        <w:t>assuming 100% stent placement</w:t>
      </w:r>
      <w:r w:rsidR="00726010" w:rsidRPr="2F1EB167">
        <w:t xml:space="preserve"> at reintervention</w:t>
      </w:r>
      <w:r w:rsidR="005C0710" w:rsidRPr="2F1EB167">
        <w:t>)</w:t>
      </w:r>
      <w:r w:rsidR="005D465C" w:rsidRPr="2F1EB167">
        <w:t xml:space="preserve"> and amputations avoided. Costs include</w:t>
      </w:r>
      <w:r w:rsidR="00726010" w:rsidRPr="2F1EB167">
        <w:t>d</w:t>
      </w:r>
      <w:r w:rsidR="005D465C" w:rsidRPr="2F1EB167">
        <w:t xml:space="preserve"> those associated with the initial procedure and subsequent reinterventions over a 2-year time horizon.</w:t>
      </w:r>
      <w:r w:rsidR="006A261F" w:rsidRPr="2F1EB167">
        <w:t xml:space="preserve"> </w:t>
      </w:r>
    </w:p>
    <w:p w14:paraId="0B2C6BF5" w14:textId="2EFA245F" w:rsidR="00344DC2" w:rsidRDefault="00423E83" w:rsidP="00344DC2">
      <w:r>
        <w:t xml:space="preserve">A summary of the updates to the economic </w:t>
      </w:r>
      <w:r w:rsidR="00AA23B7">
        <w:t>evaluation</w:t>
      </w:r>
      <w:r>
        <w:t xml:space="preserve"> is provided in </w:t>
      </w:r>
      <w:r>
        <w:fldChar w:fldCharType="begin"/>
      </w:r>
      <w:r>
        <w:instrText xml:space="preserve"> REF _Ref173344147 \h </w:instrText>
      </w:r>
      <w:r>
        <w:fldChar w:fldCharType="separate"/>
      </w:r>
      <w:r w:rsidR="000A04D8">
        <w:t xml:space="preserve">Table </w:t>
      </w:r>
      <w:r w:rsidR="000A04D8">
        <w:rPr>
          <w:noProof/>
        </w:rPr>
        <w:t>4</w:t>
      </w:r>
      <w:r>
        <w:fldChar w:fldCharType="end"/>
      </w:r>
      <w:r>
        <w:t>.</w:t>
      </w:r>
      <w:r w:rsidR="00344DC2">
        <w:br w:type="page"/>
      </w:r>
    </w:p>
    <w:p w14:paraId="5F1EADC2" w14:textId="75A954E0" w:rsidR="00461D59" w:rsidRDefault="00461D59" w:rsidP="00461D59">
      <w:pPr>
        <w:pStyle w:val="Caption"/>
      </w:pPr>
      <w:bookmarkStart w:id="20" w:name="_Ref173344147"/>
      <w:r>
        <w:lastRenderedPageBreak/>
        <w:t xml:space="preserve">Table </w:t>
      </w:r>
      <w:r w:rsidR="000A04D8">
        <w:fldChar w:fldCharType="begin"/>
      </w:r>
      <w:r w:rsidR="000A04D8">
        <w:instrText xml:space="preserve"> SEQ Table \* ARABIC </w:instrText>
      </w:r>
      <w:r w:rsidR="000A04D8">
        <w:fldChar w:fldCharType="separate"/>
      </w:r>
      <w:r w:rsidR="000A04D8">
        <w:rPr>
          <w:noProof/>
        </w:rPr>
        <w:t>4</w:t>
      </w:r>
      <w:r w:rsidR="000A04D8">
        <w:rPr>
          <w:noProof/>
        </w:rPr>
        <w:fldChar w:fldCharType="end"/>
      </w:r>
      <w:bookmarkEnd w:id="20"/>
      <w:r>
        <w:tab/>
        <w:t xml:space="preserve">Summary of </w:t>
      </w:r>
      <w:r w:rsidR="00F826F3">
        <w:t xml:space="preserve">updates to </w:t>
      </w:r>
      <w:r>
        <w:t>the economic evaluation</w:t>
      </w:r>
    </w:p>
    <w:tbl>
      <w:tblPr>
        <w:tblStyle w:val="TableGrid"/>
        <w:tblW w:w="5000" w:type="pct"/>
        <w:tblLook w:val="04A0" w:firstRow="1" w:lastRow="0" w:firstColumn="1" w:lastColumn="0" w:noHBand="0" w:noVBand="1"/>
        <w:tblCaption w:val="Summary of updates to the economic evaluation"/>
        <w:tblDescription w:val="The table presents a comparison of the characteristics of the economic evaluation in the original ADAR and the resubmission."/>
      </w:tblPr>
      <w:tblGrid>
        <w:gridCol w:w="1414"/>
        <w:gridCol w:w="3801"/>
        <w:gridCol w:w="3801"/>
      </w:tblGrid>
      <w:tr w:rsidR="00BC14E1" w:rsidRPr="00530A59" w14:paraId="5F8B04A4" w14:textId="17669ED9" w:rsidTr="2F1EB167">
        <w:trPr>
          <w:tblHeader/>
        </w:trPr>
        <w:tc>
          <w:tcPr>
            <w:tcW w:w="784" w:type="pct"/>
          </w:tcPr>
          <w:p w14:paraId="62D5404D" w14:textId="548787B7" w:rsidR="00BC14E1" w:rsidRPr="00530A59" w:rsidRDefault="00BC14E1">
            <w:pPr>
              <w:pStyle w:val="TableHeading0"/>
            </w:pPr>
            <w:r w:rsidRPr="2F1EB167">
              <w:t>Component</w:t>
            </w:r>
          </w:p>
        </w:tc>
        <w:tc>
          <w:tcPr>
            <w:tcW w:w="2108" w:type="pct"/>
          </w:tcPr>
          <w:p w14:paraId="2A10BF63" w14:textId="125CB452" w:rsidR="00BC14E1" w:rsidRPr="00530A59" w:rsidRDefault="00BC14E1">
            <w:pPr>
              <w:pStyle w:val="TableHeading0"/>
            </w:pPr>
            <w:r>
              <w:t>Original ADAR for MSAC 1734</w:t>
            </w:r>
          </w:p>
        </w:tc>
        <w:tc>
          <w:tcPr>
            <w:tcW w:w="2108" w:type="pct"/>
          </w:tcPr>
          <w:p w14:paraId="56E8ACFE" w14:textId="5EA11222" w:rsidR="00BC14E1" w:rsidRPr="00530A59" w:rsidRDefault="00924CE5">
            <w:pPr>
              <w:pStyle w:val="TableHeading0"/>
            </w:pPr>
            <w:r>
              <w:t>ADAR r</w:t>
            </w:r>
            <w:r w:rsidR="00BC14E1">
              <w:t>esubmission</w:t>
            </w:r>
            <w:r w:rsidR="00F70960">
              <w:t xml:space="preserve"> </w:t>
            </w:r>
            <w:r w:rsidR="00BC14E1">
              <w:t>for MSAC 1734</w:t>
            </w:r>
          </w:p>
        </w:tc>
      </w:tr>
      <w:tr w:rsidR="00E35860" w:rsidRPr="00530A59" w14:paraId="1308534E" w14:textId="79F072E2" w:rsidTr="2F1EB167">
        <w:tc>
          <w:tcPr>
            <w:tcW w:w="784" w:type="pct"/>
          </w:tcPr>
          <w:p w14:paraId="733DF2F3" w14:textId="1CE9B9EC" w:rsidR="00E35860" w:rsidRPr="00530A59" w:rsidRDefault="00E35860" w:rsidP="00E35860">
            <w:pPr>
              <w:pStyle w:val="Tabletext0"/>
            </w:pPr>
            <w:r w:rsidRPr="00A90DC4">
              <w:t>Perspective</w:t>
            </w:r>
          </w:p>
        </w:tc>
        <w:tc>
          <w:tcPr>
            <w:tcW w:w="2108" w:type="pct"/>
          </w:tcPr>
          <w:p w14:paraId="2A9E3948" w14:textId="4D8E4E3A" w:rsidR="00E35860" w:rsidRPr="00530A59" w:rsidRDefault="00E35860" w:rsidP="00E35860">
            <w:pPr>
              <w:pStyle w:val="Tabletext0"/>
            </w:pPr>
            <w:r w:rsidRPr="00A90DC4">
              <w:t>Australian health care perspective</w:t>
            </w:r>
          </w:p>
        </w:tc>
        <w:tc>
          <w:tcPr>
            <w:tcW w:w="2108" w:type="pct"/>
          </w:tcPr>
          <w:p w14:paraId="18743A85" w14:textId="679DCE3D" w:rsidR="00E35860" w:rsidRPr="00530A59" w:rsidRDefault="008265F2" w:rsidP="00E35860">
            <w:pPr>
              <w:pStyle w:val="Tabletext0"/>
            </w:pPr>
            <w:r w:rsidRPr="00A90DC4">
              <w:t>Australian health care perspective</w:t>
            </w:r>
          </w:p>
        </w:tc>
      </w:tr>
      <w:tr w:rsidR="00E35860" w:rsidRPr="00530A59" w14:paraId="0E63612C" w14:textId="78A659B4" w:rsidTr="2F1EB167">
        <w:tc>
          <w:tcPr>
            <w:tcW w:w="784" w:type="pct"/>
          </w:tcPr>
          <w:p w14:paraId="41708A23" w14:textId="4C17CD93" w:rsidR="00E35860" w:rsidRPr="00530A59" w:rsidRDefault="00E35860" w:rsidP="00E35860">
            <w:pPr>
              <w:pStyle w:val="Tabletext0"/>
            </w:pPr>
            <w:r w:rsidRPr="00A90DC4">
              <w:t>Population</w:t>
            </w:r>
          </w:p>
        </w:tc>
        <w:tc>
          <w:tcPr>
            <w:tcW w:w="2108" w:type="pct"/>
          </w:tcPr>
          <w:p w14:paraId="15704067" w14:textId="4836505A" w:rsidR="00E35860" w:rsidRPr="00530A59" w:rsidRDefault="00E35860" w:rsidP="00E35860">
            <w:pPr>
              <w:pStyle w:val="Tabletext0"/>
            </w:pPr>
            <w:r w:rsidRPr="00A90DC4">
              <w:t>Patients with symptomatic PAD with moderate to severe calcification</w:t>
            </w:r>
          </w:p>
        </w:tc>
        <w:tc>
          <w:tcPr>
            <w:tcW w:w="2108" w:type="pct"/>
          </w:tcPr>
          <w:p w14:paraId="20CC3CB0" w14:textId="46BC875C" w:rsidR="00E35860" w:rsidRPr="00530A59" w:rsidRDefault="008265F2" w:rsidP="00E35860">
            <w:pPr>
              <w:pStyle w:val="Tabletext0"/>
            </w:pPr>
            <w:r w:rsidRPr="00A90DC4">
              <w:t>Patients with symptomatic PAD with moderate to severe calcification</w:t>
            </w:r>
          </w:p>
        </w:tc>
      </w:tr>
      <w:tr w:rsidR="00E35860" w:rsidRPr="00530A59" w14:paraId="3644DD69" w14:textId="6A9AA41B" w:rsidTr="2F1EB167">
        <w:tc>
          <w:tcPr>
            <w:tcW w:w="784" w:type="pct"/>
          </w:tcPr>
          <w:p w14:paraId="15939FD7" w14:textId="571493FC" w:rsidR="00E35860" w:rsidRPr="00530A59" w:rsidRDefault="00E35860" w:rsidP="00E35860">
            <w:pPr>
              <w:pStyle w:val="Tabletext0"/>
            </w:pPr>
            <w:r w:rsidRPr="00A90DC4">
              <w:t>Prior testing</w:t>
            </w:r>
          </w:p>
        </w:tc>
        <w:tc>
          <w:tcPr>
            <w:tcW w:w="2108" w:type="pct"/>
          </w:tcPr>
          <w:p w14:paraId="5B67C030" w14:textId="4B7E140C" w:rsidR="00E35860" w:rsidRPr="00530A59" w:rsidRDefault="00E35860" w:rsidP="00E35860">
            <w:pPr>
              <w:pStyle w:val="Tabletext0"/>
            </w:pPr>
            <w:r w:rsidRPr="2F1EB167">
              <w:t>Tests to determine severity of PAD and calcification</w:t>
            </w:r>
          </w:p>
        </w:tc>
        <w:tc>
          <w:tcPr>
            <w:tcW w:w="2108" w:type="pct"/>
          </w:tcPr>
          <w:p w14:paraId="49968F9A" w14:textId="51A24A0C" w:rsidR="00E35860" w:rsidRPr="00530A59" w:rsidRDefault="00E35860" w:rsidP="00E35860">
            <w:pPr>
              <w:pStyle w:val="Tabletext0"/>
            </w:pPr>
            <w:r w:rsidRPr="00A90DC4">
              <w:t>Not captured in analysis</w:t>
            </w:r>
          </w:p>
        </w:tc>
      </w:tr>
      <w:tr w:rsidR="00E35860" w:rsidRPr="00530A59" w14:paraId="21FD7D0F" w14:textId="27511741" w:rsidTr="2F1EB167">
        <w:tc>
          <w:tcPr>
            <w:tcW w:w="784" w:type="pct"/>
          </w:tcPr>
          <w:p w14:paraId="0AEED52C" w14:textId="615C88C0" w:rsidR="00E35860" w:rsidRPr="00530A59" w:rsidRDefault="00E35860" w:rsidP="00E35860">
            <w:pPr>
              <w:pStyle w:val="Tabletext0"/>
            </w:pPr>
            <w:r w:rsidRPr="00A90DC4">
              <w:t>Intervention and comparator</w:t>
            </w:r>
          </w:p>
        </w:tc>
        <w:tc>
          <w:tcPr>
            <w:tcW w:w="2108" w:type="pct"/>
          </w:tcPr>
          <w:p w14:paraId="6F0FFF0E" w14:textId="77777777" w:rsidR="00E35860" w:rsidRDefault="00E35860" w:rsidP="00E35860">
            <w:pPr>
              <w:pStyle w:val="Tabletext0"/>
            </w:pPr>
            <w:r w:rsidRPr="00A90DC4">
              <w:t>Base case: IVL vs SBA followed by DCB or stent</w:t>
            </w:r>
          </w:p>
          <w:p w14:paraId="0774AC2A" w14:textId="53B89CE4" w:rsidR="000B6E02" w:rsidRPr="00530A59" w:rsidRDefault="000B6E02" w:rsidP="00E35860">
            <w:pPr>
              <w:pStyle w:val="Tabletext0"/>
            </w:pPr>
            <w:r w:rsidRPr="00A90DC4">
              <w:t>Scenario: IVL vs SBA as stand-alone treatment</w:t>
            </w:r>
          </w:p>
        </w:tc>
        <w:tc>
          <w:tcPr>
            <w:tcW w:w="2108" w:type="pct"/>
          </w:tcPr>
          <w:p w14:paraId="6CF5E869" w14:textId="20017A1F" w:rsidR="00E35860" w:rsidRPr="00530A59" w:rsidRDefault="000B6E02" w:rsidP="00E35860">
            <w:pPr>
              <w:pStyle w:val="Tabletext0"/>
            </w:pPr>
            <w:r w:rsidRPr="00A90DC4">
              <w:t>IVL vs SBA as either a stand-alone or vessel preparation (i.e. followed by DCB or stent</w:t>
            </w:r>
            <w:r w:rsidR="00051710">
              <w:t xml:space="preserve"> insertion</w:t>
            </w:r>
            <w:r w:rsidRPr="00A90DC4">
              <w:t>)</w:t>
            </w:r>
          </w:p>
        </w:tc>
      </w:tr>
      <w:tr w:rsidR="00E35860" w:rsidRPr="00530A59" w14:paraId="6C7C0977" w14:textId="33BA593A" w:rsidTr="2F1EB167">
        <w:tc>
          <w:tcPr>
            <w:tcW w:w="784" w:type="pct"/>
          </w:tcPr>
          <w:p w14:paraId="7FA13A9E" w14:textId="1611C633" w:rsidR="00E35860" w:rsidRPr="00530A59" w:rsidRDefault="00E35860" w:rsidP="00E35860">
            <w:pPr>
              <w:pStyle w:val="Tabletext0"/>
            </w:pPr>
            <w:r w:rsidRPr="00A90DC4">
              <w:t>Type(s) of analysis</w:t>
            </w:r>
          </w:p>
        </w:tc>
        <w:tc>
          <w:tcPr>
            <w:tcW w:w="2108" w:type="pct"/>
          </w:tcPr>
          <w:p w14:paraId="4D360A12" w14:textId="31FC2F41" w:rsidR="00E35860" w:rsidRDefault="00800DC2" w:rsidP="00E35860">
            <w:pPr>
              <w:pStyle w:val="Tabletext0"/>
            </w:pPr>
            <w:r>
              <w:t>CCA</w:t>
            </w:r>
          </w:p>
          <w:p w14:paraId="6752BF26" w14:textId="6DB7F7F5" w:rsidR="000B6E02" w:rsidRPr="00530A59" w:rsidRDefault="00800DC2" w:rsidP="00E35860">
            <w:pPr>
              <w:pStyle w:val="Tabletext0"/>
            </w:pPr>
            <w:r>
              <w:t>CUA</w:t>
            </w:r>
          </w:p>
        </w:tc>
        <w:tc>
          <w:tcPr>
            <w:tcW w:w="2108" w:type="pct"/>
          </w:tcPr>
          <w:p w14:paraId="0EFDD679" w14:textId="21E59957" w:rsidR="00E35860" w:rsidRPr="00530A59" w:rsidRDefault="000B6E02" w:rsidP="00E35860">
            <w:pPr>
              <w:pStyle w:val="Tabletext0"/>
            </w:pPr>
            <w:r w:rsidRPr="00A90DC4">
              <w:t xml:space="preserve">Updated to a </w:t>
            </w:r>
            <w:r w:rsidR="00800DC2">
              <w:t>CCA</w:t>
            </w:r>
            <w:r w:rsidRPr="00A90DC4">
              <w:t xml:space="preserve"> to focus on costs of the procedure, costs of changes in resource use and avoided outcomes</w:t>
            </w:r>
          </w:p>
        </w:tc>
      </w:tr>
      <w:tr w:rsidR="00E35860" w:rsidRPr="00530A59" w14:paraId="233F041E" w14:textId="77777777" w:rsidTr="2F1EB167">
        <w:tc>
          <w:tcPr>
            <w:tcW w:w="784" w:type="pct"/>
          </w:tcPr>
          <w:p w14:paraId="60EFA7FB" w14:textId="602843C2" w:rsidR="00E35860" w:rsidRPr="00530A59" w:rsidRDefault="004945F1" w:rsidP="00E35860">
            <w:pPr>
              <w:pStyle w:val="Tabletext0"/>
            </w:pPr>
            <w:r>
              <w:t>Clinical o</w:t>
            </w:r>
            <w:r w:rsidR="00E35860" w:rsidRPr="00A90DC4">
              <w:t>utcomes</w:t>
            </w:r>
          </w:p>
        </w:tc>
        <w:tc>
          <w:tcPr>
            <w:tcW w:w="2108" w:type="pct"/>
          </w:tcPr>
          <w:p w14:paraId="5D4DECF3" w14:textId="77777777" w:rsidR="00E35860" w:rsidRDefault="00E35860" w:rsidP="00E35860">
            <w:pPr>
              <w:pStyle w:val="Tabletext0"/>
            </w:pPr>
            <w:r w:rsidRPr="00A90DC4">
              <w:t>Provisional stents avoided</w:t>
            </w:r>
          </w:p>
          <w:p w14:paraId="5C3B69B1" w14:textId="77777777" w:rsidR="007A40D6" w:rsidRDefault="007A40D6" w:rsidP="00E35860">
            <w:pPr>
              <w:pStyle w:val="Tabletext0"/>
            </w:pPr>
            <w:r w:rsidRPr="00A90DC4">
              <w:t>Dissections avoided</w:t>
            </w:r>
          </w:p>
          <w:p w14:paraId="17D5684E" w14:textId="77777777" w:rsidR="007A40D6" w:rsidRDefault="007A40D6" w:rsidP="00E35860">
            <w:pPr>
              <w:pStyle w:val="Tabletext0"/>
            </w:pPr>
            <w:r w:rsidRPr="00A90DC4">
              <w:t>Flow-limiting dissections avoided</w:t>
            </w:r>
          </w:p>
          <w:p w14:paraId="35FB1F13" w14:textId="77777777" w:rsidR="007A40D6" w:rsidRDefault="007A40D6" w:rsidP="00E35860">
            <w:pPr>
              <w:pStyle w:val="Tabletext0"/>
            </w:pPr>
            <w:r w:rsidRPr="00A90DC4">
              <w:t>Primary patency progression</w:t>
            </w:r>
          </w:p>
          <w:p w14:paraId="639FFE7B" w14:textId="77777777" w:rsidR="007A40D6" w:rsidRDefault="007A40D6" w:rsidP="00E35860">
            <w:pPr>
              <w:pStyle w:val="Tabletext0"/>
            </w:pPr>
            <w:r w:rsidRPr="00A90DC4">
              <w:t>Major adverse events</w:t>
            </w:r>
          </w:p>
          <w:p w14:paraId="650C3D12" w14:textId="0BF29652" w:rsidR="00572772" w:rsidRPr="00530A59" w:rsidRDefault="00572772" w:rsidP="00E35860">
            <w:pPr>
              <w:pStyle w:val="Tabletext0"/>
            </w:pPr>
            <w:r w:rsidRPr="00A90DC4">
              <w:t>Quality-adjusted life years</w:t>
            </w:r>
          </w:p>
        </w:tc>
        <w:tc>
          <w:tcPr>
            <w:tcW w:w="2108" w:type="pct"/>
          </w:tcPr>
          <w:p w14:paraId="195D3FEA" w14:textId="25A46B15" w:rsidR="004B3D6A" w:rsidRDefault="004B3D6A" w:rsidP="00CC6137">
            <w:pPr>
              <w:pStyle w:val="Tabletext0"/>
            </w:pPr>
            <w:r>
              <w:t>C</w:t>
            </w:r>
            <w:r w:rsidR="00FB2DB9" w:rsidRPr="00FB2DB9">
              <w:t>hange in provisional stenting rate</w:t>
            </w:r>
            <w:r>
              <w:t xml:space="preserve"> (index procedure)</w:t>
            </w:r>
          </w:p>
          <w:p w14:paraId="5FD3842E" w14:textId="089D2177" w:rsidR="00810A28" w:rsidRDefault="004B3D6A" w:rsidP="00CC6137">
            <w:pPr>
              <w:pStyle w:val="Tabletext0"/>
            </w:pPr>
            <w:r>
              <w:t>C</w:t>
            </w:r>
            <w:r w:rsidR="00FB2DB9" w:rsidRPr="00FB2DB9">
              <w:t xml:space="preserve">hange in reintervention rate </w:t>
            </w:r>
            <w:r w:rsidR="00810A28">
              <w:t>(</w:t>
            </w:r>
            <w:r w:rsidR="00FB2DB9" w:rsidRPr="00FB2DB9">
              <w:t>assuming 100% stent</w:t>
            </w:r>
            <w:r w:rsidR="00810A28">
              <w:t xml:space="preserve"> placement at reintervention) at 2 years</w:t>
            </w:r>
          </w:p>
          <w:p w14:paraId="218FC32B" w14:textId="52EB3E1D" w:rsidR="00E35860" w:rsidRPr="00530A59" w:rsidRDefault="00810A28" w:rsidP="00CC6137">
            <w:pPr>
              <w:pStyle w:val="Tabletext0"/>
            </w:pPr>
            <w:r>
              <w:t>C</w:t>
            </w:r>
            <w:r w:rsidR="00FB2DB9" w:rsidRPr="00FB2DB9">
              <w:t>hange in amputation rate</w:t>
            </w:r>
            <w:r>
              <w:t xml:space="preserve"> at 2 years</w:t>
            </w:r>
          </w:p>
        </w:tc>
      </w:tr>
      <w:tr w:rsidR="00203829" w:rsidRPr="00530A59" w14:paraId="345447E8" w14:textId="77777777" w:rsidTr="2F1EB167">
        <w:tc>
          <w:tcPr>
            <w:tcW w:w="784" w:type="pct"/>
          </w:tcPr>
          <w:p w14:paraId="6AEAE866" w14:textId="67EFA37C" w:rsidR="00203829" w:rsidRDefault="00203829" w:rsidP="00E35860">
            <w:pPr>
              <w:pStyle w:val="Tabletext0"/>
            </w:pPr>
            <w:r>
              <w:t>Economic outcomes</w:t>
            </w:r>
          </w:p>
        </w:tc>
        <w:tc>
          <w:tcPr>
            <w:tcW w:w="2108" w:type="pct"/>
          </w:tcPr>
          <w:p w14:paraId="4651D58F" w14:textId="77777777" w:rsidR="00EE3F49" w:rsidRDefault="00EE3F49" w:rsidP="00EE3F49">
            <w:pPr>
              <w:pStyle w:val="Tabletext0"/>
            </w:pPr>
            <w:r>
              <w:t>Procedural costs</w:t>
            </w:r>
          </w:p>
          <w:p w14:paraId="759117EC" w14:textId="77777777" w:rsidR="00EE3F49" w:rsidRDefault="00EE3F49" w:rsidP="00EE3F49">
            <w:pPr>
              <w:pStyle w:val="Tabletext0"/>
            </w:pPr>
            <w:r>
              <w:t>2-year reintervention costs</w:t>
            </w:r>
          </w:p>
          <w:p w14:paraId="6239C248" w14:textId="4FC0D7A7" w:rsidR="001504CA" w:rsidRDefault="001504CA" w:rsidP="00EE3F49">
            <w:pPr>
              <w:pStyle w:val="Tabletext0"/>
            </w:pPr>
            <w:r>
              <w:t>Incremental cost of IVL at 2 years</w:t>
            </w:r>
          </w:p>
          <w:p w14:paraId="50E27169" w14:textId="75881927" w:rsidR="00EE3F49" w:rsidRPr="00A90DC4" w:rsidRDefault="0079043E" w:rsidP="00EE3F49">
            <w:pPr>
              <w:pStyle w:val="Tabletext0"/>
            </w:pPr>
            <w:r>
              <w:t>ICER</w:t>
            </w:r>
          </w:p>
        </w:tc>
        <w:tc>
          <w:tcPr>
            <w:tcW w:w="2108" w:type="pct"/>
          </w:tcPr>
          <w:p w14:paraId="544BC781" w14:textId="77777777" w:rsidR="00203829" w:rsidRDefault="00203829" w:rsidP="00CC6137">
            <w:pPr>
              <w:pStyle w:val="Tabletext0"/>
            </w:pPr>
            <w:r>
              <w:t>Procedural costs</w:t>
            </w:r>
          </w:p>
          <w:p w14:paraId="5A335009" w14:textId="77777777" w:rsidR="00203829" w:rsidRDefault="00203829" w:rsidP="00CC6137">
            <w:pPr>
              <w:pStyle w:val="Tabletext0"/>
            </w:pPr>
            <w:r>
              <w:t>2-year reintervention costs</w:t>
            </w:r>
          </w:p>
          <w:p w14:paraId="1A25B9C4" w14:textId="399F040B" w:rsidR="001504CA" w:rsidRDefault="001504CA" w:rsidP="00CC6137">
            <w:pPr>
              <w:pStyle w:val="Tabletext0"/>
            </w:pPr>
            <w:r>
              <w:t>Incremental cost of IVL at 2 years</w:t>
            </w:r>
          </w:p>
        </w:tc>
      </w:tr>
      <w:tr w:rsidR="00E35860" w:rsidRPr="00530A59" w14:paraId="6B083297" w14:textId="77777777" w:rsidTr="2F1EB167">
        <w:tc>
          <w:tcPr>
            <w:tcW w:w="784" w:type="pct"/>
          </w:tcPr>
          <w:p w14:paraId="438DAEEB" w14:textId="4E687079" w:rsidR="00E35860" w:rsidRPr="00530A59" w:rsidRDefault="00B6449B" w:rsidP="00E35860">
            <w:pPr>
              <w:pStyle w:val="Tabletext0"/>
            </w:pPr>
            <w:r w:rsidRPr="00B6449B">
              <w:t>Time horizon</w:t>
            </w:r>
          </w:p>
        </w:tc>
        <w:tc>
          <w:tcPr>
            <w:tcW w:w="2108" w:type="pct"/>
          </w:tcPr>
          <w:p w14:paraId="14E99F47" w14:textId="77777777" w:rsidR="00D0594A" w:rsidRDefault="00D0594A" w:rsidP="00D0594A">
            <w:pPr>
              <w:pStyle w:val="Tabletext0"/>
            </w:pPr>
            <w:r>
              <w:t>2 years (i.e. trial-based)</w:t>
            </w:r>
          </w:p>
          <w:p w14:paraId="2D7C33CE" w14:textId="6190364A" w:rsidR="00E35860" w:rsidRPr="00530A59" w:rsidRDefault="00D0594A" w:rsidP="00D0594A">
            <w:pPr>
              <w:pStyle w:val="Tabletext0"/>
            </w:pPr>
            <w:r>
              <w:t>30 years (lifetime)</w:t>
            </w:r>
          </w:p>
        </w:tc>
        <w:tc>
          <w:tcPr>
            <w:tcW w:w="2108" w:type="pct"/>
          </w:tcPr>
          <w:p w14:paraId="056056A5" w14:textId="47240F63" w:rsidR="00CB7051" w:rsidRDefault="00CB7051" w:rsidP="00CB7051">
            <w:pPr>
              <w:pStyle w:val="Tabletext0"/>
            </w:pPr>
            <w:r>
              <w:t>30 days</w:t>
            </w:r>
            <w:r w:rsidR="00F63040">
              <w:t xml:space="preserve"> (</w:t>
            </w:r>
            <w:r w:rsidR="00435468">
              <w:t xml:space="preserve">refers to amputations </w:t>
            </w:r>
            <w:r w:rsidR="00F63040">
              <w:t>after reintervention</w:t>
            </w:r>
            <w:r w:rsidR="00435468">
              <w:t xml:space="preserve"> only</w:t>
            </w:r>
            <w:r w:rsidR="00F63040">
              <w:t>)</w:t>
            </w:r>
          </w:p>
          <w:p w14:paraId="10DC35CA" w14:textId="3BB2EA11" w:rsidR="00E35860" w:rsidRPr="00530A59" w:rsidRDefault="00EC2081" w:rsidP="00CB7051">
            <w:pPr>
              <w:pStyle w:val="Tabletext0"/>
            </w:pPr>
            <w:r>
              <w:t>2 years</w:t>
            </w:r>
          </w:p>
        </w:tc>
      </w:tr>
      <w:tr w:rsidR="00E35860" w:rsidRPr="00530A59" w14:paraId="0627DE69" w14:textId="77777777" w:rsidTr="2F1EB167">
        <w:tc>
          <w:tcPr>
            <w:tcW w:w="784" w:type="pct"/>
          </w:tcPr>
          <w:p w14:paraId="3489AB24" w14:textId="5B05B107" w:rsidR="00E35860" w:rsidRPr="00530A59" w:rsidRDefault="003E5816" w:rsidP="00E35860">
            <w:pPr>
              <w:pStyle w:val="Tabletext0"/>
            </w:pPr>
            <w:r w:rsidRPr="003E5816">
              <w:t>Computational method</w:t>
            </w:r>
          </w:p>
        </w:tc>
        <w:tc>
          <w:tcPr>
            <w:tcW w:w="2108" w:type="pct"/>
          </w:tcPr>
          <w:p w14:paraId="72F3F1FC" w14:textId="77777777" w:rsidR="005E2A39" w:rsidRDefault="005E2A39" w:rsidP="005E2A39">
            <w:pPr>
              <w:pStyle w:val="Tabletext0"/>
            </w:pPr>
            <w:r>
              <w:t>Direct trial</w:t>
            </w:r>
          </w:p>
          <w:p w14:paraId="2077474B" w14:textId="139752ED" w:rsidR="00E35860" w:rsidRPr="00530A59" w:rsidRDefault="005E2A39" w:rsidP="005E2A39">
            <w:pPr>
              <w:pStyle w:val="Tabletext0"/>
            </w:pPr>
            <w:r>
              <w:t>Markov cohort</w:t>
            </w:r>
          </w:p>
        </w:tc>
        <w:tc>
          <w:tcPr>
            <w:tcW w:w="2108" w:type="pct"/>
          </w:tcPr>
          <w:p w14:paraId="1AF6B91A" w14:textId="7F972FDC" w:rsidR="00E35860" w:rsidRPr="00530A59" w:rsidRDefault="00DE786F" w:rsidP="00E35860">
            <w:pPr>
              <w:pStyle w:val="Tabletext0"/>
            </w:pPr>
            <w:r w:rsidRPr="00DE786F">
              <w:t xml:space="preserve">Updated to a decision analytic tree consistent with </w:t>
            </w:r>
            <w:r w:rsidR="00733F15">
              <w:t>CCA</w:t>
            </w:r>
          </w:p>
        </w:tc>
      </w:tr>
      <w:tr w:rsidR="00E35860" w:rsidRPr="00530A59" w14:paraId="3066758D" w14:textId="77777777" w:rsidTr="2F1EB167">
        <w:tc>
          <w:tcPr>
            <w:tcW w:w="784" w:type="pct"/>
          </w:tcPr>
          <w:p w14:paraId="428C0BF4" w14:textId="1969540C" w:rsidR="00E35860" w:rsidRPr="00530A59" w:rsidRDefault="005B7656" w:rsidP="00E35860">
            <w:pPr>
              <w:pStyle w:val="Tabletext0"/>
            </w:pPr>
            <w:r w:rsidRPr="005B7656">
              <w:t>Generation of the base case</w:t>
            </w:r>
          </w:p>
        </w:tc>
        <w:tc>
          <w:tcPr>
            <w:tcW w:w="2108" w:type="pct"/>
          </w:tcPr>
          <w:p w14:paraId="59A67D3F" w14:textId="77777777" w:rsidR="00513A64" w:rsidRDefault="00513A64" w:rsidP="00513A64">
            <w:pPr>
              <w:pStyle w:val="Tabletext0"/>
            </w:pPr>
            <w:r>
              <w:t>Trial-based</w:t>
            </w:r>
          </w:p>
          <w:p w14:paraId="11B3771F" w14:textId="631FB765" w:rsidR="00E35860" w:rsidRPr="00530A59" w:rsidRDefault="00513A64" w:rsidP="00513A64">
            <w:pPr>
              <w:pStyle w:val="Tabletext0"/>
            </w:pPr>
            <w:r>
              <w:t>Modelled</w:t>
            </w:r>
          </w:p>
        </w:tc>
        <w:tc>
          <w:tcPr>
            <w:tcW w:w="2108" w:type="pct"/>
          </w:tcPr>
          <w:p w14:paraId="736318E2" w14:textId="77777777" w:rsidR="007B0C03" w:rsidRDefault="007B0C03" w:rsidP="007B0C03">
            <w:pPr>
              <w:pStyle w:val="Tabletext0"/>
            </w:pPr>
            <w:r>
              <w:t>Trial-based</w:t>
            </w:r>
          </w:p>
          <w:p w14:paraId="2CED8DD2" w14:textId="3BBE9837" w:rsidR="00E35860" w:rsidRPr="00530A59" w:rsidRDefault="007B0C03" w:rsidP="007B0C03">
            <w:pPr>
              <w:pStyle w:val="Tabletext0"/>
            </w:pPr>
            <w:r>
              <w:t>Modelled</w:t>
            </w:r>
          </w:p>
        </w:tc>
      </w:tr>
      <w:tr w:rsidR="00813292" w:rsidRPr="00530A59" w14:paraId="7DB3E15D" w14:textId="77777777" w:rsidTr="2F1EB167">
        <w:tc>
          <w:tcPr>
            <w:tcW w:w="784" w:type="pct"/>
          </w:tcPr>
          <w:p w14:paraId="65B867E7" w14:textId="04780084" w:rsidR="00813292" w:rsidRPr="00530A59" w:rsidRDefault="00813292" w:rsidP="00813292">
            <w:pPr>
              <w:pStyle w:val="Tabletext0"/>
            </w:pPr>
            <w:r w:rsidRPr="00500938">
              <w:t>Health states</w:t>
            </w:r>
          </w:p>
        </w:tc>
        <w:tc>
          <w:tcPr>
            <w:tcW w:w="2108" w:type="pct"/>
          </w:tcPr>
          <w:p w14:paraId="6E770645" w14:textId="0AB88852" w:rsidR="00813292" w:rsidRPr="00530A59" w:rsidRDefault="00813292" w:rsidP="00813292">
            <w:pPr>
              <w:pStyle w:val="Tabletext0"/>
            </w:pPr>
            <w:r w:rsidRPr="2F1EB167">
              <w:t xml:space="preserve">Patency, Loss of Patency, Critical limb </w:t>
            </w:r>
            <w:proofErr w:type="spellStart"/>
            <w:r w:rsidRPr="2F1EB167">
              <w:t>Ischaemia</w:t>
            </w:r>
            <w:proofErr w:type="spellEnd"/>
            <w:r w:rsidRPr="2F1EB167">
              <w:t>, Amputation, Death</w:t>
            </w:r>
          </w:p>
        </w:tc>
        <w:tc>
          <w:tcPr>
            <w:tcW w:w="2108" w:type="pct"/>
          </w:tcPr>
          <w:p w14:paraId="673880D9" w14:textId="64DE4581" w:rsidR="00813292" w:rsidRPr="00530A59" w:rsidRDefault="00813292" w:rsidP="00813292">
            <w:pPr>
              <w:pStyle w:val="Tabletext0"/>
            </w:pPr>
            <w:r w:rsidRPr="00500938">
              <w:t xml:space="preserve">Not applicable to the </w:t>
            </w:r>
            <w:r w:rsidR="00A510C4">
              <w:t>CCA</w:t>
            </w:r>
          </w:p>
        </w:tc>
      </w:tr>
      <w:tr w:rsidR="00813292" w:rsidRPr="00530A59" w14:paraId="35724A0E" w14:textId="77777777" w:rsidTr="2F1EB167">
        <w:tc>
          <w:tcPr>
            <w:tcW w:w="784" w:type="pct"/>
          </w:tcPr>
          <w:p w14:paraId="78D9B97F" w14:textId="482ED16F" w:rsidR="00813292" w:rsidRPr="00530A59" w:rsidRDefault="00813292" w:rsidP="00813292">
            <w:pPr>
              <w:pStyle w:val="Tabletext0"/>
            </w:pPr>
            <w:r w:rsidRPr="00500938">
              <w:t>Cycle length</w:t>
            </w:r>
          </w:p>
        </w:tc>
        <w:tc>
          <w:tcPr>
            <w:tcW w:w="2108" w:type="pct"/>
          </w:tcPr>
          <w:p w14:paraId="53AE4222" w14:textId="441E5297" w:rsidR="00813292" w:rsidRPr="00530A59" w:rsidRDefault="00813292" w:rsidP="00813292">
            <w:pPr>
              <w:pStyle w:val="Tabletext0"/>
            </w:pPr>
            <w:r w:rsidRPr="00500938">
              <w:t>1 month</w:t>
            </w:r>
          </w:p>
        </w:tc>
        <w:tc>
          <w:tcPr>
            <w:tcW w:w="2108" w:type="pct"/>
          </w:tcPr>
          <w:p w14:paraId="5F2BFC13" w14:textId="06817C34" w:rsidR="00813292" w:rsidRPr="00530A59" w:rsidRDefault="00813292" w:rsidP="00813292">
            <w:pPr>
              <w:pStyle w:val="Tabletext0"/>
            </w:pPr>
            <w:r w:rsidRPr="00500938">
              <w:t xml:space="preserve">Not applicable to the </w:t>
            </w:r>
            <w:r w:rsidR="00A510C4">
              <w:t>CCA</w:t>
            </w:r>
          </w:p>
        </w:tc>
      </w:tr>
      <w:tr w:rsidR="00813292" w:rsidRPr="00530A59" w14:paraId="29770289" w14:textId="77777777" w:rsidTr="2F1EB167">
        <w:tc>
          <w:tcPr>
            <w:tcW w:w="784" w:type="pct"/>
          </w:tcPr>
          <w:p w14:paraId="7C8FDD2A" w14:textId="2A87D059" w:rsidR="00813292" w:rsidRPr="00530A59" w:rsidRDefault="00BE7F2A" w:rsidP="00813292">
            <w:pPr>
              <w:pStyle w:val="Tabletext0"/>
            </w:pPr>
            <w:r>
              <w:t>Sources of evidence</w:t>
            </w:r>
          </w:p>
        </w:tc>
        <w:tc>
          <w:tcPr>
            <w:tcW w:w="2108" w:type="pct"/>
          </w:tcPr>
          <w:p w14:paraId="36248B8B" w14:textId="4A8137A7" w:rsidR="00813292" w:rsidRPr="00530A59" w:rsidRDefault="00813292" w:rsidP="00813292">
            <w:pPr>
              <w:pStyle w:val="Tabletext0"/>
            </w:pPr>
            <w:r w:rsidRPr="00500938">
              <w:t xml:space="preserve">Transition from </w:t>
            </w:r>
            <w:r w:rsidR="00C03D48">
              <w:t>P</w:t>
            </w:r>
            <w:r w:rsidRPr="00500938">
              <w:t xml:space="preserve">atency to Loss of patency </w:t>
            </w:r>
            <w:r w:rsidR="00144F0C">
              <w:t>wa</w:t>
            </w:r>
            <w:r w:rsidRPr="00500938">
              <w:t xml:space="preserve">s informed from the </w:t>
            </w:r>
            <w:r w:rsidR="00C03D48">
              <w:t xml:space="preserve">DISRUPT </w:t>
            </w:r>
            <w:r w:rsidRPr="00500938">
              <w:t>PAD III RCT and extrapolated beyond the 2-year trial follow-up. Transition probabilities to CLI</w:t>
            </w:r>
            <w:r w:rsidR="00C11106">
              <w:t xml:space="preserve"> and </w:t>
            </w:r>
            <w:r w:rsidRPr="00500938">
              <w:t xml:space="preserve">amputation </w:t>
            </w:r>
            <w:r w:rsidR="00144F0C">
              <w:t>wa</w:t>
            </w:r>
            <w:r w:rsidRPr="00500938">
              <w:t>s sourced from a literature review</w:t>
            </w:r>
            <w:r w:rsidR="00144F0C">
              <w:t>.</w:t>
            </w:r>
          </w:p>
        </w:tc>
        <w:tc>
          <w:tcPr>
            <w:tcW w:w="2108" w:type="pct"/>
          </w:tcPr>
          <w:p w14:paraId="28704C12" w14:textId="25F3DD46" w:rsidR="0032694A" w:rsidRDefault="00060A37" w:rsidP="00813292">
            <w:pPr>
              <w:pStyle w:val="Tabletext0"/>
            </w:pPr>
            <w:r>
              <w:t>R</w:t>
            </w:r>
            <w:r w:rsidRPr="00500938">
              <w:t xml:space="preserve">ate of stent placement at index procedure </w:t>
            </w:r>
            <w:r>
              <w:t xml:space="preserve">was informed by the </w:t>
            </w:r>
            <w:r w:rsidR="0032694A" w:rsidRPr="00500938">
              <w:t>DISRUPT PAD III RCT</w:t>
            </w:r>
            <w:r w:rsidR="00374CBE">
              <w:t>.</w:t>
            </w:r>
          </w:p>
          <w:p w14:paraId="330A33EE" w14:textId="60891D20" w:rsidR="00D035C7" w:rsidRPr="00530A59" w:rsidRDefault="00813292" w:rsidP="00813292">
            <w:pPr>
              <w:pStyle w:val="Tabletext0"/>
            </w:pPr>
            <w:r w:rsidRPr="00500938">
              <w:t>Transition from index procedure to reintervention at 2</w:t>
            </w:r>
            <w:r w:rsidR="0032694A">
              <w:t xml:space="preserve"> </w:t>
            </w:r>
            <w:r w:rsidRPr="00500938">
              <w:t xml:space="preserve">years </w:t>
            </w:r>
            <w:r w:rsidR="00723FF4">
              <w:t>wa</w:t>
            </w:r>
            <w:r w:rsidRPr="00500938">
              <w:t>s informed from the literature and clinical advice.</w:t>
            </w:r>
          </w:p>
        </w:tc>
      </w:tr>
      <w:tr w:rsidR="006141AE" w:rsidRPr="00530A59" w14:paraId="692AFB7D" w14:textId="77777777" w:rsidTr="2F1EB167">
        <w:tc>
          <w:tcPr>
            <w:tcW w:w="784" w:type="pct"/>
          </w:tcPr>
          <w:p w14:paraId="01C79E97" w14:textId="7F5E1618" w:rsidR="006141AE" w:rsidRPr="00530A59" w:rsidRDefault="006141AE" w:rsidP="006141AE">
            <w:pPr>
              <w:pStyle w:val="Tabletext0"/>
            </w:pPr>
            <w:r w:rsidRPr="00DD0A3A">
              <w:t>Software</w:t>
            </w:r>
          </w:p>
        </w:tc>
        <w:tc>
          <w:tcPr>
            <w:tcW w:w="2108" w:type="pct"/>
          </w:tcPr>
          <w:p w14:paraId="621BB439" w14:textId="57829DE3" w:rsidR="006141AE" w:rsidRPr="00530A59" w:rsidRDefault="006141AE" w:rsidP="006141AE">
            <w:pPr>
              <w:pStyle w:val="Tabletext0"/>
            </w:pPr>
            <w:r w:rsidRPr="00DD0A3A">
              <w:t>Microsoft Excel</w:t>
            </w:r>
          </w:p>
        </w:tc>
        <w:tc>
          <w:tcPr>
            <w:tcW w:w="2108" w:type="pct"/>
          </w:tcPr>
          <w:p w14:paraId="5BDDDB17" w14:textId="249B099C" w:rsidR="006141AE" w:rsidRPr="00530A59" w:rsidRDefault="000639D1" w:rsidP="006141AE">
            <w:pPr>
              <w:pStyle w:val="Tabletext0"/>
            </w:pPr>
            <w:r w:rsidRPr="00DD0A3A">
              <w:t>Microsoft Excel</w:t>
            </w:r>
          </w:p>
        </w:tc>
      </w:tr>
    </w:tbl>
    <w:p w14:paraId="0EA3000C" w14:textId="3D22FA81" w:rsidR="00892448" w:rsidRDefault="008A1239" w:rsidP="00892448">
      <w:pPr>
        <w:pStyle w:val="Tablenotes0"/>
      </w:pPr>
      <w:r w:rsidRPr="2F1EB167">
        <w:t>ADAR = Applicant Developed Assessment Report;</w:t>
      </w:r>
      <w:r w:rsidR="00733F15" w:rsidRPr="2F1EB167">
        <w:t xml:space="preserve"> </w:t>
      </w:r>
      <w:r w:rsidR="00E017F2" w:rsidRPr="2F1EB167">
        <w:t xml:space="preserve">AVA = Australasian Vascular Audit; </w:t>
      </w:r>
      <w:r w:rsidR="00733F15" w:rsidRPr="2F1EB167">
        <w:t>CCA = cost</w:t>
      </w:r>
      <w:r w:rsidR="006E1379" w:rsidRPr="2F1EB167">
        <w:t>-</w:t>
      </w:r>
      <w:r w:rsidR="00733F15" w:rsidRPr="2F1EB167">
        <w:t xml:space="preserve">consequence analysis; </w:t>
      </w:r>
      <w:r w:rsidR="006C6136" w:rsidRPr="2F1EB167">
        <w:t xml:space="preserve">CLI = critical limb </w:t>
      </w:r>
      <w:proofErr w:type="spellStart"/>
      <w:r w:rsidR="006C6136" w:rsidRPr="2F1EB167">
        <w:t>ischaemia</w:t>
      </w:r>
      <w:proofErr w:type="spellEnd"/>
      <w:r w:rsidR="006C6136" w:rsidRPr="2F1EB167">
        <w:t>;</w:t>
      </w:r>
      <w:r w:rsidR="00EC47E7" w:rsidRPr="2F1EB167">
        <w:t xml:space="preserve"> CUA = cost-utility analysis; </w:t>
      </w:r>
      <w:r w:rsidR="00892448" w:rsidRPr="2F1EB167">
        <w:t xml:space="preserve">DCB = drug-coated balloon; </w:t>
      </w:r>
      <w:r w:rsidR="0079043E" w:rsidRPr="2F1EB167">
        <w:t xml:space="preserve">ICER = </w:t>
      </w:r>
      <w:r w:rsidR="00152D4D" w:rsidRPr="2F1EB167">
        <w:t>i</w:t>
      </w:r>
      <w:r w:rsidR="0079043E" w:rsidRPr="2F1EB167">
        <w:t xml:space="preserve">ncremental cost-effectiveness ratio; </w:t>
      </w:r>
      <w:r w:rsidR="003C1B89" w:rsidRPr="2F1EB167">
        <w:t xml:space="preserve">IVL = intravascular lithotripsy; </w:t>
      </w:r>
      <w:r w:rsidR="000F4ABE" w:rsidRPr="2F1EB167">
        <w:t xml:space="preserve">MSAC = Medical Services Advisory Committee; </w:t>
      </w:r>
      <w:r w:rsidR="003C1B89" w:rsidRPr="2F1EB167">
        <w:t xml:space="preserve">PAD = peripheral </w:t>
      </w:r>
      <w:r w:rsidR="00360E62" w:rsidRPr="2F1EB167">
        <w:t xml:space="preserve">artery disease; </w:t>
      </w:r>
      <w:r w:rsidR="00892448" w:rsidRPr="2F1EB167">
        <w:t>RCT = randomised controlled trial</w:t>
      </w:r>
      <w:r w:rsidR="00360E62" w:rsidRPr="2F1EB167">
        <w:t>; SBA = standard balloon angioplasty.</w:t>
      </w:r>
    </w:p>
    <w:p w14:paraId="1E4576EC" w14:textId="3C28561C" w:rsidR="00892448" w:rsidRDefault="00892448" w:rsidP="00892448">
      <w:pPr>
        <w:pStyle w:val="Tablenotes0"/>
      </w:pPr>
      <w:r w:rsidRPr="0031509C">
        <w:t xml:space="preserve">Source: Table </w:t>
      </w:r>
      <w:r>
        <w:t>3-</w:t>
      </w:r>
      <w:r w:rsidR="00B75633">
        <w:t>1</w:t>
      </w:r>
      <w:r w:rsidRPr="0031509C">
        <w:t xml:space="preserve"> of MSAC 17</w:t>
      </w:r>
      <w:r>
        <w:t>34 resubmission</w:t>
      </w:r>
      <w:r w:rsidRPr="0031509C">
        <w:t xml:space="preserve"> ADAR</w:t>
      </w:r>
      <w:r>
        <w:t xml:space="preserve"> </w:t>
      </w:r>
      <w:r w:rsidRPr="0031509C">
        <w:t>+</w:t>
      </w:r>
      <w:r>
        <w:t xml:space="preserve"> </w:t>
      </w:r>
      <w:r w:rsidRPr="0031509C">
        <w:t>in-line commentary</w:t>
      </w:r>
      <w:r>
        <w:t>.</w:t>
      </w:r>
    </w:p>
    <w:p w14:paraId="0CE824AD" w14:textId="264AAEF3" w:rsidR="00A513DB" w:rsidRDefault="001E5609" w:rsidP="000B375C">
      <w:r w:rsidRPr="2F1EB167">
        <w:t xml:space="preserve">The decision tree </w:t>
      </w:r>
      <w:r w:rsidR="00A82F5A" w:rsidRPr="2F1EB167">
        <w:t>i</w:t>
      </w:r>
      <w:r w:rsidRPr="2F1EB167">
        <w:t>s structured so that</w:t>
      </w:r>
      <w:r w:rsidR="00412D16" w:rsidRPr="2F1EB167">
        <w:t xml:space="preserve"> IVL or SBA</w:t>
      </w:r>
      <w:r w:rsidR="00012DC7" w:rsidRPr="2F1EB167">
        <w:t xml:space="preserve"> at</w:t>
      </w:r>
      <w:r w:rsidR="00412D16" w:rsidRPr="2F1EB167">
        <w:t xml:space="preserve"> the index procedure will result in </w:t>
      </w:r>
      <w:r w:rsidR="00291825" w:rsidRPr="2F1EB167">
        <w:t>one</w:t>
      </w:r>
      <w:r w:rsidR="00412D16" w:rsidRPr="2F1EB167">
        <w:t xml:space="preserve"> of </w:t>
      </w:r>
      <w:r w:rsidR="00291825" w:rsidRPr="2F1EB167">
        <w:t>three</w:t>
      </w:r>
      <w:r w:rsidR="00412D16" w:rsidRPr="2F1EB167">
        <w:t xml:space="preserve"> outcomes. If the index procedure is successful (defined as per the DISRUPT PAD III RCT as residual stenosis ≤30% without flow-limiting dissection </w:t>
      </w:r>
      <w:r w:rsidR="00291825" w:rsidRPr="2F1EB167">
        <w:t>[</w:t>
      </w:r>
      <w:r w:rsidR="00412D16" w:rsidRPr="2F1EB167">
        <w:t>≥ grade D</w:t>
      </w:r>
      <w:r w:rsidR="00291825" w:rsidRPr="2F1EB167">
        <w:t>]</w:t>
      </w:r>
      <w:r w:rsidR="00412D16" w:rsidRPr="2F1EB167">
        <w:t xml:space="preserve"> prior to DCB or stenting), patients may either receive subsequent treatment with a DCB or no further treatment </w:t>
      </w:r>
      <w:r w:rsidR="00EC5B58" w:rsidRPr="2F1EB167">
        <w:lastRenderedPageBreak/>
        <w:t>(</w:t>
      </w:r>
      <w:r w:rsidR="00412D16" w:rsidRPr="2F1EB167">
        <w:t>standalone</w:t>
      </w:r>
      <w:r w:rsidR="00EC5B58" w:rsidRPr="2F1EB167">
        <w:t>)</w:t>
      </w:r>
      <w:r w:rsidR="00412D16" w:rsidRPr="2F1EB167">
        <w:t xml:space="preserve">. If the index procedure is a 'failure', patients receive a stent </w:t>
      </w:r>
      <w:r w:rsidR="00EC5B58" w:rsidRPr="2F1EB167">
        <w:t>(‘</w:t>
      </w:r>
      <w:r w:rsidR="00412D16" w:rsidRPr="2F1EB167">
        <w:t>index stent</w:t>
      </w:r>
      <w:r w:rsidR="00EC5B58" w:rsidRPr="2F1EB167">
        <w:t>’)</w:t>
      </w:r>
      <w:r w:rsidR="00412D16" w:rsidRPr="2F1EB167">
        <w:t xml:space="preserve"> </w:t>
      </w:r>
      <w:proofErr w:type="gramStart"/>
      <w:r w:rsidR="00412D16" w:rsidRPr="2F1EB167">
        <w:t>in order to</w:t>
      </w:r>
      <w:proofErr w:type="gramEnd"/>
      <w:r w:rsidR="00412D16" w:rsidRPr="2F1EB167">
        <w:t xml:space="preserve"> reduce residual stenosis.</w:t>
      </w:r>
    </w:p>
    <w:p w14:paraId="638FD8EF" w14:textId="400DE241" w:rsidR="003B39E1" w:rsidRDefault="00A838E2" w:rsidP="000B375C">
      <w:r w:rsidRPr="00A838E2">
        <w:t>For patients who requir</w:t>
      </w:r>
      <w:r w:rsidR="003762EE">
        <w:t>e</w:t>
      </w:r>
      <w:r w:rsidRPr="00A838E2">
        <w:t xml:space="preserve"> no further treatment at the index procedure </w:t>
      </w:r>
      <w:r w:rsidR="003762EE">
        <w:t>(</w:t>
      </w:r>
      <w:r w:rsidRPr="00A838E2">
        <w:t>standalone</w:t>
      </w:r>
      <w:r w:rsidR="003762EE">
        <w:t xml:space="preserve">) </w:t>
      </w:r>
      <w:r w:rsidR="002E1C95">
        <w:t>but</w:t>
      </w:r>
      <w:r w:rsidRPr="00A838E2">
        <w:t xml:space="preserve"> require reintervention within 2 years, </w:t>
      </w:r>
      <w:r w:rsidR="00BE180D">
        <w:t>the</w:t>
      </w:r>
      <w:r w:rsidRPr="00A838E2">
        <w:t xml:space="preserve"> </w:t>
      </w:r>
      <w:r w:rsidR="005F6B69">
        <w:t xml:space="preserve">reintervention </w:t>
      </w:r>
      <w:r w:rsidRPr="00A838E2">
        <w:t xml:space="preserve">procedure </w:t>
      </w:r>
      <w:r w:rsidR="00EC369B">
        <w:t>was assumed to be</w:t>
      </w:r>
      <w:r w:rsidR="005F6B69">
        <w:t xml:space="preserve"> endovascular</w:t>
      </w:r>
      <w:r w:rsidR="00AC024D">
        <w:t xml:space="preserve"> (stent placement)</w:t>
      </w:r>
      <w:r w:rsidR="00EC369B">
        <w:t xml:space="preserve">, </w:t>
      </w:r>
      <w:r w:rsidR="005F6B69">
        <w:t>b</w:t>
      </w:r>
      <w:r w:rsidR="005F6B69" w:rsidRPr="00A838E2">
        <w:t>ased on clinician advice</w:t>
      </w:r>
      <w:r w:rsidR="00EC369B">
        <w:t xml:space="preserve"> sourced from the applicant</w:t>
      </w:r>
      <w:r w:rsidRPr="00A838E2">
        <w:t xml:space="preserve">. </w:t>
      </w:r>
    </w:p>
    <w:p w14:paraId="3F05A966" w14:textId="07408466" w:rsidR="00842C84" w:rsidRDefault="00A838E2" w:rsidP="000B375C">
      <w:r w:rsidRPr="00A838E2">
        <w:t xml:space="preserve">For patients who require provisional stent placement at </w:t>
      </w:r>
      <w:r w:rsidR="008F5458">
        <w:t xml:space="preserve">the </w:t>
      </w:r>
      <w:r w:rsidRPr="00A838E2">
        <w:t xml:space="preserve">index procedure and go on to require reintervention within 2 years, </w:t>
      </w:r>
      <w:r w:rsidR="002B7D52">
        <w:t>the</w:t>
      </w:r>
      <w:r w:rsidR="002B7D52" w:rsidRPr="00A838E2">
        <w:t xml:space="preserve"> </w:t>
      </w:r>
      <w:r w:rsidR="002B7D52">
        <w:t xml:space="preserve">reintervention </w:t>
      </w:r>
      <w:r w:rsidR="002B7D52" w:rsidRPr="00A838E2">
        <w:t xml:space="preserve">procedure </w:t>
      </w:r>
      <w:r w:rsidR="002B7D52">
        <w:t>was assumed to be either</w:t>
      </w:r>
      <w:r w:rsidRPr="00A838E2">
        <w:t xml:space="preserve"> stent placement via </w:t>
      </w:r>
      <w:r w:rsidR="00842C84">
        <w:t xml:space="preserve">an </w:t>
      </w:r>
      <w:r w:rsidRPr="00A838E2">
        <w:t xml:space="preserve">endovascular </w:t>
      </w:r>
      <w:r w:rsidR="00842C84">
        <w:t>approach</w:t>
      </w:r>
      <w:r w:rsidRPr="00A838E2">
        <w:t xml:space="preserve"> or </w:t>
      </w:r>
      <w:r w:rsidR="006A2D25">
        <w:t xml:space="preserve">stent placement via </w:t>
      </w:r>
      <w:r w:rsidRPr="00A838E2">
        <w:t>open surgery.</w:t>
      </w:r>
    </w:p>
    <w:p w14:paraId="4818E89F" w14:textId="46548EA7" w:rsidR="00C522D6" w:rsidRDefault="00C522D6" w:rsidP="00C522D6">
      <w:pPr>
        <w:pStyle w:val="Heading3"/>
      </w:pPr>
      <w:r>
        <w:t>Inputs to the economic evaluation</w:t>
      </w:r>
    </w:p>
    <w:p w14:paraId="0C65B7F2" w14:textId="6A7209E9" w:rsidR="006C2367" w:rsidRDefault="00AA2A45" w:rsidP="006C2367">
      <w:r w:rsidRPr="2F1EB167">
        <w:t xml:space="preserve">According to the </w:t>
      </w:r>
      <w:r w:rsidR="00122265" w:rsidRPr="2F1EB167">
        <w:t xml:space="preserve">PSD </w:t>
      </w:r>
      <w:r w:rsidR="004E0E33" w:rsidRPr="2F1EB167">
        <w:t xml:space="preserve">for MSAC 1734 </w:t>
      </w:r>
      <w:r w:rsidR="00122265" w:rsidRPr="2F1EB167">
        <w:t>(pp</w:t>
      </w:r>
      <w:r w:rsidRPr="2F1EB167">
        <w:t xml:space="preserve">.22-23), the </w:t>
      </w:r>
      <w:r w:rsidR="00FC509E" w:rsidRPr="2F1EB167">
        <w:t xml:space="preserve">economic evaluation in the </w:t>
      </w:r>
      <w:r w:rsidR="006C2367" w:rsidRPr="2F1EB167">
        <w:t xml:space="preserve">original ADAR was challenged </w:t>
      </w:r>
      <w:r w:rsidR="00FC509E" w:rsidRPr="2F1EB167">
        <w:t>in the commentary</w:t>
      </w:r>
      <w:r w:rsidR="006C2367" w:rsidRPr="2F1EB167">
        <w:t xml:space="preserve"> for applying the relative risk of stenting of 0.25 </w:t>
      </w:r>
      <w:r w:rsidR="00C408B7" w:rsidRPr="2F1EB167">
        <w:t xml:space="preserve">from the DISRUPT PAD III RCT </w:t>
      </w:r>
      <w:r w:rsidR="006C2367" w:rsidRPr="2F1EB167">
        <w:t>to a high baseline rate of 45% sourced from MBS utilisation data (not specific to PAD). This approach resulted in a large absolute decrease in stenting that was not demonstrated in the RCT</w:t>
      </w:r>
      <w:r w:rsidR="00064B09" w:rsidRPr="2F1EB167">
        <w:t>.</w:t>
      </w:r>
      <w:r w:rsidR="001C6B08" w:rsidRPr="2F1EB167">
        <w:t xml:space="preserve"> The resubmission </w:t>
      </w:r>
      <w:r w:rsidR="00354916" w:rsidRPr="2F1EB167">
        <w:t xml:space="preserve">CCA </w:t>
      </w:r>
      <w:r w:rsidR="009C115D" w:rsidRPr="2F1EB167">
        <w:t>instead</w:t>
      </w:r>
      <w:r w:rsidR="00170250" w:rsidRPr="2F1EB167">
        <w:t xml:space="preserve"> </w:t>
      </w:r>
      <w:r w:rsidR="008E5274" w:rsidRPr="2F1EB167">
        <w:t xml:space="preserve">applied the rates of stenting directly from each arm of the DISRUPT PAD III RCT </w:t>
      </w:r>
      <w:r w:rsidR="00354916" w:rsidRPr="2F1EB167">
        <w:t>(</w:t>
      </w:r>
      <w:r w:rsidR="00500528" w:rsidRPr="2F1EB167">
        <w:t xml:space="preserve">4.6% in the IVL arm versus </w:t>
      </w:r>
      <w:r w:rsidR="00354916" w:rsidRPr="2F1EB167">
        <w:t>18.3% in the SBA arm)</w:t>
      </w:r>
      <w:r w:rsidR="00170250" w:rsidRPr="2F1EB167">
        <w:t>.</w:t>
      </w:r>
    </w:p>
    <w:p w14:paraId="40AF2A6A" w14:textId="6AE9A538" w:rsidR="007C7E4B" w:rsidRDefault="006C2367" w:rsidP="006C2367">
      <w:r w:rsidRPr="2F1EB167">
        <w:t xml:space="preserve">The </w:t>
      </w:r>
      <w:r w:rsidR="00170250" w:rsidRPr="2F1EB167">
        <w:t>commentary noted that</w:t>
      </w:r>
      <w:r w:rsidRPr="2F1EB167">
        <w:t xml:space="preserve"> the DISRUPT PAD III RCT</w:t>
      </w:r>
      <w:r w:rsidR="00170250" w:rsidRPr="2F1EB167">
        <w:t xml:space="preserve"> </w:t>
      </w:r>
      <w:r w:rsidRPr="2F1EB167">
        <w:t xml:space="preserve">imposed restrictions on stent placement that are not used in clinical practice. The DISRUPT PAD III Observational Study found stenting occurred in 35.5% of patients receiving IVL and may be a better indicator of stenting rates after IVL outside a clinical trial setting. </w:t>
      </w:r>
      <w:r w:rsidR="00E453E5" w:rsidRPr="2F1EB167">
        <w:t>The Australasian Vascular Audit (AVA) Report 2021</w:t>
      </w:r>
      <w:r w:rsidR="00A91276" w:rsidRPr="2F1EB167">
        <w:t>–</w:t>
      </w:r>
      <w:r w:rsidR="00E453E5" w:rsidRPr="2F1EB167">
        <w:t xml:space="preserve">2023 </w:t>
      </w:r>
      <w:r w:rsidRPr="2F1EB167">
        <w:t>indicates similar index stenting rates in Australia</w:t>
      </w:r>
      <w:r w:rsidR="00437D23" w:rsidRPr="2F1EB167">
        <w:t xml:space="preserve">n </w:t>
      </w:r>
      <w:r w:rsidR="00D51CF8" w:rsidRPr="2F1EB167">
        <w:t xml:space="preserve">clinical </w:t>
      </w:r>
      <w:r w:rsidR="00437D23" w:rsidRPr="2F1EB167">
        <w:t>practice</w:t>
      </w:r>
      <w:r w:rsidRPr="2F1EB167">
        <w:t xml:space="preserve"> (37.2%).</w:t>
      </w:r>
      <w:r w:rsidR="00530E48" w:rsidRPr="2F1EB167">
        <w:t xml:space="preserve"> </w:t>
      </w:r>
    </w:p>
    <w:p w14:paraId="1D064B0A" w14:textId="20D8D53F" w:rsidR="006C2367" w:rsidRDefault="00A71853" w:rsidP="006C2367">
      <w:r w:rsidRPr="2F1EB167">
        <w:t>Given the</w:t>
      </w:r>
      <w:r w:rsidR="00F26824" w:rsidRPr="2F1EB167">
        <w:t xml:space="preserve"> </w:t>
      </w:r>
      <w:r w:rsidR="00F05B7A" w:rsidRPr="2F1EB167">
        <w:t>difficul</w:t>
      </w:r>
      <w:r w:rsidR="00F26824" w:rsidRPr="2F1EB167">
        <w:t>t</w:t>
      </w:r>
      <w:r w:rsidRPr="2F1EB167">
        <w:t>y</w:t>
      </w:r>
      <w:r w:rsidR="00F26824" w:rsidRPr="2F1EB167">
        <w:t xml:space="preserve"> </w:t>
      </w:r>
      <w:r w:rsidRPr="2F1EB167">
        <w:t>justifying</w:t>
      </w:r>
      <w:r w:rsidR="006C2367" w:rsidRPr="2F1EB167">
        <w:t xml:space="preserve"> a baseline stenting rate that is less than half that observed in Australian practice</w:t>
      </w:r>
      <w:r w:rsidR="00AC34EC" w:rsidRPr="2F1EB167">
        <w:t xml:space="preserve"> and a large observational study of IVL, </w:t>
      </w:r>
      <w:r w:rsidR="006C2367" w:rsidRPr="2F1EB167">
        <w:t xml:space="preserve">the commentary </w:t>
      </w:r>
      <w:r w:rsidR="002D52A1" w:rsidRPr="2F1EB167">
        <w:t xml:space="preserve">proposed an alternative base case </w:t>
      </w:r>
      <w:r w:rsidR="00753F6F" w:rsidRPr="2F1EB167">
        <w:t>using</w:t>
      </w:r>
      <w:r w:rsidR="006C2367" w:rsidRPr="2F1EB167">
        <w:t xml:space="preserve"> the AVA </w:t>
      </w:r>
      <w:r w:rsidR="00753F6F" w:rsidRPr="2F1EB167">
        <w:t>data</w:t>
      </w:r>
      <w:r w:rsidR="006C2367" w:rsidRPr="2F1EB167">
        <w:t xml:space="preserve"> </w:t>
      </w:r>
      <w:r w:rsidR="00753F6F" w:rsidRPr="2F1EB167">
        <w:t>as the</w:t>
      </w:r>
      <w:r w:rsidR="006C2367" w:rsidRPr="2F1EB167">
        <w:t xml:space="preserve"> source of the baseline stenting rate</w:t>
      </w:r>
      <w:r w:rsidR="00F37BD1" w:rsidRPr="2F1EB167">
        <w:t xml:space="preserve"> in the CCA</w:t>
      </w:r>
      <w:r w:rsidR="006C2367" w:rsidRPr="2F1EB167">
        <w:t>.</w:t>
      </w:r>
      <w:r w:rsidRPr="2F1EB167">
        <w:t xml:space="preserve"> </w:t>
      </w:r>
      <w:r w:rsidR="006C2367" w:rsidRPr="2F1EB167">
        <w:t>The commentary base case differ</w:t>
      </w:r>
      <w:r w:rsidR="00F37BD1" w:rsidRPr="2F1EB167">
        <w:t>ed</w:t>
      </w:r>
      <w:r w:rsidR="006C2367" w:rsidRPr="2F1EB167">
        <w:t xml:space="preserve"> from the </w:t>
      </w:r>
      <w:r w:rsidR="003A6290" w:rsidRPr="2F1EB167">
        <w:t>resubmission</w:t>
      </w:r>
      <w:r w:rsidR="006C2367" w:rsidRPr="2F1EB167">
        <w:t xml:space="preserve"> base case by the following two adaptations:</w:t>
      </w:r>
    </w:p>
    <w:p w14:paraId="15798F69" w14:textId="27E57512" w:rsidR="006C2367" w:rsidRDefault="006C2367" w:rsidP="00C949CC">
      <w:pPr>
        <w:pStyle w:val="ListParagraph"/>
        <w:numPr>
          <w:ilvl w:val="0"/>
          <w:numId w:val="10"/>
        </w:numPr>
        <w:spacing w:after="0"/>
        <w:ind w:left="714" w:hanging="357"/>
        <w:contextualSpacing w:val="0"/>
      </w:pPr>
      <w:r>
        <w:t xml:space="preserve">the AVA-derived stenting rate of 37.2% </w:t>
      </w:r>
      <w:r w:rsidR="00A71853">
        <w:t>wa</w:t>
      </w:r>
      <w:r>
        <w:t xml:space="preserve">s used for the SBA arm and the relative risk from the DISRUPT PAD III RCT </w:t>
      </w:r>
      <w:r w:rsidR="00A71853">
        <w:t>wa</w:t>
      </w:r>
      <w:r>
        <w:t>s applied to inform the stenting rate in the IVL arm (9.4%)</w:t>
      </w:r>
    </w:p>
    <w:p w14:paraId="737F5B46" w14:textId="5239881B" w:rsidR="006C2367" w:rsidRDefault="006C2367" w:rsidP="00C949CC">
      <w:pPr>
        <w:pStyle w:val="ListParagraph"/>
        <w:numPr>
          <w:ilvl w:val="0"/>
          <w:numId w:val="10"/>
        </w:numPr>
        <w:ind w:left="714" w:hanging="357"/>
        <w:contextualSpacing w:val="0"/>
      </w:pPr>
      <w:r>
        <w:t xml:space="preserve">the post-stenting </w:t>
      </w:r>
      <w:r w:rsidR="00D92D16">
        <w:t>target lesion revascularisation (</w:t>
      </w:r>
      <w:r>
        <w:t>TLR</w:t>
      </w:r>
      <w:r w:rsidR="00D92D16">
        <w:t>)</w:t>
      </w:r>
      <w:r>
        <w:t xml:space="preserve"> rate of 30% </w:t>
      </w:r>
      <w:r w:rsidR="0031482B">
        <w:t xml:space="preserve">at 2 years </w:t>
      </w:r>
      <w:r>
        <w:t>was increased to match that for non-stented patients (35.6%) – in the absence of comparative data supplied by the resubmission, this rate appears to be a conservative option that falls within the range quoted in the applicant’s source (30-40% quoted in an editorial).</w:t>
      </w:r>
    </w:p>
    <w:p w14:paraId="389E2301" w14:textId="5E9D2F38" w:rsidR="007F7FE8" w:rsidRDefault="00BB71E3" w:rsidP="000B375C">
      <w:r>
        <w:t xml:space="preserve">The </w:t>
      </w:r>
      <w:r w:rsidR="007B2A62">
        <w:t xml:space="preserve">probabilities used in the </w:t>
      </w:r>
      <w:r w:rsidR="00380A5C">
        <w:t xml:space="preserve">ADAR </w:t>
      </w:r>
      <w:r w:rsidR="007B2A62">
        <w:t xml:space="preserve">resubmission </w:t>
      </w:r>
      <w:r w:rsidR="00D02D9F">
        <w:t xml:space="preserve">base case </w:t>
      </w:r>
      <w:r w:rsidR="007B2A62">
        <w:t xml:space="preserve">and </w:t>
      </w:r>
      <w:r w:rsidR="00D02D9F">
        <w:t xml:space="preserve">the </w:t>
      </w:r>
      <w:r w:rsidR="007B2A62">
        <w:t xml:space="preserve">commentary </w:t>
      </w:r>
      <w:r w:rsidR="00293CFC">
        <w:t xml:space="preserve">(alternative) </w:t>
      </w:r>
      <w:r w:rsidR="007B2A62">
        <w:t xml:space="preserve">base case are summarised in </w:t>
      </w:r>
      <w:r w:rsidR="007B2A62">
        <w:fldChar w:fldCharType="begin"/>
      </w:r>
      <w:r w:rsidR="007B2A62">
        <w:instrText xml:space="preserve"> REF _Ref173746469 \h </w:instrText>
      </w:r>
      <w:r w:rsidR="007B2A62">
        <w:fldChar w:fldCharType="separate"/>
      </w:r>
      <w:r w:rsidR="000A04D8">
        <w:t xml:space="preserve">Table </w:t>
      </w:r>
      <w:r w:rsidR="000A04D8">
        <w:rPr>
          <w:noProof/>
        </w:rPr>
        <w:t>5</w:t>
      </w:r>
      <w:r w:rsidR="007B2A62">
        <w:fldChar w:fldCharType="end"/>
      </w:r>
      <w:r w:rsidR="007B2A62">
        <w:t>.</w:t>
      </w:r>
      <w:r w:rsidR="004979AE">
        <w:t xml:space="preserve"> The commentary corrected multiple </w:t>
      </w:r>
      <w:r w:rsidR="00DE7F14">
        <w:t xml:space="preserve">data extraction </w:t>
      </w:r>
      <w:r w:rsidR="00867CCE">
        <w:t xml:space="preserve">errors in </w:t>
      </w:r>
      <w:r w:rsidR="00DE7F14">
        <w:t xml:space="preserve">the </w:t>
      </w:r>
      <w:r w:rsidR="000B5217">
        <w:t>ADAR</w:t>
      </w:r>
      <w:r w:rsidR="00DE7F14">
        <w:t xml:space="preserve"> inputs.</w:t>
      </w:r>
    </w:p>
    <w:p w14:paraId="63CD6AFD" w14:textId="4BFCD6A7" w:rsidR="00E62888" w:rsidRPr="00D02D9F" w:rsidRDefault="00E62888">
      <w:r w:rsidRPr="2F1EB167">
        <w:t>The rate for reintervention by open surgery in stented patients was sourced from the COSTLY-TLR study.</w:t>
      </w:r>
      <w:r w:rsidRPr="2F1EB167">
        <w:rPr>
          <w:rStyle w:val="FootnoteReference"/>
        </w:rPr>
        <w:footnoteReference w:id="7"/>
      </w:r>
      <w:r w:rsidRPr="2F1EB167">
        <w:t xml:space="preserve"> Based on identified literature from this study, it was assumed that stented patients who received reintervention at 2 years – regardless of the index procedure– may require amputation 30 days post reintervention. No data for amputation rates were provided for patients without </w:t>
      </w:r>
      <w:r w:rsidRPr="2F1EB167">
        <w:lastRenderedPageBreak/>
        <w:t xml:space="preserve">stent placement at the index procedure. The CCA assumed none of these patients proceed to amputation after IVL or SBA, </w:t>
      </w:r>
      <w:r w:rsidR="29296846" w:rsidRPr="2F1EB167">
        <w:t xml:space="preserve">but </w:t>
      </w:r>
      <w:r w:rsidRPr="2F1EB167">
        <w:t>this assumption was unsupported.</w:t>
      </w:r>
    </w:p>
    <w:p w14:paraId="34B0DC72" w14:textId="3760370B" w:rsidR="002521C5" w:rsidRDefault="00AB5D47" w:rsidP="00715841">
      <w:pPr>
        <w:pStyle w:val="Caption"/>
        <w:spacing w:after="0"/>
      </w:pPr>
      <w:bookmarkStart w:id="21" w:name="_Ref173746469"/>
      <w:r>
        <w:t xml:space="preserve">Table </w:t>
      </w:r>
      <w:r w:rsidR="000A04D8">
        <w:fldChar w:fldCharType="begin"/>
      </w:r>
      <w:r w:rsidR="000A04D8">
        <w:instrText xml:space="preserve"> SEQ Table \* ARABIC </w:instrText>
      </w:r>
      <w:r w:rsidR="000A04D8">
        <w:fldChar w:fldCharType="separate"/>
      </w:r>
      <w:r w:rsidR="000A04D8">
        <w:rPr>
          <w:noProof/>
        </w:rPr>
        <w:t>5</w:t>
      </w:r>
      <w:r w:rsidR="000A04D8">
        <w:rPr>
          <w:noProof/>
        </w:rPr>
        <w:fldChar w:fldCharType="end"/>
      </w:r>
      <w:bookmarkEnd w:id="21"/>
      <w:r w:rsidR="00F546FA">
        <w:tab/>
      </w:r>
      <w:r w:rsidR="002521C5">
        <w:t>Probabilities of procedural outcomes</w:t>
      </w:r>
      <w:r w:rsidR="00975189">
        <w:t xml:space="preserve"> in </w:t>
      </w:r>
      <w:r w:rsidR="008322D2">
        <w:t xml:space="preserve">ADAR </w:t>
      </w:r>
      <w:r w:rsidR="00975189">
        <w:t xml:space="preserve">resubmission </w:t>
      </w:r>
      <w:r w:rsidR="00CA5530">
        <w:t xml:space="preserve">CCA and commentary </w:t>
      </w:r>
      <w:r w:rsidR="00187E46">
        <w:t xml:space="preserve">(alternative) </w:t>
      </w:r>
      <w:r w:rsidR="00CA5530">
        <w:t>CCA</w:t>
      </w:r>
    </w:p>
    <w:tbl>
      <w:tblPr>
        <w:tblStyle w:val="TableGrid"/>
        <w:tblW w:w="9016" w:type="dxa"/>
        <w:tblLayout w:type="fixed"/>
        <w:tblLook w:val="04A0" w:firstRow="1" w:lastRow="0" w:firstColumn="1" w:lastColumn="0" w:noHBand="0" w:noVBand="1"/>
        <w:tblCaption w:val="Probabilities of procedural outcomes in ADAR resubmission CCA and commentary (alternative) CCA"/>
        <w:tblDescription w:val="The table presents probabilities used in the base case CCA in the ADAR versus the commentary for the index procedure, reintervention (with and without index stent) and amputaion."/>
      </w:tblPr>
      <w:tblGrid>
        <w:gridCol w:w="1854"/>
        <w:gridCol w:w="692"/>
        <w:gridCol w:w="142"/>
        <w:gridCol w:w="284"/>
        <w:gridCol w:w="142"/>
        <w:gridCol w:w="709"/>
        <w:gridCol w:w="1559"/>
        <w:gridCol w:w="1276"/>
        <w:gridCol w:w="708"/>
        <w:gridCol w:w="1650"/>
      </w:tblGrid>
      <w:tr w:rsidR="00036814" w14:paraId="1C4B56E2" w14:textId="77777777" w:rsidTr="2F1EB167">
        <w:trPr>
          <w:trHeight w:val="550"/>
        </w:trPr>
        <w:tc>
          <w:tcPr>
            <w:tcW w:w="1854" w:type="dxa"/>
            <w:tcBorders>
              <w:bottom w:val="nil"/>
            </w:tcBorders>
          </w:tcPr>
          <w:p w14:paraId="26C64FFC" w14:textId="2BDCA273" w:rsidR="00D95BF8" w:rsidRPr="00FA688B" w:rsidRDefault="00B85974" w:rsidP="2F1EB167">
            <w:pPr>
              <w:pStyle w:val="TableHeading0"/>
              <w:keepNext/>
            </w:pPr>
            <w:r w:rsidRPr="2F1EB167">
              <w:t>Component</w:t>
            </w:r>
          </w:p>
        </w:tc>
        <w:tc>
          <w:tcPr>
            <w:tcW w:w="1118" w:type="dxa"/>
            <w:gridSpan w:val="3"/>
            <w:tcBorders>
              <w:bottom w:val="single" w:sz="4" w:space="0" w:color="auto"/>
              <w:right w:val="nil"/>
            </w:tcBorders>
          </w:tcPr>
          <w:p w14:paraId="0DA373D7" w14:textId="2E7C7D88" w:rsidR="00B85974" w:rsidRDefault="008461EC" w:rsidP="006F35BA">
            <w:pPr>
              <w:pStyle w:val="TableHeading0"/>
              <w:keepNext/>
            </w:pPr>
            <w:r>
              <w:t>ADAR</w:t>
            </w:r>
          </w:p>
        </w:tc>
        <w:tc>
          <w:tcPr>
            <w:tcW w:w="851" w:type="dxa"/>
            <w:gridSpan w:val="2"/>
            <w:tcBorders>
              <w:left w:val="nil"/>
              <w:bottom w:val="single" w:sz="4" w:space="0" w:color="auto"/>
              <w:right w:val="nil"/>
            </w:tcBorders>
          </w:tcPr>
          <w:p w14:paraId="529FA851" w14:textId="10F73F44" w:rsidR="00B85974" w:rsidRDefault="00B85974" w:rsidP="006F35BA">
            <w:pPr>
              <w:pStyle w:val="TableHeading0"/>
              <w:keepNext/>
            </w:pPr>
          </w:p>
        </w:tc>
        <w:tc>
          <w:tcPr>
            <w:tcW w:w="1559" w:type="dxa"/>
            <w:tcBorders>
              <w:left w:val="nil"/>
              <w:bottom w:val="single" w:sz="4" w:space="0" w:color="auto"/>
            </w:tcBorders>
          </w:tcPr>
          <w:p w14:paraId="52090185" w14:textId="34B3F934" w:rsidR="00B85974" w:rsidRDefault="00B85974" w:rsidP="006F35BA">
            <w:pPr>
              <w:pStyle w:val="TableHeading0"/>
              <w:keepNext/>
            </w:pPr>
          </w:p>
        </w:tc>
        <w:tc>
          <w:tcPr>
            <w:tcW w:w="1276" w:type="dxa"/>
            <w:tcBorders>
              <w:bottom w:val="single" w:sz="4" w:space="0" w:color="auto"/>
              <w:right w:val="nil"/>
            </w:tcBorders>
          </w:tcPr>
          <w:p w14:paraId="20F7393C" w14:textId="1F8E1F10" w:rsidR="00D95BF8" w:rsidRDefault="0002407C" w:rsidP="006F35BA">
            <w:pPr>
              <w:pStyle w:val="TableHeading0"/>
              <w:keepNext/>
            </w:pPr>
            <w:r>
              <w:t>Commentary</w:t>
            </w:r>
          </w:p>
        </w:tc>
        <w:tc>
          <w:tcPr>
            <w:tcW w:w="708" w:type="dxa"/>
            <w:tcBorders>
              <w:left w:val="nil"/>
              <w:bottom w:val="single" w:sz="4" w:space="0" w:color="auto"/>
              <w:right w:val="nil"/>
            </w:tcBorders>
          </w:tcPr>
          <w:p w14:paraId="475B7F99" w14:textId="2FB95E6E" w:rsidR="00D95BF8" w:rsidRDefault="00D95BF8" w:rsidP="006F35BA">
            <w:pPr>
              <w:pStyle w:val="TableHeading0"/>
              <w:keepNext/>
            </w:pPr>
          </w:p>
        </w:tc>
        <w:tc>
          <w:tcPr>
            <w:tcW w:w="1650" w:type="dxa"/>
            <w:tcBorders>
              <w:left w:val="nil"/>
              <w:bottom w:val="single" w:sz="4" w:space="0" w:color="auto"/>
            </w:tcBorders>
          </w:tcPr>
          <w:p w14:paraId="1C3AF164" w14:textId="0375C95A" w:rsidR="00D95BF8" w:rsidRPr="00FA688B" w:rsidRDefault="00D95BF8" w:rsidP="006F35BA">
            <w:pPr>
              <w:pStyle w:val="TableHeading0"/>
              <w:keepNext/>
            </w:pPr>
          </w:p>
        </w:tc>
      </w:tr>
      <w:tr w:rsidR="00562F4F" w14:paraId="4898510B" w14:textId="77777777" w:rsidTr="2F1EB167">
        <w:trPr>
          <w:trHeight w:val="300"/>
        </w:trPr>
        <w:tc>
          <w:tcPr>
            <w:tcW w:w="1854" w:type="dxa"/>
            <w:tcBorders>
              <w:top w:val="nil"/>
              <w:bottom w:val="single" w:sz="4" w:space="0" w:color="auto"/>
            </w:tcBorders>
          </w:tcPr>
          <w:p w14:paraId="0005C5FA" w14:textId="76534E58" w:rsidR="002521C5" w:rsidRPr="00FA688B" w:rsidRDefault="002521C5" w:rsidP="006F35BA">
            <w:pPr>
              <w:pStyle w:val="TableHeading0"/>
              <w:keepNext/>
            </w:pPr>
          </w:p>
        </w:tc>
        <w:tc>
          <w:tcPr>
            <w:tcW w:w="1118" w:type="dxa"/>
            <w:gridSpan w:val="3"/>
            <w:tcBorders>
              <w:bottom w:val="single" w:sz="4" w:space="0" w:color="auto"/>
            </w:tcBorders>
          </w:tcPr>
          <w:p w14:paraId="19E5E6C4" w14:textId="486DDAA9" w:rsidR="00B85974" w:rsidRDefault="006E54B5" w:rsidP="006F35BA">
            <w:pPr>
              <w:pStyle w:val="TableHeading0"/>
              <w:keepNext/>
            </w:pPr>
            <w:r>
              <w:t>Treatment</w:t>
            </w:r>
          </w:p>
        </w:tc>
        <w:tc>
          <w:tcPr>
            <w:tcW w:w="851" w:type="dxa"/>
            <w:gridSpan w:val="2"/>
            <w:tcBorders>
              <w:bottom w:val="single" w:sz="4" w:space="0" w:color="auto"/>
            </w:tcBorders>
          </w:tcPr>
          <w:p w14:paraId="23D2B3A3" w14:textId="443A051D" w:rsidR="00B85974" w:rsidRDefault="00037B32" w:rsidP="00BD45A9">
            <w:pPr>
              <w:pStyle w:val="TableHeading0"/>
              <w:keepNext/>
              <w:jc w:val="right"/>
            </w:pPr>
            <w:r>
              <w:t>Rate</w:t>
            </w:r>
          </w:p>
        </w:tc>
        <w:tc>
          <w:tcPr>
            <w:tcW w:w="1559" w:type="dxa"/>
            <w:tcBorders>
              <w:bottom w:val="single" w:sz="4" w:space="0" w:color="auto"/>
            </w:tcBorders>
          </w:tcPr>
          <w:p w14:paraId="65424429" w14:textId="521AD872" w:rsidR="00B85974" w:rsidRPr="00FA688B" w:rsidRDefault="00B85974" w:rsidP="006F35BA">
            <w:pPr>
              <w:pStyle w:val="TableHeading0"/>
              <w:keepNext/>
            </w:pPr>
            <w:r w:rsidRPr="00FA688B">
              <w:t>Source</w:t>
            </w:r>
          </w:p>
        </w:tc>
        <w:tc>
          <w:tcPr>
            <w:tcW w:w="1276" w:type="dxa"/>
            <w:tcBorders>
              <w:bottom w:val="single" w:sz="4" w:space="0" w:color="auto"/>
            </w:tcBorders>
          </w:tcPr>
          <w:p w14:paraId="7888C303" w14:textId="4A63013E" w:rsidR="002521C5" w:rsidRPr="00FA688B" w:rsidRDefault="006E54B5" w:rsidP="006F35BA">
            <w:pPr>
              <w:pStyle w:val="TableHeading0"/>
              <w:keepNext/>
            </w:pPr>
            <w:r>
              <w:t>Tre</w:t>
            </w:r>
            <w:r w:rsidR="00037B32">
              <w:t>atment</w:t>
            </w:r>
          </w:p>
        </w:tc>
        <w:tc>
          <w:tcPr>
            <w:tcW w:w="708" w:type="dxa"/>
            <w:tcBorders>
              <w:bottom w:val="single" w:sz="4" w:space="0" w:color="auto"/>
            </w:tcBorders>
          </w:tcPr>
          <w:p w14:paraId="31AE36F7" w14:textId="232C3A33" w:rsidR="002521C5" w:rsidRPr="00FA688B" w:rsidRDefault="00037B32" w:rsidP="00BD45A9">
            <w:pPr>
              <w:pStyle w:val="TableHeading0"/>
              <w:keepNext/>
              <w:jc w:val="right"/>
            </w:pPr>
            <w:r>
              <w:t>Rate</w:t>
            </w:r>
          </w:p>
        </w:tc>
        <w:tc>
          <w:tcPr>
            <w:tcW w:w="1650" w:type="dxa"/>
            <w:tcBorders>
              <w:bottom w:val="single" w:sz="4" w:space="0" w:color="auto"/>
            </w:tcBorders>
          </w:tcPr>
          <w:p w14:paraId="037F6026" w14:textId="77777777" w:rsidR="002521C5" w:rsidRPr="00FA688B" w:rsidRDefault="002521C5" w:rsidP="006F35BA">
            <w:pPr>
              <w:pStyle w:val="TableHeading0"/>
              <w:keepNext/>
            </w:pPr>
            <w:r w:rsidRPr="00FA688B">
              <w:t>Source</w:t>
            </w:r>
          </w:p>
        </w:tc>
      </w:tr>
      <w:tr w:rsidR="00562F4F" w14:paraId="103149AE" w14:textId="77777777" w:rsidTr="2F1EB167">
        <w:trPr>
          <w:trHeight w:val="300"/>
        </w:trPr>
        <w:tc>
          <w:tcPr>
            <w:tcW w:w="1854" w:type="dxa"/>
            <w:tcBorders>
              <w:bottom w:val="single" w:sz="4" w:space="0" w:color="auto"/>
              <w:right w:val="nil"/>
            </w:tcBorders>
          </w:tcPr>
          <w:p w14:paraId="0FF42D3A" w14:textId="51D6A62A" w:rsidR="0092475B" w:rsidRPr="0092475B" w:rsidRDefault="00E80681" w:rsidP="00D95BF8">
            <w:pPr>
              <w:pStyle w:val="Tabletext0"/>
              <w:keepNext/>
              <w:rPr>
                <w:b/>
                <w:bCs/>
              </w:rPr>
            </w:pPr>
            <w:r>
              <w:rPr>
                <w:b/>
                <w:bCs/>
              </w:rPr>
              <w:t>Index</w:t>
            </w:r>
          </w:p>
        </w:tc>
        <w:tc>
          <w:tcPr>
            <w:tcW w:w="1118" w:type="dxa"/>
            <w:gridSpan w:val="3"/>
            <w:tcBorders>
              <w:left w:val="nil"/>
              <w:bottom w:val="single" w:sz="4" w:space="0" w:color="auto"/>
              <w:right w:val="nil"/>
            </w:tcBorders>
          </w:tcPr>
          <w:p w14:paraId="26AE9D6C" w14:textId="77777777" w:rsidR="00B85974" w:rsidRDefault="00B85974" w:rsidP="00B85974">
            <w:pPr>
              <w:pStyle w:val="Tabletext0"/>
              <w:keepNext/>
            </w:pPr>
          </w:p>
        </w:tc>
        <w:tc>
          <w:tcPr>
            <w:tcW w:w="851" w:type="dxa"/>
            <w:gridSpan w:val="2"/>
            <w:tcBorders>
              <w:left w:val="nil"/>
              <w:bottom w:val="single" w:sz="4" w:space="0" w:color="auto"/>
              <w:right w:val="nil"/>
            </w:tcBorders>
          </w:tcPr>
          <w:p w14:paraId="13DA0052" w14:textId="77777777" w:rsidR="00B85974" w:rsidRDefault="00B85974" w:rsidP="00BD45A9">
            <w:pPr>
              <w:pStyle w:val="Tabletext0"/>
              <w:keepNext/>
              <w:jc w:val="right"/>
            </w:pPr>
          </w:p>
        </w:tc>
        <w:tc>
          <w:tcPr>
            <w:tcW w:w="1559" w:type="dxa"/>
            <w:tcBorders>
              <w:left w:val="nil"/>
              <w:bottom w:val="single" w:sz="4" w:space="0" w:color="auto"/>
              <w:right w:val="nil"/>
            </w:tcBorders>
          </w:tcPr>
          <w:p w14:paraId="2D4AF33A" w14:textId="77777777" w:rsidR="00B85974" w:rsidRDefault="00B85974" w:rsidP="00B85974">
            <w:pPr>
              <w:pStyle w:val="Tabletext0"/>
              <w:keepNext/>
            </w:pPr>
          </w:p>
        </w:tc>
        <w:tc>
          <w:tcPr>
            <w:tcW w:w="1276" w:type="dxa"/>
            <w:tcBorders>
              <w:left w:val="nil"/>
              <w:bottom w:val="single" w:sz="4" w:space="0" w:color="auto"/>
              <w:right w:val="nil"/>
            </w:tcBorders>
          </w:tcPr>
          <w:p w14:paraId="2577C15F" w14:textId="77777777" w:rsidR="0092475B" w:rsidRDefault="0092475B" w:rsidP="00D95BF8">
            <w:pPr>
              <w:pStyle w:val="Tabletext0"/>
              <w:keepNext/>
            </w:pPr>
          </w:p>
        </w:tc>
        <w:tc>
          <w:tcPr>
            <w:tcW w:w="708" w:type="dxa"/>
            <w:tcBorders>
              <w:left w:val="nil"/>
              <w:bottom w:val="single" w:sz="4" w:space="0" w:color="auto"/>
              <w:right w:val="nil"/>
            </w:tcBorders>
          </w:tcPr>
          <w:p w14:paraId="7E420EEF" w14:textId="77777777" w:rsidR="0092475B" w:rsidRDefault="0092475B" w:rsidP="00BD45A9">
            <w:pPr>
              <w:pStyle w:val="Tabletext0"/>
              <w:keepNext/>
              <w:jc w:val="right"/>
              <w:rPr>
                <w:color w:val="000000"/>
                <w:szCs w:val="18"/>
              </w:rPr>
            </w:pPr>
          </w:p>
        </w:tc>
        <w:tc>
          <w:tcPr>
            <w:tcW w:w="1650" w:type="dxa"/>
            <w:tcBorders>
              <w:left w:val="nil"/>
              <w:bottom w:val="single" w:sz="4" w:space="0" w:color="auto"/>
            </w:tcBorders>
          </w:tcPr>
          <w:p w14:paraId="4743D438" w14:textId="77777777" w:rsidR="0092475B" w:rsidRPr="00267578" w:rsidRDefault="0092475B" w:rsidP="00D95BF8">
            <w:pPr>
              <w:pStyle w:val="Tabletext0"/>
              <w:keepNext/>
            </w:pPr>
          </w:p>
        </w:tc>
      </w:tr>
      <w:tr w:rsidR="00562F4F" w14:paraId="652AE449" w14:textId="77777777" w:rsidTr="2F1EB167">
        <w:trPr>
          <w:trHeight w:val="181"/>
        </w:trPr>
        <w:tc>
          <w:tcPr>
            <w:tcW w:w="1854" w:type="dxa"/>
            <w:tcBorders>
              <w:bottom w:val="nil"/>
            </w:tcBorders>
          </w:tcPr>
          <w:p w14:paraId="407297EB" w14:textId="627C570A" w:rsidR="00760154" w:rsidRDefault="00182650" w:rsidP="0080684D">
            <w:pPr>
              <w:pStyle w:val="Tabletext0"/>
              <w:keepNext/>
            </w:pPr>
            <w:r>
              <w:t>Provisional stent placement</w:t>
            </w:r>
          </w:p>
        </w:tc>
        <w:tc>
          <w:tcPr>
            <w:tcW w:w="1118" w:type="dxa"/>
            <w:gridSpan w:val="3"/>
          </w:tcPr>
          <w:p w14:paraId="78C2B3C4" w14:textId="6AEE7EB4" w:rsidR="00B85974" w:rsidRDefault="00B85974" w:rsidP="00B85974">
            <w:pPr>
              <w:pStyle w:val="Tabletext0"/>
              <w:keepNext/>
            </w:pPr>
            <w:r>
              <w:t>IVL</w:t>
            </w:r>
          </w:p>
        </w:tc>
        <w:tc>
          <w:tcPr>
            <w:tcW w:w="851" w:type="dxa"/>
            <w:gridSpan w:val="2"/>
          </w:tcPr>
          <w:p w14:paraId="6077577E" w14:textId="5A7FB1CE" w:rsidR="00B85974" w:rsidRDefault="00B85974" w:rsidP="00BD45A9">
            <w:pPr>
              <w:pStyle w:val="Tabletext0"/>
              <w:keepNext/>
              <w:jc w:val="right"/>
            </w:pPr>
            <w:r>
              <w:t>4.6%</w:t>
            </w:r>
          </w:p>
        </w:tc>
        <w:tc>
          <w:tcPr>
            <w:tcW w:w="1559" w:type="dxa"/>
          </w:tcPr>
          <w:p w14:paraId="5D646F30" w14:textId="04E2709B" w:rsidR="00B85974" w:rsidRPr="00267578" w:rsidRDefault="00B85974" w:rsidP="00B85974">
            <w:pPr>
              <w:pStyle w:val="Tabletext0"/>
              <w:keepNext/>
            </w:pPr>
            <w:r w:rsidRPr="00267578">
              <w:t>DISRUPT PAD III RCT</w:t>
            </w:r>
          </w:p>
        </w:tc>
        <w:tc>
          <w:tcPr>
            <w:tcW w:w="1276" w:type="dxa"/>
          </w:tcPr>
          <w:p w14:paraId="073AD8CF" w14:textId="364FEB7E" w:rsidR="00760154" w:rsidRDefault="00182650" w:rsidP="0080684D">
            <w:pPr>
              <w:pStyle w:val="Tabletext0"/>
              <w:keepNext/>
            </w:pPr>
            <w:r>
              <w:t>IVL</w:t>
            </w:r>
          </w:p>
        </w:tc>
        <w:tc>
          <w:tcPr>
            <w:tcW w:w="708" w:type="dxa"/>
          </w:tcPr>
          <w:p w14:paraId="779C26C8" w14:textId="7C5160C2" w:rsidR="00760154" w:rsidRDefault="00317E19" w:rsidP="00BD45A9">
            <w:pPr>
              <w:pStyle w:val="Tabletext0"/>
              <w:keepNext/>
              <w:jc w:val="right"/>
            </w:pPr>
            <w:r>
              <w:t>9.4</w:t>
            </w:r>
            <w:r w:rsidR="00182650">
              <w:t>%</w:t>
            </w:r>
          </w:p>
        </w:tc>
        <w:tc>
          <w:tcPr>
            <w:tcW w:w="1650" w:type="dxa"/>
          </w:tcPr>
          <w:p w14:paraId="3C88BF97" w14:textId="7D948019" w:rsidR="00760154" w:rsidRPr="00267578" w:rsidRDefault="008478D4" w:rsidP="0080684D">
            <w:pPr>
              <w:pStyle w:val="Tabletext0"/>
              <w:keepNext/>
            </w:pPr>
            <w:r>
              <w:t xml:space="preserve">RR from </w:t>
            </w:r>
            <w:r w:rsidR="00182650" w:rsidRPr="00267578">
              <w:t>DISRUPT PAD III RCT</w:t>
            </w:r>
          </w:p>
        </w:tc>
      </w:tr>
      <w:tr w:rsidR="00562F4F" w14:paraId="6532D948" w14:textId="77777777" w:rsidTr="2F1EB167">
        <w:trPr>
          <w:trHeight w:val="391"/>
        </w:trPr>
        <w:tc>
          <w:tcPr>
            <w:tcW w:w="1854" w:type="dxa"/>
            <w:tcBorders>
              <w:top w:val="nil"/>
              <w:bottom w:val="single" w:sz="4" w:space="0" w:color="auto"/>
            </w:tcBorders>
          </w:tcPr>
          <w:p w14:paraId="11580821" w14:textId="77777777" w:rsidR="00182650" w:rsidRDefault="00182650" w:rsidP="00182650">
            <w:pPr>
              <w:pStyle w:val="Tabletext0"/>
              <w:keepNext/>
            </w:pPr>
          </w:p>
        </w:tc>
        <w:tc>
          <w:tcPr>
            <w:tcW w:w="1118" w:type="dxa"/>
            <w:gridSpan w:val="3"/>
            <w:tcBorders>
              <w:bottom w:val="single" w:sz="4" w:space="0" w:color="auto"/>
            </w:tcBorders>
          </w:tcPr>
          <w:p w14:paraId="164F00C7" w14:textId="5C63F734" w:rsidR="00B85974" w:rsidRDefault="00B85974" w:rsidP="00B85974">
            <w:pPr>
              <w:pStyle w:val="Tabletext0"/>
              <w:keepNext/>
            </w:pPr>
            <w:r>
              <w:t>SBA</w:t>
            </w:r>
          </w:p>
        </w:tc>
        <w:tc>
          <w:tcPr>
            <w:tcW w:w="851" w:type="dxa"/>
            <w:gridSpan w:val="2"/>
            <w:tcBorders>
              <w:bottom w:val="single" w:sz="4" w:space="0" w:color="auto"/>
            </w:tcBorders>
          </w:tcPr>
          <w:p w14:paraId="6FDD938E" w14:textId="020F7E4E" w:rsidR="00B85974" w:rsidRDefault="00B85974" w:rsidP="00BD45A9">
            <w:pPr>
              <w:pStyle w:val="Tabletext0"/>
              <w:keepNext/>
              <w:jc w:val="right"/>
            </w:pPr>
            <w:r>
              <w:t>18.3%</w:t>
            </w:r>
          </w:p>
        </w:tc>
        <w:tc>
          <w:tcPr>
            <w:tcW w:w="1559" w:type="dxa"/>
            <w:tcBorders>
              <w:bottom w:val="single" w:sz="4" w:space="0" w:color="auto"/>
            </w:tcBorders>
          </w:tcPr>
          <w:p w14:paraId="22729072" w14:textId="5F97F16A" w:rsidR="00B85974" w:rsidRPr="00267578" w:rsidRDefault="00B85974" w:rsidP="00B85974">
            <w:pPr>
              <w:pStyle w:val="Tabletext0"/>
              <w:keepNext/>
            </w:pPr>
            <w:r w:rsidRPr="00267578">
              <w:t>DISRUPT PAD III RCT</w:t>
            </w:r>
          </w:p>
        </w:tc>
        <w:tc>
          <w:tcPr>
            <w:tcW w:w="1276" w:type="dxa"/>
            <w:tcBorders>
              <w:bottom w:val="single" w:sz="4" w:space="0" w:color="auto"/>
            </w:tcBorders>
          </w:tcPr>
          <w:p w14:paraId="793CA01E" w14:textId="0BE8C067" w:rsidR="00182650" w:rsidRDefault="00182650" w:rsidP="00182650">
            <w:pPr>
              <w:pStyle w:val="Tabletext0"/>
              <w:keepNext/>
            </w:pPr>
            <w:r>
              <w:t>SBA</w:t>
            </w:r>
          </w:p>
        </w:tc>
        <w:tc>
          <w:tcPr>
            <w:tcW w:w="708" w:type="dxa"/>
            <w:tcBorders>
              <w:bottom w:val="single" w:sz="4" w:space="0" w:color="auto"/>
            </w:tcBorders>
          </w:tcPr>
          <w:p w14:paraId="25D79FB4" w14:textId="37249544" w:rsidR="00182650" w:rsidRDefault="006F35BA" w:rsidP="00BD45A9">
            <w:pPr>
              <w:pStyle w:val="Tabletext0"/>
              <w:keepNext/>
              <w:jc w:val="right"/>
            </w:pPr>
            <w:r>
              <w:t>37.2</w:t>
            </w:r>
            <w:r w:rsidR="00B85974">
              <w:t>%</w:t>
            </w:r>
          </w:p>
        </w:tc>
        <w:tc>
          <w:tcPr>
            <w:tcW w:w="1650" w:type="dxa"/>
            <w:tcBorders>
              <w:bottom w:val="single" w:sz="4" w:space="0" w:color="auto"/>
            </w:tcBorders>
          </w:tcPr>
          <w:p w14:paraId="5C167928" w14:textId="2563E6CA" w:rsidR="00182650" w:rsidRPr="00267578" w:rsidRDefault="00960E0C" w:rsidP="00182650">
            <w:pPr>
              <w:pStyle w:val="Tabletext0"/>
              <w:keepNext/>
            </w:pPr>
            <w:r>
              <w:t>AVA</w:t>
            </w:r>
            <w:r w:rsidR="00216166" w:rsidRPr="00216166">
              <w:t xml:space="preserve"> Public Report – 2021–2023</w:t>
            </w:r>
          </w:p>
        </w:tc>
      </w:tr>
      <w:tr w:rsidR="00036814" w14:paraId="04B64A8A" w14:textId="77777777" w:rsidTr="2F1EB167">
        <w:trPr>
          <w:trHeight w:val="300"/>
        </w:trPr>
        <w:tc>
          <w:tcPr>
            <w:tcW w:w="1854" w:type="dxa"/>
          </w:tcPr>
          <w:p w14:paraId="2CFE11C4" w14:textId="755C9511" w:rsidR="002521C5" w:rsidRDefault="002521C5" w:rsidP="002521C5">
            <w:pPr>
              <w:pStyle w:val="Tabletext0"/>
            </w:pPr>
            <w:r>
              <w:t>Treatment followed by DCB</w:t>
            </w:r>
            <w:r w:rsidR="003A75F8">
              <w:t xml:space="preserve"> </w:t>
            </w:r>
            <w:r w:rsidR="00B249EF">
              <w:t>(no index stent)</w:t>
            </w:r>
          </w:p>
        </w:tc>
        <w:tc>
          <w:tcPr>
            <w:tcW w:w="1118" w:type="dxa"/>
            <w:gridSpan w:val="3"/>
          </w:tcPr>
          <w:p w14:paraId="3A2728AB" w14:textId="3D6A8763" w:rsidR="00B85974" w:rsidRDefault="00B85974" w:rsidP="00B85974">
            <w:pPr>
              <w:pStyle w:val="Tabletext0"/>
            </w:pPr>
            <w:r>
              <w:t>Both IVL and SBA</w:t>
            </w:r>
          </w:p>
        </w:tc>
        <w:tc>
          <w:tcPr>
            <w:tcW w:w="851" w:type="dxa"/>
            <w:gridSpan w:val="2"/>
          </w:tcPr>
          <w:p w14:paraId="0B4FF00E" w14:textId="24BF64FA" w:rsidR="00B85974" w:rsidRDefault="00B85974" w:rsidP="00BD45A9">
            <w:pPr>
              <w:pStyle w:val="Tabletext0"/>
              <w:jc w:val="right"/>
              <w:rPr>
                <w:color w:val="000000"/>
                <w:szCs w:val="18"/>
              </w:rPr>
            </w:pPr>
            <w:r>
              <w:rPr>
                <w:color w:val="000000"/>
                <w:szCs w:val="18"/>
              </w:rPr>
              <w:t>80%</w:t>
            </w:r>
            <w:r w:rsidR="0072165A" w:rsidRPr="0072165A">
              <w:rPr>
                <w:color w:val="000000"/>
                <w:szCs w:val="18"/>
                <w:vertAlign w:val="superscript"/>
              </w:rPr>
              <w:t>a</w:t>
            </w:r>
          </w:p>
        </w:tc>
        <w:tc>
          <w:tcPr>
            <w:tcW w:w="1559" w:type="dxa"/>
          </w:tcPr>
          <w:p w14:paraId="14B90AF3" w14:textId="05028123" w:rsidR="00B85974" w:rsidRDefault="00B85974" w:rsidP="2F1EB167">
            <w:pPr>
              <w:pStyle w:val="Tabletext0"/>
              <w:rPr>
                <w:color w:val="000000" w:themeColor="text1"/>
                <w:vertAlign w:val="superscript"/>
              </w:rPr>
            </w:pPr>
            <w:r w:rsidRPr="2F1EB167">
              <w:t xml:space="preserve">Clinician </w:t>
            </w:r>
            <w:proofErr w:type="spellStart"/>
            <w:r w:rsidRPr="2F1EB167">
              <w:t>guidance</w:t>
            </w:r>
            <w:r w:rsidR="0072165A" w:rsidRPr="2F1EB167">
              <w:rPr>
                <w:color w:val="000000" w:themeColor="text1"/>
                <w:vertAlign w:val="superscript"/>
              </w:rPr>
              <w:t>a</w:t>
            </w:r>
            <w:proofErr w:type="spellEnd"/>
          </w:p>
        </w:tc>
        <w:tc>
          <w:tcPr>
            <w:tcW w:w="1276" w:type="dxa"/>
            <w:tcBorders>
              <w:bottom w:val="single" w:sz="4" w:space="0" w:color="auto"/>
              <w:right w:val="nil"/>
            </w:tcBorders>
            <w:shd w:val="clear" w:color="auto" w:fill="auto"/>
          </w:tcPr>
          <w:p w14:paraId="29FC6944" w14:textId="4DE2C693" w:rsidR="002521C5" w:rsidRDefault="002A489F" w:rsidP="002521C5">
            <w:pPr>
              <w:pStyle w:val="Tabletext0"/>
            </w:pPr>
            <w:r>
              <w:t>No change</w:t>
            </w:r>
          </w:p>
        </w:tc>
        <w:tc>
          <w:tcPr>
            <w:tcW w:w="708" w:type="dxa"/>
            <w:tcBorders>
              <w:left w:val="nil"/>
              <w:bottom w:val="single" w:sz="4" w:space="0" w:color="auto"/>
              <w:right w:val="nil"/>
            </w:tcBorders>
            <w:shd w:val="clear" w:color="auto" w:fill="auto"/>
          </w:tcPr>
          <w:p w14:paraId="535F201B" w14:textId="040CF315" w:rsidR="002521C5" w:rsidRDefault="002521C5" w:rsidP="002521C5">
            <w:pPr>
              <w:pStyle w:val="Tabletext0"/>
              <w:rPr>
                <w:color w:val="000000"/>
                <w:szCs w:val="18"/>
              </w:rPr>
            </w:pPr>
          </w:p>
        </w:tc>
        <w:tc>
          <w:tcPr>
            <w:tcW w:w="1650" w:type="dxa"/>
            <w:tcBorders>
              <w:left w:val="nil"/>
              <w:bottom w:val="single" w:sz="4" w:space="0" w:color="auto"/>
            </w:tcBorders>
            <w:shd w:val="clear" w:color="auto" w:fill="auto"/>
          </w:tcPr>
          <w:p w14:paraId="035F93D0" w14:textId="697912B3" w:rsidR="002521C5" w:rsidRDefault="002521C5" w:rsidP="002521C5">
            <w:pPr>
              <w:pStyle w:val="Tabletext0"/>
            </w:pPr>
          </w:p>
        </w:tc>
      </w:tr>
      <w:tr w:rsidR="00036814" w14:paraId="3F30D7EE" w14:textId="77777777" w:rsidTr="2F1EB167">
        <w:trPr>
          <w:trHeight w:val="300"/>
        </w:trPr>
        <w:tc>
          <w:tcPr>
            <w:tcW w:w="1854" w:type="dxa"/>
          </w:tcPr>
          <w:p w14:paraId="5D4466E1" w14:textId="68827AA5" w:rsidR="00A20952" w:rsidRDefault="00A20952">
            <w:pPr>
              <w:pStyle w:val="Tabletext0"/>
            </w:pPr>
            <w:r>
              <w:t xml:space="preserve">Treatment followed by </w:t>
            </w:r>
            <w:r w:rsidR="00E15AC7">
              <w:t xml:space="preserve">index </w:t>
            </w:r>
            <w:r w:rsidR="00B249EF">
              <w:t xml:space="preserve">stent plus </w:t>
            </w:r>
            <w:r>
              <w:t>DCB</w:t>
            </w:r>
          </w:p>
        </w:tc>
        <w:tc>
          <w:tcPr>
            <w:tcW w:w="1118" w:type="dxa"/>
            <w:gridSpan w:val="3"/>
          </w:tcPr>
          <w:p w14:paraId="242BBBD4" w14:textId="77777777" w:rsidR="00A20952" w:rsidRDefault="00A20952">
            <w:pPr>
              <w:pStyle w:val="Tabletext0"/>
            </w:pPr>
            <w:r>
              <w:t>Both IVL and SBA</w:t>
            </w:r>
          </w:p>
        </w:tc>
        <w:tc>
          <w:tcPr>
            <w:tcW w:w="851" w:type="dxa"/>
            <w:gridSpan w:val="2"/>
          </w:tcPr>
          <w:p w14:paraId="3CD171AF" w14:textId="05167C88" w:rsidR="00A20952" w:rsidRDefault="00A20952" w:rsidP="00BD45A9">
            <w:pPr>
              <w:pStyle w:val="Tabletext0"/>
              <w:jc w:val="right"/>
              <w:rPr>
                <w:color w:val="000000"/>
                <w:szCs w:val="18"/>
              </w:rPr>
            </w:pPr>
            <w:r>
              <w:rPr>
                <w:color w:val="000000"/>
                <w:szCs w:val="18"/>
              </w:rPr>
              <w:t>0%</w:t>
            </w:r>
          </w:p>
        </w:tc>
        <w:tc>
          <w:tcPr>
            <w:tcW w:w="1559" w:type="dxa"/>
          </w:tcPr>
          <w:p w14:paraId="4A030CDB" w14:textId="77777777" w:rsidR="00A20952" w:rsidRDefault="00A20952">
            <w:pPr>
              <w:pStyle w:val="Tabletext0"/>
            </w:pPr>
            <w:r>
              <w:t>Clinician guidance</w:t>
            </w:r>
          </w:p>
        </w:tc>
        <w:tc>
          <w:tcPr>
            <w:tcW w:w="1276" w:type="dxa"/>
            <w:tcBorders>
              <w:right w:val="nil"/>
            </w:tcBorders>
            <w:shd w:val="clear" w:color="auto" w:fill="auto"/>
          </w:tcPr>
          <w:p w14:paraId="721115EE" w14:textId="65ED9AEA" w:rsidR="00A20952" w:rsidRDefault="002A489F">
            <w:pPr>
              <w:pStyle w:val="Tabletext0"/>
            </w:pPr>
            <w:r>
              <w:t>No change</w:t>
            </w:r>
          </w:p>
        </w:tc>
        <w:tc>
          <w:tcPr>
            <w:tcW w:w="708" w:type="dxa"/>
            <w:tcBorders>
              <w:left w:val="nil"/>
              <w:right w:val="nil"/>
            </w:tcBorders>
            <w:shd w:val="clear" w:color="auto" w:fill="auto"/>
          </w:tcPr>
          <w:p w14:paraId="14834CA4" w14:textId="4D58C541" w:rsidR="00A20952" w:rsidRDefault="00A20952">
            <w:pPr>
              <w:pStyle w:val="Tabletext0"/>
              <w:rPr>
                <w:color w:val="000000"/>
                <w:szCs w:val="18"/>
              </w:rPr>
            </w:pPr>
          </w:p>
        </w:tc>
        <w:tc>
          <w:tcPr>
            <w:tcW w:w="1650" w:type="dxa"/>
            <w:tcBorders>
              <w:left w:val="nil"/>
            </w:tcBorders>
            <w:shd w:val="clear" w:color="auto" w:fill="auto"/>
          </w:tcPr>
          <w:p w14:paraId="0C1FE8C0" w14:textId="474C189B" w:rsidR="00A20952" w:rsidRDefault="00A20952">
            <w:pPr>
              <w:pStyle w:val="Tabletext0"/>
            </w:pPr>
          </w:p>
        </w:tc>
      </w:tr>
      <w:tr w:rsidR="00036814" w14:paraId="2D89C7A1" w14:textId="77777777" w:rsidTr="2F1EB167">
        <w:trPr>
          <w:trHeight w:val="300"/>
        </w:trPr>
        <w:tc>
          <w:tcPr>
            <w:tcW w:w="2688" w:type="dxa"/>
            <w:gridSpan w:val="3"/>
            <w:tcBorders>
              <w:bottom w:val="single" w:sz="4" w:space="0" w:color="auto"/>
              <w:right w:val="nil"/>
            </w:tcBorders>
          </w:tcPr>
          <w:p w14:paraId="42D89465" w14:textId="180A8DF7" w:rsidR="003C39B9" w:rsidRPr="0092475B" w:rsidRDefault="003C39B9">
            <w:pPr>
              <w:pStyle w:val="Tabletext0"/>
              <w:keepNext/>
              <w:rPr>
                <w:b/>
                <w:bCs/>
              </w:rPr>
            </w:pPr>
            <w:r>
              <w:rPr>
                <w:b/>
                <w:bCs/>
              </w:rPr>
              <w:t>Reintervention</w:t>
            </w:r>
            <w:r w:rsidR="00C657F4">
              <w:rPr>
                <w:b/>
                <w:bCs/>
              </w:rPr>
              <w:t xml:space="preserve"> </w:t>
            </w:r>
            <w:r w:rsidR="00587A9E">
              <w:rPr>
                <w:b/>
                <w:bCs/>
              </w:rPr>
              <w:t>(</w:t>
            </w:r>
            <w:r w:rsidR="002A010E">
              <w:rPr>
                <w:b/>
                <w:bCs/>
              </w:rPr>
              <w:t>no index stent</w:t>
            </w:r>
            <w:r w:rsidR="005851CF">
              <w:rPr>
                <w:b/>
                <w:bCs/>
              </w:rPr>
              <w:t>)</w:t>
            </w:r>
          </w:p>
        </w:tc>
        <w:tc>
          <w:tcPr>
            <w:tcW w:w="426" w:type="dxa"/>
            <w:gridSpan w:val="2"/>
            <w:tcBorders>
              <w:left w:val="nil"/>
              <w:bottom w:val="single" w:sz="4" w:space="0" w:color="auto"/>
              <w:right w:val="nil"/>
            </w:tcBorders>
          </w:tcPr>
          <w:p w14:paraId="09C1B9CA" w14:textId="77777777" w:rsidR="003C39B9" w:rsidRDefault="003C39B9">
            <w:pPr>
              <w:pStyle w:val="Tabletext0"/>
              <w:keepNext/>
            </w:pPr>
          </w:p>
        </w:tc>
        <w:tc>
          <w:tcPr>
            <w:tcW w:w="709" w:type="dxa"/>
            <w:tcBorders>
              <w:left w:val="nil"/>
              <w:bottom w:val="single" w:sz="4" w:space="0" w:color="auto"/>
              <w:right w:val="nil"/>
            </w:tcBorders>
          </w:tcPr>
          <w:p w14:paraId="68013EB7" w14:textId="77777777" w:rsidR="003C39B9" w:rsidRDefault="003C39B9" w:rsidP="00BD45A9">
            <w:pPr>
              <w:pStyle w:val="Tabletext0"/>
              <w:keepNext/>
              <w:jc w:val="right"/>
            </w:pPr>
          </w:p>
        </w:tc>
        <w:tc>
          <w:tcPr>
            <w:tcW w:w="1559" w:type="dxa"/>
            <w:tcBorders>
              <w:left w:val="nil"/>
              <w:bottom w:val="single" w:sz="4" w:space="0" w:color="auto"/>
              <w:right w:val="nil"/>
            </w:tcBorders>
          </w:tcPr>
          <w:p w14:paraId="12CFE580" w14:textId="77777777" w:rsidR="003C39B9" w:rsidRDefault="003C39B9">
            <w:pPr>
              <w:pStyle w:val="Tabletext0"/>
              <w:keepNext/>
            </w:pPr>
          </w:p>
        </w:tc>
        <w:tc>
          <w:tcPr>
            <w:tcW w:w="1276" w:type="dxa"/>
            <w:tcBorders>
              <w:left w:val="nil"/>
              <w:bottom w:val="single" w:sz="4" w:space="0" w:color="auto"/>
              <w:right w:val="nil"/>
            </w:tcBorders>
          </w:tcPr>
          <w:p w14:paraId="4CA40C02" w14:textId="77777777" w:rsidR="003C39B9" w:rsidRDefault="003C39B9">
            <w:pPr>
              <w:pStyle w:val="Tabletext0"/>
              <w:keepNext/>
            </w:pPr>
          </w:p>
        </w:tc>
        <w:tc>
          <w:tcPr>
            <w:tcW w:w="708" w:type="dxa"/>
            <w:tcBorders>
              <w:left w:val="nil"/>
              <w:bottom w:val="single" w:sz="4" w:space="0" w:color="auto"/>
              <w:right w:val="nil"/>
            </w:tcBorders>
          </w:tcPr>
          <w:p w14:paraId="4C6D7E85" w14:textId="77777777" w:rsidR="003C39B9" w:rsidRDefault="003C39B9">
            <w:pPr>
              <w:pStyle w:val="Tabletext0"/>
              <w:keepNext/>
              <w:rPr>
                <w:color w:val="000000"/>
                <w:szCs w:val="18"/>
              </w:rPr>
            </w:pPr>
          </w:p>
        </w:tc>
        <w:tc>
          <w:tcPr>
            <w:tcW w:w="1650" w:type="dxa"/>
            <w:tcBorders>
              <w:left w:val="nil"/>
              <w:bottom w:val="single" w:sz="4" w:space="0" w:color="auto"/>
            </w:tcBorders>
          </w:tcPr>
          <w:p w14:paraId="1F9B8D55" w14:textId="77777777" w:rsidR="003C39B9" w:rsidRPr="00267578" w:rsidRDefault="003C39B9">
            <w:pPr>
              <w:pStyle w:val="Tabletext0"/>
              <w:keepNext/>
            </w:pPr>
          </w:p>
        </w:tc>
      </w:tr>
      <w:tr w:rsidR="00036814" w14:paraId="5FE5AF37" w14:textId="77777777" w:rsidTr="2F1EB167">
        <w:trPr>
          <w:trHeight w:val="300"/>
        </w:trPr>
        <w:tc>
          <w:tcPr>
            <w:tcW w:w="1854" w:type="dxa"/>
          </w:tcPr>
          <w:p w14:paraId="6C75CDF7" w14:textId="16738D7E" w:rsidR="003C39B9" w:rsidRDefault="00701674" w:rsidP="00B85974">
            <w:pPr>
              <w:pStyle w:val="Tabletext0"/>
            </w:pPr>
            <w:r>
              <w:t xml:space="preserve">Overall </w:t>
            </w:r>
            <w:r w:rsidR="00AD39CC">
              <w:t>reintervention</w:t>
            </w:r>
            <w:r>
              <w:t xml:space="preserve"> rate</w:t>
            </w:r>
          </w:p>
        </w:tc>
        <w:tc>
          <w:tcPr>
            <w:tcW w:w="1118" w:type="dxa"/>
            <w:gridSpan w:val="3"/>
          </w:tcPr>
          <w:p w14:paraId="7E6B6A0C" w14:textId="63EB7E5E" w:rsidR="003C39B9" w:rsidRDefault="00BB4902" w:rsidP="00B85974">
            <w:pPr>
              <w:pStyle w:val="Tabletext0"/>
            </w:pPr>
            <w:r>
              <w:t>Both IVL and SBA</w:t>
            </w:r>
          </w:p>
        </w:tc>
        <w:tc>
          <w:tcPr>
            <w:tcW w:w="851" w:type="dxa"/>
            <w:gridSpan w:val="2"/>
          </w:tcPr>
          <w:p w14:paraId="79D04F28" w14:textId="3AC3C52E" w:rsidR="003C39B9" w:rsidRDefault="00BB4902" w:rsidP="00BD45A9">
            <w:pPr>
              <w:pStyle w:val="Tabletext0"/>
              <w:jc w:val="right"/>
              <w:rPr>
                <w:color w:val="000000"/>
                <w:szCs w:val="18"/>
              </w:rPr>
            </w:pPr>
            <w:r>
              <w:rPr>
                <w:color w:val="000000"/>
                <w:szCs w:val="18"/>
              </w:rPr>
              <w:t>35.</w:t>
            </w:r>
            <w:r w:rsidR="00A74D58">
              <w:rPr>
                <w:color w:val="000000"/>
                <w:szCs w:val="18"/>
              </w:rPr>
              <w:t>6%</w:t>
            </w:r>
            <w:r w:rsidR="00B07E56">
              <w:rPr>
                <w:color w:val="000000"/>
                <w:szCs w:val="18"/>
                <w:vertAlign w:val="superscript"/>
              </w:rPr>
              <w:t>b</w:t>
            </w:r>
          </w:p>
        </w:tc>
        <w:tc>
          <w:tcPr>
            <w:tcW w:w="1559" w:type="dxa"/>
          </w:tcPr>
          <w:p w14:paraId="4779BB06" w14:textId="04AEBCA9" w:rsidR="003C39B9" w:rsidRDefault="00B63493" w:rsidP="00B85974">
            <w:pPr>
              <w:pStyle w:val="Tabletext0"/>
            </w:pPr>
            <w:r>
              <w:t>BASIL 2010 RCT</w:t>
            </w:r>
            <w:r w:rsidR="00114496">
              <w:rPr>
                <w:rStyle w:val="FootnoteReference"/>
              </w:rPr>
              <w:footnoteReference w:id="8"/>
            </w:r>
            <w:r>
              <w:t xml:space="preserve"> (corrected</w:t>
            </w:r>
            <w:r w:rsidR="00CF44A8">
              <w:t>)</w:t>
            </w:r>
            <w:r w:rsidR="00B07E56">
              <w:rPr>
                <w:vertAlign w:val="superscript"/>
              </w:rPr>
              <w:t>b</w:t>
            </w:r>
          </w:p>
        </w:tc>
        <w:tc>
          <w:tcPr>
            <w:tcW w:w="1276" w:type="dxa"/>
            <w:tcBorders>
              <w:bottom w:val="single" w:sz="4" w:space="0" w:color="auto"/>
              <w:right w:val="nil"/>
            </w:tcBorders>
            <w:shd w:val="clear" w:color="auto" w:fill="auto"/>
          </w:tcPr>
          <w:p w14:paraId="2408BB02" w14:textId="17492553" w:rsidR="003C39B9" w:rsidRDefault="00962276" w:rsidP="00B85974">
            <w:pPr>
              <w:pStyle w:val="Tabletext0"/>
            </w:pPr>
            <w:r>
              <w:t>No change</w:t>
            </w:r>
          </w:p>
        </w:tc>
        <w:tc>
          <w:tcPr>
            <w:tcW w:w="708" w:type="dxa"/>
            <w:tcBorders>
              <w:left w:val="nil"/>
              <w:bottom w:val="single" w:sz="4" w:space="0" w:color="auto"/>
              <w:right w:val="nil"/>
            </w:tcBorders>
            <w:shd w:val="clear" w:color="auto" w:fill="auto"/>
          </w:tcPr>
          <w:p w14:paraId="7DFB0FCB" w14:textId="77777777" w:rsidR="003C39B9" w:rsidRDefault="003C39B9" w:rsidP="00B85974">
            <w:pPr>
              <w:pStyle w:val="Tabletext0"/>
              <w:rPr>
                <w:color w:val="000000"/>
                <w:szCs w:val="18"/>
              </w:rPr>
            </w:pPr>
          </w:p>
        </w:tc>
        <w:tc>
          <w:tcPr>
            <w:tcW w:w="1650" w:type="dxa"/>
            <w:tcBorders>
              <w:left w:val="nil"/>
              <w:bottom w:val="single" w:sz="4" w:space="0" w:color="auto"/>
            </w:tcBorders>
            <w:shd w:val="clear" w:color="auto" w:fill="auto"/>
          </w:tcPr>
          <w:p w14:paraId="2399D74F" w14:textId="77777777" w:rsidR="003C39B9" w:rsidRDefault="003C39B9" w:rsidP="00B85974">
            <w:pPr>
              <w:pStyle w:val="Tabletext0"/>
            </w:pPr>
          </w:p>
        </w:tc>
      </w:tr>
      <w:tr w:rsidR="00036814" w14:paraId="397EE991" w14:textId="77777777" w:rsidTr="2F1EB167">
        <w:trPr>
          <w:trHeight w:val="300"/>
        </w:trPr>
        <w:tc>
          <w:tcPr>
            <w:tcW w:w="1854" w:type="dxa"/>
          </w:tcPr>
          <w:p w14:paraId="1E4AED7B" w14:textId="797C7340" w:rsidR="00322D08" w:rsidRDefault="00493EAD" w:rsidP="00DE57C6">
            <w:pPr>
              <w:pStyle w:val="Tabletext0"/>
              <w:ind w:left="170"/>
            </w:pPr>
            <w:r>
              <w:t>Reintervention b</w:t>
            </w:r>
            <w:r w:rsidR="00701674">
              <w:t>y open surgery</w:t>
            </w:r>
          </w:p>
        </w:tc>
        <w:tc>
          <w:tcPr>
            <w:tcW w:w="1118" w:type="dxa"/>
            <w:gridSpan w:val="3"/>
          </w:tcPr>
          <w:p w14:paraId="3B85395D" w14:textId="52AC5951" w:rsidR="00322D08" w:rsidRDefault="009A1A0D" w:rsidP="00B85974">
            <w:pPr>
              <w:pStyle w:val="Tabletext0"/>
            </w:pPr>
            <w:r>
              <w:t>Both IVL and SBA</w:t>
            </w:r>
          </w:p>
        </w:tc>
        <w:tc>
          <w:tcPr>
            <w:tcW w:w="851" w:type="dxa"/>
            <w:gridSpan w:val="2"/>
          </w:tcPr>
          <w:p w14:paraId="00F668AD" w14:textId="1E62FAF1" w:rsidR="00322D08" w:rsidRDefault="00775120" w:rsidP="00BD45A9">
            <w:pPr>
              <w:pStyle w:val="Tabletext0"/>
              <w:jc w:val="right"/>
              <w:rPr>
                <w:color w:val="000000"/>
                <w:szCs w:val="18"/>
              </w:rPr>
            </w:pPr>
            <w:r>
              <w:rPr>
                <w:color w:val="000000"/>
                <w:szCs w:val="18"/>
              </w:rPr>
              <w:t>0%</w:t>
            </w:r>
          </w:p>
        </w:tc>
        <w:tc>
          <w:tcPr>
            <w:tcW w:w="1559" w:type="dxa"/>
          </w:tcPr>
          <w:p w14:paraId="081A57B1" w14:textId="0FD6482A" w:rsidR="00322D08" w:rsidRDefault="003C1DD8" w:rsidP="00B85974">
            <w:pPr>
              <w:pStyle w:val="Tabletext0"/>
            </w:pPr>
            <w:r>
              <w:t>Unsupported assumption</w:t>
            </w:r>
          </w:p>
        </w:tc>
        <w:tc>
          <w:tcPr>
            <w:tcW w:w="1276" w:type="dxa"/>
            <w:tcBorders>
              <w:right w:val="nil"/>
            </w:tcBorders>
            <w:shd w:val="clear" w:color="auto" w:fill="auto"/>
          </w:tcPr>
          <w:p w14:paraId="75A2E688" w14:textId="308CD2A0" w:rsidR="00322D08" w:rsidRDefault="00962276" w:rsidP="00B85974">
            <w:pPr>
              <w:pStyle w:val="Tabletext0"/>
            </w:pPr>
            <w:r>
              <w:t>No change</w:t>
            </w:r>
          </w:p>
        </w:tc>
        <w:tc>
          <w:tcPr>
            <w:tcW w:w="708" w:type="dxa"/>
            <w:tcBorders>
              <w:left w:val="nil"/>
              <w:right w:val="nil"/>
            </w:tcBorders>
            <w:shd w:val="clear" w:color="auto" w:fill="auto"/>
          </w:tcPr>
          <w:p w14:paraId="0572F4D2" w14:textId="77777777" w:rsidR="00322D08" w:rsidRDefault="00322D08" w:rsidP="00B85974">
            <w:pPr>
              <w:pStyle w:val="Tabletext0"/>
              <w:rPr>
                <w:color w:val="000000"/>
                <w:szCs w:val="18"/>
              </w:rPr>
            </w:pPr>
          </w:p>
        </w:tc>
        <w:tc>
          <w:tcPr>
            <w:tcW w:w="1650" w:type="dxa"/>
            <w:tcBorders>
              <w:left w:val="nil"/>
            </w:tcBorders>
            <w:shd w:val="clear" w:color="auto" w:fill="auto"/>
          </w:tcPr>
          <w:p w14:paraId="2626CC78" w14:textId="77777777" w:rsidR="00322D08" w:rsidRDefault="00322D08" w:rsidP="00B85974">
            <w:pPr>
              <w:pStyle w:val="Tabletext0"/>
            </w:pPr>
          </w:p>
        </w:tc>
      </w:tr>
      <w:tr w:rsidR="00505AE5" w14:paraId="705BCF52" w14:textId="77777777" w:rsidTr="2F1EB167">
        <w:trPr>
          <w:trHeight w:val="300"/>
        </w:trPr>
        <w:tc>
          <w:tcPr>
            <w:tcW w:w="2546" w:type="dxa"/>
            <w:gridSpan w:val="2"/>
            <w:tcBorders>
              <w:bottom w:val="single" w:sz="4" w:space="0" w:color="auto"/>
              <w:right w:val="nil"/>
            </w:tcBorders>
          </w:tcPr>
          <w:p w14:paraId="51360357" w14:textId="77777777" w:rsidR="00A63321" w:rsidRDefault="00A63321">
            <w:pPr>
              <w:pStyle w:val="Tabletext0"/>
              <w:keepNext/>
              <w:rPr>
                <w:b/>
                <w:bCs/>
              </w:rPr>
            </w:pPr>
            <w:r>
              <w:rPr>
                <w:b/>
                <w:bCs/>
              </w:rPr>
              <w:t>Reintervention (index stent)</w:t>
            </w:r>
          </w:p>
        </w:tc>
        <w:tc>
          <w:tcPr>
            <w:tcW w:w="568" w:type="dxa"/>
            <w:gridSpan w:val="3"/>
            <w:tcBorders>
              <w:left w:val="nil"/>
              <w:bottom w:val="single" w:sz="4" w:space="0" w:color="auto"/>
              <w:right w:val="nil"/>
            </w:tcBorders>
          </w:tcPr>
          <w:p w14:paraId="202AF3A1" w14:textId="77777777" w:rsidR="00A63321" w:rsidRDefault="00A63321">
            <w:pPr>
              <w:pStyle w:val="Tabletext0"/>
              <w:keepNext/>
            </w:pPr>
          </w:p>
        </w:tc>
        <w:tc>
          <w:tcPr>
            <w:tcW w:w="709" w:type="dxa"/>
            <w:tcBorders>
              <w:left w:val="nil"/>
              <w:bottom w:val="single" w:sz="4" w:space="0" w:color="auto"/>
              <w:right w:val="nil"/>
            </w:tcBorders>
          </w:tcPr>
          <w:p w14:paraId="2AD124DB" w14:textId="77777777" w:rsidR="00A63321" w:rsidRDefault="00A63321" w:rsidP="00BD45A9">
            <w:pPr>
              <w:pStyle w:val="Tabletext0"/>
              <w:keepNext/>
              <w:jc w:val="right"/>
            </w:pPr>
          </w:p>
        </w:tc>
        <w:tc>
          <w:tcPr>
            <w:tcW w:w="1559" w:type="dxa"/>
            <w:tcBorders>
              <w:left w:val="nil"/>
              <w:bottom w:val="single" w:sz="4" w:space="0" w:color="auto"/>
              <w:right w:val="nil"/>
            </w:tcBorders>
          </w:tcPr>
          <w:p w14:paraId="347FB655" w14:textId="77777777" w:rsidR="00A63321" w:rsidRDefault="00A63321">
            <w:pPr>
              <w:pStyle w:val="Tabletext0"/>
              <w:keepNext/>
            </w:pPr>
          </w:p>
        </w:tc>
        <w:tc>
          <w:tcPr>
            <w:tcW w:w="1276" w:type="dxa"/>
            <w:tcBorders>
              <w:left w:val="nil"/>
              <w:bottom w:val="single" w:sz="4" w:space="0" w:color="auto"/>
              <w:right w:val="nil"/>
            </w:tcBorders>
          </w:tcPr>
          <w:p w14:paraId="2282AD61" w14:textId="77777777" w:rsidR="00A63321" w:rsidRDefault="00A63321">
            <w:pPr>
              <w:pStyle w:val="Tabletext0"/>
              <w:keepNext/>
            </w:pPr>
          </w:p>
        </w:tc>
        <w:tc>
          <w:tcPr>
            <w:tcW w:w="708" w:type="dxa"/>
            <w:tcBorders>
              <w:left w:val="nil"/>
              <w:bottom w:val="single" w:sz="4" w:space="0" w:color="auto"/>
              <w:right w:val="nil"/>
            </w:tcBorders>
          </w:tcPr>
          <w:p w14:paraId="0A421531" w14:textId="77777777" w:rsidR="00A63321" w:rsidRDefault="00A63321">
            <w:pPr>
              <w:pStyle w:val="Tabletext0"/>
              <w:keepNext/>
              <w:rPr>
                <w:color w:val="000000"/>
                <w:szCs w:val="18"/>
              </w:rPr>
            </w:pPr>
          </w:p>
        </w:tc>
        <w:tc>
          <w:tcPr>
            <w:tcW w:w="1650" w:type="dxa"/>
            <w:tcBorders>
              <w:left w:val="nil"/>
              <w:bottom w:val="single" w:sz="4" w:space="0" w:color="auto"/>
            </w:tcBorders>
          </w:tcPr>
          <w:p w14:paraId="2433C00F" w14:textId="77777777" w:rsidR="00A63321" w:rsidRPr="00267578" w:rsidRDefault="00A63321">
            <w:pPr>
              <w:pStyle w:val="Tabletext0"/>
              <w:keepNext/>
            </w:pPr>
          </w:p>
        </w:tc>
      </w:tr>
      <w:tr w:rsidR="00562F4F" w14:paraId="1BABA2DE" w14:textId="77777777" w:rsidTr="2F1EB167">
        <w:trPr>
          <w:trHeight w:val="300"/>
        </w:trPr>
        <w:tc>
          <w:tcPr>
            <w:tcW w:w="1854" w:type="dxa"/>
          </w:tcPr>
          <w:p w14:paraId="54D32E93" w14:textId="6D255884" w:rsidR="00322D08" w:rsidRDefault="00701674" w:rsidP="00B85974">
            <w:pPr>
              <w:pStyle w:val="Tabletext0"/>
            </w:pPr>
            <w:r>
              <w:t xml:space="preserve">Overall </w:t>
            </w:r>
            <w:r w:rsidR="00AD39CC">
              <w:t>reintervention</w:t>
            </w:r>
            <w:r>
              <w:t xml:space="preserve"> rate</w:t>
            </w:r>
          </w:p>
        </w:tc>
        <w:tc>
          <w:tcPr>
            <w:tcW w:w="1118" w:type="dxa"/>
            <w:gridSpan w:val="3"/>
          </w:tcPr>
          <w:p w14:paraId="44AEA182" w14:textId="2BFEEA4C" w:rsidR="00322D08" w:rsidRDefault="002B5938" w:rsidP="00B85974">
            <w:pPr>
              <w:pStyle w:val="Tabletext0"/>
            </w:pPr>
            <w:r>
              <w:t>Both IVL and SBA</w:t>
            </w:r>
          </w:p>
        </w:tc>
        <w:tc>
          <w:tcPr>
            <w:tcW w:w="851" w:type="dxa"/>
            <w:gridSpan w:val="2"/>
          </w:tcPr>
          <w:p w14:paraId="7A76C579" w14:textId="632B3E6B" w:rsidR="00322D08" w:rsidRDefault="00E41BE4" w:rsidP="00BD45A9">
            <w:pPr>
              <w:pStyle w:val="Tabletext0"/>
              <w:jc w:val="right"/>
              <w:rPr>
                <w:color w:val="000000"/>
                <w:szCs w:val="18"/>
              </w:rPr>
            </w:pPr>
            <w:r>
              <w:rPr>
                <w:color w:val="000000"/>
                <w:szCs w:val="18"/>
              </w:rPr>
              <w:t>30%</w:t>
            </w:r>
          </w:p>
        </w:tc>
        <w:tc>
          <w:tcPr>
            <w:tcW w:w="1559" w:type="dxa"/>
          </w:tcPr>
          <w:p w14:paraId="3982BD93" w14:textId="459869F4" w:rsidR="00322D08" w:rsidRDefault="00F01968" w:rsidP="00B85974">
            <w:pPr>
              <w:pStyle w:val="Tabletext0"/>
            </w:pPr>
            <w:r w:rsidRPr="00F01968">
              <w:t xml:space="preserve">2018 </w:t>
            </w:r>
            <w:r>
              <w:t>editorial</w:t>
            </w:r>
            <w:r w:rsidR="00D85788">
              <w:rPr>
                <w:rStyle w:val="FootnoteReference"/>
              </w:rPr>
              <w:footnoteReference w:id="9"/>
            </w:r>
            <w:r w:rsidR="008036C0" w:rsidRPr="00F01968">
              <w:t xml:space="preserve"> </w:t>
            </w:r>
            <w:r w:rsidR="008036C0">
              <w:t xml:space="preserve">– </w:t>
            </w:r>
            <w:r w:rsidRPr="00F01968">
              <w:t>low end of</w:t>
            </w:r>
            <w:r w:rsidR="008036C0">
              <w:t xml:space="preserve"> </w:t>
            </w:r>
            <w:r w:rsidRPr="00F01968">
              <w:t>range</w:t>
            </w:r>
          </w:p>
        </w:tc>
        <w:tc>
          <w:tcPr>
            <w:tcW w:w="1276" w:type="dxa"/>
            <w:tcBorders>
              <w:bottom w:val="single" w:sz="4" w:space="0" w:color="auto"/>
            </w:tcBorders>
          </w:tcPr>
          <w:p w14:paraId="67AF8BBD" w14:textId="5AC39301" w:rsidR="00322D08" w:rsidRDefault="005B4691" w:rsidP="00B85974">
            <w:pPr>
              <w:pStyle w:val="Tabletext0"/>
            </w:pPr>
            <w:r>
              <w:t>Both IVL and SBA</w:t>
            </w:r>
          </w:p>
        </w:tc>
        <w:tc>
          <w:tcPr>
            <w:tcW w:w="708" w:type="dxa"/>
            <w:tcBorders>
              <w:bottom w:val="single" w:sz="4" w:space="0" w:color="auto"/>
            </w:tcBorders>
          </w:tcPr>
          <w:p w14:paraId="5490BB9C" w14:textId="2CB81D6F" w:rsidR="00322D08" w:rsidRDefault="005B4691" w:rsidP="00BD45A9">
            <w:pPr>
              <w:pStyle w:val="Tabletext0"/>
              <w:jc w:val="right"/>
              <w:rPr>
                <w:color w:val="000000"/>
                <w:szCs w:val="18"/>
              </w:rPr>
            </w:pPr>
            <w:r>
              <w:rPr>
                <w:color w:val="000000"/>
                <w:szCs w:val="18"/>
              </w:rPr>
              <w:t>35.6%</w:t>
            </w:r>
          </w:p>
        </w:tc>
        <w:tc>
          <w:tcPr>
            <w:tcW w:w="1650" w:type="dxa"/>
            <w:tcBorders>
              <w:bottom w:val="single" w:sz="4" w:space="0" w:color="auto"/>
            </w:tcBorders>
          </w:tcPr>
          <w:p w14:paraId="4F7A235E" w14:textId="3230E97C" w:rsidR="00322D08" w:rsidRDefault="005B4691" w:rsidP="00B85974">
            <w:pPr>
              <w:pStyle w:val="Tabletext0"/>
            </w:pPr>
            <w:r>
              <w:t>BASIL 2010 RCT</w:t>
            </w:r>
            <w:r w:rsidR="006002A7" w:rsidRPr="00F01968">
              <w:t xml:space="preserve"> </w:t>
            </w:r>
            <w:r w:rsidR="006002A7">
              <w:t xml:space="preserve">– </w:t>
            </w:r>
            <w:r w:rsidR="00356FD3">
              <w:t>data from non-stent</w:t>
            </w:r>
            <w:r w:rsidR="00EB03B7">
              <w:t>ed applied to stented p</w:t>
            </w:r>
            <w:r w:rsidR="009B1618">
              <w:t>atients</w:t>
            </w:r>
          </w:p>
        </w:tc>
      </w:tr>
      <w:tr w:rsidR="00036814" w14:paraId="0D2A4C8D" w14:textId="77777777" w:rsidTr="2F1EB167">
        <w:trPr>
          <w:trHeight w:val="300"/>
        </w:trPr>
        <w:tc>
          <w:tcPr>
            <w:tcW w:w="1854" w:type="dxa"/>
          </w:tcPr>
          <w:p w14:paraId="2293F0B2" w14:textId="73304AB5" w:rsidR="00322D08" w:rsidRDefault="00493EAD" w:rsidP="00DE57C6">
            <w:pPr>
              <w:pStyle w:val="Tabletext0"/>
              <w:ind w:left="170"/>
            </w:pPr>
            <w:r>
              <w:t>Reintervention b</w:t>
            </w:r>
            <w:r w:rsidR="00701674">
              <w:t>y open surgery</w:t>
            </w:r>
          </w:p>
        </w:tc>
        <w:tc>
          <w:tcPr>
            <w:tcW w:w="1118" w:type="dxa"/>
            <w:gridSpan w:val="3"/>
          </w:tcPr>
          <w:p w14:paraId="2085B289" w14:textId="3A2C36D9" w:rsidR="00322D08" w:rsidRDefault="00203FE5" w:rsidP="00B85974">
            <w:pPr>
              <w:pStyle w:val="Tabletext0"/>
            </w:pPr>
            <w:r>
              <w:t>Both IVL and SBA</w:t>
            </w:r>
          </w:p>
        </w:tc>
        <w:tc>
          <w:tcPr>
            <w:tcW w:w="851" w:type="dxa"/>
            <w:gridSpan w:val="2"/>
          </w:tcPr>
          <w:p w14:paraId="441EEB64" w14:textId="4393A45A" w:rsidR="00322D08" w:rsidRDefault="00203FE5" w:rsidP="00BD45A9">
            <w:pPr>
              <w:pStyle w:val="Tabletext0"/>
              <w:jc w:val="right"/>
              <w:rPr>
                <w:color w:val="000000"/>
                <w:szCs w:val="18"/>
              </w:rPr>
            </w:pPr>
            <w:r>
              <w:rPr>
                <w:color w:val="000000"/>
                <w:szCs w:val="18"/>
              </w:rPr>
              <w:t>58%</w:t>
            </w:r>
          </w:p>
        </w:tc>
        <w:tc>
          <w:tcPr>
            <w:tcW w:w="1559" w:type="dxa"/>
          </w:tcPr>
          <w:p w14:paraId="713928F3" w14:textId="7DB10541" w:rsidR="00322D08" w:rsidRDefault="005B4691" w:rsidP="00B85974">
            <w:pPr>
              <w:pStyle w:val="Tabletext0"/>
            </w:pPr>
            <w:r w:rsidRPr="005B4691">
              <w:t>COSTLY-TLR study</w:t>
            </w:r>
          </w:p>
        </w:tc>
        <w:tc>
          <w:tcPr>
            <w:tcW w:w="1276" w:type="dxa"/>
            <w:tcBorders>
              <w:right w:val="nil"/>
            </w:tcBorders>
            <w:shd w:val="clear" w:color="auto" w:fill="auto"/>
          </w:tcPr>
          <w:p w14:paraId="38E4F960" w14:textId="2D02A19F" w:rsidR="00322D08" w:rsidRDefault="00C842EA" w:rsidP="00B85974">
            <w:pPr>
              <w:pStyle w:val="Tabletext0"/>
            </w:pPr>
            <w:r>
              <w:t>No change</w:t>
            </w:r>
          </w:p>
        </w:tc>
        <w:tc>
          <w:tcPr>
            <w:tcW w:w="708" w:type="dxa"/>
            <w:tcBorders>
              <w:left w:val="nil"/>
              <w:right w:val="nil"/>
            </w:tcBorders>
            <w:shd w:val="clear" w:color="auto" w:fill="auto"/>
          </w:tcPr>
          <w:p w14:paraId="433F9E88" w14:textId="77777777" w:rsidR="00322D08" w:rsidRDefault="00322D08" w:rsidP="00B85974">
            <w:pPr>
              <w:pStyle w:val="Tabletext0"/>
              <w:rPr>
                <w:color w:val="000000"/>
                <w:szCs w:val="18"/>
              </w:rPr>
            </w:pPr>
          </w:p>
        </w:tc>
        <w:tc>
          <w:tcPr>
            <w:tcW w:w="1650" w:type="dxa"/>
            <w:tcBorders>
              <w:left w:val="nil"/>
            </w:tcBorders>
            <w:shd w:val="clear" w:color="auto" w:fill="auto"/>
          </w:tcPr>
          <w:p w14:paraId="7AB1AC42" w14:textId="77777777" w:rsidR="00322D08" w:rsidRDefault="00322D08" w:rsidP="00B85974">
            <w:pPr>
              <w:pStyle w:val="Tabletext0"/>
            </w:pPr>
          </w:p>
        </w:tc>
      </w:tr>
      <w:tr w:rsidR="00562F4F" w14:paraId="44591D83" w14:textId="77777777" w:rsidTr="2F1EB167">
        <w:trPr>
          <w:trHeight w:val="300"/>
        </w:trPr>
        <w:tc>
          <w:tcPr>
            <w:tcW w:w="1854" w:type="dxa"/>
            <w:tcBorders>
              <w:bottom w:val="single" w:sz="4" w:space="0" w:color="auto"/>
              <w:right w:val="nil"/>
            </w:tcBorders>
          </w:tcPr>
          <w:p w14:paraId="4F34E041" w14:textId="7C45D8E3" w:rsidR="0066738B" w:rsidRPr="0092475B" w:rsidRDefault="0066738B">
            <w:pPr>
              <w:pStyle w:val="Tabletext0"/>
              <w:keepNext/>
              <w:rPr>
                <w:b/>
                <w:bCs/>
              </w:rPr>
            </w:pPr>
            <w:r>
              <w:rPr>
                <w:b/>
                <w:bCs/>
              </w:rPr>
              <w:t>Am</w:t>
            </w:r>
            <w:r w:rsidR="006E25E2">
              <w:rPr>
                <w:b/>
                <w:bCs/>
              </w:rPr>
              <w:t>putation</w:t>
            </w:r>
          </w:p>
        </w:tc>
        <w:tc>
          <w:tcPr>
            <w:tcW w:w="1118" w:type="dxa"/>
            <w:gridSpan w:val="3"/>
            <w:tcBorders>
              <w:left w:val="nil"/>
              <w:bottom w:val="single" w:sz="4" w:space="0" w:color="auto"/>
              <w:right w:val="nil"/>
            </w:tcBorders>
          </w:tcPr>
          <w:p w14:paraId="3A8C0C48" w14:textId="77777777" w:rsidR="0066738B" w:rsidRDefault="0066738B">
            <w:pPr>
              <w:pStyle w:val="Tabletext0"/>
              <w:keepNext/>
            </w:pPr>
          </w:p>
        </w:tc>
        <w:tc>
          <w:tcPr>
            <w:tcW w:w="851" w:type="dxa"/>
            <w:gridSpan w:val="2"/>
            <w:tcBorders>
              <w:left w:val="nil"/>
              <w:bottom w:val="single" w:sz="4" w:space="0" w:color="auto"/>
              <w:right w:val="nil"/>
            </w:tcBorders>
          </w:tcPr>
          <w:p w14:paraId="29C00ADD" w14:textId="77777777" w:rsidR="0066738B" w:rsidRDefault="0066738B" w:rsidP="00BD45A9">
            <w:pPr>
              <w:pStyle w:val="Tabletext0"/>
              <w:keepNext/>
              <w:jc w:val="right"/>
            </w:pPr>
          </w:p>
        </w:tc>
        <w:tc>
          <w:tcPr>
            <w:tcW w:w="1559" w:type="dxa"/>
            <w:tcBorders>
              <w:left w:val="nil"/>
              <w:bottom w:val="single" w:sz="4" w:space="0" w:color="auto"/>
              <w:right w:val="nil"/>
            </w:tcBorders>
          </w:tcPr>
          <w:p w14:paraId="476D788E" w14:textId="77777777" w:rsidR="0066738B" w:rsidRDefault="0066738B">
            <w:pPr>
              <w:pStyle w:val="Tabletext0"/>
              <w:keepNext/>
            </w:pPr>
          </w:p>
        </w:tc>
        <w:tc>
          <w:tcPr>
            <w:tcW w:w="1276" w:type="dxa"/>
            <w:tcBorders>
              <w:left w:val="nil"/>
              <w:bottom w:val="single" w:sz="4" w:space="0" w:color="auto"/>
              <w:right w:val="nil"/>
            </w:tcBorders>
          </w:tcPr>
          <w:p w14:paraId="4DB6C93C" w14:textId="77777777" w:rsidR="0066738B" w:rsidRDefault="0066738B">
            <w:pPr>
              <w:pStyle w:val="Tabletext0"/>
              <w:keepNext/>
            </w:pPr>
          </w:p>
        </w:tc>
        <w:tc>
          <w:tcPr>
            <w:tcW w:w="708" w:type="dxa"/>
            <w:tcBorders>
              <w:left w:val="nil"/>
              <w:bottom w:val="single" w:sz="4" w:space="0" w:color="auto"/>
              <w:right w:val="nil"/>
            </w:tcBorders>
          </w:tcPr>
          <w:p w14:paraId="7852E0FB" w14:textId="77777777" w:rsidR="0066738B" w:rsidRDefault="0066738B">
            <w:pPr>
              <w:pStyle w:val="Tabletext0"/>
              <w:keepNext/>
              <w:rPr>
                <w:color w:val="000000"/>
                <w:szCs w:val="18"/>
              </w:rPr>
            </w:pPr>
          </w:p>
        </w:tc>
        <w:tc>
          <w:tcPr>
            <w:tcW w:w="1650" w:type="dxa"/>
            <w:tcBorders>
              <w:left w:val="nil"/>
              <w:bottom w:val="single" w:sz="4" w:space="0" w:color="auto"/>
            </w:tcBorders>
          </w:tcPr>
          <w:p w14:paraId="1E8DE363" w14:textId="77777777" w:rsidR="0066738B" w:rsidRPr="00267578" w:rsidRDefault="0066738B">
            <w:pPr>
              <w:pStyle w:val="Tabletext0"/>
              <w:keepNext/>
            </w:pPr>
          </w:p>
        </w:tc>
      </w:tr>
      <w:tr w:rsidR="00036814" w14:paraId="4D0F7E9B" w14:textId="77777777" w:rsidTr="2F1EB167">
        <w:trPr>
          <w:trHeight w:val="300"/>
        </w:trPr>
        <w:tc>
          <w:tcPr>
            <w:tcW w:w="1854" w:type="dxa"/>
          </w:tcPr>
          <w:p w14:paraId="7DFB6BF5" w14:textId="684BC4AD" w:rsidR="0066738B" w:rsidRDefault="00AB7C98" w:rsidP="00B85974">
            <w:pPr>
              <w:pStyle w:val="Tabletext0"/>
            </w:pPr>
            <w:r>
              <w:t>In patients with index stent</w:t>
            </w:r>
          </w:p>
        </w:tc>
        <w:tc>
          <w:tcPr>
            <w:tcW w:w="1118" w:type="dxa"/>
            <w:gridSpan w:val="3"/>
          </w:tcPr>
          <w:p w14:paraId="31699276" w14:textId="23F6AA6F" w:rsidR="0066738B" w:rsidRDefault="00120B90" w:rsidP="00B85974">
            <w:pPr>
              <w:pStyle w:val="Tabletext0"/>
            </w:pPr>
            <w:r>
              <w:t>Both IVL and SBA</w:t>
            </w:r>
          </w:p>
        </w:tc>
        <w:tc>
          <w:tcPr>
            <w:tcW w:w="851" w:type="dxa"/>
            <w:gridSpan w:val="2"/>
          </w:tcPr>
          <w:p w14:paraId="3A248778" w14:textId="0E44CDAC" w:rsidR="0066738B" w:rsidRDefault="00AB7C98" w:rsidP="00BD45A9">
            <w:pPr>
              <w:pStyle w:val="Tabletext0"/>
              <w:jc w:val="right"/>
              <w:rPr>
                <w:color w:val="000000"/>
                <w:szCs w:val="18"/>
              </w:rPr>
            </w:pPr>
            <w:r>
              <w:rPr>
                <w:color w:val="000000"/>
                <w:szCs w:val="18"/>
              </w:rPr>
              <w:t>4%</w:t>
            </w:r>
            <w:r w:rsidR="00B07E56">
              <w:rPr>
                <w:vertAlign w:val="superscript"/>
              </w:rPr>
              <w:t>c</w:t>
            </w:r>
          </w:p>
        </w:tc>
        <w:tc>
          <w:tcPr>
            <w:tcW w:w="1559" w:type="dxa"/>
          </w:tcPr>
          <w:p w14:paraId="266DCED4" w14:textId="1F492702" w:rsidR="0066738B" w:rsidRDefault="00AB7C98" w:rsidP="00B85974">
            <w:pPr>
              <w:pStyle w:val="Tabletext0"/>
            </w:pPr>
            <w:r w:rsidRPr="005B4691">
              <w:t>COSTLY-TLR study</w:t>
            </w:r>
            <w:r>
              <w:t xml:space="preserve"> (corrected</w:t>
            </w:r>
            <w:r w:rsidR="00ED19C2">
              <w:t>)</w:t>
            </w:r>
            <w:r w:rsidR="00B07E56">
              <w:rPr>
                <w:vertAlign w:val="superscript"/>
              </w:rPr>
              <w:t>c</w:t>
            </w:r>
          </w:p>
        </w:tc>
        <w:tc>
          <w:tcPr>
            <w:tcW w:w="1276" w:type="dxa"/>
            <w:tcBorders>
              <w:bottom w:val="single" w:sz="4" w:space="0" w:color="auto"/>
              <w:right w:val="nil"/>
            </w:tcBorders>
            <w:shd w:val="clear" w:color="auto" w:fill="auto"/>
          </w:tcPr>
          <w:p w14:paraId="5DA45263" w14:textId="0DA30F64" w:rsidR="0066738B" w:rsidRDefault="00C842EA" w:rsidP="00B85974">
            <w:pPr>
              <w:pStyle w:val="Tabletext0"/>
            </w:pPr>
            <w:r>
              <w:t>No change</w:t>
            </w:r>
          </w:p>
        </w:tc>
        <w:tc>
          <w:tcPr>
            <w:tcW w:w="708" w:type="dxa"/>
            <w:tcBorders>
              <w:left w:val="nil"/>
              <w:bottom w:val="single" w:sz="4" w:space="0" w:color="auto"/>
              <w:right w:val="nil"/>
            </w:tcBorders>
            <w:shd w:val="clear" w:color="auto" w:fill="auto"/>
          </w:tcPr>
          <w:p w14:paraId="03F982B9" w14:textId="77777777" w:rsidR="0066738B" w:rsidRDefault="0066738B" w:rsidP="00B85974">
            <w:pPr>
              <w:pStyle w:val="Tabletext0"/>
              <w:rPr>
                <w:color w:val="000000"/>
                <w:szCs w:val="18"/>
              </w:rPr>
            </w:pPr>
          </w:p>
        </w:tc>
        <w:tc>
          <w:tcPr>
            <w:tcW w:w="1650" w:type="dxa"/>
            <w:tcBorders>
              <w:left w:val="nil"/>
              <w:bottom w:val="single" w:sz="4" w:space="0" w:color="auto"/>
            </w:tcBorders>
            <w:shd w:val="clear" w:color="auto" w:fill="auto"/>
          </w:tcPr>
          <w:p w14:paraId="1618B61F" w14:textId="77777777" w:rsidR="0066738B" w:rsidRDefault="0066738B" w:rsidP="00B85974">
            <w:pPr>
              <w:pStyle w:val="Tabletext0"/>
            </w:pPr>
          </w:p>
        </w:tc>
      </w:tr>
      <w:tr w:rsidR="00036814" w14:paraId="4B5D6A2D" w14:textId="77777777" w:rsidTr="2F1EB167">
        <w:trPr>
          <w:trHeight w:val="300"/>
        </w:trPr>
        <w:tc>
          <w:tcPr>
            <w:tcW w:w="1854" w:type="dxa"/>
          </w:tcPr>
          <w:p w14:paraId="4E4DE134" w14:textId="0958A581" w:rsidR="0066738B" w:rsidRDefault="00AB7C98" w:rsidP="00B85974">
            <w:pPr>
              <w:pStyle w:val="Tabletext0"/>
            </w:pPr>
            <w:r>
              <w:t>In patients without index stent</w:t>
            </w:r>
          </w:p>
        </w:tc>
        <w:tc>
          <w:tcPr>
            <w:tcW w:w="1118" w:type="dxa"/>
            <w:gridSpan w:val="3"/>
          </w:tcPr>
          <w:p w14:paraId="1CC55572" w14:textId="5CB68439" w:rsidR="0066738B" w:rsidRDefault="00AB7C98" w:rsidP="00B85974">
            <w:pPr>
              <w:pStyle w:val="Tabletext0"/>
            </w:pPr>
            <w:r>
              <w:t>Both IVL and SB</w:t>
            </w:r>
            <w:r w:rsidR="00B337EE">
              <w:t>A</w:t>
            </w:r>
          </w:p>
        </w:tc>
        <w:tc>
          <w:tcPr>
            <w:tcW w:w="851" w:type="dxa"/>
            <w:gridSpan w:val="2"/>
          </w:tcPr>
          <w:p w14:paraId="596BA9D0" w14:textId="7ED437F1" w:rsidR="0066738B" w:rsidRDefault="00AB7C98" w:rsidP="00BD45A9">
            <w:pPr>
              <w:pStyle w:val="Tabletext0"/>
              <w:jc w:val="right"/>
              <w:rPr>
                <w:color w:val="000000"/>
                <w:szCs w:val="18"/>
              </w:rPr>
            </w:pPr>
            <w:r>
              <w:rPr>
                <w:color w:val="000000"/>
                <w:szCs w:val="18"/>
              </w:rPr>
              <w:t>0%</w:t>
            </w:r>
          </w:p>
        </w:tc>
        <w:tc>
          <w:tcPr>
            <w:tcW w:w="1559" w:type="dxa"/>
          </w:tcPr>
          <w:p w14:paraId="125E81A2" w14:textId="00681D5D" w:rsidR="0066738B" w:rsidRDefault="00AB7C98" w:rsidP="00B85974">
            <w:pPr>
              <w:pStyle w:val="Tabletext0"/>
            </w:pPr>
            <w:r>
              <w:t>Unsupported assumption</w:t>
            </w:r>
          </w:p>
        </w:tc>
        <w:tc>
          <w:tcPr>
            <w:tcW w:w="1276" w:type="dxa"/>
            <w:tcBorders>
              <w:right w:val="nil"/>
            </w:tcBorders>
            <w:shd w:val="clear" w:color="auto" w:fill="auto"/>
          </w:tcPr>
          <w:p w14:paraId="4E9FDB00" w14:textId="4D444D99" w:rsidR="0066738B" w:rsidRDefault="00C842EA" w:rsidP="00B85974">
            <w:pPr>
              <w:pStyle w:val="Tabletext0"/>
            </w:pPr>
            <w:r>
              <w:t>No change</w:t>
            </w:r>
          </w:p>
        </w:tc>
        <w:tc>
          <w:tcPr>
            <w:tcW w:w="708" w:type="dxa"/>
            <w:tcBorders>
              <w:left w:val="nil"/>
              <w:right w:val="nil"/>
            </w:tcBorders>
            <w:shd w:val="clear" w:color="auto" w:fill="auto"/>
          </w:tcPr>
          <w:p w14:paraId="65A15CD9" w14:textId="77777777" w:rsidR="0066738B" w:rsidRDefault="0066738B" w:rsidP="00B85974">
            <w:pPr>
              <w:pStyle w:val="Tabletext0"/>
              <w:rPr>
                <w:color w:val="000000"/>
                <w:szCs w:val="18"/>
              </w:rPr>
            </w:pPr>
          </w:p>
        </w:tc>
        <w:tc>
          <w:tcPr>
            <w:tcW w:w="1650" w:type="dxa"/>
            <w:tcBorders>
              <w:left w:val="nil"/>
            </w:tcBorders>
            <w:shd w:val="clear" w:color="auto" w:fill="auto"/>
          </w:tcPr>
          <w:p w14:paraId="7A73E677" w14:textId="77777777" w:rsidR="0066738B" w:rsidRDefault="0066738B" w:rsidP="00B85974">
            <w:pPr>
              <w:pStyle w:val="Tabletext0"/>
            </w:pPr>
          </w:p>
        </w:tc>
      </w:tr>
    </w:tbl>
    <w:p w14:paraId="669DBE2A" w14:textId="1A2E4DB5" w:rsidR="002521C5" w:rsidRDefault="00637FF4" w:rsidP="00781034">
      <w:pPr>
        <w:pStyle w:val="Tablenotes0"/>
      </w:pPr>
      <w:r>
        <w:t xml:space="preserve">ADAR = </w:t>
      </w:r>
      <w:r w:rsidR="00594CE8">
        <w:t>Applicant Developed Assessment Report</w:t>
      </w:r>
      <w:r>
        <w:t xml:space="preserve">; </w:t>
      </w:r>
      <w:r w:rsidR="00960E0C">
        <w:t>AVA = Austral</w:t>
      </w:r>
      <w:r w:rsidR="00E57EF9">
        <w:t>as</w:t>
      </w:r>
      <w:r w:rsidR="00960E0C">
        <w:t xml:space="preserve">ian Vascular Audit; </w:t>
      </w:r>
      <w:r>
        <w:t>CCA = cost-consequence analysis; DCB = drug-coated balloon; IVL = intravascular lithotripsy; PAD = peripheral arter</w:t>
      </w:r>
      <w:r w:rsidR="00E05B2D">
        <w:t>y</w:t>
      </w:r>
      <w:r>
        <w:t xml:space="preserve"> disease; RCT = randomised controlled trial; RR = relative risk; SBA = standard balloon angiography</w:t>
      </w:r>
      <w:r w:rsidR="003F763F">
        <w:t>.</w:t>
      </w:r>
    </w:p>
    <w:p w14:paraId="0B6C6003" w14:textId="055CC369" w:rsidR="00B07E56" w:rsidRDefault="00C30002" w:rsidP="00781034">
      <w:pPr>
        <w:pStyle w:val="Tablenotes0"/>
      </w:pPr>
      <w:proofErr w:type="spellStart"/>
      <w:r w:rsidRPr="2F1EB167">
        <w:t>a</w:t>
      </w:r>
      <w:proofErr w:type="spellEnd"/>
      <w:r w:rsidRPr="2F1EB167">
        <w:t xml:space="preserve"> </w:t>
      </w:r>
      <w:proofErr w:type="gramStart"/>
      <w:r w:rsidR="00522E10" w:rsidRPr="2F1EB167">
        <w:t>All non-</w:t>
      </w:r>
      <w:proofErr w:type="gramEnd"/>
      <w:r w:rsidR="00522E10" w:rsidRPr="2F1EB167">
        <w:t>stented patients received a DCB in the DISRUPT PAD III RCT, but in clinical practice it is expected some patients will undergo a standalone procedure. The model reflects this by allocating 20% of IVL and SBA procedures to standalone, thereby accounting for both PICO sets from the original submission.</w:t>
      </w:r>
    </w:p>
    <w:p w14:paraId="7AEF0C02" w14:textId="2BF1A73A" w:rsidR="00373062" w:rsidRDefault="00B07E56" w:rsidP="00781034">
      <w:pPr>
        <w:pStyle w:val="Tablenotes0"/>
      </w:pPr>
      <w:r w:rsidRPr="2F1EB167">
        <w:t xml:space="preserve">b </w:t>
      </w:r>
      <w:proofErr w:type="gramStart"/>
      <w:r w:rsidR="00373062" w:rsidRPr="2F1EB167">
        <w:t>The</w:t>
      </w:r>
      <w:proofErr w:type="gramEnd"/>
      <w:r w:rsidR="00373062" w:rsidRPr="2F1EB167">
        <w:t xml:space="preserve"> resubmission CCA used a rate of 18.6%, incorrectly extracted from BASIL 2010 RCT. The rate was corrected in the commentary.</w:t>
      </w:r>
    </w:p>
    <w:p w14:paraId="24D312FB" w14:textId="07C46A75" w:rsidR="00C30002" w:rsidRDefault="00B07E56" w:rsidP="00781034">
      <w:pPr>
        <w:pStyle w:val="Tablenotes0"/>
      </w:pPr>
      <w:r w:rsidRPr="2F1EB167">
        <w:t>c</w:t>
      </w:r>
      <w:r w:rsidR="00373062" w:rsidRPr="2F1EB167">
        <w:t xml:space="preserve"> </w:t>
      </w:r>
      <w:proofErr w:type="gramStart"/>
      <w:r w:rsidR="00C30002" w:rsidRPr="2F1EB167">
        <w:t>The</w:t>
      </w:r>
      <w:proofErr w:type="gramEnd"/>
      <w:r w:rsidR="00C30002" w:rsidRPr="2F1EB167">
        <w:t xml:space="preserve"> resubmission</w:t>
      </w:r>
      <w:r w:rsidR="00A25917" w:rsidRPr="2F1EB167">
        <w:t xml:space="preserve"> CCA</w:t>
      </w:r>
      <w:r w:rsidR="00C30002" w:rsidRPr="2F1EB167">
        <w:t xml:space="preserve"> </w:t>
      </w:r>
      <w:r w:rsidR="00A25917" w:rsidRPr="2F1EB167">
        <w:t>used</w:t>
      </w:r>
      <w:r w:rsidR="00C30002" w:rsidRPr="2F1EB167">
        <w:t xml:space="preserve"> a rate of 6%</w:t>
      </w:r>
      <w:r w:rsidR="00776A13" w:rsidRPr="2F1EB167">
        <w:t xml:space="preserve">, </w:t>
      </w:r>
      <w:r w:rsidR="00C30002" w:rsidRPr="2F1EB167">
        <w:t xml:space="preserve">incorrectly </w:t>
      </w:r>
      <w:r w:rsidR="00776A13" w:rsidRPr="2F1EB167">
        <w:t>extracted from COSTLY-TLR.</w:t>
      </w:r>
      <w:r w:rsidR="00BB0BFF" w:rsidRPr="2F1EB167">
        <w:t xml:space="preserve"> The rate was corrected in the commentary.</w:t>
      </w:r>
    </w:p>
    <w:p w14:paraId="5AE454D6" w14:textId="37995F0E" w:rsidR="00781034" w:rsidRDefault="00781034" w:rsidP="00781034">
      <w:pPr>
        <w:pStyle w:val="Tablenotes0"/>
      </w:pPr>
      <w:r w:rsidRPr="2F1EB167">
        <w:t xml:space="preserve">Source: </w:t>
      </w:r>
      <w:r w:rsidR="007F69C3" w:rsidRPr="2F1EB167">
        <w:t xml:space="preserve">Compiled from </w:t>
      </w:r>
      <w:r w:rsidRPr="2F1EB167">
        <w:t>Table 3-4</w:t>
      </w:r>
      <w:r w:rsidR="00247D92" w:rsidRPr="2F1EB167">
        <w:t xml:space="preserve">, Table 3-6, </w:t>
      </w:r>
      <w:r w:rsidR="00BD63BE" w:rsidRPr="2F1EB167">
        <w:t xml:space="preserve">Commentary Table 3 </w:t>
      </w:r>
      <w:r w:rsidR="00247D92" w:rsidRPr="2F1EB167">
        <w:t xml:space="preserve">and Commentary Table 5 </w:t>
      </w:r>
      <w:r w:rsidRPr="2F1EB167">
        <w:t>of MSAC 1734 resubmission ADAR + in-line commentary</w:t>
      </w:r>
      <w:r w:rsidR="00A54FDA" w:rsidRPr="2F1EB167">
        <w:t>.</w:t>
      </w:r>
    </w:p>
    <w:p w14:paraId="7F0BE299" w14:textId="5CEB7D13" w:rsidR="007B0E57" w:rsidRDefault="007B0E57" w:rsidP="007B0E57">
      <w:r w:rsidRPr="001625E5">
        <w:lastRenderedPageBreak/>
        <w:t xml:space="preserve">The cost inputs used in the </w:t>
      </w:r>
      <w:r w:rsidR="001625E5" w:rsidRPr="001625E5">
        <w:t xml:space="preserve">ADAR </w:t>
      </w:r>
      <w:r w:rsidRPr="001625E5">
        <w:t xml:space="preserve">resubmission CCA are listed in </w:t>
      </w:r>
      <w:r w:rsidRPr="001625E5">
        <w:fldChar w:fldCharType="begin"/>
      </w:r>
      <w:r w:rsidRPr="001625E5">
        <w:instrText xml:space="preserve"> REF _Ref173244309 \h  \* MERGEFORMAT </w:instrText>
      </w:r>
      <w:r w:rsidRPr="001625E5">
        <w:fldChar w:fldCharType="separate"/>
      </w:r>
      <w:r w:rsidR="000A04D8">
        <w:t xml:space="preserve">Table </w:t>
      </w:r>
      <w:r w:rsidR="000A04D8">
        <w:rPr>
          <w:noProof/>
        </w:rPr>
        <w:t>6</w:t>
      </w:r>
      <w:r w:rsidRPr="001625E5">
        <w:fldChar w:fldCharType="end"/>
      </w:r>
      <w:r w:rsidRPr="001625E5">
        <w:t>.</w:t>
      </w:r>
      <w:r w:rsidR="00987702">
        <w:t xml:space="preserve"> The analyses did not include </w:t>
      </w:r>
      <w:r w:rsidR="00191B5F">
        <w:t>cost</w:t>
      </w:r>
      <w:r w:rsidR="00A9214C">
        <w:t>s</w:t>
      </w:r>
      <w:r w:rsidR="00191B5F">
        <w:t xml:space="preserve"> </w:t>
      </w:r>
      <w:r w:rsidR="00CD196B">
        <w:t>for</w:t>
      </w:r>
      <w:r w:rsidR="00191B5F">
        <w:t xml:space="preserve"> </w:t>
      </w:r>
      <w:r w:rsidR="00212081">
        <w:t xml:space="preserve">anaesthesia </w:t>
      </w:r>
      <w:r w:rsidR="00CB7F08">
        <w:t xml:space="preserve">or </w:t>
      </w:r>
      <w:r w:rsidR="00050665">
        <w:t>fluoroscopy</w:t>
      </w:r>
      <w:r w:rsidR="004C216B">
        <w:t xml:space="preserve"> services </w:t>
      </w:r>
      <w:r w:rsidR="00FD5974" w:rsidRPr="00FD5974">
        <w:t>to guide and check the positioning of the catheter</w:t>
      </w:r>
      <w:r w:rsidR="00FD5974">
        <w:t xml:space="preserve"> </w:t>
      </w:r>
      <w:r w:rsidR="007D21A0">
        <w:t>during the index procedure</w:t>
      </w:r>
      <w:r w:rsidR="00212081">
        <w:t xml:space="preserve">. </w:t>
      </w:r>
      <w:r w:rsidR="00CD196B">
        <w:t xml:space="preserve">IVL and SBA </w:t>
      </w:r>
      <w:r w:rsidR="00FE2309">
        <w:t>procedures typically require locoregional anaesthesia</w:t>
      </w:r>
      <w:r w:rsidR="00564B00">
        <w:t>.</w:t>
      </w:r>
      <w:r w:rsidR="00FE2309">
        <w:t xml:space="preserve"> </w:t>
      </w:r>
      <w:r w:rsidR="002F3677">
        <w:t xml:space="preserve">The </w:t>
      </w:r>
      <w:r w:rsidR="00717713">
        <w:t xml:space="preserve">mean </w:t>
      </w:r>
      <w:r w:rsidR="002F3677">
        <w:t xml:space="preserve">procedure time </w:t>
      </w:r>
      <w:r w:rsidR="00717713">
        <w:t xml:space="preserve">reported in </w:t>
      </w:r>
      <w:r w:rsidR="00324D9C">
        <w:t>DISRUPT PAD III RCT</w:t>
      </w:r>
      <w:r w:rsidR="002F3677">
        <w:t xml:space="preserve"> was 89.9 minutes for IVL </w:t>
      </w:r>
      <w:r w:rsidR="006D7B75">
        <w:t>versus</w:t>
      </w:r>
      <w:r w:rsidR="002F3677">
        <w:t xml:space="preserve"> 66.5 minutes for </w:t>
      </w:r>
      <w:r w:rsidR="00717713">
        <w:t>the comparator</w:t>
      </w:r>
      <w:r w:rsidR="001B69F4">
        <w:t xml:space="preserve">, though the </w:t>
      </w:r>
      <w:r w:rsidR="006D7B75">
        <w:t xml:space="preserve">mean </w:t>
      </w:r>
      <w:r w:rsidR="001B69F4">
        <w:t xml:space="preserve">fluoroscopy time was similar (16.6 minutes for IVL versus 13.5 minutes for </w:t>
      </w:r>
      <w:r w:rsidR="00AF13DC">
        <w:t>the comparator)</w:t>
      </w:r>
      <w:r w:rsidR="00324D9C">
        <w:t xml:space="preserve">. </w:t>
      </w:r>
      <w:r w:rsidR="00055781" w:rsidRPr="00055781">
        <w:t xml:space="preserve">The costs of the </w:t>
      </w:r>
      <w:r w:rsidR="0036680B">
        <w:t xml:space="preserve">IVL </w:t>
      </w:r>
      <w:r w:rsidR="00055781" w:rsidRPr="00055781">
        <w:t xml:space="preserve">generator </w:t>
      </w:r>
      <w:r w:rsidR="00055781">
        <w:t>and</w:t>
      </w:r>
      <w:r w:rsidR="00055781" w:rsidRPr="00055781">
        <w:t xml:space="preserve"> reusable connector cables </w:t>
      </w:r>
      <w:r w:rsidR="00AB43A1">
        <w:t>(</w:t>
      </w:r>
      <w:r w:rsidR="00CE440A">
        <w:t xml:space="preserve">loaned to the </w:t>
      </w:r>
      <w:r w:rsidR="00AB43A1">
        <w:t>hospital funding</w:t>
      </w:r>
      <w:r w:rsidR="00CE440A">
        <w:t xml:space="preserve"> by the manufacturer</w:t>
      </w:r>
      <w:r w:rsidR="00AB43A1">
        <w:t xml:space="preserve">) </w:t>
      </w:r>
      <w:r w:rsidR="00055781">
        <w:t>were not</w:t>
      </w:r>
      <w:r w:rsidR="00055781" w:rsidRPr="00055781">
        <w:t xml:space="preserve"> </w:t>
      </w:r>
      <w:r w:rsidR="00AB43A1">
        <w:t>captured in the</w:t>
      </w:r>
      <w:r w:rsidR="00055781" w:rsidRPr="00055781">
        <w:t xml:space="preserve"> CCA.</w:t>
      </w:r>
    </w:p>
    <w:p w14:paraId="0600F295" w14:textId="0F7379BA" w:rsidR="007B0E57" w:rsidRPr="00C34038" w:rsidRDefault="007B0E57" w:rsidP="2F1EB167">
      <w:pPr>
        <w:pStyle w:val="Caption"/>
        <w:rPr>
          <w:vertAlign w:val="superscript"/>
          <w:lang w:val="en-GB"/>
        </w:rPr>
      </w:pPr>
      <w:bookmarkStart w:id="22" w:name="_Ref173244309"/>
      <w:r w:rsidRPr="6DE7DC23">
        <w:rPr>
          <w:lang w:val="en-GB"/>
        </w:rPr>
        <w:t xml:space="preserve">Table </w:t>
      </w:r>
      <w:r w:rsidRPr="2F1EB167">
        <w:fldChar w:fldCharType="begin"/>
      </w:r>
      <w:r>
        <w:instrText xml:space="preserve"> SEQ Table \* ARABIC </w:instrText>
      </w:r>
      <w:r w:rsidRPr="2F1EB167">
        <w:fldChar w:fldCharType="separate"/>
      </w:r>
      <w:r w:rsidR="000A04D8" w:rsidRPr="6DE7DC23">
        <w:rPr>
          <w:lang w:val="en-GB"/>
        </w:rPr>
        <w:t>6</w:t>
      </w:r>
      <w:r w:rsidRPr="2F1EB167">
        <w:rPr>
          <w:noProof/>
        </w:rPr>
        <w:fldChar w:fldCharType="end"/>
      </w:r>
      <w:bookmarkEnd w:id="22"/>
      <w:r>
        <w:tab/>
      </w:r>
      <w:r w:rsidRPr="6DE7DC23">
        <w:rPr>
          <w:lang w:val="en-GB"/>
        </w:rPr>
        <w:t xml:space="preserve">Cost inputs used in </w:t>
      </w:r>
      <w:r w:rsidR="00D3252B" w:rsidRPr="6DE7DC23">
        <w:rPr>
          <w:lang w:val="en-GB"/>
        </w:rPr>
        <w:t xml:space="preserve">ADAR </w:t>
      </w:r>
      <w:r w:rsidRPr="6DE7DC23">
        <w:rPr>
          <w:lang w:val="en-GB"/>
        </w:rPr>
        <w:t>resubmission CCA</w:t>
      </w:r>
      <w:r w:rsidR="00426F2E" w:rsidRPr="6DE7DC23">
        <w:rPr>
          <w:lang w:val="en-GB"/>
        </w:rPr>
        <w:t xml:space="preserve"> and </w:t>
      </w:r>
      <w:proofErr w:type="spellStart"/>
      <w:r w:rsidRPr="6DE7DC23">
        <w:rPr>
          <w:lang w:val="en-GB"/>
        </w:rPr>
        <w:t>commentary</w:t>
      </w:r>
      <w:r w:rsidR="001038F9" w:rsidRPr="6DE7DC23">
        <w:rPr>
          <w:vertAlign w:val="superscript"/>
          <w:lang w:val="en-GB"/>
        </w:rPr>
        <w:t>e</w:t>
      </w:r>
      <w:proofErr w:type="spellEnd"/>
      <w:r w:rsidR="00D42B2A" w:rsidRPr="6DE7DC23">
        <w:rPr>
          <w:lang w:val="en-GB"/>
        </w:rPr>
        <w:t xml:space="preserve"> </w:t>
      </w:r>
      <w:r w:rsidR="00426F2E" w:rsidRPr="6DE7DC23">
        <w:rPr>
          <w:lang w:val="en-GB"/>
        </w:rPr>
        <w:t>CCA</w:t>
      </w:r>
    </w:p>
    <w:tbl>
      <w:tblPr>
        <w:tblStyle w:val="TableGrid"/>
        <w:tblW w:w="4925" w:type="pct"/>
        <w:tblLook w:val="04A0" w:firstRow="1" w:lastRow="0" w:firstColumn="1" w:lastColumn="0" w:noHBand="0" w:noVBand="1"/>
        <w:tblCaption w:val="Cost inputs used in ADAR resubmission CCA, with commentary corrections"/>
        <w:tblDescription w:val="The table presents the MBS costs, device costs and hospital costs applied in the CCA, together with the source of the cost. "/>
      </w:tblPr>
      <w:tblGrid>
        <w:gridCol w:w="1555"/>
        <w:gridCol w:w="1607"/>
        <w:gridCol w:w="1611"/>
        <w:gridCol w:w="4108"/>
      </w:tblGrid>
      <w:tr w:rsidR="00247D99" w14:paraId="5325331C" w14:textId="77777777" w:rsidTr="2F1EB167">
        <w:trPr>
          <w:cantSplit/>
          <w:tblHeader/>
        </w:trPr>
        <w:tc>
          <w:tcPr>
            <w:tcW w:w="875" w:type="pct"/>
            <w:tcBorders>
              <w:bottom w:val="single" w:sz="4" w:space="0" w:color="auto"/>
            </w:tcBorders>
            <w:vAlign w:val="center"/>
          </w:tcPr>
          <w:p w14:paraId="6D67004A" w14:textId="73E22514" w:rsidR="00247D99" w:rsidRPr="00FA688B" w:rsidRDefault="00247D99" w:rsidP="007F77E0">
            <w:pPr>
              <w:pStyle w:val="TableHeading0"/>
              <w:jc w:val="center"/>
            </w:pPr>
            <w:r w:rsidRPr="2F1EB167">
              <w:t>Component</w:t>
            </w:r>
          </w:p>
        </w:tc>
        <w:tc>
          <w:tcPr>
            <w:tcW w:w="905" w:type="pct"/>
            <w:tcBorders>
              <w:bottom w:val="single" w:sz="4" w:space="0" w:color="auto"/>
            </w:tcBorders>
            <w:vAlign w:val="center"/>
          </w:tcPr>
          <w:p w14:paraId="2382FFA2" w14:textId="608010BF" w:rsidR="00247D99" w:rsidRPr="00FA688B" w:rsidRDefault="00247D99" w:rsidP="007F77E0">
            <w:pPr>
              <w:pStyle w:val="TableHeading0"/>
              <w:jc w:val="center"/>
            </w:pPr>
            <w:r w:rsidRPr="00FA688B">
              <w:t>Total cost</w:t>
            </w:r>
            <w:r>
              <w:t xml:space="preserve"> (ADAR)</w:t>
            </w:r>
          </w:p>
        </w:tc>
        <w:tc>
          <w:tcPr>
            <w:tcW w:w="907" w:type="pct"/>
            <w:tcBorders>
              <w:bottom w:val="single" w:sz="4" w:space="0" w:color="auto"/>
            </w:tcBorders>
            <w:vAlign w:val="center"/>
          </w:tcPr>
          <w:p w14:paraId="135BF941" w14:textId="3E89812E" w:rsidR="00247D99" w:rsidRDefault="00247D99" w:rsidP="006D3391">
            <w:pPr>
              <w:pStyle w:val="TableHeading0"/>
              <w:jc w:val="center"/>
            </w:pPr>
            <w:r>
              <w:t xml:space="preserve">Total </w:t>
            </w:r>
            <w:r w:rsidR="00F246B2">
              <w:t>c</w:t>
            </w:r>
            <w:r>
              <w:t>ost (</w:t>
            </w:r>
            <w:r w:rsidR="009500FC">
              <w:t>commentary</w:t>
            </w:r>
            <w:r w:rsidR="009912BE">
              <w:t>)</w:t>
            </w:r>
            <w:r w:rsidR="009500FC" w:rsidRPr="00BE6DA7">
              <w:rPr>
                <w:vertAlign w:val="superscript"/>
              </w:rPr>
              <w:t>e</w:t>
            </w:r>
          </w:p>
        </w:tc>
        <w:tc>
          <w:tcPr>
            <w:tcW w:w="2313" w:type="pct"/>
            <w:tcBorders>
              <w:bottom w:val="single" w:sz="4" w:space="0" w:color="auto"/>
            </w:tcBorders>
            <w:vAlign w:val="center"/>
          </w:tcPr>
          <w:p w14:paraId="7395C14A" w14:textId="52C96607" w:rsidR="00247D99" w:rsidRPr="00FA688B" w:rsidRDefault="00247D99" w:rsidP="007F77E0">
            <w:pPr>
              <w:pStyle w:val="TableHeading0"/>
              <w:jc w:val="center"/>
            </w:pPr>
            <w:r>
              <w:t>S</w:t>
            </w:r>
            <w:r w:rsidRPr="00FA688B">
              <w:t>ource</w:t>
            </w:r>
          </w:p>
        </w:tc>
      </w:tr>
      <w:tr w:rsidR="00247D99" w:rsidRPr="00825FB6" w14:paraId="47D65F44" w14:textId="77777777" w:rsidTr="2F1EB167">
        <w:trPr>
          <w:cantSplit/>
          <w:tblHeader/>
        </w:trPr>
        <w:tc>
          <w:tcPr>
            <w:tcW w:w="875" w:type="pct"/>
            <w:tcBorders>
              <w:right w:val="nil"/>
            </w:tcBorders>
          </w:tcPr>
          <w:p w14:paraId="5526A37F" w14:textId="77777777" w:rsidR="00247D99" w:rsidRPr="00825FB6" w:rsidRDefault="00247D99">
            <w:pPr>
              <w:pStyle w:val="Tabletext0"/>
              <w:rPr>
                <w:b/>
                <w:bCs/>
              </w:rPr>
            </w:pPr>
            <w:r w:rsidRPr="00825FB6">
              <w:rPr>
                <w:b/>
                <w:bCs/>
              </w:rPr>
              <w:t>MBS</w:t>
            </w:r>
            <w:r>
              <w:rPr>
                <w:b/>
                <w:bCs/>
              </w:rPr>
              <w:t xml:space="preserve"> costs</w:t>
            </w:r>
          </w:p>
        </w:tc>
        <w:tc>
          <w:tcPr>
            <w:tcW w:w="905" w:type="pct"/>
            <w:tcBorders>
              <w:left w:val="nil"/>
              <w:right w:val="nil"/>
            </w:tcBorders>
            <w:vAlign w:val="center"/>
          </w:tcPr>
          <w:p w14:paraId="465B0F4F" w14:textId="77777777" w:rsidR="00247D99" w:rsidRPr="00825FB6" w:rsidRDefault="00247D99" w:rsidP="007F77E0">
            <w:pPr>
              <w:pStyle w:val="Tabletext0"/>
              <w:jc w:val="right"/>
              <w:rPr>
                <w:b/>
                <w:bCs/>
              </w:rPr>
            </w:pPr>
          </w:p>
        </w:tc>
        <w:tc>
          <w:tcPr>
            <w:tcW w:w="907" w:type="pct"/>
            <w:tcBorders>
              <w:left w:val="nil"/>
              <w:right w:val="nil"/>
            </w:tcBorders>
            <w:vAlign w:val="center"/>
          </w:tcPr>
          <w:p w14:paraId="09D0EFB2" w14:textId="77777777" w:rsidR="00247D99" w:rsidRPr="00825FB6" w:rsidRDefault="00247D99" w:rsidP="007F77E0">
            <w:pPr>
              <w:pStyle w:val="Tabletext0"/>
              <w:jc w:val="right"/>
              <w:rPr>
                <w:b/>
                <w:bCs/>
              </w:rPr>
            </w:pPr>
          </w:p>
        </w:tc>
        <w:tc>
          <w:tcPr>
            <w:tcW w:w="2313" w:type="pct"/>
            <w:tcBorders>
              <w:left w:val="nil"/>
            </w:tcBorders>
          </w:tcPr>
          <w:p w14:paraId="2E67312D" w14:textId="690BEEB1" w:rsidR="00247D99" w:rsidRPr="00825FB6" w:rsidRDefault="00247D99">
            <w:pPr>
              <w:pStyle w:val="Tabletext0"/>
              <w:rPr>
                <w:b/>
                <w:bCs/>
              </w:rPr>
            </w:pPr>
          </w:p>
        </w:tc>
      </w:tr>
      <w:tr w:rsidR="00F246B2" w:rsidRPr="00825FB6" w14:paraId="3B70C4CF" w14:textId="77777777" w:rsidTr="2F1EB167">
        <w:trPr>
          <w:cantSplit/>
        </w:trPr>
        <w:tc>
          <w:tcPr>
            <w:tcW w:w="875" w:type="pct"/>
          </w:tcPr>
          <w:p w14:paraId="06119E54" w14:textId="19829AD0" w:rsidR="00F246B2" w:rsidRDefault="00F246B2" w:rsidP="00F246B2">
            <w:pPr>
              <w:pStyle w:val="Tabletext0"/>
            </w:pPr>
            <w:r w:rsidRPr="00D14B1C">
              <w:t xml:space="preserve">IVL </w:t>
            </w:r>
            <w:r>
              <w:t>procedure</w:t>
            </w:r>
          </w:p>
        </w:tc>
        <w:tc>
          <w:tcPr>
            <w:tcW w:w="905" w:type="pct"/>
            <w:vAlign w:val="center"/>
          </w:tcPr>
          <w:p w14:paraId="6CF3C232" w14:textId="77777777" w:rsidR="00F246B2" w:rsidRDefault="00F246B2" w:rsidP="00F246B2">
            <w:pPr>
              <w:pStyle w:val="Tabletext0"/>
              <w:jc w:val="right"/>
            </w:pPr>
            <w:r w:rsidRPr="00D14B1C">
              <w:t>$736.25</w:t>
            </w:r>
          </w:p>
        </w:tc>
        <w:tc>
          <w:tcPr>
            <w:tcW w:w="907" w:type="pct"/>
            <w:vAlign w:val="center"/>
          </w:tcPr>
          <w:p w14:paraId="34BA7EEB" w14:textId="3C36A930" w:rsidR="00F246B2" w:rsidRPr="007F77E0" w:rsidRDefault="00F246B2" w:rsidP="007F77E0">
            <w:pPr>
              <w:pStyle w:val="Tabletext0"/>
              <w:jc w:val="right"/>
              <w:rPr>
                <w:b/>
                <w:bCs/>
              </w:rPr>
            </w:pPr>
            <w:r w:rsidRPr="00D14B1C">
              <w:t>$736.25</w:t>
            </w:r>
          </w:p>
        </w:tc>
        <w:tc>
          <w:tcPr>
            <w:tcW w:w="2313" w:type="pct"/>
          </w:tcPr>
          <w:p w14:paraId="5E6DF584" w14:textId="42E05F72" w:rsidR="00F246B2" w:rsidRDefault="00F246B2" w:rsidP="00F246B2">
            <w:pPr>
              <w:pStyle w:val="Tabletext0"/>
            </w:pPr>
            <w:r w:rsidRPr="00D14B1C">
              <w:t>Proposed</w:t>
            </w:r>
          </w:p>
        </w:tc>
      </w:tr>
      <w:tr w:rsidR="00F246B2" w:rsidRPr="00825FB6" w14:paraId="00E9B4D4" w14:textId="77777777" w:rsidTr="2F1EB167">
        <w:trPr>
          <w:cantSplit/>
        </w:trPr>
        <w:tc>
          <w:tcPr>
            <w:tcW w:w="875" w:type="pct"/>
          </w:tcPr>
          <w:p w14:paraId="703B1CB4" w14:textId="4C5A9C07" w:rsidR="00F246B2" w:rsidRDefault="00F246B2" w:rsidP="00F246B2">
            <w:pPr>
              <w:pStyle w:val="Tabletext0"/>
            </w:pPr>
            <w:r w:rsidRPr="00D14B1C">
              <w:t>SBA</w:t>
            </w:r>
            <w:r>
              <w:t xml:space="preserve"> procedure</w:t>
            </w:r>
          </w:p>
        </w:tc>
        <w:tc>
          <w:tcPr>
            <w:tcW w:w="905" w:type="pct"/>
            <w:vAlign w:val="center"/>
          </w:tcPr>
          <w:p w14:paraId="26C907A0" w14:textId="5B04EEFC" w:rsidR="00F246B2" w:rsidRDefault="00F246B2" w:rsidP="00F246B2">
            <w:pPr>
              <w:pStyle w:val="Tabletext0"/>
              <w:jc w:val="right"/>
            </w:pPr>
            <w:r w:rsidRPr="00D14B1C">
              <w:t>$6</w:t>
            </w:r>
            <w:r>
              <w:t>69.55</w:t>
            </w:r>
            <w:r w:rsidRPr="006E7E26">
              <w:rPr>
                <w:vertAlign w:val="superscript"/>
              </w:rPr>
              <w:t>a</w:t>
            </w:r>
          </w:p>
        </w:tc>
        <w:tc>
          <w:tcPr>
            <w:tcW w:w="907" w:type="pct"/>
            <w:vAlign w:val="center"/>
          </w:tcPr>
          <w:p w14:paraId="1157A9DE" w14:textId="18056AA9" w:rsidR="00F246B2" w:rsidRPr="001D5584" w:rsidRDefault="00F246B2" w:rsidP="007F77E0">
            <w:pPr>
              <w:pStyle w:val="Tabletext0"/>
              <w:jc w:val="right"/>
            </w:pPr>
            <w:r w:rsidRPr="00D14B1C">
              <w:t>$6</w:t>
            </w:r>
            <w:r>
              <w:t>69.55</w:t>
            </w:r>
            <w:r w:rsidRPr="006E7E26">
              <w:rPr>
                <w:vertAlign w:val="superscript"/>
              </w:rPr>
              <w:t>a</w:t>
            </w:r>
          </w:p>
        </w:tc>
        <w:tc>
          <w:tcPr>
            <w:tcW w:w="2313" w:type="pct"/>
          </w:tcPr>
          <w:p w14:paraId="09363DB3" w14:textId="6C083149" w:rsidR="00F246B2" w:rsidRPr="00D820F1" w:rsidRDefault="00F246B2" w:rsidP="00F246B2">
            <w:pPr>
              <w:pStyle w:val="Tabletext0"/>
            </w:pPr>
            <w:r w:rsidRPr="001D5584">
              <w:t>MBS item</w:t>
            </w:r>
            <w:r>
              <w:t>s</w:t>
            </w:r>
            <w:r w:rsidRPr="001D5584">
              <w:t xml:space="preserve"> 35300, 35303 (weighted for utilisation</w:t>
            </w:r>
            <w:r>
              <w:t xml:space="preserve"> in 2023)</w:t>
            </w:r>
          </w:p>
        </w:tc>
      </w:tr>
      <w:tr w:rsidR="00F246B2" w:rsidRPr="00825FB6" w14:paraId="10D93802" w14:textId="77777777" w:rsidTr="2F1EB167">
        <w:trPr>
          <w:cantSplit/>
        </w:trPr>
        <w:tc>
          <w:tcPr>
            <w:tcW w:w="875" w:type="pct"/>
          </w:tcPr>
          <w:p w14:paraId="20CAD05B" w14:textId="69EA313E" w:rsidR="00F246B2" w:rsidRDefault="00F246B2" w:rsidP="00F246B2">
            <w:pPr>
              <w:pStyle w:val="Tabletext0"/>
            </w:pPr>
            <w:r w:rsidRPr="00D14B1C">
              <w:t>SBA plus stent</w:t>
            </w:r>
            <w:r>
              <w:t xml:space="preserve"> procedure</w:t>
            </w:r>
          </w:p>
        </w:tc>
        <w:tc>
          <w:tcPr>
            <w:tcW w:w="905" w:type="pct"/>
            <w:vAlign w:val="center"/>
          </w:tcPr>
          <w:p w14:paraId="1FA7F466" w14:textId="0F93AE3E" w:rsidR="00F246B2" w:rsidRDefault="00F246B2" w:rsidP="00F246B2">
            <w:pPr>
              <w:pStyle w:val="Tabletext0"/>
              <w:jc w:val="right"/>
            </w:pPr>
            <w:r w:rsidRPr="00D14B1C">
              <w:t>$</w:t>
            </w:r>
            <w:r>
              <w:t>789.18</w:t>
            </w:r>
            <w:r w:rsidRPr="006E7E26">
              <w:rPr>
                <w:vertAlign w:val="superscript"/>
              </w:rPr>
              <w:t>a</w:t>
            </w:r>
          </w:p>
        </w:tc>
        <w:tc>
          <w:tcPr>
            <w:tcW w:w="907" w:type="pct"/>
            <w:vAlign w:val="center"/>
          </w:tcPr>
          <w:p w14:paraId="2C0B1119" w14:textId="22D98F2B" w:rsidR="00F246B2" w:rsidRPr="00D820F1" w:rsidRDefault="00F246B2" w:rsidP="007F77E0">
            <w:pPr>
              <w:pStyle w:val="Tabletext0"/>
              <w:jc w:val="right"/>
            </w:pPr>
            <w:r w:rsidRPr="00D14B1C">
              <w:t>$</w:t>
            </w:r>
            <w:r>
              <w:t>789.18</w:t>
            </w:r>
            <w:r w:rsidRPr="006E7E26">
              <w:rPr>
                <w:vertAlign w:val="superscript"/>
              </w:rPr>
              <w:t>a</w:t>
            </w:r>
          </w:p>
        </w:tc>
        <w:tc>
          <w:tcPr>
            <w:tcW w:w="2313" w:type="pct"/>
          </w:tcPr>
          <w:p w14:paraId="05AE755E" w14:textId="3725466A" w:rsidR="00F246B2" w:rsidRPr="00D820F1" w:rsidRDefault="00F246B2" w:rsidP="00F246B2">
            <w:pPr>
              <w:pStyle w:val="Tabletext0"/>
            </w:pPr>
            <w:r w:rsidRPr="00D820F1">
              <w:t>MBS item</w:t>
            </w:r>
            <w:r>
              <w:t>s</w:t>
            </w:r>
            <w:r w:rsidRPr="00D820F1">
              <w:t xml:space="preserve"> 35306, 35309 (weighted for utilisation in </w:t>
            </w:r>
            <w:r w:rsidRPr="00D820F1">
              <w:rPr>
                <w:rStyle w:val="CommentaryTabletextleftChar"/>
                <w:color w:val="auto"/>
              </w:rPr>
              <w:t>2023</w:t>
            </w:r>
            <w:r w:rsidRPr="00D820F1">
              <w:t>)</w:t>
            </w:r>
          </w:p>
        </w:tc>
      </w:tr>
      <w:tr w:rsidR="00F246B2" w:rsidRPr="00825FB6" w14:paraId="03A3DBF0" w14:textId="77777777" w:rsidTr="2F1EB167">
        <w:trPr>
          <w:cantSplit/>
          <w:tblHeader/>
        </w:trPr>
        <w:tc>
          <w:tcPr>
            <w:tcW w:w="875" w:type="pct"/>
            <w:tcBorders>
              <w:right w:val="nil"/>
            </w:tcBorders>
          </w:tcPr>
          <w:p w14:paraId="78465DEE" w14:textId="77777777" w:rsidR="00F246B2" w:rsidRPr="00825FB6" w:rsidRDefault="00F246B2" w:rsidP="00F246B2">
            <w:pPr>
              <w:pStyle w:val="Tabletext0"/>
              <w:rPr>
                <w:b/>
                <w:bCs/>
              </w:rPr>
            </w:pPr>
            <w:r>
              <w:rPr>
                <w:b/>
                <w:bCs/>
              </w:rPr>
              <w:t>Device costs</w:t>
            </w:r>
          </w:p>
        </w:tc>
        <w:tc>
          <w:tcPr>
            <w:tcW w:w="905" w:type="pct"/>
            <w:tcBorders>
              <w:left w:val="nil"/>
              <w:right w:val="nil"/>
            </w:tcBorders>
            <w:vAlign w:val="center"/>
          </w:tcPr>
          <w:p w14:paraId="3E8E7AAB" w14:textId="77777777" w:rsidR="00F246B2" w:rsidRPr="00825FB6" w:rsidRDefault="00F246B2" w:rsidP="007F77E0">
            <w:pPr>
              <w:pStyle w:val="Tabletext0"/>
              <w:jc w:val="right"/>
              <w:rPr>
                <w:b/>
                <w:bCs/>
              </w:rPr>
            </w:pPr>
          </w:p>
        </w:tc>
        <w:tc>
          <w:tcPr>
            <w:tcW w:w="907" w:type="pct"/>
            <w:tcBorders>
              <w:left w:val="nil"/>
              <w:right w:val="nil"/>
            </w:tcBorders>
            <w:vAlign w:val="center"/>
          </w:tcPr>
          <w:p w14:paraId="29602D02" w14:textId="77777777" w:rsidR="00F246B2" w:rsidRPr="00825FB6" w:rsidRDefault="00F246B2" w:rsidP="007F77E0">
            <w:pPr>
              <w:pStyle w:val="Tabletext0"/>
              <w:jc w:val="right"/>
              <w:rPr>
                <w:b/>
                <w:bCs/>
              </w:rPr>
            </w:pPr>
          </w:p>
        </w:tc>
        <w:tc>
          <w:tcPr>
            <w:tcW w:w="2313" w:type="pct"/>
            <w:tcBorders>
              <w:left w:val="nil"/>
            </w:tcBorders>
          </w:tcPr>
          <w:p w14:paraId="7B04D672" w14:textId="27600302" w:rsidR="00F246B2" w:rsidRPr="00825FB6" w:rsidRDefault="00F246B2" w:rsidP="00F246B2">
            <w:pPr>
              <w:pStyle w:val="Tabletext0"/>
              <w:rPr>
                <w:b/>
                <w:bCs/>
              </w:rPr>
            </w:pPr>
          </w:p>
        </w:tc>
      </w:tr>
      <w:tr w:rsidR="00F246B2" w:rsidRPr="00825FB6" w14:paraId="7C4EA720" w14:textId="77777777" w:rsidTr="2F1EB167">
        <w:trPr>
          <w:cantSplit/>
        </w:trPr>
        <w:tc>
          <w:tcPr>
            <w:tcW w:w="875" w:type="pct"/>
          </w:tcPr>
          <w:p w14:paraId="403937DE" w14:textId="2A02D3A6" w:rsidR="00F246B2" w:rsidRDefault="00F246B2" w:rsidP="00F246B2">
            <w:pPr>
              <w:pStyle w:val="Tabletext0"/>
            </w:pPr>
            <w:r w:rsidRPr="00D14B1C">
              <w:t>IVL devic</w:t>
            </w:r>
            <w:r>
              <w:t>e</w:t>
            </w:r>
          </w:p>
        </w:tc>
        <w:tc>
          <w:tcPr>
            <w:tcW w:w="905" w:type="pct"/>
            <w:vAlign w:val="center"/>
          </w:tcPr>
          <w:p w14:paraId="6E210388" w14:textId="56B34EF7" w:rsidR="00F246B2" w:rsidRPr="00A535BD" w:rsidRDefault="00F246B2" w:rsidP="00F246B2">
            <w:pPr>
              <w:pStyle w:val="Tabletext0"/>
              <w:jc w:val="right"/>
            </w:pPr>
            <w:r w:rsidRPr="00A535BD">
              <w:t>$</w:t>
            </w:r>
            <w:r w:rsidR="00A535BD" w:rsidRPr="00A535BD">
              <w:rPr>
                <w:b/>
                <w:bCs/>
              </w:rPr>
              <w:t>redacted</w:t>
            </w:r>
          </w:p>
        </w:tc>
        <w:tc>
          <w:tcPr>
            <w:tcW w:w="907" w:type="pct"/>
            <w:vAlign w:val="center"/>
          </w:tcPr>
          <w:p w14:paraId="7A71FC9A" w14:textId="52587A82" w:rsidR="00F246B2" w:rsidRPr="00A535BD" w:rsidRDefault="00F246B2" w:rsidP="007F77E0">
            <w:pPr>
              <w:pStyle w:val="Tabletext0"/>
              <w:jc w:val="right"/>
            </w:pPr>
            <w:r w:rsidRPr="00A535BD">
              <w:t>$</w:t>
            </w:r>
            <w:r w:rsidR="00A535BD" w:rsidRPr="00A535BD">
              <w:rPr>
                <w:b/>
                <w:bCs/>
              </w:rPr>
              <w:t>redacted</w:t>
            </w:r>
          </w:p>
        </w:tc>
        <w:tc>
          <w:tcPr>
            <w:tcW w:w="2313" w:type="pct"/>
          </w:tcPr>
          <w:p w14:paraId="039167FA" w14:textId="06C97AA0" w:rsidR="00F246B2" w:rsidRDefault="00F246B2" w:rsidP="00F246B2">
            <w:pPr>
              <w:pStyle w:val="Tabletext0"/>
            </w:pPr>
            <w:r w:rsidRPr="00D820F1">
              <w:t>Sponsor</w:t>
            </w:r>
            <w:r>
              <w:t xml:space="preserve"> – </w:t>
            </w:r>
            <w:r w:rsidRPr="00D820F1">
              <w:rPr>
                <w:rStyle w:val="CommentaryTabletextleftChar"/>
                <w:color w:val="auto"/>
              </w:rPr>
              <w:t>IVL catheter only</w:t>
            </w:r>
          </w:p>
        </w:tc>
      </w:tr>
      <w:tr w:rsidR="00F246B2" w:rsidRPr="00825FB6" w14:paraId="2AC099FD" w14:textId="77777777" w:rsidTr="2F1EB167">
        <w:trPr>
          <w:cantSplit/>
        </w:trPr>
        <w:tc>
          <w:tcPr>
            <w:tcW w:w="875" w:type="pct"/>
          </w:tcPr>
          <w:p w14:paraId="706E7780" w14:textId="0C3FC9B5" w:rsidR="00F246B2" w:rsidRDefault="00F246B2" w:rsidP="00F246B2">
            <w:pPr>
              <w:pStyle w:val="Tabletext0"/>
            </w:pPr>
            <w:r w:rsidRPr="00D14B1C">
              <w:t>SBA device</w:t>
            </w:r>
          </w:p>
        </w:tc>
        <w:tc>
          <w:tcPr>
            <w:tcW w:w="905" w:type="pct"/>
            <w:vAlign w:val="center"/>
          </w:tcPr>
          <w:p w14:paraId="58EB5386" w14:textId="77777777" w:rsidR="00F246B2" w:rsidRDefault="00F246B2" w:rsidP="00F246B2">
            <w:pPr>
              <w:pStyle w:val="Tabletext0"/>
              <w:jc w:val="right"/>
            </w:pPr>
            <w:r w:rsidRPr="00D14B1C">
              <w:t>$130.00</w:t>
            </w:r>
          </w:p>
        </w:tc>
        <w:tc>
          <w:tcPr>
            <w:tcW w:w="907" w:type="pct"/>
            <w:vAlign w:val="center"/>
          </w:tcPr>
          <w:p w14:paraId="78E83572" w14:textId="4841E422" w:rsidR="00F246B2" w:rsidRDefault="00F246B2" w:rsidP="007F77E0">
            <w:pPr>
              <w:pStyle w:val="Tabletext0"/>
              <w:jc w:val="right"/>
            </w:pPr>
            <w:r w:rsidRPr="00D14B1C">
              <w:t>$130.00</w:t>
            </w:r>
          </w:p>
        </w:tc>
        <w:tc>
          <w:tcPr>
            <w:tcW w:w="2313" w:type="pct"/>
          </w:tcPr>
          <w:p w14:paraId="5398DF6F" w14:textId="7BAC9393" w:rsidR="00F246B2" w:rsidRPr="00DF51A9" w:rsidRDefault="00F246B2" w:rsidP="00F246B2">
            <w:pPr>
              <w:pStyle w:val="Tabletext0"/>
              <w:rPr>
                <w:vertAlign w:val="superscript"/>
              </w:rPr>
            </w:pPr>
            <w:r w:rsidRPr="2F1EB167">
              <w:t xml:space="preserve">PL – Part D (various, median </w:t>
            </w:r>
            <w:proofErr w:type="gramStart"/>
            <w:r w:rsidRPr="2F1EB167">
              <w:t>value)</w:t>
            </w:r>
            <w:r w:rsidRPr="2F1EB167">
              <w:rPr>
                <w:vertAlign w:val="superscript"/>
              </w:rPr>
              <w:t>b</w:t>
            </w:r>
            <w:proofErr w:type="gramEnd"/>
          </w:p>
        </w:tc>
      </w:tr>
      <w:tr w:rsidR="00F246B2" w:rsidRPr="00825FB6" w14:paraId="2687D736" w14:textId="77777777" w:rsidTr="2F1EB167">
        <w:trPr>
          <w:cantSplit/>
        </w:trPr>
        <w:tc>
          <w:tcPr>
            <w:tcW w:w="875" w:type="pct"/>
          </w:tcPr>
          <w:p w14:paraId="39E051A2" w14:textId="77777777" w:rsidR="00F246B2" w:rsidRDefault="00F246B2" w:rsidP="00F246B2">
            <w:pPr>
              <w:pStyle w:val="Tabletext0"/>
            </w:pPr>
            <w:r w:rsidRPr="00D14B1C">
              <w:t>Bare metal stent</w:t>
            </w:r>
          </w:p>
        </w:tc>
        <w:tc>
          <w:tcPr>
            <w:tcW w:w="905" w:type="pct"/>
            <w:vAlign w:val="center"/>
          </w:tcPr>
          <w:p w14:paraId="6DA87BB5" w14:textId="720645ED" w:rsidR="00F246B2" w:rsidRDefault="00F246B2" w:rsidP="00F246B2">
            <w:pPr>
              <w:pStyle w:val="Tabletext0"/>
              <w:jc w:val="right"/>
            </w:pPr>
            <w:r w:rsidRPr="00D14B1C">
              <w:t>$1,406.01</w:t>
            </w:r>
            <w:r w:rsidRPr="00D9381D">
              <w:rPr>
                <w:vertAlign w:val="superscript"/>
              </w:rPr>
              <w:t>c</w:t>
            </w:r>
          </w:p>
        </w:tc>
        <w:tc>
          <w:tcPr>
            <w:tcW w:w="907" w:type="pct"/>
            <w:vAlign w:val="center"/>
          </w:tcPr>
          <w:p w14:paraId="2AC19CB7" w14:textId="22D9D10F" w:rsidR="00F246B2" w:rsidRDefault="00F246B2" w:rsidP="007F77E0">
            <w:pPr>
              <w:pStyle w:val="Tabletext0"/>
              <w:jc w:val="right"/>
            </w:pPr>
            <w:r w:rsidRPr="00D14B1C">
              <w:t>$1,406.01</w:t>
            </w:r>
            <w:r w:rsidRPr="00D9381D">
              <w:rPr>
                <w:vertAlign w:val="superscript"/>
              </w:rPr>
              <w:t>c</w:t>
            </w:r>
          </w:p>
        </w:tc>
        <w:tc>
          <w:tcPr>
            <w:tcW w:w="2313" w:type="pct"/>
          </w:tcPr>
          <w:p w14:paraId="29D3343D" w14:textId="550B3A1F" w:rsidR="00F246B2" w:rsidRDefault="00F246B2" w:rsidP="00F246B2">
            <w:pPr>
              <w:pStyle w:val="Tabletext0"/>
            </w:pPr>
            <w:r>
              <w:t>PL</w:t>
            </w:r>
            <w:r w:rsidRPr="00D14B1C">
              <w:t xml:space="preserve"> </w:t>
            </w:r>
            <w:r>
              <w:t>–</w:t>
            </w:r>
            <w:r w:rsidRPr="00D14B1C">
              <w:t xml:space="preserve"> Part A (various) weighted for lesion length from trial data</w:t>
            </w:r>
          </w:p>
        </w:tc>
      </w:tr>
      <w:tr w:rsidR="00F246B2" w:rsidRPr="00825FB6" w14:paraId="359A8C7A" w14:textId="77777777" w:rsidTr="2F1EB167">
        <w:trPr>
          <w:cantSplit/>
        </w:trPr>
        <w:tc>
          <w:tcPr>
            <w:tcW w:w="875" w:type="pct"/>
          </w:tcPr>
          <w:p w14:paraId="4457FE4B" w14:textId="77777777" w:rsidR="00F246B2" w:rsidRDefault="00F246B2" w:rsidP="00F246B2">
            <w:pPr>
              <w:pStyle w:val="Tabletext0"/>
            </w:pPr>
            <w:r w:rsidRPr="00D14B1C">
              <w:t>Drug</w:t>
            </w:r>
            <w:r>
              <w:t>-</w:t>
            </w:r>
            <w:r w:rsidRPr="00D14B1C">
              <w:t>coated balloon</w:t>
            </w:r>
          </w:p>
        </w:tc>
        <w:tc>
          <w:tcPr>
            <w:tcW w:w="905" w:type="pct"/>
            <w:vAlign w:val="center"/>
          </w:tcPr>
          <w:p w14:paraId="7EC36E9D" w14:textId="77777777" w:rsidR="00F246B2" w:rsidRDefault="00F246B2" w:rsidP="00F246B2">
            <w:pPr>
              <w:pStyle w:val="Tabletext0"/>
              <w:jc w:val="right"/>
            </w:pPr>
            <w:r w:rsidRPr="00D14B1C">
              <w:t>$1,245.00</w:t>
            </w:r>
          </w:p>
        </w:tc>
        <w:tc>
          <w:tcPr>
            <w:tcW w:w="907" w:type="pct"/>
            <w:vAlign w:val="center"/>
          </w:tcPr>
          <w:p w14:paraId="0D5FA11F" w14:textId="1935E4B9" w:rsidR="00F246B2" w:rsidRDefault="00F246B2" w:rsidP="007F77E0">
            <w:pPr>
              <w:pStyle w:val="Tabletext0"/>
              <w:jc w:val="right"/>
            </w:pPr>
            <w:r w:rsidRPr="00D14B1C">
              <w:t>$1,245.00</w:t>
            </w:r>
          </w:p>
        </w:tc>
        <w:tc>
          <w:tcPr>
            <w:tcW w:w="2313" w:type="pct"/>
          </w:tcPr>
          <w:p w14:paraId="46B8AB90" w14:textId="34F3F08A" w:rsidR="00F246B2" w:rsidRDefault="00F246B2" w:rsidP="00F246B2">
            <w:pPr>
              <w:pStyle w:val="Tabletext0"/>
            </w:pPr>
            <w:r>
              <w:t>PL</w:t>
            </w:r>
            <w:r w:rsidRPr="00D14B1C">
              <w:t xml:space="preserve"> </w:t>
            </w:r>
            <w:r>
              <w:t>–</w:t>
            </w:r>
            <w:r w:rsidRPr="00D14B1C">
              <w:t xml:space="preserve"> Part C (Billing code</w:t>
            </w:r>
            <w:r>
              <w:t>s</w:t>
            </w:r>
            <w:r w:rsidRPr="00D14B1C">
              <w:t xml:space="preserve"> BS424, BT255, MI507)</w:t>
            </w:r>
          </w:p>
        </w:tc>
      </w:tr>
      <w:tr w:rsidR="00F246B2" w:rsidRPr="00825FB6" w14:paraId="3704AA38" w14:textId="77777777" w:rsidTr="2F1EB167">
        <w:trPr>
          <w:cantSplit/>
          <w:tblHeader/>
        </w:trPr>
        <w:tc>
          <w:tcPr>
            <w:tcW w:w="875" w:type="pct"/>
            <w:tcBorders>
              <w:right w:val="nil"/>
            </w:tcBorders>
          </w:tcPr>
          <w:p w14:paraId="050C0402" w14:textId="77777777" w:rsidR="00F246B2" w:rsidRPr="00825FB6" w:rsidRDefault="00F246B2" w:rsidP="00F246B2">
            <w:pPr>
              <w:pStyle w:val="Tabletext0"/>
              <w:rPr>
                <w:b/>
                <w:bCs/>
              </w:rPr>
            </w:pPr>
            <w:r>
              <w:rPr>
                <w:b/>
                <w:bCs/>
              </w:rPr>
              <w:t>Hospital costs</w:t>
            </w:r>
          </w:p>
        </w:tc>
        <w:tc>
          <w:tcPr>
            <w:tcW w:w="905" w:type="pct"/>
            <w:tcBorders>
              <w:left w:val="nil"/>
              <w:right w:val="nil"/>
            </w:tcBorders>
            <w:vAlign w:val="center"/>
          </w:tcPr>
          <w:p w14:paraId="3902727B" w14:textId="77777777" w:rsidR="00F246B2" w:rsidRPr="00825FB6" w:rsidRDefault="00F246B2" w:rsidP="007F77E0">
            <w:pPr>
              <w:pStyle w:val="Tabletext0"/>
              <w:jc w:val="right"/>
              <w:rPr>
                <w:b/>
                <w:bCs/>
              </w:rPr>
            </w:pPr>
          </w:p>
        </w:tc>
        <w:tc>
          <w:tcPr>
            <w:tcW w:w="907" w:type="pct"/>
            <w:tcBorders>
              <w:left w:val="nil"/>
              <w:right w:val="nil"/>
            </w:tcBorders>
            <w:vAlign w:val="center"/>
          </w:tcPr>
          <w:p w14:paraId="7C7E1870" w14:textId="77777777" w:rsidR="00F246B2" w:rsidRPr="00825FB6" w:rsidRDefault="00F246B2" w:rsidP="007F77E0">
            <w:pPr>
              <w:pStyle w:val="Tabletext0"/>
              <w:jc w:val="right"/>
              <w:rPr>
                <w:b/>
                <w:bCs/>
              </w:rPr>
            </w:pPr>
          </w:p>
        </w:tc>
        <w:tc>
          <w:tcPr>
            <w:tcW w:w="2313" w:type="pct"/>
            <w:tcBorders>
              <w:left w:val="nil"/>
            </w:tcBorders>
          </w:tcPr>
          <w:p w14:paraId="2DEEA38A" w14:textId="4115CD9F" w:rsidR="00F246B2" w:rsidRPr="00825FB6" w:rsidRDefault="00F246B2" w:rsidP="00F246B2">
            <w:pPr>
              <w:pStyle w:val="Tabletext0"/>
              <w:rPr>
                <w:b/>
                <w:bCs/>
              </w:rPr>
            </w:pPr>
          </w:p>
        </w:tc>
      </w:tr>
      <w:tr w:rsidR="00F246B2" w:rsidRPr="00825FB6" w14:paraId="78973870" w14:textId="77777777" w:rsidTr="2F1EB167">
        <w:trPr>
          <w:cantSplit/>
        </w:trPr>
        <w:tc>
          <w:tcPr>
            <w:tcW w:w="875" w:type="pct"/>
            <w:vAlign w:val="center"/>
          </w:tcPr>
          <w:p w14:paraId="4902EBF4" w14:textId="4E9B12B6" w:rsidR="00F246B2" w:rsidRDefault="00F246B2" w:rsidP="00863294">
            <w:pPr>
              <w:pStyle w:val="Tabletext0"/>
            </w:pPr>
            <w:r w:rsidRPr="2F1EB167">
              <w:t xml:space="preserve">Hospital </w:t>
            </w:r>
            <w:proofErr w:type="gramStart"/>
            <w:r w:rsidRPr="2F1EB167">
              <w:t>stay</w:t>
            </w:r>
            <w:proofErr w:type="gramEnd"/>
            <w:r w:rsidRPr="2F1EB167">
              <w:t xml:space="preserve"> (day)</w:t>
            </w:r>
          </w:p>
        </w:tc>
        <w:tc>
          <w:tcPr>
            <w:tcW w:w="905" w:type="pct"/>
            <w:vAlign w:val="center"/>
          </w:tcPr>
          <w:p w14:paraId="1022BFAB" w14:textId="77777777" w:rsidR="00F246B2" w:rsidRDefault="00F246B2" w:rsidP="00F246B2">
            <w:pPr>
              <w:pStyle w:val="Tabletext0"/>
              <w:jc w:val="right"/>
            </w:pPr>
            <w:r w:rsidRPr="00D14B1C">
              <w:t>$2,045.61</w:t>
            </w:r>
          </w:p>
        </w:tc>
        <w:tc>
          <w:tcPr>
            <w:tcW w:w="907" w:type="pct"/>
            <w:vAlign w:val="center"/>
          </w:tcPr>
          <w:p w14:paraId="1EA13194" w14:textId="265D5DBE" w:rsidR="00F246B2" w:rsidRPr="00D14B1C" w:rsidRDefault="00F246B2" w:rsidP="007F77E0">
            <w:pPr>
              <w:pStyle w:val="Tabletext0"/>
              <w:jc w:val="right"/>
            </w:pPr>
            <w:r w:rsidRPr="00D14B1C">
              <w:t>$2,045.61</w:t>
            </w:r>
          </w:p>
        </w:tc>
        <w:tc>
          <w:tcPr>
            <w:tcW w:w="2313" w:type="pct"/>
          </w:tcPr>
          <w:p w14:paraId="7BA15DC5" w14:textId="6C65F627" w:rsidR="00F246B2" w:rsidRDefault="00F246B2" w:rsidP="00F246B2">
            <w:pPr>
              <w:pStyle w:val="Tabletext0"/>
            </w:pPr>
            <w:r w:rsidRPr="00D14B1C">
              <w:t xml:space="preserve">Tier 2 1005 </w:t>
            </w:r>
            <w:r>
              <w:t>–</w:t>
            </w:r>
            <w:r w:rsidRPr="00D14B1C">
              <w:t xml:space="preserve"> Angioplasty</w:t>
            </w:r>
            <w:r>
              <w:t xml:space="preserve">; </w:t>
            </w:r>
            <w:r w:rsidRPr="00825FB6">
              <w:t>NHCDC Version 10.0, Round 24 (2019-20)</w:t>
            </w:r>
          </w:p>
        </w:tc>
      </w:tr>
      <w:tr w:rsidR="00F246B2" w:rsidRPr="00825FB6" w14:paraId="7111D2D5" w14:textId="77777777" w:rsidTr="2F1EB167">
        <w:trPr>
          <w:cantSplit/>
        </w:trPr>
        <w:tc>
          <w:tcPr>
            <w:tcW w:w="875" w:type="pct"/>
            <w:vAlign w:val="center"/>
          </w:tcPr>
          <w:p w14:paraId="5C5D13DA" w14:textId="49E2487F" w:rsidR="00F246B2" w:rsidRDefault="00F246B2" w:rsidP="00863294">
            <w:pPr>
              <w:pStyle w:val="Tabletext0"/>
            </w:pPr>
            <w:r w:rsidRPr="2F1EB167">
              <w:t xml:space="preserve">Hospital </w:t>
            </w:r>
            <w:proofErr w:type="gramStart"/>
            <w:r w:rsidRPr="2F1EB167">
              <w:t>stay</w:t>
            </w:r>
            <w:proofErr w:type="gramEnd"/>
            <w:r w:rsidRPr="2F1EB167">
              <w:t xml:space="preserve"> (overnight)</w:t>
            </w:r>
          </w:p>
        </w:tc>
        <w:tc>
          <w:tcPr>
            <w:tcW w:w="905" w:type="pct"/>
            <w:vAlign w:val="center"/>
          </w:tcPr>
          <w:p w14:paraId="79CF7313" w14:textId="47D8DB19" w:rsidR="00F246B2" w:rsidRPr="00825FB6" w:rsidRDefault="00F246B2" w:rsidP="00F246B2">
            <w:pPr>
              <w:pStyle w:val="Tabletext0"/>
              <w:jc w:val="right"/>
            </w:pPr>
            <w:r w:rsidRPr="00AE7307">
              <w:rPr>
                <w:rStyle w:val="CommentaryTabletextleftChar"/>
                <w:color w:val="auto"/>
              </w:rPr>
              <w:t>$7,699.25</w:t>
            </w:r>
            <w:r w:rsidRPr="000B28E6">
              <w:rPr>
                <w:rStyle w:val="CommentaryTabletextleftChar"/>
                <w:color w:val="auto"/>
                <w:vertAlign w:val="superscript"/>
              </w:rPr>
              <w:t>d</w:t>
            </w:r>
          </w:p>
        </w:tc>
        <w:tc>
          <w:tcPr>
            <w:tcW w:w="907" w:type="pct"/>
            <w:vAlign w:val="center"/>
          </w:tcPr>
          <w:p w14:paraId="3D4863D8" w14:textId="76F66802" w:rsidR="00F246B2" w:rsidRPr="007F77E0" w:rsidRDefault="00F246B2" w:rsidP="007F77E0">
            <w:pPr>
              <w:pStyle w:val="Tabletext0"/>
              <w:jc w:val="right"/>
              <w:rPr>
                <w:b/>
                <w:bCs/>
                <w:color w:val="70AD47" w:themeColor="accent6"/>
              </w:rPr>
            </w:pPr>
            <w:r w:rsidRPr="007F77E0">
              <w:rPr>
                <w:b/>
                <w:bCs/>
              </w:rPr>
              <w:t>$9,623.72</w:t>
            </w:r>
            <w:r w:rsidR="002E2FEB" w:rsidRPr="00BE6DA7">
              <w:rPr>
                <w:b/>
                <w:bCs/>
                <w:vertAlign w:val="superscript"/>
              </w:rPr>
              <w:t>e</w:t>
            </w:r>
          </w:p>
        </w:tc>
        <w:tc>
          <w:tcPr>
            <w:tcW w:w="2313" w:type="pct"/>
          </w:tcPr>
          <w:p w14:paraId="7AFF4841" w14:textId="1532E802" w:rsidR="000C2B50" w:rsidRDefault="00F246B2" w:rsidP="00F246B2">
            <w:pPr>
              <w:pStyle w:val="Tabletext0"/>
            </w:pPr>
            <w:r w:rsidRPr="2F1EB167">
              <w:t xml:space="preserve">AR-DRG F14C </w:t>
            </w:r>
            <w:r w:rsidRPr="2F1EB167">
              <w:rPr>
                <w:rStyle w:val="CommentaryTabletextleftChar"/>
                <w:color w:val="auto"/>
              </w:rPr>
              <w:t>(minus Prosthesis cost component);</w:t>
            </w:r>
            <w:r w:rsidRPr="2F1EB167">
              <w:rPr>
                <w:rStyle w:val="CommentaryTabletextleftChar"/>
              </w:rPr>
              <w:t xml:space="preserve"> </w:t>
            </w:r>
            <w:r w:rsidRPr="2F1EB167">
              <w:t>NHCDC Version 10.0, Round 24 (2019-20)</w:t>
            </w:r>
          </w:p>
          <w:p w14:paraId="4C727E1F" w14:textId="77777777" w:rsidR="00863294" w:rsidRDefault="00863294" w:rsidP="00F246B2">
            <w:pPr>
              <w:pStyle w:val="Tabletext0"/>
            </w:pPr>
          </w:p>
          <w:p w14:paraId="6204E6A9" w14:textId="6C8B0BF5" w:rsidR="000C2B50" w:rsidRDefault="000C2B50" w:rsidP="00F246B2">
            <w:pPr>
              <w:pStyle w:val="Tabletext0"/>
            </w:pPr>
            <w:r w:rsidRPr="2F1EB167">
              <w:t xml:space="preserve">ESC Revised: AR-DRG F14C </w:t>
            </w:r>
            <w:r w:rsidRPr="2F1EB167">
              <w:rPr>
                <w:rStyle w:val="CommentaryTabletextleftChar"/>
                <w:color w:val="auto"/>
              </w:rPr>
              <w:t>(minus Prosthesis cost component);</w:t>
            </w:r>
            <w:r w:rsidRPr="2F1EB167">
              <w:rPr>
                <w:rStyle w:val="CommentaryTabletextleftChar"/>
              </w:rPr>
              <w:t xml:space="preserve"> </w:t>
            </w:r>
            <w:r w:rsidRPr="2F1EB167">
              <w:t>NHCDC Version 1</w:t>
            </w:r>
            <w:r w:rsidR="00CD4A41" w:rsidRPr="2F1EB167">
              <w:t>1</w:t>
            </w:r>
            <w:r w:rsidRPr="2F1EB167">
              <w:t>.0, Round 2</w:t>
            </w:r>
            <w:r w:rsidR="00863294" w:rsidRPr="2F1EB167">
              <w:t>5</w:t>
            </w:r>
            <w:r w:rsidRPr="2F1EB167">
              <w:t xml:space="preserve"> (20</w:t>
            </w:r>
            <w:r w:rsidR="007078D2" w:rsidRPr="2F1EB167">
              <w:t>20</w:t>
            </w:r>
            <w:r w:rsidRPr="2F1EB167">
              <w:t>-2</w:t>
            </w:r>
            <w:r w:rsidR="007078D2" w:rsidRPr="2F1EB167">
              <w:t>1</w:t>
            </w:r>
            <w:r w:rsidRPr="2F1EB167">
              <w:t>)</w:t>
            </w:r>
          </w:p>
        </w:tc>
      </w:tr>
      <w:tr w:rsidR="00F246B2" w14:paraId="4DD2B9CE" w14:textId="77777777" w:rsidTr="2F1EB167">
        <w:trPr>
          <w:cantSplit/>
        </w:trPr>
        <w:tc>
          <w:tcPr>
            <w:tcW w:w="875" w:type="pct"/>
            <w:vAlign w:val="center"/>
          </w:tcPr>
          <w:p w14:paraId="53D235BB" w14:textId="77777777" w:rsidR="00F246B2" w:rsidRPr="00D14B1C" w:rsidRDefault="00F246B2" w:rsidP="00863294">
            <w:pPr>
              <w:pStyle w:val="Tabletext0"/>
            </w:pPr>
            <w:r>
              <w:t>Reintervention by endovascular procedure</w:t>
            </w:r>
          </w:p>
        </w:tc>
        <w:tc>
          <w:tcPr>
            <w:tcW w:w="905" w:type="pct"/>
            <w:vAlign w:val="center"/>
          </w:tcPr>
          <w:p w14:paraId="4264269E" w14:textId="4048E401" w:rsidR="00F246B2" w:rsidRPr="00AE7307" w:rsidRDefault="00F246B2" w:rsidP="00F246B2">
            <w:pPr>
              <w:pStyle w:val="Tabletext0"/>
              <w:jc w:val="right"/>
              <w:rPr>
                <w:rStyle w:val="CommentaryTabletextleftChar"/>
                <w:color w:val="auto"/>
              </w:rPr>
            </w:pPr>
            <w:r w:rsidRPr="00B439B0">
              <w:rPr>
                <w:rStyle w:val="CommentaryTabletextleftChar"/>
                <w:color w:val="auto"/>
              </w:rPr>
              <w:t>$9,016.28</w:t>
            </w:r>
            <w:r w:rsidRPr="000B28E6">
              <w:rPr>
                <w:rStyle w:val="CommentaryTabletextleftChar"/>
                <w:color w:val="auto"/>
                <w:vertAlign w:val="superscript"/>
              </w:rPr>
              <w:t>d</w:t>
            </w:r>
          </w:p>
        </w:tc>
        <w:tc>
          <w:tcPr>
            <w:tcW w:w="907" w:type="pct"/>
            <w:vAlign w:val="center"/>
          </w:tcPr>
          <w:p w14:paraId="532B5808" w14:textId="3D7939B9" w:rsidR="00F246B2" w:rsidRPr="007F77E0" w:rsidRDefault="004C36CC" w:rsidP="007F77E0">
            <w:pPr>
              <w:pStyle w:val="Tabletext0"/>
              <w:jc w:val="right"/>
              <w:rPr>
                <w:b/>
                <w:bCs/>
              </w:rPr>
            </w:pPr>
            <w:r>
              <w:rPr>
                <w:b/>
                <w:bCs/>
              </w:rPr>
              <w:t>$10,732</w:t>
            </w:r>
            <w:r w:rsidR="002E2FEB" w:rsidRPr="00BE6DA7">
              <w:rPr>
                <w:b/>
                <w:bCs/>
                <w:vertAlign w:val="superscript"/>
              </w:rPr>
              <w:t>e</w:t>
            </w:r>
          </w:p>
        </w:tc>
        <w:tc>
          <w:tcPr>
            <w:tcW w:w="2313" w:type="pct"/>
          </w:tcPr>
          <w:p w14:paraId="59D0704C" w14:textId="4BFF2E91" w:rsidR="00863294" w:rsidRDefault="00F246B2" w:rsidP="00F246B2">
            <w:pPr>
              <w:pStyle w:val="Tabletext0"/>
              <w:rPr>
                <w:rStyle w:val="CommentaryTabletextleftChar"/>
                <w:color w:val="auto"/>
              </w:rPr>
            </w:pPr>
            <w:r>
              <w:t>C</w:t>
            </w:r>
            <w:r w:rsidRPr="00B439B0">
              <w:t xml:space="preserve">ost of stent placement (MBS fee, stent cost and </w:t>
            </w:r>
            <w:r w:rsidRPr="00825FB6">
              <w:rPr>
                <w:rStyle w:val="CommentarytextChar"/>
                <w:rFonts w:ascii="Arial Narrow" w:hAnsi="Arial Narrow" w:cs="Tahoma"/>
                <w:color w:val="auto"/>
              </w:rPr>
              <w:t>overnight</w:t>
            </w:r>
            <w:r w:rsidRPr="00B439B0">
              <w:t xml:space="preserve"> hospitalisation </w:t>
            </w:r>
            <w:r w:rsidRPr="00B439B0">
              <w:rPr>
                <w:rStyle w:val="CommentaryTabletextleftChar"/>
                <w:color w:val="auto"/>
              </w:rPr>
              <w:t>– AR-DRG F14C</w:t>
            </w:r>
            <w:r>
              <w:rPr>
                <w:rStyle w:val="CommentaryTabletextleftChar"/>
                <w:color w:val="auto"/>
              </w:rPr>
              <w:t>;</w:t>
            </w:r>
            <w:r w:rsidRPr="00B439B0">
              <w:rPr>
                <w:rStyle w:val="CommentaryTabletextleftChar"/>
                <w:color w:val="auto"/>
              </w:rPr>
              <w:t xml:space="preserve"> NHCDC Version 10.0, Round 24 (2019-20)</w:t>
            </w:r>
          </w:p>
          <w:p w14:paraId="29935C32" w14:textId="77777777" w:rsidR="00863294" w:rsidRPr="007F77E0" w:rsidRDefault="00863294" w:rsidP="00F246B2">
            <w:pPr>
              <w:pStyle w:val="Tabletext0"/>
              <w:rPr>
                <w:rStyle w:val="CommentaryTabletextleftChar"/>
                <w:color w:val="auto"/>
              </w:rPr>
            </w:pPr>
          </w:p>
          <w:p w14:paraId="172A5384" w14:textId="4D0199D2" w:rsidR="00863294" w:rsidRPr="007F77E0" w:rsidRDefault="00863294" w:rsidP="00F246B2">
            <w:pPr>
              <w:pStyle w:val="Tabletext0"/>
              <w:rPr>
                <w:rFonts w:eastAsia="Calibri"/>
              </w:rPr>
            </w:pPr>
            <w:r w:rsidRPr="007F77E0">
              <w:rPr>
                <w:rStyle w:val="CommentaryTabletextleftChar"/>
                <w:color w:val="auto"/>
              </w:rPr>
              <w:t>ESC Revised</w:t>
            </w:r>
            <w:r>
              <w:rPr>
                <w:rStyle w:val="CommentaryTabletextleftChar"/>
                <w:color w:val="auto"/>
              </w:rPr>
              <w:t xml:space="preserve">: </w:t>
            </w:r>
            <w:r>
              <w:t>C</w:t>
            </w:r>
            <w:r w:rsidRPr="00B439B0">
              <w:t xml:space="preserve">ost of stent placement (MBS fee, stent cost and </w:t>
            </w:r>
            <w:r w:rsidRPr="00825FB6">
              <w:rPr>
                <w:rStyle w:val="CommentarytextChar"/>
                <w:rFonts w:ascii="Arial Narrow" w:hAnsi="Arial Narrow" w:cs="Tahoma"/>
                <w:color w:val="auto"/>
              </w:rPr>
              <w:t>overnight</w:t>
            </w:r>
            <w:r w:rsidRPr="00B439B0">
              <w:t xml:space="preserve"> hospitalisation </w:t>
            </w:r>
            <w:r w:rsidRPr="00B439B0">
              <w:rPr>
                <w:rStyle w:val="CommentaryTabletextleftChar"/>
                <w:color w:val="auto"/>
              </w:rPr>
              <w:t>– AR-DRG F14C</w:t>
            </w:r>
            <w:r>
              <w:rPr>
                <w:rStyle w:val="CommentaryTabletextleftChar"/>
                <w:color w:val="auto"/>
              </w:rPr>
              <w:t>;</w:t>
            </w:r>
            <w:r w:rsidRPr="00B439B0">
              <w:rPr>
                <w:rStyle w:val="CommentaryTabletextleftChar"/>
                <w:color w:val="auto"/>
              </w:rPr>
              <w:t xml:space="preserve"> NHCDC Version 1</w:t>
            </w:r>
            <w:r>
              <w:rPr>
                <w:rStyle w:val="CommentaryTabletextleftChar"/>
                <w:color w:val="auto"/>
              </w:rPr>
              <w:t>1</w:t>
            </w:r>
            <w:r w:rsidRPr="00B439B0">
              <w:rPr>
                <w:rStyle w:val="CommentaryTabletextleftChar"/>
                <w:color w:val="auto"/>
              </w:rPr>
              <w:t>.0, Round 2</w:t>
            </w:r>
            <w:r>
              <w:rPr>
                <w:rStyle w:val="CommentaryTabletextleftChar"/>
                <w:color w:val="auto"/>
              </w:rPr>
              <w:t>5</w:t>
            </w:r>
            <w:r w:rsidRPr="00B439B0">
              <w:rPr>
                <w:rStyle w:val="CommentaryTabletextleftChar"/>
                <w:color w:val="auto"/>
              </w:rPr>
              <w:t xml:space="preserve"> (20</w:t>
            </w:r>
            <w:r>
              <w:rPr>
                <w:rStyle w:val="CommentaryTabletextleftChar"/>
                <w:color w:val="auto"/>
              </w:rPr>
              <w:t>20</w:t>
            </w:r>
            <w:r w:rsidRPr="00B439B0">
              <w:rPr>
                <w:rStyle w:val="CommentaryTabletextleftChar"/>
                <w:color w:val="auto"/>
              </w:rPr>
              <w:t>-2</w:t>
            </w:r>
            <w:r>
              <w:rPr>
                <w:rStyle w:val="CommentaryTabletextleftChar"/>
                <w:color w:val="auto"/>
              </w:rPr>
              <w:t>1</w:t>
            </w:r>
            <w:r w:rsidRPr="00B439B0">
              <w:rPr>
                <w:rStyle w:val="CommentaryTabletextleftChar"/>
                <w:color w:val="auto"/>
              </w:rPr>
              <w:t>)</w:t>
            </w:r>
          </w:p>
        </w:tc>
      </w:tr>
      <w:tr w:rsidR="00F246B2" w14:paraId="2A0AA7BA" w14:textId="77777777" w:rsidTr="2F1EB167">
        <w:trPr>
          <w:cantSplit/>
        </w:trPr>
        <w:tc>
          <w:tcPr>
            <w:tcW w:w="875" w:type="pct"/>
            <w:vAlign w:val="center"/>
          </w:tcPr>
          <w:p w14:paraId="282EFF49" w14:textId="77777777" w:rsidR="00F246B2" w:rsidRPr="00D14B1C" w:rsidRDefault="00F246B2" w:rsidP="00863294">
            <w:pPr>
              <w:pStyle w:val="Tabletext0"/>
            </w:pPr>
            <w:r>
              <w:t>Reintervention by open surgery</w:t>
            </w:r>
          </w:p>
        </w:tc>
        <w:tc>
          <w:tcPr>
            <w:tcW w:w="905" w:type="pct"/>
            <w:vAlign w:val="center"/>
          </w:tcPr>
          <w:p w14:paraId="2E045921" w14:textId="109862B6" w:rsidR="00F246B2" w:rsidRPr="00AE7307" w:rsidRDefault="00F246B2" w:rsidP="00F246B2">
            <w:pPr>
              <w:pStyle w:val="Tabletext0"/>
              <w:jc w:val="right"/>
              <w:rPr>
                <w:rStyle w:val="CommentaryTabletextleftChar"/>
                <w:color w:val="auto"/>
              </w:rPr>
            </w:pPr>
            <w:r w:rsidRPr="00B439B0">
              <w:rPr>
                <w:rStyle w:val="CommentaryTabletextleftChar"/>
                <w:color w:val="auto"/>
              </w:rPr>
              <w:t>$14,449.88</w:t>
            </w:r>
            <w:r w:rsidRPr="000B28E6">
              <w:rPr>
                <w:rStyle w:val="CommentaryTabletextleftChar"/>
                <w:color w:val="auto"/>
                <w:vertAlign w:val="superscript"/>
              </w:rPr>
              <w:t>d</w:t>
            </w:r>
          </w:p>
        </w:tc>
        <w:tc>
          <w:tcPr>
            <w:tcW w:w="907" w:type="pct"/>
            <w:vAlign w:val="center"/>
          </w:tcPr>
          <w:p w14:paraId="26216B0A" w14:textId="07B7F638" w:rsidR="00F246B2" w:rsidRPr="007F77E0" w:rsidRDefault="00A13F27" w:rsidP="007F77E0">
            <w:pPr>
              <w:pStyle w:val="Tabletext0"/>
              <w:jc w:val="right"/>
              <w:rPr>
                <w:b/>
                <w:bCs/>
              </w:rPr>
            </w:pPr>
            <w:r>
              <w:rPr>
                <w:b/>
                <w:bCs/>
              </w:rPr>
              <w:t>$16,403.69</w:t>
            </w:r>
            <w:r w:rsidR="002E2FEB" w:rsidRPr="00BE6DA7">
              <w:rPr>
                <w:b/>
                <w:bCs/>
                <w:vertAlign w:val="superscript"/>
              </w:rPr>
              <w:t>e</w:t>
            </w:r>
          </w:p>
        </w:tc>
        <w:tc>
          <w:tcPr>
            <w:tcW w:w="2313" w:type="pct"/>
          </w:tcPr>
          <w:p w14:paraId="34C9E3D7" w14:textId="035B396C" w:rsidR="00863294" w:rsidRDefault="00F246B2" w:rsidP="00F246B2">
            <w:pPr>
              <w:pStyle w:val="Tabletext0"/>
            </w:pPr>
            <w:r w:rsidRPr="2F1EB167">
              <w:t>AR-DRG F14</w:t>
            </w:r>
            <w:proofErr w:type="gramStart"/>
            <w:r w:rsidRPr="2F1EB167">
              <w:t>A,B</w:t>
            </w:r>
            <w:proofErr w:type="gramEnd"/>
            <w:r w:rsidRPr="2F1EB167">
              <w:t>,C</w:t>
            </w:r>
            <w:r w:rsidRPr="2F1EB167">
              <w:rPr>
                <w:rStyle w:val="CommentaryTabletextleftChar"/>
                <w:color w:val="auto"/>
              </w:rPr>
              <w:t>, weighted by number of separations, minus prosthesis cost component;</w:t>
            </w:r>
            <w:r w:rsidRPr="2F1EB167">
              <w:rPr>
                <w:rStyle w:val="CommentaryTabletextleftChar"/>
                <w:rFonts w:eastAsia="Times New Roman"/>
              </w:rPr>
              <w:t xml:space="preserve"> </w:t>
            </w:r>
            <w:r w:rsidRPr="2F1EB167">
              <w:t>NHCDC Version 10.0, Round 24 (2019-20)</w:t>
            </w:r>
          </w:p>
          <w:p w14:paraId="34E13FB6" w14:textId="77777777" w:rsidR="00863294" w:rsidRDefault="00863294" w:rsidP="00F246B2">
            <w:pPr>
              <w:pStyle w:val="Tabletext0"/>
            </w:pPr>
          </w:p>
          <w:p w14:paraId="516BA7A1" w14:textId="51B1B7FD" w:rsidR="00863294" w:rsidRPr="004D4EFA" w:rsidRDefault="00863294" w:rsidP="00F246B2">
            <w:pPr>
              <w:pStyle w:val="Tabletext0"/>
            </w:pPr>
            <w:r w:rsidRPr="2F1EB167">
              <w:t>ESC Revised: AR-DRG F14</w:t>
            </w:r>
            <w:proofErr w:type="gramStart"/>
            <w:r w:rsidRPr="2F1EB167">
              <w:t>A,B</w:t>
            </w:r>
            <w:proofErr w:type="gramEnd"/>
            <w:r w:rsidRPr="2F1EB167">
              <w:t>,C</w:t>
            </w:r>
            <w:r w:rsidRPr="2F1EB167">
              <w:rPr>
                <w:rStyle w:val="CommentaryTabletextleftChar"/>
                <w:color w:val="auto"/>
              </w:rPr>
              <w:t>, weighted by number of separations, minus prosthesis cost component;</w:t>
            </w:r>
            <w:r w:rsidRPr="2F1EB167">
              <w:rPr>
                <w:rStyle w:val="CommentaryTabletextleftChar"/>
                <w:rFonts w:eastAsia="Times New Roman"/>
              </w:rPr>
              <w:t xml:space="preserve"> </w:t>
            </w:r>
            <w:r w:rsidRPr="2F1EB167">
              <w:t>NHCDC Version 11.0, Round 25 (2020-21)</w:t>
            </w:r>
          </w:p>
        </w:tc>
      </w:tr>
      <w:tr w:rsidR="00F246B2" w14:paraId="48CA5A8A" w14:textId="77777777" w:rsidTr="2F1EB167">
        <w:trPr>
          <w:cantSplit/>
        </w:trPr>
        <w:tc>
          <w:tcPr>
            <w:tcW w:w="875" w:type="pct"/>
            <w:vAlign w:val="center"/>
          </w:tcPr>
          <w:p w14:paraId="75D1550C" w14:textId="77777777" w:rsidR="00F246B2" w:rsidRDefault="00F246B2" w:rsidP="00863294">
            <w:pPr>
              <w:pStyle w:val="Tabletext0"/>
            </w:pPr>
            <w:r>
              <w:lastRenderedPageBreak/>
              <w:t>Amputation</w:t>
            </w:r>
          </w:p>
        </w:tc>
        <w:tc>
          <w:tcPr>
            <w:tcW w:w="905" w:type="pct"/>
            <w:vAlign w:val="center"/>
          </w:tcPr>
          <w:p w14:paraId="7AB89C53" w14:textId="65970B41" w:rsidR="00F246B2" w:rsidRPr="00AE7307" w:rsidRDefault="00F246B2" w:rsidP="00F246B2">
            <w:pPr>
              <w:pStyle w:val="Tabletext0"/>
              <w:jc w:val="right"/>
              <w:rPr>
                <w:rStyle w:val="CommentaryTabletextleftChar"/>
                <w:color w:val="auto"/>
              </w:rPr>
            </w:pPr>
            <w:r w:rsidRPr="00B439B0">
              <w:rPr>
                <w:rStyle w:val="CommentaryTabletextleftChar"/>
                <w:color w:val="auto"/>
              </w:rPr>
              <w:t>$60,592.31</w:t>
            </w:r>
            <w:r w:rsidRPr="000B28E6">
              <w:rPr>
                <w:rStyle w:val="CommentaryTabletextleftChar"/>
                <w:color w:val="auto"/>
                <w:vertAlign w:val="superscript"/>
              </w:rPr>
              <w:t>d</w:t>
            </w:r>
          </w:p>
        </w:tc>
        <w:tc>
          <w:tcPr>
            <w:tcW w:w="907" w:type="pct"/>
            <w:vAlign w:val="center"/>
          </w:tcPr>
          <w:p w14:paraId="1B399965" w14:textId="7D3F7C48" w:rsidR="00F246B2" w:rsidRPr="007F77E0" w:rsidRDefault="004B6C31" w:rsidP="007F77E0">
            <w:pPr>
              <w:pStyle w:val="Tabletext0"/>
              <w:jc w:val="right"/>
              <w:rPr>
                <w:b/>
                <w:bCs/>
              </w:rPr>
            </w:pPr>
            <w:r>
              <w:rPr>
                <w:b/>
                <w:bCs/>
              </w:rPr>
              <w:t>$73,419.69</w:t>
            </w:r>
            <w:r w:rsidR="002E2FEB" w:rsidRPr="00BE6DA7">
              <w:rPr>
                <w:b/>
                <w:bCs/>
                <w:vertAlign w:val="superscript"/>
              </w:rPr>
              <w:t>e</w:t>
            </w:r>
          </w:p>
        </w:tc>
        <w:tc>
          <w:tcPr>
            <w:tcW w:w="2313" w:type="pct"/>
          </w:tcPr>
          <w:p w14:paraId="4369A791" w14:textId="30492B66" w:rsidR="00F246B2" w:rsidRDefault="00F246B2" w:rsidP="00F246B2">
            <w:pPr>
              <w:pStyle w:val="Tabletext0"/>
            </w:pPr>
            <w:r w:rsidRPr="2F1EB167">
              <w:t>AR-DRG F11</w:t>
            </w:r>
            <w:proofErr w:type="gramStart"/>
            <w:r w:rsidRPr="2F1EB167">
              <w:t>A,B</w:t>
            </w:r>
            <w:proofErr w:type="gramEnd"/>
            <w:r w:rsidRPr="2F1EB167">
              <w:rPr>
                <w:rStyle w:val="CommentaryTabletextleftChar"/>
                <w:color w:val="auto"/>
              </w:rPr>
              <w:t>, weighted by number of separations;</w:t>
            </w:r>
            <w:r w:rsidRPr="2F1EB167">
              <w:rPr>
                <w:rStyle w:val="CommentaryTabletextleftChar"/>
              </w:rPr>
              <w:t xml:space="preserve"> </w:t>
            </w:r>
            <w:r w:rsidRPr="2F1EB167">
              <w:t>NHCDC Version 10.0, Round 24 (2019-20)</w:t>
            </w:r>
          </w:p>
          <w:p w14:paraId="01978A91" w14:textId="77777777" w:rsidR="00863294" w:rsidRDefault="00863294" w:rsidP="00F246B2">
            <w:pPr>
              <w:pStyle w:val="Tabletext0"/>
            </w:pPr>
          </w:p>
          <w:p w14:paraId="4427E008" w14:textId="1E9602FB" w:rsidR="00863294" w:rsidRPr="004D4EFA" w:rsidRDefault="00863294" w:rsidP="00F246B2">
            <w:pPr>
              <w:pStyle w:val="Tabletext0"/>
            </w:pPr>
            <w:r w:rsidRPr="2F1EB167">
              <w:t>ESC Revised: AR-DRG F11</w:t>
            </w:r>
            <w:proofErr w:type="gramStart"/>
            <w:r w:rsidRPr="2F1EB167">
              <w:t>A,B</w:t>
            </w:r>
            <w:proofErr w:type="gramEnd"/>
            <w:r w:rsidRPr="2F1EB167">
              <w:rPr>
                <w:rStyle w:val="CommentaryTabletextleftChar"/>
                <w:color w:val="auto"/>
              </w:rPr>
              <w:t>, weighted by number of separations;</w:t>
            </w:r>
            <w:r w:rsidRPr="2F1EB167">
              <w:rPr>
                <w:rStyle w:val="CommentaryTabletextleftChar"/>
              </w:rPr>
              <w:t xml:space="preserve"> </w:t>
            </w:r>
            <w:r w:rsidRPr="2F1EB167">
              <w:t>NHCDC Version 11.0, Round 25 (2020-21)</w:t>
            </w:r>
          </w:p>
        </w:tc>
      </w:tr>
    </w:tbl>
    <w:p w14:paraId="16002C7D" w14:textId="57325946" w:rsidR="007B0E57" w:rsidRDefault="00081987" w:rsidP="007B0E57">
      <w:pPr>
        <w:pStyle w:val="Tablenotes0"/>
      </w:pPr>
      <w:r>
        <w:t xml:space="preserve">ADAR = </w:t>
      </w:r>
      <w:r w:rsidR="00594CE8">
        <w:t>Applicant Developed Assessment Report</w:t>
      </w:r>
      <w:r>
        <w:t xml:space="preserve">; </w:t>
      </w:r>
      <w:r w:rsidR="0029332D">
        <w:t>AR-DRG = Australian</w:t>
      </w:r>
      <w:r w:rsidR="009272E4">
        <w:t xml:space="preserve">-Refined Diagnosis Related Group; </w:t>
      </w:r>
      <w:r w:rsidR="00BC02D7">
        <w:t xml:space="preserve">CCA = cost-consequence analysis; </w:t>
      </w:r>
      <w:r w:rsidR="007B0E57">
        <w:t xml:space="preserve">IVL = </w:t>
      </w:r>
      <w:r w:rsidR="00BA27E3">
        <w:t>i</w:t>
      </w:r>
      <w:r w:rsidR="007B0E57">
        <w:t>ntrav</w:t>
      </w:r>
      <w:r w:rsidR="00BA27E3">
        <w:t>a</w:t>
      </w:r>
      <w:r w:rsidR="007B0E57">
        <w:t xml:space="preserve">scular lithotripsy; MBS = Medicare Benefits Schedule; </w:t>
      </w:r>
      <w:r w:rsidR="007B0E57" w:rsidRPr="00337C13">
        <w:rPr>
          <w:rStyle w:val="CommentaryTablenotesChar"/>
          <w:color w:val="auto"/>
        </w:rPr>
        <w:t>NHCDC</w:t>
      </w:r>
      <w:r w:rsidR="007B0E57">
        <w:rPr>
          <w:rStyle w:val="CommentaryTablenotesChar"/>
          <w:color w:val="auto"/>
        </w:rPr>
        <w:t xml:space="preserve"> =</w:t>
      </w:r>
      <w:r w:rsidR="007B0E57" w:rsidRPr="00337C13">
        <w:rPr>
          <w:rStyle w:val="CommentaryTablenotesChar"/>
          <w:color w:val="auto"/>
        </w:rPr>
        <w:t xml:space="preserve"> National Hospital Cost Data Collection;</w:t>
      </w:r>
      <w:r w:rsidR="007B0E57">
        <w:t xml:space="preserve"> </w:t>
      </w:r>
      <w:r w:rsidR="00C403A0">
        <w:t xml:space="preserve">PL = Prescribed List; </w:t>
      </w:r>
      <w:r w:rsidR="007B0E57">
        <w:t>SBA = Standard balloon angioplasty</w:t>
      </w:r>
      <w:r w:rsidR="00F246B2">
        <w:t xml:space="preserve">; </w:t>
      </w:r>
      <w:r w:rsidR="001C2FBF" w:rsidRPr="007F77E0">
        <w:rPr>
          <w:b/>
          <w:bCs/>
        </w:rPr>
        <w:t>B</w:t>
      </w:r>
      <w:r w:rsidR="001C2FBF">
        <w:rPr>
          <w:b/>
          <w:bCs/>
        </w:rPr>
        <w:t xml:space="preserve">old Text </w:t>
      </w:r>
      <w:r w:rsidR="00F246B2">
        <w:t>= updated cost as per ESC Revised total cost.</w:t>
      </w:r>
    </w:p>
    <w:p w14:paraId="4A02575A" w14:textId="144D0758" w:rsidR="006E7E26" w:rsidRDefault="006E7E26" w:rsidP="007B0E57">
      <w:pPr>
        <w:pStyle w:val="Tablenotes0"/>
      </w:pPr>
      <w:r>
        <w:t>a Refers to MBS fees prior to July 2024</w:t>
      </w:r>
      <w:r w:rsidR="002410D3">
        <w:t>.</w:t>
      </w:r>
    </w:p>
    <w:p w14:paraId="0CF413C9" w14:textId="6121D29A" w:rsidR="004A0826" w:rsidRDefault="004A0826" w:rsidP="007B0E57">
      <w:pPr>
        <w:pStyle w:val="Tablenotes0"/>
      </w:pPr>
      <w:r w:rsidRPr="2F1EB167">
        <w:t xml:space="preserve">b This cost could not be verified </w:t>
      </w:r>
      <w:r w:rsidR="0029332D" w:rsidRPr="2F1EB167">
        <w:t>by</w:t>
      </w:r>
      <w:r w:rsidRPr="2F1EB167">
        <w:t xml:space="preserve"> the commentary – SBA devices do not appear to be on Part D of the </w:t>
      </w:r>
      <w:r w:rsidR="007A7C35" w:rsidRPr="2F1EB167">
        <w:t>PL</w:t>
      </w:r>
      <w:r w:rsidRPr="2F1EB167">
        <w:t xml:space="preserve"> </w:t>
      </w:r>
      <w:proofErr w:type="gramStart"/>
      <w:r w:rsidR="004E69AD" w:rsidRPr="2F1EB167">
        <w:t>at</w:t>
      </w:r>
      <w:proofErr w:type="gramEnd"/>
      <w:r w:rsidR="004E69AD" w:rsidRPr="2F1EB167">
        <w:t xml:space="preserve"> </w:t>
      </w:r>
      <w:r w:rsidRPr="2F1EB167">
        <w:t>Jul</w:t>
      </w:r>
      <w:r w:rsidR="004E69AD" w:rsidRPr="2F1EB167">
        <w:t>y</w:t>
      </w:r>
      <w:r w:rsidRPr="2F1EB167">
        <w:t xml:space="preserve"> 2024</w:t>
      </w:r>
      <w:r w:rsidR="004E69AD" w:rsidRPr="2F1EB167">
        <w:t>.</w:t>
      </w:r>
    </w:p>
    <w:p w14:paraId="4ABE8D84" w14:textId="5BC71CBB" w:rsidR="00D9381D" w:rsidRDefault="00D9381D" w:rsidP="007B0E57">
      <w:pPr>
        <w:pStyle w:val="Tablenotes0"/>
      </w:pPr>
      <w:r>
        <w:t xml:space="preserve">c </w:t>
      </w:r>
      <w:r w:rsidR="00AA2F3F">
        <w:t xml:space="preserve">Cost was prior to </w:t>
      </w:r>
      <w:r w:rsidR="00FF539C">
        <w:t>decrease</w:t>
      </w:r>
      <w:r w:rsidRPr="00D9381D">
        <w:t xml:space="preserve"> to </w:t>
      </w:r>
      <w:r w:rsidR="00AA2F3F">
        <w:t xml:space="preserve">PL </w:t>
      </w:r>
      <w:r w:rsidRPr="00D9381D">
        <w:t>Group benefit in Jul</w:t>
      </w:r>
      <w:r w:rsidR="00AA2F3F">
        <w:t>y</w:t>
      </w:r>
      <w:r w:rsidRPr="00D9381D">
        <w:t xml:space="preserve"> 2024 (</w:t>
      </w:r>
      <w:r w:rsidR="00092B19">
        <w:t xml:space="preserve">range in </w:t>
      </w:r>
      <w:r w:rsidRPr="00D9381D">
        <w:t xml:space="preserve">vascular BMS </w:t>
      </w:r>
      <w:r w:rsidR="00092B19">
        <w:t xml:space="preserve">benefits </w:t>
      </w:r>
      <w:r w:rsidR="00675FC4">
        <w:t xml:space="preserve">changed to </w:t>
      </w:r>
      <w:r w:rsidRPr="00D9381D">
        <w:t xml:space="preserve">$1,053 </w:t>
      </w:r>
      <w:r w:rsidR="00FF539C">
        <w:t>–</w:t>
      </w:r>
      <w:r w:rsidRPr="00D9381D">
        <w:t xml:space="preserve"> $1,394)</w:t>
      </w:r>
      <w:r w:rsidR="00AA2F3F">
        <w:t>.</w:t>
      </w:r>
    </w:p>
    <w:p w14:paraId="49EEFE92" w14:textId="5EBA46BD" w:rsidR="00BC78E2" w:rsidRDefault="00BC78E2" w:rsidP="007B0E57">
      <w:pPr>
        <w:pStyle w:val="Tablenotes0"/>
      </w:pPr>
      <w:r w:rsidRPr="2F1EB167">
        <w:t xml:space="preserve">d </w:t>
      </w:r>
      <w:proofErr w:type="gramStart"/>
      <w:r w:rsidR="008A7024" w:rsidRPr="2F1EB167">
        <w:t>The</w:t>
      </w:r>
      <w:proofErr w:type="gramEnd"/>
      <w:r w:rsidR="008A7024" w:rsidRPr="2F1EB167">
        <w:t xml:space="preserve"> resubmission CCA used a cost of $6</w:t>
      </w:r>
      <w:r w:rsidR="00C35A8D" w:rsidRPr="2F1EB167">
        <w:t>,821.09</w:t>
      </w:r>
      <w:r w:rsidR="00872EC4" w:rsidRPr="2F1EB167">
        <w:t xml:space="preserve"> for an overnight stay, $12,803.89 for </w:t>
      </w:r>
      <w:r w:rsidR="004060E3" w:rsidRPr="2F1EB167">
        <w:t>open surgery and $55,384.87 for amputation. These costs</w:t>
      </w:r>
      <w:r w:rsidR="00C35A8D" w:rsidRPr="2F1EB167">
        <w:t xml:space="preserve"> could not be verified from the NHCDC source cited</w:t>
      </w:r>
      <w:r w:rsidR="00522758" w:rsidRPr="2F1EB167">
        <w:t xml:space="preserve"> in the </w:t>
      </w:r>
      <w:r w:rsidR="004F65E4" w:rsidRPr="2F1EB167">
        <w:t>ADAR resubmission CCA Excel file</w:t>
      </w:r>
      <w:r w:rsidR="00C35A8D" w:rsidRPr="2F1EB167">
        <w:t>.</w:t>
      </w:r>
    </w:p>
    <w:p w14:paraId="1FB76E69" w14:textId="7F59A61F" w:rsidR="007B0E57" w:rsidRPr="0042108C" w:rsidRDefault="007B0E57" w:rsidP="007B0E57">
      <w:pPr>
        <w:pStyle w:val="Tablenotes0"/>
      </w:pPr>
      <w:r w:rsidRPr="0031509C">
        <w:t xml:space="preserve">Source: </w:t>
      </w:r>
      <w:r w:rsidR="00D3252B">
        <w:t>Compiled</w:t>
      </w:r>
      <w:r>
        <w:t xml:space="preserve"> from </w:t>
      </w:r>
      <w:r w:rsidRPr="0031509C">
        <w:t xml:space="preserve">Table </w:t>
      </w:r>
      <w:r>
        <w:t>3-</w:t>
      </w:r>
      <w:r w:rsidR="004D0668">
        <w:t>3</w:t>
      </w:r>
      <w:r w:rsidRPr="0031509C">
        <w:t xml:space="preserve"> </w:t>
      </w:r>
      <w:r>
        <w:t>and Table 3-5</w:t>
      </w:r>
      <w:r w:rsidRPr="0031509C">
        <w:t xml:space="preserve"> of MSAC 17</w:t>
      </w:r>
      <w:r>
        <w:t>34 resubmission</w:t>
      </w:r>
      <w:r w:rsidRPr="0031509C">
        <w:t xml:space="preserve"> ADAR</w:t>
      </w:r>
      <w:r>
        <w:t xml:space="preserve"> </w:t>
      </w:r>
      <w:r w:rsidRPr="0031509C">
        <w:t>+</w:t>
      </w:r>
      <w:r>
        <w:t xml:space="preserve"> </w:t>
      </w:r>
      <w:r w:rsidRPr="0031509C">
        <w:t>in-line commentary</w:t>
      </w:r>
      <w:r>
        <w:t>.</w:t>
      </w:r>
    </w:p>
    <w:p w14:paraId="255D3543" w14:textId="18DA8EA4" w:rsidR="001038F9" w:rsidRPr="00831944" w:rsidRDefault="001038F9" w:rsidP="2F1EB167">
      <w:pPr>
        <w:pStyle w:val="Tablenotes0"/>
        <w:spacing w:before="0" w:after="0"/>
      </w:pPr>
      <w:r w:rsidRPr="2F1EB167">
        <w:t>e Commentary alternative base case CCA economic model and estimates updated for ESC using current national efficient price and AR-DRG F11</w:t>
      </w:r>
      <w:proofErr w:type="gramStart"/>
      <w:r w:rsidRPr="2F1EB167">
        <w:t>A,B</w:t>
      </w:r>
      <w:proofErr w:type="gramEnd"/>
      <w:r w:rsidRPr="2F1EB167">
        <w:rPr>
          <w:rStyle w:val="CommentaryTabletextleftChar"/>
          <w:color w:val="auto"/>
          <w:sz w:val="18"/>
          <w:szCs w:val="18"/>
        </w:rPr>
        <w:t xml:space="preserve">,C – </w:t>
      </w:r>
      <w:r w:rsidRPr="2F1EB167">
        <w:t>NHCDC Version 11.0, Round 25 (2020-21).</w:t>
      </w:r>
    </w:p>
    <w:p w14:paraId="0135CD34" w14:textId="64888E60" w:rsidR="001038F9" w:rsidRPr="0042108C" w:rsidRDefault="001038F9" w:rsidP="007B0E57">
      <w:pPr>
        <w:pStyle w:val="Tablenotes0"/>
      </w:pPr>
      <w:r w:rsidRPr="00831944">
        <w:rPr>
          <w:szCs w:val="18"/>
        </w:rPr>
        <w:t xml:space="preserve">Source: adapted from </w:t>
      </w:r>
      <w:r w:rsidRPr="0031509C">
        <w:t xml:space="preserve">Table </w:t>
      </w:r>
      <w:r>
        <w:t>3-3</w:t>
      </w:r>
      <w:r w:rsidRPr="0031509C">
        <w:t xml:space="preserve"> </w:t>
      </w:r>
      <w:r>
        <w:t>and Table 3-5</w:t>
      </w:r>
      <w:r w:rsidRPr="0031509C">
        <w:t xml:space="preserve"> of MSAC 17</w:t>
      </w:r>
      <w:r>
        <w:t>34 resubmission</w:t>
      </w:r>
      <w:r w:rsidRPr="0031509C">
        <w:t xml:space="preserve"> ADAR</w:t>
      </w:r>
      <w:r>
        <w:t xml:space="preserve"> </w:t>
      </w:r>
      <w:r w:rsidRPr="0031509C">
        <w:t>+</w:t>
      </w:r>
      <w:r>
        <w:t xml:space="preserve"> </w:t>
      </w:r>
      <w:r w:rsidRPr="0031509C">
        <w:t>in-line commentary</w:t>
      </w:r>
      <w:r>
        <w:t>.</w:t>
      </w:r>
    </w:p>
    <w:p w14:paraId="6129F4BA" w14:textId="05CF650D" w:rsidR="00982C9A" w:rsidRPr="003251C2" w:rsidRDefault="00F70960" w:rsidP="00F70960">
      <w:pPr>
        <w:pStyle w:val="Heading3"/>
      </w:pPr>
      <w:r>
        <w:t>Results of the economic evaluation</w:t>
      </w:r>
    </w:p>
    <w:bookmarkStart w:id="23" w:name="_Hlk68276600"/>
    <w:p w14:paraId="25D88C0D" w14:textId="147E1D89" w:rsidR="00D5640E" w:rsidRDefault="00FA36CD" w:rsidP="00D5640E">
      <w:r>
        <w:fldChar w:fldCharType="begin"/>
      </w:r>
      <w:r>
        <w:instrText xml:space="preserve"> REF _Ref173238999 \h </w:instrText>
      </w:r>
      <w:r>
        <w:fldChar w:fldCharType="separate"/>
      </w:r>
      <w:r w:rsidR="000A04D8" w:rsidRPr="6DE7DC23">
        <w:rPr>
          <w:lang w:val="en-GB"/>
        </w:rPr>
        <w:t>Table 7</w:t>
      </w:r>
      <w:r>
        <w:fldChar w:fldCharType="end"/>
      </w:r>
      <w:r w:rsidR="00D5640E" w:rsidRPr="6DE7DC23">
        <w:rPr>
          <w:lang w:val="en-GB"/>
        </w:rPr>
        <w:t xml:space="preserve"> shows </w:t>
      </w:r>
      <w:r w:rsidR="00DE3C76" w:rsidRPr="6DE7DC23">
        <w:rPr>
          <w:lang w:val="en-GB"/>
        </w:rPr>
        <w:t>the ADAR resubmission base case</w:t>
      </w:r>
      <w:r w:rsidR="00D5640E" w:rsidRPr="6DE7DC23">
        <w:rPr>
          <w:lang w:val="en-GB"/>
        </w:rPr>
        <w:t xml:space="preserve"> </w:t>
      </w:r>
      <w:r w:rsidR="0026391B" w:rsidRPr="6DE7DC23">
        <w:rPr>
          <w:lang w:val="en-GB"/>
        </w:rPr>
        <w:t>(</w:t>
      </w:r>
      <w:r w:rsidR="00DE3C76" w:rsidRPr="6DE7DC23">
        <w:rPr>
          <w:lang w:val="en-GB"/>
        </w:rPr>
        <w:t xml:space="preserve">with </w:t>
      </w:r>
      <w:r w:rsidR="00D5640E" w:rsidRPr="6DE7DC23">
        <w:rPr>
          <w:lang w:val="en-GB"/>
        </w:rPr>
        <w:t>errors corrected</w:t>
      </w:r>
      <w:r w:rsidR="00DE3C76" w:rsidRPr="6DE7DC23">
        <w:rPr>
          <w:lang w:val="en-GB"/>
        </w:rPr>
        <w:t xml:space="preserve"> by </w:t>
      </w:r>
      <w:r w:rsidR="003566D1" w:rsidRPr="6DE7DC23">
        <w:rPr>
          <w:lang w:val="en-GB"/>
        </w:rPr>
        <w:t xml:space="preserve">the </w:t>
      </w:r>
      <w:r w:rsidR="00DE3C76" w:rsidRPr="6DE7DC23">
        <w:rPr>
          <w:lang w:val="en-GB"/>
        </w:rPr>
        <w:t>commentary</w:t>
      </w:r>
      <w:r w:rsidR="0026391B" w:rsidRPr="6DE7DC23">
        <w:rPr>
          <w:lang w:val="en-GB"/>
        </w:rPr>
        <w:t>)</w:t>
      </w:r>
      <w:r w:rsidR="00D5640E" w:rsidRPr="6DE7DC23">
        <w:rPr>
          <w:lang w:val="en-GB"/>
        </w:rPr>
        <w:t xml:space="preserve"> and the alternative base case</w:t>
      </w:r>
      <w:r w:rsidR="00EB2BC8" w:rsidRPr="6DE7DC23">
        <w:rPr>
          <w:lang w:val="en-GB"/>
        </w:rPr>
        <w:t xml:space="preserve"> generated for the </w:t>
      </w:r>
      <w:r w:rsidR="00D5640E" w:rsidRPr="6DE7DC23">
        <w:rPr>
          <w:lang w:val="en-GB"/>
        </w:rPr>
        <w:t>commentary</w:t>
      </w:r>
      <w:r w:rsidR="00846997" w:rsidRPr="6DE7DC23">
        <w:rPr>
          <w:lang w:val="en-GB"/>
        </w:rPr>
        <w:t xml:space="preserve"> (including alternative judgements regarding the inputs selected)</w:t>
      </w:r>
      <w:r w:rsidR="00D5640E" w:rsidRPr="6DE7DC23">
        <w:rPr>
          <w:lang w:val="en-GB"/>
        </w:rPr>
        <w:t>.</w:t>
      </w:r>
    </w:p>
    <w:p w14:paraId="71A2F6BF" w14:textId="1602FF50" w:rsidR="005B6799" w:rsidRDefault="005B6799" w:rsidP="00D5640E">
      <w:r>
        <w:t xml:space="preserve">In summary, the changes applied in the commentary (alternative) base case have reduced the incremental cost of IVL by 35% and doubled the index stents avoided compared to the corrected ADAR </w:t>
      </w:r>
      <w:r w:rsidR="00885EB5">
        <w:t xml:space="preserve">resubmission </w:t>
      </w:r>
      <w:r>
        <w:t>base case. Amputations avoided have more than doubled. Reinterventions are at parity</w:t>
      </w:r>
      <w:r w:rsidR="00885EB5">
        <w:t xml:space="preserve"> because </w:t>
      </w:r>
      <w:r w:rsidR="0011203D">
        <w:t xml:space="preserve">the commentary applied </w:t>
      </w:r>
      <w:r>
        <w:t xml:space="preserve">a single TLR rate </w:t>
      </w:r>
      <w:r w:rsidR="00885EB5">
        <w:t>to</w:t>
      </w:r>
      <w:r>
        <w:t xml:space="preserve"> both arms of the </w:t>
      </w:r>
      <w:r w:rsidR="0011203D">
        <w:t>analysis</w:t>
      </w:r>
      <w:r>
        <w:t>, regardless of stenting at index procedure.</w:t>
      </w:r>
    </w:p>
    <w:p w14:paraId="69D49A3F" w14:textId="77777777" w:rsidR="00F543FE" w:rsidRDefault="00F543FE" w:rsidP="00FD21E0">
      <w:pPr>
        <w:pStyle w:val="Caption"/>
        <w:sectPr w:rsidR="00F543FE" w:rsidSect="002F188C">
          <w:footerReference w:type="even" r:id="rId28"/>
          <w:footerReference w:type="default" r:id="rId29"/>
          <w:pgSz w:w="11906" w:h="16838"/>
          <w:pgMar w:top="1440" w:right="1440" w:bottom="1440" w:left="1440" w:header="708" w:footer="708" w:gutter="0"/>
          <w:cols w:space="708"/>
          <w:docGrid w:linePitch="360"/>
        </w:sectPr>
      </w:pPr>
      <w:bookmarkStart w:id="24" w:name="_Ref173238999"/>
    </w:p>
    <w:p w14:paraId="602D4681" w14:textId="09FEC60F" w:rsidR="005D6BB3" w:rsidRDefault="00FD21E0" w:rsidP="00FD21E0">
      <w:pPr>
        <w:pStyle w:val="Caption"/>
      </w:pPr>
      <w:r>
        <w:lastRenderedPageBreak/>
        <w:t xml:space="preserve">Table </w:t>
      </w:r>
      <w:r w:rsidR="000A04D8">
        <w:fldChar w:fldCharType="begin"/>
      </w:r>
      <w:r w:rsidR="000A04D8">
        <w:instrText xml:space="preserve"> SEQ Table \* ARABIC </w:instrText>
      </w:r>
      <w:r w:rsidR="000A04D8">
        <w:fldChar w:fldCharType="separate"/>
      </w:r>
      <w:r w:rsidR="000A04D8">
        <w:rPr>
          <w:noProof/>
        </w:rPr>
        <w:t>7</w:t>
      </w:r>
      <w:r w:rsidR="000A04D8">
        <w:rPr>
          <w:noProof/>
        </w:rPr>
        <w:fldChar w:fldCharType="end"/>
      </w:r>
      <w:bookmarkEnd w:id="24"/>
      <w:r>
        <w:tab/>
      </w:r>
      <w:r w:rsidR="00AC675B">
        <w:t xml:space="preserve">ADAR </w:t>
      </w:r>
      <w:r w:rsidR="005D6BB3">
        <w:t>base case</w:t>
      </w:r>
      <w:r w:rsidR="00AC675B">
        <w:t xml:space="preserve"> CCA</w:t>
      </w:r>
      <w:r w:rsidR="005D6BB3">
        <w:t xml:space="preserve"> (</w:t>
      </w:r>
      <w:r w:rsidR="001C684B">
        <w:t>corrected</w:t>
      </w:r>
      <w:r w:rsidR="005D6BB3">
        <w:t>)</w:t>
      </w:r>
      <w:r w:rsidR="00F77159">
        <w:t>,</w:t>
      </w:r>
      <w:r w:rsidR="005D6BB3">
        <w:t xml:space="preserve"> commentary </w:t>
      </w:r>
      <w:r w:rsidR="00AC675B">
        <w:t xml:space="preserve">(alternative) </w:t>
      </w:r>
      <w:r w:rsidR="005D6BB3">
        <w:t>base case CCA</w:t>
      </w:r>
      <w:r w:rsidR="00F77159">
        <w:t xml:space="preserve"> </w:t>
      </w:r>
    </w:p>
    <w:tbl>
      <w:tblPr>
        <w:tblStyle w:val="TableGrid"/>
        <w:tblW w:w="4871" w:type="pct"/>
        <w:tblLayout w:type="fixed"/>
        <w:tblLook w:val="04A0" w:firstRow="1" w:lastRow="0" w:firstColumn="1" w:lastColumn="0" w:noHBand="0" w:noVBand="1"/>
        <w:tblCaption w:val="ADAR resubmission base case CCA (with and without corrections) and commentary (alternative) base case CCA"/>
        <w:tblDescription w:val="The table presents costs and consequence outcomes for IVL, SBA and the difference between them. The table includes index procedure costs and reintervention costs at 2 years.  "/>
      </w:tblPr>
      <w:tblGrid>
        <w:gridCol w:w="1979"/>
        <w:gridCol w:w="1133"/>
        <w:gridCol w:w="1133"/>
        <w:gridCol w:w="1137"/>
        <w:gridCol w:w="1133"/>
        <w:gridCol w:w="1133"/>
        <w:gridCol w:w="1135"/>
      </w:tblGrid>
      <w:tr w:rsidR="00F77159" w:rsidRPr="005D6BB3" w14:paraId="06E17C59" w14:textId="0057E9BA" w:rsidTr="2F1EB167">
        <w:tc>
          <w:tcPr>
            <w:tcW w:w="1127" w:type="pct"/>
            <w:tcBorders>
              <w:top w:val="single" w:sz="4" w:space="0" w:color="auto"/>
              <w:left w:val="single" w:sz="4" w:space="0" w:color="auto"/>
              <w:bottom w:val="single" w:sz="4" w:space="0" w:color="auto"/>
            </w:tcBorders>
          </w:tcPr>
          <w:p w14:paraId="0CE02051" w14:textId="77777777" w:rsidR="00F77159" w:rsidRPr="005D6BB3" w:rsidRDefault="00F77159" w:rsidP="00F77159">
            <w:pPr>
              <w:pStyle w:val="TableHeading0"/>
              <w:keepNext/>
            </w:pPr>
            <w:r w:rsidRPr="005D6BB3">
              <w:t>Item</w:t>
            </w:r>
          </w:p>
        </w:tc>
        <w:tc>
          <w:tcPr>
            <w:tcW w:w="1937" w:type="pct"/>
            <w:gridSpan w:val="3"/>
            <w:tcBorders>
              <w:top w:val="single" w:sz="4" w:space="0" w:color="auto"/>
              <w:bottom w:val="single" w:sz="4" w:space="0" w:color="auto"/>
            </w:tcBorders>
            <w:vAlign w:val="center"/>
          </w:tcPr>
          <w:p w14:paraId="4C215741" w14:textId="6E2DBA4C" w:rsidR="00F77159" w:rsidRPr="005D6BB3" w:rsidRDefault="00F77159" w:rsidP="2F1EB167">
            <w:pPr>
              <w:pStyle w:val="TableHeading0"/>
              <w:keepNext/>
              <w:jc w:val="center"/>
              <w:rPr>
                <w:vertAlign w:val="superscript"/>
              </w:rPr>
            </w:pPr>
            <w:r w:rsidRPr="2F1EB167">
              <w:t xml:space="preserve">ADAR </w:t>
            </w:r>
            <w:proofErr w:type="spellStart"/>
            <w:r w:rsidRPr="2F1EB167">
              <w:t>corrected</w:t>
            </w:r>
            <w:r w:rsidRPr="2F1EB167">
              <w:rPr>
                <w:vertAlign w:val="superscript"/>
              </w:rPr>
              <w:t>a</w:t>
            </w:r>
            <w:proofErr w:type="spellEnd"/>
          </w:p>
        </w:tc>
        <w:tc>
          <w:tcPr>
            <w:tcW w:w="1936" w:type="pct"/>
            <w:gridSpan w:val="3"/>
            <w:tcBorders>
              <w:top w:val="single" w:sz="4" w:space="0" w:color="auto"/>
              <w:left w:val="nil"/>
              <w:bottom w:val="single" w:sz="4" w:space="0" w:color="auto"/>
              <w:right w:val="single" w:sz="4" w:space="0" w:color="auto"/>
            </w:tcBorders>
            <w:vAlign w:val="center"/>
          </w:tcPr>
          <w:p w14:paraId="15D1B59A" w14:textId="58D07AEB" w:rsidR="00F77159" w:rsidRPr="007F77E0" w:rsidRDefault="004E2E1E" w:rsidP="007F77E0">
            <w:pPr>
              <w:pStyle w:val="TableHeading0"/>
              <w:keepNext/>
              <w:jc w:val="center"/>
              <w:rPr>
                <w:vertAlign w:val="superscript"/>
              </w:rPr>
            </w:pPr>
            <w:r>
              <w:t>Commentary (</w:t>
            </w:r>
            <w:r w:rsidR="00B30386">
              <w:t>alternative)</w:t>
            </w:r>
            <w:r w:rsidR="008A77CA">
              <w:rPr>
                <w:vertAlign w:val="superscript"/>
              </w:rPr>
              <w:t>b</w:t>
            </w:r>
          </w:p>
        </w:tc>
      </w:tr>
      <w:tr w:rsidR="00461755" w:rsidRPr="00AB4C58" w14:paraId="7FE33BD4" w14:textId="1D350BBA" w:rsidTr="2F1EB167">
        <w:tc>
          <w:tcPr>
            <w:tcW w:w="1127" w:type="pct"/>
            <w:tcBorders>
              <w:left w:val="single" w:sz="4" w:space="0" w:color="auto"/>
              <w:bottom w:val="nil"/>
            </w:tcBorders>
          </w:tcPr>
          <w:p w14:paraId="1889F3F3" w14:textId="77777777" w:rsidR="001E0E14" w:rsidRPr="00AB4C58" w:rsidRDefault="001E0E14" w:rsidP="001E0E14">
            <w:pPr>
              <w:pStyle w:val="Tabletext0"/>
              <w:keepNext/>
              <w:rPr>
                <w:b/>
                <w:bCs/>
              </w:rPr>
            </w:pPr>
            <w:r w:rsidRPr="00AB4C58">
              <w:rPr>
                <w:b/>
                <w:bCs/>
              </w:rPr>
              <w:t>Cost outcomes</w:t>
            </w:r>
          </w:p>
        </w:tc>
        <w:tc>
          <w:tcPr>
            <w:tcW w:w="645" w:type="pct"/>
            <w:tcBorders>
              <w:bottom w:val="nil"/>
              <w:right w:val="nil"/>
            </w:tcBorders>
          </w:tcPr>
          <w:p w14:paraId="7F607A7B" w14:textId="07D92126" w:rsidR="001E0E14" w:rsidRPr="00AB4C58" w:rsidRDefault="001E0E14" w:rsidP="001E0E14">
            <w:pPr>
              <w:pStyle w:val="Tabletext0"/>
              <w:keepNext/>
              <w:jc w:val="right"/>
              <w:rPr>
                <w:b/>
                <w:bCs/>
              </w:rPr>
            </w:pPr>
            <w:r w:rsidRPr="00AB4C58">
              <w:rPr>
                <w:b/>
                <w:bCs/>
              </w:rPr>
              <w:t>IVL</w:t>
            </w:r>
          </w:p>
        </w:tc>
        <w:tc>
          <w:tcPr>
            <w:tcW w:w="645" w:type="pct"/>
            <w:tcBorders>
              <w:left w:val="nil"/>
              <w:bottom w:val="nil"/>
              <w:right w:val="nil"/>
            </w:tcBorders>
          </w:tcPr>
          <w:p w14:paraId="3347AC48" w14:textId="77777777" w:rsidR="001E0E14" w:rsidRPr="00AB4C58" w:rsidRDefault="001E0E14" w:rsidP="001E0E14">
            <w:pPr>
              <w:pStyle w:val="Tabletext0"/>
              <w:keepNext/>
              <w:jc w:val="right"/>
              <w:rPr>
                <w:b/>
                <w:bCs/>
              </w:rPr>
            </w:pPr>
            <w:r w:rsidRPr="00AB4C58">
              <w:rPr>
                <w:b/>
                <w:bCs/>
              </w:rPr>
              <w:t>SBA</w:t>
            </w:r>
          </w:p>
        </w:tc>
        <w:tc>
          <w:tcPr>
            <w:tcW w:w="645" w:type="pct"/>
            <w:tcBorders>
              <w:left w:val="nil"/>
              <w:bottom w:val="nil"/>
            </w:tcBorders>
          </w:tcPr>
          <w:p w14:paraId="5FA919B3" w14:textId="77777777" w:rsidR="001E0E14" w:rsidRPr="00AB4C58" w:rsidRDefault="001E0E14" w:rsidP="001E0E14">
            <w:pPr>
              <w:pStyle w:val="Tabletext0"/>
              <w:keepNext/>
              <w:jc w:val="right"/>
              <w:rPr>
                <w:b/>
                <w:bCs/>
              </w:rPr>
            </w:pPr>
            <w:r w:rsidRPr="00AB4C58">
              <w:rPr>
                <w:b/>
                <w:bCs/>
              </w:rPr>
              <w:t>Difference</w:t>
            </w:r>
          </w:p>
        </w:tc>
        <w:tc>
          <w:tcPr>
            <w:tcW w:w="645" w:type="pct"/>
            <w:tcBorders>
              <w:left w:val="nil"/>
              <w:bottom w:val="nil"/>
              <w:right w:val="nil"/>
            </w:tcBorders>
          </w:tcPr>
          <w:p w14:paraId="0507E489" w14:textId="6E2A3608" w:rsidR="001E0E14" w:rsidRPr="00AB4C58" w:rsidRDefault="001E0E14" w:rsidP="001E0E14">
            <w:pPr>
              <w:pStyle w:val="Tabletext0"/>
              <w:keepNext/>
              <w:jc w:val="right"/>
              <w:rPr>
                <w:b/>
                <w:bCs/>
              </w:rPr>
            </w:pPr>
            <w:r w:rsidRPr="00AB4C58">
              <w:rPr>
                <w:b/>
                <w:bCs/>
              </w:rPr>
              <w:t>IVL</w:t>
            </w:r>
          </w:p>
        </w:tc>
        <w:tc>
          <w:tcPr>
            <w:tcW w:w="645" w:type="pct"/>
            <w:tcBorders>
              <w:left w:val="nil"/>
              <w:bottom w:val="nil"/>
              <w:right w:val="nil"/>
            </w:tcBorders>
          </w:tcPr>
          <w:p w14:paraId="1AD702F6" w14:textId="7E0D2E12" w:rsidR="001E0E14" w:rsidRPr="00AB4C58" w:rsidRDefault="001E0E14" w:rsidP="001E0E14">
            <w:pPr>
              <w:pStyle w:val="Tabletext0"/>
              <w:keepNext/>
              <w:jc w:val="right"/>
              <w:rPr>
                <w:b/>
                <w:bCs/>
              </w:rPr>
            </w:pPr>
            <w:r w:rsidRPr="00AB4C58">
              <w:rPr>
                <w:b/>
                <w:bCs/>
              </w:rPr>
              <w:t>SBA</w:t>
            </w:r>
          </w:p>
        </w:tc>
        <w:tc>
          <w:tcPr>
            <w:tcW w:w="648" w:type="pct"/>
            <w:tcBorders>
              <w:left w:val="nil"/>
              <w:bottom w:val="nil"/>
              <w:right w:val="single" w:sz="4" w:space="0" w:color="auto"/>
            </w:tcBorders>
          </w:tcPr>
          <w:p w14:paraId="45994AC5" w14:textId="487B7F80" w:rsidR="001E0E14" w:rsidRPr="00AB4C58" w:rsidRDefault="001E0E14" w:rsidP="001E0E14">
            <w:pPr>
              <w:pStyle w:val="Tabletext0"/>
              <w:keepNext/>
              <w:jc w:val="right"/>
              <w:rPr>
                <w:b/>
                <w:bCs/>
              </w:rPr>
            </w:pPr>
            <w:r w:rsidRPr="00AB4C58">
              <w:rPr>
                <w:b/>
                <w:bCs/>
              </w:rPr>
              <w:t>Difference</w:t>
            </w:r>
          </w:p>
        </w:tc>
      </w:tr>
      <w:tr w:rsidR="00461755" w:rsidRPr="00AB4C58" w14:paraId="21D7D990" w14:textId="57FCA415" w:rsidTr="2F1EB167">
        <w:tc>
          <w:tcPr>
            <w:tcW w:w="1127" w:type="pct"/>
            <w:tcBorders>
              <w:top w:val="nil"/>
              <w:left w:val="single" w:sz="4" w:space="0" w:color="auto"/>
              <w:bottom w:val="nil"/>
            </w:tcBorders>
          </w:tcPr>
          <w:p w14:paraId="4B7B2DB3" w14:textId="77777777" w:rsidR="001E0E14" w:rsidRPr="00AB4C58" w:rsidRDefault="001E0E14" w:rsidP="001E0E14">
            <w:pPr>
              <w:pStyle w:val="Tabletext0"/>
              <w:keepNext/>
              <w:rPr>
                <w:b/>
                <w:bCs/>
              </w:rPr>
            </w:pPr>
            <w:r w:rsidRPr="00AB4C58">
              <w:rPr>
                <w:b/>
                <w:bCs/>
              </w:rPr>
              <w:t>Index procedure costs</w:t>
            </w:r>
          </w:p>
        </w:tc>
        <w:tc>
          <w:tcPr>
            <w:tcW w:w="645" w:type="pct"/>
            <w:tcBorders>
              <w:top w:val="nil"/>
              <w:bottom w:val="nil"/>
              <w:right w:val="nil"/>
            </w:tcBorders>
          </w:tcPr>
          <w:p w14:paraId="4F950544" w14:textId="643096D5" w:rsidR="001E0E14" w:rsidRPr="00AB4C58" w:rsidRDefault="001E0E14" w:rsidP="001E0E14">
            <w:pPr>
              <w:pStyle w:val="Tabletext0"/>
              <w:keepNext/>
              <w:rPr>
                <w:b/>
                <w:bCs/>
              </w:rPr>
            </w:pPr>
          </w:p>
        </w:tc>
        <w:tc>
          <w:tcPr>
            <w:tcW w:w="645" w:type="pct"/>
            <w:tcBorders>
              <w:top w:val="nil"/>
              <w:left w:val="nil"/>
              <w:bottom w:val="nil"/>
              <w:right w:val="nil"/>
            </w:tcBorders>
          </w:tcPr>
          <w:p w14:paraId="22F7E85B" w14:textId="77777777" w:rsidR="001E0E14" w:rsidRPr="00AB4C58" w:rsidRDefault="001E0E14" w:rsidP="001E0E14">
            <w:pPr>
              <w:pStyle w:val="Tabletext0"/>
              <w:keepNext/>
              <w:rPr>
                <w:b/>
                <w:bCs/>
              </w:rPr>
            </w:pPr>
          </w:p>
        </w:tc>
        <w:tc>
          <w:tcPr>
            <w:tcW w:w="645" w:type="pct"/>
            <w:tcBorders>
              <w:top w:val="nil"/>
              <w:left w:val="nil"/>
              <w:bottom w:val="nil"/>
            </w:tcBorders>
          </w:tcPr>
          <w:p w14:paraId="1B99BF0E" w14:textId="77777777" w:rsidR="001E0E14" w:rsidRPr="00AB4C58" w:rsidRDefault="001E0E14" w:rsidP="001E0E14">
            <w:pPr>
              <w:pStyle w:val="Tabletext0"/>
              <w:keepNext/>
              <w:rPr>
                <w:b/>
                <w:bCs/>
              </w:rPr>
            </w:pPr>
          </w:p>
        </w:tc>
        <w:tc>
          <w:tcPr>
            <w:tcW w:w="645" w:type="pct"/>
            <w:tcBorders>
              <w:top w:val="nil"/>
              <w:left w:val="nil"/>
              <w:bottom w:val="nil"/>
              <w:right w:val="nil"/>
            </w:tcBorders>
          </w:tcPr>
          <w:p w14:paraId="1FF679AD" w14:textId="77777777" w:rsidR="001E0E14" w:rsidRPr="00AB4C58" w:rsidRDefault="001E0E14" w:rsidP="001E0E14">
            <w:pPr>
              <w:pStyle w:val="Tabletext0"/>
              <w:keepNext/>
              <w:rPr>
                <w:b/>
                <w:bCs/>
              </w:rPr>
            </w:pPr>
          </w:p>
        </w:tc>
        <w:tc>
          <w:tcPr>
            <w:tcW w:w="645" w:type="pct"/>
            <w:tcBorders>
              <w:top w:val="nil"/>
              <w:left w:val="nil"/>
              <w:bottom w:val="nil"/>
              <w:right w:val="nil"/>
            </w:tcBorders>
          </w:tcPr>
          <w:p w14:paraId="4DA69C11" w14:textId="77777777" w:rsidR="001E0E14" w:rsidRPr="00AB4C58" w:rsidRDefault="001E0E14" w:rsidP="001E0E14">
            <w:pPr>
              <w:pStyle w:val="Tabletext0"/>
              <w:keepNext/>
              <w:rPr>
                <w:b/>
                <w:bCs/>
              </w:rPr>
            </w:pPr>
          </w:p>
        </w:tc>
        <w:tc>
          <w:tcPr>
            <w:tcW w:w="648" w:type="pct"/>
            <w:tcBorders>
              <w:top w:val="nil"/>
              <w:left w:val="nil"/>
              <w:bottom w:val="nil"/>
              <w:right w:val="single" w:sz="4" w:space="0" w:color="auto"/>
            </w:tcBorders>
          </w:tcPr>
          <w:p w14:paraId="0BBE1730" w14:textId="77777777" w:rsidR="001E0E14" w:rsidRPr="00AB4C58" w:rsidRDefault="001E0E14" w:rsidP="001E0E14">
            <w:pPr>
              <w:pStyle w:val="Tabletext0"/>
              <w:keepNext/>
              <w:rPr>
                <w:b/>
                <w:bCs/>
              </w:rPr>
            </w:pPr>
          </w:p>
        </w:tc>
      </w:tr>
      <w:tr w:rsidR="00461755" w:rsidRPr="005D6BB3" w14:paraId="69891DA5" w14:textId="02153BC9" w:rsidTr="2F1EB167">
        <w:tc>
          <w:tcPr>
            <w:tcW w:w="1127" w:type="pct"/>
            <w:tcBorders>
              <w:top w:val="nil"/>
              <w:left w:val="single" w:sz="4" w:space="0" w:color="auto"/>
              <w:bottom w:val="nil"/>
            </w:tcBorders>
          </w:tcPr>
          <w:p w14:paraId="70C22D1F" w14:textId="77777777" w:rsidR="007601F0" w:rsidRPr="005D6BB3" w:rsidRDefault="007601F0" w:rsidP="007601F0">
            <w:pPr>
              <w:pStyle w:val="Tabletext0"/>
              <w:keepNext/>
            </w:pPr>
            <w:r w:rsidRPr="005D6BB3">
              <w:t>MBS fees</w:t>
            </w:r>
          </w:p>
        </w:tc>
        <w:tc>
          <w:tcPr>
            <w:tcW w:w="645" w:type="pct"/>
            <w:tcBorders>
              <w:top w:val="nil"/>
              <w:bottom w:val="nil"/>
              <w:right w:val="nil"/>
            </w:tcBorders>
          </w:tcPr>
          <w:p w14:paraId="6449E6DC" w14:textId="7F4B612B" w:rsidR="007601F0" w:rsidRPr="005D6BB3" w:rsidRDefault="007601F0" w:rsidP="007601F0">
            <w:pPr>
              <w:pStyle w:val="Tabletext0"/>
              <w:keepNext/>
              <w:jc w:val="right"/>
            </w:pPr>
            <w:r w:rsidRPr="005D6BB3">
              <w:t>$772.55</w:t>
            </w:r>
          </w:p>
        </w:tc>
        <w:tc>
          <w:tcPr>
            <w:tcW w:w="645" w:type="pct"/>
            <w:tcBorders>
              <w:top w:val="nil"/>
              <w:left w:val="nil"/>
              <w:bottom w:val="nil"/>
              <w:right w:val="nil"/>
            </w:tcBorders>
          </w:tcPr>
          <w:p w14:paraId="022A75A5" w14:textId="77777777" w:rsidR="007601F0" w:rsidRPr="005D6BB3" w:rsidRDefault="007601F0" w:rsidP="007601F0">
            <w:pPr>
              <w:pStyle w:val="Tabletext0"/>
              <w:keepNext/>
              <w:jc w:val="right"/>
            </w:pPr>
            <w:r w:rsidRPr="005D6BB3">
              <w:t>$813.97</w:t>
            </w:r>
          </w:p>
        </w:tc>
        <w:tc>
          <w:tcPr>
            <w:tcW w:w="645" w:type="pct"/>
            <w:tcBorders>
              <w:top w:val="nil"/>
              <w:left w:val="nil"/>
              <w:bottom w:val="nil"/>
            </w:tcBorders>
          </w:tcPr>
          <w:p w14:paraId="31EFE7C0" w14:textId="77777777" w:rsidR="007601F0" w:rsidRPr="005D6BB3" w:rsidRDefault="007601F0" w:rsidP="007601F0">
            <w:pPr>
              <w:pStyle w:val="Tabletext0"/>
              <w:keepNext/>
              <w:jc w:val="right"/>
            </w:pPr>
            <w:r w:rsidRPr="005D6BB3">
              <w:t>-$41.42</w:t>
            </w:r>
          </w:p>
        </w:tc>
        <w:tc>
          <w:tcPr>
            <w:tcW w:w="645" w:type="pct"/>
            <w:tcBorders>
              <w:top w:val="nil"/>
              <w:left w:val="nil"/>
              <w:bottom w:val="nil"/>
              <w:right w:val="nil"/>
            </w:tcBorders>
          </w:tcPr>
          <w:p w14:paraId="1B9AAC6D" w14:textId="195C923A" w:rsidR="007601F0" w:rsidRPr="005D6BB3" w:rsidRDefault="0064074E" w:rsidP="007601F0">
            <w:pPr>
              <w:pStyle w:val="Tabletext0"/>
              <w:keepNext/>
              <w:jc w:val="right"/>
            </w:pPr>
            <w:r w:rsidRPr="003C6950">
              <w:t>$810.04</w:t>
            </w:r>
          </w:p>
        </w:tc>
        <w:tc>
          <w:tcPr>
            <w:tcW w:w="645" w:type="pct"/>
            <w:tcBorders>
              <w:top w:val="nil"/>
              <w:left w:val="nil"/>
              <w:bottom w:val="nil"/>
              <w:right w:val="nil"/>
            </w:tcBorders>
          </w:tcPr>
          <w:p w14:paraId="17D59B41" w14:textId="5787B6B7" w:rsidR="007601F0" w:rsidRPr="005D6BB3" w:rsidRDefault="0064074E" w:rsidP="007601F0">
            <w:pPr>
              <w:pStyle w:val="Tabletext0"/>
              <w:keepNext/>
              <w:jc w:val="right"/>
            </w:pPr>
            <w:r w:rsidRPr="003C6950">
              <w:t>$963.12</w:t>
            </w:r>
          </w:p>
        </w:tc>
        <w:tc>
          <w:tcPr>
            <w:tcW w:w="648" w:type="pct"/>
            <w:tcBorders>
              <w:top w:val="nil"/>
              <w:left w:val="nil"/>
              <w:bottom w:val="nil"/>
              <w:right w:val="single" w:sz="4" w:space="0" w:color="auto"/>
            </w:tcBorders>
          </w:tcPr>
          <w:p w14:paraId="78B1D54A" w14:textId="0C797688" w:rsidR="007601F0" w:rsidRPr="005D6BB3" w:rsidRDefault="0064074E" w:rsidP="007601F0">
            <w:pPr>
              <w:pStyle w:val="Tabletext0"/>
              <w:keepNext/>
              <w:jc w:val="right"/>
            </w:pPr>
            <w:r w:rsidRPr="003C6950">
              <w:t>-$153.08</w:t>
            </w:r>
          </w:p>
        </w:tc>
      </w:tr>
      <w:tr w:rsidR="00461755" w:rsidRPr="009B2E81" w14:paraId="361D1D62" w14:textId="38F073CF" w:rsidTr="2F1EB167">
        <w:tc>
          <w:tcPr>
            <w:tcW w:w="1127" w:type="pct"/>
            <w:tcBorders>
              <w:top w:val="nil"/>
              <w:left w:val="single" w:sz="4" w:space="0" w:color="auto"/>
              <w:bottom w:val="nil"/>
            </w:tcBorders>
          </w:tcPr>
          <w:p w14:paraId="4C432DA4" w14:textId="77777777" w:rsidR="007601F0" w:rsidRPr="005D6BB3" w:rsidRDefault="007601F0" w:rsidP="007601F0">
            <w:pPr>
              <w:pStyle w:val="Tabletext0"/>
              <w:keepNext/>
            </w:pPr>
            <w:r w:rsidRPr="005D6BB3">
              <w:t>Device</w:t>
            </w:r>
          </w:p>
        </w:tc>
        <w:tc>
          <w:tcPr>
            <w:tcW w:w="645" w:type="pct"/>
            <w:tcBorders>
              <w:top w:val="nil"/>
              <w:bottom w:val="nil"/>
              <w:right w:val="nil"/>
            </w:tcBorders>
          </w:tcPr>
          <w:p w14:paraId="483AB93B" w14:textId="2414068C" w:rsidR="007601F0" w:rsidRPr="00A535BD" w:rsidRDefault="007601F0" w:rsidP="007601F0">
            <w:pPr>
              <w:pStyle w:val="Tabletext0"/>
              <w:keepNext/>
              <w:jc w:val="right"/>
            </w:pPr>
            <w:r w:rsidRPr="00A535BD">
              <w:t>$</w:t>
            </w:r>
            <w:r w:rsidR="00A535BD" w:rsidRPr="00A535BD">
              <w:rPr>
                <w:b/>
                <w:bCs/>
              </w:rPr>
              <w:t>redacted</w:t>
            </w:r>
          </w:p>
        </w:tc>
        <w:tc>
          <w:tcPr>
            <w:tcW w:w="645" w:type="pct"/>
            <w:tcBorders>
              <w:top w:val="nil"/>
              <w:left w:val="nil"/>
              <w:bottom w:val="nil"/>
              <w:right w:val="nil"/>
            </w:tcBorders>
          </w:tcPr>
          <w:p w14:paraId="0FE0DF4F" w14:textId="77777777" w:rsidR="007601F0" w:rsidRPr="00A535BD" w:rsidRDefault="007601F0" w:rsidP="007601F0">
            <w:pPr>
              <w:pStyle w:val="Tabletext0"/>
              <w:keepNext/>
              <w:jc w:val="right"/>
            </w:pPr>
            <w:r w:rsidRPr="00A535BD">
              <w:t>$130.00</w:t>
            </w:r>
          </w:p>
        </w:tc>
        <w:tc>
          <w:tcPr>
            <w:tcW w:w="645" w:type="pct"/>
            <w:tcBorders>
              <w:top w:val="nil"/>
              <w:left w:val="nil"/>
              <w:bottom w:val="nil"/>
            </w:tcBorders>
          </w:tcPr>
          <w:p w14:paraId="40E38921" w14:textId="4A713BE0" w:rsidR="007601F0" w:rsidRPr="00A535BD" w:rsidRDefault="007601F0" w:rsidP="007601F0">
            <w:pPr>
              <w:pStyle w:val="Tabletext0"/>
              <w:keepNext/>
              <w:jc w:val="right"/>
            </w:pPr>
            <w:r w:rsidRPr="00A535BD">
              <w:t>$</w:t>
            </w:r>
            <w:r w:rsidR="00A535BD" w:rsidRPr="00A535BD">
              <w:rPr>
                <w:b/>
                <w:bCs/>
              </w:rPr>
              <w:t xml:space="preserve"> redacted</w:t>
            </w:r>
          </w:p>
        </w:tc>
        <w:tc>
          <w:tcPr>
            <w:tcW w:w="645" w:type="pct"/>
            <w:tcBorders>
              <w:top w:val="nil"/>
              <w:left w:val="nil"/>
              <w:bottom w:val="nil"/>
              <w:right w:val="nil"/>
            </w:tcBorders>
          </w:tcPr>
          <w:p w14:paraId="262FE1CC" w14:textId="7EACAEB3" w:rsidR="007601F0" w:rsidRPr="00A535BD" w:rsidRDefault="0064074E" w:rsidP="007601F0">
            <w:pPr>
              <w:pStyle w:val="Tabletext0"/>
              <w:keepNext/>
              <w:jc w:val="right"/>
            </w:pPr>
            <w:r w:rsidRPr="00A535BD">
              <w:t>$</w:t>
            </w:r>
            <w:r w:rsidR="00A535BD" w:rsidRPr="00A535BD">
              <w:rPr>
                <w:b/>
                <w:bCs/>
              </w:rPr>
              <w:t xml:space="preserve"> redacted</w:t>
            </w:r>
          </w:p>
        </w:tc>
        <w:tc>
          <w:tcPr>
            <w:tcW w:w="645" w:type="pct"/>
            <w:tcBorders>
              <w:top w:val="nil"/>
              <w:left w:val="nil"/>
              <w:bottom w:val="nil"/>
              <w:right w:val="nil"/>
            </w:tcBorders>
          </w:tcPr>
          <w:p w14:paraId="15F6036A" w14:textId="60395EB0" w:rsidR="007601F0" w:rsidRPr="00A535BD" w:rsidRDefault="0064074E" w:rsidP="007601F0">
            <w:pPr>
              <w:pStyle w:val="Tabletext0"/>
              <w:keepNext/>
              <w:jc w:val="right"/>
            </w:pPr>
            <w:r w:rsidRPr="00A535BD">
              <w:t>$130.00</w:t>
            </w:r>
          </w:p>
        </w:tc>
        <w:tc>
          <w:tcPr>
            <w:tcW w:w="648" w:type="pct"/>
            <w:tcBorders>
              <w:top w:val="nil"/>
              <w:left w:val="nil"/>
              <w:bottom w:val="nil"/>
              <w:right w:val="single" w:sz="4" w:space="0" w:color="auto"/>
            </w:tcBorders>
          </w:tcPr>
          <w:p w14:paraId="19EDA4BE" w14:textId="3B95D1E9" w:rsidR="007601F0" w:rsidRPr="00A535BD" w:rsidRDefault="0064074E" w:rsidP="007601F0">
            <w:pPr>
              <w:pStyle w:val="Tabletext0"/>
              <w:keepNext/>
              <w:jc w:val="right"/>
            </w:pPr>
            <w:r w:rsidRPr="00A535BD">
              <w:t>$</w:t>
            </w:r>
            <w:r w:rsidR="00A535BD" w:rsidRPr="00A535BD">
              <w:rPr>
                <w:b/>
                <w:bCs/>
              </w:rPr>
              <w:t xml:space="preserve"> redacted</w:t>
            </w:r>
          </w:p>
        </w:tc>
      </w:tr>
      <w:tr w:rsidR="00461755" w:rsidRPr="005D6BB3" w14:paraId="4950CC0D" w14:textId="208642CB" w:rsidTr="2F1EB167">
        <w:tc>
          <w:tcPr>
            <w:tcW w:w="1127" w:type="pct"/>
            <w:tcBorders>
              <w:top w:val="nil"/>
              <w:left w:val="single" w:sz="4" w:space="0" w:color="auto"/>
              <w:bottom w:val="nil"/>
            </w:tcBorders>
          </w:tcPr>
          <w:p w14:paraId="15FD009C" w14:textId="77777777" w:rsidR="007601F0" w:rsidRPr="005D6BB3" w:rsidRDefault="007601F0" w:rsidP="007601F0">
            <w:pPr>
              <w:pStyle w:val="Tabletext0"/>
              <w:keepNext/>
            </w:pPr>
            <w:r w:rsidRPr="005D6BB3">
              <w:t>Hospital</w:t>
            </w:r>
          </w:p>
        </w:tc>
        <w:tc>
          <w:tcPr>
            <w:tcW w:w="645" w:type="pct"/>
            <w:tcBorders>
              <w:top w:val="nil"/>
              <w:bottom w:val="nil"/>
              <w:right w:val="nil"/>
            </w:tcBorders>
          </w:tcPr>
          <w:p w14:paraId="260D2981" w14:textId="2E459BAD" w:rsidR="007601F0" w:rsidRPr="00A535BD" w:rsidRDefault="007601F0" w:rsidP="007601F0">
            <w:pPr>
              <w:pStyle w:val="Tabletext0"/>
              <w:keepNext/>
              <w:jc w:val="right"/>
            </w:pPr>
            <w:r w:rsidRPr="00A535BD">
              <w:t>$2,305.68</w:t>
            </w:r>
          </w:p>
        </w:tc>
        <w:tc>
          <w:tcPr>
            <w:tcW w:w="645" w:type="pct"/>
            <w:tcBorders>
              <w:top w:val="nil"/>
              <w:left w:val="nil"/>
              <w:bottom w:val="nil"/>
              <w:right w:val="nil"/>
            </w:tcBorders>
          </w:tcPr>
          <w:p w14:paraId="61FE029E" w14:textId="77777777" w:rsidR="007601F0" w:rsidRPr="00A535BD" w:rsidRDefault="007601F0" w:rsidP="007601F0">
            <w:pPr>
              <w:pStyle w:val="Tabletext0"/>
              <w:keepNext/>
              <w:jc w:val="right"/>
            </w:pPr>
            <w:r w:rsidRPr="00A535BD">
              <w:t>$3,080.23</w:t>
            </w:r>
          </w:p>
        </w:tc>
        <w:tc>
          <w:tcPr>
            <w:tcW w:w="645" w:type="pct"/>
            <w:tcBorders>
              <w:top w:val="nil"/>
              <w:left w:val="nil"/>
              <w:bottom w:val="nil"/>
            </w:tcBorders>
          </w:tcPr>
          <w:p w14:paraId="68B74F8C" w14:textId="77777777" w:rsidR="007601F0" w:rsidRPr="00A535BD" w:rsidRDefault="007601F0" w:rsidP="007601F0">
            <w:pPr>
              <w:pStyle w:val="Tabletext0"/>
              <w:keepNext/>
              <w:jc w:val="right"/>
            </w:pPr>
            <w:r w:rsidRPr="00A535BD">
              <w:t>-$774.55</w:t>
            </w:r>
          </w:p>
        </w:tc>
        <w:tc>
          <w:tcPr>
            <w:tcW w:w="645" w:type="pct"/>
            <w:tcBorders>
              <w:top w:val="nil"/>
              <w:left w:val="nil"/>
              <w:bottom w:val="nil"/>
              <w:right w:val="nil"/>
            </w:tcBorders>
          </w:tcPr>
          <w:p w14:paraId="505B61D8" w14:textId="54B8A24F" w:rsidR="007601F0" w:rsidRPr="00A535BD" w:rsidRDefault="0064074E" w:rsidP="007601F0">
            <w:pPr>
              <w:pStyle w:val="Tabletext0"/>
              <w:keepNext/>
              <w:jc w:val="right"/>
            </w:pPr>
            <w:r w:rsidRPr="00A535BD">
              <w:t>$2,754.22</w:t>
            </w:r>
          </w:p>
        </w:tc>
        <w:tc>
          <w:tcPr>
            <w:tcW w:w="645" w:type="pct"/>
            <w:tcBorders>
              <w:top w:val="nil"/>
              <w:left w:val="nil"/>
              <w:bottom w:val="nil"/>
              <w:right w:val="nil"/>
            </w:tcBorders>
          </w:tcPr>
          <w:p w14:paraId="5CC56AAB" w14:textId="4A378F2F" w:rsidR="007601F0" w:rsidRPr="00A535BD" w:rsidRDefault="0064074E" w:rsidP="007601F0">
            <w:pPr>
              <w:pStyle w:val="Tabletext0"/>
              <w:keepNext/>
              <w:jc w:val="right"/>
            </w:pPr>
            <w:r w:rsidRPr="00A535BD">
              <w:t>$4,864.67</w:t>
            </w:r>
          </w:p>
        </w:tc>
        <w:tc>
          <w:tcPr>
            <w:tcW w:w="648" w:type="pct"/>
            <w:tcBorders>
              <w:top w:val="nil"/>
              <w:left w:val="nil"/>
              <w:bottom w:val="nil"/>
              <w:right w:val="single" w:sz="4" w:space="0" w:color="auto"/>
            </w:tcBorders>
          </w:tcPr>
          <w:p w14:paraId="1C99FBBD" w14:textId="507CD9C9" w:rsidR="007601F0" w:rsidRPr="00A535BD" w:rsidRDefault="0064074E" w:rsidP="007601F0">
            <w:pPr>
              <w:pStyle w:val="Tabletext0"/>
              <w:keepNext/>
              <w:jc w:val="right"/>
            </w:pPr>
            <w:r w:rsidRPr="00A535BD">
              <w:t>-$2,110.45</w:t>
            </w:r>
          </w:p>
        </w:tc>
      </w:tr>
      <w:tr w:rsidR="00461755" w:rsidRPr="005D6BB3" w14:paraId="1383F2F1" w14:textId="62C58AAC" w:rsidTr="2F1EB167">
        <w:tc>
          <w:tcPr>
            <w:tcW w:w="1127" w:type="pct"/>
            <w:tcBorders>
              <w:top w:val="nil"/>
              <w:left w:val="single" w:sz="4" w:space="0" w:color="auto"/>
              <w:bottom w:val="nil"/>
            </w:tcBorders>
          </w:tcPr>
          <w:p w14:paraId="3BB0F17B" w14:textId="095878EB" w:rsidR="007601F0" w:rsidRPr="005D6BB3" w:rsidRDefault="007601F0" w:rsidP="007601F0">
            <w:pPr>
              <w:pStyle w:val="Tabletext0"/>
              <w:keepNext/>
            </w:pPr>
            <w:r w:rsidRPr="005D6BB3">
              <w:t>D</w:t>
            </w:r>
            <w:r>
              <w:t>rug-coated balloon</w:t>
            </w:r>
          </w:p>
        </w:tc>
        <w:tc>
          <w:tcPr>
            <w:tcW w:w="645" w:type="pct"/>
            <w:tcBorders>
              <w:top w:val="nil"/>
              <w:bottom w:val="nil"/>
              <w:right w:val="nil"/>
            </w:tcBorders>
          </w:tcPr>
          <w:p w14:paraId="0E2CBE99" w14:textId="525B6EE6" w:rsidR="007601F0" w:rsidRPr="00A535BD" w:rsidRDefault="007601F0" w:rsidP="007601F0">
            <w:pPr>
              <w:pStyle w:val="Tabletext0"/>
              <w:keepNext/>
              <w:jc w:val="right"/>
            </w:pPr>
            <w:r w:rsidRPr="00A535BD">
              <w:t>$950.18</w:t>
            </w:r>
          </w:p>
        </w:tc>
        <w:tc>
          <w:tcPr>
            <w:tcW w:w="645" w:type="pct"/>
            <w:tcBorders>
              <w:top w:val="nil"/>
              <w:left w:val="nil"/>
              <w:bottom w:val="nil"/>
              <w:right w:val="nil"/>
            </w:tcBorders>
          </w:tcPr>
          <w:p w14:paraId="6598AEEC" w14:textId="77777777" w:rsidR="007601F0" w:rsidRPr="00A535BD" w:rsidRDefault="007601F0" w:rsidP="007601F0">
            <w:pPr>
              <w:pStyle w:val="Tabletext0"/>
              <w:keepNext/>
              <w:jc w:val="right"/>
            </w:pPr>
            <w:r w:rsidRPr="00A535BD">
              <w:t>$813.73</w:t>
            </w:r>
          </w:p>
        </w:tc>
        <w:tc>
          <w:tcPr>
            <w:tcW w:w="645" w:type="pct"/>
            <w:tcBorders>
              <w:top w:val="nil"/>
              <w:left w:val="nil"/>
              <w:bottom w:val="nil"/>
            </w:tcBorders>
          </w:tcPr>
          <w:p w14:paraId="2D7B8E8B" w14:textId="77777777" w:rsidR="007601F0" w:rsidRPr="00A535BD" w:rsidRDefault="007601F0" w:rsidP="007601F0">
            <w:pPr>
              <w:pStyle w:val="Tabletext0"/>
              <w:keepNext/>
              <w:jc w:val="right"/>
            </w:pPr>
            <w:r w:rsidRPr="00A535BD">
              <w:t>$136.45</w:t>
            </w:r>
          </w:p>
        </w:tc>
        <w:tc>
          <w:tcPr>
            <w:tcW w:w="645" w:type="pct"/>
            <w:tcBorders>
              <w:top w:val="nil"/>
              <w:left w:val="nil"/>
              <w:bottom w:val="nil"/>
              <w:right w:val="nil"/>
            </w:tcBorders>
          </w:tcPr>
          <w:p w14:paraId="64487680" w14:textId="60BBDA72" w:rsidR="007601F0" w:rsidRPr="00A535BD" w:rsidRDefault="0064074E" w:rsidP="007601F0">
            <w:pPr>
              <w:pStyle w:val="Tabletext0"/>
              <w:keepNext/>
              <w:jc w:val="right"/>
            </w:pPr>
            <w:r w:rsidRPr="00A535BD">
              <w:t>$902.87</w:t>
            </w:r>
          </w:p>
        </w:tc>
        <w:tc>
          <w:tcPr>
            <w:tcW w:w="645" w:type="pct"/>
            <w:tcBorders>
              <w:top w:val="nil"/>
              <w:left w:val="nil"/>
              <w:bottom w:val="nil"/>
              <w:right w:val="nil"/>
            </w:tcBorders>
          </w:tcPr>
          <w:p w14:paraId="4AF6F6E6" w14:textId="21B82CDF" w:rsidR="007601F0" w:rsidRPr="00A535BD" w:rsidRDefault="0064074E" w:rsidP="007601F0">
            <w:pPr>
              <w:pStyle w:val="Tabletext0"/>
              <w:keepNext/>
              <w:jc w:val="right"/>
            </w:pPr>
            <w:r w:rsidRPr="00A535BD">
              <w:t>$625.49</w:t>
            </w:r>
          </w:p>
        </w:tc>
        <w:tc>
          <w:tcPr>
            <w:tcW w:w="648" w:type="pct"/>
            <w:tcBorders>
              <w:top w:val="nil"/>
              <w:left w:val="nil"/>
              <w:bottom w:val="nil"/>
              <w:right w:val="single" w:sz="4" w:space="0" w:color="auto"/>
            </w:tcBorders>
          </w:tcPr>
          <w:p w14:paraId="7F6AACB1" w14:textId="319E183E" w:rsidR="007601F0" w:rsidRPr="00A535BD" w:rsidRDefault="0064074E" w:rsidP="007601F0">
            <w:pPr>
              <w:pStyle w:val="Tabletext0"/>
              <w:keepNext/>
              <w:jc w:val="right"/>
            </w:pPr>
            <w:r w:rsidRPr="00A535BD">
              <w:t>$277.38</w:t>
            </w:r>
          </w:p>
        </w:tc>
      </w:tr>
      <w:tr w:rsidR="00461755" w:rsidRPr="005D6BB3" w14:paraId="027BEE10" w14:textId="091A488D" w:rsidTr="2F1EB167">
        <w:tc>
          <w:tcPr>
            <w:tcW w:w="1127" w:type="pct"/>
            <w:tcBorders>
              <w:top w:val="nil"/>
              <w:left w:val="single" w:sz="4" w:space="0" w:color="auto"/>
              <w:bottom w:val="dotted" w:sz="4" w:space="0" w:color="auto"/>
            </w:tcBorders>
          </w:tcPr>
          <w:p w14:paraId="480BC2D2" w14:textId="77777777" w:rsidR="007601F0" w:rsidRPr="005D6BB3" w:rsidRDefault="007601F0" w:rsidP="007601F0">
            <w:pPr>
              <w:pStyle w:val="Tabletext0"/>
              <w:keepNext/>
            </w:pPr>
            <w:r w:rsidRPr="005D6BB3">
              <w:t>Stent</w:t>
            </w:r>
          </w:p>
        </w:tc>
        <w:tc>
          <w:tcPr>
            <w:tcW w:w="645" w:type="pct"/>
            <w:tcBorders>
              <w:top w:val="nil"/>
              <w:bottom w:val="dotted" w:sz="4" w:space="0" w:color="auto"/>
              <w:right w:val="nil"/>
            </w:tcBorders>
          </w:tcPr>
          <w:p w14:paraId="063DBFC5" w14:textId="6E9C3641" w:rsidR="007601F0" w:rsidRPr="00A535BD" w:rsidRDefault="007601F0" w:rsidP="007601F0">
            <w:pPr>
              <w:pStyle w:val="Tabletext0"/>
              <w:keepNext/>
              <w:jc w:val="right"/>
            </w:pPr>
            <w:r w:rsidRPr="00A535BD">
              <w:t>$64.68</w:t>
            </w:r>
          </w:p>
        </w:tc>
        <w:tc>
          <w:tcPr>
            <w:tcW w:w="645" w:type="pct"/>
            <w:tcBorders>
              <w:top w:val="nil"/>
              <w:left w:val="nil"/>
              <w:bottom w:val="dotted" w:sz="4" w:space="0" w:color="auto"/>
              <w:right w:val="nil"/>
            </w:tcBorders>
          </w:tcPr>
          <w:p w14:paraId="09F29501" w14:textId="77777777" w:rsidR="007601F0" w:rsidRPr="00A535BD" w:rsidRDefault="007601F0" w:rsidP="007601F0">
            <w:pPr>
              <w:pStyle w:val="Tabletext0"/>
              <w:keepNext/>
              <w:jc w:val="right"/>
            </w:pPr>
            <w:r w:rsidRPr="00A535BD">
              <w:t>$257.30</w:t>
            </w:r>
          </w:p>
        </w:tc>
        <w:tc>
          <w:tcPr>
            <w:tcW w:w="645" w:type="pct"/>
            <w:tcBorders>
              <w:top w:val="nil"/>
              <w:left w:val="nil"/>
              <w:bottom w:val="dotted" w:sz="4" w:space="0" w:color="auto"/>
            </w:tcBorders>
          </w:tcPr>
          <w:p w14:paraId="3A4AEFD3" w14:textId="77777777" w:rsidR="007601F0" w:rsidRPr="00A535BD" w:rsidRDefault="007601F0" w:rsidP="007601F0">
            <w:pPr>
              <w:pStyle w:val="Tabletext0"/>
              <w:keepNext/>
              <w:jc w:val="right"/>
            </w:pPr>
            <w:r w:rsidRPr="00A535BD">
              <w:t>-$192.62</w:t>
            </w:r>
          </w:p>
        </w:tc>
        <w:tc>
          <w:tcPr>
            <w:tcW w:w="645" w:type="pct"/>
            <w:tcBorders>
              <w:top w:val="nil"/>
              <w:left w:val="nil"/>
              <w:bottom w:val="dotted" w:sz="4" w:space="0" w:color="auto"/>
              <w:right w:val="nil"/>
            </w:tcBorders>
          </w:tcPr>
          <w:p w14:paraId="180DADCE" w14:textId="1914C2F7" w:rsidR="007601F0" w:rsidRPr="00A535BD" w:rsidRDefault="0064074E" w:rsidP="007601F0">
            <w:pPr>
              <w:pStyle w:val="Tabletext0"/>
              <w:keepNext/>
              <w:jc w:val="right"/>
            </w:pPr>
            <w:r w:rsidRPr="00A535BD">
              <w:t>$131.47</w:t>
            </w:r>
          </w:p>
        </w:tc>
        <w:tc>
          <w:tcPr>
            <w:tcW w:w="645" w:type="pct"/>
            <w:tcBorders>
              <w:top w:val="nil"/>
              <w:left w:val="nil"/>
              <w:bottom w:val="dotted" w:sz="4" w:space="0" w:color="auto"/>
              <w:right w:val="nil"/>
            </w:tcBorders>
          </w:tcPr>
          <w:p w14:paraId="5FD17906" w14:textId="4C88394C" w:rsidR="007601F0" w:rsidRPr="00A535BD" w:rsidRDefault="0064074E" w:rsidP="007601F0">
            <w:pPr>
              <w:pStyle w:val="Tabletext0"/>
              <w:keepNext/>
              <w:jc w:val="right"/>
            </w:pPr>
            <w:r w:rsidRPr="00A535BD">
              <w:t>$523.04</w:t>
            </w:r>
          </w:p>
        </w:tc>
        <w:tc>
          <w:tcPr>
            <w:tcW w:w="648" w:type="pct"/>
            <w:tcBorders>
              <w:top w:val="nil"/>
              <w:left w:val="nil"/>
              <w:bottom w:val="dotted" w:sz="4" w:space="0" w:color="auto"/>
              <w:right w:val="single" w:sz="4" w:space="0" w:color="auto"/>
            </w:tcBorders>
          </w:tcPr>
          <w:p w14:paraId="021CCD13" w14:textId="210B01F6" w:rsidR="007601F0" w:rsidRPr="00A535BD" w:rsidRDefault="0064074E" w:rsidP="007601F0">
            <w:pPr>
              <w:pStyle w:val="Tabletext0"/>
              <w:keepNext/>
              <w:jc w:val="right"/>
            </w:pPr>
            <w:r w:rsidRPr="00A535BD">
              <w:t>-$391.57</w:t>
            </w:r>
          </w:p>
        </w:tc>
      </w:tr>
      <w:tr w:rsidR="00461755" w:rsidRPr="005D6BB3" w14:paraId="01AF4FBA" w14:textId="3591CDAE" w:rsidTr="2F1EB167">
        <w:tc>
          <w:tcPr>
            <w:tcW w:w="1127" w:type="pct"/>
            <w:tcBorders>
              <w:top w:val="dotted" w:sz="4" w:space="0" w:color="auto"/>
              <w:left w:val="single" w:sz="4" w:space="0" w:color="auto"/>
              <w:bottom w:val="single" w:sz="4" w:space="0" w:color="auto"/>
            </w:tcBorders>
          </w:tcPr>
          <w:p w14:paraId="676886BF" w14:textId="77777777" w:rsidR="007601F0" w:rsidRPr="005D6BB3" w:rsidRDefault="007601F0" w:rsidP="007601F0">
            <w:pPr>
              <w:pStyle w:val="Tabletext0"/>
              <w:keepNext/>
            </w:pPr>
            <w:r w:rsidRPr="005D6BB3">
              <w:t>Index procedure total</w:t>
            </w:r>
          </w:p>
        </w:tc>
        <w:tc>
          <w:tcPr>
            <w:tcW w:w="645" w:type="pct"/>
            <w:tcBorders>
              <w:top w:val="dotted" w:sz="4" w:space="0" w:color="auto"/>
              <w:bottom w:val="single" w:sz="4" w:space="0" w:color="auto"/>
              <w:right w:val="nil"/>
            </w:tcBorders>
          </w:tcPr>
          <w:p w14:paraId="30062A4D" w14:textId="1B1E0DF3" w:rsidR="007601F0" w:rsidRPr="00A535BD" w:rsidRDefault="007601F0" w:rsidP="007601F0">
            <w:pPr>
              <w:pStyle w:val="Tabletext0"/>
              <w:keepNext/>
              <w:jc w:val="right"/>
            </w:pPr>
            <w:r w:rsidRPr="00A535BD">
              <w:t>$</w:t>
            </w:r>
            <w:r w:rsidR="00A535BD" w:rsidRPr="00A535BD">
              <w:rPr>
                <w:b/>
                <w:bCs/>
              </w:rPr>
              <w:t xml:space="preserve"> redacted</w:t>
            </w:r>
          </w:p>
        </w:tc>
        <w:tc>
          <w:tcPr>
            <w:tcW w:w="645" w:type="pct"/>
            <w:tcBorders>
              <w:top w:val="dotted" w:sz="4" w:space="0" w:color="auto"/>
              <w:left w:val="nil"/>
              <w:bottom w:val="single" w:sz="4" w:space="0" w:color="auto"/>
              <w:right w:val="nil"/>
            </w:tcBorders>
          </w:tcPr>
          <w:p w14:paraId="77919F71" w14:textId="77777777" w:rsidR="007601F0" w:rsidRPr="00A535BD" w:rsidRDefault="007601F0" w:rsidP="007601F0">
            <w:pPr>
              <w:pStyle w:val="Tabletext0"/>
              <w:keepNext/>
              <w:jc w:val="right"/>
            </w:pPr>
            <w:r w:rsidRPr="00A535BD">
              <w:t>$5,095.23</w:t>
            </w:r>
          </w:p>
        </w:tc>
        <w:tc>
          <w:tcPr>
            <w:tcW w:w="645" w:type="pct"/>
            <w:tcBorders>
              <w:top w:val="dotted" w:sz="4" w:space="0" w:color="auto"/>
              <w:left w:val="nil"/>
              <w:bottom w:val="single" w:sz="4" w:space="0" w:color="auto"/>
            </w:tcBorders>
          </w:tcPr>
          <w:p w14:paraId="289E993B" w14:textId="6FB6A7CB" w:rsidR="007601F0" w:rsidRPr="00A535BD" w:rsidRDefault="007601F0" w:rsidP="007601F0">
            <w:pPr>
              <w:pStyle w:val="Tabletext0"/>
              <w:keepNext/>
              <w:jc w:val="right"/>
              <w:rPr>
                <w:b/>
                <w:bCs/>
              </w:rPr>
            </w:pPr>
            <w:r w:rsidRPr="00A535BD">
              <w:rPr>
                <w:b/>
                <w:bCs/>
              </w:rPr>
              <w:t>$</w:t>
            </w:r>
            <w:r w:rsidR="00A535BD" w:rsidRPr="00A535BD">
              <w:rPr>
                <w:b/>
                <w:bCs/>
              </w:rPr>
              <w:t xml:space="preserve"> redacted</w:t>
            </w:r>
          </w:p>
        </w:tc>
        <w:tc>
          <w:tcPr>
            <w:tcW w:w="645" w:type="pct"/>
            <w:tcBorders>
              <w:top w:val="dotted" w:sz="4" w:space="0" w:color="auto"/>
              <w:left w:val="nil"/>
              <w:bottom w:val="single" w:sz="4" w:space="0" w:color="auto"/>
              <w:right w:val="nil"/>
            </w:tcBorders>
          </w:tcPr>
          <w:p w14:paraId="54D9A086" w14:textId="6C451089" w:rsidR="007601F0" w:rsidRPr="00A535BD" w:rsidRDefault="0064074E" w:rsidP="007601F0">
            <w:pPr>
              <w:pStyle w:val="Tabletext0"/>
              <w:keepNext/>
              <w:jc w:val="right"/>
              <w:rPr>
                <w:b/>
                <w:bCs/>
              </w:rPr>
            </w:pPr>
            <w:r w:rsidRPr="00A535BD">
              <w:t>$</w:t>
            </w:r>
            <w:r w:rsidR="00A535BD" w:rsidRPr="00A535BD">
              <w:rPr>
                <w:b/>
                <w:bCs/>
              </w:rPr>
              <w:t xml:space="preserve"> redacted</w:t>
            </w:r>
          </w:p>
        </w:tc>
        <w:tc>
          <w:tcPr>
            <w:tcW w:w="645" w:type="pct"/>
            <w:tcBorders>
              <w:top w:val="dotted" w:sz="4" w:space="0" w:color="auto"/>
              <w:left w:val="nil"/>
              <w:bottom w:val="single" w:sz="4" w:space="0" w:color="auto"/>
              <w:right w:val="nil"/>
            </w:tcBorders>
          </w:tcPr>
          <w:p w14:paraId="3BF01809" w14:textId="632FB74E" w:rsidR="007601F0" w:rsidRPr="00A535BD" w:rsidRDefault="0064074E" w:rsidP="007601F0">
            <w:pPr>
              <w:pStyle w:val="Tabletext0"/>
              <w:keepNext/>
              <w:jc w:val="right"/>
              <w:rPr>
                <w:b/>
                <w:bCs/>
              </w:rPr>
            </w:pPr>
            <w:r w:rsidRPr="00A535BD">
              <w:t>$7,106.32</w:t>
            </w:r>
          </w:p>
        </w:tc>
        <w:tc>
          <w:tcPr>
            <w:tcW w:w="648" w:type="pct"/>
            <w:tcBorders>
              <w:top w:val="dotted" w:sz="4" w:space="0" w:color="auto"/>
              <w:left w:val="nil"/>
              <w:bottom w:val="single" w:sz="4" w:space="0" w:color="auto"/>
              <w:right w:val="single" w:sz="4" w:space="0" w:color="auto"/>
            </w:tcBorders>
          </w:tcPr>
          <w:p w14:paraId="04D6E591" w14:textId="6F56B03C" w:rsidR="007601F0" w:rsidRPr="00A535BD" w:rsidRDefault="0064074E" w:rsidP="007601F0">
            <w:pPr>
              <w:pStyle w:val="Tabletext0"/>
              <w:keepNext/>
              <w:jc w:val="right"/>
              <w:rPr>
                <w:b/>
                <w:bCs/>
              </w:rPr>
            </w:pPr>
            <w:r w:rsidRPr="00A535BD">
              <w:rPr>
                <w:b/>
                <w:bCs/>
              </w:rPr>
              <w:t>$</w:t>
            </w:r>
            <w:r w:rsidR="00A535BD" w:rsidRPr="00A535BD">
              <w:rPr>
                <w:b/>
                <w:bCs/>
              </w:rPr>
              <w:t xml:space="preserve"> redacted</w:t>
            </w:r>
          </w:p>
        </w:tc>
      </w:tr>
      <w:tr w:rsidR="00461755" w:rsidRPr="00AB4C58" w14:paraId="035998FA" w14:textId="09FCFEF2" w:rsidTr="2F1EB167">
        <w:tc>
          <w:tcPr>
            <w:tcW w:w="1127" w:type="pct"/>
            <w:tcBorders>
              <w:left w:val="single" w:sz="4" w:space="0" w:color="auto"/>
              <w:bottom w:val="nil"/>
            </w:tcBorders>
          </w:tcPr>
          <w:p w14:paraId="3D9243CC" w14:textId="77777777" w:rsidR="001E0E14" w:rsidRPr="00AB4C58" w:rsidRDefault="001E0E14" w:rsidP="001E0E14">
            <w:pPr>
              <w:pStyle w:val="Tabletext0"/>
              <w:keepNext/>
              <w:rPr>
                <w:b/>
                <w:bCs/>
              </w:rPr>
            </w:pPr>
            <w:r w:rsidRPr="00AB4C58">
              <w:rPr>
                <w:b/>
                <w:bCs/>
              </w:rPr>
              <w:t>2-year reintervention costs</w:t>
            </w:r>
          </w:p>
        </w:tc>
        <w:tc>
          <w:tcPr>
            <w:tcW w:w="645" w:type="pct"/>
            <w:tcBorders>
              <w:bottom w:val="nil"/>
              <w:right w:val="nil"/>
            </w:tcBorders>
          </w:tcPr>
          <w:p w14:paraId="2F3FCFEA" w14:textId="71B76A6C" w:rsidR="001E0E14" w:rsidRPr="00A535BD" w:rsidRDefault="001E0E14" w:rsidP="001E0E14">
            <w:pPr>
              <w:pStyle w:val="Tabletext0"/>
              <w:keepNext/>
              <w:jc w:val="right"/>
              <w:rPr>
                <w:b/>
                <w:bCs/>
              </w:rPr>
            </w:pPr>
          </w:p>
        </w:tc>
        <w:tc>
          <w:tcPr>
            <w:tcW w:w="645" w:type="pct"/>
            <w:tcBorders>
              <w:left w:val="nil"/>
              <w:bottom w:val="nil"/>
              <w:right w:val="nil"/>
            </w:tcBorders>
          </w:tcPr>
          <w:p w14:paraId="3E181694" w14:textId="77777777" w:rsidR="001E0E14" w:rsidRPr="00A535BD" w:rsidRDefault="001E0E14" w:rsidP="001E0E14">
            <w:pPr>
              <w:pStyle w:val="Tabletext0"/>
              <w:keepNext/>
              <w:jc w:val="right"/>
              <w:rPr>
                <w:b/>
                <w:bCs/>
              </w:rPr>
            </w:pPr>
          </w:p>
        </w:tc>
        <w:tc>
          <w:tcPr>
            <w:tcW w:w="645" w:type="pct"/>
            <w:tcBorders>
              <w:left w:val="nil"/>
              <w:bottom w:val="nil"/>
            </w:tcBorders>
          </w:tcPr>
          <w:p w14:paraId="3D270C0D" w14:textId="77777777" w:rsidR="001E0E14" w:rsidRPr="00A535BD" w:rsidRDefault="001E0E14" w:rsidP="001E0E14">
            <w:pPr>
              <w:pStyle w:val="Tabletext0"/>
              <w:keepNext/>
              <w:jc w:val="right"/>
              <w:rPr>
                <w:b/>
                <w:bCs/>
              </w:rPr>
            </w:pPr>
          </w:p>
        </w:tc>
        <w:tc>
          <w:tcPr>
            <w:tcW w:w="645" w:type="pct"/>
            <w:tcBorders>
              <w:left w:val="nil"/>
              <w:bottom w:val="nil"/>
              <w:right w:val="nil"/>
            </w:tcBorders>
          </w:tcPr>
          <w:p w14:paraId="33644341" w14:textId="77777777" w:rsidR="001E0E14" w:rsidRPr="00A535BD" w:rsidRDefault="001E0E14" w:rsidP="001E0E14">
            <w:pPr>
              <w:pStyle w:val="Tabletext0"/>
              <w:keepNext/>
              <w:jc w:val="right"/>
              <w:rPr>
                <w:b/>
                <w:bCs/>
              </w:rPr>
            </w:pPr>
          </w:p>
        </w:tc>
        <w:tc>
          <w:tcPr>
            <w:tcW w:w="645" w:type="pct"/>
            <w:tcBorders>
              <w:left w:val="nil"/>
              <w:bottom w:val="nil"/>
              <w:right w:val="nil"/>
            </w:tcBorders>
          </w:tcPr>
          <w:p w14:paraId="2874D6ED" w14:textId="77777777" w:rsidR="001E0E14" w:rsidRPr="00A535BD" w:rsidRDefault="001E0E14" w:rsidP="001E0E14">
            <w:pPr>
              <w:pStyle w:val="Tabletext0"/>
              <w:keepNext/>
              <w:jc w:val="right"/>
              <w:rPr>
                <w:b/>
                <w:bCs/>
              </w:rPr>
            </w:pPr>
          </w:p>
        </w:tc>
        <w:tc>
          <w:tcPr>
            <w:tcW w:w="648" w:type="pct"/>
            <w:tcBorders>
              <w:left w:val="nil"/>
              <w:bottom w:val="nil"/>
              <w:right w:val="single" w:sz="4" w:space="0" w:color="auto"/>
            </w:tcBorders>
          </w:tcPr>
          <w:p w14:paraId="2566126C" w14:textId="77777777" w:rsidR="001E0E14" w:rsidRPr="00A535BD" w:rsidRDefault="001E0E14" w:rsidP="001E0E14">
            <w:pPr>
              <w:pStyle w:val="Tabletext0"/>
              <w:keepNext/>
              <w:jc w:val="right"/>
              <w:rPr>
                <w:b/>
                <w:bCs/>
              </w:rPr>
            </w:pPr>
          </w:p>
        </w:tc>
      </w:tr>
      <w:tr w:rsidR="00461755" w:rsidRPr="005D6BB3" w14:paraId="47EC28E5" w14:textId="6B3DA6D9" w:rsidTr="2F1EB167">
        <w:tc>
          <w:tcPr>
            <w:tcW w:w="1127" w:type="pct"/>
            <w:tcBorders>
              <w:top w:val="nil"/>
              <w:left w:val="single" w:sz="4" w:space="0" w:color="auto"/>
              <w:bottom w:val="nil"/>
            </w:tcBorders>
          </w:tcPr>
          <w:p w14:paraId="1F4E7376" w14:textId="77777777" w:rsidR="00576992" w:rsidRPr="005D6BB3" w:rsidRDefault="00576992" w:rsidP="00576992">
            <w:pPr>
              <w:pStyle w:val="Tabletext0"/>
              <w:keepNext/>
            </w:pPr>
            <w:r w:rsidRPr="005D6BB3">
              <w:t>Endovascular</w:t>
            </w:r>
          </w:p>
        </w:tc>
        <w:tc>
          <w:tcPr>
            <w:tcW w:w="645" w:type="pct"/>
            <w:tcBorders>
              <w:top w:val="nil"/>
              <w:bottom w:val="nil"/>
              <w:right w:val="nil"/>
            </w:tcBorders>
          </w:tcPr>
          <w:p w14:paraId="1FB028A9" w14:textId="71336656" w:rsidR="00576992" w:rsidRPr="00A535BD" w:rsidRDefault="00576992" w:rsidP="00576992">
            <w:pPr>
              <w:pStyle w:val="Tabletext0"/>
              <w:keepNext/>
              <w:jc w:val="right"/>
            </w:pPr>
            <w:r w:rsidRPr="00A535BD">
              <w:t>$3,417.74</w:t>
            </w:r>
          </w:p>
        </w:tc>
        <w:tc>
          <w:tcPr>
            <w:tcW w:w="645" w:type="pct"/>
            <w:tcBorders>
              <w:top w:val="nil"/>
              <w:left w:val="nil"/>
              <w:bottom w:val="nil"/>
              <w:right w:val="nil"/>
            </w:tcBorders>
          </w:tcPr>
          <w:p w14:paraId="4414ABD5" w14:textId="77777777" w:rsidR="00576992" w:rsidRPr="00A535BD" w:rsidRDefault="00576992" w:rsidP="00576992">
            <w:pPr>
              <w:pStyle w:val="Tabletext0"/>
              <w:keepNext/>
              <w:jc w:val="right"/>
            </w:pPr>
            <w:r w:rsidRPr="00A535BD">
              <w:t>$3,105.96</w:t>
            </w:r>
          </w:p>
        </w:tc>
        <w:tc>
          <w:tcPr>
            <w:tcW w:w="645" w:type="pct"/>
            <w:tcBorders>
              <w:top w:val="nil"/>
              <w:left w:val="nil"/>
              <w:bottom w:val="nil"/>
            </w:tcBorders>
          </w:tcPr>
          <w:p w14:paraId="6810D0B2" w14:textId="77777777" w:rsidR="00576992" w:rsidRPr="00A535BD" w:rsidRDefault="00576992" w:rsidP="00576992">
            <w:pPr>
              <w:pStyle w:val="Tabletext0"/>
              <w:keepNext/>
              <w:jc w:val="right"/>
            </w:pPr>
            <w:r w:rsidRPr="00A535BD">
              <w:t>$311.77</w:t>
            </w:r>
          </w:p>
        </w:tc>
        <w:tc>
          <w:tcPr>
            <w:tcW w:w="645" w:type="pct"/>
            <w:tcBorders>
              <w:top w:val="nil"/>
              <w:left w:val="nil"/>
              <w:bottom w:val="nil"/>
              <w:right w:val="nil"/>
            </w:tcBorders>
          </w:tcPr>
          <w:p w14:paraId="6A23D5C5" w14:textId="3ADD6317" w:rsidR="00576992" w:rsidRPr="00A535BD" w:rsidRDefault="00F85BF7" w:rsidP="00576992">
            <w:pPr>
              <w:pStyle w:val="Tabletext0"/>
              <w:keepNext/>
              <w:jc w:val="right"/>
            </w:pPr>
            <w:r w:rsidRPr="00A535BD">
              <w:t>$3,979.34</w:t>
            </w:r>
          </w:p>
        </w:tc>
        <w:tc>
          <w:tcPr>
            <w:tcW w:w="645" w:type="pct"/>
            <w:tcBorders>
              <w:top w:val="nil"/>
              <w:left w:val="nil"/>
              <w:bottom w:val="nil"/>
              <w:right w:val="nil"/>
            </w:tcBorders>
          </w:tcPr>
          <w:p w14:paraId="7BCCE112" w14:textId="5A2F37F4" w:rsidR="00576992" w:rsidRPr="00A535BD" w:rsidRDefault="00F85BF7" w:rsidP="00576992">
            <w:pPr>
              <w:pStyle w:val="Tabletext0"/>
              <w:keepNext/>
              <w:jc w:val="right"/>
            </w:pPr>
            <w:r w:rsidRPr="00A535BD">
              <w:t>$3,299.72</w:t>
            </w:r>
          </w:p>
        </w:tc>
        <w:tc>
          <w:tcPr>
            <w:tcW w:w="648" w:type="pct"/>
            <w:tcBorders>
              <w:top w:val="nil"/>
              <w:left w:val="nil"/>
              <w:bottom w:val="nil"/>
              <w:right w:val="single" w:sz="4" w:space="0" w:color="auto"/>
            </w:tcBorders>
          </w:tcPr>
          <w:p w14:paraId="7DE36F10" w14:textId="60827A3C" w:rsidR="00576992" w:rsidRPr="00A535BD" w:rsidRDefault="00F85BF7" w:rsidP="00576992">
            <w:pPr>
              <w:pStyle w:val="Tabletext0"/>
              <w:keepNext/>
              <w:jc w:val="right"/>
            </w:pPr>
            <w:r w:rsidRPr="00A535BD">
              <w:t>$679.62</w:t>
            </w:r>
          </w:p>
        </w:tc>
      </w:tr>
      <w:tr w:rsidR="00461755" w:rsidRPr="005D6BB3" w14:paraId="4BA9B5AD" w14:textId="3DAAD16C" w:rsidTr="2F1EB167">
        <w:tc>
          <w:tcPr>
            <w:tcW w:w="1127" w:type="pct"/>
            <w:tcBorders>
              <w:top w:val="nil"/>
              <w:left w:val="single" w:sz="4" w:space="0" w:color="auto"/>
              <w:bottom w:val="nil"/>
            </w:tcBorders>
          </w:tcPr>
          <w:p w14:paraId="49E9B368" w14:textId="77777777" w:rsidR="00576992" w:rsidRPr="005D6BB3" w:rsidRDefault="00576992" w:rsidP="00576992">
            <w:pPr>
              <w:pStyle w:val="Tabletext0"/>
              <w:keepNext/>
            </w:pPr>
            <w:r w:rsidRPr="005D6BB3">
              <w:t>Open Surgery</w:t>
            </w:r>
          </w:p>
        </w:tc>
        <w:tc>
          <w:tcPr>
            <w:tcW w:w="645" w:type="pct"/>
            <w:tcBorders>
              <w:top w:val="nil"/>
              <w:bottom w:val="nil"/>
              <w:right w:val="nil"/>
            </w:tcBorders>
          </w:tcPr>
          <w:p w14:paraId="25946AEF" w14:textId="7962C240" w:rsidR="00576992" w:rsidRPr="00A535BD" w:rsidRDefault="00576992" w:rsidP="00576992">
            <w:pPr>
              <w:pStyle w:val="Tabletext0"/>
              <w:keepNext/>
              <w:jc w:val="right"/>
            </w:pPr>
            <w:r w:rsidRPr="00A535BD">
              <w:t>$115.66</w:t>
            </w:r>
          </w:p>
        </w:tc>
        <w:tc>
          <w:tcPr>
            <w:tcW w:w="645" w:type="pct"/>
            <w:tcBorders>
              <w:top w:val="nil"/>
              <w:left w:val="nil"/>
              <w:bottom w:val="nil"/>
              <w:right w:val="nil"/>
            </w:tcBorders>
          </w:tcPr>
          <w:p w14:paraId="49D7179C" w14:textId="77777777" w:rsidR="00576992" w:rsidRPr="00A535BD" w:rsidRDefault="00576992" w:rsidP="00576992">
            <w:pPr>
              <w:pStyle w:val="Tabletext0"/>
              <w:keepNext/>
              <w:jc w:val="right"/>
            </w:pPr>
            <w:r w:rsidRPr="00A535BD">
              <w:t>$460.11</w:t>
            </w:r>
          </w:p>
        </w:tc>
        <w:tc>
          <w:tcPr>
            <w:tcW w:w="645" w:type="pct"/>
            <w:tcBorders>
              <w:top w:val="nil"/>
              <w:left w:val="nil"/>
              <w:bottom w:val="nil"/>
            </w:tcBorders>
          </w:tcPr>
          <w:p w14:paraId="5BB18BC5" w14:textId="77777777" w:rsidR="00576992" w:rsidRPr="00A535BD" w:rsidRDefault="00576992" w:rsidP="00576992">
            <w:pPr>
              <w:pStyle w:val="Tabletext0"/>
              <w:keepNext/>
              <w:jc w:val="right"/>
            </w:pPr>
            <w:r w:rsidRPr="00A535BD">
              <w:t>-$344.46</w:t>
            </w:r>
          </w:p>
        </w:tc>
        <w:tc>
          <w:tcPr>
            <w:tcW w:w="645" w:type="pct"/>
            <w:tcBorders>
              <w:top w:val="nil"/>
              <w:left w:val="nil"/>
              <w:bottom w:val="nil"/>
              <w:right w:val="nil"/>
            </w:tcBorders>
          </w:tcPr>
          <w:p w14:paraId="48EF72CA" w14:textId="08982D89" w:rsidR="00576992" w:rsidRPr="00A535BD" w:rsidRDefault="00F85BF7" w:rsidP="00576992">
            <w:pPr>
              <w:pStyle w:val="Tabletext0"/>
              <w:keepNext/>
              <w:jc w:val="right"/>
            </w:pPr>
            <w:r w:rsidRPr="00A535BD">
              <w:t>$316.72</w:t>
            </w:r>
          </w:p>
        </w:tc>
        <w:tc>
          <w:tcPr>
            <w:tcW w:w="645" w:type="pct"/>
            <w:tcBorders>
              <w:top w:val="nil"/>
              <w:left w:val="nil"/>
              <w:bottom w:val="nil"/>
              <w:right w:val="nil"/>
            </w:tcBorders>
          </w:tcPr>
          <w:p w14:paraId="251394B0" w14:textId="51179D29" w:rsidR="00576992" w:rsidRPr="00A535BD" w:rsidRDefault="00F85BF7" w:rsidP="00576992">
            <w:pPr>
              <w:pStyle w:val="Tabletext0"/>
              <w:keepNext/>
              <w:jc w:val="right"/>
            </w:pPr>
            <w:r w:rsidRPr="00A535BD">
              <w:t>$1,259.98</w:t>
            </w:r>
          </w:p>
        </w:tc>
        <w:tc>
          <w:tcPr>
            <w:tcW w:w="648" w:type="pct"/>
            <w:tcBorders>
              <w:top w:val="nil"/>
              <w:left w:val="nil"/>
              <w:bottom w:val="nil"/>
              <w:right w:val="single" w:sz="4" w:space="0" w:color="auto"/>
            </w:tcBorders>
          </w:tcPr>
          <w:p w14:paraId="7B3BED97" w14:textId="11F5172C" w:rsidR="00576992" w:rsidRPr="00A535BD" w:rsidRDefault="00F85BF7" w:rsidP="00576992">
            <w:pPr>
              <w:pStyle w:val="Tabletext0"/>
              <w:keepNext/>
              <w:jc w:val="right"/>
            </w:pPr>
            <w:r w:rsidRPr="00A535BD">
              <w:t>-$943.26</w:t>
            </w:r>
          </w:p>
        </w:tc>
      </w:tr>
      <w:tr w:rsidR="00461755" w:rsidRPr="005D6BB3" w14:paraId="51A6645B" w14:textId="4EE25D1B" w:rsidTr="2F1EB167">
        <w:tc>
          <w:tcPr>
            <w:tcW w:w="1127" w:type="pct"/>
            <w:tcBorders>
              <w:top w:val="nil"/>
              <w:left w:val="single" w:sz="4" w:space="0" w:color="auto"/>
              <w:bottom w:val="dotted" w:sz="4" w:space="0" w:color="auto"/>
            </w:tcBorders>
          </w:tcPr>
          <w:p w14:paraId="48AB9972" w14:textId="77777777" w:rsidR="00576992" w:rsidRPr="005D6BB3" w:rsidRDefault="00576992" w:rsidP="00576992">
            <w:pPr>
              <w:pStyle w:val="Tabletext0"/>
              <w:keepNext/>
            </w:pPr>
            <w:r w:rsidRPr="005D6BB3">
              <w:t>Amputation</w:t>
            </w:r>
          </w:p>
        </w:tc>
        <w:tc>
          <w:tcPr>
            <w:tcW w:w="645" w:type="pct"/>
            <w:tcBorders>
              <w:top w:val="nil"/>
              <w:bottom w:val="dotted" w:sz="4" w:space="0" w:color="auto"/>
              <w:right w:val="nil"/>
            </w:tcBorders>
          </w:tcPr>
          <w:p w14:paraId="7A2A7DF5" w14:textId="2C90B988" w:rsidR="00576992" w:rsidRPr="00A535BD" w:rsidRDefault="00576992" w:rsidP="00576992">
            <w:pPr>
              <w:pStyle w:val="Tabletext0"/>
              <w:keepNext/>
              <w:jc w:val="right"/>
            </w:pPr>
            <w:r w:rsidRPr="00A535BD">
              <w:t>$33.45</w:t>
            </w:r>
          </w:p>
        </w:tc>
        <w:tc>
          <w:tcPr>
            <w:tcW w:w="645" w:type="pct"/>
            <w:tcBorders>
              <w:top w:val="nil"/>
              <w:left w:val="nil"/>
              <w:bottom w:val="dotted" w:sz="4" w:space="0" w:color="auto"/>
              <w:right w:val="nil"/>
            </w:tcBorders>
          </w:tcPr>
          <w:p w14:paraId="4B2F0E26" w14:textId="77777777" w:rsidR="00576992" w:rsidRPr="00A535BD" w:rsidRDefault="00576992" w:rsidP="00576992">
            <w:pPr>
              <w:pStyle w:val="Tabletext0"/>
              <w:keepNext/>
              <w:jc w:val="right"/>
            </w:pPr>
            <w:r w:rsidRPr="00A535BD">
              <w:t>$133.06</w:t>
            </w:r>
          </w:p>
        </w:tc>
        <w:tc>
          <w:tcPr>
            <w:tcW w:w="645" w:type="pct"/>
            <w:tcBorders>
              <w:top w:val="nil"/>
              <w:left w:val="nil"/>
              <w:bottom w:val="dotted" w:sz="4" w:space="0" w:color="auto"/>
            </w:tcBorders>
          </w:tcPr>
          <w:p w14:paraId="673EA23E" w14:textId="77777777" w:rsidR="00576992" w:rsidRPr="00A535BD" w:rsidRDefault="00576992" w:rsidP="00576992">
            <w:pPr>
              <w:pStyle w:val="Tabletext0"/>
              <w:keepNext/>
              <w:jc w:val="right"/>
            </w:pPr>
            <w:r w:rsidRPr="00A535BD">
              <w:t>-$99.61</w:t>
            </w:r>
          </w:p>
        </w:tc>
        <w:tc>
          <w:tcPr>
            <w:tcW w:w="645" w:type="pct"/>
            <w:tcBorders>
              <w:top w:val="nil"/>
              <w:left w:val="nil"/>
              <w:bottom w:val="dotted" w:sz="4" w:space="0" w:color="auto"/>
              <w:right w:val="nil"/>
            </w:tcBorders>
          </w:tcPr>
          <w:p w14:paraId="68A0AB3D" w14:textId="0286AE55" w:rsidR="00576992" w:rsidRPr="00A535BD" w:rsidRDefault="00F85BF7" w:rsidP="00576992">
            <w:pPr>
              <w:pStyle w:val="Tabletext0"/>
              <w:keepNext/>
              <w:jc w:val="right"/>
            </w:pPr>
            <w:r w:rsidRPr="00A535BD">
              <w:t>$97.76</w:t>
            </w:r>
          </w:p>
        </w:tc>
        <w:tc>
          <w:tcPr>
            <w:tcW w:w="645" w:type="pct"/>
            <w:tcBorders>
              <w:top w:val="nil"/>
              <w:left w:val="nil"/>
              <w:bottom w:val="dotted" w:sz="4" w:space="0" w:color="auto"/>
              <w:right w:val="nil"/>
            </w:tcBorders>
          </w:tcPr>
          <w:p w14:paraId="76D636D9" w14:textId="03DAA0F7" w:rsidR="00576992" w:rsidRPr="00A535BD" w:rsidRDefault="00F85BF7" w:rsidP="00576992">
            <w:pPr>
              <w:pStyle w:val="Tabletext0"/>
              <w:keepNext/>
              <w:jc w:val="right"/>
            </w:pPr>
            <w:r w:rsidRPr="00A535BD">
              <w:t>$388.92</w:t>
            </w:r>
          </w:p>
        </w:tc>
        <w:tc>
          <w:tcPr>
            <w:tcW w:w="648" w:type="pct"/>
            <w:tcBorders>
              <w:top w:val="nil"/>
              <w:left w:val="nil"/>
              <w:bottom w:val="dotted" w:sz="4" w:space="0" w:color="auto"/>
              <w:right w:val="single" w:sz="4" w:space="0" w:color="auto"/>
            </w:tcBorders>
          </w:tcPr>
          <w:p w14:paraId="13030E0F" w14:textId="0BB547EE" w:rsidR="00576992" w:rsidRPr="00A535BD" w:rsidRDefault="00F85BF7" w:rsidP="00576992">
            <w:pPr>
              <w:pStyle w:val="Tabletext0"/>
              <w:keepNext/>
              <w:jc w:val="right"/>
            </w:pPr>
            <w:r w:rsidRPr="00A535BD">
              <w:t>-$291.16</w:t>
            </w:r>
          </w:p>
        </w:tc>
      </w:tr>
      <w:tr w:rsidR="00461755" w:rsidRPr="005D6BB3" w14:paraId="296A9A18" w14:textId="25EC03D0" w:rsidTr="2F1EB167">
        <w:tc>
          <w:tcPr>
            <w:tcW w:w="1127" w:type="pct"/>
            <w:tcBorders>
              <w:top w:val="dotted" w:sz="4" w:space="0" w:color="auto"/>
              <w:left w:val="single" w:sz="4" w:space="0" w:color="auto"/>
              <w:bottom w:val="single" w:sz="12" w:space="0" w:color="auto"/>
            </w:tcBorders>
          </w:tcPr>
          <w:p w14:paraId="7764DE02" w14:textId="77777777" w:rsidR="00576992" w:rsidRPr="005D6BB3" w:rsidRDefault="00576992" w:rsidP="00576992">
            <w:pPr>
              <w:pStyle w:val="Tabletext0"/>
              <w:keepNext/>
            </w:pPr>
            <w:r w:rsidRPr="005D6BB3">
              <w:t>Reintervention total</w:t>
            </w:r>
          </w:p>
        </w:tc>
        <w:tc>
          <w:tcPr>
            <w:tcW w:w="645" w:type="pct"/>
            <w:tcBorders>
              <w:top w:val="dotted" w:sz="4" w:space="0" w:color="auto"/>
              <w:bottom w:val="single" w:sz="12" w:space="0" w:color="auto"/>
              <w:right w:val="nil"/>
            </w:tcBorders>
          </w:tcPr>
          <w:p w14:paraId="73A5E297" w14:textId="40AE8056" w:rsidR="00576992" w:rsidRPr="00A535BD" w:rsidRDefault="00576992" w:rsidP="00576992">
            <w:pPr>
              <w:pStyle w:val="Tabletext0"/>
              <w:keepNext/>
              <w:jc w:val="right"/>
            </w:pPr>
            <w:r w:rsidRPr="00A535BD">
              <w:t>$3,566.84</w:t>
            </w:r>
          </w:p>
        </w:tc>
        <w:tc>
          <w:tcPr>
            <w:tcW w:w="645" w:type="pct"/>
            <w:tcBorders>
              <w:top w:val="dotted" w:sz="4" w:space="0" w:color="auto"/>
              <w:left w:val="nil"/>
              <w:bottom w:val="single" w:sz="12" w:space="0" w:color="auto"/>
              <w:right w:val="nil"/>
            </w:tcBorders>
          </w:tcPr>
          <w:p w14:paraId="3DF2C267" w14:textId="77777777" w:rsidR="00576992" w:rsidRPr="00A535BD" w:rsidRDefault="00576992" w:rsidP="00576992">
            <w:pPr>
              <w:pStyle w:val="Tabletext0"/>
              <w:keepNext/>
              <w:jc w:val="right"/>
            </w:pPr>
            <w:r w:rsidRPr="00A535BD">
              <w:t>$3,699.14</w:t>
            </w:r>
          </w:p>
        </w:tc>
        <w:tc>
          <w:tcPr>
            <w:tcW w:w="645" w:type="pct"/>
            <w:tcBorders>
              <w:top w:val="dotted" w:sz="4" w:space="0" w:color="auto"/>
              <w:left w:val="nil"/>
              <w:bottom w:val="single" w:sz="12" w:space="0" w:color="auto"/>
            </w:tcBorders>
          </w:tcPr>
          <w:p w14:paraId="2518B386" w14:textId="77777777" w:rsidR="00576992" w:rsidRPr="00A535BD" w:rsidRDefault="00576992" w:rsidP="00576992">
            <w:pPr>
              <w:pStyle w:val="Tabletext0"/>
              <w:keepNext/>
              <w:jc w:val="right"/>
              <w:rPr>
                <w:b/>
                <w:bCs/>
              </w:rPr>
            </w:pPr>
            <w:r w:rsidRPr="00A535BD">
              <w:rPr>
                <w:b/>
                <w:bCs/>
              </w:rPr>
              <w:t>-$132.30</w:t>
            </w:r>
          </w:p>
        </w:tc>
        <w:tc>
          <w:tcPr>
            <w:tcW w:w="645" w:type="pct"/>
            <w:tcBorders>
              <w:top w:val="dotted" w:sz="4" w:space="0" w:color="auto"/>
              <w:left w:val="nil"/>
              <w:bottom w:val="single" w:sz="12" w:space="0" w:color="auto"/>
              <w:right w:val="nil"/>
            </w:tcBorders>
          </w:tcPr>
          <w:p w14:paraId="6A0308AB" w14:textId="07A19C60" w:rsidR="00576992" w:rsidRPr="00A535BD" w:rsidRDefault="00F85BF7" w:rsidP="00576992">
            <w:pPr>
              <w:pStyle w:val="Tabletext0"/>
              <w:keepNext/>
              <w:jc w:val="right"/>
              <w:rPr>
                <w:b/>
                <w:bCs/>
              </w:rPr>
            </w:pPr>
            <w:r w:rsidRPr="00A535BD">
              <w:t>$4,393.82</w:t>
            </w:r>
          </w:p>
        </w:tc>
        <w:tc>
          <w:tcPr>
            <w:tcW w:w="645" w:type="pct"/>
            <w:tcBorders>
              <w:top w:val="dotted" w:sz="4" w:space="0" w:color="auto"/>
              <w:left w:val="nil"/>
              <w:bottom w:val="single" w:sz="12" w:space="0" w:color="auto"/>
              <w:right w:val="nil"/>
            </w:tcBorders>
          </w:tcPr>
          <w:p w14:paraId="11707DB0" w14:textId="5DF8B816" w:rsidR="00576992" w:rsidRPr="00A535BD" w:rsidRDefault="00F85BF7" w:rsidP="00576992">
            <w:pPr>
              <w:pStyle w:val="Tabletext0"/>
              <w:keepNext/>
              <w:jc w:val="right"/>
              <w:rPr>
                <w:b/>
                <w:bCs/>
              </w:rPr>
            </w:pPr>
            <w:r w:rsidRPr="00A535BD">
              <w:t>$4,948.62</w:t>
            </w:r>
          </w:p>
        </w:tc>
        <w:tc>
          <w:tcPr>
            <w:tcW w:w="648" w:type="pct"/>
            <w:tcBorders>
              <w:top w:val="dotted" w:sz="4" w:space="0" w:color="auto"/>
              <w:left w:val="nil"/>
              <w:bottom w:val="single" w:sz="12" w:space="0" w:color="auto"/>
              <w:right w:val="single" w:sz="4" w:space="0" w:color="auto"/>
            </w:tcBorders>
          </w:tcPr>
          <w:p w14:paraId="23927C31" w14:textId="29BAFA16" w:rsidR="00576992" w:rsidRPr="00A535BD" w:rsidRDefault="00F85BF7" w:rsidP="00576992">
            <w:pPr>
              <w:pStyle w:val="Tabletext0"/>
              <w:keepNext/>
              <w:jc w:val="right"/>
              <w:rPr>
                <w:b/>
                <w:bCs/>
              </w:rPr>
            </w:pPr>
            <w:r w:rsidRPr="00A535BD">
              <w:t>-$554.80</w:t>
            </w:r>
          </w:p>
        </w:tc>
      </w:tr>
      <w:tr w:rsidR="00461755" w:rsidRPr="005D6BB3" w14:paraId="585417CA" w14:textId="00E0FD7D" w:rsidTr="2F1EB167">
        <w:tc>
          <w:tcPr>
            <w:tcW w:w="1127" w:type="pct"/>
            <w:tcBorders>
              <w:top w:val="single" w:sz="12" w:space="0" w:color="auto"/>
              <w:left w:val="single" w:sz="4" w:space="0" w:color="auto"/>
              <w:bottom w:val="double" w:sz="4" w:space="0" w:color="auto"/>
            </w:tcBorders>
          </w:tcPr>
          <w:p w14:paraId="79A64EC0" w14:textId="77777777" w:rsidR="00576992" w:rsidRPr="00AB4C58" w:rsidRDefault="00576992" w:rsidP="00576992">
            <w:pPr>
              <w:pStyle w:val="Tabletext0"/>
              <w:keepNext/>
              <w:rPr>
                <w:b/>
                <w:bCs/>
              </w:rPr>
            </w:pPr>
            <w:r w:rsidRPr="00AB4C58">
              <w:rPr>
                <w:b/>
                <w:bCs/>
              </w:rPr>
              <w:t>Total costs at 2 years</w:t>
            </w:r>
          </w:p>
        </w:tc>
        <w:tc>
          <w:tcPr>
            <w:tcW w:w="645" w:type="pct"/>
            <w:tcBorders>
              <w:top w:val="single" w:sz="12" w:space="0" w:color="auto"/>
              <w:bottom w:val="double" w:sz="4" w:space="0" w:color="auto"/>
              <w:right w:val="nil"/>
            </w:tcBorders>
          </w:tcPr>
          <w:p w14:paraId="7C281940" w14:textId="1EA8962B" w:rsidR="00576992" w:rsidRPr="00A535BD" w:rsidRDefault="00576992" w:rsidP="00576992">
            <w:pPr>
              <w:pStyle w:val="Tabletext0"/>
              <w:keepNext/>
              <w:jc w:val="right"/>
            </w:pPr>
            <w:r w:rsidRPr="00A535BD">
              <w:t>$</w:t>
            </w:r>
            <w:r w:rsidR="00A535BD" w:rsidRPr="00A535BD">
              <w:rPr>
                <w:b/>
                <w:bCs/>
              </w:rPr>
              <w:t xml:space="preserve"> redacted</w:t>
            </w:r>
          </w:p>
        </w:tc>
        <w:tc>
          <w:tcPr>
            <w:tcW w:w="645" w:type="pct"/>
            <w:tcBorders>
              <w:top w:val="single" w:sz="12" w:space="0" w:color="auto"/>
              <w:left w:val="nil"/>
              <w:bottom w:val="double" w:sz="4" w:space="0" w:color="auto"/>
              <w:right w:val="nil"/>
            </w:tcBorders>
          </w:tcPr>
          <w:p w14:paraId="295DB60B" w14:textId="77777777" w:rsidR="00576992" w:rsidRPr="00A535BD" w:rsidRDefault="00576992" w:rsidP="00576992">
            <w:pPr>
              <w:pStyle w:val="Tabletext0"/>
              <w:keepNext/>
              <w:jc w:val="right"/>
            </w:pPr>
            <w:r w:rsidRPr="00A535BD">
              <w:t>$8,794.37</w:t>
            </w:r>
          </w:p>
        </w:tc>
        <w:tc>
          <w:tcPr>
            <w:tcW w:w="645" w:type="pct"/>
            <w:tcBorders>
              <w:top w:val="single" w:sz="12" w:space="0" w:color="auto"/>
              <w:left w:val="nil"/>
              <w:bottom w:val="double" w:sz="4" w:space="0" w:color="auto"/>
            </w:tcBorders>
          </w:tcPr>
          <w:p w14:paraId="0B1D9F56" w14:textId="180BE8B6" w:rsidR="00576992" w:rsidRPr="00A535BD" w:rsidRDefault="00576992" w:rsidP="00576992">
            <w:pPr>
              <w:pStyle w:val="Tabletext0"/>
              <w:keepNext/>
              <w:jc w:val="right"/>
              <w:rPr>
                <w:b/>
                <w:bCs/>
              </w:rPr>
            </w:pPr>
            <w:r w:rsidRPr="00A535BD">
              <w:rPr>
                <w:b/>
                <w:bCs/>
              </w:rPr>
              <w:t>$</w:t>
            </w:r>
            <w:r w:rsidR="00A535BD" w:rsidRPr="00A535BD">
              <w:rPr>
                <w:b/>
                <w:bCs/>
              </w:rPr>
              <w:t xml:space="preserve"> redacted</w:t>
            </w:r>
          </w:p>
        </w:tc>
        <w:tc>
          <w:tcPr>
            <w:tcW w:w="645" w:type="pct"/>
            <w:tcBorders>
              <w:top w:val="single" w:sz="12" w:space="0" w:color="auto"/>
              <w:left w:val="nil"/>
              <w:bottom w:val="double" w:sz="4" w:space="0" w:color="auto"/>
              <w:right w:val="nil"/>
            </w:tcBorders>
          </w:tcPr>
          <w:p w14:paraId="39580121" w14:textId="6A5F2CAF" w:rsidR="00576992" w:rsidRPr="00A535BD" w:rsidRDefault="00F85BF7" w:rsidP="00576992">
            <w:pPr>
              <w:pStyle w:val="Tabletext0"/>
              <w:keepNext/>
              <w:jc w:val="right"/>
            </w:pPr>
            <w:r w:rsidRPr="00A535BD">
              <w:t>$</w:t>
            </w:r>
            <w:r w:rsidR="00A535BD" w:rsidRPr="00A535BD">
              <w:rPr>
                <w:b/>
                <w:bCs/>
              </w:rPr>
              <w:t xml:space="preserve"> redacted</w:t>
            </w:r>
          </w:p>
        </w:tc>
        <w:tc>
          <w:tcPr>
            <w:tcW w:w="645" w:type="pct"/>
            <w:tcBorders>
              <w:top w:val="single" w:sz="12" w:space="0" w:color="auto"/>
              <w:left w:val="nil"/>
              <w:bottom w:val="double" w:sz="4" w:space="0" w:color="auto"/>
              <w:right w:val="nil"/>
            </w:tcBorders>
          </w:tcPr>
          <w:p w14:paraId="0030326C" w14:textId="139BBF62" w:rsidR="00576992" w:rsidRPr="00A535BD" w:rsidRDefault="00F85BF7" w:rsidP="00576992">
            <w:pPr>
              <w:pStyle w:val="Tabletext0"/>
              <w:keepNext/>
              <w:jc w:val="right"/>
            </w:pPr>
            <w:r w:rsidRPr="00A535BD">
              <w:t>$12,054.93</w:t>
            </w:r>
          </w:p>
        </w:tc>
        <w:tc>
          <w:tcPr>
            <w:tcW w:w="648" w:type="pct"/>
            <w:tcBorders>
              <w:top w:val="single" w:sz="12" w:space="0" w:color="auto"/>
              <w:left w:val="nil"/>
              <w:bottom w:val="double" w:sz="4" w:space="0" w:color="auto"/>
              <w:right w:val="single" w:sz="4" w:space="0" w:color="auto"/>
            </w:tcBorders>
          </w:tcPr>
          <w:p w14:paraId="540B0E22" w14:textId="2B06F955" w:rsidR="00576992" w:rsidRPr="00A535BD" w:rsidRDefault="00F85BF7" w:rsidP="00576992">
            <w:pPr>
              <w:pStyle w:val="Tabletext0"/>
              <w:keepNext/>
              <w:jc w:val="right"/>
              <w:rPr>
                <w:b/>
                <w:bCs/>
              </w:rPr>
            </w:pPr>
            <w:r w:rsidRPr="00A535BD">
              <w:rPr>
                <w:b/>
                <w:bCs/>
              </w:rPr>
              <w:t>$</w:t>
            </w:r>
            <w:r w:rsidR="00A535BD" w:rsidRPr="00A535BD">
              <w:rPr>
                <w:b/>
                <w:bCs/>
              </w:rPr>
              <w:t xml:space="preserve"> redacted</w:t>
            </w:r>
          </w:p>
        </w:tc>
      </w:tr>
      <w:tr w:rsidR="00461755" w:rsidRPr="00AB4C58" w14:paraId="18F44E5D" w14:textId="60D220E7" w:rsidTr="2F1EB167">
        <w:tc>
          <w:tcPr>
            <w:tcW w:w="1127" w:type="pct"/>
            <w:tcBorders>
              <w:top w:val="double" w:sz="4" w:space="0" w:color="auto"/>
              <w:left w:val="single" w:sz="4" w:space="0" w:color="auto"/>
              <w:bottom w:val="nil"/>
            </w:tcBorders>
          </w:tcPr>
          <w:p w14:paraId="2D217641" w14:textId="77777777" w:rsidR="001E0E14" w:rsidRPr="00AB4C58" w:rsidRDefault="001E0E14" w:rsidP="001E0E14">
            <w:pPr>
              <w:pStyle w:val="Tabletext0"/>
              <w:keepNext/>
              <w:rPr>
                <w:b/>
                <w:bCs/>
              </w:rPr>
            </w:pPr>
            <w:r w:rsidRPr="00AB4C58">
              <w:rPr>
                <w:b/>
                <w:bCs/>
              </w:rPr>
              <w:t>Consequence outcomes</w:t>
            </w:r>
          </w:p>
        </w:tc>
        <w:tc>
          <w:tcPr>
            <w:tcW w:w="645" w:type="pct"/>
            <w:tcBorders>
              <w:top w:val="double" w:sz="4" w:space="0" w:color="auto"/>
              <w:bottom w:val="nil"/>
              <w:right w:val="nil"/>
            </w:tcBorders>
          </w:tcPr>
          <w:p w14:paraId="77C2553B" w14:textId="32B82AC4" w:rsidR="001E0E14" w:rsidRPr="00AB4C58" w:rsidRDefault="001E0E14" w:rsidP="001E0E14">
            <w:pPr>
              <w:pStyle w:val="Tabletext0"/>
              <w:keepNext/>
              <w:jc w:val="right"/>
              <w:rPr>
                <w:b/>
                <w:bCs/>
              </w:rPr>
            </w:pPr>
          </w:p>
        </w:tc>
        <w:tc>
          <w:tcPr>
            <w:tcW w:w="645" w:type="pct"/>
            <w:tcBorders>
              <w:top w:val="double" w:sz="4" w:space="0" w:color="auto"/>
              <w:left w:val="nil"/>
              <w:bottom w:val="nil"/>
              <w:right w:val="nil"/>
            </w:tcBorders>
          </w:tcPr>
          <w:p w14:paraId="754CAC6B" w14:textId="427C398A" w:rsidR="001E0E14" w:rsidRPr="00AB4C58" w:rsidRDefault="001E0E14" w:rsidP="001E0E14">
            <w:pPr>
              <w:pStyle w:val="Tabletext0"/>
              <w:keepNext/>
              <w:jc w:val="right"/>
              <w:rPr>
                <w:b/>
                <w:bCs/>
              </w:rPr>
            </w:pPr>
          </w:p>
        </w:tc>
        <w:tc>
          <w:tcPr>
            <w:tcW w:w="645" w:type="pct"/>
            <w:tcBorders>
              <w:top w:val="double" w:sz="4" w:space="0" w:color="auto"/>
              <w:left w:val="nil"/>
              <w:bottom w:val="nil"/>
            </w:tcBorders>
          </w:tcPr>
          <w:p w14:paraId="197F8BF8" w14:textId="20930038" w:rsidR="001E0E14" w:rsidRPr="00AB4C58" w:rsidRDefault="001E0E14" w:rsidP="001E0E14">
            <w:pPr>
              <w:pStyle w:val="Tabletext0"/>
              <w:keepNext/>
              <w:jc w:val="right"/>
              <w:rPr>
                <w:b/>
                <w:bCs/>
              </w:rPr>
            </w:pPr>
          </w:p>
        </w:tc>
        <w:tc>
          <w:tcPr>
            <w:tcW w:w="645" w:type="pct"/>
            <w:tcBorders>
              <w:top w:val="double" w:sz="4" w:space="0" w:color="auto"/>
              <w:left w:val="nil"/>
              <w:bottom w:val="nil"/>
              <w:right w:val="nil"/>
            </w:tcBorders>
          </w:tcPr>
          <w:p w14:paraId="63F6504D" w14:textId="77777777" w:rsidR="001E0E14" w:rsidRPr="00AB4C58" w:rsidRDefault="001E0E14" w:rsidP="001E0E14">
            <w:pPr>
              <w:pStyle w:val="Tabletext0"/>
              <w:keepNext/>
              <w:jc w:val="right"/>
              <w:rPr>
                <w:b/>
                <w:bCs/>
              </w:rPr>
            </w:pPr>
          </w:p>
        </w:tc>
        <w:tc>
          <w:tcPr>
            <w:tcW w:w="645" w:type="pct"/>
            <w:tcBorders>
              <w:top w:val="double" w:sz="4" w:space="0" w:color="auto"/>
              <w:left w:val="nil"/>
              <w:bottom w:val="nil"/>
              <w:right w:val="nil"/>
            </w:tcBorders>
          </w:tcPr>
          <w:p w14:paraId="7B737FA6" w14:textId="77777777" w:rsidR="001E0E14" w:rsidRPr="00AB4C58" w:rsidRDefault="001E0E14" w:rsidP="001E0E14">
            <w:pPr>
              <w:pStyle w:val="Tabletext0"/>
              <w:keepNext/>
              <w:jc w:val="right"/>
              <w:rPr>
                <w:b/>
                <w:bCs/>
              </w:rPr>
            </w:pPr>
          </w:p>
        </w:tc>
        <w:tc>
          <w:tcPr>
            <w:tcW w:w="648" w:type="pct"/>
            <w:tcBorders>
              <w:top w:val="double" w:sz="4" w:space="0" w:color="auto"/>
              <w:left w:val="nil"/>
              <w:bottom w:val="nil"/>
              <w:right w:val="single" w:sz="4" w:space="0" w:color="auto"/>
            </w:tcBorders>
          </w:tcPr>
          <w:p w14:paraId="18F4EFCE" w14:textId="77777777" w:rsidR="001E0E14" w:rsidRPr="00AB4C58" w:rsidRDefault="001E0E14" w:rsidP="001E0E14">
            <w:pPr>
              <w:pStyle w:val="Tabletext0"/>
              <w:keepNext/>
              <w:jc w:val="right"/>
              <w:rPr>
                <w:b/>
                <w:bCs/>
              </w:rPr>
            </w:pPr>
          </w:p>
        </w:tc>
      </w:tr>
      <w:tr w:rsidR="00461755" w:rsidRPr="005D6BB3" w14:paraId="1A6CC17D" w14:textId="1BEB4532" w:rsidTr="2F1EB167">
        <w:tc>
          <w:tcPr>
            <w:tcW w:w="1127" w:type="pct"/>
            <w:tcBorders>
              <w:top w:val="nil"/>
              <w:left w:val="single" w:sz="4" w:space="0" w:color="auto"/>
              <w:bottom w:val="nil"/>
            </w:tcBorders>
          </w:tcPr>
          <w:p w14:paraId="6F6EFE5A" w14:textId="77777777" w:rsidR="00576992" w:rsidRPr="005D6BB3" w:rsidRDefault="00576992" w:rsidP="00576992">
            <w:pPr>
              <w:pStyle w:val="Tabletext0"/>
              <w:keepNext/>
            </w:pPr>
            <w:r w:rsidRPr="005D6BB3">
              <w:t>Index stents</w:t>
            </w:r>
          </w:p>
        </w:tc>
        <w:tc>
          <w:tcPr>
            <w:tcW w:w="645" w:type="pct"/>
            <w:tcBorders>
              <w:top w:val="nil"/>
              <w:bottom w:val="nil"/>
              <w:right w:val="nil"/>
            </w:tcBorders>
          </w:tcPr>
          <w:p w14:paraId="1020C839" w14:textId="661D9BAE" w:rsidR="00576992" w:rsidRPr="005D6BB3" w:rsidRDefault="00576992" w:rsidP="00576992">
            <w:pPr>
              <w:pStyle w:val="Tabletext0"/>
              <w:keepNext/>
              <w:jc w:val="right"/>
            </w:pPr>
            <w:r w:rsidRPr="005D6BB3">
              <w:t>4.6%</w:t>
            </w:r>
          </w:p>
        </w:tc>
        <w:tc>
          <w:tcPr>
            <w:tcW w:w="645" w:type="pct"/>
            <w:tcBorders>
              <w:top w:val="nil"/>
              <w:left w:val="nil"/>
              <w:bottom w:val="nil"/>
              <w:right w:val="nil"/>
            </w:tcBorders>
          </w:tcPr>
          <w:p w14:paraId="54ADDA31" w14:textId="77777777" w:rsidR="00576992" w:rsidRPr="005D6BB3" w:rsidRDefault="00576992" w:rsidP="00576992">
            <w:pPr>
              <w:pStyle w:val="Tabletext0"/>
              <w:keepNext/>
              <w:jc w:val="right"/>
            </w:pPr>
            <w:r w:rsidRPr="005D6BB3">
              <w:t>18.3%</w:t>
            </w:r>
          </w:p>
        </w:tc>
        <w:tc>
          <w:tcPr>
            <w:tcW w:w="645" w:type="pct"/>
            <w:tcBorders>
              <w:top w:val="nil"/>
              <w:left w:val="nil"/>
              <w:bottom w:val="nil"/>
            </w:tcBorders>
          </w:tcPr>
          <w:p w14:paraId="2C987F71" w14:textId="77777777" w:rsidR="00576992" w:rsidRPr="005F4876" w:rsidRDefault="00576992" w:rsidP="00576992">
            <w:pPr>
              <w:pStyle w:val="Tabletext0"/>
              <w:keepNext/>
              <w:jc w:val="right"/>
              <w:rPr>
                <w:b/>
                <w:bCs/>
              </w:rPr>
            </w:pPr>
            <w:r w:rsidRPr="005F4876">
              <w:rPr>
                <w:b/>
                <w:bCs/>
              </w:rPr>
              <w:t>-13.7%</w:t>
            </w:r>
          </w:p>
        </w:tc>
        <w:tc>
          <w:tcPr>
            <w:tcW w:w="645" w:type="pct"/>
            <w:tcBorders>
              <w:top w:val="nil"/>
              <w:left w:val="nil"/>
              <w:bottom w:val="nil"/>
              <w:right w:val="nil"/>
            </w:tcBorders>
          </w:tcPr>
          <w:p w14:paraId="26C837C9" w14:textId="3DADA54E" w:rsidR="00576992" w:rsidRPr="005F4876" w:rsidRDefault="00576992" w:rsidP="00576992">
            <w:pPr>
              <w:pStyle w:val="Tabletext0"/>
              <w:keepNext/>
              <w:jc w:val="right"/>
              <w:rPr>
                <w:b/>
                <w:bCs/>
              </w:rPr>
            </w:pPr>
            <w:r w:rsidRPr="0065693A">
              <w:t>9.4%</w:t>
            </w:r>
          </w:p>
        </w:tc>
        <w:tc>
          <w:tcPr>
            <w:tcW w:w="645" w:type="pct"/>
            <w:tcBorders>
              <w:top w:val="nil"/>
              <w:left w:val="nil"/>
              <w:bottom w:val="nil"/>
              <w:right w:val="nil"/>
            </w:tcBorders>
          </w:tcPr>
          <w:p w14:paraId="6A10EFF6" w14:textId="5361D65B" w:rsidR="00576992" w:rsidRPr="005F4876" w:rsidRDefault="00576992" w:rsidP="00576992">
            <w:pPr>
              <w:pStyle w:val="Tabletext0"/>
              <w:keepNext/>
              <w:jc w:val="right"/>
              <w:rPr>
                <w:b/>
                <w:bCs/>
              </w:rPr>
            </w:pPr>
            <w:r w:rsidRPr="0065693A">
              <w:t>37.2%</w:t>
            </w:r>
          </w:p>
        </w:tc>
        <w:tc>
          <w:tcPr>
            <w:tcW w:w="648" w:type="pct"/>
            <w:tcBorders>
              <w:top w:val="nil"/>
              <w:left w:val="nil"/>
              <w:bottom w:val="nil"/>
              <w:right w:val="single" w:sz="4" w:space="0" w:color="auto"/>
            </w:tcBorders>
          </w:tcPr>
          <w:p w14:paraId="26D29752" w14:textId="3DD1C911" w:rsidR="00576992" w:rsidRPr="00347B43" w:rsidRDefault="00576992" w:rsidP="00576992">
            <w:pPr>
              <w:pStyle w:val="Tabletext0"/>
              <w:keepNext/>
              <w:jc w:val="right"/>
              <w:rPr>
                <w:b/>
                <w:bCs/>
              </w:rPr>
            </w:pPr>
            <w:r w:rsidRPr="007F77E0">
              <w:rPr>
                <w:b/>
                <w:bCs/>
              </w:rPr>
              <w:t>-27.8%</w:t>
            </w:r>
          </w:p>
        </w:tc>
      </w:tr>
      <w:tr w:rsidR="00461755" w:rsidRPr="005D6BB3" w14:paraId="431C0B6B" w14:textId="37FA272F" w:rsidTr="2F1EB167">
        <w:tc>
          <w:tcPr>
            <w:tcW w:w="1127" w:type="pct"/>
            <w:tcBorders>
              <w:top w:val="nil"/>
              <w:left w:val="single" w:sz="4" w:space="0" w:color="auto"/>
              <w:bottom w:val="nil"/>
            </w:tcBorders>
          </w:tcPr>
          <w:p w14:paraId="59479A1F" w14:textId="77777777" w:rsidR="00576992" w:rsidRPr="005D6BB3" w:rsidRDefault="00576992" w:rsidP="00576992">
            <w:pPr>
              <w:pStyle w:val="Tabletext0"/>
              <w:keepNext/>
            </w:pPr>
            <w:r w:rsidRPr="005D6BB3">
              <w:t>Reintervention stents</w:t>
            </w:r>
          </w:p>
        </w:tc>
        <w:tc>
          <w:tcPr>
            <w:tcW w:w="645" w:type="pct"/>
            <w:tcBorders>
              <w:top w:val="nil"/>
              <w:bottom w:val="nil"/>
              <w:right w:val="nil"/>
            </w:tcBorders>
          </w:tcPr>
          <w:p w14:paraId="2AF07C91" w14:textId="3E984683" w:rsidR="00576992" w:rsidRPr="005D6BB3" w:rsidRDefault="00576992" w:rsidP="00576992">
            <w:pPr>
              <w:pStyle w:val="Tabletext0"/>
              <w:keepNext/>
              <w:jc w:val="right"/>
            </w:pPr>
            <w:r w:rsidRPr="005D6BB3">
              <w:t>35.3%</w:t>
            </w:r>
          </w:p>
        </w:tc>
        <w:tc>
          <w:tcPr>
            <w:tcW w:w="645" w:type="pct"/>
            <w:tcBorders>
              <w:top w:val="nil"/>
              <w:left w:val="nil"/>
              <w:bottom w:val="nil"/>
              <w:right w:val="nil"/>
            </w:tcBorders>
          </w:tcPr>
          <w:p w14:paraId="66E79054" w14:textId="77777777" w:rsidR="00576992" w:rsidRPr="005D6BB3" w:rsidRDefault="00576992" w:rsidP="00576992">
            <w:pPr>
              <w:pStyle w:val="Tabletext0"/>
              <w:keepNext/>
              <w:jc w:val="right"/>
            </w:pPr>
            <w:r w:rsidRPr="005D6BB3">
              <w:t>34.6%</w:t>
            </w:r>
          </w:p>
        </w:tc>
        <w:tc>
          <w:tcPr>
            <w:tcW w:w="645" w:type="pct"/>
            <w:tcBorders>
              <w:top w:val="nil"/>
              <w:left w:val="nil"/>
              <w:bottom w:val="nil"/>
            </w:tcBorders>
          </w:tcPr>
          <w:p w14:paraId="5C98D58F" w14:textId="77777777" w:rsidR="00576992" w:rsidRPr="005F4876" w:rsidRDefault="00576992" w:rsidP="00576992">
            <w:pPr>
              <w:pStyle w:val="Tabletext0"/>
              <w:keepNext/>
              <w:jc w:val="right"/>
              <w:rPr>
                <w:b/>
                <w:bCs/>
              </w:rPr>
            </w:pPr>
            <w:r w:rsidRPr="005F4876">
              <w:rPr>
                <w:b/>
                <w:bCs/>
              </w:rPr>
              <w:t>0.77%</w:t>
            </w:r>
          </w:p>
        </w:tc>
        <w:tc>
          <w:tcPr>
            <w:tcW w:w="645" w:type="pct"/>
            <w:tcBorders>
              <w:top w:val="nil"/>
              <w:left w:val="nil"/>
              <w:bottom w:val="nil"/>
              <w:right w:val="nil"/>
            </w:tcBorders>
          </w:tcPr>
          <w:p w14:paraId="68E5B08A" w14:textId="17EE6C45" w:rsidR="00576992" w:rsidRPr="005F4876" w:rsidRDefault="00576992" w:rsidP="00576992">
            <w:pPr>
              <w:pStyle w:val="Tabletext0"/>
              <w:keepNext/>
              <w:jc w:val="right"/>
              <w:rPr>
                <w:b/>
                <w:bCs/>
              </w:rPr>
            </w:pPr>
            <w:r w:rsidRPr="0065693A">
              <w:t>35.6%</w:t>
            </w:r>
          </w:p>
        </w:tc>
        <w:tc>
          <w:tcPr>
            <w:tcW w:w="645" w:type="pct"/>
            <w:tcBorders>
              <w:top w:val="nil"/>
              <w:left w:val="nil"/>
              <w:bottom w:val="nil"/>
              <w:right w:val="nil"/>
            </w:tcBorders>
          </w:tcPr>
          <w:p w14:paraId="4EB290B3" w14:textId="43EABD26" w:rsidR="00576992" w:rsidRPr="005F4876" w:rsidRDefault="00576992" w:rsidP="00576992">
            <w:pPr>
              <w:pStyle w:val="Tabletext0"/>
              <w:keepNext/>
              <w:jc w:val="right"/>
              <w:rPr>
                <w:b/>
                <w:bCs/>
              </w:rPr>
            </w:pPr>
            <w:r w:rsidRPr="0065693A">
              <w:t>35.6%</w:t>
            </w:r>
          </w:p>
        </w:tc>
        <w:tc>
          <w:tcPr>
            <w:tcW w:w="648" w:type="pct"/>
            <w:tcBorders>
              <w:top w:val="nil"/>
              <w:left w:val="nil"/>
              <w:bottom w:val="nil"/>
              <w:right w:val="single" w:sz="4" w:space="0" w:color="auto"/>
            </w:tcBorders>
          </w:tcPr>
          <w:p w14:paraId="3365F274" w14:textId="5497F868" w:rsidR="00576992" w:rsidRPr="00347B43" w:rsidRDefault="00576992" w:rsidP="00576992">
            <w:pPr>
              <w:pStyle w:val="Tabletext0"/>
              <w:keepNext/>
              <w:jc w:val="right"/>
              <w:rPr>
                <w:b/>
                <w:bCs/>
              </w:rPr>
            </w:pPr>
            <w:r w:rsidRPr="007F77E0">
              <w:rPr>
                <w:b/>
                <w:bCs/>
              </w:rPr>
              <w:t>0.00%</w:t>
            </w:r>
          </w:p>
        </w:tc>
      </w:tr>
      <w:tr w:rsidR="00461755" w:rsidRPr="005D6BB3" w14:paraId="7B46A419" w14:textId="199AD97A" w:rsidTr="2F1EB167">
        <w:tc>
          <w:tcPr>
            <w:tcW w:w="1127" w:type="pct"/>
            <w:tcBorders>
              <w:top w:val="nil"/>
              <w:left w:val="single" w:sz="4" w:space="0" w:color="auto"/>
              <w:bottom w:val="single" w:sz="4" w:space="0" w:color="auto"/>
            </w:tcBorders>
          </w:tcPr>
          <w:p w14:paraId="25EEEADA" w14:textId="77777777" w:rsidR="00576992" w:rsidRPr="005D6BB3" w:rsidRDefault="00576992" w:rsidP="00576992">
            <w:pPr>
              <w:pStyle w:val="Tabletext0"/>
              <w:keepNext/>
            </w:pPr>
            <w:r w:rsidRPr="005D6BB3">
              <w:t>Amputation</w:t>
            </w:r>
          </w:p>
        </w:tc>
        <w:tc>
          <w:tcPr>
            <w:tcW w:w="645" w:type="pct"/>
            <w:tcBorders>
              <w:top w:val="nil"/>
              <w:bottom w:val="single" w:sz="4" w:space="0" w:color="auto"/>
              <w:right w:val="nil"/>
            </w:tcBorders>
          </w:tcPr>
          <w:p w14:paraId="59B48503" w14:textId="1737C7BA" w:rsidR="00576992" w:rsidRPr="005D6BB3" w:rsidRDefault="00576992" w:rsidP="00576992">
            <w:pPr>
              <w:pStyle w:val="Tabletext0"/>
              <w:keepNext/>
              <w:jc w:val="right"/>
            </w:pPr>
            <w:r w:rsidRPr="005D6BB3">
              <w:t>0.06%</w:t>
            </w:r>
          </w:p>
        </w:tc>
        <w:tc>
          <w:tcPr>
            <w:tcW w:w="645" w:type="pct"/>
            <w:tcBorders>
              <w:top w:val="nil"/>
              <w:left w:val="nil"/>
              <w:bottom w:val="single" w:sz="4" w:space="0" w:color="auto"/>
              <w:right w:val="nil"/>
            </w:tcBorders>
          </w:tcPr>
          <w:p w14:paraId="7D5F996E" w14:textId="77777777" w:rsidR="00576992" w:rsidRPr="005D6BB3" w:rsidRDefault="00576992" w:rsidP="00576992">
            <w:pPr>
              <w:pStyle w:val="Tabletext0"/>
              <w:keepNext/>
              <w:jc w:val="right"/>
            </w:pPr>
            <w:r w:rsidRPr="005D6BB3">
              <w:t>0.22%</w:t>
            </w:r>
          </w:p>
        </w:tc>
        <w:tc>
          <w:tcPr>
            <w:tcW w:w="645" w:type="pct"/>
            <w:tcBorders>
              <w:top w:val="nil"/>
              <w:left w:val="nil"/>
              <w:bottom w:val="single" w:sz="4" w:space="0" w:color="auto"/>
            </w:tcBorders>
          </w:tcPr>
          <w:p w14:paraId="578E0CE4" w14:textId="77777777" w:rsidR="00576992" w:rsidRPr="005F4876" w:rsidRDefault="00576992" w:rsidP="00576992">
            <w:pPr>
              <w:pStyle w:val="Tabletext0"/>
              <w:keepNext/>
              <w:jc w:val="right"/>
              <w:rPr>
                <w:b/>
                <w:bCs/>
              </w:rPr>
            </w:pPr>
            <w:r w:rsidRPr="005F4876">
              <w:rPr>
                <w:b/>
                <w:bCs/>
              </w:rPr>
              <w:t>-0.16%</w:t>
            </w:r>
          </w:p>
        </w:tc>
        <w:tc>
          <w:tcPr>
            <w:tcW w:w="645" w:type="pct"/>
            <w:tcBorders>
              <w:top w:val="nil"/>
              <w:left w:val="nil"/>
              <w:bottom w:val="single" w:sz="4" w:space="0" w:color="auto"/>
              <w:right w:val="nil"/>
            </w:tcBorders>
          </w:tcPr>
          <w:p w14:paraId="60C021A6" w14:textId="540BDD09" w:rsidR="00576992" w:rsidRPr="005F4876" w:rsidRDefault="00576992" w:rsidP="00576992">
            <w:pPr>
              <w:pStyle w:val="Tabletext0"/>
              <w:keepNext/>
              <w:jc w:val="right"/>
              <w:rPr>
                <w:b/>
                <w:bCs/>
              </w:rPr>
            </w:pPr>
            <w:r w:rsidRPr="0065693A">
              <w:t>0.13%</w:t>
            </w:r>
          </w:p>
        </w:tc>
        <w:tc>
          <w:tcPr>
            <w:tcW w:w="645" w:type="pct"/>
            <w:tcBorders>
              <w:top w:val="nil"/>
              <w:left w:val="nil"/>
              <w:bottom w:val="single" w:sz="4" w:space="0" w:color="auto"/>
              <w:right w:val="nil"/>
            </w:tcBorders>
          </w:tcPr>
          <w:p w14:paraId="45D7C288" w14:textId="2C8D181F" w:rsidR="00576992" w:rsidRPr="005F4876" w:rsidRDefault="00576992" w:rsidP="00576992">
            <w:pPr>
              <w:pStyle w:val="Tabletext0"/>
              <w:keepNext/>
              <w:jc w:val="right"/>
              <w:rPr>
                <w:b/>
                <w:bCs/>
              </w:rPr>
            </w:pPr>
            <w:r w:rsidRPr="0065693A">
              <w:t>0.53%</w:t>
            </w:r>
          </w:p>
        </w:tc>
        <w:tc>
          <w:tcPr>
            <w:tcW w:w="648" w:type="pct"/>
            <w:tcBorders>
              <w:top w:val="nil"/>
              <w:left w:val="nil"/>
              <w:bottom w:val="single" w:sz="4" w:space="0" w:color="auto"/>
              <w:right w:val="single" w:sz="4" w:space="0" w:color="auto"/>
            </w:tcBorders>
          </w:tcPr>
          <w:p w14:paraId="014EC476" w14:textId="15FC7B2C" w:rsidR="00576992" w:rsidRPr="00347B43" w:rsidRDefault="00576992" w:rsidP="00576992">
            <w:pPr>
              <w:pStyle w:val="Tabletext0"/>
              <w:keepNext/>
              <w:jc w:val="right"/>
              <w:rPr>
                <w:b/>
                <w:bCs/>
              </w:rPr>
            </w:pPr>
            <w:r w:rsidRPr="007F77E0">
              <w:rPr>
                <w:b/>
                <w:bCs/>
              </w:rPr>
              <w:t>-0.40%</w:t>
            </w:r>
          </w:p>
        </w:tc>
      </w:tr>
    </w:tbl>
    <w:p w14:paraId="5BD92153" w14:textId="2223810D" w:rsidR="005D6BB3" w:rsidRDefault="00594CE8" w:rsidP="00907711">
      <w:pPr>
        <w:pStyle w:val="Tablenotes0"/>
      </w:pPr>
      <w:r>
        <w:t xml:space="preserve">ADAR = Applicant Developed Assessment Report; </w:t>
      </w:r>
      <w:r w:rsidR="00A41EA1">
        <w:t xml:space="preserve">CCA = cost-consequence analysis; </w:t>
      </w:r>
      <w:r w:rsidR="005D6BB3">
        <w:t>IVL</w:t>
      </w:r>
      <w:r w:rsidR="00907711">
        <w:t xml:space="preserve"> = </w:t>
      </w:r>
      <w:r w:rsidR="005D6BB3">
        <w:t>intravascular lithotripsy; MBS</w:t>
      </w:r>
      <w:r w:rsidR="00907711">
        <w:t xml:space="preserve"> = </w:t>
      </w:r>
      <w:r w:rsidR="005D6BB3">
        <w:t>Medicare Benefits Schedule; SBA</w:t>
      </w:r>
      <w:r w:rsidR="00907711">
        <w:t xml:space="preserve"> = </w:t>
      </w:r>
      <w:r w:rsidR="005D6BB3">
        <w:t>standard balloon angiography.</w:t>
      </w:r>
    </w:p>
    <w:p w14:paraId="145E0D99" w14:textId="5B56B1AE" w:rsidR="00834780" w:rsidRDefault="002701B3" w:rsidP="00907711">
      <w:pPr>
        <w:pStyle w:val="Tablenotes0"/>
      </w:pPr>
      <w:r>
        <w:t>Note:</w:t>
      </w:r>
      <w:r w:rsidR="00834780">
        <w:t xml:space="preserve"> Numbers </w:t>
      </w:r>
      <w:r>
        <w:t>may</w:t>
      </w:r>
      <w:r w:rsidR="00834780">
        <w:t xml:space="preserve"> not add up due to rounding</w:t>
      </w:r>
      <w:r w:rsidR="0057648A">
        <w:t>.</w:t>
      </w:r>
    </w:p>
    <w:p w14:paraId="38547795" w14:textId="23F31669" w:rsidR="009577BC" w:rsidRDefault="003014B7" w:rsidP="00907711">
      <w:pPr>
        <w:pStyle w:val="Tablenotes0"/>
      </w:pPr>
      <w:proofErr w:type="spellStart"/>
      <w:r w:rsidRPr="2F1EB167">
        <w:t>a</w:t>
      </w:r>
      <w:proofErr w:type="spellEnd"/>
      <w:r w:rsidRPr="2F1EB167">
        <w:t xml:space="preserve"> T</w:t>
      </w:r>
      <w:r w:rsidR="009577BC" w:rsidRPr="2F1EB167">
        <w:t>he following errors</w:t>
      </w:r>
      <w:r w:rsidR="00B95858" w:rsidRPr="2F1EB167">
        <w:t xml:space="preserve"> were corrected</w:t>
      </w:r>
      <w:r w:rsidR="009577BC" w:rsidRPr="2F1EB167">
        <w:t xml:space="preserve">: (1) formula error </w:t>
      </w:r>
      <w:r w:rsidR="00715627" w:rsidRPr="2F1EB167">
        <w:t xml:space="preserve">– </w:t>
      </w:r>
      <w:r w:rsidR="009577BC" w:rsidRPr="2F1EB167">
        <w:t>inclusion of the sum of all reintervention costs within the formula calculating the cost of amputation; (2) cost input error</w:t>
      </w:r>
      <w:r w:rsidR="00715627" w:rsidRPr="2F1EB167">
        <w:t xml:space="preserve"> – </w:t>
      </w:r>
      <w:r w:rsidR="009577BC" w:rsidRPr="2F1EB167">
        <w:t>use of day stay instead of overnight h</w:t>
      </w:r>
      <w:r w:rsidR="00524295" w:rsidRPr="2F1EB167">
        <w:t>o</w:t>
      </w:r>
      <w:r w:rsidR="009577BC" w:rsidRPr="2F1EB167">
        <w:t>spital costs for reintervention by endovascular stent placement; (3) data extraction error for hospital costs</w:t>
      </w:r>
      <w:r w:rsidR="00715627" w:rsidRPr="2F1EB167">
        <w:t xml:space="preserve"> – </w:t>
      </w:r>
      <w:r w:rsidR="009577BC" w:rsidRPr="2F1EB167">
        <w:t xml:space="preserve">use of incorrect values from the </w:t>
      </w:r>
      <w:r w:rsidR="00715627" w:rsidRPr="2F1EB167">
        <w:t>NHCDC</w:t>
      </w:r>
      <w:r w:rsidR="009577BC" w:rsidRPr="2F1EB167">
        <w:t xml:space="preserve"> Version 10.0, Round 24 (2019-20); (4) data extraction/calculation error for reintervention rates</w:t>
      </w:r>
      <w:r w:rsidR="00715627" w:rsidRPr="2F1EB167">
        <w:t xml:space="preserve"> – </w:t>
      </w:r>
      <w:r w:rsidR="009577BC" w:rsidRPr="2F1EB167">
        <w:t>use of 18.4% instead of 35.6% TLR rate for non-stented patients; (5) data extraction error for amputation rate</w:t>
      </w:r>
      <w:r w:rsidR="00715627" w:rsidRPr="2F1EB167">
        <w:t xml:space="preserve"> – </w:t>
      </w:r>
      <w:r w:rsidR="009577BC" w:rsidRPr="2F1EB167">
        <w:t>use of 6% instead of 4% after reintervention of stented patients. An inconsistency in the SBA cost between this table and other sources (i.e. the Excel model and elsewhere in the ADAR) has also been corrected</w:t>
      </w:r>
      <w:r w:rsidR="00C51108" w:rsidRPr="2F1EB167">
        <w:t xml:space="preserve"> (</w:t>
      </w:r>
      <w:r w:rsidR="009577BC" w:rsidRPr="2F1EB167">
        <w:t>appear</w:t>
      </w:r>
      <w:r w:rsidR="00C51108" w:rsidRPr="2F1EB167">
        <w:t>s</w:t>
      </w:r>
      <w:r w:rsidR="009577BC" w:rsidRPr="2F1EB167">
        <w:t xml:space="preserve"> to be a transcription error</w:t>
      </w:r>
      <w:r w:rsidR="00C51108" w:rsidRPr="2F1EB167">
        <w:t>)</w:t>
      </w:r>
      <w:r w:rsidR="009577BC" w:rsidRPr="2F1EB167">
        <w:t>.</w:t>
      </w:r>
    </w:p>
    <w:p w14:paraId="4688C312" w14:textId="44BB743F" w:rsidR="00831944" w:rsidRPr="00831944" w:rsidRDefault="00831944" w:rsidP="2F1EB167">
      <w:pPr>
        <w:pStyle w:val="Tablenotes0"/>
        <w:spacing w:before="0" w:after="0"/>
      </w:pPr>
      <w:r w:rsidRPr="2F1EB167">
        <w:t>b Commentary alternative base case CCA economic model and estimates updated for ESC using current national efficient price and AR-DRG F11</w:t>
      </w:r>
      <w:proofErr w:type="gramStart"/>
      <w:r w:rsidRPr="2F1EB167">
        <w:t>A,B</w:t>
      </w:r>
      <w:proofErr w:type="gramEnd"/>
      <w:r w:rsidRPr="2F1EB167">
        <w:rPr>
          <w:rStyle w:val="CommentaryTabletextleftChar"/>
          <w:color w:val="auto"/>
          <w:sz w:val="18"/>
          <w:szCs w:val="18"/>
        </w:rPr>
        <w:t xml:space="preserve">,C – </w:t>
      </w:r>
      <w:r w:rsidRPr="2F1EB167">
        <w:t>NHCDC Version 11.0, Round 25 (2020-21).</w:t>
      </w:r>
    </w:p>
    <w:p w14:paraId="07B05B84" w14:textId="71599756" w:rsidR="00831944" w:rsidRPr="00831944" w:rsidRDefault="00831944" w:rsidP="00831944">
      <w:pPr>
        <w:pStyle w:val="Tablenotes0"/>
        <w:rPr>
          <w:szCs w:val="18"/>
        </w:rPr>
      </w:pPr>
      <w:r w:rsidRPr="00831944">
        <w:rPr>
          <w:szCs w:val="18"/>
        </w:rPr>
        <w:t xml:space="preserve">Source: adapted from Commentary Table </w:t>
      </w:r>
      <w:r>
        <w:rPr>
          <w:szCs w:val="18"/>
        </w:rPr>
        <w:t>6</w:t>
      </w:r>
      <w:r w:rsidRPr="00831944">
        <w:rPr>
          <w:szCs w:val="18"/>
        </w:rPr>
        <w:t xml:space="preserve"> of MSAC 1734 resubmission ADAR + in-line commentary.</w:t>
      </w:r>
    </w:p>
    <w:bookmarkEnd w:id="23"/>
    <w:p w14:paraId="1C2E64D1" w14:textId="6369D2B5" w:rsidR="00F543FE" w:rsidRDefault="00F543FE" w:rsidP="00F4190C">
      <w:pPr>
        <w:sectPr w:rsidR="00F543FE" w:rsidSect="00C34038">
          <w:pgSz w:w="11906" w:h="16838"/>
          <w:pgMar w:top="1440" w:right="1440" w:bottom="1440" w:left="1440" w:header="709" w:footer="709" w:gutter="0"/>
          <w:cols w:space="708"/>
          <w:docGrid w:linePitch="360"/>
        </w:sectPr>
      </w:pPr>
    </w:p>
    <w:p w14:paraId="2A87B6F7" w14:textId="2F1926C3" w:rsidR="00F4190C" w:rsidRDefault="00F4190C" w:rsidP="00F4190C">
      <w:r w:rsidRPr="2F1EB167">
        <w:lastRenderedPageBreak/>
        <w:t>As seen with the original ADAR CCA</w:t>
      </w:r>
      <w:r w:rsidR="00E03B4C" w:rsidRPr="2F1EB167">
        <w:t xml:space="preserve"> (</w:t>
      </w:r>
      <w:r w:rsidR="00043460" w:rsidRPr="2F1EB167">
        <w:t xml:space="preserve">which applied </w:t>
      </w:r>
      <w:r w:rsidRPr="2F1EB167">
        <w:t xml:space="preserve">the relative risk from the </w:t>
      </w:r>
      <w:r w:rsidR="00D41AAD" w:rsidRPr="2F1EB167">
        <w:t xml:space="preserve">DISRUPT PAD III </w:t>
      </w:r>
      <w:r w:rsidRPr="2F1EB167">
        <w:t xml:space="preserve">RCT </w:t>
      </w:r>
      <w:r w:rsidR="00830D3C" w:rsidRPr="2F1EB167">
        <w:t>to a stenting rate of 45% sourced from MBS utilisation data</w:t>
      </w:r>
      <w:r w:rsidR="00E03B4C" w:rsidRPr="2F1EB167">
        <w:t>)</w:t>
      </w:r>
      <w:r w:rsidR="00B6508D" w:rsidRPr="2F1EB167">
        <w:t xml:space="preserve">, </w:t>
      </w:r>
      <w:r w:rsidR="00445A85" w:rsidRPr="2F1EB167">
        <w:t xml:space="preserve">when the relative risk from the RCT </w:t>
      </w:r>
      <w:r w:rsidR="00E03B4C" w:rsidRPr="2F1EB167">
        <w:t>wa</w:t>
      </w:r>
      <w:r w:rsidRPr="2F1EB167">
        <w:t xml:space="preserve">s applied to a stenting rate of 37.2% </w:t>
      </w:r>
      <w:r w:rsidR="00445A85" w:rsidRPr="2F1EB167">
        <w:t xml:space="preserve">sourced from </w:t>
      </w:r>
      <w:r w:rsidR="007460ED" w:rsidRPr="2F1EB167">
        <w:t>2021–2023</w:t>
      </w:r>
      <w:r w:rsidR="00B6508D" w:rsidRPr="2F1EB167">
        <w:t xml:space="preserve"> </w:t>
      </w:r>
      <w:r w:rsidRPr="2F1EB167">
        <w:t xml:space="preserve">AVA </w:t>
      </w:r>
      <w:r w:rsidR="00445A85" w:rsidRPr="2F1EB167">
        <w:t>data</w:t>
      </w:r>
      <w:r w:rsidRPr="2F1EB167">
        <w:t>, it also produce</w:t>
      </w:r>
      <w:r w:rsidR="00B6508D" w:rsidRPr="2F1EB167">
        <w:t>d</w:t>
      </w:r>
      <w:r w:rsidRPr="2F1EB167">
        <w:t xml:space="preserve"> a large decrease in absolute stenting rates that may be unrealistic to expect in clinical practice. </w:t>
      </w:r>
      <w:r w:rsidR="00CD0398" w:rsidRPr="2F1EB167">
        <w:t>T</w:t>
      </w:r>
      <w:r w:rsidRPr="2F1EB167">
        <w:t xml:space="preserve">he findings of the commentary </w:t>
      </w:r>
      <w:r w:rsidR="00CD0398" w:rsidRPr="2F1EB167">
        <w:t xml:space="preserve">(alternative) </w:t>
      </w:r>
      <w:r w:rsidRPr="2F1EB167">
        <w:t xml:space="preserve">base case should </w:t>
      </w:r>
      <w:r w:rsidR="007E2F32" w:rsidRPr="2F1EB167">
        <w:t xml:space="preserve">therefore </w:t>
      </w:r>
      <w:r w:rsidRPr="2F1EB167">
        <w:t xml:space="preserve">be considered </w:t>
      </w:r>
      <w:proofErr w:type="gramStart"/>
      <w:r w:rsidRPr="2F1EB167">
        <w:t>in light of</w:t>
      </w:r>
      <w:proofErr w:type="gramEnd"/>
      <w:r w:rsidRPr="2F1EB167">
        <w:t xml:space="preserve"> the uncertainty associated with the relative risk reduction of stenting observed in the RCT.</w:t>
      </w:r>
    </w:p>
    <w:p w14:paraId="0F0B8084" w14:textId="37DBE872" w:rsidR="00832111" w:rsidRDefault="00636209" w:rsidP="00832111">
      <w:r>
        <w:t>The</w:t>
      </w:r>
      <w:r w:rsidR="00832111">
        <w:t xml:space="preserve"> DISRUPT PAD III RCT reported reintervention at two years as freedom from clinically driven TLR. No statistically significant difference was found between IVL and SBA. </w:t>
      </w:r>
      <w:r w:rsidR="00517549">
        <w:t>As</w:t>
      </w:r>
      <w:r w:rsidR="00832111">
        <w:t xml:space="preserve"> reintervention rates were not reported in the study publication, reintervention rates in the CCA could not be informed from the RCT and were sour</w:t>
      </w:r>
      <w:r w:rsidR="00DF020D">
        <w:t>c</w:t>
      </w:r>
      <w:r w:rsidR="00832111">
        <w:t xml:space="preserve">ed from the literature instead, according to stent placement at index procedure. However, the source provided </w:t>
      </w:r>
      <w:r w:rsidR="00EF6652">
        <w:t xml:space="preserve">in the ADAR resubmission </w:t>
      </w:r>
      <w:r w:rsidR="00832111">
        <w:t xml:space="preserve">for reintervention in stented patients was a range quoted in an editorial, and this was not considered robust by the commentary. For reintervention in non-stented patients, the resubmission used a study from 2010; </w:t>
      </w:r>
      <w:r w:rsidR="00005F93">
        <w:t xml:space="preserve">the commentary noted </w:t>
      </w:r>
      <w:r w:rsidR="00154D1F">
        <w:t xml:space="preserve">that </w:t>
      </w:r>
      <w:r w:rsidR="00832111">
        <w:t>while this may be considered a more reliable source than an editorial, it is not contemporaneous, so may not reflect current clinical practice.</w:t>
      </w:r>
    </w:p>
    <w:p w14:paraId="55CF781E" w14:textId="6D798C54" w:rsidR="002F6B9D" w:rsidRDefault="00832111" w:rsidP="00832111">
      <w:r>
        <w:t xml:space="preserve">Therefore, the inputs informing any cost offsets inferred due to a reduced risk of reintervention at two years after IVL are not reliable and introduce uncertainty. The assumption used in the </w:t>
      </w:r>
      <w:r w:rsidR="00C8107E">
        <w:t xml:space="preserve">base case of the </w:t>
      </w:r>
      <w:r>
        <w:t>resubmission CCA that only patients who received a stent at index procedure would undergo TLR by open surgery is not supported, and favours IVL.</w:t>
      </w:r>
    </w:p>
    <w:p w14:paraId="2625A298" w14:textId="1F9F6C8E" w:rsidR="008328E6" w:rsidRDefault="00C1095A" w:rsidP="00C1095A">
      <w:pPr>
        <w:pStyle w:val="Heading3"/>
      </w:pPr>
      <w:r>
        <w:t>Sensitivity analyses</w:t>
      </w:r>
    </w:p>
    <w:p w14:paraId="1EE7818C" w14:textId="077ED378" w:rsidR="00CD7AC4" w:rsidRDefault="002774CC" w:rsidP="008328E6">
      <w:r>
        <w:t xml:space="preserve">The ADAR resubmission </w:t>
      </w:r>
      <w:r w:rsidR="005E74B8">
        <w:t>presented the results of two sensitivity analyses</w:t>
      </w:r>
      <w:r w:rsidR="00FE04B7">
        <w:t xml:space="preserve"> that used alternative </w:t>
      </w:r>
      <w:r w:rsidR="00FF4BFD">
        <w:t xml:space="preserve">index procedure </w:t>
      </w:r>
      <w:r w:rsidR="00FE04B7">
        <w:t xml:space="preserve">stenting rates </w:t>
      </w:r>
      <w:r w:rsidR="00E4209C">
        <w:t>for the comparator (SBA)</w:t>
      </w:r>
      <w:r w:rsidR="00E22070">
        <w:t xml:space="preserve"> arm</w:t>
      </w:r>
      <w:r w:rsidR="005E74B8">
        <w:t xml:space="preserve">. </w:t>
      </w:r>
      <w:r w:rsidR="00674498">
        <w:t xml:space="preserve">The first </w:t>
      </w:r>
      <w:r w:rsidR="00E4209C">
        <w:t xml:space="preserve">analysis </w:t>
      </w:r>
      <w:r w:rsidR="00E22070">
        <w:t xml:space="preserve">used </w:t>
      </w:r>
      <w:r w:rsidR="00C529E7">
        <w:t>the stenting rate</w:t>
      </w:r>
      <w:r w:rsidR="00674498">
        <w:t xml:space="preserve"> from the 2022 AVA Public Report and the second </w:t>
      </w:r>
      <w:r w:rsidR="00C529E7">
        <w:t>derived</w:t>
      </w:r>
      <w:r w:rsidR="00CD7AC4">
        <w:t xml:space="preserve"> </w:t>
      </w:r>
      <w:r w:rsidR="00C529E7">
        <w:t xml:space="preserve">the stenting rate from </w:t>
      </w:r>
      <w:r w:rsidR="00CD7AC4">
        <w:t>MBS utilisation data.</w:t>
      </w:r>
      <w:r w:rsidR="00E4209C">
        <w:t xml:space="preserve"> </w:t>
      </w:r>
      <w:r w:rsidR="00E22070" w:rsidRPr="00E22070">
        <w:t>The premise of the</w:t>
      </w:r>
      <w:r w:rsidR="001F0956">
        <w:t>se</w:t>
      </w:r>
      <w:r w:rsidR="00E22070" w:rsidRPr="00E22070">
        <w:t xml:space="preserve"> analyses </w:t>
      </w:r>
      <w:r w:rsidR="00E22070">
        <w:t>was</w:t>
      </w:r>
      <w:r w:rsidR="00E22070" w:rsidRPr="00E22070">
        <w:t xml:space="preserve"> not considered reasonable by the commentary. Changing baseline stenting rates in the SBA arm while keeping the stenting rate in the IVL arm at 4.6% (DISRUPT PAD III RCT) ignores the relative risk of stenting from the DISRUPT PAD III RCT. It inflates the absolute value of stents avoided, and the resubmission ADAR provide</w:t>
      </w:r>
      <w:r w:rsidR="00E03B4C">
        <w:t>d</w:t>
      </w:r>
      <w:r w:rsidR="00E22070" w:rsidRPr="00E22070">
        <w:t xml:space="preserve"> no rationale to support this approach.</w:t>
      </w:r>
    </w:p>
    <w:p w14:paraId="6766F49B" w14:textId="665D8AE7" w:rsidR="008328E6" w:rsidRDefault="008328E6" w:rsidP="008328E6">
      <w:r w:rsidRPr="6DE7DC23">
        <w:rPr>
          <w:lang w:val="en-GB"/>
        </w:rPr>
        <w:t xml:space="preserve">Results of a selection of sensitivity analyses using the commentary </w:t>
      </w:r>
      <w:r w:rsidR="00595CB9" w:rsidRPr="6DE7DC23">
        <w:rPr>
          <w:lang w:val="en-GB"/>
        </w:rPr>
        <w:t xml:space="preserve">(alternative) </w:t>
      </w:r>
      <w:r w:rsidRPr="6DE7DC23">
        <w:rPr>
          <w:lang w:val="en-GB"/>
        </w:rPr>
        <w:t xml:space="preserve">base case are shown in </w:t>
      </w:r>
      <w:r>
        <w:fldChar w:fldCharType="begin"/>
      </w:r>
      <w:r>
        <w:instrText xml:space="preserve"> REF _Ref173238964 \h </w:instrText>
      </w:r>
      <w:r>
        <w:fldChar w:fldCharType="separate"/>
      </w:r>
      <w:r w:rsidR="000A04D8" w:rsidRPr="6DE7DC23">
        <w:rPr>
          <w:lang w:val="en-GB"/>
        </w:rPr>
        <w:t>Table 8</w:t>
      </w:r>
      <w:r>
        <w:fldChar w:fldCharType="end"/>
      </w:r>
      <w:r w:rsidR="00D213DF" w:rsidRPr="6DE7DC23">
        <w:rPr>
          <w:lang w:val="en-GB"/>
        </w:rPr>
        <w:t xml:space="preserve">. </w:t>
      </w:r>
      <w:r w:rsidRPr="6DE7DC23">
        <w:rPr>
          <w:lang w:val="en-GB"/>
        </w:rPr>
        <w:t xml:space="preserve">The incremental cost of IVL </w:t>
      </w:r>
      <w:r w:rsidR="00AE52BD" w:rsidRPr="6DE7DC23">
        <w:rPr>
          <w:lang w:val="en-GB"/>
        </w:rPr>
        <w:t>wa</w:t>
      </w:r>
      <w:r w:rsidRPr="6DE7DC23">
        <w:rPr>
          <w:lang w:val="en-GB"/>
        </w:rPr>
        <w:t xml:space="preserve">s most sensitive to the number of IVL catheters used per procedure and the absolute difference in index procedure stenting rates between the </w:t>
      </w:r>
      <w:r w:rsidR="00987013" w:rsidRPr="6DE7DC23">
        <w:rPr>
          <w:lang w:val="en-GB"/>
        </w:rPr>
        <w:t>intervention and comparator</w:t>
      </w:r>
      <w:r w:rsidRPr="6DE7DC23">
        <w:rPr>
          <w:lang w:val="en-GB"/>
        </w:rPr>
        <w:t xml:space="preserve">. The incremental cost </w:t>
      </w:r>
      <w:r w:rsidR="00AE52BD" w:rsidRPr="6DE7DC23">
        <w:rPr>
          <w:lang w:val="en-GB"/>
        </w:rPr>
        <w:t>wa</w:t>
      </w:r>
      <w:r w:rsidRPr="6DE7DC23">
        <w:rPr>
          <w:lang w:val="en-GB"/>
        </w:rPr>
        <w:t>s also sensitive to reintervention rates being lower in stented patients compared to non-stented patients</w:t>
      </w:r>
      <w:r w:rsidR="003A23BE" w:rsidRPr="6DE7DC23">
        <w:rPr>
          <w:lang w:val="en-GB"/>
        </w:rPr>
        <w:t>;</w:t>
      </w:r>
      <w:r w:rsidRPr="6DE7DC23">
        <w:rPr>
          <w:lang w:val="en-GB"/>
        </w:rPr>
        <w:t xml:space="preserve"> the resubmission ADAR provided insufficient data to indicate the expected relative rates of reintervention in these groups.</w:t>
      </w:r>
    </w:p>
    <w:p w14:paraId="73C2C183" w14:textId="42119FC3" w:rsidR="008328E6" w:rsidRDefault="008328E6" w:rsidP="008328E6">
      <w:r>
        <w:t xml:space="preserve">As index stents avoided is solely a factor of the absolute difference in index procedure stenting rates, index stents avoided is almost eliminated in the sensitivity analysis that uses the DISRUPT PAD III </w:t>
      </w:r>
      <w:r w:rsidR="00987EFF" w:rsidRPr="004215AF">
        <w:t>O</w:t>
      </w:r>
      <w:r w:rsidR="00987EFF">
        <w:t xml:space="preserve">bservational </w:t>
      </w:r>
      <w:r w:rsidR="00987EFF" w:rsidRPr="004215AF">
        <w:t>S</w:t>
      </w:r>
      <w:r w:rsidR="00987EFF">
        <w:t>tudy</w:t>
      </w:r>
      <w:r>
        <w:t xml:space="preserve"> stenting rate after IVL. This scenario also involves the highest incremental cost</w:t>
      </w:r>
      <w:r w:rsidR="005D1548">
        <w:t>.</w:t>
      </w:r>
      <w:r>
        <w:t xml:space="preserve"> </w:t>
      </w:r>
      <w:r w:rsidR="002F1BFC">
        <w:t>The commentary noted that it</w:t>
      </w:r>
      <w:r>
        <w:t xml:space="preserve"> may be reasonable to consider th</w:t>
      </w:r>
      <w:r w:rsidR="002F1BFC">
        <w:t>is</w:t>
      </w:r>
      <w:r>
        <w:t xml:space="preserve"> observational study as a practical demonstration of stenting rates after IVL in clinical practice, which differ little from current stenting rates in Australia.</w:t>
      </w:r>
    </w:p>
    <w:p w14:paraId="1186AB50" w14:textId="7401426F" w:rsidR="008328E6" w:rsidRDefault="008328E6" w:rsidP="008328E6">
      <w:r w:rsidRPr="2F1EB167">
        <w:t xml:space="preserve">As the commentary </w:t>
      </w:r>
      <w:r w:rsidR="005219FB" w:rsidRPr="2F1EB167">
        <w:t xml:space="preserve">(alternative) </w:t>
      </w:r>
      <w:r w:rsidRPr="2F1EB167">
        <w:t>base case assume</w:t>
      </w:r>
      <w:r w:rsidR="00AE52BD" w:rsidRPr="2F1EB167">
        <w:t>d</w:t>
      </w:r>
      <w:r w:rsidRPr="2F1EB167">
        <w:t xml:space="preserve"> the same overall TLR rate for stented and non-stented patients, reinterventions avoided were zero in all but one sensitivity analysis. Again, the resubmission ADAR provided insufficient data regarding reintervention rates, this time for stented versus non-stented patients.</w:t>
      </w:r>
    </w:p>
    <w:p w14:paraId="00AC05A7" w14:textId="7666E51D" w:rsidR="002F6B9D" w:rsidRDefault="008328E6" w:rsidP="00832111">
      <w:pPr>
        <w:sectPr w:rsidR="002F6B9D" w:rsidSect="002F188C">
          <w:pgSz w:w="11906" w:h="16838"/>
          <w:pgMar w:top="1440" w:right="1440" w:bottom="1440" w:left="1440" w:header="708" w:footer="708" w:gutter="0"/>
          <w:cols w:space="708"/>
          <w:docGrid w:linePitch="360"/>
        </w:sectPr>
      </w:pPr>
      <w:r>
        <w:t>Amputations avoided remained less than 1% in all sensitivity analyses.</w:t>
      </w:r>
    </w:p>
    <w:p w14:paraId="275B868F" w14:textId="684D2E56" w:rsidR="001E0009" w:rsidRDefault="008328E6" w:rsidP="008328E6">
      <w:pPr>
        <w:pStyle w:val="Caption"/>
      </w:pPr>
      <w:bookmarkStart w:id="25" w:name="_Ref173238964"/>
      <w:r w:rsidRPr="6DE7DC23">
        <w:rPr>
          <w:lang w:val="en-GB"/>
        </w:rPr>
        <w:lastRenderedPageBreak/>
        <w:t xml:space="preserve">Table </w:t>
      </w:r>
      <w:r w:rsidRPr="2F1EB167">
        <w:fldChar w:fldCharType="begin"/>
      </w:r>
      <w:r>
        <w:instrText xml:space="preserve"> SEQ Table \* ARABIC </w:instrText>
      </w:r>
      <w:r w:rsidRPr="2F1EB167">
        <w:fldChar w:fldCharType="separate"/>
      </w:r>
      <w:r w:rsidR="000A04D8" w:rsidRPr="6DE7DC23">
        <w:rPr>
          <w:lang w:val="en-GB"/>
        </w:rPr>
        <w:t>8</w:t>
      </w:r>
      <w:r w:rsidRPr="2F1EB167">
        <w:rPr>
          <w:noProof/>
        </w:rPr>
        <w:fldChar w:fldCharType="end"/>
      </w:r>
      <w:bookmarkEnd w:id="25"/>
      <w:r>
        <w:tab/>
      </w:r>
      <w:r w:rsidR="001A6C30" w:rsidRPr="6DE7DC23">
        <w:rPr>
          <w:lang w:val="en-GB"/>
        </w:rPr>
        <w:t xml:space="preserve">Inputs and results </w:t>
      </w:r>
      <w:r w:rsidR="00731D17" w:rsidRPr="6DE7DC23">
        <w:rPr>
          <w:lang w:val="en-GB"/>
        </w:rPr>
        <w:t xml:space="preserve">(incremental cost and incremental outcomes) </w:t>
      </w:r>
      <w:r w:rsidR="001A6C30" w:rsidRPr="6DE7DC23">
        <w:rPr>
          <w:lang w:val="en-GB"/>
        </w:rPr>
        <w:t xml:space="preserve">of univariate sensitivity analyses using commentary </w:t>
      </w:r>
      <w:r w:rsidR="00106941" w:rsidRPr="6DE7DC23">
        <w:rPr>
          <w:lang w:val="en-GB"/>
        </w:rPr>
        <w:t xml:space="preserve">(alternative) </w:t>
      </w:r>
      <w:r w:rsidR="001A6C30" w:rsidRPr="6DE7DC23">
        <w:rPr>
          <w:lang w:val="en-GB"/>
        </w:rPr>
        <w:t xml:space="preserve">base </w:t>
      </w:r>
      <w:proofErr w:type="spellStart"/>
      <w:r w:rsidR="001A6C30" w:rsidRPr="6DE7DC23">
        <w:rPr>
          <w:lang w:val="en-GB"/>
        </w:rPr>
        <w:t>case</w:t>
      </w:r>
      <w:r w:rsidR="00695C8F" w:rsidRPr="6DE7DC23">
        <w:rPr>
          <w:vertAlign w:val="superscript"/>
          <w:lang w:val="en-GB"/>
        </w:rPr>
        <w:t>c</w:t>
      </w:r>
      <w:proofErr w:type="spellEnd"/>
      <w:r w:rsidR="009E7309" w:rsidRPr="6DE7DC23">
        <w:rPr>
          <w:lang w:val="en-GB"/>
        </w:rPr>
        <w:t xml:space="preserve"> </w:t>
      </w:r>
    </w:p>
    <w:tbl>
      <w:tblPr>
        <w:tblStyle w:val="TableGrid"/>
        <w:tblW w:w="14454" w:type="dxa"/>
        <w:tblLayout w:type="fixed"/>
        <w:tblLook w:val="04A0" w:firstRow="1" w:lastRow="0" w:firstColumn="1" w:lastColumn="0" w:noHBand="0" w:noVBand="1"/>
        <w:tblCaption w:val="Inputs and results (incremental cost and incremental outcomes) of univariate sensitivity analyses using commentary (alternative) base case"/>
        <w:tblDescription w:val="The table presents the incremental costs and incremental outcomes from a selection of sensitivity analyses where costs and probability inputs were varied."/>
      </w:tblPr>
      <w:tblGrid>
        <w:gridCol w:w="2778"/>
        <w:gridCol w:w="2154"/>
        <w:gridCol w:w="1587"/>
        <w:gridCol w:w="1587"/>
        <w:gridCol w:w="1587"/>
        <w:gridCol w:w="1587"/>
        <w:gridCol w:w="1587"/>
        <w:gridCol w:w="1587"/>
      </w:tblGrid>
      <w:tr w:rsidR="007A7B48" w:rsidRPr="006F5DB0" w14:paraId="06196EC0" w14:textId="77777777" w:rsidTr="2F1EB167">
        <w:trPr>
          <w:cantSplit/>
          <w:trHeight w:val="300"/>
          <w:tblHeader/>
        </w:trPr>
        <w:tc>
          <w:tcPr>
            <w:tcW w:w="2778" w:type="dxa"/>
            <w:tcBorders>
              <w:top w:val="single" w:sz="4" w:space="0" w:color="auto"/>
              <w:bottom w:val="single" w:sz="4" w:space="0" w:color="auto"/>
              <w:right w:val="nil"/>
            </w:tcBorders>
          </w:tcPr>
          <w:p w14:paraId="493FE356" w14:textId="77777777" w:rsidR="001B120E" w:rsidRPr="006F5DB0" w:rsidRDefault="001B120E" w:rsidP="00A106A5">
            <w:pPr>
              <w:pStyle w:val="CommentaryTableheading"/>
              <w:spacing w:before="0" w:after="0"/>
              <w:rPr>
                <w:color w:val="auto"/>
              </w:rPr>
            </w:pPr>
            <w:r w:rsidRPr="006F5DB0">
              <w:rPr>
                <w:color w:val="auto"/>
              </w:rPr>
              <w:t>Tested variable</w:t>
            </w:r>
          </w:p>
        </w:tc>
        <w:tc>
          <w:tcPr>
            <w:tcW w:w="2154" w:type="dxa"/>
            <w:tcBorders>
              <w:top w:val="single" w:sz="4" w:space="0" w:color="auto"/>
              <w:bottom w:val="single" w:sz="4" w:space="0" w:color="auto"/>
              <w:right w:val="nil"/>
            </w:tcBorders>
          </w:tcPr>
          <w:p w14:paraId="3301385A" w14:textId="77777777" w:rsidR="001B120E" w:rsidRPr="006F5DB0" w:rsidRDefault="001B120E" w:rsidP="00A106A5">
            <w:pPr>
              <w:pStyle w:val="CommentaryTableheading"/>
              <w:spacing w:before="0" w:after="0"/>
              <w:rPr>
                <w:color w:val="auto"/>
              </w:rPr>
            </w:pPr>
            <w:r w:rsidRPr="006F5DB0">
              <w:rPr>
                <w:color w:val="auto"/>
              </w:rPr>
              <w:t>Source</w:t>
            </w:r>
          </w:p>
        </w:tc>
        <w:tc>
          <w:tcPr>
            <w:tcW w:w="1587" w:type="dxa"/>
            <w:tcBorders>
              <w:top w:val="single" w:sz="4" w:space="0" w:color="auto"/>
              <w:bottom w:val="single" w:sz="4" w:space="0" w:color="auto"/>
            </w:tcBorders>
          </w:tcPr>
          <w:p w14:paraId="50DBB3EE" w14:textId="77777777" w:rsidR="001B120E" w:rsidRPr="006F5DB0" w:rsidRDefault="001B120E" w:rsidP="00A106A5">
            <w:pPr>
              <w:pStyle w:val="CommentaryTableheading"/>
              <w:spacing w:before="0" w:after="0"/>
              <w:ind w:left="0"/>
              <w:jc w:val="right"/>
              <w:rPr>
                <w:color w:val="auto"/>
              </w:rPr>
            </w:pPr>
            <w:r w:rsidRPr="006F5DB0">
              <w:rPr>
                <w:color w:val="auto"/>
              </w:rPr>
              <w:t>Commentary base case</w:t>
            </w:r>
          </w:p>
        </w:tc>
        <w:tc>
          <w:tcPr>
            <w:tcW w:w="1587" w:type="dxa"/>
            <w:tcBorders>
              <w:top w:val="single" w:sz="4" w:space="0" w:color="auto"/>
              <w:bottom w:val="single" w:sz="4" w:space="0" w:color="auto"/>
            </w:tcBorders>
          </w:tcPr>
          <w:p w14:paraId="17928622" w14:textId="77777777" w:rsidR="001B120E" w:rsidRPr="006F5DB0" w:rsidRDefault="001B120E" w:rsidP="00A106A5">
            <w:pPr>
              <w:pStyle w:val="CommentaryTableheading"/>
              <w:spacing w:before="0" w:after="0"/>
              <w:ind w:left="0"/>
              <w:jc w:val="right"/>
              <w:rPr>
                <w:color w:val="auto"/>
              </w:rPr>
            </w:pPr>
            <w:r w:rsidRPr="006F5DB0">
              <w:rPr>
                <w:color w:val="auto"/>
              </w:rPr>
              <w:t>Test value</w:t>
            </w:r>
          </w:p>
        </w:tc>
        <w:tc>
          <w:tcPr>
            <w:tcW w:w="1587" w:type="dxa"/>
            <w:tcBorders>
              <w:top w:val="single" w:sz="4" w:space="0" w:color="auto"/>
              <w:bottom w:val="single" w:sz="4" w:space="0" w:color="auto"/>
            </w:tcBorders>
          </w:tcPr>
          <w:p w14:paraId="7F16FFA5" w14:textId="3911D937" w:rsidR="00D90333" w:rsidRDefault="00923540" w:rsidP="2F1EB167">
            <w:pPr>
              <w:pStyle w:val="CommentaryTableheading"/>
              <w:spacing w:before="0" w:after="0"/>
              <w:jc w:val="right"/>
              <w:rPr>
                <w:color w:val="auto"/>
              </w:rPr>
            </w:pPr>
            <w:r w:rsidRPr="2F1EB167">
              <w:rPr>
                <w:color w:val="auto"/>
              </w:rPr>
              <w:t xml:space="preserve">Incremental </w:t>
            </w:r>
            <w:proofErr w:type="spellStart"/>
            <w:r w:rsidRPr="2F1EB167">
              <w:rPr>
                <w:color w:val="auto"/>
              </w:rPr>
              <w:t>cost</w:t>
            </w:r>
            <w:r w:rsidR="006E174F" w:rsidRPr="2F1EB167">
              <w:rPr>
                <w:color w:val="auto"/>
                <w:vertAlign w:val="superscript"/>
              </w:rPr>
              <w:t>c</w:t>
            </w:r>
            <w:proofErr w:type="spellEnd"/>
            <w:r w:rsidRPr="2F1EB167">
              <w:rPr>
                <w:color w:val="auto"/>
              </w:rPr>
              <w:t xml:space="preserve"> </w:t>
            </w:r>
          </w:p>
          <w:p w14:paraId="5C816743" w14:textId="6CCD8CCF" w:rsidR="00923540" w:rsidRPr="006F5DB0" w:rsidRDefault="00923540" w:rsidP="00A106A5">
            <w:pPr>
              <w:pStyle w:val="CommentaryTableheading"/>
              <w:spacing w:before="0" w:after="0"/>
              <w:jc w:val="right"/>
              <w:rPr>
                <w:color w:val="auto"/>
              </w:rPr>
            </w:pPr>
          </w:p>
        </w:tc>
        <w:tc>
          <w:tcPr>
            <w:tcW w:w="1587" w:type="dxa"/>
            <w:tcBorders>
              <w:top w:val="single" w:sz="4" w:space="0" w:color="auto"/>
              <w:bottom w:val="single" w:sz="4" w:space="0" w:color="auto"/>
            </w:tcBorders>
          </w:tcPr>
          <w:p w14:paraId="3F343AE0" w14:textId="66CCDE84" w:rsidR="001B120E" w:rsidRPr="006F5DB0" w:rsidRDefault="00CD112B" w:rsidP="00A106A5">
            <w:pPr>
              <w:pStyle w:val="CommentaryTableheading"/>
              <w:spacing w:before="0" w:after="0"/>
              <w:jc w:val="right"/>
              <w:rPr>
                <w:color w:val="auto"/>
              </w:rPr>
            </w:pPr>
            <w:r>
              <w:rPr>
                <w:color w:val="auto"/>
              </w:rPr>
              <w:t>S</w:t>
            </w:r>
            <w:r w:rsidR="001B120E" w:rsidRPr="006F5DB0">
              <w:rPr>
                <w:color w:val="auto"/>
              </w:rPr>
              <w:t>tents</w:t>
            </w:r>
          </w:p>
        </w:tc>
        <w:tc>
          <w:tcPr>
            <w:tcW w:w="1587" w:type="dxa"/>
            <w:tcBorders>
              <w:top w:val="single" w:sz="4" w:space="0" w:color="auto"/>
              <w:bottom w:val="single" w:sz="4" w:space="0" w:color="auto"/>
            </w:tcBorders>
          </w:tcPr>
          <w:p w14:paraId="51C37E1D" w14:textId="09696A57" w:rsidR="001B120E" w:rsidRPr="006F5DB0" w:rsidRDefault="001B120E" w:rsidP="00A106A5">
            <w:pPr>
              <w:pStyle w:val="CommentaryTableheading"/>
              <w:spacing w:before="0" w:after="0"/>
              <w:jc w:val="right"/>
              <w:rPr>
                <w:color w:val="auto"/>
              </w:rPr>
            </w:pPr>
            <w:r w:rsidRPr="006F5DB0">
              <w:rPr>
                <w:color w:val="auto"/>
              </w:rPr>
              <w:t>Reintervention</w:t>
            </w:r>
          </w:p>
        </w:tc>
        <w:tc>
          <w:tcPr>
            <w:tcW w:w="1587" w:type="dxa"/>
            <w:tcBorders>
              <w:top w:val="single" w:sz="4" w:space="0" w:color="auto"/>
              <w:bottom w:val="single" w:sz="4" w:space="0" w:color="auto"/>
            </w:tcBorders>
            <w:shd w:val="clear" w:color="auto" w:fill="auto"/>
          </w:tcPr>
          <w:p w14:paraId="53C9F719" w14:textId="77777777" w:rsidR="001B120E" w:rsidRPr="006F5DB0" w:rsidRDefault="001B120E" w:rsidP="00A106A5">
            <w:pPr>
              <w:pStyle w:val="CommentaryTableheading"/>
              <w:spacing w:before="0" w:after="0"/>
              <w:jc w:val="right"/>
              <w:rPr>
                <w:color w:val="auto"/>
              </w:rPr>
            </w:pPr>
            <w:r w:rsidRPr="006F5DB0">
              <w:rPr>
                <w:color w:val="auto"/>
              </w:rPr>
              <w:t>Amputations</w:t>
            </w:r>
          </w:p>
        </w:tc>
      </w:tr>
      <w:tr w:rsidR="003A4FC4" w:rsidRPr="006F5DB0" w14:paraId="6FD4611B" w14:textId="77777777" w:rsidTr="2F1EB167">
        <w:trPr>
          <w:cantSplit/>
          <w:trHeight w:val="300"/>
        </w:trPr>
        <w:tc>
          <w:tcPr>
            <w:tcW w:w="2778" w:type="dxa"/>
            <w:tcBorders>
              <w:bottom w:val="single" w:sz="4" w:space="0" w:color="auto"/>
              <w:right w:val="nil"/>
            </w:tcBorders>
          </w:tcPr>
          <w:p w14:paraId="18BA681C" w14:textId="77777777" w:rsidR="001B120E" w:rsidRPr="006F5DB0" w:rsidRDefault="001B120E" w:rsidP="00A106A5">
            <w:pPr>
              <w:pStyle w:val="CommentaryTableheading"/>
              <w:spacing w:before="0" w:after="0"/>
              <w:ind w:left="0"/>
              <w:rPr>
                <w:color w:val="auto"/>
              </w:rPr>
            </w:pPr>
            <w:r w:rsidRPr="006F5DB0">
              <w:rPr>
                <w:color w:val="auto"/>
              </w:rPr>
              <w:t>Commentary base case</w:t>
            </w:r>
          </w:p>
        </w:tc>
        <w:tc>
          <w:tcPr>
            <w:tcW w:w="2154" w:type="dxa"/>
            <w:tcBorders>
              <w:left w:val="nil"/>
              <w:bottom w:val="single" w:sz="4" w:space="0" w:color="auto"/>
              <w:right w:val="nil"/>
            </w:tcBorders>
          </w:tcPr>
          <w:p w14:paraId="4238C207" w14:textId="77777777" w:rsidR="001B120E" w:rsidRPr="006F5DB0" w:rsidRDefault="001B120E" w:rsidP="00A106A5">
            <w:pPr>
              <w:pStyle w:val="CommentaryTableheading"/>
              <w:spacing w:before="0" w:after="0"/>
              <w:ind w:left="0"/>
              <w:rPr>
                <w:color w:val="auto"/>
              </w:rPr>
            </w:pPr>
          </w:p>
        </w:tc>
        <w:tc>
          <w:tcPr>
            <w:tcW w:w="1587" w:type="dxa"/>
            <w:tcBorders>
              <w:left w:val="nil"/>
              <w:bottom w:val="single" w:sz="4" w:space="0" w:color="auto"/>
              <w:right w:val="nil"/>
            </w:tcBorders>
          </w:tcPr>
          <w:p w14:paraId="167867CE" w14:textId="77777777" w:rsidR="001B120E" w:rsidRPr="006F5DB0" w:rsidRDefault="001B120E" w:rsidP="00A106A5">
            <w:pPr>
              <w:pStyle w:val="CommentaryTableheading"/>
              <w:spacing w:before="0" w:after="0"/>
              <w:ind w:left="0"/>
              <w:jc w:val="right"/>
              <w:rPr>
                <w:b w:val="0"/>
                <w:color w:val="auto"/>
              </w:rPr>
            </w:pPr>
          </w:p>
        </w:tc>
        <w:tc>
          <w:tcPr>
            <w:tcW w:w="1587" w:type="dxa"/>
            <w:tcBorders>
              <w:left w:val="nil"/>
              <w:bottom w:val="single" w:sz="4" w:space="0" w:color="auto"/>
            </w:tcBorders>
          </w:tcPr>
          <w:p w14:paraId="2432F479" w14:textId="77777777" w:rsidR="001B120E" w:rsidRPr="006F5DB0" w:rsidRDefault="001B120E" w:rsidP="00A106A5">
            <w:pPr>
              <w:pStyle w:val="CommentaryTableheading"/>
              <w:spacing w:before="0" w:after="0"/>
              <w:ind w:left="0"/>
              <w:jc w:val="right"/>
              <w:rPr>
                <w:b w:val="0"/>
                <w:color w:val="auto"/>
              </w:rPr>
            </w:pPr>
          </w:p>
        </w:tc>
        <w:tc>
          <w:tcPr>
            <w:tcW w:w="1587" w:type="dxa"/>
            <w:tcBorders>
              <w:bottom w:val="single" w:sz="4" w:space="0" w:color="auto"/>
              <w:right w:val="single" w:sz="4" w:space="0" w:color="auto"/>
            </w:tcBorders>
          </w:tcPr>
          <w:p w14:paraId="7086CF46" w14:textId="3207A8CC" w:rsidR="00CF6FB7" w:rsidRPr="008F4111" w:rsidRDefault="00CF6FB7" w:rsidP="00A106A5">
            <w:pPr>
              <w:pStyle w:val="CommentaryTableheading"/>
              <w:spacing w:before="0" w:after="0"/>
              <w:jc w:val="right"/>
              <w:rPr>
                <w:b w:val="0"/>
                <w:color w:val="auto"/>
              </w:rPr>
            </w:pPr>
            <w:r w:rsidRPr="008F4111">
              <w:rPr>
                <w:b w:val="0"/>
                <w:color w:val="auto"/>
              </w:rPr>
              <w:t>$</w:t>
            </w:r>
            <w:r w:rsidR="008F4111" w:rsidRPr="008F4111">
              <w:rPr>
                <w:bCs/>
                <w:color w:val="auto"/>
              </w:rPr>
              <w:t>redacted</w:t>
            </w:r>
          </w:p>
        </w:tc>
        <w:tc>
          <w:tcPr>
            <w:tcW w:w="1587" w:type="dxa"/>
            <w:tcBorders>
              <w:left w:val="single" w:sz="4" w:space="0" w:color="auto"/>
              <w:bottom w:val="single" w:sz="4" w:space="0" w:color="auto"/>
              <w:right w:val="single" w:sz="4" w:space="0" w:color="auto"/>
            </w:tcBorders>
          </w:tcPr>
          <w:p w14:paraId="211CB197" w14:textId="3E4ECFCD" w:rsidR="001B120E" w:rsidRPr="006F5DB0" w:rsidRDefault="001B120E" w:rsidP="00A106A5">
            <w:pPr>
              <w:pStyle w:val="CommentaryTableheading"/>
              <w:spacing w:before="0" w:after="0"/>
              <w:jc w:val="right"/>
              <w:rPr>
                <w:b w:val="0"/>
                <w:color w:val="auto"/>
              </w:rPr>
            </w:pPr>
            <w:r w:rsidRPr="006F5DB0">
              <w:rPr>
                <w:b w:val="0"/>
                <w:color w:val="auto"/>
              </w:rPr>
              <w:t>-27.8%</w:t>
            </w:r>
          </w:p>
        </w:tc>
        <w:tc>
          <w:tcPr>
            <w:tcW w:w="1587" w:type="dxa"/>
            <w:tcBorders>
              <w:left w:val="single" w:sz="4" w:space="0" w:color="auto"/>
              <w:bottom w:val="single" w:sz="4" w:space="0" w:color="auto"/>
              <w:right w:val="single" w:sz="4" w:space="0" w:color="auto"/>
            </w:tcBorders>
          </w:tcPr>
          <w:p w14:paraId="64D5B63C" w14:textId="77777777" w:rsidR="001B120E" w:rsidRPr="006F5DB0" w:rsidRDefault="001B120E" w:rsidP="00A106A5">
            <w:pPr>
              <w:pStyle w:val="CommentaryTableheading"/>
              <w:spacing w:before="0" w:after="0"/>
              <w:jc w:val="right"/>
              <w:rPr>
                <w:b w:val="0"/>
                <w:color w:val="auto"/>
              </w:rPr>
            </w:pPr>
            <w:r w:rsidRPr="006F5DB0">
              <w:rPr>
                <w:b w:val="0"/>
                <w:color w:val="auto"/>
              </w:rPr>
              <w:t>0.00%</w:t>
            </w:r>
          </w:p>
        </w:tc>
        <w:tc>
          <w:tcPr>
            <w:tcW w:w="1587" w:type="dxa"/>
            <w:tcBorders>
              <w:left w:val="single" w:sz="4" w:space="0" w:color="auto"/>
              <w:bottom w:val="single" w:sz="4" w:space="0" w:color="auto"/>
            </w:tcBorders>
          </w:tcPr>
          <w:p w14:paraId="75BD0777" w14:textId="77777777" w:rsidR="001B120E" w:rsidRPr="006F5DB0" w:rsidRDefault="001B120E" w:rsidP="00A106A5">
            <w:pPr>
              <w:pStyle w:val="CommentaryTableheading"/>
              <w:spacing w:before="0" w:after="0"/>
              <w:jc w:val="right"/>
              <w:rPr>
                <w:b w:val="0"/>
                <w:color w:val="auto"/>
              </w:rPr>
            </w:pPr>
            <w:r w:rsidRPr="006F5DB0">
              <w:rPr>
                <w:b w:val="0"/>
                <w:color w:val="auto"/>
              </w:rPr>
              <w:t>-0.40%</w:t>
            </w:r>
          </w:p>
        </w:tc>
      </w:tr>
      <w:tr w:rsidR="007A7B48" w:rsidRPr="006F5DB0" w14:paraId="2FAEB5E4" w14:textId="77777777" w:rsidTr="2F1EB167">
        <w:trPr>
          <w:cantSplit/>
          <w:trHeight w:val="300"/>
        </w:trPr>
        <w:tc>
          <w:tcPr>
            <w:tcW w:w="2778" w:type="dxa"/>
            <w:tcBorders>
              <w:bottom w:val="single" w:sz="4" w:space="0" w:color="auto"/>
              <w:right w:val="nil"/>
            </w:tcBorders>
            <w:shd w:val="clear" w:color="auto" w:fill="auto"/>
          </w:tcPr>
          <w:p w14:paraId="419E32D5" w14:textId="77777777" w:rsidR="001B120E" w:rsidRPr="006F5DB0" w:rsidRDefault="001B120E" w:rsidP="00A106A5">
            <w:pPr>
              <w:pStyle w:val="CommentaryTabletextleft"/>
              <w:spacing w:before="0" w:after="0"/>
              <w:ind w:left="113"/>
              <w:rPr>
                <w:b/>
                <w:bCs/>
                <w:color w:val="auto"/>
              </w:rPr>
            </w:pPr>
            <w:r w:rsidRPr="006F5DB0">
              <w:rPr>
                <w:b/>
                <w:bCs/>
                <w:color w:val="auto"/>
              </w:rPr>
              <w:t>Cost inputs</w:t>
            </w:r>
          </w:p>
        </w:tc>
        <w:tc>
          <w:tcPr>
            <w:tcW w:w="2154" w:type="dxa"/>
            <w:tcBorders>
              <w:left w:val="nil"/>
              <w:bottom w:val="single" w:sz="4" w:space="0" w:color="auto"/>
              <w:right w:val="nil"/>
            </w:tcBorders>
            <w:shd w:val="clear" w:color="auto" w:fill="auto"/>
          </w:tcPr>
          <w:p w14:paraId="6D10F01D" w14:textId="77777777" w:rsidR="001B120E" w:rsidRPr="006F5DB0" w:rsidRDefault="001B120E" w:rsidP="00A106A5">
            <w:pPr>
              <w:pStyle w:val="CommentaryTabletextleft"/>
              <w:spacing w:before="0" w:after="0"/>
              <w:rPr>
                <w:b/>
                <w:color w:val="auto"/>
              </w:rPr>
            </w:pPr>
          </w:p>
        </w:tc>
        <w:tc>
          <w:tcPr>
            <w:tcW w:w="1587" w:type="dxa"/>
            <w:tcBorders>
              <w:left w:val="nil"/>
              <w:bottom w:val="single" w:sz="4" w:space="0" w:color="auto"/>
              <w:right w:val="nil"/>
            </w:tcBorders>
            <w:shd w:val="clear" w:color="auto" w:fill="auto"/>
          </w:tcPr>
          <w:p w14:paraId="3DD88777" w14:textId="77777777" w:rsidR="001B120E" w:rsidRPr="006F5DB0" w:rsidRDefault="001B120E" w:rsidP="00A106A5">
            <w:pPr>
              <w:pStyle w:val="CommentaryTabletextleft"/>
              <w:spacing w:before="0" w:after="0"/>
              <w:jc w:val="right"/>
              <w:rPr>
                <w:color w:val="auto"/>
              </w:rPr>
            </w:pPr>
          </w:p>
        </w:tc>
        <w:tc>
          <w:tcPr>
            <w:tcW w:w="1587" w:type="dxa"/>
            <w:tcBorders>
              <w:left w:val="nil"/>
              <w:bottom w:val="single" w:sz="4" w:space="0" w:color="auto"/>
              <w:right w:val="nil"/>
            </w:tcBorders>
            <w:shd w:val="clear" w:color="auto" w:fill="auto"/>
          </w:tcPr>
          <w:p w14:paraId="36D1AEAE" w14:textId="77777777" w:rsidR="001B120E" w:rsidRPr="006F5DB0" w:rsidRDefault="001B120E" w:rsidP="00A106A5">
            <w:pPr>
              <w:pStyle w:val="CommentaryTabletextleft"/>
              <w:spacing w:before="0" w:after="0"/>
              <w:jc w:val="right"/>
              <w:rPr>
                <w:color w:val="auto"/>
              </w:rPr>
            </w:pPr>
          </w:p>
        </w:tc>
        <w:tc>
          <w:tcPr>
            <w:tcW w:w="1587" w:type="dxa"/>
            <w:tcBorders>
              <w:left w:val="nil"/>
              <w:bottom w:val="single" w:sz="4" w:space="0" w:color="auto"/>
              <w:right w:val="nil"/>
            </w:tcBorders>
            <w:shd w:val="clear" w:color="auto" w:fill="auto"/>
          </w:tcPr>
          <w:p w14:paraId="6997C2D9" w14:textId="77777777" w:rsidR="00923540" w:rsidRPr="008F4111" w:rsidRDefault="00923540" w:rsidP="00A106A5">
            <w:pPr>
              <w:pStyle w:val="CommentaryTabletextleft"/>
              <w:spacing w:before="0" w:after="0"/>
              <w:jc w:val="center"/>
              <w:rPr>
                <w:color w:val="auto"/>
              </w:rPr>
            </w:pPr>
          </w:p>
        </w:tc>
        <w:tc>
          <w:tcPr>
            <w:tcW w:w="1587" w:type="dxa"/>
            <w:tcBorders>
              <w:left w:val="nil"/>
              <w:bottom w:val="single" w:sz="4" w:space="0" w:color="auto"/>
              <w:right w:val="nil"/>
            </w:tcBorders>
            <w:shd w:val="clear" w:color="auto" w:fill="auto"/>
          </w:tcPr>
          <w:p w14:paraId="6A7E0FA0" w14:textId="6A8E2113" w:rsidR="001B120E" w:rsidRPr="006F5DB0" w:rsidRDefault="001B120E" w:rsidP="00A106A5">
            <w:pPr>
              <w:pStyle w:val="CommentaryTabletextleft"/>
              <w:spacing w:before="0" w:after="0"/>
              <w:jc w:val="center"/>
              <w:rPr>
                <w:color w:val="auto"/>
              </w:rPr>
            </w:pPr>
          </w:p>
        </w:tc>
        <w:tc>
          <w:tcPr>
            <w:tcW w:w="1587" w:type="dxa"/>
            <w:tcBorders>
              <w:left w:val="nil"/>
              <w:bottom w:val="single" w:sz="4" w:space="0" w:color="auto"/>
              <w:right w:val="nil"/>
            </w:tcBorders>
            <w:shd w:val="clear" w:color="auto" w:fill="auto"/>
          </w:tcPr>
          <w:p w14:paraId="012A4F23" w14:textId="77777777" w:rsidR="001B120E" w:rsidRPr="006F5DB0" w:rsidRDefault="001B120E" w:rsidP="00A106A5">
            <w:pPr>
              <w:pStyle w:val="CommentaryTabletextleft"/>
              <w:spacing w:before="0" w:after="0"/>
              <w:jc w:val="center"/>
              <w:rPr>
                <w:color w:val="auto"/>
              </w:rPr>
            </w:pPr>
          </w:p>
        </w:tc>
        <w:tc>
          <w:tcPr>
            <w:tcW w:w="1587" w:type="dxa"/>
            <w:tcBorders>
              <w:left w:val="nil"/>
              <w:bottom w:val="single" w:sz="4" w:space="0" w:color="auto"/>
            </w:tcBorders>
            <w:shd w:val="clear" w:color="auto" w:fill="auto"/>
          </w:tcPr>
          <w:p w14:paraId="4F2A954E" w14:textId="77777777" w:rsidR="001B120E" w:rsidRPr="006F5DB0" w:rsidRDefault="001B120E" w:rsidP="00A106A5">
            <w:pPr>
              <w:pStyle w:val="CommentaryTabletextleft"/>
              <w:spacing w:before="0" w:after="0"/>
              <w:jc w:val="center"/>
              <w:rPr>
                <w:color w:val="auto"/>
              </w:rPr>
            </w:pPr>
          </w:p>
        </w:tc>
      </w:tr>
      <w:tr w:rsidR="005F08E8" w:rsidRPr="006F5DB0" w14:paraId="734C9A96" w14:textId="77777777" w:rsidTr="2F1EB167">
        <w:trPr>
          <w:cantSplit/>
          <w:trHeight w:val="300"/>
        </w:trPr>
        <w:tc>
          <w:tcPr>
            <w:tcW w:w="2778" w:type="dxa"/>
            <w:tcBorders>
              <w:top w:val="single" w:sz="4" w:space="0" w:color="auto"/>
              <w:bottom w:val="nil"/>
              <w:right w:val="nil"/>
            </w:tcBorders>
            <w:shd w:val="clear" w:color="auto" w:fill="auto"/>
          </w:tcPr>
          <w:p w14:paraId="5C84C7FD" w14:textId="77777777" w:rsidR="001B120E" w:rsidRPr="00A44B32" w:rsidRDefault="001B120E" w:rsidP="00A106A5">
            <w:pPr>
              <w:pStyle w:val="CommentaryTabletextleft"/>
              <w:spacing w:before="0" w:after="0"/>
              <w:ind w:left="567"/>
              <w:rPr>
                <w:color w:val="auto"/>
              </w:rPr>
            </w:pPr>
            <w:r w:rsidRPr="00A44B32">
              <w:rPr>
                <w:color w:val="auto"/>
              </w:rPr>
              <w:t>IVL catheters per patient</w:t>
            </w:r>
          </w:p>
        </w:tc>
        <w:tc>
          <w:tcPr>
            <w:tcW w:w="2154" w:type="dxa"/>
            <w:tcBorders>
              <w:top w:val="single" w:sz="4" w:space="0" w:color="auto"/>
              <w:bottom w:val="single" w:sz="6" w:space="0" w:color="auto"/>
              <w:right w:val="nil"/>
            </w:tcBorders>
            <w:shd w:val="clear" w:color="auto" w:fill="auto"/>
          </w:tcPr>
          <w:p w14:paraId="6CF91EC8" w14:textId="76D5115A" w:rsidR="001B120E" w:rsidRPr="006F5DB0" w:rsidRDefault="001B120E" w:rsidP="2F1EB167">
            <w:pPr>
              <w:pStyle w:val="CommentaryTabletextleft"/>
              <w:spacing w:before="0" w:after="0"/>
              <w:rPr>
                <w:color w:val="auto"/>
              </w:rPr>
            </w:pPr>
            <w:r w:rsidRPr="2F1EB167">
              <w:rPr>
                <w:color w:val="auto"/>
              </w:rPr>
              <w:t>DISRUPT PAD II</w:t>
            </w:r>
            <w:r w:rsidR="00987EFF" w:rsidRPr="2F1EB167">
              <w:rPr>
                <w:color w:val="auto"/>
              </w:rPr>
              <w:t xml:space="preserve"> </w:t>
            </w:r>
            <w:proofErr w:type="spellStart"/>
            <w:r w:rsidR="00987EFF" w:rsidRPr="2F1EB167">
              <w:rPr>
                <w:color w:val="auto"/>
              </w:rPr>
              <w:t>study</w:t>
            </w:r>
            <w:r w:rsidRPr="2F1EB167">
              <w:rPr>
                <w:color w:val="auto"/>
                <w:vertAlign w:val="superscript"/>
              </w:rPr>
              <w:t>a</w:t>
            </w:r>
            <w:proofErr w:type="spellEnd"/>
          </w:p>
        </w:tc>
        <w:tc>
          <w:tcPr>
            <w:tcW w:w="1587" w:type="dxa"/>
            <w:tcBorders>
              <w:top w:val="single" w:sz="4" w:space="0" w:color="auto"/>
              <w:bottom w:val="single" w:sz="6" w:space="0" w:color="auto"/>
            </w:tcBorders>
            <w:shd w:val="clear" w:color="auto" w:fill="auto"/>
          </w:tcPr>
          <w:p w14:paraId="2C1ED1BF" w14:textId="77777777" w:rsidR="001B120E" w:rsidRPr="006F5DB0" w:rsidRDefault="001B120E" w:rsidP="00A106A5">
            <w:pPr>
              <w:pStyle w:val="CommentaryTabletextleft"/>
              <w:spacing w:before="0" w:after="0"/>
              <w:jc w:val="right"/>
              <w:rPr>
                <w:color w:val="auto"/>
              </w:rPr>
            </w:pPr>
            <w:r w:rsidRPr="006F5DB0">
              <w:rPr>
                <w:color w:val="auto"/>
              </w:rPr>
              <w:t>1</w:t>
            </w:r>
          </w:p>
        </w:tc>
        <w:tc>
          <w:tcPr>
            <w:tcW w:w="1587" w:type="dxa"/>
            <w:tcBorders>
              <w:top w:val="single" w:sz="4" w:space="0" w:color="auto"/>
              <w:bottom w:val="single" w:sz="6" w:space="0" w:color="auto"/>
            </w:tcBorders>
            <w:shd w:val="clear" w:color="auto" w:fill="auto"/>
          </w:tcPr>
          <w:p w14:paraId="3561663A" w14:textId="77777777" w:rsidR="001B120E" w:rsidRPr="006F5DB0" w:rsidRDefault="001B120E" w:rsidP="00A106A5">
            <w:pPr>
              <w:pStyle w:val="CommentaryTabletextleft"/>
              <w:spacing w:before="0" w:after="0"/>
              <w:jc w:val="right"/>
              <w:rPr>
                <w:color w:val="auto"/>
              </w:rPr>
            </w:pPr>
            <w:r w:rsidRPr="006F5DB0">
              <w:rPr>
                <w:color w:val="auto"/>
              </w:rPr>
              <w:t>1.3</w:t>
            </w:r>
          </w:p>
        </w:tc>
        <w:tc>
          <w:tcPr>
            <w:tcW w:w="1587" w:type="dxa"/>
            <w:tcBorders>
              <w:top w:val="single" w:sz="4" w:space="0" w:color="auto"/>
              <w:bottom w:val="single" w:sz="6" w:space="0" w:color="auto"/>
              <w:right w:val="single" w:sz="4" w:space="0" w:color="auto"/>
            </w:tcBorders>
            <w:shd w:val="clear" w:color="auto" w:fill="auto"/>
          </w:tcPr>
          <w:p w14:paraId="1DD6C1E9" w14:textId="1DCD1A2F" w:rsidR="00923540" w:rsidRPr="008F4111" w:rsidRDefault="00987A29" w:rsidP="00A106A5">
            <w:pPr>
              <w:pStyle w:val="CommentaryTabletextleft"/>
              <w:spacing w:before="0" w:after="0"/>
              <w:jc w:val="right"/>
              <w:rPr>
                <w:color w:val="auto"/>
              </w:rPr>
            </w:pPr>
            <w:r w:rsidRPr="008F4111">
              <w:rPr>
                <w:color w:val="auto"/>
              </w:rPr>
              <w:t>$</w:t>
            </w:r>
            <w:r w:rsidR="008F4111" w:rsidRPr="008F4111">
              <w:rPr>
                <w:b/>
                <w:color w:val="auto"/>
              </w:rPr>
              <w:t>redacted</w:t>
            </w:r>
          </w:p>
        </w:tc>
        <w:tc>
          <w:tcPr>
            <w:tcW w:w="1587" w:type="dxa"/>
            <w:tcBorders>
              <w:top w:val="single" w:sz="4" w:space="0" w:color="auto"/>
              <w:left w:val="single" w:sz="4" w:space="0" w:color="auto"/>
              <w:bottom w:val="single" w:sz="6" w:space="0" w:color="auto"/>
              <w:right w:val="single" w:sz="4" w:space="0" w:color="auto"/>
            </w:tcBorders>
          </w:tcPr>
          <w:p w14:paraId="0F0CA26B" w14:textId="720DFE04" w:rsidR="001B120E" w:rsidRPr="006F5DB0" w:rsidRDefault="001B120E" w:rsidP="00A106A5">
            <w:pPr>
              <w:pStyle w:val="CommentaryTabletextleft"/>
              <w:spacing w:before="0" w:after="0"/>
              <w:jc w:val="right"/>
              <w:rPr>
                <w:color w:val="auto"/>
              </w:rPr>
            </w:pPr>
            <w:r w:rsidRPr="006F5DB0">
              <w:rPr>
                <w:color w:val="auto"/>
              </w:rPr>
              <w:t>-27.8%</w:t>
            </w:r>
          </w:p>
        </w:tc>
        <w:tc>
          <w:tcPr>
            <w:tcW w:w="1587" w:type="dxa"/>
            <w:tcBorders>
              <w:top w:val="single" w:sz="4" w:space="0" w:color="auto"/>
              <w:left w:val="single" w:sz="4" w:space="0" w:color="auto"/>
              <w:bottom w:val="single" w:sz="6" w:space="0" w:color="auto"/>
              <w:right w:val="single" w:sz="4" w:space="0" w:color="auto"/>
            </w:tcBorders>
            <w:shd w:val="clear" w:color="auto" w:fill="auto"/>
          </w:tcPr>
          <w:p w14:paraId="72BF8ACE" w14:textId="77777777" w:rsidR="001B120E" w:rsidRPr="006F5DB0" w:rsidRDefault="001B120E" w:rsidP="00A106A5">
            <w:pPr>
              <w:pStyle w:val="CommentaryTabletextleft"/>
              <w:spacing w:before="0" w:after="0"/>
              <w:jc w:val="right"/>
              <w:rPr>
                <w:color w:val="auto"/>
              </w:rPr>
            </w:pPr>
            <w:r w:rsidRPr="006F5DB0">
              <w:rPr>
                <w:color w:val="auto"/>
              </w:rPr>
              <w:t>0.00%</w:t>
            </w:r>
          </w:p>
        </w:tc>
        <w:tc>
          <w:tcPr>
            <w:tcW w:w="1587" w:type="dxa"/>
            <w:tcBorders>
              <w:top w:val="single" w:sz="4" w:space="0" w:color="auto"/>
              <w:left w:val="single" w:sz="4" w:space="0" w:color="auto"/>
              <w:bottom w:val="single" w:sz="6" w:space="0" w:color="auto"/>
            </w:tcBorders>
            <w:shd w:val="clear" w:color="auto" w:fill="auto"/>
          </w:tcPr>
          <w:p w14:paraId="393CF9EC" w14:textId="77777777" w:rsidR="001B120E" w:rsidRPr="006F5DB0" w:rsidRDefault="001B120E" w:rsidP="00A106A5">
            <w:pPr>
              <w:pStyle w:val="CommentaryTabletextleft"/>
              <w:spacing w:before="0" w:after="0"/>
              <w:jc w:val="right"/>
              <w:rPr>
                <w:color w:val="auto"/>
              </w:rPr>
            </w:pPr>
            <w:r w:rsidRPr="006F5DB0">
              <w:rPr>
                <w:color w:val="auto"/>
              </w:rPr>
              <w:t>-0.40%</w:t>
            </w:r>
          </w:p>
        </w:tc>
      </w:tr>
      <w:tr w:rsidR="007A7B48" w:rsidRPr="006F5DB0" w14:paraId="04724DE2" w14:textId="77777777" w:rsidTr="2F1EB167">
        <w:trPr>
          <w:cantSplit/>
          <w:trHeight w:val="300"/>
        </w:trPr>
        <w:tc>
          <w:tcPr>
            <w:tcW w:w="2778" w:type="dxa"/>
            <w:tcBorders>
              <w:bottom w:val="single" w:sz="4" w:space="0" w:color="auto"/>
              <w:right w:val="nil"/>
            </w:tcBorders>
            <w:shd w:val="clear" w:color="auto" w:fill="auto"/>
          </w:tcPr>
          <w:p w14:paraId="5C5FFB5D" w14:textId="77777777" w:rsidR="001B120E" w:rsidRPr="006F5DB0" w:rsidRDefault="001B120E" w:rsidP="00A106A5">
            <w:pPr>
              <w:pStyle w:val="CommentaryTabletextleft"/>
              <w:spacing w:before="0" w:after="0"/>
              <w:ind w:left="113"/>
              <w:rPr>
                <w:b/>
                <w:bCs/>
                <w:color w:val="auto"/>
              </w:rPr>
            </w:pPr>
            <w:r w:rsidRPr="006F5DB0">
              <w:rPr>
                <w:b/>
                <w:bCs/>
                <w:color w:val="auto"/>
              </w:rPr>
              <w:t>Probability inputs</w:t>
            </w:r>
          </w:p>
        </w:tc>
        <w:tc>
          <w:tcPr>
            <w:tcW w:w="2154" w:type="dxa"/>
            <w:tcBorders>
              <w:left w:val="nil"/>
              <w:bottom w:val="single" w:sz="4" w:space="0" w:color="auto"/>
              <w:right w:val="nil"/>
            </w:tcBorders>
            <w:shd w:val="clear" w:color="auto" w:fill="auto"/>
          </w:tcPr>
          <w:p w14:paraId="693B0DAD" w14:textId="77777777" w:rsidR="001B120E" w:rsidRPr="006F5DB0" w:rsidRDefault="001B120E" w:rsidP="00A106A5">
            <w:pPr>
              <w:pStyle w:val="CommentaryTabletextleft"/>
              <w:spacing w:before="0" w:after="0"/>
              <w:rPr>
                <w:b/>
                <w:color w:val="auto"/>
              </w:rPr>
            </w:pPr>
          </w:p>
        </w:tc>
        <w:tc>
          <w:tcPr>
            <w:tcW w:w="1587" w:type="dxa"/>
            <w:tcBorders>
              <w:left w:val="nil"/>
              <w:bottom w:val="single" w:sz="4" w:space="0" w:color="auto"/>
              <w:right w:val="nil"/>
            </w:tcBorders>
            <w:shd w:val="clear" w:color="auto" w:fill="auto"/>
          </w:tcPr>
          <w:p w14:paraId="19889F75" w14:textId="77777777" w:rsidR="001B120E" w:rsidRPr="006F5DB0" w:rsidRDefault="001B120E" w:rsidP="00A106A5">
            <w:pPr>
              <w:pStyle w:val="CommentaryTabletextleft"/>
              <w:spacing w:before="0" w:after="0"/>
              <w:jc w:val="right"/>
              <w:rPr>
                <w:color w:val="auto"/>
              </w:rPr>
            </w:pPr>
          </w:p>
        </w:tc>
        <w:tc>
          <w:tcPr>
            <w:tcW w:w="1587" w:type="dxa"/>
            <w:tcBorders>
              <w:left w:val="nil"/>
              <w:bottom w:val="single" w:sz="4" w:space="0" w:color="auto"/>
              <w:right w:val="nil"/>
            </w:tcBorders>
            <w:shd w:val="clear" w:color="auto" w:fill="auto"/>
          </w:tcPr>
          <w:p w14:paraId="295A1DC7" w14:textId="77777777" w:rsidR="001B120E" w:rsidRPr="006F5DB0" w:rsidRDefault="001B120E" w:rsidP="00A106A5">
            <w:pPr>
              <w:pStyle w:val="CommentaryTabletextleft"/>
              <w:spacing w:before="0" w:after="0"/>
              <w:jc w:val="right"/>
              <w:rPr>
                <w:color w:val="auto"/>
              </w:rPr>
            </w:pPr>
          </w:p>
        </w:tc>
        <w:tc>
          <w:tcPr>
            <w:tcW w:w="1587" w:type="dxa"/>
            <w:tcBorders>
              <w:left w:val="nil"/>
              <w:bottom w:val="single" w:sz="4" w:space="0" w:color="auto"/>
              <w:right w:val="nil"/>
            </w:tcBorders>
            <w:shd w:val="clear" w:color="auto" w:fill="auto"/>
          </w:tcPr>
          <w:p w14:paraId="38E821C5" w14:textId="77777777" w:rsidR="00923540" w:rsidRPr="008F4111" w:rsidRDefault="00923540" w:rsidP="00A106A5">
            <w:pPr>
              <w:pStyle w:val="CommentaryTabletextleft"/>
              <w:spacing w:before="0" w:after="0"/>
              <w:jc w:val="center"/>
              <w:rPr>
                <w:color w:val="auto"/>
              </w:rPr>
            </w:pPr>
          </w:p>
        </w:tc>
        <w:tc>
          <w:tcPr>
            <w:tcW w:w="1587" w:type="dxa"/>
            <w:tcBorders>
              <w:left w:val="nil"/>
              <w:bottom w:val="single" w:sz="4" w:space="0" w:color="auto"/>
              <w:right w:val="nil"/>
            </w:tcBorders>
            <w:shd w:val="clear" w:color="auto" w:fill="auto"/>
          </w:tcPr>
          <w:p w14:paraId="6E0E1002" w14:textId="40C74D2A" w:rsidR="001B120E" w:rsidRPr="006F5DB0" w:rsidRDefault="001B120E" w:rsidP="00A106A5">
            <w:pPr>
              <w:pStyle w:val="CommentaryTabletextleft"/>
              <w:spacing w:before="0" w:after="0"/>
              <w:jc w:val="center"/>
              <w:rPr>
                <w:color w:val="auto"/>
              </w:rPr>
            </w:pPr>
          </w:p>
        </w:tc>
        <w:tc>
          <w:tcPr>
            <w:tcW w:w="1587" w:type="dxa"/>
            <w:tcBorders>
              <w:left w:val="nil"/>
              <w:bottom w:val="single" w:sz="4" w:space="0" w:color="auto"/>
              <w:right w:val="nil"/>
            </w:tcBorders>
            <w:shd w:val="clear" w:color="auto" w:fill="auto"/>
          </w:tcPr>
          <w:p w14:paraId="2C8911D8" w14:textId="77777777" w:rsidR="001B120E" w:rsidRPr="006F5DB0" w:rsidRDefault="001B120E" w:rsidP="00A106A5">
            <w:pPr>
              <w:pStyle w:val="CommentaryTabletextleft"/>
              <w:spacing w:before="0" w:after="0"/>
              <w:jc w:val="center"/>
              <w:rPr>
                <w:color w:val="auto"/>
              </w:rPr>
            </w:pPr>
          </w:p>
        </w:tc>
        <w:tc>
          <w:tcPr>
            <w:tcW w:w="1587" w:type="dxa"/>
            <w:tcBorders>
              <w:left w:val="nil"/>
              <w:bottom w:val="single" w:sz="4" w:space="0" w:color="auto"/>
            </w:tcBorders>
            <w:shd w:val="clear" w:color="auto" w:fill="auto"/>
          </w:tcPr>
          <w:p w14:paraId="217E46E4" w14:textId="77777777" w:rsidR="001B120E" w:rsidRPr="006F5DB0" w:rsidRDefault="001B120E" w:rsidP="00A106A5">
            <w:pPr>
              <w:pStyle w:val="CommentaryTabletextleft"/>
              <w:spacing w:before="0" w:after="0"/>
              <w:jc w:val="center"/>
              <w:rPr>
                <w:color w:val="auto"/>
              </w:rPr>
            </w:pPr>
          </w:p>
        </w:tc>
      </w:tr>
      <w:tr w:rsidR="007A7B48" w:rsidRPr="006F5DB0" w14:paraId="081DACC0" w14:textId="77777777" w:rsidTr="2F1EB167">
        <w:trPr>
          <w:cantSplit/>
          <w:trHeight w:val="300"/>
        </w:trPr>
        <w:tc>
          <w:tcPr>
            <w:tcW w:w="2778" w:type="dxa"/>
            <w:tcBorders>
              <w:bottom w:val="single" w:sz="4" w:space="0" w:color="auto"/>
              <w:right w:val="nil"/>
            </w:tcBorders>
            <w:shd w:val="clear" w:color="auto" w:fill="auto"/>
          </w:tcPr>
          <w:p w14:paraId="30227B4B" w14:textId="77777777" w:rsidR="001B120E" w:rsidRPr="00A44B32" w:rsidRDefault="001B120E" w:rsidP="00A106A5">
            <w:pPr>
              <w:pStyle w:val="CommentaryTabletextleft"/>
              <w:spacing w:before="0" w:after="0"/>
              <w:ind w:left="340"/>
              <w:rPr>
                <w:b/>
                <w:bCs/>
                <w:color w:val="auto"/>
              </w:rPr>
            </w:pPr>
            <w:r w:rsidRPr="00A44B32">
              <w:rPr>
                <w:b/>
                <w:bCs/>
                <w:color w:val="auto"/>
              </w:rPr>
              <w:t>Stenting</w:t>
            </w:r>
          </w:p>
        </w:tc>
        <w:tc>
          <w:tcPr>
            <w:tcW w:w="2154" w:type="dxa"/>
            <w:tcBorders>
              <w:left w:val="nil"/>
              <w:bottom w:val="single" w:sz="4" w:space="0" w:color="auto"/>
              <w:right w:val="nil"/>
            </w:tcBorders>
            <w:shd w:val="clear" w:color="auto" w:fill="auto"/>
          </w:tcPr>
          <w:p w14:paraId="35E0BBD2" w14:textId="77777777" w:rsidR="001B120E" w:rsidRPr="006F5DB0" w:rsidRDefault="001B120E" w:rsidP="00A106A5">
            <w:pPr>
              <w:pStyle w:val="CommentaryTabletextleft"/>
              <w:spacing w:before="0" w:after="0"/>
              <w:rPr>
                <w:b/>
                <w:color w:val="auto"/>
              </w:rPr>
            </w:pPr>
          </w:p>
        </w:tc>
        <w:tc>
          <w:tcPr>
            <w:tcW w:w="1587" w:type="dxa"/>
            <w:tcBorders>
              <w:left w:val="nil"/>
              <w:bottom w:val="single" w:sz="4" w:space="0" w:color="auto"/>
              <w:right w:val="nil"/>
            </w:tcBorders>
            <w:shd w:val="clear" w:color="auto" w:fill="auto"/>
          </w:tcPr>
          <w:p w14:paraId="09923D63" w14:textId="77777777" w:rsidR="001B120E" w:rsidRPr="006F5DB0" w:rsidRDefault="001B120E" w:rsidP="00A106A5">
            <w:pPr>
              <w:pStyle w:val="CommentaryTabletextleft"/>
              <w:spacing w:before="0" w:after="0"/>
              <w:jc w:val="right"/>
              <w:rPr>
                <w:color w:val="auto"/>
              </w:rPr>
            </w:pPr>
          </w:p>
        </w:tc>
        <w:tc>
          <w:tcPr>
            <w:tcW w:w="1587" w:type="dxa"/>
            <w:tcBorders>
              <w:left w:val="nil"/>
              <w:bottom w:val="single" w:sz="4" w:space="0" w:color="auto"/>
              <w:right w:val="nil"/>
            </w:tcBorders>
            <w:shd w:val="clear" w:color="auto" w:fill="auto"/>
          </w:tcPr>
          <w:p w14:paraId="4A49A720" w14:textId="77777777" w:rsidR="001B120E" w:rsidRPr="006F5DB0" w:rsidRDefault="001B120E" w:rsidP="00A106A5">
            <w:pPr>
              <w:pStyle w:val="CommentaryTabletextleft"/>
              <w:spacing w:before="0" w:after="0"/>
              <w:jc w:val="right"/>
              <w:rPr>
                <w:color w:val="auto"/>
              </w:rPr>
            </w:pPr>
          </w:p>
        </w:tc>
        <w:tc>
          <w:tcPr>
            <w:tcW w:w="1587" w:type="dxa"/>
            <w:tcBorders>
              <w:left w:val="nil"/>
              <w:bottom w:val="single" w:sz="4" w:space="0" w:color="auto"/>
              <w:right w:val="nil"/>
            </w:tcBorders>
            <w:shd w:val="clear" w:color="auto" w:fill="auto"/>
          </w:tcPr>
          <w:p w14:paraId="665A2943" w14:textId="77777777" w:rsidR="00923540" w:rsidRPr="008F4111" w:rsidRDefault="00923540" w:rsidP="00A106A5">
            <w:pPr>
              <w:pStyle w:val="CommentaryTabletextleft"/>
              <w:spacing w:before="0" w:after="0"/>
              <w:jc w:val="center"/>
              <w:rPr>
                <w:color w:val="auto"/>
              </w:rPr>
            </w:pPr>
          </w:p>
        </w:tc>
        <w:tc>
          <w:tcPr>
            <w:tcW w:w="1587" w:type="dxa"/>
            <w:tcBorders>
              <w:left w:val="nil"/>
              <w:bottom w:val="single" w:sz="4" w:space="0" w:color="auto"/>
              <w:right w:val="nil"/>
            </w:tcBorders>
            <w:shd w:val="clear" w:color="auto" w:fill="auto"/>
          </w:tcPr>
          <w:p w14:paraId="5E359F1B" w14:textId="666FB406" w:rsidR="001B120E" w:rsidRPr="006F5DB0" w:rsidRDefault="001B120E" w:rsidP="00A106A5">
            <w:pPr>
              <w:pStyle w:val="CommentaryTabletextleft"/>
              <w:spacing w:before="0" w:after="0"/>
              <w:jc w:val="center"/>
              <w:rPr>
                <w:color w:val="auto"/>
              </w:rPr>
            </w:pPr>
          </w:p>
        </w:tc>
        <w:tc>
          <w:tcPr>
            <w:tcW w:w="1587" w:type="dxa"/>
            <w:tcBorders>
              <w:left w:val="nil"/>
              <w:bottom w:val="single" w:sz="4" w:space="0" w:color="auto"/>
              <w:right w:val="nil"/>
            </w:tcBorders>
            <w:shd w:val="clear" w:color="auto" w:fill="auto"/>
          </w:tcPr>
          <w:p w14:paraId="4A25B130" w14:textId="77777777" w:rsidR="001B120E" w:rsidRPr="006F5DB0" w:rsidRDefault="001B120E" w:rsidP="00A106A5">
            <w:pPr>
              <w:pStyle w:val="CommentaryTabletextleft"/>
              <w:spacing w:before="0" w:after="0"/>
              <w:jc w:val="center"/>
              <w:rPr>
                <w:color w:val="auto"/>
              </w:rPr>
            </w:pPr>
          </w:p>
        </w:tc>
        <w:tc>
          <w:tcPr>
            <w:tcW w:w="1587" w:type="dxa"/>
            <w:tcBorders>
              <w:left w:val="nil"/>
              <w:bottom w:val="single" w:sz="4" w:space="0" w:color="auto"/>
            </w:tcBorders>
            <w:shd w:val="clear" w:color="auto" w:fill="auto"/>
          </w:tcPr>
          <w:p w14:paraId="230B6B3C" w14:textId="77777777" w:rsidR="001B120E" w:rsidRPr="006F5DB0" w:rsidRDefault="001B120E" w:rsidP="00A106A5">
            <w:pPr>
              <w:pStyle w:val="CommentaryTabletextleft"/>
              <w:spacing w:before="0" w:after="0"/>
              <w:jc w:val="center"/>
              <w:rPr>
                <w:color w:val="auto"/>
              </w:rPr>
            </w:pPr>
          </w:p>
        </w:tc>
      </w:tr>
      <w:tr w:rsidR="003A4FC4" w:rsidRPr="006F5DB0" w14:paraId="00FED703" w14:textId="77777777" w:rsidTr="2F1EB167">
        <w:trPr>
          <w:cantSplit/>
          <w:trHeight w:val="300"/>
        </w:trPr>
        <w:tc>
          <w:tcPr>
            <w:tcW w:w="2778" w:type="dxa"/>
            <w:tcBorders>
              <w:bottom w:val="single" w:sz="4" w:space="0" w:color="auto"/>
              <w:right w:val="nil"/>
            </w:tcBorders>
            <w:shd w:val="clear" w:color="auto" w:fill="auto"/>
          </w:tcPr>
          <w:p w14:paraId="7578EDF4" w14:textId="73E63A89" w:rsidR="001B120E" w:rsidRPr="00A44B32" w:rsidRDefault="001B120E" w:rsidP="00A106A5">
            <w:pPr>
              <w:pStyle w:val="CommentaryTabletextleft"/>
              <w:spacing w:before="0" w:after="0"/>
              <w:ind w:left="567"/>
              <w:rPr>
                <w:color w:val="auto"/>
              </w:rPr>
            </w:pPr>
            <w:r w:rsidRPr="00A44B32">
              <w:rPr>
                <w:color w:val="auto"/>
              </w:rPr>
              <w:t xml:space="preserve">IVL stenting rates from DISRUPT PAD III </w:t>
            </w:r>
            <w:r w:rsidR="00F57D80">
              <w:rPr>
                <w:color w:val="auto"/>
              </w:rPr>
              <w:t>OS</w:t>
            </w:r>
          </w:p>
        </w:tc>
        <w:tc>
          <w:tcPr>
            <w:tcW w:w="2154" w:type="dxa"/>
            <w:tcBorders>
              <w:right w:val="nil"/>
            </w:tcBorders>
            <w:shd w:val="clear" w:color="auto" w:fill="auto"/>
          </w:tcPr>
          <w:p w14:paraId="3B4DB04A" w14:textId="119227C7" w:rsidR="001B120E" w:rsidRPr="006F5DB0" w:rsidRDefault="001B120E" w:rsidP="00A106A5">
            <w:pPr>
              <w:pStyle w:val="CommentaryTabletextleft"/>
              <w:spacing w:before="0" w:after="0"/>
              <w:rPr>
                <w:color w:val="auto"/>
              </w:rPr>
            </w:pPr>
            <w:r w:rsidRPr="006F5DB0">
              <w:rPr>
                <w:color w:val="auto"/>
              </w:rPr>
              <w:t>IVL: DISRUPT PAD III OS</w:t>
            </w:r>
          </w:p>
          <w:p w14:paraId="2E70CA18" w14:textId="3FF93130" w:rsidR="001B120E" w:rsidRPr="006F5DB0" w:rsidRDefault="001B120E" w:rsidP="00A106A5">
            <w:pPr>
              <w:pStyle w:val="CommentaryTabletextleft"/>
              <w:pBdr>
                <w:top w:val="dotted" w:sz="4" w:space="1" w:color="auto"/>
              </w:pBdr>
              <w:spacing w:before="0" w:after="0"/>
              <w:rPr>
                <w:color w:val="auto"/>
              </w:rPr>
            </w:pPr>
            <w:r w:rsidRPr="006F5DB0">
              <w:rPr>
                <w:color w:val="auto"/>
              </w:rPr>
              <w:t>SBA: AVA 2021</w:t>
            </w:r>
            <w:r w:rsidR="007460ED">
              <w:rPr>
                <w:color w:val="auto"/>
              </w:rPr>
              <w:t>–</w:t>
            </w:r>
            <w:r w:rsidRPr="006F5DB0">
              <w:rPr>
                <w:color w:val="auto"/>
              </w:rPr>
              <w:t>2023</w:t>
            </w:r>
          </w:p>
        </w:tc>
        <w:tc>
          <w:tcPr>
            <w:tcW w:w="1587" w:type="dxa"/>
            <w:shd w:val="clear" w:color="auto" w:fill="auto"/>
          </w:tcPr>
          <w:p w14:paraId="3805D1F0" w14:textId="77777777" w:rsidR="001B120E" w:rsidRPr="006F5DB0" w:rsidRDefault="001B120E" w:rsidP="00A106A5">
            <w:pPr>
              <w:pStyle w:val="CommentaryTabletextleft"/>
              <w:tabs>
                <w:tab w:val="right" w:pos="1248"/>
              </w:tabs>
              <w:spacing w:before="0" w:after="0"/>
              <w:rPr>
                <w:color w:val="auto"/>
              </w:rPr>
            </w:pPr>
            <w:r w:rsidRPr="006F5DB0">
              <w:rPr>
                <w:color w:val="auto"/>
              </w:rPr>
              <w:t xml:space="preserve">IVL: </w:t>
            </w:r>
            <w:r w:rsidRPr="006F5DB0">
              <w:rPr>
                <w:color w:val="auto"/>
              </w:rPr>
              <w:tab/>
              <w:t>9.4%</w:t>
            </w:r>
          </w:p>
          <w:p w14:paraId="5253A826" w14:textId="77777777" w:rsidR="001B120E" w:rsidRPr="006F5DB0" w:rsidRDefault="001B120E" w:rsidP="00A106A5">
            <w:pPr>
              <w:pStyle w:val="CommentaryTabletextleft"/>
              <w:pBdr>
                <w:top w:val="dotted" w:sz="4" w:space="1" w:color="auto"/>
              </w:pBdr>
              <w:tabs>
                <w:tab w:val="right" w:pos="1248"/>
              </w:tabs>
              <w:spacing w:before="0" w:after="0"/>
              <w:rPr>
                <w:color w:val="auto"/>
              </w:rPr>
            </w:pPr>
            <w:r w:rsidRPr="006F5DB0">
              <w:rPr>
                <w:color w:val="auto"/>
              </w:rPr>
              <w:t xml:space="preserve">SBA: </w:t>
            </w:r>
            <w:r w:rsidRPr="006F5DB0">
              <w:rPr>
                <w:color w:val="auto"/>
              </w:rPr>
              <w:tab/>
              <w:t>37.2%</w:t>
            </w:r>
          </w:p>
        </w:tc>
        <w:tc>
          <w:tcPr>
            <w:tcW w:w="1587" w:type="dxa"/>
            <w:shd w:val="clear" w:color="auto" w:fill="auto"/>
          </w:tcPr>
          <w:p w14:paraId="6E6689FA" w14:textId="3C6EB2C1" w:rsidR="001B120E" w:rsidRPr="006F5DB0" w:rsidRDefault="001B120E" w:rsidP="2F1EB167">
            <w:pPr>
              <w:pStyle w:val="CommentaryTabletextleft"/>
              <w:tabs>
                <w:tab w:val="right" w:pos="1248"/>
              </w:tabs>
              <w:spacing w:before="0" w:after="0"/>
              <w:rPr>
                <w:color w:val="auto"/>
              </w:rPr>
            </w:pPr>
            <w:r w:rsidRPr="2F1EB167">
              <w:rPr>
                <w:color w:val="auto"/>
              </w:rPr>
              <w:t>IVL:</w:t>
            </w:r>
            <w:r>
              <w:tab/>
            </w:r>
            <w:r w:rsidRPr="2F1EB167">
              <w:rPr>
                <w:color w:val="auto"/>
              </w:rPr>
              <w:t>35.5%</w:t>
            </w:r>
          </w:p>
          <w:p w14:paraId="6EC8234B" w14:textId="77777777" w:rsidR="001B120E" w:rsidRPr="006F5DB0" w:rsidRDefault="001B120E" w:rsidP="00A106A5">
            <w:pPr>
              <w:pStyle w:val="CommentaryTabletextleft"/>
              <w:pBdr>
                <w:top w:val="dotted" w:sz="4" w:space="1" w:color="auto"/>
              </w:pBdr>
              <w:tabs>
                <w:tab w:val="right" w:pos="1248"/>
              </w:tabs>
              <w:spacing w:before="0" w:after="0"/>
              <w:rPr>
                <w:color w:val="auto"/>
              </w:rPr>
            </w:pPr>
            <w:r w:rsidRPr="006F5DB0">
              <w:rPr>
                <w:color w:val="auto"/>
              </w:rPr>
              <w:t xml:space="preserve">SBA: </w:t>
            </w:r>
            <w:r w:rsidRPr="006F5DB0">
              <w:rPr>
                <w:color w:val="auto"/>
              </w:rPr>
              <w:tab/>
              <w:t>37.2%</w:t>
            </w:r>
          </w:p>
        </w:tc>
        <w:tc>
          <w:tcPr>
            <w:tcW w:w="1587" w:type="dxa"/>
            <w:tcBorders>
              <w:right w:val="single" w:sz="4" w:space="0" w:color="auto"/>
            </w:tcBorders>
            <w:shd w:val="clear" w:color="auto" w:fill="auto"/>
          </w:tcPr>
          <w:p w14:paraId="3F849D9C" w14:textId="55702550" w:rsidR="00AA247B" w:rsidRPr="008F4111" w:rsidRDefault="00AA247B" w:rsidP="00A106A5">
            <w:pPr>
              <w:pStyle w:val="CommentaryTabletextleft"/>
              <w:spacing w:before="0" w:after="0"/>
              <w:jc w:val="right"/>
              <w:rPr>
                <w:color w:val="auto"/>
              </w:rPr>
            </w:pPr>
            <w:r w:rsidRPr="008F4111">
              <w:rPr>
                <w:color w:val="auto"/>
              </w:rPr>
              <w:t>$</w:t>
            </w:r>
            <w:r w:rsidR="008F4111" w:rsidRPr="008F4111">
              <w:rPr>
                <w:b/>
                <w:color w:val="auto"/>
              </w:rPr>
              <w:t>redacted</w:t>
            </w:r>
          </w:p>
        </w:tc>
        <w:tc>
          <w:tcPr>
            <w:tcW w:w="1587" w:type="dxa"/>
            <w:tcBorders>
              <w:left w:val="single" w:sz="4" w:space="0" w:color="auto"/>
              <w:right w:val="single" w:sz="4" w:space="0" w:color="auto"/>
            </w:tcBorders>
          </w:tcPr>
          <w:p w14:paraId="65147B9C" w14:textId="1510C5E5" w:rsidR="001B120E" w:rsidRPr="006F5DB0" w:rsidRDefault="001B120E" w:rsidP="00A106A5">
            <w:pPr>
              <w:pStyle w:val="CommentaryTabletextleft"/>
              <w:spacing w:before="0" w:after="0"/>
              <w:jc w:val="right"/>
              <w:rPr>
                <w:color w:val="auto"/>
              </w:rPr>
            </w:pPr>
            <w:r w:rsidRPr="006F5DB0">
              <w:rPr>
                <w:color w:val="auto"/>
              </w:rPr>
              <w:t>-1.7%</w:t>
            </w:r>
          </w:p>
        </w:tc>
        <w:tc>
          <w:tcPr>
            <w:tcW w:w="1587" w:type="dxa"/>
            <w:tcBorders>
              <w:left w:val="single" w:sz="4" w:space="0" w:color="auto"/>
              <w:right w:val="single" w:sz="4" w:space="0" w:color="auto"/>
            </w:tcBorders>
            <w:shd w:val="clear" w:color="auto" w:fill="auto"/>
          </w:tcPr>
          <w:p w14:paraId="5DD6FE90" w14:textId="77777777" w:rsidR="001B120E" w:rsidRPr="006F5DB0" w:rsidRDefault="001B120E" w:rsidP="00A106A5">
            <w:pPr>
              <w:pStyle w:val="CommentaryTabletextleft"/>
              <w:spacing w:before="0" w:after="0"/>
              <w:jc w:val="right"/>
              <w:rPr>
                <w:color w:val="auto"/>
              </w:rPr>
            </w:pPr>
            <w:r w:rsidRPr="006F5DB0">
              <w:rPr>
                <w:color w:val="auto"/>
              </w:rPr>
              <w:t>0.00%</w:t>
            </w:r>
          </w:p>
        </w:tc>
        <w:tc>
          <w:tcPr>
            <w:tcW w:w="1587" w:type="dxa"/>
            <w:tcBorders>
              <w:left w:val="single" w:sz="4" w:space="0" w:color="auto"/>
            </w:tcBorders>
            <w:shd w:val="clear" w:color="auto" w:fill="auto"/>
          </w:tcPr>
          <w:p w14:paraId="1BF0D3EC" w14:textId="77777777" w:rsidR="001B120E" w:rsidRPr="006F5DB0" w:rsidRDefault="001B120E" w:rsidP="00A106A5">
            <w:pPr>
              <w:pStyle w:val="CommentaryTabletextleft"/>
              <w:spacing w:before="0" w:after="0"/>
              <w:jc w:val="right"/>
              <w:rPr>
                <w:color w:val="auto"/>
              </w:rPr>
            </w:pPr>
            <w:r w:rsidRPr="006F5DB0">
              <w:rPr>
                <w:color w:val="auto"/>
              </w:rPr>
              <w:t>-0.02%</w:t>
            </w:r>
          </w:p>
        </w:tc>
      </w:tr>
      <w:tr w:rsidR="003A4FC4" w:rsidRPr="006F5DB0" w14:paraId="31E94BBA" w14:textId="77777777" w:rsidTr="2F1EB167">
        <w:trPr>
          <w:cantSplit/>
          <w:trHeight w:val="300"/>
        </w:trPr>
        <w:tc>
          <w:tcPr>
            <w:tcW w:w="2778" w:type="dxa"/>
            <w:tcBorders>
              <w:top w:val="single" w:sz="4" w:space="0" w:color="auto"/>
              <w:bottom w:val="single" w:sz="4" w:space="0" w:color="auto"/>
              <w:right w:val="nil"/>
            </w:tcBorders>
            <w:shd w:val="clear" w:color="auto" w:fill="auto"/>
          </w:tcPr>
          <w:p w14:paraId="4B8B2C23" w14:textId="77777777" w:rsidR="001B120E" w:rsidRPr="00A44B32" w:rsidRDefault="001B120E" w:rsidP="00A106A5">
            <w:pPr>
              <w:pStyle w:val="CommentaryTabletextleft"/>
              <w:spacing w:before="0" w:after="0"/>
              <w:ind w:left="567"/>
              <w:rPr>
                <w:color w:val="auto"/>
              </w:rPr>
            </w:pPr>
            <w:r w:rsidRPr="00A44B32">
              <w:rPr>
                <w:color w:val="auto"/>
              </w:rPr>
              <w:t>Baseline index stenting rates from MBS utilisation with RCT RR applied to IVL arm</w:t>
            </w:r>
          </w:p>
        </w:tc>
        <w:tc>
          <w:tcPr>
            <w:tcW w:w="2154" w:type="dxa"/>
            <w:tcBorders>
              <w:right w:val="nil"/>
            </w:tcBorders>
            <w:shd w:val="clear" w:color="auto" w:fill="auto"/>
          </w:tcPr>
          <w:p w14:paraId="35290E56" w14:textId="7EFED72F" w:rsidR="001B120E" w:rsidRPr="006F5DB0" w:rsidRDefault="001B120E" w:rsidP="00A106A5">
            <w:pPr>
              <w:pStyle w:val="CommentaryTabletextleft"/>
              <w:spacing w:before="0" w:after="0"/>
              <w:rPr>
                <w:color w:val="auto"/>
              </w:rPr>
            </w:pPr>
            <w:r w:rsidRPr="006F5DB0">
              <w:rPr>
                <w:color w:val="auto"/>
              </w:rPr>
              <w:t>IVL: RR from DISRUPT PAD III RCT</w:t>
            </w:r>
          </w:p>
          <w:p w14:paraId="0317D376" w14:textId="77777777" w:rsidR="001B120E" w:rsidRPr="006F5DB0" w:rsidRDefault="001B120E" w:rsidP="00A106A5">
            <w:pPr>
              <w:pStyle w:val="CommentaryTabletextleft"/>
              <w:pBdr>
                <w:top w:val="dotted" w:sz="4" w:space="1" w:color="auto"/>
              </w:pBdr>
              <w:spacing w:before="0" w:after="0"/>
              <w:rPr>
                <w:color w:val="auto"/>
              </w:rPr>
            </w:pPr>
            <w:r w:rsidRPr="006F5DB0">
              <w:rPr>
                <w:color w:val="auto"/>
              </w:rPr>
              <w:t>SBA: MBS utilisation</w:t>
            </w:r>
          </w:p>
        </w:tc>
        <w:tc>
          <w:tcPr>
            <w:tcW w:w="1587" w:type="dxa"/>
            <w:shd w:val="clear" w:color="auto" w:fill="auto"/>
          </w:tcPr>
          <w:p w14:paraId="4417FDA7" w14:textId="77777777" w:rsidR="001B120E" w:rsidRPr="006F5DB0" w:rsidRDefault="001B120E" w:rsidP="00A106A5">
            <w:pPr>
              <w:pStyle w:val="CommentaryTabletextleft"/>
              <w:tabs>
                <w:tab w:val="right" w:pos="1248"/>
              </w:tabs>
              <w:spacing w:before="0" w:after="0"/>
              <w:rPr>
                <w:color w:val="auto"/>
              </w:rPr>
            </w:pPr>
            <w:r w:rsidRPr="006F5DB0">
              <w:rPr>
                <w:color w:val="auto"/>
              </w:rPr>
              <w:t xml:space="preserve">IVL: </w:t>
            </w:r>
            <w:r w:rsidRPr="006F5DB0">
              <w:rPr>
                <w:color w:val="auto"/>
              </w:rPr>
              <w:tab/>
              <w:t>9.4%</w:t>
            </w:r>
          </w:p>
          <w:p w14:paraId="676ADAD1" w14:textId="77777777" w:rsidR="001B120E" w:rsidRPr="006F5DB0" w:rsidRDefault="001B120E" w:rsidP="00A106A5">
            <w:pPr>
              <w:pStyle w:val="CommentaryTabletextleft"/>
              <w:pBdr>
                <w:top w:val="dotted" w:sz="4" w:space="1" w:color="auto"/>
              </w:pBdr>
              <w:tabs>
                <w:tab w:val="right" w:pos="1248"/>
              </w:tabs>
              <w:spacing w:before="0" w:after="0"/>
              <w:rPr>
                <w:color w:val="auto"/>
              </w:rPr>
            </w:pPr>
            <w:r w:rsidRPr="006F5DB0">
              <w:rPr>
                <w:color w:val="auto"/>
              </w:rPr>
              <w:t xml:space="preserve">SBA: </w:t>
            </w:r>
            <w:r w:rsidRPr="006F5DB0">
              <w:rPr>
                <w:color w:val="auto"/>
              </w:rPr>
              <w:tab/>
              <w:t>37.2%</w:t>
            </w:r>
          </w:p>
        </w:tc>
        <w:tc>
          <w:tcPr>
            <w:tcW w:w="1587" w:type="dxa"/>
            <w:shd w:val="clear" w:color="auto" w:fill="auto"/>
          </w:tcPr>
          <w:p w14:paraId="09596B08" w14:textId="77777777" w:rsidR="001B120E" w:rsidRPr="006F5DB0" w:rsidRDefault="001B120E" w:rsidP="00A106A5">
            <w:pPr>
              <w:pStyle w:val="CommentaryTabletextleft"/>
              <w:tabs>
                <w:tab w:val="right" w:pos="1248"/>
              </w:tabs>
              <w:spacing w:before="0" w:after="0"/>
              <w:rPr>
                <w:color w:val="auto"/>
              </w:rPr>
            </w:pPr>
            <w:r w:rsidRPr="006F5DB0">
              <w:rPr>
                <w:color w:val="auto"/>
              </w:rPr>
              <w:t xml:space="preserve">IVL: </w:t>
            </w:r>
            <w:r w:rsidRPr="006F5DB0">
              <w:rPr>
                <w:color w:val="auto"/>
              </w:rPr>
              <w:tab/>
              <w:t>11.3%</w:t>
            </w:r>
          </w:p>
          <w:p w14:paraId="466BC2FC" w14:textId="77777777" w:rsidR="001B120E" w:rsidRPr="006F5DB0" w:rsidRDefault="001B120E" w:rsidP="00A106A5">
            <w:pPr>
              <w:pStyle w:val="CommentaryTabletextleft"/>
              <w:pBdr>
                <w:top w:val="dotted" w:sz="4" w:space="1" w:color="auto"/>
              </w:pBdr>
              <w:tabs>
                <w:tab w:val="right" w:pos="1248"/>
              </w:tabs>
              <w:spacing w:before="0" w:after="0"/>
              <w:rPr>
                <w:color w:val="auto"/>
              </w:rPr>
            </w:pPr>
            <w:r w:rsidRPr="006F5DB0">
              <w:rPr>
                <w:color w:val="auto"/>
              </w:rPr>
              <w:t xml:space="preserve">SBA: </w:t>
            </w:r>
            <w:r w:rsidRPr="006F5DB0">
              <w:rPr>
                <w:color w:val="auto"/>
              </w:rPr>
              <w:tab/>
              <w:t>45%</w:t>
            </w:r>
          </w:p>
        </w:tc>
        <w:tc>
          <w:tcPr>
            <w:tcW w:w="1587" w:type="dxa"/>
            <w:tcBorders>
              <w:right w:val="single" w:sz="4" w:space="0" w:color="auto"/>
            </w:tcBorders>
            <w:shd w:val="clear" w:color="auto" w:fill="auto"/>
          </w:tcPr>
          <w:p w14:paraId="2543796B" w14:textId="4A54480D" w:rsidR="00392F4E" w:rsidRPr="008F4111" w:rsidRDefault="00392F4E" w:rsidP="00A106A5">
            <w:pPr>
              <w:pStyle w:val="CommentaryTabletextleft"/>
              <w:spacing w:before="0" w:after="0"/>
              <w:jc w:val="right"/>
              <w:rPr>
                <w:color w:val="auto"/>
              </w:rPr>
            </w:pPr>
            <w:r w:rsidRPr="008F4111">
              <w:rPr>
                <w:color w:val="auto"/>
              </w:rPr>
              <w:t>$</w:t>
            </w:r>
            <w:r w:rsidR="008F4111" w:rsidRPr="008F4111">
              <w:rPr>
                <w:b/>
                <w:color w:val="auto"/>
              </w:rPr>
              <w:t>redacted</w:t>
            </w:r>
          </w:p>
        </w:tc>
        <w:tc>
          <w:tcPr>
            <w:tcW w:w="1587" w:type="dxa"/>
            <w:tcBorders>
              <w:left w:val="single" w:sz="4" w:space="0" w:color="auto"/>
              <w:right w:val="single" w:sz="4" w:space="0" w:color="auto"/>
            </w:tcBorders>
          </w:tcPr>
          <w:p w14:paraId="167CA452" w14:textId="663BF56E" w:rsidR="001B120E" w:rsidRPr="006F5DB0" w:rsidRDefault="001B120E" w:rsidP="00A106A5">
            <w:pPr>
              <w:pStyle w:val="CommentaryTabletextleft"/>
              <w:spacing w:before="0" w:after="0"/>
              <w:jc w:val="right"/>
              <w:rPr>
                <w:color w:val="auto"/>
              </w:rPr>
            </w:pPr>
            <w:r w:rsidRPr="006F5DB0">
              <w:rPr>
                <w:color w:val="auto"/>
              </w:rPr>
              <w:t>-33.7%</w:t>
            </w:r>
          </w:p>
        </w:tc>
        <w:tc>
          <w:tcPr>
            <w:tcW w:w="1587" w:type="dxa"/>
            <w:tcBorders>
              <w:left w:val="single" w:sz="4" w:space="0" w:color="auto"/>
              <w:right w:val="single" w:sz="4" w:space="0" w:color="auto"/>
            </w:tcBorders>
            <w:shd w:val="clear" w:color="auto" w:fill="auto"/>
          </w:tcPr>
          <w:p w14:paraId="46B8A007" w14:textId="77777777" w:rsidR="001B120E" w:rsidRPr="006F5DB0" w:rsidRDefault="001B120E" w:rsidP="00A106A5">
            <w:pPr>
              <w:pStyle w:val="CommentaryTabletextleft"/>
              <w:spacing w:before="0" w:after="0"/>
              <w:jc w:val="right"/>
              <w:rPr>
                <w:color w:val="auto"/>
              </w:rPr>
            </w:pPr>
            <w:r w:rsidRPr="006F5DB0">
              <w:rPr>
                <w:color w:val="auto"/>
              </w:rPr>
              <w:t>0.00%</w:t>
            </w:r>
          </w:p>
        </w:tc>
        <w:tc>
          <w:tcPr>
            <w:tcW w:w="1587" w:type="dxa"/>
            <w:tcBorders>
              <w:left w:val="single" w:sz="4" w:space="0" w:color="auto"/>
            </w:tcBorders>
            <w:shd w:val="clear" w:color="auto" w:fill="auto"/>
          </w:tcPr>
          <w:p w14:paraId="33DFF5E6" w14:textId="77777777" w:rsidR="001B120E" w:rsidRPr="006F5DB0" w:rsidRDefault="001B120E" w:rsidP="00A106A5">
            <w:pPr>
              <w:pStyle w:val="CommentaryTabletextleft"/>
              <w:spacing w:before="0" w:after="0"/>
              <w:jc w:val="right"/>
              <w:rPr>
                <w:color w:val="auto"/>
              </w:rPr>
            </w:pPr>
            <w:r w:rsidRPr="006F5DB0">
              <w:rPr>
                <w:color w:val="auto"/>
              </w:rPr>
              <w:t>-0.48%</w:t>
            </w:r>
          </w:p>
        </w:tc>
      </w:tr>
      <w:tr w:rsidR="003A4FC4" w:rsidRPr="006F5DB0" w14:paraId="315D65B6" w14:textId="77777777" w:rsidTr="2F1EB167">
        <w:trPr>
          <w:cantSplit/>
          <w:trHeight w:val="300"/>
        </w:trPr>
        <w:tc>
          <w:tcPr>
            <w:tcW w:w="2778" w:type="dxa"/>
            <w:tcBorders>
              <w:top w:val="single" w:sz="4" w:space="0" w:color="auto"/>
              <w:bottom w:val="single" w:sz="4" w:space="0" w:color="auto"/>
              <w:right w:val="nil"/>
            </w:tcBorders>
            <w:shd w:val="clear" w:color="auto" w:fill="auto"/>
          </w:tcPr>
          <w:p w14:paraId="5E0AE9DF" w14:textId="418DAC92" w:rsidR="001B120E" w:rsidRPr="00A44B32" w:rsidRDefault="001B120E" w:rsidP="00A106A5">
            <w:pPr>
              <w:pStyle w:val="CommentaryTabletextleft"/>
              <w:spacing w:before="0" w:after="0"/>
              <w:ind w:left="567"/>
              <w:rPr>
                <w:color w:val="auto"/>
              </w:rPr>
            </w:pPr>
            <w:r w:rsidRPr="00A44B32">
              <w:rPr>
                <w:color w:val="auto"/>
              </w:rPr>
              <w:t>Stenting rates for both arms from RCT (as per ADAR base case in resubmission)</w:t>
            </w:r>
          </w:p>
        </w:tc>
        <w:tc>
          <w:tcPr>
            <w:tcW w:w="2154" w:type="dxa"/>
            <w:tcBorders>
              <w:right w:val="nil"/>
            </w:tcBorders>
            <w:shd w:val="clear" w:color="auto" w:fill="auto"/>
          </w:tcPr>
          <w:p w14:paraId="63BAFEE7" w14:textId="77777777" w:rsidR="001B120E" w:rsidRPr="006F5DB0" w:rsidRDefault="001B120E" w:rsidP="00A106A5">
            <w:pPr>
              <w:pStyle w:val="CommentaryTabletextleft"/>
              <w:spacing w:before="0" w:after="0"/>
              <w:rPr>
                <w:color w:val="auto"/>
              </w:rPr>
            </w:pPr>
            <w:r w:rsidRPr="006F5DB0">
              <w:rPr>
                <w:color w:val="auto"/>
              </w:rPr>
              <w:t>DISRUPT PAD III RCT</w:t>
            </w:r>
          </w:p>
        </w:tc>
        <w:tc>
          <w:tcPr>
            <w:tcW w:w="1587" w:type="dxa"/>
            <w:shd w:val="clear" w:color="auto" w:fill="auto"/>
          </w:tcPr>
          <w:p w14:paraId="17D1DD88" w14:textId="77777777" w:rsidR="001B120E" w:rsidRPr="006F5DB0" w:rsidRDefault="001B120E" w:rsidP="00A106A5">
            <w:pPr>
              <w:pStyle w:val="CommentaryTabletextleft"/>
              <w:tabs>
                <w:tab w:val="right" w:pos="1248"/>
              </w:tabs>
              <w:spacing w:before="0" w:after="0"/>
              <w:rPr>
                <w:color w:val="auto"/>
              </w:rPr>
            </w:pPr>
            <w:r w:rsidRPr="006F5DB0">
              <w:rPr>
                <w:color w:val="auto"/>
              </w:rPr>
              <w:t xml:space="preserve">IVL: </w:t>
            </w:r>
            <w:r w:rsidRPr="006F5DB0">
              <w:rPr>
                <w:color w:val="auto"/>
              </w:rPr>
              <w:tab/>
              <w:t>9.4%</w:t>
            </w:r>
          </w:p>
          <w:p w14:paraId="692C5650" w14:textId="77777777" w:rsidR="001B120E" w:rsidRPr="006F5DB0" w:rsidRDefault="001B120E" w:rsidP="00A106A5">
            <w:pPr>
              <w:pStyle w:val="CommentaryTabletextleft"/>
              <w:pBdr>
                <w:top w:val="dotted" w:sz="4" w:space="1" w:color="auto"/>
              </w:pBdr>
              <w:tabs>
                <w:tab w:val="right" w:pos="1248"/>
              </w:tabs>
              <w:spacing w:before="0" w:after="0"/>
              <w:rPr>
                <w:color w:val="auto"/>
              </w:rPr>
            </w:pPr>
            <w:r w:rsidRPr="006F5DB0">
              <w:rPr>
                <w:color w:val="auto"/>
              </w:rPr>
              <w:t xml:space="preserve">SBA: </w:t>
            </w:r>
            <w:r w:rsidRPr="006F5DB0">
              <w:rPr>
                <w:color w:val="auto"/>
              </w:rPr>
              <w:tab/>
              <w:t>37.2%</w:t>
            </w:r>
          </w:p>
        </w:tc>
        <w:tc>
          <w:tcPr>
            <w:tcW w:w="1587" w:type="dxa"/>
            <w:shd w:val="clear" w:color="auto" w:fill="auto"/>
          </w:tcPr>
          <w:p w14:paraId="64F825D5" w14:textId="77777777" w:rsidR="001B120E" w:rsidRPr="006F5DB0" w:rsidRDefault="001B120E" w:rsidP="00A106A5">
            <w:pPr>
              <w:pStyle w:val="CommentaryTabletextleft"/>
              <w:tabs>
                <w:tab w:val="right" w:pos="1248"/>
              </w:tabs>
              <w:spacing w:before="0" w:after="0"/>
              <w:rPr>
                <w:color w:val="auto"/>
              </w:rPr>
            </w:pPr>
            <w:r w:rsidRPr="006F5DB0">
              <w:rPr>
                <w:color w:val="auto"/>
              </w:rPr>
              <w:t xml:space="preserve">IVL: </w:t>
            </w:r>
            <w:r w:rsidRPr="006F5DB0">
              <w:rPr>
                <w:color w:val="auto"/>
              </w:rPr>
              <w:tab/>
              <w:t>4.6%</w:t>
            </w:r>
          </w:p>
          <w:p w14:paraId="1ED0565D" w14:textId="77777777" w:rsidR="001B120E" w:rsidRPr="006F5DB0" w:rsidRDefault="001B120E" w:rsidP="00A106A5">
            <w:pPr>
              <w:pStyle w:val="CommentaryTabletextleft"/>
              <w:pBdr>
                <w:top w:val="dotted" w:sz="4" w:space="1" w:color="auto"/>
              </w:pBdr>
              <w:tabs>
                <w:tab w:val="right" w:pos="1248"/>
              </w:tabs>
              <w:spacing w:before="0" w:after="0"/>
              <w:rPr>
                <w:color w:val="auto"/>
              </w:rPr>
            </w:pPr>
            <w:r w:rsidRPr="006F5DB0">
              <w:rPr>
                <w:color w:val="auto"/>
              </w:rPr>
              <w:t xml:space="preserve">SBA: </w:t>
            </w:r>
            <w:r w:rsidRPr="006F5DB0">
              <w:rPr>
                <w:color w:val="auto"/>
              </w:rPr>
              <w:tab/>
              <w:t>18.3%</w:t>
            </w:r>
          </w:p>
        </w:tc>
        <w:tc>
          <w:tcPr>
            <w:tcW w:w="1587" w:type="dxa"/>
            <w:tcBorders>
              <w:right w:val="single" w:sz="4" w:space="0" w:color="auto"/>
            </w:tcBorders>
            <w:shd w:val="clear" w:color="auto" w:fill="auto"/>
          </w:tcPr>
          <w:p w14:paraId="466AA13C" w14:textId="29046F6B" w:rsidR="000B0ABA" w:rsidRPr="008F4111" w:rsidRDefault="000B0ABA" w:rsidP="00A106A5">
            <w:pPr>
              <w:pStyle w:val="CommentaryTabletextleft"/>
              <w:spacing w:before="0" w:after="0"/>
              <w:jc w:val="right"/>
              <w:rPr>
                <w:color w:val="auto"/>
              </w:rPr>
            </w:pPr>
            <w:r w:rsidRPr="008F4111">
              <w:rPr>
                <w:color w:val="auto"/>
              </w:rPr>
              <w:t>$</w:t>
            </w:r>
            <w:r w:rsidR="008F4111" w:rsidRPr="008F4111">
              <w:rPr>
                <w:b/>
                <w:color w:val="auto"/>
              </w:rPr>
              <w:t>redacted</w:t>
            </w:r>
          </w:p>
        </w:tc>
        <w:tc>
          <w:tcPr>
            <w:tcW w:w="1587" w:type="dxa"/>
            <w:tcBorders>
              <w:left w:val="single" w:sz="4" w:space="0" w:color="auto"/>
              <w:right w:val="single" w:sz="4" w:space="0" w:color="auto"/>
            </w:tcBorders>
          </w:tcPr>
          <w:p w14:paraId="171DE9F1" w14:textId="03ED6C91" w:rsidR="001B120E" w:rsidRPr="006F5DB0" w:rsidRDefault="001B120E" w:rsidP="00A106A5">
            <w:pPr>
              <w:pStyle w:val="CommentaryTabletextleft"/>
              <w:spacing w:before="0" w:after="0"/>
              <w:jc w:val="right"/>
              <w:rPr>
                <w:color w:val="auto"/>
              </w:rPr>
            </w:pPr>
            <w:r w:rsidRPr="006F5DB0">
              <w:rPr>
                <w:color w:val="auto"/>
              </w:rPr>
              <w:t>-13.7%</w:t>
            </w:r>
          </w:p>
        </w:tc>
        <w:tc>
          <w:tcPr>
            <w:tcW w:w="1587" w:type="dxa"/>
            <w:tcBorders>
              <w:left w:val="single" w:sz="4" w:space="0" w:color="auto"/>
              <w:right w:val="single" w:sz="4" w:space="0" w:color="auto"/>
            </w:tcBorders>
            <w:shd w:val="clear" w:color="auto" w:fill="auto"/>
          </w:tcPr>
          <w:p w14:paraId="71A471AE" w14:textId="77777777" w:rsidR="001B120E" w:rsidRPr="006F5DB0" w:rsidRDefault="001B120E" w:rsidP="00A106A5">
            <w:pPr>
              <w:pStyle w:val="CommentaryTabletextleft"/>
              <w:spacing w:before="0" w:after="0"/>
              <w:jc w:val="right"/>
              <w:rPr>
                <w:color w:val="auto"/>
              </w:rPr>
            </w:pPr>
            <w:r w:rsidRPr="006F5DB0">
              <w:rPr>
                <w:color w:val="auto"/>
              </w:rPr>
              <w:t>0.00%</w:t>
            </w:r>
          </w:p>
        </w:tc>
        <w:tc>
          <w:tcPr>
            <w:tcW w:w="1587" w:type="dxa"/>
            <w:tcBorders>
              <w:left w:val="single" w:sz="4" w:space="0" w:color="auto"/>
            </w:tcBorders>
            <w:shd w:val="clear" w:color="auto" w:fill="auto"/>
          </w:tcPr>
          <w:p w14:paraId="4CAA03B7" w14:textId="77777777" w:rsidR="001B120E" w:rsidRPr="006F5DB0" w:rsidRDefault="001B120E" w:rsidP="00A106A5">
            <w:pPr>
              <w:pStyle w:val="CommentaryTabletextleft"/>
              <w:spacing w:before="0" w:after="0"/>
              <w:jc w:val="right"/>
              <w:rPr>
                <w:color w:val="auto"/>
              </w:rPr>
            </w:pPr>
            <w:r w:rsidRPr="006F5DB0">
              <w:rPr>
                <w:color w:val="auto"/>
              </w:rPr>
              <w:t>-0.20%</w:t>
            </w:r>
          </w:p>
        </w:tc>
      </w:tr>
      <w:tr w:rsidR="007A7B48" w:rsidRPr="006F5DB0" w14:paraId="1BEE0547" w14:textId="77777777" w:rsidTr="2F1EB167">
        <w:trPr>
          <w:cantSplit/>
          <w:trHeight w:val="300"/>
        </w:trPr>
        <w:tc>
          <w:tcPr>
            <w:tcW w:w="2778" w:type="dxa"/>
            <w:tcBorders>
              <w:bottom w:val="single" w:sz="4" w:space="0" w:color="auto"/>
              <w:right w:val="nil"/>
            </w:tcBorders>
            <w:shd w:val="clear" w:color="auto" w:fill="auto"/>
          </w:tcPr>
          <w:p w14:paraId="29E0D63C" w14:textId="77777777" w:rsidR="001B120E" w:rsidRPr="006F5DB0" w:rsidRDefault="001B120E" w:rsidP="00A106A5">
            <w:pPr>
              <w:pStyle w:val="CommentaryTabletextleft"/>
              <w:spacing w:before="0" w:after="0"/>
              <w:ind w:left="340"/>
              <w:rPr>
                <w:b/>
                <w:bCs/>
                <w:color w:val="auto"/>
              </w:rPr>
            </w:pPr>
            <w:r w:rsidRPr="006F5DB0">
              <w:rPr>
                <w:b/>
                <w:bCs/>
                <w:color w:val="auto"/>
              </w:rPr>
              <w:t>TLR</w:t>
            </w:r>
          </w:p>
        </w:tc>
        <w:tc>
          <w:tcPr>
            <w:tcW w:w="2154" w:type="dxa"/>
            <w:tcBorders>
              <w:left w:val="nil"/>
              <w:bottom w:val="single" w:sz="4" w:space="0" w:color="auto"/>
              <w:right w:val="nil"/>
            </w:tcBorders>
            <w:shd w:val="clear" w:color="auto" w:fill="auto"/>
          </w:tcPr>
          <w:p w14:paraId="3187733F" w14:textId="77777777" w:rsidR="001B120E" w:rsidRPr="006F5DB0" w:rsidRDefault="001B120E" w:rsidP="00A106A5">
            <w:pPr>
              <w:pStyle w:val="CommentaryTabletextleft"/>
              <w:spacing w:before="0" w:after="0"/>
              <w:rPr>
                <w:b/>
                <w:color w:val="auto"/>
              </w:rPr>
            </w:pPr>
          </w:p>
        </w:tc>
        <w:tc>
          <w:tcPr>
            <w:tcW w:w="1587" w:type="dxa"/>
            <w:tcBorders>
              <w:left w:val="nil"/>
              <w:bottom w:val="single" w:sz="4" w:space="0" w:color="auto"/>
              <w:right w:val="nil"/>
            </w:tcBorders>
            <w:shd w:val="clear" w:color="auto" w:fill="auto"/>
          </w:tcPr>
          <w:p w14:paraId="345CFB40" w14:textId="77777777" w:rsidR="001B120E" w:rsidRPr="006F5DB0" w:rsidRDefault="001B120E" w:rsidP="00A106A5">
            <w:pPr>
              <w:pStyle w:val="CommentaryTabletextleft"/>
              <w:spacing w:before="0" w:after="0"/>
              <w:jc w:val="right"/>
              <w:rPr>
                <w:color w:val="auto"/>
              </w:rPr>
            </w:pPr>
          </w:p>
        </w:tc>
        <w:tc>
          <w:tcPr>
            <w:tcW w:w="1587" w:type="dxa"/>
            <w:tcBorders>
              <w:left w:val="nil"/>
              <w:bottom w:val="single" w:sz="4" w:space="0" w:color="auto"/>
              <w:right w:val="nil"/>
            </w:tcBorders>
            <w:shd w:val="clear" w:color="auto" w:fill="auto"/>
          </w:tcPr>
          <w:p w14:paraId="6E1F850A" w14:textId="77777777" w:rsidR="001B120E" w:rsidRPr="006F5DB0" w:rsidRDefault="001B120E" w:rsidP="00A106A5">
            <w:pPr>
              <w:pStyle w:val="CommentaryTabletextleft"/>
              <w:spacing w:before="0" w:after="0"/>
              <w:jc w:val="right"/>
              <w:rPr>
                <w:color w:val="auto"/>
              </w:rPr>
            </w:pPr>
          </w:p>
        </w:tc>
        <w:tc>
          <w:tcPr>
            <w:tcW w:w="1587" w:type="dxa"/>
            <w:tcBorders>
              <w:left w:val="nil"/>
              <w:bottom w:val="single" w:sz="4" w:space="0" w:color="auto"/>
              <w:right w:val="nil"/>
            </w:tcBorders>
            <w:shd w:val="clear" w:color="auto" w:fill="auto"/>
          </w:tcPr>
          <w:p w14:paraId="737ACCA0" w14:textId="77777777" w:rsidR="00923540" w:rsidRPr="008F4111" w:rsidRDefault="00923540" w:rsidP="00A106A5">
            <w:pPr>
              <w:pStyle w:val="CommentaryTabletextleft"/>
              <w:spacing w:before="0" w:after="0"/>
              <w:jc w:val="center"/>
              <w:rPr>
                <w:color w:val="auto"/>
              </w:rPr>
            </w:pPr>
          </w:p>
        </w:tc>
        <w:tc>
          <w:tcPr>
            <w:tcW w:w="1587" w:type="dxa"/>
            <w:tcBorders>
              <w:left w:val="nil"/>
              <w:bottom w:val="single" w:sz="4" w:space="0" w:color="auto"/>
              <w:right w:val="nil"/>
            </w:tcBorders>
            <w:shd w:val="clear" w:color="auto" w:fill="auto"/>
          </w:tcPr>
          <w:p w14:paraId="08B7E77B" w14:textId="14DCBE3C" w:rsidR="001B120E" w:rsidRPr="006F5DB0" w:rsidRDefault="001B120E" w:rsidP="00A106A5">
            <w:pPr>
              <w:pStyle w:val="CommentaryTabletextleft"/>
              <w:spacing w:before="0" w:after="0"/>
              <w:jc w:val="center"/>
              <w:rPr>
                <w:color w:val="auto"/>
              </w:rPr>
            </w:pPr>
          </w:p>
        </w:tc>
        <w:tc>
          <w:tcPr>
            <w:tcW w:w="1587" w:type="dxa"/>
            <w:tcBorders>
              <w:left w:val="nil"/>
              <w:bottom w:val="single" w:sz="4" w:space="0" w:color="auto"/>
              <w:right w:val="nil"/>
            </w:tcBorders>
            <w:shd w:val="clear" w:color="auto" w:fill="auto"/>
          </w:tcPr>
          <w:p w14:paraId="12381AB9" w14:textId="77777777" w:rsidR="001B120E" w:rsidRPr="006F5DB0" w:rsidRDefault="001B120E" w:rsidP="00A106A5">
            <w:pPr>
              <w:pStyle w:val="CommentaryTabletextleft"/>
              <w:spacing w:before="0" w:after="0"/>
              <w:jc w:val="center"/>
              <w:rPr>
                <w:color w:val="auto"/>
              </w:rPr>
            </w:pPr>
          </w:p>
        </w:tc>
        <w:tc>
          <w:tcPr>
            <w:tcW w:w="1587" w:type="dxa"/>
            <w:tcBorders>
              <w:left w:val="nil"/>
              <w:bottom w:val="single" w:sz="4" w:space="0" w:color="auto"/>
            </w:tcBorders>
            <w:shd w:val="clear" w:color="auto" w:fill="auto"/>
          </w:tcPr>
          <w:p w14:paraId="0D65F829" w14:textId="77777777" w:rsidR="001B120E" w:rsidRPr="006F5DB0" w:rsidRDefault="001B120E" w:rsidP="00A106A5">
            <w:pPr>
              <w:pStyle w:val="CommentaryTabletextleft"/>
              <w:spacing w:before="0" w:after="0"/>
              <w:jc w:val="center"/>
              <w:rPr>
                <w:color w:val="auto"/>
              </w:rPr>
            </w:pPr>
          </w:p>
        </w:tc>
      </w:tr>
      <w:tr w:rsidR="007A7B48" w:rsidRPr="006F5DB0" w14:paraId="7DACDE2F" w14:textId="77777777" w:rsidTr="2F1EB167">
        <w:trPr>
          <w:cantSplit/>
          <w:trHeight w:val="300"/>
        </w:trPr>
        <w:tc>
          <w:tcPr>
            <w:tcW w:w="2778" w:type="dxa"/>
            <w:tcBorders>
              <w:top w:val="single" w:sz="4" w:space="0" w:color="auto"/>
              <w:bottom w:val="single" w:sz="4" w:space="0" w:color="auto"/>
              <w:right w:val="nil"/>
            </w:tcBorders>
          </w:tcPr>
          <w:p w14:paraId="154D3A1B" w14:textId="77777777" w:rsidR="001B120E" w:rsidRPr="00A44B32" w:rsidRDefault="001B120E" w:rsidP="00A106A5">
            <w:pPr>
              <w:pStyle w:val="CommentaryTabletextleft"/>
              <w:spacing w:before="0" w:after="0"/>
              <w:ind w:left="567"/>
              <w:rPr>
                <w:color w:val="auto"/>
              </w:rPr>
            </w:pPr>
            <w:r w:rsidRPr="00A44B32">
              <w:rPr>
                <w:color w:val="auto"/>
              </w:rPr>
              <w:t>TLR rates in stented patients</w:t>
            </w:r>
          </w:p>
        </w:tc>
        <w:tc>
          <w:tcPr>
            <w:tcW w:w="2154" w:type="dxa"/>
            <w:tcBorders>
              <w:right w:val="nil"/>
            </w:tcBorders>
          </w:tcPr>
          <w:p w14:paraId="4EBAD1F5" w14:textId="37DEEF7A" w:rsidR="001B120E" w:rsidRPr="006F5DB0" w:rsidRDefault="001B120E" w:rsidP="2F1EB167">
            <w:pPr>
              <w:pStyle w:val="CommentaryTabletextleft"/>
              <w:spacing w:before="0" w:after="0"/>
              <w:rPr>
                <w:color w:val="auto"/>
              </w:rPr>
            </w:pPr>
            <w:proofErr w:type="spellStart"/>
            <w:r w:rsidRPr="2F1EB167">
              <w:rPr>
                <w:color w:val="auto"/>
              </w:rPr>
              <w:t>Tosaka</w:t>
            </w:r>
            <w:proofErr w:type="spellEnd"/>
            <w:r w:rsidRPr="2F1EB167">
              <w:rPr>
                <w:color w:val="auto"/>
              </w:rPr>
              <w:t xml:space="preserve"> et al. 2012</w:t>
            </w:r>
            <w:r w:rsidRPr="2F1EB167">
              <w:rPr>
                <w:color w:val="auto"/>
                <w:vertAlign w:val="superscript"/>
              </w:rPr>
              <w:t>b</w:t>
            </w:r>
          </w:p>
        </w:tc>
        <w:tc>
          <w:tcPr>
            <w:tcW w:w="1587" w:type="dxa"/>
          </w:tcPr>
          <w:p w14:paraId="70158E06" w14:textId="77777777" w:rsidR="001B120E" w:rsidRPr="006F5DB0" w:rsidRDefault="001B120E" w:rsidP="00A106A5">
            <w:pPr>
              <w:pStyle w:val="CommentaryTabletextleft"/>
              <w:tabs>
                <w:tab w:val="right" w:pos="1248"/>
              </w:tabs>
              <w:spacing w:before="0" w:after="0"/>
              <w:rPr>
                <w:color w:val="auto"/>
              </w:rPr>
            </w:pPr>
            <w:r w:rsidRPr="006F5DB0">
              <w:rPr>
                <w:color w:val="auto"/>
              </w:rPr>
              <w:t>No stent</w:t>
            </w:r>
            <w:r w:rsidRPr="006F5DB0">
              <w:rPr>
                <w:color w:val="auto"/>
              </w:rPr>
              <w:tab/>
              <w:t>35.6%</w:t>
            </w:r>
          </w:p>
          <w:p w14:paraId="05F67D36" w14:textId="77777777" w:rsidR="001B120E" w:rsidRPr="006F5DB0" w:rsidRDefault="001B120E" w:rsidP="00A106A5">
            <w:pPr>
              <w:pStyle w:val="CommentaryTabletextleft"/>
              <w:pBdr>
                <w:top w:val="dotted" w:sz="4" w:space="1" w:color="auto"/>
              </w:pBdr>
              <w:tabs>
                <w:tab w:val="right" w:pos="1248"/>
              </w:tabs>
              <w:spacing w:before="0" w:after="0"/>
              <w:rPr>
                <w:color w:val="auto"/>
              </w:rPr>
            </w:pPr>
            <w:r w:rsidRPr="006F5DB0">
              <w:rPr>
                <w:color w:val="auto"/>
              </w:rPr>
              <w:t>Stent</w:t>
            </w:r>
            <w:r w:rsidRPr="006F5DB0">
              <w:rPr>
                <w:color w:val="auto"/>
              </w:rPr>
              <w:tab/>
              <w:t>35.6%</w:t>
            </w:r>
          </w:p>
        </w:tc>
        <w:tc>
          <w:tcPr>
            <w:tcW w:w="1587" w:type="dxa"/>
          </w:tcPr>
          <w:p w14:paraId="5C2E2C00" w14:textId="77777777" w:rsidR="001B120E" w:rsidRPr="006F5DB0" w:rsidRDefault="001B120E" w:rsidP="00A106A5">
            <w:pPr>
              <w:pStyle w:val="CommentaryTabletextleft"/>
              <w:tabs>
                <w:tab w:val="right" w:pos="1248"/>
              </w:tabs>
              <w:spacing w:before="0" w:after="0"/>
              <w:rPr>
                <w:color w:val="auto"/>
              </w:rPr>
            </w:pPr>
            <w:r w:rsidRPr="006F5DB0">
              <w:rPr>
                <w:color w:val="auto"/>
              </w:rPr>
              <w:t>No stent</w:t>
            </w:r>
            <w:r w:rsidRPr="006F5DB0">
              <w:rPr>
                <w:color w:val="auto"/>
              </w:rPr>
              <w:tab/>
              <w:t>35.6%</w:t>
            </w:r>
          </w:p>
          <w:p w14:paraId="725ADC5B" w14:textId="77777777" w:rsidR="001B120E" w:rsidRPr="006F5DB0" w:rsidRDefault="001B120E" w:rsidP="00A106A5">
            <w:pPr>
              <w:pStyle w:val="CommentaryTabletextleft"/>
              <w:pBdr>
                <w:top w:val="dotted" w:sz="4" w:space="1" w:color="auto"/>
              </w:pBdr>
              <w:tabs>
                <w:tab w:val="right" w:pos="1248"/>
              </w:tabs>
              <w:spacing w:before="0" w:after="0"/>
              <w:rPr>
                <w:color w:val="auto"/>
              </w:rPr>
            </w:pPr>
            <w:r w:rsidRPr="006F5DB0">
              <w:rPr>
                <w:color w:val="auto"/>
              </w:rPr>
              <w:t>Stent</w:t>
            </w:r>
            <w:r w:rsidRPr="006F5DB0">
              <w:rPr>
                <w:color w:val="auto"/>
              </w:rPr>
              <w:tab/>
              <w:t>18.6%</w:t>
            </w:r>
          </w:p>
        </w:tc>
        <w:tc>
          <w:tcPr>
            <w:tcW w:w="1587" w:type="dxa"/>
            <w:tcBorders>
              <w:right w:val="single" w:sz="4" w:space="0" w:color="auto"/>
            </w:tcBorders>
          </w:tcPr>
          <w:p w14:paraId="3257470D" w14:textId="2A3311E5" w:rsidR="00C82DF4" w:rsidRPr="008F4111" w:rsidRDefault="00C82DF4" w:rsidP="00A106A5">
            <w:pPr>
              <w:pStyle w:val="CommentaryTabletextleft"/>
              <w:spacing w:before="0" w:after="0"/>
              <w:jc w:val="right"/>
              <w:rPr>
                <w:color w:val="auto"/>
              </w:rPr>
            </w:pPr>
            <w:r w:rsidRPr="008F4111">
              <w:rPr>
                <w:color w:val="auto"/>
              </w:rPr>
              <w:t>$</w:t>
            </w:r>
            <w:r w:rsidR="008F4111" w:rsidRPr="008F4111">
              <w:rPr>
                <w:b/>
                <w:color w:val="auto"/>
              </w:rPr>
              <w:t>redacted</w:t>
            </w:r>
          </w:p>
        </w:tc>
        <w:tc>
          <w:tcPr>
            <w:tcW w:w="1587" w:type="dxa"/>
            <w:tcBorders>
              <w:left w:val="single" w:sz="4" w:space="0" w:color="auto"/>
              <w:right w:val="single" w:sz="4" w:space="0" w:color="auto"/>
            </w:tcBorders>
          </w:tcPr>
          <w:p w14:paraId="675D2A3E" w14:textId="796BA9A0" w:rsidR="001B120E" w:rsidRPr="006F5DB0" w:rsidRDefault="001B120E" w:rsidP="00A106A5">
            <w:pPr>
              <w:pStyle w:val="CommentaryTabletextleft"/>
              <w:spacing w:before="0" w:after="0"/>
              <w:jc w:val="right"/>
              <w:rPr>
                <w:color w:val="auto"/>
              </w:rPr>
            </w:pPr>
            <w:r w:rsidRPr="006F5DB0">
              <w:rPr>
                <w:color w:val="auto"/>
              </w:rPr>
              <w:t>-27.8%</w:t>
            </w:r>
          </w:p>
        </w:tc>
        <w:tc>
          <w:tcPr>
            <w:tcW w:w="1587" w:type="dxa"/>
            <w:tcBorders>
              <w:left w:val="single" w:sz="4" w:space="0" w:color="auto"/>
              <w:right w:val="single" w:sz="4" w:space="0" w:color="auto"/>
            </w:tcBorders>
          </w:tcPr>
          <w:p w14:paraId="7C2A824F" w14:textId="77777777" w:rsidR="001B120E" w:rsidRPr="006F5DB0" w:rsidRDefault="001B120E" w:rsidP="00A106A5">
            <w:pPr>
              <w:pStyle w:val="CommentaryTabletextleft"/>
              <w:spacing w:before="0" w:after="0"/>
              <w:jc w:val="right"/>
              <w:rPr>
                <w:color w:val="auto"/>
              </w:rPr>
            </w:pPr>
            <w:r w:rsidRPr="006F5DB0">
              <w:rPr>
                <w:color w:val="auto"/>
              </w:rPr>
              <w:t>4.73%</w:t>
            </w:r>
          </w:p>
        </w:tc>
        <w:tc>
          <w:tcPr>
            <w:tcW w:w="1587" w:type="dxa"/>
            <w:tcBorders>
              <w:left w:val="single" w:sz="4" w:space="0" w:color="auto"/>
            </w:tcBorders>
          </w:tcPr>
          <w:p w14:paraId="05D5FF39" w14:textId="77777777" w:rsidR="001B120E" w:rsidRPr="006F5DB0" w:rsidRDefault="001B120E" w:rsidP="00A106A5">
            <w:pPr>
              <w:pStyle w:val="CommentaryTabletextleft"/>
              <w:spacing w:before="0" w:after="0"/>
              <w:jc w:val="right"/>
              <w:rPr>
                <w:color w:val="auto"/>
              </w:rPr>
            </w:pPr>
            <w:r w:rsidRPr="006F5DB0">
              <w:rPr>
                <w:color w:val="auto"/>
              </w:rPr>
              <w:t>-0.21%</w:t>
            </w:r>
          </w:p>
        </w:tc>
      </w:tr>
      <w:tr w:rsidR="007A7B48" w:rsidRPr="006F5DB0" w14:paraId="36CB89FC" w14:textId="77777777" w:rsidTr="2F1EB167">
        <w:trPr>
          <w:cantSplit/>
          <w:trHeight w:val="300"/>
        </w:trPr>
        <w:tc>
          <w:tcPr>
            <w:tcW w:w="2778" w:type="dxa"/>
            <w:tcBorders>
              <w:top w:val="single" w:sz="4" w:space="0" w:color="auto"/>
              <w:right w:val="nil"/>
            </w:tcBorders>
          </w:tcPr>
          <w:p w14:paraId="6BD49EEB" w14:textId="77777777" w:rsidR="001B120E" w:rsidRPr="00A44B32" w:rsidRDefault="001B120E" w:rsidP="00A106A5">
            <w:pPr>
              <w:pStyle w:val="CommentaryTabletextleft"/>
              <w:spacing w:before="0" w:after="0"/>
              <w:ind w:left="567"/>
              <w:rPr>
                <w:color w:val="auto"/>
              </w:rPr>
            </w:pPr>
            <w:r w:rsidRPr="00A44B32">
              <w:rPr>
                <w:color w:val="auto"/>
              </w:rPr>
              <w:t>TLR rates in all patients</w:t>
            </w:r>
          </w:p>
        </w:tc>
        <w:tc>
          <w:tcPr>
            <w:tcW w:w="2154" w:type="dxa"/>
            <w:tcBorders>
              <w:right w:val="nil"/>
            </w:tcBorders>
          </w:tcPr>
          <w:p w14:paraId="56E1824C" w14:textId="15D56DD3" w:rsidR="001B120E" w:rsidRPr="006F5DB0" w:rsidRDefault="001B120E" w:rsidP="2F1EB167">
            <w:pPr>
              <w:pStyle w:val="CommentaryTabletextleft"/>
              <w:spacing w:before="0" w:after="0"/>
              <w:rPr>
                <w:color w:val="auto"/>
              </w:rPr>
            </w:pPr>
            <w:proofErr w:type="spellStart"/>
            <w:r w:rsidRPr="2F1EB167">
              <w:rPr>
                <w:color w:val="auto"/>
              </w:rPr>
              <w:t>Tosaka</w:t>
            </w:r>
            <w:proofErr w:type="spellEnd"/>
            <w:r w:rsidRPr="2F1EB167">
              <w:rPr>
                <w:color w:val="auto"/>
              </w:rPr>
              <w:t xml:space="preserve"> et al. 2012</w:t>
            </w:r>
            <w:r w:rsidRPr="2F1EB167">
              <w:rPr>
                <w:color w:val="auto"/>
                <w:vertAlign w:val="superscript"/>
              </w:rPr>
              <w:t>b</w:t>
            </w:r>
          </w:p>
        </w:tc>
        <w:tc>
          <w:tcPr>
            <w:tcW w:w="1587" w:type="dxa"/>
          </w:tcPr>
          <w:p w14:paraId="2450913A" w14:textId="77777777" w:rsidR="001B120E" w:rsidRPr="006F5DB0" w:rsidRDefault="001B120E" w:rsidP="00A106A5">
            <w:pPr>
              <w:pStyle w:val="CommentaryTabletextleft"/>
              <w:tabs>
                <w:tab w:val="right" w:pos="1248"/>
              </w:tabs>
              <w:spacing w:before="0" w:after="0"/>
              <w:rPr>
                <w:color w:val="auto"/>
              </w:rPr>
            </w:pPr>
            <w:r w:rsidRPr="006F5DB0">
              <w:rPr>
                <w:color w:val="auto"/>
              </w:rPr>
              <w:t>No stent</w:t>
            </w:r>
            <w:r w:rsidRPr="006F5DB0">
              <w:rPr>
                <w:color w:val="auto"/>
              </w:rPr>
              <w:tab/>
              <w:t>35.6%</w:t>
            </w:r>
          </w:p>
          <w:p w14:paraId="41E01BF6" w14:textId="77777777" w:rsidR="001B120E" w:rsidRPr="006F5DB0" w:rsidRDefault="001B120E" w:rsidP="00A106A5">
            <w:pPr>
              <w:pStyle w:val="CommentaryTabletextleft"/>
              <w:pBdr>
                <w:top w:val="dotted" w:sz="4" w:space="1" w:color="auto"/>
              </w:pBdr>
              <w:tabs>
                <w:tab w:val="right" w:pos="1248"/>
              </w:tabs>
              <w:spacing w:before="0" w:after="0"/>
              <w:rPr>
                <w:color w:val="auto"/>
              </w:rPr>
            </w:pPr>
            <w:r w:rsidRPr="006F5DB0">
              <w:rPr>
                <w:color w:val="auto"/>
              </w:rPr>
              <w:t>Stent</w:t>
            </w:r>
            <w:r w:rsidRPr="006F5DB0">
              <w:rPr>
                <w:color w:val="auto"/>
              </w:rPr>
              <w:tab/>
              <w:t>35.6%</w:t>
            </w:r>
          </w:p>
        </w:tc>
        <w:tc>
          <w:tcPr>
            <w:tcW w:w="1587" w:type="dxa"/>
          </w:tcPr>
          <w:p w14:paraId="4D9D878E" w14:textId="77777777" w:rsidR="001B120E" w:rsidRPr="006F5DB0" w:rsidRDefault="001B120E" w:rsidP="00A106A5">
            <w:pPr>
              <w:pStyle w:val="CommentaryTabletextleft"/>
              <w:tabs>
                <w:tab w:val="right" w:pos="1248"/>
              </w:tabs>
              <w:spacing w:before="0" w:after="0"/>
              <w:rPr>
                <w:color w:val="auto"/>
              </w:rPr>
            </w:pPr>
            <w:r w:rsidRPr="006F5DB0">
              <w:rPr>
                <w:color w:val="auto"/>
              </w:rPr>
              <w:t>No stent</w:t>
            </w:r>
            <w:r w:rsidRPr="006F5DB0">
              <w:rPr>
                <w:color w:val="auto"/>
              </w:rPr>
              <w:tab/>
              <w:t>18.6%</w:t>
            </w:r>
          </w:p>
          <w:p w14:paraId="2F662E99" w14:textId="77777777" w:rsidR="001B120E" w:rsidRPr="006F5DB0" w:rsidRDefault="001B120E" w:rsidP="00A106A5">
            <w:pPr>
              <w:pStyle w:val="CommentaryTabletextleft"/>
              <w:pBdr>
                <w:top w:val="dotted" w:sz="4" w:space="1" w:color="auto"/>
              </w:pBdr>
              <w:tabs>
                <w:tab w:val="right" w:pos="1248"/>
              </w:tabs>
              <w:spacing w:before="0" w:after="0"/>
              <w:rPr>
                <w:color w:val="auto"/>
              </w:rPr>
            </w:pPr>
            <w:r w:rsidRPr="006F5DB0">
              <w:rPr>
                <w:color w:val="auto"/>
              </w:rPr>
              <w:t>Stent</w:t>
            </w:r>
            <w:r w:rsidRPr="006F5DB0">
              <w:rPr>
                <w:color w:val="auto"/>
              </w:rPr>
              <w:tab/>
              <w:t>18.6%</w:t>
            </w:r>
          </w:p>
        </w:tc>
        <w:tc>
          <w:tcPr>
            <w:tcW w:w="1587" w:type="dxa"/>
            <w:tcBorders>
              <w:right w:val="single" w:sz="4" w:space="0" w:color="auto"/>
            </w:tcBorders>
          </w:tcPr>
          <w:p w14:paraId="753FAAEC" w14:textId="0442569C" w:rsidR="00904C48" w:rsidRPr="008F4111" w:rsidRDefault="00904C48" w:rsidP="00A106A5">
            <w:pPr>
              <w:pStyle w:val="CommentaryTabletextleft"/>
              <w:spacing w:before="0" w:after="0"/>
              <w:jc w:val="right"/>
              <w:rPr>
                <w:color w:val="auto"/>
              </w:rPr>
            </w:pPr>
            <w:r w:rsidRPr="008F4111">
              <w:rPr>
                <w:color w:val="auto"/>
              </w:rPr>
              <w:t>$</w:t>
            </w:r>
            <w:r w:rsidR="008F4111" w:rsidRPr="008F4111">
              <w:rPr>
                <w:b/>
                <w:color w:val="auto"/>
              </w:rPr>
              <w:t>redacted</w:t>
            </w:r>
          </w:p>
        </w:tc>
        <w:tc>
          <w:tcPr>
            <w:tcW w:w="1587" w:type="dxa"/>
            <w:tcBorders>
              <w:left w:val="single" w:sz="4" w:space="0" w:color="auto"/>
              <w:right w:val="single" w:sz="4" w:space="0" w:color="auto"/>
            </w:tcBorders>
          </w:tcPr>
          <w:p w14:paraId="4026E649" w14:textId="5848A06F" w:rsidR="001B120E" w:rsidRPr="006F5DB0" w:rsidRDefault="001B120E" w:rsidP="00A106A5">
            <w:pPr>
              <w:pStyle w:val="CommentaryTabletextleft"/>
              <w:spacing w:before="0" w:after="0"/>
              <w:jc w:val="right"/>
              <w:rPr>
                <w:color w:val="auto"/>
              </w:rPr>
            </w:pPr>
            <w:r w:rsidRPr="006F5DB0">
              <w:rPr>
                <w:color w:val="auto"/>
              </w:rPr>
              <w:t>-27.8%</w:t>
            </w:r>
          </w:p>
        </w:tc>
        <w:tc>
          <w:tcPr>
            <w:tcW w:w="1587" w:type="dxa"/>
            <w:tcBorders>
              <w:left w:val="single" w:sz="4" w:space="0" w:color="auto"/>
              <w:right w:val="single" w:sz="4" w:space="0" w:color="auto"/>
            </w:tcBorders>
          </w:tcPr>
          <w:p w14:paraId="2F5D57C3" w14:textId="77777777" w:rsidR="001B120E" w:rsidRPr="006F5DB0" w:rsidRDefault="001B120E" w:rsidP="00A106A5">
            <w:pPr>
              <w:pStyle w:val="CommentaryTabletextleft"/>
              <w:spacing w:before="0" w:after="0"/>
              <w:jc w:val="right"/>
              <w:rPr>
                <w:color w:val="auto"/>
              </w:rPr>
            </w:pPr>
            <w:r w:rsidRPr="006F5DB0">
              <w:rPr>
                <w:color w:val="auto"/>
              </w:rPr>
              <w:t>0.00%</w:t>
            </w:r>
          </w:p>
        </w:tc>
        <w:tc>
          <w:tcPr>
            <w:tcW w:w="1587" w:type="dxa"/>
            <w:tcBorders>
              <w:left w:val="single" w:sz="4" w:space="0" w:color="auto"/>
            </w:tcBorders>
          </w:tcPr>
          <w:p w14:paraId="2AFC9421" w14:textId="77777777" w:rsidR="001B120E" w:rsidRPr="006F5DB0" w:rsidRDefault="001B120E" w:rsidP="00A106A5">
            <w:pPr>
              <w:pStyle w:val="CommentaryTabletextleft"/>
              <w:spacing w:before="0" w:after="0"/>
              <w:jc w:val="right"/>
              <w:rPr>
                <w:color w:val="auto"/>
              </w:rPr>
            </w:pPr>
            <w:r w:rsidRPr="006F5DB0">
              <w:rPr>
                <w:color w:val="auto"/>
              </w:rPr>
              <w:t>-0.21%</w:t>
            </w:r>
          </w:p>
        </w:tc>
      </w:tr>
      <w:tr w:rsidR="007A7B48" w:rsidRPr="006F5DB0" w14:paraId="7F97F257" w14:textId="77777777" w:rsidTr="2F1EB167">
        <w:trPr>
          <w:cantSplit/>
          <w:trHeight w:val="300"/>
        </w:trPr>
        <w:tc>
          <w:tcPr>
            <w:tcW w:w="2778" w:type="dxa"/>
            <w:tcBorders>
              <w:top w:val="single" w:sz="4" w:space="0" w:color="auto"/>
              <w:right w:val="nil"/>
            </w:tcBorders>
          </w:tcPr>
          <w:p w14:paraId="397953C7" w14:textId="77777777" w:rsidR="001B120E" w:rsidRPr="00A44B32" w:rsidRDefault="001B120E" w:rsidP="00A106A5">
            <w:pPr>
              <w:pStyle w:val="CommentaryTabletextleft"/>
              <w:spacing w:before="0" w:after="0"/>
              <w:ind w:left="567"/>
              <w:rPr>
                <w:color w:val="auto"/>
              </w:rPr>
            </w:pPr>
            <w:r w:rsidRPr="00A44B32">
              <w:rPr>
                <w:color w:val="auto"/>
              </w:rPr>
              <w:t>Open TLR in patients with no stent at index procedure</w:t>
            </w:r>
          </w:p>
        </w:tc>
        <w:tc>
          <w:tcPr>
            <w:tcW w:w="2154" w:type="dxa"/>
            <w:tcBorders>
              <w:right w:val="nil"/>
            </w:tcBorders>
          </w:tcPr>
          <w:p w14:paraId="7E8FBADA" w14:textId="77777777" w:rsidR="001B120E" w:rsidRPr="006F5DB0" w:rsidRDefault="001B120E" w:rsidP="00A106A5">
            <w:pPr>
              <w:pStyle w:val="CommentaryTabletextleft"/>
              <w:spacing w:before="0" w:after="0"/>
              <w:rPr>
                <w:color w:val="auto"/>
              </w:rPr>
            </w:pPr>
            <w:r w:rsidRPr="006F5DB0">
              <w:rPr>
                <w:color w:val="auto"/>
              </w:rPr>
              <w:t>COSTLY-TLR study of stented patients used in non-stented patients</w:t>
            </w:r>
          </w:p>
        </w:tc>
        <w:tc>
          <w:tcPr>
            <w:tcW w:w="1587" w:type="dxa"/>
          </w:tcPr>
          <w:p w14:paraId="6B003AEC" w14:textId="77777777" w:rsidR="001B120E" w:rsidRPr="006F5DB0" w:rsidRDefault="001B120E" w:rsidP="00A106A5">
            <w:pPr>
              <w:pStyle w:val="CommentaryTabletextleft"/>
              <w:tabs>
                <w:tab w:val="right" w:pos="1248"/>
              </w:tabs>
              <w:spacing w:before="0" w:after="0"/>
              <w:rPr>
                <w:color w:val="auto"/>
              </w:rPr>
            </w:pPr>
            <w:r w:rsidRPr="006F5DB0">
              <w:rPr>
                <w:color w:val="auto"/>
              </w:rPr>
              <w:t>No stent</w:t>
            </w:r>
            <w:r w:rsidRPr="006F5DB0">
              <w:rPr>
                <w:color w:val="auto"/>
              </w:rPr>
              <w:tab/>
              <w:t>0%</w:t>
            </w:r>
          </w:p>
          <w:p w14:paraId="02E16826" w14:textId="77777777" w:rsidR="001B120E" w:rsidRPr="006F5DB0" w:rsidRDefault="001B120E" w:rsidP="00A106A5">
            <w:pPr>
              <w:pStyle w:val="CommentaryTabletextleft"/>
              <w:pBdr>
                <w:top w:val="dotted" w:sz="4" w:space="1" w:color="auto"/>
              </w:pBdr>
              <w:tabs>
                <w:tab w:val="right" w:pos="1248"/>
              </w:tabs>
              <w:spacing w:before="0" w:after="0"/>
              <w:rPr>
                <w:color w:val="auto"/>
              </w:rPr>
            </w:pPr>
            <w:r w:rsidRPr="006F5DB0">
              <w:rPr>
                <w:color w:val="auto"/>
              </w:rPr>
              <w:t>Stent</w:t>
            </w:r>
            <w:r w:rsidRPr="006F5DB0">
              <w:rPr>
                <w:color w:val="auto"/>
              </w:rPr>
              <w:tab/>
              <w:t>58%</w:t>
            </w:r>
          </w:p>
        </w:tc>
        <w:tc>
          <w:tcPr>
            <w:tcW w:w="1587" w:type="dxa"/>
          </w:tcPr>
          <w:p w14:paraId="1C652963" w14:textId="77777777" w:rsidR="001B120E" w:rsidRPr="006F5DB0" w:rsidRDefault="001B120E" w:rsidP="00A106A5">
            <w:pPr>
              <w:pStyle w:val="CommentaryTabletextleft"/>
              <w:tabs>
                <w:tab w:val="right" w:pos="1248"/>
              </w:tabs>
              <w:spacing w:before="0" w:after="0"/>
              <w:rPr>
                <w:color w:val="auto"/>
              </w:rPr>
            </w:pPr>
            <w:r w:rsidRPr="006F5DB0">
              <w:rPr>
                <w:color w:val="auto"/>
              </w:rPr>
              <w:t>No stent</w:t>
            </w:r>
            <w:r w:rsidRPr="006F5DB0">
              <w:rPr>
                <w:color w:val="auto"/>
              </w:rPr>
              <w:tab/>
              <w:t>58%</w:t>
            </w:r>
          </w:p>
          <w:p w14:paraId="6FF17B8E" w14:textId="77777777" w:rsidR="001B120E" w:rsidRPr="006F5DB0" w:rsidRDefault="001B120E" w:rsidP="00A106A5">
            <w:pPr>
              <w:pStyle w:val="CommentaryTabletextleft"/>
              <w:pBdr>
                <w:top w:val="dotted" w:sz="4" w:space="1" w:color="auto"/>
              </w:pBdr>
              <w:tabs>
                <w:tab w:val="right" w:pos="1248"/>
              </w:tabs>
              <w:spacing w:before="0" w:after="0"/>
              <w:rPr>
                <w:color w:val="auto"/>
              </w:rPr>
            </w:pPr>
            <w:r w:rsidRPr="006F5DB0">
              <w:rPr>
                <w:color w:val="auto"/>
              </w:rPr>
              <w:t>Stent</w:t>
            </w:r>
            <w:r w:rsidRPr="006F5DB0">
              <w:rPr>
                <w:color w:val="auto"/>
              </w:rPr>
              <w:tab/>
              <w:t>58%</w:t>
            </w:r>
          </w:p>
        </w:tc>
        <w:tc>
          <w:tcPr>
            <w:tcW w:w="1587" w:type="dxa"/>
            <w:tcBorders>
              <w:right w:val="single" w:sz="4" w:space="0" w:color="auto"/>
            </w:tcBorders>
          </w:tcPr>
          <w:p w14:paraId="0363D893" w14:textId="00015F0A" w:rsidR="002F5029" w:rsidRPr="008F4111" w:rsidRDefault="002F5029" w:rsidP="00A106A5">
            <w:pPr>
              <w:pStyle w:val="CommentaryTabletextleft"/>
              <w:spacing w:before="0" w:after="0"/>
              <w:jc w:val="right"/>
              <w:rPr>
                <w:color w:val="auto"/>
              </w:rPr>
            </w:pPr>
            <w:r w:rsidRPr="008F4111">
              <w:rPr>
                <w:color w:val="auto"/>
              </w:rPr>
              <w:t>$</w:t>
            </w:r>
            <w:r w:rsidR="008F4111" w:rsidRPr="008F4111">
              <w:rPr>
                <w:b/>
                <w:color w:val="auto"/>
              </w:rPr>
              <w:t>redacted</w:t>
            </w:r>
          </w:p>
        </w:tc>
        <w:tc>
          <w:tcPr>
            <w:tcW w:w="1587" w:type="dxa"/>
            <w:tcBorders>
              <w:left w:val="single" w:sz="4" w:space="0" w:color="auto"/>
              <w:right w:val="single" w:sz="4" w:space="0" w:color="auto"/>
            </w:tcBorders>
          </w:tcPr>
          <w:p w14:paraId="79D18BC2" w14:textId="0AC6B03D" w:rsidR="001B120E" w:rsidRPr="006F5DB0" w:rsidRDefault="001B120E" w:rsidP="00A106A5">
            <w:pPr>
              <w:pStyle w:val="CommentaryTabletextleft"/>
              <w:spacing w:before="0" w:after="0"/>
              <w:jc w:val="right"/>
              <w:rPr>
                <w:color w:val="auto"/>
              </w:rPr>
            </w:pPr>
            <w:r w:rsidRPr="006F5DB0">
              <w:rPr>
                <w:color w:val="auto"/>
              </w:rPr>
              <w:t>-27.8%</w:t>
            </w:r>
          </w:p>
        </w:tc>
        <w:tc>
          <w:tcPr>
            <w:tcW w:w="1587" w:type="dxa"/>
            <w:tcBorders>
              <w:left w:val="single" w:sz="4" w:space="0" w:color="auto"/>
              <w:right w:val="single" w:sz="4" w:space="0" w:color="auto"/>
            </w:tcBorders>
          </w:tcPr>
          <w:p w14:paraId="76EB7BB9" w14:textId="77777777" w:rsidR="001B120E" w:rsidRPr="006F5DB0" w:rsidRDefault="001B120E" w:rsidP="00A106A5">
            <w:pPr>
              <w:pStyle w:val="CommentaryTabletextleft"/>
              <w:spacing w:before="0" w:after="0"/>
              <w:jc w:val="right"/>
              <w:rPr>
                <w:color w:val="auto"/>
              </w:rPr>
            </w:pPr>
            <w:r w:rsidRPr="006F5DB0">
              <w:rPr>
                <w:color w:val="auto"/>
              </w:rPr>
              <w:t>0.00%</w:t>
            </w:r>
          </w:p>
        </w:tc>
        <w:tc>
          <w:tcPr>
            <w:tcW w:w="1587" w:type="dxa"/>
            <w:tcBorders>
              <w:left w:val="single" w:sz="4" w:space="0" w:color="auto"/>
            </w:tcBorders>
          </w:tcPr>
          <w:p w14:paraId="42F657ED" w14:textId="77777777" w:rsidR="001B120E" w:rsidRPr="006F5DB0" w:rsidRDefault="001B120E" w:rsidP="00A106A5">
            <w:pPr>
              <w:pStyle w:val="CommentaryTabletextleft"/>
              <w:spacing w:before="0" w:after="0"/>
              <w:jc w:val="right"/>
              <w:rPr>
                <w:color w:val="auto"/>
              </w:rPr>
            </w:pPr>
            <w:r w:rsidRPr="006F5DB0">
              <w:rPr>
                <w:color w:val="auto"/>
              </w:rPr>
              <w:t>-0.40%</w:t>
            </w:r>
          </w:p>
        </w:tc>
      </w:tr>
    </w:tbl>
    <w:p w14:paraId="7F1E6ECD" w14:textId="249FC920" w:rsidR="00BB1189" w:rsidRDefault="00BB1189" w:rsidP="007D54CA">
      <w:pPr>
        <w:pStyle w:val="Tablenotes0"/>
      </w:pPr>
      <w:r>
        <w:t>ADAR</w:t>
      </w:r>
      <w:r w:rsidR="007D54CA">
        <w:t xml:space="preserve"> = </w:t>
      </w:r>
      <w:r w:rsidR="00594CE8">
        <w:t>Applicant Developed Assessment Report</w:t>
      </w:r>
      <w:r>
        <w:t xml:space="preserve">; </w:t>
      </w:r>
      <w:r w:rsidR="003C0E03">
        <w:t xml:space="preserve">AVA = </w:t>
      </w:r>
      <w:r w:rsidR="0016716E">
        <w:t>Austral</w:t>
      </w:r>
      <w:r w:rsidR="00E57EF9">
        <w:t>as</w:t>
      </w:r>
      <w:r w:rsidR="0016716E">
        <w:t xml:space="preserve">ian Vascular Audit; </w:t>
      </w:r>
      <w:r>
        <w:t>DCB</w:t>
      </w:r>
      <w:r w:rsidR="007D54CA">
        <w:t xml:space="preserve"> = </w:t>
      </w:r>
      <w:r>
        <w:t>drug-coated balloon; IVL</w:t>
      </w:r>
      <w:r w:rsidR="007D54CA">
        <w:t xml:space="preserve"> = </w:t>
      </w:r>
      <w:r>
        <w:t xml:space="preserve">intravascular lithotripsy; </w:t>
      </w:r>
      <w:r w:rsidR="00375382">
        <w:t xml:space="preserve">MBS = Medicare Benefits Schedule; </w:t>
      </w:r>
      <w:r>
        <w:t>OS</w:t>
      </w:r>
      <w:r w:rsidR="007D54CA">
        <w:t xml:space="preserve"> = </w:t>
      </w:r>
      <w:r>
        <w:t>observational study; PAD</w:t>
      </w:r>
      <w:r w:rsidR="007D54CA">
        <w:t xml:space="preserve"> = </w:t>
      </w:r>
      <w:r>
        <w:t>peripheral arter</w:t>
      </w:r>
      <w:r w:rsidR="00D97AAE">
        <w:t>y</w:t>
      </w:r>
      <w:r>
        <w:t xml:space="preserve"> disease; RCT</w:t>
      </w:r>
      <w:r w:rsidR="007D54CA">
        <w:t xml:space="preserve"> = </w:t>
      </w:r>
      <w:r>
        <w:t>randomised controlled trial; RR</w:t>
      </w:r>
      <w:r w:rsidR="007D54CA">
        <w:t xml:space="preserve"> = </w:t>
      </w:r>
      <w:r>
        <w:t>relative risk; SBA</w:t>
      </w:r>
      <w:r w:rsidR="007D54CA">
        <w:t xml:space="preserve"> = </w:t>
      </w:r>
      <w:r>
        <w:t>standard balloon angiography; TLR</w:t>
      </w:r>
      <w:r w:rsidR="007D54CA">
        <w:t xml:space="preserve"> = </w:t>
      </w:r>
      <w:r>
        <w:t>target lesion revascularisation</w:t>
      </w:r>
      <w:r w:rsidR="009E7309">
        <w:t>; ESC = Evaluation Sub-Committee</w:t>
      </w:r>
      <w:r w:rsidR="00954E15">
        <w:t xml:space="preserve"> </w:t>
      </w:r>
    </w:p>
    <w:p w14:paraId="51757D85" w14:textId="0D7F44CD" w:rsidR="00BB1189" w:rsidRDefault="00BB1189" w:rsidP="007D54CA">
      <w:pPr>
        <w:pStyle w:val="Tablenotes0"/>
      </w:pPr>
      <w:proofErr w:type="gramStart"/>
      <w:r w:rsidRPr="2F1EB167">
        <w:t>a Number of</w:t>
      </w:r>
      <w:proofErr w:type="gramEnd"/>
      <w:r w:rsidRPr="2F1EB167">
        <w:t xml:space="preserve"> catheters used per patient in DISRUPT PAD II single arm study sourced from </w:t>
      </w:r>
      <w:proofErr w:type="spellStart"/>
      <w:r w:rsidRPr="2F1EB167">
        <w:t>Madhaven</w:t>
      </w:r>
      <w:proofErr w:type="spellEnd"/>
      <w:r w:rsidRPr="2F1EB167">
        <w:t xml:space="preserve"> et al 2020, suppl. table 2.</w:t>
      </w:r>
    </w:p>
    <w:p w14:paraId="3B568522" w14:textId="4DB4181C" w:rsidR="001E0009" w:rsidRDefault="00BB1189" w:rsidP="007D54CA">
      <w:pPr>
        <w:pStyle w:val="Tablenotes0"/>
      </w:pPr>
      <w:r w:rsidRPr="2F1EB167">
        <w:t xml:space="preserve">b </w:t>
      </w:r>
      <w:proofErr w:type="spellStart"/>
      <w:r w:rsidRPr="2F1EB167">
        <w:t>Tosaka</w:t>
      </w:r>
      <w:proofErr w:type="spellEnd"/>
      <w:r w:rsidRPr="2F1EB167">
        <w:t xml:space="preserve"> et al. 2012 is cited in the Rymer &amp; Jones 2018 editorial and reports on a cohort of stented patients.</w:t>
      </w:r>
    </w:p>
    <w:p w14:paraId="7FD05013" w14:textId="4F78A77C" w:rsidR="00397143" w:rsidRPr="00831944" w:rsidRDefault="00397143" w:rsidP="2F1EB167">
      <w:pPr>
        <w:pStyle w:val="Tablenotes0"/>
        <w:spacing w:before="0" w:after="0"/>
      </w:pPr>
      <w:r w:rsidRPr="2F1EB167">
        <w:t xml:space="preserve">c </w:t>
      </w:r>
      <w:r w:rsidR="00C5678F" w:rsidRPr="2F1EB167">
        <w:t xml:space="preserve">Commentary </w:t>
      </w:r>
      <w:r w:rsidR="00A75B6A" w:rsidRPr="2F1EB167">
        <w:t>alternative</w:t>
      </w:r>
      <w:r w:rsidR="00C5678F" w:rsidRPr="2F1EB167">
        <w:t xml:space="preserve"> base case </w:t>
      </w:r>
      <w:r w:rsidRPr="2F1EB167">
        <w:t>CCA economic model and estimates updated</w:t>
      </w:r>
      <w:r w:rsidR="00D62ACD" w:rsidRPr="2F1EB167">
        <w:t xml:space="preserve"> for ESC</w:t>
      </w:r>
      <w:r w:rsidRPr="2F1EB167">
        <w:t xml:space="preserve"> using </w:t>
      </w:r>
      <w:r w:rsidR="00A75B6A" w:rsidRPr="2F1EB167">
        <w:t xml:space="preserve">current </w:t>
      </w:r>
      <w:r w:rsidRPr="2F1EB167">
        <w:t>national efficient price and AR-DRG F11</w:t>
      </w:r>
      <w:proofErr w:type="gramStart"/>
      <w:r w:rsidRPr="2F1EB167">
        <w:t>A,B</w:t>
      </w:r>
      <w:proofErr w:type="gramEnd"/>
      <w:r w:rsidRPr="2F1EB167">
        <w:rPr>
          <w:rStyle w:val="CommentaryTabletextleftChar"/>
          <w:color w:val="auto"/>
          <w:sz w:val="18"/>
          <w:szCs w:val="18"/>
        </w:rPr>
        <w:t xml:space="preserve">,C – </w:t>
      </w:r>
      <w:r w:rsidRPr="2F1EB167">
        <w:t>NHCDC Version 11.0, Round 25 (2020-21).</w:t>
      </w:r>
    </w:p>
    <w:p w14:paraId="7B97CA3B" w14:textId="0653F685" w:rsidR="001E0009" w:rsidRPr="00831944" w:rsidRDefault="007D54CA" w:rsidP="00F31C0E">
      <w:pPr>
        <w:pStyle w:val="Tablenotes0"/>
        <w:rPr>
          <w:szCs w:val="18"/>
        </w:rPr>
      </w:pPr>
      <w:r w:rsidRPr="00831944">
        <w:rPr>
          <w:szCs w:val="18"/>
        </w:rPr>
        <w:t>Source:</w:t>
      </w:r>
      <w:r w:rsidR="00397143" w:rsidRPr="00831944">
        <w:rPr>
          <w:szCs w:val="18"/>
        </w:rPr>
        <w:t xml:space="preserve"> a</w:t>
      </w:r>
      <w:r w:rsidR="00F559B6" w:rsidRPr="00831944">
        <w:rPr>
          <w:szCs w:val="18"/>
        </w:rPr>
        <w:t>dapted from Commentary Table 7 of MSAC 1734 resubmission ADAR + in-line commentary.</w:t>
      </w:r>
    </w:p>
    <w:p w14:paraId="62619A47" w14:textId="77777777" w:rsidR="001E0009" w:rsidRDefault="001E0009" w:rsidP="001E0009">
      <w:pPr>
        <w:sectPr w:rsidR="001E0009" w:rsidSect="001E0009">
          <w:pgSz w:w="16838" w:h="11906" w:orient="landscape"/>
          <w:pgMar w:top="1440" w:right="1440" w:bottom="1440" w:left="1440" w:header="708" w:footer="708" w:gutter="0"/>
          <w:cols w:space="708"/>
          <w:docGrid w:linePitch="360"/>
        </w:sectPr>
      </w:pPr>
    </w:p>
    <w:p w14:paraId="25AE2BAC" w14:textId="5F992473" w:rsidR="00772829" w:rsidRPr="00CE28E3" w:rsidRDefault="00C36633" w:rsidP="002A18BE">
      <w:pPr>
        <w:pStyle w:val="Heading2"/>
        <w:numPr>
          <w:ilvl w:val="0"/>
          <w:numId w:val="0"/>
        </w:numPr>
      </w:pPr>
      <w:bookmarkStart w:id="26" w:name="_Toc69491426"/>
      <w:r>
        <w:lastRenderedPageBreak/>
        <w:t>1</w:t>
      </w:r>
      <w:r w:rsidR="00A106A5">
        <w:t>4</w:t>
      </w:r>
      <w:r>
        <w:t>.</w:t>
      </w:r>
      <w:r>
        <w:tab/>
      </w:r>
      <w:r w:rsidR="00772829" w:rsidRPr="00CE28E3">
        <w:t>Financial/budgetary impacts</w:t>
      </w:r>
      <w:bookmarkEnd w:id="26"/>
    </w:p>
    <w:p w14:paraId="1C1F6B00" w14:textId="45568D5B" w:rsidR="00A171B1" w:rsidRDefault="00A171B1" w:rsidP="00330A0A">
      <w:r w:rsidRPr="2F1EB167">
        <w:t xml:space="preserve">The financial impact </w:t>
      </w:r>
      <w:r w:rsidR="00F02384" w:rsidRPr="2F1EB167">
        <w:t>analysis</w:t>
      </w:r>
      <w:r w:rsidRPr="2F1EB167">
        <w:t xml:space="preserve"> </w:t>
      </w:r>
      <w:r w:rsidR="00741FC0" w:rsidRPr="2F1EB167">
        <w:t>in the ADAR resubmission was</w:t>
      </w:r>
      <w:r w:rsidRPr="2F1EB167">
        <w:t xml:space="preserve"> updated to align with the updates made to the </w:t>
      </w:r>
      <w:r w:rsidR="00CA16AF" w:rsidRPr="2F1EB167">
        <w:t>ADAR</w:t>
      </w:r>
      <w:r w:rsidR="00F56AF9" w:rsidRPr="2F1EB167">
        <w:t xml:space="preserve"> </w:t>
      </w:r>
      <w:r w:rsidRPr="2F1EB167">
        <w:t>economic evaluation</w:t>
      </w:r>
      <w:r w:rsidR="008933D6" w:rsidRPr="2F1EB167">
        <w:t xml:space="preserve"> (</w:t>
      </w:r>
      <w:r w:rsidR="00AD4FE8" w:rsidRPr="2F1EB167">
        <w:t>i.e. consideration of a single population</w:t>
      </w:r>
      <w:r w:rsidR="00BB2748" w:rsidRPr="2F1EB167">
        <w:t xml:space="preserve"> rather than two separate populations;</w:t>
      </w:r>
      <w:r w:rsidR="00C74D44" w:rsidRPr="2F1EB167">
        <w:t xml:space="preserve"> </w:t>
      </w:r>
      <w:r w:rsidR="007F1F0E" w:rsidRPr="2F1EB167">
        <w:t xml:space="preserve">revised </w:t>
      </w:r>
      <w:r w:rsidR="007B2C36" w:rsidRPr="2F1EB167">
        <w:t>rate</w:t>
      </w:r>
      <w:r w:rsidR="007F1F0E" w:rsidRPr="2F1EB167">
        <w:t>s</w:t>
      </w:r>
      <w:r w:rsidR="007B2C36" w:rsidRPr="2F1EB167">
        <w:t xml:space="preserve"> of </w:t>
      </w:r>
      <w:r w:rsidR="00A9101D" w:rsidRPr="2F1EB167">
        <w:t xml:space="preserve">stent </w:t>
      </w:r>
      <w:r w:rsidR="007F1F0E" w:rsidRPr="2F1EB167">
        <w:t xml:space="preserve">and DCB </w:t>
      </w:r>
      <w:r w:rsidR="00A9101D" w:rsidRPr="2F1EB167">
        <w:t>insertion</w:t>
      </w:r>
      <w:r w:rsidR="00786FBB" w:rsidRPr="2F1EB167">
        <w:t>;</w:t>
      </w:r>
      <w:r w:rsidR="00063B6E" w:rsidRPr="2F1EB167">
        <w:t xml:space="preserve"> </w:t>
      </w:r>
      <w:r w:rsidR="00237571" w:rsidRPr="2F1EB167">
        <w:t xml:space="preserve">and </w:t>
      </w:r>
      <w:r w:rsidR="00E66DA2" w:rsidRPr="2F1EB167">
        <w:t>use of bare metal stent costs</w:t>
      </w:r>
      <w:r w:rsidR="00C74D44" w:rsidRPr="2F1EB167">
        <w:t>)</w:t>
      </w:r>
      <w:r w:rsidRPr="2F1EB167">
        <w:t xml:space="preserve">. The </w:t>
      </w:r>
      <w:r w:rsidR="00A546F4" w:rsidRPr="2F1EB167">
        <w:t xml:space="preserve">financial </w:t>
      </w:r>
      <w:r w:rsidRPr="2F1EB167">
        <w:t xml:space="preserve">analysis </w:t>
      </w:r>
      <w:r w:rsidR="00F625AD" w:rsidRPr="2F1EB167">
        <w:t>adopted</w:t>
      </w:r>
      <w:r w:rsidRPr="2F1EB167">
        <w:t xml:space="preserve"> a market share approach to estimate the net costs of the proposed MBS listing of IVL</w:t>
      </w:r>
      <w:r w:rsidR="00AE0B96" w:rsidRPr="2F1EB167">
        <w:t xml:space="preserve"> </w:t>
      </w:r>
      <w:r w:rsidR="008236EF" w:rsidRPr="2F1EB167">
        <w:t>as either a stand-alone treatment or as a vessel preparation strategy prior to DCB or stent insertion</w:t>
      </w:r>
      <w:r w:rsidRPr="2F1EB167">
        <w:t xml:space="preserve">. This </w:t>
      </w:r>
      <w:r w:rsidR="00484314" w:rsidRPr="2F1EB167">
        <w:t>approach</w:t>
      </w:r>
      <w:r w:rsidR="00915EDF" w:rsidRPr="2F1EB167">
        <w:t xml:space="preserve"> (which</w:t>
      </w:r>
      <w:r w:rsidR="00484314" w:rsidRPr="2F1EB167">
        <w:t xml:space="preserve"> </w:t>
      </w:r>
      <w:r w:rsidR="00A546F4" w:rsidRPr="2F1EB167">
        <w:t>i</w:t>
      </w:r>
      <w:r w:rsidR="00915EDF" w:rsidRPr="2F1EB167">
        <w:t xml:space="preserve">s </w:t>
      </w:r>
      <w:r w:rsidRPr="2F1EB167">
        <w:t xml:space="preserve">consistent with the original </w:t>
      </w:r>
      <w:r w:rsidR="00184F36" w:rsidRPr="2F1EB167">
        <w:t>submission</w:t>
      </w:r>
      <w:r w:rsidR="007778DA" w:rsidRPr="2F1EB167">
        <w:t>)</w:t>
      </w:r>
      <w:r w:rsidRPr="2F1EB167">
        <w:t xml:space="preserve"> </w:t>
      </w:r>
      <w:r w:rsidR="00A546F4" w:rsidRPr="2F1EB167">
        <w:t>wa</w:t>
      </w:r>
      <w:r w:rsidR="00557F18" w:rsidRPr="2F1EB167">
        <w:t xml:space="preserve">s </w:t>
      </w:r>
      <w:r w:rsidRPr="2F1EB167">
        <w:t xml:space="preserve">considered appropriate </w:t>
      </w:r>
      <w:r w:rsidR="00A546F4" w:rsidRPr="2F1EB167">
        <w:t xml:space="preserve">by </w:t>
      </w:r>
      <w:r w:rsidR="00645B87" w:rsidRPr="2F1EB167">
        <w:t>MSAC</w:t>
      </w:r>
      <w:r w:rsidR="00A546F4" w:rsidRPr="2F1EB167">
        <w:t xml:space="preserve"> </w:t>
      </w:r>
      <w:r w:rsidRPr="2F1EB167">
        <w:t>as IVL is expected to replace or supplement existing MBS items for lower limb PAD endovascular revascularisation</w:t>
      </w:r>
      <w:r w:rsidR="00484314" w:rsidRPr="2F1EB167">
        <w:t>.</w:t>
      </w:r>
      <w:r w:rsidRPr="2F1EB167">
        <w:t xml:space="preserve"> </w:t>
      </w:r>
      <w:r w:rsidR="00484314" w:rsidRPr="2F1EB167">
        <w:t xml:space="preserve">The </w:t>
      </w:r>
      <w:r w:rsidR="00692F72" w:rsidRPr="2F1EB167">
        <w:t xml:space="preserve">MBS listing of </w:t>
      </w:r>
      <w:r w:rsidR="00484314" w:rsidRPr="2F1EB167">
        <w:t xml:space="preserve">IVL </w:t>
      </w:r>
      <w:r w:rsidRPr="2F1EB167">
        <w:t xml:space="preserve">is not expected to increase the overall number of people requiring </w:t>
      </w:r>
      <w:r w:rsidR="005F741E" w:rsidRPr="2F1EB167">
        <w:t xml:space="preserve">endovascular </w:t>
      </w:r>
      <w:r w:rsidRPr="2F1EB167">
        <w:t>revascularisation.</w:t>
      </w:r>
    </w:p>
    <w:p w14:paraId="599D97B5" w14:textId="67E6EEFD" w:rsidR="001E6830" w:rsidRDefault="00C74D0A" w:rsidP="00330A0A">
      <w:r w:rsidRPr="6DE7DC23">
        <w:rPr>
          <w:lang w:val="en-GB"/>
        </w:rPr>
        <w:t xml:space="preserve">The data sources and assumptions used </w:t>
      </w:r>
      <w:r w:rsidR="00796958" w:rsidRPr="6DE7DC23">
        <w:rPr>
          <w:lang w:val="en-GB"/>
        </w:rPr>
        <w:t xml:space="preserve">to estimate the utilisation of the </w:t>
      </w:r>
      <w:r w:rsidR="009F6DA5" w:rsidRPr="6DE7DC23">
        <w:rPr>
          <w:lang w:val="en-GB"/>
        </w:rPr>
        <w:t>p</w:t>
      </w:r>
      <w:r w:rsidR="00796958" w:rsidRPr="6DE7DC23">
        <w:rPr>
          <w:lang w:val="en-GB"/>
        </w:rPr>
        <w:t xml:space="preserve">roposed new MBS listing of IVL </w:t>
      </w:r>
      <w:r w:rsidR="0000177B" w:rsidRPr="6DE7DC23">
        <w:rPr>
          <w:lang w:val="en-GB"/>
        </w:rPr>
        <w:t xml:space="preserve">are summarised in </w:t>
      </w:r>
      <w:r>
        <w:fldChar w:fldCharType="begin"/>
      </w:r>
      <w:r>
        <w:instrText xml:space="preserve"> REF _Ref173772956 \h </w:instrText>
      </w:r>
      <w:r>
        <w:fldChar w:fldCharType="separate"/>
      </w:r>
      <w:r w:rsidR="000A04D8" w:rsidRPr="6DE7DC23">
        <w:rPr>
          <w:lang w:val="en-GB"/>
        </w:rPr>
        <w:t>Table 9</w:t>
      </w:r>
      <w:r>
        <w:fldChar w:fldCharType="end"/>
      </w:r>
      <w:r w:rsidR="009F6DA5" w:rsidRPr="6DE7DC23">
        <w:rPr>
          <w:lang w:val="en-GB"/>
        </w:rPr>
        <w:t>.</w:t>
      </w:r>
      <w:r w:rsidR="009752B4" w:rsidRPr="6DE7DC23">
        <w:rPr>
          <w:lang w:val="en-GB"/>
        </w:rPr>
        <w:t xml:space="preserve"> The financial </w:t>
      </w:r>
      <w:r w:rsidR="00561646" w:rsidRPr="6DE7DC23">
        <w:rPr>
          <w:lang w:val="en-GB"/>
        </w:rPr>
        <w:t xml:space="preserve">impact </w:t>
      </w:r>
      <w:r w:rsidR="009752B4" w:rsidRPr="6DE7DC23">
        <w:rPr>
          <w:lang w:val="en-GB"/>
        </w:rPr>
        <w:t>analysis consider</w:t>
      </w:r>
      <w:r w:rsidR="008615D1" w:rsidRPr="6DE7DC23">
        <w:rPr>
          <w:lang w:val="en-GB"/>
        </w:rPr>
        <w:t>ed</w:t>
      </w:r>
      <w:r w:rsidR="009752B4" w:rsidRPr="6DE7DC23">
        <w:rPr>
          <w:lang w:val="en-GB"/>
        </w:rPr>
        <w:t xml:space="preserve"> index treatment only. </w:t>
      </w:r>
      <w:r w:rsidR="00561646" w:rsidRPr="6DE7DC23">
        <w:rPr>
          <w:lang w:val="en-GB"/>
        </w:rPr>
        <w:t>Utilisation and c</w:t>
      </w:r>
      <w:r w:rsidR="009752B4" w:rsidRPr="6DE7DC23">
        <w:rPr>
          <w:lang w:val="en-GB"/>
        </w:rPr>
        <w:t xml:space="preserve">osts relating to reintervention after the index procedure (including hospitalisation and amputation, etc.) </w:t>
      </w:r>
      <w:r w:rsidR="008615D1" w:rsidRPr="6DE7DC23">
        <w:rPr>
          <w:lang w:val="en-GB"/>
        </w:rPr>
        <w:t>we</w:t>
      </w:r>
      <w:r w:rsidR="009752B4" w:rsidRPr="6DE7DC23">
        <w:rPr>
          <w:lang w:val="en-GB"/>
        </w:rPr>
        <w:t>re not considered.</w:t>
      </w:r>
    </w:p>
    <w:p w14:paraId="61113454" w14:textId="79A49BC6" w:rsidR="0000177B" w:rsidRDefault="0000177B" w:rsidP="0000177B">
      <w:pPr>
        <w:pStyle w:val="Caption"/>
      </w:pPr>
      <w:bookmarkStart w:id="27" w:name="_Ref173772956"/>
      <w:r>
        <w:t xml:space="preserve">Table </w:t>
      </w:r>
      <w:r w:rsidR="000A04D8">
        <w:fldChar w:fldCharType="begin"/>
      </w:r>
      <w:r w:rsidR="000A04D8">
        <w:instrText xml:space="preserve"> SEQ Table \* ARABIC </w:instrText>
      </w:r>
      <w:r w:rsidR="000A04D8">
        <w:fldChar w:fldCharType="separate"/>
      </w:r>
      <w:r w:rsidR="000A04D8">
        <w:rPr>
          <w:noProof/>
        </w:rPr>
        <w:t>9</w:t>
      </w:r>
      <w:r w:rsidR="000A04D8">
        <w:rPr>
          <w:noProof/>
        </w:rPr>
        <w:fldChar w:fldCharType="end"/>
      </w:r>
      <w:bookmarkEnd w:id="27"/>
      <w:r>
        <w:tab/>
        <w:t>Data sources an</w:t>
      </w:r>
      <w:r w:rsidR="00CB26B1">
        <w:t>d parameter values applied in the utilisation estimates</w:t>
      </w:r>
    </w:p>
    <w:tbl>
      <w:tblPr>
        <w:tblStyle w:val="TableGrid"/>
        <w:tblW w:w="5000" w:type="pct"/>
        <w:tblLook w:val="04A0" w:firstRow="1" w:lastRow="0" w:firstColumn="1" w:lastColumn="0" w:noHBand="0" w:noVBand="1"/>
        <w:tblCaption w:val="Data sources and parameter values applied in the utilisation estimates"/>
        <w:tblDescription w:val="The table presents the value/source used in the ADAR resubmission for key parameters captured in teh financial analysis. Commentary of the values/sources is also included in the table."/>
      </w:tblPr>
      <w:tblGrid>
        <w:gridCol w:w="1978"/>
        <w:gridCol w:w="2979"/>
        <w:gridCol w:w="4059"/>
      </w:tblGrid>
      <w:tr w:rsidR="00561646" w14:paraId="2B007751" w14:textId="5618F777" w:rsidTr="2F1EB167">
        <w:trPr>
          <w:cantSplit/>
          <w:tblHeader/>
        </w:trPr>
        <w:tc>
          <w:tcPr>
            <w:tcW w:w="1097" w:type="pct"/>
            <w:tcBorders>
              <w:bottom w:val="single" w:sz="4" w:space="0" w:color="auto"/>
            </w:tcBorders>
          </w:tcPr>
          <w:p w14:paraId="6C115986" w14:textId="098A0D20" w:rsidR="00286CA6" w:rsidRPr="00FA688B" w:rsidRDefault="00286CA6">
            <w:pPr>
              <w:pStyle w:val="TableHeading0"/>
            </w:pPr>
            <w:r>
              <w:t>Parameter</w:t>
            </w:r>
          </w:p>
        </w:tc>
        <w:tc>
          <w:tcPr>
            <w:tcW w:w="1652" w:type="pct"/>
            <w:tcBorders>
              <w:bottom w:val="single" w:sz="4" w:space="0" w:color="auto"/>
            </w:tcBorders>
          </w:tcPr>
          <w:p w14:paraId="6A9681DA" w14:textId="6743454D" w:rsidR="00286CA6" w:rsidRPr="00FA688B" w:rsidRDefault="00286CA6">
            <w:pPr>
              <w:pStyle w:val="TableHeading0"/>
            </w:pPr>
            <w:r>
              <w:t>Value/source</w:t>
            </w:r>
            <w:r w:rsidR="000B48E1">
              <w:t xml:space="preserve"> in ADAR resubmission</w:t>
            </w:r>
          </w:p>
        </w:tc>
        <w:tc>
          <w:tcPr>
            <w:tcW w:w="2251" w:type="pct"/>
            <w:tcBorders>
              <w:bottom w:val="single" w:sz="4" w:space="0" w:color="auto"/>
            </w:tcBorders>
          </w:tcPr>
          <w:p w14:paraId="16DA704B" w14:textId="6D111706" w:rsidR="00286CA6" w:rsidRDefault="00286CA6">
            <w:pPr>
              <w:pStyle w:val="TableHeading0"/>
            </w:pPr>
            <w:r>
              <w:t>Commentary</w:t>
            </w:r>
            <w:r w:rsidR="000B48E1">
              <w:t xml:space="preserve"> on values/sources</w:t>
            </w:r>
          </w:p>
        </w:tc>
      </w:tr>
      <w:tr w:rsidR="00561646" w:rsidRPr="00825FB6" w14:paraId="7F2FF2AA" w14:textId="41E35EC8" w:rsidTr="2F1EB167">
        <w:trPr>
          <w:cantSplit/>
        </w:trPr>
        <w:tc>
          <w:tcPr>
            <w:tcW w:w="1097" w:type="pct"/>
          </w:tcPr>
          <w:p w14:paraId="31458CC4" w14:textId="386C54BB" w:rsidR="00286CA6" w:rsidRDefault="00286CA6">
            <w:pPr>
              <w:pStyle w:val="Tabletext0"/>
            </w:pPr>
            <w:r>
              <w:t>Total number of PAD procedures</w:t>
            </w:r>
          </w:p>
        </w:tc>
        <w:tc>
          <w:tcPr>
            <w:tcW w:w="1652" w:type="pct"/>
          </w:tcPr>
          <w:p w14:paraId="3A1CD54E" w14:textId="5A19E22F" w:rsidR="00286CA6" w:rsidRDefault="00F9790B">
            <w:pPr>
              <w:pStyle w:val="Tabletext0"/>
            </w:pPr>
            <w:r>
              <w:t xml:space="preserve">Based on </w:t>
            </w:r>
            <w:r w:rsidR="00286CA6">
              <w:t>MBS utilisation data 2017–2023 for MBS items 35300, 35303, 35306, 35309.</w:t>
            </w:r>
          </w:p>
        </w:tc>
        <w:tc>
          <w:tcPr>
            <w:tcW w:w="2251" w:type="pct"/>
          </w:tcPr>
          <w:p w14:paraId="65120E05" w14:textId="31D5759F" w:rsidR="00F00C6A" w:rsidRDefault="00EC3BC1">
            <w:pPr>
              <w:pStyle w:val="Tabletext0"/>
            </w:pPr>
            <w:r>
              <w:t>T</w:t>
            </w:r>
            <w:r w:rsidRPr="00EC3BC1">
              <w:t xml:space="preserve">hese MBS items are not </w:t>
            </w:r>
            <w:r w:rsidR="00F056C4">
              <w:t>confined to procedures in</w:t>
            </w:r>
            <w:r w:rsidR="000322D5">
              <w:t xml:space="preserve"> peripheral arteries</w:t>
            </w:r>
            <w:r w:rsidRPr="00EC3BC1">
              <w:t xml:space="preserve"> </w:t>
            </w:r>
            <w:r w:rsidR="00940241">
              <w:t>nor to</w:t>
            </w:r>
            <w:r w:rsidR="006E079D">
              <w:t xml:space="preserve"> lower limbs </w:t>
            </w:r>
            <w:r w:rsidRPr="00EC3BC1">
              <w:t>and could overestimate the number of services for the proposed MBS population.</w:t>
            </w:r>
            <w:r w:rsidR="004429F2">
              <w:t xml:space="preserve"> All </w:t>
            </w:r>
            <w:r w:rsidR="00512F09">
              <w:t>four</w:t>
            </w:r>
            <w:r w:rsidR="00F55817">
              <w:t xml:space="preserve"> </w:t>
            </w:r>
            <w:r w:rsidR="004429F2">
              <w:t xml:space="preserve">items can be used for peripheral veins. </w:t>
            </w:r>
            <w:r w:rsidR="008615D1">
              <w:t>I</w:t>
            </w:r>
            <w:r w:rsidR="00512F09" w:rsidRPr="00512F09">
              <w:t>tem 35303 can also be used for aortic arch branches and aortic visceral branches</w:t>
            </w:r>
            <w:r w:rsidR="00512F09">
              <w:t xml:space="preserve"> </w:t>
            </w:r>
            <w:r w:rsidR="00DD75AB">
              <w:t>while</w:t>
            </w:r>
            <w:r w:rsidR="00512F09" w:rsidRPr="00512F09">
              <w:t xml:space="preserve"> </w:t>
            </w:r>
            <w:r w:rsidR="00110D4F">
              <w:t>i</w:t>
            </w:r>
            <w:r w:rsidR="00512F09" w:rsidRPr="00512F09">
              <w:t>tem 35309 can be used for visceral arteries or veins.</w:t>
            </w:r>
            <w:r w:rsidR="00961EE6">
              <w:t xml:space="preserve"> </w:t>
            </w:r>
          </w:p>
          <w:p w14:paraId="4AB7F905" w14:textId="6D6B0141" w:rsidR="00286CA6" w:rsidRDefault="00961EE6">
            <w:pPr>
              <w:pStyle w:val="Tabletext0"/>
            </w:pPr>
            <w:r>
              <w:t>T</w:t>
            </w:r>
            <w:r w:rsidRPr="00961EE6">
              <w:t>hese items are not restricted to index procedures.</w:t>
            </w:r>
          </w:p>
        </w:tc>
      </w:tr>
      <w:tr w:rsidR="00561646" w:rsidRPr="00825FB6" w14:paraId="65963E10" w14:textId="61AB7F80" w:rsidTr="2F1EB167">
        <w:trPr>
          <w:cantSplit/>
        </w:trPr>
        <w:tc>
          <w:tcPr>
            <w:tcW w:w="1097" w:type="pct"/>
          </w:tcPr>
          <w:p w14:paraId="6D7D6216" w14:textId="6345C541" w:rsidR="00286CA6" w:rsidRDefault="00286CA6">
            <w:pPr>
              <w:pStyle w:val="Tabletext0"/>
            </w:pPr>
            <w:r>
              <w:t>Predicted IVL uptake</w:t>
            </w:r>
          </w:p>
        </w:tc>
        <w:tc>
          <w:tcPr>
            <w:tcW w:w="1652" w:type="pct"/>
          </w:tcPr>
          <w:p w14:paraId="7DC40F92" w14:textId="7442D90E" w:rsidR="00286CA6" w:rsidRPr="00D820F1" w:rsidRDefault="00286CA6" w:rsidP="001A16FC">
            <w:pPr>
              <w:pStyle w:val="Tabletext0"/>
            </w:pPr>
            <w:r>
              <w:t>Assumption</w:t>
            </w:r>
            <w:r w:rsidR="001A16FC">
              <w:t xml:space="preserve">. </w:t>
            </w:r>
            <w:r>
              <w:t>Y1: 15%, Y2: 30%, Y3: 40%, Y4: 45%, Y5: 50%, Y6: 50%</w:t>
            </w:r>
          </w:p>
        </w:tc>
        <w:tc>
          <w:tcPr>
            <w:tcW w:w="2251" w:type="pct"/>
          </w:tcPr>
          <w:p w14:paraId="0B472AF8" w14:textId="47F4F2B4" w:rsidR="00286CA6" w:rsidRDefault="008F0C17">
            <w:pPr>
              <w:pStyle w:val="Tabletext0"/>
            </w:pPr>
            <w:r w:rsidRPr="2F1EB167">
              <w:t>Uptake assumptions are c</w:t>
            </w:r>
            <w:r w:rsidR="00514DF7" w:rsidRPr="2F1EB167">
              <w:t>onsistent with</w:t>
            </w:r>
            <w:r w:rsidR="00B92D1A" w:rsidRPr="2F1EB167">
              <w:t xml:space="preserve"> </w:t>
            </w:r>
            <w:r w:rsidR="009515D5" w:rsidRPr="2F1EB167">
              <w:t xml:space="preserve">the </w:t>
            </w:r>
            <w:r w:rsidR="00B92D1A" w:rsidRPr="2F1EB167">
              <w:t>original ADAR</w:t>
            </w:r>
            <w:r w:rsidR="00514DF7" w:rsidRPr="2F1EB167">
              <w:t>, which states</w:t>
            </w:r>
            <w:r w:rsidR="00B92D1A" w:rsidRPr="2F1EB167">
              <w:t xml:space="preserve"> that uptake was estimated based on experience in overseas markets and uptake of other adjunct technologies in Australia (e.g. atherectomy). Data were not provided in the original ADAR </w:t>
            </w:r>
            <w:r w:rsidR="009515D5" w:rsidRPr="2F1EB167">
              <w:t>n</w:t>
            </w:r>
            <w:r w:rsidR="00B92D1A" w:rsidRPr="2F1EB167">
              <w:t>or the resubmission for these market experiences; therefore, the estimated uptake rate</w:t>
            </w:r>
            <w:r w:rsidR="00683CE1" w:rsidRPr="2F1EB167">
              <w:t>s</w:t>
            </w:r>
            <w:r w:rsidR="00B92D1A" w:rsidRPr="2F1EB167">
              <w:t xml:space="preserve"> </w:t>
            </w:r>
            <w:r w:rsidR="008F612A" w:rsidRPr="2F1EB167">
              <w:t xml:space="preserve">each year </w:t>
            </w:r>
            <w:r w:rsidR="00B92D1A" w:rsidRPr="2F1EB167">
              <w:t>remain uncertain.</w:t>
            </w:r>
          </w:p>
        </w:tc>
      </w:tr>
      <w:tr w:rsidR="00561646" w:rsidRPr="00825FB6" w14:paraId="5C07524B" w14:textId="64A47B49" w:rsidTr="2F1EB167">
        <w:trPr>
          <w:cantSplit/>
        </w:trPr>
        <w:tc>
          <w:tcPr>
            <w:tcW w:w="1097" w:type="pct"/>
          </w:tcPr>
          <w:p w14:paraId="4FD7C68D" w14:textId="2DB9352F" w:rsidR="00286CA6" w:rsidRDefault="00286CA6">
            <w:pPr>
              <w:pStyle w:val="Tabletext0"/>
            </w:pPr>
            <w:r>
              <w:t>PAD procedure annual growth rate</w:t>
            </w:r>
          </w:p>
        </w:tc>
        <w:tc>
          <w:tcPr>
            <w:tcW w:w="1652" w:type="pct"/>
          </w:tcPr>
          <w:p w14:paraId="3910FEAF" w14:textId="4AECCD13" w:rsidR="00286CA6" w:rsidRPr="00D820F1" w:rsidRDefault="00286CA6">
            <w:pPr>
              <w:pStyle w:val="Tabletext0"/>
            </w:pPr>
            <w:r>
              <w:t>2.7%, calculated from MBS utilisation data 2017–2021 for MBS items 35300, 35303, 35306, 35309. Utilisation was notably lower in 2022 and was not considered representative.</w:t>
            </w:r>
          </w:p>
        </w:tc>
        <w:tc>
          <w:tcPr>
            <w:tcW w:w="2251" w:type="pct"/>
          </w:tcPr>
          <w:p w14:paraId="151A7CE2" w14:textId="1A43D780" w:rsidR="00286CA6" w:rsidRDefault="00883215">
            <w:pPr>
              <w:pStyle w:val="Tabletext0"/>
            </w:pPr>
            <w:r>
              <w:t>Omission of 2022 data is reasonable. 2.7% is l</w:t>
            </w:r>
            <w:r w:rsidR="00B022FE" w:rsidRPr="002B3208">
              <w:t xml:space="preserve">ikely to be an underestimate given the monthly growth in services since 2023. </w:t>
            </w:r>
            <w:r>
              <w:t>A</w:t>
            </w:r>
            <w:r w:rsidR="00B022FE">
              <w:t>nnual growth rate is 3.5% using MBS utilisation data 2018–2021.</w:t>
            </w:r>
          </w:p>
        </w:tc>
      </w:tr>
      <w:tr w:rsidR="00561646" w:rsidRPr="00825FB6" w14:paraId="637C294B" w14:textId="605833ED" w:rsidTr="2F1EB167">
        <w:trPr>
          <w:cantSplit/>
        </w:trPr>
        <w:tc>
          <w:tcPr>
            <w:tcW w:w="1097" w:type="pct"/>
          </w:tcPr>
          <w:p w14:paraId="47ECC007" w14:textId="69CFF0D4" w:rsidR="00286CA6" w:rsidRDefault="00286CA6">
            <w:pPr>
              <w:pStyle w:val="Tabletext0"/>
            </w:pPr>
            <w:r>
              <w:t>Proportion of PAD patients with heavy calcification</w:t>
            </w:r>
          </w:p>
        </w:tc>
        <w:tc>
          <w:tcPr>
            <w:tcW w:w="1652" w:type="pct"/>
          </w:tcPr>
          <w:p w14:paraId="7F510D67" w14:textId="592BFCE3" w:rsidR="00286CA6" w:rsidRDefault="00286CA6">
            <w:pPr>
              <w:pStyle w:val="Tabletext0"/>
            </w:pPr>
            <w:r>
              <w:t xml:space="preserve">14.2%, taken from a real-world study of PAD patients seeking treatment (Schmidt et al. 2016). </w:t>
            </w:r>
          </w:p>
        </w:tc>
        <w:tc>
          <w:tcPr>
            <w:tcW w:w="2251" w:type="pct"/>
          </w:tcPr>
          <w:p w14:paraId="32CCF127" w14:textId="0C6151F6" w:rsidR="00286CA6" w:rsidRDefault="008D2081">
            <w:pPr>
              <w:pStyle w:val="Tabletext0"/>
            </w:pPr>
            <w:r>
              <w:t xml:space="preserve">14.2% refers to </w:t>
            </w:r>
            <w:r w:rsidR="00937969">
              <w:t xml:space="preserve">PAD patients with </w:t>
            </w:r>
            <w:r>
              <w:t xml:space="preserve">severe calcification only. </w:t>
            </w:r>
            <w:r w:rsidR="00546C5E">
              <w:t>Omission of moderate calcification is inconsistent with the proposed MBS population. The proportion of PAD patients in Schmidt et al. 2016 with moderate or severe calcification was 34.7%.</w:t>
            </w:r>
          </w:p>
        </w:tc>
      </w:tr>
      <w:tr w:rsidR="00341DB4" w:rsidRPr="00825FB6" w14:paraId="0B9AD2A4" w14:textId="77777777" w:rsidTr="2F1EB167">
        <w:trPr>
          <w:cantSplit/>
        </w:trPr>
        <w:tc>
          <w:tcPr>
            <w:tcW w:w="1097" w:type="pct"/>
          </w:tcPr>
          <w:p w14:paraId="1612CA8D" w14:textId="04BF164E" w:rsidR="00341DB4" w:rsidRDefault="00E31770">
            <w:pPr>
              <w:pStyle w:val="Tabletext0"/>
            </w:pPr>
            <w:r>
              <w:lastRenderedPageBreak/>
              <w:t xml:space="preserve">Proportion of </w:t>
            </w:r>
            <w:r w:rsidR="00064935">
              <w:t xml:space="preserve">index </w:t>
            </w:r>
            <w:r w:rsidR="0033130A">
              <w:t xml:space="preserve">services that are stand-alone or </w:t>
            </w:r>
            <w:r w:rsidR="00064935">
              <w:t>followed by</w:t>
            </w:r>
            <w:r w:rsidR="0033130A">
              <w:t xml:space="preserve"> DCB or stent</w:t>
            </w:r>
            <w:r w:rsidR="00E06F5C">
              <w:t xml:space="preserve"> </w:t>
            </w:r>
          </w:p>
        </w:tc>
        <w:tc>
          <w:tcPr>
            <w:tcW w:w="1652" w:type="pct"/>
          </w:tcPr>
          <w:p w14:paraId="69F1368C" w14:textId="0E566424" w:rsidR="00341DB4" w:rsidRDefault="000C4192">
            <w:pPr>
              <w:pStyle w:val="Tabletext0"/>
            </w:pPr>
            <w:r>
              <w:t>I</w:t>
            </w:r>
            <w:r w:rsidR="00F0067B">
              <w:t xml:space="preserve">nformed by </w:t>
            </w:r>
            <w:r w:rsidR="000D0AB0">
              <w:t xml:space="preserve">the </w:t>
            </w:r>
            <w:r w:rsidR="00F0067B">
              <w:t>stenting rate from</w:t>
            </w:r>
            <w:r w:rsidR="00DB64E4" w:rsidRPr="00DB64E4">
              <w:t xml:space="preserve"> DISRUPT PAD III RCT (4.6% for IVL vs 18.3% for SBA)</w:t>
            </w:r>
            <w:r w:rsidR="00F0067B">
              <w:t>,</w:t>
            </w:r>
            <w:r w:rsidR="00DB64E4" w:rsidRPr="00DB64E4">
              <w:t xml:space="preserve"> </w:t>
            </w:r>
            <w:r w:rsidR="00B10DD4">
              <w:t xml:space="preserve">and </w:t>
            </w:r>
            <w:r w:rsidR="000D0AB0">
              <w:t xml:space="preserve">assuming </w:t>
            </w:r>
            <w:r w:rsidR="004A0FFB">
              <w:t xml:space="preserve">20% of </w:t>
            </w:r>
            <w:r w:rsidR="001E33B6">
              <w:t xml:space="preserve">non-stent </w:t>
            </w:r>
            <w:r w:rsidR="004A0FFB">
              <w:t xml:space="preserve">procedures were standalone and </w:t>
            </w:r>
            <w:r w:rsidR="00D24DD3">
              <w:t xml:space="preserve">the </w:t>
            </w:r>
            <w:r w:rsidR="004A0FFB">
              <w:t xml:space="preserve">remaining </w:t>
            </w:r>
            <w:r w:rsidR="00DB64E4" w:rsidRPr="00DB64E4">
              <w:t xml:space="preserve">80% </w:t>
            </w:r>
            <w:r w:rsidR="0079295F">
              <w:t>received</w:t>
            </w:r>
            <w:r w:rsidR="00DB64E4" w:rsidRPr="00DB64E4">
              <w:t xml:space="preserve"> a DCB</w:t>
            </w:r>
            <w:r w:rsidR="0021220C">
              <w:t>.</w:t>
            </w:r>
          </w:p>
        </w:tc>
        <w:tc>
          <w:tcPr>
            <w:tcW w:w="2251" w:type="pct"/>
          </w:tcPr>
          <w:p w14:paraId="7315A538" w14:textId="61F00311" w:rsidR="00DD75AB" w:rsidRDefault="00EF7BB0">
            <w:pPr>
              <w:pStyle w:val="Tabletext0"/>
            </w:pPr>
            <w:r w:rsidRPr="2F1EB167">
              <w:t>There are applicability concerns regarding use of RCT data from DISRUPT PAD III because the rate of stenting in the SBA arm was lower than reported in practice.</w:t>
            </w:r>
          </w:p>
          <w:p w14:paraId="65C682F5" w14:textId="6A04D9BD" w:rsidR="00341DB4" w:rsidRDefault="00DD75AB" w:rsidP="00265751">
            <w:pPr>
              <w:pStyle w:val="Tabletext0"/>
            </w:pPr>
            <w:r>
              <w:t>T</w:t>
            </w:r>
            <w:r w:rsidR="00F42823">
              <w:t>he a</w:t>
            </w:r>
            <w:r w:rsidR="0021220C" w:rsidRPr="00DB64E4">
              <w:t xml:space="preserve">ssumption </w:t>
            </w:r>
            <w:r w:rsidR="0079295F">
              <w:t xml:space="preserve">of 20% stand-alone </w:t>
            </w:r>
            <w:r w:rsidR="007B36C3">
              <w:t xml:space="preserve">procedures </w:t>
            </w:r>
            <w:r w:rsidR="0021220C" w:rsidRPr="00DB64E4">
              <w:t>was informed by clinician guidance sought by the applicant, not clinical evidence</w:t>
            </w:r>
            <w:r w:rsidR="0079295F">
              <w:t>.</w:t>
            </w:r>
            <w:r w:rsidR="00F821E2">
              <w:t xml:space="preserve"> </w:t>
            </w:r>
            <w:r w:rsidR="001C1BD5">
              <w:t xml:space="preserve">No consideration </w:t>
            </w:r>
            <w:r w:rsidR="008F612A">
              <w:t>was given to</w:t>
            </w:r>
            <w:r w:rsidR="00380FAE">
              <w:t xml:space="preserve"> patients who receive a stent and DCB</w:t>
            </w:r>
            <w:r w:rsidR="007E12D6">
              <w:t xml:space="preserve"> at the index procedure</w:t>
            </w:r>
            <w:r w:rsidR="00380FAE">
              <w:t>.</w:t>
            </w:r>
          </w:p>
        </w:tc>
      </w:tr>
    </w:tbl>
    <w:p w14:paraId="134584C7" w14:textId="237FCBF4" w:rsidR="0000177B" w:rsidRDefault="001E3EFD" w:rsidP="0000177B">
      <w:pPr>
        <w:pStyle w:val="Tablenotes0"/>
      </w:pPr>
      <w:r>
        <w:t xml:space="preserve">ADAR = Applicant Developed Assessment Report; </w:t>
      </w:r>
      <w:r w:rsidR="0000177B">
        <w:t>IVL = intravascular lithotripsy; MBS = Medicare Benefits Schedule</w:t>
      </w:r>
      <w:r w:rsidR="00C33F29">
        <w:t>; PAD = peripheral artery disease; Y = year.</w:t>
      </w:r>
    </w:p>
    <w:p w14:paraId="7265861E" w14:textId="6BCE6047" w:rsidR="0000177B" w:rsidRPr="0042108C" w:rsidRDefault="0000177B" w:rsidP="0000177B">
      <w:pPr>
        <w:pStyle w:val="Tablenotes0"/>
      </w:pPr>
      <w:r w:rsidRPr="0031509C">
        <w:t xml:space="preserve">Source: </w:t>
      </w:r>
      <w:r w:rsidR="00785781">
        <w:t>Adapted</w:t>
      </w:r>
      <w:r>
        <w:t xml:space="preserve"> from </w:t>
      </w:r>
      <w:r w:rsidRPr="0031509C">
        <w:t xml:space="preserve">Table </w:t>
      </w:r>
      <w:r w:rsidR="00785781">
        <w:t>4-1</w:t>
      </w:r>
      <w:r w:rsidRPr="0031509C">
        <w:t xml:space="preserve"> of MSAC 17</w:t>
      </w:r>
      <w:r>
        <w:t>34 resubmission</w:t>
      </w:r>
      <w:r w:rsidRPr="0031509C">
        <w:t xml:space="preserve"> ADAR</w:t>
      </w:r>
      <w:r>
        <w:t xml:space="preserve"> </w:t>
      </w:r>
      <w:r w:rsidRPr="0031509C">
        <w:t>+</w:t>
      </w:r>
      <w:r>
        <w:t xml:space="preserve"> </w:t>
      </w:r>
      <w:r w:rsidRPr="0031509C">
        <w:t>in-line commentary</w:t>
      </w:r>
      <w:r>
        <w:t>.</w:t>
      </w:r>
    </w:p>
    <w:p w14:paraId="466FD9AC" w14:textId="02D729E2" w:rsidR="000B073F" w:rsidRDefault="00061523" w:rsidP="00330A0A">
      <w:r>
        <w:t xml:space="preserve">The costs applied in the financial estimates were consistent with those used in the </w:t>
      </w:r>
      <w:r w:rsidR="005F6D2F">
        <w:t xml:space="preserve">resubmission’s </w:t>
      </w:r>
      <w:r>
        <w:t>economic evaluation.</w:t>
      </w:r>
      <w:r w:rsidR="00662B8A">
        <w:t xml:space="preserve"> </w:t>
      </w:r>
      <w:r w:rsidR="009830DE">
        <w:t xml:space="preserve">The cost to the MBS </w:t>
      </w:r>
      <w:r w:rsidR="00625D04">
        <w:t xml:space="preserve">was </w:t>
      </w:r>
      <w:r w:rsidR="00662B8A">
        <w:t xml:space="preserve">appropriately </w:t>
      </w:r>
      <w:r w:rsidR="00625D04">
        <w:t>calculated using the 75% benefit</w:t>
      </w:r>
      <w:r w:rsidR="0028405A">
        <w:t>; however,</w:t>
      </w:r>
      <w:r w:rsidR="00662B8A">
        <w:t xml:space="preserve"> the Multiple Operation Rule was not taken into consideration</w:t>
      </w:r>
      <w:r w:rsidR="00625D04">
        <w:t>.</w:t>
      </w:r>
      <w:r w:rsidR="00662B8A">
        <w:t xml:space="preserve"> </w:t>
      </w:r>
      <w:r w:rsidR="00662B8A" w:rsidRPr="00061523">
        <w:t xml:space="preserve">MBS costs for associated radiological services </w:t>
      </w:r>
      <w:r w:rsidR="00662B8A">
        <w:t xml:space="preserve">(fluoroscopy) and anaesthesia were not </w:t>
      </w:r>
      <w:r w:rsidR="00A179EF">
        <w:t>considered</w:t>
      </w:r>
      <w:r w:rsidR="00662B8A" w:rsidRPr="00061523">
        <w:t>.</w:t>
      </w:r>
    </w:p>
    <w:p w14:paraId="59B4ACD0" w14:textId="323E33DD" w:rsidR="0000177B" w:rsidRDefault="005F6D2F" w:rsidP="00330A0A">
      <w:r>
        <w:t xml:space="preserve">The resubmission clarified that the cost per IVL </w:t>
      </w:r>
      <w:r w:rsidRPr="00A535BD">
        <w:t>catheter ($</w:t>
      </w:r>
      <w:r w:rsidR="00A535BD" w:rsidRPr="00A535BD">
        <w:rPr>
          <w:b/>
          <w:bCs/>
        </w:rPr>
        <w:t>redacted</w:t>
      </w:r>
      <w:r w:rsidRPr="00A535BD">
        <w:t xml:space="preserve">) </w:t>
      </w:r>
      <w:r>
        <w:t xml:space="preserve">is currently covered via private health insurance or hospital funding. The financial estimates assumed one </w:t>
      </w:r>
      <w:r w:rsidR="004B7CF8">
        <w:t xml:space="preserve">IVL </w:t>
      </w:r>
      <w:r>
        <w:t>catheter per procedure</w:t>
      </w:r>
      <w:r w:rsidR="003C45FC">
        <w:t xml:space="preserve">, although </w:t>
      </w:r>
      <w:r w:rsidR="00EB77F8">
        <w:t>the</w:t>
      </w:r>
      <w:r w:rsidR="00AC18D6">
        <w:t xml:space="preserve"> commentary noted</w:t>
      </w:r>
      <w:r w:rsidR="00EB77F8">
        <w:t xml:space="preserve"> published evidence </w:t>
      </w:r>
      <w:r w:rsidR="0066335F">
        <w:t>(</w:t>
      </w:r>
      <w:r w:rsidR="00C05532">
        <w:t>from</w:t>
      </w:r>
      <w:r w:rsidR="0066335F">
        <w:t xml:space="preserve"> DISRUPT PAD II</w:t>
      </w:r>
      <w:r w:rsidR="0031363A">
        <w:t xml:space="preserve"> and the SHOCC study</w:t>
      </w:r>
      <w:r w:rsidR="0066335F">
        <w:t>)</w:t>
      </w:r>
      <w:r w:rsidR="00C05532">
        <w:t xml:space="preserve"> </w:t>
      </w:r>
      <w:r w:rsidR="00EB77F8">
        <w:t xml:space="preserve">that a small proportion of patients </w:t>
      </w:r>
      <w:r w:rsidR="00A7051A">
        <w:t>may require more than one</w:t>
      </w:r>
      <w:r w:rsidR="007F21FB">
        <w:t xml:space="preserve"> catheter</w:t>
      </w:r>
      <w:r>
        <w:t xml:space="preserve">. </w:t>
      </w:r>
      <w:r w:rsidR="003600CF">
        <w:t>C</w:t>
      </w:r>
      <w:r w:rsidR="005462FC">
        <w:t>apital and maintenance c</w:t>
      </w:r>
      <w:r w:rsidR="003600CF">
        <w:t>osts for the IVL generator</w:t>
      </w:r>
      <w:r w:rsidR="005462FC">
        <w:t xml:space="preserve"> </w:t>
      </w:r>
      <w:r w:rsidR="003600CF">
        <w:t xml:space="preserve">and connector cables </w:t>
      </w:r>
      <w:r w:rsidR="005A3A4A">
        <w:t>were not considered</w:t>
      </w:r>
      <w:r w:rsidR="00491012">
        <w:t xml:space="preserve"> </w:t>
      </w:r>
      <w:r w:rsidR="007D0947">
        <w:t xml:space="preserve">in the financial </w:t>
      </w:r>
      <w:r w:rsidR="003D3C2A">
        <w:t xml:space="preserve">estimates </w:t>
      </w:r>
      <w:r w:rsidR="0039004A">
        <w:t>as these items are provided on loan to the hospitals by the manufacturer.</w:t>
      </w:r>
    </w:p>
    <w:p w14:paraId="715C7820" w14:textId="76FA9730" w:rsidR="00492A07" w:rsidRDefault="00D428B9" w:rsidP="00492A07">
      <w:r w:rsidRPr="2F1EB167">
        <w:t>The financial implications to the MBS</w:t>
      </w:r>
      <w:r w:rsidR="00026B1B" w:rsidRPr="2F1EB167">
        <w:t xml:space="preserve"> and other health budgets </w:t>
      </w:r>
      <w:r w:rsidRPr="2F1EB167">
        <w:t xml:space="preserve">from the proposed listing </w:t>
      </w:r>
      <w:r w:rsidR="004979A2" w:rsidRPr="2F1EB167">
        <w:t>for</w:t>
      </w:r>
      <w:r w:rsidRPr="2F1EB167">
        <w:t xml:space="preserve"> </w:t>
      </w:r>
      <w:r w:rsidR="00BF7300" w:rsidRPr="2F1EB167">
        <w:t xml:space="preserve">IVL </w:t>
      </w:r>
      <w:r w:rsidRPr="2F1EB167">
        <w:t xml:space="preserve">are summarised in </w:t>
      </w:r>
      <w:r>
        <w:fldChar w:fldCharType="begin"/>
      </w:r>
      <w:r>
        <w:instrText xml:space="preserve"> REF _Ref69726382 \h </w:instrText>
      </w:r>
      <w:r>
        <w:fldChar w:fldCharType="separate"/>
      </w:r>
      <w:r w:rsidR="000A04D8" w:rsidRPr="2F1EB167">
        <w:t>Table </w:t>
      </w:r>
      <w:r w:rsidR="000A04D8" w:rsidRPr="2F1EB167">
        <w:rPr>
          <w:noProof/>
        </w:rPr>
        <w:t>10</w:t>
      </w:r>
      <w:r>
        <w:fldChar w:fldCharType="end"/>
      </w:r>
      <w:r w:rsidR="00994830" w:rsidRPr="2F1EB167">
        <w:t xml:space="preserve"> (commentary </w:t>
      </w:r>
      <w:r w:rsidR="00153114" w:rsidRPr="2F1EB167">
        <w:t xml:space="preserve">adjusted </w:t>
      </w:r>
      <w:r w:rsidR="00994830" w:rsidRPr="2F1EB167">
        <w:t>estimates)</w:t>
      </w:r>
      <w:r w:rsidRPr="2F1EB167">
        <w:t xml:space="preserve">. </w:t>
      </w:r>
      <w:r w:rsidR="001930BD" w:rsidRPr="2F1EB167">
        <w:t>The estimates</w:t>
      </w:r>
      <w:r w:rsidR="00A766A2" w:rsidRPr="2F1EB167">
        <w:t xml:space="preserve"> </w:t>
      </w:r>
      <w:r w:rsidR="00921946" w:rsidRPr="2F1EB167">
        <w:t xml:space="preserve">are based on an annual growth rate of 3.5% for PAD procedures and </w:t>
      </w:r>
      <w:r w:rsidR="003121B0" w:rsidRPr="2F1EB167">
        <w:t>assume</w:t>
      </w:r>
      <w:r w:rsidR="00A766A2" w:rsidRPr="2F1EB167">
        <w:t xml:space="preserve"> </w:t>
      </w:r>
      <w:r w:rsidR="00921946" w:rsidRPr="2F1EB167">
        <w:t xml:space="preserve">that </w:t>
      </w:r>
      <w:r w:rsidR="003121B0" w:rsidRPr="2F1EB167">
        <w:t xml:space="preserve">patients with moderately </w:t>
      </w:r>
      <w:r w:rsidR="001276E3" w:rsidRPr="2F1EB167">
        <w:t xml:space="preserve">and severely </w:t>
      </w:r>
      <w:r w:rsidR="003121B0" w:rsidRPr="2F1EB167">
        <w:t xml:space="preserve">calcified lesions </w:t>
      </w:r>
      <w:r w:rsidR="002A6489" w:rsidRPr="2F1EB167">
        <w:t>will be eligible for IVL</w:t>
      </w:r>
      <w:r w:rsidR="00153114" w:rsidRPr="2F1EB167">
        <w:t xml:space="preserve"> (the ADAR resubmission </w:t>
      </w:r>
      <w:r w:rsidR="008F062B" w:rsidRPr="2F1EB167">
        <w:t>captured severely calcified lesions only)</w:t>
      </w:r>
      <w:r w:rsidR="00832F3B" w:rsidRPr="2F1EB167">
        <w:t>.</w:t>
      </w:r>
      <w:r w:rsidR="001930BD" w:rsidRPr="2F1EB167">
        <w:t xml:space="preserve"> </w:t>
      </w:r>
      <w:r w:rsidR="00862697" w:rsidRPr="2F1EB167">
        <w:t xml:space="preserve">The overall </w:t>
      </w:r>
      <w:r w:rsidR="00790B00" w:rsidRPr="2F1EB167">
        <w:t>net financial impact</w:t>
      </w:r>
      <w:r w:rsidR="00862697" w:rsidRPr="2F1EB167">
        <w:t xml:space="preserve"> includes MBS costs (index procedure only), device costs (IVL and SBA, not attributed to any </w:t>
      </w:r>
      <w:proofErr w:type="gramStart"/>
      <w:r w:rsidR="00862697" w:rsidRPr="2F1EB167">
        <w:t>particular budget</w:t>
      </w:r>
      <w:proofErr w:type="gramEnd"/>
      <w:r w:rsidR="00862697" w:rsidRPr="2F1EB167">
        <w:t>), PL costs (calculated using stent and DCB benefits)</w:t>
      </w:r>
      <w:r w:rsidR="00793F02" w:rsidRPr="2F1EB167">
        <w:t>, hospitalisation costs</w:t>
      </w:r>
      <w:r w:rsidR="0096635E" w:rsidRPr="2F1EB167">
        <w:t xml:space="preserve"> and patient costs (based solely on the difference between the MBS schedule fee and the 75% benefit)</w:t>
      </w:r>
      <w:r w:rsidR="00862697" w:rsidRPr="2F1EB167">
        <w:t>.</w:t>
      </w:r>
      <w:r w:rsidR="00492A07">
        <w:br w:type="page"/>
      </w:r>
    </w:p>
    <w:p w14:paraId="33FCA9D4" w14:textId="1094E1C9" w:rsidR="00D428B9" w:rsidRPr="00C55509" w:rsidRDefault="00D428B9" w:rsidP="00632958">
      <w:pPr>
        <w:pStyle w:val="Caption"/>
        <w:spacing w:after="0"/>
        <w:rPr>
          <w:vertAlign w:val="superscript"/>
        </w:rPr>
      </w:pPr>
      <w:bookmarkStart w:id="28" w:name="_Ref69726382"/>
      <w:r w:rsidRPr="2F1EB167">
        <w:lastRenderedPageBreak/>
        <w:t>Table</w:t>
      </w:r>
      <w:r w:rsidR="003571C2" w:rsidRPr="2F1EB167">
        <w:t> </w:t>
      </w:r>
      <w:r w:rsidRPr="2F1EB167">
        <w:fldChar w:fldCharType="begin"/>
      </w:r>
      <w:r>
        <w:instrText xml:space="preserve"> SEQ Table \* ARABIC </w:instrText>
      </w:r>
      <w:r w:rsidRPr="2F1EB167">
        <w:fldChar w:fldCharType="separate"/>
      </w:r>
      <w:r w:rsidR="000A04D8" w:rsidRPr="2F1EB167">
        <w:rPr>
          <w:noProof/>
        </w:rPr>
        <w:t>10</w:t>
      </w:r>
      <w:r w:rsidRPr="2F1EB167">
        <w:rPr>
          <w:noProof/>
        </w:rPr>
        <w:fldChar w:fldCharType="end"/>
      </w:r>
      <w:bookmarkEnd w:id="28"/>
      <w:r>
        <w:tab/>
      </w:r>
      <w:r w:rsidR="00B329DA" w:rsidRPr="2F1EB167">
        <w:t>F</w:t>
      </w:r>
      <w:r w:rsidRPr="2F1EB167">
        <w:t xml:space="preserve">inancial implications of </w:t>
      </w:r>
      <w:r w:rsidR="005F0357" w:rsidRPr="2F1EB167">
        <w:t>IVL</w:t>
      </w:r>
      <w:r w:rsidR="00284FDA" w:rsidRPr="2F1EB167">
        <w:t xml:space="preserve"> </w:t>
      </w:r>
      <w:r w:rsidR="004D0AE4" w:rsidRPr="2F1EB167">
        <w:t>using</w:t>
      </w:r>
      <w:r w:rsidR="00284FDA" w:rsidRPr="2F1EB167">
        <w:t xml:space="preserve"> commentary</w:t>
      </w:r>
      <w:r w:rsidR="0006348D" w:rsidRPr="2F1EB167">
        <w:t xml:space="preserve"> </w:t>
      </w:r>
      <w:r w:rsidR="00802179" w:rsidRPr="2F1EB167">
        <w:t xml:space="preserve">(alternative) base </w:t>
      </w:r>
      <w:proofErr w:type="spellStart"/>
      <w:r w:rsidR="00802179" w:rsidRPr="2F1EB167">
        <w:t>case</w:t>
      </w:r>
      <w:r w:rsidR="00802179" w:rsidRPr="2F1EB167">
        <w:rPr>
          <w:vertAlign w:val="superscript"/>
        </w:rPr>
        <w:t>c</w:t>
      </w:r>
      <w:proofErr w:type="spellEnd"/>
      <w:r w:rsidR="00802179" w:rsidRPr="2F1EB167">
        <w:t xml:space="preserve"> </w:t>
      </w:r>
    </w:p>
    <w:tbl>
      <w:tblPr>
        <w:tblW w:w="5251" w:type="pct"/>
        <w:tblLayout w:type="fixed"/>
        <w:tblCellMar>
          <w:left w:w="0" w:type="dxa"/>
          <w:right w:w="0" w:type="dxa"/>
        </w:tblCellMar>
        <w:tblLook w:val="04A0" w:firstRow="1" w:lastRow="0" w:firstColumn="1" w:lastColumn="0" w:noHBand="0" w:noVBand="1"/>
        <w:tblCaption w:val="Financial implications of IVL using commentary estimates"/>
        <w:tblDescription w:val="The table presents the estimated use of the proposed health technology, together with the cost and net cost to the MBS and other health budgets over a 6-year period from 2025 to 2030."/>
      </w:tblPr>
      <w:tblGrid>
        <w:gridCol w:w="1964"/>
        <w:gridCol w:w="1246"/>
        <w:gridCol w:w="1247"/>
        <w:gridCol w:w="1247"/>
        <w:gridCol w:w="1247"/>
        <w:gridCol w:w="1247"/>
        <w:gridCol w:w="1260"/>
      </w:tblGrid>
      <w:tr w:rsidR="00A4710E" w:rsidRPr="00CE28E3" w14:paraId="10C955A8" w14:textId="77777777" w:rsidTr="2F1EB167">
        <w:trPr>
          <w:tblHeader/>
        </w:trPr>
        <w:tc>
          <w:tcPr>
            <w:tcW w:w="1039" w:type="pct"/>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tcPr>
          <w:p w14:paraId="7F0BEFFF" w14:textId="130CD43F" w:rsidR="00A4710E" w:rsidRPr="00CE28E3" w:rsidRDefault="00A4710E" w:rsidP="00492A07">
            <w:pPr>
              <w:pStyle w:val="TableText"/>
              <w:keepNext/>
              <w:spacing w:before="0" w:after="0"/>
              <w:rPr>
                <w:b/>
                <w:bCs/>
              </w:rPr>
            </w:pPr>
            <w:bookmarkStart w:id="29" w:name="Title_Table12" w:colFirst="0" w:colLast="0"/>
            <w:bookmarkStart w:id="30" w:name="_Hlk68276802"/>
            <w:r>
              <w:rPr>
                <w:b/>
                <w:bCs/>
              </w:rPr>
              <w:t xml:space="preserve">Parameter </w:t>
            </w:r>
          </w:p>
        </w:tc>
        <w:tc>
          <w:tcPr>
            <w:tcW w:w="659" w:type="pct"/>
            <w:tcBorders>
              <w:top w:val="single" w:sz="8" w:space="0" w:color="auto"/>
              <w:left w:val="nil"/>
              <w:bottom w:val="single" w:sz="8" w:space="0" w:color="auto"/>
              <w:right w:val="single" w:sz="8" w:space="0" w:color="auto"/>
            </w:tcBorders>
            <w:tcMar>
              <w:top w:w="0" w:type="dxa"/>
              <w:left w:w="85" w:type="dxa"/>
              <w:bottom w:w="0" w:type="dxa"/>
              <w:right w:w="85" w:type="dxa"/>
            </w:tcMar>
            <w:hideMark/>
          </w:tcPr>
          <w:p w14:paraId="0802FC81" w14:textId="2D360EE5" w:rsidR="00A4710E" w:rsidRPr="00CE28E3" w:rsidRDefault="00A4710E" w:rsidP="00492A07">
            <w:pPr>
              <w:pStyle w:val="TableText"/>
              <w:keepNext/>
              <w:spacing w:before="0" w:after="0"/>
              <w:jc w:val="right"/>
              <w:rPr>
                <w:b/>
                <w:bCs/>
              </w:rPr>
            </w:pPr>
            <w:r w:rsidRPr="00CE28E3">
              <w:rPr>
                <w:b/>
                <w:bCs/>
              </w:rPr>
              <w:t xml:space="preserve">Year </w:t>
            </w:r>
            <w:r>
              <w:rPr>
                <w:b/>
                <w:bCs/>
              </w:rPr>
              <w:t>1</w:t>
            </w:r>
            <w:r>
              <w:rPr>
                <w:b/>
                <w:bCs/>
              </w:rPr>
              <w:br/>
              <w:t>2025</w:t>
            </w:r>
          </w:p>
        </w:tc>
        <w:tc>
          <w:tcPr>
            <w:tcW w:w="659" w:type="pct"/>
            <w:tcBorders>
              <w:top w:val="single" w:sz="8" w:space="0" w:color="auto"/>
              <w:left w:val="nil"/>
              <w:bottom w:val="single" w:sz="8" w:space="0" w:color="auto"/>
              <w:right w:val="single" w:sz="8" w:space="0" w:color="auto"/>
            </w:tcBorders>
            <w:tcMar>
              <w:top w:w="0" w:type="dxa"/>
              <w:left w:w="85" w:type="dxa"/>
              <w:bottom w:w="0" w:type="dxa"/>
              <w:right w:w="85" w:type="dxa"/>
            </w:tcMar>
            <w:hideMark/>
          </w:tcPr>
          <w:p w14:paraId="759DA5DF" w14:textId="51E1698A" w:rsidR="00A4710E" w:rsidRPr="00CE28E3" w:rsidRDefault="00A4710E" w:rsidP="00492A07">
            <w:pPr>
              <w:pStyle w:val="TableText"/>
              <w:keepNext/>
              <w:spacing w:before="0" w:after="0"/>
              <w:jc w:val="right"/>
              <w:rPr>
                <w:b/>
                <w:bCs/>
              </w:rPr>
            </w:pPr>
            <w:r w:rsidRPr="00CE28E3">
              <w:rPr>
                <w:b/>
                <w:bCs/>
              </w:rPr>
              <w:t xml:space="preserve">Year </w:t>
            </w:r>
            <w:r>
              <w:rPr>
                <w:b/>
                <w:bCs/>
              </w:rPr>
              <w:t>2</w:t>
            </w:r>
            <w:r>
              <w:rPr>
                <w:b/>
                <w:bCs/>
              </w:rPr>
              <w:br/>
              <w:t>2026</w:t>
            </w:r>
          </w:p>
        </w:tc>
        <w:tc>
          <w:tcPr>
            <w:tcW w:w="659" w:type="pct"/>
            <w:tcBorders>
              <w:top w:val="single" w:sz="8" w:space="0" w:color="auto"/>
              <w:left w:val="nil"/>
              <w:bottom w:val="single" w:sz="8" w:space="0" w:color="auto"/>
              <w:right w:val="single" w:sz="8" w:space="0" w:color="auto"/>
            </w:tcBorders>
            <w:tcMar>
              <w:left w:w="85" w:type="dxa"/>
              <w:right w:w="85" w:type="dxa"/>
            </w:tcMar>
          </w:tcPr>
          <w:p w14:paraId="3BF14104" w14:textId="7C2CB810" w:rsidR="00A4710E" w:rsidRPr="00CE28E3" w:rsidRDefault="00A4710E" w:rsidP="00492A07">
            <w:pPr>
              <w:pStyle w:val="TableText"/>
              <w:keepNext/>
              <w:spacing w:before="0" w:after="0"/>
              <w:jc w:val="right"/>
              <w:rPr>
                <w:b/>
                <w:bCs/>
              </w:rPr>
            </w:pPr>
            <w:r w:rsidRPr="00CE28E3">
              <w:rPr>
                <w:b/>
                <w:bCs/>
              </w:rPr>
              <w:t xml:space="preserve">Year </w:t>
            </w:r>
            <w:r>
              <w:rPr>
                <w:b/>
                <w:bCs/>
              </w:rPr>
              <w:t>3</w:t>
            </w:r>
            <w:r>
              <w:rPr>
                <w:b/>
                <w:bCs/>
              </w:rPr>
              <w:br/>
              <w:t>2027</w:t>
            </w:r>
          </w:p>
        </w:tc>
        <w:tc>
          <w:tcPr>
            <w:tcW w:w="659" w:type="pct"/>
            <w:tcBorders>
              <w:top w:val="single" w:sz="8" w:space="0" w:color="auto"/>
              <w:left w:val="nil"/>
              <w:bottom w:val="single" w:sz="8" w:space="0" w:color="auto"/>
              <w:right w:val="single" w:sz="8" w:space="0" w:color="auto"/>
            </w:tcBorders>
            <w:tcMar>
              <w:top w:w="0" w:type="dxa"/>
              <w:left w:w="85" w:type="dxa"/>
              <w:bottom w:w="0" w:type="dxa"/>
              <w:right w:w="85" w:type="dxa"/>
            </w:tcMar>
            <w:hideMark/>
          </w:tcPr>
          <w:p w14:paraId="31580A99" w14:textId="2B494779" w:rsidR="00A4710E" w:rsidRPr="00CE28E3" w:rsidRDefault="00A4710E" w:rsidP="00492A07">
            <w:pPr>
              <w:pStyle w:val="TableText"/>
              <w:keepNext/>
              <w:spacing w:before="0" w:after="0"/>
              <w:jc w:val="right"/>
              <w:rPr>
                <w:b/>
                <w:bCs/>
              </w:rPr>
            </w:pPr>
            <w:r w:rsidRPr="00CE28E3">
              <w:rPr>
                <w:b/>
                <w:bCs/>
              </w:rPr>
              <w:t xml:space="preserve">Year </w:t>
            </w:r>
            <w:r>
              <w:rPr>
                <w:b/>
                <w:bCs/>
              </w:rPr>
              <w:t>4</w:t>
            </w:r>
            <w:r>
              <w:rPr>
                <w:b/>
                <w:bCs/>
              </w:rPr>
              <w:br/>
              <w:t>2028</w:t>
            </w:r>
          </w:p>
        </w:tc>
        <w:tc>
          <w:tcPr>
            <w:tcW w:w="659" w:type="pct"/>
            <w:tcBorders>
              <w:top w:val="single" w:sz="8" w:space="0" w:color="auto"/>
              <w:left w:val="nil"/>
              <w:bottom w:val="single" w:sz="8" w:space="0" w:color="auto"/>
              <w:right w:val="single" w:sz="8" w:space="0" w:color="auto"/>
            </w:tcBorders>
            <w:tcMar>
              <w:top w:w="0" w:type="dxa"/>
              <w:left w:w="85" w:type="dxa"/>
              <w:bottom w:w="0" w:type="dxa"/>
              <w:right w:w="85" w:type="dxa"/>
            </w:tcMar>
            <w:hideMark/>
          </w:tcPr>
          <w:p w14:paraId="199B68C0" w14:textId="0AE5B1DB" w:rsidR="00A4710E" w:rsidRPr="00CE28E3" w:rsidRDefault="00A4710E" w:rsidP="00492A07">
            <w:pPr>
              <w:pStyle w:val="TableText"/>
              <w:keepNext/>
              <w:spacing w:before="0" w:after="0"/>
              <w:jc w:val="right"/>
              <w:rPr>
                <w:b/>
                <w:bCs/>
              </w:rPr>
            </w:pPr>
            <w:r w:rsidRPr="00CE28E3">
              <w:rPr>
                <w:b/>
                <w:bCs/>
              </w:rPr>
              <w:t xml:space="preserve">Year </w:t>
            </w:r>
            <w:r>
              <w:rPr>
                <w:b/>
                <w:bCs/>
              </w:rPr>
              <w:t>5</w:t>
            </w:r>
            <w:r>
              <w:rPr>
                <w:b/>
                <w:bCs/>
              </w:rPr>
              <w:br/>
              <w:t>2029</w:t>
            </w:r>
          </w:p>
        </w:tc>
        <w:tc>
          <w:tcPr>
            <w:tcW w:w="665" w:type="pct"/>
            <w:tcBorders>
              <w:top w:val="single" w:sz="8" w:space="0" w:color="auto"/>
              <w:left w:val="nil"/>
              <w:bottom w:val="single" w:sz="8" w:space="0" w:color="auto"/>
              <w:right w:val="single" w:sz="8" w:space="0" w:color="auto"/>
            </w:tcBorders>
            <w:tcMar>
              <w:top w:w="0" w:type="dxa"/>
              <w:left w:w="85" w:type="dxa"/>
              <w:bottom w:w="0" w:type="dxa"/>
              <w:right w:w="85" w:type="dxa"/>
            </w:tcMar>
            <w:hideMark/>
          </w:tcPr>
          <w:p w14:paraId="7A0E4711" w14:textId="318875C5" w:rsidR="00A4710E" w:rsidRPr="00CE28E3" w:rsidRDefault="00A4710E" w:rsidP="00492A07">
            <w:pPr>
              <w:pStyle w:val="TableText"/>
              <w:keepNext/>
              <w:spacing w:before="0" w:after="0"/>
              <w:jc w:val="right"/>
              <w:rPr>
                <w:b/>
                <w:bCs/>
              </w:rPr>
            </w:pPr>
            <w:r w:rsidRPr="00CE28E3">
              <w:rPr>
                <w:b/>
                <w:bCs/>
              </w:rPr>
              <w:t xml:space="preserve">Year </w:t>
            </w:r>
            <w:r>
              <w:rPr>
                <w:b/>
                <w:bCs/>
              </w:rPr>
              <w:t>6</w:t>
            </w:r>
            <w:r>
              <w:rPr>
                <w:b/>
                <w:bCs/>
              </w:rPr>
              <w:br/>
              <w:t>2030</w:t>
            </w:r>
          </w:p>
        </w:tc>
      </w:tr>
      <w:bookmarkEnd w:id="29"/>
      <w:tr w:rsidR="004A70E2" w:rsidRPr="00CE28E3" w14:paraId="48BBC9D2" w14:textId="77777777" w:rsidTr="2F1EB167">
        <w:tc>
          <w:tcPr>
            <w:tcW w:w="5000" w:type="pct"/>
            <w:gridSpan w:val="7"/>
            <w:tcBorders>
              <w:top w:val="nil"/>
              <w:left w:val="single" w:sz="8" w:space="0" w:color="auto"/>
              <w:bottom w:val="single" w:sz="8" w:space="0" w:color="auto"/>
              <w:right w:val="single" w:sz="8" w:space="0" w:color="auto"/>
            </w:tcBorders>
            <w:tcMar>
              <w:left w:w="85" w:type="dxa"/>
              <w:right w:w="85" w:type="dxa"/>
            </w:tcMar>
          </w:tcPr>
          <w:p w14:paraId="21F82BFA" w14:textId="002DFD49" w:rsidR="004A70E2" w:rsidRPr="00CE28E3" w:rsidRDefault="005050E1" w:rsidP="00492A07">
            <w:pPr>
              <w:pStyle w:val="TableText"/>
              <w:keepNext/>
              <w:spacing w:before="0" w:after="0"/>
            </w:pPr>
            <w:r w:rsidRPr="00E0607C">
              <w:rPr>
                <w:b/>
                <w:bCs/>
              </w:rPr>
              <w:t>Estimated use of the proposed health technology</w:t>
            </w:r>
          </w:p>
        </w:tc>
      </w:tr>
      <w:tr w:rsidR="00A4710E" w:rsidRPr="00CE28E3" w14:paraId="16C50CDA"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hideMark/>
          </w:tcPr>
          <w:p w14:paraId="3B7783D5" w14:textId="34E884D4" w:rsidR="00A4710E" w:rsidRPr="00CE28E3" w:rsidRDefault="00A4710E" w:rsidP="00492A07">
            <w:pPr>
              <w:pStyle w:val="TableText"/>
              <w:spacing w:before="0" w:after="0"/>
            </w:pPr>
            <w:r w:rsidRPr="00CE28E3">
              <w:t xml:space="preserve">Number of people </w:t>
            </w:r>
            <w:r>
              <w:t xml:space="preserve">with </w:t>
            </w:r>
            <w:r w:rsidRPr="003A1BAA">
              <w:t>moderately or severely calcified lesions</w:t>
            </w:r>
            <w:r>
              <w:t xml:space="preserve"> </w:t>
            </w:r>
            <w:r w:rsidRPr="00CE28E3">
              <w:t xml:space="preserve">eligible for </w:t>
            </w:r>
            <w:r>
              <w:t>IVL</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73095266" w14:textId="342AC5A9" w:rsidR="00A4710E" w:rsidRPr="00CE28E3" w:rsidRDefault="00A4710E" w:rsidP="00492A07">
            <w:pPr>
              <w:pStyle w:val="TableText"/>
              <w:spacing w:before="0" w:after="0"/>
              <w:jc w:val="right"/>
            </w:pPr>
            <w:r w:rsidRPr="00DF1D3A">
              <w:t>5,617</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47AB12F5" w14:textId="2676F7AB" w:rsidR="00A4710E" w:rsidRPr="00CE28E3" w:rsidRDefault="00A4710E" w:rsidP="00492A07">
            <w:pPr>
              <w:pStyle w:val="TableText"/>
              <w:spacing w:before="0" w:after="0"/>
              <w:jc w:val="right"/>
            </w:pPr>
            <w:r w:rsidRPr="00DF1D3A">
              <w:t>5,811</w:t>
            </w:r>
          </w:p>
        </w:tc>
        <w:tc>
          <w:tcPr>
            <w:tcW w:w="659" w:type="pct"/>
            <w:tcBorders>
              <w:top w:val="nil"/>
              <w:left w:val="nil"/>
              <w:bottom w:val="single" w:sz="8" w:space="0" w:color="auto"/>
              <w:right w:val="single" w:sz="8" w:space="0" w:color="auto"/>
            </w:tcBorders>
            <w:tcMar>
              <w:left w:w="85" w:type="dxa"/>
              <w:right w:w="85" w:type="dxa"/>
            </w:tcMar>
          </w:tcPr>
          <w:p w14:paraId="09031D3F" w14:textId="447A1738" w:rsidR="00A4710E" w:rsidRPr="00CE28E3" w:rsidRDefault="00A4710E" w:rsidP="00492A07">
            <w:pPr>
              <w:pStyle w:val="TableText"/>
              <w:spacing w:before="0" w:after="0"/>
              <w:jc w:val="right"/>
            </w:pPr>
            <w:r w:rsidRPr="00DF1D3A">
              <w:t>6,012</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57859E00" w14:textId="6626B14A" w:rsidR="00A4710E" w:rsidRPr="00CE28E3" w:rsidRDefault="00A4710E" w:rsidP="00492A07">
            <w:pPr>
              <w:pStyle w:val="TableText"/>
              <w:spacing w:before="0" w:after="0"/>
              <w:jc w:val="right"/>
            </w:pPr>
            <w:r w:rsidRPr="00DF1D3A">
              <w:t>6,220</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3C0B54F8" w14:textId="58A7A46A" w:rsidR="00A4710E" w:rsidRPr="00CE28E3" w:rsidRDefault="00A4710E" w:rsidP="00492A07">
            <w:pPr>
              <w:pStyle w:val="TableText"/>
              <w:spacing w:before="0" w:after="0"/>
              <w:jc w:val="right"/>
            </w:pPr>
            <w:r w:rsidRPr="00DF1D3A">
              <w:t>6,435</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19C7884F" w14:textId="7767D27F" w:rsidR="00A4710E" w:rsidRPr="00CE28E3" w:rsidRDefault="00A4710E" w:rsidP="00492A07">
            <w:pPr>
              <w:pStyle w:val="TableText"/>
              <w:spacing w:before="0" w:after="0"/>
              <w:jc w:val="right"/>
            </w:pPr>
            <w:r w:rsidRPr="00DF1D3A">
              <w:t>6,657</w:t>
            </w:r>
          </w:p>
        </w:tc>
      </w:tr>
      <w:tr w:rsidR="00A4710E" w:rsidRPr="00CE28E3" w14:paraId="755DEAF4"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hideMark/>
          </w:tcPr>
          <w:p w14:paraId="208ACBFB" w14:textId="1D7027CD" w:rsidR="00A4710E" w:rsidRPr="00A535BD" w:rsidRDefault="00A4710E" w:rsidP="00492A07">
            <w:pPr>
              <w:pStyle w:val="TableText"/>
              <w:spacing w:before="0" w:after="0"/>
            </w:pPr>
            <w:r w:rsidRPr="00A535BD">
              <w:t>Number of people who receive IVL</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07C02C49" w14:textId="3F447926" w:rsidR="00A4710E" w:rsidRPr="00A535BD" w:rsidRDefault="00A535BD" w:rsidP="00492A07">
            <w:pPr>
              <w:pStyle w:val="TableText"/>
              <w:spacing w:before="0" w:after="0"/>
              <w:jc w:val="right"/>
            </w:pPr>
            <w:r w:rsidRPr="00A535BD">
              <w:rPr>
                <w:b/>
                <w:bCs/>
              </w:rPr>
              <w:t>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726FA6A9" w14:textId="30462684" w:rsidR="00A4710E" w:rsidRPr="00A535BD" w:rsidRDefault="00A535BD" w:rsidP="00492A07">
            <w:pPr>
              <w:pStyle w:val="TableText"/>
              <w:spacing w:before="0" w:after="0"/>
              <w:jc w:val="right"/>
            </w:pPr>
            <w:r w:rsidRPr="00A535BD">
              <w:rPr>
                <w:b/>
                <w:bCs/>
              </w:rPr>
              <w:t>redacted</w:t>
            </w:r>
          </w:p>
        </w:tc>
        <w:tc>
          <w:tcPr>
            <w:tcW w:w="659" w:type="pct"/>
            <w:tcBorders>
              <w:top w:val="nil"/>
              <w:left w:val="nil"/>
              <w:bottom w:val="single" w:sz="8" w:space="0" w:color="auto"/>
              <w:right w:val="single" w:sz="8" w:space="0" w:color="auto"/>
            </w:tcBorders>
            <w:tcMar>
              <w:left w:w="85" w:type="dxa"/>
              <w:right w:w="85" w:type="dxa"/>
            </w:tcMar>
          </w:tcPr>
          <w:p w14:paraId="40599FCD" w14:textId="55367CA5" w:rsidR="00A4710E" w:rsidRPr="00A535BD" w:rsidRDefault="00A535BD" w:rsidP="00492A07">
            <w:pPr>
              <w:pStyle w:val="TableText"/>
              <w:spacing w:before="0" w:after="0"/>
              <w:jc w:val="right"/>
            </w:pPr>
            <w:r w:rsidRPr="00A535BD">
              <w:rPr>
                <w:b/>
                <w:bCs/>
              </w:rPr>
              <w:t>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49543F6F" w14:textId="2F7925F0" w:rsidR="00A4710E" w:rsidRPr="00A535BD" w:rsidRDefault="00A535BD" w:rsidP="00492A07">
            <w:pPr>
              <w:pStyle w:val="TableText"/>
              <w:spacing w:before="0" w:after="0"/>
              <w:jc w:val="right"/>
            </w:pPr>
            <w:r w:rsidRPr="00A535BD">
              <w:rPr>
                <w:b/>
                <w:bCs/>
              </w:rPr>
              <w:t>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4012557F" w14:textId="0947FA5C" w:rsidR="00A4710E" w:rsidRPr="00A535BD" w:rsidRDefault="00A535BD" w:rsidP="00492A07">
            <w:pPr>
              <w:pStyle w:val="TableText"/>
              <w:spacing w:before="0" w:after="0"/>
              <w:jc w:val="right"/>
            </w:pPr>
            <w:r w:rsidRPr="00A535BD">
              <w:rPr>
                <w:b/>
                <w:bCs/>
              </w:rPr>
              <w:t>redacted</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1A66D09E" w14:textId="574B4835" w:rsidR="00A4710E" w:rsidRPr="00A535BD" w:rsidRDefault="00A535BD" w:rsidP="00492A07">
            <w:pPr>
              <w:pStyle w:val="TableText"/>
              <w:spacing w:before="0" w:after="0"/>
              <w:jc w:val="right"/>
            </w:pPr>
            <w:r w:rsidRPr="00A535BD">
              <w:rPr>
                <w:b/>
                <w:bCs/>
              </w:rPr>
              <w:t>redacted</w:t>
            </w:r>
          </w:p>
        </w:tc>
      </w:tr>
      <w:tr w:rsidR="004A70E2" w:rsidRPr="00CE28E3" w14:paraId="35B3E607" w14:textId="77777777" w:rsidTr="2F1EB167">
        <w:tc>
          <w:tcPr>
            <w:tcW w:w="5000" w:type="pct"/>
            <w:gridSpan w:val="7"/>
            <w:tcBorders>
              <w:top w:val="nil"/>
              <w:left w:val="single" w:sz="8" w:space="0" w:color="auto"/>
              <w:bottom w:val="single" w:sz="8" w:space="0" w:color="auto"/>
              <w:right w:val="single" w:sz="8" w:space="0" w:color="auto"/>
            </w:tcBorders>
            <w:tcMar>
              <w:left w:w="85" w:type="dxa"/>
              <w:right w:w="85" w:type="dxa"/>
            </w:tcMar>
          </w:tcPr>
          <w:p w14:paraId="4F0609D4" w14:textId="25013A11" w:rsidR="004A70E2" w:rsidRPr="00A535BD" w:rsidRDefault="005050E1" w:rsidP="00492A07">
            <w:pPr>
              <w:pStyle w:val="TableText"/>
              <w:keepNext/>
              <w:spacing w:before="0" w:after="0"/>
            </w:pPr>
            <w:r w:rsidRPr="00A535BD">
              <w:rPr>
                <w:b/>
                <w:bCs/>
              </w:rPr>
              <w:t>Cost to the MBS of the proposed health technology</w:t>
            </w:r>
          </w:p>
        </w:tc>
      </w:tr>
      <w:tr w:rsidR="00A4710E" w:rsidRPr="00CE28E3" w14:paraId="17BAD6C0"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hideMark/>
          </w:tcPr>
          <w:p w14:paraId="5FDD856A" w14:textId="6E365E61" w:rsidR="00A4710E" w:rsidRPr="00A535BD" w:rsidRDefault="00A4710E" w:rsidP="00492A07">
            <w:pPr>
              <w:pStyle w:val="TableText"/>
              <w:spacing w:before="0" w:after="0"/>
            </w:pPr>
            <w:r w:rsidRPr="00A535BD">
              <w:t>Cost to the MBS of IVL services (75% benefit)</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50542506" w14:textId="5CC41161" w:rsidR="00A4710E" w:rsidRPr="00A535BD" w:rsidRDefault="00A4710E" w:rsidP="00492A07">
            <w:pPr>
              <w:pStyle w:val="TableText"/>
              <w:spacing w:before="0" w:after="0"/>
              <w:jc w:val="right"/>
            </w:pPr>
            <w:r w:rsidRPr="00A535BD">
              <w:t>$492,260</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471D3823" w14:textId="68DB947F" w:rsidR="00A4710E" w:rsidRPr="00A535BD" w:rsidRDefault="00A4710E" w:rsidP="00492A07">
            <w:pPr>
              <w:pStyle w:val="TableText"/>
              <w:spacing w:before="0" w:after="0"/>
              <w:jc w:val="right"/>
            </w:pPr>
            <w:r w:rsidRPr="00A535BD">
              <w:t>$1,018,562</w:t>
            </w:r>
          </w:p>
        </w:tc>
        <w:tc>
          <w:tcPr>
            <w:tcW w:w="659" w:type="pct"/>
            <w:tcBorders>
              <w:top w:val="nil"/>
              <w:left w:val="nil"/>
              <w:bottom w:val="single" w:sz="8" w:space="0" w:color="auto"/>
              <w:right w:val="single" w:sz="8" w:space="0" w:color="auto"/>
            </w:tcBorders>
            <w:tcMar>
              <w:left w:w="85" w:type="dxa"/>
              <w:right w:w="85" w:type="dxa"/>
            </w:tcMar>
          </w:tcPr>
          <w:p w14:paraId="46FF7234" w14:textId="2D365E90" w:rsidR="00A4710E" w:rsidRPr="00A535BD" w:rsidRDefault="00A4710E" w:rsidP="00492A07">
            <w:pPr>
              <w:pStyle w:val="TableText"/>
              <w:spacing w:before="0" w:after="0"/>
              <w:jc w:val="right"/>
            </w:pPr>
            <w:r w:rsidRPr="00A535BD">
              <w:t>$1,405,041</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50CD0669" w14:textId="10BDD821" w:rsidR="00A4710E" w:rsidRPr="00A535BD" w:rsidRDefault="00A4710E" w:rsidP="00492A07">
            <w:pPr>
              <w:pStyle w:val="TableText"/>
              <w:spacing w:before="0" w:after="0"/>
              <w:jc w:val="right"/>
            </w:pPr>
            <w:r w:rsidRPr="00A535BD">
              <w:t>$1,635,325</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647BDBF5" w14:textId="5E1927F4" w:rsidR="00A4710E" w:rsidRPr="00A535BD" w:rsidRDefault="00A4710E" w:rsidP="00492A07">
            <w:pPr>
              <w:pStyle w:val="TableText"/>
              <w:spacing w:before="0" w:after="0"/>
              <w:jc w:val="right"/>
            </w:pPr>
            <w:r w:rsidRPr="00A535BD">
              <w:t>$1,879,855</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7EB242D5" w14:textId="061E9DCD" w:rsidR="00A4710E" w:rsidRPr="00A535BD" w:rsidRDefault="00A4710E" w:rsidP="00492A07">
            <w:pPr>
              <w:pStyle w:val="TableText"/>
              <w:spacing w:before="0" w:after="0"/>
              <w:jc w:val="right"/>
            </w:pPr>
            <w:r w:rsidRPr="00A535BD">
              <w:t>$1,944,855</w:t>
            </w:r>
          </w:p>
        </w:tc>
      </w:tr>
      <w:tr w:rsidR="004A70E2" w:rsidRPr="00CE28E3" w14:paraId="0C084384" w14:textId="77777777" w:rsidTr="2F1EB167">
        <w:tc>
          <w:tcPr>
            <w:tcW w:w="5000" w:type="pct"/>
            <w:gridSpan w:val="7"/>
            <w:tcBorders>
              <w:top w:val="nil"/>
              <w:left w:val="single" w:sz="8" w:space="0" w:color="auto"/>
              <w:bottom w:val="single" w:sz="8" w:space="0" w:color="auto"/>
              <w:right w:val="single" w:sz="8" w:space="0" w:color="auto"/>
            </w:tcBorders>
            <w:tcMar>
              <w:left w:w="85" w:type="dxa"/>
              <w:right w:w="85" w:type="dxa"/>
            </w:tcMar>
          </w:tcPr>
          <w:p w14:paraId="505C9D38" w14:textId="7D968A3E" w:rsidR="004A70E2" w:rsidRPr="00A535BD" w:rsidRDefault="005050E1" w:rsidP="00492A07">
            <w:pPr>
              <w:pStyle w:val="TableText"/>
              <w:keepNext/>
              <w:spacing w:before="0" w:after="0"/>
            </w:pPr>
            <w:r w:rsidRPr="00A535BD">
              <w:rPr>
                <w:b/>
                <w:bCs/>
              </w:rPr>
              <w:t>Net cost to the MBS of the proposed health technology</w:t>
            </w:r>
          </w:p>
        </w:tc>
      </w:tr>
      <w:tr w:rsidR="00A4710E" w:rsidRPr="00CE28E3" w14:paraId="41DE34F7"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tcPr>
          <w:p w14:paraId="3412CE16" w14:textId="77777777" w:rsidR="00A4710E" w:rsidRPr="00A535BD" w:rsidRDefault="00A4710E" w:rsidP="00492A07">
            <w:pPr>
              <w:pStyle w:val="TableText"/>
              <w:spacing w:before="0" w:after="0"/>
            </w:pPr>
            <w:r w:rsidRPr="00A535BD">
              <w:t>Net cost to the MBS of IVL services (75% benefit)</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5078DF22" w14:textId="77777777" w:rsidR="00A4710E" w:rsidRPr="00A535BD" w:rsidRDefault="00A4710E" w:rsidP="00492A07">
            <w:pPr>
              <w:pStyle w:val="TableText"/>
              <w:spacing w:before="0" w:after="0"/>
              <w:jc w:val="right"/>
            </w:pPr>
            <w:r w:rsidRPr="00A535BD">
              <w:t>-$57,439</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4814FD95" w14:textId="77777777" w:rsidR="00A4710E" w:rsidRPr="00A535BD" w:rsidRDefault="00A4710E" w:rsidP="00492A07">
            <w:pPr>
              <w:pStyle w:val="TableText"/>
              <w:spacing w:before="0" w:after="0"/>
              <w:jc w:val="right"/>
            </w:pPr>
            <w:r w:rsidRPr="00A535BD">
              <w:t>-$118,850</w:t>
            </w:r>
          </w:p>
        </w:tc>
        <w:tc>
          <w:tcPr>
            <w:tcW w:w="659" w:type="pct"/>
            <w:tcBorders>
              <w:top w:val="nil"/>
              <w:left w:val="nil"/>
              <w:bottom w:val="single" w:sz="8" w:space="0" w:color="auto"/>
              <w:right w:val="single" w:sz="8" w:space="0" w:color="auto"/>
            </w:tcBorders>
            <w:tcMar>
              <w:left w:w="85" w:type="dxa"/>
              <w:right w:w="85" w:type="dxa"/>
            </w:tcMar>
          </w:tcPr>
          <w:p w14:paraId="68511BFC" w14:textId="2259ED9C" w:rsidR="00A4710E" w:rsidRPr="00A535BD" w:rsidRDefault="00A4710E" w:rsidP="00492A07">
            <w:pPr>
              <w:pStyle w:val="TableText"/>
              <w:spacing w:before="0" w:after="0"/>
              <w:jc w:val="right"/>
            </w:pPr>
            <w:r w:rsidRPr="00A535BD">
              <w:t>-$163,946</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0AAB911B" w14:textId="77777777" w:rsidR="00A4710E" w:rsidRPr="00A535BD" w:rsidRDefault="00A4710E" w:rsidP="00492A07">
            <w:pPr>
              <w:pStyle w:val="TableText"/>
              <w:spacing w:before="0" w:after="0"/>
              <w:jc w:val="right"/>
            </w:pPr>
            <w:r w:rsidRPr="00A535BD">
              <w:t>-$190,817</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72EA6444" w14:textId="77777777" w:rsidR="00A4710E" w:rsidRPr="00A535BD" w:rsidRDefault="00A4710E" w:rsidP="00492A07">
            <w:pPr>
              <w:pStyle w:val="TableText"/>
              <w:spacing w:before="0" w:after="0"/>
              <w:jc w:val="right"/>
            </w:pPr>
            <w:r w:rsidRPr="00A535BD">
              <w:t>-$219,350</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25156C08" w14:textId="77777777" w:rsidR="00A4710E" w:rsidRPr="00A535BD" w:rsidRDefault="00A4710E" w:rsidP="00492A07">
            <w:pPr>
              <w:pStyle w:val="TableText"/>
              <w:spacing w:before="0" w:after="0"/>
              <w:jc w:val="right"/>
            </w:pPr>
            <w:r w:rsidRPr="00A535BD">
              <w:t>-$226,934</w:t>
            </w:r>
          </w:p>
        </w:tc>
      </w:tr>
      <w:tr w:rsidR="004A70E2" w:rsidRPr="00CE28E3" w14:paraId="0741921C" w14:textId="77777777" w:rsidTr="2F1EB167">
        <w:tc>
          <w:tcPr>
            <w:tcW w:w="5000" w:type="pct"/>
            <w:gridSpan w:val="7"/>
            <w:tcBorders>
              <w:top w:val="nil"/>
              <w:left w:val="single" w:sz="8" w:space="0" w:color="auto"/>
              <w:bottom w:val="single" w:sz="8" w:space="0" w:color="auto"/>
              <w:right w:val="single" w:sz="8" w:space="0" w:color="auto"/>
            </w:tcBorders>
            <w:tcMar>
              <w:left w:w="85" w:type="dxa"/>
              <w:right w:w="85" w:type="dxa"/>
            </w:tcMar>
          </w:tcPr>
          <w:p w14:paraId="11C9D6C9" w14:textId="6EAA6157" w:rsidR="004A70E2" w:rsidRPr="00A535BD" w:rsidRDefault="005050E1" w:rsidP="00492A07">
            <w:pPr>
              <w:pStyle w:val="TableText"/>
              <w:keepNext/>
              <w:spacing w:before="0" w:after="0"/>
            </w:pPr>
            <w:r w:rsidRPr="00A535BD">
              <w:rPr>
                <w:b/>
                <w:bCs/>
              </w:rPr>
              <w:t>Cost of the proposed technology to other health budgets</w:t>
            </w:r>
          </w:p>
        </w:tc>
      </w:tr>
      <w:tr w:rsidR="00A4710E" w:rsidRPr="00CE28E3" w14:paraId="3E360EE1"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tcPr>
          <w:p w14:paraId="333278A8" w14:textId="680033EF" w:rsidR="00A4710E" w:rsidRPr="00A535BD" w:rsidRDefault="00A4710E" w:rsidP="00492A07">
            <w:pPr>
              <w:pStyle w:val="TableText"/>
              <w:spacing w:before="0" w:after="0"/>
            </w:pPr>
            <w:r w:rsidRPr="00A535BD">
              <w:t>Device costs for IVL procedures</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324B9E6C" w14:textId="0405024E" w:rsidR="00A4710E" w:rsidRPr="00A535BD" w:rsidRDefault="00A4710E" w:rsidP="00492A07">
            <w:pPr>
              <w:pStyle w:val="TableText"/>
              <w:spacing w:before="0" w:after="0"/>
              <w:jc w:val="right"/>
            </w:pPr>
            <w:r w:rsidRPr="00A535BD">
              <w:t>$</w:t>
            </w:r>
            <w:r w:rsidR="00A535BD" w:rsidRPr="00A535BD">
              <w:rPr>
                <w:b/>
                <w:bCs/>
              </w:rPr>
              <w:t xml:space="preserve"> 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1A096376" w14:textId="3B5A7CFE" w:rsidR="00A4710E" w:rsidRPr="00A535BD" w:rsidRDefault="00A4710E" w:rsidP="00492A07">
            <w:pPr>
              <w:pStyle w:val="TableText"/>
              <w:spacing w:before="0" w:after="0"/>
              <w:jc w:val="right"/>
            </w:pPr>
            <w:r w:rsidRPr="00A535BD">
              <w:t>$</w:t>
            </w:r>
            <w:r w:rsidR="00A535BD" w:rsidRPr="00A535BD">
              <w:rPr>
                <w:b/>
                <w:bCs/>
              </w:rPr>
              <w:t xml:space="preserve"> redacted</w:t>
            </w:r>
          </w:p>
        </w:tc>
        <w:tc>
          <w:tcPr>
            <w:tcW w:w="659" w:type="pct"/>
            <w:tcBorders>
              <w:top w:val="nil"/>
              <w:left w:val="nil"/>
              <w:bottom w:val="single" w:sz="8" w:space="0" w:color="auto"/>
              <w:right w:val="single" w:sz="8" w:space="0" w:color="auto"/>
            </w:tcBorders>
            <w:tcMar>
              <w:left w:w="85" w:type="dxa"/>
              <w:right w:w="85" w:type="dxa"/>
            </w:tcMar>
          </w:tcPr>
          <w:p w14:paraId="7539719E" w14:textId="6CD15C92" w:rsidR="00A4710E" w:rsidRPr="00A535BD" w:rsidRDefault="00A4710E" w:rsidP="00492A07">
            <w:pPr>
              <w:pStyle w:val="TableText"/>
              <w:spacing w:before="0" w:after="0"/>
              <w:jc w:val="right"/>
            </w:pPr>
            <w:r w:rsidRPr="00A535BD">
              <w:t>$</w:t>
            </w:r>
            <w:r w:rsidR="00A535BD" w:rsidRPr="00A535BD">
              <w:rPr>
                <w:b/>
                <w:bCs/>
              </w:rPr>
              <w:t xml:space="preserve"> 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37C8ACBD" w14:textId="357E86F5" w:rsidR="00A4710E" w:rsidRPr="00A535BD" w:rsidRDefault="00A4710E" w:rsidP="00492A07">
            <w:pPr>
              <w:pStyle w:val="TableText"/>
              <w:spacing w:before="0" w:after="0"/>
              <w:jc w:val="right"/>
            </w:pPr>
            <w:r w:rsidRPr="00A535BD">
              <w:t>$</w:t>
            </w:r>
            <w:r w:rsidR="00A535BD" w:rsidRPr="00A535BD">
              <w:rPr>
                <w:b/>
                <w:bCs/>
              </w:rPr>
              <w:t xml:space="preserve"> 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2897AFB2" w14:textId="21FFE819" w:rsidR="00A4710E" w:rsidRPr="00A535BD" w:rsidRDefault="00A4710E" w:rsidP="00492A07">
            <w:pPr>
              <w:pStyle w:val="TableText"/>
              <w:spacing w:before="0" w:after="0"/>
              <w:jc w:val="right"/>
            </w:pPr>
            <w:r w:rsidRPr="00A535BD">
              <w:t>$</w:t>
            </w:r>
            <w:r w:rsidR="00A535BD" w:rsidRPr="00A535BD">
              <w:rPr>
                <w:b/>
                <w:bCs/>
              </w:rPr>
              <w:t xml:space="preserve"> redacted</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5E3BFBC1" w14:textId="2FA3374F" w:rsidR="00A4710E" w:rsidRPr="00A535BD" w:rsidRDefault="00A4710E" w:rsidP="00492A07">
            <w:pPr>
              <w:pStyle w:val="TableText"/>
              <w:spacing w:before="0" w:after="0"/>
              <w:jc w:val="right"/>
            </w:pPr>
            <w:r w:rsidRPr="00A535BD">
              <w:t>$</w:t>
            </w:r>
            <w:r w:rsidR="00A535BD" w:rsidRPr="00A535BD">
              <w:rPr>
                <w:b/>
                <w:bCs/>
              </w:rPr>
              <w:t xml:space="preserve"> redacted</w:t>
            </w:r>
          </w:p>
        </w:tc>
      </w:tr>
      <w:tr w:rsidR="00A4710E" w:rsidRPr="00CE28E3" w14:paraId="02102C50"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tcPr>
          <w:p w14:paraId="1D878733" w14:textId="63E0F5DC" w:rsidR="00A4710E" w:rsidRPr="00A535BD" w:rsidRDefault="00A4710E" w:rsidP="00492A07">
            <w:pPr>
              <w:pStyle w:val="TableText"/>
              <w:spacing w:before="0" w:after="0"/>
              <w:rPr>
                <w:vertAlign w:val="superscript"/>
              </w:rPr>
            </w:pPr>
            <w:r w:rsidRPr="00A535BD">
              <w:t xml:space="preserve">Cost to the PL of IVL procedures (stent and </w:t>
            </w:r>
            <w:proofErr w:type="gramStart"/>
            <w:r w:rsidRPr="00A535BD">
              <w:t>DCB)</w:t>
            </w:r>
            <w:r w:rsidRPr="00A535BD">
              <w:rPr>
                <w:vertAlign w:val="superscript"/>
              </w:rPr>
              <w:t>b</w:t>
            </w:r>
            <w:proofErr w:type="gramEnd"/>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735A6F23" w14:textId="7FC3E25A" w:rsidR="00A4710E" w:rsidRPr="00A535BD" w:rsidRDefault="00A4710E" w:rsidP="00492A07">
            <w:pPr>
              <w:pStyle w:val="TableText"/>
              <w:spacing w:before="0" w:after="0"/>
              <w:jc w:val="right"/>
            </w:pPr>
            <w:r w:rsidRPr="00A535BD">
              <w:t>$871,629</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6F669A15" w14:textId="18CFA18A" w:rsidR="00A4710E" w:rsidRPr="00A535BD" w:rsidRDefault="00A4710E" w:rsidP="00492A07">
            <w:pPr>
              <w:pStyle w:val="TableText"/>
              <w:spacing w:before="0" w:after="0"/>
              <w:jc w:val="right"/>
            </w:pPr>
            <w:r w:rsidRPr="00A535BD">
              <w:t>$1,803,535</w:t>
            </w:r>
          </w:p>
        </w:tc>
        <w:tc>
          <w:tcPr>
            <w:tcW w:w="659" w:type="pct"/>
            <w:tcBorders>
              <w:top w:val="nil"/>
              <w:left w:val="nil"/>
              <w:bottom w:val="single" w:sz="8" w:space="0" w:color="auto"/>
              <w:right w:val="single" w:sz="8" w:space="0" w:color="auto"/>
            </w:tcBorders>
            <w:tcMar>
              <w:left w:w="85" w:type="dxa"/>
              <w:right w:w="85" w:type="dxa"/>
            </w:tcMar>
          </w:tcPr>
          <w:p w14:paraId="4E3207F2" w14:textId="261FA366" w:rsidR="00A4710E" w:rsidRPr="00A535BD" w:rsidRDefault="00A4710E" w:rsidP="00492A07">
            <w:pPr>
              <w:pStyle w:val="TableText"/>
              <w:spacing w:before="0" w:after="0"/>
              <w:jc w:val="right"/>
            </w:pPr>
            <w:r w:rsidRPr="00A535BD">
              <w:t>$2,487,861</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7067B38A" w14:textId="51E571CE" w:rsidR="00A4710E" w:rsidRPr="00A535BD" w:rsidRDefault="00A4710E" w:rsidP="00492A07">
            <w:pPr>
              <w:pStyle w:val="TableText"/>
              <w:spacing w:before="0" w:after="0"/>
              <w:jc w:val="right"/>
            </w:pPr>
            <w:r w:rsidRPr="00A535BD">
              <w:t>$2,895,619</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555FB329" w14:textId="6A4BC4C6" w:rsidR="00A4710E" w:rsidRPr="00A535BD" w:rsidRDefault="00A4710E" w:rsidP="00492A07">
            <w:pPr>
              <w:pStyle w:val="TableText"/>
              <w:spacing w:before="0" w:after="0"/>
              <w:jc w:val="right"/>
            </w:pPr>
            <w:r w:rsidRPr="00A535BD">
              <w:t>$3,328,600</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536919D0" w14:textId="77C8D111" w:rsidR="00A4710E" w:rsidRPr="00A535BD" w:rsidRDefault="00A4710E" w:rsidP="00492A07">
            <w:pPr>
              <w:pStyle w:val="TableText"/>
              <w:spacing w:before="0" w:after="0"/>
              <w:jc w:val="right"/>
            </w:pPr>
            <w:r w:rsidRPr="00A535BD">
              <w:t>$3,443,693</w:t>
            </w:r>
          </w:p>
        </w:tc>
      </w:tr>
      <w:tr w:rsidR="00A4710E" w:rsidRPr="00CE28E3" w14:paraId="3088148F"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tcPr>
          <w:p w14:paraId="000C9915" w14:textId="7BCC2684" w:rsidR="00A4710E" w:rsidRPr="00A535BD" w:rsidRDefault="00A4710E" w:rsidP="00492A07">
            <w:pPr>
              <w:pStyle w:val="TableText"/>
              <w:spacing w:before="0" w:after="0"/>
              <w:rPr>
                <w:vertAlign w:val="superscript"/>
              </w:rPr>
            </w:pPr>
            <w:r w:rsidRPr="00A535BD">
              <w:t xml:space="preserve">Cost of hospitalisation for IVL </w:t>
            </w:r>
            <w:proofErr w:type="spellStart"/>
            <w:r w:rsidRPr="00A535BD">
              <w:t>procedures</w:t>
            </w:r>
            <w:r w:rsidR="00C55509" w:rsidRPr="00A535BD">
              <w:rPr>
                <w:vertAlign w:val="superscript"/>
              </w:rPr>
              <w:t>c</w:t>
            </w:r>
            <w:proofErr w:type="spellEnd"/>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7E597B83" w14:textId="55F29A93" w:rsidR="00A4710E" w:rsidRPr="00A535BD" w:rsidRDefault="00787FDA" w:rsidP="00492A07">
            <w:pPr>
              <w:pStyle w:val="TableText"/>
              <w:spacing w:before="0" w:after="0"/>
              <w:jc w:val="right"/>
            </w:pPr>
            <w:r w:rsidRPr="00A535BD">
              <w:t>$2,323,651</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49E45C55" w14:textId="5720ECA4" w:rsidR="00A4710E" w:rsidRPr="00A535BD" w:rsidRDefault="00787FDA" w:rsidP="00492A07">
            <w:pPr>
              <w:pStyle w:val="TableText"/>
              <w:spacing w:before="0" w:after="0"/>
              <w:jc w:val="right"/>
            </w:pPr>
            <w:r w:rsidRPr="00A535BD">
              <w:t>$4,807,992</w:t>
            </w:r>
          </w:p>
        </w:tc>
        <w:tc>
          <w:tcPr>
            <w:tcW w:w="659" w:type="pct"/>
            <w:tcBorders>
              <w:top w:val="nil"/>
              <w:left w:val="nil"/>
              <w:bottom w:val="single" w:sz="8" w:space="0" w:color="auto"/>
              <w:right w:val="single" w:sz="8" w:space="0" w:color="auto"/>
            </w:tcBorders>
            <w:tcMar>
              <w:left w:w="85" w:type="dxa"/>
              <w:right w:w="85" w:type="dxa"/>
            </w:tcMar>
          </w:tcPr>
          <w:p w14:paraId="58B70736" w14:textId="2523375B" w:rsidR="00A4710E" w:rsidRPr="00A535BD" w:rsidRDefault="00787FDA" w:rsidP="00492A07">
            <w:pPr>
              <w:pStyle w:val="TableText"/>
              <w:spacing w:before="0" w:after="0"/>
              <w:jc w:val="right"/>
            </w:pPr>
            <w:r w:rsidRPr="00A535BD">
              <w:t>$6,632,316</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009C96C3" w14:textId="530F677D" w:rsidR="00A4710E" w:rsidRPr="00A535BD" w:rsidRDefault="00787FDA" w:rsidP="00492A07">
            <w:pPr>
              <w:pStyle w:val="TableText"/>
              <w:spacing w:before="0" w:after="0"/>
              <w:jc w:val="right"/>
            </w:pPr>
            <w:r w:rsidRPr="00A535BD">
              <w:t>$7,719,345</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125058C9" w14:textId="1102008D" w:rsidR="00A4710E" w:rsidRPr="00A535BD" w:rsidRDefault="00787FDA" w:rsidP="00492A07">
            <w:pPr>
              <w:pStyle w:val="TableText"/>
              <w:spacing w:before="0" w:after="0"/>
              <w:jc w:val="right"/>
            </w:pPr>
            <w:r w:rsidRPr="00A535BD">
              <w:t>$8,873,617</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2F6AD55D" w14:textId="14DBE868" w:rsidR="00A4710E" w:rsidRPr="00A535BD" w:rsidRDefault="00787FDA" w:rsidP="00492A07">
            <w:pPr>
              <w:pStyle w:val="TableText"/>
              <w:spacing w:before="0" w:after="0"/>
              <w:jc w:val="right"/>
            </w:pPr>
            <w:r w:rsidRPr="00A535BD">
              <w:t>$9,180,439</w:t>
            </w:r>
          </w:p>
        </w:tc>
      </w:tr>
      <w:tr w:rsidR="00A4710E" w:rsidRPr="00CE28E3" w14:paraId="2F8D0B30"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tcPr>
          <w:p w14:paraId="46C1169D" w14:textId="37ADC9F3" w:rsidR="00A4710E" w:rsidRPr="00A535BD" w:rsidRDefault="00A4710E" w:rsidP="00492A07">
            <w:pPr>
              <w:pStyle w:val="TableText"/>
              <w:spacing w:before="0" w:after="0"/>
            </w:pPr>
            <w:r w:rsidRPr="00A535BD">
              <w:t>Cost to patients of IVL</w:t>
            </w:r>
            <w:r w:rsidR="00EF29D2" w:rsidRPr="00A535BD">
              <w:t xml:space="preserve"> </w:t>
            </w:r>
            <w:r w:rsidRPr="00A535BD">
              <w:t>services</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788D7221" w14:textId="77777777" w:rsidR="00A4710E" w:rsidRPr="00A535BD" w:rsidRDefault="00A4710E" w:rsidP="00492A07">
            <w:pPr>
              <w:pStyle w:val="TableText"/>
              <w:spacing w:before="0" w:after="0"/>
              <w:jc w:val="right"/>
            </w:pPr>
            <w:r w:rsidRPr="00A535BD">
              <w:t>$164,072</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656047CF" w14:textId="77777777" w:rsidR="00A4710E" w:rsidRPr="00A535BD" w:rsidRDefault="00A4710E" w:rsidP="00492A07">
            <w:pPr>
              <w:pStyle w:val="TableText"/>
              <w:spacing w:before="0" w:after="0"/>
              <w:jc w:val="right"/>
            </w:pPr>
            <w:r w:rsidRPr="00A535BD">
              <w:t>$339,491</w:t>
            </w:r>
          </w:p>
        </w:tc>
        <w:tc>
          <w:tcPr>
            <w:tcW w:w="659" w:type="pct"/>
            <w:tcBorders>
              <w:top w:val="nil"/>
              <w:left w:val="nil"/>
              <w:bottom w:val="single" w:sz="8" w:space="0" w:color="auto"/>
              <w:right w:val="single" w:sz="8" w:space="0" w:color="auto"/>
            </w:tcBorders>
            <w:tcMar>
              <w:left w:w="85" w:type="dxa"/>
              <w:right w:w="85" w:type="dxa"/>
            </w:tcMar>
          </w:tcPr>
          <w:p w14:paraId="39AFB8BA" w14:textId="05693BE3" w:rsidR="00A4710E" w:rsidRPr="00A535BD" w:rsidRDefault="00A4710E" w:rsidP="00492A07">
            <w:pPr>
              <w:pStyle w:val="TableText"/>
              <w:spacing w:before="0" w:after="0"/>
              <w:jc w:val="right"/>
            </w:pPr>
            <w:r w:rsidRPr="00A535BD">
              <w:t>$468,305</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254E79F5" w14:textId="77777777" w:rsidR="00A4710E" w:rsidRPr="00A535BD" w:rsidRDefault="00A4710E" w:rsidP="00492A07">
            <w:pPr>
              <w:pStyle w:val="TableText"/>
              <w:spacing w:before="0" w:after="0"/>
              <w:jc w:val="right"/>
            </w:pPr>
            <w:r w:rsidRPr="00A535BD">
              <w:t>$545,060</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4EA9834B" w14:textId="77777777" w:rsidR="00A4710E" w:rsidRPr="00A535BD" w:rsidRDefault="00A4710E" w:rsidP="00492A07">
            <w:pPr>
              <w:pStyle w:val="TableText"/>
              <w:spacing w:before="0" w:after="0"/>
              <w:jc w:val="right"/>
            </w:pPr>
            <w:r w:rsidRPr="00A535BD">
              <w:t>$626,563</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581EC589" w14:textId="77777777" w:rsidR="00A4710E" w:rsidRPr="00A535BD" w:rsidRDefault="00A4710E" w:rsidP="00492A07">
            <w:pPr>
              <w:pStyle w:val="TableText"/>
              <w:spacing w:before="0" w:after="0"/>
              <w:jc w:val="right"/>
            </w:pPr>
            <w:r w:rsidRPr="00A535BD">
              <w:t>$648,228</w:t>
            </w:r>
          </w:p>
        </w:tc>
      </w:tr>
      <w:tr w:rsidR="00A4710E" w:rsidRPr="00CE28E3" w14:paraId="4EDAB8E1"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tcPr>
          <w:p w14:paraId="59D486C1" w14:textId="5CC6E64D" w:rsidR="00A4710E" w:rsidRPr="00A535BD" w:rsidRDefault="00A4710E" w:rsidP="00492A07">
            <w:pPr>
              <w:pStyle w:val="TableText"/>
              <w:spacing w:before="0" w:after="0"/>
              <w:rPr>
                <w:vertAlign w:val="superscript"/>
              </w:rPr>
            </w:pPr>
            <w:r w:rsidRPr="00A535BD">
              <w:t xml:space="preserve">Total cost of IVL to other health </w:t>
            </w:r>
            <w:proofErr w:type="spellStart"/>
            <w:r w:rsidRPr="00A535BD">
              <w:t>budgets</w:t>
            </w:r>
            <w:r w:rsidR="008D3E3B" w:rsidRPr="00A535BD">
              <w:rPr>
                <w:vertAlign w:val="superscript"/>
              </w:rPr>
              <w:t>c</w:t>
            </w:r>
            <w:proofErr w:type="spellEnd"/>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49428257" w14:textId="2FACC263" w:rsidR="00A4710E" w:rsidRPr="00A535BD" w:rsidRDefault="00D21972" w:rsidP="00492A07">
            <w:pPr>
              <w:pStyle w:val="TableText"/>
              <w:spacing w:before="0" w:after="0"/>
              <w:jc w:val="right"/>
            </w:pPr>
            <w:r w:rsidRPr="00A535BD">
              <w:t>$</w:t>
            </w:r>
            <w:r w:rsidR="00A535BD" w:rsidRPr="00A535BD">
              <w:rPr>
                <w:b/>
                <w:bCs/>
              </w:rPr>
              <w:t xml:space="preserve"> 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178F107C" w14:textId="3FDFE56A" w:rsidR="00A4710E" w:rsidRPr="00A535BD" w:rsidRDefault="00D21972" w:rsidP="00492A07">
            <w:pPr>
              <w:pStyle w:val="TableText"/>
              <w:spacing w:before="0" w:after="0"/>
              <w:jc w:val="right"/>
            </w:pPr>
            <w:r w:rsidRPr="00A535BD">
              <w:t>$</w:t>
            </w:r>
            <w:r w:rsidR="00A535BD" w:rsidRPr="00A535BD">
              <w:rPr>
                <w:b/>
                <w:bCs/>
              </w:rPr>
              <w:t xml:space="preserve"> redacted</w:t>
            </w:r>
          </w:p>
        </w:tc>
        <w:tc>
          <w:tcPr>
            <w:tcW w:w="659" w:type="pct"/>
            <w:tcBorders>
              <w:top w:val="nil"/>
              <w:left w:val="nil"/>
              <w:bottom w:val="single" w:sz="8" w:space="0" w:color="auto"/>
              <w:right w:val="single" w:sz="8" w:space="0" w:color="auto"/>
            </w:tcBorders>
            <w:tcMar>
              <w:left w:w="85" w:type="dxa"/>
              <w:right w:w="85" w:type="dxa"/>
            </w:tcMar>
          </w:tcPr>
          <w:p w14:paraId="66782675" w14:textId="7534CEC5" w:rsidR="00A4710E" w:rsidRPr="00A535BD" w:rsidRDefault="00D21972" w:rsidP="00492A07">
            <w:pPr>
              <w:pStyle w:val="TableText"/>
              <w:spacing w:before="0" w:after="0"/>
              <w:jc w:val="right"/>
            </w:pPr>
            <w:r w:rsidRPr="00A535BD">
              <w:t>$</w:t>
            </w:r>
            <w:r w:rsidR="00A535BD" w:rsidRPr="00A535BD">
              <w:rPr>
                <w:b/>
                <w:bCs/>
              </w:rPr>
              <w:t xml:space="preserve"> 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2A68464C" w14:textId="73DF0070" w:rsidR="00A4710E" w:rsidRPr="00A535BD" w:rsidRDefault="00D21972" w:rsidP="00492A07">
            <w:pPr>
              <w:pStyle w:val="TableText"/>
              <w:spacing w:before="0" w:after="0"/>
              <w:jc w:val="right"/>
            </w:pPr>
            <w:r w:rsidRPr="00A535BD">
              <w:t>$</w:t>
            </w:r>
            <w:r w:rsidR="00A535BD" w:rsidRPr="00A535BD">
              <w:rPr>
                <w:b/>
                <w:bCs/>
              </w:rPr>
              <w:t xml:space="preserve"> 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7D5DABBF" w14:textId="2C655FE1" w:rsidR="00A4710E" w:rsidRPr="00A535BD" w:rsidRDefault="00D21972" w:rsidP="00492A07">
            <w:pPr>
              <w:pStyle w:val="TableText"/>
              <w:spacing w:before="0" w:after="0"/>
              <w:jc w:val="right"/>
            </w:pPr>
            <w:r w:rsidRPr="00A535BD">
              <w:t>$</w:t>
            </w:r>
            <w:r w:rsidR="00A535BD" w:rsidRPr="00A535BD">
              <w:rPr>
                <w:b/>
                <w:bCs/>
              </w:rPr>
              <w:t xml:space="preserve"> redacted</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0D92ABEF" w14:textId="20E2F473" w:rsidR="00A4710E" w:rsidRPr="00A535BD" w:rsidRDefault="00D21972" w:rsidP="00492A07">
            <w:pPr>
              <w:pStyle w:val="TableText"/>
              <w:spacing w:before="0" w:after="0"/>
              <w:jc w:val="right"/>
            </w:pPr>
            <w:r w:rsidRPr="00A535BD">
              <w:t>$</w:t>
            </w:r>
            <w:r w:rsidR="00A535BD" w:rsidRPr="00A535BD">
              <w:rPr>
                <w:b/>
                <w:bCs/>
              </w:rPr>
              <w:t xml:space="preserve"> redacted</w:t>
            </w:r>
          </w:p>
        </w:tc>
      </w:tr>
      <w:tr w:rsidR="004A70E2" w:rsidRPr="00CE28E3" w14:paraId="3D567D85" w14:textId="77777777" w:rsidTr="2F1EB167">
        <w:tc>
          <w:tcPr>
            <w:tcW w:w="4999" w:type="pct"/>
            <w:gridSpan w:val="7"/>
            <w:tcBorders>
              <w:top w:val="nil"/>
              <w:left w:val="single" w:sz="8" w:space="0" w:color="auto"/>
              <w:bottom w:val="single" w:sz="8" w:space="0" w:color="auto"/>
              <w:right w:val="single" w:sz="8" w:space="0" w:color="auto"/>
            </w:tcBorders>
            <w:tcMar>
              <w:left w:w="85" w:type="dxa"/>
              <w:right w:w="85" w:type="dxa"/>
            </w:tcMar>
          </w:tcPr>
          <w:p w14:paraId="1689BE4E" w14:textId="56AC35BC" w:rsidR="004A70E2" w:rsidRPr="00A535BD" w:rsidRDefault="005050E1" w:rsidP="00492A07">
            <w:pPr>
              <w:pStyle w:val="TableText"/>
              <w:keepNext/>
              <w:spacing w:before="0" w:after="0"/>
            </w:pPr>
            <w:r w:rsidRPr="00A535BD">
              <w:rPr>
                <w:b/>
                <w:bCs/>
              </w:rPr>
              <w:t>Net cost of the proposed technology to other health budgets</w:t>
            </w:r>
          </w:p>
        </w:tc>
      </w:tr>
      <w:tr w:rsidR="00A4710E" w:rsidRPr="00CE28E3" w14:paraId="1C8BC1C5"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tcPr>
          <w:p w14:paraId="1682584F" w14:textId="66288F4C" w:rsidR="00A4710E" w:rsidRPr="00A535BD" w:rsidRDefault="00A4710E" w:rsidP="00492A07">
            <w:pPr>
              <w:pStyle w:val="TableText"/>
              <w:spacing w:before="0" w:after="0"/>
            </w:pPr>
            <w:r w:rsidRPr="00A535BD">
              <w:t>Net device costs for IVL procedures</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21829AFA" w14:textId="53CAEDA4" w:rsidR="00A4710E" w:rsidRPr="00A535BD" w:rsidRDefault="00A4710E" w:rsidP="00492A07">
            <w:pPr>
              <w:pStyle w:val="TableText"/>
              <w:spacing w:before="0" w:after="0"/>
              <w:jc w:val="right"/>
            </w:pPr>
            <w:r w:rsidRPr="00A535BD">
              <w:t>$</w:t>
            </w:r>
            <w:r w:rsidR="00A535BD" w:rsidRPr="00A535BD">
              <w:rPr>
                <w:b/>
                <w:bCs/>
              </w:rPr>
              <w:t xml:space="preserve"> 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2A803F37" w14:textId="6F2D7D6F" w:rsidR="00A4710E" w:rsidRPr="00A535BD" w:rsidRDefault="00A4710E" w:rsidP="00492A07">
            <w:pPr>
              <w:pStyle w:val="TableText"/>
              <w:spacing w:before="0" w:after="0"/>
              <w:jc w:val="right"/>
            </w:pPr>
            <w:r w:rsidRPr="00A535BD">
              <w:t>$</w:t>
            </w:r>
            <w:r w:rsidR="00A535BD" w:rsidRPr="00A535BD">
              <w:rPr>
                <w:b/>
                <w:bCs/>
              </w:rPr>
              <w:t xml:space="preserve"> redacted</w:t>
            </w:r>
          </w:p>
        </w:tc>
        <w:tc>
          <w:tcPr>
            <w:tcW w:w="659" w:type="pct"/>
            <w:tcBorders>
              <w:top w:val="nil"/>
              <w:left w:val="nil"/>
              <w:bottom w:val="single" w:sz="8" w:space="0" w:color="auto"/>
              <w:right w:val="single" w:sz="8" w:space="0" w:color="auto"/>
            </w:tcBorders>
            <w:tcMar>
              <w:left w:w="85" w:type="dxa"/>
              <w:right w:w="85" w:type="dxa"/>
            </w:tcMar>
          </w:tcPr>
          <w:p w14:paraId="1505E505" w14:textId="650C4569" w:rsidR="00A4710E" w:rsidRPr="00A535BD" w:rsidRDefault="00A4710E" w:rsidP="00492A07">
            <w:pPr>
              <w:pStyle w:val="TableText"/>
              <w:spacing w:before="0" w:after="0"/>
              <w:jc w:val="right"/>
            </w:pPr>
            <w:r w:rsidRPr="00A535BD">
              <w:t>$</w:t>
            </w:r>
            <w:r w:rsidR="00A535BD" w:rsidRPr="00A535BD">
              <w:rPr>
                <w:b/>
                <w:bCs/>
              </w:rPr>
              <w:t xml:space="preserve"> 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1E2FA199" w14:textId="6A7E36F0" w:rsidR="00A4710E" w:rsidRPr="00A535BD" w:rsidRDefault="00A4710E" w:rsidP="00492A07">
            <w:pPr>
              <w:pStyle w:val="TableText"/>
              <w:spacing w:before="0" w:after="0"/>
              <w:jc w:val="right"/>
            </w:pPr>
            <w:r w:rsidRPr="00A535BD">
              <w:t>$</w:t>
            </w:r>
            <w:r w:rsidR="00A535BD" w:rsidRPr="00A535BD">
              <w:rPr>
                <w:b/>
                <w:bCs/>
              </w:rPr>
              <w:t xml:space="preserve"> 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24572793" w14:textId="360B3245" w:rsidR="00A4710E" w:rsidRPr="00A535BD" w:rsidRDefault="00A4710E" w:rsidP="00492A07">
            <w:pPr>
              <w:pStyle w:val="TableText"/>
              <w:spacing w:before="0" w:after="0"/>
              <w:jc w:val="right"/>
            </w:pPr>
            <w:r w:rsidRPr="00A535BD">
              <w:t>$</w:t>
            </w:r>
            <w:r w:rsidR="00A535BD" w:rsidRPr="00A535BD">
              <w:rPr>
                <w:b/>
                <w:bCs/>
              </w:rPr>
              <w:t xml:space="preserve"> redacted</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3E9606B2" w14:textId="6BAD0D70" w:rsidR="00A4710E" w:rsidRPr="00A535BD" w:rsidRDefault="00A4710E" w:rsidP="00492A07">
            <w:pPr>
              <w:pStyle w:val="TableText"/>
              <w:spacing w:before="0" w:after="0"/>
              <w:jc w:val="right"/>
            </w:pPr>
            <w:r w:rsidRPr="00A535BD">
              <w:t>$</w:t>
            </w:r>
            <w:r w:rsidR="00A535BD" w:rsidRPr="00A535BD">
              <w:rPr>
                <w:b/>
                <w:bCs/>
              </w:rPr>
              <w:t xml:space="preserve"> redacted</w:t>
            </w:r>
          </w:p>
        </w:tc>
      </w:tr>
      <w:tr w:rsidR="00A4710E" w:rsidRPr="00CE28E3" w14:paraId="3FD28827"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tcPr>
          <w:p w14:paraId="4A6AAA9F" w14:textId="48370864" w:rsidR="00A4710E" w:rsidRPr="00A535BD" w:rsidRDefault="00A4710E" w:rsidP="00492A07">
            <w:pPr>
              <w:pStyle w:val="TableText"/>
              <w:spacing w:before="0" w:after="0"/>
              <w:rPr>
                <w:vertAlign w:val="superscript"/>
              </w:rPr>
            </w:pPr>
            <w:r w:rsidRPr="00A535BD">
              <w:t xml:space="preserve">Net cost to the PL of IVL procedures (stent and </w:t>
            </w:r>
            <w:proofErr w:type="gramStart"/>
            <w:r w:rsidRPr="00A535BD">
              <w:t>DCB)</w:t>
            </w:r>
            <w:r w:rsidRPr="00A535BD">
              <w:rPr>
                <w:vertAlign w:val="superscript"/>
              </w:rPr>
              <w:t>b</w:t>
            </w:r>
            <w:proofErr w:type="gramEnd"/>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79206149" w14:textId="77777777" w:rsidR="00A4710E" w:rsidRPr="00A535BD" w:rsidRDefault="00A4710E" w:rsidP="00492A07">
            <w:pPr>
              <w:pStyle w:val="TableText"/>
              <w:spacing w:before="0" w:after="0"/>
              <w:jc w:val="right"/>
            </w:pPr>
            <w:r w:rsidRPr="00A535BD">
              <w:t>-$96,034</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6A413151" w14:textId="77777777" w:rsidR="00A4710E" w:rsidRPr="00A535BD" w:rsidRDefault="00A4710E" w:rsidP="00492A07">
            <w:pPr>
              <w:pStyle w:val="TableText"/>
              <w:spacing w:before="0" w:after="0"/>
              <w:jc w:val="right"/>
            </w:pPr>
            <w:r w:rsidRPr="00A535BD">
              <w:t>-$198,708</w:t>
            </w:r>
          </w:p>
        </w:tc>
        <w:tc>
          <w:tcPr>
            <w:tcW w:w="659" w:type="pct"/>
            <w:tcBorders>
              <w:top w:val="nil"/>
              <w:left w:val="nil"/>
              <w:bottom w:val="single" w:sz="8" w:space="0" w:color="auto"/>
              <w:right w:val="single" w:sz="8" w:space="0" w:color="auto"/>
            </w:tcBorders>
            <w:tcMar>
              <w:left w:w="85" w:type="dxa"/>
              <w:right w:w="85" w:type="dxa"/>
            </w:tcMar>
          </w:tcPr>
          <w:p w14:paraId="620DDDBF" w14:textId="1A4DA620" w:rsidR="00A4710E" w:rsidRPr="00A535BD" w:rsidRDefault="00A4710E" w:rsidP="00492A07">
            <w:pPr>
              <w:pStyle w:val="TableText"/>
              <w:spacing w:before="0" w:after="0"/>
              <w:jc w:val="right"/>
            </w:pPr>
            <w:r w:rsidRPr="00A535BD">
              <w:t>-$274,105</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4900C2C0" w14:textId="77777777" w:rsidR="00A4710E" w:rsidRPr="00A535BD" w:rsidRDefault="00A4710E" w:rsidP="00492A07">
            <w:pPr>
              <w:pStyle w:val="TableText"/>
              <w:spacing w:before="0" w:after="0"/>
              <w:jc w:val="right"/>
            </w:pPr>
            <w:r w:rsidRPr="00A535BD">
              <w:t>-$319,031</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3D3C1BD6" w14:textId="77777777" w:rsidR="00A4710E" w:rsidRPr="00A535BD" w:rsidRDefault="00A4710E" w:rsidP="00492A07">
            <w:pPr>
              <w:pStyle w:val="TableText"/>
              <w:spacing w:before="0" w:after="0"/>
              <w:jc w:val="right"/>
            </w:pPr>
            <w:r w:rsidRPr="00A535BD">
              <w:t>-$366,736</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4604C3A6" w14:textId="77777777" w:rsidR="00A4710E" w:rsidRPr="00A535BD" w:rsidRDefault="00A4710E" w:rsidP="00492A07">
            <w:pPr>
              <w:pStyle w:val="TableText"/>
              <w:spacing w:before="0" w:after="0"/>
              <w:jc w:val="right"/>
            </w:pPr>
            <w:r w:rsidRPr="00A535BD">
              <w:t>-$379,416</w:t>
            </w:r>
          </w:p>
        </w:tc>
      </w:tr>
      <w:tr w:rsidR="00A4710E" w:rsidRPr="00CE28E3" w14:paraId="0DB62082"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tcPr>
          <w:p w14:paraId="09617008" w14:textId="3D9667B7" w:rsidR="00A4710E" w:rsidRPr="00A535BD" w:rsidRDefault="00A4710E" w:rsidP="00492A07">
            <w:pPr>
              <w:pStyle w:val="TableText"/>
              <w:spacing w:before="0" w:after="0"/>
              <w:rPr>
                <w:vertAlign w:val="superscript"/>
              </w:rPr>
            </w:pPr>
            <w:r w:rsidRPr="00A535BD">
              <w:t xml:space="preserve">Net cost of hospitalisation for IVL </w:t>
            </w:r>
            <w:proofErr w:type="spellStart"/>
            <w:r w:rsidRPr="00A535BD">
              <w:t>procedures</w:t>
            </w:r>
            <w:r w:rsidR="008D3E3B" w:rsidRPr="00A535BD">
              <w:rPr>
                <w:vertAlign w:val="superscript"/>
              </w:rPr>
              <w:t>c</w:t>
            </w:r>
            <w:proofErr w:type="spellEnd"/>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7A13A2F7" w14:textId="224220B9" w:rsidR="00A4710E" w:rsidRPr="00A535BD" w:rsidRDefault="007419AA" w:rsidP="00492A07">
            <w:pPr>
              <w:pStyle w:val="TableText"/>
              <w:spacing w:before="0" w:after="0"/>
              <w:jc w:val="right"/>
            </w:pPr>
            <w:r w:rsidRPr="00A535BD">
              <w:t>-$1,774,966</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5E5FE98C" w14:textId="5DEE1200" w:rsidR="00A4710E" w:rsidRPr="00A535BD" w:rsidRDefault="007419AA" w:rsidP="00492A07">
            <w:pPr>
              <w:pStyle w:val="TableText"/>
              <w:spacing w:before="0" w:after="0"/>
              <w:jc w:val="right"/>
            </w:pPr>
            <w:r w:rsidRPr="00A535BD">
              <w:t>-$3,672,677</w:t>
            </w:r>
          </w:p>
        </w:tc>
        <w:tc>
          <w:tcPr>
            <w:tcW w:w="659" w:type="pct"/>
            <w:tcBorders>
              <w:top w:val="nil"/>
              <w:left w:val="nil"/>
              <w:bottom w:val="single" w:sz="8" w:space="0" w:color="auto"/>
              <w:right w:val="single" w:sz="8" w:space="0" w:color="auto"/>
            </w:tcBorders>
            <w:tcMar>
              <w:left w:w="85" w:type="dxa"/>
              <w:right w:w="85" w:type="dxa"/>
            </w:tcMar>
          </w:tcPr>
          <w:p w14:paraId="208F779A" w14:textId="11357E11" w:rsidR="00A4710E" w:rsidRPr="00A535BD" w:rsidRDefault="007419AA" w:rsidP="00492A07">
            <w:pPr>
              <w:pStyle w:val="TableText"/>
              <w:spacing w:before="0" w:after="0"/>
              <w:jc w:val="right"/>
            </w:pPr>
            <w:r w:rsidRPr="00A535BD">
              <w:t>-$5,066,223</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3AEC1D52" w14:textId="4C321383" w:rsidR="00A4710E" w:rsidRPr="00A535BD" w:rsidRDefault="007419AA" w:rsidP="00492A07">
            <w:pPr>
              <w:pStyle w:val="TableText"/>
              <w:spacing w:before="0" w:after="0"/>
              <w:jc w:val="right"/>
            </w:pPr>
            <w:r w:rsidRPr="00A535BD">
              <w:t>-$5,896,571</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0F2DAC7B" w14:textId="3823716A" w:rsidR="00A4710E" w:rsidRPr="00A535BD" w:rsidRDefault="007419AA" w:rsidP="00492A07">
            <w:pPr>
              <w:pStyle w:val="TableText"/>
              <w:spacing w:before="0" w:after="0"/>
              <w:jc w:val="right"/>
            </w:pPr>
            <w:r w:rsidRPr="00A535BD">
              <w:t>-$6,778,285</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663EAE6B" w14:textId="42C2CDC5" w:rsidR="00A4710E" w:rsidRPr="00A535BD" w:rsidRDefault="007419AA" w:rsidP="00492A07">
            <w:pPr>
              <w:pStyle w:val="TableText"/>
              <w:spacing w:before="0" w:after="0"/>
              <w:jc w:val="right"/>
            </w:pPr>
            <w:r w:rsidRPr="00A535BD">
              <w:t>-$7,012,656</w:t>
            </w:r>
          </w:p>
        </w:tc>
      </w:tr>
      <w:tr w:rsidR="00A4710E" w:rsidRPr="00CE28E3" w14:paraId="3D0475C2"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tcPr>
          <w:p w14:paraId="74EA0546" w14:textId="1E7839D3" w:rsidR="00A4710E" w:rsidRPr="00A535BD" w:rsidRDefault="00A4710E" w:rsidP="00492A07">
            <w:pPr>
              <w:pStyle w:val="TableText"/>
              <w:spacing w:before="0" w:after="0"/>
            </w:pPr>
            <w:r w:rsidRPr="00A535BD">
              <w:t>Net cost to patients of IVL services</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50D93D8C" w14:textId="2E0DF58E" w:rsidR="00A4710E" w:rsidRPr="00A535BD" w:rsidRDefault="00A4710E" w:rsidP="00492A07">
            <w:pPr>
              <w:pStyle w:val="TableText"/>
              <w:spacing w:before="0" w:after="0"/>
              <w:jc w:val="right"/>
            </w:pPr>
            <w:r w:rsidRPr="00A535BD">
              <w:t>-$19,127</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391B0C16" w14:textId="6892160F" w:rsidR="00A4710E" w:rsidRPr="00A535BD" w:rsidRDefault="00A4710E" w:rsidP="00492A07">
            <w:pPr>
              <w:pStyle w:val="TableText"/>
              <w:spacing w:before="0" w:after="0"/>
              <w:jc w:val="right"/>
            </w:pPr>
            <w:r w:rsidRPr="00A535BD">
              <w:t>-$39,576</w:t>
            </w:r>
          </w:p>
        </w:tc>
        <w:tc>
          <w:tcPr>
            <w:tcW w:w="659" w:type="pct"/>
            <w:tcBorders>
              <w:top w:val="nil"/>
              <w:left w:val="nil"/>
              <w:bottom w:val="single" w:sz="8" w:space="0" w:color="auto"/>
              <w:right w:val="single" w:sz="8" w:space="0" w:color="auto"/>
            </w:tcBorders>
            <w:tcMar>
              <w:left w:w="85" w:type="dxa"/>
              <w:right w:w="85" w:type="dxa"/>
            </w:tcMar>
          </w:tcPr>
          <w:p w14:paraId="5DAB74DE" w14:textId="7EBCD376" w:rsidR="00A4710E" w:rsidRPr="00A535BD" w:rsidRDefault="00A4710E" w:rsidP="00492A07">
            <w:pPr>
              <w:pStyle w:val="TableText"/>
              <w:spacing w:before="0" w:after="0"/>
              <w:jc w:val="right"/>
            </w:pPr>
            <w:r w:rsidRPr="00A535BD">
              <w:t>-$54,593</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15AF506D" w14:textId="10ECCD80" w:rsidR="00A4710E" w:rsidRPr="00A535BD" w:rsidRDefault="00A4710E" w:rsidP="00492A07">
            <w:pPr>
              <w:pStyle w:val="TableText"/>
              <w:spacing w:before="0" w:after="0"/>
              <w:jc w:val="right"/>
            </w:pPr>
            <w:r w:rsidRPr="00A535BD">
              <w:t>-$63,541</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01AD2F08" w14:textId="67945E45" w:rsidR="00A4710E" w:rsidRPr="00A535BD" w:rsidRDefault="00A4710E" w:rsidP="00492A07">
            <w:pPr>
              <w:pStyle w:val="TableText"/>
              <w:spacing w:before="0" w:after="0"/>
              <w:jc w:val="right"/>
            </w:pPr>
            <w:r w:rsidRPr="00A535BD">
              <w:t>-$73,042</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6BF1F9AE" w14:textId="41F174CD" w:rsidR="00A4710E" w:rsidRPr="00A535BD" w:rsidRDefault="00A4710E" w:rsidP="00492A07">
            <w:pPr>
              <w:pStyle w:val="TableText"/>
              <w:spacing w:before="0" w:after="0"/>
              <w:jc w:val="right"/>
            </w:pPr>
            <w:r w:rsidRPr="00A535BD">
              <w:t>-$75,568</w:t>
            </w:r>
          </w:p>
        </w:tc>
      </w:tr>
      <w:tr w:rsidR="00A4710E" w:rsidRPr="00CE28E3" w14:paraId="789F1312"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tcPr>
          <w:p w14:paraId="32AA2595" w14:textId="6202494D" w:rsidR="00A4710E" w:rsidRPr="00A535BD" w:rsidRDefault="00A4710E" w:rsidP="00492A07">
            <w:pPr>
              <w:pStyle w:val="TableText"/>
              <w:spacing w:before="0" w:after="0"/>
              <w:rPr>
                <w:vertAlign w:val="superscript"/>
              </w:rPr>
            </w:pPr>
            <w:r w:rsidRPr="00A535BD">
              <w:t xml:space="preserve">Total net cost of IVL to other health </w:t>
            </w:r>
            <w:proofErr w:type="spellStart"/>
            <w:r w:rsidRPr="00A535BD">
              <w:t>budgets</w:t>
            </w:r>
            <w:r w:rsidR="008D3E3B" w:rsidRPr="00A535BD">
              <w:rPr>
                <w:vertAlign w:val="superscript"/>
              </w:rPr>
              <w:t>c</w:t>
            </w:r>
            <w:proofErr w:type="spellEnd"/>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4470821F" w14:textId="465CC560" w:rsidR="00A4710E" w:rsidRPr="00A535BD" w:rsidRDefault="00C9691F" w:rsidP="00492A07">
            <w:pPr>
              <w:pStyle w:val="TableText"/>
              <w:spacing w:before="0" w:after="0"/>
              <w:jc w:val="right"/>
            </w:pPr>
            <w:r w:rsidRPr="00A535BD">
              <w:t>$2,170,857</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2B3CB38F" w14:textId="700CC04D" w:rsidR="00A4710E" w:rsidRPr="00A535BD" w:rsidRDefault="00C9691F" w:rsidP="00492A07">
            <w:pPr>
              <w:pStyle w:val="TableText"/>
              <w:spacing w:before="0" w:after="0"/>
              <w:jc w:val="right"/>
            </w:pPr>
            <w:r w:rsidRPr="00A535BD">
              <w:t>$4,491,837</w:t>
            </w:r>
          </w:p>
        </w:tc>
        <w:tc>
          <w:tcPr>
            <w:tcW w:w="659" w:type="pct"/>
            <w:tcBorders>
              <w:top w:val="nil"/>
              <w:left w:val="nil"/>
              <w:bottom w:val="single" w:sz="8" w:space="0" w:color="auto"/>
              <w:right w:val="single" w:sz="8" w:space="0" w:color="auto"/>
            </w:tcBorders>
            <w:tcMar>
              <w:left w:w="85" w:type="dxa"/>
              <w:right w:w="85" w:type="dxa"/>
            </w:tcMar>
          </w:tcPr>
          <w:p w14:paraId="52C135B0" w14:textId="343A2E4D" w:rsidR="00A4710E" w:rsidRPr="00A535BD" w:rsidRDefault="00C9691F" w:rsidP="00492A07">
            <w:pPr>
              <w:pStyle w:val="TableText"/>
              <w:spacing w:before="0" w:after="0"/>
              <w:jc w:val="right"/>
            </w:pPr>
            <w:r w:rsidRPr="00A535BD">
              <w:t>$6,196,200</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59357861" w14:textId="370F2234" w:rsidR="00A4710E" w:rsidRPr="00A535BD" w:rsidRDefault="00C9691F" w:rsidP="00492A07">
            <w:pPr>
              <w:pStyle w:val="TableText"/>
              <w:spacing w:before="0" w:after="0"/>
              <w:jc w:val="right"/>
            </w:pPr>
            <w:r w:rsidRPr="00A535BD">
              <w:t>$7,211,751</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7357FA1A" w14:textId="5AA003C0" w:rsidR="00A4710E" w:rsidRPr="00A535BD" w:rsidRDefault="00C9691F" w:rsidP="00492A07">
            <w:pPr>
              <w:pStyle w:val="TableText"/>
              <w:spacing w:before="0" w:after="0"/>
              <w:jc w:val="right"/>
            </w:pPr>
            <w:r w:rsidRPr="00A535BD">
              <w:t>$8,290,123</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1122A19F" w14:textId="47BCB4F1" w:rsidR="00A4710E" w:rsidRPr="00A535BD" w:rsidRDefault="00C9691F" w:rsidP="00492A07">
            <w:pPr>
              <w:pStyle w:val="TableText"/>
              <w:spacing w:before="0" w:after="0"/>
              <w:jc w:val="right"/>
            </w:pPr>
            <w:r w:rsidRPr="00A535BD">
              <w:t>$8,576,769</w:t>
            </w:r>
          </w:p>
        </w:tc>
      </w:tr>
      <w:tr w:rsidR="00A4710E" w:rsidRPr="00CE28E3" w14:paraId="1D7F897A" w14:textId="77777777" w:rsidTr="2F1EB167">
        <w:tc>
          <w:tcPr>
            <w:tcW w:w="1039" w:type="pct"/>
            <w:tcBorders>
              <w:top w:val="nil"/>
              <w:left w:val="single" w:sz="8" w:space="0" w:color="auto"/>
              <w:bottom w:val="single" w:sz="8" w:space="0" w:color="auto"/>
              <w:right w:val="single" w:sz="8" w:space="0" w:color="auto"/>
            </w:tcBorders>
            <w:tcMar>
              <w:top w:w="0" w:type="dxa"/>
              <w:left w:w="85" w:type="dxa"/>
              <w:bottom w:w="0" w:type="dxa"/>
              <w:right w:w="85" w:type="dxa"/>
            </w:tcMar>
            <w:hideMark/>
          </w:tcPr>
          <w:p w14:paraId="6FEA76BA" w14:textId="445E5A79" w:rsidR="00A4710E" w:rsidRPr="00A535BD" w:rsidRDefault="00A4710E" w:rsidP="00492A07">
            <w:pPr>
              <w:pStyle w:val="TableText"/>
              <w:spacing w:before="0" w:after="0"/>
              <w:rPr>
                <w:b/>
                <w:bCs/>
              </w:rPr>
            </w:pPr>
            <w:r w:rsidRPr="00A535BD">
              <w:rPr>
                <w:b/>
                <w:bCs/>
              </w:rPr>
              <w:t xml:space="preserve">Overall net financial impact of IVL to the MBS and other health </w:t>
            </w:r>
            <w:proofErr w:type="spellStart"/>
            <w:r w:rsidRPr="00A535BD">
              <w:rPr>
                <w:b/>
                <w:bCs/>
              </w:rPr>
              <w:t>budgets</w:t>
            </w:r>
            <w:r w:rsidR="008D3E3B" w:rsidRPr="00A535BD">
              <w:rPr>
                <w:b/>
                <w:bCs/>
                <w:vertAlign w:val="superscript"/>
              </w:rPr>
              <w:t>c</w:t>
            </w:r>
            <w:proofErr w:type="spellEnd"/>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10D9A965" w14:textId="7383F19B" w:rsidR="00A4710E" w:rsidRPr="00A535BD" w:rsidRDefault="007905A5" w:rsidP="00492A07">
            <w:pPr>
              <w:pStyle w:val="TableText"/>
              <w:spacing w:before="0" w:after="0"/>
              <w:jc w:val="right"/>
              <w:rPr>
                <w:b/>
                <w:bCs/>
              </w:rPr>
            </w:pPr>
            <w:r w:rsidRPr="00A535BD">
              <w:rPr>
                <w:b/>
                <w:bCs/>
              </w:rPr>
              <w:t>$</w:t>
            </w:r>
            <w:r w:rsidR="00A535BD" w:rsidRPr="00A535BD">
              <w:rPr>
                <w:b/>
                <w:bCs/>
              </w:rPr>
              <w:t xml:space="preserve"> 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094449DB" w14:textId="746F6582" w:rsidR="00A4710E" w:rsidRPr="00A535BD" w:rsidRDefault="007905A5" w:rsidP="00492A07">
            <w:pPr>
              <w:pStyle w:val="TableText"/>
              <w:spacing w:before="0" w:after="0"/>
              <w:jc w:val="right"/>
              <w:rPr>
                <w:b/>
                <w:bCs/>
              </w:rPr>
            </w:pPr>
            <w:r w:rsidRPr="00A535BD">
              <w:rPr>
                <w:b/>
                <w:bCs/>
              </w:rPr>
              <w:t>$</w:t>
            </w:r>
            <w:r w:rsidR="00A535BD" w:rsidRPr="00A535BD">
              <w:rPr>
                <w:b/>
                <w:bCs/>
              </w:rPr>
              <w:t xml:space="preserve"> redacted</w:t>
            </w:r>
          </w:p>
        </w:tc>
        <w:tc>
          <w:tcPr>
            <w:tcW w:w="659" w:type="pct"/>
            <w:tcBorders>
              <w:top w:val="nil"/>
              <w:left w:val="nil"/>
              <w:bottom w:val="single" w:sz="8" w:space="0" w:color="auto"/>
              <w:right w:val="single" w:sz="8" w:space="0" w:color="auto"/>
            </w:tcBorders>
            <w:tcMar>
              <w:left w:w="85" w:type="dxa"/>
              <w:right w:w="85" w:type="dxa"/>
            </w:tcMar>
          </w:tcPr>
          <w:p w14:paraId="1BD218F3" w14:textId="45CDEBAC" w:rsidR="00A4710E" w:rsidRPr="00A535BD" w:rsidRDefault="007905A5" w:rsidP="00492A07">
            <w:pPr>
              <w:pStyle w:val="TableText"/>
              <w:spacing w:before="0" w:after="0"/>
              <w:jc w:val="right"/>
              <w:rPr>
                <w:b/>
                <w:bCs/>
              </w:rPr>
            </w:pPr>
            <w:r w:rsidRPr="00A535BD">
              <w:rPr>
                <w:b/>
                <w:bCs/>
              </w:rPr>
              <w:t>$</w:t>
            </w:r>
            <w:r w:rsidR="00A535BD" w:rsidRPr="00A535BD">
              <w:rPr>
                <w:b/>
                <w:bCs/>
              </w:rPr>
              <w:t xml:space="preserve"> 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6613D334" w14:textId="7F190757" w:rsidR="00A4710E" w:rsidRPr="00A535BD" w:rsidRDefault="007905A5" w:rsidP="00492A07">
            <w:pPr>
              <w:pStyle w:val="TableText"/>
              <w:spacing w:before="0" w:after="0"/>
              <w:jc w:val="right"/>
              <w:rPr>
                <w:b/>
                <w:bCs/>
              </w:rPr>
            </w:pPr>
            <w:r w:rsidRPr="00A535BD">
              <w:rPr>
                <w:b/>
                <w:bCs/>
              </w:rPr>
              <w:t>$</w:t>
            </w:r>
            <w:r w:rsidR="00A535BD" w:rsidRPr="00A535BD">
              <w:rPr>
                <w:b/>
                <w:bCs/>
              </w:rPr>
              <w:t xml:space="preserve"> redacted</w:t>
            </w:r>
          </w:p>
        </w:tc>
        <w:tc>
          <w:tcPr>
            <w:tcW w:w="659" w:type="pct"/>
            <w:tcBorders>
              <w:top w:val="nil"/>
              <w:left w:val="nil"/>
              <w:bottom w:val="single" w:sz="8" w:space="0" w:color="auto"/>
              <w:right w:val="single" w:sz="8" w:space="0" w:color="auto"/>
            </w:tcBorders>
            <w:tcMar>
              <w:top w:w="0" w:type="dxa"/>
              <w:left w:w="85" w:type="dxa"/>
              <w:bottom w:w="0" w:type="dxa"/>
              <w:right w:w="85" w:type="dxa"/>
            </w:tcMar>
          </w:tcPr>
          <w:p w14:paraId="219A632F" w14:textId="7CA2D9CA" w:rsidR="00A4710E" w:rsidRPr="00A535BD" w:rsidRDefault="007905A5" w:rsidP="00492A07">
            <w:pPr>
              <w:pStyle w:val="TableText"/>
              <w:spacing w:before="0" w:after="0"/>
              <w:jc w:val="right"/>
              <w:rPr>
                <w:b/>
                <w:bCs/>
              </w:rPr>
            </w:pPr>
            <w:r w:rsidRPr="00A535BD">
              <w:rPr>
                <w:b/>
                <w:bCs/>
              </w:rPr>
              <w:t>$</w:t>
            </w:r>
            <w:r w:rsidR="00A535BD" w:rsidRPr="00A535BD">
              <w:rPr>
                <w:b/>
                <w:bCs/>
              </w:rPr>
              <w:t xml:space="preserve"> redacted</w:t>
            </w:r>
          </w:p>
        </w:tc>
        <w:tc>
          <w:tcPr>
            <w:tcW w:w="665" w:type="pct"/>
            <w:tcBorders>
              <w:top w:val="nil"/>
              <w:left w:val="nil"/>
              <w:bottom w:val="single" w:sz="8" w:space="0" w:color="auto"/>
              <w:right w:val="single" w:sz="8" w:space="0" w:color="auto"/>
            </w:tcBorders>
            <w:tcMar>
              <w:top w:w="0" w:type="dxa"/>
              <w:left w:w="85" w:type="dxa"/>
              <w:bottom w:w="0" w:type="dxa"/>
              <w:right w:w="85" w:type="dxa"/>
            </w:tcMar>
          </w:tcPr>
          <w:p w14:paraId="3ADBCE21" w14:textId="648AC65D" w:rsidR="00A4710E" w:rsidRPr="00A535BD" w:rsidRDefault="007905A5" w:rsidP="00492A07">
            <w:pPr>
              <w:pStyle w:val="TableText"/>
              <w:spacing w:before="0" w:after="0"/>
              <w:jc w:val="right"/>
              <w:rPr>
                <w:b/>
                <w:bCs/>
              </w:rPr>
            </w:pPr>
            <w:r w:rsidRPr="00A535BD">
              <w:rPr>
                <w:b/>
                <w:bCs/>
              </w:rPr>
              <w:t>$</w:t>
            </w:r>
            <w:r w:rsidR="00A535BD" w:rsidRPr="00A535BD">
              <w:rPr>
                <w:b/>
                <w:bCs/>
              </w:rPr>
              <w:t xml:space="preserve"> redacted</w:t>
            </w:r>
          </w:p>
        </w:tc>
      </w:tr>
    </w:tbl>
    <w:p w14:paraId="4B9EA993" w14:textId="60047CB2" w:rsidR="000371A0" w:rsidRPr="00632958" w:rsidRDefault="00326476" w:rsidP="00632958">
      <w:pPr>
        <w:pStyle w:val="TableFigureFooter"/>
        <w:spacing w:before="0" w:after="0"/>
        <w:rPr>
          <w:sz w:val="16"/>
          <w:szCs w:val="16"/>
        </w:rPr>
      </w:pPr>
      <w:bookmarkStart w:id="31" w:name="_Hlk68276814"/>
      <w:bookmarkEnd w:id="30"/>
      <w:r w:rsidRPr="00632958">
        <w:rPr>
          <w:sz w:val="16"/>
          <w:szCs w:val="16"/>
        </w:rPr>
        <w:t xml:space="preserve">DCB = </w:t>
      </w:r>
      <w:r w:rsidR="008C58D4" w:rsidRPr="00632958">
        <w:rPr>
          <w:sz w:val="16"/>
          <w:szCs w:val="16"/>
        </w:rPr>
        <w:t xml:space="preserve">drug-coated balloon; </w:t>
      </w:r>
      <w:r w:rsidR="000371A0" w:rsidRPr="00632958">
        <w:rPr>
          <w:sz w:val="16"/>
          <w:szCs w:val="16"/>
        </w:rPr>
        <w:t>IVL = intravascular lithotripsy; MBS</w:t>
      </w:r>
      <w:r w:rsidR="008964AB" w:rsidRPr="00632958">
        <w:rPr>
          <w:sz w:val="16"/>
          <w:szCs w:val="16"/>
        </w:rPr>
        <w:t xml:space="preserve"> = </w:t>
      </w:r>
      <w:r w:rsidR="000371A0" w:rsidRPr="00632958">
        <w:rPr>
          <w:sz w:val="16"/>
          <w:szCs w:val="16"/>
        </w:rPr>
        <w:t>Medicare Benefits Schedule</w:t>
      </w:r>
      <w:r w:rsidR="008964AB" w:rsidRPr="00632958">
        <w:rPr>
          <w:sz w:val="16"/>
          <w:szCs w:val="16"/>
        </w:rPr>
        <w:t xml:space="preserve">; </w:t>
      </w:r>
      <w:r w:rsidRPr="00632958">
        <w:rPr>
          <w:sz w:val="16"/>
          <w:szCs w:val="16"/>
        </w:rPr>
        <w:t xml:space="preserve">PL = Prescribed List; </w:t>
      </w:r>
      <w:r w:rsidR="008964AB" w:rsidRPr="00632958">
        <w:rPr>
          <w:sz w:val="16"/>
          <w:szCs w:val="16"/>
        </w:rPr>
        <w:t xml:space="preserve">SBA = </w:t>
      </w:r>
      <w:r w:rsidRPr="00632958">
        <w:rPr>
          <w:sz w:val="16"/>
          <w:szCs w:val="16"/>
        </w:rPr>
        <w:t>standard balloon angioplasty</w:t>
      </w:r>
      <w:r w:rsidR="008964AB" w:rsidRPr="00632958">
        <w:rPr>
          <w:sz w:val="16"/>
          <w:szCs w:val="16"/>
        </w:rPr>
        <w:t>.</w:t>
      </w:r>
    </w:p>
    <w:p w14:paraId="6DB941C1" w14:textId="70E50446" w:rsidR="00284FDA" w:rsidRPr="00632958" w:rsidRDefault="00976C22" w:rsidP="00B44F11">
      <w:pPr>
        <w:pStyle w:val="TableFigureFooter"/>
        <w:spacing w:before="0" w:after="0"/>
        <w:rPr>
          <w:sz w:val="16"/>
          <w:szCs w:val="16"/>
        </w:rPr>
      </w:pPr>
      <w:r w:rsidRPr="00632958">
        <w:rPr>
          <w:sz w:val="16"/>
          <w:szCs w:val="16"/>
        </w:rPr>
        <w:t>a</w:t>
      </w:r>
      <w:r w:rsidR="00284FDA" w:rsidRPr="00632958">
        <w:rPr>
          <w:sz w:val="16"/>
          <w:szCs w:val="16"/>
        </w:rPr>
        <w:t xml:space="preserve"> Commentary estimates </w:t>
      </w:r>
      <w:r w:rsidR="002241AA" w:rsidRPr="00632958">
        <w:rPr>
          <w:sz w:val="16"/>
          <w:szCs w:val="16"/>
        </w:rPr>
        <w:t xml:space="preserve">apply to PAD patients with moderately and severely calcified lesions and </w:t>
      </w:r>
      <w:r w:rsidR="003D7657" w:rsidRPr="00632958">
        <w:rPr>
          <w:sz w:val="16"/>
          <w:szCs w:val="16"/>
        </w:rPr>
        <w:t>were</w:t>
      </w:r>
      <w:r w:rsidR="00284FDA" w:rsidRPr="00632958">
        <w:rPr>
          <w:sz w:val="16"/>
          <w:szCs w:val="16"/>
        </w:rPr>
        <w:t xml:space="preserve"> based on an annual growth rate of 3.5% </w:t>
      </w:r>
      <w:r w:rsidR="002241AA" w:rsidRPr="00632958">
        <w:rPr>
          <w:sz w:val="16"/>
          <w:szCs w:val="16"/>
        </w:rPr>
        <w:t>for PAD procedures</w:t>
      </w:r>
      <w:r w:rsidR="00284FDA" w:rsidRPr="00632958">
        <w:rPr>
          <w:sz w:val="16"/>
          <w:szCs w:val="16"/>
        </w:rPr>
        <w:t xml:space="preserve">. The Multiple Operation Rule </w:t>
      </w:r>
      <w:r w:rsidR="00B03BCF" w:rsidRPr="00632958">
        <w:rPr>
          <w:sz w:val="16"/>
          <w:szCs w:val="16"/>
        </w:rPr>
        <w:t>was</w:t>
      </w:r>
      <w:r w:rsidR="00284FDA" w:rsidRPr="00632958">
        <w:rPr>
          <w:sz w:val="16"/>
          <w:szCs w:val="16"/>
        </w:rPr>
        <w:t xml:space="preserve"> applied in cases of stent insertion (co-claiming with MBS item</w:t>
      </w:r>
      <w:r w:rsidR="005B0B4D" w:rsidRPr="00632958">
        <w:rPr>
          <w:sz w:val="16"/>
          <w:szCs w:val="16"/>
        </w:rPr>
        <w:t>s</w:t>
      </w:r>
      <w:r w:rsidR="00284FDA" w:rsidRPr="00632958">
        <w:rPr>
          <w:sz w:val="16"/>
          <w:szCs w:val="16"/>
        </w:rPr>
        <w:t xml:space="preserve"> 35306 and 35309)</w:t>
      </w:r>
      <w:r w:rsidR="003051D9" w:rsidRPr="00632958">
        <w:rPr>
          <w:sz w:val="16"/>
          <w:szCs w:val="16"/>
        </w:rPr>
        <w:t xml:space="preserve"> using </w:t>
      </w:r>
      <w:r w:rsidR="00B03BCF" w:rsidRPr="00632958">
        <w:rPr>
          <w:sz w:val="16"/>
          <w:szCs w:val="16"/>
        </w:rPr>
        <w:t xml:space="preserve">MBS fees </w:t>
      </w:r>
      <w:proofErr w:type="gramStart"/>
      <w:r w:rsidR="003051D9" w:rsidRPr="00632958">
        <w:rPr>
          <w:sz w:val="16"/>
          <w:szCs w:val="16"/>
        </w:rPr>
        <w:t>at</w:t>
      </w:r>
      <w:proofErr w:type="gramEnd"/>
      <w:r w:rsidR="00B03BCF" w:rsidRPr="00632958">
        <w:rPr>
          <w:sz w:val="16"/>
          <w:szCs w:val="16"/>
        </w:rPr>
        <w:t xml:space="preserve"> 23 July 2024. </w:t>
      </w:r>
      <w:r w:rsidR="003D7657" w:rsidRPr="00632958">
        <w:rPr>
          <w:sz w:val="16"/>
          <w:szCs w:val="16"/>
        </w:rPr>
        <w:t xml:space="preserve">In contrast, ADAR </w:t>
      </w:r>
      <w:r w:rsidR="00B44F11" w:rsidRPr="00632958">
        <w:rPr>
          <w:sz w:val="16"/>
          <w:szCs w:val="16"/>
        </w:rPr>
        <w:t xml:space="preserve">resubmission </w:t>
      </w:r>
      <w:r w:rsidR="003D7657" w:rsidRPr="00632958">
        <w:rPr>
          <w:sz w:val="16"/>
          <w:szCs w:val="16"/>
        </w:rPr>
        <w:t xml:space="preserve">estimates </w:t>
      </w:r>
      <w:r w:rsidR="003051D9" w:rsidRPr="00632958">
        <w:rPr>
          <w:sz w:val="16"/>
          <w:szCs w:val="16"/>
        </w:rPr>
        <w:t xml:space="preserve">applied to PAD patients with severely calcified lesions only and </w:t>
      </w:r>
      <w:r w:rsidR="003D7657" w:rsidRPr="00632958">
        <w:rPr>
          <w:sz w:val="16"/>
          <w:szCs w:val="16"/>
        </w:rPr>
        <w:t>were based on an annual growth rate of 2.7%</w:t>
      </w:r>
      <w:r w:rsidR="003051D9" w:rsidRPr="00632958">
        <w:rPr>
          <w:sz w:val="16"/>
          <w:szCs w:val="16"/>
        </w:rPr>
        <w:t xml:space="preserve"> for PAD procedures</w:t>
      </w:r>
      <w:r w:rsidR="003D7657" w:rsidRPr="00632958">
        <w:rPr>
          <w:sz w:val="16"/>
          <w:szCs w:val="16"/>
        </w:rPr>
        <w:t xml:space="preserve">. The Multiple Operation Rule </w:t>
      </w:r>
      <w:r w:rsidR="003051D9" w:rsidRPr="00632958">
        <w:rPr>
          <w:sz w:val="16"/>
          <w:szCs w:val="16"/>
        </w:rPr>
        <w:t>was</w:t>
      </w:r>
      <w:r w:rsidR="003D7657" w:rsidRPr="00632958">
        <w:rPr>
          <w:sz w:val="16"/>
          <w:szCs w:val="16"/>
        </w:rPr>
        <w:t xml:space="preserve"> not </w:t>
      </w:r>
      <w:proofErr w:type="gramStart"/>
      <w:r w:rsidR="003D7657" w:rsidRPr="00632958">
        <w:rPr>
          <w:sz w:val="16"/>
          <w:szCs w:val="16"/>
        </w:rPr>
        <w:t>applied</w:t>
      </w:r>
      <w:proofErr w:type="gramEnd"/>
      <w:r w:rsidR="003051D9" w:rsidRPr="00632958">
        <w:rPr>
          <w:sz w:val="16"/>
          <w:szCs w:val="16"/>
        </w:rPr>
        <w:t xml:space="preserve"> and MBS fees </w:t>
      </w:r>
      <w:r w:rsidR="00372ABC" w:rsidRPr="00632958">
        <w:rPr>
          <w:sz w:val="16"/>
          <w:szCs w:val="16"/>
        </w:rPr>
        <w:t>were</w:t>
      </w:r>
      <w:r w:rsidR="003051D9" w:rsidRPr="00632958">
        <w:rPr>
          <w:sz w:val="16"/>
          <w:szCs w:val="16"/>
        </w:rPr>
        <w:t xml:space="preserve"> prior to 1 July 2024</w:t>
      </w:r>
      <w:r w:rsidR="003D7657" w:rsidRPr="00632958">
        <w:rPr>
          <w:sz w:val="16"/>
          <w:szCs w:val="16"/>
        </w:rPr>
        <w:t>.</w:t>
      </w:r>
    </w:p>
    <w:p w14:paraId="57A96474" w14:textId="11B9F095" w:rsidR="00B44F11" w:rsidRPr="00632958" w:rsidRDefault="00B44F11" w:rsidP="00830AD6">
      <w:pPr>
        <w:pStyle w:val="TableFigureFooter"/>
        <w:spacing w:before="0" w:after="0"/>
        <w:rPr>
          <w:sz w:val="16"/>
          <w:szCs w:val="16"/>
        </w:rPr>
      </w:pPr>
      <w:r w:rsidRPr="00632958">
        <w:rPr>
          <w:sz w:val="16"/>
          <w:szCs w:val="16"/>
        </w:rPr>
        <w:t xml:space="preserve">b </w:t>
      </w:r>
      <w:proofErr w:type="gramStart"/>
      <w:r w:rsidRPr="00632958">
        <w:rPr>
          <w:sz w:val="16"/>
          <w:szCs w:val="16"/>
        </w:rPr>
        <w:t>The</w:t>
      </w:r>
      <w:proofErr w:type="gramEnd"/>
      <w:r w:rsidRPr="00632958">
        <w:rPr>
          <w:sz w:val="16"/>
          <w:szCs w:val="16"/>
        </w:rPr>
        <w:t xml:space="preserve"> estimates were based on a weighted PL benefit of $1,406.01 for bare metal stents. </w:t>
      </w:r>
      <w:r w:rsidR="00C271B3" w:rsidRPr="00632958">
        <w:rPr>
          <w:sz w:val="16"/>
          <w:szCs w:val="16"/>
        </w:rPr>
        <w:t>However, t</w:t>
      </w:r>
      <w:r w:rsidRPr="00632958">
        <w:rPr>
          <w:sz w:val="16"/>
          <w:szCs w:val="16"/>
        </w:rPr>
        <w:t>he Group benefit was reduced in July 2024 and the range in PL benefits was reduced ($1,053 to $1,394).</w:t>
      </w:r>
    </w:p>
    <w:p w14:paraId="4FB36144" w14:textId="2DE87325" w:rsidR="00830AD6" w:rsidRPr="00632958" w:rsidRDefault="00830AD6" w:rsidP="2F1EB167">
      <w:pPr>
        <w:pStyle w:val="Tablenotes0"/>
        <w:spacing w:before="0" w:after="0"/>
        <w:rPr>
          <w:sz w:val="16"/>
          <w:szCs w:val="16"/>
        </w:rPr>
      </w:pPr>
      <w:r w:rsidRPr="00632958">
        <w:rPr>
          <w:sz w:val="16"/>
          <w:szCs w:val="16"/>
        </w:rPr>
        <w:t>Source: Compiled from Table 4-</w:t>
      </w:r>
      <w:r w:rsidR="00E532C1" w:rsidRPr="00632958">
        <w:rPr>
          <w:sz w:val="16"/>
          <w:szCs w:val="16"/>
        </w:rPr>
        <w:t>4</w:t>
      </w:r>
      <w:r w:rsidR="00F470BA" w:rsidRPr="00632958">
        <w:rPr>
          <w:sz w:val="16"/>
          <w:szCs w:val="16"/>
        </w:rPr>
        <w:t xml:space="preserve">, </w:t>
      </w:r>
      <w:r w:rsidR="008330B4" w:rsidRPr="00632958">
        <w:rPr>
          <w:sz w:val="16"/>
          <w:szCs w:val="16"/>
        </w:rPr>
        <w:t xml:space="preserve">Table 4-19, </w:t>
      </w:r>
      <w:r w:rsidR="004C25CF" w:rsidRPr="00632958">
        <w:rPr>
          <w:sz w:val="16"/>
          <w:szCs w:val="16"/>
        </w:rPr>
        <w:t>Table 4-20,</w:t>
      </w:r>
      <w:r w:rsidR="00196DB8" w:rsidRPr="00632958">
        <w:rPr>
          <w:sz w:val="16"/>
          <w:szCs w:val="16"/>
        </w:rPr>
        <w:t xml:space="preserve"> Table 4-21, Table 4-22, Table 4-23</w:t>
      </w:r>
      <w:r w:rsidR="001706C3" w:rsidRPr="00632958">
        <w:rPr>
          <w:sz w:val="16"/>
          <w:szCs w:val="16"/>
        </w:rPr>
        <w:t xml:space="preserve"> and </w:t>
      </w:r>
      <w:r w:rsidR="0098118A" w:rsidRPr="00632958">
        <w:rPr>
          <w:sz w:val="16"/>
          <w:szCs w:val="16"/>
        </w:rPr>
        <w:t>Table 4-2</w:t>
      </w:r>
      <w:r w:rsidR="00D92F21" w:rsidRPr="00632958">
        <w:rPr>
          <w:sz w:val="16"/>
          <w:szCs w:val="16"/>
        </w:rPr>
        <w:t>5</w:t>
      </w:r>
      <w:r w:rsidRPr="00632958">
        <w:rPr>
          <w:sz w:val="16"/>
          <w:szCs w:val="16"/>
        </w:rPr>
        <w:t xml:space="preserve"> of MSAC 1734 resubmission ADAR + in-line commentary.</w:t>
      </w:r>
    </w:p>
    <w:p w14:paraId="39CAE2E5" w14:textId="58B80F25" w:rsidR="00831944" w:rsidRPr="00632958" w:rsidRDefault="009E7309" w:rsidP="2F1EB167">
      <w:pPr>
        <w:pStyle w:val="Tablenotes0"/>
        <w:spacing w:before="0" w:after="0"/>
        <w:rPr>
          <w:sz w:val="16"/>
          <w:szCs w:val="16"/>
        </w:rPr>
      </w:pPr>
      <w:r w:rsidRPr="00632958">
        <w:rPr>
          <w:sz w:val="16"/>
          <w:szCs w:val="16"/>
        </w:rPr>
        <w:t xml:space="preserve">c </w:t>
      </w:r>
      <w:r w:rsidR="007079CA" w:rsidRPr="00632958">
        <w:rPr>
          <w:sz w:val="16"/>
          <w:szCs w:val="16"/>
        </w:rPr>
        <w:t xml:space="preserve">Commentary </w:t>
      </w:r>
      <w:r w:rsidR="00831944" w:rsidRPr="00632958">
        <w:rPr>
          <w:sz w:val="16"/>
          <w:szCs w:val="16"/>
        </w:rPr>
        <w:t>alternative</w:t>
      </w:r>
      <w:r w:rsidRPr="00632958">
        <w:rPr>
          <w:sz w:val="16"/>
          <w:szCs w:val="16"/>
        </w:rPr>
        <w:t xml:space="preserve"> base case CCA economic model and estimates updated </w:t>
      </w:r>
      <w:r w:rsidR="007079CA" w:rsidRPr="00632958">
        <w:rPr>
          <w:sz w:val="16"/>
          <w:szCs w:val="16"/>
        </w:rPr>
        <w:t xml:space="preserve">for ESC </w:t>
      </w:r>
      <w:r w:rsidRPr="00632958">
        <w:rPr>
          <w:sz w:val="16"/>
          <w:szCs w:val="16"/>
        </w:rPr>
        <w:t xml:space="preserve">using </w:t>
      </w:r>
      <w:r w:rsidR="00831944" w:rsidRPr="00632958">
        <w:rPr>
          <w:sz w:val="16"/>
          <w:szCs w:val="16"/>
        </w:rPr>
        <w:t xml:space="preserve">current </w:t>
      </w:r>
      <w:r w:rsidRPr="00632958">
        <w:rPr>
          <w:sz w:val="16"/>
          <w:szCs w:val="16"/>
        </w:rPr>
        <w:t>national efficient price and AR-DRG F11</w:t>
      </w:r>
      <w:proofErr w:type="gramStart"/>
      <w:r w:rsidRPr="00632958">
        <w:rPr>
          <w:sz w:val="16"/>
          <w:szCs w:val="16"/>
        </w:rPr>
        <w:t>A,B</w:t>
      </w:r>
      <w:proofErr w:type="gramEnd"/>
      <w:r w:rsidRPr="00632958">
        <w:rPr>
          <w:rStyle w:val="CommentaryTabletextleftChar"/>
          <w:color w:val="auto"/>
          <w:sz w:val="16"/>
          <w:szCs w:val="16"/>
        </w:rPr>
        <w:t xml:space="preserve">,C – </w:t>
      </w:r>
      <w:r w:rsidRPr="00632958">
        <w:rPr>
          <w:sz w:val="16"/>
          <w:szCs w:val="16"/>
        </w:rPr>
        <w:t>NHCDC Version 11.0, Round 25 (2020-21).</w:t>
      </w:r>
    </w:p>
    <w:p w14:paraId="3568CA0C" w14:textId="1FD942F6" w:rsidR="007079CA" w:rsidRPr="00632958" w:rsidRDefault="00831944" w:rsidP="00A106A5">
      <w:pPr>
        <w:pStyle w:val="Tablenotes0"/>
        <w:rPr>
          <w:sz w:val="16"/>
          <w:szCs w:val="16"/>
        </w:rPr>
      </w:pPr>
      <w:r w:rsidRPr="00632958">
        <w:rPr>
          <w:sz w:val="16"/>
          <w:szCs w:val="16"/>
        </w:rPr>
        <w:t>Source: adapted from Commentary Table 4-4, Table 4-19, Table 4-20, Table 4-21, Table 4-22, Table 4-23 and Table 4-25 of MSAC 1734 resubmission ADAR + in-line commentary.</w:t>
      </w:r>
    </w:p>
    <w:p w14:paraId="52A0AEC1" w14:textId="4973BC10" w:rsidR="00950559" w:rsidRDefault="00950559" w:rsidP="00950559">
      <w:r w:rsidRPr="2F1EB167">
        <w:lastRenderedPageBreak/>
        <w:t xml:space="preserve">The primary driver for the net cost of </w:t>
      </w:r>
      <w:r w:rsidR="00E1222B" w:rsidRPr="2F1EB167">
        <w:t xml:space="preserve">the proposed </w:t>
      </w:r>
      <w:r w:rsidRPr="2F1EB167">
        <w:t>IVL listing across all health budgets is the cost of the IVL device</w:t>
      </w:r>
      <w:r w:rsidR="00C66FEE" w:rsidRPr="2F1EB167">
        <w:t xml:space="preserve"> (currently covered via private health insurance or hospital funding)</w:t>
      </w:r>
      <w:r w:rsidRPr="2F1EB167">
        <w:t xml:space="preserve">. There are minor net </w:t>
      </w:r>
      <w:r w:rsidR="00BA7FF9" w:rsidRPr="2F1EB167">
        <w:t>savings</w:t>
      </w:r>
      <w:r w:rsidRPr="2F1EB167">
        <w:t xml:space="preserve"> estimated for the MBS</w:t>
      </w:r>
      <w:r w:rsidR="001B2871" w:rsidRPr="2F1EB167">
        <w:t xml:space="preserve">, the </w:t>
      </w:r>
      <w:r w:rsidR="007A7C35" w:rsidRPr="2F1EB167">
        <w:t>PL</w:t>
      </w:r>
      <w:r w:rsidR="001B2871" w:rsidRPr="2F1EB167">
        <w:t xml:space="preserve"> (attributed to the avoidance of stent insertion)</w:t>
      </w:r>
      <w:r w:rsidRPr="2F1EB167">
        <w:t xml:space="preserve"> and out-of-pocket patient expenses</w:t>
      </w:r>
      <w:r w:rsidR="0098050F" w:rsidRPr="2F1EB167">
        <w:t xml:space="preserve"> (assuming the cost of the IVL device will not be passed on to patients)</w:t>
      </w:r>
      <w:r w:rsidRPr="2F1EB167">
        <w:t xml:space="preserve">. </w:t>
      </w:r>
      <w:r w:rsidR="0098050F" w:rsidRPr="2F1EB167">
        <w:t>Substantial</w:t>
      </w:r>
      <w:r w:rsidRPr="2F1EB167">
        <w:t xml:space="preserve"> cost reductions are anticipated for </w:t>
      </w:r>
      <w:r w:rsidR="00756414" w:rsidRPr="2F1EB167">
        <w:t>hospitalisation</w:t>
      </w:r>
      <w:r w:rsidRPr="2F1EB167">
        <w:t>, primarily due to shorter hospital stays resulting from IVL treatment.</w:t>
      </w:r>
    </w:p>
    <w:p w14:paraId="0B4BB8D8" w14:textId="63CD5C5C" w:rsidR="0013593C" w:rsidRDefault="0013593C" w:rsidP="0013593C">
      <w:r w:rsidRPr="2F1EB167">
        <w:t xml:space="preserve">The results of the sensitivity analyses performed </w:t>
      </w:r>
      <w:r w:rsidR="00645B87" w:rsidRPr="2F1EB167">
        <w:t>by the</w:t>
      </w:r>
      <w:r w:rsidRPr="2F1EB167">
        <w:t xml:space="preserve"> commentary are shown in</w:t>
      </w:r>
      <w:r w:rsidR="00425384" w:rsidRPr="2F1EB167">
        <w:t xml:space="preserve"> </w:t>
      </w:r>
      <w:r w:rsidR="003E24A4">
        <w:rPr>
          <w:highlight w:val="yellow"/>
        </w:rPr>
        <w:fldChar w:fldCharType="begin"/>
      </w:r>
      <w:r w:rsidR="003E24A4">
        <w:instrText xml:space="preserve"> REF _Ref173788076 \h </w:instrText>
      </w:r>
      <w:r w:rsidR="003E24A4">
        <w:rPr>
          <w:highlight w:val="yellow"/>
        </w:rPr>
      </w:r>
      <w:r w:rsidR="003E24A4">
        <w:rPr>
          <w:highlight w:val="yellow"/>
        </w:rPr>
        <w:fldChar w:fldCharType="separate"/>
      </w:r>
      <w:r w:rsidR="000A04D8" w:rsidRPr="2F1EB167">
        <w:t>Table </w:t>
      </w:r>
      <w:r w:rsidR="000A04D8" w:rsidRPr="2F1EB167">
        <w:rPr>
          <w:noProof/>
        </w:rPr>
        <w:t>11</w:t>
      </w:r>
      <w:r w:rsidR="003E24A4">
        <w:rPr>
          <w:highlight w:val="yellow"/>
        </w:rPr>
        <w:fldChar w:fldCharType="end"/>
      </w:r>
      <w:r w:rsidRPr="2F1EB167">
        <w:t xml:space="preserve">. The net financial impact to the MBS and </w:t>
      </w:r>
      <w:r w:rsidR="00587705" w:rsidRPr="2F1EB167">
        <w:t>overall health budgets</w:t>
      </w:r>
      <w:r w:rsidRPr="2F1EB167">
        <w:t xml:space="preserve"> are most sensitive to changes in</w:t>
      </w:r>
      <w:r w:rsidR="00B26C1A" w:rsidRPr="2F1EB167">
        <w:t xml:space="preserve"> the</w:t>
      </w:r>
      <w:r w:rsidRPr="2F1EB167">
        <w:t xml:space="preserve"> </w:t>
      </w:r>
      <w:r w:rsidR="005527BE" w:rsidRPr="2F1EB167">
        <w:t xml:space="preserve">IVL uptake rate </w:t>
      </w:r>
      <w:r w:rsidR="00B26C1A" w:rsidRPr="2F1EB167">
        <w:t xml:space="preserve">and changes to the </w:t>
      </w:r>
      <w:r w:rsidRPr="2F1EB167">
        <w:t xml:space="preserve">stenting rate per arm at the index procedure. As mentioned </w:t>
      </w:r>
      <w:r w:rsidR="00587705" w:rsidRPr="2F1EB167">
        <w:t>earlier</w:t>
      </w:r>
      <w:r w:rsidRPr="2F1EB167">
        <w:t xml:space="preserve">, relative stenting rates in the base case </w:t>
      </w:r>
      <w:r w:rsidR="00587705" w:rsidRPr="2F1EB167">
        <w:t>we</w:t>
      </w:r>
      <w:r w:rsidRPr="2F1EB167">
        <w:t>re informed by the DISRUPT PAD III RCT, which imposed restrictions on stent placement that are not used outside of a trial setting. The degree to which stenting rates may decrease with IVL in Australian clinical practice, and therefore the net financial impact, is uncertain.</w:t>
      </w:r>
    </w:p>
    <w:p w14:paraId="24FD653E" w14:textId="059BD1AE" w:rsidR="003E24A4" w:rsidRPr="00CE28E3" w:rsidRDefault="003E24A4" w:rsidP="003E24A4">
      <w:pPr>
        <w:pStyle w:val="Caption"/>
      </w:pPr>
      <w:bookmarkStart w:id="32" w:name="_Ref173788076"/>
      <w:r w:rsidRPr="2F1EB167">
        <w:t>Table </w:t>
      </w:r>
      <w:r w:rsidRPr="2F1EB167">
        <w:fldChar w:fldCharType="begin"/>
      </w:r>
      <w:r>
        <w:instrText xml:space="preserve"> SEQ Table \* ARABIC </w:instrText>
      </w:r>
      <w:r w:rsidRPr="2F1EB167">
        <w:fldChar w:fldCharType="separate"/>
      </w:r>
      <w:r w:rsidR="000A04D8" w:rsidRPr="2F1EB167">
        <w:rPr>
          <w:noProof/>
        </w:rPr>
        <w:t>11</w:t>
      </w:r>
      <w:r w:rsidRPr="2F1EB167">
        <w:rPr>
          <w:noProof/>
        </w:rPr>
        <w:fldChar w:fldCharType="end"/>
      </w:r>
      <w:bookmarkEnd w:id="32"/>
      <w:r>
        <w:tab/>
      </w:r>
      <w:r w:rsidR="000E328E" w:rsidRPr="2F1EB167">
        <w:t>Sensitivity analyses</w:t>
      </w:r>
      <w:r w:rsidRPr="2F1EB167">
        <w:t xml:space="preserve"> </w:t>
      </w:r>
      <w:r w:rsidR="004D0AE4" w:rsidRPr="2F1EB167">
        <w:t>using</w:t>
      </w:r>
      <w:r w:rsidRPr="2F1EB167">
        <w:t xml:space="preserve"> commentary </w:t>
      </w:r>
      <w:r w:rsidR="00031ACA" w:rsidRPr="2F1EB167">
        <w:t>(alternative) base case</w:t>
      </w:r>
      <w:r w:rsidR="00AA79FD" w:rsidRPr="2F1EB167">
        <w:t xml:space="preserve">; </w:t>
      </w:r>
      <w:r w:rsidR="00DA5D66" w:rsidRPr="2F1EB167">
        <w:t>Updated Post</w:t>
      </w:r>
      <w:r w:rsidR="00664B24" w:rsidRPr="2F1EB167">
        <w:t>-</w:t>
      </w:r>
      <w:proofErr w:type="spellStart"/>
      <w:r w:rsidR="00DA5D66" w:rsidRPr="2F1EB167">
        <w:t>ESC</w:t>
      </w:r>
      <w:r w:rsidR="00031ACA" w:rsidRPr="2F1EB167">
        <w:rPr>
          <w:vertAlign w:val="superscript"/>
        </w:rPr>
        <w:t>a</w:t>
      </w:r>
      <w:proofErr w:type="spellEnd"/>
      <w:r w:rsidR="00031ACA" w:rsidRPr="2F1EB167">
        <w:t xml:space="preserve"> </w:t>
      </w:r>
    </w:p>
    <w:tbl>
      <w:tblPr>
        <w:tblW w:w="9010" w:type="dxa"/>
        <w:tblLayout w:type="fixed"/>
        <w:tblCellMar>
          <w:left w:w="0" w:type="dxa"/>
          <w:right w:w="0" w:type="dxa"/>
        </w:tblCellMar>
        <w:tblLook w:val="04A0" w:firstRow="1" w:lastRow="0" w:firstColumn="1" w:lastColumn="0" w:noHBand="0" w:noVBand="1"/>
        <w:tblCaption w:val="Sensitivity analyses using commentary estimates"/>
        <w:tblDescription w:val="The table presents the net financial impact to the MBS and to other health budgets over a 6-year period (2025 to 2030) for a selection of sensitivity analyses including changes to annual growth of PAD procedures, uptake of IVL and index stenting rate. The table also shows the total budget impact of these changes. "/>
      </w:tblPr>
      <w:tblGrid>
        <w:gridCol w:w="2203"/>
        <w:gridCol w:w="1130"/>
        <w:gridCol w:w="1131"/>
        <w:gridCol w:w="1132"/>
        <w:gridCol w:w="1146"/>
        <w:gridCol w:w="421"/>
        <w:gridCol w:w="420"/>
        <w:gridCol w:w="293"/>
        <w:gridCol w:w="234"/>
        <w:gridCol w:w="277"/>
        <w:gridCol w:w="277"/>
        <w:gridCol w:w="346"/>
      </w:tblGrid>
      <w:tr w:rsidR="003E24A4" w:rsidRPr="00CE28E3" w14:paraId="391356EC" w14:textId="77777777" w:rsidTr="2F1EB167">
        <w:trPr>
          <w:tblHeader/>
        </w:trPr>
        <w:tc>
          <w:tcPr>
            <w:tcW w:w="2203"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tcPr>
          <w:p w14:paraId="2821B7FE" w14:textId="77777777" w:rsidR="003E24A4" w:rsidRPr="00CE28E3" w:rsidRDefault="003E24A4" w:rsidP="00632958">
            <w:pPr>
              <w:pStyle w:val="TableText"/>
              <w:keepNext/>
              <w:spacing w:before="0" w:after="0"/>
              <w:rPr>
                <w:b/>
                <w:bCs/>
              </w:rPr>
            </w:pPr>
            <w:r>
              <w:rPr>
                <w:b/>
                <w:bCs/>
              </w:rPr>
              <w:t xml:space="preserve">Parameter </w:t>
            </w:r>
          </w:p>
        </w:tc>
        <w:tc>
          <w:tcPr>
            <w:tcW w:w="1130" w:type="dxa"/>
            <w:tcBorders>
              <w:top w:val="single" w:sz="8" w:space="0" w:color="auto"/>
              <w:left w:val="nil"/>
              <w:bottom w:val="single" w:sz="8" w:space="0" w:color="auto"/>
              <w:right w:val="single" w:sz="8" w:space="0" w:color="auto"/>
            </w:tcBorders>
            <w:tcMar>
              <w:top w:w="0" w:type="dxa"/>
              <w:left w:w="85" w:type="dxa"/>
              <w:bottom w:w="0" w:type="dxa"/>
              <w:right w:w="85" w:type="dxa"/>
            </w:tcMar>
            <w:hideMark/>
          </w:tcPr>
          <w:p w14:paraId="309C5527" w14:textId="77777777" w:rsidR="003E24A4" w:rsidRPr="00CE28E3" w:rsidRDefault="003E24A4" w:rsidP="00632958">
            <w:pPr>
              <w:pStyle w:val="TableText"/>
              <w:keepNext/>
              <w:spacing w:before="0" w:after="0"/>
              <w:jc w:val="right"/>
              <w:rPr>
                <w:b/>
                <w:bCs/>
              </w:rPr>
            </w:pPr>
            <w:r w:rsidRPr="00CE28E3">
              <w:rPr>
                <w:b/>
                <w:bCs/>
              </w:rPr>
              <w:t xml:space="preserve">Year </w:t>
            </w:r>
            <w:r>
              <w:rPr>
                <w:b/>
                <w:bCs/>
              </w:rPr>
              <w:t>1</w:t>
            </w:r>
            <w:r>
              <w:rPr>
                <w:b/>
                <w:bCs/>
              </w:rPr>
              <w:br/>
              <w:t>2025</w:t>
            </w:r>
          </w:p>
        </w:tc>
        <w:tc>
          <w:tcPr>
            <w:tcW w:w="1131" w:type="dxa"/>
            <w:tcBorders>
              <w:top w:val="single" w:sz="8" w:space="0" w:color="auto"/>
              <w:left w:val="nil"/>
              <w:bottom w:val="single" w:sz="8" w:space="0" w:color="auto"/>
              <w:right w:val="single" w:sz="8" w:space="0" w:color="auto"/>
            </w:tcBorders>
            <w:tcMar>
              <w:top w:w="0" w:type="dxa"/>
              <w:left w:w="85" w:type="dxa"/>
              <w:bottom w:w="0" w:type="dxa"/>
              <w:right w:w="85" w:type="dxa"/>
            </w:tcMar>
            <w:hideMark/>
          </w:tcPr>
          <w:p w14:paraId="787B96C0" w14:textId="77777777" w:rsidR="003E24A4" w:rsidRPr="00CE28E3" w:rsidRDefault="003E24A4" w:rsidP="00632958">
            <w:pPr>
              <w:pStyle w:val="TableText"/>
              <w:keepNext/>
              <w:spacing w:before="0" w:after="0"/>
              <w:jc w:val="right"/>
              <w:rPr>
                <w:b/>
                <w:bCs/>
              </w:rPr>
            </w:pPr>
            <w:r w:rsidRPr="00CE28E3">
              <w:rPr>
                <w:b/>
                <w:bCs/>
              </w:rPr>
              <w:t xml:space="preserve">Year </w:t>
            </w:r>
            <w:r>
              <w:rPr>
                <w:b/>
                <w:bCs/>
              </w:rPr>
              <w:t>2</w:t>
            </w:r>
            <w:r>
              <w:rPr>
                <w:b/>
                <w:bCs/>
              </w:rPr>
              <w:br/>
              <w:t>2026</w:t>
            </w:r>
          </w:p>
        </w:tc>
        <w:tc>
          <w:tcPr>
            <w:tcW w:w="1132" w:type="dxa"/>
            <w:tcBorders>
              <w:top w:val="single" w:sz="8" w:space="0" w:color="auto"/>
              <w:left w:val="nil"/>
              <w:bottom w:val="single" w:sz="8" w:space="0" w:color="auto"/>
              <w:right w:val="single" w:sz="8" w:space="0" w:color="auto"/>
            </w:tcBorders>
            <w:tcMar>
              <w:top w:w="0" w:type="dxa"/>
              <w:left w:w="85" w:type="dxa"/>
              <w:bottom w:w="0" w:type="dxa"/>
              <w:right w:w="85" w:type="dxa"/>
            </w:tcMar>
            <w:hideMark/>
          </w:tcPr>
          <w:p w14:paraId="38533EEF" w14:textId="77777777" w:rsidR="003E24A4" w:rsidRPr="00CE28E3" w:rsidRDefault="003E24A4" w:rsidP="00632958">
            <w:pPr>
              <w:pStyle w:val="TableText"/>
              <w:keepNext/>
              <w:spacing w:before="0" w:after="0"/>
              <w:jc w:val="right"/>
              <w:rPr>
                <w:b/>
                <w:bCs/>
              </w:rPr>
            </w:pPr>
            <w:r w:rsidRPr="00CE28E3">
              <w:rPr>
                <w:b/>
                <w:bCs/>
              </w:rPr>
              <w:t xml:space="preserve">Year </w:t>
            </w:r>
            <w:r>
              <w:rPr>
                <w:b/>
                <w:bCs/>
              </w:rPr>
              <w:t>3</w:t>
            </w:r>
            <w:r>
              <w:rPr>
                <w:b/>
                <w:bCs/>
              </w:rPr>
              <w:br/>
              <w:t>2027</w:t>
            </w:r>
          </w:p>
        </w:tc>
        <w:tc>
          <w:tcPr>
            <w:tcW w:w="1146" w:type="dxa"/>
            <w:tcBorders>
              <w:top w:val="single" w:sz="8" w:space="0" w:color="auto"/>
              <w:left w:val="nil"/>
              <w:bottom w:val="single" w:sz="8" w:space="0" w:color="auto"/>
              <w:right w:val="single" w:sz="8" w:space="0" w:color="auto"/>
            </w:tcBorders>
            <w:tcMar>
              <w:top w:w="0" w:type="dxa"/>
              <w:left w:w="85" w:type="dxa"/>
              <w:bottom w:w="0" w:type="dxa"/>
              <w:right w:w="85" w:type="dxa"/>
            </w:tcMar>
            <w:hideMark/>
          </w:tcPr>
          <w:p w14:paraId="6CA221FA" w14:textId="77777777" w:rsidR="003E24A4" w:rsidRPr="00CE28E3" w:rsidRDefault="003E24A4" w:rsidP="00632958">
            <w:pPr>
              <w:pStyle w:val="TableText"/>
              <w:keepNext/>
              <w:spacing w:before="0" w:after="0"/>
              <w:jc w:val="right"/>
              <w:rPr>
                <w:b/>
                <w:bCs/>
              </w:rPr>
            </w:pPr>
            <w:r w:rsidRPr="00CE28E3">
              <w:rPr>
                <w:b/>
                <w:bCs/>
              </w:rPr>
              <w:t xml:space="preserve">Year </w:t>
            </w:r>
            <w:r>
              <w:rPr>
                <w:b/>
                <w:bCs/>
              </w:rPr>
              <w:t>4</w:t>
            </w:r>
            <w:r>
              <w:rPr>
                <w:b/>
                <w:bCs/>
              </w:rPr>
              <w:br/>
              <w:t>2028</w:t>
            </w:r>
          </w:p>
        </w:tc>
        <w:tc>
          <w:tcPr>
            <w:tcW w:w="1134" w:type="dxa"/>
            <w:gridSpan w:val="3"/>
            <w:tcBorders>
              <w:top w:val="single" w:sz="8" w:space="0" w:color="auto"/>
              <w:left w:val="nil"/>
              <w:bottom w:val="single" w:sz="8" w:space="0" w:color="auto"/>
              <w:right w:val="single" w:sz="8" w:space="0" w:color="auto"/>
            </w:tcBorders>
            <w:tcMar>
              <w:top w:w="0" w:type="dxa"/>
              <w:left w:w="85" w:type="dxa"/>
              <w:bottom w:w="0" w:type="dxa"/>
              <w:right w:w="85" w:type="dxa"/>
            </w:tcMar>
            <w:hideMark/>
          </w:tcPr>
          <w:p w14:paraId="22FE54C8" w14:textId="77777777" w:rsidR="003E24A4" w:rsidRPr="00CE28E3" w:rsidRDefault="003E24A4" w:rsidP="00632958">
            <w:pPr>
              <w:pStyle w:val="TableText"/>
              <w:keepNext/>
              <w:spacing w:before="0" w:after="0"/>
              <w:jc w:val="right"/>
              <w:rPr>
                <w:b/>
                <w:bCs/>
              </w:rPr>
            </w:pPr>
            <w:r w:rsidRPr="00CE28E3">
              <w:rPr>
                <w:b/>
                <w:bCs/>
              </w:rPr>
              <w:t xml:space="preserve">Year </w:t>
            </w:r>
            <w:r>
              <w:rPr>
                <w:b/>
                <w:bCs/>
              </w:rPr>
              <w:t>5</w:t>
            </w:r>
            <w:r>
              <w:rPr>
                <w:b/>
                <w:bCs/>
              </w:rPr>
              <w:br/>
              <w:t>2029</w:t>
            </w:r>
          </w:p>
        </w:tc>
        <w:tc>
          <w:tcPr>
            <w:tcW w:w="1134" w:type="dxa"/>
            <w:gridSpan w:val="4"/>
            <w:tcBorders>
              <w:top w:val="single" w:sz="8" w:space="0" w:color="auto"/>
              <w:left w:val="nil"/>
              <w:bottom w:val="single" w:sz="8" w:space="0" w:color="auto"/>
              <w:right w:val="single" w:sz="8" w:space="0" w:color="auto"/>
            </w:tcBorders>
            <w:tcMar>
              <w:top w:w="0" w:type="dxa"/>
              <w:left w:w="85" w:type="dxa"/>
              <w:bottom w:w="0" w:type="dxa"/>
              <w:right w:w="85" w:type="dxa"/>
            </w:tcMar>
            <w:hideMark/>
          </w:tcPr>
          <w:p w14:paraId="120731EF" w14:textId="77777777" w:rsidR="003E24A4" w:rsidRPr="00CE28E3" w:rsidRDefault="003E24A4" w:rsidP="00632958">
            <w:pPr>
              <w:pStyle w:val="TableText"/>
              <w:keepNext/>
              <w:spacing w:before="0" w:after="0"/>
              <w:jc w:val="right"/>
              <w:rPr>
                <w:b/>
                <w:bCs/>
              </w:rPr>
            </w:pPr>
            <w:r w:rsidRPr="00CE28E3">
              <w:rPr>
                <w:b/>
                <w:bCs/>
              </w:rPr>
              <w:t xml:space="preserve">Year </w:t>
            </w:r>
            <w:r>
              <w:rPr>
                <w:b/>
                <w:bCs/>
              </w:rPr>
              <w:t>6</w:t>
            </w:r>
            <w:r>
              <w:rPr>
                <w:b/>
                <w:bCs/>
              </w:rPr>
              <w:br/>
              <w:t>2030</w:t>
            </w:r>
          </w:p>
        </w:tc>
      </w:tr>
      <w:tr w:rsidR="003E24A4" w:rsidRPr="00CE28E3" w14:paraId="480C9A94" w14:textId="77777777" w:rsidTr="2F1EB167">
        <w:tc>
          <w:tcPr>
            <w:tcW w:w="6742" w:type="dxa"/>
            <w:gridSpan w:val="5"/>
            <w:tcBorders>
              <w:top w:val="nil"/>
              <w:left w:val="single" w:sz="8" w:space="0" w:color="auto"/>
              <w:bottom w:val="single" w:sz="8" w:space="0" w:color="auto"/>
            </w:tcBorders>
            <w:tcMar>
              <w:top w:w="0" w:type="dxa"/>
              <w:left w:w="85" w:type="dxa"/>
              <w:bottom w:w="0" w:type="dxa"/>
              <w:right w:w="85" w:type="dxa"/>
            </w:tcMar>
          </w:tcPr>
          <w:p w14:paraId="35FA5EF2" w14:textId="59454F1C" w:rsidR="003E24A4" w:rsidRPr="00E0607C" w:rsidRDefault="00C92C9F" w:rsidP="00632958">
            <w:pPr>
              <w:pStyle w:val="TableText"/>
              <w:keepNext/>
              <w:spacing w:before="0" w:after="0"/>
              <w:rPr>
                <w:b/>
                <w:bCs/>
              </w:rPr>
            </w:pPr>
            <w:r w:rsidRPr="00C92C9F">
              <w:rPr>
                <w:b/>
                <w:bCs/>
              </w:rPr>
              <w:t>Base case analysis</w:t>
            </w:r>
          </w:p>
        </w:tc>
        <w:tc>
          <w:tcPr>
            <w:tcW w:w="421" w:type="dxa"/>
            <w:tcBorders>
              <w:top w:val="nil"/>
              <w:left w:val="nil"/>
              <w:bottom w:val="single" w:sz="8" w:space="0" w:color="auto"/>
            </w:tcBorders>
            <w:tcMar>
              <w:top w:w="0" w:type="dxa"/>
              <w:left w:w="85" w:type="dxa"/>
              <w:bottom w:w="0" w:type="dxa"/>
              <w:right w:w="85" w:type="dxa"/>
            </w:tcMar>
          </w:tcPr>
          <w:p w14:paraId="61194121" w14:textId="77777777" w:rsidR="003E24A4" w:rsidRPr="00CE28E3" w:rsidRDefault="003E24A4" w:rsidP="00632958">
            <w:pPr>
              <w:pStyle w:val="TableText"/>
              <w:keepNext/>
              <w:spacing w:before="0" w:after="0"/>
              <w:jc w:val="right"/>
            </w:pPr>
          </w:p>
        </w:tc>
        <w:tc>
          <w:tcPr>
            <w:tcW w:w="420" w:type="dxa"/>
            <w:tcBorders>
              <w:top w:val="nil"/>
              <w:left w:val="nil"/>
              <w:bottom w:val="single" w:sz="8" w:space="0" w:color="auto"/>
            </w:tcBorders>
            <w:tcMar>
              <w:top w:w="0" w:type="dxa"/>
              <w:left w:w="85" w:type="dxa"/>
              <w:bottom w:w="0" w:type="dxa"/>
              <w:right w:w="85" w:type="dxa"/>
            </w:tcMar>
          </w:tcPr>
          <w:p w14:paraId="20E47950" w14:textId="77777777" w:rsidR="003E24A4" w:rsidRPr="00CE28E3" w:rsidRDefault="003E24A4" w:rsidP="00632958">
            <w:pPr>
              <w:pStyle w:val="TableText"/>
              <w:keepNext/>
              <w:spacing w:before="0" w:after="0"/>
              <w:jc w:val="right"/>
            </w:pPr>
          </w:p>
        </w:tc>
        <w:tc>
          <w:tcPr>
            <w:tcW w:w="527" w:type="dxa"/>
            <w:gridSpan w:val="2"/>
            <w:tcBorders>
              <w:top w:val="nil"/>
              <w:left w:val="nil"/>
              <w:bottom w:val="single" w:sz="8" w:space="0" w:color="auto"/>
            </w:tcBorders>
            <w:tcMar>
              <w:top w:w="0" w:type="dxa"/>
              <w:left w:w="85" w:type="dxa"/>
              <w:bottom w:w="0" w:type="dxa"/>
              <w:right w:w="85" w:type="dxa"/>
            </w:tcMar>
          </w:tcPr>
          <w:p w14:paraId="780EC23C" w14:textId="77777777" w:rsidR="003E24A4" w:rsidRPr="00CE28E3" w:rsidRDefault="003E24A4" w:rsidP="00632958">
            <w:pPr>
              <w:pStyle w:val="TableText"/>
              <w:keepNext/>
              <w:spacing w:before="0" w:after="0"/>
              <w:jc w:val="right"/>
            </w:pPr>
          </w:p>
        </w:tc>
        <w:tc>
          <w:tcPr>
            <w:tcW w:w="277" w:type="dxa"/>
            <w:tcBorders>
              <w:top w:val="nil"/>
              <w:left w:val="nil"/>
              <w:bottom w:val="single" w:sz="8" w:space="0" w:color="auto"/>
            </w:tcBorders>
            <w:tcMar>
              <w:top w:w="0" w:type="dxa"/>
              <w:left w:w="85" w:type="dxa"/>
              <w:bottom w:w="0" w:type="dxa"/>
              <w:right w:w="85" w:type="dxa"/>
            </w:tcMar>
          </w:tcPr>
          <w:p w14:paraId="693E5F45" w14:textId="77777777" w:rsidR="003E24A4" w:rsidRPr="00CE28E3" w:rsidRDefault="003E24A4" w:rsidP="00632958">
            <w:pPr>
              <w:pStyle w:val="TableText"/>
              <w:keepNext/>
              <w:spacing w:before="0" w:after="0"/>
              <w:jc w:val="right"/>
            </w:pPr>
          </w:p>
        </w:tc>
        <w:tc>
          <w:tcPr>
            <w:tcW w:w="277" w:type="dxa"/>
            <w:tcBorders>
              <w:top w:val="nil"/>
              <w:left w:val="nil"/>
              <w:bottom w:val="single" w:sz="8" w:space="0" w:color="auto"/>
            </w:tcBorders>
            <w:tcMar>
              <w:top w:w="0" w:type="dxa"/>
              <w:left w:w="85" w:type="dxa"/>
              <w:bottom w:w="0" w:type="dxa"/>
              <w:right w:w="85" w:type="dxa"/>
            </w:tcMar>
          </w:tcPr>
          <w:p w14:paraId="18D9D46D" w14:textId="77777777" w:rsidR="003E24A4" w:rsidRPr="00CE28E3" w:rsidRDefault="003E24A4" w:rsidP="00632958">
            <w:pPr>
              <w:pStyle w:val="TableText"/>
              <w:keepNext/>
              <w:spacing w:before="0" w:after="0"/>
              <w:jc w:val="right"/>
            </w:pPr>
          </w:p>
        </w:tc>
        <w:tc>
          <w:tcPr>
            <w:tcW w:w="346" w:type="dxa"/>
            <w:tcBorders>
              <w:top w:val="nil"/>
              <w:left w:val="nil"/>
              <w:bottom w:val="single" w:sz="8" w:space="0" w:color="auto"/>
              <w:right w:val="single" w:sz="8" w:space="0" w:color="auto"/>
            </w:tcBorders>
            <w:tcMar>
              <w:top w:w="0" w:type="dxa"/>
              <w:left w:w="85" w:type="dxa"/>
              <w:bottom w:w="0" w:type="dxa"/>
              <w:right w:w="85" w:type="dxa"/>
            </w:tcMar>
          </w:tcPr>
          <w:p w14:paraId="77B724D3" w14:textId="77777777" w:rsidR="003E24A4" w:rsidRPr="00CE28E3" w:rsidRDefault="003E24A4" w:rsidP="00632958">
            <w:pPr>
              <w:pStyle w:val="TableText"/>
              <w:keepNext/>
              <w:spacing w:before="0" w:after="0"/>
              <w:jc w:val="right"/>
            </w:pPr>
          </w:p>
        </w:tc>
      </w:tr>
      <w:tr w:rsidR="008253D2" w:rsidRPr="00CE28E3" w14:paraId="243395D3"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2692F735" w14:textId="71710570" w:rsidR="008253D2" w:rsidRPr="00CE28E3" w:rsidRDefault="008253D2" w:rsidP="00632958">
            <w:pPr>
              <w:pStyle w:val="TableText"/>
              <w:keepNext/>
              <w:spacing w:before="0" w:after="0"/>
            </w:pPr>
            <w:r w:rsidRPr="2F1EB167">
              <w:t>Net financial impact to MBS</w:t>
            </w:r>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6F22851E" w14:textId="11D144F6" w:rsidR="008253D2" w:rsidRPr="00CE28E3" w:rsidRDefault="008253D2" w:rsidP="00632958">
            <w:pPr>
              <w:pStyle w:val="TableText"/>
              <w:keepNext/>
              <w:spacing w:before="0" w:after="0"/>
              <w:jc w:val="right"/>
            </w:pPr>
            <w:r w:rsidRPr="007A23B4">
              <w:t>-$57,439</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1A59BA13" w14:textId="244F5840" w:rsidR="008253D2" w:rsidRPr="00CE28E3" w:rsidRDefault="008253D2" w:rsidP="00632958">
            <w:pPr>
              <w:pStyle w:val="TableText"/>
              <w:keepNext/>
              <w:spacing w:before="0" w:after="0"/>
              <w:jc w:val="right"/>
            </w:pPr>
            <w:r w:rsidRPr="007A23B4">
              <w:t>-$118,850</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7F442D36" w14:textId="12F962A6" w:rsidR="008253D2" w:rsidRPr="00CE28E3" w:rsidRDefault="008253D2" w:rsidP="00632958">
            <w:pPr>
              <w:pStyle w:val="TableText"/>
              <w:keepNext/>
              <w:spacing w:before="0" w:after="0"/>
              <w:jc w:val="right"/>
            </w:pPr>
            <w:r w:rsidRPr="007A23B4">
              <w:t>-$163,946</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7587674D" w14:textId="044A3427" w:rsidR="008253D2" w:rsidRPr="00CE28E3" w:rsidRDefault="008253D2" w:rsidP="00632958">
            <w:pPr>
              <w:pStyle w:val="TableText"/>
              <w:keepNext/>
              <w:spacing w:before="0" w:after="0"/>
              <w:jc w:val="right"/>
            </w:pPr>
            <w:r w:rsidRPr="007A23B4">
              <w:t>-$190,817</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6692EA62" w14:textId="2DBF7856" w:rsidR="008253D2" w:rsidRPr="00CE28E3" w:rsidRDefault="008253D2" w:rsidP="00632958">
            <w:pPr>
              <w:pStyle w:val="TableText"/>
              <w:keepNext/>
              <w:spacing w:before="0" w:after="0"/>
              <w:jc w:val="right"/>
            </w:pPr>
            <w:r w:rsidRPr="007A23B4">
              <w:t>-$219,350</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2D36A3B8" w14:textId="25784F9D" w:rsidR="008253D2" w:rsidRPr="00CE28E3" w:rsidRDefault="008253D2" w:rsidP="00632958">
            <w:pPr>
              <w:pStyle w:val="TableText"/>
              <w:keepNext/>
              <w:spacing w:before="0" w:after="0"/>
              <w:jc w:val="right"/>
            </w:pPr>
            <w:r w:rsidRPr="007A23B4">
              <w:t>-$226,934</w:t>
            </w:r>
          </w:p>
        </w:tc>
      </w:tr>
      <w:tr w:rsidR="008253D2" w:rsidRPr="00CE28E3" w14:paraId="42554CE2"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6A077A2B" w14:textId="2FD5F09E" w:rsidR="008253D2" w:rsidRPr="00CE28E3" w:rsidRDefault="008253D2" w:rsidP="00632958">
            <w:pPr>
              <w:pStyle w:val="TableText"/>
              <w:spacing w:before="0" w:after="0"/>
              <w:rPr>
                <w:vertAlign w:val="superscript"/>
              </w:rPr>
            </w:pPr>
            <w:r w:rsidRPr="2F1EB167">
              <w:t xml:space="preserve">Net financial impact to other health </w:t>
            </w:r>
            <w:proofErr w:type="spellStart"/>
            <w:r w:rsidRPr="2F1EB167">
              <w:t>budgets</w:t>
            </w:r>
            <w:r w:rsidR="002F01E1" w:rsidRPr="2F1EB167">
              <w:rPr>
                <w:vertAlign w:val="superscript"/>
              </w:rPr>
              <w:t>a</w:t>
            </w:r>
            <w:proofErr w:type="spellEnd"/>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3BE6BE81" w14:textId="791AF862" w:rsidR="008253D2" w:rsidRPr="00CE28E3" w:rsidRDefault="00400023" w:rsidP="00632958">
            <w:pPr>
              <w:pStyle w:val="TableText"/>
              <w:spacing w:before="0" w:after="0"/>
              <w:jc w:val="right"/>
            </w:pPr>
            <w:r w:rsidRPr="00A06DE0">
              <w:t>$2,170,857</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1E273082" w14:textId="1AB7BAEB" w:rsidR="008253D2" w:rsidRPr="00CE28E3" w:rsidRDefault="00400023" w:rsidP="00632958">
            <w:pPr>
              <w:pStyle w:val="TableText"/>
              <w:spacing w:before="0" w:after="0"/>
              <w:jc w:val="right"/>
            </w:pPr>
            <w:r w:rsidRPr="00A06DE0">
              <w:t>$4,491,837</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607CB64E" w14:textId="158A91D4" w:rsidR="008253D2" w:rsidRPr="00CE28E3" w:rsidRDefault="00400023" w:rsidP="00632958">
            <w:pPr>
              <w:pStyle w:val="TableText"/>
              <w:spacing w:before="0" w:after="0"/>
              <w:jc w:val="right"/>
            </w:pPr>
            <w:r w:rsidRPr="00A06DE0">
              <w:t>$6,196,200</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2B6AA854" w14:textId="00093E4C" w:rsidR="008253D2" w:rsidRPr="00CE28E3" w:rsidRDefault="00400023" w:rsidP="00632958">
            <w:pPr>
              <w:pStyle w:val="TableText"/>
              <w:spacing w:before="0" w:after="0"/>
              <w:jc w:val="right"/>
            </w:pPr>
            <w:r w:rsidRPr="00A06DE0">
              <w:t>$7,211,751</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35C857C3" w14:textId="7DA799A3" w:rsidR="008253D2" w:rsidRPr="00CE28E3" w:rsidRDefault="00400023" w:rsidP="00632958">
            <w:pPr>
              <w:pStyle w:val="TableText"/>
              <w:spacing w:before="0" w:after="0"/>
              <w:jc w:val="right"/>
            </w:pPr>
            <w:r w:rsidRPr="00A06DE0">
              <w:t>$8,290,123</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61DBA4FC" w14:textId="21BDEC9E" w:rsidR="008253D2" w:rsidRPr="00CE28E3" w:rsidRDefault="00400023" w:rsidP="00632958">
            <w:pPr>
              <w:pStyle w:val="TableText"/>
              <w:spacing w:before="0" w:after="0"/>
              <w:jc w:val="right"/>
            </w:pPr>
            <w:r w:rsidRPr="00A06DE0">
              <w:t>$8,576,769</w:t>
            </w:r>
          </w:p>
        </w:tc>
      </w:tr>
      <w:tr w:rsidR="008253D2" w:rsidRPr="00CE28E3" w14:paraId="12D4C49B"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43A55C7E" w14:textId="1F857B18" w:rsidR="008253D2" w:rsidRPr="00CE28E3" w:rsidRDefault="008253D2" w:rsidP="00632958">
            <w:pPr>
              <w:pStyle w:val="TableText"/>
              <w:spacing w:before="0" w:after="0"/>
              <w:rPr>
                <w:vertAlign w:val="superscript"/>
              </w:rPr>
            </w:pPr>
            <w:r w:rsidRPr="2F1EB167">
              <w:t xml:space="preserve">Total budget </w:t>
            </w:r>
            <w:proofErr w:type="spellStart"/>
            <w:r w:rsidRPr="2F1EB167">
              <w:t>impact</w:t>
            </w:r>
            <w:r w:rsidR="002F01E1" w:rsidRPr="2F1EB167">
              <w:rPr>
                <w:vertAlign w:val="superscript"/>
              </w:rPr>
              <w:t>a</w:t>
            </w:r>
            <w:proofErr w:type="spellEnd"/>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39DA1EB2" w14:textId="0E2B27F8" w:rsidR="008253D2" w:rsidRPr="00CE28E3" w:rsidRDefault="00D835AB" w:rsidP="00632958">
            <w:pPr>
              <w:pStyle w:val="TableText"/>
              <w:spacing w:before="0" w:after="0"/>
              <w:jc w:val="right"/>
            </w:pPr>
            <w:r w:rsidRPr="00516515">
              <w:t>$2,113,418</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7FD87318" w14:textId="28A8FBE9" w:rsidR="008253D2" w:rsidRPr="00CE28E3" w:rsidRDefault="00D835AB" w:rsidP="00632958">
            <w:pPr>
              <w:pStyle w:val="TableText"/>
              <w:spacing w:before="0" w:after="0"/>
              <w:jc w:val="right"/>
            </w:pPr>
            <w:r w:rsidRPr="00516515">
              <w:t>$4,372,986</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2DC45728" w14:textId="75D4D090" w:rsidR="008253D2" w:rsidRPr="00CE28E3" w:rsidRDefault="00D835AB" w:rsidP="00632958">
            <w:pPr>
              <w:pStyle w:val="TableText"/>
              <w:spacing w:before="0" w:after="0"/>
              <w:jc w:val="right"/>
            </w:pPr>
            <w:r w:rsidRPr="00516515">
              <w:t>$6,032,254</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605061B0" w14:textId="005229FD" w:rsidR="008253D2" w:rsidRPr="00CE28E3" w:rsidRDefault="00D835AB" w:rsidP="00632958">
            <w:pPr>
              <w:pStyle w:val="TableText"/>
              <w:spacing w:before="0" w:after="0"/>
              <w:jc w:val="right"/>
            </w:pPr>
            <w:r w:rsidRPr="00516515">
              <w:t>$7,020,934</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06C073B5" w14:textId="6B21842F" w:rsidR="008253D2" w:rsidRPr="00CE28E3" w:rsidRDefault="00D835AB" w:rsidP="00632958">
            <w:pPr>
              <w:pStyle w:val="TableText"/>
              <w:spacing w:before="0" w:after="0"/>
              <w:jc w:val="right"/>
            </w:pPr>
            <w:r w:rsidRPr="00516515">
              <w:t>$8,070,773</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2023A745" w14:textId="7FD8DE88" w:rsidR="008253D2" w:rsidRPr="00CE28E3" w:rsidRDefault="00D835AB" w:rsidP="00632958">
            <w:pPr>
              <w:pStyle w:val="TableText"/>
              <w:spacing w:before="0" w:after="0"/>
              <w:jc w:val="right"/>
            </w:pPr>
            <w:r w:rsidRPr="00516515">
              <w:t>$8,349,835</w:t>
            </w:r>
          </w:p>
        </w:tc>
      </w:tr>
      <w:tr w:rsidR="003E24A4" w:rsidRPr="00CE28E3" w14:paraId="5241A634" w14:textId="77777777" w:rsidTr="2F1EB167">
        <w:tc>
          <w:tcPr>
            <w:tcW w:w="6742" w:type="dxa"/>
            <w:gridSpan w:val="5"/>
            <w:tcBorders>
              <w:top w:val="nil"/>
              <w:left w:val="single" w:sz="8" w:space="0" w:color="auto"/>
              <w:bottom w:val="single" w:sz="8" w:space="0" w:color="auto"/>
            </w:tcBorders>
            <w:tcMar>
              <w:top w:w="0" w:type="dxa"/>
              <w:left w:w="85" w:type="dxa"/>
              <w:bottom w:w="0" w:type="dxa"/>
              <w:right w:w="85" w:type="dxa"/>
            </w:tcMar>
          </w:tcPr>
          <w:p w14:paraId="07872D2D" w14:textId="3C0744DB" w:rsidR="003E24A4" w:rsidRDefault="00394075" w:rsidP="00632958">
            <w:pPr>
              <w:pStyle w:val="TableText"/>
              <w:keepNext/>
              <w:spacing w:before="0" w:after="0"/>
              <w:rPr>
                <w:b/>
                <w:bCs/>
              </w:rPr>
            </w:pPr>
            <w:r>
              <w:rPr>
                <w:b/>
                <w:bCs/>
              </w:rPr>
              <w:t>Annual growth rate from 3.5% to 2.7% (</w:t>
            </w:r>
            <w:r w:rsidR="00A444C4">
              <w:rPr>
                <w:b/>
                <w:bCs/>
              </w:rPr>
              <w:t>consistent with</w:t>
            </w:r>
            <w:r>
              <w:rPr>
                <w:b/>
                <w:bCs/>
              </w:rPr>
              <w:t xml:space="preserve"> ADAR)</w:t>
            </w:r>
          </w:p>
        </w:tc>
        <w:tc>
          <w:tcPr>
            <w:tcW w:w="421" w:type="dxa"/>
            <w:tcBorders>
              <w:top w:val="nil"/>
              <w:left w:val="nil"/>
              <w:bottom w:val="single" w:sz="8" w:space="0" w:color="auto"/>
            </w:tcBorders>
            <w:tcMar>
              <w:top w:w="0" w:type="dxa"/>
              <w:left w:w="85" w:type="dxa"/>
              <w:bottom w:w="0" w:type="dxa"/>
              <w:right w:w="85" w:type="dxa"/>
            </w:tcMar>
          </w:tcPr>
          <w:p w14:paraId="67DCDA08" w14:textId="77777777" w:rsidR="003E24A4" w:rsidRPr="00CE28E3" w:rsidRDefault="003E24A4" w:rsidP="00632958">
            <w:pPr>
              <w:pStyle w:val="TableText"/>
              <w:keepNext/>
              <w:spacing w:before="0" w:after="0"/>
              <w:jc w:val="right"/>
            </w:pPr>
          </w:p>
        </w:tc>
        <w:tc>
          <w:tcPr>
            <w:tcW w:w="420" w:type="dxa"/>
            <w:tcBorders>
              <w:top w:val="nil"/>
              <w:left w:val="nil"/>
              <w:bottom w:val="single" w:sz="8" w:space="0" w:color="auto"/>
            </w:tcBorders>
            <w:tcMar>
              <w:top w:w="0" w:type="dxa"/>
              <w:left w:w="85" w:type="dxa"/>
              <w:bottom w:w="0" w:type="dxa"/>
              <w:right w:w="85" w:type="dxa"/>
            </w:tcMar>
          </w:tcPr>
          <w:p w14:paraId="1EA55813" w14:textId="77777777" w:rsidR="003E24A4" w:rsidRPr="00CE28E3" w:rsidRDefault="003E24A4" w:rsidP="00632958">
            <w:pPr>
              <w:pStyle w:val="TableText"/>
              <w:keepNext/>
              <w:spacing w:before="0" w:after="0"/>
              <w:jc w:val="right"/>
            </w:pPr>
          </w:p>
        </w:tc>
        <w:tc>
          <w:tcPr>
            <w:tcW w:w="527" w:type="dxa"/>
            <w:gridSpan w:val="2"/>
            <w:tcBorders>
              <w:top w:val="nil"/>
              <w:left w:val="nil"/>
              <w:bottom w:val="single" w:sz="8" w:space="0" w:color="auto"/>
            </w:tcBorders>
            <w:tcMar>
              <w:top w:w="0" w:type="dxa"/>
              <w:left w:w="85" w:type="dxa"/>
              <w:bottom w:w="0" w:type="dxa"/>
              <w:right w:w="85" w:type="dxa"/>
            </w:tcMar>
          </w:tcPr>
          <w:p w14:paraId="48308B59" w14:textId="77777777" w:rsidR="003E24A4" w:rsidRPr="00CE28E3" w:rsidRDefault="003E24A4" w:rsidP="00632958">
            <w:pPr>
              <w:pStyle w:val="TableText"/>
              <w:keepNext/>
              <w:spacing w:before="0" w:after="0"/>
              <w:jc w:val="right"/>
            </w:pPr>
          </w:p>
        </w:tc>
        <w:tc>
          <w:tcPr>
            <w:tcW w:w="277" w:type="dxa"/>
            <w:tcBorders>
              <w:top w:val="nil"/>
              <w:left w:val="nil"/>
              <w:bottom w:val="single" w:sz="8" w:space="0" w:color="auto"/>
            </w:tcBorders>
            <w:tcMar>
              <w:top w:w="0" w:type="dxa"/>
              <w:left w:w="85" w:type="dxa"/>
              <w:bottom w:w="0" w:type="dxa"/>
              <w:right w:w="85" w:type="dxa"/>
            </w:tcMar>
          </w:tcPr>
          <w:p w14:paraId="095EA2E3" w14:textId="77777777" w:rsidR="003E24A4" w:rsidRPr="00CE28E3" w:rsidRDefault="003E24A4" w:rsidP="00632958">
            <w:pPr>
              <w:pStyle w:val="TableText"/>
              <w:keepNext/>
              <w:spacing w:before="0" w:after="0"/>
              <w:jc w:val="right"/>
            </w:pPr>
          </w:p>
        </w:tc>
        <w:tc>
          <w:tcPr>
            <w:tcW w:w="277" w:type="dxa"/>
            <w:tcBorders>
              <w:top w:val="nil"/>
              <w:left w:val="nil"/>
              <w:bottom w:val="single" w:sz="8" w:space="0" w:color="auto"/>
            </w:tcBorders>
            <w:tcMar>
              <w:top w:w="0" w:type="dxa"/>
              <w:left w:w="85" w:type="dxa"/>
              <w:bottom w:w="0" w:type="dxa"/>
              <w:right w:w="85" w:type="dxa"/>
            </w:tcMar>
          </w:tcPr>
          <w:p w14:paraId="0E9B91DE" w14:textId="77777777" w:rsidR="003E24A4" w:rsidRPr="00CE28E3" w:rsidRDefault="003E24A4" w:rsidP="00632958">
            <w:pPr>
              <w:pStyle w:val="TableText"/>
              <w:keepNext/>
              <w:spacing w:before="0" w:after="0"/>
              <w:jc w:val="right"/>
            </w:pPr>
          </w:p>
        </w:tc>
        <w:tc>
          <w:tcPr>
            <w:tcW w:w="346" w:type="dxa"/>
            <w:tcBorders>
              <w:top w:val="nil"/>
              <w:left w:val="nil"/>
              <w:bottom w:val="single" w:sz="8" w:space="0" w:color="auto"/>
              <w:right w:val="single" w:sz="8" w:space="0" w:color="auto"/>
            </w:tcBorders>
            <w:tcMar>
              <w:top w:w="0" w:type="dxa"/>
              <w:left w:w="85" w:type="dxa"/>
              <w:bottom w:w="0" w:type="dxa"/>
              <w:right w:w="85" w:type="dxa"/>
            </w:tcMar>
          </w:tcPr>
          <w:p w14:paraId="0137BC5B" w14:textId="77777777" w:rsidR="003E24A4" w:rsidRPr="00CE28E3" w:rsidRDefault="003E24A4" w:rsidP="00632958">
            <w:pPr>
              <w:pStyle w:val="TableText"/>
              <w:keepNext/>
              <w:spacing w:before="0" w:after="0"/>
              <w:jc w:val="right"/>
            </w:pPr>
          </w:p>
        </w:tc>
      </w:tr>
      <w:tr w:rsidR="00162E87" w:rsidRPr="00CE28E3" w14:paraId="38E2D25D"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31253BF6" w14:textId="3CD5B53F" w:rsidR="00162E87" w:rsidRPr="00CE28E3" w:rsidRDefault="00162E87" w:rsidP="00632958">
            <w:pPr>
              <w:pStyle w:val="TableText"/>
              <w:keepNext/>
              <w:spacing w:before="0" w:after="0"/>
            </w:pPr>
            <w:r w:rsidRPr="2F1EB167">
              <w:t>Net financial impact to MBS</w:t>
            </w:r>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7C7A2634" w14:textId="77777777" w:rsidR="00162E87" w:rsidRPr="00334A2C" w:rsidRDefault="00162E87" w:rsidP="00632958">
            <w:pPr>
              <w:pStyle w:val="TableText"/>
              <w:keepNext/>
              <w:spacing w:before="0" w:after="0"/>
              <w:jc w:val="right"/>
            </w:pPr>
            <w:r w:rsidRPr="00F57371">
              <w:t>-$56,601</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751890EC" w14:textId="77777777" w:rsidR="00162E87" w:rsidRPr="00334A2C" w:rsidRDefault="00162E87" w:rsidP="00632958">
            <w:pPr>
              <w:pStyle w:val="TableText"/>
              <w:keepNext/>
              <w:spacing w:before="0" w:after="0"/>
              <w:jc w:val="right"/>
            </w:pPr>
            <w:r w:rsidRPr="00F57371">
              <w:t>-$116,258</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4A7CADA3" w14:textId="77777777" w:rsidR="00162E87" w:rsidRPr="00334A2C" w:rsidRDefault="00162E87" w:rsidP="00632958">
            <w:pPr>
              <w:pStyle w:val="TableText"/>
              <w:keepNext/>
              <w:spacing w:before="0" w:after="0"/>
              <w:jc w:val="right"/>
            </w:pPr>
            <w:r w:rsidRPr="00F57371">
              <w:t>-$159,196</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2C1E2274" w14:textId="77777777" w:rsidR="00162E87" w:rsidRPr="00334A2C" w:rsidRDefault="00162E87" w:rsidP="00632958">
            <w:pPr>
              <w:pStyle w:val="TableText"/>
              <w:keepNext/>
              <w:spacing w:before="0" w:after="0"/>
              <w:jc w:val="right"/>
            </w:pPr>
            <w:r w:rsidRPr="00F57371">
              <w:t>-$183,931</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1B1C869F" w14:textId="77777777" w:rsidR="00162E87" w:rsidRPr="00334A2C" w:rsidRDefault="00162E87" w:rsidP="00632958">
            <w:pPr>
              <w:pStyle w:val="TableText"/>
              <w:keepNext/>
              <w:spacing w:before="0" w:after="0"/>
              <w:jc w:val="right"/>
            </w:pPr>
            <w:r w:rsidRPr="00F57371">
              <w:t>-$209,886</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30654A5E" w14:textId="77777777" w:rsidR="00162E87" w:rsidRPr="00334A2C" w:rsidRDefault="00162E87" w:rsidP="00632958">
            <w:pPr>
              <w:pStyle w:val="TableText"/>
              <w:keepNext/>
              <w:spacing w:before="0" w:after="0"/>
              <w:jc w:val="right"/>
            </w:pPr>
            <w:r w:rsidRPr="00F57371">
              <w:t>-$215,553</w:t>
            </w:r>
          </w:p>
        </w:tc>
      </w:tr>
      <w:tr w:rsidR="00162E87" w:rsidRPr="00CE28E3" w14:paraId="32B6B93B"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70AD07EF" w14:textId="2544A02E" w:rsidR="00162E87" w:rsidRDefault="00162E87" w:rsidP="00632958">
            <w:pPr>
              <w:pStyle w:val="TableText"/>
              <w:spacing w:before="0" w:after="0"/>
              <w:rPr>
                <w:vertAlign w:val="superscript"/>
              </w:rPr>
            </w:pPr>
            <w:r w:rsidRPr="2F1EB167">
              <w:t xml:space="preserve">Net financial impact to other health </w:t>
            </w:r>
            <w:proofErr w:type="spellStart"/>
            <w:r w:rsidRPr="2F1EB167">
              <w:t>budgets</w:t>
            </w:r>
            <w:r w:rsidR="002F01E1" w:rsidRPr="2F1EB167">
              <w:rPr>
                <w:vertAlign w:val="superscript"/>
              </w:rPr>
              <w:t>a</w:t>
            </w:r>
            <w:proofErr w:type="spellEnd"/>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391646F9" w14:textId="3DDDFF5E" w:rsidR="00162E87" w:rsidRPr="00924967" w:rsidRDefault="00035638" w:rsidP="00632958">
            <w:pPr>
              <w:pStyle w:val="TableText"/>
              <w:spacing w:before="0" w:after="0"/>
              <w:jc w:val="right"/>
            </w:pPr>
            <w:r w:rsidRPr="000A7987">
              <w:t>$2,139,176</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26AD8EB5" w14:textId="089A8BA6" w:rsidR="00162E87" w:rsidRPr="00924967" w:rsidRDefault="00035638" w:rsidP="00632958">
            <w:pPr>
              <w:pStyle w:val="TableText"/>
              <w:spacing w:before="0" w:after="0"/>
              <w:jc w:val="right"/>
            </w:pPr>
            <w:r w:rsidRPr="000A7987">
              <w:t>$4,393,868</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6B487DD5" w14:textId="2BEC1242" w:rsidR="00162E87" w:rsidRPr="00924967" w:rsidRDefault="00035638" w:rsidP="00632958">
            <w:pPr>
              <w:pStyle w:val="TableText"/>
              <w:spacing w:before="0" w:after="0"/>
              <w:jc w:val="right"/>
            </w:pPr>
            <w:r w:rsidRPr="000A7987">
              <w:t>$6,016,670</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57104A8A" w14:textId="1A85353C" w:rsidR="00162E87" w:rsidRPr="00924967" w:rsidRDefault="00035638" w:rsidP="00632958">
            <w:pPr>
              <w:pStyle w:val="TableText"/>
              <w:spacing w:before="0" w:after="0"/>
              <w:jc w:val="right"/>
            </w:pPr>
            <w:r w:rsidRPr="000A7987">
              <w:t>$6,951,510</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27087B35" w14:textId="03580EAD" w:rsidR="00162E87" w:rsidRPr="00924967" w:rsidRDefault="00035638" w:rsidP="00632958">
            <w:pPr>
              <w:pStyle w:val="TableText"/>
              <w:spacing w:before="0" w:after="0"/>
              <w:jc w:val="right"/>
            </w:pPr>
            <w:r w:rsidRPr="000A7987">
              <w:t>$7,932,446</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0B6B6963" w14:textId="6437A816" w:rsidR="00162E87" w:rsidRPr="00924967" w:rsidRDefault="00035638" w:rsidP="00632958">
            <w:pPr>
              <w:pStyle w:val="TableText"/>
              <w:spacing w:before="0" w:after="0"/>
              <w:jc w:val="right"/>
            </w:pPr>
            <w:r w:rsidRPr="000A7987">
              <w:t>$8,146,622</w:t>
            </w:r>
          </w:p>
        </w:tc>
      </w:tr>
      <w:tr w:rsidR="00162E87" w:rsidRPr="00CE28E3" w14:paraId="01FA2467"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26ECE41A" w14:textId="04FB1EBC" w:rsidR="00162E87" w:rsidRPr="00CE28E3" w:rsidRDefault="00162E87" w:rsidP="00632958">
            <w:pPr>
              <w:pStyle w:val="TableText"/>
              <w:spacing w:before="0" w:after="0"/>
              <w:rPr>
                <w:vertAlign w:val="superscript"/>
              </w:rPr>
            </w:pPr>
            <w:r w:rsidRPr="2F1EB167">
              <w:t xml:space="preserve">Total budget </w:t>
            </w:r>
            <w:proofErr w:type="spellStart"/>
            <w:r w:rsidRPr="2F1EB167">
              <w:t>impact</w:t>
            </w:r>
            <w:r w:rsidR="002F01E1" w:rsidRPr="2F1EB167">
              <w:rPr>
                <w:vertAlign w:val="superscript"/>
              </w:rPr>
              <w:t>a</w:t>
            </w:r>
            <w:proofErr w:type="spellEnd"/>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68F780DA" w14:textId="46383865" w:rsidR="00162E87" w:rsidRPr="00334A2C" w:rsidRDefault="00EA1177" w:rsidP="00632958">
            <w:pPr>
              <w:pStyle w:val="TableText"/>
              <w:spacing w:before="0" w:after="0"/>
              <w:jc w:val="right"/>
            </w:pPr>
            <w:r w:rsidRPr="00976082">
              <w:t>$2,082,576</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7A170901" w14:textId="75D863D0" w:rsidR="00162E87" w:rsidRPr="00334A2C" w:rsidRDefault="00EA1177" w:rsidP="00632958">
            <w:pPr>
              <w:pStyle w:val="TableText"/>
              <w:spacing w:before="0" w:after="0"/>
              <w:jc w:val="right"/>
            </w:pPr>
            <w:r w:rsidRPr="00976082">
              <w:t>$4,277,610</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60C15516" w14:textId="097A1CB3" w:rsidR="00162E87" w:rsidRPr="00334A2C" w:rsidRDefault="00EA1177" w:rsidP="00632958">
            <w:pPr>
              <w:pStyle w:val="TableText"/>
              <w:spacing w:before="0" w:after="0"/>
              <w:jc w:val="right"/>
            </w:pPr>
            <w:r w:rsidRPr="00976082">
              <w:t>$5,857,474</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73EA1238" w14:textId="2CABB580" w:rsidR="00162E87" w:rsidRPr="00334A2C" w:rsidRDefault="00EA1177" w:rsidP="00632958">
            <w:pPr>
              <w:pStyle w:val="TableText"/>
              <w:spacing w:before="0" w:after="0"/>
              <w:jc w:val="right"/>
            </w:pPr>
            <w:r w:rsidRPr="00976082">
              <w:t>$6,767,579</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75C9D764" w14:textId="525ECB5C" w:rsidR="00162E87" w:rsidRPr="00334A2C" w:rsidRDefault="00EA1177" w:rsidP="00632958">
            <w:pPr>
              <w:pStyle w:val="TableText"/>
              <w:spacing w:before="0" w:after="0"/>
              <w:jc w:val="right"/>
            </w:pPr>
            <w:r w:rsidRPr="00976082">
              <w:t>$7,722,560</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5B590AA4" w14:textId="19AC7CCA" w:rsidR="00162E87" w:rsidRPr="00334A2C" w:rsidRDefault="00EA1177" w:rsidP="00632958">
            <w:pPr>
              <w:pStyle w:val="TableText"/>
              <w:spacing w:before="0" w:after="0"/>
              <w:jc w:val="right"/>
            </w:pPr>
            <w:r w:rsidRPr="00976082">
              <w:t>$7,931,069</w:t>
            </w:r>
          </w:p>
        </w:tc>
      </w:tr>
      <w:tr w:rsidR="00162E87" w:rsidRPr="00CE28E3" w14:paraId="35454DC7" w14:textId="77777777" w:rsidTr="2F1EB167">
        <w:tc>
          <w:tcPr>
            <w:tcW w:w="6742" w:type="dxa"/>
            <w:gridSpan w:val="5"/>
            <w:tcBorders>
              <w:top w:val="nil"/>
              <w:left w:val="single" w:sz="8" w:space="0" w:color="auto"/>
              <w:bottom w:val="single" w:sz="8" w:space="0" w:color="auto"/>
            </w:tcBorders>
            <w:tcMar>
              <w:top w:w="0" w:type="dxa"/>
              <w:left w:w="85" w:type="dxa"/>
              <w:bottom w:w="0" w:type="dxa"/>
              <w:right w:w="85" w:type="dxa"/>
            </w:tcMar>
          </w:tcPr>
          <w:p w14:paraId="318979A0" w14:textId="34E8E206" w:rsidR="00162E87" w:rsidRDefault="00AA2FA2" w:rsidP="00632958">
            <w:pPr>
              <w:pStyle w:val="TableText"/>
              <w:keepNext/>
              <w:spacing w:before="0" w:after="0"/>
              <w:rPr>
                <w:b/>
                <w:bCs/>
              </w:rPr>
            </w:pPr>
            <w:r w:rsidRPr="00AA2FA2">
              <w:rPr>
                <w:b/>
                <w:bCs/>
              </w:rPr>
              <w:t>Uptake rate of IVL increased by absolute 10%</w:t>
            </w:r>
          </w:p>
        </w:tc>
        <w:tc>
          <w:tcPr>
            <w:tcW w:w="421" w:type="dxa"/>
            <w:tcBorders>
              <w:top w:val="nil"/>
              <w:left w:val="nil"/>
              <w:bottom w:val="single" w:sz="8" w:space="0" w:color="auto"/>
            </w:tcBorders>
            <w:tcMar>
              <w:top w:w="0" w:type="dxa"/>
              <w:left w:w="85" w:type="dxa"/>
              <w:bottom w:w="0" w:type="dxa"/>
              <w:right w:w="85" w:type="dxa"/>
            </w:tcMar>
          </w:tcPr>
          <w:p w14:paraId="020BAD65" w14:textId="77777777" w:rsidR="00162E87" w:rsidRPr="00CE28E3" w:rsidRDefault="00162E87" w:rsidP="00632958">
            <w:pPr>
              <w:pStyle w:val="TableText"/>
              <w:keepNext/>
              <w:spacing w:before="0" w:after="0"/>
              <w:jc w:val="right"/>
            </w:pPr>
          </w:p>
        </w:tc>
        <w:tc>
          <w:tcPr>
            <w:tcW w:w="420" w:type="dxa"/>
            <w:tcBorders>
              <w:top w:val="nil"/>
              <w:left w:val="nil"/>
              <w:bottom w:val="single" w:sz="8" w:space="0" w:color="auto"/>
            </w:tcBorders>
            <w:tcMar>
              <w:top w:w="0" w:type="dxa"/>
              <w:left w:w="85" w:type="dxa"/>
              <w:bottom w:w="0" w:type="dxa"/>
              <w:right w:w="85" w:type="dxa"/>
            </w:tcMar>
          </w:tcPr>
          <w:p w14:paraId="1507ACFF" w14:textId="77777777" w:rsidR="00162E87" w:rsidRPr="00CE28E3" w:rsidRDefault="00162E87" w:rsidP="00632958">
            <w:pPr>
              <w:pStyle w:val="TableText"/>
              <w:keepNext/>
              <w:spacing w:before="0" w:after="0"/>
              <w:jc w:val="right"/>
            </w:pPr>
          </w:p>
        </w:tc>
        <w:tc>
          <w:tcPr>
            <w:tcW w:w="527" w:type="dxa"/>
            <w:gridSpan w:val="2"/>
            <w:tcBorders>
              <w:top w:val="nil"/>
              <w:left w:val="nil"/>
              <w:bottom w:val="single" w:sz="8" w:space="0" w:color="auto"/>
            </w:tcBorders>
            <w:tcMar>
              <w:top w:w="0" w:type="dxa"/>
              <w:left w:w="85" w:type="dxa"/>
              <w:bottom w:w="0" w:type="dxa"/>
              <w:right w:w="85" w:type="dxa"/>
            </w:tcMar>
          </w:tcPr>
          <w:p w14:paraId="62847A0B" w14:textId="77777777" w:rsidR="00162E87" w:rsidRPr="00CE28E3" w:rsidRDefault="00162E87" w:rsidP="00632958">
            <w:pPr>
              <w:pStyle w:val="TableText"/>
              <w:keepNext/>
              <w:spacing w:before="0" w:after="0"/>
              <w:jc w:val="right"/>
            </w:pPr>
          </w:p>
        </w:tc>
        <w:tc>
          <w:tcPr>
            <w:tcW w:w="277" w:type="dxa"/>
            <w:tcBorders>
              <w:top w:val="nil"/>
              <w:left w:val="nil"/>
              <w:bottom w:val="single" w:sz="8" w:space="0" w:color="auto"/>
            </w:tcBorders>
            <w:tcMar>
              <w:top w:w="0" w:type="dxa"/>
              <w:left w:w="85" w:type="dxa"/>
              <w:bottom w:w="0" w:type="dxa"/>
              <w:right w:w="85" w:type="dxa"/>
            </w:tcMar>
          </w:tcPr>
          <w:p w14:paraId="0F4AECD0" w14:textId="77777777" w:rsidR="00162E87" w:rsidRPr="00CE28E3" w:rsidRDefault="00162E87" w:rsidP="00632958">
            <w:pPr>
              <w:pStyle w:val="TableText"/>
              <w:keepNext/>
              <w:spacing w:before="0" w:after="0"/>
              <w:jc w:val="right"/>
            </w:pPr>
          </w:p>
        </w:tc>
        <w:tc>
          <w:tcPr>
            <w:tcW w:w="277" w:type="dxa"/>
            <w:tcBorders>
              <w:top w:val="nil"/>
              <w:left w:val="nil"/>
              <w:bottom w:val="single" w:sz="8" w:space="0" w:color="auto"/>
            </w:tcBorders>
            <w:tcMar>
              <w:top w:w="0" w:type="dxa"/>
              <w:left w:w="85" w:type="dxa"/>
              <w:bottom w:w="0" w:type="dxa"/>
              <w:right w:w="85" w:type="dxa"/>
            </w:tcMar>
          </w:tcPr>
          <w:p w14:paraId="486BA1DB" w14:textId="77777777" w:rsidR="00162E87" w:rsidRPr="00CE28E3" w:rsidRDefault="00162E87" w:rsidP="00632958">
            <w:pPr>
              <w:pStyle w:val="TableText"/>
              <w:keepNext/>
              <w:spacing w:before="0" w:after="0"/>
              <w:jc w:val="right"/>
            </w:pPr>
          </w:p>
        </w:tc>
        <w:tc>
          <w:tcPr>
            <w:tcW w:w="346" w:type="dxa"/>
            <w:tcBorders>
              <w:top w:val="nil"/>
              <w:left w:val="nil"/>
              <w:bottom w:val="single" w:sz="8" w:space="0" w:color="auto"/>
              <w:right w:val="single" w:sz="8" w:space="0" w:color="auto"/>
            </w:tcBorders>
            <w:tcMar>
              <w:top w:w="0" w:type="dxa"/>
              <w:left w:w="85" w:type="dxa"/>
              <w:bottom w:w="0" w:type="dxa"/>
              <w:right w:w="85" w:type="dxa"/>
            </w:tcMar>
          </w:tcPr>
          <w:p w14:paraId="642D3489" w14:textId="77777777" w:rsidR="00162E87" w:rsidRPr="00CE28E3" w:rsidRDefault="00162E87" w:rsidP="00632958">
            <w:pPr>
              <w:pStyle w:val="TableText"/>
              <w:keepNext/>
              <w:spacing w:before="0" w:after="0"/>
              <w:jc w:val="right"/>
            </w:pPr>
          </w:p>
        </w:tc>
      </w:tr>
      <w:tr w:rsidR="00022C6B" w:rsidRPr="00CE28E3" w14:paraId="6987170C"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3B920D1B" w14:textId="20D10EAC" w:rsidR="00022C6B" w:rsidRPr="00CE28E3" w:rsidRDefault="00022C6B" w:rsidP="00632958">
            <w:pPr>
              <w:pStyle w:val="TableText"/>
              <w:spacing w:before="0" w:after="0"/>
            </w:pPr>
            <w:r w:rsidRPr="2F1EB167">
              <w:t>Net financial impact to MBS</w:t>
            </w:r>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6D0D9F8B" w14:textId="36FDF3A8" w:rsidR="00022C6B" w:rsidRPr="00CE28E3" w:rsidRDefault="00022C6B" w:rsidP="00632958">
            <w:pPr>
              <w:pStyle w:val="TableText"/>
              <w:spacing w:before="0" w:after="0"/>
              <w:jc w:val="right"/>
            </w:pPr>
            <w:r w:rsidRPr="00CA7C20">
              <w:t>-$95,732</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3EAE966D" w14:textId="47793FC9" w:rsidR="00022C6B" w:rsidRPr="00CE28E3" w:rsidRDefault="00022C6B" w:rsidP="00632958">
            <w:pPr>
              <w:pStyle w:val="TableText"/>
              <w:spacing w:before="0" w:after="0"/>
              <w:jc w:val="right"/>
            </w:pPr>
            <w:r w:rsidRPr="00CA7C20">
              <w:t>-$158,467</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4ACDA20C" w14:textId="1190CE00" w:rsidR="00022C6B" w:rsidRPr="00CE28E3" w:rsidRDefault="00022C6B" w:rsidP="00632958">
            <w:pPr>
              <w:pStyle w:val="TableText"/>
              <w:spacing w:before="0" w:after="0"/>
              <w:jc w:val="right"/>
            </w:pPr>
            <w:r w:rsidRPr="00CA7C20">
              <w:t>-$204,933</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4DCE8704" w14:textId="7B3B9084" w:rsidR="00022C6B" w:rsidRPr="00CE28E3" w:rsidRDefault="00022C6B" w:rsidP="00632958">
            <w:pPr>
              <w:pStyle w:val="TableText"/>
              <w:spacing w:before="0" w:after="0"/>
              <w:jc w:val="right"/>
            </w:pPr>
            <w:r w:rsidRPr="00CA7C20">
              <w:t>-$233,221</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071E8A6F" w14:textId="372412D6" w:rsidR="00022C6B" w:rsidRPr="00CE28E3" w:rsidRDefault="00022C6B" w:rsidP="00632958">
            <w:pPr>
              <w:pStyle w:val="TableText"/>
              <w:spacing w:before="0" w:after="0"/>
              <w:jc w:val="right"/>
            </w:pPr>
            <w:r w:rsidRPr="00CA7C20">
              <w:t>-$263,220</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39B17FF8" w14:textId="7DF37162" w:rsidR="00022C6B" w:rsidRPr="00CE28E3" w:rsidRDefault="00022C6B" w:rsidP="00632958">
            <w:pPr>
              <w:pStyle w:val="TableText"/>
              <w:spacing w:before="0" w:after="0"/>
              <w:jc w:val="right"/>
            </w:pPr>
            <w:r w:rsidRPr="00CA7C20">
              <w:t>-$272,321</w:t>
            </w:r>
          </w:p>
        </w:tc>
      </w:tr>
      <w:tr w:rsidR="00022C6B" w:rsidRPr="00CE28E3" w14:paraId="6EBDC829"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596420E2" w14:textId="3574745D" w:rsidR="00022C6B" w:rsidRPr="00CE28E3" w:rsidRDefault="00022C6B" w:rsidP="00632958">
            <w:pPr>
              <w:pStyle w:val="TableText"/>
              <w:spacing w:before="0" w:after="0"/>
              <w:rPr>
                <w:vertAlign w:val="superscript"/>
              </w:rPr>
            </w:pPr>
            <w:r w:rsidRPr="2F1EB167">
              <w:t xml:space="preserve">Net financial impact to other health </w:t>
            </w:r>
            <w:proofErr w:type="spellStart"/>
            <w:r w:rsidRPr="2F1EB167">
              <w:t>budgets</w:t>
            </w:r>
            <w:r w:rsidR="002F01E1" w:rsidRPr="2F1EB167">
              <w:rPr>
                <w:vertAlign w:val="superscript"/>
              </w:rPr>
              <w:t>a</w:t>
            </w:r>
            <w:proofErr w:type="spellEnd"/>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714E54CA" w14:textId="093C083C" w:rsidR="00022C6B" w:rsidRPr="00334A2C" w:rsidRDefault="00B20E3E" w:rsidP="00632958">
            <w:pPr>
              <w:pStyle w:val="TableText"/>
              <w:spacing w:before="0" w:after="0"/>
              <w:jc w:val="right"/>
            </w:pPr>
            <w:r w:rsidRPr="001A47C6">
              <w:t>$3,618,095</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6517CFA7" w14:textId="5F1497C6" w:rsidR="00022C6B" w:rsidRPr="00334A2C" w:rsidRDefault="00B20E3E" w:rsidP="00632958">
            <w:pPr>
              <w:pStyle w:val="TableText"/>
              <w:spacing w:before="0" w:after="0"/>
              <w:jc w:val="right"/>
            </w:pPr>
            <w:r w:rsidRPr="001A47C6">
              <w:t>$5,989,116</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5D8626B0" w14:textId="340F66B0" w:rsidR="00022C6B" w:rsidRPr="00334A2C" w:rsidRDefault="00B20E3E" w:rsidP="00632958">
            <w:pPr>
              <w:pStyle w:val="TableText"/>
              <w:spacing w:before="0" w:after="0"/>
              <w:jc w:val="right"/>
            </w:pPr>
            <w:r w:rsidRPr="001A47C6">
              <w:t>$7,745,250</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7E8712CA" w14:textId="4DE34D05" w:rsidR="00022C6B" w:rsidRPr="00334A2C" w:rsidRDefault="00B20E3E" w:rsidP="00632958">
            <w:pPr>
              <w:pStyle w:val="TableText"/>
              <w:spacing w:before="0" w:after="0"/>
              <w:jc w:val="right"/>
            </w:pPr>
            <w:r w:rsidRPr="001A47C6">
              <w:t>$8,814,362</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1EE8BBF5" w14:textId="240EA5EA" w:rsidR="00022C6B" w:rsidRPr="00334A2C" w:rsidRDefault="00B20E3E" w:rsidP="00632958">
            <w:pPr>
              <w:pStyle w:val="TableText"/>
              <w:spacing w:before="0" w:after="0"/>
              <w:jc w:val="right"/>
            </w:pPr>
            <w:r w:rsidRPr="001A47C6">
              <w:t>$9,948,147</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617F611F" w14:textId="60FFC777" w:rsidR="00022C6B" w:rsidRPr="00334A2C" w:rsidRDefault="00B20E3E" w:rsidP="00632958">
            <w:pPr>
              <w:pStyle w:val="TableText"/>
              <w:spacing w:before="0" w:after="0"/>
              <w:jc w:val="right"/>
            </w:pPr>
            <w:r w:rsidRPr="001A47C6">
              <w:t>$10,292,123</w:t>
            </w:r>
          </w:p>
        </w:tc>
      </w:tr>
      <w:tr w:rsidR="00022C6B" w:rsidRPr="00CE28E3" w14:paraId="63C7F68D"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01B4CE4D" w14:textId="41E445C8" w:rsidR="00022C6B" w:rsidRDefault="00022C6B" w:rsidP="00632958">
            <w:pPr>
              <w:pStyle w:val="TableText"/>
              <w:spacing w:before="0" w:after="0"/>
              <w:rPr>
                <w:vertAlign w:val="superscript"/>
              </w:rPr>
            </w:pPr>
            <w:r w:rsidRPr="2F1EB167">
              <w:t xml:space="preserve">Total budget </w:t>
            </w:r>
            <w:proofErr w:type="spellStart"/>
            <w:r w:rsidRPr="2F1EB167">
              <w:t>impact</w:t>
            </w:r>
            <w:r w:rsidR="002F01E1" w:rsidRPr="2F1EB167">
              <w:rPr>
                <w:vertAlign w:val="superscript"/>
              </w:rPr>
              <w:t>a</w:t>
            </w:r>
            <w:proofErr w:type="spellEnd"/>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105B07C3" w14:textId="4F9408AE" w:rsidR="00022C6B" w:rsidRPr="005B57C6" w:rsidRDefault="00D83A40" w:rsidP="00632958">
            <w:pPr>
              <w:pStyle w:val="TableText"/>
              <w:spacing w:before="0" w:after="0"/>
              <w:jc w:val="right"/>
            </w:pPr>
            <w:r w:rsidRPr="00FA5895">
              <w:t>$3,522,363</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0F4588A1" w14:textId="7D1DDCFD" w:rsidR="00022C6B" w:rsidRPr="005B57C6" w:rsidRDefault="00D83A40" w:rsidP="00632958">
            <w:pPr>
              <w:pStyle w:val="TableText"/>
              <w:spacing w:before="0" w:after="0"/>
              <w:jc w:val="right"/>
            </w:pPr>
            <w:r w:rsidRPr="00FA5895">
              <w:t>$5,830,648</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79974939" w14:textId="7DB3D7AF" w:rsidR="00022C6B" w:rsidRPr="005B57C6" w:rsidRDefault="00D83A40" w:rsidP="00632958">
            <w:pPr>
              <w:pStyle w:val="TableText"/>
              <w:spacing w:before="0" w:after="0"/>
              <w:jc w:val="right"/>
            </w:pPr>
            <w:r w:rsidRPr="00FA5895">
              <w:t>$7,540,317</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3BE10D83" w14:textId="7766457D" w:rsidR="00022C6B" w:rsidRPr="005B57C6" w:rsidRDefault="00D83A40" w:rsidP="00632958">
            <w:pPr>
              <w:pStyle w:val="TableText"/>
              <w:spacing w:before="0" w:after="0"/>
              <w:jc w:val="right"/>
            </w:pPr>
            <w:r w:rsidRPr="00FA5895">
              <w:t>$8,581,141</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43D03388" w14:textId="2984C26D" w:rsidR="00022C6B" w:rsidRPr="005B57C6" w:rsidRDefault="00D83A40" w:rsidP="00632958">
            <w:pPr>
              <w:pStyle w:val="TableText"/>
              <w:spacing w:before="0" w:after="0"/>
              <w:jc w:val="right"/>
            </w:pPr>
            <w:r w:rsidRPr="00FA5895">
              <w:t>$9,684,927</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2555B330" w14:textId="6523865E" w:rsidR="00022C6B" w:rsidRPr="005B57C6" w:rsidRDefault="00D83A40" w:rsidP="00632958">
            <w:pPr>
              <w:pStyle w:val="TableText"/>
              <w:spacing w:before="0" w:after="0"/>
              <w:jc w:val="right"/>
            </w:pPr>
            <w:r w:rsidRPr="00FA5895">
              <w:t>$10,019,802</w:t>
            </w:r>
          </w:p>
        </w:tc>
      </w:tr>
      <w:tr w:rsidR="00121657" w:rsidRPr="00CE28E3" w14:paraId="50B30CAE" w14:textId="77777777" w:rsidTr="2F1EB167">
        <w:tc>
          <w:tcPr>
            <w:tcW w:w="6742" w:type="dxa"/>
            <w:gridSpan w:val="5"/>
            <w:tcBorders>
              <w:top w:val="nil"/>
              <w:left w:val="single" w:sz="8" w:space="0" w:color="auto"/>
              <w:bottom w:val="single" w:sz="8" w:space="0" w:color="auto"/>
            </w:tcBorders>
            <w:tcMar>
              <w:top w:w="0" w:type="dxa"/>
              <w:left w:w="85" w:type="dxa"/>
              <w:bottom w:w="0" w:type="dxa"/>
              <w:right w:w="85" w:type="dxa"/>
            </w:tcMar>
          </w:tcPr>
          <w:p w14:paraId="76C0C259" w14:textId="77777777" w:rsidR="00121657" w:rsidRPr="00AA2FA2" w:rsidRDefault="00121657" w:rsidP="00632958">
            <w:pPr>
              <w:pStyle w:val="TableText"/>
              <w:keepNext/>
              <w:spacing w:before="0" w:after="0"/>
              <w:rPr>
                <w:b/>
                <w:bCs/>
              </w:rPr>
            </w:pPr>
            <w:r w:rsidRPr="00AA2FA2">
              <w:rPr>
                <w:b/>
                <w:bCs/>
              </w:rPr>
              <w:t xml:space="preserve">Uptake rate of IVL </w:t>
            </w:r>
            <w:r>
              <w:rPr>
                <w:b/>
                <w:bCs/>
              </w:rPr>
              <w:t>de</w:t>
            </w:r>
            <w:r w:rsidRPr="00AA2FA2">
              <w:rPr>
                <w:b/>
                <w:bCs/>
              </w:rPr>
              <w:t>creased by absolute 10%</w:t>
            </w:r>
          </w:p>
        </w:tc>
        <w:tc>
          <w:tcPr>
            <w:tcW w:w="421" w:type="dxa"/>
            <w:tcBorders>
              <w:top w:val="nil"/>
              <w:left w:val="nil"/>
              <w:bottom w:val="single" w:sz="8" w:space="0" w:color="auto"/>
            </w:tcBorders>
            <w:tcMar>
              <w:top w:w="0" w:type="dxa"/>
              <w:left w:w="85" w:type="dxa"/>
              <w:bottom w:w="0" w:type="dxa"/>
              <w:right w:w="85" w:type="dxa"/>
            </w:tcMar>
          </w:tcPr>
          <w:p w14:paraId="5BECB855" w14:textId="77777777" w:rsidR="00121657" w:rsidRPr="00CE28E3" w:rsidRDefault="00121657" w:rsidP="00632958">
            <w:pPr>
              <w:pStyle w:val="TableText"/>
              <w:keepNext/>
              <w:spacing w:before="0" w:after="0"/>
              <w:jc w:val="right"/>
            </w:pPr>
          </w:p>
        </w:tc>
        <w:tc>
          <w:tcPr>
            <w:tcW w:w="420" w:type="dxa"/>
            <w:tcBorders>
              <w:top w:val="nil"/>
              <w:left w:val="nil"/>
              <w:bottom w:val="single" w:sz="8" w:space="0" w:color="auto"/>
            </w:tcBorders>
            <w:tcMar>
              <w:top w:w="0" w:type="dxa"/>
              <w:left w:w="85" w:type="dxa"/>
              <w:bottom w:w="0" w:type="dxa"/>
              <w:right w:w="85" w:type="dxa"/>
            </w:tcMar>
          </w:tcPr>
          <w:p w14:paraId="23688A4B" w14:textId="77777777" w:rsidR="00121657" w:rsidRPr="00CE28E3" w:rsidRDefault="00121657" w:rsidP="00632958">
            <w:pPr>
              <w:pStyle w:val="TableText"/>
              <w:keepNext/>
              <w:spacing w:before="0" w:after="0"/>
              <w:jc w:val="right"/>
            </w:pPr>
          </w:p>
        </w:tc>
        <w:tc>
          <w:tcPr>
            <w:tcW w:w="527" w:type="dxa"/>
            <w:gridSpan w:val="2"/>
            <w:tcBorders>
              <w:top w:val="nil"/>
              <w:left w:val="nil"/>
              <w:bottom w:val="single" w:sz="8" w:space="0" w:color="auto"/>
            </w:tcBorders>
            <w:tcMar>
              <w:top w:w="0" w:type="dxa"/>
              <w:left w:w="85" w:type="dxa"/>
              <w:bottom w:w="0" w:type="dxa"/>
              <w:right w:w="85" w:type="dxa"/>
            </w:tcMar>
          </w:tcPr>
          <w:p w14:paraId="7C8E2AEC" w14:textId="77777777" w:rsidR="00121657" w:rsidRPr="00CE28E3" w:rsidRDefault="00121657" w:rsidP="00632958">
            <w:pPr>
              <w:pStyle w:val="TableText"/>
              <w:keepNext/>
              <w:spacing w:before="0" w:after="0"/>
              <w:jc w:val="right"/>
            </w:pPr>
          </w:p>
        </w:tc>
        <w:tc>
          <w:tcPr>
            <w:tcW w:w="277" w:type="dxa"/>
            <w:tcBorders>
              <w:top w:val="nil"/>
              <w:left w:val="nil"/>
              <w:bottom w:val="single" w:sz="8" w:space="0" w:color="auto"/>
            </w:tcBorders>
            <w:tcMar>
              <w:top w:w="0" w:type="dxa"/>
              <w:left w:w="85" w:type="dxa"/>
              <w:bottom w:w="0" w:type="dxa"/>
              <w:right w:w="85" w:type="dxa"/>
            </w:tcMar>
          </w:tcPr>
          <w:p w14:paraId="75118B1B" w14:textId="77777777" w:rsidR="00121657" w:rsidRPr="00CE28E3" w:rsidRDefault="00121657" w:rsidP="00632958">
            <w:pPr>
              <w:pStyle w:val="TableText"/>
              <w:keepNext/>
              <w:spacing w:before="0" w:after="0"/>
              <w:jc w:val="right"/>
            </w:pPr>
          </w:p>
        </w:tc>
        <w:tc>
          <w:tcPr>
            <w:tcW w:w="277" w:type="dxa"/>
            <w:tcBorders>
              <w:top w:val="nil"/>
              <w:left w:val="nil"/>
              <w:bottom w:val="single" w:sz="8" w:space="0" w:color="auto"/>
            </w:tcBorders>
            <w:tcMar>
              <w:top w:w="0" w:type="dxa"/>
              <w:left w:w="85" w:type="dxa"/>
              <w:bottom w:w="0" w:type="dxa"/>
              <w:right w:w="85" w:type="dxa"/>
            </w:tcMar>
          </w:tcPr>
          <w:p w14:paraId="3D126FE3" w14:textId="77777777" w:rsidR="00121657" w:rsidRPr="00CE28E3" w:rsidRDefault="00121657" w:rsidP="00632958">
            <w:pPr>
              <w:pStyle w:val="TableText"/>
              <w:keepNext/>
              <w:spacing w:before="0" w:after="0"/>
              <w:jc w:val="right"/>
            </w:pPr>
          </w:p>
        </w:tc>
        <w:tc>
          <w:tcPr>
            <w:tcW w:w="346" w:type="dxa"/>
            <w:tcBorders>
              <w:top w:val="nil"/>
              <w:left w:val="nil"/>
              <w:bottom w:val="single" w:sz="8" w:space="0" w:color="auto"/>
              <w:right w:val="single" w:sz="8" w:space="0" w:color="auto"/>
            </w:tcBorders>
            <w:tcMar>
              <w:top w:w="0" w:type="dxa"/>
              <w:left w:w="85" w:type="dxa"/>
              <w:bottom w:w="0" w:type="dxa"/>
              <w:right w:w="85" w:type="dxa"/>
            </w:tcMar>
          </w:tcPr>
          <w:p w14:paraId="075B32A8" w14:textId="77777777" w:rsidR="00121657" w:rsidRPr="00CE28E3" w:rsidRDefault="00121657" w:rsidP="00632958">
            <w:pPr>
              <w:pStyle w:val="TableText"/>
              <w:keepNext/>
              <w:spacing w:before="0" w:after="0"/>
              <w:jc w:val="right"/>
            </w:pPr>
          </w:p>
        </w:tc>
      </w:tr>
      <w:tr w:rsidR="005527BE" w:rsidRPr="00CE28E3" w14:paraId="17A2A8CA"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2EBD144D" w14:textId="5295B455" w:rsidR="005527BE" w:rsidRPr="00CA7C20" w:rsidRDefault="005527BE" w:rsidP="00632958">
            <w:pPr>
              <w:pStyle w:val="TableText"/>
              <w:spacing w:before="0" w:after="0"/>
            </w:pPr>
            <w:r w:rsidRPr="2F1EB167">
              <w:t>Net financial impact to MBS</w:t>
            </w:r>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26C0AC76" w14:textId="2BD08339" w:rsidR="005527BE" w:rsidRPr="00CA7C20" w:rsidRDefault="005527BE" w:rsidP="00632958">
            <w:pPr>
              <w:pStyle w:val="TableText"/>
              <w:spacing w:before="0" w:after="0"/>
              <w:jc w:val="right"/>
            </w:pPr>
            <w:r w:rsidRPr="00265E8D">
              <w:t>-$19,146</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48A4E037" w14:textId="7946D9FA" w:rsidR="005527BE" w:rsidRPr="00CA7C20" w:rsidRDefault="005527BE" w:rsidP="00632958">
            <w:pPr>
              <w:pStyle w:val="TableText"/>
              <w:spacing w:before="0" w:after="0"/>
              <w:jc w:val="right"/>
            </w:pPr>
            <w:r w:rsidRPr="00265E8D">
              <w:t>-$79,234</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783A8468" w14:textId="2E253578" w:rsidR="005527BE" w:rsidRPr="00CA7C20" w:rsidRDefault="005527BE" w:rsidP="00632958">
            <w:pPr>
              <w:pStyle w:val="TableText"/>
              <w:spacing w:before="0" w:after="0"/>
              <w:jc w:val="right"/>
            </w:pPr>
            <w:r w:rsidRPr="00265E8D">
              <w:t>-$122,960</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77F66F3B" w14:textId="64811AED" w:rsidR="005527BE" w:rsidRPr="00CA7C20" w:rsidRDefault="005527BE" w:rsidP="00632958">
            <w:pPr>
              <w:pStyle w:val="TableText"/>
              <w:spacing w:before="0" w:after="0"/>
              <w:jc w:val="right"/>
            </w:pPr>
            <w:r w:rsidRPr="00265E8D">
              <w:t>-$148,413</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4416288A" w14:textId="47F2EA3D" w:rsidR="005527BE" w:rsidRPr="00CA7C20" w:rsidRDefault="005527BE" w:rsidP="00632958">
            <w:pPr>
              <w:pStyle w:val="TableText"/>
              <w:spacing w:before="0" w:after="0"/>
              <w:jc w:val="right"/>
            </w:pPr>
            <w:r w:rsidRPr="00265E8D">
              <w:t>-$175,480</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211E0496" w14:textId="4D10EE77" w:rsidR="005527BE" w:rsidRPr="00CA7C20" w:rsidRDefault="005527BE" w:rsidP="00632958">
            <w:pPr>
              <w:pStyle w:val="TableText"/>
              <w:spacing w:before="0" w:after="0"/>
              <w:jc w:val="right"/>
            </w:pPr>
            <w:r w:rsidRPr="00265E8D">
              <w:t>-$181,547</w:t>
            </w:r>
          </w:p>
        </w:tc>
      </w:tr>
      <w:tr w:rsidR="005527BE" w:rsidRPr="00CE28E3" w14:paraId="04399100"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56320CFF" w14:textId="256CE0A7" w:rsidR="005527BE" w:rsidRPr="00CA7C20" w:rsidRDefault="005527BE" w:rsidP="00632958">
            <w:pPr>
              <w:pStyle w:val="TableText"/>
              <w:spacing w:before="0" w:after="0"/>
              <w:rPr>
                <w:vertAlign w:val="superscript"/>
              </w:rPr>
            </w:pPr>
            <w:r w:rsidRPr="2F1EB167">
              <w:t xml:space="preserve">Net financial impact to other health </w:t>
            </w:r>
            <w:proofErr w:type="spellStart"/>
            <w:r w:rsidRPr="2F1EB167">
              <w:t>budgets</w:t>
            </w:r>
            <w:r w:rsidR="002F01E1" w:rsidRPr="2F1EB167">
              <w:rPr>
                <w:vertAlign w:val="superscript"/>
              </w:rPr>
              <w:t>a</w:t>
            </w:r>
            <w:proofErr w:type="spellEnd"/>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592974A4" w14:textId="1EE6BBE3" w:rsidR="005527BE" w:rsidRPr="00CA7C20" w:rsidRDefault="00DA2450" w:rsidP="00632958">
            <w:pPr>
              <w:pStyle w:val="TableText"/>
              <w:spacing w:before="0" w:after="0"/>
              <w:jc w:val="right"/>
            </w:pPr>
            <w:r w:rsidRPr="009A1BE6">
              <w:t>$723,619</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266CA7E6" w14:textId="14C2B0FC" w:rsidR="005527BE" w:rsidRPr="00CA7C20" w:rsidRDefault="00DA2450" w:rsidP="00632958">
            <w:pPr>
              <w:pStyle w:val="TableText"/>
              <w:spacing w:before="0" w:after="0"/>
              <w:jc w:val="right"/>
            </w:pPr>
            <w:r w:rsidRPr="009A1BE6">
              <w:t>$2,994,558</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3171E0BF" w14:textId="0C0C6BE5" w:rsidR="005527BE" w:rsidRPr="00CA7C20" w:rsidRDefault="00DA2450" w:rsidP="00632958">
            <w:pPr>
              <w:pStyle w:val="TableText"/>
              <w:spacing w:before="0" w:after="0"/>
              <w:jc w:val="right"/>
            </w:pPr>
            <w:r w:rsidRPr="009A1BE6">
              <w:t>$4,647,150</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78C7D015" w14:textId="5393FA72" w:rsidR="005527BE" w:rsidRPr="00CA7C20" w:rsidRDefault="00DA2450" w:rsidP="00632958">
            <w:pPr>
              <w:pStyle w:val="TableText"/>
              <w:spacing w:before="0" w:after="0"/>
              <w:jc w:val="right"/>
            </w:pPr>
            <w:r w:rsidRPr="009A1BE6">
              <w:t>$5,609,140</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2486A786" w14:textId="6EFBC17A" w:rsidR="005527BE" w:rsidRPr="00CA7C20" w:rsidRDefault="00DA2450" w:rsidP="00632958">
            <w:pPr>
              <w:pStyle w:val="TableText"/>
              <w:spacing w:before="0" w:after="0"/>
              <w:jc w:val="right"/>
            </w:pPr>
            <w:r w:rsidRPr="009A1BE6">
              <w:t>$6,632,098</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5CD576C0" w14:textId="4B3A4BE6" w:rsidR="005527BE" w:rsidRPr="00CA7C20" w:rsidRDefault="00DA2450" w:rsidP="00632958">
            <w:pPr>
              <w:pStyle w:val="TableText"/>
              <w:spacing w:before="0" w:after="0"/>
              <w:jc w:val="right"/>
            </w:pPr>
            <w:r w:rsidRPr="009A1BE6">
              <w:t>$6,861,415</w:t>
            </w:r>
          </w:p>
        </w:tc>
      </w:tr>
      <w:tr w:rsidR="005527BE" w:rsidRPr="00CE28E3" w14:paraId="30A5A607"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2F7C5A09" w14:textId="6B1A4B94" w:rsidR="005527BE" w:rsidRPr="00CA7C20" w:rsidRDefault="005527BE" w:rsidP="00632958">
            <w:pPr>
              <w:pStyle w:val="TableText"/>
              <w:spacing w:before="0" w:after="0"/>
              <w:rPr>
                <w:vertAlign w:val="superscript"/>
              </w:rPr>
            </w:pPr>
            <w:r w:rsidRPr="2F1EB167">
              <w:t xml:space="preserve">Total budget </w:t>
            </w:r>
            <w:proofErr w:type="spellStart"/>
            <w:r w:rsidRPr="2F1EB167">
              <w:t>impact</w:t>
            </w:r>
            <w:r w:rsidR="002F01E1" w:rsidRPr="2F1EB167">
              <w:rPr>
                <w:vertAlign w:val="superscript"/>
              </w:rPr>
              <w:t>a</w:t>
            </w:r>
            <w:proofErr w:type="spellEnd"/>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5096C51D" w14:textId="7D081BFF" w:rsidR="005527BE" w:rsidRPr="00CA7C20" w:rsidRDefault="000462C6" w:rsidP="00632958">
            <w:pPr>
              <w:pStyle w:val="TableText"/>
              <w:spacing w:before="0" w:after="0"/>
              <w:jc w:val="right"/>
            </w:pPr>
            <w:r w:rsidRPr="00D7302A">
              <w:t>$704,473</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4314CC11" w14:textId="3B27017E" w:rsidR="005527BE" w:rsidRPr="00CA7C20" w:rsidRDefault="000462C6" w:rsidP="00632958">
            <w:pPr>
              <w:pStyle w:val="TableText"/>
              <w:spacing w:before="0" w:after="0"/>
              <w:jc w:val="right"/>
            </w:pPr>
            <w:r w:rsidRPr="00D7302A">
              <w:t>$2,915,324</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0FE57C8C" w14:textId="6271225A" w:rsidR="005527BE" w:rsidRPr="00CA7C20" w:rsidRDefault="000462C6" w:rsidP="00632958">
            <w:pPr>
              <w:pStyle w:val="TableText"/>
              <w:spacing w:before="0" w:after="0"/>
              <w:jc w:val="right"/>
            </w:pPr>
            <w:r w:rsidRPr="00D7302A">
              <w:t>$4,524,190</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71E7CE90" w14:textId="293FBFE5" w:rsidR="005527BE" w:rsidRPr="00CA7C20" w:rsidRDefault="000462C6" w:rsidP="00632958">
            <w:pPr>
              <w:pStyle w:val="TableText"/>
              <w:spacing w:before="0" w:after="0"/>
              <w:jc w:val="right"/>
            </w:pPr>
            <w:r w:rsidRPr="00D7302A">
              <w:t>$5,460,726</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64EC63FE" w14:textId="49F5982B" w:rsidR="005527BE" w:rsidRPr="00CA7C20" w:rsidRDefault="000462C6" w:rsidP="00632958">
            <w:pPr>
              <w:pStyle w:val="TableText"/>
              <w:spacing w:before="0" w:after="0"/>
              <w:jc w:val="right"/>
            </w:pPr>
            <w:r w:rsidRPr="00D7302A">
              <w:t>$6,456,618</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5BC506E0" w14:textId="6DDB8854" w:rsidR="005527BE" w:rsidRPr="00CA7C20" w:rsidRDefault="000462C6" w:rsidP="00632958">
            <w:pPr>
              <w:pStyle w:val="TableText"/>
              <w:spacing w:before="0" w:after="0"/>
              <w:jc w:val="right"/>
            </w:pPr>
            <w:r w:rsidRPr="00D7302A">
              <w:t>$6,679,868</w:t>
            </w:r>
          </w:p>
        </w:tc>
      </w:tr>
      <w:tr w:rsidR="003E24A4" w:rsidRPr="00CE28E3" w14:paraId="3BB7E9C0" w14:textId="77777777" w:rsidTr="2F1EB167">
        <w:tc>
          <w:tcPr>
            <w:tcW w:w="6742" w:type="dxa"/>
            <w:gridSpan w:val="5"/>
            <w:tcBorders>
              <w:top w:val="nil"/>
              <w:left w:val="single" w:sz="8" w:space="0" w:color="auto"/>
              <w:bottom w:val="single" w:sz="8" w:space="0" w:color="auto"/>
            </w:tcBorders>
            <w:tcMar>
              <w:top w:w="0" w:type="dxa"/>
              <w:left w:w="85" w:type="dxa"/>
              <w:bottom w:w="0" w:type="dxa"/>
              <w:right w:w="85" w:type="dxa"/>
            </w:tcMar>
          </w:tcPr>
          <w:p w14:paraId="094A6F52" w14:textId="5689327E" w:rsidR="003E24A4" w:rsidRDefault="00F31BE5" w:rsidP="00632958">
            <w:pPr>
              <w:pStyle w:val="TableText"/>
              <w:keepNext/>
              <w:spacing w:before="0" w:after="0"/>
              <w:rPr>
                <w:b/>
                <w:bCs/>
              </w:rPr>
            </w:pPr>
            <w:r w:rsidRPr="00F31BE5">
              <w:rPr>
                <w:b/>
                <w:bCs/>
              </w:rPr>
              <w:t>Change IVL stenting rate from 9.4% to 35.5% (from DISRUPT PAD III OS)</w:t>
            </w:r>
          </w:p>
        </w:tc>
        <w:tc>
          <w:tcPr>
            <w:tcW w:w="421" w:type="dxa"/>
            <w:tcBorders>
              <w:top w:val="nil"/>
              <w:left w:val="nil"/>
              <w:bottom w:val="single" w:sz="8" w:space="0" w:color="auto"/>
            </w:tcBorders>
            <w:tcMar>
              <w:top w:w="0" w:type="dxa"/>
              <w:left w:w="85" w:type="dxa"/>
              <w:bottom w:w="0" w:type="dxa"/>
              <w:right w:w="85" w:type="dxa"/>
            </w:tcMar>
          </w:tcPr>
          <w:p w14:paraId="079D4614" w14:textId="77777777" w:rsidR="003E24A4" w:rsidRPr="00CE28E3" w:rsidRDefault="003E24A4" w:rsidP="00632958">
            <w:pPr>
              <w:pStyle w:val="TableText"/>
              <w:keepNext/>
              <w:spacing w:before="0" w:after="0"/>
              <w:jc w:val="right"/>
            </w:pPr>
          </w:p>
        </w:tc>
        <w:tc>
          <w:tcPr>
            <w:tcW w:w="420" w:type="dxa"/>
            <w:tcBorders>
              <w:top w:val="nil"/>
              <w:left w:val="nil"/>
              <w:bottom w:val="single" w:sz="8" w:space="0" w:color="auto"/>
            </w:tcBorders>
            <w:tcMar>
              <w:top w:w="0" w:type="dxa"/>
              <w:left w:w="85" w:type="dxa"/>
              <w:bottom w:w="0" w:type="dxa"/>
              <w:right w:w="85" w:type="dxa"/>
            </w:tcMar>
          </w:tcPr>
          <w:p w14:paraId="379623F7" w14:textId="77777777" w:rsidR="003E24A4" w:rsidRPr="00CE28E3" w:rsidRDefault="003E24A4" w:rsidP="00632958">
            <w:pPr>
              <w:pStyle w:val="TableText"/>
              <w:keepNext/>
              <w:spacing w:before="0" w:after="0"/>
              <w:jc w:val="right"/>
            </w:pPr>
          </w:p>
        </w:tc>
        <w:tc>
          <w:tcPr>
            <w:tcW w:w="527" w:type="dxa"/>
            <w:gridSpan w:val="2"/>
            <w:tcBorders>
              <w:top w:val="nil"/>
              <w:left w:val="nil"/>
              <w:bottom w:val="single" w:sz="8" w:space="0" w:color="auto"/>
            </w:tcBorders>
            <w:tcMar>
              <w:top w:w="0" w:type="dxa"/>
              <w:left w:w="85" w:type="dxa"/>
              <w:bottom w:w="0" w:type="dxa"/>
              <w:right w:w="85" w:type="dxa"/>
            </w:tcMar>
          </w:tcPr>
          <w:p w14:paraId="15EE8523" w14:textId="77777777" w:rsidR="003E24A4" w:rsidRPr="00CE28E3" w:rsidRDefault="003E24A4" w:rsidP="00632958">
            <w:pPr>
              <w:pStyle w:val="TableText"/>
              <w:keepNext/>
              <w:spacing w:before="0" w:after="0"/>
              <w:jc w:val="right"/>
            </w:pPr>
          </w:p>
        </w:tc>
        <w:tc>
          <w:tcPr>
            <w:tcW w:w="277" w:type="dxa"/>
            <w:tcBorders>
              <w:top w:val="nil"/>
              <w:left w:val="nil"/>
              <w:bottom w:val="single" w:sz="8" w:space="0" w:color="auto"/>
            </w:tcBorders>
            <w:tcMar>
              <w:top w:w="0" w:type="dxa"/>
              <w:left w:w="85" w:type="dxa"/>
              <w:bottom w:w="0" w:type="dxa"/>
              <w:right w:w="85" w:type="dxa"/>
            </w:tcMar>
          </w:tcPr>
          <w:p w14:paraId="7A765159" w14:textId="77777777" w:rsidR="003E24A4" w:rsidRPr="00CE28E3" w:rsidRDefault="003E24A4" w:rsidP="00632958">
            <w:pPr>
              <w:pStyle w:val="TableText"/>
              <w:keepNext/>
              <w:spacing w:before="0" w:after="0"/>
              <w:jc w:val="right"/>
            </w:pPr>
          </w:p>
        </w:tc>
        <w:tc>
          <w:tcPr>
            <w:tcW w:w="277" w:type="dxa"/>
            <w:tcBorders>
              <w:top w:val="nil"/>
              <w:left w:val="nil"/>
              <w:bottom w:val="single" w:sz="8" w:space="0" w:color="auto"/>
            </w:tcBorders>
            <w:tcMar>
              <w:top w:w="0" w:type="dxa"/>
              <w:left w:w="85" w:type="dxa"/>
              <w:bottom w:w="0" w:type="dxa"/>
              <w:right w:w="85" w:type="dxa"/>
            </w:tcMar>
          </w:tcPr>
          <w:p w14:paraId="281BC808" w14:textId="77777777" w:rsidR="003E24A4" w:rsidRPr="00CE28E3" w:rsidRDefault="003E24A4" w:rsidP="00632958">
            <w:pPr>
              <w:pStyle w:val="TableText"/>
              <w:keepNext/>
              <w:spacing w:before="0" w:after="0"/>
              <w:jc w:val="right"/>
            </w:pPr>
          </w:p>
        </w:tc>
        <w:tc>
          <w:tcPr>
            <w:tcW w:w="346" w:type="dxa"/>
            <w:tcBorders>
              <w:top w:val="nil"/>
              <w:left w:val="nil"/>
              <w:bottom w:val="single" w:sz="8" w:space="0" w:color="auto"/>
              <w:right w:val="single" w:sz="8" w:space="0" w:color="auto"/>
            </w:tcBorders>
            <w:tcMar>
              <w:top w:w="0" w:type="dxa"/>
              <w:left w:w="85" w:type="dxa"/>
              <w:bottom w:w="0" w:type="dxa"/>
              <w:right w:w="85" w:type="dxa"/>
            </w:tcMar>
          </w:tcPr>
          <w:p w14:paraId="4CD5A8C2" w14:textId="77777777" w:rsidR="003E24A4" w:rsidRPr="00CE28E3" w:rsidRDefault="003E24A4" w:rsidP="00632958">
            <w:pPr>
              <w:pStyle w:val="TableText"/>
              <w:keepNext/>
              <w:spacing w:before="0" w:after="0"/>
              <w:jc w:val="right"/>
            </w:pPr>
          </w:p>
        </w:tc>
      </w:tr>
      <w:tr w:rsidR="00AA03AE" w:rsidRPr="00CE28E3" w14:paraId="06DE31E0"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198F4B56" w14:textId="0589045D" w:rsidR="00AA03AE" w:rsidRPr="00CE28E3" w:rsidRDefault="00AA03AE" w:rsidP="00632958">
            <w:pPr>
              <w:pStyle w:val="TableText"/>
              <w:spacing w:before="0" w:after="0"/>
            </w:pPr>
            <w:r w:rsidRPr="2F1EB167">
              <w:t>Net financial impact to MBS</w:t>
            </w:r>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2949DAE4" w14:textId="2995F801" w:rsidR="00AA03AE" w:rsidRPr="00CE28E3" w:rsidRDefault="00EE5C1E" w:rsidP="00632958">
            <w:pPr>
              <w:pStyle w:val="TableText"/>
              <w:spacing w:before="0" w:after="0"/>
              <w:jc w:val="right"/>
            </w:pPr>
            <w:r w:rsidRPr="009C4BB1">
              <w:t>$17,574</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115F1C98" w14:textId="7958114E" w:rsidR="00AA03AE" w:rsidRPr="00CE28E3" w:rsidRDefault="00EE5C1E" w:rsidP="00632958">
            <w:pPr>
              <w:pStyle w:val="TableText"/>
              <w:spacing w:before="0" w:after="0"/>
              <w:jc w:val="right"/>
            </w:pPr>
            <w:r w:rsidRPr="009C4BB1">
              <w:t>$36,364</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08D8BCCD" w14:textId="429CE076" w:rsidR="00AA03AE" w:rsidRPr="00CE28E3" w:rsidRDefault="00EE5C1E" w:rsidP="00632958">
            <w:pPr>
              <w:pStyle w:val="TableText"/>
              <w:spacing w:before="0" w:after="0"/>
              <w:jc w:val="right"/>
            </w:pPr>
            <w:r w:rsidRPr="009C4BB1">
              <w:t>$50,162</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7DCFC62E" w14:textId="175BE3EA" w:rsidR="00AA03AE" w:rsidRPr="00CE28E3" w:rsidRDefault="00EE5C1E" w:rsidP="00632958">
            <w:pPr>
              <w:pStyle w:val="TableText"/>
              <w:spacing w:before="0" w:after="0"/>
              <w:jc w:val="right"/>
            </w:pPr>
            <w:r w:rsidRPr="009C4BB1">
              <w:t>$58,383</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26F2DE61" w14:textId="3B4341B4" w:rsidR="00AA03AE" w:rsidRPr="00CE28E3" w:rsidRDefault="00EE5C1E" w:rsidP="00632958">
            <w:pPr>
              <w:pStyle w:val="TableText"/>
              <w:spacing w:before="0" w:after="0"/>
              <w:jc w:val="right"/>
            </w:pPr>
            <w:r w:rsidRPr="009C4BB1">
              <w:t>$67,113</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4E49F8E4" w14:textId="1E3C6AFD" w:rsidR="00AA03AE" w:rsidRPr="00CE28E3" w:rsidRDefault="00EE5C1E" w:rsidP="00632958">
            <w:pPr>
              <w:pStyle w:val="TableText"/>
              <w:spacing w:before="0" w:after="0"/>
              <w:jc w:val="right"/>
            </w:pPr>
            <w:r w:rsidRPr="009C4BB1">
              <w:t>$69,434</w:t>
            </w:r>
          </w:p>
        </w:tc>
      </w:tr>
      <w:tr w:rsidR="00AA03AE" w:rsidRPr="00CE28E3" w14:paraId="43101CC1"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152C1932" w14:textId="1ABDA8E9" w:rsidR="00AA03AE" w:rsidRPr="00CE28E3" w:rsidRDefault="00AA03AE" w:rsidP="00632958">
            <w:pPr>
              <w:pStyle w:val="TableText"/>
              <w:spacing w:before="0" w:after="0"/>
              <w:rPr>
                <w:vertAlign w:val="superscript"/>
              </w:rPr>
            </w:pPr>
            <w:r w:rsidRPr="2F1EB167">
              <w:t xml:space="preserve">Net financial impact to other health </w:t>
            </w:r>
            <w:proofErr w:type="spellStart"/>
            <w:r w:rsidRPr="2F1EB167">
              <w:t>budgets</w:t>
            </w:r>
            <w:r w:rsidR="002F01E1" w:rsidRPr="2F1EB167">
              <w:rPr>
                <w:vertAlign w:val="superscript"/>
              </w:rPr>
              <w:t>a</w:t>
            </w:r>
            <w:proofErr w:type="spellEnd"/>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57CF5D31" w14:textId="0EE12229" w:rsidR="00AA03AE" w:rsidRPr="00CE28E3" w:rsidRDefault="001D11B1" w:rsidP="00632958">
            <w:pPr>
              <w:pStyle w:val="TableText"/>
              <w:spacing w:before="0" w:after="0"/>
              <w:jc w:val="right"/>
            </w:pPr>
            <w:r w:rsidRPr="003B072E">
              <w:t>$3,952,446</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49370C53" w14:textId="6DE845D9" w:rsidR="00AA03AE" w:rsidRPr="00CE28E3" w:rsidRDefault="001D11B1" w:rsidP="00632958">
            <w:pPr>
              <w:pStyle w:val="TableText"/>
              <w:spacing w:before="0" w:after="0"/>
              <w:jc w:val="right"/>
            </w:pPr>
            <w:r w:rsidRPr="003B072E">
              <w:t>$8,178,219</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5FE098BA" w14:textId="02CC9690" w:rsidR="00AA03AE" w:rsidRPr="00CE28E3" w:rsidRDefault="001D11B1" w:rsidP="00632958">
            <w:pPr>
              <w:pStyle w:val="TableText"/>
              <w:spacing w:before="0" w:after="0"/>
              <w:jc w:val="right"/>
            </w:pPr>
            <w:r w:rsidRPr="003B072E">
              <w:t>$11,281,327</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465009D6" w14:textId="7DB8C82F" w:rsidR="00AA03AE" w:rsidRPr="00CE28E3" w:rsidRDefault="001D11B1" w:rsidP="00632958">
            <w:pPr>
              <w:pStyle w:val="TableText"/>
              <w:spacing w:before="0" w:after="0"/>
              <w:jc w:val="right"/>
            </w:pPr>
            <w:r w:rsidRPr="003B072E">
              <w:t>$13,130,325</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079630A9" w14:textId="34E4A3EB" w:rsidR="00AA03AE" w:rsidRPr="00CE28E3" w:rsidRDefault="001D11B1" w:rsidP="00632958">
            <w:pPr>
              <w:pStyle w:val="TableText"/>
              <w:spacing w:before="0" w:after="0"/>
              <w:jc w:val="right"/>
            </w:pPr>
            <w:r w:rsidRPr="003B072E">
              <w:t>$15,093,700</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27D575AC" w14:textId="42714E0E" w:rsidR="00AA03AE" w:rsidRPr="00CE28E3" w:rsidRDefault="001D11B1" w:rsidP="00632958">
            <w:pPr>
              <w:pStyle w:val="TableText"/>
              <w:spacing w:before="0" w:after="0"/>
              <w:jc w:val="right"/>
            </w:pPr>
            <w:r w:rsidRPr="003B072E">
              <w:t>$15,615,593</w:t>
            </w:r>
          </w:p>
        </w:tc>
      </w:tr>
      <w:tr w:rsidR="00AA03AE" w:rsidRPr="00CE28E3" w14:paraId="0C060009"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5C2BE6B6" w14:textId="1A32B232" w:rsidR="00AA03AE" w:rsidRPr="00CE28E3" w:rsidRDefault="00AA03AE" w:rsidP="00632958">
            <w:pPr>
              <w:pStyle w:val="TableText"/>
              <w:spacing w:before="0" w:after="0"/>
              <w:rPr>
                <w:vertAlign w:val="superscript"/>
              </w:rPr>
            </w:pPr>
            <w:r w:rsidRPr="2F1EB167">
              <w:t xml:space="preserve">Total budget </w:t>
            </w:r>
            <w:proofErr w:type="spellStart"/>
            <w:r w:rsidRPr="2F1EB167">
              <w:t>impact</w:t>
            </w:r>
            <w:r w:rsidR="002F01E1" w:rsidRPr="2F1EB167">
              <w:rPr>
                <w:vertAlign w:val="superscript"/>
              </w:rPr>
              <w:t>a</w:t>
            </w:r>
            <w:proofErr w:type="spellEnd"/>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1B3EC2B7" w14:textId="0FCC4734" w:rsidR="00AA03AE" w:rsidRPr="00CE28E3" w:rsidRDefault="009127C9" w:rsidP="00632958">
            <w:pPr>
              <w:pStyle w:val="TableText"/>
              <w:spacing w:before="0" w:after="0"/>
              <w:jc w:val="right"/>
            </w:pPr>
            <w:r w:rsidRPr="00FA59D1">
              <w:t>$3,970,021</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51C09DDA" w14:textId="2AD460BF" w:rsidR="00AA03AE" w:rsidRPr="00CE28E3" w:rsidRDefault="009127C9" w:rsidP="00632958">
            <w:pPr>
              <w:pStyle w:val="TableText"/>
              <w:spacing w:before="0" w:after="0"/>
              <w:jc w:val="right"/>
            </w:pPr>
            <w:r w:rsidRPr="00FA59D1">
              <w:t>$8,214,583</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657496F3" w14:textId="30904479" w:rsidR="00AA03AE" w:rsidRPr="00CE28E3" w:rsidRDefault="009127C9" w:rsidP="00632958">
            <w:pPr>
              <w:pStyle w:val="TableText"/>
              <w:spacing w:before="0" w:after="0"/>
              <w:jc w:val="right"/>
            </w:pPr>
            <w:r w:rsidRPr="00FA59D1">
              <w:t>$11,331,489</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44CFD18D" w14:textId="299F9B91" w:rsidR="00AA03AE" w:rsidRPr="00CE28E3" w:rsidRDefault="009127C9" w:rsidP="00632958">
            <w:pPr>
              <w:pStyle w:val="TableText"/>
              <w:spacing w:before="0" w:after="0"/>
              <w:jc w:val="right"/>
            </w:pPr>
            <w:r w:rsidRPr="00FA59D1">
              <w:t>$13,188,708</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73A6EFED" w14:textId="6B1FD9B2" w:rsidR="00AA03AE" w:rsidRPr="00CE28E3" w:rsidRDefault="009127C9" w:rsidP="00632958">
            <w:pPr>
              <w:pStyle w:val="TableText"/>
              <w:spacing w:before="0" w:after="0"/>
              <w:jc w:val="right"/>
            </w:pPr>
            <w:r w:rsidRPr="00FA59D1">
              <w:t>$15,160,813</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664F51E7" w14:textId="3FEF8191" w:rsidR="00AA03AE" w:rsidRPr="00CE28E3" w:rsidRDefault="009127C9" w:rsidP="00632958">
            <w:pPr>
              <w:pStyle w:val="TableText"/>
              <w:spacing w:before="0" w:after="0"/>
              <w:jc w:val="right"/>
            </w:pPr>
            <w:r w:rsidRPr="00FA59D1">
              <w:t>$15,685,026</w:t>
            </w:r>
          </w:p>
        </w:tc>
      </w:tr>
      <w:tr w:rsidR="00055005" w:rsidRPr="00CE28E3" w14:paraId="6BD83975" w14:textId="77777777" w:rsidTr="2F1EB167">
        <w:tc>
          <w:tcPr>
            <w:tcW w:w="6742" w:type="dxa"/>
            <w:gridSpan w:val="5"/>
            <w:tcBorders>
              <w:top w:val="nil"/>
              <w:left w:val="single" w:sz="8" w:space="0" w:color="auto"/>
              <w:bottom w:val="single" w:sz="8" w:space="0" w:color="auto"/>
            </w:tcBorders>
            <w:tcMar>
              <w:top w:w="0" w:type="dxa"/>
              <w:left w:w="85" w:type="dxa"/>
              <w:bottom w:w="0" w:type="dxa"/>
              <w:right w:w="85" w:type="dxa"/>
            </w:tcMar>
          </w:tcPr>
          <w:p w14:paraId="0F26A3BF" w14:textId="00EE9F16" w:rsidR="00055005" w:rsidRPr="00F31BE5" w:rsidRDefault="000704EC" w:rsidP="00632958">
            <w:pPr>
              <w:pStyle w:val="TableText"/>
              <w:keepNext/>
              <w:spacing w:before="0" w:after="0"/>
              <w:rPr>
                <w:b/>
                <w:bCs/>
              </w:rPr>
            </w:pPr>
            <w:r w:rsidRPr="000704EC">
              <w:rPr>
                <w:b/>
                <w:bCs/>
              </w:rPr>
              <w:t>Change IVL stenting rate to 11.3% (RCT RR applied to MBS utilisation) and SBA stenting rate to 45% (MBS utilisation)</w:t>
            </w:r>
          </w:p>
        </w:tc>
        <w:tc>
          <w:tcPr>
            <w:tcW w:w="421" w:type="dxa"/>
            <w:tcBorders>
              <w:top w:val="nil"/>
              <w:left w:val="nil"/>
              <w:bottom w:val="single" w:sz="8" w:space="0" w:color="auto"/>
            </w:tcBorders>
            <w:tcMar>
              <w:top w:w="0" w:type="dxa"/>
              <w:left w:w="85" w:type="dxa"/>
              <w:bottom w:w="0" w:type="dxa"/>
              <w:right w:w="85" w:type="dxa"/>
            </w:tcMar>
          </w:tcPr>
          <w:p w14:paraId="58649E8B" w14:textId="77777777" w:rsidR="00055005" w:rsidRPr="00CE28E3" w:rsidRDefault="00055005" w:rsidP="00632958">
            <w:pPr>
              <w:pStyle w:val="TableText"/>
              <w:keepNext/>
              <w:spacing w:before="0" w:after="0"/>
              <w:jc w:val="right"/>
            </w:pPr>
          </w:p>
        </w:tc>
        <w:tc>
          <w:tcPr>
            <w:tcW w:w="420" w:type="dxa"/>
            <w:tcBorders>
              <w:top w:val="nil"/>
              <w:left w:val="nil"/>
              <w:bottom w:val="single" w:sz="8" w:space="0" w:color="auto"/>
            </w:tcBorders>
            <w:tcMar>
              <w:top w:w="0" w:type="dxa"/>
              <w:left w:w="85" w:type="dxa"/>
              <w:bottom w:w="0" w:type="dxa"/>
              <w:right w:w="85" w:type="dxa"/>
            </w:tcMar>
          </w:tcPr>
          <w:p w14:paraId="27231144" w14:textId="77777777" w:rsidR="00055005" w:rsidRPr="00CE28E3" w:rsidRDefault="00055005" w:rsidP="00632958">
            <w:pPr>
              <w:pStyle w:val="TableText"/>
              <w:keepNext/>
              <w:spacing w:before="0" w:after="0"/>
              <w:jc w:val="right"/>
            </w:pPr>
          </w:p>
        </w:tc>
        <w:tc>
          <w:tcPr>
            <w:tcW w:w="527" w:type="dxa"/>
            <w:gridSpan w:val="2"/>
            <w:tcBorders>
              <w:top w:val="nil"/>
              <w:left w:val="nil"/>
              <w:bottom w:val="single" w:sz="8" w:space="0" w:color="auto"/>
            </w:tcBorders>
            <w:tcMar>
              <w:top w:w="0" w:type="dxa"/>
              <w:left w:w="85" w:type="dxa"/>
              <w:bottom w:w="0" w:type="dxa"/>
              <w:right w:w="85" w:type="dxa"/>
            </w:tcMar>
          </w:tcPr>
          <w:p w14:paraId="075A1E38" w14:textId="77777777" w:rsidR="00055005" w:rsidRPr="00CE28E3" w:rsidRDefault="00055005" w:rsidP="00632958">
            <w:pPr>
              <w:pStyle w:val="TableText"/>
              <w:keepNext/>
              <w:spacing w:before="0" w:after="0"/>
              <w:jc w:val="right"/>
            </w:pPr>
          </w:p>
        </w:tc>
        <w:tc>
          <w:tcPr>
            <w:tcW w:w="277" w:type="dxa"/>
            <w:tcBorders>
              <w:top w:val="nil"/>
              <w:left w:val="nil"/>
              <w:bottom w:val="single" w:sz="8" w:space="0" w:color="auto"/>
            </w:tcBorders>
            <w:tcMar>
              <w:top w:w="0" w:type="dxa"/>
              <w:left w:w="85" w:type="dxa"/>
              <w:bottom w:w="0" w:type="dxa"/>
              <w:right w:w="85" w:type="dxa"/>
            </w:tcMar>
          </w:tcPr>
          <w:p w14:paraId="27460CE2" w14:textId="77777777" w:rsidR="00055005" w:rsidRPr="00CE28E3" w:rsidRDefault="00055005" w:rsidP="00632958">
            <w:pPr>
              <w:pStyle w:val="TableText"/>
              <w:keepNext/>
              <w:spacing w:before="0" w:after="0"/>
              <w:jc w:val="right"/>
            </w:pPr>
          </w:p>
        </w:tc>
        <w:tc>
          <w:tcPr>
            <w:tcW w:w="277" w:type="dxa"/>
            <w:tcBorders>
              <w:top w:val="nil"/>
              <w:left w:val="nil"/>
              <w:bottom w:val="single" w:sz="8" w:space="0" w:color="auto"/>
            </w:tcBorders>
            <w:tcMar>
              <w:top w:w="0" w:type="dxa"/>
              <w:left w:w="85" w:type="dxa"/>
              <w:bottom w:w="0" w:type="dxa"/>
              <w:right w:w="85" w:type="dxa"/>
            </w:tcMar>
          </w:tcPr>
          <w:p w14:paraId="4568F8F7" w14:textId="77777777" w:rsidR="00055005" w:rsidRPr="00CE28E3" w:rsidRDefault="00055005" w:rsidP="00632958">
            <w:pPr>
              <w:pStyle w:val="TableText"/>
              <w:keepNext/>
              <w:spacing w:before="0" w:after="0"/>
              <w:jc w:val="right"/>
            </w:pPr>
          </w:p>
        </w:tc>
        <w:tc>
          <w:tcPr>
            <w:tcW w:w="346" w:type="dxa"/>
            <w:tcBorders>
              <w:top w:val="nil"/>
              <w:left w:val="nil"/>
              <w:bottom w:val="single" w:sz="8" w:space="0" w:color="auto"/>
              <w:right w:val="single" w:sz="8" w:space="0" w:color="auto"/>
            </w:tcBorders>
            <w:tcMar>
              <w:top w:w="0" w:type="dxa"/>
              <w:left w:w="85" w:type="dxa"/>
              <w:bottom w:w="0" w:type="dxa"/>
              <w:right w:w="85" w:type="dxa"/>
            </w:tcMar>
          </w:tcPr>
          <w:p w14:paraId="672404C7" w14:textId="77777777" w:rsidR="00055005" w:rsidRPr="00CE28E3" w:rsidRDefault="00055005" w:rsidP="00632958">
            <w:pPr>
              <w:pStyle w:val="TableText"/>
              <w:keepNext/>
              <w:spacing w:before="0" w:after="0"/>
              <w:jc w:val="right"/>
            </w:pPr>
          </w:p>
        </w:tc>
      </w:tr>
      <w:tr w:rsidR="008932B5" w:rsidRPr="00CE28E3" w14:paraId="0861711F"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5D3C0913" w14:textId="3E65273D" w:rsidR="008932B5" w:rsidRPr="00CE28E3" w:rsidRDefault="008932B5" w:rsidP="00632958">
            <w:pPr>
              <w:pStyle w:val="TableText"/>
              <w:spacing w:before="0" w:after="0"/>
            </w:pPr>
            <w:r w:rsidRPr="2F1EB167">
              <w:t>Net financial impact to MBS</w:t>
            </w:r>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6334F365" w14:textId="5E2E33C0" w:rsidR="008932B5" w:rsidRPr="00CE28E3" w:rsidRDefault="008932B5" w:rsidP="00632958">
            <w:pPr>
              <w:pStyle w:val="TableText"/>
              <w:spacing w:before="0" w:after="0"/>
              <w:jc w:val="right"/>
            </w:pPr>
            <w:r w:rsidRPr="00554DC7">
              <w:t>-$75,416</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016A4D33" w14:textId="2D84472F" w:rsidR="008932B5" w:rsidRPr="00CE28E3" w:rsidRDefault="008932B5" w:rsidP="00632958">
            <w:pPr>
              <w:pStyle w:val="TableText"/>
              <w:spacing w:before="0" w:after="0"/>
              <w:jc w:val="right"/>
            </w:pPr>
            <w:r w:rsidRPr="00554DC7">
              <w:t>-$156,048</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66205965" w14:textId="46ABA845" w:rsidR="008932B5" w:rsidRPr="00CE28E3" w:rsidRDefault="008932B5" w:rsidP="00632958">
            <w:pPr>
              <w:pStyle w:val="TableText"/>
              <w:spacing w:before="0" w:after="0"/>
              <w:jc w:val="right"/>
            </w:pPr>
            <w:r w:rsidRPr="00554DC7">
              <w:t>-$215,258</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0212568E" w14:textId="426342DF" w:rsidR="008932B5" w:rsidRPr="00CE28E3" w:rsidRDefault="008932B5" w:rsidP="00632958">
            <w:pPr>
              <w:pStyle w:val="TableText"/>
              <w:spacing w:before="0" w:after="0"/>
              <w:jc w:val="right"/>
            </w:pPr>
            <w:r w:rsidRPr="00554DC7">
              <w:t>-$250,539</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148F42E1" w14:textId="75093CC0" w:rsidR="008932B5" w:rsidRPr="00CE28E3" w:rsidRDefault="008932B5" w:rsidP="00632958">
            <w:pPr>
              <w:pStyle w:val="TableText"/>
              <w:spacing w:before="0" w:after="0"/>
              <w:jc w:val="right"/>
            </w:pPr>
            <w:r w:rsidRPr="00554DC7">
              <w:t>-$288,002</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57057B8B" w14:textId="7E6C867C" w:rsidR="008932B5" w:rsidRPr="00CE28E3" w:rsidRDefault="008932B5" w:rsidP="00632958">
            <w:pPr>
              <w:pStyle w:val="TableText"/>
              <w:spacing w:before="0" w:after="0"/>
              <w:jc w:val="right"/>
            </w:pPr>
            <w:r w:rsidRPr="00554DC7">
              <w:t>-$297,960</w:t>
            </w:r>
          </w:p>
        </w:tc>
      </w:tr>
      <w:tr w:rsidR="008932B5" w:rsidRPr="00CE28E3" w14:paraId="213E09E5"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332B6BBB" w14:textId="310F530F" w:rsidR="008932B5" w:rsidRPr="00CE28E3" w:rsidRDefault="008932B5" w:rsidP="00632958">
            <w:pPr>
              <w:pStyle w:val="TableText"/>
              <w:spacing w:before="0" w:after="0"/>
              <w:rPr>
                <w:vertAlign w:val="superscript"/>
              </w:rPr>
            </w:pPr>
            <w:r w:rsidRPr="2F1EB167">
              <w:t xml:space="preserve">Net financial impact to other health </w:t>
            </w:r>
            <w:proofErr w:type="spellStart"/>
            <w:r w:rsidRPr="2F1EB167">
              <w:t>budgets</w:t>
            </w:r>
            <w:r w:rsidR="002F01E1" w:rsidRPr="2F1EB167">
              <w:rPr>
                <w:vertAlign w:val="superscript"/>
              </w:rPr>
              <w:t>a</w:t>
            </w:r>
            <w:proofErr w:type="spellEnd"/>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23D0BEED" w14:textId="645969D2" w:rsidR="008932B5" w:rsidRPr="00CE28E3" w:rsidRDefault="00CC2549" w:rsidP="00632958">
            <w:pPr>
              <w:pStyle w:val="TableText"/>
              <w:spacing w:before="0" w:after="0"/>
              <w:jc w:val="right"/>
            </w:pPr>
            <w:r w:rsidRPr="00406A16">
              <w:t>$1,767,781</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1A394358" w14:textId="553D7747" w:rsidR="008932B5" w:rsidRPr="00CE28E3" w:rsidRDefault="00CC2549" w:rsidP="00632958">
            <w:pPr>
              <w:pStyle w:val="TableText"/>
              <w:spacing w:before="0" w:after="0"/>
              <w:jc w:val="right"/>
            </w:pPr>
            <w:r w:rsidRPr="00406A16">
              <w:t>$3,657,811</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21D9581E" w14:textId="3215BE67" w:rsidR="008932B5" w:rsidRPr="00CE28E3" w:rsidRDefault="00CC2549" w:rsidP="00632958">
            <w:pPr>
              <w:pStyle w:val="TableText"/>
              <w:spacing w:before="0" w:after="0"/>
              <w:jc w:val="right"/>
            </w:pPr>
            <w:r w:rsidRPr="00406A16">
              <w:t>$5,045,715</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2A1645E0" w14:textId="07364692" w:rsidR="008932B5" w:rsidRPr="00CE28E3" w:rsidRDefault="00CC2549" w:rsidP="00632958">
            <w:pPr>
              <w:pStyle w:val="TableText"/>
              <w:spacing w:before="0" w:after="0"/>
              <w:jc w:val="right"/>
            </w:pPr>
            <w:r w:rsidRPr="00406A16">
              <w:t>$5,872,703</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33836716" w14:textId="483DF7A6" w:rsidR="008932B5" w:rsidRPr="00CE28E3" w:rsidRDefault="00CC2549" w:rsidP="00632958">
            <w:pPr>
              <w:pStyle w:val="TableText"/>
              <w:spacing w:before="0" w:after="0"/>
              <w:jc w:val="right"/>
            </w:pPr>
            <w:r w:rsidRPr="00406A16">
              <w:t>$6,750,847</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5316801F" w14:textId="0C528661" w:rsidR="008932B5" w:rsidRPr="00CE28E3" w:rsidRDefault="00CC2549" w:rsidP="00632958">
            <w:pPr>
              <w:pStyle w:val="TableText"/>
              <w:spacing w:before="0" w:after="0"/>
              <w:jc w:val="right"/>
            </w:pPr>
            <w:r w:rsidRPr="00406A16">
              <w:t>$6,984,270</w:t>
            </w:r>
          </w:p>
        </w:tc>
      </w:tr>
      <w:tr w:rsidR="008932B5" w:rsidRPr="00CE28E3" w14:paraId="5A065257" w14:textId="77777777" w:rsidTr="2F1EB167">
        <w:tc>
          <w:tcPr>
            <w:tcW w:w="2203"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1D3D5BC6" w14:textId="5D3D2267" w:rsidR="008932B5" w:rsidRDefault="008932B5" w:rsidP="00632958">
            <w:pPr>
              <w:pStyle w:val="TableText"/>
              <w:spacing w:before="0" w:after="0"/>
              <w:rPr>
                <w:vertAlign w:val="superscript"/>
              </w:rPr>
            </w:pPr>
            <w:r w:rsidRPr="2F1EB167">
              <w:t xml:space="preserve">Total budget </w:t>
            </w:r>
            <w:proofErr w:type="spellStart"/>
            <w:r w:rsidRPr="2F1EB167">
              <w:t>impact</w:t>
            </w:r>
            <w:r w:rsidR="002F01E1" w:rsidRPr="2F1EB167">
              <w:rPr>
                <w:vertAlign w:val="superscript"/>
              </w:rPr>
              <w:t>a</w:t>
            </w:r>
            <w:proofErr w:type="spellEnd"/>
          </w:p>
        </w:tc>
        <w:tc>
          <w:tcPr>
            <w:tcW w:w="1130" w:type="dxa"/>
            <w:tcBorders>
              <w:top w:val="nil"/>
              <w:left w:val="nil"/>
              <w:bottom w:val="single" w:sz="8" w:space="0" w:color="auto"/>
              <w:right w:val="single" w:sz="8" w:space="0" w:color="auto"/>
            </w:tcBorders>
            <w:tcMar>
              <w:top w:w="0" w:type="dxa"/>
              <w:left w:w="85" w:type="dxa"/>
              <w:bottom w:w="0" w:type="dxa"/>
              <w:right w:w="85" w:type="dxa"/>
            </w:tcMar>
          </w:tcPr>
          <w:p w14:paraId="55F68688" w14:textId="54FA005E" w:rsidR="008932B5" w:rsidRPr="00493E60" w:rsidRDefault="001D19E3" w:rsidP="00632958">
            <w:pPr>
              <w:pStyle w:val="TableText"/>
              <w:spacing w:before="0" w:after="0"/>
              <w:jc w:val="right"/>
            </w:pPr>
            <w:r w:rsidRPr="009C1393">
              <w:t>$1,692,365</w:t>
            </w:r>
          </w:p>
        </w:tc>
        <w:tc>
          <w:tcPr>
            <w:tcW w:w="1131" w:type="dxa"/>
            <w:tcBorders>
              <w:top w:val="nil"/>
              <w:left w:val="nil"/>
              <w:bottom w:val="single" w:sz="8" w:space="0" w:color="auto"/>
              <w:right w:val="single" w:sz="8" w:space="0" w:color="auto"/>
            </w:tcBorders>
            <w:tcMar>
              <w:top w:w="0" w:type="dxa"/>
              <w:left w:w="85" w:type="dxa"/>
              <w:bottom w:w="0" w:type="dxa"/>
              <w:right w:w="85" w:type="dxa"/>
            </w:tcMar>
          </w:tcPr>
          <w:p w14:paraId="6D93F3CF" w14:textId="15ECFAC8" w:rsidR="008932B5" w:rsidRPr="00493E60" w:rsidRDefault="001D19E3" w:rsidP="00632958">
            <w:pPr>
              <w:pStyle w:val="TableText"/>
              <w:spacing w:before="0" w:after="0"/>
              <w:jc w:val="right"/>
            </w:pPr>
            <w:r w:rsidRPr="009C1393">
              <w:t>$3,501,763</w:t>
            </w:r>
          </w:p>
        </w:tc>
        <w:tc>
          <w:tcPr>
            <w:tcW w:w="1132" w:type="dxa"/>
            <w:tcBorders>
              <w:top w:val="nil"/>
              <w:left w:val="nil"/>
              <w:bottom w:val="single" w:sz="8" w:space="0" w:color="auto"/>
              <w:right w:val="single" w:sz="8" w:space="0" w:color="auto"/>
            </w:tcBorders>
            <w:tcMar>
              <w:top w:w="0" w:type="dxa"/>
              <w:left w:w="85" w:type="dxa"/>
              <w:bottom w:w="0" w:type="dxa"/>
              <w:right w:w="85" w:type="dxa"/>
            </w:tcMar>
          </w:tcPr>
          <w:p w14:paraId="5FFD3552" w14:textId="3F5D7BF6" w:rsidR="008932B5" w:rsidRPr="00493E60" w:rsidRDefault="001D19E3" w:rsidP="00632958">
            <w:pPr>
              <w:pStyle w:val="TableText"/>
              <w:spacing w:before="0" w:after="0"/>
              <w:jc w:val="right"/>
            </w:pPr>
            <w:r w:rsidRPr="009C1393">
              <w:t>$4,830,457</w:t>
            </w:r>
          </w:p>
        </w:tc>
        <w:tc>
          <w:tcPr>
            <w:tcW w:w="1146" w:type="dxa"/>
            <w:tcBorders>
              <w:top w:val="nil"/>
              <w:left w:val="nil"/>
              <w:bottom w:val="single" w:sz="8" w:space="0" w:color="auto"/>
              <w:right w:val="single" w:sz="8" w:space="0" w:color="auto"/>
            </w:tcBorders>
            <w:tcMar>
              <w:top w:w="0" w:type="dxa"/>
              <w:left w:w="85" w:type="dxa"/>
              <w:bottom w:w="0" w:type="dxa"/>
              <w:right w:w="85" w:type="dxa"/>
            </w:tcMar>
          </w:tcPr>
          <w:p w14:paraId="0FF38500" w14:textId="006953C7" w:rsidR="008932B5" w:rsidRPr="00493E60" w:rsidRDefault="001D19E3" w:rsidP="00632958">
            <w:pPr>
              <w:pStyle w:val="TableText"/>
              <w:spacing w:before="0" w:after="0"/>
              <w:jc w:val="right"/>
            </w:pPr>
            <w:r w:rsidRPr="009C1393">
              <w:t>$5,622,164</w:t>
            </w:r>
          </w:p>
        </w:tc>
        <w:tc>
          <w:tcPr>
            <w:tcW w:w="1134" w:type="dxa"/>
            <w:gridSpan w:val="3"/>
            <w:tcBorders>
              <w:top w:val="nil"/>
              <w:left w:val="nil"/>
              <w:bottom w:val="single" w:sz="8" w:space="0" w:color="auto"/>
              <w:right w:val="single" w:sz="8" w:space="0" w:color="auto"/>
            </w:tcBorders>
            <w:tcMar>
              <w:top w:w="0" w:type="dxa"/>
              <w:left w:w="85" w:type="dxa"/>
              <w:bottom w:w="0" w:type="dxa"/>
              <w:right w:w="85" w:type="dxa"/>
            </w:tcMar>
          </w:tcPr>
          <w:p w14:paraId="0C420E4B" w14:textId="63BFB0BD" w:rsidR="008932B5" w:rsidRPr="00493E60" w:rsidRDefault="001D19E3" w:rsidP="00632958">
            <w:pPr>
              <w:pStyle w:val="TableText"/>
              <w:spacing w:before="0" w:after="0"/>
              <w:jc w:val="right"/>
            </w:pPr>
            <w:r w:rsidRPr="009C1393">
              <w:t>$6,462,845</w:t>
            </w:r>
          </w:p>
        </w:tc>
        <w:tc>
          <w:tcPr>
            <w:tcW w:w="1134" w:type="dxa"/>
            <w:gridSpan w:val="4"/>
            <w:tcBorders>
              <w:top w:val="nil"/>
              <w:left w:val="nil"/>
              <w:bottom w:val="single" w:sz="8" w:space="0" w:color="auto"/>
              <w:right w:val="single" w:sz="8" w:space="0" w:color="auto"/>
            </w:tcBorders>
            <w:tcMar>
              <w:top w:w="0" w:type="dxa"/>
              <w:left w:w="85" w:type="dxa"/>
              <w:bottom w:w="0" w:type="dxa"/>
              <w:right w:w="85" w:type="dxa"/>
            </w:tcMar>
          </w:tcPr>
          <w:p w14:paraId="5D2B1D0D" w14:textId="0741AB22" w:rsidR="008932B5" w:rsidRPr="00493E60" w:rsidRDefault="001D19E3" w:rsidP="00632958">
            <w:pPr>
              <w:pStyle w:val="TableText"/>
              <w:spacing w:before="0" w:after="0"/>
              <w:jc w:val="right"/>
            </w:pPr>
            <w:r w:rsidRPr="009C1393">
              <w:t>$6,686,310</w:t>
            </w:r>
          </w:p>
        </w:tc>
      </w:tr>
    </w:tbl>
    <w:p w14:paraId="4948438C" w14:textId="74142515" w:rsidR="003E24A4" w:rsidRDefault="00BB13FA" w:rsidP="003E24A4">
      <w:pPr>
        <w:pStyle w:val="TableFigureFooter"/>
        <w:spacing w:after="0"/>
      </w:pPr>
      <w:r>
        <w:t>ADAR = Applicant Developed Assessment Report</w:t>
      </w:r>
      <w:r w:rsidR="003E24A4">
        <w:t xml:space="preserve">; </w:t>
      </w:r>
      <w:r w:rsidR="003E24A4" w:rsidRPr="000371A0">
        <w:t>IVL</w:t>
      </w:r>
      <w:r w:rsidR="003E24A4">
        <w:t xml:space="preserve"> = i</w:t>
      </w:r>
      <w:r w:rsidR="003E24A4" w:rsidRPr="000371A0">
        <w:t>ntravascular lithotripsy; MBS</w:t>
      </w:r>
      <w:r w:rsidR="003E24A4">
        <w:t xml:space="preserve"> = </w:t>
      </w:r>
      <w:r w:rsidR="003E24A4" w:rsidRPr="000371A0">
        <w:t>Medicare Benefits Schedule</w:t>
      </w:r>
      <w:r w:rsidR="003E24A4">
        <w:t xml:space="preserve">; </w:t>
      </w:r>
      <w:r>
        <w:t>RCT = randomised controlled trial</w:t>
      </w:r>
      <w:r w:rsidR="001058D1">
        <w:t xml:space="preserve">; RR = relative risk; </w:t>
      </w:r>
      <w:r w:rsidR="003E24A4">
        <w:t xml:space="preserve">SBA = </w:t>
      </w:r>
      <w:r w:rsidR="003E24A4" w:rsidRPr="00326476">
        <w:t>standard balloon angioplasty</w:t>
      </w:r>
      <w:r w:rsidR="003E24A4">
        <w:t>.</w:t>
      </w:r>
    </w:p>
    <w:p w14:paraId="7DB8D50F" w14:textId="2671FF47" w:rsidR="003E24A4" w:rsidRPr="006A6752" w:rsidRDefault="003E24A4" w:rsidP="003E24A4">
      <w:pPr>
        <w:pStyle w:val="Tablenotes0"/>
        <w:spacing w:before="0"/>
        <w:rPr>
          <w:szCs w:val="18"/>
        </w:rPr>
      </w:pPr>
      <w:r w:rsidRPr="006A6752">
        <w:rPr>
          <w:szCs w:val="18"/>
        </w:rPr>
        <w:t xml:space="preserve">Source: </w:t>
      </w:r>
      <w:r w:rsidR="00226CDF" w:rsidRPr="006A6752">
        <w:rPr>
          <w:szCs w:val="18"/>
        </w:rPr>
        <w:t>Adapted from Commentary Table 8</w:t>
      </w:r>
      <w:r w:rsidRPr="006A6752">
        <w:rPr>
          <w:szCs w:val="18"/>
        </w:rPr>
        <w:t xml:space="preserve"> of MSAC 1734 resubmission ADAR + in-line commentary.</w:t>
      </w:r>
    </w:p>
    <w:p w14:paraId="50664006" w14:textId="0D72F9E8" w:rsidR="00831944" w:rsidRPr="00831944" w:rsidRDefault="00831944" w:rsidP="2F1EB167">
      <w:pPr>
        <w:pStyle w:val="Tablenotes0"/>
        <w:spacing w:before="0" w:after="0"/>
      </w:pPr>
      <w:r w:rsidRPr="2F1EB167">
        <w:t>a Commentary alternative base case CCA economic model and estimates updated for ESC using current national efficient price and AR-DRG F11</w:t>
      </w:r>
      <w:proofErr w:type="gramStart"/>
      <w:r w:rsidRPr="2F1EB167">
        <w:t>A,B</w:t>
      </w:r>
      <w:proofErr w:type="gramEnd"/>
      <w:r w:rsidRPr="2F1EB167">
        <w:rPr>
          <w:rStyle w:val="CommentaryTabletextleftChar"/>
          <w:color w:val="auto"/>
          <w:sz w:val="18"/>
          <w:szCs w:val="18"/>
        </w:rPr>
        <w:t xml:space="preserve">,C – </w:t>
      </w:r>
      <w:r w:rsidRPr="2F1EB167">
        <w:t>NHCDC Version 11.0, Round 25 (2020-21).</w:t>
      </w:r>
    </w:p>
    <w:p w14:paraId="29071778" w14:textId="02FB0D9E" w:rsidR="00031ACA" w:rsidRPr="00831944" w:rsidRDefault="00831944" w:rsidP="00BE6DA7">
      <w:pPr>
        <w:pStyle w:val="Tablenotes0"/>
        <w:rPr>
          <w:szCs w:val="18"/>
        </w:rPr>
      </w:pPr>
      <w:r w:rsidRPr="00831944">
        <w:rPr>
          <w:szCs w:val="18"/>
        </w:rPr>
        <w:t>Source:</w:t>
      </w:r>
      <w:r w:rsidR="00031ACA" w:rsidRPr="006A6752">
        <w:rPr>
          <w:szCs w:val="18"/>
        </w:rPr>
        <w:t xml:space="preserve"> adapted from Commentary Table 8 of MSAC 1734 resubmission ADAR + in-line commentary.</w:t>
      </w:r>
    </w:p>
    <w:p w14:paraId="7C0A4B20" w14:textId="2C3BFFCB" w:rsidR="00E57179" w:rsidRPr="00830AD6" w:rsidRDefault="00E57179" w:rsidP="00E57179">
      <w:r>
        <w:lastRenderedPageBreak/>
        <w:t xml:space="preserve">Although not shown </w:t>
      </w:r>
      <w:r w:rsidR="003921D7">
        <w:t xml:space="preserve">in </w:t>
      </w:r>
      <w:r w:rsidR="003921D7">
        <w:rPr>
          <w:highlight w:val="yellow"/>
        </w:rPr>
        <w:fldChar w:fldCharType="begin"/>
      </w:r>
      <w:r w:rsidR="003921D7">
        <w:instrText xml:space="preserve"> REF _Ref173788076 \h </w:instrText>
      </w:r>
      <w:r w:rsidR="003921D7">
        <w:rPr>
          <w:highlight w:val="yellow"/>
        </w:rPr>
      </w:r>
      <w:r w:rsidR="003921D7">
        <w:rPr>
          <w:highlight w:val="yellow"/>
        </w:rPr>
        <w:fldChar w:fldCharType="separate"/>
      </w:r>
      <w:r w:rsidR="000A04D8" w:rsidRPr="00CE28E3">
        <w:t>Table</w:t>
      </w:r>
      <w:r w:rsidR="000A04D8">
        <w:t> </w:t>
      </w:r>
      <w:r w:rsidR="000A04D8">
        <w:rPr>
          <w:noProof/>
        </w:rPr>
        <w:t>11</w:t>
      </w:r>
      <w:r w:rsidR="003921D7">
        <w:rPr>
          <w:highlight w:val="yellow"/>
        </w:rPr>
        <w:fldChar w:fldCharType="end"/>
      </w:r>
      <w:r>
        <w:t>, changes to the cost of IVL catheters or the number of IVL catheters used per procedure will increase costs to hospitals and/or private health insurers.</w:t>
      </w:r>
    </w:p>
    <w:p w14:paraId="7838A9FF" w14:textId="641443E9" w:rsidR="00772829" w:rsidRDefault="00C36633" w:rsidP="002A18BE">
      <w:pPr>
        <w:pStyle w:val="Heading2"/>
        <w:numPr>
          <w:ilvl w:val="0"/>
          <w:numId w:val="0"/>
        </w:numPr>
      </w:pPr>
      <w:bookmarkStart w:id="33" w:name="_Toc69491427"/>
      <w:bookmarkEnd w:id="31"/>
      <w:r>
        <w:t>1</w:t>
      </w:r>
      <w:r w:rsidR="00A106A5">
        <w:t>5</w:t>
      </w:r>
      <w:r>
        <w:t>.</w:t>
      </w:r>
      <w:r>
        <w:tab/>
      </w:r>
      <w:r w:rsidR="00772829" w:rsidRPr="00CE28E3">
        <w:t xml:space="preserve">Other relevant </w:t>
      </w:r>
      <w:bookmarkEnd w:id="33"/>
      <w:r w:rsidR="00FA5766">
        <w:t>information</w:t>
      </w:r>
    </w:p>
    <w:p w14:paraId="01B2A9FA" w14:textId="1218A109" w:rsidR="00772829" w:rsidRDefault="00B33AAC">
      <w:r>
        <w:t>Nil</w:t>
      </w:r>
    </w:p>
    <w:p w14:paraId="4C99E24E" w14:textId="6FE0D03E" w:rsidR="00A106A5" w:rsidRPr="00A106A5" w:rsidRDefault="00A106A5" w:rsidP="00A106A5">
      <w:pPr>
        <w:pStyle w:val="Heading2"/>
        <w:numPr>
          <w:ilvl w:val="0"/>
          <w:numId w:val="0"/>
        </w:numPr>
        <w:tabs>
          <w:tab w:val="num" w:pos="360"/>
        </w:tabs>
      </w:pPr>
      <w:bookmarkStart w:id="34" w:name="_Toc145678765"/>
      <w:bookmarkStart w:id="35" w:name="_Toc150172410"/>
      <w:bookmarkStart w:id="36" w:name="_Toc153462785"/>
      <w:r>
        <w:t>16.</w:t>
      </w:r>
      <w:r>
        <w:tab/>
      </w:r>
      <w:r w:rsidRPr="00C24C30">
        <w:t>Key issues from ESC to MSAC</w:t>
      </w:r>
    </w:p>
    <w:bookmarkEnd w:id="34"/>
    <w:bookmarkEnd w:id="35"/>
    <w:bookmarkEnd w:id="36"/>
    <w:p w14:paraId="6670997E" w14:textId="3705D97F" w:rsidR="00C949CC" w:rsidRDefault="00C949CC" w:rsidP="00C949CC">
      <w:pPr>
        <w:pStyle w:val="BoxName0"/>
      </w:pPr>
      <w:r w:rsidRPr="2F1EB167">
        <w:t>Main issues for MSAC consideration</w:t>
      </w:r>
    </w:p>
    <w:p w14:paraId="08BD7555" w14:textId="77777777" w:rsidR="00C949CC" w:rsidRDefault="00C949CC" w:rsidP="00C949CC">
      <w:pPr>
        <w:pStyle w:val="BoxName0"/>
      </w:pPr>
      <w:r>
        <w:t>Clinical issues:</w:t>
      </w:r>
    </w:p>
    <w:p w14:paraId="674AE956" w14:textId="1DAFD94A" w:rsidR="00C949CC" w:rsidRPr="00194327" w:rsidRDefault="00C949CC" w:rsidP="00C949CC">
      <w:pPr>
        <w:pStyle w:val="BoxBullet"/>
        <w:rPr>
          <w:b/>
          <w:bCs/>
        </w:rPr>
      </w:pPr>
      <w:r>
        <w:t>The proposed population for the service includes patients with moderately or severely calcified lesions. The eligibility criteria for the service are not well</w:t>
      </w:r>
      <w:r w:rsidR="00F87AF1">
        <w:t>-</w:t>
      </w:r>
      <w:r>
        <w:t xml:space="preserve">defined and definitions of moderately or severely calcified lesions are unclear. Therefore, the patient population cannot be accurately defined. </w:t>
      </w:r>
    </w:p>
    <w:p w14:paraId="3FE66F92" w14:textId="77777777" w:rsidR="00C949CC" w:rsidRDefault="00C949CC" w:rsidP="00C949CC">
      <w:pPr>
        <w:pStyle w:val="BoxBullet"/>
      </w:pPr>
      <w:r>
        <w:t xml:space="preserve">Until further evidence is available regarding IVL management of upper-limb PAD lesions, MSAC may wish to consider restricting the proposed services to lower-limb PAD patients only. </w:t>
      </w:r>
    </w:p>
    <w:p w14:paraId="0652FA07" w14:textId="3CE9A92B" w:rsidR="00C949CC" w:rsidRDefault="00C949CC" w:rsidP="00C949CC">
      <w:pPr>
        <w:pStyle w:val="BoxBullet"/>
      </w:pPr>
      <w:r w:rsidRPr="2F1EB167">
        <w:t xml:space="preserve">There is uncertainty of vascular surgeons’ views regarding the device and its use in current practice. Prior to MSAC consideration, ESC requested the department should seek targeted feedback from vascular surgeons. </w:t>
      </w:r>
    </w:p>
    <w:p w14:paraId="384E84AF" w14:textId="77777777" w:rsidR="00C949CC" w:rsidRDefault="00C949CC" w:rsidP="00C949CC">
      <w:pPr>
        <w:pStyle w:val="BoxName0"/>
      </w:pPr>
      <w:r>
        <w:t>Economic issues:</w:t>
      </w:r>
    </w:p>
    <w:p w14:paraId="3744F282" w14:textId="24FBD96D" w:rsidR="00C949CC" w:rsidRPr="009C7143" w:rsidRDefault="00C949CC" w:rsidP="2F1EB167">
      <w:pPr>
        <w:pStyle w:val="BoxBullet"/>
        <w:rPr>
          <w:b/>
          <w:bCs/>
        </w:rPr>
      </w:pPr>
      <w:r w:rsidRPr="2F1EB167">
        <w:t xml:space="preserve">The updated ADAR CCA used index procedure stenting rates from the DISRUPT PAD III RCT: 4.6% for IVL and 18.3% for SBA. However, the baseline rate of 18.3% is substantially lower than 37.2% reported in the Australasian Vascular Audit (AVA) Report 2021–2023. The commentary generated an alternative base case CCA that used the AVA data for baseline stenting on the basis </w:t>
      </w:r>
      <w:r w:rsidR="008011B0">
        <w:t xml:space="preserve">that </w:t>
      </w:r>
      <w:r w:rsidRPr="2F1EB167">
        <w:t>it reflects local clinical practice. However, applying the trial relative risk of stent placement to AVA baseline rates resulted in a large absolute decrease in stenting, and it may not be reasonable to assume this will be realised in clinical practice where the decision to place a stent is not restricted by pre-specified intraoperative stenting criteria. The pre-ESC response noted the limitations in the evidence and agrees the AVA Report is the best source of clinical practice in Australia.</w:t>
      </w:r>
    </w:p>
    <w:p w14:paraId="6B184342" w14:textId="6CF1C354" w:rsidR="00C949CC" w:rsidRDefault="00C949CC" w:rsidP="00C949CC">
      <w:pPr>
        <w:pStyle w:val="BoxBullet"/>
      </w:pPr>
      <w:r w:rsidRPr="2F1EB167">
        <w:t>The only data in the CCA informed by the DISRUPT PAD III RCT was the index procedure stenting rate. The trial reported on clinically driven target lesion revascularisation (TLR) as a survival outcome, which was not statistically different between IVL and SBA. But as the trial did not report TLR rates, other sources were required for reintervention rates. The data supplied by the resubmission for two-year reintervention rates were not robust (see below two dot points):</w:t>
      </w:r>
    </w:p>
    <w:p w14:paraId="1CD9399C" w14:textId="77777777" w:rsidR="00C949CC" w:rsidRPr="009C7143" w:rsidRDefault="00C949CC" w:rsidP="00C949CC">
      <w:pPr>
        <w:pStyle w:val="BoxDash"/>
      </w:pPr>
      <w:r>
        <w:t>A</w:t>
      </w:r>
      <w:r w:rsidRPr="009C7143">
        <w:t>n editorial quoting 30</w:t>
      </w:r>
      <w:r>
        <w:t>–</w:t>
      </w:r>
      <w:r w:rsidRPr="009C7143">
        <w:t xml:space="preserve">40% reintervention at </w:t>
      </w:r>
      <w:r>
        <w:t>two </w:t>
      </w:r>
      <w:r w:rsidRPr="009C7143">
        <w:t>years was used for patients stented at index procedure, but only one of the cited publications was a primary study, and that study reported a TLR rate of 18.6%, which falls outside the quoted range</w:t>
      </w:r>
      <w:r>
        <w:t>.</w:t>
      </w:r>
    </w:p>
    <w:p w14:paraId="5483C83F" w14:textId="77777777" w:rsidR="00C949CC" w:rsidRDefault="00C949CC" w:rsidP="00C949CC">
      <w:pPr>
        <w:pStyle w:val="BoxDash"/>
      </w:pPr>
      <w:r>
        <w:t>The rate of TLR in non-stented patients was incorrectly reported in the ADAR as being from the DISRUPT PAD III RCT but appeared to be based on rate for open surgery TLR from the BASIL RCT (18.4%), potentially underestimating the</w:t>
      </w:r>
      <w:r>
        <w:rPr>
          <w:i/>
          <w:iCs/>
        </w:rPr>
        <w:t xml:space="preserve"> </w:t>
      </w:r>
      <w:r w:rsidRPr="00FE3753">
        <w:t>TLR rate for non-stented patients</w:t>
      </w:r>
      <w:r>
        <w:t xml:space="preserve">. In the alternative base case, the commentary used the overall TLR rate of 35.6% from the BASIL RCT for TLR following IVL. </w:t>
      </w:r>
    </w:p>
    <w:p w14:paraId="5EA60A07" w14:textId="77777777" w:rsidR="00C949CC" w:rsidRDefault="00C949CC" w:rsidP="00C949CC">
      <w:pPr>
        <w:pStyle w:val="BoxDash"/>
      </w:pPr>
      <w:r>
        <w:lastRenderedPageBreak/>
        <w:t xml:space="preserve">ESC revised the commentary alternative base case results to include updated hospital cost inputs. </w:t>
      </w:r>
      <w:r w:rsidRPr="009C7143">
        <w:t>Compared to the resubmission CCA (after correction of errors), the commentary base case</w:t>
      </w:r>
      <w:r>
        <w:t xml:space="preserve"> (following recalculation by ESC updating hospital costs)</w:t>
      </w:r>
      <w:r w:rsidRPr="009C7143">
        <w:t xml:space="preserve"> had a </w:t>
      </w:r>
      <w:r>
        <w:t>49</w:t>
      </w:r>
      <w:r w:rsidRPr="009C7143">
        <w:t xml:space="preserve">% lower incremental cost of IVL at </w:t>
      </w:r>
      <w:r>
        <w:t>two y</w:t>
      </w:r>
      <w:r w:rsidRPr="009C7143">
        <w:t xml:space="preserve">ears </w:t>
      </w:r>
      <w:r>
        <w:t xml:space="preserve">($1,887) </w:t>
      </w:r>
      <w:r w:rsidRPr="009C7143">
        <w:t>and twice the index stents avoided (27.8%). Amputations avoided more than doubled but remained low at 0.4%. Reinterventions were at parity because the commentary applied a single TLR rate to both arms of the analysis, regardless of stenting at index procedure. The reliability of these outputs, however, are subject to the serious limitations in the clinical evidence used to inform the CCA inputs.</w:t>
      </w:r>
    </w:p>
    <w:p w14:paraId="22DB9306" w14:textId="0BEE19CA" w:rsidR="00C949CC" w:rsidRPr="009C7143" w:rsidRDefault="00C949CC" w:rsidP="00C949CC">
      <w:pPr>
        <w:pStyle w:val="BoxBullet"/>
      </w:pPr>
      <w:r w:rsidRPr="2F1EB167">
        <w:t xml:space="preserve">The incremental cost of IVL is sensitive to the absolute difference in index procedure stenting rates between IVL and SBA. A sensitivity analysis using a post-IVL index stenting rate of 31.8% from the DISRUPT PAD III observational study increased the incremental cost of IVL to </w:t>
      </w:r>
      <w:r w:rsidRPr="2F1EB167">
        <w:rPr>
          <w:color w:val="auto"/>
        </w:rPr>
        <w:t xml:space="preserve">$4,703.62 </w:t>
      </w:r>
      <w:r w:rsidRPr="2F1EB167">
        <w:t xml:space="preserve">and decreased the stents avoided to 1.7%. It may be reasonable to consider this observational study to be a practical demonstration of stenting rates after IVL in clinical practice, without the stenting restrictions imposed on an RCT, and may be </w:t>
      </w:r>
      <w:proofErr w:type="gramStart"/>
      <w:r w:rsidRPr="2F1EB167">
        <w:t>similar to</w:t>
      </w:r>
      <w:proofErr w:type="gramEnd"/>
      <w:r w:rsidRPr="2F1EB167">
        <w:t xml:space="preserve"> current stenting rates in Australia.</w:t>
      </w:r>
    </w:p>
    <w:p w14:paraId="5CA416E8" w14:textId="77777777" w:rsidR="00C949CC" w:rsidRDefault="00C949CC" w:rsidP="00C949CC">
      <w:pPr>
        <w:pStyle w:val="BoxHeading"/>
      </w:pPr>
      <w:r>
        <w:t>Financial issues:</w:t>
      </w:r>
    </w:p>
    <w:p w14:paraId="1E0FB84C" w14:textId="13331159" w:rsidR="00C949CC" w:rsidRPr="007F77E0" w:rsidRDefault="00C949CC" w:rsidP="2F1EB167">
      <w:pPr>
        <w:pStyle w:val="BoxBullet"/>
        <w:rPr>
          <w:b/>
          <w:bCs/>
        </w:rPr>
      </w:pPr>
      <w:r w:rsidRPr="2F1EB167">
        <w:t xml:space="preserve">The ADAR analysis included PAD patients with severe calcification only. This was not consistent with the proposed MBS population and underestimates the overall net financial impact. The commentary provided updated estimates of proportion of PAD patients that included moderate and severe </w:t>
      </w:r>
      <w:r w:rsidR="008011B0">
        <w:t xml:space="preserve">calcification </w:t>
      </w:r>
      <w:r w:rsidRPr="2F1EB167">
        <w:t xml:space="preserve">based on registry data. ESC considered that updated estimates for both moderate and severe </w:t>
      </w:r>
      <w:r w:rsidR="008011B0">
        <w:t xml:space="preserve">calcification </w:t>
      </w:r>
      <w:r w:rsidRPr="2F1EB167">
        <w:t xml:space="preserve">populations separately would be useful for MSAC’s decision making. </w:t>
      </w:r>
    </w:p>
    <w:p w14:paraId="5C1DF24E" w14:textId="77777777" w:rsidR="00C949CC" w:rsidRPr="007F77E0" w:rsidRDefault="00C949CC" w:rsidP="00C949CC">
      <w:pPr>
        <w:pStyle w:val="BoxBullet"/>
        <w:rPr>
          <w:b/>
          <w:bCs/>
        </w:rPr>
      </w:pPr>
      <w:r w:rsidRPr="009C7143">
        <w:t xml:space="preserve">A market share approach was used, based on utilisation data from MBS items for transluminal balloon angioplasty, with or without stent insertion. These items are not confined to use in peripheral arteries nor index procedures, and this is likely to have overestimated the number of IVL services. </w:t>
      </w:r>
    </w:p>
    <w:p w14:paraId="03E58B1B" w14:textId="4D8D6F0D" w:rsidR="00C949CC" w:rsidRDefault="00C949CC" w:rsidP="00C949CC">
      <w:pPr>
        <w:pStyle w:val="BoxBullet"/>
      </w:pPr>
      <w:r w:rsidRPr="2F1EB167">
        <w:t>The financial impact analysis considered index treatment only. Utilisation and costs relating to reintervention after the index procedure were not considered.</w:t>
      </w:r>
    </w:p>
    <w:p w14:paraId="18164C73" w14:textId="70DA2345" w:rsidR="00C949CC" w:rsidRDefault="00C949CC" w:rsidP="00C949CC">
      <w:pPr>
        <w:pStyle w:val="BoxBullet"/>
      </w:pPr>
      <w:r w:rsidRPr="2F1EB167">
        <w:t>The existing MBS items used for the financial impact analysis are not specific to PAD and lower limbs.</w:t>
      </w:r>
    </w:p>
    <w:p w14:paraId="2A7F8FC0" w14:textId="612B303E" w:rsidR="00C949CC" w:rsidRPr="009C7143" w:rsidRDefault="00C949CC" w:rsidP="00C949CC">
      <w:pPr>
        <w:pStyle w:val="BoxBullet"/>
      </w:pPr>
      <w:r w:rsidRPr="008D5F27">
        <w:t>Changes to the cost of IVL catheters ($</w:t>
      </w:r>
      <w:r w:rsidR="00754E34" w:rsidRPr="00754E34">
        <w:rPr>
          <w:b/>
          <w:bCs/>
        </w:rPr>
        <w:t>redacted</w:t>
      </w:r>
      <w:r w:rsidRPr="008D5F27">
        <w:t xml:space="preserve"> each) or the number of IVL catheters used per procedure will increase costs to hospitals and/or private health insurers. Capital and maintenance costs for the IVL generator and connector cables (borne by hospitals) were not captured in the economic or financial analyses. </w:t>
      </w:r>
      <w:r>
        <w:t>The pre-ESC response confirmed IVL generators were provided to hospitals on loan but there was uncertainty around the long-term costs</w:t>
      </w:r>
      <w:r w:rsidRPr="008D5F27">
        <w:t>.</w:t>
      </w:r>
    </w:p>
    <w:p w14:paraId="60C7B159" w14:textId="77777777" w:rsidR="00C949CC" w:rsidRDefault="00C949CC" w:rsidP="00C949CC">
      <w:pPr>
        <w:spacing w:before="240"/>
        <w:rPr>
          <w:rStyle w:val="Strong"/>
        </w:rPr>
      </w:pPr>
      <w:r w:rsidRPr="00194327">
        <w:rPr>
          <w:rStyle w:val="Strong"/>
        </w:rPr>
        <w:t>ESC discussion</w:t>
      </w:r>
    </w:p>
    <w:p w14:paraId="67EB881C" w14:textId="77777777" w:rsidR="00C949CC" w:rsidRDefault="00C949CC" w:rsidP="00C949CC">
      <w:r>
        <w:t xml:space="preserve">ESC noted that this application was from Shockwave Medical Inc and Diverse Devices Pty Ltd was for Medicare Benefits Schedule (MBS) listing </w:t>
      </w:r>
      <w:r w:rsidRPr="008826A0">
        <w:t xml:space="preserve">for providing intravascular lithotripsy (IVL), as a stand-alone treatment or as a vessel preparation strategy </w:t>
      </w:r>
      <w:r>
        <w:t>before</w:t>
      </w:r>
      <w:r w:rsidRPr="008826A0">
        <w:t xml:space="preserve"> stent insertion or treatment with a drug-coated balloon (DCB), in patients with moderately or severely calcified peripheral arterial disease (PAD) in lower limbs and who are indicated for endovascular revascularisation</w:t>
      </w:r>
      <w:r>
        <w:t xml:space="preserve">. ESC noted that this application was first considered by MSAC in November 2023, where MSAC deferred its decision on listing IVL. </w:t>
      </w:r>
    </w:p>
    <w:p w14:paraId="51D17FC6" w14:textId="75019901" w:rsidR="00C949CC" w:rsidRDefault="00C949CC" w:rsidP="00C949CC">
      <w:r w:rsidRPr="2F1EB167">
        <w:t>ESC noted that there was no public consultation feedback provided for this resubmission. ESC considered that it would be helpful for MSAC decision-making if targeted consultation advice could be sought by the department from vascular surgeons to determine vascular surgeons’ views regarding the device and use of the device in current practice.</w:t>
      </w:r>
    </w:p>
    <w:p w14:paraId="6D1FB475" w14:textId="77777777" w:rsidR="00C949CC" w:rsidRDefault="00C949CC" w:rsidP="00C949CC">
      <w:r>
        <w:lastRenderedPageBreak/>
        <w:t>ESC noted the two proposed PICO populations were as follows:</w:t>
      </w:r>
    </w:p>
    <w:p w14:paraId="745ACB10" w14:textId="04BFFA5F" w:rsidR="00C949CC" w:rsidRPr="00677FC5" w:rsidRDefault="00C949CC" w:rsidP="2F1EB167">
      <w:pPr>
        <w:pStyle w:val="Bullet"/>
        <w:numPr>
          <w:ilvl w:val="0"/>
          <w:numId w:val="0"/>
        </w:numPr>
        <w:spacing w:before="0"/>
        <w:ind w:left="360"/>
        <w:rPr>
          <w:rFonts w:ascii="Franklin Gothic Book" w:hAnsi="Franklin Gothic Book"/>
        </w:rPr>
      </w:pPr>
      <w:r w:rsidRPr="2F1EB167">
        <w:rPr>
          <w:rFonts w:ascii="Franklin Gothic Book" w:hAnsi="Franklin Gothic Book"/>
        </w:rPr>
        <w:t>PICO set 1: patients with PAD who have moderately or severely calcified lesions in their lower limb(s), who are indicated for endovascular revascularisation and do not require subsequent treatment following balloon dilation (that is, IVL is a stand-alone treatment). The comparator is standard balloon angioplasty [SBA].</w:t>
      </w:r>
    </w:p>
    <w:p w14:paraId="5A2D07A4" w14:textId="77777777" w:rsidR="00C949CC" w:rsidRDefault="00C949CC" w:rsidP="00C949CC">
      <w:pPr>
        <w:pStyle w:val="BulletLast"/>
        <w:ind w:left="360"/>
      </w:pPr>
      <w:r>
        <w:tab/>
      </w:r>
      <w:r w:rsidRPr="2F1EB167">
        <w:t>PICO set 2: patients with PAD who have moderately or severely calcified lesions in their lower limb(s) who are indicated for endovascular revascularisation and require subsequent treatment following balloon dilation (that is, IVL is used in combination with other therapy). The comparator is DCB and/or stent insertion.</w:t>
      </w:r>
    </w:p>
    <w:p w14:paraId="0C8B0EE6" w14:textId="3E20E2CA" w:rsidR="00C949CC" w:rsidRDefault="00C949CC" w:rsidP="00C949CC">
      <w:r w:rsidRPr="2F1EB167">
        <w:t>ESC noted that MSAC previously considered the two PICO populations presented did not accurately reflect Australian clinical practice and that it would be difficult to determine preoperatively which patients would only require stand-alone treatment, therefore MSAC recommended that the populations be merged for a resubmission. ESC noted that the resubmission had merged the two populations as per MSAC recommendations. However, ESC recalled that comparative data was only available for PICO set 2.</w:t>
      </w:r>
    </w:p>
    <w:p w14:paraId="4DC74BBF" w14:textId="77777777" w:rsidR="00C949CC" w:rsidRDefault="00C949CC" w:rsidP="00C949CC">
      <w:r>
        <w:t xml:space="preserve">ESC noted that, although there were classification systems available for the different degrees of calcification (including from NICE), it was unclear how often these were used in clinical practice and how easy they were to interpret and adopt. ESC considered that it was important to understand the classification distinction between moderate vs. severe calcification and how this distinction is made in clinical practice. </w:t>
      </w:r>
    </w:p>
    <w:p w14:paraId="71B1AF15" w14:textId="0FA615D2" w:rsidR="00C949CC" w:rsidRDefault="00C949CC" w:rsidP="00C949CC">
      <w:r w:rsidRPr="2F1EB167">
        <w:t>ESC noted the November 2023 PSD where MSAC considered that there is likely superior procedural effectiveness and non-inferior safety for IVL compared to SBA when used as a vessel preparation strategy prior to stent insertion or treatment with a DCB. However, MSAC acknowledged at the time that there was a lack of evidence regarding long-term safety. MSAC also considered that there was weak evidence for superior effectiveness and non-inferior safety compared to SBA when IVL is employed as a stand-alone therapy, when compared to balloon angioplasty. MSAC had noted that the overall evidence did not demonstrate any patient-reported outcomes such as quality of life (QoL) benefit, ankle-brachial index scores or walking improvement, nor any survival benefit demonstrated either directly, or from any linked evidence on avoidance of stenting. ESC noted that the current application did not provide any new evidence. ESC recalled that the previous evidence for comparative effectiveness included variable criteria for inclusion, outcomes, endpoints, follow-up and definition of calcification. The trials involved small numbers and only one randomised control trial (RCT) was included. However, ESC noted that MSAC’s deferral of the November 2023 submission was predominately due to uncertainties with the economic model and considered that the previous MSAC concerns about the quality of the evidence had not been altered.</w:t>
      </w:r>
    </w:p>
    <w:p w14:paraId="4896AA85" w14:textId="1A010B6E" w:rsidR="00C949CC" w:rsidRDefault="00C949CC" w:rsidP="00C949CC">
      <w:r w:rsidRPr="2F1EB167">
        <w:t>ESC noted the proposed clinical management pathway and that, after the use of IVL, clinical judgement would be used to determine whether other treatments were required for management of the remaining lesion. ESC considered that the initial steps of the clinical management pathway were appropriate but queried the evidence base for the final steps of the pathway, which detailed adjunctive treatments to be used following IV lithotripsy. ESC recalled that there was no comparative data provided that supported stand-alone IVL. Comparative data was only provided for IVL when used in conjunction with, or as an adjunct to, other therapies. Therefore, ESC considered that IVL would most likely be used as an ancillary therapy to DCB or prior to stenting. Additionally, ESC considered that it would be unusual to use atherectomy after IVL (as detailed in the clinical management pathway), and that it would be more appropriately placed as an alternative to IVL.</w:t>
      </w:r>
    </w:p>
    <w:p w14:paraId="57188DC0" w14:textId="29593B13" w:rsidR="00C949CC" w:rsidRDefault="00C949CC" w:rsidP="00C949CC">
      <w:r w:rsidRPr="2F1EB167">
        <w:lastRenderedPageBreak/>
        <w:t xml:space="preserve">ESC noted MSAC previously recommended that the ADAR should consider the implications of the impending National Institute for Health and Care Excellence (NICE) guidelines on IVL (updated early 2024). ESC noted that the now updated NICE guidelines for IVL support MSAC’s previous conclusions that IVL is likely safe, but that there is a lack of supportive long-term data. The guidelines state that IVL for calcified arteries in PAD should only be used with special arrangements for clinical governance, consent, and audit or research. They also state that clinicians who want to use IVL for calcified arteries in PAD should audit and review clinical outcomes of patients that have the procedure, and that healthcare organisations should regularly review data on outcomes and safety. Finally, NICE encourages further research into IVL for calcified arteries in PAD. ESC considered that the resubmission did not specifically address </w:t>
      </w:r>
      <w:proofErr w:type="gramStart"/>
      <w:r w:rsidRPr="2F1EB167">
        <w:t>all of</w:t>
      </w:r>
      <w:proofErr w:type="gramEnd"/>
      <w:r w:rsidRPr="2F1EB167">
        <w:t xml:space="preserve"> the recommendations as per the updated NICE guidelines.</w:t>
      </w:r>
    </w:p>
    <w:p w14:paraId="6402EBFE" w14:textId="12872186" w:rsidR="00C949CC" w:rsidRDefault="00C949CC" w:rsidP="00C949CC">
      <w:r w:rsidRPr="2F1EB167">
        <w:t>ESC noted that the pre-ESC response stated that bailout stenting placement, which increases costs, was likely to be lower in the IVL group. ESC considered this was reasonable as low-pressure balloon inflation and lithotripsy was less likely to result in occlusive dissection of the artery. ESC considered that stenting rates would be lower in RCTs than in real-world practice.</w:t>
      </w:r>
    </w:p>
    <w:p w14:paraId="5F246908" w14:textId="1C691794" w:rsidR="00C949CC" w:rsidRDefault="00C949CC" w:rsidP="00C949CC">
      <w:r w:rsidRPr="2F1EB167">
        <w:t xml:space="preserve">ESC recalled that all the provided evidence was related to lower limb intervention, however noted that the proposed MBS item descriptor in the resubmission did not specify lower limbs. ESC noted from the pre-ESC response that upper-limb </w:t>
      </w:r>
      <w:proofErr w:type="spellStart"/>
      <w:r w:rsidRPr="2F1EB167">
        <w:t>ischaemia</w:t>
      </w:r>
      <w:proofErr w:type="spellEnd"/>
      <w:r w:rsidRPr="2F1EB167">
        <w:t xml:space="preserve"> is highly unlikely but still possible, therefore ESC considered that the item descriptor should specify “of one lower limb” to ensure the target population is consistent with the evidence presented. ESC also noted that the descriptor did not specify how often the treatment is applicable, which it considered reasonable given that long-term data are not available.</w:t>
      </w:r>
    </w:p>
    <w:p w14:paraId="12DE381E" w14:textId="59B1D502" w:rsidR="00C949CC" w:rsidRDefault="00C949CC" w:rsidP="00C949CC">
      <w:r w:rsidRPr="2F1EB167">
        <w:t>ESC noted MSAC’s previous advice to the applicant to revise the economic model to a cost-consequence analysis rather than a cost-utility analysis and revisit the cost calculations based on a consolidated PICO set.</w:t>
      </w:r>
    </w:p>
    <w:p w14:paraId="721B9310" w14:textId="77777777" w:rsidR="00C949CC" w:rsidRDefault="00C949CC" w:rsidP="00C949CC">
      <w:r>
        <w:t>ESC noted that, for the economic evaluation, p</w:t>
      </w:r>
      <w:r w:rsidRPr="008665A5">
        <w:t xml:space="preserve">rocedures </w:t>
      </w:r>
      <w:r>
        <w:t>we</w:t>
      </w:r>
      <w:r w:rsidRPr="008665A5">
        <w:t>re spilt into an index procedure, where IVL or SBA is used</w:t>
      </w:r>
      <w:r>
        <w:t>,</w:t>
      </w:r>
      <w:r w:rsidRPr="008665A5">
        <w:t xml:space="preserve"> followed by a </w:t>
      </w:r>
      <w:r>
        <w:t>two-</w:t>
      </w:r>
      <w:r w:rsidRPr="008665A5">
        <w:t>year reintervention period. At the index stage</w:t>
      </w:r>
      <w:r>
        <w:t>,</w:t>
      </w:r>
      <w:r w:rsidRPr="008665A5">
        <w:t xml:space="preserve"> the patient has success with </w:t>
      </w:r>
      <w:r>
        <w:t xml:space="preserve">an </w:t>
      </w:r>
      <w:r w:rsidRPr="008665A5">
        <w:t>IVL or SBA stent with or without provisional stent placement. A proportion go</w:t>
      </w:r>
      <w:r>
        <w:t xml:space="preserve"> </w:t>
      </w:r>
      <w:r w:rsidRPr="008665A5">
        <w:t>on to have reintervention</w:t>
      </w:r>
      <w:r>
        <w:t>,</w:t>
      </w:r>
      <w:r w:rsidRPr="008665A5">
        <w:t xml:space="preserve"> either as endovascular intervention, open surgery</w:t>
      </w:r>
      <w:r>
        <w:t xml:space="preserve"> or, </w:t>
      </w:r>
      <w:r w:rsidRPr="008665A5">
        <w:t>in a small number of cases</w:t>
      </w:r>
      <w:r>
        <w:t>,</w:t>
      </w:r>
      <w:r w:rsidRPr="008665A5">
        <w:t xml:space="preserve"> amputation. </w:t>
      </w:r>
      <w:r>
        <w:t>ESC noted that,</w:t>
      </w:r>
      <w:r w:rsidRPr="008665A5">
        <w:t xml:space="preserve"> due to the limitations of the trial data, rate of stent</w:t>
      </w:r>
      <w:r>
        <w:t>ing</w:t>
      </w:r>
      <w:r w:rsidRPr="008665A5">
        <w:t xml:space="preserve"> at the index procedure is only used in one input in the model</w:t>
      </w:r>
      <w:r>
        <w:t>.</w:t>
      </w:r>
    </w:p>
    <w:p w14:paraId="26E5C78C" w14:textId="30D371AC" w:rsidR="00C949CC" w:rsidRDefault="00C949CC" w:rsidP="00C949CC">
      <w:r w:rsidRPr="2F1EB167">
        <w:t>ESC noted that the evidence concerns carried through to the economic model – a cost-consequence analysis (CCA) – which ESC did not consider to be robust enough to accurately predict costs and consequences. ESC noted that there were also errors in the model that required revision by the commentary and further revisions by ESC. ESC noted and agreed that the cost inputs corrected by the commentary were reasonable</w:t>
      </w:r>
      <w:r w:rsidR="00964158">
        <w:t>;</w:t>
      </w:r>
      <w:r w:rsidRPr="2F1EB167">
        <w:t xml:space="preserve"> however, ESC noted that the commentary alternative base case used outdated hospital costs. The commentary cost inputs and alternative base case were revised with the updated hospital costs and considered by ESC. The results of the recalculated commentary CCA have been updated throughout the ESC report. </w:t>
      </w:r>
    </w:p>
    <w:p w14:paraId="58250DB7" w14:textId="5497B075" w:rsidR="00C949CC" w:rsidRPr="00130E89" w:rsidRDefault="00C949CC" w:rsidP="00C949CC">
      <w:r w:rsidRPr="2F1EB167">
        <w:t xml:space="preserve">ESC noted that the key uncertainty with the economic model was whether the trial stenting rates reflect clinical practice (the baseline rate of stenting in the RCT is lower than what is observed in Australian practice). In their pre-ESC response, the applicant agreed that there were limitations in the evidence but that the stenting rates were reasonable. ESC noted that this </w:t>
      </w:r>
      <w:r w:rsidR="00964158">
        <w:t xml:space="preserve">assumption </w:t>
      </w:r>
      <w:r w:rsidRPr="2F1EB167">
        <w:t xml:space="preserve">favoured the intervention. In a sensitivity analysis, the applicants applied the baseline rate of stenting from the Australasian Vascular Audit (AVA) Report (2021), but then needed to rely on the relative risk (RR) from the DISRUPT PAD III trial to determine the absolute rate of stents. ESC considered that this combination of inputs further contributes to the uncertainty in the economic model, as it is questionable if this is plausible in clinical practice. ESC noted that the stenting </w:t>
      </w:r>
      <w:r w:rsidRPr="2F1EB167">
        <w:lastRenderedPageBreak/>
        <w:t>rates have flow-on effects to reintervention rates, which favour the intervention. ESC noted that of the 100 patients, 2 end up with open procedure in the IVL arm and 8 in the SBA arm.</w:t>
      </w:r>
    </w:p>
    <w:p w14:paraId="208C06BD" w14:textId="1DA3CB71" w:rsidR="00C949CC" w:rsidRDefault="00C949CC" w:rsidP="00C949CC">
      <w:r w:rsidRPr="2F1EB167">
        <w:t>ESC noted that the cost of the device was offset by additional hospital costs, due to the higher stent rate (around 37%) post-SBA. ESC noted that this absolute change is driven by applying the AVA rates from clinical practice to the trial RR (which is uncertain). ESC considered that this combination of inputs produces an absolute change that may not be reflected in clinical practice. ESC noted that the flow-on effects of the stent rates on reintervention is an approximately $950 difference in open surgery costs, although this is uncertain due to a lack of long-term data.</w:t>
      </w:r>
    </w:p>
    <w:p w14:paraId="36EB51A9" w14:textId="33756752" w:rsidR="00C949CC" w:rsidRPr="008826A0" w:rsidRDefault="00C949CC" w:rsidP="00C949CC">
      <w:r w:rsidRPr="2F1EB167">
        <w:t>ESC noted that the commentary presented several sensitivity analyses that tested the rates of stents in both arms</w:t>
      </w:r>
      <w:r w:rsidR="00E52C7D">
        <w:t xml:space="preserve"> of the economic model</w:t>
      </w:r>
      <w:r w:rsidRPr="2F1EB167">
        <w:t>. Removing the difference in stent rates between the arms resulted in higher incremental costs. ESC considered that uncertainty around the actual rate of stent insertion in clinical practice impacted the certainty of the sensitivity analyses for reintervention.</w:t>
      </w:r>
    </w:p>
    <w:p w14:paraId="7CA8816E" w14:textId="3883762D" w:rsidR="00C949CC" w:rsidRDefault="00C949CC" w:rsidP="00C949CC">
      <w:r w:rsidRPr="2F1EB167">
        <w:t>ESC noted that a market-share approach was used to determine the financial impact. ESC considered that the main issue was that the analysis included patients with severe calcification only, rather than both moderate and severe (the proposed MBS population), underestimating the population and financial impact. ESC noted that the main driver of the financials was the cost of the device (borne by the hospitals) plus hospital costs (which will be higher than what was originally proposed).</w:t>
      </w:r>
    </w:p>
    <w:p w14:paraId="677A4C46" w14:textId="6B0BA538" w:rsidR="00C949CC" w:rsidRDefault="00C949CC" w:rsidP="00C949CC">
      <w:r>
        <w:t>ESC noted that several</w:t>
      </w:r>
      <w:r w:rsidRPr="00A40601">
        <w:t xml:space="preserve"> costs ha</w:t>
      </w:r>
      <w:r>
        <w:t xml:space="preserve">d </w:t>
      </w:r>
      <w:r w:rsidRPr="00A40601">
        <w:t>been identified as missing</w:t>
      </w:r>
      <w:r>
        <w:t xml:space="preserve"> – including</w:t>
      </w:r>
      <w:r w:rsidRPr="00A40601">
        <w:t xml:space="preserve"> </w:t>
      </w:r>
      <w:r>
        <w:t>r</w:t>
      </w:r>
      <w:r w:rsidRPr="00A40601">
        <w:t xml:space="preserve">eintervention procedures </w:t>
      </w:r>
      <w:r w:rsidR="00964158">
        <w:t xml:space="preserve">that </w:t>
      </w:r>
      <w:r>
        <w:t>we</w:t>
      </w:r>
      <w:r w:rsidRPr="00A40601">
        <w:t>re not costed</w:t>
      </w:r>
      <w:r>
        <w:t xml:space="preserve"> (unknown due to a lack of long-term data)</w:t>
      </w:r>
      <w:r w:rsidRPr="00A40601">
        <w:t xml:space="preserve"> </w:t>
      </w:r>
      <w:r>
        <w:t>and m</w:t>
      </w:r>
      <w:r w:rsidRPr="00A40601">
        <w:t xml:space="preserve">ultiple procedures per person </w:t>
      </w:r>
      <w:r w:rsidR="00964158">
        <w:t xml:space="preserve">that </w:t>
      </w:r>
      <w:r>
        <w:t xml:space="preserve">were </w:t>
      </w:r>
      <w:r w:rsidRPr="00A40601">
        <w:t xml:space="preserve">not considered </w:t>
      </w:r>
      <w:r>
        <w:t>(which</w:t>
      </w:r>
      <w:r w:rsidRPr="00A40601">
        <w:t xml:space="preserve"> will increase the estimated population</w:t>
      </w:r>
      <w:r>
        <w:t xml:space="preserve">; the pre-ESC response </w:t>
      </w:r>
      <w:r w:rsidRPr="00A40601">
        <w:t>estimate</w:t>
      </w:r>
      <w:r>
        <w:t>d that</w:t>
      </w:r>
      <w:r w:rsidRPr="00A40601">
        <w:t xml:space="preserve"> &gt;30% will need </w:t>
      </w:r>
      <w:r>
        <w:t xml:space="preserve">another procedure </w:t>
      </w:r>
      <w:r w:rsidRPr="00A40601">
        <w:t xml:space="preserve">within </w:t>
      </w:r>
      <w:r>
        <w:t>five </w:t>
      </w:r>
      <w:r w:rsidRPr="00A40601">
        <w:t>years</w:t>
      </w:r>
      <w:r>
        <w:t>). ESC considered that the estimates should</w:t>
      </w:r>
      <w:r w:rsidRPr="00A40601">
        <w:t xml:space="preserve"> reflect</w:t>
      </w:r>
      <w:r>
        <w:t xml:space="preserve"> usage and costs for</w:t>
      </w:r>
      <w:r w:rsidRPr="00A40601">
        <w:t xml:space="preserve"> lower limb</w:t>
      </w:r>
      <w:r w:rsidR="00782E23">
        <w:t xml:space="preserve"> interventions</w:t>
      </w:r>
      <w:r>
        <w:t>.</w:t>
      </w:r>
    </w:p>
    <w:p w14:paraId="59CD083F" w14:textId="77777777" w:rsidR="00C949CC" w:rsidRDefault="00C949CC" w:rsidP="00C949CC">
      <w:r>
        <w:t>Other missing costs that should have been included were for</w:t>
      </w:r>
      <w:r w:rsidRPr="00A40601">
        <w:t xml:space="preserve"> an</w:t>
      </w:r>
      <w:r>
        <w:t>a</w:t>
      </w:r>
      <w:r w:rsidRPr="00A40601">
        <w:t>esthesia</w:t>
      </w:r>
      <w:r>
        <w:t xml:space="preserve"> (the policy paper stated that the procedure time for IVL is an additional 33.4 minutes)</w:t>
      </w:r>
      <w:r w:rsidRPr="00A40601">
        <w:t xml:space="preserve">, fluoroscopy and the capital costs of </w:t>
      </w:r>
      <w:r>
        <w:t xml:space="preserve">the </w:t>
      </w:r>
      <w:r w:rsidRPr="00A40601">
        <w:t>IVL generator</w:t>
      </w:r>
      <w:r>
        <w:t>; the p</w:t>
      </w:r>
      <w:r w:rsidRPr="00A40601">
        <w:t>re</w:t>
      </w:r>
      <w:r>
        <w:t>-</w:t>
      </w:r>
      <w:r w:rsidRPr="00A40601">
        <w:t xml:space="preserve">ESC </w:t>
      </w:r>
      <w:r>
        <w:t xml:space="preserve">response </w:t>
      </w:r>
      <w:r w:rsidRPr="00A40601">
        <w:t>state</w:t>
      </w:r>
      <w:r>
        <w:t>d that the generator</w:t>
      </w:r>
      <w:r w:rsidRPr="00A40601">
        <w:t xml:space="preserve"> will be on loan from </w:t>
      </w:r>
      <w:r>
        <w:t>the applicant to the hospitals, but ESC considered there was uncertainty about the costs over the duration of the loan for the generators.</w:t>
      </w:r>
      <w:r w:rsidRPr="00A40601">
        <w:t xml:space="preserve"> </w:t>
      </w:r>
      <w:r>
        <w:t>Additionally, ESC noted t</w:t>
      </w:r>
      <w:r w:rsidRPr="00A40601">
        <w:t xml:space="preserve">here </w:t>
      </w:r>
      <w:r>
        <w:t>we</w:t>
      </w:r>
      <w:r w:rsidRPr="00A40601">
        <w:t xml:space="preserve">re some </w:t>
      </w:r>
      <w:r>
        <w:t>out-of-pocket costs for consumables that were not considered, such as for the introducer sheath and the guide wire</w:t>
      </w:r>
      <w:r w:rsidRPr="00A40601">
        <w:t>.</w:t>
      </w:r>
      <w:r>
        <w:t xml:space="preserve"> </w:t>
      </w:r>
    </w:p>
    <w:p w14:paraId="29C24B87" w14:textId="560325CE" w:rsidR="00C949CC" w:rsidRDefault="00C949CC" w:rsidP="00C949CC">
      <w:r w:rsidRPr="2F1EB167">
        <w:t xml:space="preserve">ESC advised that inclusion of separate financial impact analyses and costs for both the moderate and severe calcification patients would be useful for MSAC decision making. </w:t>
      </w:r>
    </w:p>
    <w:p w14:paraId="1DD85070" w14:textId="77777777" w:rsidR="00C949CC" w:rsidRDefault="00C949CC" w:rsidP="00C949CC">
      <w:r>
        <w:t>Overall, ESC considered IVL to be an intuitively low-risk and clinically effective therapy for peripheral calcium modification. ESC considered that long term data with hard endpoints to support clinical utility and cost benefit of IVL as both an adjunct and stand-alone therapy was not available.</w:t>
      </w:r>
      <w:r w:rsidRPr="0082344D">
        <w:t xml:space="preserve"> </w:t>
      </w:r>
    </w:p>
    <w:p w14:paraId="0E929CBA" w14:textId="70512A60" w:rsidR="00C949CC" w:rsidRDefault="00C949CC" w:rsidP="00C949CC">
      <w:r w:rsidRPr="2F1EB167">
        <w:t>ESC noted that early results from the Disrupt PAD BTK (below the knee) study of the Shockwave IVL system for treatment of calcified below-the-knee PAD demonstrated favourable procedural outcomes, with low angiographic complication rates and a significant reduction in residual stenosis. ESC noted that this ongoing trial is expected to be published in 2025 and considered that this study may be relevant to the current application.</w:t>
      </w:r>
    </w:p>
    <w:p w14:paraId="07D8BA9F" w14:textId="29F84CF9" w:rsidR="00A106A5" w:rsidRDefault="00A106A5" w:rsidP="00A106A5">
      <w:pPr>
        <w:pStyle w:val="Heading2"/>
        <w:numPr>
          <w:ilvl w:val="0"/>
          <w:numId w:val="0"/>
        </w:numPr>
        <w:tabs>
          <w:tab w:val="num" w:pos="360"/>
        </w:tabs>
      </w:pPr>
      <w:r>
        <w:t>17.</w:t>
      </w:r>
      <w:r>
        <w:tab/>
      </w:r>
      <w:r w:rsidRPr="00835672">
        <w:t>Applicant comments on MSAC’s Public Summary Document</w:t>
      </w:r>
    </w:p>
    <w:p w14:paraId="5C06E396" w14:textId="2B4F6217" w:rsidR="00A535BD" w:rsidRPr="00A535BD" w:rsidRDefault="00A535BD" w:rsidP="00A535BD">
      <w:r>
        <w:t>Nil.</w:t>
      </w:r>
    </w:p>
    <w:p w14:paraId="5590376F" w14:textId="4DBEAD74" w:rsidR="00A106A5" w:rsidRPr="00A106A5" w:rsidRDefault="00A106A5" w:rsidP="00A106A5">
      <w:pPr>
        <w:pStyle w:val="Heading2"/>
        <w:numPr>
          <w:ilvl w:val="0"/>
          <w:numId w:val="0"/>
        </w:numPr>
        <w:tabs>
          <w:tab w:val="num" w:pos="360"/>
        </w:tabs>
      </w:pPr>
      <w:r>
        <w:lastRenderedPageBreak/>
        <w:t>18.</w:t>
      </w:r>
      <w:r>
        <w:tab/>
      </w:r>
      <w:r w:rsidRPr="00835672">
        <w:t>Further information on MSAC</w:t>
      </w:r>
    </w:p>
    <w:p w14:paraId="7DA9640F" w14:textId="271122FE" w:rsidR="00C949CC" w:rsidRPr="00A106A5" w:rsidRDefault="00A106A5" w:rsidP="00A106A5">
      <w:pPr>
        <w:pStyle w:val="BodyText"/>
        <w:rPr>
          <w:b/>
          <w:bCs/>
          <w:i/>
          <w:iCs/>
        </w:rPr>
      </w:pPr>
      <w:r w:rsidRPr="00835672">
        <w:rPr>
          <w:bCs/>
          <w:iCs/>
        </w:rPr>
        <w:t xml:space="preserve">MSAC Terms of Reference and other information are available on the MSAC Website: </w:t>
      </w:r>
      <w:hyperlink r:id="rId30" w:tooltip="Link to the MSAC website" w:history="1">
        <w:r w:rsidRPr="00835672">
          <w:rPr>
            <w:rStyle w:val="Hyperlink"/>
            <w:iCs/>
          </w:rPr>
          <w:t>visit the MSAC website</w:t>
        </w:r>
      </w:hyperlink>
    </w:p>
    <w:sectPr w:rsidR="00C949CC" w:rsidRPr="00A106A5" w:rsidSect="001E00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E60F5" w14:textId="77777777" w:rsidR="00DE7084" w:rsidRDefault="00DE7084" w:rsidP="00B62DF2">
      <w:pPr>
        <w:spacing w:after="0" w:line="240" w:lineRule="auto"/>
      </w:pPr>
      <w:r>
        <w:separator/>
      </w:r>
    </w:p>
  </w:endnote>
  <w:endnote w:type="continuationSeparator" w:id="0">
    <w:p w14:paraId="0D009AB6" w14:textId="77777777" w:rsidR="00DE7084" w:rsidRDefault="00DE7084" w:rsidP="00B62DF2">
      <w:pPr>
        <w:spacing w:after="0" w:line="240" w:lineRule="auto"/>
      </w:pPr>
      <w:r>
        <w:continuationSeparator/>
      </w:r>
    </w:p>
  </w:endnote>
  <w:endnote w:type="continuationNotice" w:id="1">
    <w:p w14:paraId="77875855" w14:textId="77777777" w:rsidR="00DE7084" w:rsidRDefault="00DE70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460831"/>
      <w:docPartObj>
        <w:docPartGallery w:val="Page Numbers (Bottom of Page)"/>
        <w:docPartUnique/>
      </w:docPartObj>
    </w:sdtPr>
    <w:sdtEndPr>
      <w:rPr>
        <w:noProof/>
      </w:rPr>
    </w:sdtEndPr>
    <w:sdtContent>
      <w:p w14:paraId="6E76D499" w14:textId="3A79EC70" w:rsidR="005947B5" w:rsidRDefault="005947B5" w:rsidP="00B3238A">
        <w:pPr>
          <w:pStyle w:val="Footer"/>
          <w:jc w:val="right"/>
        </w:pPr>
        <w:r>
          <w:fldChar w:fldCharType="begin"/>
        </w:r>
        <w:r>
          <w:instrText xml:space="preserve"> PAGE   \* MERGEFORMAT </w:instrText>
        </w:r>
        <w:r>
          <w:fldChar w:fldCharType="separate"/>
        </w:r>
        <w:r w:rsidR="00120BD3">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4847"/>
      <w:docPartObj>
        <w:docPartGallery w:val="Page Numbers (Bottom of Page)"/>
        <w:docPartUnique/>
      </w:docPartObj>
    </w:sdtPr>
    <w:sdtEndPr>
      <w:rPr>
        <w:noProof/>
      </w:rPr>
    </w:sdtEndPr>
    <w:sdtContent>
      <w:p w14:paraId="6BE9385A" w14:textId="265721CB" w:rsidR="005947B5" w:rsidRDefault="005947B5" w:rsidP="00052DD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A6E15" w14:textId="77777777" w:rsidR="00DE7084" w:rsidRDefault="00DE7084" w:rsidP="00B62DF2">
      <w:pPr>
        <w:spacing w:after="0" w:line="240" w:lineRule="auto"/>
      </w:pPr>
      <w:r>
        <w:separator/>
      </w:r>
    </w:p>
  </w:footnote>
  <w:footnote w:type="continuationSeparator" w:id="0">
    <w:p w14:paraId="0E6D5922" w14:textId="77777777" w:rsidR="00DE7084" w:rsidRDefault="00DE7084" w:rsidP="00B62DF2">
      <w:pPr>
        <w:spacing w:after="0" w:line="240" w:lineRule="auto"/>
      </w:pPr>
      <w:r>
        <w:continuationSeparator/>
      </w:r>
    </w:p>
  </w:footnote>
  <w:footnote w:type="continuationNotice" w:id="1">
    <w:p w14:paraId="0A6675EA" w14:textId="77777777" w:rsidR="00DE7084" w:rsidRDefault="00DE7084">
      <w:pPr>
        <w:spacing w:before="0" w:after="0" w:line="240" w:lineRule="auto"/>
      </w:pPr>
    </w:p>
  </w:footnote>
  <w:footnote w:id="2">
    <w:p w14:paraId="5BEF9E5D" w14:textId="77777777" w:rsidR="00947E1D" w:rsidRDefault="00947E1D" w:rsidP="00947E1D">
      <w:pPr>
        <w:pStyle w:val="FootnoteText"/>
      </w:pPr>
      <w:r>
        <w:rPr>
          <w:rStyle w:val="FootnoteReference"/>
        </w:rPr>
        <w:footnoteRef/>
      </w:r>
      <w:r>
        <w:t xml:space="preserve"> </w:t>
      </w:r>
      <w:r w:rsidRPr="000577EA">
        <w:t>Lopez-Pena G, Musto L, Finch SL, Bown MJ, Davies R, Sohrabi S, Rees O, Lakshminarayan R, Saratzis</w:t>
      </w:r>
      <w:r>
        <w:t xml:space="preserve"> </w:t>
      </w:r>
      <w:r w:rsidRPr="000577EA">
        <w:t xml:space="preserve">A on behalf of SHOCC Investigators. </w:t>
      </w:r>
      <w:r>
        <w:t>(2024) ‘</w:t>
      </w:r>
      <w:r w:rsidRPr="000577EA">
        <w:t>SHOCkwave lithotripsy for patients with peripheral arterial disease: the SHOCC study</w:t>
      </w:r>
      <w:r>
        <w:t>’,</w:t>
      </w:r>
      <w:r w:rsidRPr="000577EA">
        <w:t xml:space="preserve"> </w:t>
      </w:r>
      <w:r w:rsidRPr="00A20DE1">
        <w:rPr>
          <w:i/>
          <w:iCs/>
        </w:rPr>
        <w:t>J Vasc Soc G B Irel</w:t>
      </w:r>
      <w:r>
        <w:t>,</w:t>
      </w:r>
      <w:r w:rsidRPr="000577EA">
        <w:t xml:space="preserve"> 3(3):140-146. doi: 10.54522/jvsgbi.2024.126</w:t>
      </w:r>
    </w:p>
  </w:footnote>
  <w:footnote w:id="3">
    <w:p w14:paraId="129B462E" w14:textId="77777777" w:rsidR="00947E1D" w:rsidRDefault="00947E1D" w:rsidP="00947E1D">
      <w:pPr>
        <w:pStyle w:val="FootnoteText"/>
      </w:pPr>
      <w:r>
        <w:rPr>
          <w:rStyle w:val="FootnoteReference"/>
        </w:rPr>
        <w:footnoteRef/>
      </w:r>
      <w:r>
        <w:t xml:space="preserve"> </w:t>
      </w:r>
      <w:r w:rsidRPr="00EA2BBC">
        <w:t>Colacchio, EC, Salcuni M, Gasparre</w:t>
      </w:r>
      <w:r>
        <w:t xml:space="preserve"> </w:t>
      </w:r>
      <w:r w:rsidRPr="00EA2BBC">
        <w:t xml:space="preserve">A, Giorgio D, Barile D, Bussetti F, Antonello M, Colacchio G. (2022). </w:t>
      </w:r>
      <w:r>
        <w:t>‘</w:t>
      </w:r>
      <w:r w:rsidRPr="00EA2BBC">
        <w:t xml:space="preserve">Midterm </w:t>
      </w:r>
      <w:r>
        <w:t>r</w:t>
      </w:r>
      <w:r w:rsidRPr="00EA2BBC">
        <w:t xml:space="preserve">esults of </w:t>
      </w:r>
      <w:r>
        <w:t>i</w:t>
      </w:r>
      <w:r w:rsidRPr="00EA2BBC">
        <w:t xml:space="preserve">ntravascular </w:t>
      </w:r>
      <w:r>
        <w:t>l</w:t>
      </w:r>
      <w:r w:rsidRPr="00EA2BBC">
        <w:t xml:space="preserve">ithotripsy for </w:t>
      </w:r>
      <w:r>
        <w:t>s</w:t>
      </w:r>
      <w:r w:rsidRPr="00EA2BBC">
        <w:t xml:space="preserve">everely </w:t>
      </w:r>
      <w:r>
        <w:t>c</w:t>
      </w:r>
      <w:r w:rsidRPr="00EA2BBC">
        <w:t xml:space="preserve">alcified </w:t>
      </w:r>
      <w:r>
        <w:t>c</w:t>
      </w:r>
      <w:r w:rsidRPr="00EA2BBC">
        <w:t xml:space="preserve">ommon </w:t>
      </w:r>
      <w:r>
        <w:t>f</w:t>
      </w:r>
      <w:r w:rsidRPr="00EA2BBC">
        <w:t xml:space="preserve">emoral </w:t>
      </w:r>
      <w:r>
        <w:t>a</w:t>
      </w:r>
      <w:r w:rsidRPr="00EA2BBC">
        <w:t xml:space="preserve">rtery </w:t>
      </w:r>
      <w:r>
        <w:t>o</w:t>
      </w:r>
      <w:r w:rsidRPr="00EA2BBC">
        <w:t xml:space="preserve">cclusive </w:t>
      </w:r>
      <w:r>
        <w:t>d</w:t>
      </w:r>
      <w:r w:rsidRPr="00EA2BBC">
        <w:t xml:space="preserve">isease: A </w:t>
      </w:r>
      <w:r>
        <w:t>s</w:t>
      </w:r>
      <w:r w:rsidRPr="00EA2BBC">
        <w:t>ingle-</w:t>
      </w:r>
      <w:r>
        <w:t>c</w:t>
      </w:r>
      <w:r w:rsidRPr="00EA2BBC">
        <w:t xml:space="preserve">enter </w:t>
      </w:r>
      <w:r>
        <w:t>e</w:t>
      </w:r>
      <w:r w:rsidRPr="00EA2BBC">
        <w:t>xperience</w:t>
      </w:r>
      <w:r>
        <w:t>’,</w:t>
      </w:r>
      <w:r w:rsidRPr="00EA2BBC">
        <w:t xml:space="preserve"> </w:t>
      </w:r>
      <w:r w:rsidRPr="00EA2BBC">
        <w:rPr>
          <w:i/>
          <w:iCs/>
        </w:rPr>
        <w:t>J Endovasc Ther</w:t>
      </w:r>
      <w:r w:rsidRPr="00EA2BBC">
        <w:t xml:space="preserve">, 15266028221105188. </w:t>
      </w:r>
      <w:r>
        <w:t>d</w:t>
      </w:r>
      <w:r w:rsidRPr="00EA2BBC">
        <w:t>oi</w:t>
      </w:r>
      <w:r>
        <w:t>:</w:t>
      </w:r>
      <w:r w:rsidRPr="00EA2BBC">
        <w:t xml:space="preserve"> 10.1177/15266028221105188</w:t>
      </w:r>
    </w:p>
  </w:footnote>
  <w:footnote w:id="4">
    <w:p w14:paraId="641F2BD4" w14:textId="77F7A980" w:rsidR="008D48DE" w:rsidRDefault="008D48DE">
      <w:pPr>
        <w:pStyle w:val="FootnoteText"/>
      </w:pPr>
      <w:r>
        <w:rPr>
          <w:rStyle w:val="FootnoteReference"/>
        </w:rPr>
        <w:footnoteRef/>
      </w:r>
      <w:r>
        <w:t xml:space="preserve"> </w:t>
      </w:r>
      <w:r w:rsidRPr="008D48DE">
        <w:t xml:space="preserve">Wong CP, Chan LP, Au DM, Chan HWC, Chan YC. (2022). </w:t>
      </w:r>
      <w:r>
        <w:t>‘</w:t>
      </w:r>
      <w:r w:rsidRPr="008D48DE">
        <w:t xml:space="preserve">Efficacy and </w:t>
      </w:r>
      <w:r>
        <w:t>s</w:t>
      </w:r>
      <w:r w:rsidRPr="008D48DE">
        <w:t xml:space="preserve">afety of </w:t>
      </w:r>
      <w:r>
        <w:t>i</w:t>
      </w:r>
      <w:r w:rsidRPr="008D48DE">
        <w:t xml:space="preserve">ntravascular </w:t>
      </w:r>
      <w:r>
        <w:t>l</w:t>
      </w:r>
      <w:r w:rsidRPr="008D48DE">
        <w:t xml:space="preserve">ithotripsy in </w:t>
      </w:r>
      <w:r>
        <w:t>l</w:t>
      </w:r>
      <w:r w:rsidRPr="008D48DE">
        <w:t xml:space="preserve">ower </w:t>
      </w:r>
      <w:r>
        <w:t>e</w:t>
      </w:r>
      <w:r w:rsidRPr="008D48DE">
        <w:t xml:space="preserve">xtremity </w:t>
      </w:r>
      <w:r>
        <w:t>p</w:t>
      </w:r>
      <w:r w:rsidRPr="008D48DE">
        <w:t xml:space="preserve">eripheral </w:t>
      </w:r>
      <w:r w:rsidR="00832235">
        <w:t>a</w:t>
      </w:r>
      <w:r w:rsidRPr="008D48DE">
        <w:t xml:space="preserve">rtery </w:t>
      </w:r>
      <w:r w:rsidR="00832235">
        <w:t>d</w:t>
      </w:r>
      <w:r w:rsidRPr="008D48DE">
        <w:t xml:space="preserve">isease: A </w:t>
      </w:r>
      <w:r w:rsidR="00832235">
        <w:t>s</w:t>
      </w:r>
      <w:r w:rsidRPr="008D48DE">
        <w:t xml:space="preserve">ystematic </w:t>
      </w:r>
      <w:r w:rsidR="00832235">
        <w:t>r</w:t>
      </w:r>
      <w:r w:rsidRPr="008D48DE">
        <w:t xml:space="preserve">eview and </w:t>
      </w:r>
      <w:r w:rsidR="00832235">
        <w:t>m</w:t>
      </w:r>
      <w:r w:rsidRPr="008D48DE">
        <w:t>eta-</w:t>
      </w:r>
      <w:r w:rsidR="00832235">
        <w:t>a</w:t>
      </w:r>
      <w:r w:rsidRPr="008D48DE">
        <w:t>nalysi</w:t>
      </w:r>
      <w:r w:rsidR="00933214">
        <w:t>s’,</w:t>
      </w:r>
      <w:r w:rsidRPr="008D48DE">
        <w:t xml:space="preserve"> </w:t>
      </w:r>
      <w:r w:rsidRPr="002D0C3F">
        <w:rPr>
          <w:i/>
          <w:iCs/>
        </w:rPr>
        <w:t xml:space="preserve">Eur </w:t>
      </w:r>
      <w:r w:rsidR="00933214" w:rsidRPr="002D0C3F">
        <w:rPr>
          <w:i/>
          <w:iCs/>
        </w:rPr>
        <w:t>J</w:t>
      </w:r>
      <w:r w:rsidRPr="002D0C3F">
        <w:rPr>
          <w:i/>
          <w:iCs/>
        </w:rPr>
        <w:t xml:space="preserve"> Vasc Endovasc Surg</w:t>
      </w:r>
      <w:r w:rsidRPr="008D48DE">
        <w:t>, 63(3)</w:t>
      </w:r>
      <w:r w:rsidR="002D0C3F">
        <w:t>:</w:t>
      </w:r>
      <w:r w:rsidRPr="008D48DE">
        <w:t>446-456.</w:t>
      </w:r>
      <w:r w:rsidR="002D0C3F">
        <w:t xml:space="preserve"> doi:</w:t>
      </w:r>
      <w:r w:rsidR="00F90C1B">
        <w:t xml:space="preserve"> </w:t>
      </w:r>
      <w:r w:rsidR="00F90C1B" w:rsidRPr="00F90C1B">
        <w:t>10.1016/j.ejvs.2021.10.035.</w:t>
      </w:r>
    </w:p>
  </w:footnote>
  <w:footnote w:id="5">
    <w:p w14:paraId="11DD098C" w14:textId="0AA48F0A" w:rsidR="001259A9" w:rsidRDefault="001259A9">
      <w:pPr>
        <w:pStyle w:val="FootnoteText"/>
      </w:pPr>
      <w:r>
        <w:rPr>
          <w:rStyle w:val="FootnoteReference"/>
        </w:rPr>
        <w:footnoteRef/>
      </w:r>
      <w:r>
        <w:t xml:space="preserve"> </w:t>
      </w:r>
      <w:r w:rsidRPr="001259A9">
        <w:t xml:space="preserve">Madhavan MV, Shahim B, Mena-Hurtado C, Garcia L, Crowley A, Parikh SA. (2020) ‘Efficacy and safety of intravascular lithotripsy for the treatment of peripheral arterial disease: An individual patient-level pooled data analysis’, </w:t>
      </w:r>
      <w:r w:rsidRPr="00484C1F">
        <w:rPr>
          <w:i/>
          <w:iCs/>
        </w:rPr>
        <w:t>Catheter Cardiovasc Interv</w:t>
      </w:r>
      <w:r w:rsidRPr="001259A9">
        <w:t>, 95(5):959-968. doi: 10.1002/ccd.28729.</w:t>
      </w:r>
    </w:p>
  </w:footnote>
  <w:footnote w:id="6">
    <w:p w14:paraId="19F47455" w14:textId="11631F51" w:rsidR="006563EE" w:rsidRDefault="006563EE">
      <w:pPr>
        <w:pStyle w:val="FootnoteText"/>
      </w:pPr>
      <w:r>
        <w:rPr>
          <w:rStyle w:val="FootnoteReference"/>
        </w:rPr>
        <w:footnoteRef/>
      </w:r>
      <w:r>
        <w:t xml:space="preserve"> </w:t>
      </w:r>
      <w:r w:rsidRPr="006563EE">
        <w:t>Lopez-Pena G, Musto L, Finch SL, Bown MJ, Davies R, Sohrabi S, Rees O, Lakshminarayan R, Saratzis A, on behalf of the SHOCC Investigators</w:t>
      </w:r>
      <w:r>
        <w:t>.</w:t>
      </w:r>
      <w:r w:rsidRPr="006563EE">
        <w:t xml:space="preserve"> (2024) ‘SHOCkwave lithotripsy for patients with peripheral arterial disease: the SHOCC study’, J Vasc Soc G B Irel, 3(3):140-146.</w:t>
      </w:r>
      <w:r w:rsidR="00EF6924">
        <w:t xml:space="preserve"> </w:t>
      </w:r>
      <w:hyperlink r:id="rId1" w:history="1">
        <w:r w:rsidR="006C17DB" w:rsidRPr="00262176">
          <w:rPr>
            <w:rStyle w:val="Hyperlink"/>
          </w:rPr>
          <w:t>http://doi.org/10.54522/jvsgbi.2024.126</w:t>
        </w:r>
      </w:hyperlink>
      <w:r w:rsidR="006C17DB">
        <w:t xml:space="preserve"> </w:t>
      </w:r>
    </w:p>
  </w:footnote>
  <w:footnote w:id="7">
    <w:p w14:paraId="2263C267" w14:textId="77777777" w:rsidR="00E62888" w:rsidRDefault="00E62888" w:rsidP="00E62888">
      <w:pPr>
        <w:pStyle w:val="FootnoteText"/>
      </w:pPr>
      <w:r>
        <w:rPr>
          <w:rStyle w:val="FootnoteReference"/>
        </w:rPr>
        <w:footnoteRef/>
      </w:r>
      <w:r>
        <w:t xml:space="preserve"> </w:t>
      </w:r>
      <w:r w:rsidRPr="0068052B">
        <w:t xml:space="preserve">Saratzis A, Torsello GB, Cardona-Gloria Y, Van Herzeele I, Messeder SJ, Zayed </w:t>
      </w:r>
      <w:r>
        <w:t>H</w:t>
      </w:r>
      <w:r w:rsidRPr="0068052B">
        <w:t xml:space="preserve">, Torsello GF, Chisci E, Isernia G, D'Oria M, Stavroulakis K. (2024). </w:t>
      </w:r>
      <w:r>
        <w:t>‘</w:t>
      </w:r>
      <w:r w:rsidRPr="0068052B">
        <w:t xml:space="preserve">Cost </w:t>
      </w:r>
      <w:r>
        <w:t>a</w:t>
      </w:r>
      <w:r w:rsidRPr="0068052B">
        <w:t xml:space="preserve">nalysis of </w:t>
      </w:r>
      <w:r>
        <w:t>t</w:t>
      </w:r>
      <w:r w:rsidRPr="0068052B">
        <w:t xml:space="preserve">arget </w:t>
      </w:r>
      <w:r>
        <w:t>le</w:t>
      </w:r>
      <w:r w:rsidRPr="0068052B">
        <w:t xml:space="preserve">sion </w:t>
      </w:r>
      <w:r>
        <w:t>r</w:t>
      </w:r>
      <w:r w:rsidRPr="0068052B">
        <w:t xml:space="preserve">evascularisation in </w:t>
      </w:r>
      <w:r>
        <w:t>p</w:t>
      </w:r>
      <w:r w:rsidRPr="0068052B">
        <w:t xml:space="preserve">atients </w:t>
      </w:r>
      <w:r>
        <w:t>w</w:t>
      </w:r>
      <w:r w:rsidRPr="0068052B">
        <w:t xml:space="preserve">ith </w:t>
      </w:r>
      <w:r>
        <w:t>f</w:t>
      </w:r>
      <w:r w:rsidRPr="0068052B">
        <w:t xml:space="preserve">emoropopliteal </w:t>
      </w:r>
      <w:r>
        <w:t>i</w:t>
      </w:r>
      <w:r w:rsidRPr="0068052B">
        <w:t xml:space="preserve">n </w:t>
      </w:r>
      <w:r>
        <w:t>s</w:t>
      </w:r>
      <w:r w:rsidRPr="0068052B">
        <w:t xml:space="preserve">tent </w:t>
      </w:r>
      <w:r>
        <w:t>r</w:t>
      </w:r>
      <w:r w:rsidRPr="0068052B">
        <w:t>e-</w:t>
      </w:r>
      <w:r>
        <w:t>s</w:t>
      </w:r>
      <w:r w:rsidRPr="0068052B">
        <w:t xml:space="preserve">tenosis or </w:t>
      </w:r>
      <w:r>
        <w:t>o</w:t>
      </w:r>
      <w:r w:rsidRPr="0068052B">
        <w:t>cclusion: The COSTLY-TLR Study</w:t>
      </w:r>
      <w:r>
        <w:t>’</w:t>
      </w:r>
      <w:r w:rsidRPr="0068052B">
        <w:t xml:space="preserve"> </w:t>
      </w:r>
      <w:r w:rsidRPr="00CD0D6E">
        <w:rPr>
          <w:i/>
          <w:iCs/>
        </w:rPr>
        <w:t>Eur J Vasc Endovasc Surg</w:t>
      </w:r>
      <w:r>
        <w:t>,</w:t>
      </w:r>
      <w:r w:rsidRPr="0068052B">
        <w:t xml:space="preserve"> </w:t>
      </w:r>
      <w:r w:rsidRPr="000304DC">
        <w:t>68(1):100-107</w:t>
      </w:r>
      <w:r>
        <w:t xml:space="preserve">. doi: </w:t>
      </w:r>
      <w:r w:rsidRPr="00160F5A">
        <w:t>10.1016/j.ejvs.2024.02.001</w:t>
      </w:r>
    </w:p>
  </w:footnote>
  <w:footnote w:id="8">
    <w:p w14:paraId="5BF6887E" w14:textId="0F5CED40" w:rsidR="00114496" w:rsidRDefault="00114496">
      <w:pPr>
        <w:pStyle w:val="FootnoteText"/>
      </w:pPr>
      <w:r>
        <w:rPr>
          <w:rStyle w:val="FootnoteReference"/>
        </w:rPr>
        <w:footnoteRef/>
      </w:r>
      <w:r>
        <w:t xml:space="preserve"> </w:t>
      </w:r>
      <w:r w:rsidR="00526368" w:rsidRPr="00526368">
        <w:t xml:space="preserve">Bradbury AW, Adam DJ, Bell J, Forbes JF, Fowkes FG, Gillespie I, Ruckley CV, Raab GM; BASIL trial Participants. (2010) ‘Bypass versus Angioplasty in Severe Ischaemia of the Leg (BASIL) trial: An intention-to-treat analysis of amputation-free and overall survival in patients randomized to a bypass surgery-first or a balloon angioplasty-first revascularization strategy’, </w:t>
      </w:r>
      <w:r w:rsidR="00526368" w:rsidRPr="00526368">
        <w:rPr>
          <w:i/>
          <w:iCs/>
        </w:rPr>
        <w:t>J Vasc Surg</w:t>
      </w:r>
      <w:r w:rsidR="00526368" w:rsidRPr="00526368">
        <w:t>, 51(5 Suppl):5S-17S. doi: 10.1016/j.jvs.2010.01.073.</w:t>
      </w:r>
    </w:p>
  </w:footnote>
  <w:footnote w:id="9">
    <w:p w14:paraId="7B7A2974" w14:textId="1A3964FF" w:rsidR="00D85788" w:rsidRDefault="00D85788">
      <w:pPr>
        <w:pStyle w:val="FootnoteText"/>
      </w:pPr>
      <w:r>
        <w:rPr>
          <w:rStyle w:val="FootnoteReference"/>
        </w:rPr>
        <w:footnoteRef/>
      </w:r>
      <w:r>
        <w:t xml:space="preserve"> </w:t>
      </w:r>
      <w:r w:rsidRPr="00D85788">
        <w:t xml:space="preserve">Rymer JA, Jones WS. (2018) </w:t>
      </w:r>
      <w:r>
        <w:t>‘</w:t>
      </w:r>
      <w:r w:rsidR="00A164DB">
        <w:t>Editorial</w:t>
      </w:r>
      <w:r w:rsidR="00814AFE">
        <w:t>.</w:t>
      </w:r>
      <w:r w:rsidR="00A164DB">
        <w:t xml:space="preserve"> </w:t>
      </w:r>
      <w:r w:rsidRPr="00D85788">
        <w:t xml:space="preserve">Femoropopliteal </w:t>
      </w:r>
      <w:r>
        <w:t>i</w:t>
      </w:r>
      <w:r w:rsidRPr="00D85788">
        <w:t>n-</w:t>
      </w:r>
      <w:r>
        <w:t>s</w:t>
      </w:r>
      <w:r w:rsidRPr="00D85788">
        <w:t xml:space="preserve">tent </w:t>
      </w:r>
      <w:r>
        <w:t>r</w:t>
      </w:r>
      <w:r w:rsidRPr="00D85788">
        <w:t>estenosis</w:t>
      </w:r>
      <w:r w:rsidR="00814AFE">
        <w:t>: What is the standard of care?</w:t>
      </w:r>
      <w:r>
        <w:t>’,</w:t>
      </w:r>
      <w:r w:rsidRPr="00D85788">
        <w:t xml:space="preserve"> </w:t>
      </w:r>
      <w:r w:rsidRPr="00D85788">
        <w:rPr>
          <w:i/>
          <w:iCs/>
        </w:rPr>
        <w:t>Circulation: Cardiovascular Interventions</w:t>
      </w:r>
      <w:r w:rsidRPr="00D85788">
        <w:t>, 11(12)</w:t>
      </w:r>
      <w:r>
        <w:t>:</w:t>
      </w:r>
      <w:r w:rsidRPr="00D85788">
        <w:t>e007559. doi:</w:t>
      </w:r>
      <w:r w:rsidR="00D23683">
        <w:t xml:space="preserve"> </w:t>
      </w:r>
      <w:r w:rsidRPr="00D85788">
        <w:t>10.1161/CIRCINTERVENTIONS.118.007559</w:t>
      </w:r>
      <w:r w:rsidR="00D2368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1CA"/>
    <w:multiLevelType w:val="hybridMultilevel"/>
    <w:tmpl w:val="AF7C9D3C"/>
    <w:lvl w:ilvl="0" w:tplc="0C090001">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01E0C6"/>
    <w:multiLevelType w:val="hybridMultilevel"/>
    <w:tmpl w:val="268E6D3A"/>
    <w:lvl w:ilvl="0" w:tplc="D0F28498">
      <w:start w:val="1"/>
      <w:numFmt w:val="bullet"/>
      <w:lvlText w:val="·"/>
      <w:lvlJc w:val="left"/>
      <w:pPr>
        <w:ind w:left="720" w:hanging="360"/>
      </w:pPr>
      <w:rPr>
        <w:rFonts w:ascii="Symbol" w:hAnsi="Symbol" w:hint="default"/>
      </w:rPr>
    </w:lvl>
    <w:lvl w:ilvl="1" w:tplc="37807FA2">
      <w:start w:val="1"/>
      <w:numFmt w:val="bullet"/>
      <w:lvlText w:val="o"/>
      <w:lvlJc w:val="left"/>
      <w:pPr>
        <w:ind w:left="1440" w:hanging="360"/>
      </w:pPr>
      <w:rPr>
        <w:rFonts w:ascii="Courier New" w:hAnsi="Courier New" w:hint="default"/>
      </w:rPr>
    </w:lvl>
    <w:lvl w:ilvl="2" w:tplc="F8461BB6">
      <w:start w:val="1"/>
      <w:numFmt w:val="bullet"/>
      <w:lvlText w:val=""/>
      <w:lvlJc w:val="left"/>
      <w:pPr>
        <w:ind w:left="2160" w:hanging="360"/>
      </w:pPr>
      <w:rPr>
        <w:rFonts w:ascii="Wingdings" w:hAnsi="Wingdings" w:hint="default"/>
      </w:rPr>
    </w:lvl>
    <w:lvl w:ilvl="3" w:tplc="9C5010F2">
      <w:start w:val="1"/>
      <w:numFmt w:val="bullet"/>
      <w:lvlText w:val=""/>
      <w:lvlJc w:val="left"/>
      <w:pPr>
        <w:ind w:left="2880" w:hanging="360"/>
      </w:pPr>
      <w:rPr>
        <w:rFonts w:ascii="Symbol" w:hAnsi="Symbol" w:hint="default"/>
      </w:rPr>
    </w:lvl>
    <w:lvl w:ilvl="4" w:tplc="8FF2AFF4">
      <w:start w:val="1"/>
      <w:numFmt w:val="bullet"/>
      <w:lvlText w:val="o"/>
      <w:lvlJc w:val="left"/>
      <w:pPr>
        <w:ind w:left="3600" w:hanging="360"/>
      </w:pPr>
      <w:rPr>
        <w:rFonts w:ascii="Courier New" w:hAnsi="Courier New" w:hint="default"/>
      </w:rPr>
    </w:lvl>
    <w:lvl w:ilvl="5" w:tplc="9134E0CC">
      <w:start w:val="1"/>
      <w:numFmt w:val="bullet"/>
      <w:lvlText w:val=""/>
      <w:lvlJc w:val="left"/>
      <w:pPr>
        <w:ind w:left="4320" w:hanging="360"/>
      </w:pPr>
      <w:rPr>
        <w:rFonts w:ascii="Wingdings" w:hAnsi="Wingdings" w:hint="default"/>
      </w:rPr>
    </w:lvl>
    <w:lvl w:ilvl="6" w:tplc="9202FCDA">
      <w:start w:val="1"/>
      <w:numFmt w:val="bullet"/>
      <w:lvlText w:val=""/>
      <w:lvlJc w:val="left"/>
      <w:pPr>
        <w:ind w:left="5040" w:hanging="360"/>
      </w:pPr>
      <w:rPr>
        <w:rFonts w:ascii="Symbol" w:hAnsi="Symbol" w:hint="default"/>
      </w:rPr>
    </w:lvl>
    <w:lvl w:ilvl="7" w:tplc="C6A095A0">
      <w:start w:val="1"/>
      <w:numFmt w:val="bullet"/>
      <w:lvlText w:val="o"/>
      <w:lvlJc w:val="left"/>
      <w:pPr>
        <w:ind w:left="5760" w:hanging="360"/>
      </w:pPr>
      <w:rPr>
        <w:rFonts w:ascii="Courier New" w:hAnsi="Courier New" w:hint="default"/>
      </w:rPr>
    </w:lvl>
    <w:lvl w:ilvl="8" w:tplc="C5FCDF04">
      <w:start w:val="1"/>
      <w:numFmt w:val="bullet"/>
      <w:lvlText w:val=""/>
      <w:lvlJc w:val="left"/>
      <w:pPr>
        <w:ind w:left="6480" w:hanging="360"/>
      </w:pPr>
      <w:rPr>
        <w:rFonts w:ascii="Wingdings" w:hAnsi="Wingdings" w:hint="default"/>
      </w:rPr>
    </w:lvl>
  </w:abstractNum>
  <w:abstractNum w:abstractNumId="3" w15:restartNumberingAfterBreak="0">
    <w:nsid w:val="15A74C05"/>
    <w:multiLevelType w:val="hybridMultilevel"/>
    <w:tmpl w:val="E370CD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30813"/>
    <w:multiLevelType w:val="hybridMultilevel"/>
    <w:tmpl w:val="FA98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DDD4E9F"/>
    <w:multiLevelType w:val="hybridMultilevel"/>
    <w:tmpl w:val="B96AC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8"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4C7718"/>
    <w:multiLevelType w:val="hybridMultilevel"/>
    <w:tmpl w:val="F4449F84"/>
    <w:lvl w:ilvl="0" w:tplc="2C32CD92">
      <w:start w:val="1"/>
      <w:numFmt w:val="bullet"/>
      <w:lvlText w:val="·"/>
      <w:lvlJc w:val="left"/>
      <w:pPr>
        <w:ind w:left="720" w:hanging="360"/>
      </w:pPr>
      <w:rPr>
        <w:rFonts w:ascii="Symbol" w:hAnsi="Symbol" w:hint="default"/>
      </w:rPr>
    </w:lvl>
    <w:lvl w:ilvl="1" w:tplc="0F045000">
      <w:start w:val="1"/>
      <w:numFmt w:val="bullet"/>
      <w:lvlText w:val="o"/>
      <w:lvlJc w:val="left"/>
      <w:pPr>
        <w:ind w:left="1440" w:hanging="360"/>
      </w:pPr>
      <w:rPr>
        <w:rFonts w:ascii="Courier New" w:hAnsi="Courier New" w:hint="default"/>
      </w:rPr>
    </w:lvl>
    <w:lvl w:ilvl="2" w:tplc="8ADEE9B0">
      <w:start w:val="1"/>
      <w:numFmt w:val="bullet"/>
      <w:lvlText w:val=""/>
      <w:lvlJc w:val="left"/>
      <w:pPr>
        <w:ind w:left="2160" w:hanging="360"/>
      </w:pPr>
      <w:rPr>
        <w:rFonts w:ascii="Wingdings" w:hAnsi="Wingdings" w:hint="default"/>
      </w:rPr>
    </w:lvl>
    <w:lvl w:ilvl="3" w:tplc="94E47A70">
      <w:start w:val="1"/>
      <w:numFmt w:val="bullet"/>
      <w:lvlText w:val=""/>
      <w:lvlJc w:val="left"/>
      <w:pPr>
        <w:ind w:left="2880" w:hanging="360"/>
      </w:pPr>
      <w:rPr>
        <w:rFonts w:ascii="Symbol" w:hAnsi="Symbol" w:hint="default"/>
      </w:rPr>
    </w:lvl>
    <w:lvl w:ilvl="4" w:tplc="B204D24E">
      <w:start w:val="1"/>
      <w:numFmt w:val="bullet"/>
      <w:lvlText w:val="o"/>
      <w:lvlJc w:val="left"/>
      <w:pPr>
        <w:ind w:left="3600" w:hanging="360"/>
      </w:pPr>
      <w:rPr>
        <w:rFonts w:ascii="Courier New" w:hAnsi="Courier New" w:hint="default"/>
      </w:rPr>
    </w:lvl>
    <w:lvl w:ilvl="5" w:tplc="7B96B52A">
      <w:start w:val="1"/>
      <w:numFmt w:val="bullet"/>
      <w:lvlText w:val=""/>
      <w:lvlJc w:val="left"/>
      <w:pPr>
        <w:ind w:left="4320" w:hanging="360"/>
      </w:pPr>
      <w:rPr>
        <w:rFonts w:ascii="Wingdings" w:hAnsi="Wingdings" w:hint="default"/>
      </w:rPr>
    </w:lvl>
    <w:lvl w:ilvl="6" w:tplc="B2A880F6">
      <w:start w:val="1"/>
      <w:numFmt w:val="bullet"/>
      <w:lvlText w:val=""/>
      <w:lvlJc w:val="left"/>
      <w:pPr>
        <w:ind w:left="5040" w:hanging="360"/>
      </w:pPr>
      <w:rPr>
        <w:rFonts w:ascii="Symbol" w:hAnsi="Symbol" w:hint="default"/>
      </w:rPr>
    </w:lvl>
    <w:lvl w:ilvl="7" w:tplc="00D42504">
      <w:start w:val="1"/>
      <w:numFmt w:val="bullet"/>
      <w:lvlText w:val="o"/>
      <w:lvlJc w:val="left"/>
      <w:pPr>
        <w:ind w:left="5760" w:hanging="360"/>
      </w:pPr>
      <w:rPr>
        <w:rFonts w:ascii="Courier New" w:hAnsi="Courier New" w:hint="default"/>
      </w:rPr>
    </w:lvl>
    <w:lvl w:ilvl="8" w:tplc="7EE82F6A">
      <w:start w:val="1"/>
      <w:numFmt w:val="bullet"/>
      <w:lvlText w:val=""/>
      <w:lvlJc w:val="left"/>
      <w:pPr>
        <w:ind w:left="6480" w:hanging="360"/>
      </w:pPr>
      <w:rPr>
        <w:rFonts w:ascii="Wingdings" w:hAnsi="Wingdings" w:hint="default"/>
      </w:rPr>
    </w:lvl>
  </w:abstractNum>
  <w:abstractNum w:abstractNumId="14" w15:restartNumberingAfterBreak="0">
    <w:nsid w:val="39F64432"/>
    <w:multiLevelType w:val="hybridMultilevel"/>
    <w:tmpl w:val="27D8F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3F449D3"/>
    <w:multiLevelType w:val="hybridMultilevel"/>
    <w:tmpl w:val="E0C0E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879466698">
    <w:abstractNumId w:val="12"/>
  </w:num>
  <w:num w:numId="2" w16cid:durableId="1803957879">
    <w:abstractNumId w:val="19"/>
  </w:num>
  <w:num w:numId="3" w16cid:durableId="454641587">
    <w:abstractNumId w:val="1"/>
  </w:num>
  <w:num w:numId="4" w16cid:durableId="2117560854">
    <w:abstractNumId w:val="7"/>
  </w:num>
  <w:num w:numId="5" w16cid:durableId="64187364">
    <w:abstractNumId w:val="17"/>
  </w:num>
  <w:num w:numId="6" w16cid:durableId="1358430684">
    <w:abstractNumId w:val="8"/>
  </w:num>
  <w:num w:numId="7" w16cid:durableId="953051491">
    <w:abstractNumId w:val="10"/>
  </w:num>
  <w:num w:numId="8" w16cid:durableId="1982877297">
    <w:abstractNumId w:val="11"/>
  </w:num>
  <w:num w:numId="9" w16cid:durableId="461774544">
    <w:abstractNumId w:val="15"/>
  </w:num>
  <w:num w:numId="10" w16cid:durableId="1678650495">
    <w:abstractNumId w:val="14"/>
  </w:num>
  <w:num w:numId="11" w16cid:durableId="143817174">
    <w:abstractNumId w:val="16"/>
  </w:num>
  <w:num w:numId="12" w16cid:durableId="1246303243">
    <w:abstractNumId w:val="18"/>
  </w:num>
  <w:num w:numId="13" w16cid:durableId="2084990852">
    <w:abstractNumId w:val="0"/>
  </w:num>
  <w:num w:numId="14" w16cid:durableId="1689479852">
    <w:abstractNumId w:val="4"/>
  </w:num>
  <w:num w:numId="15" w16cid:durableId="450637309">
    <w:abstractNumId w:val="9"/>
  </w:num>
  <w:num w:numId="16" w16cid:durableId="310446860">
    <w:abstractNumId w:val="3"/>
  </w:num>
  <w:num w:numId="17" w16cid:durableId="1389837808">
    <w:abstractNumId w:val="12"/>
  </w:num>
  <w:num w:numId="18" w16cid:durableId="1451894853">
    <w:abstractNumId w:val="12"/>
  </w:num>
  <w:num w:numId="19" w16cid:durableId="1060641483">
    <w:abstractNumId w:val="12"/>
  </w:num>
  <w:num w:numId="20" w16cid:durableId="150297920">
    <w:abstractNumId w:val="5"/>
  </w:num>
  <w:num w:numId="21" w16cid:durableId="1872378257">
    <w:abstractNumId w:val="6"/>
  </w:num>
  <w:num w:numId="22" w16cid:durableId="49351554">
    <w:abstractNumId w:val="13"/>
  </w:num>
  <w:num w:numId="23" w16cid:durableId="20259812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A7F"/>
    <w:rsid w:val="00000CD5"/>
    <w:rsid w:val="00000FC0"/>
    <w:rsid w:val="0000109A"/>
    <w:rsid w:val="0000152D"/>
    <w:rsid w:val="0000177B"/>
    <w:rsid w:val="00001AE6"/>
    <w:rsid w:val="00001D55"/>
    <w:rsid w:val="00001E5E"/>
    <w:rsid w:val="00001F58"/>
    <w:rsid w:val="0000291E"/>
    <w:rsid w:val="00002BD8"/>
    <w:rsid w:val="00004BF7"/>
    <w:rsid w:val="00004D69"/>
    <w:rsid w:val="00004EC4"/>
    <w:rsid w:val="00004F7F"/>
    <w:rsid w:val="000054C9"/>
    <w:rsid w:val="00005F93"/>
    <w:rsid w:val="00006703"/>
    <w:rsid w:val="000067D7"/>
    <w:rsid w:val="00006C82"/>
    <w:rsid w:val="00007675"/>
    <w:rsid w:val="000077CF"/>
    <w:rsid w:val="000103A5"/>
    <w:rsid w:val="00010421"/>
    <w:rsid w:val="000104F6"/>
    <w:rsid w:val="000107F8"/>
    <w:rsid w:val="00010903"/>
    <w:rsid w:val="00010A7B"/>
    <w:rsid w:val="00010E06"/>
    <w:rsid w:val="00011331"/>
    <w:rsid w:val="00011568"/>
    <w:rsid w:val="00011968"/>
    <w:rsid w:val="000124FF"/>
    <w:rsid w:val="00012DC7"/>
    <w:rsid w:val="00013AC6"/>
    <w:rsid w:val="00014408"/>
    <w:rsid w:val="00014967"/>
    <w:rsid w:val="00014974"/>
    <w:rsid w:val="000158E9"/>
    <w:rsid w:val="00015CBC"/>
    <w:rsid w:val="00016317"/>
    <w:rsid w:val="000163DC"/>
    <w:rsid w:val="0001663A"/>
    <w:rsid w:val="000166F7"/>
    <w:rsid w:val="00016AC6"/>
    <w:rsid w:val="00016E5B"/>
    <w:rsid w:val="00017191"/>
    <w:rsid w:val="000175A7"/>
    <w:rsid w:val="00020208"/>
    <w:rsid w:val="000206D1"/>
    <w:rsid w:val="0002083F"/>
    <w:rsid w:val="00021809"/>
    <w:rsid w:val="000223FB"/>
    <w:rsid w:val="0002251F"/>
    <w:rsid w:val="00022611"/>
    <w:rsid w:val="00022725"/>
    <w:rsid w:val="000228B8"/>
    <w:rsid w:val="00022C6B"/>
    <w:rsid w:val="00022F07"/>
    <w:rsid w:val="000230C6"/>
    <w:rsid w:val="00023264"/>
    <w:rsid w:val="0002381B"/>
    <w:rsid w:val="00023CA0"/>
    <w:rsid w:val="00023CBB"/>
    <w:rsid w:val="00023DF3"/>
    <w:rsid w:val="0002407C"/>
    <w:rsid w:val="00024EA5"/>
    <w:rsid w:val="00025650"/>
    <w:rsid w:val="00025B81"/>
    <w:rsid w:val="00025C1E"/>
    <w:rsid w:val="000269E8"/>
    <w:rsid w:val="00026A0E"/>
    <w:rsid w:val="00026B1B"/>
    <w:rsid w:val="00027428"/>
    <w:rsid w:val="0002755F"/>
    <w:rsid w:val="00027718"/>
    <w:rsid w:val="000301CA"/>
    <w:rsid w:val="000304DC"/>
    <w:rsid w:val="000312D9"/>
    <w:rsid w:val="000319B4"/>
    <w:rsid w:val="00031ACA"/>
    <w:rsid w:val="000322D5"/>
    <w:rsid w:val="000325AA"/>
    <w:rsid w:val="00033C76"/>
    <w:rsid w:val="00033D5F"/>
    <w:rsid w:val="0003406A"/>
    <w:rsid w:val="0003423A"/>
    <w:rsid w:val="00034330"/>
    <w:rsid w:val="000346D2"/>
    <w:rsid w:val="0003477F"/>
    <w:rsid w:val="00035638"/>
    <w:rsid w:val="00035BBD"/>
    <w:rsid w:val="00035CEA"/>
    <w:rsid w:val="00036682"/>
    <w:rsid w:val="00036814"/>
    <w:rsid w:val="00036AD8"/>
    <w:rsid w:val="00037037"/>
    <w:rsid w:val="000371A0"/>
    <w:rsid w:val="00037200"/>
    <w:rsid w:val="00037302"/>
    <w:rsid w:val="000375B3"/>
    <w:rsid w:val="0003785B"/>
    <w:rsid w:val="00037AEF"/>
    <w:rsid w:val="00037B32"/>
    <w:rsid w:val="00037DAC"/>
    <w:rsid w:val="0004005D"/>
    <w:rsid w:val="00040ADF"/>
    <w:rsid w:val="00040FB4"/>
    <w:rsid w:val="00041471"/>
    <w:rsid w:val="0004178C"/>
    <w:rsid w:val="00041F5D"/>
    <w:rsid w:val="000427FC"/>
    <w:rsid w:val="000428F3"/>
    <w:rsid w:val="00042F50"/>
    <w:rsid w:val="000432E7"/>
    <w:rsid w:val="00043460"/>
    <w:rsid w:val="00043872"/>
    <w:rsid w:val="00043F5F"/>
    <w:rsid w:val="00043F8E"/>
    <w:rsid w:val="000443A6"/>
    <w:rsid w:val="000449D1"/>
    <w:rsid w:val="00044FC1"/>
    <w:rsid w:val="00045B79"/>
    <w:rsid w:val="00045B8D"/>
    <w:rsid w:val="00045CC5"/>
    <w:rsid w:val="00045FB3"/>
    <w:rsid w:val="000462C6"/>
    <w:rsid w:val="00046B6A"/>
    <w:rsid w:val="00046E7F"/>
    <w:rsid w:val="00047115"/>
    <w:rsid w:val="00047116"/>
    <w:rsid w:val="000472D4"/>
    <w:rsid w:val="000475B8"/>
    <w:rsid w:val="00050012"/>
    <w:rsid w:val="000500C4"/>
    <w:rsid w:val="00050665"/>
    <w:rsid w:val="000511FA"/>
    <w:rsid w:val="00051456"/>
    <w:rsid w:val="00051710"/>
    <w:rsid w:val="000517C3"/>
    <w:rsid w:val="00052B65"/>
    <w:rsid w:val="00052DB7"/>
    <w:rsid w:val="00052DD3"/>
    <w:rsid w:val="0005326D"/>
    <w:rsid w:val="000536A1"/>
    <w:rsid w:val="000537FF"/>
    <w:rsid w:val="00053934"/>
    <w:rsid w:val="00053ECD"/>
    <w:rsid w:val="00053F6C"/>
    <w:rsid w:val="00054CEC"/>
    <w:rsid w:val="00055005"/>
    <w:rsid w:val="00055742"/>
    <w:rsid w:val="00055781"/>
    <w:rsid w:val="00055F0F"/>
    <w:rsid w:val="0005657A"/>
    <w:rsid w:val="0005672E"/>
    <w:rsid w:val="00056E60"/>
    <w:rsid w:val="000577EA"/>
    <w:rsid w:val="000578DC"/>
    <w:rsid w:val="00060597"/>
    <w:rsid w:val="000608C2"/>
    <w:rsid w:val="00060A37"/>
    <w:rsid w:val="00061523"/>
    <w:rsid w:val="00061B3E"/>
    <w:rsid w:val="00061D51"/>
    <w:rsid w:val="0006299E"/>
    <w:rsid w:val="0006339C"/>
    <w:rsid w:val="000633B1"/>
    <w:rsid w:val="0006348D"/>
    <w:rsid w:val="00063691"/>
    <w:rsid w:val="000636A6"/>
    <w:rsid w:val="000639D1"/>
    <w:rsid w:val="00063B3C"/>
    <w:rsid w:val="00063B6E"/>
    <w:rsid w:val="0006403E"/>
    <w:rsid w:val="00064734"/>
    <w:rsid w:val="00064783"/>
    <w:rsid w:val="000647C2"/>
    <w:rsid w:val="00064935"/>
    <w:rsid w:val="00064B09"/>
    <w:rsid w:val="00064D4F"/>
    <w:rsid w:val="000676C9"/>
    <w:rsid w:val="00067A66"/>
    <w:rsid w:val="0007021F"/>
    <w:rsid w:val="000704EC"/>
    <w:rsid w:val="000707B7"/>
    <w:rsid w:val="00070820"/>
    <w:rsid w:val="0007096F"/>
    <w:rsid w:val="000709A0"/>
    <w:rsid w:val="0007100D"/>
    <w:rsid w:val="000710B8"/>
    <w:rsid w:val="000719C2"/>
    <w:rsid w:val="0007210F"/>
    <w:rsid w:val="000722EA"/>
    <w:rsid w:val="00072BEF"/>
    <w:rsid w:val="00072D43"/>
    <w:rsid w:val="00073409"/>
    <w:rsid w:val="00073671"/>
    <w:rsid w:val="00074199"/>
    <w:rsid w:val="0007430A"/>
    <w:rsid w:val="000755DB"/>
    <w:rsid w:val="00076019"/>
    <w:rsid w:val="00076491"/>
    <w:rsid w:val="00076B70"/>
    <w:rsid w:val="0007767B"/>
    <w:rsid w:val="000777E9"/>
    <w:rsid w:val="00077A90"/>
    <w:rsid w:val="00080241"/>
    <w:rsid w:val="00081778"/>
    <w:rsid w:val="00081987"/>
    <w:rsid w:val="00082160"/>
    <w:rsid w:val="0008362D"/>
    <w:rsid w:val="00084006"/>
    <w:rsid w:val="000849A9"/>
    <w:rsid w:val="000849DC"/>
    <w:rsid w:val="00086199"/>
    <w:rsid w:val="000869DE"/>
    <w:rsid w:val="000870B6"/>
    <w:rsid w:val="0008717B"/>
    <w:rsid w:val="00087C81"/>
    <w:rsid w:val="00087E73"/>
    <w:rsid w:val="000900CC"/>
    <w:rsid w:val="00090613"/>
    <w:rsid w:val="0009067A"/>
    <w:rsid w:val="000906AD"/>
    <w:rsid w:val="00090B76"/>
    <w:rsid w:val="00090BD1"/>
    <w:rsid w:val="000916DC"/>
    <w:rsid w:val="0009176B"/>
    <w:rsid w:val="00091857"/>
    <w:rsid w:val="00091C59"/>
    <w:rsid w:val="0009203C"/>
    <w:rsid w:val="0009218B"/>
    <w:rsid w:val="000924B4"/>
    <w:rsid w:val="00092A21"/>
    <w:rsid w:val="00092B19"/>
    <w:rsid w:val="00093087"/>
    <w:rsid w:val="000934EC"/>
    <w:rsid w:val="000937E1"/>
    <w:rsid w:val="0009393B"/>
    <w:rsid w:val="00093AE0"/>
    <w:rsid w:val="00093C1A"/>
    <w:rsid w:val="00093D9A"/>
    <w:rsid w:val="00094656"/>
    <w:rsid w:val="00094903"/>
    <w:rsid w:val="000968DD"/>
    <w:rsid w:val="00096B52"/>
    <w:rsid w:val="00096D7E"/>
    <w:rsid w:val="00097279"/>
    <w:rsid w:val="00097CEC"/>
    <w:rsid w:val="00097DE6"/>
    <w:rsid w:val="00097EAB"/>
    <w:rsid w:val="00097EB4"/>
    <w:rsid w:val="00097FEE"/>
    <w:rsid w:val="000A04D8"/>
    <w:rsid w:val="000A10BF"/>
    <w:rsid w:val="000A201B"/>
    <w:rsid w:val="000A22E9"/>
    <w:rsid w:val="000A2528"/>
    <w:rsid w:val="000A26D8"/>
    <w:rsid w:val="000A27E4"/>
    <w:rsid w:val="000A2991"/>
    <w:rsid w:val="000A2ACD"/>
    <w:rsid w:val="000A2B65"/>
    <w:rsid w:val="000A2DA8"/>
    <w:rsid w:val="000A384F"/>
    <w:rsid w:val="000A5061"/>
    <w:rsid w:val="000A5583"/>
    <w:rsid w:val="000A5C47"/>
    <w:rsid w:val="000A629E"/>
    <w:rsid w:val="000A6751"/>
    <w:rsid w:val="000A6B24"/>
    <w:rsid w:val="000A6B30"/>
    <w:rsid w:val="000A768C"/>
    <w:rsid w:val="000A76B2"/>
    <w:rsid w:val="000A7DBB"/>
    <w:rsid w:val="000A7E0E"/>
    <w:rsid w:val="000B03A8"/>
    <w:rsid w:val="000B073F"/>
    <w:rsid w:val="000B0ABA"/>
    <w:rsid w:val="000B0BA3"/>
    <w:rsid w:val="000B0DA5"/>
    <w:rsid w:val="000B0E77"/>
    <w:rsid w:val="000B1332"/>
    <w:rsid w:val="000B1F83"/>
    <w:rsid w:val="000B246F"/>
    <w:rsid w:val="000B28E6"/>
    <w:rsid w:val="000B3150"/>
    <w:rsid w:val="000B3247"/>
    <w:rsid w:val="000B3330"/>
    <w:rsid w:val="000B353D"/>
    <w:rsid w:val="000B375C"/>
    <w:rsid w:val="000B3885"/>
    <w:rsid w:val="000B3B43"/>
    <w:rsid w:val="000B48E1"/>
    <w:rsid w:val="000B5217"/>
    <w:rsid w:val="000B54C7"/>
    <w:rsid w:val="000B5950"/>
    <w:rsid w:val="000B5A52"/>
    <w:rsid w:val="000B640F"/>
    <w:rsid w:val="000B6892"/>
    <w:rsid w:val="000B6CF0"/>
    <w:rsid w:val="000B6E02"/>
    <w:rsid w:val="000B720C"/>
    <w:rsid w:val="000B7665"/>
    <w:rsid w:val="000C0992"/>
    <w:rsid w:val="000C09EA"/>
    <w:rsid w:val="000C0D65"/>
    <w:rsid w:val="000C12B0"/>
    <w:rsid w:val="000C12D1"/>
    <w:rsid w:val="000C181B"/>
    <w:rsid w:val="000C1B52"/>
    <w:rsid w:val="000C239A"/>
    <w:rsid w:val="000C2472"/>
    <w:rsid w:val="000C2B50"/>
    <w:rsid w:val="000C2EF3"/>
    <w:rsid w:val="000C3E00"/>
    <w:rsid w:val="000C3F7E"/>
    <w:rsid w:val="000C4192"/>
    <w:rsid w:val="000C5AFD"/>
    <w:rsid w:val="000C5FFA"/>
    <w:rsid w:val="000C66F8"/>
    <w:rsid w:val="000C6D1D"/>
    <w:rsid w:val="000C7699"/>
    <w:rsid w:val="000C7A1B"/>
    <w:rsid w:val="000C7C46"/>
    <w:rsid w:val="000D047B"/>
    <w:rsid w:val="000D0AB0"/>
    <w:rsid w:val="000D1037"/>
    <w:rsid w:val="000D1B52"/>
    <w:rsid w:val="000D1C6F"/>
    <w:rsid w:val="000D1E8B"/>
    <w:rsid w:val="000D1F2E"/>
    <w:rsid w:val="000D206D"/>
    <w:rsid w:val="000D272D"/>
    <w:rsid w:val="000D3911"/>
    <w:rsid w:val="000D3D8F"/>
    <w:rsid w:val="000D4802"/>
    <w:rsid w:val="000D4C1B"/>
    <w:rsid w:val="000D54CE"/>
    <w:rsid w:val="000D5523"/>
    <w:rsid w:val="000D5945"/>
    <w:rsid w:val="000D5B79"/>
    <w:rsid w:val="000D5B8F"/>
    <w:rsid w:val="000D61B7"/>
    <w:rsid w:val="000D640E"/>
    <w:rsid w:val="000D6A38"/>
    <w:rsid w:val="000D7897"/>
    <w:rsid w:val="000D7D33"/>
    <w:rsid w:val="000E03DC"/>
    <w:rsid w:val="000E0A3A"/>
    <w:rsid w:val="000E0D50"/>
    <w:rsid w:val="000E110E"/>
    <w:rsid w:val="000E1124"/>
    <w:rsid w:val="000E11EF"/>
    <w:rsid w:val="000E1242"/>
    <w:rsid w:val="000E288E"/>
    <w:rsid w:val="000E2E60"/>
    <w:rsid w:val="000E328E"/>
    <w:rsid w:val="000E3A42"/>
    <w:rsid w:val="000E436C"/>
    <w:rsid w:val="000E46E6"/>
    <w:rsid w:val="000E5472"/>
    <w:rsid w:val="000E5531"/>
    <w:rsid w:val="000E579B"/>
    <w:rsid w:val="000E585D"/>
    <w:rsid w:val="000E5FD9"/>
    <w:rsid w:val="000E6227"/>
    <w:rsid w:val="000E6410"/>
    <w:rsid w:val="000E6688"/>
    <w:rsid w:val="000E678B"/>
    <w:rsid w:val="000E6ADC"/>
    <w:rsid w:val="000E6BF8"/>
    <w:rsid w:val="000E6FC3"/>
    <w:rsid w:val="000E7053"/>
    <w:rsid w:val="000E758D"/>
    <w:rsid w:val="000E75A5"/>
    <w:rsid w:val="000E78FE"/>
    <w:rsid w:val="000E7B88"/>
    <w:rsid w:val="000E7BE3"/>
    <w:rsid w:val="000F0B2D"/>
    <w:rsid w:val="000F10F3"/>
    <w:rsid w:val="000F1586"/>
    <w:rsid w:val="000F16C8"/>
    <w:rsid w:val="000F1ABD"/>
    <w:rsid w:val="000F23DF"/>
    <w:rsid w:val="000F28D3"/>
    <w:rsid w:val="000F299D"/>
    <w:rsid w:val="000F2E01"/>
    <w:rsid w:val="000F3B88"/>
    <w:rsid w:val="000F4779"/>
    <w:rsid w:val="000F4ABE"/>
    <w:rsid w:val="000F4C1E"/>
    <w:rsid w:val="000F4F79"/>
    <w:rsid w:val="000F5A54"/>
    <w:rsid w:val="000F61B2"/>
    <w:rsid w:val="000F6920"/>
    <w:rsid w:val="000F6A19"/>
    <w:rsid w:val="000F7987"/>
    <w:rsid w:val="000F7D3B"/>
    <w:rsid w:val="0010051C"/>
    <w:rsid w:val="00100724"/>
    <w:rsid w:val="00103791"/>
    <w:rsid w:val="001038F9"/>
    <w:rsid w:val="0010448B"/>
    <w:rsid w:val="00104951"/>
    <w:rsid w:val="00104A6B"/>
    <w:rsid w:val="0010521F"/>
    <w:rsid w:val="001058D1"/>
    <w:rsid w:val="0010605D"/>
    <w:rsid w:val="00106198"/>
    <w:rsid w:val="0010625A"/>
    <w:rsid w:val="0010640D"/>
    <w:rsid w:val="00106513"/>
    <w:rsid w:val="00106941"/>
    <w:rsid w:val="00106C29"/>
    <w:rsid w:val="00107524"/>
    <w:rsid w:val="00107936"/>
    <w:rsid w:val="00107AD1"/>
    <w:rsid w:val="00107C41"/>
    <w:rsid w:val="00107DCD"/>
    <w:rsid w:val="00107EF0"/>
    <w:rsid w:val="0011028F"/>
    <w:rsid w:val="00110D4F"/>
    <w:rsid w:val="001112C9"/>
    <w:rsid w:val="00111417"/>
    <w:rsid w:val="0011203D"/>
    <w:rsid w:val="0011256A"/>
    <w:rsid w:val="00112AE9"/>
    <w:rsid w:val="00113776"/>
    <w:rsid w:val="001138CF"/>
    <w:rsid w:val="00113C60"/>
    <w:rsid w:val="00114496"/>
    <w:rsid w:val="001148D5"/>
    <w:rsid w:val="00114C3B"/>
    <w:rsid w:val="00114E21"/>
    <w:rsid w:val="00115691"/>
    <w:rsid w:val="00115C91"/>
    <w:rsid w:val="00115CC2"/>
    <w:rsid w:val="00116197"/>
    <w:rsid w:val="00117039"/>
    <w:rsid w:val="0011748D"/>
    <w:rsid w:val="00117F04"/>
    <w:rsid w:val="00120036"/>
    <w:rsid w:val="001200CA"/>
    <w:rsid w:val="00120B90"/>
    <w:rsid w:val="00120BCB"/>
    <w:rsid w:val="00120BD3"/>
    <w:rsid w:val="00121048"/>
    <w:rsid w:val="00121393"/>
    <w:rsid w:val="00121657"/>
    <w:rsid w:val="00121DD8"/>
    <w:rsid w:val="00122265"/>
    <w:rsid w:val="00122AE3"/>
    <w:rsid w:val="00122D10"/>
    <w:rsid w:val="00122EE1"/>
    <w:rsid w:val="00123658"/>
    <w:rsid w:val="001237AF"/>
    <w:rsid w:val="001237F3"/>
    <w:rsid w:val="00124372"/>
    <w:rsid w:val="001246E2"/>
    <w:rsid w:val="001247EB"/>
    <w:rsid w:val="00124AB0"/>
    <w:rsid w:val="00124F3C"/>
    <w:rsid w:val="0012500F"/>
    <w:rsid w:val="0012518F"/>
    <w:rsid w:val="001259A9"/>
    <w:rsid w:val="00125AB1"/>
    <w:rsid w:val="00125B61"/>
    <w:rsid w:val="00126122"/>
    <w:rsid w:val="00126865"/>
    <w:rsid w:val="001268C6"/>
    <w:rsid w:val="0012695A"/>
    <w:rsid w:val="001276E3"/>
    <w:rsid w:val="0012783D"/>
    <w:rsid w:val="00127F88"/>
    <w:rsid w:val="00130D07"/>
    <w:rsid w:val="001319B8"/>
    <w:rsid w:val="00131C10"/>
    <w:rsid w:val="00131C6B"/>
    <w:rsid w:val="00131D45"/>
    <w:rsid w:val="00131E67"/>
    <w:rsid w:val="001320F0"/>
    <w:rsid w:val="001328E6"/>
    <w:rsid w:val="00132A05"/>
    <w:rsid w:val="00133169"/>
    <w:rsid w:val="0013348F"/>
    <w:rsid w:val="001336E0"/>
    <w:rsid w:val="00133F34"/>
    <w:rsid w:val="00134AFA"/>
    <w:rsid w:val="00134D9B"/>
    <w:rsid w:val="00134FB4"/>
    <w:rsid w:val="00135273"/>
    <w:rsid w:val="001353AD"/>
    <w:rsid w:val="0013593C"/>
    <w:rsid w:val="00135D3E"/>
    <w:rsid w:val="00135E61"/>
    <w:rsid w:val="00135FC9"/>
    <w:rsid w:val="001363E1"/>
    <w:rsid w:val="0013664F"/>
    <w:rsid w:val="00136C0B"/>
    <w:rsid w:val="001371D8"/>
    <w:rsid w:val="0014000B"/>
    <w:rsid w:val="00141E62"/>
    <w:rsid w:val="00142510"/>
    <w:rsid w:val="00142CE6"/>
    <w:rsid w:val="00143478"/>
    <w:rsid w:val="00143A55"/>
    <w:rsid w:val="00143F2F"/>
    <w:rsid w:val="0014454C"/>
    <w:rsid w:val="00144F0C"/>
    <w:rsid w:val="0014508C"/>
    <w:rsid w:val="00145738"/>
    <w:rsid w:val="001459BE"/>
    <w:rsid w:val="00146624"/>
    <w:rsid w:val="00146A48"/>
    <w:rsid w:val="00146F83"/>
    <w:rsid w:val="001470EB"/>
    <w:rsid w:val="00147586"/>
    <w:rsid w:val="00150376"/>
    <w:rsid w:val="001504CA"/>
    <w:rsid w:val="001516EB"/>
    <w:rsid w:val="001518D2"/>
    <w:rsid w:val="001519E3"/>
    <w:rsid w:val="00151CB2"/>
    <w:rsid w:val="00151DBD"/>
    <w:rsid w:val="0015273A"/>
    <w:rsid w:val="00152BE4"/>
    <w:rsid w:val="00152D4D"/>
    <w:rsid w:val="00153114"/>
    <w:rsid w:val="001531D6"/>
    <w:rsid w:val="001536A4"/>
    <w:rsid w:val="00153800"/>
    <w:rsid w:val="001544E9"/>
    <w:rsid w:val="00154D1F"/>
    <w:rsid w:val="00154D37"/>
    <w:rsid w:val="00154D5D"/>
    <w:rsid w:val="00155399"/>
    <w:rsid w:val="00155434"/>
    <w:rsid w:val="001555C9"/>
    <w:rsid w:val="00155BDA"/>
    <w:rsid w:val="00156905"/>
    <w:rsid w:val="00156FA7"/>
    <w:rsid w:val="00157632"/>
    <w:rsid w:val="00157A4B"/>
    <w:rsid w:val="0016023A"/>
    <w:rsid w:val="001602D2"/>
    <w:rsid w:val="00160708"/>
    <w:rsid w:val="00160F5A"/>
    <w:rsid w:val="001612CC"/>
    <w:rsid w:val="001613C6"/>
    <w:rsid w:val="00161CF1"/>
    <w:rsid w:val="00162192"/>
    <w:rsid w:val="001625D9"/>
    <w:rsid w:val="001625E5"/>
    <w:rsid w:val="00162981"/>
    <w:rsid w:val="00162DBF"/>
    <w:rsid w:val="00162E87"/>
    <w:rsid w:val="00163333"/>
    <w:rsid w:val="001633B4"/>
    <w:rsid w:val="00163ABD"/>
    <w:rsid w:val="00164A03"/>
    <w:rsid w:val="00164CF8"/>
    <w:rsid w:val="001653AE"/>
    <w:rsid w:val="0016584C"/>
    <w:rsid w:val="00165D5B"/>
    <w:rsid w:val="0016604B"/>
    <w:rsid w:val="00166532"/>
    <w:rsid w:val="0016716E"/>
    <w:rsid w:val="001678D2"/>
    <w:rsid w:val="00167B25"/>
    <w:rsid w:val="00170250"/>
    <w:rsid w:val="00170351"/>
    <w:rsid w:val="001706C3"/>
    <w:rsid w:val="00170D5B"/>
    <w:rsid w:val="00170DC0"/>
    <w:rsid w:val="00170FD8"/>
    <w:rsid w:val="001725D5"/>
    <w:rsid w:val="00172B8F"/>
    <w:rsid w:val="001736EF"/>
    <w:rsid w:val="001736F8"/>
    <w:rsid w:val="00173D85"/>
    <w:rsid w:val="00174FD4"/>
    <w:rsid w:val="00175154"/>
    <w:rsid w:val="00176D1F"/>
    <w:rsid w:val="00176E66"/>
    <w:rsid w:val="00177336"/>
    <w:rsid w:val="00177BBA"/>
    <w:rsid w:val="0018020D"/>
    <w:rsid w:val="001803BF"/>
    <w:rsid w:val="001803FD"/>
    <w:rsid w:val="00180476"/>
    <w:rsid w:val="001804B4"/>
    <w:rsid w:val="00181020"/>
    <w:rsid w:val="001812A8"/>
    <w:rsid w:val="00181A66"/>
    <w:rsid w:val="0018246B"/>
    <w:rsid w:val="00182650"/>
    <w:rsid w:val="00182829"/>
    <w:rsid w:val="00182B67"/>
    <w:rsid w:val="00183B22"/>
    <w:rsid w:val="00183C8B"/>
    <w:rsid w:val="00183FD7"/>
    <w:rsid w:val="00184BAE"/>
    <w:rsid w:val="00184F36"/>
    <w:rsid w:val="001852B0"/>
    <w:rsid w:val="0018565A"/>
    <w:rsid w:val="001858C9"/>
    <w:rsid w:val="00185B71"/>
    <w:rsid w:val="00185EDC"/>
    <w:rsid w:val="00186585"/>
    <w:rsid w:val="00186589"/>
    <w:rsid w:val="001869F0"/>
    <w:rsid w:val="00186F1F"/>
    <w:rsid w:val="00187904"/>
    <w:rsid w:val="00187E46"/>
    <w:rsid w:val="00187FFE"/>
    <w:rsid w:val="00190876"/>
    <w:rsid w:val="00190DB9"/>
    <w:rsid w:val="00190E5A"/>
    <w:rsid w:val="001916AF"/>
    <w:rsid w:val="00191AD1"/>
    <w:rsid w:val="00191B5F"/>
    <w:rsid w:val="00192F8C"/>
    <w:rsid w:val="001930BD"/>
    <w:rsid w:val="0019362A"/>
    <w:rsid w:val="00193D20"/>
    <w:rsid w:val="00194179"/>
    <w:rsid w:val="001944D1"/>
    <w:rsid w:val="0019459E"/>
    <w:rsid w:val="0019474E"/>
    <w:rsid w:val="00194825"/>
    <w:rsid w:val="001948E0"/>
    <w:rsid w:val="00194E50"/>
    <w:rsid w:val="00194F14"/>
    <w:rsid w:val="00195728"/>
    <w:rsid w:val="00195FAD"/>
    <w:rsid w:val="001960BC"/>
    <w:rsid w:val="0019651B"/>
    <w:rsid w:val="00196DB8"/>
    <w:rsid w:val="001970C0"/>
    <w:rsid w:val="00197B5F"/>
    <w:rsid w:val="001A0094"/>
    <w:rsid w:val="001A0272"/>
    <w:rsid w:val="001A08E7"/>
    <w:rsid w:val="001A0D48"/>
    <w:rsid w:val="001A0FF9"/>
    <w:rsid w:val="001A1212"/>
    <w:rsid w:val="001A16FC"/>
    <w:rsid w:val="001A1B54"/>
    <w:rsid w:val="001A1CB7"/>
    <w:rsid w:val="001A24EF"/>
    <w:rsid w:val="001A2952"/>
    <w:rsid w:val="001A2B26"/>
    <w:rsid w:val="001A2DDE"/>
    <w:rsid w:val="001A3435"/>
    <w:rsid w:val="001A420B"/>
    <w:rsid w:val="001A4A19"/>
    <w:rsid w:val="001A4B97"/>
    <w:rsid w:val="001A4DB1"/>
    <w:rsid w:val="001A4F7D"/>
    <w:rsid w:val="001A5D65"/>
    <w:rsid w:val="001A5F65"/>
    <w:rsid w:val="001A5FBF"/>
    <w:rsid w:val="001A61CC"/>
    <w:rsid w:val="001A66B1"/>
    <w:rsid w:val="001A6881"/>
    <w:rsid w:val="001A6C30"/>
    <w:rsid w:val="001A6CA2"/>
    <w:rsid w:val="001A741C"/>
    <w:rsid w:val="001A7B42"/>
    <w:rsid w:val="001A7D8F"/>
    <w:rsid w:val="001B084D"/>
    <w:rsid w:val="001B120E"/>
    <w:rsid w:val="001B2871"/>
    <w:rsid w:val="001B2A97"/>
    <w:rsid w:val="001B2CD4"/>
    <w:rsid w:val="001B3802"/>
    <w:rsid w:val="001B47B9"/>
    <w:rsid w:val="001B62B5"/>
    <w:rsid w:val="001B6911"/>
    <w:rsid w:val="001B69F4"/>
    <w:rsid w:val="001B7329"/>
    <w:rsid w:val="001B7FDE"/>
    <w:rsid w:val="001C0476"/>
    <w:rsid w:val="001C0BDC"/>
    <w:rsid w:val="001C174A"/>
    <w:rsid w:val="001C1BD5"/>
    <w:rsid w:val="001C1D05"/>
    <w:rsid w:val="001C1EFC"/>
    <w:rsid w:val="001C2A48"/>
    <w:rsid w:val="001C2C7E"/>
    <w:rsid w:val="001C2FBF"/>
    <w:rsid w:val="001C304A"/>
    <w:rsid w:val="001C3BB3"/>
    <w:rsid w:val="001C3DDE"/>
    <w:rsid w:val="001C42FA"/>
    <w:rsid w:val="001C4404"/>
    <w:rsid w:val="001C49A8"/>
    <w:rsid w:val="001C4A40"/>
    <w:rsid w:val="001C5727"/>
    <w:rsid w:val="001C684B"/>
    <w:rsid w:val="001C69E3"/>
    <w:rsid w:val="001C6B08"/>
    <w:rsid w:val="001C6DFD"/>
    <w:rsid w:val="001C6F32"/>
    <w:rsid w:val="001C7224"/>
    <w:rsid w:val="001C7463"/>
    <w:rsid w:val="001D05DB"/>
    <w:rsid w:val="001D08FC"/>
    <w:rsid w:val="001D0EC5"/>
    <w:rsid w:val="001D1149"/>
    <w:rsid w:val="001D11B1"/>
    <w:rsid w:val="001D124E"/>
    <w:rsid w:val="001D1621"/>
    <w:rsid w:val="001D19E3"/>
    <w:rsid w:val="001D2A7B"/>
    <w:rsid w:val="001D2DDD"/>
    <w:rsid w:val="001D32C0"/>
    <w:rsid w:val="001D352D"/>
    <w:rsid w:val="001D3A64"/>
    <w:rsid w:val="001D3AEE"/>
    <w:rsid w:val="001D3FE5"/>
    <w:rsid w:val="001D45C5"/>
    <w:rsid w:val="001D478E"/>
    <w:rsid w:val="001D4869"/>
    <w:rsid w:val="001D4AB5"/>
    <w:rsid w:val="001D4B69"/>
    <w:rsid w:val="001D4F5A"/>
    <w:rsid w:val="001D5584"/>
    <w:rsid w:val="001D55F0"/>
    <w:rsid w:val="001D5793"/>
    <w:rsid w:val="001D651C"/>
    <w:rsid w:val="001D6B22"/>
    <w:rsid w:val="001D6D6C"/>
    <w:rsid w:val="001D71DE"/>
    <w:rsid w:val="001D74A7"/>
    <w:rsid w:val="001D7738"/>
    <w:rsid w:val="001D7E9C"/>
    <w:rsid w:val="001D7EE8"/>
    <w:rsid w:val="001D7F42"/>
    <w:rsid w:val="001D7F9E"/>
    <w:rsid w:val="001E0009"/>
    <w:rsid w:val="001E06EB"/>
    <w:rsid w:val="001E0E14"/>
    <w:rsid w:val="001E0F1C"/>
    <w:rsid w:val="001E105B"/>
    <w:rsid w:val="001E1353"/>
    <w:rsid w:val="001E15F2"/>
    <w:rsid w:val="001E1AAD"/>
    <w:rsid w:val="001E1AEF"/>
    <w:rsid w:val="001E1CF3"/>
    <w:rsid w:val="001E20E2"/>
    <w:rsid w:val="001E2195"/>
    <w:rsid w:val="001E22F7"/>
    <w:rsid w:val="001E2A7B"/>
    <w:rsid w:val="001E33B6"/>
    <w:rsid w:val="001E3EFD"/>
    <w:rsid w:val="001E4013"/>
    <w:rsid w:val="001E455F"/>
    <w:rsid w:val="001E465F"/>
    <w:rsid w:val="001E4B61"/>
    <w:rsid w:val="001E4C90"/>
    <w:rsid w:val="001E4CF9"/>
    <w:rsid w:val="001E4E7C"/>
    <w:rsid w:val="001E50C9"/>
    <w:rsid w:val="001E5609"/>
    <w:rsid w:val="001E6830"/>
    <w:rsid w:val="001E68ED"/>
    <w:rsid w:val="001E69A5"/>
    <w:rsid w:val="001E79C5"/>
    <w:rsid w:val="001E7B57"/>
    <w:rsid w:val="001F0956"/>
    <w:rsid w:val="001F0E86"/>
    <w:rsid w:val="001F0F9C"/>
    <w:rsid w:val="001F172D"/>
    <w:rsid w:val="001F1E75"/>
    <w:rsid w:val="001F1F02"/>
    <w:rsid w:val="001F2002"/>
    <w:rsid w:val="001F24B5"/>
    <w:rsid w:val="001F2902"/>
    <w:rsid w:val="001F304A"/>
    <w:rsid w:val="001F30DD"/>
    <w:rsid w:val="001F349C"/>
    <w:rsid w:val="001F3F36"/>
    <w:rsid w:val="001F465C"/>
    <w:rsid w:val="001F48E4"/>
    <w:rsid w:val="001F5399"/>
    <w:rsid w:val="001F5A6C"/>
    <w:rsid w:val="001F5CEE"/>
    <w:rsid w:val="001F658C"/>
    <w:rsid w:val="001F675C"/>
    <w:rsid w:val="001F6F44"/>
    <w:rsid w:val="001F755E"/>
    <w:rsid w:val="001F7563"/>
    <w:rsid w:val="001F7CD6"/>
    <w:rsid w:val="001F7F89"/>
    <w:rsid w:val="002004E9"/>
    <w:rsid w:val="00200A4C"/>
    <w:rsid w:val="00200C8C"/>
    <w:rsid w:val="00200E6B"/>
    <w:rsid w:val="002017AD"/>
    <w:rsid w:val="0020188C"/>
    <w:rsid w:val="002030E3"/>
    <w:rsid w:val="0020319B"/>
    <w:rsid w:val="00203684"/>
    <w:rsid w:val="00203829"/>
    <w:rsid w:val="00203E43"/>
    <w:rsid w:val="00203FE5"/>
    <w:rsid w:val="0020452E"/>
    <w:rsid w:val="00204971"/>
    <w:rsid w:val="00205183"/>
    <w:rsid w:val="002051A5"/>
    <w:rsid w:val="00205326"/>
    <w:rsid w:val="0020590D"/>
    <w:rsid w:val="0020610B"/>
    <w:rsid w:val="002065AF"/>
    <w:rsid w:val="00206631"/>
    <w:rsid w:val="002078B6"/>
    <w:rsid w:val="00207BD0"/>
    <w:rsid w:val="00207F59"/>
    <w:rsid w:val="0021040D"/>
    <w:rsid w:val="0021096F"/>
    <w:rsid w:val="00210C4B"/>
    <w:rsid w:val="00210FE9"/>
    <w:rsid w:val="00211B2F"/>
    <w:rsid w:val="00211C55"/>
    <w:rsid w:val="00211CC1"/>
    <w:rsid w:val="00211DC3"/>
    <w:rsid w:val="00212081"/>
    <w:rsid w:val="0021220C"/>
    <w:rsid w:val="002123C6"/>
    <w:rsid w:val="00212752"/>
    <w:rsid w:val="002133FF"/>
    <w:rsid w:val="002142A1"/>
    <w:rsid w:val="00215268"/>
    <w:rsid w:val="002155B6"/>
    <w:rsid w:val="002157E4"/>
    <w:rsid w:val="0021591F"/>
    <w:rsid w:val="00215A48"/>
    <w:rsid w:val="00215AFB"/>
    <w:rsid w:val="00215DEA"/>
    <w:rsid w:val="00216166"/>
    <w:rsid w:val="00220067"/>
    <w:rsid w:val="002200D8"/>
    <w:rsid w:val="00220B32"/>
    <w:rsid w:val="00221DA0"/>
    <w:rsid w:val="002222B6"/>
    <w:rsid w:val="00222470"/>
    <w:rsid w:val="002232FA"/>
    <w:rsid w:val="00223442"/>
    <w:rsid w:val="0022365A"/>
    <w:rsid w:val="0022365C"/>
    <w:rsid w:val="00223664"/>
    <w:rsid w:val="00223A56"/>
    <w:rsid w:val="002241AA"/>
    <w:rsid w:val="002246BA"/>
    <w:rsid w:val="00224C61"/>
    <w:rsid w:val="00224D2E"/>
    <w:rsid w:val="00225046"/>
    <w:rsid w:val="002253AA"/>
    <w:rsid w:val="00225833"/>
    <w:rsid w:val="00225B13"/>
    <w:rsid w:val="00225C54"/>
    <w:rsid w:val="00226095"/>
    <w:rsid w:val="0022637D"/>
    <w:rsid w:val="00226917"/>
    <w:rsid w:val="00226CDF"/>
    <w:rsid w:val="00227871"/>
    <w:rsid w:val="00227B89"/>
    <w:rsid w:val="00227F43"/>
    <w:rsid w:val="0023038D"/>
    <w:rsid w:val="00230ED2"/>
    <w:rsid w:val="0023101E"/>
    <w:rsid w:val="00232990"/>
    <w:rsid w:val="00232A2E"/>
    <w:rsid w:val="00233505"/>
    <w:rsid w:val="0023351F"/>
    <w:rsid w:val="00233E1D"/>
    <w:rsid w:val="00233F9F"/>
    <w:rsid w:val="00234640"/>
    <w:rsid w:val="00234BCD"/>
    <w:rsid w:val="0023526E"/>
    <w:rsid w:val="00235A15"/>
    <w:rsid w:val="00236215"/>
    <w:rsid w:val="002367E5"/>
    <w:rsid w:val="002367ED"/>
    <w:rsid w:val="00236BA0"/>
    <w:rsid w:val="00236C73"/>
    <w:rsid w:val="00237571"/>
    <w:rsid w:val="0023782B"/>
    <w:rsid w:val="00240106"/>
    <w:rsid w:val="002410D3"/>
    <w:rsid w:val="002411C7"/>
    <w:rsid w:val="00241D77"/>
    <w:rsid w:val="00242464"/>
    <w:rsid w:val="0024273D"/>
    <w:rsid w:val="0024286C"/>
    <w:rsid w:val="00242F4E"/>
    <w:rsid w:val="002439D4"/>
    <w:rsid w:val="00244172"/>
    <w:rsid w:val="002452A0"/>
    <w:rsid w:val="002461AB"/>
    <w:rsid w:val="002463A6"/>
    <w:rsid w:val="00246438"/>
    <w:rsid w:val="00246ADB"/>
    <w:rsid w:val="00246ECC"/>
    <w:rsid w:val="002472FC"/>
    <w:rsid w:val="0024757C"/>
    <w:rsid w:val="0024774A"/>
    <w:rsid w:val="00247D92"/>
    <w:rsid w:val="00247D99"/>
    <w:rsid w:val="00247FE6"/>
    <w:rsid w:val="00250D1D"/>
    <w:rsid w:val="002517A5"/>
    <w:rsid w:val="002517F6"/>
    <w:rsid w:val="00251F6C"/>
    <w:rsid w:val="002521C5"/>
    <w:rsid w:val="0025249C"/>
    <w:rsid w:val="00253194"/>
    <w:rsid w:val="002539ED"/>
    <w:rsid w:val="00253A7A"/>
    <w:rsid w:val="0025421B"/>
    <w:rsid w:val="0025440D"/>
    <w:rsid w:val="0025450E"/>
    <w:rsid w:val="00254B61"/>
    <w:rsid w:val="0025508D"/>
    <w:rsid w:val="00255152"/>
    <w:rsid w:val="0025554E"/>
    <w:rsid w:val="0025572B"/>
    <w:rsid w:val="00255941"/>
    <w:rsid w:val="00255DA6"/>
    <w:rsid w:val="002568CE"/>
    <w:rsid w:val="00257ACF"/>
    <w:rsid w:val="00257BBF"/>
    <w:rsid w:val="00257E18"/>
    <w:rsid w:val="0025AA56"/>
    <w:rsid w:val="00260542"/>
    <w:rsid w:val="00260E64"/>
    <w:rsid w:val="00261AB6"/>
    <w:rsid w:val="00261ADF"/>
    <w:rsid w:val="0026225B"/>
    <w:rsid w:val="002638F4"/>
    <w:rsid w:val="0026391B"/>
    <w:rsid w:val="00264127"/>
    <w:rsid w:val="0026438A"/>
    <w:rsid w:val="00265215"/>
    <w:rsid w:val="00265556"/>
    <w:rsid w:val="00265751"/>
    <w:rsid w:val="00265C67"/>
    <w:rsid w:val="00266241"/>
    <w:rsid w:val="002664EC"/>
    <w:rsid w:val="00266590"/>
    <w:rsid w:val="0026679C"/>
    <w:rsid w:val="0027018B"/>
    <w:rsid w:val="002701B3"/>
    <w:rsid w:val="0027094F"/>
    <w:rsid w:val="0027160C"/>
    <w:rsid w:val="00271751"/>
    <w:rsid w:val="00271DFF"/>
    <w:rsid w:val="00271F6A"/>
    <w:rsid w:val="00272049"/>
    <w:rsid w:val="00272052"/>
    <w:rsid w:val="00272343"/>
    <w:rsid w:val="00273E55"/>
    <w:rsid w:val="00274478"/>
    <w:rsid w:val="00274620"/>
    <w:rsid w:val="00274B6B"/>
    <w:rsid w:val="002751D1"/>
    <w:rsid w:val="00275209"/>
    <w:rsid w:val="00275E19"/>
    <w:rsid w:val="00275FE5"/>
    <w:rsid w:val="002765B8"/>
    <w:rsid w:val="0027674B"/>
    <w:rsid w:val="002767D2"/>
    <w:rsid w:val="00277252"/>
    <w:rsid w:val="002774CC"/>
    <w:rsid w:val="00277C5B"/>
    <w:rsid w:val="00280048"/>
    <w:rsid w:val="0028015F"/>
    <w:rsid w:val="002802B1"/>
    <w:rsid w:val="00280AB8"/>
    <w:rsid w:val="00281DC6"/>
    <w:rsid w:val="00282BF7"/>
    <w:rsid w:val="00282CDD"/>
    <w:rsid w:val="002839C8"/>
    <w:rsid w:val="00283F00"/>
    <w:rsid w:val="0028405A"/>
    <w:rsid w:val="00284340"/>
    <w:rsid w:val="002843B7"/>
    <w:rsid w:val="002844F7"/>
    <w:rsid w:val="00284FDA"/>
    <w:rsid w:val="00285024"/>
    <w:rsid w:val="0028592E"/>
    <w:rsid w:val="00285CCB"/>
    <w:rsid w:val="00286653"/>
    <w:rsid w:val="00286CA6"/>
    <w:rsid w:val="00287C56"/>
    <w:rsid w:val="00287E78"/>
    <w:rsid w:val="002902C5"/>
    <w:rsid w:val="00290676"/>
    <w:rsid w:val="00291462"/>
    <w:rsid w:val="002914E2"/>
    <w:rsid w:val="00291572"/>
    <w:rsid w:val="00291825"/>
    <w:rsid w:val="00292060"/>
    <w:rsid w:val="00292A3B"/>
    <w:rsid w:val="00293004"/>
    <w:rsid w:val="002930C4"/>
    <w:rsid w:val="0029332D"/>
    <w:rsid w:val="00293CFC"/>
    <w:rsid w:val="00294328"/>
    <w:rsid w:val="00294690"/>
    <w:rsid w:val="002947D8"/>
    <w:rsid w:val="00294C1F"/>
    <w:rsid w:val="00295216"/>
    <w:rsid w:val="00295A59"/>
    <w:rsid w:val="00295CBE"/>
    <w:rsid w:val="0029686C"/>
    <w:rsid w:val="0029698A"/>
    <w:rsid w:val="00297162"/>
    <w:rsid w:val="00297385"/>
    <w:rsid w:val="0029A67C"/>
    <w:rsid w:val="002A010E"/>
    <w:rsid w:val="002A0268"/>
    <w:rsid w:val="002A04B4"/>
    <w:rsid w:val="002A0825"/>
    <w:rsid w:val="002A13A4"/>
    <w:rsid w:val="002A145B"/>
    <w:rsid w:val="002A173D"/>
    <w:rsid w:val="002A18BE"/>
    <w:rsid w:val="002A18CD"/>
    <w:rsid w:val="002A1E1E"/>
    <w:rsid w:val="002A2671"/>
    <w:rsid w:val="002A29EA"/>
    <w:rsid w:val="002A3676"/>
    <w:rsid w:val="002A36F6"/>
    <w:rsid w:val="002A39BD"/>
    <w:rsid w:val="002A3EDA"/>
    <w:rsid w:val="002A4084"/>
    <w:rsid w:val="002A4575"/>
    <w:rsid w:val="002A4648"/>
    <w:rsid w:val="002A489F"/>
    <w:rsid w:val="002A4AD6"/>
    <w:rsid w:val="002A52CF"/>
    <w:rsid w:val="002A6100"/>
    <w:rsid w:val="002A6427"/>
    <w:rsid w:val="002A6489"/>
    <w:rsid w:val="002A6882"/>
    <w:rsid w:val="002A692F"/>
    <w:rsid w:val="002A6A60"/>
    <w:rsid w:val="002A6B84"/>
    <w:rsid w:val="002A7196"/>
    <w:rsid w:val="002A71D4"/>
    <w:rsid w:val="002A736C"/>
    <w:rsid w:val="002A76AE"/>
    <w:rsid w:val="002A7776"/>
    <w:rsid w:val="002B0004"/>
    <w:rsid w:val="002B030A"/>
    <w:rsid w:val="002B0F26"/>
    <w:rsid w:val="002B0FEB"/>
    <w:rsid w:val="002B12C8"/>
    <w:rsid w:val="002B1384"/>
    <w:rsid w:val="002B2259"/>
    <w:rsid w:val="002B2524"/>
    <w:rsid w:val="002B28D8"/>
    <w:rsid w:val="002B2FC1"/>
    <w:rsid w:val="002B316F"/>
    <w:rsid w:val="002B3208"/>
    <w:rsid w:val="002B364D"/>
    <w:rsid w:val="002B3681"/>
    <w:rsid w:val="002B38E2"/>
    <w:rsid w:val="002B3C71"/>
    <w:rsid w:val="002B3E2E"/>
    <w:rsid w:val="002B4570"/>
    <w:rsid w:val="002B57CB"/>
    <w:rsid w:val="002B5938"/>
    <w:rsid w:val="002B5BAD"/>
    <w:rsid w:val="002B5C66"/>
    <w:rsid w:val="002B667C"/>
    <w:rsid w:val="002B6769"/>
    <w:rsid w:val="002B6824"/>
    <w:rsid w:val="002B6ADF"/>
    <w:rsid w:val="002B79CC"/>
    <w:rsid w:val="002B7D52"/>
    <w:rsid w:val="002B7E58"/>
    <w:rsid w:val="002C0FB0"/>
    <w:rsid w:val="002C11CA"/>
    <w:rsid w:val="002C132D"/>
    <w:rsid w:val="002C14FD"/>
    <w:rsid w:val="002C169A"/>
    <w:rsid w:val="002C1849"/>
    <w:rsid w:val="002C24B9"/>
    <w:rsid w:val="002C2670"/>
    <w:rsid w:val="002C27BF"/>
    <w:rsid w:val="002C3465"/>
    <w:rsid w:val="002C3B62"/>
    <w:rsid w:val="002C45E8"/>
    <w:rsid w:val="002C529A"/>
    <w:rsid w:val="002C5814"/>
    <w:rsid w:val="002C63BB"/>
    <w:rsid w:val="002C6805"/>
    <w:rsid w:val="002C6837"/>
    <w:rsid w:val="002C6D44"/>
    <w:rsid w:val="002C6F5E"/>
    <w:rsid w:val="002C70CE"/>
    <w:rsid w:val="002C7C9E"/>
    <w:rsid w:val="002D0C3F"/>
    <w:rsid w:val="002D2360"/>
    <w:rsid w:val="002D29C1"/>
    <w:rsid w:val="002D34CA"/>
    <w:rsid w:val="002D3813"/>
    <w:rsid w:val="002D389C"/>
    <w:rsid w:val="002D3A00"/>
    <w:rsid w:val="002D40ED"/>
    <w:rsid w:val="002D45D8"/>
    <w:rsid w:val="002D5097"/>
    <w:rsid w:val="002D52A1"/>
    <w:rsid w:val="002D54D3"/>
    <w:rsid w:val="002D55E4"/>
    <w:rsid w:val="002D690D"/>
    <w:rsid w:val="002DAAA1"/>
    <w:rsid w:val="002E05E8"/>
    <w:rsid w:val="002E1208"/>
    <w:rsid w:val="002E124B"/>
    <w:rsid w:val="002E1ADB"/>
    <w:rsid w:val="002E1B86"/>
    <w:rsid w:val="002E1C28"/>
    <w:rsid w:val="002E1C95"/>
    <w:rsid w:val="002E23DE"/>
    <w:rsid w:val="002E2481"/>
    <w:rsid w:val="002E2FEB"/>
    <w:rsid w:val="002E3619"/>
    <w:rsid w:val="002E37FB"/>
    <w:rsid w:val="002E3DA7"/>
    <w:rsid w:val="002E3F65"/>
    <w:rsid w:val="002E4078"/>
    <w:rsid w:val="002E425F"/>
    <w:rsid w:val="002E52B7"/>
    <w:rsid w:val="002E54D8"/>
    <w:rsid w:val="002E5C7A"/>
    <w:rsid w:val="002E5D90"/>
    <w:rsid w:val="002E63BE"/>
    <w:rsid w:val="002E6D68"/>
    <w:rsid w:val="002E74E3"/>
    <w:rsid w:val="002E7775"/>
    <w:rsid w:val="002E7967"/>
    <w:rsid w:val="002E7AD2"/>
    <w:rsid w:val="002F01E1"/>
    <w:rsid w:val="002F0600"/>
    <w:rsid w:val="002F0AB4"/>
    <w:rsid w:val="002F116F"/>
    <w:rsid w:val="002F1399"/>
    <w:rsid w:val="002F188C"/>
    <w:rsid w:val="002F1BFC"/>
    <w:rsid w:val="002F2F77"/>
    <w:rsid w:val="002F3271"/>
    <w:rsid w:val="002F32FB"/>
    <w:rsid w:val="002F3677"/>
    <w:rsid w:val="002F4556"/>
    <w:rsid w:val="002F4778"/>
    <w:rsid w:val="002F5029"/>
    <w:rsid w:val="002F5611"/>
    <w:rsid w:val="002F5F5E"/>
    <w:rsid w:val="002F5F85"/>
    <w:rsid w:val="002F6101"/>
    <w:rsid w:val="002F693F"/>
    <w:rsid w:val="002F6B9D"/>
    <w:rsid w:val="002F7A38"/>
    <w:rsid w:val="002F7C01"/>
    <w:rsid w:val="003008CC"/>
    <w:rsid w:val="0030117E"/>
    <w:rsid w:val="003014B7"/>
    <w:rsid w:val="00301763"/>
    <w:rsid w:val="00301EF4"/>
    <w:rsid w:val="00302252"/>
    <w:rsid w:val="00302D7B"/>
    <w:rsid w:val="00303675"/>
    <w:rsid w:val="00303770"/>
    <w:rsid w:val="00303C60"/>
    <w:rsid w:val="00304893"/>
    <w:rsid w:val="00304FB8"/>
    <w:rsid w:val="0030506D"/>
    <w:rsid w:val="003051D9"/>
    <w:rsid w:val="0030573E"/>
    <w:rsid w:val="00305F2F"/>
    <w:rsid w:val="0030688C"/>
    <w:rsid w:val="00306A50"/>
    <w:rsid w:val="00306DEE"/>
    <w:rsid w:val="00306FE5"/>
    <w:rsid w:val="00307299"/>
    <w:rsid w:val="0030773C"/>
    <w:rsid w:val="00307D2A"/>
    <w:rsid w:val="003101A5"/>
    <w:rsid w:val="003104C3"/>
    <w:rsid w:val="003109C5"/>
    <w:rsid w:val="00310A8C"/>
    <w:rsid w:val="00310B9B"/>
    <w:rsid w:val="00310C3F"/>
    <w:rsid w:val="00310E39"/>
    <w:rsid w:val="0031195D"/>
    <w:rsid w:val="003119B5"/>
    <w:rsid w:val="00311CC2"/>
    <w:rsid w:val="003121B0"/>
    <w:rsid w:val="0031223D"/>
    <w:rsid w:val="003129B4"/>
    <w:rsid w:val="00312DD3"/>
    <w:rsid w:val="00312FAF"/>
    <w:rsid w:val="0031363A"/>
    <w:rsid w:val="00313649"/>
    <w:rsid w:val="0031365D"/>
    <w:rsid w:val="00313AE9"/>
    <w:rsid w:val="00313C6C"/>
    <w:rsid w:val="00313CC6"/>
    <w:rsid w:val="003140D2"/>
    <w:rsid w:val="003140F9"/>
    <w:rsid w:val="0031482B"/>
    <w:rsid w:val="00314A47"/>
    <w:rsid w:val="00314AC4"/>
    <w:rsid w:val="0031509C"/>
    <w:rsid w:val="003151F6"/>
    <w:rsid w:val="003152D4"/>
    <w:rsid w:val="003154D5"/>
    <w:rsid w:val="00315B7D"/>
    <w:rsid w:val="00316AB9"/>
    <w:rsid w:val="003176BF"/>
    <w:rsid w:val="00317714"/>
    <w:rsid w:val="00317A37"/>
    <w:rsid w:val="00317A5E"/>
    <w:rsid w:val="00317E19"/>
    <w:rsid w:val="003203C3"/>
    <w:rsid w:val="003206EA"/>
    <w:rsid w:val="00320A17"/>
    <w:rsid w:val="00320FDE"/>
    <w:rsid w:val="0032107E"/>
    <w:rsid w:val="003210D7"/>
    <w:rsid w:val="003215A3"/>
    <w:rsid w:val="00321ED4"/>
    <w:rsid w:val="003222DA"/>
    <w:rsid w:val="00322BE4"/>
    <w:rsid w:val="00322D08"/>
    <w:rsid w:val="00322DA9"/>
    <w:rsid w:val="00323AF6"/>
    <w:rsid w:val="00324D9C"/>
    <w:rsid w:val="00325005"/>
    <w:rsid w:val="003251C2"/>
    <w:rsid w:val="003254E6"/>
    <w:rsid w:val="00325773"/>
    <w:rsid w:val="00325F41"/>
    <w:rsid w:val="00325FA0"/>
    <w:rsid w:val="00326476"/>
    <w:rsid w:val="0032694A"/>
    <w:rsid w:val="00326F1C"/>
    <w:rsid w:val="00327162"/>
    <w:rsid w:val="00327AB1"/>
    <w:rsid w:val="0032B005"/>
    <w:rsid w:val="00330163"/>
    <w:rsid w:val="00330A0A"/>
    <w:rsid w:val="00331140"/>
    <w:rsid w:val="0033130A"/>
    <w:rsid w:val="003328A9"/>
    <w:rsid w:val="00333497"/>
    <w:rsid w:val="003339B1"/>
    <w:rsid w:val="00335199"/>
    <w:rsid w:val="0033562B"/>
    <w:rsid w:val="00335A40"/>
    <w:rsid w:val="00335A81"/>
    <w:rsid w:val="00335BC6"/>
    <w:rsid w:val="0033631F"/>
    <w:rsid w:val="003371B5"/>
    <w:rsid w:val="003372B0"/>
    <w:rsid w:val="00337BAF"/>
    <w:rsid w:val="00337C13"/>
    <w:rsid w:val="00337DED"/>
    <w:rsid w:val="00337EB2"/>
    <w:rsid w:val="00340341"/>
    <w:rsid w:val="003404A1"/>
    <w:rsid w:val="00340532"/>
    <w:rsid w:val="003405C2"/>
    <w:rsid w:val="00340896"/>
    <w:rsid w:val="00340EA3"/>
    <w:rsid w:val="0034164D"/>
    <w:rsid w:val="003417CB"/>
    <w:rsid w:val="00341C7E"/>
    <w:rsid w:val="00341D9F"/>
    <w:rsid w:val="00341DB4"/>
    <w:rsid w:val="00342915"/>
    <w:rsid w:val="00342F38"/>
    <w:rsid w:val="00342F46"/>
    <w:rsid w:val="00342F51"/>
    <w:rsid w:val="003430EB"/>
    <w:rsid w:val="00343343"/>
    <w:rsid w:val="003435A9"/>
    <w:rsid w:val="003439A7"/>
    <w:rsid w:val="00343AF3"/>
    <w:rsid w:val="00344649"/>
    <w:rsid w:val="00344DC2"/>
    <w:rsid w:val="00345208"/>
    <w:rsid w:val="003453C3"/>
    <w:rsid w:val="00345496"/>
    <w:rsid w:val="003454EE"/>
    <w:rsid w:val="00345BCF"/>
    <w:rsid w:val="003466F9"/>
    <w:rsid w:val="00346825"/>
    <w:rsid w:val="00347B43"/>
    <w:rsid w:val="00350092"/>
    <w:rsid w:val="00350701"/>
    <w:rsid w:val="00350FB7"/>
    <w:rsid w:val="00351611"/>
    <w:rsid w:val="003519AD"/>
    <w:rsid w:val="00351E0E"/>
    <w:rsid w:val="00352069"/>
    <w:rsid w:val="0035285D"/>
    <w:rsid w:val="00353AA8"/>
    <w:rsid w:val="00354141"/>
    <w:rsid w:val="0035416B"/>
    <w:rsid w:val="00354589"/>
    <w:rsid w:val="00354679"/>
    <w:rsid w:val="00354916"/>
    <w:rsid w:val="00354D6F"/>
    <w:rsid w:val="00354EB4"/>
    <w:rsid w:val="00354FF5"/>
    <w:rsid w:val="0035562C"/>
    <w:rsid w:val="003563F1"/>
    <w:rsid w:val="003566D1"/>
    <w:rsid w:val="003568BD"/>
    <w:rsid w:val="00356D29"/>
    <w:rsid w:val="00356D66"/>
    <w:rsid w:val="00356F00"/>
    <w:rsid w:val="00356FD3"/>
    <w:rsid w:val="00357067"/>
    <w:rsid w:val="003571C2"/>
    <w:rsid w:val="003600CF"/>
    <w:rsid w:val="00360424"/>
    <w:rsid w:val="00360E62"/>
    <w:rsid w:val="003614E3"/>
    <w:rsid w:val="00361B9D"/>
    <w:rsid w:val="00361EB4"/>
    <w:rsid w:val="00362228"/>
    <w:rsid w:val="0036296F"/>
    <w:rsid w:val="003640A7"/>
    <w:rsid w:val="003644B2"/>
    <w:rsid w:val="00365447"/>
    <w:rsid w:val="003664F5"/>
    <w:rsid w:val="00366590"/>
    <w:rsid w:val="0036680B"/>
    <w:rsid w:val="00366870"/>
    <w:rsid w:val="0036694A"/>
    <w:rsid w:val="003674C4"/>
    <w:rsid w:val="0036794E"/>
    <w:rsid w:val="00367A8A"/>
    <w:rsid w:val="00367B72"/>
    <w:rsid w:val="00370D15"/>
    <w:rsid w:val="003714A4"/>
    <w:rsid w:val="0037171C"/>
    <w:rsid w:val="003717CE"/>
    <w:rsid w:val="00372ABC"/>
    <w:rsid w:val="00373062"/>
    <w:rsid w:val="0037309B"/>
    <w:rsid w:val="00373DAB"/>
    <w:rsid w:val="003747E5"/>
    <w:rsid w:val="00374B3E"/>
    <w:rsid w:val="00374BD3"/>
    <w:rsid w:val="00374CBE"/>
    <w:rsid w:val="00375382"/>
    <w:rsid w:val="003762EE"/>
    <w:rsid w:val="00376420"/>
    <w:rsid w:val="00376BB4"/>
    <w:rsid w:val="00376FC8"/>
    <w:rsid w:val="003773E8"/>
    <w:rsid w:val="00377BB5"/>
    <w:rsid w:val="0038024D"/>
    <w:rsid w:val="0038076B"/>
    <w:rsid w:val="0038097C"/>
    <w:rsid w:val="00380A5C"/>
    <w:rsid w:val="00380AA9"/>
    <w:rsid w:val="00380DF4"/>
    <w:rsid w:val="00380FAE"/>
    <w:rsid w:val="0038146C"/>
    <w:rsid w:val="00381687"/>
    <w:rsid w:val="00381801"/>
    <w:rsid w:val="003819ED"/>
    <w:rsid w:val="00382609"/>
    <w:rsid w:val="00382EAA"/>
    <w:rsid w:val="0038369A"/>
    <w:rsid w:val="00384236"/>
    <w:rsid w:val="00384628"/>
    <w:rsid w:val="003846F0"/>
    <w:rsid w:val="00384B85"/>
    <w:rsid w:val="00384FCC"/>
    <w:rsid w:val="003856AF"/>
    <w:rsid w:val="00385A7F"/>
    <w:rsid w:val="00386124"/>
    <w:rsid w:val="0038617A"/>
    <w:rsid w:val="003864D5"/>
    <w:rsid w:val="003867E3"/>
    <w:rsid w:val="0039000A"/>
    <w:rsid w:val="00390031"/>
    <w:rsid w:val="0039004A"/>
    <w:rsid w:val="00390567"/>
    <w:rsid w:val="00390613"/>
    <w:rsid w:val="003920AD"/>
    <w:rsid w:val="003921D7"/>
    <w:rsid w:val="003923E5"/>
    <w:rsid w:val="00392727"/>
    <w:rsid w:val="0039284C"/>
    <w:rsid w:val="00392F4E"/>
    <w:rsid w:val="00394075"/>
    <w:rsid w:val="003946DC"/>
    <w:rsid w:val="0039483C"/>
    <w:rsid w:val="00394F3F"/>
    <w:rsid w:val="003956DA"/>
    <w:rsid w:val="00395C5E"/>
    <w:rsid w:val="003966F6"/>
    <w:rsid w:val="0039677D"/>
    <w:rsid w:val="00396843"/>
    <w:rsid w:val="00396C64"/>
    <w:rsid w:val="00397143"/>
    <w:rsid w:val="003A0197"/>
    <w:rsid w:val="003A05EB"/>
    <w:rsid w:val="003A0660"/>
    <w:rsid w:val="003A0829"/>
    <w:rsid w:val="003A0D52"/>
    <w:rsid w:val="003A0DE9"/>
    <w:rsid w:val="003A1BAA"/>
    <w:rsid w:val="003A217E"/>
    <w:rsid w:val="003A23BE"/>
    <w:rsid w:val="003A28B0"/>
    <w:rsid w:val="003A28F6"/>
    <w:rsid w:val="003A2ED1"/>
    <w:rsid w:val="003A31EE"/>
    <w:rsid w:val="003A32E7"/>
    <w:rsid w:val="003A390C"/>
    <w:rsid w:val="003A3991"/>
    <w:rsid w:val="003A4274"/>
    <w:rsid w:val="003A42E7"/>
    <w:rsid w:val="003A47F3"/>
    <w:rsid w:val="003A48BF"/>
    <w:rsid w:val="003A49D8"/>
    <w:rsid w:val="003A4C47"/>
    <w:rsid w:val="003A4FC4"/>
    <w:rsid w:val="003A5F98"/>
    <w:rsid w:val="003A6290"/>
    <w:rsid w:val="003A6695"/>
    <w:rsid w:val="003A6724"/>
    <w:rsid w:val="003A6E1A"/>
    <w:rsid w:val="003A7062"/>
    <w:rsid w:val="003A75F8"/>
    <w:rsid w:val="003A7722"/>
    <w:rsid w:val="003A78F7"/>
    <w:rsid w:val="003B031F"/>
    <w:rsid w:val="003B069A"/>
    <w:rsid w:val="003B0713"/>
    <w:rsid w:val="003B0BA1"/>
    <w:rsid w:val="003B0BEA"/>
    <w:rsid w:val="003B16DD"/>
    <w:rsid w:val="003B22E3"/>
    <w:rsid w:val="003B2AB2"/>
    <w:rsid w:val="003B35C1"/>
    <w:rsid w:val="003B39E1"/>
    <w:rsid w:val="003B3E54"/>
    <w:rsid w:val="003B4599"/>
    <w:rsid w:val="003B4D06"/>
    <w:rsid w:val="003B5D46"/>
    <w:rsid w:val="003B5D48"/>
    <w:rsid w:val="003B5DA9"/>
    <w:rsid w:val="003B61B7"/>
    <w:rsid w:val="003B68EA"/>
    <w:rsid w:val="003B6E34"/>
    <w:rsid w:val="003B6F6A"/>
    <w:rsid w:val="003B7232"/>
    <w:rsid w:val="003B72C3"/>
    <w:rsid w:val="003B7C8E"/>
    <w:rsid w:val="003C0B18"/>
    <w:rsid w:val="003C0E03"/>
    <w:rsid w:val="003C16C9"/>
    <w:rsid w:val="003C1A14"/>
    <w:rsid w:val="003C1AE2"/>
    <w:rsid w:val="003C1B89"/>
    <w:rsid w:val="003C1BB0"/>
    <w:rsid w:val="003C1DD8"/>
    <w:rsid w:val="003C1F95"/>
    <w:rsid w:val="003C2F82"/>
    <w:rsid w:val="003C32A1"/>
    <w:rsid w:val="003C39B9"/>
    <w:rsid w:val="003C45FC"/>
    <w:rsid w:val="003C4B68"/>
    <w:rsid w:val="003C4F8F"/>
    <w:rsid w:val="003C5C57"/>
    <w:rsid w:val="003C5E99"/>
    <w:rsid w:val="003C63E5"/>
    <w:rsid w:val="003C67EF"/>
    <w:rsid w:val="003C6A9C"/>
    <w:rsid w:val="003C6B59"/>
    <w:rsid w:val="003C776E"/>
    <w:rsid w:val="003D07EA"/>
    <w:rsid w:val="003D0B0C"/>
    <w:rsid w:val="003D153D"/>
    <w:rsid w:val="003D1719"/>
    <w:rsid w:val="003D181B"/>
    <w:rsid w:val="003D2450"/>
    <w:rsid w:val="003D299E"/>
    <w:rsid w:val="003D2E15"/>
    <w:rsid w:val="003D2EFD"/>
    <w:rsid w:val="003D3C2A"/>
    <w:rsid w:val="003D4319"/>
    <w:rsid w:val="003D437E"/>
    <w:rsid w:val="003D50B6"/>
    <w:rsid w:val="003D5181"/>
    <w:rsid w:val="003D5285"/>
    <w:rsid w:val="003D55E1"/>
    <w:rsid w:val="003D641A"/>
    <w:rsid w:val="003D683B"/>
    <w:rsid w:val="003D71EB"/>
    <w:rsid w:val="003D7494"/>
    <w:rsid w:val="003D7657"/>
    <w:rsid w:val="003D790E"/>
    <w:rsid w:val="003E056B"/>
    <w:rsid w:val="003E1E5B"/>
    <w:rsid w:val="003E22CB"/>
    <w:rsid w:val="003E2319"/>
    <w:rsid w:val="003E2343"/>
    <w:rsid w:val="003E24A4"/>
    <w:rsid w:val="003E2B06"/>
    <w:rsid w:val="003E3335"/>
    <w:rsid w:val="003E3380"/>
    <w:rsid w:val="003E39F0"/>
    <w:rsid w:val="003E406B"/>
    <w:rsid w:val="003E410A"/>
    <w:rsid w:val="003E43AD"/>
    <w:rsid w:val="003E4F96"/>
    <w:rsid w:val="003E53C0"/>
    <w:rsid w:val="003E5816"/>
    <w:rsid w:val="003E5852"/>
    <w:rsid w:val="003E59B0"/>
    <w:rsid w:val="003E5CCA"/>
    <w:rsid w:val="003E5D3E"/>
    <w:rsid w:val="003E62DE"/>
    <w:rsid w:val="003E64EB"/>
    <w:rsid w:val="003E66F2"/>
    <w:rsid w:val="003E73F9"/>
    <w:rsid w:val="003E7773"/>
    <w:rsid w:val="003E7D1A"/>
    <w:rsid w:val="003E7EB6"/>
    <w:rsid w:val="003F0A0B"/>
    <w:rsid w:val="003F0AE1"/>
    <w:rsid w:val="003F115E"/>
    <w:rsid w:val="003F14C2"/>
    <w:rsid w:val="003F2210"/>
    <w:rsid w:val="003F31BE"/>
    <w:rsid w:val="003F3B24"/>
    <w:rsid w:val="003F3C88"/>
    <w:rsid w:val="003F40BE"/>
    <w:rsid w:val="003F462D"/>
    <w:rsid w:val="003F4DED"/>
    <w:rsid w:val="003F50E4"/>
    <w:rsid w:val="003F5210"/>
    <w:rsid w:val="003F535C"/>
    <w:rsid w:val="003F5BEE"/>
    <w:rsid w:val="003F69CE"/>
    <w:rsid w:val="003F7196"/>
    <w:rsid w:val="003F763F"/>
    <w:rsid w:val="003F777E"/>
    <w:rsid w:val="003F7A8A"/>
    <w:rsid w:val="003F7B72"/>
    <w:rsid w:val="00400023"/>
    <w:rsid w:val="004008AF"/>
    <w:rsid w:val="00400AB0"/>
    <w:rsid w:val="00400B5F"/>
    <w:rsid w:val="00400EDD"/>
    <w:rsid w:val="004018E6"/>
    <w:rsid w:val="00401DBF"/>
    <w:rsid w:val="004024FB"/>
    <w:rsid w:val="00402FEE"/>
    <w:rsid w:val="004033D9"/>
    <w:rsid w:val="00403A9C"/>
    <w:rsid w:val="00403EC1"/>
    <w:rsid w:val="00404390"/>
    <w:rsid w:val="00404A94"/>
    <w:rsid w:val="00404C77"/>
    <w:rsid w:val="0040551F"/>
    <w:rsid w:val="0040585C"/>
    <w:rsid w:val="00405B8F"/>
    <w:rsid w:val="004060E3"/>
    <w:rsid w:val="00406581"/>
    <w:rsid w:val="00406701"/>
    <w:rsid w:val="00407020"/>
    <w:rsid w:val="0040723D"/>
    <w:rsid w:val="0040771F"/>
    <w:rsid w:val="00407A10"/>
    <w:rsid w:val="00407DF2"/>
    <w:rsid w:val="00407EA1"/>
    <w:rsid w:val="00410267"/>
    <w:rsid w:val="004111AC"/>
    <w:rsid w:val="004111F7"/>
    <w:rsid w:val="0041217D"/>
    <w:rsid w:val="004121F2"/>
    <w:rsid w:val="004125C6"/>
    <w:rsid w:val="0041268C"/>
    <w:rsid w:val="0041275F"/>
    <w:rsid w:val="00412D16"/>
    <w:rsid w:val="00412F20"/>
    <w:rsid w:val="00412FB5"/>
    <w:rsid w:val="00413018"/>
    <w:rsid w:val="004139B5"/>
    <w:rsid w:val="00413A33"/>
    <w:rsid w:val="004143EE"/>
    <w:rsid w:val="00414F9A"/>
    <w:rsid w:val="00415248"/>
    <w:rsid w:val="0041566A"/>
    <w:rsid w:val="004158E2"/>
    <w:rsid w:val="0041608C"/>
    <w:rsid w:val="004162C8"/>
    <w:rsid w:val="004172BA"/>
    <w:rsid w:val="00417BF0"/>
    <w:rsid w:val="004203C1"/>
    <w:rsid w:val="00420521"/>
    <w:rsid w:val="00420AE2"/>
    <w:rsid w:val="0042108C"/>
    <w:rsid w:val="004215AF"/>
    <w:rsid w:val="00421A89"/>
    <w:rsid w:val="00421C57"/>
    <w:rsid w:val="00421EBC"/>
    <w:rsid w:val="004224DC"/>
    <w:rsid w:val="0042304B"/>
    <w:rsid w:val="004232D1"/>
    <w:rsid w:val="00423800"/>
    <w:rsid w:val="00423A2B"/>
    <w:rsid w:val="00423C2C"/>
    <w:rsid w:val="00423E83"/>
    <w:rsid w:val="00424084"/>
    <w:rsid w:val="004247A7"/>
    <w:rsid w:val="00424A63"/>
    <w:rsid w:val="00425296"/>
    <w:rsid w:val="00425384"/>
    <w:rsid w:val="004257FE"/>
    <w:rsid w:val="00425D68"/>
    <w:rsid w:val="00426283"/>
    <w:rsid w:val="00426B6A"/>
    <w:rsid w:val="00426C8D"/>
    <w:rsid w:val="00426F2E"/>
    <w:rsid w:val="004273AD"/>
    <w:rsid w:val="00427545"/>
    <w:rsid w:val="00427680"/>
    <w:rsid w:val="004277FD"/>
    <w:rsid w:val="004278BE"/>
    <w:rsid w:val="004305AE"/>
    <w:rsid w:val="00430C72"/>
    <w:rsid w:val="00431800"/>
    <w:rsid w:val="00431879"/>
    <w:rsid w:val="00432054"/>
    <w:rsid w:val="00432772"/>
    <w:rsid w:val="004329B4"/>
    <w:rsid w:val="00432CA5"/>
    <w:rsid w:val="00433533"/>
    <w:rsid w:val="00433541"/>
    <w:rsid w:val="00433F46"/>
    <w:rsid w:val="00434FEB"/>
    <w:rsid w:val="0043502D"/>
    <w:rsid w:val="00435468"/>
    <w:rsid w:val="004354F8"/>
    <w:rsid w:val="0043576B"/>
    <w:rsid w:val="00435BC4"/>
    <w:rsid w:val="00435D61"/>
    <w:rsid w:val="00435D7D"/>
    <w:rsid w:val="00436514"/>
    <w:rsid w:val="0043742F"/>
    <w:rsid w:val="004379C6"/>
    <w:rsid w:val="00437D23"/>
    <w:rsid w:val="00440658"/>
    <w:rsid w:val="00440B7E"/>
    <w:rsid w:val="004413AE"/>
    <w:rsid w:val="00441CCF"/>
    <w:rsid w:val="004423F7"/>
    <w:rsid w:val="004429F2"/>
    <w:rsid w:val="00442A49"/>
    <w:rsid w:val="00442C74"/>
    <w:rsid w:val="004446D4"/>
    <w:rsid w:val="00445059"/>
    <w:rsid w:val="00445A85"/>
    <w:rsid w:val="004463A5"/>
    <w:rsid w:val="0044690B"/>
    <w:rsid w:val="00446BBE"/>
    <w:rsid w:val="0044782C"/>
    <w:rsid w:val="00450440"/>
    <w:rsid w:val="0045093D"/>
    <w:rsid w:val="00450E77"/>
    <w:rsid w:val="0045100E"/>
    <w:rsid w:val="0045111E"/>
    <w:rsid w:val="00451645"/>
    <w:rsid w:val="00451A8D"/>
    <w:rsid w:val="00451DEF"/>
    <w:rsid w:val="00451E08"/>
    <w:rsid w:val="00452560"/>
    <w:rsid w:val="00453E3A"/>
    <w:rsid w:val="00454F8E"/>
    <w:rsid w:val="00455985"/>
    <w:rsid w:val="00455CAF"/>
    <w:rsid w:val="004562CE"/>
    <w:rsid w:val="00456356"/>
    <w:rsid w:val="0045639F"/>
    <w:rsid w:val="00456829"/>
    <w:rsid w:val="00456F3D"/>
    <w:rsid w:val="00457880"/>
    <w:rsid w:val="00457A8D"/>
    <w:rsid w:val="00460D96"/>
    <w:rsid w:val="00461726"/>
    <w:rsid w:val="00461755"/>
    <w:rsid w:val="00461D59"/>
    <w:rsid w:val="0046208E"/>
    <w:rsid w:val="00462778"/>
    <w:rsid w:val="004627A8"/>
    <w:rsid w:val="00463398"/>
    <w:rsid w:val="004636C4"/>
    <w:rsid w:val="00463C0F"/>
    <w:rsid w:val="00464CA4"/>
    <w:rsid w:val="00464F6C"/>
    <w:rsid w:val="00464FE8"/>
    <w:rsid w:val="00465A09"/>
    <w:rsid w:val="0046621F"/>
    <w:rsid w:val="004662D8"/>
    <w:rsid w:val="00466B9A"/>
    <w:rsid w:val="004672D0"/>
    <w:rsid w:val="004673C5"/>
    <w:rsid w:val="00470A1A"/>
    <w:rsid w:val="00470ADB"/>
    <w:rsid w:val="0047157E"/>
    <w:rsid w:val="00471A0B"/>
    <w:rsid w:val="00471B73"/>
    <w:rsid w:val="00471D0D"/>
    <w:rsid w:val="00471D41"/>
    <w:rsid w:val="00472781"/>
    <w:rsid w:val="00473272"/>
    <w:rsid w:val="004734E1"/>
    <w:rsid w:val="00473A31"/>
    <w:rsid w:val="00474E01"/>
    <w:rsid w:val="00474EF2"/>
    <w:rsid w:val="004754EE"/>
    <w:rsid w:val="00475681"/>
    <w:rsid w:val="0047600D"/>
    <w:rsid w:val="00476550"/>
    <w:rsid w:val="00476CAD"/>
    <w:rsid w:val="00477F41"/>
    <w:rsid w:val="00480CC8"/>
    <w:rsid w:val="00482271"/>
    <w:rsid w:val="00482804"/>
    <w:rsid w:val="00482B47"/>
    <w:rsid w:val="0048323E"/>
    <w:rsid w:val="00483649"/>
    <w:rsid w:val="00484314"/>
    <w:rsid w:val="00484671"/>
    <w:rsid w:val="00484843"/>
    <w:rsid w:val="00484C1F"/>
    <w:rsid w:val="00484D92"/>
    <w:rsid w:val="00484DC5"/>
    <w:rsid w:val="00484F92"/>
    <w:rsid w:val="00485675"/>
    <w:rsid w:val="00485883"/>
    <w:rsid w:val="00485A91"/>
    <w:rsid w:val="00486655"/>
    <w:rsid w:val="00486A75"/>
    <w:rsid w:val="00487C85"/>
    <w:rsid w:val="0049025D"/>
    <w:rsid w:val="0049040B"/>
    <w:rsid w:val="00490884"/>
    <w:rsid w:val="00490DC4"/>
    <w:rsid w:val="00490ED7"/>
    <w:rsid w:val="00491012"/>
    <w:rsid w:val="00491694"/>
    <w:rsid w:val="0049289A"/>
    <w:rsid w:val="00492A07"/>
    <w:rsid w:val="00493016"/>
    <w:rsid w:val="00493165"/>
    <w:rsid w:val="00493EAD"/>
    <w:rsid w:val="00494275"/>
    <w:rsid w:val="004942D4"/>
    <w:rsid w:val="004945F1"/>
    <w:rsid w:val="00494628"/>
    <w:rsid w:val="004949B0"/>
    <w:rsid w:val="00494C28"/>
    <w:rsid w:val="00494F64"/>
    <w:rsid w:val="00495DF9"/>
    <w:rsid w:val="00496380"/>
    <w:rsid w:val="00496D98"/>
    <w:rsid w:val="00497019"/>
    <w:rsid w:val="00497165"/>
    <w:rsid w:val="0049781E"/>
    <w:rsid w:val="004979A2"/>
    <w:rsid w:val="004979AE"/>
    <w:rsid w:val="00497B9F"/>
    <w:rsid w:val="004A0308"/>
    <w:rsid w:val="004A0826"/>
    <w:rsid w:val="004A08DA"/>
    <w:rsid w:val="004A0BCE"/>
    <w:rsid w:val="004A0FFB"/>
    <w:rsid w:val="004A2084"/>
    <w:rsid w:val="004A4430"/>
    <w:rsid w:val="004A44C3"/>
    <w:rsid w:val="004A4FDF"/>
    <w:rsid w:val="004A5489"/>
    <w:rsid w:val="004A5BB9"/>
    <w:rsid w:val="004A5C14"/>
    <w:rsid w:val="004A5E73"/>
    <w:rsid w:val="004A67E6"/>
    <w:rsid w:val="004A70E2"/>
    <w:rsid w:val="004A7947"/>
    <w:rsid w:val="004A7A52"/>
    <w:rsid w:val="004A7F10"/>
    <w:rsid w:val="004B0199"/>
    <w:rsid w:val="004B05A0"/>
    <w:rsid w:val="004B19FE"/>
    <w:rsid w:val="004B1A59"/>
    <w:rsid w:val="004B2A4D"/>
    <w:rsid w:val="004B2BDB"/>
    <w:rsid w:val="004B2BED"/>
    <w:rsid w:val="004B2F45"/>
    <w:rsid w:val="004B307A"/>
    <w:rsid w:val="004B33C2"/>
    <w:rsid w:val="004B37AF"/>
    <w:rsid w:val="004B37C4"/>
    <w:rsid w:val="004B39C6"/>
    <w:rsid w:val="004B3D6A"/>
    <w:rsid w:val="004B3E8B"/>
    <w:rsid w:val="004B3E8C"/>
    <w:rsid w:val="004B3EC6"/>
    <w:rsid w:val="004B402A"/>
    <w:rsid w:val="004B4214"/>
    <w:rsid w:val="004B440B"/>
    <w:rsid w:val="004B4855"/>
    <w:rsid w:val="004B4A93"/>
    <w:rsid w:val="004B4B1A"/>
    <w:rsid w:val="004B5146"/>
    <w:rsid w:val="004B52BB"/>
    <w:rsid w:val="004B5465"/>
    <w:rsid w:val="004B5618"/>
    <w:rsid w:val="004B5B7A"/>
    <w:rsid w:val="004B689D"/>
    <w:rsid w:val="004B6C31"/>
    <w:rsid w:val="004B6D11"/>
    <w:rsid w:val="004B7CF8"/>
    <w:rsid w:val="004C0706"/>
    <w:rsid w:val="004C0E97"/>
    <w:rsid w:val="004C1737"/>
    <w:rsid w:val="004C1D65"/>
    <w:rsid w:val="004C1E0D"/>
    <w:rsid w:val="004C1E1A"/>
    <w:rsid w:val="004C2093"/>
    <w:rsid w:val="004C216B"/>
    <w:rsid w:val="004C25C5"/>
    <w:rsid w:val="004C25CF"/>
    <w:rsid w:val="004C2B8B"/>
    <w:rsid w:val="004C2BED"/>
    <w:rsid w:val="004C2C07"/>
    <w:rsid w:val="004C36CC"/>
    <w:rsid w:val="004C4008"/>
    <w:rsid w:val="004C4711"/>
    <w:rsid w:val="004C48C8"/>
    <w:rsid w:val="004C539E"/>
    <w:rsid w:val="004C598D"/>
    <w:rsid w:val="004C5C8C"/>
    <w:rsid w:val="004C617A"/>
    <w:rsid w:val="004C637F"/>
    <w:rsid w:val="004C63DB"/>
    <w:rsid w:val="004C69AC"/>
    <w:rsid w:val="004C717C"/>
    <w:rsid w:val="004C7AD5"/>
    <w:rsid w:val="004D0668"/>
    <w:rsid w:val="004D0AE4"/>
    <w:rsid w:val="004D1984"/>
    <w:rsid w:val="004D1B22"/>
    <w:rsid w:val="004D1D78"/>
    <w:rsid w:val="004D24DA"/>
    <w:rsid w:val="004D322B"/>
    <w:rsid w:val="004D3897"/>
    <w:rsid w:val="004D42D0"/>
    <w:rsid w:val="004D4425"/>
    <w:rsid w:val="004D48DB"/>
    <w:rsid w:val="004D4AED"/>
    <w:rsid w:val="004D4EFA"/>
    <w:rsid w:val="004D514E"/>
    <w:rsid w:val="004D5E05"/>
    <w:rsid w:val="004D5E95"/>
    <w:rsid w:val="004D5F71"/>
    <w:rsid w:val="004D6E87"/>
    <w:rsid w:val="004D6F0F"/>
    <w:rsid w:val="004D73C2"/>
    <w:rsid w:val="004E0003"/>
    <w:rsid w:val="004E0E33"/>
    <w:rsid w:val="004E17B9"/>
    <w:rsid w:val="004E1BAC"/>
    <w:rsid w:val="004E2BD6"/>
    <w:rsid w:val="004E2C5D"/>
    <w:rsid w:val="004E2E1E"/>
    <w:rsid w:val="004E2E2E"/>
    <w:rsid w:val="004E3B36"/>
    <w:rsid w:val="004E3E6B"/>
    <w:rsid w:val="004E41D9"/>
    <w:rsid w:val="004E519B"/>
    <w:rsid w:val="004E69AD"/>
    <w:rsid w:val="004E6F1D"/>
    <w:rsid w:val="004E7248"/>
    <w:rsid w:val="004E751D"/>
    <w:rsid w:val="004E7DB5"/>
    <w:rsid w:val="004F0DD9"/>
    <w:rsid w:val="004F1221"/>
    <w:rsid w:val="004F13BC"/>
    <w:rsid w:val="004F15A0"/>
    <w:rsid w:val="004F1A59"/>
    <w:rsid w:val="004F1D9E"/>
    <w:rsid w:val="004F1DB8"/>
    <w:rsid w:val="004F2A94"/>
    <w:rsid w:val="004F388C"/>
    <w:rsid w:val="004F44E7"/>
    <w:rsid w:val="004F5E80"/>
    <w:rsid w:val="004F6301"/>
    <w:rsid w:val="004F65E4"/>
    <w:rsid w:val="004F6AD3"/>
    <w:rsid w:val="004F7D11"/>
    <w:rsid w:val="004FDFB6"/>
    <w:rsid w:val="00500242"/>
    <w:rsid w:val="005004A4"/>
    <w:rsid w:val="00500528"/>
    <w:rsid w:val="00500A3A"/>
    <w:rsid w:val="00501386"/>
    <w:rsid w:val="00501823"/>
    <w:rsid w:val="005018AD"/>
    <w:rsid w:val="00501BD9"/>
    <w:rsid w:val="00501C25"/>
    <w:rsid w:val="005027A6"/>
    <w:rsid w:val="0050280D"/>
    <w:rsid w:val="00502DAE"/>
    <w:rsid w:val="00502FFB"/>
    <w:rsid w:val="005038A0"/>
    <w:rsid w:val="00504A82"/>
    <w:rsid w:val="005050E1"/>
    <w:rsid w:val="00505665"/>
    <w:rsid w:val="00505908"/>
    <w:rsid w:val="00505AE5"/>
    <w:rsid w:val="00505E19"/>
    <w:rsid w:val="00505E89"/>
    <w:rsid w:val="005060AA"/>
    <w:rsid w:val="00506A29"/>
    <w:rsid w:val="00507833"/>
    <w:rsid w:val="005078F9"/>
    <w:rsid w:val="00507BC4"/>
    <w:rsid w:val="00507C2C"/>
    <w:rsid w:val="005103C5"/>
    <w:rsid w:val="0051114C"/>
    <w:rsid w:val="00511586"/>
    <w:rsid w:val="00512066"/>
    <w:rsid w:val="005124AA"/>
    <w:rsid w:val="005126A3"/>
    <w:rsid w:val="00512F09"/>
    <w:rsid w:val="005131D3"/>
    <w:rsid w:val="0051352C"/>
    <w:rsid w:val="00513A64"/>
    <w:rsid w:val="00514B6B"/>
    <w:rsid w:val="00514DF7"/>
    <w:rsid w:val="00514E7D"/>
    <w:rsid w:val="00514FC2"/>
    <w:rsid w:val="00515640"/>
    <w:rsid w:val="00515BFA"/>
    <w:rsid w:val="0051659B"/>
    <w:rsid w:val="00516A7A"/>
    <w:rsid w:val="00516EBD"/>
    <w:rsid w:val="00517435"/>
    <w:rsid w:val="00517549"/>
    <w:rsid w:val="00517A86"/>
    <w:rsid w:val="0052012E"/>
    <w:rsid w:val="005214D2"/>
    <w:rsid w:val="005219FB"/>
    <w:rsid w:val="005225EF"/>
    <w:rsid w:val="00522758"/>
    <w:rsid w:val="00522BF3"/>
    <w:rsid w:val="00522E10"/>
    <w:rsid w:val="00522E47"/>
    <w:rsid w:val="0052349D"/>
    <w:rsid w:val="00523B89"/>
    <w:rsid w:val="00523BB3"/>
    <w:rsid w:val="00524295"/>
    <w:rsid w:val="005244BF"/>
    <w:rsid w:val="00524BE8"/>
    <w:rsid w:val="005251BF"/>
    <w:rsid w:val="0052575D"/>
    <w:rsid w:val="00526368"/>
    <w:rsid w:val="00526C92"/>
    <w:rsid w:val="00527066"/>
    <w:rsid w:val="0052714F"/>
    <w:rsid w:val="005275FC"/>
    <w:rsid w:val="0052768C"/>
    <w:rsid w:val="005301F7"/>
    <w:rsid w:val="00530896"/>
    <w:rsid w:val="00530A59"/>
    <w:rsid w:val="00530E48"/>
    <w:rsid w:val="005310AF"/>
    <w:rsid w:val="005314B5"/>
    <w:rsid w:val="0053161C"/>
    <w:rsid w:val="00531C3A"/>
    <w:rsid w:val="00531F5D"/>
    <w:rsid w:val="00532FEC"/>
    <w:rsid w:val="005331EC"/>
    <w:rsid w:val="005339A5"/>
    <w:rsid w:val="005342C3"/>
    <w:rsid w:val="00534EBA"/>
    <w:rsid w:val="0053538D"/>
    <w:rsid w:val="005356BF"/>
    <w:rsid w:val="005362F5"/>
    <w:rsid w:val="00536B2A"/>
    <w:rsid w:val="00536BE6"/>
    <w:rsid w:val="00536CC2"/>
    <w:rsid w:val="0053725B"/>
    <w:rsid w:val="0053758D"/>
    <w:rsid w:val="00537AFB"/>
    <w:rsid w:val="00537DD9"/>
    <w:rsid w:val="0054067E"/>
    <w:rsid w:val="00540C57"/>
    <w:rsid w:val="005415FF"/>
    <w:rsid w:val="00542B1C"/>
    <w:rsid w:val="00542D68"/>
    <w:rsid w:val="00543205"/>
    <w:rsid w:val="00543363"/>
    <w:rsid w:val="0054450D"/>
    <w:rsid w:val="00544A33"/>
    <w:rsid w:val="00544C7E"/>
    <w:rsid w:val="005456B6"/>
    <w:rsid w:val="005459E2"/>
    <w:rsid w:val="005462FC"/>
    <w:rsid w:val="00546371"/>
    <w:rsid w:val="005464A3"/>
    <w:rsid w:val="005465D4"/>
    <w:rsid w:val="00546C5E"/>
    <w:rsid w:val="00546EBA"/>
    <w:rsid w:val="005477FB"/>
    <w:rsid w:val="00547BDC"/>
    <w:rsid w:val="00547CD8"/>
    <w:rsid w:val="0055075E"/>
    <w:rsid w:val="0055169E"/>
    <w:rsid w:val="005519AC"/>
    <w:rsid w:val="00551B27"/>
    <w:rsid w:val="00551BE8"/>
    <w:rsid w:val="00552584"/>
    <w:rsid w:val="005527BE"/>
    <w:rsid w:val="00552A25"/>
    <w:rsid w:val="00552B79"/>
    <w:rsid w:val="005531BD"/>
    <w:rsid w:val="00553651"/>
    <w:rsid w:val="00553BFE"/>
    <w:rsid w:val="00554C52"/>
    <w:rsid w:val="00555CBA"/>
    <w:rsid w:val="00555DC5"/>
    <w:rsid w:val="005567B2"/>
    <w:rsid w:val="00556B31"/>
    <w:rsid w:val="00557610"/>
    <w:rsid w:val="00557870"/>
    <w:rsid w:val="00557A8E"/>
    <w:rsid w:val="00557C31"/>
    <w:rsid w:val="00557F18"/>
    <w:rsid w:val="00560277"/>
    <w:rsid w:val="00560938"/>
    <w:rsid w:val="00560AF1"/>
    <w:rsid w:val="00560F7E"/>
    <w:rsid w:val="0056107D"/>
    <w:rsid w:val="005613E9"/>
    <w:rsid w:val="00561562"/>
    <w:rsid w:val="00561646"/>
    <w:rsid w:val="00561ADA"/>
    <w:rsid w:val="00561BFA"/>
    <w:rsid w:val="00561C14"/>
    <w:rsid w:val="00561C24"/>
    <w:rsid w:val="005620B1"/>
    <w:rsid w:val="00562599"/>
    <w:rsid w:val="00562B96"/>
    <w:rsid w:val="00562F4F"/>
    <w:rsid w:val="00563DE6"/>
    <w:rsid w:val="0056444F"/>
    <w:rsid w:val="00564737"/>
    <w:rsid w:val="00564B00"/>
    <w:rsid w:val="005650F0"/>
    <w:rsid w:val="0056528D"/>
    <w:rsid w:val="00565C96"/>
    <w:rsid w:val="00565D60"/>
    <w:rsid w:val="00565DED"/>
    <w:rsid w:val="0056621C"/>
    <w:rsid w:val="0056628B"/>
    <w:rsid w:val="00566298"/>
    <w:rsid w:val="005670D5"/>
    <w:rsid w:val="00567933"/>
    <w:rsid w:val="00567F86"/>
    <w:rsid w:val="00570886"/>
    <w:rsid w:val="0057091E"/>
    <w:rsid w:val="00570E29"/>
    <w:rsid w:val="00571044"/>
    <w:rsid w:val="005716B7"/>
    <w:rsid w:val="0057208C"/>
    <w:rsid w:val="005720A1"/>
    <w:rsid w:val="005723D6"/>
    <w:rsid w:val="005726C2"/>
    <w:rsid w:val="00572772"/>
    <w:rsid w:val="00572996"/>
    <w:rsid w:val="005736C7"/>
    <w:rsid w:val="0057379A"/>
    <w:rsid w:val="0057394A"/>
    <w:rsid w:val="005741EE"/>
    <w:rsid w:val="00574264"/>
    <w:rsid w:val="00574790"/>
    <w:rsid w:val="00574A6E"/>
    <w:rsid w:val="00574BEA"/>
    <w:rsid w:val="005754AC"/>
    <w:rsid w:val="00575577"/>
    <w:rsid w:val="00576177"/>
    <w:rsid w:val="0057648A"/>
    <w:rsid w:val="00576992"/>
    <w:rsid w:val="00577145"/>
    <w:rsid w:val="005773BE"/>
    <w:rsid w:val="00577DCA"/>
    <w:rsid w:val="005814F5"/>
    <w:rsid w:val="00581A57"/>
    <w:rsid w:val="00581B09"/>
    <w:rsid w:val="00582365"/>
    <w:rsid w:val="00582749"/>
    <w:rsid w:val="0058396E"/>
    <w:rsid w:val="00583D6E"/>
    <w:rsid w:val="005850A4"/>
    <w:rsid w:val="005851CF"/>
    <w:rsid w:val="00585B59"/>
    <w:rsid w:val="00585C1B"/>
    <w:rsid w:val="005875F5"/>
    <w:rsid w:val="00587639"/>
    <w:rsid w:val="00587705"/>
    <w:rsid w:val="0058785E"/>
    <w:rsid w:val="00587A9E"/>
    <w:rsid w:val="00587E73"/>
    <w:rsid w:val="005902F4"/>
    <w:rsid w:val="00590578"/>
    <w:rsid w:val="0059155A"/>
    <w:rsid w:val="005919CB"/>
    <w:rsid w:val="00591E65"/>
    <w:rsid w:val="00592159"/>
    <w:rsid w:val="00592429"/>
    <w:rsid w:val="00592638"/>
    <w:rsid w:val="00592701"/>
    <w:rsid w:val="00592770"/>
    <w:rsid w:val="005930F3"/>
    <w:rsid w:val="00593138"/>
    <w:rsid w:val="005932B1"/>
    <w:rsid w:val="00593A33"/>
    <w:rsid w:val="0059447D"/>
    <w:rsid w:val="00594596"/>
    <w:rsid w:val="0059475A"/>
    <w:rsid w:val="005947B5"/>
    <w:rsid w:val="00594823"/>
    <w:rsid w:val="005948CF"/>
    <w:rsid w:val="00594CE8"/>
    <w:rsid w:val="00595CB9"/>
    <w:rsid w:val="00595F66"/>
    <w:rsid w:val="005960BB"/>
    <w:rsid w:val="00596B7B"/>
    <w:rsid w:val="00596E7C"/>
    <w:rsid w:val="00597224"/>
    <w:rsid w:val="00597407"/>
    <w:rsid w:val="005A03C8"/>
    <w:rsid w:val="005A0496"/>
    <w:rsid w:val="005A159C"/>
    <w:rsid w:val="005A1630"/>
    <w:rsid w:val="005A1843"/>
    <w:rsid w:val="005A200C"/>
    <w:rsid w:val="005A30C0"/>
    <w:rsid w:val="005A3317"/>
    <w:rsid w:val="005A35EA"/>
    <w:rsid w:val="005A3A4A"/>
    <w:rsid w:val="005A3AF3"/>
    <w:rsid w:val="005A3E1B"/>
    <w:rsid w:val="005A3EE8"/>
    <w:rsid w:val="005A4047"/>
    <w:rsid w:val="005A4169"/>
    <w:rsid w:val="005A4384"/>
    <w:rsid w:val="005A4BE8"/>
    <w:rsid w:val="005A588F"/>
    <w:rsid w:val="005A5C7F"/>
    <w:rsid w:val="005A61E3"/>
    <w:rsid w:val="005A6E08"/>
    <w:rsid w:val="005A7012"/>
    <w:rsid w:val="005A7400"/>
    <w:rsid w:val="005A7A5E"/>
    <w:rsid w:val="005B0AA9"/>
    <w:rsid w:val="005B0B4D"/>
    <w:rsid w:val="005B1C07"/>
    <w:rsid w:val="005B1CFF"/>
    <w:rsid w:val="005B1FCE"/>
    <w:rsid w:val="005B2042"/>
    <w:rsid w:val="005B2661"/>
    <w:rsid w:val="005B27EA"/>
    <w:rsid w:val="005B3012"/>
    <w:rsid w:val="005B3026"/>
    <w:rsid w:val="005B3426"/>
    <w:rsid w:val="005B3432"/>
    <w:rsid w:val="005B3626"/>
    <w:rsid w:val="005B3815"/>
    <w:rsid w:val="005B3BD6"/>
    <w:rsid w:val="005B3E0F"/>
    <w:rsid w:val="005B4689"/>
    <w:rsid w:val="005B4691"/>
    <w:rsid w:val="005B571B"/>
    <w:rsid w:val="005B6365"/>
    <w:rsid w:val="005B6799"/>
    <w:rsid w:val="005B6CDC"/>
    <w:rsid w:val="005B6DF4"/>
    <w:rsid w:val="005B6EB4"/>
    <w:rsid w:val="005B6FB9"/>
    <w:rsid w:val="005B716D"/>
    <w:rsid w:val="005B7656"/>
    <w:rsid w:val="005B7D6C"/>
    <w:rsid w:val="005C0710"/>
    <w:rsid w:val="005C241E"/>
    <w:rsid w:val="005C2923"/>
    <w:rsid w:val="005C316A"/>
    <w:rsid w:val="005C386C"/>
    <w:rsid w:val="005C397E"/>
    <w:rsid w:val="005C3982"/>
    <w:rsid w:val="005C410F"/>
    <w:rsid w:val="005C4DE0"/>
    <w:rsid w:val="005C581D"/>
    <w:rsid w:val="005C58CB"/>
    <w:rsid w:val="005C672B"/>
    <w:rsid w:val="005C6CC1"/>
    <w:rsid w:val="005C6DD2"/>
    <w:rsid w:val="005C7215"/>
    <w:rsid w:val="005C73C4"/>
    <w:rsid w:val="005C7D1C"/>
    <w:rsid w:val="005D00EA"/>
    <w:rsid w:val="005D023B"/>
    <w:rsid w:val="005D02C4"/>
    <w:rsid w:val="005D0353"/>
    <w:rsid w:val="005D0FC8"/>
    <w:rsid w:val="005D1548"/>
    <w:rsid w:val="005D2304"/>
    <w:rsid w:val="005D2810"/>
    <w:rsid w:val="005D3000"/>
    <w:rsid w:val="005D3A04"/>
    <w:rsid w:val="005D3F8D"/>
    <w:rsid w:val="005D415E"/>
    <w:rsid w:val="005D465C"/>
    <w:rsid w:val="005D48EA"/>
    <w:rsid w:val="005D48FE"/>
    <w:rsid w:val="005D51B4"/>
    <w:rsid w:val="005D5743"/>
    <w:rsid w:val="005D630A"/>
    <w:rsid w:val="005D6756"/>
    <w:rsid w:val="005D67F0"/>
    <w:rsid w:val="005D6BB3"/>
    <w:rsid w:val="005D6D15"/>
    <w:rsid w:val="005D7471"/>
    <w:rsid w:val="005D749D"/>
    <w:rsid w:val="005D7538"/>
    <w:rsid w:val="005D7B93"/>
    <w:rsid w:val="005D7FBF"/>
    <w:rsid w:val="005E08C6"/>
    <w:rsid w:val="005E0D28"/>
    <w:rsid w:val="005E1373"/>
    <w:rsid w:val="005E148D"/>
    <w:rsid w:val="005E19A8"/>
    <w:rsid w:val="005E269D"/>
    <w:rsid w:val="005E2702"/>
    <w:rsid w:val="005E2A39"/>
    <w:rsid w:val="005E2E38"/>
    <w:rsid w:val="005E30B5"/>
    <w:rsid w:val="005E3829"/>
    <w:rsid w:val="005E3E03"/>
    <w:rsid w:val="005E40B4"/>
    <w:rsid w:val="005E482D"/>
    <w:rsid w:val="005E4BE3"/>
    <w:rsid w:val="005E4C62"/>
    <w:rsid w:val="005E580D"/>
    <w:rsid w:val="005E5874"/>
    <w:rsid w:val="005E58B8"/>
    <w:rsid w:val="005E5EC0"/>
    <w:rsid w:val="005E5EFA"/>
    <w:rsid w:val="005E74B8"/>
    <w:rsid w:val="005E756C"/>
    <w:rsid w:val="005E75D5"/>
    <w:rsid w:val="005E79C2"/>
    <w:rsid w:val="005E7D3C"/>
    <w:rsid w:val="005F0357"/>
    <w:rsid w:val="005F08E8"/>
    <w:rsid w:val="005F1555"/>
    <w:rsid w:val="005F1891"/>
    <w:rsid w:val="005F1D23"/>
    <w:rsid w:val="005F21A9"/>
    <w:rsid w:val="005F2978"/>
    <w:rsid w:val="005F2BA2"/>
    <w:rsid w:val="005F317D"/>
    <w:rsid w:val="005F43A6"/>
    <w:rsid w:val="005F45E4"/>
    <w:rsid w:val="005F4721"/>
    <w:rsid w:val="005F4876"/>
    <w:rsid w:val="005F5884"/>
    <w:rsid w:val="005F5A0F"/>
    <w:rsid w:val="005F5DD9"/>
    <w:rsid w:val="005F637B"/>
    <w:rsid w:val="005F65D7"/>
    <w:rsid w:val="005F665C"/>
    <w:rsid w:val="005F6673"/>
    <w:rsid w:val="005F696C"/>
    <w:rsid w:val="005F6B69"/>
    <w:rsid w:val="005F6D2F"/>
    <w:rsid w:val="005F6E9E"/>
    <w:rsid w:val="005F720A"/>
    <w:rsid w:val="005F741E"/>
    <w:rsid w:val="0060021A"/>
    <w:rsid w:val="006002A7"/>
    <w:rsid w:val="006008F9"/>
    <w:rsid w:val="00601146"/>
    <w:rsid w:val="006018FD"/>
    <w:rsid w:val="00601D8C"/>
    <w:rsid w:val="006029CA"/>
    <w:rsid w:val="00602F43"/>
    <w:rsid w:val="00603B08"/>
    <w:rsid w:val="00603B39"/>
    <w:rsid w:val="00603F72"/>
    <w:rsid w:val="00604609"/>
    <w:rsid w:val="00604F29"/>
    <w:rsid w:val="006050F8"/>
    <w:rsid w:val="00605291"/>
    <w:rsid w:val="00605760"/>
    <w:rsid w:val="00605776"/>
    <w:rsid w:val="00605904"/>
    <w:rsid w:val="00606544"/>
    <w:rsid w:val="0060676D"/>
    <w:rsid w:val="0060690E"/>
    <w:rsid w:val="00606F63"/>
    <w:rsid w:val="00607B06"/>
    <w:rsid w:val="00610162"/>
    <w:rsid w:val="00610ABA"/>
    <w:rsid w:val="00611326"/>
    <w:rsid w:val="0061154B"/>
    <w:rsid w:val="00611719"/>
    <w:rsid w:val="00612E7A"/>
    <w:rsid w:val="00613037"/>
    <w:rsid w:val="00613197"/>
    <w:rsid w:val="006135AB"/>
    <w:rsid w:val="006138E4"/>
    <w:rsid w:val="006141AE"/>
    <w:rsid w:val="0061442E"/>
    <w:rsid w:val="006144F6"/>
    <w:rsid w:val="00614534"/>
    <w:rsid w:val="00614EB0"/>
    <w:rsid w:val="00615916"/>
    <w:rsid w:val="00615969"/>
    <w:rsid w:val="00615D47"/>
    <w:rsid w:val="0061623E"/>
    <w:rsid w:val="006163C7"/>
    <w:rsid w:val="00616407"/>
    <w:rsid w:val="0061687E"/>
    <w:rsid w:val="006169C1"/>
    <w:rsid w:val="00616B0F"/>
    <w:rsid w:val="00616C33"/>
    <w:rsid w:val="00617B33"/>
    <w:rsid w:val="00620596"/>
    <w:rsid w:val="006205F4"/>
    <w:rsid w:val="006206BD"/>
    <w:rsid w:val="00620A3A"/>
    <w:rsid w:val="00620E5A"/>
    <w:rsid w:val="006216AA"/>
    <w:rsid w:val="00621987"/>
    <w:rsid w:val="00621A5C"/>
    <w:rsid w:val="00621F93"/>
    <w:rsid w:val="00623116"/>
    <w:rsid w:val="00623C69"/>
    <w:rsid w:val="00623D45"/>
    <w:rsid w:val="00623D65"/>
    <w:rsid w:val="00624982"/>
    <w:rsid w:val="00624C66"/>
    <w:rsid w:val="006250E9"/>
    <w:rsid w:val="006258ED"/>
    <w:rsid w:val="00625A37"/>
    <w:rsid w:val="00625D04"/>
    <w:rsid w:val="00625E88"/>
    <w:rsid w:val="00626599"/>
    <w:rsid w:val="00626B36"/>
    <w:rsid w:val="00627499"/>
    <w:rsid w:val="006274E2"/>
    <w:rsid w:val="00627D8F"/>
    <w:rsid w:val="00627DB2"/>
    <w:rsid w:val="00630138"/>
    <w:rsid w:val="0063079A"/>
    <w:rsid w:val="00630967"/>
    <w:rsid w:val="00630D29"/>
    <w:rsid w:val="00630D8B"/>
    <w:rsid w:val="00631CBB"/>
    <w:rsid w:val="00631DA9"/>
    <w:rsid w:val="00631E67"/>
    <w:rsid w:val="00632087"/>
    <w:rsid w:val="00632338"/>
    <w:rsid w:val="00632958"/>
    <w:rsid w:val="00632EF2"/>
    <w:rsid w:val="0063351D"/>
    <w:rsid w:val="0063391B"/>
    <w:rsid w:val="00633B2F"/>
    <w:rsid w:val="00633D45"/>
    <w:rsid w:val="00634834"/>
    <w:rsid w:val="00634A47"/>
    <w:rsid w:val="00635A2C"/>
    <w:rsid w:val="00635EE5"/>
    <w:rsid w:val="00636209"/>
    <w:rsid w:val="006367B0"/>
    <w:rsid w:val="00636816"/>
    <w:rsid w:val="00636CB9"/>
    <w:rsid w:val="006370CC"/>
    <w:rsid w:val="00637BFE"/>
    <w:rsid w:val="00637DAA"/>
    <w:rsid w:val="00637FF4"/>
    <w:rsid w:val="006405AC"/>
    <w:rsid w:val="006405B0"/>
    <w:rsid w:val="0064074E"/>
    <w:rsid w:val="00640C31"/>
    <w:rsid w:val="00640FDD"/>
    <w:rsid w:val="00641242"/>
    <w:rsid w:val="006417AC"/>
    <w:rsid w:val="0064245E"/>
    <w:rsid w:val="006424A8"/>
    <w:rsid w:val="00642EB6"/>
    <w:rsid w:val="0064301E"/>
    <w:rsid w:val="00643226"/>
    <w:rsid w:val="00643457"/>
    <w:rsid w:val="00643477"/>
    <w:rsid w:val="006437F8"/>
    <w:rsid w:val="00643896"/>
    <w:rsid w:val="006439E8"/>
    <w:rsid w:val="00644533"/>
    <w:rsid w:val="00644E5A"/>
    <w:rsid w:val="006459EF"/>
    <w:rsid w:val="00645B87"/>
    <w:rsid w:val="00645D73"/>
    <w:rsid w:val="006465F3"/>
    <w:rsid w:val="00647D6F"/>
    <w:rsid w:val="00647F18"/>
    <w:rsid w:val="00651651"/>
    <w:rsid w:val="00651BDD"/>
    <w:rsid w:val="00651F1D"/>
    <w:rsid w:val="00652A42"/>
    <w:rsid w:val="0065303A"/>
    <w:rsid w:val="006534BF"/>
    <w:rsid w:val="00653714"/>
    <w:rsid w:val="0065375A"/>
    <w:rsid w:val="006537D7"/>
    <w:rsid w:val="0065427B"/>
    <w:rsid w:val="0065444A"/>
    <w:rsid w:val="00654AE2"/>
    <w:rsid w:val="00654F68"/>
    <w:rsid w:val="0065524B"/>
    <w:rsid w:val="006557DE"/>
    <w:rsid w:val="00655CF9"/>
    <w:rsid w:val="00655D45"/>
    <w:rsid w:val="00655F90"/>
    <w:rsid w:val="006563EE"/>
    <w:rsid w:val="0065649F"/>
    <w:rsid w:val="00656BE3"/>
    <w:rsid w:val="0065714C"/>
    <w:rsid w:val="0065797F"/>
    <w:rsid w:val="00657E5F"/>
    <w:rsid w:val="00657E79"/>
    <w:rsid w:val="00660452"/>
    <w:rsid w:val="00660A74"/>
    <w:rsid w:val="006615CB"/>
    <w:rsid w:val="00661710"/>
    <w:rsid w:val="00661BCA"/>
    <w:rsid w:val="006620D4"/>
    <w:rsid w:val="00662130"/>
    <w:rsid w:val="006625F9"/>
    <w:rsid w:val="0066262F"/>
    <w:rsid w:val="00662978"/>
    <w:rsid w:val="006629C7"/>
    <w:rsid w:val="00662B8A"/>
    <w:rsid w:val="00662E5F"/>
    <w:rsid w:val="00662ED7"/>
    <w:rsid w:val="0066335F"/>
    <w:rsid w:val="00664434"/>
    <w:rsid w:val="006646D3"/>
    <w:rsid w:val="00664B24"/>
    <w:rsid w:val="0066561F"/>
    <w:rsid w:val="00665EB9"/>
    <w:rsid w:val="006662E7"/>
    <w:rsid w:val="006669E6"/>
    <w:rsid w:val="00666A58"/>
    <w:rsid w:val="0066707A"/>
    <w:rsid w:val="00667081"/>
    <w:rsid w:val="0066738B"/>
    <w:rsid w:val="00667C7F"/>
    <w:rsid w:val="00667CF2"/>
    <w:rsid w:val="00670209"/>
    <w:rsid w:val="00670650"/>
    <w:rsid w:val="00670A46"/>
    <w:rsid w:val="006712C0"/>
    <w:rsid w:val="00672318"/>
    <w:rsid w:val="00672DEC"/>
    <w:rsid w:val="006740D0"/>
    <w:rsid w:val="00674498"/>
    <w:rsid w:val="006744AC"/>
    <w:rsid w:val="00674AAC"/>
    <w:rsid w:val="00674C7D"/>
    <w:rsid w:val="00674F09"/>
    <w:rsid w:val="006752AF"/>
    <w:rsid w:val="00675300"/>
    <w:rsid w:val="00675520"/>
    <w:rsid w:val="00675FC4"/>
    <w:rsid w:val="0067638A"/>
    <w:rsid w:val="0067698A"/>
    <w:rsid w:val="00676AA3"/>
    <w:rsid w:val="00677176"/>
    <w:rsid w:val="00677389"/>
    <w:rsid w:val="0067759D"/>
    <w:rsid w:val="00677702"/>
    <w:rsid w:val="00677FC5"/>
    <w:rsid w:val="006801BE"/>
    <w:rsid w:val="0068052B"/>
    <w:rsid w:val="00680B40"/>
    <w:rsid w:val="00680B6B"/>
    <w:rsid w:val="006812AB"/>
    <w:rsid w:val="00681A27"/>
    <w:rsid w:val="00681CB2"/>
    <w:rsid w:val="00681D3D"/>
    <w:rsid w:val="00681EC9"/>
    <w:rsid w:val="006822FA"/>
    <w:rsid w:val="00682801"/>
    <w:rsid w:val="0068288C"/>
    <w:rsid w:val="00682BAE"/>
    <w:rsid w:val="006836FC"/>
    <w:rsid w:val="00683859"/>
    <w:rsid w:val="00683CE1"/>
    <w:rsid w:val="00683F36"/>
    <w:rsid w:val="0068481E"/>
    <w:rsid w:val="00685589"/>
    <w:rsid w:val="006857A7"/>
    <w:rsid w:val="006860A1"/>
    <w:rsid w:val="006865A5"/>
    <w:rsid w:val="00686641"/>
    <w:rsid w:val="00686777"/>
    <w:rsid w:val="0068682C"/>
    <w:rsid w:val="00686E9E"/>
    <w:rsid w:val="00687464"/>
    <w:rsid w:val="00687F95"/>
    <w:rsid w:val="00690EDD"/>
    <w:rsid w:val="00691A57"/>
    <w:rsid w:val="00692106"/>
    <w:rsid w:val="0069248B"/>
    <w:rsid w:val="00692719"/>
    <w:rsid w:val="00692C32"/>
    <w:rsid w:val="00692F72"/>
    <w:rsid w:val="00693113"/>
    <w:rsid w:val="0069324C"/>
    <w:rsid w:val="006938AA"/>
    <w:rsid w:val="006940DA"/>
    <w:rsid w:val="0069474B"/>
    <w:rsid w:val="0069475D"/>
    <w:rsid w:val="00695214"/>
    <w:rsid w:val="006952C4"/>
    <w:rsid w:val="00695B5B"/>
    <w:rsid w:val="00695C8F"/>
    <w:rsid w:val="006962E3"/>
    <w:rsid w:val="00696723"/>
    <w:rsid w:val="00696F09"/>
    <w:rsid w:val="006974D6"/>
    <w:rsid w:val="00697966"/>
    <w:rsid w:val="00697D43"/>
    <w:rsid w:val="006A014A"/>
    <w:rsid w:val="006A0DCF"/>
    <w:rsid w:val="006A0E34"/>
    <w:rsid w:val="006A167D"/>
    <w:rsid w:val="006A1D4E"/>
    <w:rsid w:val="006A261F"/>
    <w:rsid w:val="006A283D"/>
    <w:rsid w:val="006A28B4"/>
    <w:rsid w:val="006A29EA"/>
    <w:rsid w:val="006A2A59"/>
    <w:rsid w:val="006A2D25"/>
    <w:rsid w:val="006A2DBE"/>
    <w:rsid w:val="006A3A2B"/>
    <w:rsid w:val="006A4997"/>
    <w:rsid w:val="006A575B"/>
    <w:rsid w:val="006A5DEA"/>
    <w:rsid w:val="006A6435"/>
    <w:rsid w:val="006A649B"/>
    <w:rsid w:val="006A6752"/>
    <w:rsid w:val="006A6799"/>
    <w:rsid w:val="006A6BF1"/>
    <w:rsid w:val="006A7E15"/>
    <w:rsid w:val="006B09C5"/>
    <w:rsid w:val="006B1311"/>
    <w:rsid w:val="006B19C1"/>
    <w:rsid w:val="006B1A61"/>
    <w:rsid w:val="006B1AAE"/>
    <w:rsid w:val="006B1FAA"/>
    <w:rsid w:val="006B24AF"/>
    <w:rsid w:val="006B2879"/>
    <w:rsid w:val="006B3032"/>
    <w:rsid w:val="006B367E"/>
    <w:rsid w:val="006B3863"/>
    <w:rsid w:val="006B386A"/>
    <w:rsid w:val="006B44E9"/>
    <w:rsid w:val="006B4B4A"/>
    <w:rsid w:val="006B515E"/>
    <w:rsid w:val="006B597F"/>
    <w:rsid w:val="006B5B44"/>
    <w:rsid w:val="006B75C6"/>
    <w:rsid w:val="006B794B"/>
    <w:rsid w:val="006C0081"/>
    <w:rsid w:val="006C0A78"/>
    <w:rsid w:val="006C0B12"/>
    <w:rsid w:val="006C11A9"/>
    <w:rsid w:val="006C13F1"/>
    <w:rsid w:val="006C17DB"/>
    <w:rsid w:val="006C1C47"/>
    <w:rsid w:val="006C2367"/>
    <w:rsid w:val="006C284B"/>
    <w:rsid w:val="006C2A40"/>
    <w:rsid w:val="006C2D60"/>
    <w:rsid w:val="006C354C"/>
    <w:rsid w:val="006C3980"/>
    <w:rsid w:val="006C3B76"/>
    <w:rsid w:val="006C3D63"/>
    <w:rsid w:val="006C4572"/>
    <w:rsid w:val="006C5076"/>
    <w:rsid w:val="006C51F3"/>
    <w:rsid w:val="006C52CD"/>
    <w:rsid w:val="006C5AC9"/>
    <w:rsid w:val="006C6136"/>
    <w:rsid w:val="006C63F3"/>
    <w:rsid w:val="006C6B52"/>
    <w:rsid w:val="006C777D"/>
    <w:rsid w:val="006C78FD"/>
    <w:rsid w:val="006C7902"/>
    <w:rsid w:val="006C7AC6"/>
    <w:rsid w:val="006C7B03"/>
    <w:rsid w:val="006C7B94"/>
    <w:rsid w:val="006C7C61"/>
    <w:rsid w:val="006D08CF"/>
    <w:rsid w:val="006D0EC2"/>
    <w:rsid w:val="006D1039"/>
    <w:rsid w:val="006D1611"/>
    <w:rsid w:val="006D16E0"/>
    <w:rsid w:val="006D2377"/>
    <w:rsid w:val="006D29AE"/>
    <w:rsid w:val="006D3391"/>
    <w:rsid w:val="006D363A"/>
    <w:rsid w:val="006D3E3E"/>
    <w:rsid w:val="006D45B5"/>
    <w:rsid w:val="006D4AAA"/>
    <w:rsid w:val="006D4B76"/>
    <w:rsid w:val="006D4C72"/>
    <w:rsid w:val="006D4DAB"/>
    <w:rsid w:val="006D4E4C"/>
    <w:rsid w:val="006D5034"/>
    <w:rsid w:val="006D5585"/>
    <w:rsid w:val="006D5B8C"/>
    <w:rsid w:val="006D5F76"/>
    <w:rsid w:val="006D6030"/>
    <w:rsid w:val="006D6D96"/>
    <w:rsid w:val="006D7133"/>
    <w:rsid w:val="006D7211"/>
    <w:rsid w:val="006D72CF"/>
    <w:rsid w:val="006D75C8"/>
    <w:rsid w:val="006D7B75"/>
    <w:rsid w:val="006E02F9"/>
    <w:rsid w:val="006E079D"/>
    <w:rsid w:val="006E1379"/>
    <w:rsid w:val="006E1682"/>
    <w:rsid w:val="006E174F"/>
    <w:rsid w:val="006E1943"/>
    <w:rsid w:val="006E1E3F"/>
    <w:rsid w:val="006E25E2"/>
    <w:rsid w:val="006E2E79"/>
    <w:rsid w:val="006E2F85"/>
    <w:rsid w:val="006E327D"/>
    <w:rsid w:val="006E3BDF"/>
    <w:rsid w:val="006E3E87"/>
    <w:rsid w:val="006E4310"/>
    <w:rsid w:val="006E44CA"/>
    <w:rsid w:val="006E4510"/>
    <w:rsid w:val="006E458C"/>
    <w:rsid w:val="006E54B5"/>
    <w:rsid w:val="006E55BD"/>
    <w:rsid w:val="006E649E"/>
    <w:rsid w:val="006E6CC9"/>
    <w:rsid w:val="006E6E8C"/>
    <w:rsid w:val="006E6FCE"/>
    <w:rsid w:val="006E72D6"/>
    <w:rsid w:val="006E771D"/>
    <w:rsid w:val="006E7E26"/>
    <w:rsid w:val="006F0D46"/>
    <w:rsid w:val="006F1728"/>
    <w:rsid w:val="006F1983"/>
    <w:rsid w:val="006F23DD"/>
    <w:rsid w:val="006F2437"/>
    <w:rsid w:val="006F27C4"/>
    <w:rsid w:val="006F2E4D"/>
    <w:rsid w:val="006F2F5D"/>
    <w:rsid w:val="006F35BA"/>
    <w:rsid w:val="006F37AD"/>
    <w:rsid w:val="006F3E6A"/>
    <w:rsid w:val="006F5158"/>
    <w:rsid w:val="006F5A82"/>
    <w:rsid w:val="006F5DB0"/>
    <w:rsid w:val="00700950"/>
    <w:rsid w:val="00700A6A"/>
    <w:rsid w:val="00700EE3"/>
    <w:rsid w:val="00701136"/>
    <w:rsid w:val="00701674"/>
    <w:rsid w:val="00701CA1"/>
    <w:rsid w:val="007023B4"/>
    <w:rsid w:val="0070319A"/>
    <w:rsid w:val="0070352A"/>
    <w:rsid w:val="00703580"/>
    <w:rsid w:val="00703989"/>
    <w:rsid w:val="00703AC5"/>
    <w:rsid w:val="00703CB4"/>
    <w:rsid w:val="0070422E"/>
    <w:rsid w:val="00704716"/>
    <w:rsid w:val="007056BA"/>
    <w:rsid w:val="007056CA"/>
    <w:rsid w:val="00706CB7"/>
    <w:rsid w:val="007076D2"/>
    <w:rsid w:val="007078D2"/>
    <w:rsid w:val="007079CA"/>
    <w:rsid w:val="00707A52"/>
    <w:rsid w:val="00707B33"/>
    <w:rsid w:val="00707C18"/>
    <w:rsid w:val="007103A9"/>
    <w:rsid w:val="00710521"/>
    <w:rsid w:val="00710927"/>
    <w:rsid w:val="007114DB"/>
    <w:rsid w:val="00711D9E"/>
    <w:rsid w:val="00711E35"/>
    <w:rsid w:val="00712E3A"/>
    <w:rsid w:val="00713854"/>
    <w:rsid w:val="007138CA"/>
    <w:rsid w:val="007141BD"/>
    <w:rsid w:val="00715105"/>
    <w:rsid w:val="00715581"/>
    <w:rsid w:val="00715627"/>
    <w:rsid w:val="00715841"/>
    <w:rsid w:val="007163DF"/>
    <w:rsid w:val="007169A4"/>
    <w:rsid w:val="00716AD2"/>
    <w:rsid w:val="00717713"/>
    <w:rsid w:val="00717750"/>
    <w:rsid w:val="0071896F"/>
    <w:rsid w:val="007203CA"/>
    <w:rsid w:val="0072165A"/>
    <w:rsid w:val="0072242E"/>
    <w:rsid w:val="007226F5"/>
    <w:rsid w:val="00723B2C"/>
    <w:rsid w:val="00723FF4"/>
    <w:rsid w:val="00724232"/>
    <w:rsid w:val="00724896"/>
    <w:rsid w:val="00724914"/>
    <w:rsid w:val="00724C10"/>
    <w:rsid w:val="00724ED0"/>
    <w:rsid w:val="00724F92"/>
    <w:rsid w:val="00724FA0"/>
    <w:rsid w:val="00725001"/>
    <w:rsid w:val="007253D6"/>
    <w:rsid w:val="0072578A"/>
    <w:rsid w:val="0072597A"/>
    <w:rsid w:val="00726010"/>
    <w:rsid w:val="007267E1"/>
    <w:rsid w:val="00726956"/>
    <w:rsid w:val="00726A96"/>
    <w:rsid w:val="00726CC3"/>
    <w:rsid w:val="00726DC5"/>
    <w:rsid w:val="007272F1"/>
    <w:rsid w:val="007273F5"/>
    <w:rsid w:val="0072755D"/>
    <w:rsid w:val="00727D58"/>
    <w:rsid w:val="007303B5"/>
    <w:rsid w:val="00730E07"/>
    <w:rsid w:val="007313A2"/>
    <w:rsid w:val="00731D17"/>
    <w:rsid w:val="00732484"/>
    <w:rsid w:val="00732BD3"/>
    <w:rsid w:val="00732BEB"/>
    <w:rsid w:val="00733F15"/>
    <w:rsid w:val="00734495"/>
    <w:rsid w:val="007353FF"/>
    <w:rsid w:val="00736764"/>
    <w:rsid w:val="00736C74"/>
    <w:rsid w:val="00737692"/>
    <w:rsid w:val="0073792C"/>
    <w:rsid w:val="0074072F"/>
    <w:rsid w:val="00740BDB"/>
    <w:rsid w:val="00740DE8"/>
    <w:rsid w:val="007414E5"/>
    <w:rsid w:val="007419AA"/>
    <w:rsid w:val="00741FC0"/>
    <w:rsid w:val="007421AB"/>
    <w:rsid w:val="0074257A"/>
    <w:rsid w:val="0074288C"/>
    <w:rsid w:val="00742F1E"/>
    <w:rsid w:val="00743597"/>
    <w:rsid w:val="0074367A"/>
    <w:rsid w:val="007436CA"/>
    <w:rsid w:val="0074416A"/>
    <w:rsid w:val="007441E3"/>
    <w:rsid w:val="007453D7"/>
    <w:rsid w:val="00745547"/>
    <w:rsid w:val="0074559D"/>
    <w:rsid w:val="0074574D"/>
    <w:rsid w:val="007459B6"/>
    <w:rsid w:val="007460ED"/>
    <w:rsid w:val="00747434"/>
    <w:rsid w:val="0074788B"/>
    <w:rsid w:val="00747B0B"/>
    <w:rsid w:val="00747B5D"/>
    <w:rsid w:val="0075137C"/>
    <w:rsid w:val="00751638"/>
    <w:rsid w:val="007516F8"/>
    <w:rsid w:val="00751794"/>
    <w:rsid w:val="00751C93"/>
    <w:rsid w:val="0075232B"/>
    <w:rsid w:val="0075232E"/>
    <w:rsid w:val="00753411"/>
    <w:rsid w:val="00753F68"/>
    <w:rsid w:val="00753F6F"/>
    <w:rsid w:val="0075418A"/>
    <w:rsid w:val="0075432F"/>
    <w:rsid w:val="0075436B"/>
    <w:rsid w:val="00754E34"/>
    <w:rsid w:val="00754ECF"/>
    <w:rsid w:val="00755424"/>
    <w:rsid w:val="00755E5C"/>
    <w:rsid w:val="0075600F"/>
    <w:rsid w:val="00756414"/>
    <w:rsid w:val="007572A9"/>
    <w:rsid w:val="007576A5"/>
    <w:rsid w:val="00757DCE"/>
    <w:rsid w:val="00757E5A"/>
    <w:rsid w:val="0076010D"/>
    <w:rsid w:val="00760154"/>
    <w:rsid w:val="007601F0"/>
    <w:rsid w:val="007603B2"/>
    <w:rsid w:val="007608EC"/>
    <w:rsid w:val="00760B35"/>
    <w:rsid w:val="00761905"/>
    <w:rsid w:val="00762553"/>
    <w:rsid w:val="0076260D"/>
    <w:rsid w:val="007634B6"/>
    <w:rsid w:val="007639BF"/>
    <w:rsid w:val="00763B52"/>
    <w:rsid w:val="00763B77"/>
    <w:rsid w:val="00763C1C"/>
    <w:rsid w:val="00763C4C"/>
    <w:rsid w:val="00764978"/>
    <w:rsid w:val="00765016"/>
    <w:rsid w:val="0076546C"/>
    <w:rsid w:val="007654FD"/>
    <w:rsid w:val="007661B9"/>
    <w:rsid w:val="00766368"/>
    <w:rsid w:val="00766683"/>
    <w:rsid w:val="00766B32"/>
    <w:rsid w:val="00766DDA"/>
    <w:rsid w:val="0076702C"/>
    <w:rsid w:val="0076761B"/>
    <w:rsid w:val="00767F6C"/>
    <w:rsid w:val="0077064A"/>
    <w:rsid w:val="00770EA1"/>
    <w:rsid w:val="0077111C"/>
    <w:rsid w:val="0077121B"/>
    <w:rsid w:val="007719DC"/>
    <w:rsid w:val="00771FA7"/>
    <w:rsid w:val="00772829"/>
    <w:rsid w:val="007734EA"/>
    <w:rsid w:val="00774976"/>
    <w:rsid w:val="00774AA5"/>
    <w:rsid w:val="00774ECA"/>
    <w:rsid w:val="00775120"/>
    <w:rsid w:val="007754A6"/>
    <w:rsid w:val="0077594C"/>
    <w:rsid w:val="00775E8C"/>
    <w:rsid w:val="00776A13"/>
    <w:rsid w:val="00776E36"/>
    <w:rsid w:val="00777848"/>
    <w:rsid w:val="00777893"/>
    <w:rsid w:val="007778DA"/>
    <w:rsid w:val="007779BC"/>
    <w:rsid w:val="00777A3F"/>
    <w:rsid w:val="007800D1"/>
    <w:rsid w:val="0078076D"/>
    <w:rsid w:val="00781034"/>
    <w:rsid w:val="00781F21"/>
    <w:rsid w:val="00782462"/>
    <w:rsid w:val="00782E23"/>
    <w:rsid w:val="00782F1F"/>
    <w:rsid w:val="007833E3"/>
    <w:rsid w:val="00784341"/>
    <w:rsid w:val="00784454"/>
    <w:rsid w:val="0078471D"/>
    <w:rsid w:val="007852E9"/>
    <w:rsid w:val="007854AF"/>
    <w:rsid w:val="00785781"/>
    <w:rsid w:val="0078581B"/>
    <w:rsid w:val="00786FBB"/>
    <w:rsid w:val="007871C1"/>
    <w:rsid w:val="00787834"/>
    <w:rsid w:val="00787D12"/>
    <w:rsid w:val="00787D9A"/>
    <w:rsid w:val="00787E9A"/>
    <w:rsid w:val="00787FDA"/>
    <w:rsid w:val="0079008E"/>
    <w:rsid w:val="007900E7"/>
    <w:rsid w:val="0079043E"/>
    <w:rsid w:val="00790454"/>
    <w:rsid w:val="007905A5"/>
    <w:rsid w:val="00790B00"/>
    <w:rsid w:val="00790B15"/>
    <w:rsid w:val="00790F49"/>
    <w:rsid w:val="00791A24"/>
    <w:rsid w:val="00792612"/>
    <w:rsid w:val="0079295F"/>
    <w:rsid w:val="007931CB"/>
    <w:rsid w:val="00793C43"/>
    <w:rsid w:val="00793F02"/>
    <w:rsid w:val="0079439C"/>
    <w:rsid w:val="00794791"/>
    <w:rsid w:val="007951D4"/>
    <w:rsid w:val="0079522E"/>
    <w:rsid w:val="0079525E"/>
    <w:rsid w:val="007955B3"/>
    <w:rsid w:val="00796139"/>
    <w:rsid w:val="00796958"/>
    <w:rsid w:val="007977F8"/>
    <w:rsid w:val="00797C46"/>
    <w:rsid w:val="007A080C"/>
    <w:rsid w:val="007A08CF"/>
    <w:rsid w:val="007A11C0"/>
    <w:rsid w:val="007A19F6"/>
    <w:rsid w:val="007A22AA"/>
    <w:rsid w:val="007A2B65"/>
    <w:rsid w:val="007A2B91"/>
    <w:rsid w:val="007A3363"/>
    <w:rsid w:val="007A40D6"/>
    <w:rsid w:val="007A459F"/>
    <w:rsid w:val="007A4F97"/>
    <w:rsid w:val="007A55B5"/>
    <w:rsid w:val="007A5617"/>
    <w:rsid w:val="007A5930"/>
    <w:rsid w:val="007A7395"/>
    <w:rsid w:val="007A7435"/>
    <w:rsid w:val="007A780A"/>
    <w:rsid w:val="007A7B48"/>
    <w:rsid w:val="007A7C35"/>
    <w:rsid w:val="007B0245"/>
    <w:rsid w:val="007B083F"/>
    <w:rsid w:val="007B0880"/>
    <w:rsid w:val="007B09D1"/>
    <w:rsid w:val="007B0B91"/>
    <w:rsid w:val="007B0C03"/>
    <w:rsid w:val="007B0D01"/>
    <w:rsid w:val="007B0E29"/>
    <w:rsid w:val="007B0E57"/>
    <w:rsid w:val="007B0E6A"/>
    <w:rsid w:val="007B125E"/>
    <w:rsid w:val="007B13BA"/>
    <w:rsid w:val="007B152E"/>
    <w:rsid w:val="007B1B82"/>
    <w:rsid w:val="007B1E57"/>
    <w:rsid w:val="007B2085"/>
    <w:rsid w:val="007B25BB"/>
    <w:rsid w:val="007B2A62"/>
    <w:rsid w:val="007B2C36"/>
    <w:rsid w:val="007B2C71"/>
    <w:rsid w:val="007B2FDC"/>
    <w:rsid w:val="007B345B"/>
    <w:rsid w:val="007B36C3"/>
    <w:rsid w:val="007B371B"/>
    <w:rsid w:val="007B38A0"/>
    <w:rsid w:val="007B38B7"/>
    <w:rsid w:val="007B3B8A"/>
    <w:rsid w:val="007B3B8E"/>
    <w:rsid w:val="007B3BC0"/>
    <w:rsid w:val="007B4F7B"/>
    <w:rsid w:val="007B5641"/>
    <w:rsid w:val="007B583D"/>
    <w:rsid w:val="007B5A08"/>
    <w:rsid w:val="007B5A86"/>
    <w:rsid w:val="007B630E"/>
    <w:rsid w:val="007B6684"/>
    <w:rsid w:val="007B6B21"/>
    <w:rsid w:val="007B6D59"/>
    <w:rsid w:val="007B7024"/>
    <w:rsid w:val="007B732E"/>
    <w:rsid w:val="007B770C"/>
    <w:rsid w:val="007B774D"/>
    <w:rsid w:val="007B7969"/>
    <w:rsid w:val="007B7A6D"/>
    <w:rsid w:val="007C0390"/>
    <w:rsid w:val="007C0A8E"/>
    <w:rsid w:val="007C0ADD"/>
    <w:rsid w:val="007C14A2"/>
    <w:rsid w:val="007C153E"/>
    <w:rsid w:val="007C15CC"/>
    <w:rsid w:val="007C1604"/>
    <w:rsid w:val="007C18BB"/>
    <w:rsid w:val="007C1DB0"/>
    <w:rsid w:val="007C1E54"/>
    <w:rsid w:val="007C1FBF"/>
    <w:rsid w:val="007C24B7"/>
    <w:rsid w:val="007C2E5F"/>
    <w:rsid w:val="007C300E"/>
    <w:rsid w:val="007C328D"/>
    <w:rsid w:val="007C336F"/>
    <w:rsid w:val="007C3D72"/>
    <w:rsid w:val="007C41B1"/>
    <w:rsid w:val="007C41B7"/>
    <w:rsid w:val="007C4AFC"/>
    <w:rsid w:val="007C519D"/>
    <w:rsid w:val="007C567A"/>
    <w:rsid w:val="007C5842"/>
    <w:rsid w:val="007C6991"/>
    <w:rsid w:val="007C743F"/>
    <w:rsid w:val="007C7E4B"/>
    <w:rsid w:val="007D0768"/>
    <w:rsid w:val="007D0947"/>
    <w:rsid w:val="007D0B61"/>
    <w:rsid w:val="007D0BA9"/>
    <w:rsid w:val="007D0D44"/>
    <w:rsid w:val="007D108E"/>
    <w:rsid w:val="007D13CA"/>
    <w:rsid w:val="007D21A0"/>
    <w:rsid w:val="007D25C5"/>
    <w:rsid w:val="007D2827"/>
    <w:rsid w:val="007D2897"/>
    <w:rsid w:val="007D30B7"/>
    <w:rsid w:val="007D31C9"/>
    <w:rsid w:val="007D3B83"/>
    <w:rsid w:val="007D4CF3"/>
    <w:rsid w:val="007D54CA"/>
    <w:rsid w:val="007D603E"/>
    <w:rsid w:val="007D6191"/>
    <w:rsid w:val="007D6222"/>
    <w:rsid w:val="007D64EE"/>
    <w:rsid w:val="007D6966"/>
    <w:rsid w:val="007E0232"/>
    <w:rsid w:val="007E0701"/>
    <w:rsid w:val="007E10BE"/>
    <w:rsid w:val="007E12D6"/>
    <w:rsid w:val="007E15AD"/>
    <w:rsid w:val="007E23C4"/>
    <w:rsid w:val="007E25ED"/>
    <w:rsid w:val="007E2BC0"/>
    <w:rsid w:val="007E2E1B"/>
    <w:rsid w:val="007E2F32"/>
    <w:rsid w:val="007E32F4"/>
    <w:rsid w:val="007E345C"/>
    <w:rsid w:val="007E56DD"/>
    <w:rsid w:val="007E573D"/>
    <w:rsid w:val="007E57D7"/>
    <w:rsid w:val="007E5926"/>
    <w:rsid w:val="007E5FF7"/>
    <w:rsid w:val="007E6499"/>
    <w:rsid w:val="007E6BCC"/>
    <w:rsid w:val="007E7082"/>
    <w:rsid w:val="007E79FC"/>
    <w:rsid w:val="007E7EE2"/>
    <w:rsid w:val="007F0293"/>
    <w:rsid w:val="007F0B47"/>
    <w:rsid w:val="007F0C74"/>
    <w:rsid w:val="007F15B5"/>
    <w:rsid w:val="007F1F0E"/>
    <w:rsid w:val="007F21FB"/>
    <w:rsid w:val="007F23D3"/>
    <w:rsid w:val="007F3440"/>
    <w:rsid w:val="007F4377"/>
    <w:rsid w:val="007F5079"/>
    <w:rsid w:val="007F5F60"/>
    <w:rsid w:val="007F6152"/>
    <w:rsid w:val="007F6257"/>
    <w:rsid w:val="007F6606"/>
    <w:rsid w:val="007F67E9"/>
    <w:rsid w:val="007F69C3"/>
    <w:rsid w:val="007F6CF0"/>
    <w:rsid w:val="007F6EF3"/>
    <w:rsid w:val="007F6F88"/>
    <w:rsid w:val="007F6FBE"/>
    <w:rsid w:val="007F73C2"/>
    <w:rsid w:val="007F77E0"/>
    <w:rsid w:val="007F7C7B"/>
    <w:rsid w:val="007F7FE8"/>
    <w:rsid w:val="00800DC2"/>
    <w:rsid w:val="008011B0"/>
    <w:rsid w:val="00801886"/>
    <w:rsid w:val="00802179"/>
    <w:rsid w:val="0080230C"/>
    <w:rsid w:val="008025B3"/>
    <w:rsid w:val="00802A99"/>
    <w:rsid w:val="00802B92"/>
    <w:rsid w:val="008036C0"/>
    <w:rsid w:val="00803EF0"/>
    <w:rsid w:val="008040A2"/>
    <w:rsid w:val="00804562"/>
    <w:rsid w:val="00804632"/>
    <w:rsid w:val="00804A1A"/>
    <w:rsid w:val="008054D9"/>
    <w:rsid w:val="008058DC"/>
    <w:rsid w:val="00805CA9"/>
    <w:rsid w:val="00805DA8"/>
    <w:rsid w:val="008064B6"/>
    <w:rsid w:val="00806688"/>
    <w:rsid w:val="0080684D"/>
    <w:rsid w:val="00806915"/>
    <w:rsid w:val="00807681"/>
    <w:rsid w:val="00807A3E"/>
    <w:rsid w:val="00810338"/>
    <w:rsid w:val="00810347"/>
    <w:rsid w:val="008108B9"/>
    <w:rsid w:val="008108D0"/>
    <w:rsid w:val="00810A28"/>
    <w:rsid w:val="008113FE"/>
    <w:rsid w:val="00811DE2"/>
    <w:rsid w:val="00811FEA"/>
    <w:rsid w:val="00812282"/>
    <w:rsid w:val="00812DDB"/>
    <w:rsid w:val="00812F38"/>
    <w:rsid w:val="00813292"/>
    <w:rsid w:val="00813735"/>
    <w:rsid w:val="00813A10"/>
    <w:rsid w:val="00813D17"/>
    <w:rsid w:val="00814168"/>
    <w:rsid w:val="008147B5"/>
    <w:rsid w:val="00814812"/>
    <w:rsid w:val="008148E4"/>
    <w:rsid w:val="00814ADB"/>
    <w:rsid w:val="00814AFE"/>
    <w:rsid w:val="008157F1"/>
    <w:rsid w:val="00815872"/>
    <w:rsid w:val="0081637F"/>
    <w:rsid w:val="00816C4D"/>
    <w:rsid w:val="00816EC2"/>
    <w:rsid w:val="00817084"/>
    <w:rsid w:val="00817DAF"/>
    <w:rsid w:val="008217E3"/>
    <w:rsid w:val="00822212"/>
    <w:rsid w:val="00822352"/>
    <w:rsid w:val="00822497"/>
    <w:rsid w:val="00823319"/>
    <w:rsid w:val="00823422"/>
    <w:rsid w:val="008234A8"/>
    <w:rsid w:val="008236E1"/>
    <w:rsid w:val="008236EF"/>
    <w:rsid w:val="008238FD"/>
    <w:rsid w:val="00824458"/>
    <w:rsid w:val="008249F7"/>
    <w:rsid w:val="00824B74"/>
    <w:rsid w:val="00824FA2"/>
    <w:rsid w:val="008253D2"/>
    <w:rsid w:val="00825C22"/>
    <w:rsid w:val="00825FB6"/>
    <w:rsid w:val="008265F2"/>
    <w:rsid w:val="0082677D"/>
    <w:rsid w:val="00827027"/>
    <w:rsid w:val="00827279"/>
    <w:rsid w:val="00827291"/>
    <w:rsid w:val="00827EF1"/>
    <w:rsid w:val="008302E4"/>
    <w:rsid w:val="00830305"/>
    <w:rsid w:val="00830AD6"/>
    <w:rsid w:val="00830D3C"/>
    <w:rsid w:val="00831689"/>
    <w:rsid w:val="00831944"/>
    <w:rsid w:val="00831AA6"/>
    <w:rsid w:val="00831E62"/>
    <w:rsid w:val="00832111"/>
    <w:rsid w:val="00832235"/>
    <w:rsid w:val="008322D2"/>
    <w:rsid w:val="008328E6"/>
    <w:rsid w:val="00832F3B"/>
    <w:rsid w:val="008330B4"/>
    <w:rsid w:val="00833731"/>
    <w:rsid w:val="00834326"/>
    <w:rsid w:val="00834780"/>
    <w:rsid w:val="00834969"/>
    <w:rsid w:val="00834C1D"/>
    <w:rsid w:val="00834C86"/>
    <w:rsid w:val="00834DCD"/>
    <w:rsid w:val="008351D6"/>
    <w:rsid w:val="008356A8"/>
    <w:rsid w:val="00835AA2"/>
    <w:rsid w:val="00835B8A"/>
    <w:rsid w:val="00835EC9"/>
    <w:rsid w:val="00836925"/>
    <w:rsid w:val="00836AAC"/>
    <w:rsid w:val="00836CCC"/>
    <w:rsid w:val="00836F42"/>
    <w:rsid w:val="00836F8D"/>
    <w:rsid w:val="008371BC"/>
    <w:rsid w:val="00837523"/>
    <w:rsid w:val="0083796B"/>
    <w:rsid w:val="00837E9E"/>
    <w:rsid w:val="00840673"/>
    <w:rsid w:val="00840810"/>
    <w:rsid w:val="00840ADB"/>
    <w:rsid w:val="00840F98"/>
    <w:rsid w:val="00841388"/>
    <w:rsid w:val="008417CA"/>
    <w:rsid w:val="00841EFB"/>
    <w:rsid w:val="00841F44"/>
    <w:rsid w:val="0084213A"/>
    <w:rsid w:val="00842C82"/>
    <w:rsid w:val="00842C84"/>
    <w:rsid w:val="008436D7"/>
    <w:rsid w:val="008440FE"/>
    <w:rsid w:val="0084414B"/>
    <w:rsid w:val="00844573"/>
    <w:rsid w:val="00845328"/>
    <w:rsid w:val="008459F6"/>
    <w:rsid w:val="00846119"/>
    <w:rsid w:val="008461EC"/>
    <w:rsid w:val="00846997"/>
    <w:rsid w:val="00846B98"/>
    <w:rsid w:val="00847367"/>
    <w:rsid w:val="008474E3"/>
    <w:rsid w:val="008478D4"/>
    <w:rsid w:val="008503D8"/>
    <w:rsid w:val="00850714"/>
    <w:rsid w:val="00850855"/>
    <w:rsid w:val="00851255"/>
    <w:rsid w:val="00851D2B"/>
    <w:rsid w:val="008527ED"/>
    <w:rsid w:val="00853322"/>
    <w:rsid w:val="008537F7"/>
    <w:rsid w:val="008546BE"/>
    <w:rsid w:val="00854EF0"/>
    <w:rsid w:val="008557B0"/>
    <w:rsid w:val="00855B2C"/>
    <w:rsid w:val="00856074"/>
    <w:rsid w:val="00856B0F"/>
    <w:rsid w:val="00856D2C"/>
    <w:rsid w:val="00856D4D"/>
    <w:rsid w:val="00857283"/>
    <w:rsid w:val="00857949"/>
    <w:rsid w:val="00857EE2"/>
    <w:rsid w:val="00860C9F"/>
    <w:rsid w:val="008615D1"/>
    <w:rsid w:val="008623B1"/>
    <w:rsid w:val="008625D7"/>
    <w:rsid w:val="00862697"/>
    <w:rsid w:val="00863294"/>
    <w:rsid w:val="00863396"/>
    <w:rsid w:val="008636BC"/>
    <w:rsid w:val="00863BCD"/>
    <w:rsid w:val="00864B68"/>
    <w:rsid w:val="00864FBD"/>
    <w:rsid w:val="00865158"/>
    <w:rsid w:val="00865D47"/>
    <w:rsid w:val="0086646E"/>
    <w:rsid w:val="008669A3"/>
    <w:rsid w:val="00866A20"/>
    <w:rsid w:val="00866FE4"/>
    <w:rsid w:val="00867371"/>
    <w:rsid w:val="00867372"/>
    <w:rsid w:val="008674A5"/>
    <w:rsid w:val="008678AF"/>
    <w:rsid w:val="00867AA0"/>
    <w:rsid w:val="00867CCE"/>
    <w:rsid w:val="00870A4A"/>
    <w:rsid w:val="00871447"/>
    <w:rsid w:val="008719C2"/>
    <w:rsid w:val="0087277A"/>
    <w:rsid w:val="00872A47"/>
    <w:rsid w:val="00872EC4"/>
    <w:rsid w:val="008736E2"/>
    <w:rsid w:val="008737B4"/>
    <w:rsid w:val="008738E6"/>
    <w:rsid w:val="00873A29"/>
    <w:rsid w:val="00873A97"/>
    <w:rsid w:val="00873AAD"/>
    <w:rsid w:val="00873AD2"/>
    <w:rsid w:val="00873BB9"/>
    <w:rsid w:val="00874565"/>
    <w:rsid w:val="00874DF7"/>
    <w:rsid w:val="00874FFF"/>
    <w:rsid w:val="008751C5"/>
    <w:rsid w:val="00875EE1"/>
    <w:rsid w:val="008768B9"/>
    <w:rsid w:val="00877247"/>
    <w:rsid w:val="008801AE"/>
    <w:rsid w:val="008805E5"/>
    <w:rsid w:val="00880802"/>
    <w:rsid w:val="00880AA3"/>
    <w:rsid w:val="0088141F"/>
    <w:rsid w:val="00881BD0"/>
    <w:rsid w:val="00881C10"/>
    <w:rsid w:val="00883215"/>
    <w:rsid w:val="0088398B"/>
    <w:rsid w:val="00884017"/>
    <w:rsid w:val="0088421C"/>
    <w:rsid w:val="0088445B"/>
    <w:rsid w:val="00884866"/>
    <w:rsid w:val="00885D85"/>
    <w:rsid w:val="00885EB5"/>
    <w:rsid w:val="008868D7"/>
    <w:rsid w:val="00886907"/>
    <w:rsid w:val="00886EEF"/>
    <w:rsid w:val="00887334"/>
    <w:rsid w:val="0088738A"/>
    <w:rsid w:val="00887A7E"/>
    <w:rsid w:val="008904DD"/>
    <w:rsid w:val="00890653"/>
    <w:rsid w:val="00890F41"/>
    <w:rsid w:val="00891472"/>
    <w:rsid w:val="00891AF6"/>
    <w:rsid w:val="00891BC3"/>
    <w:rsid w:val="008923CD"/>
    <w:rsid w:val="00892448"/>
    <w:rsid w:val="008927D2"/>
    <w:rsid w:val="00892BE2"/>
    <w:rsid w:val="00892CAB"/>
    <w:rsid w:val="00892CB0"/>
    <w:rsid w:val="0089321E"/>
    <w:rsid w:val="008932B5"/>
    <w:rsid w:val="008933D6"/>
    <w:rsid w:val="008937C8"/>
    <w:rsid w:val="0089413C"/>
    <w:rsid w:val="0089426C"/>
    <w:rsid w:val="008947EF"/>
    <w:rsid w:val="00894DBB"/>
    <w:rsid w:val="0089594B"/>
    <w:rsid w:val="008964AB"/>
    <w:rsid w:val="008967C4"/>
    <w:rsid w:val="00896CE5"/>
    <w:rsid w:val="00896CEB"/>
    <w:rsid w:val="0089769E"/>
    <w:rsid w:val="00897A8A"/>
    <w:rsid w:val="00897E85"/>
    <w:rsid w:val="008A0D2A"/>
    <w:rsid w:val="008A1239"/>
    <w:rsid w:val="008A1693"/>
    <w:rsid w:val="008A254F"/>
    <w:rsid w:val="008A2630"/>
    <w:rsid w:val="008A2C57"/>
    <w:rsid w:val="008A2D71"/>
    <w:rsid w:val="008A3530"/>
    <w:rsid w:val="008A364A"/>
    <w:rsid w:val="008A3D5B"/>
    <w:rsid w:val="008A3F19"/>
    <w:rsid w:val="008A4FB1"/>
    <w:rsid w:val="008A5833"/>
    <w:rsid w:val="008A6560"/>
    <w:rsid w:val="008A65B0"/>
    <w:rsid w:val="008A7024"/>
    <w:rsid w:val="008A71BA"/>
    <w:rsid w:val="008A7437"/>
    <w:rsid w:val="008A77CA"/>
    <w:rsid w:val="008A7A00"/>
    <w:rsid w:val="008B0051"/>
    <w:rsid w:val="008B00C7"/>
    <w:rsid w:val="008B03F3"/>
    <w:rsid w:val="008B1341"/>
    <w:rsid w:val="008B13A5"/>
    <w:rsid w:val="008B1B5A"/>
    <w:rsid w:val="008B1D71"/>
    <w:rsid w:val="008B2116"/>
    <w:rsid w:val="008B2590"/>
    <w:rsid w:val="008B2EDA"/>
    <w:rsid w:val="008B3156"/>
    <w:rsid w:val="008B321C"/>
    <w:rsid w:val="008B3784"/>
    <w:rsid w:val="008B37D0"/>
    <w:rsid w:val="008B3A88"/>
    <w:rsid w:val="008B43C6"/>
    <w:rsid w:val="008B4526"/>
    <w:rsid w:val="008B4BFC"/>
    <w:rsid w:val="008B51B4"/>
    <w:rsid w:val="008B5374"/>
    <w:rsid w:val="008B541E"/>
    <w:rsid w:val="008B5821"/>
    <w:rsid w:val="008B5B67"/>
    <w:rsid w:val="008B5D7A"/>
    <w:rsid w:val="008B5E50"/>
    <w:rsid w:val="008B66E3"/>
    <w:rsid w:val="008B7848"/>
    <w:rsid w:val="008B7D76"/>
    <w:rsid w:val="008C0880"/>
    <w:rsid w:val="008C0A54"/>
    <w:rsid w:val="008C1E05"/>
    <w:rsid w:val="008C1FAE"/>
    <w:rsid w:val="008C22FB"/>
    <w:rsid w:val="008C2C99"/>
    <w:rsid w:val="008C34BB"/>
    <w:rsid w:val="008C3560"/>
    <w:rsid w:val="008C36A9"/>
    <w:rsid w:val="008C3E9C"/>
    <w:rsid w:val="008C45E2"/>
    <w:rsid w:val="008C4D35"/>
    <w:rsid w:val="008C4FCB"/>
    <w:rsid w:val="008C58D4"/>
    <w:rsid w:val="008C5AE4"/>
    <w:rsid w:val="008C5F29"/>
    <w:rsid w:val="008C5FA3"/>
    <w:rsid w:val="008C616A"/>
    <w:rsid w:val="008C6B14"/>
    <w:rsid w:val="008C76F1"/>
    <w:rsid w:val="008C7ED5"/>
    <w:rsid w:val="008D008B"/>
    <w:rsid w:val="008D038B"/>
    <w:rsid w:val="008D03A5"/>
    <w:rsid w:val="008D0B33"/>
    <w:rsid w:val="008D0D77"/>
    <w:rsid w:val="008D11D6"/>
    <w:rsid w:val="008D154C"/>
    <w:rsid w:val="008D2081"/>
    <w:rsid w:val="008D2436"/>
    <w:rsid w:val="008D244F"/>
    <w:rsid w:val="008D2579"/>
    <w:rsid w:val="008D3726"/>
    <w:rsid w:val="008D3E3B"/>
    <w:rsid w:val="008D4567"/>
    <w:rsid w:val="008D48DE"/>
    <w:rsid w:val="008D4CB0"/>
    <w:rsid w:val="008D4CD8"/>
    <w:rsid w:val="008D500E"/>
    <w:rsid w:val="008D59D7"/>
    <w:rsid w:val="008D5C5A"/>
    <w:rsid w:val="008D6120"/>
    <w:rsid w:val="008D61DE"/>
    <w:rsid w:val="008D6295"/>
    <w:rsid w:val="008D6397"/>
    <w:rsid w:val="008D6C94"/>
    <w:rsid w:val="008D73C9"/>
    <w:rsid w:val="008D747D"/>
    <w:rsid w:val="008E042F"/>
    <w:rsid w:val="008E0CB7"/>
    <w:rsid w:val="008E16BF"/>
    <w:rsid w:val="008E22FE"/>
    <w:rsid w:val="008E2E05"/>
    <w:rsid w:val="008E3049"/>
    <w:rsid w:val="008E35A3"/>
    <w:rsid w:val="008E5274"/>
    <w:rsid w:val="008E5DFE"/>
    <w:rsid w:val="008E6D4A"/>
    <w:rsid w:val="008E6DBA"/>
    <w:rsid w:val="008E7274"/>
    <w:rsid w:val="008E7417"/>
    <w:rsid w:val="008E7B90"/>
    <w:rsid w:val="008F0148"/>
    <w:rsid w:val="008F02B3"/>
    <w:rsid w:val="008F0562"/>
    <w:rsid w:val="008F062B"/>
    <w:rsid w:val="008F0C17"/>
    <w:rsid w:val="008F1387"/>
    <w:rsid w:val="008F1496"/>
    <w:rsid w:val="008F157A"/>
    <w:rsid w:val="008F2057"/>
    <w:rsid w:val="008F260B"/>
    <w:rsid w:val="008F2627"/>
    <w:rsid w:val="008F275E"/>
    <w:rsid w:val="008F3351"/>
    <w:rsid w:val="008F3AD0"/>
    <w:rsid w:val="008F3BD3"/>
    <w:rsid w:val="008F4111"/>
    <w:rsid w:val="008F4BDB"/>
    <w:rsid w:val="008F4F73"/>
    <w:rsid w:val="008F5458"/>
    <w:rsid w:val="008F5528"/>
    <w:rsid w:val="008F612A"/>
    <w:rsid w:val="008F6311"/>
    <w:rsid w:val="008F64B0"/>
    <w:rsid w:val="008F656F"/>
    <w:rsid w:val="008F74AB"/>
    <w:rsid w:val="008F7935"/>
    <w:rsid w:val="00900294"/>
    <w:rsid w:val="009003DC"/>
    <w:rsid w:val="009007A4"/>
    <w:rsid w:val="00900FA5"/>
    <w:rsid w:val="009011CB"/>
    <w:rsid w:val="00901D6D"/>
    <w:rsid w:val="00902124"/>
    <w:rsid w:val="00902154"/>
    <w:rsid w:val="00902677"/>
    <w:rsid w:val="009027AB"/>
    <w:rsid w:val="00902877"/>
    <w:rsid w:val="00903803"/>
    <w:rsid w:val="00903D98"/>
    <w:rsid w:val="00904167"/>
    <w:rsid w:val="00904801"/>
    <w:rsid w:val="00904925"/>
    <w:rsid w:val="00904C48"/>
    <w:rsid w:val="0090513A"/>
    <w:rsid w:val="009052B7"/>
    <w:rsid w:val="009054E8"/>
    <w:rsid w:val="00905EF9"/>
    <w:rsid w:val="0090600A"/>
    <w:rsid w:val="00906449"/>
    <w:rsid w:val="00906821"/>
    <w:rsid w:val="00906DA0"/>
    <w:rsid w:val="00906E65"/>
    <w:rsid w:val="00907711"/>
    <w:rsid w:val="00907996"/>
    <w:rsid w:val="00910278"/>
    <w:rsid w:val="009104B3"/>
    <w:rsid w:val="009105D7"/>
    <w:rsid w:val="00911BA7"/>
    <w:rsid w:val="00911D14"/>
    <w:rsid w:val="0091226A"/>
    <w:rsid w:val="00912270"/>
    <w:rsid w:val="009127C9"/>
    <w:rsid w:val="009144D5"/>
    <w:rsid w:val="00914AE4"/>
    <w:rsid w:val="009158D4"/>
    <w:rsid w:val="00915EDF"/>
    <w:rsid w:val="00915F98"/>
    <w:rsid w:val="00915FA3"/>
    <w:rsid w:val="009168C6"/>
    <w:rsid w:val="00916C24"/>
    <w:rsid w:val="00916C6A"/>
    <w:rsid w:val="009200AF"/>
    <w:rsid w:val="009209AD"/>
    <w:rsid w:val="009211AC"/>
    <w:rsid w:val="009217F8"/>
    <w:rsid w:val="00921946"/>
    <w:rsid w:val="00921B14"/>
    <w:rsid w:val="00921FC5"/>
    <w:rsid w:val="0092242B"/>
    <w:rsid w:val="00922E9E"/>
    <w:rsid w:val="00923486"/>
    <w:rsid w:val="00923540"/>
    <w:rsid w:val="0092358D"/>
    <w:rsid w:val="00923B79"/>
    <w:rsid w:val="0092470E"/>
    <w:rsid w:val="0092475B"/>
    <w:rsid w:val="00924CE5"/>
    <w:rsid w:val="00925187"/>
    <w:rsid w:val="009254C2"/>
    <w:rsid w:val="00925ACA"/>
    <w:rsid w:val="00925C2F"/>
    <w:rsid w:val="00925CAD"/>
    <w:rsid w:val="00925E3E"/>
    <w:rsid w:val="00926139"/>
    <w:rsid w:val="0092709C"/>
    <w:rsid w:val="0092717F"/>
    <w:rsid w:val="009272E4"/>
    <w:rsid w:val="00927744"/>
    <w:rsid w:val="00927B05"/>
    <w:rsid w:val="00927B93"/>
    <w:rsid w:val="00927DE7"/>
    <w:rsid w:val="00927E83"/>
    <w:rsid w:val="00930238"/>
    <w:rsid w:val="00930534"/>
    <w:rsid w:val="0093073A"/>
    <w:rsid w:val="00930D3F"/>
    <w:rsid w:val="00930F4E"/>
    <w:rsid w:val="009314BC"/>
    <w:rsid w:val="00931B9A"/>
    <w:rsid w:val="00931DCF"/>
    <w:rsid w:val="00932158"/>
    <w:rsid w:val="009322DE"/>
    <w:rsid w:val="0093289C"/>
    <w:rsid w:val="00932A3B"/>
    <w:rsid w:val="00932B37"/>
    <w:rsid w:val="00933214"/>
    <w:rsid w:val="00933676"/>
    <w:rsid w:val="00934C32"/>
    <w:rsid w:val="00934D63"/>
    <w:rsid w:val="00935182"/>
    <w:rsid w:val="009353C6"/>
    <w:rsid w:val="00935A81"/>
    <w:rsid w:val="00935E7C"/>
    <w:rsid w:val="00935F41"/>
    <w:rsid w:val="00936062"/>
    <w:rsid w:val="00936CB7"/>
    <w:rsid w:val="00936F5A"/>
    <w:rsid w:val="00937969"/>
    <w:rsid w:val="00937CBE"/>
    <w:rsid w:val="00937D7B"/>
    <w:rsid w:val="00940241"/>
    <w:rsid w:val="00940351"/>
    <w:rsid w:val="009406B9"/>
    <w:rsid w:val="00941AC4"/>
    <w:rsid w:val="00941E9E"/>
    <w:rsid w:val="00942481"/>
    <w:rsid w:val="00942793"/>
    <w:rsid w:val="00942A5F"/>
    <w:rsid w:val="00942D7C"/>
    <w:rsid w:val="00942E22"/>
    <w:rsid w:val="0094351B"/>
    <w:rsid w:val="00943A15"/>
    <w:rsid w:val="00944087"/>
    <w:rsid w:val="00944628"/>
    <w:rsid w:val="009449A5"/>
    <w:rsid w:val="00944C5F"/>
    <w:rsid w:val="00944E74"/>
    <w:rsid w:val="009460D8"/>
    <w:rsid w:val="00946577"/>
    <w:rsid w:val="00947E1D"/>
    <w:rsid w:val="009500FC"/>
    <w:rsid w:val="0095012E"/>
    <w:rsid w:val="00950417"/>
    <w:rsid w:val="00950559"/>
    <w:rsid w:val="0095083F"/>
    <w:rsid w:val="009515D5"/>
    <w:rsid w:val="00951934"/>
    <w:rsid w:val="00951A27"/>
    <w:rsid w:val="0095207B"/>
    <w:rsid w:val="009524E4"/>
    <w:rsid w:val="00953A1D"/>
    <w:rsid w:val="00953E46"/>
    <w:rsid w:val="0095408E"/>
    <w:rsid w:val="00954540"/>
    <w:rsid w:val="0095463B"/>
    <w:rsid w:val="009547D3"/>
    <w:rsid w:val="0095488B"/>
    <w:rsid w:val="00954C8C"/>
    <w:rsid w:val="00954E15"/>
    <w:rsid w:val="00954FEA"/>
    <w:rsid w:val="00955484"/>
    <w:rsid w:val="0095609D"/>
    <w:rsid w:val="00956913"/>
    <w:rsid w:val="00956ACE"/>
    <w:rsid w:val="00956AD9"/>
    <w:rsid w:val="009572A0"/>
    <w:rsid w:val="009577BC"/>
    <w:rsid w:val="00957BD6"/>
    <w:rsid w:val="00957D24"/>
    <w:rsid w:val="00957DB7"/>
    <w:rsid w:val="0096058F"/>
    <w:rsid w:val="00960912"/>
    <w:rsid w:val="00960DB1"/>
    <w:rsid w:val="00960DCF"/>
    <w:rsid w:val="00960E0C"/>
    <w:rsid w:val="0096133B"/>
    <w:rsid w:val="00961755"/>
    <w:rsid w:val="0096175A"/>
    <w:rsid w:val="009619AC"/>
    <w:rsid w:val="00961B53"/>
    <w:rsid w:val="00961DF5"/>
    <w:rsid w:val="00961EE6"/>
    <w:rsid w:val="0096207C"/>
    <w:rsid w:val="00962276"/>
    <w:rsid w:val="009622AD"/>
    <w:rsid w:val="00962E3A"/>
    <w:rsid w:val="00963264"/>
    <w:rsid w:val="0096389D"/>
    <w:rsid w:val="009640A5"/>
    <w:rsid w:val="00964158"/>
    <w:rsid w:val="009642F4"/>
    <w:rsid w:val="009643C1"/>
    <w:rsid w:val="00964F2D"/>
    <w:rsid w:val="0096514F"/>
    <w:rsid w:val="00965560"/>
    <w:rsid w:val="00965AE0"/>
    <w:rsid w:val="009662C8"/>
    <w:rsid w:val="0096635E"/>
    <w:rsid w:val="0096670A"/>
    <w:rsid w:val="00966F85"/>
    <w:rsid w:val="00967298"/>
    <w:rsid w:val="009676C0"/>
    <w:rsid w:val="00967F8A"/>
    <w:rsid w:val="0097073D"/>
    <w:rsid w:val="00970804"/>
    <w:rsid w:val="00970ECA"/>
    <w:rsid w:val="009713AD"/>
    <w:rsid w:val="009714C6"/>
    <w:rsid w:val="00971CF1"/>
    <w:rsid w:val="00973092"/>
    <w:rsid w:val="009738B4"/>
    <w:rsid w:val="0097485E"/>
    <w:rsid w:val="00974AA8"/>
    <w:rsid w:val="00974D4C"/>
    <w:rsid w:val="00975189"/>
    <w:rsid w:val="009752B4"/>
    <w:rsid w:val="00975A40"/>
    <w:rsid w:val="00975A81"/>
    <w:rsid w:val="00976133"/>
    <w:rsid w:val="00976223"/>
    <w:rsid w:val="00976391"/>
    <w:rsid w:val="00976468"/>
    <w:rsid w:val="0097669D"/>
    <w:rsid w:val="00976C22"/>
    <w:rsid w:val="00976C92"/>
    <w:rsid w:val="00976F99"/>
    <w:rsid w:val="0097711E"/>
    <w:rsid w:val="00977404"/>
    <w:rsid w:val="00977625"/>
    <w:rsid w:val="0098001D"/>
    <w:rsid w:val="009803A9"/>
    <w:rsid w:val="009803CB"/>
    <w:rsid w:val="009803D4"/>
    <w:rsid w:val="0098050F"/>
    <w:rsid w:val="009807A2"/>
    <w:rsid w:val="00980F2C"/>
    <w:rsid w:val="0098118A"/>
    <w:rsid w:val="0098199C"/>
    <w:rsid w:val="0098241E"/>
    <w:rsid w:val="00982663"/>
    <w:rsid w:val="00982C9A"/>
    <w:rsid w:val="009830DE"/>
    <w:rsid w:val="00983939"/>
    <w:rsid w:val="009843AB"/>
    <w:rsid w:val="009843AF"/>
    <w:rsid w:val="0098493F"/>
    <w:rsid w:val="00984E62"/>
    <w:rsid w:val="0098553D"/>
    <w:rsid w:val="00985682"/>
    <w:rsid w:val="0098598A"/>
    <w:rsid w:val="009862E3"/>
    <w:rsid w:val="00987013"/>
    <w:rsid w:val="009872BB"/>
    <w:rsid w:val="009873F3"/>
    <w:rsid w:val="0098743C"/>
    <w:rsid w:val="00987702"/>
    <w:rsid w:val="00987A29"/>
    <w:rsid w:val="00987EFF"/>
    <w:rsid w:val="0099000A"/>
    <w:rsid w:val="009901D8"/>
    <w:rsid w:val="009912BE"/>
    <w:rsid w:val="009916E9"/>
    <w:rsid w:val="00991B6F"/>
    <w:rsid w:val="00992023"/>
    <w:rsid w:val="00992F71"/>
    <w:rsid w:val="00992FC1"/>
    <w:rsid w:val="009933BC"/>
    <w:rsid w:val="00994830"/>
    <w:rsid w:val="0099515F"/>
    <w:rsid w:val="0099549A"/>
    <w:rsid w:val="00995653"/>
    <w:rsid w:val="009956DE"/>
    <w:rsid w:val="00995E3E"/>
    <w:rsid w:val="00995E98"/>
    <w:rsid w:val="00996D0C"/>
    <w:rsid w:val="00996EDC"/>
    <w:rsid w:val="00996F15"/>
    <w:rsid w:val="00997459"/>
    <w:rsid w:val="009975DD"/>
    <w:rsid w:val="00997BA8"/>
    <w:rsid w:val="009A06F4"/>
    <w:rsid w:val="009A1A0D"/>
    <w:rsid w:val="009A3168"/>
    <w:rsid w:val="009A3778"/>
    <w:rsid w:val="009A3E2E"/>
    <w:rsid w:val="009A4A20"/>
    <w:rsid w:val="009A4EBC"/>
    <w:rsid w:val="009A51AB"/>
    <w:rsid w:val="009A5235"/>
    <w:rsid w:val="009A6316"/>
    <w:rsid w:val="009A72B5"/>
    <w:rsid w:val="009A73D5"/>
    <w:rsid w:val="009A7EFE"/>
    <w:rsid w:val="009A7F34"/>
    <w:rsid w:val="009B0661"/>
    <w:rsid w:val="009B0FEE"/>
    <w:rsid w:val="009B1618"/>
    <w:rsid w:val="009B162F"/>
    <w:rsid w:val="009B1D95"/>
    <w:rsid w:val="009B2245"/>
    <w:rsid w:val="009B258E"/>
    <w:rsid w:val="009B2DCE"/>
    <w:rsid w:val="009B2E81"/>
    <w:rsid w:val="009B39AB"/>
    <w:rsid w:val="009B3FA4"/>
    <w:rsid w:val="009B4701"/>
    <w:rsid w:val="009B5997"/>
    <w:rsid w:val="009B5AD6"/>
    <w:rsid w:val="009B60E9"/>
    <w:rsid w:val="009B66A5"/>
    <w:rsid w:val="009B6B23"/>
    <w:rsid w:val="009B7424"/>
    <w:rsid w:val="009B75EC"/>
    <w:rsid w:val="009B77EC"/>
    <w:rsid w:val="009B7ABD"/>
    <w:rsid w:val="009C01EC"/>
    <w:rsid w:val="009C02B3"/>
    <w:rsid w:val="009C115D"/>
    <w:rsid w:val="009C1836"/>
    <w:rsid w:val="009C19B0"/>
    <w:rsid w:val="009C1A38"/>
    <w:rsid w:val="009C1D27"/>
    <w:rsid w:val="009C2060"/>
    <w:rsid w:val="009C2394"/>
    <w:rsid w:val="009C30D3"/>
    <w:rsid w:val="009C3BD9"/>
    <w:rsid w:val="009C4BD2"/>
    <w:rsid w:val="009C4C5B"/>
    <w:rsid w:val="009C5AC9"/>
    <w:rsid w:val="009C5B82"/>
    <w:rsid w:val="009C5E17"/>
    <w:rsid w:val="009C6013"/>
    <w:rsid w:val="009C6136"/>
    <w:rsid w:val="009C6617"/>
    <w:rsid w:val="009C756E"/>
    <w:rsid w:val="009C7587"/>
    <w:rsid w:val="009C75C5"/>
    <w:rsid w:val="009C7709"/>
    <w:rsid w:val="009C7A9A"/>
    <w:rsid w:val="009D081D"/>
    <w:rsid w:val="009D0BB7"/>
    <w:rsid w:val="009D1B63"/>
    <w:rsid w:val="009D21BE"/>
    <w:rsid w:val="009D2B43"/>
    <w:rsid w:val="009D2FDD"/>
    <w:rsid w:val="009D38FF"/>
    <w:rsid w:val="009D3C3D"/>
    <w:rsid w:val="009D4240"/>
    <w:rsid w:val="009D43F8"/>
    <w:rsid w:val="009D4CB8"/>
    <w:rsid w:val="009D5288"/>
    <w:rsid w:val="009D5BA8"/>
    <w:rsid w:val="009D5FA8"/>
    <w:rsid w:val="009D627C"/>
    <w:rsid w:val="009D628C"/>
    <w:rsid w:val="009D6DB7"/>
    <w:rsid w:val="009D730A"/>
    <w:rsid w:val="009D79F4"/>
    <w:rsid w:val="009D7DAA"/>
    <w:rsid w:val="009E08A5"/>
    <w:rsid w:val="009E0BEE"/>
    <w:rsid w:val="009E1449"/>
    <w:rsid w:val="009E1D14"/>
    <w:rsid w:val="009E2506"/>
    <w:rsid w:val="009E256F"/>
    <w:rsid w:val="009E2AD3"/>
    <w:rsid w:val="009E2C63"/>
    <w:rsid w:val="009E3C25"/>
    <w:rsid w:val="009E40C0"/>
    <w:rsid w:val="009E4390"/>
    <w:rsid w:val="009E47E5"/>
    <w:rsid w:val="009E530D"/>
    <w:rsid w:val="009E55FD"/>
    <w:rsid w:val="009E60AC"/>
    <w:rsid w:val="009E6B33"/>
    <w:rsid w:val="009E7309"/>
    <w:rsid w:val="009E7F46"/>
    <w:rsid w:val="009F0C17"/>
    <w:rsid w:val="009F112F"/>
    <w:rsid w:val="009F146F"/>
    <w:rsid w:val="009F1C22"/>
    <w:rsid w:val="009F1EDA"/>
    <w:rsid w:val="009F210C"/>
    <w:rsid w:val="009F22DB"/>
    <w:rsid w:val="009F23D3"/>
    <w:rsid w:val="009F2D73"/>
    <w:rsid w:val="009F2FF7"/>
    <w:rsid w:val="009F3C75"/>
    <w:rsid w:val="009F4218"/>
    <w:rsid w:val="009F442A"/>
    <w:rsid w:val="009F4B79"/>
    <w:rsid w:val="009F5221"/>
    <w:rsid w:val="009F6061"/>
    <w:rsid w:val="009F6119"/>
    <w:rsid w:val="009F626E"/>
    <w:rsid w:val="009F6C03"/>
    <w:rsid w:val="009F6DA5"/>
    <w:rsid w:val="009F6DD3"/>
    <w:rsid w:val="009F6FF8"/>
    <w:rsid w:val="009F7B90"/>
    <w:rsid w:val="009F7C3D"/>
    <w:rsid w:val="009F7D95"/>
    <w:rsid w:val="00A0037E"/>
    <w:rsid w:val="00A00C86"/>
    <w:rsid w:val="00A01303"/>
    <w:rsid w:val="00A016FF"/>
    <w:rsid w:val="00A02796"/>
    <w:rsid w:val="00A029E1"/>
    <w:rsid w:val="00A02C4F"/>
    <w:rsid w:val="00A02F3D"/>
    <w:rsid w:val="00A0337C"/>
    <w:rsid w:val="00A03A6E"/>
    <w:rsid w:val="00A045AA"/>
    <w:rsid w:val="00A04A09"/>
    <w:rsid w:val="00A04B28"/>
    <w:rsid w:val="00A05293"/>
    <w:rsid w:val="00A05474"/>
    <w:rsid w:val="00A05821"/>
    <w:rsid w:val="00A05D1D"/>
    <w:rsid w:val="00A05EA2"/>
    <w:rsid w:val="00A06120"/>
    <w:rsid w:val="00A073E6"/>
    <w:rsid w:val="00A076CC"/>
    <w:rsid w:val="00A106A5"/>
    <w:rsid w:val="00A10944"/>
    <w:rsid w:val="00A10C50"/>
    <w:rsid w:val="00A110C7"/>
    <w:rsid w:val="00A1165C"/>
    <w:rsid w:val="00A125D6"/>
    <w:rsid w:val="00A1264E"/>
    <w:rsid w:val="00A128FC"/>
    <w:rsid w:val="00A12A9F"/>
    <w:rsid w:val="00A13999"/>
    <w:rsid w:val="00A13F27"/>
    <w:rsid w:val="00A1427A"/>
    <w:rsid w:val="00A14E53"/>
    <w:rsid w:val="00A15580"/>
    <w:rsid w:val="00A155BA"/>
    <w:rsid w:val="00A15685"/>
    <w:rsid w:val="00A15C27"/>
    <w:rsid w:val="00A16006"/>
    <w:rsid w:val="00A16449"/>
    <w:rsid w:val="00A164DB"/>
    <w:rsid w:val="00A171B1"/>
    <w:rsid w:val="00A179EF"/>
    <w:rsid w:val="00A17B24"/>
    <w:rsid w:val="00A207D3"/>
    <w:rsid w:val="00A20952"/>
    <w:rsid w:val="00A20DE1"/>
    <w:rsid w:val="00A219AD"/>
    <w:rsid w:val="00A2200B"/>
    <w:rsid w:val="00A22AD8"/>
    <w:rsid w:val="00A22EFC"/>
    <w:rsid w:val="00A2366A"/>
    <w:rsid w:val="00A23675"/>
    <w:rsid w:val="00A23CED"/>
    <w:rsid w:val="00A24777"/>
    <w:rsid w:val="00A24780"/>
    <w:rsid w:val="00A247E5"/>
    <w:rsid w:val="00A25392"/>
    <w:rsid w:val="00A25917"/>
    <w:rsid w:val="00A25C75"/>
    <w:rsid w:val="00A26389"/>
    <w:rsid w:val="00A277A2"/>
    <w:rsid w:val="00A3028F"/>
    <w:rsid w:val="00A303B8"/>
    <w:rsid w:val="00A306D6"/>
    <w:rsid w:val="00A30770"/>
    <w:rsid w:val="00A30CAB"/>
    <w:rsid w:val="00A30F0D"/>
    <w:rsid w:val="00A3106A"/>
    <w:rsid w:val="00A31BE1"/>
    <w:rsid w:val="00A31D57"/>
    <w:rsid w:val="00A320A3"/>
    <w:rsid w:val="00A3247B"/>
    <w:rsid w:val="00A339E6"/>
    <w:rsid w:val="00A33CB8"/>
    <w:rsid w:val="00A340DC"/>
    <w:rsid w:val="00A34694"/>
    <w:rsid w:val="00A34735"/>
    <w:rsid w:val="00A361C3"/>
    <w:rsid w:val="00A368A7"/>
    <w:rsid w:val="00A3764D"/>
    <w:rsid w:val="00A37780"/>
    <w:rsid w:val="00A37A74"/>
    <w:rsid w:val="00A37B60"/>
    <w:rsid w:val="00A37BE4"/>
    <w:rsid w:val="00A37C32"/>
    <w:rsid w:val="00A37F4F"/>
    <w:rsid w:val="00A4041A"/>
    <w:rsid w:val="00A409AE"/>
    <w:rsid w:val="00A411FA"/>
    <w:rsid w:val="00A41490"/>
    <w:rsid w:val="00A41EA1"/>
    <w:rsid w:val="00A4288A"/>
    <w:rsid w:val="00A42A5C"/>
    <w:rsid w:val="00A42E77"/>
    <w:rsid w:val="00A43755"/>
    <w:rsid w:val="00A4406B"/>
    <w:rsid w:val="00A444C4"/>
    <w:rsid w:val="00A4478F"/>
    <w:rsid w:val="00A44A61"/>
    <w:rsid w:val="00A44B32"/>
    <w:rsid w:val="00A44EC1"/>
    <w:rsid w:val="00A453AD"/>
    <w:rsid w:val="00A454B3"/>
    <w:rsid w:val="00A45B33"/>
    <w:rsid w:val="00A45E52"/>
    <w:rsid w:val="00A4601A"/>
    <w:rsid w:val="00A46652"/>
    <w:rsid w:val="00A46D15"/>
    <w:rsid w:val="00A46E42"/>
    <w:rsid w:val="00A4710E"/>
    <w:rsid w:val="00A4713D"/>
    <w:rsid w:val="00A47437"/>
    <w:rsid w:val="00A476F5"/>
    <w:rsid w:val="00A50270"/>
    <w:rsid w:val="00A502CD"/>
    <w:rsid w:val="00A50A81"/>
    <w:rsid w:val="00A510C4"/>
    <w:rsid w:val="00A513DB"/>
    <w:rsid w:val="00A5323B"/>
    <w:rsid w:val="00A535BD"/>
    <w:rsid w:val="00A53674"/>
    <w:rsid w:val="00A537F6"/>
    <w:rsid w:val="00A53BDF"/>
    <w:rsid w:val="00A53FAA"/>
    <w:rsid w:val="00A546F4"/>
    <w:rsid w:val="00A54D9D"/>
    <w:rsid w:val="00A54FB4"/>
    <w:rsid w:val="00A54FDA"/>
    <w:rsid w:val="00A55088"/>
    <w:rsid w:val="00A56625"/>
    <w:rsid w:val="00A56711"/>
    <w:rsid w:val="00A56DE0"/>
    <w:rsid w:val="00A5729B"/>
    <w:rsid w:val="00A57B61"/>
    <w:rsid w:val="00A614A4"/>
    <w:rsid w:val="00A61739"/>
    <w:rsid w:val="00A61F69"/>
    <w:rsid w:val="00A6269C"/>
    <w:rsid w:val="00A63321"/>
    <w:rsid w:val="00A63AD8"/>
    <w:rsid w:val="00A63C18"/>
    <w:rsid w:val="00A64C58"/>
    <w:rsid w:val="00A662DC"/>
    <w:rsid w:val="00A671D0"/>
    <w:rsid w:val="00A67296"/>
    <w:rsid w:val="00A6741B"/>
    <w:rsid w:val="00A7012A"/>
    <w:rsid w:val="00A7051A"/>
    <w:rsid w:val="00A70A51"/>
    <w:rsid w:val="00A71286"/>
    <w:rsid w:val="00A71455"/>
    <w:rsid w:val="00A71562"/>
    <w:rsid w:val="00A71853"/>
    <w:rsid w:val="00A71D99"/>
    <w:rsid w:val="00A71FF0"/>
    <w:rsid w:val="00A729D6"/>
    <w:rsid w:val="00A72DF9"/>
    <w:rsid w:val="00A73905"/>
    <w:rsid w:val="00A7393B"/>
    <w:rsid w:val="00A7418B"/>
    <w:rsid w:val="00A741BE"/>
    <w:rsid w:val="00A74226"/>
    <w:rsid w:val="00A742C4"/>
    <w:rsid w:val="00A745C1"/>
    <w:rsid w:val="00A74D58"/>
    <w:rsid w:val="00A754ED"/>
    <w:rsid w:val="00A757B0"/>
    <w:rsid w:val="00A75B6A"/>
    <w:rsid w:val="00A76054"/>
    <w:rsid w:val="00A766A2"/>
    <w:rsid w:val="00A76D69"/>
    <w:rsid w:val="00A76DA0"/>
    <w:rsid w:val="00A7702B"/>
    <w:rsid w:val="00A776A4"/>
    <w:rsid w:val="00A777BA"/>
    <w:rsid w:val="00A777F6"/>
    <w:rsid w:val="00A77907"/>
    <w:rsid w:val="00A7799D"/>
    <w:rsid w:val="00A77B29"/>
    <w:rsid w:val="00A77C48"/>
    <w:rsid w:val="00A77CE1"/>
    <w:rsid w:val="00A77CEE"/>
    <w:rsid w:val="00A80287"/>
    <w:rsid w:val="00A8049D"/>
    <w:rsid w:val="00A813CA"/>
    <w:rsid w:val="00A81EC6"/>
    <w:rsid w:val="00A822C2"/>
    <w:rsid w:val="00A823B1"/>
    <w:rsid w:val="00A82990"/>
    <w:rsid w:val="00A82F5A"/>
    <w:rsid w:val="00A831F7"/>
    <w:rsid w:val="00A8375B"/>
    <w:rsid w:val="00A838E2"/>
    <w:rsid w:val="00A847B2"/>
    <w:rsid w:val="00A84C6B"/>
    <w:rsid w:val="00A85D4B"/>
    <w:rsid w:val="00A85F23"/>
    <w:rsid w:val="00A866F5"/>
    <w:rsid w:val="00A8711C"/>
    <w:rsid w:val="00A87156"/>
    <w:rsid w:val="00A90401"/>
    <w:rsid w:val="00A90748"/>
    <w:rsid w:val="00A90947"/>
    <w:rsid w:val="00A90EB0"/>
    <w:rsid w:val="00A9101D"/>
    <w:rsid w:val="00A91276"/>
    <w:rsid w:val="00A91817"/>
    <w:rsid w:val="00A91AAA"/>
    <w:rsid w:val="00A91D4D"/>
    <w:rsid w:val="00A9214C"/>
    <w:rsid w:val="00A921E3"/>
    <w:rsid w:val="00A9272A"/>
    <w:rsid w:val="00A934B2"/>
    <w:rsid w:val="00A938A5"/>
    <w:rsid w:val="00A94401"/>
    <w:rsid w:val="00A94843"/>
    <w:rsid w:val="00A94AD6"/>
    <w:rsid w:val="00A94D20"/>
    <w:rsid w:val="00A955CA"/>
    <w:rsid w:val="00A95A94"/>
    <w:rsid w:val="00A961EF"/>
    <w:rsid w:val="00A96739"/>
    <w:rsid w:val="00A96899"/>
    <w:rsid w:val="00A9752B"/>
    <w:rsid w:val="00A97602"/>
    <w:rsid w:val="00A9760C"/>
    <w:rsid w:val="00AA02A8"/>
    <w:rsid w:val="00AA03AE"/>
    <w:rsid w:val="00AA06B2"/>
    <w:rsid w:val="00AA0F5A"/>
    <w:rsid w:val="00AA1661"/>
    <w:rsid w:val="00AA1F9D"/>
    <w:rsid w:val="00AA2244"/>
    <w:rsid w:val="00AA23B7"/>
    <w:rsid w:val="00AA243C"/>
    <w:rsid w:val="00AA2461"/>
    <w:rsid w:val="00AA247B"/>
    <w:rsid w:val="00AA2865"/>
    <w:rsid w:val="00AA2A45"/>
    <w:rsid w:val="00AA2C1E"/>
    <w:rsid w:val="00AA2F3F"/>
    <w:rsid w:val="00AA2FA2"/>
    <w:rsid w:val="00AA3283"/>
    <w:rsid w:val="00AA3A9B"/>
    <w:rsid w:val="00AA3BF1"/>
    <w:rsid w:val="00AA5410"/>
    <w:rsid w:val="00AA5657"/>
    <w:rsid w:val="00AA5D2C"/>
    <w:rsid w:val="00AA665F"/>
    <w:rsid w:val="00AA683B"/>
    <w:rsid w:val="00AA6976"/>
    <w:rsid w:val="00AA69D5"/>
    <w:rsid w:val="00AA79FD"/>
    <w:rsid w:val="00AA7DCB"/>
    <w:rsid w:val="00AB04F8"/>
    <w:rsid w:val="00AB13F1"/>
    <w:rsid w:val="00AB1595"/>
    <w:rsid w:val="00AB17CC"/>
    <w:rsid w:val="00AB1CEE"/>
    <w:rsid w:val="00AB1D9B"/>
    <w:rsid w:val="00AB21C6"/>
    <w:rsid w:val="00AB21CE"/>
    <w:rsid w:val="00AB26F4"/>
    <w:rsid w:val="00AB2841"/>
    <w:rsid w:val="00AB37E7"/>
    <w:rsid w:val="00AB3B0D"/>
    <w:rsid w:val="00AB3F70"/>
    <w:rsid w:val="00AB4047"/>
    <w:rsid w:val="00AB43A1"/>
    <w:rsid w:val="00AB4C58"/>
    <w:rsid w:val="00AB5159"/>
    <w:rsid w:val="00AB530B"/>
    <w:rsid w:val="00AB5D47"/>
    <w:rsid w:val="00AB5EDC"/>
    <w:rsid w:val="00AB6036"/>
    <w:rsid w:val="00AB6791"/>
    <w:rsid w:val="00AB7495"/>
    <w:rsid w:val="00AB78F1"/>
    <w:rsid w:val="00AB7C98"/>
    <w:rsid w:val="00AC024D"/>
    <w:rsid w:val="00AC02A2"/>
    <w:rsid w:val="00AC07E6"/>
    <w:rsid w:val="00AC0824"/>
    <w:rsid w:val="00AC0EA8"/>
    <w:rsid w:val="00AC18D6"/>
    <w:rsid w:val="00AC1AC4"/>
    <w:rsid w:val="00AC1F66"/>
    <w:rsid w:val="00AC2989"/>
    <w:rsid w:val="00AC2AD0"/>
    <w:rsid w:val="00AC2D1F"/>
    <w:rsid w:val="00AC34EC"/>
    <w:rsid w:val="00AC3614"/>
    <w:rsid w:val="00AC45B2"/>
    <w:rsid w:val="00AC4ED8"/>
    <w:rsid w:val="00AC591F"/>
    <w:rsid w:val="00AC5A7E"/>
    <w:rsid w:val="00AC5BBB"/>
    <w:rsid w:val="00AC5DDC"/>
    <w:rsid w:val="00AC675B"/>
    <w:rsid w:val="00AC6F7D"/>
    <w:rsid w:val="00AC720A"/>
    <w:rsid w:val="00AD0261"/>
    <w:rsid w:val="00AD0362"/>
    <w:rsid w:val="00AD083D"/>
    <w:rsid w:val="00AD125A"/>
    <w:rsid w:val="00AD15F7"/>
    <w:rsid w:val="00AD1B23"/>
    <w:rsid w:val="00AD20E1"/>
    <w:rsid w:val="00AD224B"/>
    <w:rsid w:val="00AD279C"/>
    <w:rsid w:val="00AD2C34"/>
    <w:rsid w:val="00AD2D91"/>
    <w:rsid w:val="00AD39CC"/>
    <w:rsid w:val="00AD3EE5"/>
    <w:rsid w:val="00AD3F55"/>
    <w:rsid w:val="00AD4F31"/>
    <w:rsid w:val="00AD4F5F"/>
    <w:rsid w:val="00AD4FE8"/>
    <w:rsid w:val="00AD50CD"/>
    <w:rsid w:val="00AD5917"/>
    <w:rsid w:val="00AD60EA"/>
    <w:rsid w:val="00AD62A1"/>
    <w:rsid w:val="00AD63C4"/>
    <w:rsid w:val="00AD67D4"/>
    <w:rsid w:val="00AD6D30"/>
    <w:rsid w:val="00AD738C"/>
    <w:rsid w:val="00AD7AFF"/>
    <w:rsid w:val="00AD7FFD"/>
    <w:rsid w:val="00AE0250"/>
    <w:rsid w:val="00AE048C"/>
    <w:rsid w:val="00AE0754"/>
    <w:rsid w:val="00AE08FE"/>
    <w:rsid w:val="00AE0B96"/>
    <w:rsid w:val="00AE0C13"/>
    <w:rsid w:val="00AE0D1D"/>
    <w:rsid w:val="00AE0E99"/>
    <w:rsid w:val="00AE1595"/>
    <w:rsid w:val="00AE1F3F"/>
    <w:rsid w:val="00AE20E8"/>
    <w:rsid w:val="00AE2305"/>
    <w:rsid w:val="00AE24B8"/>
    <w:rsid w:val="00AE3307"/>
    <w:rsid w:val="00AE3C75"/>
    <w:rsid w:val="00AE4331"/>
    <w:rsid w:val="00AE47F7"/>
    <w:rsid w:val="00AE4D5A"/>
    <w:rsid w:val="00AE52BD"/>
    <w:rsid w:val="00AE60F6"/>
    <w:rsid w:val="00AE614D"/>
    <w:rsid w:val="00AE64CB"/>
    <w:rsid w:val="00AE6E35"/>
    <w:rsid w:val="00AE704F"/>
    <w:rsid w:val="00AE7307"/>
    <w:rsid w:val="00AE742B"/>
    <w:rsid w:val="00AE7849"/>
    <w:rsid w:val="00AE7977"/>
    <w:rsid w:val="00AF0081"/>
    <w:rsid w:val="00AF072A"/>
    <w:rsid w:val="00AF13DC"/>
    <w:rsid w:val="00AF1782"/>
    <w:rsid w:val="00AF1D1D"/>
    <w:rsid w:val="00AF1F10"/>
    <w:rsid w:val="00AF23E1"/>
    <w:rsid w:val="00AF2CB2"/>
    <w:rsid w:val="00AF3BDC"/>
    <w:rsid w:val="00AF3D39"/>
    <w:rsid w:val="00AF4299"/>
    <w:rsid w:val="00AF4735"/>
    <w:rsid w:val="00AF497B"/>
    <w:rsid w:val="00AF5167"/>
    <w:rsid w:val="00AF546E"/>
    <w:rsid w:val="00AF5C63"/>
    <w:rsid w:val="00AF6578"/>
    <w:rsid w:val="00AF67DD"/>
    <w:rsid w:val="00AF69DC"/>
    <w:rsid w:val="00AF6A4C"/>
    <w:rsid w:val="00AF6FD7"/>
    <w:rsid w:val="00AF713F"/>
    <w:rsid w:val="00B00A43"/>
    <w:rsid w:val="00B00A85"/>
    <w:rsid w:val="00B02182"/>
    <w:rsid w:val="00B02183"/>
    <w:rsid w:val="00B022FE"/>
    <w:rsid w:val="00B02633"/>
    <w:rsid w:val="00B02C03"/>
    <w:rsid w:val="00B02F03"/>
    <w:rsid w:val="00B03BCF"/>
    <w:rsid w:val="00B03EDD"/>
    <w:rsid w:val="00B04161"/>
    <w:rsid w:val="00B041C9"/>
    <w:rsid w:val="00B04247"/>
    <w:rsid w:val="00B047C2"/>
    <w:rsid w:val="00B04A04"/>
    <w:rsid w:val="00B04CB1"/>
    <w:rsid w:val="00B04E1B"/>
    <w:rsid w:val="00B04E46"/>
    <w:rsid w:val="00B05635"/>
    <w:rsid w:val="00B059FC"/>
    <w:rsid w:val="00B060F0"/>
    <w:rsid w:val="00B06A5A"/>
    <w:rsid w:val="00B0709C"/>
    <w:rsid w:val="00B0731A"/>
    <w:rsid w:val="00B07620"/>
    <w:rsid w:val="00B07667"/>
    <w:rsid w:val="00B076F1"/>
    <w:rsid w:val="00B0792B"/>
    <w:rsid w:val="00B07E56"/>
    <w:rsid w:val="00B10151"/>
    <w:rsid w:val="00B10DD4"/>
    <w:rsid w:val="00B11433"/>
    <w:rsid w:val="00B114BC"/>
    <w:rsid w:val="00B11856"/>
    <w:rsid w:val="00B122BB"/>
    <w:rsid w:val="00B12866"/>
    <w:rsid w:val="00B1295B"/>
    <w:rsid w:val="00B1299F"/>
    <w:rsid w:val="00B1314F"/>
    <w:rsid w:val="00B132B2"/>
    <w:rsid w:val="00B1377B"/>
    <w:rsid w:val="00B140B0"/>
    <w:rsid w:val="00B14377"/>
    <w:rsid w:val="00B14BE8"/>
    <w:rsid w:val="00B151CF"/>
    <w:rsid w:val="00B1573E"/>
    <w:rsid w:val="00B15766"/>
    <w:rsid w:val="00B15A1B"/>
    <w:rsid w:val="00B15C29"/>
    <w:rsid w:val="00B16A66"/>
    <w:rsid w:val="00B16BD6"/>
    <w:rsid w:val="00B16F50"/>
    <w:rsid w:val="00B20445"/>
    <w:rsid w:val="00B20615"/>
    <w:rsid w:val="00B20E3E"/>
    <w:rsid w:val="00B22065"/>
    <w:rsid w:val="00B22236"/>
    <w:rsid w:val="00B23604"/>
    <w:rsid w:val="00B2429F"/>
    <w:rsid w:val="00B242E9"/>
    <w:rsid w:val="00B247AD"/>
    <w:rsid w:val="00B24991"/>
    <w:rsid w:val="00B249EF"/>
    <w:rsid w:val="00B24AAE"/>
    <w:rsid w:val="00B25638"/>
    <w:rsid w:val="00B25D05"/>
    <w:rsid w:val="00B26622"/>
    <w:rsid w:val="00B26669"/>
    <w:rsid w:val="00B267CC"/>
    <w:rsid w:val="00B26C1A"/>
    <w:rsid w:val="00B26CD9"/>
    <w:rsid w:val="00B26E2E"/>
    <w:rsid w:val="00B270FE"/>
    <w:rsid w:val="00B276B4"/>
    <w:rsid w:val="00B27B73"/>
    <w:rsid w:val="00B30386"/>
    <w:rsid w:val="00B303F6"/>
    <w:rsid w:val="00B307B7"/>
    <w:rsid w:val="00B30F00"/>
    <w:rsid w:val="00B3141A"/>
    <w:rsid w:val="00B3238A"/>
    <w:rsid w:val="00B329DA"/>
    <w:rsid w:val="00B337A5"/>
    <w:rsid w:val="00B337EE"/>
    <w:rsid w:val="00B33AAC"/>
    <w:rsid w:val="00B34681"/>
    <w:rsid w:val="00B34AFE"/>
    <w:rsid w:val="00B35499"/>
    <w:rsid w:val="00B356ED"/>
    <w:rsid w:val="00B35994"/>
    <w:rsid w:val="00B36028"/>
    <w:rsid w:val="00B365DE"/>
    <w:rsid w:val="00B36C7F"/>
    <w:rsid w:val="00B36EFF"/>
    <w:rsid w:val="00B37264"/>
    <w:rsid w:val="00B40064"/>
    <w:rsid w:val="00B40842"/>
    <w:rsid w:val="00B41407"/>
    <w:rsid w:val="00B41782"/>
    <w:rsid w:val="00B4227D"/>
    <w:rsid w:val="00B4281D"/>
    <w:rsid w:val="00B42BC2"/>
    <w:rsid w:val="00B439B0"/>
    <w:rsid w:val="00B445F2"/>
    <w:rsid w:val="00B44F11"/>
    <w:rsid w:val="00B465C4"/>
    <w:rsid w:val="00B46C8B"/>
    <w:rsid w:val="00B470F5"/>
    <w:rsid w:val="00B50A44"/>
    <w:rsid w:val="00B50ABA"/>
    <w:rsid w:val="00B50C6E"/>
    <w:rsid w:val="00B5110F"/>
    <w:rsid w:val="00B5209F"/>
    <w:rsid w:val="00B52410"/>
    <w:rsid w:val="00B52A4F"/>
    <w:rsid w:val="00B52ECE"/>
    <w:rsid w:val="00B536ED"/>
    <w:rsid w:val="00B5432D"/>
    <w:rsid w:val="00B54832"/>
    <w:rsid w:val="00B5489C"/>
    <w:rsid w:val="00B55021"/>
    <w:rsid w:val="00B55524"/>
    <w:rsid w:val="00B5629C"/>
    <w:rsid w:val="00B57037"/>
    <w:rsid w:val="00B5714A"/>
    <w:rsid w:val="00B5714C"/>
    <w:rsid w:val="00B5747B"/>
    <w:rsid w:val="00B575BF"/>
    <w:rsid w:val="00B5765F"/>
    <w:rsid w:val="00B57D7C"/>
    <w:rsid w:val="00B60135"/>
    <w:rsid w:val="00B60B0E"/>
    <w:rsid w:val="00B6127C"/>
    <w:rsid w:val="00B612EA"/>
    <w:rsid w:val="00B61912"/>
    <w:rsid w:val="00B61C66"/>
    <w:rsid w:val="00B62013"/>
    <w:rsid w:val="00B62604"/>
    <w:rsid w:val="00B6291E"/>
    <w:rsid w:val="00B62DF2"/>
    <w:rsid w:val="00B633AF"/>
    <w:rsid w:val="00B63493"/>
    <w:rsid w:val="00B636AD"/>
    <w:rsid w:val="00B636C1"/>
    <w:rsid w:val="00B6449B"/>
    <w:rsid w:val="00B6477F"/>
    <w:rsid w:val="00B649E3"/>
    <w:rsid w:val="00B6508D"/>
    <w:rsid w:val="00B65911"/>
    <w:rsid w:val="00B65AA5"/>
    <w:rsid w:val="00B65EF0"/>
    <w:rsid w:val="00B65FD3"/>
    <w:rsid w:val="00B66A87"/>
    <w:rsid w:val="00B6738C"/>
    <w:rsid w:val="00B67447"/>
    <w:rsid w:val="00B708F3"/>
    <w:rsid w:val="00B7090A"/>
    <w:rsid w:val="00B70A6D"/>
    <w:rsid w:val="00B70DDA"/>
    <w:rsid w:val="00B712D0"/>
    <w:rsid w:val="00B718F2"/>
    <w:rsid w:val="00B727E0"/>
    <w:rsid w:val="00B72D97"/>
    <w:rsid w:val="00B734FF"/>
    <w:rsid w:val="00B7362D"/>
    <w:rsid w:val="00B73666"/>
    <w:rsid w:val="00B738E1"/>
    <w:rsid w:val="00B74E2D"/>
    <w:rsid w:val="00B751F2"/>
    <w:rsid w:val="00B75633"/>
    <w:rsid w:val="00B757E5"/>
    <w:rsid w:val="00B75DDE"/>
    <w:rsid w:val="00B7606F"/>
    <w:rsid w:val="00B7750B"/>
    <w:rsid w:val="00B77FB4"/>
    <w:rsid w:val="00B8024E"/>
    <w:rsid w:val="00B80559"/>
    <w:rsid w:val="00B81C75"/>
    <w:rsid w:val="00B81F38"/>
    <w:rsid w:val="00B821CD"/>
    <w:rsid w:val="00B82D46"/>
    <w:rsid w:val="00B82D48"/>
    <w:rsid w:val="00B83B62"/>
    <w:rsid w:val="00B841D2"/>
    <w:rsid w:val="00B8424D"/>
    <w:rsid w:val="00B8446E"/>
    <w:rsid w:val="00B8535F"/>
    <w:rsid w:val="00B855F6"/>
    <w:rsid w:val="00B856E8"/>
    <w:rsid w:val="00B856F9"/>
    <w:rsid w:val="00B858F3"/>
    <w:rsid w:val="00B85974"/>
    <w:rsid w:val="00B878CD"/>
    <w:rsid w:val="00B87A93"/>
    <w:rsid w:val="00B90ADC"/>
    <w:rsid w:val="00B90DAC"/>
    <w:rsid w:val="00B915AF"/>
    <w:rsid w:val="00B916BC"/>
    <w:rsid w:val="00B91968"/>
    <w:rsid w:val="00B91CB1"/>
    <w:rsid w:val="00B9249B"/>
    <w:rsid w:val="00B92528"/>
    <w:rsid w:val="00B92C51"/>
    <w:rsid w:val="00B92D1A"/>
    <w:rsid w:val="00B93B36"/>
    <w:rsid w:val="00B94865"/>
    <w:rsid w:val="00B94E4F"/>
    <w:rsid w:val="00B94F8A"/>
    <w:rsid w:val="00B9536C"/>
    <w:rsid w:val="00B95858"/>
    <w:rsid w:val="00B95BA4"/>
    <w:rsid w:val="00B960BB"/>
    <w:rsid w:val="00B970E6"/>
    <w:rsid w:val="00B975E8"/>
    <w:rsid w:val="00B97E53"/>
    <w:rsid w:val="00B97F1F"/>
    <w:rsid w:val="00BA0EDD"/>
    <w:rsid w:val="00BA175C"/>
    <w:rsid w:val="00BA19D1"/>
    <w:rsid w:val="00BA1FFB"/>
    <w:rsid w:val="00BA212F"/>
    <w:rsid w:val="00BA27E3"/>
    <w:rsid w:val="00BA2B3F"/>
    <w:rsid w:val="00BA37DA"/>
    <w:rsid w:val="00BA3AB7"/>
    <w:rsid w:val="00BA3B77"/>
    <w:rsid w:val="00BA3CC2"/>
    <w:rsid w:val="00BA4105"/>
    <w:rsid w:val="00BA4B4F"/>
    <w:rsid w:val="00BA4E45"/>
    <w:rsid w:val="00BA542B"/>
    <w:rsid w:val="00BA59FB"/>
    <w:rsid w:val="00BA6175"/>
    <w:rsid w:val="00BA639F"/>
    <w:rsid w:val="00BA67EC"/>
    <w:rsid w:val="00BA6CC0"/>
    <w:rsid w:val="00BA70CD"/>
    <w:rsid w:val="00BA78E9"/>
    <w:rsid w:val="00BA7BEB"/>
    <w:rsid w:val="00BA7FF9"/>
    <w:rsid w:val="00BB0551"/>
    <w:rsid w:val="00BB0BFF"/>
    <w:rsid w:val="00BB1189"/>
    <w:rsid w:val="00BB13FA"/>
    <w:rsid w:val="00BB14A3"/>
    <w:rsid w:val="00BB19E3"/>
    <w:rsid w:val="00BB2378"/>
    <w:rsid w:val="00BB2748"/>
    <w:rsid w:val="00BB33EB"/>
    <w:rsid w:val="00BB3F03"/>
    <w:rsid w:val="00BB4129"/>
    <w:rsid w:val="00BB4902"/>
    <w:rsid w:val="00BB6A42"/>
    <w:rsid w:val="00BB6EDB"/>
    <w:rsid w:val="00BB71E3"/>
    <w:rsid w:val="00BB794B"/>
    <w:rsid w:val="00BB7FEC"/>
    <w:rsid w:val="00BC02D7"/>
    <w:rsid w:val="00BC0451"/>
    <w:rsid w:val="00BC0A1B"/>
    <w:rsid w:val="00BC0ADD"/>
    <w:rsid w:val="00BC0CFB"/>
    <w:rsid w:val="00BC0D50"/>
    <w:rsid w:val="00BC12B1"/>
    <w:rsid w:val="00BC14E1"/>
    <w:rsid w:val="00BC15DE"/>
    <w:rsid w:val="00BC17C8"/>
    <w:rsid w:val="00BC25C7"/>
    <w:rsid w:val="00BC27AE"/>
    <w:rsid w:val="00BC2EBF"/>
    <w:rsid w:val="00BC3084"/>
    <w:rsid w:val="00BC3285"/>
    <w:rsid w:val="00BC369C"/>
    <w:rsid w:val="00BC3805"/>
    <w:rsid w:val="00BC3806"/>
    <w:rsid w:val="00BC3D93"/>
    <w:rsid w:val="00BC4972"/>
    <w:rsid w:val="00BC4E78"/>
    <w:rsid w:val="00BC5AF9"/>
    <w:rsid w:val="00BC5C3C"/>
    <w:rsid w:val="00BC5C77"/>
    <w:rsid w:val="00BC6897"/>
    <w:rsid w:val="00BC6E50"/>
    <w:rsid w:val="00BC78E2"/>
    <w:rsid w:val="00BC7EF0"/>
    <w:rsid w:val="00BD0BC0"/>
    <w:rsid w:val="00BD180C"/>
    <w:rsid w:val="00BD1AD0"/>
    <w:rsid w:val="00BD1B8D"/>
    <w:rsid w:val="00BD208D"/>
    <w:rsid w:val="00BD2239"/>
    <w:rsid w:val="00BD2973"/>
    <w:rsid w:val="00BD33D4"/>
    <w:rsid w:val="00BD3DA8"/>
    <w:rsid w:val="00BD3EFE"/>
    <w:rsid w:val="00BD40B1"/>
    <w:rsid w:val="00BD452B"/>
    <w:rsid w:val="00BD45A9"/>
    <w:rsid w:val="00BD5277"/>
    <w:rsid w:val="00BD54A9"/>
    <w:rsid w:val="00BD5700"/>
    <w:rsid w:val="00BD5BA5"/>
    <w:rsid w:val="00BD5D41"/>
    <w:rsid w:val="00BD5FE5"/>
    <w:rsid w:val="00BD63BE"/>
    <w:rsid w:val="00BD6DDF"/>
    <w:rsid w:val="00BD6E50"/>
    <w:rsid w:val="00BD72AC"/>
    <w:rsid w:val="00BD76D5"/>
    <w:rsid w:val="00BD7DEB"/>
    <w:rsid w:val="00BD7F35"/>
    <w:rsid w:val="00BE0132"/>
    <w:rsid w:val="00BE0C0F"/>
    <w:rsid w:val="00BE0D31"/>
    <w:rsid w:val="00BE180D"/>
    <w:rsid w:val="00BE1AC3"/>
    <w:rsid w:val="00BE209F"/>
    <w:rsid w:val="00BE2684"/>
    <w:rsid w:val="00BE29BF"/>
    <w:rsid w:val="00BE2E15"/>
    <w:rsid w:val="00BE4414"/>
    <w:rsid w:val="00BE4767"/>
    <w:rsid w:val="00BE47BF"/>
    <w:rsid w:val="00BE4D2C"/>
    <w:rsid w:val="00BE5064"/>
    <w:rsid w:val="00BE520D"/>
    <w:rsid w:val="00BE5374"/>
    <w:rsid w:val="00BE57D0"/>
    <w:rsid w:val="00BE5A64"/>
    <w:rsid w:val="00BE5D23"/>
    <w:rsid w:val="00BE627A"/>
    <w:rsid w:val="00BE6828"/>
    <w:rsid w:val="00BE6CE8"/>
    <w:rsid w:val="00BE6DA7"/>
    <w:rsid w:val="00BE7144"/>
    <w:rsid w:val="00BE751C"/>
    <w:rsid w:val="00BE7823"/>
    <w:rsid w:val="00BE7F2A"/>
    <w:rsid w:val="00BF09A2"/>
    <w:rsid w:val="00BF1596"/>
    <w:rsid w:val="00BF2205"/>
    <w:rsid w:val="00BF2367"/>
    <w:rsid w:val="00BF2AE9"/>
    <w:rsid w:val="00BF3DF0"/>
    <w:rsid w:val="00BF4981"/>
    <w:rsid w:val="00BF4B7A"/>
    <w:rsid w:val="00BF4D64"/>
    <w:rsid w:val="00BF5F31"/>
    <w:rsid w:val="00BF6405"/>
    <w:rsid w:val="00BF6B33"/>
    <w:rsid w:val="00BF6E8F"/>
    <w:rsid w:val="00BF7300"/>
    <w:rsid w:val="00BF7AC1"/>
    <w:rsid w:val="00BF7C54"/>
    <w:rsid w:val="00C00470"/>
    <w:rsid w:val="00C006C5"/>
    <w:rsid w:val="00C00B4B"/>
    <w:rsid w:val="00C0111E"/>
    <w:rsid w:val="00C011D3"/>
    <w:rsid w:val="00C013AC"/>
    <w:rsid w:val="00C01D5F"/>
    <w:rsid w:val="00C026FF"/>
    <w:rsid w:val="00C0340F"/>
    <w:rsid w:val="00C0345A"/>
    <w:rsid w:val="00C03511"/>
    <w:rsid w:val="00C0378D"/>
    <w:rsid w:val="00C037EB"/>
    <w:rsid w:val="00C03B7A"/>
    <w:rsid w:val="00C03D48"/>
    <w:rsid w:val="00C04BF9"/>
    <w:rsid w:val="00C04C3A"/>
    <w:rsid w:val="00C05532"/>
    <w:rsid w:val="00C05700"/>
    <w:rsid w:val="00C05C2D"/>
    <w:rsid w:val="00C05DD8"/>
    <w:rsid w:val="00C05F9A"/>
    <w:rsid w:val="00C0625C"/>
    <w:rsid w:val="00C071AF"/>
    <w:rsid w:val="00C07399"/>
    <w:rsid w:val="00C074CD"/>
    <w:rsid w:val="00C07ECA"/>
    <w:rsid w:val="00C107C3"/>
    <w:rsid w:val="00C10837"/>
    <w:rsid w:val="00C1095A"/>
    <w:rsid w:val="00C109D3"/>
    <w:rsid w:val="00C10EC7"/>
    <w:rsid w:val="00C11106"/>
    <w:rsid w:val="00C11253"/>
    <w:rsid w:val="00C11472"/>
    <w:rsid w:val="00C115DE"/>
    <w:rsid w:val="00C11844"/>
    <w:rsid w:val="00C11A31"/>
    <w:rsid w:val="00C13520"/>
    <w:rsid w:val="00C136D8"/>
    <w:rsid w:val="00C13E3B"/>
    <w:rsid w:val="00C14C82"/>
    <w:rsid w:val="00C14F9B"/>
    <w:rsid w:val="00C14FAB"/>
    <w:rsid w:val="00C152BF"/>
    <w:rsid w:val="00C15A0E"/>
    <w:rsid w:val="00C15F42"/>
    <w:rsid w:val="00C1610B"/>
    <w:rsid w:val="00C1611D"/>
    <w:rsid w:val="00C16814"/>
    <w:rsid w:val="00C16A76"/>
    <w:rsid w:val="00C16C9A"/>
    <w:rsid w:val="00C16D62"/>
    <w:rsid w:val="00C16EE5"/>
    <w:rsid w:val="00C175E4"/>
    <w:rsid w:val="00C20A9A"/>
    <w:rsid w:val="00C20F8A"/>
    <w:rsid w:val="00C21C39"/>
    <w:rsid w:val="00C21E60"/>
    <w:rsid w:val="00C22B0D"/>
    <w:rsid w:val="00C23101"/>
    <w:rsid w:val="00C232E0"/>
    <w:rsid w:val="00C235E7"/>
    <w:rsid w:val="00C23A5D"/>
    <w:rsid w:val="00C23F99"/>
    <w:rsid w:val="00C240AF"/>
    <w:rsid w:val="00C2455E"/>
    <w:rsid w:val="00C24659"/>
    <w:rsid w:val="00C24B5E"/>
    <w:rsid w:val="00C2534F"/>
    <w:rsid w:val="00C255D8"/>
    <w:rsid w:val="00C25C04"/>
    <w:rsid w:val="00C26336"/>
    <w:rsid w:val="00C26809"/>
    <w:rsid w:val="00C26B65"/>
    <w:rsid w:val="00C26DCD"/>
    <w:rsid w:val="00C26E23"/>
    <w:rsid w:val="00C26FEF"/>
    <w:rsid w:val="00C271B3"/>
    <w:rsid w:val="00C27390"/>
    <w:rsid w:val="00C30002"/>
    <w:rsid w:val="00C30058"/>
    <w:rsid w:val="00C30B54"/>
    <w:rsid w:val="00C30BCD"/>
    <w:rsid w:val="00C3161F"/>
    <w:rsid w:val="00C317A2"/>
    <w:rsid w:val="00C32115"/>
    <w:rsid w:val="00C3273D"/>
    <w:rsid w:val="00C32A30"/>
    <w:rsid w:val="00C32E8C"/>
    <w:rsid w:val="00C33F29"/>
    <w:rsid w:val="00C34038"/>
    <w:rsid w:val="00C343D6"/>
    <w:rsid w:val="00C343FC"/>
    <w:rsid w:val="00C3571D"/>
    <w:rsid w:val="00C35A8D"/>
    <w:rsid w:val="00C36077"/>
    <w:rsid w:val="00C3609B"/>
    <w:rsid w:val="00C36223"/>
    <w:rsid w:val="00C36305"/>
    <w:rsid w:val="00C363E0"/>
    <w:rsid w:val="00C36465"/>
    <w:rsid w:val="00C3651F"/>
    <w:rsid w:val="00C36633"/>
    <w:rsid w:val="00C36E9D"/>
    <w:rsid w:val="00C374AF"/>
    <w:rsid w:val="00C378A0"/>
    <w:rsid w:val="00C37AAE"/>
    <w:rsid w:val="00C37C15"/>
    <w:rsid w:val="00C37C86"/>
    <w:rsid w:val="00C40248"/>
    <w:rsid w:val="00C40323"/>
    <w:rsid w:val="00C403A0"/>
    <w:rsid w:val="00C408B7"/>
    <w:rsid w:val="00C40EC7"/>
    <w:rsid w:val="00C412B1"/>
    <w:rsid w:val="00C41D54"/>
    <w:rsid w:val="00C41E06"/>
    <w:rsid w:val="00C41E8E"/>
    <w:rsid w:val="00C421A1"/>
    <w:rsid w:val="00C42AD7"/>
    <w:rsid w:val="00C42C05"/>
    <w:rsid w:val="00C43234"/>
    <w:rsid w:val="00C434CC"/>
    <w:rsid w:val="00C43714"/>
    <w:rsid w:val="00C4436C"/>
    <w:rsid w:val="00C45190"/>
    <w:rsid w:val="00C461B2"/>
    <w:rsid w:val="00C46726"/>
    <w:rsid w:val="00C46D04"/>
    <w:rsid w:val="00C47716"/>
    <w:rsid w:val="00C47B46"/>
    <w:rsid w:val="00C47C8E"/>
    <w:rsid w:val="00C504A3"/>
    <w:rsid w:val="00C50F71"/>
    <w:rsid w:val="00C51108"/>
    <w:rsid w:val="00C51BFC"/>
    <w:rsid w:val="00C522D6"/>
    <w:rsid w:val="00C529E7"/>
    <w:rsid w:val="00C52FD1"/>
    <w:rsid w:val="00C5359B"/>
    <w:rsid w:val="00C53922"/>
    <w:rsid w:val="00C53AF7"/>
    <w:rsid w:val="00C53CC3"/>
    <w:rsid w:val="00C53E2E"/>
    <w:rsid w:val="00C53FFD"/>
    <w:rsid w:val="00C5416D"/>
    <w:rsid w:val="00C549D4"/>
    <w:rsid w:val="00C54A85"/>
    <w:rsid w:val="00C54A99"/>
    <w:rsid w:val="00C54F41"/>
    <w:rsid w:val="00C554B5"/>
    <w:rsid w:val="00C55509"/>
    <w:rsid w:val="00C560CE"/>
    <w:rsid w:val="00C5678F"/>
    <w:rsid w:val="00C56EF2"/>
    <w:rsid w:val="00C570A6"/>
    <w:rsid w:val="00C579F3"/>
    <w:rsid w:val="00C57FD2"/>
    <w:rsid w:val="00C600B3"/>
    <w:rsid w:val="00C606E3"/>
    <w:rsid w:val="00C60C35"/>
    <w:rsid w:val="00C60DE1"/>
    <w:rsid w:val="00C61464"/>
    <w:rsid w:val="00C61A64"/>
    <w:rsid w:val="00C622EA"/>
    <w:rsid w:val="00C62C34"/>
    <w:rsid w:val="00C635CA"/>
    <w:rsid w:val="00C63E62"/>
    <w:rsid w:val="00C64405"/>
    <w:rsid w:val="00C64535"/>
    <w:rsid w:val="00C64A6A"/>
    <w:rsid w:val="00C64D0E"/>
    <w:rsid w:val="00C6503C"/>
    <w:rsid w:val="00C651A6"/>
    <w:rsid w:val="00C653AA"/>
    <w:rsid w:val="00C657F4"/>
    <w:rsid w:val="00C6617D"/>
    <w:rsid w:val="00C66504"/>
    <w:rsid w:val="00C66FEE"/>
    <w:rsid w:val="00C67ADE"/>
    <w:rsid w:val="00C67E8E"/>
    <w:rsid w:val="00C70058"/>
    <w:rsid w:val="00C70114"/>
    <w:rsid w:val="00C702D0"/>
    <w:rsid w:val="00C7040A"/>
    <w:rsid w:val="00C707D4"/>
    <w:rsid w:val="00C70B81"/>
    <w:rsid w:val="00C7143B"/>
    <w:rsid w:val="00C71531"/>
    <w:rsid w:val="00C71842"/>
    <w:rsid w:val="00C719BE"/>
    <w:rsid w:val="00C71AC4"/>
    <w:rsid w:val="00C72177"/>
    <w:rsid w:val="00C724F7"/>
    <w:rsid w:val="00C72A0B"/>
    <w:rsid w:val="00C72EC3"/>
    <w:rsid w:val="00C731A2"/>
    <w:rsid w:val="00C7366D"/>
    <w:rsid w:val="00C73AA4"/>
    <w:rsid w:val="00C7423C"/>
    <w:rsid w:val="00C74385"/>
    <w:rsid w:val="00C74B8C"/>
    <w:rsid w:val="00C74C1F"/>
    <w:rsid w:val="00C74D0A"/>
    <w:rsid w:val="00C74D44"/>
    <w:rsid w:val="00C74E66"/>
    <w:rsid w:val="00C750F0"/>
    <w:rsid w:val="00C7618B"/>
    <w:rsid w:val="00C764D2"/>
    <w:rsid w:val="00C7722D"/>
    <w:rsid w:val="00C802DD"/>
    <w:rsid w:val="00C8107E"/>
    <w:rsid w:val="00C81552"/>
    <w:rsid w:val="00C818E8"/>
    <w:rsid w:val="00C820CE"/>
    <w:rsid w:val="00C82339"/>
    <w:rsid w:val="00C8268F"/>
    <w:rsid w:val="00C82DF4"/>
    <w:rsid w:val="00C83535"/>
    <w:rsid w:val="00C83D84"/>
    <w:rsid w:val="00C842EA"/>
    <w:rsid w:val="00C845F5"/>
    <w:rsid w:val="00C84AD7"/>
    <w:rsid w:val="00C8529B"/>
    <w:rsid w:val="00C85518"/>
    <w:rsid w:val="00C86272"/>
    <w:rsid w:val="00C86842"/>
    <w:rsid w:val="00C870AF"/>
    <w:rsid w:val="00C871F3"/>
    <w:rsid w:val="00C87436"/>
    <w:rsid w:val="00C87B74"/>
    <w:rsid w:val="00C87EEA"/>
    <w:rsid w:val="00C9021C"/>
    <w:rsid w:val="00C90A33"/>
    <w:rsid w:val="00C90BD2"/>
    <w:rsid w:val="00C91651"/>
    <w:rsid w:val="00C917A4"/>
    <w:rsid w:val="00C91828"/>
    <w:rsid w:val="00C91CFF"/>
    <w:rsid w:val="00C922A2"/>
    <w:rsid w:val="00C923D7"/>
    <w:rsid w:val="00C9244E"/>
    <w:rsid w:val="00C92635"/>
    <w:rsid w:val="00C92A10"/>
    <w:rsid w:val="00C92B2E"/>
    <w:rsid w:val="00C92C9F"/>
    <w:rsid w:val="00C932DC"/>
    <w:rsid w:val="00C93DDD"/>
    <w:rsid w:val="00C93ED4"/>
    <w:rsid w:val="00C949CC"/>
    <w:rsid w:val="00C95179"/>
    <w:rsid w:val="00C95263"/>
    <w:rsid w:val="00C96523"/>
    <w:rsid w:val="00C96553"/>
    <w:rsid w:val="00C96719"/>
    <w:rsid w:val="00C96730"/>
    <w:rsid w:val="00C9691F"/>
    <w:rsid w:val="00C972D8"/>
    <w:rsid w:val="00C97677"/>
    <w:rsid w:val="00C97CEE"/>
    <w:rsid w:val="00CA00CB"/>
    <w:rsid w:val="00CA16AF"/>
    <w:rsid w:val="00CA16D9"/>
    <w:rsid w:val="00CA1B6D"/>
    <w:rsid w:val="00CA1DC6"/>
    <w:rsid w:val="00CA26EA"/>
    <w:rsid w:val="00CA2913"/>
    <w:rsid w:val="00CA2D64"/>
    <w:rsid w:val="00CA2FB2"/>
    <w:rsid w:val="00CA34E7"/>
    <w:rsid w:val="00CA368F"/>
    <w:rsid w:val="00CA3895"/>
    <w:rsid w:val="00CA3D3A"/>
    <w:rsid w:val="00CA418A"/>
    <w:rsid w:val="00CA4192"/>
    <w:rsid w:val="00CA42D6"/>
    <w:rsid w:val="00CA4962"/>
    <w:rsid w:val="00CA4ACB"/>
    <w:rsid w:val="00CA4DC8"/>
    <w:rsid w:val="00CA528A"/>
    <w:rsid w:val="00CA5530"/>
    <w:rsid w:val="00CA599A"/>
    <w:rsid w:val="00CA5ED6"/>
    <w:rsid w:val="00CA6B69"/>
    <w:rsid w:val="00CA76EA"/>
    <w:rsid w:val="00CA7796"/>
    <w:rsid w:val="00CB055C"/>
    <w:rsid w:val="00CB0FD2"/>
    <w:rsid w:val="00CB15E9"/>
    <w:rsid w:val="00CB1B4B"/>
    <w:rsid w:val="00CB1D8C"/>
    <w:rsid w:val="00CB26B1"/>
    <w:rsid w:val="00CB2BD5"/>
    <w:rsid w:val="00CB417D"/>
    <w:rsid w:val="00CB44D9"/>
    <w:rsid w:val="00CB498C"/>
    <w:rsid w:val="00CB4A92"/>
    <w:rsid w:val="00CB565B"/>
    <w:rsid w:val="00CB5689"/>
    <w:rsid w:val="00CB5C55"/>
    <w:rsid w:val="00CB60C9"/>
    <w:rsid w:val="00CB68F3"/>
    <w:rsid w:val="00CB6A0D"/>
    <w:rsid w:val="00CB7051"/>
    <w:rsid w:val="00CB7226"/>
    <w:rsid w:val="00CB7F08"/>
    <w:rsid w:val="00CC0551"/>
    <w:rsid w:val="00CC058D"/>
    <w:rsid w:val="00CC093A"/>
    <w:rsid w:val="00CC1D1A"/>
    <w:rsid w:val="00CC211A"/>
    <w:rsid w:val="00CC253B"/>
    <w:rsid w:val="00CC2549"/>
    <w:rsid w:val="00CC2737"/>
    <w:rsid w:val="00CC27A3"/>
    <w:rsid w:val="00CC28F3"/>
    <w:rsid w:val="00CC2A56"/>
    <w:rsid w:val="00CC32A5"/>
    <w:rsid w:val="00CC4404"/>
    <w:rsid w:val="00CC49C3"/>
    <w:rsid w:val="00CC4AB6"/>
    <w:rsid w:val="00CC4F1D"/>
    <w:rsid w:val="00CC4FA6"/>
    <w:rsid w:val="00CC588A"/>
    <w:rsid w:val="00CC5956"/>
    <w:rsid w:val="00CC6137"/>
    <w:rsid w:val="00CC6260"/>
    <w:rsid w:val="00CC6BC1"/>
    <w:rsid w:val="00CC7206"/>
    <w:rsid w:val="00CC7B84"/>
    <w:rsid w:val="00CD0190"/>
    <w:rsid w:val="00CD0398"/>
    <w:rsid w:val="00CD06DD"/>
    <w:rsid w:val="00CD0D6E"/>
    <w:rsid w:val="00CD1106"/>
    <w:rsid w:val="00CD112B"/>
    <w:rsid w:val="00CD1404"/>
    <w:rsid w:val="00CD196B"/>
    <w:rsid w:val="00CD1F59"/>
    <w:rsid w:val="00CD2874"/>
    <w:rsid w:val="00CD437C"/>
    <w:rsid w:val="00CD4A41"/>
    <w:rsid w:val="00CD579E"/>
    <w:rsid w:val="00CD5DC1"/>
    <w:rsid w:val="00CD656B"/>
    <w:rsid w:val="00CD6B43"/>
    <w:rsid w:val="00CD7862"/>
    <w:rsid w:val="00CD7AC4"/>
    <w:rsid w:val="00CE0621"/>
    <w:rsid w:val="00CE1679"/>
    <w:rsid w:val="00CE1899"/>
    <w:rsid w:val="00CE194B"/>
    <w:rsid w:val="00CE28E3"/>
    <w:rsid w:val="00CE33FE"/>
    <w:rsid w:val="00CE438C"/>
    <w:rsid w:val="00CE440A"/>
    <w:rsid w:val="00CE491C"/>
    <w:rsid w:val="00CE4A62"/>
    <w:rsid w:val="00CE4A7D"/>
    <w:rsid w:val="00CE4CDC"/>
    <w:rsid w:val="00CE5404"/>
    <w:rsid w:val="00CE597D"/>
    <w:rsid w:val="00CE65A6"/>
    <w:rsid w:val="00CE682F"/>
    <w:rsid w:val="00CE6BAE"/>
    <w:rsid w:val="00CE7338"/>
    <w:rsid w:val="00CE7570"/>
    <w:rsid w:val="00CE7854"/>
    <w:rsid w:val="00CE7F92"/>
    <w:rsid w:val="00CF0357"/>
    <w:rsid w:val="00CF06CD"/>
    <w:rsid w:val="00CF0B4D"/>
    <w:rsid w:val="00CF0BBD"/>
    <w:rsid w:val="00CF1359"/>
    <w:rsid w:val="00CF1804"/>
    <w:rsid w:val="00CF1A2D"/>
    <w:rsid w:val="00CF1C41"/>
    <w:rsid w:val="00CF22D2"/>
    <w:rsid w:val="00CF2328"/>
    <w:rsid w:val="00CF2508"/>
    <w:rsid w:val="00CF2913"/>
    <w:rsid w:val="00CF2BF7"/>
    <w:rsid w:val="00CF2D2A"/>
    <w:rsid w:val="00CF2F47"/>
    <w:rsid w:val="00CF3059"/>
    <w:rsid w:val="00CF3516"/>
    <w:rsid w:val="00CF3636"/>
    <w:rsid w:val="00CF3BE7"/>
    <w:rsid w:val="00CF3E9F"/>
    <w:rsid w:val="00CF4121"/>
    <w:rsid w:val="00CF439F"/>
    <w:rsid w:val="00CF44A8"/>
    <w:rsid w:val="00CF4D3D"/>
    <w:rsid w:val="00CF5533"/>
    <w:rsid w:val="00CF615B"/>
    <w:rsid w:val="00CF67C0"/>
    <w:rsid w:val="00CF6FB7"/>
    <w:rsid w:val="00CF7120"/>
    <w:rsid w:val="00CF724C"/>
    <w:rsid w:val="00CF7282"/>
    <w:rsid w:val="00CF7689"/>
    <w:rsid w:val="00CF7B49"/>
    <w:rsid w:val="00CF7FD2"/>
    <w:rsid w:val="00D001B4"/>
    <w:rsid w:val="00D003B7"/>
    <w:rsid w:val="00D00E36"/>
    <w:rsid w:val="00D00E98"/>
    <w:rsid w:val="00D01693"/>
    <w:rsid w:val="00D01FC5"/>
    <w:rsid w:val="00D0202D"/>
    <w:rsid w:val="00D02106"/>
    <w:rsid w:val="00D02260"/>
    <w:rsid w:val="00D025C1"/>
    <w:rsid w:val="00D02CDC"/>
    <w:rsid w:val="00D02D9F"/>
    <w:rsid w:val="00D02DE1"/>
    <w:rsid w:val="00D02F4F"/>
    <w:rsid w:val="00D035C7"/>
    <w:rsid w:val="00D03747"/>
    <w:rsid w:val="00D04425"/>
    <w:rsid w:val="00D04CB3"/>
    <w:rsid w:val="00D0511E"/>
    <w:rsid w:val="00D0594A"/>
    <w:rsid w:val="00D0595A"/>
    <w:rsid w:val="00D05EBA"/>
    <w:rsid w:val="00D065E7"/>
    <w:rsid w:val="00D06835"/>
    <w:rsid w:val="00D06BBC"/>
    <w:rsid w:val="00D07032"/>
    <w:rsid w:val="00D104DE"/>
    <w:rsid w:val="00D1082E"/>
    <w:rsid w:val="00D1158C"/>
    <w:rsid w:val="00D11668"/>
    <w:rsid w:val="00D11759"/>
    <w:rsid w:val="00D11F10"/>
    <w:rsid w:val="00D12470"/>
    <w:rsid w:val="00D1286A"/>
    <w:rsid w:val="00D13159"/>
    <w:rsid w:val="00D13417"/>
    <w:rsid w:val="00D145EE"/>
    <w:rsid w:val="00D14A6C"/>
    <w:rsid w:val="00D14E59"/>
    <w:rsid w:val="00D14E6B"/>
    <w:rsid w:val="00D15009"/>
    <w:rsid w:val="00D16E7D"/>
    <w:rsid w:val="00D170A8"/>
    <w:rsid w:val="00D17CD0"/>
    <w:rsid w:val="00D17F39"/>
    <w:rsid w:val="00D20031"/>
    <w:rsid w:val="00D213DF"/>
    <w:rsid w:val="00D21972"/>
    <w:rsid w:val="00D226E0"/>
    <w:rsid w:val="00D23463"/>
    <w:rsid w:val="00D23683"/>
    <w:rsid w:val="00D2370C"/>
    <w:rsid w:val="00D24404"/>
    <w:rsid w:val="00D24B45"/>
    <w:rsid w:val="00D24DD3"/>
    <w:rsid w:val="00D2500F"/>
    <w:rsid w:val="00D25C0C"/>
    <w:rsid w:val="00D2667D"/>
    <w:rsid w:val="00D26D01"/>
    <w:rsid w:val="00D27626"/>
    <w:rsid w:val="00D30230"/>
    <w:rsid w:val="00D30304"/>
    <w:rsid w:val="00D310BE"/>
    <w:rsid w:val="00D313B3"/>
    <w:rsid w:val="00D3154A"/>
    <w:rsid w:val="00D318EC"/>
    <w:rsid w:val="00D32070"/>
    <w:rsid w:val="00D3250E"/>
    <w:rsid w:val="00D3252B"/>
    <w:rsid w:val="00D326CF"/>
    <w:rsid w:val="00D3292B"/>
    <w:rsid w:val="00D32CFC"/>
    <w:rsid w:val="00D33F02"/>
    <w:rsid w:val="00D341DE"/>
    <w:rsid w:val="00D34821"/>
    <w:rsid w:val="00D35802"/>
    <w:rsid w:val="00D358F7"/>
    <w:rsid w:val="00D35CD1"/>
    <w:rsid w:val="00D36376"/>
    <w:rsid w:val="00D365D0"/>
    <w:rsid w:val="00D3665D"/>
    <w:rsid w:val="00D36A39"/>
    <w:rsid w:val="00D36DB5"/>
    <w:rsid w:val="00D36DB8"/>
    <w:rsid w:val="00D36E67"/>
    <w:rsid w:val="00D376DD"/>
    <w:rsid w:val="00D37AD4"/>
    <w:rsid w:val="00D37D87"/>
    <w:rsid w:val="00D37EF5"/>
    <w:rsid w:val="00D404F4"/>
    <w:rsid w:val="00D40951"/>
    <w:rsid w:val="00D419C9"/>
    <w:rsid w:val="00D41AAD"/>
    <w:rsid w:val="00D42373"/>
    <w:rsid w:val="00D428B9"/>
    <w:rsid w:val="00D42B2A"/>
    <w:rsid w:val="00D42DAA"/>
    <w:rsid w:val="00D43246"/>
    <w:rsid w:val="00D439EF"/>
    <w:rsid w:val="00D43C50"/>
    <w:rsid w:val="00D43FC9"/>
    <w:rsid w:val="00D44010"/>
    <w:rsid w:val="00D44496"/>
    <w:rsid w:val="00D44921"/>
    <w:rsid w:val="00D45701"/>
    <w:rsid w:val="00D45750"/>
    <w:rsid w:val="00D457EA"/>
    <w:rsid w:val="00D45C42"/>
    <w:rsid w:val="00D467EF"/>
    <w:rsid w:val="00D47172"/>
    <w:rsid w:val="00D477AC"/>
    <w:rsid w:val="00D51251"/>
    <w:rsid w:val="00D51CF8"/>
    <w:rsid w:val="00D52975"/>
    <w:rsid w:val="00D52E54"/>
    <w:rsid w:val="00D52FF5"/>
    <w:rsid w:val="00D531D6"/>
    <w:rsid w:val="00D54994"/>
    <w:rsid w:val="00D54B93"/>
    <w:rsid w:val="00D55289"/>
    <w:rsid w:val="00D55F2C"/>
    <w:rsid w:val="00D562AB"/>
    <w:rsid w:val="00D5640E"/>
    <w:rsid w:val="00D56658"/>
    <w:rsid w:val="00D56DFA"/>
    <w:rsid w:val="00D57E09"/>
    <w:rsid w:val="00D605B2"/>
    <w:rsid w:val="00D605DB"/>
    <w:rsid w:val="00D60B4E"/>
    <w:rsid w:val="00D60E22"/>
    <w:rsid w:val="00D60F10"/>
    <w:rsid w:val="00D61302"/>
    <w:rsid w:val="00D625CC"/>
    <w:rsid w:val="00D62ACD"/>
    <w:rsid w:val="00D62F4D"/>
    <w:rsid w:val="00D633F0"/>
    <w:rsid w:val="00D63863"/>
    <w:rsid w:val="00D63946"/>
    <w:rsid w:val="00D63E00"/>
    <w:rsid w:val="00D646F5"/>
    <w:rsid w:val="00D64906"/>
    <w:rsid w:val="00D64ED1"/>
    <w:rsid w:val="00D652B3"/>
    <w:rsid w:val="00D652D9"/>
    <w:rsid w:val="00D65788"/>
    <w:rsid w:val="00D657DF"/>
    <w:rsid w:val="00D6589E"/>
    <w:rsid w:val="00D66BEE"/>
    <w:rsid w:val="00D66DB2"/>
    <w:rsid w:val="00D6737F"/>
    <w:rsid w:val="00D679D2"/>
    <w:rsid w:val="00D70638"/>
    <w:rsid w:val="00D70C67"/>
    <w:rsid w:val="00D70DDA"/>
    <w:rsid w:val="00D715F6"/>
    <w:rsid w:val="00D72728"/>
    <w:rsid w:val="00D72880"/>
    <w:rsid w:val="00D72AAC"/>
    <w:rsid w:val="00D72D89"/>
    <w:rsid w:val="00D73558"/>
    <w:rsid w:val="00D73AD9"/>
    <w:rsid w:val="00D7434B"/>
    <w:rsid w:val="00D7562B"/>
    <w:rsid w:val="00D75C20"/>
    <w:rsid w:val="00D76009"/>
    <w:rsid w:val="00D76517"/>
    <w:rsid w:val="00D76BE8"/>
    <w:rsid w:val="00D77089"/>
    <w:rsid w:val="00D77342"/>
    <w:rsid w:val="00D77B20"/>
    <w:rsid w:val="00D80242"/>
    <w:rsid w:val="00D80757"/>
    <w:rsid w:val="00D8082D"/>
    <w:rsid w:val="00D809C7"/>
    <w:rsid w:val="00D80B39"/>
    <w:rsid w:val="00D80C29"/>
    <w:rsid w:val="00D80CA8"/>
    <w:rsid w:val="00D81453"/>
    <w:rsid w:val="00D81CA2"/>
    <w:rsid w:val="00D81DCC"/>
    <w:rsid w:val="00D820F1"/>
    <w:rsid w:val="00D8316D"/>
    <w:rsid w:val="00D831CC"/>
    <w:rsid w:val="00D835AB"/>
    <w:rsid w:val="00D8393B"/>
    <w:rsid w:val="00D83A40"/>
    <w:rsid w:val="00D83B51"/>
    <w:rsid w:val="00D83D73"/>
    <w:rsid w:val="00D83F3C"/>
    <w:rsid w:val="00D84323"/>
    <w:rsid w:val="00D846F5"/>
    <w:rsid w:val="00D848BF"/>
    <w:rsid w:val="00D84BD2"/>
    <w:rsid w:val="00D84C24"/>
    <w:rsid w:val="00D84C5B"/>
    <w:rsid w:val="00D84ECA"/>
    <w:rsid w:val="00D8525E"/>
    <w:rsid w:val="00D85788"/>
    <w:rsid w:val="00D86A4B"/>
    <w:rsid w:val="00D871B5"/>
    <w:rsid w:val="00D87752"/>
    <w:rsid w:val="00D90333"/>
    <w:rsid w:val="00D9036D"/>
    <w:rsid w:val="00D9041B"/>
    <w:rsid w:val="00D90DBB"/>
    <w:rsid w:val="00D9141D"/>
    <w:rsid w:val="00D91919"/>
    <w:rsid w:val="00D91AEA"/>
    <w:rsid w:val="00D923C7"/>
    <w:rsid w:val="00D92D16"/>
    <w:rsid w:val="00D92F21"/>
    <w:rsid w:val="00D9381D"/>
    <w:rsid w:val="00D940B5"/>
    <w:rsid w:val="00D9441E"/>
    <w:rsid w:val="00D946C9"/>
    <w:rsid w:val="00D9489B"/>
    <w:rsid w:val="00D94AD9"/>
    <w:rsid w:val="00D94CF2"/>
    <w:rsid w:val="00D94CF3"/>
    <w:rsid w:val="00D95BF8"/>
    <w:rsid w:val="00D963DD"/>
    <w:rsid w:val="00D967A8"/>
    <w:rsid w:val="00D96DE9"/>
    <w:rsid w:val="00D97855"/>
    <w:rsid w:val="00D97AAE"/>
    <w:rsid w:val="00D97F36"/>
    <w:rsid w:val="00DA0310"/>
    <w:rsid w:val="00DA058E"/>
    <w:rsid w:val="00DA0EC7"/>
    <w:rsid w:val="00DA1AC9"/>
    <w:rsid w:val="00DA241C"/>
    <w:rsid w:val="00DA2450"/>
    <w:rsid w:val="00DA26BE"/>
    <w:rsid w:val="00DA28B0"/>
    <w:rsid w:val="00DA4343"/>
    <w:rsid w:val="00DA4798"/>
    <w:rsid w:val="00DA512C"/>
    <w:rsid w:val="00DA5243"/>
    <w:rsid w:val="00DA5429"/>
    <w:rsid w:val="00DA593B"/>
    <w:rsid w:val="00DA5D66"/>
    <w:rsid w:val="00DA6765"/>
    <w:rsid w:val="00DA7291"/>
    <w:rsid w:val="00DA7319"/>
    <w:rsid w:val="00DA7772"/>
    <w:rsid w:val="00DA79F4"/>
    <w:rsid w:val="00DB003C"/>
    <w:rsid w:val="00DB1429"/>
    <w:rsid w:val="00DB1786"/>
    <w:rsid w:val="00DB1E91"/>
    <w:rsid w:val="00DB25D2"/>
    <w:rsid w:val="00DB2F86"/>
    <w:rsid w:val="00DB30A7"/>
    <w:rsid w:val="00DB3EA6"/>
    <w:rsid w:val="00DB4410"/>
    <w:rsid w:val="00DB444D"/>
    <w:rsid w:val="00DB4C01"/>
    <w:rsid w:val="00DB5117"/>
    <w:rsid w:val="00DB5125"/>
    <w:rsid w:val="00DB53DE"/>
    <w:rsid w:val="00DB5898"/>
    <w:rsid w:val="00DB6031"/>
    <w:rsid w:val="00DB6140"/>
    <w:rsid w:val="00DB6158"/>
    <w:rsid w:val="00DB6243"/>
    <w:rsid w:val="00DB64E4"/>
    <w:rsid w:val="00DB664A"/>
    <w:rsid w:val="00DB6F17"/>
    <w:rsid w:val="00DB7463"/>
    <w:rsid w:val="00DB7921"/>
    <w:rsid w:val="00DB7AF8"/>
    <w:rsid w:val="00DB7E8E"/>
    <w:rsid w:val="00DC0125"/>
    <w:rsid w:val="00DC047E"/>
    <w:rsid w:val="00DC0506"/>
    <w:rsid w:val="00DC072B"/>
    <w:rsid w:val="00DC0C9C"/>
    <w:rsid w:val="00DC14AF"/>
    <w:rsid w:val="00DC1720"/>
    <w:rsid w:val="00DC182D"/>
    <w:rsid w:val="00DC194F"/>
    <w:rsid w:val="00DC1ACC"/>
    <w:rsid w:val="00DC2049"/>
    <w:rsid w:val="00DC242E"/>
    <w:rsid w:val="00DC2874"/>
    <w:rsid w:val="00DC3633"/>
    <w:rsid w:val="00DC407D"/>
    <w:rsid w:val="00DC4108"/>
    <w:rsid w:val="00DC4628"/>
    <w:rsid w:val="00DC4EC7"/>
    <w:rsid w:val="00DC4F64"/>
    <w:rsid w:val="00DC50C5"/>
    <w:rsid w:val="00DC5824"/>
    <w:rsid w:val="00DC617E"/>
    <w:rsid w:val="00DC64A7"/>
    <w:rsid w:val="00DC67CA"/>
    <w:rsid w:val="00DC740D"/>
    <w:rsid w:val="00DC785C"/>
    <w:rsid w:val="00DC7B0A"/>
    <w:rsid w:val="00DC7E2E"/>
    <w:rsid w:val="00DD0953"/>
    <w:rsid w:val="00DD1667"/>
    <w:rsid w:val="00DD1A95"/>
    <w:rsid w:val="00DD1C64"/>
    <w:rsid w:val="00DD24F1"/>
    <w:rsid w:val="00DD2ABF"/>
    <w:rsid w:val="00DD2C4B"/>
    <w:rsid w:val="00DD2C81"/>
    <w:rsid w:val="00DD2F22"/>
    <w:rsid w:val="00DD4301"/>
    <w:rsid w:val="00DD437F"/>
    <w:rsid w:val="00DD5582"/>
    <w:rsid w:val="00DD563E"/>
    <w:rsid w:val="00DD655F"/>
    <w:rsid w:val="00DD6C60"/>
    <w:rsid w:val="00DD749D"/>
    <w:rsid w:val="00DD75AB"/>
    <w:rsid w:val="00DD7A01"/>
    <w:rsid w:val="00DD7E96"/>
    <w:rsid w:val="00DE02E1"/>
    <w:rsid w:val="00DE1896"/>
    <w:rsid w:val="00DE1A40"/>
    <w:rsid w:val="00DE2496"/>
    <w:rsid w:val="00DE266D"/>
    <w:rsid w:val="00DE2A53"/>
    <w:rsid w:val="00DE34AA"/>
    <w:rsid w:val="00DE35FC"/>
    <w:rsid w:val="00DE3AC7"/>
    <w:rsid w:val="00DE3B61"/>
    <w:rsid w:val="00DE3C76"/>
    <w:rsid w:val="00DE4382"/>
    <w:rsid w:val="00DE57C6"/>
    <w:rsid w:val="00DE5A90"/>
    <w:rsid w:val="00DE5EB5"/>
    <w:rsid w:val="00DE7084"/>
    <w:rsid w:val="00DE7099"/>
    <w:rsid w:val="00DE786F"/>
    <w:rsid w:val="00DE7F14"/>
    <w:rsid w:val="00DF020D"/>
    <w:rsid w:val="00DF059F"/>
    <w:rsid w:val="00DF06D6"/>
    <w:rsid w:val="00DF0FAA"/>
    <w:rsid w:val="00DF15C5"/>
    <w:rsid w:val="00DF18E4"/>
    <w:rsid w:val="00DF18E6"/>
    <w:rsid w:val="00DF23F8"/>
    <w:rsid w:val="00DF341B"/>
    <w:rsid w:val="00DF39E9"/>
    <w:rsid w:val="00DF3A51"/>
    <w:rsid w:val="00DF3D0E"/>
    <w:rsid w:val="00DF3E72"/>
    <w:rsid w:val="00DF3FE1"/>
    <w:rsid w:val="00DF431B"/>
    <w:rsid w:val="00DF51A9"/>
    <w:rsid w:val="00DF5770"/>
    <w:rsid w:val="00DF639B"/>
    <w:rsid w:val="00DF67E7"/>
    <w:rsid w:val="00DF74D9"/>
    <w:rsid w:val="00DF7B2A"/>
    <w:rsid w:val="00DF7F0A"/>
    <w:rsid w:val="00E00042"/>
    <w:rsid w:val="00E0052A"/>
    <w:rsid w:val="00E017F2"/>
    <w:rsid w:val="00E0285B"/>
    <w:rsid w:val="00E02A86"/>
    <w:rsid w:val="00E02F28"/>
    <w:rsid w:val="00E0360B"/>
    <w:rsid w:val="00E03A96"/>
    <w:rsid w:val="00E03B4C"/>
    <w:rsid w:val="00E05B2D"/>
    <w:rsid w:val="00E05D1A"/>
    <w:rsid w:val="00E05D56"/>
    <w:rsid w:val="00E0602D"/>
    <w:rsid w:val="00E0607C"/>
    <w:rsid w:val="00E06851"/>
    <w:rsid w:val="00E0690F"/>
    <w:rsid w:val="00E06A1E"/>
    <w:rsid w:val="00E06F5C"/>
    <w:rsid w:val="00E070C2"/>
    <w:rsid w:val="00E07702"/>
    <w:rsid w:val="00E07952"/>
    <w:rsid w:val="00E079B8"/>
    <w:rsid w:val="00E07D78"/>
    <w:rsid w:val="00E105A9"/>
    <w:rsid w:val="00E10A59"/>
    <w:rsid w:val="00E10C75"/>
    <w:rsid w:val="00E1146A"/>
    <w:rsid w:val="00E11873"/>
    <w:rsid w:val="00E1222B"/>
    <w:rsid w:val="00E128D3"/>
    <w:rsid w:val="00E13031"/>
    <w:rsid w:val="00E132C8"/>
    <w:rsid w:val="00E13AAD"/>
    <w:rsid w:val="00E15056"/>
    <w:rsid w:val="00E153E0"/>
    <w:rsid w:val="00E1554A"/>
    <w:rsid w:val="00E15748"/>
    <w:rsid w:val="00E15AC7"/>
    <w:rsid w:val="00E15DB1"/>
    <w:rsid w:val="00E1607B"/>
    <w:rsid w:val="00E166E3"/>
    <w:rsid w:val="00E16A1D"/>
    <w:rsid w:val="00E16DB5"/>
    <w:rsid w:val="00E16DE4"/>
    <w:rsid w:val="00E174C8"/>
    <w:rsid w:val="00E17552"/>
    <w:rsid w:val="00E17D64"/>
    <w:rsid w:val="00E2029F"/>
    <w:rsid w:val="00E20DDE"/>
    <w:rsid w:val="00E21674"/>
    <w:rsid w:val="00E217C1"/>
    <w:rsid w:val="00E21B03"/>
    <w:rsid w:val="00E22070"/>
    <w:rsid w:val="00E22445"/>
    <w:rsid w:val="00E22E0F"/>
    <w:rsid w:val="00E2360D"/>
    <w:rsid w:val="00E23AAB"/>
    <w:rsid w:val="00E23EDB"/>
    <w:rsid w:val="00E24B57"/>
    <w:rsid w:val="00E25085"/>
    <w:rsid w:val="00E254F9"/>
    <w:rsid w:val="00E25C7E"/>
    <w:rsid w:val="00E260A3"/>
    <w:rsid w:val="00E266C9"/>
    <w:rsid w:val="00E267F4"/>
    <w:rsid w:val="00E26897"/>
    <w:rsid w:val="00E26942"/>
    <w:rsid w:val="00E26A14"/>
    <w:rsid w:val="00E26D15"/>
    <w:rsid w:val="00E26DCA"/>
    <w:rsid w:val="00E2732D"/>
    <w:rsid w:val="00E27A69"/>
    <w:rsid w:val="00E27DDB"/>
    <w:rsid w:val="00E2AC27"/>
    <w:rsid w:val="00E30AF1"/>
    <w:rsid w:val="00E316C6"/>
    <w:rsid w:val="00E31702"/>
    <w:rsid w:val="00E31770"/>
    <w:rsid w:val="00E31B75"/>
    <w:rsid w:val="00E31FF4"/>
    <w:rsid w:val="00E3242E"/>
    <w:rsid w:val="00E32D91"/>
    <w:rsid w:val="00E330C9"/>
    <w:rsid w:val="00E3330E"/>
    <w:rsid w:val="00E3351F"/>
    <w:rsid w:val="00E33992"/>
    <w:rsid w:val="00E3400B"/>
    <w:rsid w:val="00E343CF"/>
    <w:rsid w:val="00E34B1C"/>
    <w:rsid w:val="00E34BD0"/>
    <w:rsid w:val="00E34FA2"/>
    <w:rsid w:val="00E35299"/>
    <w:rsid w:val="00E35860"/>
    <w:rsid w:val="00E36108"/>
    <w:rsid w:val="00E373E4"/>
    <w:rsid w:val="00E3773D"/>
    <w:rsid w:val="00E37E5B"/>
    <w:rsid w:val="00E40061"/>
    <w:rsid w:val="00E40374"/>
    <w:rsid w:val="00E40562"/>
    <w:rsid w:val="00E40A94"/>
    <w:rsid w:val="00E40B37"/>
    <w:rsid w:val="00E40B5B"/>
    <w:rsid w:val="00E40DAE"/>
    <w:rsid w:val="00E40F62"/>
    <w:rsid w:val="00E4139F"/>
    <w:rsid w:val="00E416B0"/>
    <w:rsid w:val="00E41B5D"/>
    <w:rsid w:val="00E41BE4"/>
    <w:rsid w:val="00E4209C"/>
    <w:rsid w:val="00E43249"/>
    <w:rsid w:val="00E432BE"/>
    <w:rsid w:val="00E434CD"/>
    <w:rsid w:val="00E43535"/>
    <w:rsid w:val="00E435C0"/>
    <w:rsid w:val="00E436A2"/>
    <w:rsid w:val="00E439E7"/>
    <w:rsid w:val="00E44713"/>
    <w:rsid w:val="00E453E5"/>
    <w:rsid w:val="00E458D8"/>
    <w:rsid w:val="00E46B13"/>
    <w:rsid w:val="00E4707F"/>
    <w:rsid w:val="00E47FA3"/>
    <w:rsid w:val="00E5034F"/>
    <w:rsid w:val="00E50887"/>
    <w:rsid w:val="00E51575"/>
    <w:rsid w:val="00E5182E"/>
    <w:rsid w:val="00E518A7"/>
    <w:rsid w:val="00E5228E"/>
    <w:rsid w:val="00E529F5"/>
    <w:rsid w:val="00E52C7D"/>
    <w:rsid w:val="00E52E99"/>
    <w:rsid w:val="00E52F28"/>
    <w:rsid w:val="00E53049"/>
    <w:rsid w:val="00E53101"/>
    <w:rsid w:val="00E532C1"/>
    <w:rsid w:val="00E5344F"/>
    <w:rsid w:val="00E5356B"/>
    <w:rsid w:val="00E535A9"/>
    <w:rsid w:val="00E53AD0"/>
    <w:rsid w:val="00E53E00"/>
    <w:rsid w:val="00E54221"/>
    <w:rsid w:val="00E5471D"/>
    <w:rsid w:val="00E54772"/>
    <w:rsid w:val="00E561EC"/>
    <w:rsid w:val="00E5650A"/>
    <w:rsid w:val="00E567D1"/>
    <w:rsid w:val="00E568A4"/>
    <w:rsid w:val="00E569FA"/>
    <w:rsid w:val="00E56E64"/>
    <w:rsid w:val="00E57111"/>
    <w:rsid w:val="00E57179"/>
    <w:rsid w:val="00E574EC"/>
    <w:rsid w:val="00E57EF9"/>
    <w:rsid w:val="00E57F9C"/>
    <w:rsid w:val="00E6090E"/>
    <w:rsid w:val="00E6134B"/>
    <w:rsid w:val="00E615F9"/>
    <w:rsid w:val="00E618B5"/>
    <w:rsid w:val="00E6193C"/>
    <w:rsid w:val="00E61946"/>
    <w:rsid w:val="00E61FF1"/>
    <w:rsid w:val="00E62699"/>
    <w:rsid w:val="00E62888"/>
    <w:rsid w:val="00E62BC2"/>
    <w:rsid w:val="00E63010"/>
    <w:rsid w:val="00E63DAA"/>
    <w:rsid w:val="00E63E1A"/>
    <w:rsid w:val="00E640B8"/>
    <w:rsid w:val="00E64514"/>
    <w:rsid w:val="00E64880"/>
    <w:rsid w:val="00E64F07"/>
    <w:rsid w:val="00E65B7F"/>
    <w:rsid w:val="00E65CCB"/>
    <w:rsid w:val="00E6676A"/>
    <w:rsid w:val="00E668FD"/>
    <w:rsid w:val="00E66DA2"/>
    <w:rsid w:val="00E675B2"/>
    <w:rsid w:val="00E7012E"/>
    <w:rsid w:val="00E717C3"/>
    <w:rsid w:val="00E719E9"/>
    <w:rsid w:val="00E720C3"/>
    <w:rsid w:val="00E7221D"/>
    <w:rsid w:val="00E73B31"/>
    <w:rsid w:val="00E73B4B"/>
    <w:rsid w:val="00E73F28"/>
    <w:rsid w:val="00E74550"/>
    <w:rsid w:val="00E74B0B"/>
    <w:rsid w:val="00E74C05"/>
    <w:rsid w:val="00E74FB9"/>
    <w:rsid w:val="00E7615F"/>
    <w:rsid w:val="00E76217"/>
    <w:rsid w:val="00E7621B"/>
    <w:rsid w:val="00E76AE0"/>
    <w:rsid w:val="00E76E93"/>
    <w:rsid w:val="00E772C5"/>
    <w:rsid w:val="00E774DD"/>
    <w:rsid w:val="00E77789"/>
    <w:rsid w:val="00E80681"/>
    <w:rsid w:val="00E81A87"/>
    <w:rsid w:val="00E81B48"/>
    <w:rsid w:val="00E81CA4"/>
    <w:rsid w:val="00E81CFC"/>
    <w:rsid w:val="00E82148"/>
    <w:rsid w:val="00E83948"/>
    <w:rsid w:val="00E83CF9"/>
    <w:rsid w:val="00E8419D"/>
    <w:rsid w:val="00E84C78"/>
    <w:rsid w:val="00E85146"/>
    <w:rsid w:val="00E85186"/>
    <w:rsid w:val="00E859FA"/>
    <w:rsid w:val="00E86B8B"/>
    <w:rsid w:val="00E875E4"/>
    <w:rsid w:val="00E87D83"/>
    <w:rsid w:val="00E87DDE"/>
    <w:rsid w:val="00E90871"/>
    <w:rsid w:val="00E90C6A"/>
    <w:rsid w:val="00E9176C"/>
    <w:rsid w:val="00E918F6"/>
    <w:rsid w:val="00E91BA2"/>
    <w:rsid w:val="00E92086"/>
    <w:rsid w:val="00E92732"/>
    <w:rsid w:val="00E927A3"/>
    <w:rsid w:val="00E9281E"/>
    <w:rsid w:val="00E928E3"/>
    <w:rsid w:val="00E92974"/>
    <w:rsid w:val="00E92F98"/>
    <w:rsid w:val="00E9331D"/>
    <w:rsid w:val="00E93826"/>
    <w:rsid w:val="00E93C37"/>
    <w:rsid w:val="00E94B9E"/>
    <w:rsid w:val="00E95322"/>
    <w:rsid w:val="00E9539F"/>
    <w:rsid w:val="00E9543B"/>
    <w:rsid w:val="00E95490"/>
    <w:rsid w:val="00E95944"/>
    <w:rsid w:val="00E95D2E"/>
    <w:rsid w:val="00E9684E"/>
    <w:rsid w:val="00E968C1"/>
    <w:rsid w:val="00E971F6"/>
    <w:rsid w:val="00EA0B2E"/>
    <w:rsid w:val="00EA0CDA"/>
    <w:rsid w:val="00EA0E54"/>
    <w:rsid w:val="00EA1177"/>
    <w:rsid w:val="00EA1336"/>
    <w:rsid w:val="00EA1769"/>
    <w:rsid w:val="00EA24CA"/>
    <w:rsid w:val="00EA2A35"/>
    <w:rsid w:val="00EA2BBC"/>
    <w:rsid w:val="00EA308B"/>
    <w:rsid w:val="00EA3671"/>
    <w:rsid w:val="00EA3BA5"/>
    <w:rsid w:val="00EA5235"/>
    <w:rsid w:val="00EA5DE3"/>
    <w:rsid w:val="00EA6935"/>
    <w:rsid w:val="00EA69B7"/>
    <w:rsid w:val="00EA6BAB"/>
    <w:rsid w:val="00EA7D70"/>
    <w:rsid w:val="00EB03B7"/>
    <w:rsid w:val="00EB0DCA"/>
    <w:rsid w:val="00EB0DEA"/>
    <w:rsid w:val="00EB1C0A"/>
    <w:rsid w:val="00EB1F63"/>
    <w:rsid w:val="00EB20CD"/>
    <w:rsid w:val="00EB27BC"/>
    <w:rsid w:val="00EB2BC8"/>
    <w:rsid w:val="00EB2C19"/>
    <w:rsid w:val="00EB2F29"/>
    <w:rsid w:val="00EB3496"/>
    <w:rsid w:val="00EB3B6E"/>
    <w:rsid w:val="00EB48D4"/>
    <w:rsid w:val="00EB4ED1"/>
    <w:rsid w:val="00EB517D"/>
    <w:rsid w:val="00EB5D3D"/>
    <w:rsid w:val="00EB6121"/>
    <w:rsid w:val="00EB6A32"/>
    <w:rsid w:val="00EB77F8"/>
    <w:rsid w:val="00EC02E1"/>
    <w:rsid w:val="00EC02E3"/>
    <w:rsid w:val="00EC1721"/>
    <w:rsid w:val="00EC1D2F"/>
    <w:rsid w:val="00EC1E95"/>
    <w:rsid w:val="00EC2081"/>
    <w:rsid w:val="00EC26AB"/>
    <w:rsid w:val="00EC3037"/>
    <w:rsid w:val="00EC33A0"/>
    <w:rsid w:val="00EC369B"/>
    <w:rsid w:val="00EC3BC1"/>
    <w:rsid w:val="00EC47E7"/>
    <w:rsid w:val="00EC4836"/>
    <w:rsid w:val="00EC4E47"/>
    <w:rsid w:val="00EC5088"/>
    <w:rsid w:val="00EC5310"/>
    <w:rsid w:val="00EC53C1"/>
    <w:rsid w:val="00EC55F7"/>
    <w:rsid w:val="00EC5B58"/>
    <w:rsid w:val="00EC5EC2"/>
    <w:rsid w:val="00EC6011"/>
    <w:rsid w:val="00EC614D"/>
    <w:rsid w:val="00EC67EC"/>
    <w:rsid w:val="00EC7461"/>
    <w:rsid w:val="00EC7E2D"/>
    <w:rsid w:val="00ED091B"/>
    <w:rsid w:val="00ED13CF"/>
    <w:rsid w:val="00ED19C2"/>
    <w:rsid w:val="00ED200C"/>
    <w:rsid w:val="00ED25E9"/>
    <w:rsid w:val="00ED28AC"/>
    <w:rsid w:val="00ED2A00"/>
    <w:rsid w:val="00ED2B89"/>
    <w:rsid w:val="00ED309C"/>
    <w:rsid w:val="00ED37C8"/>
    <w:rsid w:val="00ED38E7"/>
    <w:rsid w:val="00ED4780"/>
    <w:rsid w:val="00ED5E38"/>
    <w:rsid w:val="00ED602F"/>
    <w:rsid w:val="00ED6F28"/>
    <w:rsid w:val="00ED7A74"/>
    <w:rsid w:val="00ED7F18"/>
    <w:rsid w:val="00EE0ADA"/>
    <w:rsid w:val="00EE10CE"/>
    <w:rsid w:val="00EE12A6"/>
    <w:rsid w:val="00EE2EDC"/>
    <w:rsid w:val="00EE30A0"/>
    <w:rsid w:val="00EE34C6"/>
    <w:rsid w:val="00EE3F49"/>
    <w:rsid w:val="00EE4382"/>
    <w:rsid w:val="00EE4490"/>
    <w:rsid w:val="00EE4EEF"/>
    <w:rsid w:val="00EE4F15"/>
    <w:rsid w:val="00EE4FE4"/>
    <w:rsid w:val="00EE5C1E"/>
    <w:rsid w:val="00EE62AB"/>
    <w:rsid w:val="00EE6832"/>
    <w:rsid w:val="00EE6985"/>
    <w:rsid w:val="00EE69C8"/>
    <w:rsid w:val="00EF02A5"/>
    <w:rsid w:val="00EF0336"/>
    <w:rsid w:val="00EF0B66"/>
    <w:rsid w:val="00EF0E82"/>
    <w:rsid w:val="00EF1755"/>
    <w:rsid w:val="00EF2676"/>
    <w:rsid w:val="00EF29D2"/>
    <w:rsid w:val="00EF3066"/>
    <w:rsid w:val="00EF394C"/>
    <w:rsid w:val="00EF3B59"/>
    <w:rsid w:val="00EF3D58"/>
    <w:rsid w:val="00EF4812"/>
    <w:rsid w:val="00EF486F"/>
    <w:rsid w:val="00EF4B01"/>
    <w:rsid w:val="00EF4B33"/>
    <w:rsid w:val="00EF4BD9"/>
    <w:rsid w:val="00EF4E10"/>
    <w:rsid w:val="00EF5CF4"/>
    <w:rsid w:val="00EF5FE3"/>
    <w:rsid w:val="00EF6652"/>
    <w:rsid w:val="00EF6924"/>
    <w:rsid w:val="00EF7063"/>
    <w:rsid w:val="00EF7084"/>
    <w:rsid w:val="00EF73EB"/>
    <w:rsid w:val="00EF7AFF"/>
    <w:rsid w:val="00EF7BB0"/>
    <w:rsid w:val="00EF7E1E"/>
    <w:rsid w:val="00F0067B"/>
    <w:rsid w:val="00F00879"/>
    <w:rsid w:val="00F00910"/>
    <w:rsid w:val="00F0093F"/>
    <w:rsid w:val="00F00C6A"/>
    <w:rsid w:val="00F01025"/>
    <w:rsid w:val="00F0164A"/>
    <w:rsid w:val="00F01968"/>
    <w:rsid w:val="00F02384"/>
    <w:rsid w:val="00F02748"/>
    <w:rsid w:val="00F02F80"/>
    <w:rsid w:val="00F03524"/>
    <w:rsid w:val="00F03AB2"/>
    <w:rsid w:val="00F03B39"/>
    <w:rsid w:val="00F04052"/>
    <w:rsid w:val="00F04444"/>
    <w:rsid w:val="00F04FED"/>
    <w:rsid w:val="00F0533E"/>
    <w:rsid w:val="00F056C4"/>
    <w:rsid w:val="00F05B7A"/>
    <w:rsid w:val="00F06673"/>
    <w:rsid w:val="00F06715"/>
    <w:rsid w:val="00F06961"/>
    <w:rsid w:val="00F06A1C"/>
    <w:rsid w:val="00F07A3A"/>
    <w:rsid w:val="00F07FCD"/>
    <w:rsid w:val="00F1066F"/>
    <w:rsid w:val="00F10769"/>
    <w:rsid w:val="00F11563"/>
    <w:rsid w:val="00F11853"/>
    <w:rsid w:val="00F11A7C"/>
    <w:rsid w:val="00F11A84"/>
    <w:rsid w:val="00F12593"/>
    <w:rsid w:val="00F12846"/>
    <w:rsid w:val="00F12AAA"/>
    <w:rsid w:val="00F13145"/>
    <w:rsid w:val="00F13367"/>
    <w:rsid w:val="00F13B51"/>
    <w:rsid w:val="00F1415F"/>
    <w:rsid w:val="00F14201"/>
    <w:rsid w:val="00F144DF"/>
    <w:rsid w:val="00F1508C"/>
    <w:rsid w:val="00F1525E"/>
    <w:rsid w:val="00F1559F"/>
    <w:rsid w:val="00F1578E"/>
    <w:rsid w:val="00F15B77"/>
    <w:rsid w:val="00F15DC1"/>
    <w:rsid w:val="00F15E3A"/>
    <w:rsid w:val="00F16408"/>
    <w:rsid w:val="00F16983"/>
    <w:rsid w:val="00F16B28"/>
    <w:rsid w:val="00F16C18"/>
    <w:rsid w:val="00F16CA5"/>
    <w:rsid w:val="00F2039D"/>
    <w:rsid w:val="00F20500"/>
    <w:rsid w:val="00F20763"/>
    <w:rsid w:val="00F20903"/>
    <w:rsid w:val="00F20D9C"/>
    <w:rsid w:val="00F21276"/>
    <w:rsid w:val="00F21B11"/>
    <w:rsid w:val="00F2215B"/>
    <w:rsid w:val="00F223B7"/>
    <w:rsid w:val="00F227C8"/>
    <w:rsid w:val="00F22C9B"/>
    <w:rsid w:val="00F230E3"/>
    <w:rsid w:val="00F237B9"/>
    <w:rsid w:val="00F23A48"/>
    <w:rsid w:val="00F23CB7"/>
    <w:rsid w:val="00F240D2"/>
    <w:rsid w:val="00F24428"/>
    <w:rsid w:val="00F246B2"/>
    <w:rsid w:val="00F24754"/>
    <w:rsid w:val="00F24D9B"/>
    <w:rsid w:val="00F257B5"/>
    <w:rsid w:val="00F265A6"/>
    <w:rsid w:val="00F26748"/>
    <w:rsid w:val="00F26824"/>
    <w:rsid w:val="00F27077"/>
    <w:rsid w:val="00F2720E"/>
    <w:rsid w:val="00F2746D"/>
    <w:rsid w:val="00F2764E"/>
    <w:rsid w:val="00F2776D"/>
    <w:rsid w:val="00F279DC"/>
    <w:rsid w:val="00F30A06"/>
    <w:rsid w:val="00F31BE5"/>
    <w:rsid w:val="00F31C0E"/>
    <w:rsid w:val="00F33104"/>
    <w:rsid w:val="00F33517"/>
    <w:rsid w:val="00F33E03"/>
    <w:rsid w:val="00F3446E"/>
    <w:rsid w:val="00F346E6"/>
    <w:rsid w:val="00F347E7"/>
    <w:rsid w:val="00F34968"/>
    <w:rsid w:val="00F34C32"/>
    <w:rsid w:val="00F34CD7"/>
    <w:rsid w:val="00F36F3E"/>
    <w:rsid w:val="00F37064"/>
    <w:rsid w:val="00F37AFE"/>
    <w:rsid w:val="00F37BD1"/>
    <w:rsid w:val="00F40410"/>
    <w:rsid w:val="00F40864"/>
    <w:rsid w:val="00F40FD6"/>
    <w:rsid w:val="00F4190C"/>
    <w:rsid w:val="00F41B67"/>
    <w:rsid w:val="00F41FC6"/>
    <w:rsid w:val="00F4212B"/>
    <w:rsid w:val="00F42770"/>
    <w:rsid w:val="00F42823"/>
    <w:rsid w:val="00F4421B"/>
    <w:rsid w:val="00F44895"/>
    <w:rsid w:val="00F44A68"/>
    <w:rsid w:val="00F44ADE"/>
    <w:rsid w:val="00F45998"/>
    <w:rsid w:val="00F46244"/>
    <w:rsid w:val="00F46FC1"/>
    <w:rsid w:val="00F46FF8"/>
    <w:rsid w:val="00F470BA"/>
    <w:rsid w:val="00F472BB"/>
    <w:rsid w:val="00F47823"/>
    <w:rsid w:val="00F478E4"/>
    <w:rsid w:val="00F5028E"/>
    <w:rsid w:val="00F50585"/>
    <w:rsid w:val="00F50A4B"/>
    <w:rsid w:val="00F50BDD"/>
    <w:rsid w:val="00F51184"/>
    <w:rsid w:val="00F512A7"/>
    <w:rsid w:val="00F516E3"/>
    <w:rsid w:val="00F520E1"/>
    <w:rsid w:val="00F543FE"/>
    <w:rsid w:val="00F546FA"/>
    <w:rsid w:val="00F54755"/>
    <w:rsid w:val="00F54832"/>
    <w:rsid w:val="00F55817"/>
    <w:rsid w:val="00F559B6"/>
    <w:rsid w:val="00F55A0E"/>
    <w:rsid w:val="00F55A17"/>
    <w:rsid w:val="00F56519"/>
    <w:rsid w:val="00F56AF9"/>
    <w:rsid w:val="00F57885"/>
    <w:rsid w:val="00F57D80"/>
    <w:rsid w:val="00F605FF"/>
    <w:rsid w:val="00F618A0"/>
    <w:rsid w:val="00F61C87"/>
    <w:rsid w:val="00F61DA2"/>
    <w:rsid w:val="00F62303"/>
    <w:rsid w:val="00F625AD"/>
    <w:rsid w:val="00F63040"/>
    <w:rsid w:val="00F63B97"/>
    <w:rsid w:val="00F641D7"/>
    <w:rsid w:val="00F6464E"/>
    <w:rsid w:val="00F64D66"/>
    <w:rsid w:val="00F656F0"/>
    <w:rsid w:val="00F65964"/>
    <w:rsid w:val="00F66144"/>
    <w:rsid w:val="00F66419"/>
    <w:rsid w:val="00F66A6C"/>
    <w:rsid w:val="00F66FE2"/>
    <w:rsid w:val="00F6713F"/>
    <w:rsid w:val="00F67869"/>
    <w:rsid w:val="00F70390"/>
    <w:rsid w:val="00F70839"/>
    <w:rsid w:val="00F70960"/>
    <w:rsid w:val="00F718CA"/>
    <w:rsid w:val="00F71ECE"/>
    <w:rsid w:val="00F72306"/>
    <w:rsid w:val="00F723F4"/>
    <w:rsid w:val="00F72494"/>
    <w:rsid w:val="00F7337A"/>
    <w:rsid w:val="00F740DC"/>
    <w:rsid w:val="00F74B51"/>
    <w:rsid w:val="00F750F8"/>
    <w:rsid w:val="00F75B3E"/>
    <w:rsid w:val="00F75D08"/>
    <w:rsid w:val="00F75E9B"/>
    <w:rsid w:val="00F77159"/>
    <w:rsid w:val="00F773C8"/>
    <w:rsid w:val="00F77FBF"/>
    <w:rsid w:val="00F8123A"/>
    <w:rsid w:val="00F812D0"/>
    <w:rsid w:val="00F81362"/>
    <w:rsid w:val="00F81939"/>
    <w:rsid w:val="00F81BC3"/>
    <w:rsid w:val="00F821E2"/>
    <w:rsid w:val="00F824DB"/>
    <w:rsid w:val="00F826DE"/>
    <w:rsid w:val="00F826E2"/>
    <w:rsid w:val="00F826F3"/>
    <w:rsid w:val="00F82C6C"/>
    <w:rsid w:val="00F82CA2"/>
    <w:rsid w:val="00F82F1E"/>
    <w:rsid w:val="00F831CC"/>
    <w:rsid w:val="00F83547"/>
    <w:rsid w:val="00F8382D"/>
    <w:rsid w:val="00F838A0"/>
    <w:rsid w:val="00F853EF"/>
    <w:rsid w:val="00F854EE"/>
    <w:rsid w:val="00F85BF7"/>
    <w:rsid w:val="00F85D20"/>
    <w:rsid w:val="00F8667F"/>
    <w:rsid w:val="00F86925"/>
    <w:rsid w:val="00F86C30"/>
    <w:rsid w:val="00F87071"/>
    <w:rsid w:val="00F87AC0"/>
    <w:rsid w:val="00F87AF1"/>
    <w:rsid w:val="00F87BFE"/>
    <w:rsid w:val="00F87C5A"/>
    <w:rsid w:val="00F902EB"/>
    <w:rsid w:val="00F9041B"/>
    <w:rsid w:val="00F90C1B"/>
    <w:rsid w:val="00F91353"/>
    <w:rsid w:val="00F91467"/>
    <w:rsid w:val="00F91616"/>
    <w:rsid w:val="00F91C6D"/>
    <w:rsid w:val="00F92146"/>
    <w:rsid w:val="00F924BD"/>
    <w:rsid w:val="00F933ED"/>
    <w:rsid w:val="00F93459"/>
    <w:rsid w:val="00F934E2"/>
    <w:rsid w:val="00F94583"/>
    <w:rsid w:val="00F94DCF"/>
    <w:rsid w:val="00F9523C"/>
    <w:rsid w:val="00F9684A"/>
    <w:rsid w:val="00F9706F"/>
    <w:rsid w:val="00F974C7"/>
    <w:rsid w:val="00F9790B"/>
    <w:rsid w:val="00FA000B"/>
    <w:rsid w:val="00FA0825"/>
    <w:rsid w:val="00FA08AD"/>
    <w:rsid w:val="00FA0C54"/>
    <w:rsid w:val="00FA1444"/>
    <w:rsid w:val="00FA161E"/>
    <w:rsid w:val="00FA187F"/>
    <w:rsid w:val="00FA22E9"/>
    <w:rsid w:val="00FA2992"/>
    <w:rsid w:val="00FA29AF"/>
    <w:rsid w:val="00FA2EA7"/>
    <w:rsid w:val="00FA2F27"/>
    <w:rsid w:val="00FA36CD"/>
    <w:rsid w:val="00FA3A21"/>
    <w:rsid w:val="00FA3CE0"/>
    <w:rsid w:val="00FA4054"/>
    <w:rsid w:val="00FA40E9"/>
    <w:rsid w:val="00FA4150"/>
    <w:rsid w:val="00FA4FF0"/>
    <w:rsid w:val="00FA55D5"/>
    <w:rsid w:val="00FA5766"/>
    <w:rsid w:val="00FA5D59"/>
    <w:rsid w:val="00FA6E95"/>
    <w:rsid w:val="00FA6F63"/>
    <w:rsid w:val="00FA77D7"/>
    <w:rsid w:val="00FA7938"/>
    <w:rsid w:val="00FA7D7D"/>
    <w:rsid w:val="00FA7DF9"/>
    <w:rsid w:val="00FA7E5B"/>
    <w:rsid w:val="00FA7ED0"/>
    <w:rsid w:val="00FB0699"/>
    <w:rsid w:val="00FB1310"/>
    <w:rsid w:val="00FB13A0"/>
    <w:rsid w:val="00FB13D2"/>
    <w:rsid w:val="00FB2917"/>
    <w:rsid w:val="00FB2DB9"/>
    <w:rsid w:val="00FB317F"/>
    <w:rsid w:val="00FB31B5"/>
    <w:rsid w:val="00FB37A2"/>
    <w:rsid w:val="00FB3A90"/>
    <w:rsid w:val="00FB5CD3"/>
    <w:rsid w:val="00FB60F8"/>
    <w:rsid w:val="00FB6188"/>
    <w:rsid w:val="00FB620D"/>
    <w:rsid w:val="00FB659A"/>
    <w:rsid w:val="00FB6F67"/>
    <w:rsid w:val="00FB7105"/>
    <w:rsid w:val="00FB72DD"/>
    <w:rsid w:val="00FB7F1F"/>
    <w:rsid w:val="00FC03F0"/>
    <w:rsid w:val="00FC07F2"/>
    <w:rsid w:val="00FC0AD7"/>
    <w:rsid w:val="00FC10DE"/>
    <w:rsid w:val="00FC2C8B"/>
    <w:rsid w:val="00FC2D5F"/>
    <w:rsid w:val="00FC38E7"/>
    <w:rsid w:val="00FC39F8"/>
    <w:rsid w:val="00FC44D7"/>
    <w:rsid w:val="00FC48B6"/>
    <w:rsid w:val="00FC493C"/>
    <w:rsid w:val="00FC4E0B"/>
    <w:rsid w:val="00FC509E"/>
    <w:rsid w:val="00FC5558"/>
    <w:rsid w:val="00FC5603"/>
    <w:rsid w:val="00FC5DAA"/>
    <w:rsid w:val="00FC63FC"/>
    <w:rsid w:val="00FC69E9"/>
    <w:rsid w:val="00FC6C39"/>
    <w:rsid w:val="00FC70C4"/>
    <w:rsid w:val="00FC718C"/>
    <w:rsid w:val="00FD0851"/>
    <w:rsid w:val="00FD0A8C"/>
    <w:rsid w:val="00FD0B28"/>
    <w:rsid w:val="00FD12DF"/>
    <w:rsid w:val="00FD17BA"/>
    <w:rsid w:val="00FD212C"/>
    <w:rsid w:val="00FD216D"/>
    <w:rsid w:val="00FD21E0"/>
    <w:rsid w:val="00FD2C9D"/>
    <w:rsid w:val="00FD2F74"/>
    <w:rsid w:val="00FD330F"/>
    <w:rsid w:val="00FD373D"/>
    <w:rsid w:val="00FD3AA2"/>
    <w:rsid w:val="00FD3B94"/>
    <w:rsid w:val="00FD40DD"/>
    <w:rsid w:val="00FD43B3"/>
    <w:rsid w:val="00FD4888"/>
    <w:rsid w:val="00FD5100"/>
    <w:rsid w:val="00FD5974"/>
    <w:rsid w:val="00FD6295"/>
    <w:rsid w:val="00FD6590"/>
    <w:rsid w:val="00FD6ED7"/>
    <w:rsid w:val="00FD70D7"/>
    <w:rsid w:val="00FD77E2"/>
    <w:rsid w:val="00FE002C"/>
    <w:rsid w:val="00FE04B7"/>
    <w:rsid w:val="00FE1118"/>
    <w:rsid w:val="00FE1546"/>
    <w:rsid w:val="00FE1AB2"/>
    <w:rsid w:val="00FE1D9A"/>
    <w:rsid w:val="00FE2309"/>
    <w:rsid w:val="00FE236A"/>
    <w:rsid w:val="00FE28C3"/>
    <w:rsid w:val="00FE2B0D"/>
    <w:rsid w:val="00FE3753"/>
    <w:rsid w:val="00FE40E5"/>
    <w:rsid w:val="00FE4739"/>
    <w:rsid w:val="00FE473E"/>
    <w:rsid w:val="00FE4A1A"/>
    <w:rsid w:val="00FE4DB2"/>
    <w:rsid w:val="00FE4E27"/>
    <w:rsid w:val="00FE55DF"/>
    <w:rsid w:val="00FE59BA"/>
    <w:rsid w:val="00FE64C5"/>
    <w:rsid w:val="00FE681D"/>
    <w:rsid w:val="00FE6ED3"/>
    <w:rsid w:val="00FE6F4D"/>
    <w:rsid w:val="00FE702C"/>
    <w:rsid w:val="00FE73E3"/>
    <w:rsid w:val="00FE74DF"/>
    <w:rsid w:val="00FF07E5"/>
    <w:rsid w:val="00FF0DBD"/>
    <w:rsid w:val="00FF1644"/>
    <w:rsid w:val="00FF178E"/>
    <w:rsid w:val="00FF1D0A"/>
    <w:rsid w:val="00FF2100"/>
    <w:rsid w:val="00FF24DA"/>
    <w:rsid w:val="00FF2732"/>
    <w:rsid w:val="00FF2EB3"/>
    <w:rsid w:val="00FF3132"/>
    <w:rsid w:val="00FF3367"/>
    <w:rsid w:val="00FF3603"/>
    <w:rsid w:val="00FF3A07"/>
    <w:rsid w:val="00FF3AF2"/>
    <w:rsid w:val="00FF3FEA"/>
    <w:rsid w:val="00FF4330"/>
    <w:rsid w:val="00FF4BFD"/>
    <w:rsid w:val="00FF4C68"/>
    <w:rsid w:val="00FF5332"/>
    <w:rsid w:val="00FF539C"/>
    <w:rsid w:val="00FF5CAE"/>
    <w:rsid w:val="00FF6212"/>
    <w:rsid w:val="00FF62A1"/>
    <w:rsid w:val="00FF7048"/>
    <w:rsid w:val="00FF77B2"/>
    <w:rsid w:val="00FF7C5D"/>
    <w:rsid w:val="012A171A"/>
    <w:rsid w:val="0165F4DD"/>
    <w:rsid w:val="01817D22"/>
    <w:rsid w:val="01944EC1"/>
    <w:rsid w:val="01E5DB05"/>
    <w:rsid w:val="0237A8CC"/>
    <w:rsid w:val="023FD981"/>
    <w:rsid w:val="02967F88"/>
    <w:rsid w:val="02AE1C04"/>
    <w:rsid w:val="02B53259"/>
    <w:rsid w:val="02F26FF2"/>
    <w:rsid w:val="02FDD3B0"/>
    <w:rsid w:val="0313CC38"/>
    <w:rsid w:val="03211C07"/>
    <w:rsid w:val="0326B4AF"/>
    <w:rsid w:val="03482D2F"/>
    <w:rsid w:val="034B366D"/>
    <w:rsid w:val="0357EAE5"/>
    <w:rsid w:val="0361F265"/>
    <w:rsid w:val="03C993C0"/>
    <w:rsid w:val="03D70754"/>
    <w:rsid w:val="03D78CC9"/>
    <w:rsid w:val="03E7ABC2"/>
    <w:rsid w:val="03FF8DDE"/>
    <w:rsid w:val="04113355"/>
    <w:rsid w:val="041DCB50"/>
    <w:rsid w:val="0424AF71"/>
    <w:rsid w:val="042FED0C"/>
    <w:rsid w:val="043AE470"/>
    <w:rsid w:val="044C9319"/>
    <w:rsid w:val="0479E1E0"/>
    <w:rsid w:val="048147E0"/>
    <w:rsid w:val="049667E7"/>
    <w:rsid w:val="04F54AE0"/>
    <w:rsid w:val="04FBCB75"/>
    <w:rsid w:val="053CDC2D"/>
    <w:rsid w:val="054E9EE2"/>
    <w:rsid w:val="0553A84C"/>
    <w:rsid w:val="056D771D"/>
    <w:rsid w:val="056D87B9"/>
    <w:rsid w:val="05A6190A"/>
    <w:rsid w:val="0615304C"/>
    <w:rsid w:val="061F5A82"/>
    <w:rsid w:val="062D8EB0"/>
    <w:rsid w:val="064F18A3"/>
    <w:rsid w:val="06518B01"/>
    <w:rsid w:val="06A6F55C"/>
    <w:rsid w:val="06E9BAB3"/>
    <w:rsid w:val="070C163F"/>
    <w:rsid w:val="0721A562"/>
    <w:rsid w:val="0749EB5D"/>
    <w:rsid w:val="07633131"/>
    <w:rsid w:val="079CEEE5"/>
    <w:rsid w:val="07FBA192"/>
    <w:rsid w:val="07FC878C"/>
    <w:rsid w:val="08236D00"/>
    <w:rsid w:val="082F1ABE"/>
    <w:rsid w:val="0835B577"/>
    <w:rsid w:val="08614600"/>
    <w:rsid w:val="086182A7"/>
    <w:rsid w:val="0869E7E9"/>
    <w:rsid w:val="087BDEBF"/>
    <w:rsid w:val="08DF263A"/>
    <w:rsid w:val="091D7B61"/>
    <w:rsid w:val="093227A7"/>
    <w:rsid w:val="09489DCC"/>
    <w:rsid w:val="096D2C04"/>
    <w:rsid w:val="097E232B"/>
    <w:rsid w:val="0981745C"/>
    <w:rsid w:val="09DEC0C0"/>
    <w:rsid w:val="09EE53EF"/>
    <w:rsid w:val="0A0021C6"/>
    <w:rsid w:val="0A019091"/>
    <w:rsid w:val="0A13C4B6"/>
    <w:rsid w:val="0A1CEEED"/>
    <w:rsid w:val="0A2BC1E5"/>
    <w:rsid w:val="0A3F2A69"/>
    <w:rsid w:val="0A46A793"/>
    <w:rsid w:val="0AB368EF"/>
    <w:rsid w:val="0ABE9C42"/>
    <w:rsid w:val="0ACA44E0"/>
    <w:rsid w:val="0AE9EA95"/>
    <w:rsid w:val="0AEDE021"/>
    <w:rsid w:val="0B027400"/>
    <w:rsid w:val="0B13ACE2"/>
    <w:rsid w:val="0B50E58B"/>
    <w:rsid w:val="0B629226"/>
    <w:rsid w:val="0B81770D"/>
    <w:rsid w:val="0BAE7D09"/>
    <w:rsid w:val="0BBBA65D"/>
    <w:rsid w:val="0BE57461"/>
    <w:rsid w:val="0C22BAE7"/>
    <w:rsid w:val="0C667BB9"/>
    <w:rsid w:val="0CC26036"/>
    <w:rsid w:val="0CFEA3BA"/>
    <w:rsid w:val="0D020388"/>
    <w:rsid w:val="0D9F73E4"/>
    <w:rsid w:val="0DB686C3"/>
    <w:rsid w:val="0DCD45D9"/>
    <w:rsid w:val="0DD0DE4C"/>
    <w:rsid w:val="0DF191AB"/>
    <w:rsid w:val="0DF7E218"/>
    <w:rsid w:val="0E384E22"/>
    <w:rsid w:val="0E51F70A"/>
    <w:rsid w:val="0EAF51AB"/>
    <w:rsid w:val="0EB18A81"/>
    <w:rsid w:val="0EC277B7"/>
    <w:rsid w:val="0EC98C68"/>
    <w:rsid w:val="0F270738"/>
    <w:rsid w:val="0F31A471"/>
    <w:rsid w:val="0F57CF22"/>
    <w:rsid w:val="0F884F1D"/>
    <w:rsid w:val="0F89867A"/>
    <w:rsid w:val="0FBAAA27"/>
    <w:rsid w:val="0FDD7B8D"/>
    <w:rsid w:val="0FE285B4"/>
    <w:rsid w:val="0FEA42CE"/>
    <w:rsid w:val="0FED51AD"/>
    <w:rsid w:val="1041171E"/>
    <w:rsid w:val="1052A269"/>
    <w:rsid w:val="105FF912"/>
    <w:rsid w:val="10940E2E"/>
    <w:rsid w:val="10D91A77"/>
    <w:rsid w:val="11497F34"/>
    <w:rsid w:val="114AF666"/>
    <w:rsid w:val="1168112A"/>
    <w:rsid w:val="1173498A"/>
    <w:rsid w:val="1188B4D8"/>
    <w:rsid w:val="118B0309"/>
    <w:rsid w:val="1192D3DA"/>
    <w:rsid w:val="11B0D5CD"/>
    <w:rsid w:val="11E9691A"/>
    <w:rsid w:val="11E9C141"/>
    <w:rsid w:val="11FBCA4C"/>
    <w:rsid w:val="11FC2616"/>
    <w:rsid w:val="12336DB3"/>
    <w:rsid w:val="12C5A67F"/>
    <w:rsid w:val="12D760B6"/>
    <w:rsid w:val="12D9A607"/>
    <w:rsid w:val="12DDB4B9"/>
    <w:rsid w:val="130F3952"/>
    <w:rsid w:val="132F154D"/>
    <w:rsid w:val="1333471C"/>
    <w:rsid w:val="133C087B"/>
    <w:rsid w:val="135E006E"/>
    <w:rsid w:val="13734A3B"/>
    <w:rsid w:val="13794B12"/>
    <w:rsid w:val="1381C9F5"/>
    <w:rsid w:val="13829262"/>
    <w:rsid w:val="13A9712E"/>
    <w:rsid w:val="13B8F91F"/>
    <w:rsid w:val="141E89DE"/>
    <w:rsid w:val="14564B90"/>
    <w:rsid w:val="14794A20"/>
    <w:rsid w:val="14A6641A"/>
    <w:rsid w:val="14B50C9A"/>
    <w:rsid w:val="14C029A5"/>
    <w:rsid w:val="14D0CA17"/>
    <w:rsid w:val="14DFCE03"/>
    <w:rsid w:val="14E57E34"/>
    <w:rsid w:val="14F0554A"/>
    <w:rsid w:val="15305FE9"/>
    <w:rsid w:val="15540224"/>
    <w:rsid w:val="15747794"/>
    <w:rsid w:val="1578FC35"/>
    <w:rsid w:val="1579DEE2"/>
    <w:rsid w:val="157AD463"/>
    <w:rsid w:val="158B076C"/>
    <w:rsid w:val="15ECD91A"/>
    <w:rsid w:val="1614CE62"/>
    <w:rsid w:val="1670EA02"/>
    <w:rsid w:val="16817E7A"/>
    <w:rsid w:val="16B85663"/>
    <w:rsid w:val="16E06E61"/>
    <w:rsid w:val="170F9017"/>
    <w:rsid w:val="1736F6A8"/>
    <w:rsid w:val="174E5EA1"/>
    <w:rsid w:val="176E9465"/>
    <w:rsid w:val="1775C81D"/>
    <w:rsid w:val="17A12905"/>
    <w:rsid w:val="17C630F4"/>
    <w:rsid w:val="18090F32"/>
    <w:rsid w:val="1833DF46"/>
    <w:rsid w:val="183C1098"/>
    <w:rsid w:val="1851015A"/>
    <w:rsid w:val="18667F7E"/>
    <w:rsid w:val="1874CFAD"/>
    <w:rsid w:val="188FBAFA"/>
    <w:rsid w:val="18B2B761"/>
    <w:rsid w:val="18E08F1A"/>
    <w:rsid w:val="18E0ECB9"/>
    <w:rsid w:val="18F48A65"/>
    <w:rsid w:val="19115BA9"/>
    <w:rsid w:val="194D8FB6"/>
    <w:rsid w:val="19AA0BD6"/>
    <w:rsid w:val="19AD33B9"/>
    <w:rsid w:val="19DF89F0"/>
    <w:rsid w:val="1A6E3407"/>
    <w:rsid w:val="1AC3EB2A"/>
    <w:rsid w:val="1AE02432"/>
    <w:rsid w:val="1B570E7A"/>
    <w:rsid w:val="1B67551F"/>
    <w:rsid w:val="1B902C52"/>
    <w:rsid w:val="1BAB991C"/>
    <w:rsid w:val="1BAD93F9"/>
    <w:rsid w:val="1BB2BF83"/>
    <w:rsid w:val="1BB79589"/>
    <w:rsid w:val="1BC06C27"/>
    <w:rsid w:val="1BFB1B9F"/>
    <w:rsid w:val="1C42E8F5"/>
    <w:rsid w:val="1C7372C4"/>
    <w:rsid w:val="1C8525F3"/>
    <w:rsid w:val="1CB73750"/>
    <w:rsid w:val="1D7371BB"/>
    <w:rsid w:val="1D760035"/>
    <w:rsid w:val="1D8CA19E"/>
    <w:rsid w:val="1DBF49DC"/>
    <w:rsid w:val="1DD187E9"/>
    <w:rsid w:val="1E11DFB8"/>
    <w:rsid w:val="1E4A275A"/>
    <w:rsid w:val="1E598DB8"/>
    <w:rsid w:val="1E914969"/>
    <w:rsid w:val="1EA6A598"/>
    <w:rsid w:val="1EF981D9"/>
    <w:rsid w:val="1F1C5DB9"/>
    <w:rsid w:val="1F42C897"/>
    <w:rsid w:val="1F445D38"/>
    <w:rsid w:val="1F485FAC"/>
    <w:rsid w:val="1F4972C7"/>
    <w:rsid w:val="1F4DFF13"/>
    <w:rsid w:val="1F53E8AE"/>
    <w:rsid w:val="1F570A62"/>
    <w:rsid w:val="1F7FFB3A"/>
    <w:rsid w:val="1F9E1197"/>
    <w:rsid w:val="1F9EBA6D"/>
    <w:rsid w:val="1FE9FB1A"/>
    <w:rsid w:val="1FF81093"/>
    <w:rsid w:val="205E4F79"/>
    <w:rsid w:val="209099AE"/>
    <w:rsid w:val="21BADA8B"/>
    <w:rsid w:val="21CF5D9F"/>
    <w:rsid w:val="21E3B50D"/>
    <w:rsid w:val="22313D31"/>
    <w:rsid w:val="227ABAF0"/>
    <w:rsid w:val="22CBA555"/>
    <w:rsid w:val="2311EEC7"/>
    <w:rsid w:val="2313B9B1"/>
    <w:rsid w:val="231CD1CE"/>
    <w:rsid w:val="2347FDB0"/>
    <w:rsid w:val="2352525E"/>
    <w:rsid w:val="2356B56F"/>
    <w:rsid w:val="235AFFD8"/>
    <w:rsid w:val="23935B12"/>
    <w:rsid w:val="23CE0457"/>
    <w:rsid w:val="23D40985"/>
    <w:rsid w:val="241FB54B"/>
    <w:rsid w:val="24263248"/>
    <w:rsid w:val="2434238C"/>
    <w:rsid w:val="2444A7F2"/>
    <w:rsid w:val="2457EA54"/>
    <w:rsid w:val="248FBC22"/>
    <w:rsid w:val="24C460AF"/>
    <w:rsid w:val="24C964DA"/>
    <w:rsid w:val="24D67402"/>
    <w:rsid w:val="24EBE43E"/>
    <w:rsid w:val="251BD936"/>
    <w:rsid w:val="252524A5"/>
    <w:rsid w:val="25261797"/>
    <w:rsid w:val="252F3E75"/>
    <w:rsid w:val="255659B1"/>
    <w:rsid w:val="255BDA5E"/>
    <w:rsid w:val="255F6C5D"/>
    <w:rsid w:val="25889B60"/>
    <w:rsid w:val="2597E2A3"/>
    <w:rsid w:val="25C7A69F"/>
    <w:rsid w:val="261129AE"/>
    <w:rsid w:val="2631ED99"/>
    <w:rsid w:val="26758FAD"/>
    <w:rsid w:val="26820197"/>
    <w:rsid w:val="2687300E"/>
    <w:rsid w:val="272238B5"/>
    <w:rsid w:val="2745F016"/>
    <w:rsid w:val="27504020"/>
    <w:rsid w:val="2772BC8F"/>
    <w:rsid w:val="277E5221"/>
    <w:rsid w:val="27B3B1EA"/>
    <w:rsid w:val="27C72C43"/>
    <w:rsid w:val="27D27513"/>
    <w:rsid w:val="2821E86D"/>
    <w:rsid w:val="282D8311"/>
    <w:rsid w:val="283433A1"/>
    <w:rsid w:val="2839D0E1"/>
    <w:rsid w:val="28513D9B"/>
    <w:rsid w:val="285C4473"/>
    <w:rsid w:val="288D5275"/>
    <w:rsid w:val="2896E429"/>
    <w:rsid w:val="289942B4"/>
    <w:rsid w:val="28AB5A5E"/>
    <w:rsid w:val="28B1CCE1"/>
    <w:rsid w:val="28C626F1"/>
    <w:rsid w:val="28F1C0F2"/>
    <w:rsid w:val="29029AE6"/>
    <w:rsid w:val="2908F2EB"/>
    <w:rsid w:val="291486F0"/>
    <w:rsid w:val="29296846"/>
    <w:rsid w:val="297664B2"/>
    <w:rsid w:val="2991E23A"/>
    <w:rsid w:val="299CCE53"/>
    <w:rsid w:val="29E521A4"/>
    <w:rsid w:val="2AA6F37D"/>
    <w:rsid w:val="2AB3F0AA"/>
    <w:rsid w:val="2AB506EE"/>
    <w:rsid w:val="2AB883A3"/>
    <w:rsid w:val="2AED88E7"/>
    <w:rsid w:val="2AF004B4"/>
    <w:rsid w:val="2B54B21C"/>
    <w:rsid w:val="2B801207"/>
    <w:rsid w:val="2B868B7B"/>
    <w:rsid w:val="2B8937E0"/>
    <w:rsid w:val="2B901CAA"/>
    <w:rsid w:val="2BA205FF"/>
    <w:rsid w:val="2BAD44C5"/>
    <w:rsid w:val="2BC58C33"/>
    <w:rsid w:val="2BC5E797"/>
    <w:rsid w:val="2BCDE218"/>
    <w:rsid w:val="2BDC4D37"/>
    <w:rsid w:val="2BEE9351"/>
    <w:rsid w:val="2C0E8780"/>
    <w:rsid w:val="2C34BD2A"/>
    <w:rsid w:val="2C7941D0"/>
    <w:rsid w:val="2C85B005"/>
    <w:rsid w:val="2C9ACEF8"/>
    <w:rsid w:val="2CCC7A1C"/>
    <w:rsid w:val="2CEAA02E"/>
    <w:rsid w:val="2CF4032C"/>
    <w:rsid w:val="2D057E9E"/>
    <w:rsid w:val="2D1A84AC"/>
    <w:rsid w:val="2D531363"/>
    <w:rsid w:val="2D68D558"/>
    <w:rsid w:val="2D6C368B"/>
    <w:rsid w:val="2D9DED57"/>
    <w:rsid w:val="2DB09A27"/>
    <w:rsid w:val="2DBAF026"/>
    <w:rsid w:val="2DEC9764"/>
    <w:rsid w:val="2DF4A238"/>
    <w:rsid w:val="2E56FB51"/>
    <w:rsid w:val="2E74B870"/>
    <w:rsid w:val="2ED64973"/>
    <w:rsid w:val="2F0B1BC5"/>
    <w:rsid w:val="2F1EB167"/>
    <w:rsid w:val="2F24C5C9"/>
    <w:rsid w:val="2F32D5A8"/>
    <w:rsid w:val="2F5B9C70"/>
    <w:rsid w:val="2F5BC98D"/>
    <w:rsid w:val="2F927762"/>
    <w:rsid w:val="2F9BC385"/>
    <w:rsid w:val="2FB13483"/>
    <w:rsid w:val="2FC3E4EB"/>
    <w:rsid w:val="2FDA4A78"/>
    <w:rsid w:val="2FED1A20"/>
    <w:rsid w:val="2FEFA740"/>
    <w:rsid w:val="2FFC79B5"/>
    <w:rsid w:val="2FFE723F"/>
    <w:rsid w:val="303586D6"/>
    <w:rsid w:val="305E0785"/>
    <w:rsid w:val="3063384F"/>
    <w:rsid w:val="309CD06D"/>
    <w:rsid w:val="30A14BB8"/>
    <w:rsid w:val="30DFD7A8"/>
    <w:rsid w:val="30F03A0A"/>
    <w:rsid w:val="3138C733"/>
    <w:rsid w:val="31720856"/>
    <w:rsid w:val="317EC65C"/>
    <w:rsid w:val="317F0BBB"/>
    <w:rsid w:val="318C2F6D"/>
    <w:rsid w:val="31942A47"/>
    <w:rsid w:val="31C635E2"/>
    <w:rsid w:val="31DBD4BA"/>
    <w:rsid w:val="32029E47"/>
    <w:rsid w:val="323642C8"/>
    <w:rsid w:val="32633801"/>
    <w:rsid w:val="3264BB4E"/>
    <w:rsid w:val="326FC700"/>
    <w:rsid w:val="329FA830"/>
    <w:rsid w:val="32A52E9E"/>
    <w:rsid w:val="32C62752"/>
    <w:rsid w:val="32E9E821"/>
    <w:rsid w:val="330CA5A2"/>
    <w:rsid w:val="334D19F6"/>
    <w:rsid w:val="33569C30"/>
    <w:rsid w:val="338BD336"/>
    <w:rsid w:val="33A65B03"/>
    <w:rsid w:val="33CC48C2"/>
    <w:rsid w:val="33D90EAC"/>
    <w:rsid w:val="340C2B72"/>
    <w:rsid w:val="34683859"/>
    <w:rsid w:val="3472A0D2"/>
    <w:rsid w:val="34C011CB"/>
    <w:rsid w:val="34D5567B"/>
    <w:rsid w:val="34DB7AFA"/>
    <w:rsid w:val="352CE344"/>
    <w:rsid w:val="35622610"/>
    <w:rsid w:val="35667E8C"/>
    <w:rsid w:val="35CB3C0A"/>
    <w:rsid w:val="35E0279D"/>
    <w:rsid w:val="360FCE8E"/>
    <w:rsid w:val="363A9896"/>
    <w:rsid w:val="3641B44F"/>
    <w:rsid w:val="36437724"/>
    <w:rsid w:val="36474597"/>
    <w:rsid w:val="366C8BF5"/>
    <w:rsid w:val="369A0CF9"/>
    <w:rsid w:val="36EBCAC8"/>
    <w:rsid w:val="37546630"/>
    <w:rsid w:val="3757F777"/>
    <w:rsid w:val="37869555"/>
    <w:rsid w:val="37DE9140"/>
    <w:rsid w:val="380B3342"/>
    <w:rsid w:val="38790517"/>
    <w:rsid w:val="38B9EB88"/>
    <w:rsid w:val="38D1E15B"/>
    <w:rsid w:val="38DA2A9D"/>
    <w:rsid w:val="38F05604"/>
    <w:rsid w:val="390437DD"/>
    <w:rsid w:val="395B70B4"/>
    <w:rsid w:val="39BCE04D"/>
    <w:rsid w:val="39F3EB41"/>
    <w:rsid w:val="3A121FD5"/>
    <w:rsid w:val="3A55345C"/>
    <w:rsid w:val="3A8E6418"/>
    <w:rsid w:val="3A9D1988"/>
    <w:rsid w:val="3AA4EC3F"/>
    <w:rsid w:val="3AE6F405"/>
    <w:rsid w:val="3B0612C0"/>
    <w:rsid w:val="3B628D86"/>
    <w:rsid w:val="3B834A29"/>
    <w:rsid w:val="3B875F61"/>
    <w:rsid w:val="3B905867"/>
    <w:rsid w:val="3BDC8B0B"/>
    <w:rsid w:val="3BF8FF41"/>
    <w:rsid w:val="3BFB62EC"/>
    <w:rsid w:val="3C0D04E8"/>
    <w:rsid w:val="3C351509"/>
    <w:rsid w:val="3C48D18E"/>
    <w:rsid w:val="3C4B40A1"/>
    <w:rsid w:val="3C656D0B"/>
    <w:rsid w:val="3C9B464E"/>
    <w:rsid w:val="3CA854C6"/>
    <w:rsid w:val="3CBFBB0B"/>
    <w:rsid w:val="3CD7FCA9"/>
    <w:rsid w:val="3D323990"/>
    <w:rsid w:val="3D33A45D"/>
    <w:rsid w:val="3D43CC41"/>
    <w:rsid w:val="3D5C8013"/>
    <w:rsid w:val="3D875AAC"/>
    <w:rsid w:val="3DC94CB6"/>
    <w:rsid w:val="3DEC42C5"/>
    <w:rsid w:val="3DF3F84A"/>
    <w:rsid w:val="3DF52581"/>
    <w:rsid w:val="3E10130B"/>
    <w:rsid w:val="3E272048"/>
    <w:rsid w:val="3E399779"/>
    <w:rsid w:val="3E46FF43"/>
    <w:rsid w:val="3E5FCBF1"/>
    <w:rsid w:val="3E6E7C89"/>
    <w:rsid w:val="3E83F3D4"/>
    <w:rsid w:val="3EA077D3"/>
    <w:rsid w:val="3EAF9971"/>
    <w:rsid w:val="3EDEEC41"/>
    <w:rsid w:val="3EEE0C40"/>
    <w:rsid w:val="3EF104D7"/>
    <w:rsid w:val="3F271CA5"/>
    <w:rsid w:val="3F99F14C"/>
    <w:rsid w:val="3FAB4C3A"/>
    <w:rsid w:val="3FB1C5D9"/>
    <w:rsid w:val="3FBC387E"/>
    <w:rsid w:val="40207FCA"/>
    <w:rsid w:val="4020C57E"/>
    <w:rsid w:val="4057BA6C"/>
    <w:rsid w:val="40BC4537"/>
    <w:rsid w:val="40E0F8E7"/>
    <w:rsid w:val="40EA1C67"/>
    <w:rsid w:val="41358E95"/>
    <w:rsid w:val="4158F353"/>
    <w:rsid w:val="419C051A"/>
    <w:rsid w:val="41AEED1D"/>
    <w:rsid w:val="41FC8BA7"/>
    <w:rsid w:val="420AF61A"/>
    <w:rsid w:val="4212BF6C"/>
    <w:rsid w:val="422329DA"/>
    <w:rsid w:val="423CC07A"/>
    <w:rsid w:val="4259FAD2"/>
    <w:rsid w:val="425FED30"/>
    <w:rsid w:val="4262F4FF"/>
    <w:rsid w:val="426F6339"/>
    <w:rsid w:val="427B88A2"/>
    <w:rsid w:val="4294FB20"/>
    <w:rsid w:val="429781FA"/>
    <w:rsid w:val="42B806E1"/>
    <w:rsid w:val="42F72F64"/>
    <w:rsid w:val="433BF87A"/>
    <w:rsid w:val="43760E30"/>
    <w:rsid w:val="43761F74"/>
    <w:rsid w:val="4389183E"/>
    <w:rsid w:val="438DA8DA"/>
    <w:rsid w:val="439B8F89"/>
    <w:rsid w:val="439EE03C"/>
    <w:rsid w:val="43AA29FC"/>
    <w:rsid w:val="43DAFBFD"/>
    <w:rsid w:val="43DCE6FD"/>
    <w:rsid w:val="43E1BD44"/>
    <w:rsid w:val="43ECF796"/>
    <w:rsid w:val="4406C575"/>
    <w:rsid w:val="44249001"/>
    <w:rsid w:val="4424BCE2"/>
    <w:rsid w:val="44279FCD"/>
    <w:rsid w:val="447A9A01"/>
    <w:rsid w:val="447AD8F9"/>
    <w:rsid w:val="447E624C"/>
    <w:rsid w:val="4482E911"/>
    <w:rsid w:val="449B7A1C"/>
    <w:rsid w:val="44B37E58"/>
    <w:rsid w:val="44CCB413"/>
    <w:rsid w:val="44D3658C"/>
    <w:rsid w:val="44DFA8AD"/>
    <w:rsid w:val="4577B637"/>
    <w:rsid w:val="45797626"/>
    <w:rsid w:val="4584DF2D"/>
    <w:rsid w:val="458FEA92"/>
    <w:rsid w:val="4593F61E"/>
    <w:rsid w:val="4595BD8A"/>
    <w:rsid w:val="45BE2539"/>
    <w:rsid w:val="45D1EB3C"/>
    <w:rsid w:val="45D3319B"/>
    <w:rsid w:val="45EC3E73"/>
    <w:rsid w:val="45F49552"/>
    <w:rsid w:val="45FA172E"/>
    <w:rsid w:val="46063A04"/>
    <w:rsid w:val="46129DB7"/>
    <w:rsid w:val="461D50A9"/>
    <w:rsid w:val="462ADEBF"/>
    <w:rsid w:val="462B884E"/>
    <w:rsid w:val="46356ED0"/>
    <w:rsid w:val="4658CFEF"/>
    <w:rsid w:val="46ACE288"/>
    <w:rsid w:val="46E884EE"/>
    <w:rsid w:val="46EA8C59"/>
    <w:rsid w:val="477935ED"/>
    <w:rsid w:val="477C3D18"/>
    <w:rsid w:val="478E136B"/>
    <w:rsid w:val="47B66F22"/>
    <w:rsid w:val="47C0CD57"/>
    <w:rsid w:val="47CF7946"/>
    <w:rsid w:val="47DC9668"/>
    <w:rsid w:val="47DDD899"/>
    <w:rsid w:val="480C055D"/>
    <w:rsid w:val="480EB9A4"/>
    <w:rsid w:val="480F00D3"/>
    <w:rsid w:val="481932B0"/>
    <w:rsid w:val="4820BBA0"/>
    <w:rsid w:val="4842395B"/>
    <w:rsid w:val="48900BB3"/>
    <w:rsid w:val="489553D1"/>
    <w:rsid w:val="489D95A7"/>
    <w:rsid w:val="489DCA58"/>
    <w:rsid w:val="48B03168"/>
    <w:rsid w:val="48E1C113"/>
    <w:rsid w:val="48FA9276"/>
    <w:rsid w:val="4907CE14"/>
    <w:rsid w:val="4922A367"/>
    <w:rsid w:val="49411DE1"/>
    <w:rsid w:val="4941F295"/>
    <w:rsid w:val="498E36B4"/>
    <w:rsid w:val="4990DAAE"/>
    <w:rsid w:val="49C9E7FE"/>
    <w:rsid w:val="49E6B449"/>
    <w:rsid w:val="4A1AFD20"/>
    <w:rsid w:val="4A2020B8"/>
    <w:rsid w:val="4A3492E8"/>
    <w:rsid w:val="4A4DB86D"/>
    <w:rsid w:val="4A5B3E79"/>
    <w:rsid w:val="4A7506EC"/>
    <w:rsid w:val="4AA6967C"/>
    <w:rsid w:val="4AAE6836"/>
    <w:rsid w:val="4AB31BE1"/>
    <w:rsid w:val="4AF42133"/>
    <w:rsid w:val="4B1427E5"/>
    <w:rsid w:val="4B620ECC"/>
    <w:rsid w:val="4B910B08"/>
    <w:rsid w:val="4BC4EC19"/>
    <w:rsid w:val="4BDFBB84"/>
    <w:rsid w:val="4BEE69EF"/>
    <w:rsid w:val="4BF3D7D8"/>
    <w:rsid w:val="4C258B59"/>
    <w:rsid w:val="4C576C9F"/>
    <w:rsid w:val="4C5A6C43"/>
    <w:rsid w:val="4C5FCD62"/>
    <w:rsid w:val="4C8D2817"/>
    <w:rsid w:val="4CFBDA9B"/>
    <w:rsid w:val="4D6D2967"/>
    <w:rsid w:val="4D999D85"/>
    <w:rsid w:val="4DBE5B64"/>
    <w:rsid w:val="4DBF93FA"/>
    <w:rsid w:val="4DC67619"/>
    <w:rsid w:val="4DD52ADF"/>
    <w:rsid w:val="4DE3454B"/>
    <w:rsid w:val="4DE7F81F"/>
    <w:rsid w:val="4E370218"/>
    <w:rsid w:val="4E4B8C18"/>
    <w:rsid w:val="4E9BFBF0"/>
    <w:rsid w:val="4EAC49AC"/>
    <w:rsid w:val="4EE63130"/>
    <w:rsid w:val="4EF095D5"/>
    <w:rsid w:val="4F1D1446"/>
    <w:rsid w:val="4F431B4F"/>
    <w:rsid w:val="4F467977"/>
    <w:rsid w:val="4F6141D6"/>
    <w:rsid w:val="4F70DD45"/>
    <w:rsid w:val="500E8550"/>
    <w:rsid w:val="503B956F"/>
    <w:rsid w:val="503CF2E3"/>
    <w:rsid w:val="506C9A3D"/>
    <w:rsid w:val="50902E4B"/>
    <w:rsid w:val="50CC9339"/>
    <w:rsid w:val="51008891"/>
    <w:rsid w:val="51255D43"/>
    <w:rsid w:val="517FD643"/>
    <w:rsid w:val="518DA7EC"/>
    <w:rsid w:val="51993044"/>
    <w:rsid w:val="51A6F635"/>
    <w:rsid w:val="52049992"/>
    <w:rsid w:val="520C28BA"/>
    <w:rsid w:val="52143D2F"/>
    <w:rsid w:val="5224213E"/>
    <w:rsid w:val="52578087"/>
    <w:rsid w:val="525B3916"/>
    <w:rsid w:val="527A3057"/>
    <w:rsid w:val="52A93B13"/>
    <w:rsid w:val="52B3A3E2"/>
    <w:rsid w:val="5314B337"/>
    <w:rsid w:val="532B0A9C"/>
    <w:rsid w:val="533560EB"/>
    <w:rsid w:val="53400FBB"/>
    <w:rsid w:val="5356E9C3"/>
    <w:rsid w:val="536028F2"/>
    <w:rsid w:val="536B0AE0"/>
    <w:rsid w:val="53BF98A5"/>
    <w:rsid w:val="53D8DB38"/>
    <w:rsid w:val="53DC4D7D"/>
    <w:rsid w:val="54068C4B"/>
    <w:rsid w:val="5443766B"/>
    <w:rsid w:val="5455EC9D"/>
    <w:rsid w:val="545C6921"/>
    <w:rsid w:val="5499CE18"/>
    <w:rsid w:val="54ACC50F"/>
    <w:rsid w:val="54B1B313"/>
    <w:rsid w:val="54E24979"/>
    <w:rsid w:val="55003F2C"/>
    <w:rsid w:val="554951F1"/>
    <w:rsid w:val="555A3C73"/>
    <w:rsid w:val="55673250"/>
    <w:rsid w:val="556827C3"/>
    <w:rsid w:val="559470F5"/>
    <w:rsid w:val="5596CCB0"/>
    <w:rsid w:val="55AB4847"/>
    <w:rsid w:val="55BB1273"/>
    <w:rsid w:val="56038C37"/>
    <w:rsid w:val="56401DA6"/>
    <w:rsid w:val="564D4736"/>
    <w:rsid w:val="568A38AB"/>
    <w:rsid w:val="56B293F6"/>
    <w:rsid w:val="56B6A37D"/>
    <w:rsid w:val="56BAFF41"/>
    <w:rsid w:val="56E26130"/>
    <w:rsid w:val="56ED25D1"/>
    <w:rsid w:val="56FEE0AC"/>
    <w:rsid w:val="5700E0CC"/>
    <w:rsid w:val="574084F6"/>
    <w:rsid w:val="57A2A300"/>
    <w:rsid w:val="57A84C49"/>
    <w:rsid w:val="57CA2DF2"/>
    <w:rsid w:val="57EBC628"/>
    <w:rsid w:val="57F5A234"/>
    <w:rsid w:val="5816D932"/>
    <w:rsid w:val="5819A5CB"/>
    <w:rsid w:val="581CA711"/>
    <w:rsid w:val="584EC939"/>
    <w:rsid w:val="58833FB9"/>
    <w:rsid w:val="588A0081"/>
    <w:rsid w:val="58A2420A"/>
    <w:rsid w:val="58C94B9F"/>
    <w:rsid w:val="58F63CE2"/>
    <w:rsid w:val="59C35537"/>
    <w:rsid w:val="59DD31CA"/>
    <w:rsid w:val="59F81D96"/>
    <w:rsid w:val="5A06731E"/>
    <w:rsid w:val="5A0FB2BC"/>
    <w:rsid w:val="5A1B2C6F"/>
    <w:rsid w:val="5B0C2E11"/>
    <w:rsid w:val="5B144F48"/>
    <w:rsid w:val="5B28C5B2"/>
    <w:rsid w:val="5B4F273A"/>
    <w:rsid w:val="5B58DD1B"/>
    <w:rsid w:val="5B75B756"/>
    <w:rsid w:val="5B932BBB"/>
    <w:rsid w:val="5BD54ED4"/>
    <w:rsid w:val="5C0380E6"/>
    <w:rsid w:val="5C04DC3D"/>
    <w:rsid w:val="5C13AE01"/>
    <w:rsid w:val="5C6C72C4"/>
    <w:rsid w:val="5C79A460"/>
    <w:rsid w:val="5C894F1F"/>
    <w:rsid w:val="5C9CC07D"/>
    <w:rsid w:val="5CCEA2CE"/>
    <w:rsid w:val="5CFC4F91"/>
    <w:rsid w:val="5D5730ED"/>
    <w:rsid w:val="5D5C7653"/>
    <w:rsid w:val="5D6A784C"/>
    <w:rsid w:val="5D8D49F9"/>
    <w:rsid w:val="5DA2EE34"/>
    <w:rsid w:val="5DC81180"/>
    <w:rsid w:val="5DF1E93A"/>
    <w:rsid w:val="5DF7661C"/>
    <w:rsid w:val="5E0DA43B"/>
    <w:rsid w:val="5E251404"/>
    <w:rsid w:val="5E3A5AC2"/>
    <w:rsid w:val="5E535C75"/>
    <w:rsid w:val="5E5BE6FD"/>
    <w:rsid w:val="5E5C20A2"/>
    <w:rsid w:val="5E612698"/>
    <w:rsid w:val="5E66EA96"/>
    <w:rsid w:val="5E67740B"/>
    <w:rsid w:val="5E77E7D8"/>
    <w:rsid w:val="5E77FCCB"/>
    <w:rsid w:val="5E79D94A"/>
    <w:rsid w:val="5E855965"/>
    <w:rsid w:val="5E9629CF"/>
    <w:rsid w:val="5F0EF97F"/>
    <w:rsid w:val="5F20DFD9"/>
    <w:rsid w:val="5F2AAE73"/>
    <w:rsid w:val="5F30C783"/>
    <w:rsid w:val="5F3A96CE"/>
    <w:rsid w:val="5F40377F"/>
    <w:rsid w:val="5F6345C9"/>
    <w:rsid w:val="5FA300A6"/>
    <w:rsid w:val="5FE429A6"/>
    <w:rsid w:val="60080606"/>
    <w:rsid w:val="6020EE30"/>
    <w:rsid w:val="60698681"/>
    <w:rsid w:val="6078FBB9"/>
    <w:rsid w:val="60BC3A6B"/>
    <w:rsid w:val="60CC4085"/>
    <w:rsid w:val="60E77EEB"/>
    <w:rsid w:val="612DF68A"/>
    <w:rsid w:val="613123A3"/>
    <w:rsid w:val="6143A8C9"/>
    <w:rsid w:val="6146D5C4"/>
    <w:rsid w:val="6178BEDE"/>
    <w:rsid w:val="617C082E"/>
    <w:rsid w:val="61AEABA0"/>
    <w:rsid w:val="61E0341B"/>
    <w:rsid w:val="61E8D0BE"/>
    <w:rsid w:val="61EC9B81"/>
    <w:rsid w:val="6200CC24"/>
    <w:rsid w:val="6203F314"/>
    <w:rsid w:val="6224B0FA"/>
    <w:rsid w:val="6225BBA1"/>
    <w:rsid w:val="62571F8C"/>
    <w:rsid w:val="625D3414"/>
    <w:rsid w:val="62669810"/>
    <w:rsid w:val="62718F0F"/>
    <w:rsid w:val="6292E348"/>
    <w:rsid w:val="62936D0C"/>
    <w:rsid w:val="62AD45A7"/>
    <w:rsid w:val="62B0271D"/>
    <w:rsid w:val="63063D52"/>
    <w:rsid w:val="630E3691"/>
    <w:rsid w:val="63211CBC"/>
    <w:rsid w:val="6336AD56"/>
    <w:rsid w:val="6338BA27"/>
    <w:rsid w:val="633CD2DF"/>
    <w:rsid w:val="6371639F"/>
    <w:rsid w:val="6378EF1D"/>
    <w:rsid w:val="63B777CB"/>
    <w:rsid w:val="63BA9E99"/>
    <w:rsid w:val="63C97ACC"/>
    <w:rsid w:val="63D61B4D"/>
    <w:rsid w:val="63F31129"/>
    <w:rsid w:val="6417DE2A"/>
    <w:rsid w:val="6441F6A7"/>
    <w:rsid w:val="649CFB80"/>
    <w:rsid w:val="64A3F6CA"/>
    <w:rsid w:val="64DE77FD"/>
    <w:rsid w:val="64EDB568"/>
    <w:rsid w:val="64FAEC9F"/>
    <w:rsid w:val="653BE0BA"/>
    <w:rsid w:val="654F387C"/>
    <w:rsid w:val="6567733F"/>
    <w:rsid w:val="656CAB4F"/>
    <w:rsid w:val="6636B6FA"/>
    <w:rsid w:val="6662DDCE"/>
    <w:rsid w:val="667ED159"/>
    <w:rsid w:val="66918C70"/>
    <w:rsid w:val="6692F801"/>
    <w:rsid w:val="669AAF89"/>
    <w:rsid w:val="66DA5A6E"/>
    <w:rsid w:val="66DC063D"/>
    <w:rsid w:val="6701C63F"/>
    <w:rsid w:val="670829EA"/>
    <w:rsid w:val="6709DE0B"/>
    <w:rsid w:val="6720B51D"/>
    <w:rsid w:val="675E758B"/>
    <w:rsid w:val="6763F13A"/>
    <w:rsid w:val="676BF90A"/>
    <w:rsid w:val="67769DE2"/>
    <w:rsid w:val="678878E3"/>
    <w:rsid w:val="67F07C08"/>
    <w:rsid w:val="67F84FDB"/>
    <w:rsid w:val="6808DFDE"/>
    <w:rsid w:val="681A9B48"/>
    <w:rsid w:val="681C6AD6"/>
    <w:rsid w:val="6822BF1B"/>
    <w:rsid w:val="682B8B09"/>
    <w:rsid w:val="684F9F42"/>
    <w:rsid w:val="68992E92"/>
    <w:rsid w:val="68B66D02"/>
    <w:rsid w:val="68D64FA9"/>
    <w:rsid w:val="68F25E6F"/>
    <w:rsid w:val="692C2C8C"/>
    <w:rsid w:val="692F20F3"/>
    <w:rsid w:val="693BB4FC"/>
    <w:rsid w:val="696BCEDA"/>
    <w:rsid w:val="69D3E6AF"/>
    <w:rsid w:val="6A073C60"/>
    <w:rsid w:val="6A262A01"/>
    <w:rsid w:val="6A27BD7D"/>
    <w:rsid w:val="6A61C9B8"/>
    <w:rsid w:val="6A63FB1A"/>
    <w:rsid w:val="6A98B332"/>
    <w:rsid w:val="6A9EB080"/>
    <w:rsid w:val="6ADA67AE"/>
    <w:rsid w:val="6AE45FEA"/>
    <w:rsid w:val="6AE6C959"/>
    <w:rsid w:val="6AE724D8"/>
    <w:rsid w:val="6AFE8FE3"/>
    <w:rsid w:val="6B5898CD"/>
    <w:rsid w:val="6B7A278E"/>
    <w:rsid w:val="6BA8DA11"/>
    <w:rsid w:val="6BABB370"/>
    <w:rsid w:val="6BF13C68"/>
    <w:rsid w:val="6BF1F9A6"/>
    <w:rsid w:val="6BF904F6"/>
    <w:rsid w:val="6C07D837"/>
    <w:rsid w:val="6C0C4403"/>
    <w:rsid w:val="6C31B164"/>
    <w:rsid w:val="6C7BEFBB"/>
    <w:rsid w:val="6C898B57"/>
    <w:rsid w:val="6C8ED9D1"/>
    <w:rsid w:val="6CB52975"/>
    <w:rsid w:val="6CCBD5EF"/>
    <w:rsid w:val="6CFF8C8F"/>
    <w:rsid w:val="6D24476D"/>
    <w:rsid w:val="6D3A5A6B"/>
    <w:rsid w:val="6D747310"/>
    <w:rsid w:val="6D7AF085"/>
    <w:rsid w:val="6DAA50F0"/>
    <w:rsid w:val="6DE7DC23"/>
    <w:rsid w:val="6E18EBC9"/>
    <w:rsid w:val="6E2D4F52"/>
    <w:rsid w:val="6E2E03E8"/>
    <w:rsid w:val="6E33156A"/>
    <w:rsid w:val="6E337BE6"/>
    <w:rsid w:val="6E4F1D84"/>
    <w:rsid w:val="6E525113"/>
    <w:rsid w:val="6E5A467A"/>
    <w:rsid w:val="6EC9D2BA"/>
    <w:rsid w:val="6EE44359"/>
    <w:rsid w:val="6FCA5DE6"/>
    <w:rsid w:val="6FF09D52"/>
    <w:rsid w:val="7000E27C"/>
    <w:rsid w:val="70011F6D"/>
    <w:rsid w:val="704B7977"/>
    <w:rsid w:val="704D4DDD"/>
    <w:rsid w:val="706D3A4B"/>
    <w:rsid w:val="70DDCBA9"/>
    <w:rsid w:val="711431A6"/>
    <w:rsid w:val="712623C3"/>
    <w:rsid w:val="716E193A"/>
    <w:rsid w:val="71842DA5"/>
    <w:rsid w:val="71936814"/>
    <w:rsid w:val="71A5C009"/>
    <w:rsid w:val="71C8A6A3"/>
    <w:rsid w:val="71CBF59C"/>
    <w:rsid w:val="71CDA347"/>
    <w:rsid w:val="71D6455F"/>
    <w:rsid w:val="71E5037E"/>
    <w:rsid w:val="71ECC189"/>
    <w:rsid w:val="71FEB8C7"/>
    <w:rsid w:val="722D8D14"/>
    <w:rsid w:val="724C2FF5"/>
    <w:rsid w:val="727C895B"/>
    <w:rsid w:val="72CB7DAF"/>
    <w:rsid w:val="72EC7470"/>
    <w:rsid w:val="72EFF368"/>
    <w:rsid w:val="7321CD04"/>
    <w:rsid w:val="7325F516"/>
    <w:rsid w:val="7362936C"/>
    <w:rsid w:val="7365B2F9"/>
    <w:rsid w:val="736DFC9D"/>
    <w:rsid w:val="7372A43A"/>
    <w:rsid w:val="737ADF8E"/>
    <w:rsid w:val="73818474"/>
    <w:rsid w:val="7381ACD3"/>
    <w:rsid w:val="739D7E62"/>
    <w:rsid w:val="73A0B16C"/>
    <w:rsid w:val="73B2BA62"/>
    <w:rsid w:val="73CC5509"/>
    <w:rsid w:val="73CD7D0D"/>
    <w:rsid w:val="73D7D160"/>
    <w:rsid w:val="740D0AC1"/>
    <w:rsid w:val="7431E598"/>
    <w:rsid w:val="743651D3"/>
    <w:rsid w:val="7448A2D0"/>
    <w:rsid w:val="7490DD54"/>
    <w:rsid w:val="7493AD25"/>
    <w:rsid w:val="74D1008E"/>
    <w:rsid w:val="74E77439"/>
    <w:rsid w:val="74EE70F3"/>
    <w:rsid w:val="753B3242"/>
    <w:rsid w:val="757F714C"/>
    <w:rsid w:val="75818D36"/>
    <w:rsid w:val="758FF325"/>
    <w:rsid w:val="75945D13"/>
    <w:rsid w:val="75A61D46"/>
    <w:rsid w:val="75AA8B16"/>
    <w:rsid w:val="75B7A510"/>
    <w:rsid w:val="75E85606"/>
    <w:rsid w:val="75EAD754"/>
    <w:rsid w:val="76171A05"/>
    <w:rsid w:val="763861EB"/>
    <w:rsid w:val="765ABCE3"/>
    <w:rsid w:val="76622E96"/>
    <w:rsid w:val="7670A032"/>
    <w:rsid w:val="76E4D766"/>
    <w:rsid w:val="771B3683"/>
    <w:rsid w:val="77233516"/>
    <w:rsid w:val="772E1E72"/>
    <w:rsid w:val="77306559"/>
    <w:rsid w:val="778909BC"/>
    <w:rsid w:val="77D6ED71"/>
    <w:rsid w:val="77F39ACB"/>
    <w:rsid w:val="781C7419"/>
    <w:rsid w:val="7885E893"/>
    <w:rsid w:val="78A873F6"/>
    <w:rsid w:val="78B5526F"/>
    <w:rsid w:val="78DFA9AB"/>
    <w:rsid w:val="78E922A7"/>
    <w:rsid w:val="792505C8"/>
    <w:rsid w:val="794443D1"/>
    <w:rsid w:val="79577A06"/>
    <w:rsid w:val="797F5694"/>
    <w:rsid w:val="79A02515"/>
    <w:rsid w:val="79AD7529"/>
    <w:rsid w:val="79C2F2C0"/>
    <w:rsid w:val="79CC2D1B"/>
    <w:rsid w:val="79CF20A8"/>
    <w:rsid w:val="79E2F7F7"/>
    <w:rsid w:val="7A0ABFB7"/>
    <w:rsid w:val="7A18FCBC"/>
    <w:rsid w:val="7A3B416B"/>
    <w:rsid w:val="7A4B2416"/>
    <w:rsid w:val="7A6A72E4"/>
    <w:rsid w:val="7A86999B"/>
    <w:rsid w:val="7ABD72F0"/>
    <w:rsid w:val="7AEDF97A"/>
    <w:rsid w:val="7B380997"/>
    <w:rsid w:val="7B8116CC"/>
    <w:rsid w:val="7BBE055B"/>
    <w:rsid w:val="7BDFB0A0"/>
    <w:rsid w:val="7C0FB8C0"/>
    <w:rsid w:val="7C1E4E66"/>
    <w:rsid w:val="7C2A4F21"/>
    <w:rsid w:val="7C324008"/>
    <w:rsid w:val="7C4AC9A1"/>
    <w:rsid w:val="7C637D38"/>
    <w:rsid w:val="7C7D0AB8"/>
    <w:rsid w:val="7C7F3585"/>
    <w:rsid w:val="7CCAB64A"/>
    <w:rsid w:val="7CD4B341"/>
    <w:rsid w:val="7CD87467"/>
    <w:rsid w:val="7D01F9D0"/>
    <w:rsid w:val="7D1F4AB6"/>
    <w:rsid w:val="7D40E276"/>
    <w:rsid w:val="7D4B86D7"/>
    <w:rsid w:val="7D54627F"/>
    <w:rsid w:val="7D59004F"/>
    <w:rsid w:val="7D89856C"/>
    <w:rsid w:val="7DC2872D"/>
    <w:rsid w:val="7DE009FB"/>
    <w:rsid w:val="7DEC5E09"/>
    <w:rsid w:val="7DF57935"/>
    <w:rsid w:val="7E30E59B"/>
    <w:rsid w:val="7E5AE4B3"/>
    <w:rsid w:val="7EA3642D"/>
    <w:rsid w:val="7EC8ECE8"/>
    <w:rsid w:val="7EDBC18D"/>
    <w:rsid w:val="7F1EDC97"/>
    <w:rsid w:val="7F3970D8"/>
    <w:rsid w:val="7F70560F"/>
    <w:rsid w:val="7FA16A3D"/>
    <w:rsid w:val="7FBF9036"/>
    <w:rsid w:val="7FE7B865"/>
    <w:rsid w:val="7FE872D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H1"/>
    <w:basedOn w:val="Normal"/>
    <w:next w:val="Normal"/>
    <w:link w:val="CaptionChar"/>
    <w:uiPriority w:val="1"/>
    <w:qFormat/>
    <w:rsid w:val="00081987"/>
    <w:pPr>
      <w:keepNext/>
      <w:spacing w:before="360" w:after="120" w:line="240" w:lineRule="auto"/>
      <w:ind w:left="794" w:hanging="794"/>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ontserrat" w:hAnsi="Montserrat"/>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H1 Char"/>
    <w:basedOn w:val="DefaultParagraphFont"/>
    <w:link w:val="Caption"/>
    <w:uiPriority w:val="1"/>
    <w:rsid w:val="00081987"/>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CMA Table Template,MSD Table Grid,Dossier table,Summary Table,PHE Table Grid,Section 3- footnotes,Table Grid nm,Sourc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911BA7"/>
    <w:pPr>
      <w:spacing w:before="40" w:after="40" w:line="240" w:lineRule="auto"/>
    </w:pPr>
    <w:rPr>
      <w:rFonts w:ascii="Arial Narrow" w:eastAsia="Times New Roman" w:hAnsi="Arial Narrow" w:cs="Tahoma"/>
      <w:sz w:val="20"/>
      <w:szCs w:val="20"/>
      <w:lang w:eastAsia="en-AU"/>
    </w:rPr>
  </w:style>
  <w:style w:type="character" w:customStyle="1" w:styleId="TabletextChar0">
    <w:name w:val="Table text Char"/>
    <w:link w:val="Tabletext0"/>
    <w:rsid w:val="00911BA7"/>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781034"/>
    <w:pPr>
      <w:spacing w:after="240"/>
      <w:contextualSpacing/>
    </w:pPr>
    <w:rPr>
      <w:rFonts w:ascii="Arial Narrow" w:hAnsi="Arial Narrow" w:cs="Arial"/>
      <w:sz w:val="18"/>
    </w:rPr>
  </w:style>
  <w:style w:type="character" w:customStyle="1" w:styleId="TablenotesChar0">
    <w:name w:val="Table notes Char"/>
    <w:basedOn w:val="DefaultParagraphFont"/>
    <w:link w:val="Tablenotes0"/>
    <w:rsid w:val="0078103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Montserrat" w:hAnsi="Montserrat"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Montserrat" w:hAnsi="Montserrat"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Montserrat" w:hAnsi="Montserrat"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uiPriority w:val="11"/>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uiPriority w:val="11"/>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TableFigNotes18">
    <w:name w:val="TableFigNotes+18"/>
    <w:basedOn w:val="Normal"/>
    <w:next w:val="BodyText"/>
    <w:link w:val="TableFigNotes18Char"/>
    <w:uiPriority w:val="4"/>
    <w:qFormat/>
    <w:rsid w:val="002521C5"/>
    <w:pPr>
      <w:spacing w:before="60" w:after="360" w:line="276" w:lineRule="auto"/>
      <w:contextualSpacing/>
    </w:pPr>
    <w:rPr>
      <w:rFonts w:ascii="Montserrat" w:eastAsia="Calibri" w:hAnsi="Montserrat" w:cs="Calibri"/>
      <w:sz w:val="14"/>
      <w:szCs w:val="20"/>
    </w:rPr>
  </w:style>
  <w:style w:type="character" w:customStyle="1" w:styleId="TableFigNotes18Char">
    <w:name w:val="TableFigNotes+18 Char"/>
    <w:basedOn w:val="DefaultParagraphFont"/>
    <w:link w:val="TableFigNotes18"/>
    <w:uiPriority w:val="4"/>
    <w:locked/>
    <w:rsid w:val="002521C5"/>
    <w:rPr>
      <w:rFonts w:ascii="Montserrat" w:eastAsia="Calibri" w:hAnsi="Montserrat" w:cs="Calibri"/>
      <w:sz w:val="14"/>
      <w:szCs w:val="20"/>
    </w:rPr>
  </w:style>
  <w:style w:type="paragraph" w:customStyle="1" w:styleId="Tabletext8pt">
    <w:name w:val="Table text 8pt"/>
    <w:basedOn w:val="Normal"/>
    <w:qFormat/>
    <w:rsid w:val="002521C5"/>
    <w:pPr>
      <w:keepNext/>
      <w:keepLines/>
      <w:spacing w:before="20" w:after="20" w:line="240" w:lineRule="auto"/>
    </w:pPr>
    <w:rPr>
      <w:rFonts w:ascii="Montserrat" w:eastAsia="Calibri" w:hAnsi="Montserrat" w:cs="Calibri"/>
      <w:sz w:val="16"/>
      <w:szCs w:val="16"/>
    </w:rPr>
  </w:style>
  <w:style w:type="paragraph" w:customStyle="1" w:styleId="CommentaryTablenotes">
    <w:name w:val="Commentary Table notes"/>
    <w:basedOn w:val="Normal"/>
    <w:link w:val="CommentaryTablenotesChar"/>
    <w:qFormat/>
    <w:rsid w:val="002521C5"/>
    <w:pPr>
      <w:spacing w:before="0" w:after="360" w:line="264" w:lineRule="auto"/>
      <w:contextualSpacing/>
    </w:pPr>
    <w:rPr>
      <w:rFonts w:ascii="Arial Narrow" w:eastAsiaTheme="minorEastAsia" w:hAnsi="Arial Narrow" w:cs="Arial"/>
      <w:snapToGrid w:val="0"/>
      <w:color w:val="0070C0"/>
      <w:sz w:val="18"/>
      <w:szCs w:val="20"/>
    </w:rPr>
  </w:style>
  <w:style w:type="character" w:customStyle="1" w:styleId="CommentaryTablenotesChar">
    <w:name w:val="Commentary Table notes Char"/>
    <w:basedOn w:val="DefaultParagraphFont"/>
    <w:link w:val="CommentaryTablenotes"/>
    <w:rsid w:val="002521C5"/>
    <w:rPr>
      <w:rFonts w:ascii="Arial Narrow" w:eastAsiaTheme="minorEastAsia" w:hAnsi="Arial Narrow" w:cs="Arial"/>
      <w:snapToGrid w:val="0"/>
      <w:color w:val="0070C0"/>
      <w:sz w:val="18"/>
      <w:szCs w:val="20"/>
    </w:rPr>
  </w:style>
  <w:style w:type="paragraph" w:styleId="BodyText">
    <w:name w:val="Body Text"/>
    <w:basedOn w:val="Normal"/>
    <w:link w:val="BodyTextChar"/>
    <w:uiPriority w:val="99"/>
    <w:unhideWhenUsed/>
    <w:rsid w:val="002521C5"/>
    <w:pPr>
      <w:spacing w:after="120"/>
    </w:pPr>
  </w:style>
  <w:style w:type="character" w:customStyle="1" w:styleId="BodyTextChar">
    <w:name w:val="Body Text Char"/>
    <w:basedOn w:val="DefaultParagraphFont"/>
    <w:link w:val="BodyText"/>
    <w:uiPriority w:val="99"/>
    <w:rsid w:val="002521C5"/>
    <w:rPr>
      <w:rFonts w:ascii="Franklin Gothic Book" w:hAnsi="Franklin Gothic Book"/>
    </w:rPr>
  </w:style>
  <w:style w:type="paragraph" w:customStyle="1" w:styleId="CommentaryTableheading">
    <w:name w:val="Commentary Table heading"/>
    <w:basedOn w:val="Normal"/>
    <w:link w:val="CommentaryTableheadingChar"/>
    <w:qFormat/>
    <w:rsid w:val="001B120E"/>
    <w:pPr>
      <w:keepNext/>
      <w:spacing w:before="40" w:after="40" w:line="240" w:lineRule="auto"/>
      <w:ind w:left="57"/>
    </w:pPr>
    <w:rPr>
      <w:rFonts w:ascii="Arial Narrow" w:eastAsiaTheme="minorEastAsia" w:hAnsi="Arial Narrow"/>
      <w:b/>
      <w:snapToGrid w:val="0"/>
      <w:color w:val="0070C0"/>
      <w:sz w:val="20"/>
      <w:szCs w:val="20"/>
    </w:rPr>
  </w:style>
  <w:style w:type="character" w:customStyle="1" w:styleId="CommentaryTableheadingChar">
    <w:name w:val="Commentary Table heading Char"/>
    <w:basedOn w:val="DefaultParagraphFont"/>
    <w:link w:val="CommentaryTableheading"/>
    <w:rsid w:val="001B120E"/>
    <w:rPr>
      <w:rFonts w:ascii="Arial Narrow" w:eastAsiaTheme="minorEastAsia" w:hAnsi="Arial Narrow"/>
      <w:b/>
      <w:snapToGrid w:val="0"/>
      <w:color w:val="0070C0"/>
      <w:sz w:val="20"/>
      <w:szCs w:val="20"/>
    </w:rPr>
  </w:style>
  <w:style w:type="paragraph" w:customStyle="1" w:styleId="CommentaryTabletextleft">
    <w:name w:val="Commentary Table text left"/>
    <w:basedOn w:val="Normal"/>
    <w:link w:val="CommentaryTabletextleftChar"/>
    <w:qFormat/>
    <w:rsid w:val="001B120E"/>
    <w:pPr>
      <w:spacing w:before="40" w:after="40" w:line="240" w:lineRule="auto"/>
    </w:pPr>
    <w:rPr>
      <w:rFonts w:ascii="Arial Narrow" w:eastAsia="Calibri" w:hAnsi="Arial Narrow"/>
      <w:color w:val="0070C0"/>
      <w:sz w:val="20"/>
      <w:szCs w:val="20"/>
    </w:rPr>
  </w:style>
  <w:style w:type="character" w:customStyle="1" w:styleId="CommentaryTabletextleftChar">
    <w:name w:val="Commentary Table text left Char"/>
    <w:basedOn w:val="DefaultParagraphFont"/>
    <w:link w:val="CommentaryTabletextleft"/>
    <w:rsid w:val="001B120E"/>
    <w:rPr>
      <w:rFonts w:ascii="Arial Narrow" w:eastAsia="Calibri" w:hAnsi="Arial Narrow"/>
      <w:color w:val="0070C0"/>
      <w:sz w:val="20"/>
      <w:szCs w:val="20"/>
    </w:rPr>
  </w:style>
  <w:style w:type="character" w:styleId="UnresolvedMention">
    <w:name w:val="Unresolved Mention"/>
    <w:basedOn w:val="DefaultParagraphFont"/>
    <w:uiPriority w:val="99"/>
    <w:semiHidden/>
    <w:unhideWhenUsed/>
    <w:rsid w:val="002B030A"/>
    <w:rPr>
      <w:color w:val="605E5C"/>
      <w:shd w:val="clear" w:color="auto" w:fill="E1DFDD"/>
    </w:rPr>
  </w:style>
  <w:style w:type="paragraph" w:customStyle="1" w:styleId="Commentarytext">
    <w:name w:val="Commentary text"/>
    <w:basedOn w:val="CommentText"/>
    <w:link w:val="CommentarytextChar"/>
    <w:qFormat/>
    <w:rsid w:val="00232A2E"/>
    <w:pPr>
      <w:spacing w:before="0" w:after="120" w:line="264" w:lineRule="auto"/>
    </w:pPr>
    <w:rPr>
      <w:rFonts w:ascii="Franklin Gothic Book" w:eastAsiaTheme="minorEastAsia" w:hAnsi="Franklin Gothic Book"/>
      <w:color w:val="0070C0"/>
      <w:sz w:val="20"/>
      <w:szCs w:val="20"/>
    </w:rPr>
  </w:style>
  <w:style w:type="character" w:customStyle="1" w:styleId="CommentarytextChar">
    <w:name w:val="Commentary text Char"/>
    <w:basedOn w:val="DefaultParagraphFont"/>
    <w:link w:val="Commentarytext"/>
    <w:rsid w:val="00232A2E"/>
    <w:rPr>
      <w:rFonts w:ascii="Franklin Gothic Book" w:eastAsiaTheme="minorEastAsia" w:hAnsi="Franklin Gothic Book" w:cs="Times New Roman"/>
      <w:color w:val="0070C0"/>
      <w:sz w:val="20"/>
      <w:szCs w:val="20"/>
      <w:lang w:eastAsia="en-AU"/>
    </w:rPr>
  </w:style>
  <w:style w:type="character" w:styleId="Mention">
    <w:name w:val="Mention"/>
    <w:basedOn w:val="DefaultParagraphFont"/>
    <w:uiPriority w:val="99"/>
    <w:unhideWhenUsed/>
    <w:rsid w:val="009C02B3"/>
    <w:rPr>
      <w:color w:val="2B579A"/>
      <w:shd w:val="clear" w:color="auto" w:fill="E1DFDD"/>
    </w:rPr>
  </w:style>
  <w:style w:type="paragraph" w:customStyle="1" w:styleId="BulletBeforeDash">
    <w:name w:val="BulletBeforeDash"/>
    <w:basedOn w:val="Normal"/>
    <w:rsid w:val="00FF6212"/>
    <w:pPr>
      <w:numPr>
        <w:numId w:val="12"/>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FF6212"/>
    <w:pPr>
      <w:numPr>
        <w:numId w:val="0"/>
      </w:numPr>
      <w:tabs>
        <w:tab w:val="num" w:pos="1440"/>
      </w:tabs>
      <w:spacing w:before="0" w:after="240"/>
      <w:ind w:left="1440" w:hanging="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FF6212"/>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FF6212"/>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FF6212"/>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FF6212"/>
    <w:pPr>
      <w:numPr>
        <w:numId w:val="14"/>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oxDash">
    <w:name w:val="BoxDash"/>
    <w:basedOn w:val="BoxBullet"/>
    <w:rsid w:val="00FF6212"/>
    <w:pPr>
      <w:numPr>
        <w:numId w:val="13"/>
      </w:numPr>
    </w:pPr>
  </w:style>
  <w:style w:type="numbering" w:customStyle="1" w:styleId="Headings">
    <w:name w:val="Headings"/>
    <w:uiPriority w:val="99"/>
    <w:rsid w:val="00C949CC"/>
    <w:pPr>
      <w:numPr>
        <w:numId w:val="15"/>
      </w:numPr>
    </w:pPr>
  </w:style>
  <w:style w:type="paragraph" w:customStyle="1" w:styleId="InstructionalText0">
    <w:name w:val="Instructional Text"/>
    <w:basedOn w:val="MSACESParagraph"/>
    <w:link w:val="InstructionalTextChar0"/>
    <w:uiPriority w:val="3"/>
    <w:qFormat/>
    <w:rsid w:val="00C949CC"/>
    <w:pPr>
      <w:jc w:val="both"/>
    </w:pPr>
    <w:rPr>
      <w:rFonts w:asciiTheme="minorHAnsi" w:hAnsiTheme="minorHAnsi" w:cstheme="minorHAnsi"/>
      <w:color w:val="3366FF"/>
    </w:rPr>
  </w:style>
  <w:style w:type="character" w:customStyle="1" w:styleId="InstructionalTextChar0">
    <w:name w:val="Instructional Text Char"/>
    <w:basedOn w:val="DefaultParagraphFont"/>
    <w:link w:val="InstructionalText0"/>
    <w:uiPriority w:val="3"/>
    <w:rsid w:val="00C949CC"/>
    <w:rPr>
      <w:rFonts w:cstheme="minorHAnsi"/>
      <w:color w:val="3366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91647124">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17272211">
      <w:bodyDiv w:val="1"/>
      <w:marLeft w:val="0"/>
      <w:marRight w:val="0"/>
      <w:marTop w:val="0"/>
      <w:marBottom w:val="0"/>
      <w:divBdr>
        <w:top w:val="none" w:sz="0" w:space="0" w:color="auto"/>
        <w:left w:val="none" w:sz="0" w:space="0" w:color="auto"/>
        <w:bottom w:val="none" w:sz="0" w:space="0" w:color="auto"/>
        <w:right w:val="none" w:sz="0" w:space="0" w:color="auto"/>
      </w:divBdr>
    </w:div>
    <w:div w:id="333732053">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2879028">
      <w:bodyDiv w:val="1"/>
      <w:marLeft w:val="0"/>
      <w:marRight w:val="0"/>
      <w:marTop w:val="0"/>
      <w:marBottom w:val="0"/>
      <w:divBdr>
        <w:top w:val="none" w:sz="0" w:space="0" w:color="auto"/>
        <w:left w:val="none" w:sz="0" w:space="0" w:color="auto"/>
        <w:bottom w:val="none" w:sz="0" w:space="0" w:color="auto"/>
        <w:right w:val="none" w:sz="0" w:space="0" w:color="auto"/>
      </w:divBdr>
    </w:div>
    <w:div w:id="693189956">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52055457">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79908507">
      <w:bodyDiv w:val="1"/>
      <w:marLeft w:val="0"/>
      <w:marRight w:val="0"/>
      <w:marTop w:val="0"/>
      <w:marBottom w:val="0"/>
      <w:divBdr>
        <w:top w:val="none" w:sz="0" w:space="0" w:color="auto"/>
        <w:left w:val="none" w:sz="0" w:space="0" w:color="auto"/>
        <w:bottom w:val="none" w:sz="0" w:space="0" w:color="auto"/>
        <w:right w:val="none" w:sz="0" w:space="0" w:color="auto"/>
      </w:divBdr>
      <w:divsChild>
        <w:div w:id="1958902104">
          <w:marLeft w:val="547"/>
          <w:marRight w:val="0"/>
          <w:marTop w:val="0"/>
          <w:marBottom w:val="0"/>
          <w:divBdr>
            <w:top w:val="none" w:sz="0" w:space="0" w:color="auto"/>
            <w:left w:val="none" w:sz="0" w:space="0" w:color="auto"/>
            <w:bottom w:val="none" w:sz="0" w:space="0" w:color="auto"/>
            <w:right w:val="none" w:sz="0" w:space="0" w:color="auto"/>
          </w:divBdr>
        </w:div>
      </w:divsChild>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89565755">
      <w:bodyDiv w:val="1"/>
      <w:marLeft w:val="0"/>
      <w:marRight w:val="0"/>
      <w:marTop w:val="0"/>
      <w:marBottom w:val="0"/>
      <w:divBdr>
        <w:top w:val="none" w:sz="0" w:space="0" w:color="auto"/>
        <w:left w:val="none" w:sz="0" w:space="0" w:color="auto"/>
        <w:bottom w:val="none" w:sz="0" w:space="0" w:color="auto"/>
        <w:right w:val="none" w:sz="0" w:space="0" w:color="auto"/>
      </w:divBdr>
    </w:div>
    <w:div w:id="1200512664">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4450737">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08347954">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73870284">
      <w:bodyDiv w:val="1"/>
      <w:marLeft w:val="0"/>
      <w:marRight w:val="0"/>
      <w:marTop w:val="0"/>
      <w:marBottom w:val="0"/>
      <w:divBdr>
        <w:top w:val="none" w:sz="0" w:space="0" w:color="auto"/>
        <w:left w:val="none" w:sz="0" w:space="0" w:color="auto"/>
        <w:bottom w:val="none" w:sz="0" w:space="0" w:color="auto"/>
        <w:right w:val="none" w:sz="0" w:space="0" w:color="auto"/>
      </w:divBdr>
    </w:div>
    <w:div w:id="1679120595">
      <w:bodyDiv w:val="1"/>
      <w:marLeft w:val="0"/>
      <w:marRight w:val="0"/>
      <w:marTop w:val="0"/>
      <w:marBottom w:val="0"/>
      <w:divBdr>
        <w:top w:val="none" w:sz="0" w:space="0" w:color="auto"/>
        <w:left w:val="none" w:sz="0" w:space="0" w:color="auto"/>
        <w:bottom w:val="none" w:sz="0" w:space="0" w:color="auto"/>
        <w:right w:val="none" w:sz="0" w:space="0" w:color="auto"/>
      </w:divBdr>
    </w:div>
    <w:div w:id="1682463270">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6683826">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73578026">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internet/msac/publishing.nsf/Content/349D7000FEB3F217CA25892E008211DA/$File/1734%20Final%20PSD%20redacted%20-%20Nov2023.pdf" TargetMode="External"/><Relationship Id="rId18" Type="http://schemas.openxmlformats.org/officeDocument/2006/relationships/hyperlink" Target="https://www.tga.gov.au/resources/artg/320482" TargetMode="External"/><Relationship Id="rId26" Type="http://schemas.openxmlformats.org/officeDocument/2006/relationships/hyperlink" Target="https://www.isrctn.com/ISRCTN76218607" TargetMode="External"/><Relationship Id="rId3" Type="http://schemas.openxmlformats.org/officeDocument/2006/relationships/customXml" Target="../customXml/item3.xml"/><Relationship Id="rId21" Type="http://schemas.openxmlformats.org/officeDocument/2006/relationships/hyperlink" Target="https://clinicaltrials.gov/study/NCT02369848" TargetMode="External"/><Relationship Id="rId7" Type="http://schemas.openxmlformats.org/officeDocument/2006/relationships/settings" Target="settings.xml"/><Relationship Id="rId12" Type="http://schemas.openxmlformats.org/officeDocument/2006/relationships/hyperlink" Target="http://www.msac.gov.au/internet/msac/publishing.nsf/Content/1734-public" TargetMode="External"/><Relationship Id="rId17" Type="http://schemas.openxmlformats.org/officeDocument/2006/relationships/hyperlink" Target="https://www.tga.gov.au/resources/artg/388192" TargetMode="External"/><Relationship Id="rId25" Type="http://schemas.openxmlformats.org/officeDocument/2006/relationships/hyperlink" Target="https://www.nice.org.uk/guidance/ipg780" TargetMode="External"/><Relationship Id="rId2" Type="http://schemas.openxmlformats.org/officeDocument/2006/relationships/customXml" Target="../customXml/item2.xml"/><Relationship Id="rId16" Type="http://schemas.openxmlformats.org/officeDocument/2006/relationships/hyperlink" Target="https://www.tga.gov.au/resources/artg/320483" TargetMode="External"/><Relationship Id="rId20" Type="http://schemas.openxmlformats.org/officeDocument/2006/relationships/hyperlink" Target="https://clinicaltrials.gov/study/NCT0207110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24" Type="http://schemas.openxmlformats.org/officeDocument/2006/relationships/hyperlink" Target="https://clinicaltrials.gov/study/NCT0588142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ga.gov.au/resources/artg/342513" TargetMode="External"/><Relationship Id="rId23" Type="http://schemas.openxmlformats.org/officeDocument/2006/relationships/hyperlink" Target="https://clinicaltrials.gov/study/NCT02923193"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linicaltrials.gov/study/NCT0292319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ipg780" TargetMode="External"/><Relationship Id="rId22" Type="http://schemas.openxmlformats.org/officeDocument/2006/relationships/hyperlink" Target="https://clinicaltrials.gov/study/NCT02911623" TargetMode="External"/><Relationship Id="rId27" Type="http://schemas.openxmlformats.org/officeDocument/2006/relationships/image" Target="media/image1.png"/><Relationship Id="rId30" Type="http://schemas.openxmlformats.org/officeDocument/2006/relationships/hyperlink" Target="http://msac.gov.au/internet/msac/publishing.nsf/Content/Home-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i.org/10.54522/jvsgbi.2024.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3fe6a9a36f47368fc1700838102d75b8">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1e7cf07b4405444414bd2c3ff46db4be"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04763-86C1-4C90-836B-1AC831543462}">
  <ds:schemaRefs>
    <ds:schemaRef ds:uri="http://schemas.microsoft.com/sharepoint/v3/contenttype/forms"/>
  </ds:schemaRefs>
</ds:datastoreItem>
</file>

<file path=customXml/itemProps2.xml><?xml version="1.0" encoding="utf-8"?>
<ds:datastoreItem xmlns:ds="http://schemas.openxmlformats.org/officeDocument/2006/customXml" ds:itemID="{88196800-ECA5-4C2D-8AB3-7C1E2AEDA6E5}">
  <ds:schemaRefs>
    <ds:schemaRef ds:uri="http://schemas.microsoft.com/office/2006/metadata/properties"/>
    <ds:schemaRef ds:uri="http://schemas.microsoft.com/office/infopath/2007/PartnerControls"/>
    <ds:schemaRef ds:uri="7513b557-581c-46d3-8cc7-77c65017dc6f"/>
    <ds:schemaRef ds:uri="e7d54a9e-4aca-451b-99db-b94fe438e987"/>
  </ds:schemaRefs>
</ds:datastoreItem>
</file>

<file path=customXml/itemProps3.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customXml/itemProps4.xml><?xml version="1.0" encoding="utf-8"?>
<ds:datastoreItem xmlns:ds="http://schemas.openxmlformats.org/officeDocument/2006/customXml" ds:itemID="{D6718178-51C0-4998-89E6-D4CC9CE6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13960</Words>
  <Characters>79572</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93346</CharactersWithSpaces>
  <SharedDoc>false</SharedDoc>
  <HyperlinkBase/>
  <HLinks>
    <vt:vector size="126" baseType="variant">
      <vt:variant>
        <vt:i4>6684716</vt:i4>
      </vt:variant>
      <vt:variant>
        <vt:i4>123</vt:i4>
      </vt:variant>
      <vt:variant>
        <vt:i4>0</vt:i4>
      </vt:variant>
      <vt:variant>
        <vt:i4>5</vt:i4>
      </vt:variant>
      <vt:variant>
        <vt:lpwstr>http://msac.gov.au/internet/msac/publishing.nsf/Content/Home-1</vt:lpwstr>
      </vt:variant>
      <vt:variant>
        <vt:lpwstr/>
      </vt:variant>
      <vt:variant>
        <vt:i4>5898254</vt:i4>
      </vt:variant>
      <vt:variant>
        <vt:i4>63</vt:i4>
      </vt:variant>
      <vt:variant>
        <vt:i4>0</vt:i4>
      </vt:variant>
      <vt:variant>
        <vt:i4>5</vt:i4>
      </vt:variant>
      <vt:variant>
        <vt:lpwstr>https://www.isrctn.com/ISRCTN76218607</vt:lpwstr>
      </vt:variant>
      <vt:variant>
        <vt:lpwstr/>
      </vt:variant>
      <vt:variant>
        <vt:i4>3801136</vt:i4>
      </vt:variant>
      <vt:variant>
        <vt:i4>60</vt:i4>
      </vt:variant>
      <vt:variant>
        <vt:i4>0</vt:i4>
      </vt:variant>
      <vt:variant>
        <vt:i4>5</vt:i4>
      </vt:variant>
      <vt:variant>
        <vt:lpwstr>https://www.nice.org.uk/guidance/ipg780</vt:lpwstr>
      </vt:variant>
      <vt:variant>
        <vt:lpwstr/>
      </vt:variant>
      <vt:variant>
        <vt:i4>10</vt:i4>
      </vt:variant>
      <vt:variant>
        <vt:i4>57</vt:i4>
      </vt:variant>
      <vt:variant>
        <vt:i4>0</vt:i4>
      </vt:variant>
      <vt:variant>
        <vt:i4>5</vt:i4>
      </vt:variant>
      <vt:variant>
        <vt:lpwstr>https://clinicaltrials.gov/study/NCT05881421</vt:lpwstr>
      </vt:variant>
      <vt:variant>
        <vt:lpwstr/>
      </vt:variant>
      <vt:variant>
        <vt:i4>655362</vt:i4>
      </vt:variant>
      <vt:variant>
        <vt:i4>54</vt:i4>
      </vt:variant>
      <vt:variant>
        <vt:i4>0</vt:i4>
      </vt:variant>
      <vt:variant>
        <vt:i4>5</vt:i4>
      </vt:variant>
      <vt:variant>
        <vt:lpwstr>https://clinicaltrials.gov/study/NCT02923193</vt:lpwstr>
      </vt:variant>
      <vt:variant>
        <vt:lpwstr/>
      </vt:variant>
      <vt:variant>
        <vt:i4>917515</vt:i4>
      </vt:variant>
      <vt:variant>
        <vt:i4>51</vt:i4>
      </vt:variant>
      <vt:variant>
        <vt:i4>0</vt:i4>
      </vt:variant>
      <vt:variant>
        <vt:i4>5</vt:i4>
      </vt:variant>
      <vt:variant>
        <vt:lpwstr>https://clinicaltrials.gov/study/NCT02911623</vt:lpwstr>
      </vt:variant>
      <vt:variant>
        <vt:lpwstr/>
      </vt:variant>
      <vt:variant>
        <vt:i4>786447</vt:i4>
      </vt:variant>
      <vt:variant>
        <vt:i4>48</vt:i4>
      </vt:variant>
      <vt:variant>
        <vt:i4>0</vt:i4>
      </vt:variant>
      <vt:variant>
        <vt:i4>5</vt:i4>
      </vt:variant>
      <vt:variant>
        <vt:lpwstr>https://clinicaltrials.gov/study/NCT02369848</vt:lpwstr>
      </vt:variant>
      <vt:variant>
        <vt:lpwstr/>
      </vt:variant>
      <vt:variant>
        <vt:i4>262144</vt:i4>
      </vt:variant>
      <vt:variant>
        <vt:i4>45</vt:i4>
      </vt:variant>
      <vt:variant>
        <vt:i4>0</vt:i4>
      </vt:variant>
      <vt:variant>
        <vt:i4>5</vt:i4>
      </vt:variant>
      <vt:variant>
        <vt:lpwstr>https://clinicaltrials.gov/study/NCT02071108</vt:lpwstr>
      </vt:variant>
      <vt:variant>
        <vt:lpwstr/>
      </vt:variant>
      <vt:variant>
        <vt:i4>655362</vt:i4>
      </vt:variant>
      <vt:variant>
        <vt:i4>42</vt:i4>
      </vt:variant>
      <vt:variant>
        <vt:i4>0</vt:i4>
      </vt:variant>
      <vt:variant>
        <vt:i4>5</vt:i4>
      </vt:variant>
      <vt:variant>
        <vt:lpwstr>https://clinicaltrials.gov/study/NCT02923193</vt:lpwstr>
      </vt:variant>
      <vt:variant>
        <vt:lpwstr/>
      </vt:variant>
      <vt:variant>
        <vt:i4>6225942</vt:i4>
      </vt:variant>
      <vt:variant>
        <vt:i4>33</vt:i4>
      </vt:variant>
      <vt:variant>
        <vt:i4>0</vt:i4>
      </vt:variant>
      <vt:variant>
        <vt:i4>5</vt:i4>
      </vt:variant>
      <vt:variant>
        <vt:lpwstr>https://www.tga.gov.au/resources/artg/320482</vt:lpwstr>
      </vt:variant>
      <vt:variant>
        <vt:lpwstr/>
      </vt:variant>
      <vt:variant>
        <vt:i4>5242911</vt:i4>
      </vt:variant>
      <vt:variant>
        <vt:i4>30</vt:i4>
      </vt:variant>
      <vt:variant>
        <vt:i4>0</vt:i4>
      </vt:variant>
      <vt:variant>
        <vt:i4>5</vt:i4>
      </vt:variant>
      <vt:variant>
        <vt:lpwstr>https://www.tga.gov.au/resources/artg/388192</vt:lpwstr>
      </vt:variant>
      <vt:variant>
        <vt:lpwstr/>
      </vt:variant>
      <vt:variant>
        <vt:i4>6160406</vt:i4>
      </vt:variant>
      <vt:variant>
        <vt:i4>24</vt:i4>
      </vt:variant>
      <vt:variant>
        <vt:i4>0</vt:i4>
      </vt:variant>
      <vt:variant>
        <vt:i4>5</vt:i4>
      </vt:variant>
      <vt:variant>
        <vt:lpwstr>https://www.tga.gov.au/resources/artg/320483</vt:lpwstr>
      </vt:variant>
      <vt:variant>
        <vt:lpwstr/>
      </vt:variant>
      <vt:variant>
        <vt:i4>5832733</vt:i4>
      </vt:variant>
      <vt:variant>
        <vt:i4>21</vt:i4>
      </vt:variant>
      <vt:variant>
        <vt:i4>0</vt:i4>
      </vt:variant>
      <vt:variant>
        <vt:i4>5</vt:i4>
      </vt:variant>
      <vt:variant>
        <vt:lpwstr>https://www.tga.gov.au/resources/artg/342513</vt:lpwstr>
      </vt:variant>
      <vt:variant>
        <vt:lpwstr/>
      </vt:variant>
      <vt:variant>
        <vt:i4>3801136</vt:i4>
      </vt:variant>
      <vt:variant>
        <vt:i4>15</vt:i4>
      </vt:variant>
      <vt:variant>
        <vt:i4>0</vt:i4>
      </vt:variant>
      <vt:variant>
        <vt:i4>5</vt:i4>
      </vt:variant>
      <vt:variant>
        <vt:lpwstr>https://www.nice.org.uk/guidance/ipg780</vt:lpwstr>
      </vt:variant>
      <vt:variant>
        <vt:lpwstr/>
      </vt:variant>
      <vt:variant>
        <vt:i4>4259913</vt:i4>
      </vt:variant>
      <vt:variant>
        <vt:i4>6</vt:i4>
      </vt:variant>
      <vt:variant>
        <vt:i4>0</vt:i4>
      </vt:variant>
      <vt:variant>
        <vt:i4>5</vt:i4>
      </vt:variant>
      <vt:variant>
        <vt:lpwstr>http://www.msac.gov.au/internet/msac/publishing.nsf/Content/349D7000FEB3F217CA25892E008211DA/$File/1734 Final PSD redacted - Nov2023.pdf</vt:lpwstr>
      </vt:variant>
      <vt:variant>
        <vt:lpwstr/>
      </vt:variant>
      <vt:variant>
        <vt:i4>2424939</vt:i4>
      </vt:variant>
      <vt:variant>
        <vt:i4>3</vt:i4>
      </vt:variant>
      <vt:variant>
        <vt:i4>0</vt:i4>
      </vt:variant>
      <vt:variant>
        <vt:i4>5</vt:i4>
      </vt:variant>
      <vt:variant>
        <vt:lpwstr>http://www.msac.gov.au/internet/msac/publishing.nsf/Content/1734-public</vt:lpwstr>
      </vt:variant>
      <vt:variant>
        <vt:lpwstr/>
      </vt:variant>
      <vt:variant>
        <vt:i4>3997744</vt:i4>
      </vt:variant>
      <vt:variant>
        <vt:i4>0</vt:i4>
      </vt:variant>
      <vt:variant>
        <vt:i4>0</vt:i4>
      </vt:variant>
      <vt:variant>
        <vt:i4>5</vt:i4>
      </vt:variant>
      <vt:variant>
        <vt:lpwstr>http://www.msac.gov.au/</vt:lpwstr>
      </vt:variant>
      <vt:variant>
        <vt:lpwstr/>
      </vt:variant>
      <vt:variant>
        <vt:i4>8126583</vt:i4>
      </vt:variant>
      <vt:variant>
        <vt:i4>0</vt:i4>
      </vt:variant>
      <vt:variant>
        <vt:i4>0</vt:i4>
      </vt:variant>
      <vt:variant>
        <vt:i4>5</vt:i4>
      </vt:variant>
      <vt:variant>
        <vt:lpwstr>http://doi.org/10.54522/jvsgbi.2024.126</vt:lpwstr>
      </vt:variant>
      <vt:variant>
        <vt:lpwstr/>
      </vt:variant>
      <vt:variant>
        <vt:i4>589886</vt:i4>
      </vt:variant>
      <vt:variant>
        <vt:i4>6</vt:i4>
      </vt:variant>
      <vt:variant>
        <vt:i4>0</vt:i4>
      </vt:variant>
      <vt:variant>
        <vt:i4>5</vt:i4>
      </vt:variant>
      <vt:variant>
        <vt:lpwstr>mailto:Carl.OKANE@Health.gov.au</vt:lpwstr>
      </vt:variant>
      <vt:variant>
        <vt:lpwstr/>
      </vt:variant>
      <vt:variant>
        <vt:i4>6553683</vt:i4>
      </vt:variant>
      <vt:variant>
        <vt:i4>3</vt:i4>
      </vt:variant>
      <vt:variant>
        <vt:i4>0</vt:i4>
      </vt:variant>
      <vt:variant>
        <vt:i4>5</vt:i4>
      </vt:variant>
      <vt:variant>
        <vt:lpwstr>mailto:Brooke.Alexander@health.gov.au</vt:lpwstr>
      </vt:variant>
      <vt:variant>
        <vt:lpwstr/>
      </vt:variant>
      <vt:variant>
        <vt:i4>4194424</vt:i4>
      </vt:variant>
      <vt:variant>
        <vt:i4>0</vt:i4>
      </vt:variant>
      <vt:variant>
        <vt:i4>0</vt:i4>
      </vt:variant>
      <vt:variant>
        <vt:i4>5</vt:i4>
      </vt:variant>
      <vt:variant>
        <vt:lpwstr>mailto:Padraig.OAKLEY@Health.gov.au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2025-04-15T23:54:00Z</dcterms:created>
  <dcterms:modified xsi:type="dcterms:W3CDTF">2025-04-16T23:30:00Z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ediaServiceImageTags">
    <vt:lpwstr/>
  </property>
  <property fmtid="{D5CDD505-2E9C-101B-9397-08002B2CF9AE}" pid="4" name="MSIP_Label_69af8531-eb46-4968-8cb3-105d2f5ea87e_ActionId">
    <vt:lpwstr>63c07059-b8c9-404a-883e-34bc0c95df40</vt:lpwstr>
  </property>
  <property fmtid="{D5CDD505-2E9C-101B-9397-08002B2CF9AE}" pid="5" name="ContentTypeId">
    <vt:lpwstr>0x0101005E4A37BE997BE34FBB7D5057D341D123</vt:lpwstr>
  </property>
  <property fmtid="{D5CDD505-2E9C-101B-9397-08002B2CF9AE}" pid="6" name="MSIP_Label_69af8531-eb46-4968-8cb3-105d2f5ea87e_SetDate">
    <vt:lpwstr>2025-01-10T05:28:36Z</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Method">
    <vt:lpwstr>Standard</vt:lpwstr>
  </property>
  <property fmtid="{D5CDD505-2E9C-101B-9397-08002B2CF9AE}" pid="9" name="MSIP_Label_69af8531-eb46-4968-8cb3-105d2f5ea87e_Name">
    <vt:lpwstr>Official - No Marking</vt:lpwstr>
  </property>
  <property fmtid="{D5CDD505-2E9C-101B-9397-08002B2CF9AE}" pid="10" name="_ExtendedDescription">
    <vt:lpwstr/>
  </property>
  <property fmtid="{D5CDD505-2E9C-101B-9397-08002B2CF9AE}" pid="11" name="MSIP_Label_69af8531-eb46-4968-8cb3-105d2f5ea87e_ContentBits">
    <vt:lpwstr>0</vt:lpwstr>
  </property>
</Properties>
</file>