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E6B6C" w14:textId="38CC7182" w:rsidR="006478E7" w:rsidRPr="00002625" w:rsidRDefault="006478E7" w:rsidP="00781715">
      <w:pPr>
        <w:spacing w:before="120" w:after="120" w:line="312" w:lineRule="auto"/>
        <w:jc w:val="right"/>
      </w:pPr>
    </w:p>
    <w:p w14:paraId="50B6D781" w14:textId="7FEC9439" w:rsidR="006478E7" w:rsidRPr="00002625" w:rsidRDefault="00BB0FFB" w:rsidP="00BB0FFB">
      <w:pPr>
        <w:pStyle w:val="Heading10"/>
        <w:spacing w:before="2880"/>
        <w:jc w:val="center"/>
        <w:rPr>
          <w:sz w:val="48"/>
          <w:szCs w:val="48"/>
          <w:lang w:val="en-AU"/>
        </w:rPr>
      </w:pPr>
      <w:r w:rsidRPr="00002625">
        <w:rPr>
          <w:sz w:val="48"/>
          <w:szCs w:val="48"/>
          <w:lang w:val="en-AU"/>
        </w:rPr>
        <w:t xml:space="preserve">MSAC </w:t>
      </w:r>
      <w:r w:rsidR="006478E7" w:rsidRPr="00002625">
        <w:rPr>
          <w:sz w:val="48"/>
          <w:szCs w:val="48"/>
          <w:lang w:val="en-AU"/>
        </w:rPr>
        <w:t xml:space="preserve">Application </w:t>
      </w:r>
      <w:r w:rsidR="05B07335" w:rsidRPr="00002625">
        <w:rPr>
          <w:sz w:val="48"/>
          <w:szCs w:val="48"/>
          <w:lang w:val="en-AU"/>
        </w:rPr>
        <w:t>1789</w:t>
      </w:r>
    </w:p>
    <w:p w14:paraId="11765312" w14:textId="0D76E987" w:rsidR="006478E7" w:rsidRPr="00002625" w:rsidRDefault="0075103D" w:rsidP="006478E7">
      <w:pPr>
        <w:pStyle w:val="Heading10"/>
        <w:jc w:val="center"/>
        <w:rPr>
          <w:color w:val="2E74B5" w:themeColor="accent1" w:themeShade="BF"/>
          <w:sz w:val="48"/>
          <w:szCs w:val="48"/>
          <w:lang w:val="en-AU"/>
        </w:rPr>
      </w:pPr>
      <w:r w:rsidRPr="00002625">
        <w:rPr>
          <w:color w:val="2E74B5" w:themeColor="accent1" w:themeShade="BF"/>
          <w:sz w:val="48"/>
          <w:szCs w:val="48"/>
          <w:lang w:val="en-AU"/>
        </w:rPr>
        <w:t>Computed tomography (CT) colonography for the detection of colorectal polyps and colorectal cancer</w:t>
      </w:r>
    </w:p>
    <w:p w14:paraId="44FD303D" w14:textId="2CB684D4" w:rsidR="00477EE1" w:rsidRPr="00002625" w:rsidRDefault="009B1409" w:rsidP="00536625">
      <w:pPr>
        <w:pStyle w:val="Heading10"/>
        <w:jc w:val="center"/>
        <w:rPr>
          <w:color w:val="2E74B5" w:themeColor="accent1" w:themeShade="BF"/>
          <w:sz w:val="40"/>
          <w:szCs w:val="40"/>
          <w:lang w:val="en-AU"/>
        </w:rPr>
      </w:pPr>
      <w:r w:rsidRPr="00002625">
        <w:rPr>
          <w:color w:val="2E74B5" w:themeColor="accent1" w:themeShade="BF"/>
          <w:sz w:val="40"/>
          <w:szCs w:val="40"/>
          <w:lang w:val="en-AU"/>
        </w:rPr>
        <w:t>Ap</w:t>
      </w:r>
      <w:r w:rsidR="00536625" w:rsidRPr="00002625">
        <w:rPr>
          <w:color w:val="2E74B5" w:themeColor="accent1" w:themeShade="BF"/>
          <w:sz w:val="40"/>
          <w:szCs w:val="40"/>
          <w:lang w:val="en-AU"/>
        </w:rPr>
        <w:t xml:space="preserve">plicant: </w:t>
      </w:r>
      <w:r w:rsidR="006F3842">
        <w:rPr>
          <w:color w:val="2E74B5" w:themeColor="accent1" w:themeShade="BF"/>
          <w:sz w:val="40"/>
          <w:szCs w:val="40"/>
          <w:lang w:val="en-AU"/>
        </w:rPr>
        <w:t>A</w:t>
      </w:r>
      <w:r w:rsidR="006F3842" w:rsidRPr="006F3842">
        <w:rPr>
          <w:color w:val="2E74B5" w:themeColor="accent1" w:themeShade="BF"/>
          <w:sz w:val="40"/>
          <w:szCs w:val="40"/>
          <w:lang w:val="en-AU"/>
        </w:rPr>
        <w:t xml:space="preserve">ssociate </w:t>
      </w:r>
      <w:r w:rsidR="006F3842">
        <w:rPr>
          <w:color w:val="2E74B5" w:themeColor="accent1" w:themeShade="BF"/>
          <w:sz w:val="40"/>
          <w:szCs w:val="40"/>
          <w:lang w:val="en-AU"/>
        </w:rPr>
        <w:t>P</w:t>
      </w:r>
      <w:r w:rsidR="006F3842" w:rsidRPr="006F3842">
        <w:rPr>
          <w:color w:val="2E74B5" w:themeColor="accent1" w:themeShade="BF"/>
          <w:sz w:val="40"/>
          <w:szCs w:val="40"/>
          <w:lang w:val="en-AU"/>
        </w:rPr>
        <w:t>rofessor</w:t>
      </w:r>
      <w:r w:rsidR="006F3842">
        <w:rPr>
          <w:color w:val="2E74B5" w:themeColor="accent1" w:themeShade="BF"/>
          <w:sz w:val="40"/>
          <w:szCs w:val="40"/>
          <w:lang w:val="en-AU"/>
        </w:rPr>
        <w:t xml:space="preserve"> </w:t>
      </w:r>
      <w:r w:rsidR="00536625" w:rsidRPr="00002625">
        <w:rPr>
          <w:color w:val="2E74B5" w:themeColor="accent1" w:themeShade="BF"/>
          <w:sz w:val="40"/>
          <w:szCs w:val="40"/>
          <w:lang w:val="en-AU"/>
        </w:rPr>
        <w:t xml:space="preserve">Thomas Robert Sutherland </w:t>
      </w:r>
    </w:p>
    <w:p w14:paraId="23900CA0" w14:textId="1E2A29D3" w:rsidR="006478E7" w:rsidRPr="00002625" w:rsidRDefault="006478E7" w:rsidP="00BB0FFB">
      <w:pPr>
        <w:pStyle w:val="Heading1"/>
        <w:rPr>
          <w:lang w:val="en-AU"/>
        </w:rPr>
      </w:pPr>
      <w:r w:rsidRPr="00002625">
        <w:rPr>
          <w:lang w:val="en-AU"/>
        </w:rPr>
        <w:t>PICO Confirmation</w:t>
      </w:r>
      <w:r w:rsidRPr="00002625">
        <w:rPr>
          <w:lang w:val="en-AU"/>
        </w:rPr>
        <w:br w:type="page"/>
      </w:r>
    </w:p>
    <w:p w14:paraId="219312C8" w14:textId="16552B94" w:rsidR="006478E7" w:rsidRPr="00002625" w:rsidRDefault="006478E7" w:rsidP="00BB0FFB">
      <w:pPr>
        <w:pStyle w:val="Heading2"/>
      </w:pPr>
      <w:r w:rsidRPr="00002625">
        <w:lastRenderedPageBreak/>
        <w:t>Summary of PI</w:t>
      </w:r>
      <w:r w:rsidR="00235B21" w:rsidRPr="00002625">
        <w:t xml:space="preserve">CO/PPICO criteria to define </w:t>
      </w:r>
      <w:r w:rsidRPr="00002625">
        <w:t>question(s) to be addressed in an Assessment Report to the Medical Services Advisory Committee (MSAC)</w:t>
      </w:r>
    </w:p>
    <w:p w14:paraId="224459F3" w14:textId="28CEA872" w:rsidR="00D52956" w:rsidRPr="00002625" w:rsidRDefault="00D52956" w:rsidP="00D52956">
      <w:pPr>
        <w:pStyle w:val="Caption"/>
        <w:rPr>
          <w:lang w:val="en-AU"/>
        </w:rPr>
      </w:pPr>
      <w:bookmarkStart w:id="0" w:name="_Ref69732160"/>
      <w:bookmarkStart w:id="1" w:name="_Ref69732155"/>
      <w:r w:rsidRPr="00002625">
        <w:rPr>
          <w:lang w:val="en-AU"/>
        </w:rPr>
        <w:t>Table</w:t>
      </w:r>
      <w:r w:rsidR="00FD4C65" w:rsidRPr="00002625">
        <w:rPr>
          <w:lang w:val="en-AU"/>
        </w:rPr>
        <w:t> </w:t>
      </w:r>
      <w:r w:rsidRPr="00002625">
        <w:rPr>
          <w:lang w:val="en-AU"/>
        </w:rPr>
        <w:fldChar w:fldCharType="begin"/>
      </w:r>
      <w:r w:rsidRPr="00002625">
        <w:rPr>
          <w:lang w:val="en-AU"/>
        </w:rPr>
        <w:instrText xml:space="preserve"> SEQ Table \* ARABIC </w:instrText>
      </w:r>
      <w:r w:rsidRPr="00002625">
        <w:rPr>
          <w:lang w:val="en-AU"/>
        </w:rPr>
        <w:fldChar w:fldCharType="separate"/>
      </w:r>
      <w:r w:rsidR="00637321" w:rsidRPr="00002625">
        <w:rPr>
          <w:noProof/>
          <w:lang w:val="en-AU"/>
        </w:rPr>
        <w:t>1</w:t>
      </w:r>
      <w:r w:rsidRPr="00002625">
        <w:rPr>
          <w:lang w:val="en-AU"/>
        </w:rPr>
        <w:fldChar w:fldCharType="end"/>
      </w:r>
      <w:bookmarkEnd w:id="0"/>
      <w:r w:rsidRPr="00002625">
        <w:rPr>
          <w:lang w:val="en-AU"/>
        </w:rPr>
        <w:tab/>
        <w:t xml:space="preserve">PICO for </w:t>
      </w:r>
      <w:r w:rsidR="00C55C1D" w:rsidRPr="00002625">
        <w:rPr>
          <w:lang w:val="en-AU"/>
        </w:rPr>
        <w:t>computed tomography colonography</w:t>
      </w:r>
      <w:r w:rsidR="006B620D" w:rsidRPr="00002625">
        <w:rPr>
          <w:lang w:val="en-AU"/>
        </w:rPr>
        <w:t xml:space="preserve"> (CTC)</w:t>
      </w:r>
      <w:r w:rsidR="00C55C1D" w:rsidRPr="00002625">
        <w:rPr>
          <w:lang w:val="en-AU"/>
        </w:rPr>
        <w:t xml:space="preserve"> </w:t>
      </w:r>
      <w:r w:rsidR="006B620D" w:rsidRPr="00002625">
        <w:rPr>
          <w:lang w:val="en-AU"/>
        </w:rPr>
        <w:t xml:space="preserve">for diagnostic use in patients requiring </w:t>
      </w:r>
      <w:r w:rsidR="007217E9" w:rsidRPr="00002625">
        <w:rPr>
          <w:lang w:val="en-AU"/>
        </w:rPr>
        <w:t>colonic</w:t>
      </w:r>
      <w:r w:rsidR="006B620D" w:rsidRPr="00002625">
        <w:rPr>
          <w:lang w:val="en-AU"/>
        </w:rPr>
        <w:t xml:space="preserve"> investigation for colorectal cancer (CRC)</w:t>
      </w:r>
      <w:r w:rsidRPr="00002625">
        <w:rPr>
          <w:lang w:val="en-AU"/>
        </w:rPr>
        <w:t xml:space="preserve">: PICO </w:t>
      </w:r>
      <w:r w:rsidR="00216DFA" w:rsidRPr="00002625">
        <w:rPr>
          <w:lang w:val="en-AU"/>
        </w:rPr>
        <w:t>s</w:t>
      </w:r>
      <w:r w:rsidRPr="00002625">
        <w:rPr>
          <w:lang w:val="en-AU"/>
        </w:rPr>
        <w:t>et 1</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1 PICO for computed tomography colonography (CTC) for diagnostic use in patients requiring investigation for colorectal cancer (CRC): PICO set 1"/>
        <w:tblDescription w:val="Table showing PICO for computed tomography colonography (CTC) for diagnostic use in patients requiring investigation for colorectal cancer (CRC): PICO set 1"/>
      </w:tblPr>
      <w:tblGrid>
        <w:gridCol w:w="1696"/>
        <w:gridCol w:w="7875"/>
      </w:tblGrid>
      <w:tr w:rsidR="006478E7" w:rsidRPr="00002625" w14:paraId="2A509B30" w14:textId="77777777" w:rsidTr="03DADD57">
        <w:trPr>
          <w:trHeight w:val="372"/>
          <w:tblHeader/>
        </w:trPr>
        <w:tc>
          <w:tcPr>
            <w:tcW w:w="886" w:type="pct"/>
            <w:shd w:val="clear" w:color="auto" w:fill="D9D9D9" w:themeFill="background1" w:themeFillShade="D9"/>
            <w:vAlign w:val="center"/>
            <w:hideMark/>
          </w:tcPr>
          <w:p w14:paraId="333B8A35" w14:textId="77777777" w:rsidR="006478E7" w:rsidRPr="00002625" w:rsidRDefault="006478E7" w:rsidP="00791600">
            <w:pPr>
              <w:pStyle w:val="TableHeading"/>
            </w:pPr>
            <w:bookmarkStart w:id="2" w:name="Title_Table1" w:colFirst="0" w:colLast="0"/>
            <w:r w:rsidRPr="00002625">
              <w:t>Component</w:t>
            </w:r>
          </w:p>
        </w:tc>
        <w:tc>
          <w:tcPr>
            <w:tcW w:w="4114" w:type="pct"/>
            <w:shd w:val="clear" w:color="auto" w:fill="D9D9D9" w:themeFill="background1" w:themeFillShade="D9"/>
            <w:vAlign w:val="center"/>
            <w:hideMark/>
          </w:tcPr>
          <w:p w14:paraId="0E31DF4F" w14:textId="77777777" w:rsidR="006478E7" w:rsidRPr="00002625" w:rsidRDefault="006478E7" w:rsidP="00791600">
            <w:pPr>
              <w:pStyle w:val="TableHeading"/>
            </w:pPr>
            <w:r w:rsidRPr="00002625">
              <w:t>Description</w:t>
            </w:r>
          </w:p>
        </w:tc>
      </w:tr>
      <w:bookmarkEnd w:id="2"/>
      <w:tr w:rsidR="006478E7" w:rsidRPr="00002625" w14:paraId="78E0BB65" w14:textId="77777777" w:rsidTr="00302EEA">
        <w:tc>
          <w:tcPr>
            <w:tcW w:w="886" w:type="pct"/>
            <w:hideMark/>
          </w:tcPr>
          <w:p w14:paraId="715E50D5" w14:textId="74EB4863" w:rsidR="006478E7" w:rsidRPr="00002625" w:rsidRDefault="00F660E8" w:rsidP="00302EEA">
            <w:pPr>
              <w:pStyle w:val="TableText0"/>
              <w:rPr>
                <w:rFonts w:cs="Arial"/>
              </w:rPr>
            </w:pPr>
            <w:r w:rsidRPr="00002625">
              <w:rPr>
                <w:rFonts w:cs="Arial"/>
              </w:rPr>
              <w:t>Population</w:t>
            </w:r>
          </w:p>
        </w:tc>
        <w:tc>
          <w:tcPr>
            <w:tcW w:w="4114" w:type="pct"/>
            <w:hideMark/>
          </w:tcPr>
          <w:p w14:paraId="66244A58" w14:textId="72D9770E" w:rsidR="006F5417" w:rsidRPr="00002625" w:rsidRDefault="006F5417" w:rsidP="00E12468">
            <w:pPr>
              <w:pStyle w:val="TableText0"/>
              <w:rPr>
                <w:rFonts w:cs="Calibri"/>
                <w:color w:val="000000" w:themeColor="text1"/>
              </w:rPr>
            </w:pPr>
            <w:r w:rsidRPr="00002625">
              <w:rPr>
                <w:rFonts w:cs="Calibri"/>
                <w:color w:val="000000" w:themeColor="text1"/>
              </w:rPr>
              <w:t xml:space="preserve">Patients </w:t>
            </w:r>
            <w:r w:rsidRPr="00002625">
              <w:t xml:space="preserve">requiring diagnostic investigation </w:t>
            </w:r>
            <w:r w:rsidR="004A6D18" w:rsidRPr="00002625">
              <w:t xml:space="preserve">to exclude </w:t>
            </w:r>
            <w:r w:rsidR="007E15A7" w:rsidRPr="00002625">
              <w:t>colorectal cancer (</w:t>
            </w:r>
            <w:r w:rsidRPr="00002625">
              <w:t>CRC</w:t>
            </w:r>
            <w:r w:rsidR="007E15A7" w:rsidRPr="00002625">
              <w:t>)</w:t>
            </w:r>
            <w:r w:rsidRPr="00002625">
              <w:rPr>
                <w:rFonts w:cs="Calibri"/>
                <w:color w:val="000000" w:themeColor="text1"/>
              </w:rPr>
              <w:t xml:space="preserve"> who fulfil at least one of the following criteria</w:t>
            </w:r>
            <w:r w:rsidR="007E15A7" w:rsidRPr="00002625">
              <w:rPr>
                <w:rFonts w:cs="Calibri"/>
                <w:color w:val="000000" w:themeColor="text1"/>
              </w:rPr>
              <w:t>:</w:t>
            </w:r>
          </w:p>
          <w:p w14:paraId="020D97A0" w14:textId="307F0698" w:rsidR="005E3CF7" w:rsidRPr="00002625" w:rsidRDefault="005E3CF7" w:rsidP="000773E1">
            <w:pPr>
              <w:pStyle w:val="TableText0"/>
              <w:numPr>
                <w:ilvl w:val="0"/>
                <w:numId w:val="11"/>
              </w:numPr>
            </w:pPr>
            <w:r w:rsidRPr="00002625">
              <w:t xml:space="preserve">have </w:t>
            </w:r>
            <w:r w:rsidR="003B2A67" w:rsidRPr="00002625">
              <w:t>low risk</w:t>
            </w:r>
            <w:r w:rsidR="003B2A67" w:rsidRPr="00002625">
              <w:rPr>
                <w:vertAlign w:val="superscript"/>
              </w:rPr>
              <w:t>a</w:t>
            </w:r>
            <w:r w:rsidR="003B2A67" w:rsidRPr="00002625">
              <w:t xml:space="preserve"> </w:t>
            </w:r>
            <w:r w:rsidRPr="00002625">
              <w:t>symptoms suggestive of CRC</w:t>
            </w:r>
          </w:p>
          <w:p w14:paraId="5E7E86CD" w14:textId="4E2F8588" w:rsidR="005E3CF7" w:rsidRPr="00002625" w:rsidRDefault="005E3CF7" w:rsidP="000773E1">
            <w:pPr>
              <w:pStyle w:val="TableText0"/>
              <w:numPr>
                <w:ilvl w:val="0"/>
                <w:numId w:val="11"/>
              </w:numPr>
            </w:pPr>
            <w:r w:rsidRPr="00002625">
              <w:t>have a positive faecal occult blood test (FOBT)</w:t>
            </w:r>
          </w:p>
          <w:p w14:paraId="370650B9" w14:textId="573C20D8" w:rsidR="005E3CF7" w:rsidRPr="00002625" w:rsidRDefault="005E3CF7" w:rsidP="000773E1">
            <w:pPr>
              <w:pStyle w:val="TableText0"/>
              <w:numPr>
                <w:ilvl w:val="0"/>
                <w:numId w:val="11"/>
              </w:numPr>
            </w:pPr>
            <w:r w:rsidRPr="00002625">
              <w:t>for whom diagnostic imaging has shown an abnormality of the colon</w:t>
            </w:r>
          </w:p>
          <w:p w14:paraId="0853A96B" w14:textId="5752C169" w:rsidR="005E3CF7" w:rsidRPr="00002625" w:rsidRDefault="004628A5" w:rsidP="000773E1">
            <w:pPr>
              <w:pStyle w:val="TableText0"/>
              <w:numPr>
                <w:ilvl w:val="0"/>
                <w:numId w:val="11"/>
              </w:numPr>
            </w:pPr>
            <w:r w:rsidRPr="00002625">
              <w:t>have</w:t>
            </w:r>
            <w:r w:rsidR="00791939" w:rsidRPr="00002625">
              <w:t xml:space="preserve"> a relative </w:t>
            </w:r>
            <w:r w:rsidR="00726B67" w:rsidRPr="00002625">
              <w:t xml:space="preserve">or absolute </w:t>
            </w:r>
            <w:r w:rsidR="00791939" w:rsidRPr="00002625">
              <w:t xml:space="preserve">contraindication </w:t>
            </w:r>
            <w:r w:rsidR="00BA2760" w:rsidRPr="00002625">
              <w:t>for colonoscopy</w:t>
            </w:r>
            <w:r w:rsidR="00A5317B" w:rsidRPr="00002625">
              <w:t xml:space="preserve"> </w:t>
            </w:r>
          </w:p>
          <w:p w14:paraId="52BC1B76" w14:textId="58FE6F77" w:rsidR="005E3CF7" w:rsidRPr="00002625" w:rsidRDefault="005E3CF7" w:rsidP="000773E1">
            <w:pPr>
              <w:pStyle w:val="TableText0"/>
              <w:numPr>
                <w:ilvl w:val="0"/>
                <w:numId w:val="11"/>
              </w:numPr>
            </w:pPr>
            <w:r w:rsidRPr="00002625">
              <w:t>with a medical history of incomplete colonoscopy</w:t>
            </w:r>
            <w:r w:rsidR="00CF707B" w:rsidRPr="00002625">
              <w:t xml:space="preserve"> (</w:t>
            </w:r>
            <w:r w:rsidR="009C7034" w:rsidRPr="00002625">
              <w:t>in</w:t>
            </w:r>
            <w:r w:rsidR="00DC0380" w:rsidRPr="00002625">
              <w:t>clud</w:t>
            </w:r>
            <w:r w:rsidR="00D60101" w:rsidRPr="00002625">
              <w:t>ing</w:t>
            </w:r>
            <w:r w:rsidR="00DC0380" w:rsidRPr="00002625">
              <w:t xml:space="preserve"> patients</w:t>
            </w:r>
            <w:r w:rsidR="00D8559C" w:rsidRPr="00002625">
              <w:t xml:space="preserve"> who fall outside of </w:t>
            </w:r>
            <w:r w:rsidR="006E66AC" w:rsidRPr="00002625">
              <w:t>current requirement that incomplete</w:t>
            </w:r>
            <w:r w:rsidR="00A906D3" w:rsidRPr="00002625">
              <w:t xml:space="preserve"> colonoscopy </w:t>
            </w:r>
            <w:r w:rsidR="00861099" w:rsidRPr="00002625">
              <w:t>must have occurred within 3 months)</w:t>
            </w:r>
          </w:p>
          <w:p w14:paraId="4A4FF7C2" w14:textId="4DBFF1B8" w:rsidR="006478E7" w:rsidRPr="00002625" w:rsidRDefault="006478E7" w:rsidP="00302EEA">
            <w:pPr>
              <w:pStyle w:val="TableText0"/>
            </w:pPr>
          </w:p>
        </w:tc>
      </w:tr>
      <w:tr w:rsidR="006478E7" w:rsidRPr="00002625" w14:paraId="2A9CC9A6" w14:textId="77777777" w:rsidTr="00302EEA">
        <w:tc>
          <w:tcPr>
            <w:tcW w:w="886" w:type="pct"/>
            <w:hideMark/>
          </w:tcPr>
          <w:p w14:paraId="75E49351" w14:textId="46245915" w:rsidR="006478E7" w:rsidRPr="00002625" w:rsidRDefault="006478E7" w:rsidP="004B22FE">
            <w:pPr>
              <w:pStyle w:val="TableText0"/>
              <w:rPr>
                <w:rFonts w:cs="Arial"/>
              </w:rPr>
            </w:pPr>
            <w:r w:rsidRPr="00002625">
              <w:rPr>
                <w:rFonts w:cs="Arial"/>
              </w:rPr>
              <w:t>Prior tests</w:t>
            </w:r>
            <w:r w:rsidR="00C54349" w:rsidRPr="00002625">
              <w:rPr>
                <w:rFonts w:cs="Arial"/>
              </w:rPr>
              <w:t xml:space="preserve"> </w:t>
            </w:r>
          </w:p>
        </w:tc>
        <w:tc>
          <w:tcPr>
            <w:tcW w:w="4114" w:type="pct"/>
            <w:hideMark/>
          </w:tcPr>
          <w:p w14:paraId="5CF47E43" w14:textId="180B2552" w:rsidR="006478E7" w:rsidRPr="00002625" w:rsidRDefault="007253C5" w:rsidP="004B22FE">
            <w:pPr>
              <w:pStyle w:val="TableText0"/>
            </w:pPr>
            <w:r w:rsidRPr="00002625">
              <w:t>No prior testing</w:t>
            </w:r>
          </w:p>
        </w:tc>
      </w:tr>
      <w:tr w:rsidR="006478E7" w:rsidRPr="00002625" w14:paraId="654E13A9" w14:textId="77777777" w:rsidTr="00302EEA">
        <w:tc>
          <w:tcPr>
            <w:tcW w:w="886" w:type="pct"/>
            <w:hideMark/>
          </w:tcPr>
          <w:p w14:paraId="5BF0C211" w14:textId="77777777" w:rsidR="006478E7" w:rsidRPr="00002625" w:rsidRDefault="006478E7" w:rsidP="004B22FE">
            <w:pPr>
              <w:pStyle w:val="TableText0"/>
              <w:rPr>
                <w:rFonts w:cs="Arial"/>
              </w:rPr>
            </w:pPr>
            <w:r w:rsidRPr="00002625">
              <w:rPr>
                <w:rFonts w:cs="Arial"/>
              </w:rPr>
              <w:t>Intervention</w:t>
            </w:r>
          </w:p>
        </w:tc>
        <w:tc>
          <w:tcPr>
            <w:tcW w:w="4114" w:type="pct"/>
            <w:hideMark/>
          </w:tcPr>
          <w:p w14:paraId="3E51DB12" w14:textId="15A97EAB" w:rsidR="006478E7" w:rsidRPr="00002625" w:rsidRDefault="000A7705" w:rsidP="004B22FE">
            <w:pPr>
              <w:pStyle w:val="TableText0"/>
            </w:pPr>
            <w:r w:rsidRPr="00002625">
              <w:t>Computed tomography colonography</w:t>
            </w:r>
            <w:r w:rsidR="00C939B7" w:rsidRPr="00002625">
              <w:t xml:space="preserve"> (CTC)</w:t>
            </w:r>
          </w:p>
        </w:tc>
      </w:tr>
      <w:tr w:rsidR="000A7705" w:rsidRPr="00002625" w14:paraId="1F5647C3" w14:textId="77777777" w:rsidTr="00302EEA">
        <w:tc>
          <w:tcPr>
            <w:tcW w:w="886" w:type="pct"/>
            <w:hideMark/>
          </w:tcPr>
          <w:p w14:paraId="7F55173A" w14:textId="77777777" w:rsidR="000A7705" w:rsidRPr="00002625" w:rsidRDefault="000A7705" w:rsidP="004B22FE">
            <w:pPr>
              <w:pStyle w:val="TableText0"/>
              <w:rPr>
                <w:rFonts w:cs="Arial"/>
              </w:rPr>
            </w:pPr>
            <w:r w:rsidRPr="00002625">
              <w:rPr>
                <w:rFonts w:cs="Arial"/>
              </w:rPr>
              <w:t>Comparator/s</w:t>
            </w:r>
          </w:p>
        </w:tc>
        <w:tc>
          <w:tcPr>
            <w:tcW w:w="4114" w:type="pct"/>
            <w:hideMark/>
          </w:tcPr>
          <w:p w14:paraId="7E690E4B" w14:textId="7DA074FB" w:rsidR="000A7705" w:rsidRPr="00002625" w:rsidRDefault="000A7705" w:rsidP="004B22FE">
            <w:pPr>
              <w:pStyle w:val="TableText0"/>
            </w:pPr>
            <w:r w:rsidRPr="00002625">
              <w:t>Colonoscopy</w:t>
            </w:r>
          </w:p>
        </w:tc>
      </w:tr>
      <w:tr w:rsidR="000A7705" w:rsidRPr="00002625" w14:paraId="7B9D3F1A" w14:textId="77777777" w:rsidTr="00302EEA">
        <w:tc>
          <w:tcPr>
            <w:tcW w:w="886" w:type="pct"/>
          </w:tcPr>
          <w:p w14:paraId="4C0BC8B3" w14:textId="5A475CB8" w:rsidR="000A7705" w:rsidRPr="00002625" w:rsidRDefault="000A7705" w:rsidP="00302EEA">
            <w:pPr>
              <w:pStyle w:val="TableText0"/>
              <w:rPr>
                <w:rFonts w:cs="Arial"/>
              </w:rPr>
            </w:pPr>
            <w:r w:rsidRPr="00002625">
              <w:rPr>
                <w:rFonts w:cs="Arial"/>
              </w:rPr>
              <w:t xml:space="preserve">Reference standard </w:t>
            </w:r>
          </w:p>
        </w:tc>
        <w:tc>
          <w:tcPr>
            <w:tcW w:w="4114" w:type="pct"/>
          </w:tcPr>
          <w:p w14:paraId="7B1F5217" w14:textId="6280769A" w:rsidR="000A7705" w:rsidRPr="00002625" w:rsidRDefault="000A7705" w:rsidP="00302EEA">
            <w:pPr>
              <w:pStyle w:val="TableText0"/>
            </w:pPr>
            <w:r w:rsidRPr="00002625">
              <w:t>Colonoscopy</w:t>
            </w:r>
          </w:p>
        </w:tc>
      </w:tr>
      <w:tr w:rsidR="004B22FE" w:rsidRPr="00002625" w14:paraId="3C624E4D" w14:textId="77777777" w:rsidTr="00E12468">
        <w:tc>
          <w:tcPr>
            <w:tcW w:w="886" w:type="pct"/>
          </w:tcPr>
          <w:p w14:paraId="14546766" w14:textId="5EB1858F" w:rsidR="004B22FE" w:rsidRPr="00002625" w:rsidRDefault="004B22FE" w:rsidP="004B22FE">
            <w:pPr>
              <w:pStyle w:val="TableText0"/>
              <w:rPr>
                <w:rFonts w:cs="Arial"/>
              </w:rPr>
            </w:pPr>
            <w:r w:rsidRPr="00002625">
              <w:rPr>
                <w:rFonts w:cs="Arial"/>
              </w:rPr>
              <w:t>Outcomes</w:t>
            </w:r>
          </w:p>
        </w:tc>
        <w:tc>
          <w:tcPr>
            <w:tcW w:w="4114" w:type="pct"/>
          </w:tcPr>
          <w:p w14:paraId="0B75E801" w14:textId="77777777" w:rsidR="00B21911" w:rsidRPr="00002625" w:rsidRDefault="00B21911" w:rsidP="00B21911">
            <w:pPr>
              <w:rPr>
                <w:rFonts w:ascii="Arial Narrow" w:hAnsi="Arial Narrow"/>
                <w:sz w:val="20"/>
                <w:szCs w:val="20"/>
              </w:rPr>
            </w:pPr>
            <w:r w:rsidRPr="00002625">
              <w:rPr>
                <w:rFonts w:ascii="Arial Narrow" w:hAnsi="Arial Narrow"/>
                <w:sz w:val="20"/>
                <w:szCs w:val="20"/>
              </w:rPr>
              <w:t xml:space="preserve">Efficacy/effectiveness </w:t>
            </w:r>
          </w:p>
          <w:p w14:paraId="45522609" w14:textId="52501E11" w:rsidR="00B21911" w:rsidRPr="00002625" w:rsidRDefault="00B21911" w:rsidP="000773E1">
            <w:pPr>
              <w:pStyle w:val="ListParagraph"/>
              <w:numPr>
                <w:ilvl w:val="0"/>
                <w:numId w:val="12"/>
              </w:numPr>
              <w:rPr>
                <w:rFonts w:ascii="Arial Narrow" w:hAnsi="Arial Narrow"/>
                <w:sz w:val="20"/>
                <w:szCs w:val="20"/>
              </w:rPr>
            </w:pPr>
            <w:r w:rsidRPr="00002625">
              <w:rPr>
                <w:rFonts w:ascii="Arial Narrow" w:hAnsi="Arial Narrow"/>
                <w:sz w:val="20"/>
                <w:szCs w:val="20"/>
              </w:rPr>
              <w:t xml:space="preserve">Polyp detection rates, for adenomas, total serrated polyps, </w:t>
            </w:r>
            <w:r w:rsidR="0096151B" w:rsidRPr="00002625">
              <w:rPr>
                <w:rFonts w:ascii="Arial Narrow" w:hAnsi="Arial Narrow"/>
                <w:sz w:val="20"/>
                <w:szCs w:val="20"/>
              </w:rPr>
              <w:t xml:space="preserve">sessile serrated adenomas/polyps (SSA/Ps) and traditional serrated adenomas (TSAs) </w:t>
            </w:r>
            <w:r w:rsidRPr="00002625">
              <w:rPr>
                <w:rFonts w:ascii="Arial Narrow" w:hAnsi="Arial Narrow"/>
                <w:sz w:val="20"/>
                <w:szCs w:val="20"/>
              </w:rPr>
              <w:t>(where available)</w:t>
            </w:r>
          </w:p>
          <w:p w14:paraId="7B89FF88" w14:textId="77777777" w:rsidR="00B21911" w:rsidRPr="00002625" w:rsidRDefault="00B21911" w:rsidP="000773E1">
            <w:pPr>
              <w:pStyle w:val="ListParagraph"/>
              <w:numPr>
                <w:ilvl w:val="0"/>
                <w:numId w:val="12"/>
              </w:numPr>
              <w:rPr>
                <w:rFonts w:ascii="Arial Narrow" w:hAnsi="Arial Narrow"/>
                <w:sz w:val="20"/>
                <w:szCs w:val="20"/>
              </w:rPr>
            </w:pPr>
            <w:r w:rsidRPr="00002625">
              <w:rPr>
                <w:rFonts w:ascii="Arial Narrow" w:hAnsi="Arial Narrow"/>
                <w:sz w:val="20"/>
                <w:szCs w:val="20"/>
              </w:rPr>
              <w:t>Diagnostic performance (accuracy, sensitivity, specificity)</w:t>
            </w:r>
          </w:p>
          <w:p w14:paraId="781D038E" w14:textId="77777777" w:rsidR="00B21911" w:rsidRPr="00002625" w:rsidRDefault="00B21911" w:rsidP="000773E1">
            <w:pPr>
              <w:pStyle w:val="ListParagraph"/>
              <w:numPr>
                <w:ilvl w:val="0"/>
                <w:numId w:val="12"/>
              </w:numPr>
              <w:rPr>
                <w:rFonts w:ascii="Arial Narrow" w:hAnsi="Arial Narrow"/>
                <w:sz w:val="20"/>
                <w:szCs w:val="20"/>
              </w:rPr>
            </w:pPr>
            <w:r w:rsidRPr="00002625">
              <w:rPr>
                <w:rFonts w:ascii="Arial Narrow" w:hAnsi="Arial Narrow"/>
                <w:sz w:val="20"/>
                <w:szCs w:val="20"/>
              </w:rPr>
              <w:t xml:space="preserve">Subsequent cancer incidence (referred to as post-colonoscopy CRC for the comparator) </w:t>
            </w:r>
          </w:p>
          <w:p w14:paraId="05916CD7" w14:textId="77777777" w:rsidR="00B21911" w:rsidRPr="00002625" w:rsidRDefault="00B21911" w:rsidP="000773E1">
            <w:pPr>
              <w:pStyle w:val="ListParagraph"/>
              <w:numPr>
                <w:ilvl w:val="0"/>
                <w:numId w:val="12"/>
              </w:numPr>
              <w:rPr>
                <w:rFonts w:ascii="Arial Narrow" w:hAnsi="Arial Narrow"/>
                <w:sz w:val="20"/>
                <w:szCs w:val="20"/>
              </w:rPr>
            </w:pPr>
            <w:r w:rsidRPr="00002625">
              <w:rPr>
                <w:rFonts w:ascii="Arial Narrow" w:hAnsi="Arial Narrow"/>
                <w:sz w:val="20"/>
                <w:szCs w:val="20"/>
              </w:rPr>
              <w:t>Health-related quality of life (HRQOL)</w:t>
            </w:r>
          </w:p>
          <w:p w14:paraId="37091992" w14:textId="77777777" w:rsidR="00B21911" w:rsidRPr="00002625" w:rsidRDefault="00B21911" w:rsidP="000773E1">
            <w:pPr>
              <w:pStyle w:val="ListParagraph"/>
              <w:numPr>
                <w:ilvl w:val="0"/>
                <w:numId w:val="12"/>
              </w:numPr>
              <w:rPr>
                <w:rFonts w:ascii="Arial Narrow" w:hAnsi="Arial Narrow"/>
                <w:sz w:val="20"/>
                <w:szCs w:val="20"/>
              </w:rPr>
            </w:pPr>
            <w:r w:rsidRPr="00002625">
              <w:rPr>
                <w:rFonts w:ascii="Arial Narrow" w:hAnsi="Arial Narrow"/>
                <w:sz w:val="20"/>
                <w:szCs w:val="20"/>
              </w:rPr>
              <w:t xml:space="preserve">Incomplete colonic examination </w:t>
            </w:r>
          </w:p>
          <w:p w14:paraId="7326C8FB" w14:textId="53C313AD" w:rsidR="00B21911" w:rsidRPr="00002625" w:rsidRDefault="00B21911" w:rsidP="000773E1">
            <w:pPr>
              <w:pStyle w:val="ListParagraph"/>
              <w:numPr>
                <w:ilvl w:val="0"/>
                <w:numId w:val="12"/>
              </w:numPr>
              <w:rPr>
                <w:rFonts w:ascii="Arial Narrow" w:hAnsi="Arial Narrow"/>
                <w:sz w:val="20"/>
                <w:szCs w:val="20"/>
              </w:rPr>
            </w:pPr>
            <w:r w:rsidRPr="00002625">
              <w:rPr>
                <w:rFonts w:ascii="Arial Narrow" w:hAnsi="Arial Narrow"/>
                <w:sz w:val="20"/>
                <w:szCs w:val="20"/>
              </w:rPr>
              <w:t>Time from first presentation to diagnostic assessment</w:t>
            </w:r>
          </w:p>
          <w:p w14:paraId="31F9484F" w14:textId="77777777" w:rsidR="00B21911" w:rsidRPr="00002625" w:rsidRDefault="00B21911" w:rsidP="00B21911">
            <w:pPr>
              <w:rPr>
                <w:rFonts w:ascii="Arial Narrow" w:hAnsi="Arial Narrow"/>
                <w:sz w:val="20"/>
                <w:szCs w:val="20"/>
              </w:rPr>
            </w:pPr>
            <w:r w:rsidRPr="00002625">
              <w:rPr>
                <w:rFonts w:ascii="Arial Narrow" w:hAnsi="Arial Narrow"/>
                <w:sz w:val="20"/>
                <w:szCs w:val="20"/>
              </w:rPr>
              <w:t>Safety</w:t>
            </w:r>
          </w:p>
          <w:p w14:paraId="4357D3BE" w14:textId="77777777" w:rsidR="00B21911" w:rsidRPr="00002625" w:rsidRDefault="00B21911" w:rsidP="000773E1">
            <w:pPr>
              <w:pStyle w:val="ListParagraph"/>
              <w:numPr>
                <w:ilvl w:val="0"/>
                <w:numId w:val="13"/>
              </w:numPr>
              <w:rPr>
                <w:rFonts w:ascii="Arial Narrow" w:hAnsi="Arial Narrow"/>
                <w:sz w:val="20"/>
                <w:szCs w:val="20"/>
              </w:rPr>
            </w:pPr>
            <w:r w:rsidRPr="00002625">
              <w:rPr>
                <w:rFonts w:ascii="Arial Narrow" w:hAnsi="Arial Narrow"/>
                <w:sz w:val="20"/>
                <w:szCs w:val="20"/>
              </w:rPr>
              <w:t xml:space="preserve">Bowel perforation </w:t>
            </w:r>
          </w:p>
          <w:p w14:paraId="1B630016" w14:textId="77777777" w:rsidR="00B21911" w:rsidRPr="00002625" w:rsidRDefault="00B21911" w:rsidP="000773E1">
            <w:pPr>
              <w:pStyle w:val="ListParagraph"/>
              <w:numPr>
                <w:ilvl w:val="0"/>
                <w:numId w:val="13"/>
              </w:numPr>
              <w:rPr>
                <w:rFonts w:ascii="Arial Narrow" w:hAnsi="Arial Narrow"/>
                <w:sz w:val="20"/>
                <w:szCs w:val="20"/>
              </w:rPr>
            </w:pPr>
            <w:r w:rsidRPr="00002625">
              <w:rPr>
                <w:rFonts w:ascii="Arial Narrow" w:hAnsi="Arial Narrow"/>
                <w:sz w:val="20"/>
                <w:szCs w:val="20"/>
              </w:rPr>
              <w:t xml:space="preserve">Bleeding post-colonoscopy </w:t>
            </w:r>
          </w:p>
          <w:p w14:paraId="4006FA39" w14:textId="77777777" w:rsidR="00B21911" w:rsidRPr="00002625" w:rsidRDefault="00B21911" w:rsidP="000773E1">
            <w:pPr>
              <w:pStyle w:val="ListParagraph"/>
              <w:numPr>
                <w:ilvl w:val="0"/>
                <w:numId w:val="13"/>
              </w:numPr>
              <w:rPr>
                <w:rFonts w:ascii="Arial Narrow" w:hAnsi="Arial Narrow"/>
                <w:sz w:val="20"/>
                <w:szCs w:val="20"/>
              </w:rPr>
            </w:pPr>
            <w:r w:rsidRPr="00002625">
              <w:rPr>
                <w:rFonts w:ascii="Arial Narrow" w:hAnsi="Arial Narrow"/>
                <w:sz w:val="20"/>
                <w:szCs w:val="20"/>
              </w:rPr>
              <w:t xml:space="preserve">Radiation-related events </w:t>
            </w:r>
          </w:p>
          <w:p w14:paraId="66BA3951" w14:textId="77777777" w:rsidR="00B21911" w:rsidRPr="00002625" w:rsidRDefault="00B21911" w:rsidP="000773E1">
            <w:pPr>
              <w:pStyle w:val="ListParagraph"/>
              <w:numPr>
                <w:ilvl w:val="0"/>
                <w:numId w:val="13"/>
              </w:numPr>
              <w:rPr>
                <w:rFonts w:ascii="Arial Narrow" w:hAnsi="Arial Narrow"/>
                <w:sz w:val="20"/>
                <w:szCs w:val="20"/>
              </w:rPr>
            </w:pPr>
            <w:r w:rsidRPr="00002625">
              <w:rPr>
                <w:rFonts w:ascii="Arial Narrow" w:hAnsi="Arial Narrow"/>
                <w:sz w:val="20"/>
                <w:szCs w:val="20"/>
              </w:rPr>
              <w:t xml:space="preserve">Allergic reactions to contrast media </w:t>
            </w:r>
          </w:p>
          <w:p w14:paraId="1135C5C0" w14:textId="54C74262" w:rsidR="00B21911" w:rsidRPr="00002625" w:rsidRDefault="00B21911" w:rsidP="00B21911">
            <w:pPr>
              <w:rPr>
                <w:rFonts w:ascii="Arial Narrow" w:hAnsi="Arial Narrow"/>
                <w:sz w:val="20"/>
                <w:szCs w:val="20"/>
              </w:rPr>
            </w:pPr>
            <w:r w:rsidRPr="00002625">
              <w:rPr>
                <w:rFonts w:ascii="Arial Narrow" w:hAnsi="Arial Narrow"/>
                <w:sz w:val="20"/>
                <w:szCs w:val="20"/>
              </w:rPr>
              <w:t>Healthcare resource use</w:t>
            </w:r>
          </w:p>
          <w:p w14:paraId="56F00AC0" w14:textId="77777777" w:rsidR="00B21911" w:rsidRPr="00002625" w:rsidRDefault="00B21911" w:rsidP="000773E1">
            <w:pPr>
              <w:pStyle w:val="ListParagraph"/>
              <w:numPr>
                <w:ilvl w:val="0"/>
                <w:numId w:val="7"/>
              </w:numPr>
              <w:rPr>
                <w:rFonts w:ascii="Arial Narrow" w:hAnsi="Arial Narrow"/>
                <w:sz w:val="20"/>
                <w:szCs w:val="20"/>
              </w:rPr>
            </w:pPr>
            <w:r w:rsidRPr="00002625">
              <w:rPr>
                <w:rFonts w:ascii="Arial Narrow" w:hAnsi="Arial Narrow"/>
                <w:sz w:val="20"/>
                <w:szCs w:val="20"/>
              </w:rPr>
              <w:t>Extracolonic findings (as a measure of onward costs)</w:t>
            </w:r>
          </w:p>
          <w:p w14:paraId="050F70AD" w14:textId="305DB651" w:rsidR="0096151B" w:rsidRPr="00002625" w:rsidRDefault="00B21911" w:rsidP="000773E1">
            <w:pPr>
              <w:pStyle w:val="ListParagraph"/>
              <w:numPr>
                <w:ilvl w:val="0"/>
                <w:numId w:val="7"/>
              </w:numPr>
              <w:rPr>
                <w:szCs w:val="20"/>
              </w:rPr>
            </w:pPr>
            <w:r w:rsidRPr="00002625">
              <w:rPr>
                <w:rFonts w:ascii="Arial Narrow" w:hAnsi="Arial Narrow"/>
                <w:sz w:val="20"/>
                <w:szCs w:val="20"/>
              </w:rPr>
              <w:t>Onward referrals (colonoscopy/biopsy/polypectomy incidence or rate)</w:t>
            </w:r>
          </w:p>
        </w:tc>
      </w:tr>
      <w:tr w:rsidR="004B22FE" w:rsidRPr="00002625" w14:paraId="4A55FFDB" w14:textId="77777777" w:rsidTr="00302EEA">
        <w:tc>
          <w:tcPr>
            <w:tcW w:w="886" w:type="pct"/>
          </w:tcPr>
          <w:p w14:paraId="003B36EC" w14:textId="77777777" w:rsidR="004B22FE" w:rsidRPr="00002625" w:rsidRDefault="004B22FE" w:rsidP="00302EEA">
            <w:pPr>
              <w:pStyle w:val="TableText0"/>
              <w:rPr>
                <w:rFonts w:cs="Arial"/>
              </w:rPr>
            </w:pPr>
            <w:r w:rsidRPr="00002625">
              <w:rPr>
                <w:rFonts w:cs="Arial"/>
              </w:rPr>
              <w:t>Assessment questions</w:t>
            </w:r>
          </w:p>
        </w:tc>
        <w:tc>
          <w:tcPr>
            <w:tcW w:w="4114" w:type="pct"/>
          </w:tcPr>
          <w:p w14:paraId="7AB69A9A" w14:textId="22AD8379" w:rsidR="004B22FE" w:rsidRPr="00002625" w:rsidRDefault="004B22FE" w:rsidP="004B22FE">
            <w:pPr>
              <w:pStyle w:val="TableText0"/>
              <w:rPr>
                <w:color w:val="000000" w:themeColor="text1"/>
              </w:rPr>
            </w:pPr>
            <w:r w:rsidRPr="00002625">
              <w:rPr>
                <w:color w:val="000000" w:themeColor="text1"/>
              </w:rPr>
              <w:t xml:space="preserve">What is the safety, effectiveness and cost-effectiveness of CTC versus colonoscopy in patients requiring </w:t>
            </w:r>
            <w:r w:rsidR="00026A3E" w:rsidRPr="00002625">
              <w:rPr>
                <w:color w:val="000000" w:themeColor="text1"/>
              </w:rPr>
              <w:t>colonic</w:t>
            </w:r>
            <w:r w:rsidRPr="00002625">
              <w:rPr>
                <w:color w:val="000000" w:themeColor="text1"/>
              </w:rPr>
              <w:t xml:space="preserve"> investigation </w:t>
            </w:r>
            <w:r w:rsidR="00655E60" w:rsidRPr="00002625">
              <w:rPr>
                <w:color w:val="000000" w:themeColor="text1"/>
              </w:rPr>
              <w:t>for the</w:t>
            </w:r>
            <w:r w:rsidRPr="00002625">
              <w:rPr>
                <w:color w:val="000000" w:themeColor="text1"/>
              </w:rPr>
              <w:t xml:space="preserve"> specified population</w:t>
            </w:r>
          </w:p>
        </w:tc>
      </w:tr>
    </w:tbl>
    <w:p w14:paraId="747BFE6F" w14:textId="20353478" w:rsidR="003B2A67" w:rsidRPr="00002625" w:rsidRDefault="003B2A67" w:rsidP="003B2A67">
      <w:pPr>
        <w:pStyle w:val="Tablenotes"/>
      </w:pPr>
      <w:r w:rsidRPr="00002625">
        <w:rPr>
          <w:vertAlign w:val="superscript"/>
        </w:rPr>
        <w:t>a</w:t>
      </w:r>
      <w:r w:rsidRPr="00002625">
        <w:t xml:space="preserve"> “low risk” refers to patients with symptoms suggestive of CRC that do not include symptoms such as rectal bleeding, anaemia or unexplained weight loss that would otherwise warrant urgent referral for colonoscopy. </w:t>
      </w:r>
    </w:p>
    <w:p w14:paraId="5D5376EF" w14:textId="4DD13B40" w:rsidR="006478E7" w:rsidRPr="00002625" w:rsidRDefault="006478E7" w:rsidP="00E01349">
      <w:r w:rsidRPr="00002625">
        <w:br w:type="page"/>
      </w:r>
    </w:p>
    <w:p w14:paraId="6EBC7877" w14:textId="6DFC48C4" w:rsidR="00221D33" w:rsidRPr="00002625" w:rsidRDefault="00221D33" w:rsidP="00221D33">
      <w:pPr>
        <w:pStyle w:val="Caption"/>
        <w:rPr>
          <w:lang w:val="en-AU"/>
        </w:rPr>
      </w:pPr>
      <w:r w:rsidRPr="00002625">
        <w:rPr>
          <w:lang w:val="en-AU"/>
        </w:rPr>
        <w:lastRenderedPageBreak/>
        <w:t>Table </w:t>
      </w:r>
      <w:r w:rsidRPr="00002625">
        <w:rPr>
          <w:lang w:val="en-AU"/>
        </w:rPr>
        <w:fldChar w:fldCharType="begin"/>
      </w:r>
      <w:r w:rsidRPr="00002625">
        <w:rPr>
          <w:lang w:val="en-AU"/>
        </w:rPr>
        <w:instrText xml:space="preserve"> SEQ Table \* ARABIC </w:instrText>
      </w:r>
      <w:r w:rsidRPr="00002625">
        <w:rPr>
          <w:lang w:val="en-AU"/>
        </w:rPr>
        <w:fldChar w:fldCharType="separate"/>
      </w:r>
      <w:r w:rsidR="00637321" w:rsidRPr="00002625">
        <w:rPr>
          <w:noProof/>
          <w:lang w:val="en-AU"/>
        </w:rPr>
        <w:t>2</w:t>
      </w:r>
      <w:r w:rsidRPr="00002625">
        <w:rPr>
          <w:lang w:val="en-AU"/>
        </w:rPr>
        <w:fldChar w:fldCharType="end"/>
      </w:r>
      <w:r w:rsidRPr="00002625">
        <w:rPr>
          <w:lang w:val="en-AU"/>
        </w:rPr>
        <w:tab/>
        <w:t xml:space="preserve">PICO for computed tomography colonography (CTC) for surveillance of patients </w:t>
      </w:r>
      <w:r w:rsidR="00776D0B" w:rsidRPr="00002625">
        <w:rPr>
          <w:lang w:val="en-AU"/>
        </w:rPr>
        <w:t>with previously detected colonic polyps</w:t>
      </w:r>
      <w:r w:rsidRPr="00002625">
        <w:rPr>
          <w:lang w:val="en-AU"/>
        </w:rPr>
        <w:t xml:space="preserve">: PICO </w:t>
      </w:r>
      <w:r w:rsidR="00216DFA" w:rsidRPr="00002625">
        <w:rPr>
          <w:lang w:val="en-AU"/>
        </w:rPr>
        <w:t>s</w:t>
      </w:r>
      <w:r w:rsidRPr="00002625">
        <w:rPr>
          <w:lang w:val="en-AU"/>
        </w:rPr>
        <w:t xml:space="preserve">et </w:t>
      </w:r>
      <w:r w:rsidR="00776D0B" w:rsidRPr="00002625">
        <w:rPr>
          <w:lang w:val="en-A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2 PICO for computed tomography colonography (CTC) for surveillance of patients with previously detected colonic polyps: PICO set 2"/>
        <w:tblDescription w:val="Table showing PICO for computed tomography colonography (CTC) for surveillance of patients with previously detected colonic polyps: PICO set 2"/>
      </w:tblPr>
      <w:tblGrid>
        <w:gridCol w:w="1924"/>
        <w:gridCol w:w="7647"/>
      </w:tblGrid>
      <w:tr w:rsidR="00221D33" w:rsidRPr="00002625" w14:paraId="4A5160DD" w14:textId="77777777" w:rsidTr="00986867">
        <w:trPr>
          <w:trHeight w:val="372"/>
          <w:tblHeader/>
        </w:trPr>
        <w:tc>
          <w:tcPr>
            <w:tcW w:w="1005" w:type="pct"/>
            <w:shd w:val="clear" w:color="auto" w:fill="D9D9D9"/>
            <w:vAlign w:val="center"/>
            <w:hideMark/>
          </w:tcPr>
          <w:p w14:paraId="4F66674A" w14:textId="77777777" w:rsidR="00221D33" w:rsidRPr="00002625" w:rsidRDefault="00221D33" w:rsidP="00302EEA">
            <w:pPr>
              <w:pStyle w:val="TableHeading"/>
            </w:pPr>
            <w:r w:rsidRPr="00002625">
              <w:t>Component</w:t>
            </w:r>
          </w:p>
        </w:tc>
        <w:tc>
          <w:tcPr>
            <w:tcW w:w="3995" w:type="pct"/>
            <w:shd w:val="clear" w:color="auto" w:fill="D9D9D9"/>
            <w:vAlign w:val="center"/>
            <w:hideMark/>
          </w:tcPr>
          <w:p w14:paraId="269557AD" w14:textId="77777777" w:rsidR="00221D33" w:rsidRPr="00002625" w:rsidRDefault="00221D33" w:rsidP="00302EEA">
            <w:pPr>
              <w:pStyle w:val="TableHeading"/>
            </w:pPr>
            <w:r w:rsidRPr="00002625">
              <w:t>Description</w:t>
            </w:r>
          </w:p>
        </w:tc>
      </w:tr>
      <w:tr w:rsidR="00221D33" w:rsidRPr="00002625" w14:paraId="5E1612B0" w14:textId="77777777" w:rsidTr="00986867">
        <w:tc>
          <w:tcPr>
            <w:tcW w:w="1005" w:type="pct"/>
            <w:hideMark/>
          </w:tcPr>
          <w:p w14:paraId="2EFDD009" w14:textId="77777777" w:rsidR="00221D33" w:rsidRPr="00002625" w:rsidRDefault="00221D33" w:rsidP="00302EEA">
            <w:pPr>
              <w:pStyle w:val="TableText0"/>
              <w:rPr>
                <w:rFonts w:cs="Arial"/>
              </w:rPr>
            </w:pPr>
            <w:r w:rsidRPr="00002625">
              <w:rPr>
                <w:rFonts w:cs="Arial"/>
              </w:rPr>
              <w:t>Population</w:t>
            </w:r>
          </w:p>
        </w:tc>
        <w:tc>
          <w:tcPr>
            <w:tcW w:w="3995" w:type="pct"/>
            <w:hideMark/>
          </w:tcPr>
          <w:p w14:paraId="43B050BC" w14:textId="57A8F8B5" w:rsidR="00221D33" w:rsidRPr="00002625" w:rsidRDefault="00683B40" w:rsidP="00302EEA">
            <w:pPr>
              <w:pStyle w:val="TableText0"/>
            </w:pPr>
            <w:r w:rsidRPr="00002625">
              <w:t>Patients with prior diagnosis of colorectal polyps or</w:t>
            </w:r>
            <w:r w:rsidR="00DE6DEC" w:rsidRPr="00002625">
              <w:t xml:space="preserve"> colorectal</w:t>
            </w:r>
            <w:r w:rsidRPr="00002625">
              <w:t xml:space="preserve"> cancer</w:t>
            </w:r>
            <w:r w:rsidR="00DE6DEC" w:rsidRPr="00002625">
              <w:t xml:space="preserve"> (CRC)</w:t>
            </w:r>
            <w:r w:rsidRPr="00002625">
              <w:t xml:space="preserve"> who require surveillance</w:t>
            </w:r>
          </w:p>
        </w:tc>
      </w:tr>
      <w:tr w:rsidR="00221D33" w:rsidRPr="00002625" w14:paraId="390998F5" w14:textId="77777777" w:rsidTr="00986867">
        <w:tc>
          <w:tcPr>
            <w:tcW w:w="1005" w:type="pct"/>
            <w:hideMark/>
          </w:tcPr>
          <w:p w14:paraId="0FD7D457" w14:textId="77777777" w:rsidR="00221D33" w:rsidRPr="00002625" w:rsidRDefault="00221D33" w:rsidP="00302EEA">
            <w:pPr>
              <w:pStyle w:val="TableText0"/>
              <w:rPr>
                <w:rFonts w:cs="Arial"/>
              </w:rPr>
            </w:pPr>
            <w:r w:rsidRPr="00002625">
              <w:rPr>
                <w:rFonts w:cs="Arial"/>
              </w:rPr>
              <w:t xml:space="preserve">Prior tests </w:t>
            </w:r>
          </w:p>
        </w:tc>
        <w:tc>
          <w:tcPr>
            <w:tcW w:w="3995" w:type="pct"/>
            <w:hideMark/>
          </w:tcPr>
          <w:p w14:paraId="65F9BE62" w14:textId="085A21EE" w:rsidR="00221D33" w:rsidRPr="00002625" w:rsidRDefault="005529C5" w:rsidP="00302EEA">
            <w:pPr>
              <w:pStyle w:val="TableText0"/>
            </w:pPr>
            <w:r w:rsidRPr="00002625">
              <w:t>No prior testing</w:t>
            </w:r>
          </w:p>
        </w:tc>
      </w:tr>
      <w:tr w:rsidR="00221D33" w:rsidRPr="00002625" w14:paraId="146C1A90" w14:textId="77777777" w:rsidTr="00986867">
        <w:tc>
          <w:tcPr>
            <w:tcW w:w="1005" w:type="pct"/>
            <w:hideMark/>
          </w:tcPr>
          <w:p w14:paraId="403DC34C" w14:textId="77777777" w:rsidR="00221D33" w:rsidRPr="00002625" w:rsidRDefault="00221D33" w:rsidP="008E56A6">
            <w:pPr>
              <w:pStyle w:val="TableText0"/>
              <w:rPr>
                <w:rFonts w:cs="Arial"/>
              </w:rPr>
            </w:pPr>
            <w:r w:rsidRPr="00002625">
              <w:rPr>
                <w:rFonts w:cs="Arial"/>
              </w:rPr>
              <w:t>Intervention</w:t>
            </w:r>
          </w:p>
        </w:tc>
        <w:tc>
          <w:tcPr>
            <w:tcW w:w="3995" w:type="pct"/>
            <w:hideMark/>
          </w:tcPr>
          <w:p w14:paraId="1C7A21B7" w14:textId="6970942B" w:rsidR="00221D33" w:rsidRPr="00002625" w:rsidRDefault="00221D33" w:rsidP="008E56A6">
            <w:pPr>
              <w:pStyle w:val="TableText0"/>
            </w:pPr>
            <w:r w:rsidRPr="00002625">
              <w:t>Computed tomography colonography</w:t>
            </w:r>
            <w:r w:rsidR="00583594" w:rsidRPr="00002625">
              <w:t xml:space="preserve"> (CTC)</w:t>
            </w:r>
          </w:p>
        </w:tc>
      </w:tr>
      <w:tr w:rsidR="00221D33" w:rsidRPr="00002625" w14:paraId="234E2DE6" w14:textId="77777777" w:rsidTr="00986867">
        <w:tc>
          <w:tcPr>
            <w:tcW w:w="1005" w:type="pct"/>
            <w:hideMark/>
          </w:tcPr>
          <w:p w14:paraId="1243B8D1" w14:textId="77777777" w:rsidR="00221D33" w:rsidRPr="00002625" w:rsidRDefault="00221D33" w:rsidP="00302EEA">
            <w:pPr>
              <w:pStyle w:val="TableText0"/>
              <w:rPr>
                <w:rFonts w:cs="Arial"/>
              </w:rPr>
            </w:pPr>
            <w:r w:rsidRPr="00002625">
              <w:rPr>
                <w:rFonts w:cs="Arial"/>
              </w:rPr>
              <w:t>Comparator/s</w:t>
            </w:r>
          </w:p>
        </w:tc>
        <w:tc>
          <w:tcPr>
            <w:tcW w:w="3995" w:type="pct"/>
            <w:hideMark/>
          </w:tcPr>
          <w:p w14:paraId="4B15EDBC" w14:textId="77777777" w:rsidR="00221D33" w:rsidRPr="00002625" w:rsidRDefault="00221D33" w:rsidP="00302EEA">
            <w:pPr>
              <w:pStyle w:val="TableText0"/>
            </w:pPr>
            <w:r w:rsidRPr="00002625">
              <w:t>Colonoscopy</w:t>
            </w:r>
          </w:p>
        </w:tc>
      </w:tr>
      <w:tr w:rsidR="00221D33" w:rsidRPr="00002625" w14:paraId="6699E73A" w14:textId="77777777" w:rsidTr="00986867">
        <w:tc>
          <w:tcPr>
            <w:tcW w:w="1005" w:type="pct"/>
          </w:tcPr>
          <w:p w14:paraId="094399EA" w14:textId="77777777" w:rsidR="00221D33" w:rsidRPr="00002625" w:rsidRDefault="00221D33" w:rsidP="00302EEA">
            <w:pPr>
              <w:pStyle w:val="TableText0"/>
              <w:rPr>
                <w:rFonts w:cs="Arial"/>
              </w:rPr>
            </w:pPr>
            <w:r w:rsidRPr="00002625">
              <w:rPr>
                <w:rFonts w:cs="Arial"/>
              </w:rPr>
              <w:t xml:space="preserve">Reference standard </w:t>
            </w:r>
          </w:p>
        </w:tc>
        <w:tc>
          <w:tcPr>
            <w:tcW w:w="3995" w:type="pct"/>
          </w:tcPr>
          <w:p w14:paraId="017452D2" w14:textId="77777777" w:rsidR="00221D33" w:rsidRPr="00002625" w:rsidRDefault="00221D33" w:rsidP="00302EEA">
            <w:pPr>
              <w:pStyle w:val="TableText0"/>
            </w:pPr>
            <w:r w:rsidRPr="00002625">
              <w:t>Colonoscopy</w:t>
            </w:r>
          </w:p>
        </w:tc>
      </w:tr>
      <w:tr w:rsidR="005907D9" w:rsidRPr="00002625" w14:paraId="3D6D0B4D" w14:textId="77777777" w:rsidTr="00986867">
        <w:tc>
          <w:tcPr>
            <w:tcW w:w="1005" w:type="pct"/>
          </w:tcPr>
          <w:p w14:paraId="42DCAF29" w14:textId="21A8E063" w:rsidR="005907D9" w:rsidRPr="00002625" w:rsidRDefault="005907D9" w:rsidP="005907D9">
            <w:pPr>
              <w:pStyle w:val="TableText0"/>
              <w:rPr>
                <w:rFonts w:cs="Arial"/>
              </w:rPr>
            </w:pPr>
            <w:r w:rsidRPr="00002625">
              <w:rPr>
                <w:rFonts w:cs="Arial"/>
              </w:rPr>
              <w:t>Outcomes</w:t>
            </w:r>
          </w:p>
        </w:tc>
        <w:tc>
          <w:tcPr>
            <w:tcW w:w="3995" w:type="pct"/>
          </w:tcPr>
          <w:p w14:paraId="2592E4A5" w14:textId="77777777" w:rsidR="005907D9" w:rsidRPr="00002625" w:rsidRDefault="005907D9" w:rsidP="005907D9">
            <w:pPr>
              <w:rPr>
                <w:rFonts w:ascii="Arial Narrow" w:hAnsi="Arial Narrow"/>
                <w:sz w:val="20"/>
                <w:szCs w:val="20"/>
              </w:rPr>
            </w:pPr>
            <w:r w:rsidRPr="00002625">
              <w:rPr>
                <w:rFonts w:ascii="Arial Narrow" w:hAnsi="Arial Narrow"/>
                <w:sz w:val="20"/>
                <w:szCs w:val="20"/>
              </w:rPr>
              <w:t xml:space="preserve">Efficacy/effectiveness </w:t>
            </w:r>
          </w:p>
          <w:p w14:paraId="0F5A4B76" w14:textId="77777777" w:rsidR="005907D9" w:rsidRPr="00002625" w:rsidRDefault="005907D9" w:rsidP="000773E1">
            <w:pPr>
              <w:pStyle w:val="ListParagraph"/>
              <w:numPr>
                <w:ilvl w:val="0"/>
                <w:numId w:val="12"/>
              </w:numPr>
              <w:rPr>
                <w:rFonts w:ascii="Arial Narrow" w:hAnsi="Arial Narrow"/>
                <w:sz w:val="20"/>
                <w:szCs w:val="20"/>
              </w:rPr>
            </w:pPr>
            <w:r w:rsidRPr="00002625">
              <w:rPr>
                <w:rFonts w:ascii="Arial Narrow" w:hAnsi="Arial Narrow"/>
                <w:sz w:val="20"/>
                <w:szCs w:val="20"/>
              </w:rPr>
              <w:t>Polyp detection rates, for adenomas, total serrated polyps, sessile serrated adenomas/polyps (SSA/Ps) and traditional serrated adenomas (TSAs) (where available)</w:t>
            </w:r>
          </w:p>
          <w:p w14:paraId="160DA637" w14:textId="77777777" w:rsidR="005907D9" w:rsidRPr="00002625" w:rsidRDefault="005907D9" w:rsidP="000773E1">
            <w:pPr>
              <w:pStyle w:val="ListParagraph"/>
              <w:numPr>
                <w:ilvl w:val="0"/>
                <w:numId w:val="12"/>
              </w:numPr>
              <w:rPr>
                <w:rFonts w:ascii="Arial Narrow" w:hAnsi="Arial Narrow"/>
                <w:sz w:val="20"/>
                <w:szCs w:val="20"/>
              </w:rPr>
            </w:pPr>
            <w:r w:rsidRPr="00002625">
              <w:rPr>
                <w:rFonts w:ascii="Arial Narrow" w:hAnsi="Arial Narrow"/>
                <w:sz w:val="20"/>
                <w:szCs w:val="20"/>
              </w:rPr>
              <w:t>Diagnostic performance (accuracy, sensitivity, specificity)</w:t>
            </w:r>
          </w:p>
          <w:p w14:paraId="24AE563D" w14:textId="77777777" w:rsidR="005907D9" w:rsidRPr="00002625" w:rsidRDefault="005907D9" w:rsidP="000773E1">
            <w:pPr>
              <w:pStyle w:val="ListParagraph"/>
              <w:numPr>
                <w:ilvl w:val="0"/>
                <w:numId w:val="12"/>
              </w:numPr>
              <w:rPr>
                <w:rFonts w:ascii="Arial Narrow" w:hAnsi="Arial Narrow"/>
                <w:sz w:val="20"/>
                <w:szCs w:val="20"/>
              </w:rPr>
            </w:pPr>
            <w:r w:rsidRPr="00002625">
              <w:rPr>
                <w:rFonts w:ascii="Arial Narrow" w:hAnsi="Arial Narrow"/>
                <w:sz w:val="20"/>
                <w:szCs w:val="20"/>
              </w:rPr>
              <w:t xml:space="preserve">Subsequent cancer incidence (referred to as post-colonoscopy CRC for the comparator) </w:t>
            </w:r>
          </w:p>
          <w:p w14:paraId="5C667F7F" w14:textId="77777777" w:rsidR="005907D9" w:rsidRPr="00002625" w:rsidRDefault="005907D9" w:rsidP="000773E1">
            <w:pPr>
              <w:pStyle w:val="ListParagraph"/>
              <w:numPr>
                <w:ilvl w:val="0"/>
                <w:numId w:val="12"/>
              </w:numPr>
              <w:rPr>
                <w:rFonts w:ascii="Arial Narrow" w:hAnsi="Arial Narrow"/>
                <w:sz w:val="20"/>
                <w:szCs w:val="20"/>
              </w:rPr>
            </w:pPr>
            <w:r w:rsidRPr="00002625">
              <w:rPr>
                <w:rFonts w:ascii="Arial Narrow" w:hAnsi="Arial Narrow"/>
                <w:sz w:val="20"/>
                <w:szCs w:val="20"/>
              </w:rPr>
              <w:t>Health-related quality of life (HRQOL)</w:t>
            </w:r>
          </w:p>
          <w:p w14:paraId="63361E86" w14:textId="77777777" w:rsidR="005907D9" w:rsidRPr="00002625" w:rsidRDefault="005907D9" w:rsidP="000773E1">
            <w:pPr>
              <w:pStyle w:val="ListParagraph"/>
              <w:numPr>
                <w:ilvl w:val="0"/>
                <w:numId w:val="12"/>
              </w:numPr>
              <w:rPr>
                <w:rFonts w:ascii="Arial Narrow" w:hAnsi="Arial Narrow"/>
                <w:sz w:val="20"/>
                <w:szCs w:val="20"/>
              </w:rPr>
            </w:pPr>
            <w:r w:rsidRPr="00002625">
              <w:rPr>
                <w:rFonts w:ascii="Arial Narrow" w:hAnsi="Arial Narrow"/>
                <w:sz w:val="20"/>
                <w:szCs w:val="20"/>
              </w:rPr>
              <w:t xml:space="preserve">Incomplete colonic examination </w:t>
            </w:r>
          </w:p>
          <w:p w14:paraId="2E3DF065" w14:textId="36BA45EE" w:rsidR="005907D9" w:rsidRPr="00002625" w:rsidRDefault="005907D9" w:rsidP="000773E1">
            <w:pPr>
              <w:pStyle w:val="ListParagraph"/>
              <w:numPr>
                <w:ilvl w:val="0"/>
                <w:numId w:val="12"/>
              </w:numPr>
              <w:rPr>
                <w:rFonts w:ascii="Arial Narrow" w:hAnsi="Arial Narrow"/>
                <w:sz w:val="20"/>
                <w:szCs w:val="20"/>
              </w:rPr>
            </w:pPr>
            <w:r w:rsidRPr="00002625">
              <w:rPr>
                <w:rFonts w:ascii="Arial Narrow" w:hAnsi="Arial Narrow"/>
                <w:sz w:val="20"/>
                <w:szCs w:val="20"/>
              </w:rPr>
              <w:t>Time from first presentation to diagnostic assessment</w:t>
            </w:r>
          </w:p>
          <w:p w14:paraId="193C13E2" w14:textId="77777777" w:rsidR="005907D9" w:rsidRPr="00002625" w:rsidRDefault="005907D9" w:rsidP="005907D9">
            <w:pPr>
              <w:rPr>
                <w:rFonts w:ascii="Arial Narrow" w:hAnsi="Arial Narrow"/>
                <w:sz w:val="20"/>
                <w:szCs w:val="20"/>
              </w:rPr>
            </w:pPr>
            <w:r w:rsidRPr="00002625">
              <w:rPr>
                <w:rFonts w:ascii="Arial Narrow" w:hAnsi="Arial Narrow"/>
                <w:sz w:val="20"/>
                <w:szCs w:val="20"/>
              </w:rPr>
              <w:t>Safety</w:t>
            </w:r>
          </w:p>
          <w:p w14:paraId="30D379A1" w14:textId="77777777" w:rsidR="005907D9" w:rsidRPr="00002625" w:rsidRDefault="005907D9" w:rsidP="000773E1">
            <w:pPr>
              <w:pStyle w:val="ListParagraph"/>
              <w:numPr>
                <w:ilvl w:val="0"/>
                <w:numId w:val="13"/>
              </w:numPr>
              <w:rPr>
                <w:rFonts w:ascii="Arial Narrow" w:hAnsi="Arial Narrow"/>
                <w:sz w:val="20"/>
                <w:szCs w:val="20"/>
              </w:rPr>
            </w:pPr>
            <w:r w:rsidRPr="00002625">
              <w:rPr>
                <w:rFonts w:ascii="Arial Narrow" w:hAnsi="Arial Narrow"/>
                <w:sz w:val="20"/>
                <w:szCs w:val="20"/>
              </w:rPr>
              <w:t xml:space="preserve">Bowel perforation </w:t>
            </w:r>
          </w:p>
          <w:p w14:paraId="3BEDD5A1" w14:textId="77777777" w:rsidR="005907D9" w:rsidRPr="00002625" w:rsidRDefault="005907D9" w:rsidP="000773E1">
            <w:pPr>
              <w:pStyle w:val="ListParagraph"/>
              <w:numPr>
                <w:ilvl w:val="0"/>
                <w:numId w:val="13"/>
              </w:numPr>
              <w:rPr>
                <w:rFonts w:ascii="Arial Narrow" w:hAnsi="Arial Narrow"/>
                <w:sz w:val="20"/>
                <w:szCs w:val="20"/>
              </w:rPr>
            </w:pPr>
            <w:r w:rsidRPr="00002625">
              <w:rPr>
                <w:rFonts w:ascii="Arial Narrow" w:hAnsi="Arial Narrow"/>
                <w:sz w:val="20"/>
                <w:szCs w:val="20"/>
              </w:rPr>
              <w:t xml:space="preserve">Bleeding post-colonoscopy </w:t>
            </w:r>
          </w:p>
          <w:p w14:paraId="2E29478C" w14:textId="77777777" w:rsidR="005907D9" w:rsidRPr="00002625" w:rsidRDefault="005907D9" w:rsidP="000773E1">
            <w:pPr>
              <w:pStyle w:val="ListParagraph"/>
              <w:numPr>
                <w:ilvl w:val="0"/>
                <w:numId w:val="13"/>
              </w:numPr>
              <w:rPr>
                <w:rFonts w:ascii="Arial Narrow" w:hAnsi="Arial Narrow"/>
                <w:sz w:val="20"/>
                <w:szCs w:val="20"/>
              </w:rPr>
            </w:pPr>
            <w:r w:rsidRPr="00002625">
              <w:rPr>
                <w:rFonts w:ascii="Arial Narrow" w:hAnsi="Arial Narrow"/>
                <w:sz w:val="20"/>
                <w:szCs w:val="20"/>
              </w:rPr>
              <w:t xml:space="preserve">Radiation-related events </w:t>
            </w:r>
          </w:p>
          <w:p w14:paraId="00AA9955" w14:textId="77777777" w:rsidR="005907D9" w:rsidRPr="00002625" w:rsidRDefault="005907D9" w:rsidP="000773E1">
            <w:pPr>
              <w:pStyle w:val="ListParagraph"/>
              <w:numPr>
                <w:ilvl w:val="0"/>
                <w:numId w:val="13"/>
              </w:numPr>
              <w:rPr>
                <w:rFonts w:ascii="Arial Narrow" w:hAnsi="Arial Narrow"/>
                <w:sz w:val="20"/>
                <w:szCs w:val="20"/>
              </w:rPr>
            </w:pPr>
            <w:r w:rsidRPr="00002625">
              <w:rPr>
                <w:rFonts w:ascii="Arial Narrow" w:hAnsi="Arial Narrow"/>
                <w:sz w:val="20"/>
                <w:szCs w:val="20"/>
              </w:rPr>
              <w:t xml:space="preserve">Allergic reactions to contrast media </w:t>
            </w:r>
          </w:p>
          <w:p w14:paraId="2BC912B2" w14:textId="77777777" w:rsidR="005907D9" w:rsidRPr="00002625" w:rsidRDefault="005907D9" w:rsidP="005907D9">
            <w:pPr>
              <w:rPr>
                <w:rFonts w:ascii="Arial Narrow" w:hAnsi="Arial Narrow"/>
                <w:sz w:val="20"/>
                <w:szCs w:val="20"/>
              </w:rPr>
            </w:pPr>
            <w:r w:rsidRPr="00002625">
              <w:rPr>
                <w:rFonts w:ascii="Arial Narrow" w:hAnsi="Arial Narrow"/>
                <w:sz w:val="20"/>
                <w:szCs w:val="20"/>
              </w:rPr>
              <w:t>Healthcare resource use</w:t>
            </w:r>
          </w:p>
          <w:p w14:paraId="5BDEEEB6" w14:textId="77777777" w:rsidR="005907D9" w:rsidRPr="00002625" w:rsidRDefault="005907D9" w:rsidP="000773E1">
            <w:pPr>
              <w:pStyle w:val="ListParagraph"/>
              <w:numPr>
                <w:ilvl w:val="0"/>
                <w:numId w:val="7"/>
              </w:numPr>
              <w:rPr>
                <w:rFonts w:ascii="Arial Narrow" w:hAnsi="Arial Narrow"/>
                <w:sz w:val="20"/>
                <w:szCs w:val="20"/>
              </w:rPr>
            </w:pPr>
            <w:r w:rsidRPr="00002625">
              <w:rPr>
                <w:rFonts w:ascii="Arial Narrow" w:hAnsi="Arial Narrow"/>
                <w:sz w:val="20"/>
                <w:szCs w:val="20"/>
              </w:rPr>
              <w:t>Extracolonic findings (as a measure of onward costs)</w:t>
            </w:r>
          </w:p>
          <w:p w14:paraId="27387F01" w14:textId="02DCAEF2" w:rsidR="005907D9" w:rsidRPr="00002625" w:rsidRDefault="005907D9" w:rsidP="000773E1">
            <w:pPr>
              <w:pStyle w:val="ListParagraph"/>
              <w:numPr>
                <w:ilvl w:val="0"/>
                <w:numId w:val="7"/>
              </w:numPr>
            </w:pPr>
            <w:r w:rsidRPr="00002625">
              <w:rPr>
                <w:rFonts w:ascii="Arial Narrow" w:hAnsi="Arial Narrow"/>
                <w:sz w:val="20"/>
                <w:szCs w:val="20"/>
              </w:rPr>
              <w:t>Onward referrals (colonoscopy/biopsy/polypectomy incidence or rate)</w:t>
            </w:r>
          </w:p>
        </w:tc>
      </w:tr>
      <w:tr w:rsidR="004B22FE" w:rsidRPr="00002625" w14:paraId="55D4ED99" w14:textId="77777777" w:rsidTr="00986867">
        <w:tc>
          <w:tcPr>
            <w:tcW w:w="1005" w:type="pct"/>
          </w:tcPr>
          <w:p w14:paraId="7913C7D7" w14:textId="77777777" w:rsidR="004B22FE" w:rsidRPr="00002625" w:rsidRDefault="004B22FE" w:rsidP="008E56A6">
            <w:pPr>
              <w:pStyle w:val="TableText0"/>
              <w:rPr>
                <w:rFonts w:cs="Arial"/>
              </w:rPr>
            </w:pPr>
            <w:r w:rsidRPr="00002625">
              <w:rPr>
                <w:rFonts w:cs="Arial"/>
              </w:rPr>
              <w:t>Assessment questions</w:t>
            </w:r>
          </w:p>
        </w:tc>
        <w:tc>
          <w:tcPr>
            <w:tcW w:w="3995" w:type="pct"/>
          </w:tcPr>
          <w:p w14:paraId="06E68DA7" w14:textId="3A279CD1" w:rsidR="004B22FE" w:rsidRPr="00002625" w:rsidRDefault="004B22FE" w:rsidP="008E56A6">
            <w:pPr>
              <w:pStyle w:val="TableText0"/>
              <w:rPr>
                <w:color w:val="000000" w:themeColor="text1"/>
              </w:rPr>
            </w:pPr>
            <w:r w:rsidRPr="00002625">
              <w:rPr>
                <w:color w:val="000000" w:themeColor="text1"/>
              </w:rPr>
              <w:t xml:space="preserve">What is the safety, effectiveness and cost-effectiveness of CTC versus colonoscopy in patients with </w:t>
            </w:r>
            <w:r w:rsidRPr="00002625">
              <w:t xml:space="preserve">prior diagnosis of colorectal polyps or CRC who require </w:t>
            </w:r>
            <w:r w:rsidRPr="00002625">
              <w:rPr>
                <w:color w:val="000000" w:themeColor="text1"/>
              </w:rPr>
              <w:t>surveillance?</w:t>
            </w:r>
          </w:p>
        </w:tc>
      </w:tr>
    </w:tbl>
    <w:p w14:paraId="64ABEDAE" w14:textId="77777777" w:rsidR="00221D33" w:rsidRPr="00002625" w:rsidRDefault="00221D33" w:rsidP="00221D33">
      <w:r w:rsidRPr="00002625">
        <w:br w:type="page"/>
      </w:r>
    </w:p>
    <w:p w14:paraId="53297713" w14:textId="0DA7B658" w:rsidR="00912660" w:rsidRPr="00002625" w:rsidRDefault="00912660" w:rsidP="00713728">
      <w:pPr>
        <w:pStyle w:val="Heading2"/>
      </w:pPr>
      <w:r w:rsidRPr="00002625">
        <w:lastRenderedPageBreak/>
        <w:t>Purpose of application</w:t>
      </w:r>
    </w:p>
    <w:p w14:paraId="0E65AD1B" w14:textId="2D4ED1ED" w:rsidR="004C2C5E" w:rsidRPr="00002625" w:rsidRDefault="004C2C5E" w:rsidP="004C2C5E">
      <w:pPr>
        <w:spacing w:after="240"/>
      </w:pPr>
      <w:r w:rsidRPr="00002625">
        <w:t xml:space="preserve">An application requesting MBS listing </w:t>
      </w:r>
      <w:r w:rsidR="002D0FDD" w:rsidRPr="00002625">
        <w:t xml:space="preserve">of </w:t>
      </w:r>
      <w:r w:rsidR="00711A2D" w:rsidRPr="00002625">
        <w:t>c</w:t>
      </w:r>
      <w:r w:rsidR="002D0FDD" w:rsidRPr="00002625">
        <w:t xml:space="preserve">omputed tomography (CT) colonography </w:t>
      </w:r>
      <w:r w:rsidR="14FC0024" w:rsidRPr="00002625">
        <w:t>(herein referred to as CTC)</w:t>
      </w:r>
      <w:r w:rsidR="3302AC91" w:rsidRPr="00002625">
        <w:t xml:space="preserve"> </w:t>
      </w:r>
      <w:r w:rsidR="002D0FDD" w:rsidRPr="00002625">
        <w:t>for the detection of colorectal polyps and colorectal cancer</w:t>
      </w:r>
      <w:r w:rsidR="006C7A0D" w:rsidRPr="00002625">
        <w:t xml:space="preserve"> (CRC)</w:t>
      </w:r>
      <w:r w:rsidRPr="00002625">
        <w:t xml:space="preserve"> was received from </w:t>
      </w:r>
      <w:r w:rsidR="00217947" w:rsidRPr="00002625">
        <w:t xml:space="preserve">a radiologist with a special interest in abdominal radiology </w:t>
      </w:r>
      <w:r w:rsidRPr="00002625">
        <w:t>by the Department of Health</w:t>
      </w:r>
      <w:r w:rsidR="006E181E" w:rsidRPr="00002625">
        <w:t xml:space="preserve"> and Aged Care</w:t>
      </w:r>
      <w:r w:rsidR="00B21B25" w:rsidRPr="00002625">
        <w:t>.</w:t>
      </w:r>
      <w:r w:rsidR="00E2231A" w:rsidRPr="00002625">
        <w:t xml:space="preserve"> </w:t>
      </w:r>
      <w:r w:rsidR="00D444E8" w:rsidRPr="00002625">
        <w:t xml:space="preserve">Through discussions with the department, </w:t>
      </w:r>
      <w:r w:rsidR="004C4113" w:rsidRPr="00002625">
        <w:t xml:space="preserve">the applicant, and the evaluation group, </w:t>
      </w:r>
      <w:r w:rsidR="001C2F54" w:rsidRPr="00002625">
        <w:t xml:space="preserve">an amendment to the existing MBS item </w:t>
      </w:r>
      <w:r w:rsidR="00643D6A" w:rsidRPr="00002625">
        <w:t>wa</w:t>
      </w:r>
      <w:r w:rsidR="001C2F54" w:rsidRPr="00002625">
        <w:t xml:space="preserve">s instead proposed for </w:t>
      </w:r>
      <w:r w:rsidR="00B10BDE" w:rsidRPr="00002625">
        <w:t>a diagnostic pop</w:t>
      </w:r>
      <w:r w:rsidR="00C93297" w:rsidRPr="00002625">
        <w:t>ulation.</w:t>
      </w:r>
      <w:r w:rsidR="007C7145" w:rsidRPr="00002625">
        <w:t xml:space="preserve"> Additionally, a second population</w:t>
      </w:r>
      <w:r w:rsidR="001819C1" w:rsidRPr="00002625">
        <w:t xml:space="preserve"> for </w:t>
      </w:r>
      <w:r w:rsidR="00CD7D36" w:rsidRPr="00002625">
        <w:t>those requiring</w:t>
      </w:r>
      <w:r w:rsidR="001819C1" w:rsidRPr="00002625">
        <w:t xml:space="preserve"> surveillance </w:t>
      </w:r>
      <w:r w:rsidR="00643D6A" w:rsidRPr="00002625">
        <w:t>wa</w:t>
      </w:r>
      <w:r w:rsidR="001819C1" w:rsidRPr="00002625">
        <w:t>s also proposed</w:t>
      </w:r>
      <w:r w:rsidR="00B706F8">
        <w:t xml:space="preserve"> by the applicant</w:t>
      </w:r>
      <w:r w:rsidR="001819C1" w:rsidRPr="00002625">
        <w:t xml:space="preserve">. </w:t>
      </w:r>
    </w:p>
    <w:p w14:paraId="55F23D03" w14:textId="43D839C7" w:rsidR="00A3661A" w:rsidRPr="00002625" w:rsidRDefault="00A3661A" w:rsidP="004C2C5E">
      <w:pPr>
        <w:spacing w:after="240"/>
        <w:rPr>
          <w:iCs/>
        </w:rPr>
      </w:pPr>
      <w:r w:rsidRPr="00002625">
        <w:rPr>
          <w:iCs/>
        </w:rPr>
        <w:t xml:space="preserve">The </w:t>
      </w:r>
      <w:r w:rsidR="00796A62" w:rsidRPr="00002625">
        <w:rPr>
          <w:iCs/>
        </w:rPr>
        <w:t>applicant</w:t>
      </w:r>
      <w:r w:rsidR="00B34362" w:rsidRPr="00002625">
        <w:rPr>
          <w:iCs/>
        </w:rPr>
        <w:t>’s clinical</w:t>
      </w:r>
      <w:r w:rsidR="00796A62" w:rsidRPr="00002625">
        <w:rPr>
          <w:iCs/>
        </w:rPr>
        <w:t xml:space="preserve"> claim</w:t>
      </w:r>
      <w:r w:rsidR="009E3763" w:rsidRPr="00002625">
        <w:rPr>
          <w:iCs/>
        </w:rPr>
        <w:t xml:space="preserve"> </w:t>
      </w:r>
      <w:r w:rsidR="00643D6A" w:rsidRPr="00002625">
        <w:rPr>
          <w:iCs/>
        </w:rPr>
        <w:t>wa</w:t>
      </w:r>
      <w:r w:rsidR="009E3763" w:rsidRPr="00002625">
        <w:rPr>
          <w:iCs/>
        </w:rPr>
        <w:t xml:space="preserve">s that </w:t>
      </w:r>
      <w:r w:rsidR="00796A62" w:rsidRPr="00002625">
        <w:rPr>
          <w:iCs/>
        </w:rPr>
        <w:t xml:space="preserve">CTC </w:t>
      </w:r>
      <w:r w:rsidR="009E3763" w:rsidRPr="00002625">
        <w:rPr>
          <w:iCs/>
        </w:rPr>
        <w:t xml:space="preserve">results in </w:t>
      </w:r>
      <w:r w:rsidR="00796A62" w:rsidRPr="00002625">
        <w:rPr>
          <w:iCs/>
        </w:rPr>
        <w:t xml:space="preserve">non-inferior </w:t>
      </w:r>
      <w:r w:rsidR="00DE3FC6" w:rsidRPr="00002625">
        <w:rPr>
          <w:iCs/>
        </w:rPr>
        <w:t xml:space="preserve">health </w:t>
      </w:r>
      <w:r w:rsidR="00796A62" w:rsidRPr="00002625">
        <w:rPr>
          <w:iCs/>
        </w:rPr>
        <w:t>outcomes (efficacy and safety) compared to colonoscopy</w:t>
      </w:r>
      <w:r w:rsidR="00C558D4" w:rsidRPr="00002625">
        <w:rPr>
          <w:iCs/>
        </w:rPr>
        <w:t>.</w:t>
      </w:r>
    </w:p>
    <w:p w14:paraId="77788407" w14:textId="4A1F94B5" w:rsidR="004E7DDA" w:rsidRPr="00002625" w:rsidRDefault="004E7DDA" w:rsidP="004E7DDA">
      <w:pPr>
        <w:pStyle w:val="Heading3"/>
      </w:pPr>
      <w:bookmarkStart w:id="3" w:name="_Ref179472416"/>
      <w:bookmarkStart w:id="4" w:name="_Ref182378273"/>
      <w:r w:rsidRPr="00002625">
        <w:t>Background</w:t>
      </w:r>
      <w:bookmarkEnd w:id="3"/>
      <w:bookmarkEnd w:id="4"/>
    </w:p>
    <w:p w14:paraId="3E24B730" w14:textId="6CFEF5E2" w:rsidR="00BB4DD6" w:rsidRPr="00002625" w:rsidRDefault="576E2A1F" w:rsidP="3501E820">
      <w:pPr>
        <w:pStyle w:val="Heading4"/>
      </w:pPr>
      <w:r w:rsidRPr="00002625">
        <w:t>Previous considerations by MSAC</w:t>
      </w:r>
    </w:p>
    <w:p w14:paraId="46AB47EA" w14:textId="347E73DB" w:rsidR="00EB3AA7" w:rsidRPr="00002625" w:rsidRDefault="004B00B4">
      <w:pPr>
        <w:spacing w:after="160" w:line="259" w:lineRule="auto"/>
      </w:pPr>
      <w:r w:rsidRPr="00002625">
        <w:t xml:space="preserve">An overview of MBS items listed for CTC and </w:t>
      </w:r>
      <w:r w:rsidR="00E36C30" w:rsidRPr="00002625">
        <w:t xml:space="preserve">their </w:t>
      </w:r>
      <w:r w:rsidRPr="00002625">
        <w:t xml:space="preserve">previous </w:t>
      </w:r>
      <w:r w:rsidR="00F4068C" w:rsidRPr="00002625">
        <w:t>Medical Services Advisory Committee (</w:t>
      </w:r>
      <w:r w:rsidRPr="00002625">
        <w:t>MSAC</w:t>
      </w:r>
      <w:r w:rsidR="00F4068C" w:rsidRPr="00002625">
        <w:t>)</w:t>
      </w:r>
      <w:r w:rsidRPr="00002625">
        <w:t xml:space="preserve"> considerations is given in </w:t>
      </w:r>
      <w:r w:rsidR="00FC646E" w:rsidRPr="00002625">
        <w:fldChar w:fldCharType="begin"/>
      </w:r>
      <w:r w:rsidR="00FC646E" w:rsidRPr="00002625">
        <w:instrText xml:space="preserve"> REF _Ref182258618 \h </w:instrText>
      </w:r>
      <w:r w:rsidR="00FC646E" w:rsidRPr="00002625">
        <w:fldChar w:fldCharType="separate"/>
      </w:r>
      <w:r w:rsidR="00637321" w:rsidRPr="00002625">
        <w:t>Table </w:t>
      </w:r>
      <w:r w:rsidR="00637321" w:rsidRPr="00002625">
        <w:rPr>
          <w:noProof/>
        </w:rPr>
        <w:t>3</w:t>
      </w:r>
      <w:r w:rsidR="00FC646E" w:rsidRPr="00002625">
        <w:fldChar w:fldCharType="end"/>
      </w:r>
      <w:r w:rsidR="00FC646E" w:rsidRPr="00002625">
        <w:t>.</w:t>
      </w:r>
      <w:bookmarkStart w:id="5" w:name="_Ref180999763"/>
    </w:p>
    <w:p w14:paraId="46269A4C" w14:textId="625546BA" w:rsidR="007B19D0" w:rsidRPr="00002625" w:rsidRDefault="007B19D0" w:rsidP="007B19D0">
      <w:r w:rsidRPr="00002625">
        <w:t>It should be noted that the item descriptor term “high risk” refers to an asymptomatic patient with familial cancer risk (at least three first-degree relatives diagnosed with CRC at any age or at least three first-degree or second-degree relatives with CRC with at least one diagnosed before age 55 years</w:t>
      </w:r>
      <w:r w:rsidR="00B706F8">
        <w:t>)</w:t>
      </w:r>
      <w:r w:rsidR="009172A3" w:rsidRPr="00002625">
        <w:t xml:space="preserve">. </w:t>
      </w:r>
      <w:r w:rsidRPr="00002625">
        <w:t xml:space="preserve">This is distinct from the use of “high risk” in this PICO confirmation where it refers to clinical symptoms conferring a higher risk of CRC. Familial cancer risk is not otherwise discussed in the current application. </w:t>
      </w:r>
    </w:p>
    <w:p w14:paraId="3FD0AD33" w14:textId="0B676A2F" w:rsidR="001658DC" w:rsidRPr="00002625" w:rsidRDefault="001658DC" w:rsidP="00952157">
      <w:pPr>
        <w:pStyle w:val="TableHeading"/>
        <w:rPr>
          <w:sz w:val="16"/>
          <w:szCs w:val="16"/>
        </w:rPr>
      </w:pPr>
      <w:bookmarkStart w:id="6" w:name="_Ref182258618"/>
      <w:r w:rsidRPr="00002625">
        <w:t>Table </w:t>
      </w:r>
      <w:r>
        <w:fldChar w:fldCharType="begin"/>
      </w:r>
      <w:r>
        <w:instrText>SEQ Table \* ARABIC</w:instrText>
      </w:r>
      <w:r>
        <w:fldChar w:fldCharType="separate"/>
      </w:r>
      <w:r w:rsidR="00637321" w:rsidRPr="00002625">
        <w:rPr>
          <w:noProof/>
        </w:rPr>
        <w:t>3</w:t>
      </w:r>
      <w:r>
        <w:fldChar w:fldCharType="end"/>
      </w:r>
      <w:bookmarkEnd w:id="5"/>
      <w:bookmarkEnd w:id="6"/>
      <w:r w:rsidRPr="00002625">
        <w:tab/>
        <w:t>CT colonography: MSAC considerations and MBS items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Table 3 CT colonography: MSAC considerations and MBS items"/>
        <w:tblDescription w:val="Table showing CT colonography: MSAC considerations and MBS items"/>
      </w:tblPr>
      <w:tblGrid>
        <w:gridCol w:w="1009"/>
        <w:gridCol w:w="2368"/>
        <w:gridCol w:w="4060"/>
        <w:gridCol w:w="2134"/>
      </w:tblGrid>
      <w:tr w:rsidR="0037336D" w:rsidRPr="00002625" w14:paraId="3E53E608" w14:textId="3BFBB992" w:rsidTr="0DA161EF">
        <w:trPr>
          <w:trHeight w:val="351"/>
          <w:tblHeader/>
        </w:trPr>
        <w:tc>
          <w:tcPr>
            <w:tcW w:w="5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F52AF" w14:textId="6AFD965D" w:rsidR="0037336D" w:rsidRPr="00002625" w:rsidRDefault="0037336D" w:rsidP="00F94CC8">
            <w:pPr>
              <w:pStyle w:val="TableHeading"/>
            </w:pPr>
            <w:r w:rsidRPr="00002625">
              <w:t>MBS item</w:t>
            </w:r>
          </w:p>
        </w:tc>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E2D68" w14:textId="39C5AAB0" w:rsidR="0037336D" w:rsidRPr="00002625" w:rsidRDefault="0037336D" w:rsidP="00F94CC8">
            <w:pPr>
              <w:pStyle w:val="TableHeading"/>
            </w:pPr>
            <w:r w:rsidRPr="00002625">
              <w:t>MSAC Meeting</w:t>
            </w:r>
          </w:p>
        </w:tc>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0B0D2" w14:textId="612CE23D" w:rsidR="0037336D" w:rsidRPr="00002625" w:rsidRDefault="00943FD1" w:rsidP="00F94CC8">
            <w:pPr>
              <w:pStyle w:val="TableHeading"/>
            </w:pPr>
            <w:r w:rsidRPr="00002625">
              <w:t>Population</w:t>
            </w:r>
          </w:p>
        </w:tc>
        <w:tc>
          <w:tcPr>
            <w:tcW w:w="11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ADD39" w14:textId="24098BFD" w:rsidR="0037336D" w:rsidRPr="00002625" w:rsidRDefault="00812346" w:rsidP="00F94CC8">
            <w:pPr>
              <w:pStyle w:val="TableHeading"/>
            </w:pPr>
            <w:r w:rsidRPr="00002625">
              <w:t xml:space="preserve">MBS Schedule </w:t>
            </w:r>
            <w:r w:rsidR="00680DB2" w:rsidRPr="00002625">
              <w:t>period</w:t>
            </w:r>
          </w:p>
        </w:tc>
      </w:tr>
      <w:tr w:rsidR="004B6B16" w:rsidRPr="00002625" w14:paraId="1598B640" w14:textId="3E04B082" w:rsidTr="008E74D5">
        <w:trPr>
          <w:trHeight w:val="765"/>
        </w:trPr>
        <w:tc>
          <w:tcPr>
            <w:tcW w:w="5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277C0" w14:textId="0EFCE1A8" w:rsidR="004B6B16" w:rsidRPr="00002625" w:rsidRDefault="004B6B16" w:rsidP="00F94CC8">
            <w:pPr>
              <w:pStyle w:val="TableText0"/>
            </w:pPr>
            <w:r w:rsidRPr="00002625">
              <w:t>56549</w:t>
            </w:r>
            <w:r w:rsidR="478BE75A" w:rsidRPr="00002625">
              <w:t>*</w:t>
            </w:r>
          </w:p>
        </w:tc>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D62C8" w14:textId="0357F46C" w:rsidR="004B6B16" w:rsidRPr="00002625" w:rsidRDefault="00F63DEB" w:rsidP="00F94CC8">
            <w:pPr>
              <w:pStyle w:val="TableText0"/>
            </w:pPr>
            <w:r w:rsidRPr="00002625">
              <w:t>2-year</w:t>
            </w:r>
            <w:r w:rsidR="00812346" w:rsidRPr="00002625">
              <w:t xml:space="preserve"> </w:t>
            </w:r>
            <w:r w:rsidR="00FD0072" w:rsidRPr="00002625">
              <w:t>temporary listing</w:t>
            </w:r>
            <w:r w:rsidR="00592CC1" w:rsidRPr="00002625">
              <w:t>,</w:t>
            </w:r>
            <w:r w:rsidR="00FD0072" w:rsidRPr="00002625">
              <w:t xml:space="preserve"> </w:t>
            </w:r>
            <w:r w:rsidR="009534BA" w:rsidRPr="00002625">
              <w:t xml:space="preserve">no </w:t>
            </w:r>
            <w:r w:rsidRPr="00002625">
              <w:t xml:space="preserve">MSAC </w:t>
            </w:r>
            <w:r w:rsidR="009534BA" w:rsidRPr="00002625">
              <w:t>application</w:t>
            </w:r>
          </w:p>
        </w:tc>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FBABE" w14:textId="2AD02801" w:rsidR="004B6B16" w:rsidRPr="00002625" w:rsidRDefault="00F63DEB" w:rsidP="00F94CC8">
            <w:pPr>
              <w:pStyle w:val="TableText0"/>
            </w:pPr>
            <w:r w:rsidRPr="00002625">
              <w:t>Patient</w:t>
            </w:r>
            <w:r w:rsidR="004B6B16" w:rsidRPr="00002625">
              <w:t xml:space="preserve"> who has had an incomplete colonoscopy and is referred by the specialist or consultant physician who performed the incomplete procedure</w:t>
            </w:r>
          </w:p>
        </w:tc>
        <w:tc>
          <w:tcPr>
            <w:tcW w:w="11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43182" w14:textId="6A0C4DA2" w:rsidR="004B6B16" w:rsidRPr="00002625" w:rsidRDefault="004B6B16" w:rsidP="00F94CC8">
            <w:pPr>
              <w:pStyle w:val="TableText0"/>
            </w:pPr>
            <w:r w:rsidRPr="00002625">
              <w:t xml:space="preserve">1 May 2005 to </w:t>
            </w:r>
            <w:r w:rsidR="67BE3869" w:rsidRPr="00002625">
              <w:t>30</w:t>
            </w:r>
            <w:r w:rsidR="00452024" w:rsidRPr="00002625">
              <w:t xml:space="preserve"> June</w:t>
            </w:r>
            <w:r w:rsidRPr="00002625">
              <w:t xml:space="preserve"> 2007</w:t>
            </w:r>
          </w:p>
        </w:tc>
      </w:tr>
      <w:tr w:rsidR="009534BA" w:rsidRPr="00002625" w14:paraId="723E5E48" w14:textId="311D1803" w:rsidTr="0DA161EF">
        <w:tc>
          <w:tcPr>
            <w:tcW w:w="5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642FB" w14:textId="6D894B20" w:rsidR="009534BA" w:rsidRPr="00002625" w:rsidRDefault="009534BA" w:rsidP="00F94CC8">
            <w:pPr>
              <w:pStyle w:val="TableText0"/>
            </w:pPr>
            <w:r w:rsidRPr="00002625">
              <w:t>56551</w:t>
            </w:r>
            <w:r w:rsidR="74451116" w:rsidRPr="00002625">
              <w:t>*</w:t>
            </w:r>
          </w:p>
        </w:tc>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FC1E5" w14:textId="2DF4D74A" w:rsidR="009534BA" w:rsidRPr="00002625" w:rsidRDefault="00F63DEB" w:rsidP="00F94CC8">
            <w:pPr>
              <w:pStyle w:val="TableText0"/>
            </w:pPr>
            <w:r w:rsidRPr="00002625">
              <w:t>2-year temporary listing</w:t>
            </w:r>
            <w:r w:rsidR="00592CC1" w:rsidRPr="00002625">
              <w:t>,</w:t>
            </w:r>
            <w:r w:rsidRPr="00002625">
              <w:t xml:space="preserve"> no MSAC application</w:t>
            </w:r>
          </w:p>
        </w:tc>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C36B8" w14:textId="79505E1D" w:rsidR="009534BA" w:rsidRPr="00002625" w:rsidRDefault="00F63DEB" w:rsidP="00F94CC8">
            <w:pPr>
              <w:pStyle w:val="TableText0"/>
            </w:pPr>
            <w:r w:rsidRPr="00002625">
              <w:t>Patient</w:t>
            </w:r>
            <w:r w:rsidR="009534BA" w:rsidRPr="00002625">
              <w:t xml:space="preserve"> referred by a specialist or consultant physician with either fistula; obstructed colon or megacolon</w:t>
            </w:r>
          </w:p>
        </w:tc>
        <w:tc>
          <w:tcPr>
            <w:tcW w:w="11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EF545" w14:textId="1B3FF9B1" w:rsidR="009534BA" w:rsidRPr="00002625" w:rsidRDefault="009534BA" w:rsidP="00F94CC8">
            <w:pPr>
              <w:pStyle w:val="TableText0"/>
            </w:pPr>
            <w:r w:rsidRPr="00002625">
              <w:t xml:space="preserve">1 May 2005 to </w:t>
            </w:r>
            <w:r w:rsidR="2FFA9503" w:rsidRPr="00002625">
              <w:t>30 June</w:t>
            </w:r>
            <w:r w:rsidRPr="00002625">
              <w:t xml:space="preserve"> 2007</w:t>
            </w:r>
          </w:p>
        </w:tc>
      </w:tr>
      <w:tr w:rsidR="008D5173" w:rsidRPr="00002625" w14:paraId="427C0B76" w14:textId="6DCEC9DE" w:rsidTr="0DA161EF">
        <w:tc>
          <w:tcPr>
            <w:tcW w:w="5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948341" w14:textId="692266AB" w:rsidR="008D5173" w:rsidRPr="00002625" w:rsidRDefault="008D5173" w:rsidP="00F94CC8">
            <w:pPr>
              <w:pStyle w:val="TableText0"/>
            </w:pPr>
            <w:r w:rsidRPr="00002625">
              <w:t>56552</w:t>
            </w:r>
            <w:r w:rsidR="43E27E9F" w:rsidRPr="00002625">
              <w:t>*</w:t>
            </w:r>
          </w:p>
        </w:tc>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992D7" w14:textId="5BD74E3B" w:rsidR="008D5173" w:rsidRPr="00002625" w:rsidRDefault="008D5173" w:rsidP="00F94CC8">
            <w:pPr>
              <w:pStyle w:val="TableText0"/>
            </w:pPr>
            <w:r w:rsidRPr="00002625">
              <w:t>Application 1095, recommended MSAC February 2006</w:t>
            </w:r>
          </w:p>
        </w:tc>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041B0" w14:textId="4858D3B8" w:rsidR="008D5173" w:rsidRPr="00002625" w:rsidRDefault="008D5173" w:rsidP="00F94CC8">
            <w:pPr>
              <w:pStyle w:val="TableText0"/>
            </w:pPr>
            <w:r w:rsidRPr="00002625">
              <w:t>Symptomatic or high risk</w:t>
            </w:r>
            <w:r w:rsidR="001820E9" w:rsidRPr="00002625">
              <w:rPr>
                <w:vertAlign w:val="superscript"/>
              </w:rPr>
              <w:t>a</w:t>
            </w:r>
            <w:r w:rsidRPr="00002625">
              <w:t xml:space="preserve"> patients who have had an incomplete colonoscopy</w:t>
            </w:r>
            <w:r w:rsidR="00AD6BFE" w:rsidRPr="00002625">
              <w:t xml:space="preserve"> (sub-set of requested population)</w:t>
            </w:r>
          </w:p>
        </w:tc>
        <w:tc>
          <w:tcPr>
            <w:tcW w:w="11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342E2" w14:textId="68DFEFBD" w:rsidR="008D5173" w:rsidRPr="00002625" w:rsidRDefault="008D5173" w:rsidP="00F94CC8">
            <w:pPr>
              <w:pStyle w:val="TableText0"/>
            </w:pPr>
            <w:r w:rsidRPr="00002625">
              <w:t xml:space="preserve">1 July 2007 to </w:t>
            </w:r>
            <w:r w:rsidR="04578D18" w:rsidRPr="00002625">
              <w:t>31 August</w:t>
            </w:r>
            <w:r w:rsidRPr="00002625">
              <w:t xml:space="preserve"> 2015</w:t>
            </w:r>
          </w:p>
        </w:tc>
      </w:tr>
      <w:tr w:rsidR="008D5173" w:rsidRPr="00002625" w14:paraId="53427F58" w14:textId="1E11ADC9" w:rsidTr="0DA161EF">
        <w:tc>
          <w:tcPr>
            <w:tcW w:w="5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C511D3" w14:textId="22FB47B4" w:rsidR="008D5173" w:rsidRPr="00002625" w:rsidRDefault="008D5173" w:rsidP="00F94CC8">
            <w:pPr>
              <w:pStyle w:val="TableText0"/>
            </w:pPr>
            <w:r w:rsidRPr="00002625">
              <w:t>56554</w:t>
            </w:r>
            <w:r w:rsidR="638CEB24" w:rsidRPr="00002625">
              <w:t>*</w:t>
            </w:r>
          </w:p>
        </w:tc>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055A5" w14:textId="6DE101E0" w:rsidR="008D5173" w:rsidRPr="00002625" w:rsidRDefault="008D5173" w:rsidP="00F94CC8">
            <w:pPr>
              <w:pStyle w:val="TableText0"/>
            </w:pPr>
            <w:r w:rsidRPr="00002625">
              <w:t>Application 1095, recommended MSAC February 2006</w:t>
            </w:r>
          </w:p>
        </w:tc>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12226" w14:textId="7E0441A7" w:rsidR="008D5173" w:rsidRPr="00002625" w:rsidRDefault="008D5173" w:rsidP="00F94CC8">
            <w:pPr>
              <w:pStyle w:val="TableText0"/>
            </w:pPr>
            <w:r w:rsidRPr="00002625">
              <w:t>Symptomatic or high risk</w:t>
            </w:r>
            <w:r w:rsidR="00A114DC" w:rsidRPr="00002625">
              <w:rPr>
                <w:vertAlign w:val="superscript"/>
              </w:rPr>
              <w:t>a</w:t>
            </w:r>
            <w:r w:rsidRPr="00002625">
              <w:t xml:space="preserve"> patients contraindicated for colonoscopy (suspected perforation or high grade obstruction)</w:t>
            </w:r>
            <w:r w:rsidR="00AD6BFE" w:rsidRPr="00002625">
              <w:t xml:space="preserve"> (sub-set of requested population)</w:t>
            </w:r>
          </w:p>
        </w:tc>
        <w:tc>
          <w:tcPr>
            <w:tcW w:w="11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4B2C4" w14:textId="61CF9A87" w:rsidR="008D5173" w:rsidRPr="00002625" w:rsidRDefault="008D5173" w:rsidP="00F94CC8">
            <w:pPr>
              <w:pStyle w:val="TableText0"/>
            </w:pPr>
            <w:r w:rsidRPr="00002625">
              <w:t xml:space="preserve">1 July 2007 to </w:t>
            </w:r>
            <w:r w:rsidR="257E38C7" w:rsidRPr="00002625">
              <w:t>31 August</w:t>
            </w:r>
            <w:r w:rsidRPr="00002625">
              <w:t xml:space="preserve"> 2015</w:t>
            </w:r>
          </w:p>
        </w:tc>
      </w:tr>
      <w:tr w:rsidR="008D5173" w:rsidRPr="00002625" w14:paraId="75028965" w14:textId="77777777" w:rsidTr="0DA161EF">
        <w:tc>
          <w:tcPr>
            <w:tcW w:w="5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D6750E" w14:textId="2F2DDA3D" w:rsidR="008D5173" w:rsidRPr="00002625" w:rsidRDefault="008D5173" w:rsidP="00F94CC8">
            <w:pPr>
              <w:pStyle w:val="TableText0"/>
            </w:pPr>
            <w:r w:rsidRPr="00002625">
              <w:t>56553</w:t>
            </w:r>
          </w:p>
        </w:tc>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59497" w14:textId="003B6CDA" w:rsidR="008D5173" w:rsidRPr="00002625" w:rsidRDefault="008D5173" w:rsidP="00F94CC8">
            <w:pPr>
              <w:pStyle w:val="TableText0"/>
            </w:pPr>
            <w:r w:rsidRPr="00002625">
              <w:t>Application 1269, recommended MSAC November 2014</w:t>
            </w:r>
          </w:p>
        </w:tc>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26475" w14:textId="325C4EA5" w:rsidR="008D5173" w:rsidRPr="00002625" w:rsidRDefault="008D5173" w:rsidP="00F94CC8">
            <w:pPr>
              <w:pStyle w:val="TableText0"/>
            </w:pPr>
            <w:r w:rsidRPr="00002625">
              <w:t>Items 56552 and 56554 consolidated</w:t>
            </w:r>
            <w:r w:rsidR="00C67E93" w:rsidRPr="00002625">
              <w:t xml:space="preserve">; 1 </w:t>
            </w:r>
            <w:r w:rsidR="00A516C2" w:rsidRPr="00002625">
              <w:t xml:space="preserve">CTC </w:t>
            </w:r>
            <w:r w:rsidR="00C67E93" w:rsidRPr="00002625">
              <w:t>per patient per 3 years</w:t>
            </w:r>
          </w:p>
        </w:tc>
        <w:tc>
          <w:tcPr>
            <w:tcW w:w="11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4C33A" w14:textId="52B9E3AB" w:rsidR="008D5173" w:rsidRPr="00002625" w:rsidRDefault="008D5173" w:rsidP="00F94CC8">
            <w:pPr>
              <w:pStyle w:val="TableText0"/>
            </w:pPr>
            <w:r w:rsidRPr="00002625">
              <w:t>1 September 2015 (currently listed)</w:t>
            </w:r>
          </w:p>
        </w:tc>
      </w:tr>
    </w:tbl>
    <w:p w14:paraId="7A905EBF" w14:textId="683D3B18" w:rsidR="007214AF" w:rsidRPr="00002625" w:rsidRDefault="00BB0211" w:rsidP="00BB0211">
      <w:pPr>
        <w:pStyle w:val="Tablenotes"/>
        <w:spacing w:after="240"/>
      </w:pPr>
      <w:r w:rsidRPr="00002625">
        <w:t>MBS</w:t>
      </w:r>
      <w:r w:rsidR="00A551EB" w:rsidRPr="00002625">
        <w:t xml:space="preserve"> </w:t>
      </w:r>
      <w:r w:rsidRPr="00002625">
        <w:t>=</w:t>
      </w:r>
      <w:r w:rsidR="00A551EB" w:rsidRPr="00002625">
        <w:t xml:space="preserve"> </w:t>
      </w:r>
      <w:r w:rsidRPr="00002625">
        <w:t>Medical Benefits Schedule; MSAC</w:t>
      </w:r>
      <w:r w:rsidR="00A551EB" w:rsidRPr="00002625">
        <w:t xml:space="preserve"> </w:t>
      </w:r>
      <w:r w:rsidRPr="00002625">
        <w:t>=</w:t>
      </w:r>
      <w:r w:rsidR="00A551EB" w:rsidRPr="00002625">
        <w:t xml:space="preserve"> </w:t>
      </w:r>
      <w:r w:rsidRPr="00002625">
        <w:t>Medical Services Advisory Committee</w:t>
      </w:r>
      <w:r w:rsidR="7BB3426C" w:rsidRPr="00002625">
        <w:t>;</w:t>
      </w:r>
      <w:r w:rsidR="0E8D4474" w:rsidRPr="00002625">
        <w:t xml:space="preserve"> * these MBS items </w:t>
      </w:r>
      <w:r w:rsidR="78542AFC" w:rsidRPr="00002625">
        <w:t>have ceased</w:t>
      </w:r>
      <w:r w:rsidR="0E8D4474" w:rsidRPr="00002625">
        <w:t xml:space="preserve"> and </w:t>
      </w:r>
      <w:r w:rsidR="000A4FE1" w:rsidRPr="00002625">
        <w:t>are</w:t>
      </w:r>
      <w:r w:rsidR="0E8D4474" w:rsidRPr="00002625">
        <w:t xml:space="preserve"> no longer listed</w:t>
      </w:r>
      <w:r w:rsidRPr="00002625">
        <w:t>.</w:t>
      </w:r>
      <w:r w:rsidR="00996BED" w:rsidRPr="00002625">
        <w:t xml:space="preserve"> </w:t>
      </w:r>
      <w:r w:rsidR="00996BED" w:rsidRPr="00002625">
        <w:tab/>
      </w:r>
      <w:r w:rsidR="00A114DC" w:rsidRPr="00002625">
        <w:br/>
      </w:r>
      <w:r w:rsidR="00A114DC" w:rsidRPr="00002625">
        <w:rPr>
          <w:vertAlign w:val="superscript"/>
        </w:rPr>
        <w:t>a</w:t>
      </w:r>
      <w:r w:rsidR="00A114DC" w:rsidRPr="00002625">
        <w:t xml:space="preserve"> “high risk</w:t>
      </w:r>
      <w:r w:rsidR="00264577" w:rsidRPr="00002625">
        <w:t xml:space="preserve">” refers </w:t>
      </w:r>
      <w:r w:rsidR="00BA4D05" w:rsidRPr="00002625">
        <w:t>to an asymptomatic patient with familial cancer risk</w:t>
      </w:r>
      <w:r w:rsidR="00AE158D" w:rsidRPr="00002625">
        <w:t xml:space="preserve"> (</w:t>
      </w:r>
      <w:r w:rsidR="00BA4D05" w:rsidRPr="00002625">
        <w:t xml:space="preserve">at least three first-degree relatives diagnosed with CRC at any age or at least three first-degree or second-degree relatives with CRC with at least one diagnosed before age 55 years). </w:t>
      </w:r>
      <w:r w:rsidR="00264577" w:rsidRPr="00002625">
        <w:tab/>
      </w:r>
      <w:r w:rsidR="00996BED" w:rsidRPr="00002625">
        <w:br/>
        <w:t>Source: Compiled from historical MBS Schedules (May 2005; November 2007) and MBS Online (</w:t>
      </w:r>
      <w:hyperlink r:id="rId8">
        <w:r w:rsidR="00996BED" w:rsidRPr="00002625">
          <w:rPr>
            <w:rStyle w:val="Hyperlink"/>
            <w:rFonts w:ascii="Arial Narrow" w:hAnsi="Arial Narrow" w:cs="Arial"/>
          </w:rPr>
          <w:t>www.mbsonline.gov.au</w:t>
        </w:r>
      </w:hyperlink>
      <w:r w:rsidR="00996BED" w:rsidRPr="00002625">
        <w:t>).</w:t>
      </w:r>
    </w:p>
    <w:p w14:paraId="11767BBC" w14:textId="28950377" w:rsidR="0035066A" w:rsidRPr="00002625" w:rsidRDefault="00BA46AC" w:rsidP="3501E820">
      <w:r w:rsidRPr="00002625">
        <w:t>MSAC a</w:t>
      </w:r>
      <w:r w:rsidR="00B634CF" w:rsidRPr="00002625">
        <w:t>pplication 1269</w:t>
      </w:r>
      <w:r w:rsidRPr="00002625">
        <w:t xml:space="preserve"> </w:t>
      </w:r>
      <w:r w:rsidR="00FB10AB" w:rsidRPr="00002625">
        <w:t xml:space="preserve">from the </w:t>
      </w:r>
      <w:r w:rsidR="00575143" w:rsidRPr="00002625">
        <w:t>Abdominal Radiology Group of Australia and New Zealand (ARGANZ)</w:t>
      </w:r>
      <w:r w:rsidR="00575143" w:rsidRPr="00002625">
        <w:rPr>
          <w:rStyle w:val="FootnoteReference"/>
        </w:rPr>
        <w:footnoteReference w:id="2"/>
      </w:r>
      <w:r w:rsidR="00575143" w:rsidRPr="00002625">
        <w:t xml:space="preserve"> </w:t>
      </w:r>
      <w:r w:rsidRPr="00002625">
        <w:t xml:space="preserve">sought </w:t>
      </w:r>
      <w:r w:rsidR="00E20F53" w:rsidRPr="00002625">
        <w:t>amendment</w:t>
      </w:r>
      <w:r w:rsidR="00157A1F" w:rsidRPr="00002625">
        <w:t xml:space="preserve"> of </w:t>
      </w:r>
      <w:r w:rsidR="007430FA" w:rsidRPr="00002625">
        <w:t xml:space="preserve">the MBS items then listed for CTC (56552 and 56554). </w:t>
      </w:r>
      <w:r w:rsidR="00B96AF5" w:rsidRPr="00002625">
        <w:t>T</w:t>
      </w:r>
      <w:r w:rsidR="00D40FEF" w:rsidRPr="00002625">
        <w:t>he applica</w:t>
      </w:r>
      <w:r w:rsidR="007619C2" w:rsidRPr="00002625">
        <w:t>nt requested</w:t>
      </w:r>
      <w:r w:rsidR="0068669C" w:rsidRPr="00002625">
        <w:t xml:space="preserve"> </w:t>
      </w:r>
      <w:r w:rsidR="00B4514A" w:rsidRPr="00002625">
        <w:lastRenderedPageBreak/>
        <w:t>expansion of the</w:t>
      </w:r>
      <w:r w:rsidR="005A1930" w:rsidRPr="00002625">
        <w:t xml:space="preserve"> indications covered </w:t>
      </w:r>
      <w:r w:rsidR="00AE3E90" w:rsidRPr="00002625">
        <w:t xml:space="preserve">to include additional </w:t>
      </w:r>
      <w:r w:rsidR="00B4514A" w:rsidRPr="00002625">
        <w:t>contraindications to colonoscopy</w:t>
      </w:r>
      <w:r w:rsidR="005A1930" w:rsidRPr="00002625">
        <w:t xml:space="preserve"> and </w:t>
      </w:r>
      <w:r w:rsidR="5C5CA7A8" w:rsidRPr="00002625">
        <w:t xml:space="preserve">to </w:t>
      </w:r>
      <w:r w:rsidR="005A1930" w:rsidRPr="00002625">
        <w:t>remov</w:t>
      </w:r>
      <w:r w:rsidR="060680C6" w:rsidRPr="00002625">
        <w:t>e</w:t>
      </w:r>
      <w:r w:rsidR="005A1930" w:rsidRPr="00002625">
        <w:t xml:space="preserve"> the</w:t>
      </w:r>
      <w:r w:rsidR="00961F02" w:rsidRPr="00002625">
        <w:t xml:space="preserve"> three</w:t>
      </w:r>
      <w:r w:rsidR="00284A78" w:rsidRPr="00002625">
        <w:t>-</w:t>
      </w:r>
      <w:r w:rsidR="00961F02" w:rsidRPr="00002625">
        <w:t>month</w:t>
      </w:r>
      <w:r w:rsidR="005A1930" w:rsidRPr="00002625">
        <w:t xml:space="preserve"> time limit restricting its</w:t>
      </w:r>
      <w:r w:rsidR="00961F02" w:rsidRPr="00002625">
        <w:t xml:space="preserve"> use </w:t>
      </w:r>
      <w:r w:rsidR="000B1B7C" w:rsidRPr="00002625">
        <w:t>in</w:t>
      </w:r>
      <w:r w:rsidR="00961F02" w:rsidRPr="00002625">
        <w:t xml:space="preserve"> patients with incomplete </w:t>
      </w:r>
      <w:r w:rsidR="000B170C" w:rsidRPr="00002625">
        <w:t>colonoscopy</w:t>
      </w:r>
      <w:r w:rsidR="007619C2" w:rsidRPr="00002625">
        <w:t xml:space="preserve">. </w:t>
      </w:r>
    </w:p>
    <w:p w14:paraId="05C14602" w14:textId="77B2BBE0" w:rsidR="00B634CF" w:rsidRPr="00002625" w:rsidRDefault="00884720" w:rsidP="3501E820">
      <w:r w:rsidRPr="00002625">
        <w:t xml:space="preserve">At </w:t>
      </w:r>
      <w:r w:rsidR="0062090A" w:rsidRPr="00002625">
        <w:t xml:space="preserve">the </w:t>
      </w:r>
      <w:r w:rsidRPr="00002625">
        <w:t xml:space="preserve">November 2014 meeting </w:t>
      </w:r>
      <w:r w:rsidR="00B634CF" w:rsidRPr="00002625">
        <w:t>MSAC recommended as follows:</w:t>
      </w:r>
    </w:p>
    <w:p w14:paraId="0350A4FF" w14:textId="1EDE83CD" w:rsidR="00361548" w:rsidRPr="00002625" w:rsidRDefault="00361548" w:rsidP="000773E1">
      <w:pPr>
        <w:pStyle w:val="ListParagraph"/>
        <w:numPr>
          <w:ilvl w:val="0"/>
          <w:numId w:val="14"/>
        </w:numPr>
      </w:pPr>
      <w:r w:rsidRPr="00002625">
        <w:t xml:space="preserve">a new consolidated item </w:t>
      </w:r>
      <w:r w:rsidR="00B86144" w:rsidRPr="00002625">
        <w:t xml:space="preserve">for CTC </w:t>
      </w:r>
      <w:r w:rsidR="0020606E" w:rsidRPr="00002625">
        <w:t>(</w:t>
      </w:r>
      <w:r w:rsidRPr="00002625">
        <w:t>derived from items 56552 and</w:t>
      </w:r>
      <w:r w:rsidR="00773B8B" w:rsidRPr="00002625">
        <w:t xml:space="preserve"> 56554</w:t>
      </w:r>
      <w:r w:rsidR="0020606E" w:rsidRPr="00002625">
        <w:t>)</w:t>
      </w:r>
      <w:r w:rsidR="00AF45E5" w:rsidRPr="00002625">
        <w:t xml:space="preserve"> </w:t>
      </w:r>
      <w:r w:rsidR="0020606E" w:rsidRPr="00002625">
        <w:t xml:space="preserve">for the diagnosis or </w:t>
      </w:r>
      <w:r w:rsidR="004136FF" w:rsidRPr="00002625">
        <w:t>exclusion</w:t>
      </w:r>
      <w:r w:rsidR="0020606E" w:rsidRPr="00002625">
        <w:t xml:space="preserve"> of colorect</w:t>
      </w:r>
      <w:r w:rsidR="004136FF" w:rsidRPr="00002625">
        <w:t>al neoplasia in symptomatic</w:t>
      </w:r>
      <w:r w:rsidR="00BA4D05" w:rsidRPr="00002625">
        <w:t xml:space="preserve"> patients</w:t>
      </w:r>
      <w:r w:rsidR="004136FF" w:rsidRPr="00002625">
        <w:t xml:space="preserve"> </w:t>
      </w:r>
      <w:r w:rsidR="0041692C" w:rsidRPr="00002625">
        <w:t xml:space="preserve">or </w:t>
      </w:r>
      <w:r w:rsidR="004136FF" w:rsidRPr="00002625">
        <w:t>high</w:t>
      </w:r>
      <w:r w:rsidR="001B604C" w:rsidRPr="00002625">
        <w:t>-</w:t>
      </w:r>
      <w:r w:rsidR="004136FF" w:rsidRPr="00002625">
        <w:t>risk patients</w:t>
      </w:r>
      <w:r w:rsidR="005A7C0F" w:rsidRPr="00002625">
        <w:t xml:space="preserve"> (familial CRC risk)</w:t>
      </w:r>
      <w:r w:rsidR="004136FF" w:rsidRPr="00002625">
        <w:t xml:space="preserve"> with a history of incomplete colonoscopy or medical and/or technical contraindication(s) to colonoscopy</w:t>
      </w:r>
    </w:p>
    <w:p w14:paraId="45C1E532" w14:textId="4A7C7578" w:rsidR="00B634CF" w:rsidRPr="00002625" w:rsidRDefault="00B634CF" w:rsidP="000773E1">
      <w:pPr>
        <w:pStyle w:val="ListParagraph"/>
        <w:numPr>
          <w:ilvl w:val="0"/>
          <w:numId w:val="14"/>
        </w:numPr>
      </w:pPr>
      <w:r w:rsidRPr="00002625">
        <w:t>the requirement that an incomplete colonoscopy must have occurred no more than three months prior to CTC should be retained</w:t>
      </w:r>
    </w:p>
    <w:p w14:paraId="2F8EF391" w14:textId="2361ABC2" w:rsidR="00B634CF" w:rsidRPr="00002625" w:rsidRDefault="00B634CF" w:rsidP="000773E1">
      <w:pPr>
        <w:pStyle w:val="ListParagraph"/>
        <w:numPr>
          <w:ilvl w:val="0"/>
          <w:numId w:val="14"/>
        </w:numPr>
      </w:pPr>
      <w:r w:rsidRPr="00002625">
        <w:t xml:space="preserve">eligibility for CTC </w:t>
      </w:r>
      <w:r w:rsidR="007F028A" w:rsidRPr="00002625">
        <w:t>sh</w:t>
      </w:r>
      <w:r w:rsidRPr="00002625">
        <w:t xml:space="preserve">ould be widened by extending the list of medical and technical contraindications to colonoscopy </w:t>
      </w:r>
      <w:r w:rsidR="00500013" w:rsidRPr="00002625">
        <w:t xml:space="preserve">(to be </w:t>
      </w:r>
      <w:r w:rsidRPr="00002625">
        <w:t>included in the associated explanatory notes</w:t>
      </w:r>
      <w:r w:rsidR="00500013" w:rsidRPr="00002625">
        <w:t>)</w:t>
      </w:r>
    </w:p>
    <w:p w14:paraId="7EF216EF" w14:textId="1F21554E" w:rsidR="00017519" w:rsidRPr="00002625" w:rsidRDefault="00045BED" w:rsidP="000773E1">
      <w:pPr>
        <w:pStyle w:val="ListParagraph"/>
        <w:numPr>
          <w:ilvl w:val="0"/>
          <w:numId w:val="14"/>
        </w:numPr>
      </w:pPr>
      <w:r w:rsidRPr="00002625">
        <w:t>u</w:t>
      </w:r>
      <w:r w:rsidR="00017519" w:rsidRPr="00002625">
        <w:t>se of the item</w:t>
      </w:r>
      <w:r w:rsidR="00B634CF" w:rsidRPr="00002625">
        <w:t xml:space="preserve"> should be limited to one CTC scan per patient every three years </w:t>
      </w:r>
    </w:p>
    <w:p w14:paraId="4F92DEE9" w14:textId="387F21D1" w:rsidR="00B634CF" w:rsidRPr="00002625" w:rsidRDefault="00B634CF" w:rsidP="000773E1">
      <w:pPr>
        <w:pStyle w:val="ListParagraph"/>
        <w:numPr>
          <w:ilvl w:val="0"/>
          <w:numId w:val="14"/>
        </w:numPr>
      </w:pPr>
      <w:r w:rsidRPr="00002625">
        <w:t xml:space="preserve">the MBS fee should be commensurate with </w:t>
      </w:r>
      <w:r w:rsidR="003C4E0D" w:rsidRPr="00002625">
        <w:t>fees</w:t>
      </w:r>
      <w:r w:rsidRPr="00002625">
        <w:t xml:space="preserve"> for</w:t>
      </w:r>
      <w:r w:rsidR="00017519" w:rsidRPr="00002625">
        <w:t xml:space="preserve"> </w:t>
      </w:r>
      <w:r w:rsidRPr="00002625">
        <w:t>abdominal CT and double contrast barium enema (DCBE)</w:t>
      </w:r>
    </w:p>
    <w:p w14:paraId="012939E0" w14:textId="40289C11" w:rsidR="00B634CF" w:rsidRPr="00002625" w:rsidRDefault="00015A5D" w:rsidP="00B634CF">
      <w:r w:rsidRPr="00002625">
        <w:t xml:space="preserve">In addition to the above recommendations, the assessment report </w:t>
      </w:r>
      <w:r w:rsidR="008C0488" w:rsidRPr="00002625">
        <w:t xml:space="preserve">for </w:t>
      </w:r>
      <w:r w:rsidR="002114C1" w:rsidRPr="00002625">
        <w:t>MSAC</w:t>
      </w:r>
      <w:r w:rsidR="008C0488" w:rsidRPr="00002625">
        <w:t xml:space="preserve"> 1269 </w:t>
      </w:r>
      <w:r w:rsidRPr="00002625">
        <w:t xml:space="preserve">noted that perforation of the colon was a contraindication for both colonoscopy and CTC and as such suggested it be deleted from </w:t>
      </w:r>
      <w:r w:rsidR="00A91297" w:rsidRPr="00002625">
        <w:t xml:space="preserve">the </w:t>
      </w:r>
      <w:r w:rsidRPr="00002625">
        <w:t>eligible indications</w:t>
      </w:r>
      <w:r w:rsidR="00A91297" w:rsidRPr="00002625">
        <w:t xml:space="preserve"> for CTC</w:t>
      </w:r>
      <w:r w:rsidR="009D02AB" w:rsidRPr="00002625">
        <w:t xml:space="preserve"> (items </w:t>
      </w:r>
      <w:r w:rsidR="00D011A6" w:rsidRPr="00002625">
        <w:t>56552 and 56554</w:t>
      </w:r>
      <w:r w:rsidR="0021118E" w:rsidRPr="00002625">
        <w:t>, which no longer exist,</w:t>
      </w:r>
      <w:r w:rsidR="00D011A6" w:rsidRPr="00002625">
        <w:t xml:space="preserve"> </w:t>
      </w:r>
      <w:r w:rsidR="00B234B6" w:rsidRPr="00002625">
        <w:t>indicated</w:t>
      </w:r>
      <w:r w:rsidR="00F1232E" w:rsidRPr="00002625">
        <w:t xml:space="preserve"> that patients contraindicated for colonoscopy due to suspected perforation of the colon</w:t>
      </w:r>
      <w:r w:rsidR="0021118E" w:rsidRPr="00002625">
        <w:t xml:space="preserve"> are eligible for CTC</w:t>
      </w:r>
      <w:r w:rsidR="00F1232E" w:rsidRPr="00002625">
        <w:t>)</w:t>
      </w:r>
      <w:r w:rsidRPr="00002625">
        <w:t xml:space="preserve">. </w:t>
      </w:r>
      <w:r w:rsidR="003B2382" w:rsidRPr="00002625">
        <w:t xml:space="preserve">Application 1269 </w:t>
      </w:r>
      <w:r w:rsidR="002114C1" w:rsidRPr="00002625">
        <w:t xml:space="preserve">had </w:t>
      </w:r>
      <w:r w:rsidR="003B2382" w:rsidRPr="00002625">
        <w:t xml:space="preserve">also sought </w:t>
      </w:r>
      <w:r w:rsidR="00B634CF" w:rsidRPr="00002625">
        <w:t>a new MBS item to provide CTC for patients with limited access to colonoscopy</w:t>
      </w:r>
      <w:r w:rsidR="002114C1" w:rsidRPr="00002625">
        <w:t xml:space="preserve"> but</w:t>
      </w:r>
      <w:r w:rsidR="003B2382" w:rsidRPr="00002625">
        <w:t xml:space="preserve"> MSAC did not support</w:t>
      </w:r>
      <w:r w:rsidR="005B62CB" w:rsidRPr="00002625">
        <w:t xml:space="preserve"> this</w:t>
      </w:r>
      <w:r w:rsidR="00C06329" w:rsidRPr="00002625">
        <w:t xml:space="preserve"> </w:t>
      </w:r>
      <w:r w:rsidR="005B62CB" w:rsidRPr="00002625">
        <w:t>use</w:t>
      </w:r>
      <w:r w:rsidR="00FE600D" w:rsidRPr="00002625">
        <w:t>.</w:t>
      </w:r>
      <w:r w:rsidR="009C36C9" w:rsidRPr="00002625">
        <w:t xml:space="preserve"> </w:t>
      </w:r>
    </w:p>
    <w:p w14:paraId="7F170B51" w14:textId="1C911AEA" w:rsidR="008C0488" w:rsidRPr="00002625" w:rsidRDefault="008C0488" w:rsidP="008C0488">
      <w:pPr>
        <w:pStyle w:val="Heading4"/>
      </w:pPr>
      <w:r w:rsidRPr="00002625">
        <w:t>The current MBS item for CTC</w:t>
      </w:r>
    </w:p>
    <w:p w14:paraId="7AB357DC" w14:textId="2D4EBB94" w:rsidR="00C67211" w:rsidRPr="00002625" w:rsidRDefault="003D54A3" w:rsidP="3501E820">
      <w:r w:rsidRPr="00002625">
        <w:t>The descriptor for the currently listed MBS item (56553) for CTC is presented in</w:t>
      </w:r>
      <w:r w:rsidR="000E6CFB" w:rsidRPr="00002625">
        <w:t xml:space="preserve"> </w:t>
      </w:r>
      <w:r w:rsidR="000E6CFB" w:rsidRPr="00002625">
        <w:fldChar w:fldCharType="begin"/>
      </w:r>
      <w:r w:rsidR="000E6CFB" w:rsidRPr="00002625">
        <w:instrText xml:space="preserve"> REF _Ref182209370 \h </w:instrText>
      </w:r>
      <w:r w:rsidR="000E6CFB" w:rsidRPr="00002625">
        <w:fldChar w:fldCharType="separate"/>
      </w:r>
      <w:r w:rsidR="00637321" w:rsidRPr="00002625">
        <w:t>Table </w:t>
      </w:r>
      <w:r w:rsidR="00637321" w:rsidRPr="00002625">
        <w:rPr>
          <w:noProof/>
        </w:rPr>
        <w:t>4</w:t>
      </w:r>
      <w:r w:rsidR="000E6CFB" w:rsidRPr="00002625">
        <w:fldChar w:fldCharType="end"/>
      </w:r>
      <w:r w:rsidRPr="00002625">
        <w:t xml:space="preserve">. </w:t>
      </w:r>
    </w:p>
    <w:p w14:paraId="6BA9F480" w14:textId="12859D09" w:rsidR="00C67211" w:rsidRPr="00002625" w:rsidRDefault="00C67211" w:rsidP="00C67211">
      <w:pPr>
        <w:pStyle w:val="TableHeading"/>
        <w:rPr>
          <w:sz w:val="16"/>
          <w:szCs w:val="16"/>
        </w:rPr>
      </w:pPr>
      <w:bookmarkStart w:id="7" w:name="_Ref182209370"/>
      <w:r w:rsidRPr="00002625">
        <w:t>Table </w:t>
      </w:r>
      <w:r>
        <w:fldChar w:fldCharType="begin"/>
      </w:r>
      <w:r>
        <w:instrText>SEQ Table \* ARABIC</w:instrText>
      </w:r>
      <w:r>
        <w:fldChar w:fldCharType="separate"/>
      </w:r>
      <w:r w:rsidR="00637321" w:rsidRPr="00002625">
        <w:rPr>
          <w:noProof/>
        </w:rPr>
        <w:t>4</w:t>
      </w:r>
      <w:r>
        <w:fldChar w:fldCharType="end"/>
      </w:r>
      <w:bookmarkEnd w:id="7"/>
      <w:r w:rsidRPr="00002625">
        <w:tab/>
        <w:t>Current MBS item for CTC (56553)</w:t>
      </w:r>
    </w:p>
    <w:tbl>
      <w:tblPr>
        <w:tblStyle w:val="ASDTable1"/>
        <w:tblW w:w="0" w:type="auto"/>
        <w:tblInd w:w="0" w:type="dxa"/>
        <w:tblLook w:val="04A0" w:firstRow="1" w:lastRow="0" w:firstColumn="1" w:lastColumn="0" w:noHBand="0" w:noVBand="1"/>
        <w:tblCaption w:val="Current Item Descriptor Table"/>
        <w:tblDescription w:val="Please enter the:&#10;1. Category 5;&#10;2. Diagnostic imagin g services;&#10;3. Computed tomography—scan of colon for exclusion or diagnosis of colorectal neoplasia in a symptomatic or high risk patient if:&#10;(a) one or more of the following applies:&#10;(i) the patient has had an incomplete colonoscopy in the 3 months before the scan;&#10;(ii) there is a high grade colonic obstruction;&#10;(iii) the service is requested by a specialist or consultant physician who performs colonoscopies in the practice of the specialist’s or consultant physician’s speciality; and&#10;(b) the service is not a service to which item 56301, 56307, 56401, 56407, 56409, 56412, 56501, 56507, 56801, 56807 or 57001 applies (R) &#10;&#10;Bulk bill incentive&#10;(Anaes.)&#10;; and&#10;4. Fee: $583.05 Benefit: 75% = $437.30 85% = $495.60"/>
      </w:tblPr>
      <w:tblGrid>
        <w:gridCol w:w="9242"/>
      </w:tblGrid>
      <w:tr w:rsidR="000E6CFB" w:rsidRPr="00002625" w14:paraId="2CA951A6" w14:textId="77777777">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6902D4C4" w14:textId="77777777" w:rsidR="000E6CFB" w:rsidRPr="00002625" w:rsidRDefault="000E6CFB">
            <w:pPr>
              <w:pStyle w:val="TableText0"/>
            </w:pPr>
            <w:r w:rsidRPr="00002625">
              <w:t>Category 5 - DIAGNOSTIC IMAGING SERVICES</w:t>
            </w:r>
          </w:p>
        </w:tc>
      </w:tr>
      <w:tr w:rsidR="000E6CFB" w:rsidRPr="00002625" w14:paraId="627D6E1E" w14:textId="77777777">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76AE1D1A" w14:textId="77777777" w:rsidR="000E6CFB" w:rsidRPr="00002625" w:rsidRDefault="000E6CFB">
            <w:pPr>
              <w:pStyle w:val="TableText0"/>
            </w:pPr>
            <w:r w:rsidRPr="00002625">
              <w:t>MBS item 56553</w:t>
            </w:r>
          </w:p>
          <w:p w14:paraId="109F5972" w14:textId="77777777" w:rsidR="000E6CFB" w:rsidRPr="00002625" w:rsidRDefault="000E6CFB">
            <w:pPr>
              <w:pStyle w:val="TableText0"/>
            </w:pPr>
            <w:r w:rsidRPr="00002625">
              <w:t>Computed tomography—scan of colon for exclusion or diagnosis of colorectal neoplasia in a symptomatic or high risk patient if:</w:t>
            </w:r>
          </w:p>
          <w:p w14:paraId="4C372C93" w14:textId="77777777" w:rsidR="000E6CFB" w:rsidRPr="00002625" w:rsidRDefault="000E6CFB">
            <w:pPr>
              <w:pStyle w:val="TableText0"/>
            </w:pPr>
            <w:r w:rsidRPr="00002625">
              <w:t>(a) one or more of the following applies:</w:t>
            </w:r>
          </w:p>
          <w:p w14:paraId="7BB5EC26" w14:textId="77777777" w:rsidR="000E6CFB" w:rsidRPr="00002625" w:rsidRDefault="000E6CFB">
            <w:pPr>
              <w:pStyle w:val="TableText0"/>
            </w:pPr>
            <w:r w:rsidRPr="00002625">
              <w:t>(i) the patient has had an incomplete colonoscopy in the 3 months before the scan;</w:t>
            </w:r>
          </w:p>
          <w:p w14:paraId="0D316B76" w14:textId="77777777" w:rsidR="000E6CFB" w:rsidRPr="00002625" w:rsidRDefault="000E6CFB">
            <w:pPr>
              <w:pStyle w:val="TableText0"/>
            </w:pPr>
            <w:r w:rsidRPr="00002625">
              <w:t>(ii) there is a high grade colonic obstruction;</w:t>
            </w:r>
          </w:p>
          <w:p w14:paraId="3BF458DF" w14:textId="77777777" w:rsidR="000E6CFB" w:rsidRPr="00002625" w:rsidRDefault="000E6CFB">
            <w:pPr>
              <w:pStyle w:val="TableText0"/>
            </w:pPr>
            <w:r w:rsidRPr="00002625">
              <w:t>(iii) the service is requested by a specialist or consultant physician who performs colonoscopies in the practice of the specialist’s or consultant physician’s speciality; and</w:t>
            </w:r>
          </w:p>
          <w:p w14:paraId="28023609" w14:textId="77777777" w:rsidR="000E6CFB" w:rsidRPr="00002625" w:rsidRDefault="000E6CFB">
            <w:pPr>
              <w:pStyle w:val="TableText0"/>
            </w:pPr>
            <w:r w:rsidRPr="00002625">
              <w:t xml:space="preserve">(b) the service is not a service to which item 56301, 56307, 56401, 56407, 56409, 56412, 56501, 56507, 56801, 56807 or 57001 applies (R) </w:t>
            </w:r>
          </w:p>
          <w:p w14:paraId="77DFB4A2" w14:textId="77777777" w:rsidR="000E6CFB" w:rsidRPr="00002625" w:rsidRDefault="000E6CFB">
            <w:pPr>
              <w:pStyle w:val="TableText0"/>
            </w:pPr>
          </w:p>
          <w:p w14:paraId="5C21A1FC" w14:textId="77777777" w:rsidR="000E6CFB" w:rsidRPr="00002625" w:rsidRDefault="000E6CFB">
            <w:pPr>
              <w:pStyle w:val="TableText0"/>
            </w:pPr>
            <w:r w:rsidRPr="00002625">
              <w:t>Bulk bill incentive</w:t>
            </w:r>
          </w:p>
          <w:p w14:paraId="1150398F" w14:textId="77777777" w:rsidR="000E6CFB" w:rsidRPr="00002625" w:rsidRDefault="000E6CFB">
            <w:pPr>
              <w:pStyle w:val="TableText0"/>
            </w:pPr>
            <w:r w:rsidRPr="00002625">
              <w:t>(Anaes.)</w:t>
            </w:r>
          </w:p>
          <w:p w14:paraId="4DBCE3D6" w14:textId="77777777" w:rsidR="000E6CFB" w:rsidRPr="00002625" w:rsidRDefault="000E6CFB">
            <w:pPr>
              <w:pStyle w:val="TableText0"/>
            </w:pPr>
          </w:p>
        </w:tc>
      </w:tr>
      <w:tr w:rsidR="000E6CFB" w:rsidRPr="00002625" w14:paraId="0895A807" w14:textId="77777777">
        <w:trPr>
          <w:cantSplit/>
          <w:tblHeader/>
        </w:trPr>
        <w:tc>
          <w:tcPr>
            <w:tcW w:w="9242" w:type="dxa"/>
            <w:tcBorders>
              <w:top w:val="single" w:sz="4" w:space="0" w:color="auto"/>
              <w:left w:val="single" w:sz="4" w:space="0" w:color="auto"/>
              <w:bottom w:val="single" w:sz="4" w:space="0" w:color="auto"/>
              <w:right w:val="single" w:sz="4" w:space="0" w:color="auto"/>
            </w:tcBorders>
            <w:vAlign w:val="center"/>
            <w:hideMark/>
          </w:tcPr>
          <w:p w14:paraId="00F66BE4" w14:textId="77777777" w:rsidR="000E6CFB" w:rsidRPr="00002625" w:rsidRDefault="000E6CFB">
            <w:pPr>
              <w:pStyle w:val="TableText0"/>
            </w:pPr>
            <w:r w:rsidRPr="00002625">
              <w:rPr>
                <w:rFonts w:eastAsia="Helvetica" w:cs="Helvetica"/>
                <w:b/>
                <w:bCs/>
                <w:color w:val="222222"/>
                <w:sz w:val="19"/>
                <w:szCs w:val="19"/>
              </w:rPr>
              <w:t>Fee:</w:t>
            </w:r>
            <w:r w:rsidRPr="00002625">
              <w:rPr>
                <w:rFonts w:eastAsia="Helvetica" w:cs="Helvetica"/>
                <w:color w:val="222222"/>
                <w:sz w:val="19"/>
                <w:szCs w:val="19"/>
              </w:rPr>
              <w:t xml:space="preserve"> $571.40 </w:t>
            </w:r>
            <w:r w:rsidRPr="00002625">
              <w:rPr>
                <w:rFonts w:eastAsia="Helvetica" w:cs="Helvetica"/>
                <w:b/>
                <w:bCs/>
                <w:color w:val="222222"/>
                <w:sz w:val="19"/>
                <w:szCs w:val="19"/>
              </w:rPr>
              <w:t>Benefit:</w:t>
            </w:r>
            <w:r w:rsidRPr="00002625">
              <w:rPr>
                <w:rFonts w:eastAsia="Helvetica" w:cs="Helvetica"/>
                <w:color w:val="222222"/>
                <w:sz w:val="19"/>
                <w:szCs w:val="19"/>
              </w:rPr>
              <w:t xml:space="preserve"> 75% = $428.55 85% = $485.70</w:t>
            </w:r>
          </w:p>
        </w:tc>
      </w:tr>
    </w:tbl>
    <w:p w14:paraId="6AFFB1C5" w14:textId="6D1A8B2D" w:rsidR="00C67211" w:rsidRPr="00002625" w:rsidRDefault="000E6CFB" w:rsidP="00E14C8D">
      <w:pPr>
        <w:pStyle w:val="Tablenotes"/>
        <w:spacing w:after="360"/>
      </w:pPr>
      <w:r w:rsidRPr="00002625">
        <w:t>Source: MBS Online (</w:t>
      </w:r>
      <w:hyperlink r:id="rId9" w:tooltip="This link goes to the MBS online webpage" w:history="1">
        <w:r w:rsidRPr="00002625">
          <w:rPr>
            <w:rStyle w:val="Hyperlink"/>
            <w:rFonts w:ascii="Arial Narrow" w:hAnsi="Arial Narrow" w:cs="Arial"/>
          </w:rPr>
          <w:t>www.mbsonline.gov.au</w:t>
        </w:r>
      </w:hyperlink>
      <w:r w:rsidRPr="00002625">
        <w:t>).</w:t>
      </w:r>
      <w:r w:rsidRPr="00002625">
        <w:tab/>
      </w:r>
      <w:r w:rsidRPr="00002625">
        <w:br/>
        <w:t>MBS = Medical Benefits Schedule</w:t>
      </w:r>
    </w:p>
    <w:p w14:paraId="1C5B4651" w14:textId="181DC704" w:rsidR="00643B88" w:rsidRPr="00002625" w:rsidRDefault="00643B88" w:rsidP="00D1366F">
      <w:r w:rsidRPr="00002625">
        <w:t>Note that as of the 1 November 2024 explanatory note IN.0.15 was amended, removing reference to high risk, incomplete colonoscopy and any reference to Item 56553 other than that it is for CT colonography</w:t>
      </w:r>
      <w:r w:rsidR="00B2176B" w:rsidRPr="00002625">
        <w:t>.</w:t>
      </w:r>
    </w:p>
    <w:p w14:paraId="1367AB06" w14:textId="0E407724" w:rsidR="004B60DF" w:rsidRPr="00002625" w:rsidRDefault="000B0B3B" w:rsidP="00D1366F">
      <w:r w:rsidRPr="00002625">
        <w:lastRenderedPageBreak/>
        <w:t xml:space="preserve">Under the current item, </w:t>
      </w:r>
      <w:r w:rsidR="00D75289" w:rsidRPr="00002625">
        <w:t>medical practitioners</w:t>
      </w:r>
      <w:r w:rsidR="004B60DF" w:rsidRPr="00002625">
        <w:t xml:space="preserve"> including GPs</w:t>
      </w:r>
      <w:r w:rsidR="00D75289" w:rsidRPr="00002625">
        <w:t>, specialists and consultant physicians</w:t>
      </w:r>
      <w:r w:rsidR="0011021B" w:rsidRPr="00002625">
        <w:t xml:space="preserve"> </w:t>
      </w:r>
      <w:r w:rsidR="00711E4C" w:rsidRPr="00002625">
        <w:t xml:space="preserve">can request CTC </w:t>
      </w:r>
      <w:r w:rsidR="0011021B" w:rsidRPr="00002625">
        <w:t>in order to</w:t>
      </w:r>
      <w:r w:rsidR="00711E4C" w:rsidRPr="00002625">
        <w:t xml:space="preserve"> exclud</w:t>
      </w:r>
      <w:r w:rsidR="0011021B" w:rsidRPr="00002625">
        <w:t>e</w:t>
      </w:r>
      <w:r w:rsidR="00711E4C" w:rsidRPr="00002625">
        <w:t xml:space="preserve"> or diagnos</w:t>
      </w:r>
      <w:r w:rsidR="0011021B" w:rsidRPr="00002625">
        <w:t>e</w:t>
      </w:r>
      <w:r w:rsidR="00711E4C" w:rsidRPr="00002625">
        <w:t xml:space="preserve"> </w:t>
      </w:r>
      <w:r w:rsidR="00881D80" w:rsidRPr="00002625">
        <w:t>CRC</w:t>
      </w:r>
      <w:r w:rsidR="004B60DF" w:rsidRPr="00002625">
        <w:t xml:space="preserve"> if:</w:t>
      </w:r>
    </w:p>
    <w:p w14:paraId="10800AA4" w14:textId="3DBEB6AC" w:rsidR="004B60DF" w:rsidRPr="00002625" w:rsidRDefault="004B60DF" w:rsidP="000773E1">
      <w:pPr>
        <w:pStyle w:val="ListParagraph"/>
        <w:numPr>
          <w:ilvl w:val="0"/>
          <w:numId w:val="17"/>
        </w:numPr>
      </w:pPr>
      <w:r w:rsidRPr="00002625">
        <w:t>The patient is</w:t>
      </w:r>
      <w:r w:rsidR="00711E4C" w:rsidRPr="00002625">
        <w:t xml:space="preserve"> symptomatic or high-risk patient</w:t>
      </w:r>
      <w:r w:rsidR="000A6D8A" w:rsidRPr="00002625">
        <w:t xml:space="preserve"> (familial CRC risk)</w:t>
      </w:r>
      <w:r w:rsidRPr="00002625">
        <w:t>, and,</w:t>
      </w:r>
    </w:p>
    <w:p w14:paraId="52FE02F3" w14:textId="15E88928" w:rsidR="004B60DF" w:rsidRPr="00002625" w:rsidRDefault="0035066A" w:rsidP="000773E1">
      <w:pPr>
        <w:pStyle w:val="ListParagraph"/>
        <w:numPr>
          <w:ilvl w:val="0"/>
          <w:numId w:val="17"/>
        </w:numPr>
      </w:pPr>
      <w:r w:rsidRPr="00002625">
        <w:t>O</w:t>
      </w:r>
      <w:r w:rsidR="004B60DF" w:rsidRPr="00002625">
        <w:t xml:space="preserve">nly </w:t>
      </w:r>
      <w:r w:rsidR="00851042" w:rsidRPr="00002625">
        <w:t>in the case o</w:t>
      </w:r>
      <w:r w:rsidR="009F0E4C" w:rsidRPr="00002625">
        <w:t>f</w:t>
      </w:r>
      <w:r w:rsidR="00851042" w:rsidRPr="00002625">
        <w:t xml:space="preserve"> an </w:t>
      </w:r>
      <w:r w:rsidR="00711E4C" w:rsidRPr="00002625">
        <w:t xml:space="preserve">incomplete colonoscopy </w:t>
      </w:r>
      <w:r w:rsidR="00851042" w:rsidRPr="00002625">
        <w:t>or a</w:t>
      </w:r>
      <w:r w:rsidR="00711E4C" w:rsidRPr="00002625">
        <w:t xml:space="preserve"> high-grade colonic obstruction.</w:t>
      </w:r>
      <w:r w:rsidR="00EE683E" w:rsidRPr="00002625">
        <w:t xml:space="preserve"> </w:t>
      </w:r>
    </w:p>
    <w:p w14:paraId="65F9FBE1" w14:textId="2FBA4E1E" w:rsidR="0035066A" w:rsidRPr="00002625" w:rsidRDefault="0035066A" w:rsidP="00D1366F">
      <w:r w:rsidRPr="00002625">
        <w:t xml:space="preserve">Specialist colonoscopists may also refer a patient for CTC </w:t>
      </w:r>
      <w:r w:rsidR="00F1704F" w:rsidRPr="00002625">
        <w:t xml:space="preserve">for any indication </w:t>
      </w:r>
      <w:r w:rsidR="002716CA" w:rsidRPr="00002625">
        <w:t xml:space="preserve">for the purposes of excluding </w:t>
      </w:r>
      <w:r w:rsidR="00A43B6D" w:rsidRPr="00002625">
        <w:t xml:space="preserve">or diagnosing </w:t>
      </w:r>
      <w:r w:rsidR="00EA0637" w:rsidRPr="00002625">
        <w:t>colorectal neoplasia in a symptomatic or high risk patient</w:t>
      </w:r>
      <w:r w:rsidRPr="00002625">
        <w:t xml:space="preserve">. </w:t>
      </w:r>
    </w:p>
    <w:p w14:paraId="19F9C62C" w14:textId="4C7FBFAD" w:rsidR="00711E4C" w:rsidRPr="00002625" w:rsidRDefault="223304D5" w:rsidP="00D1366F">
      <w:r w:rsidRPr="00002625">
        <w:t xml:space="preserve">The 3 year restriction between services </w:t>
      </w:r>
      <w:r w:rsidR="0B36E28D" w:rsidRPr="00002625">
        <w:t xml:space="preserve">per patient </w:t>
      </w:r>
      <w:r w:rsidRPr="00002625">
        <w:t xml:space="preserve">was removed from 1 May 2020. </w:t>
      </w:r>
      <w:r w:rsidR="009F0E4C" w:rsidRPr="00002625">
        <w:t>T</w:t>
      </w:r>
      <w:r w:rsidR="00851042" w:rsidRPr="00002625">
        <w:t>he list of medical and technical contraindications to colonoscopy</w:t>
      </w:r>
      <w:r w:rsidR="009F0E4C" w:rsidRPr="00002625">
        <w:t xml:space="preserve"> considered in application 1269</w:t>
      </w:r>
      <w:r w:rsidR="00D856F3" w:rsidRPr="00002625">
        <w:t xml:space="preserve"> (see </w:t>
      </w:r>
      <w:r w:rsidR="00243202" w:rsidRPr="00002625">
        <w:fldChar w:fldCharType="begin"/>
      </w:r>
      <w:r w:rsidR="00243202" w:rsidRPr="00002625">
        <w:instrText xml:space="preserve"> REF _Ref181279211 \h </w:instrText>
      </w:r>
      <w:r w:rsidR="00243202" w:rsidRPr="00002625">
        <w:fldChar w:fldCharType="separate"/>
      </w:r>
      <w:r w:rsidR="00637321" w:rsidRPr="00002625">
        <w:t>Table </w:t>
      </w:r>
      <w:r w:rsidR="00637321" w:rsidRPr="00002625">
        <w:rPr>
          <w:noProof/>
        </w:rPr>
        <w:t>9</w:t>
      </w:r>
      <w:r w:rsidR="00243202" w:rsidRPr="00002625">
        <w:fldChar w:fldCharType="end"/>
      </w:r>
      <w:r w:rsidR="00D856F3" w:rsidRPr="00002625">
        <w:t>)</w:t>
      </w:r>
      <w:r w:rsidR="00851042" w:rsidRPr="00002625">
        <w:t xml:space="preserve"> is not currently reflected in the associated explanatory notes.</w:t>
      </w:r>
      <w:r w:rsidR="00B85551" w:rsidRPr="00002625">
        <w:t xml:space="preserve"> </w:t>
      </w:r>
      <w:r w:rsidR="00D47753" w:rsidRPr="00002625">
        <w:t>High grade colonic obstruction is the only contraindication to colonoscopy which is specified in the current item.</w:t>
      </w:r>
    </w:p>
    <w:p w14:paraId="18E66948" w14:textId="27AD4519" w:rsidR="00D73332" w:rsidRPr="00002625" w:rsidRDefault="00D73332" w:rsidP="00FD4C65">
      <w:pPr>
        <w:pStyle w:val="Heading2"/>
      </w:pPr>
      <w:r w:rsidRPr="00002625">
        <w:t xml:space="preserve">PICO </w:t>
      </w:r>
      <w:r w:rsidR="00FD4E33" w:rsidRPr="00002625">
        <w:t>criteria</w:t>
      </w:r>
      <w:r w:rsidR="000B7556" w:rsidRPr="00002625">
        <w:t>: overview</w:t>
      </w:r>
    </w:p>
    <w:p w14:paraId="27E8CB28" w14:textId="45DDA5F2" w:rsidR="00BC7267" w:rsidRPr="00002625" w:rsidRDefault="001B51F0" w:rsidP="007173EB">
      <w:pPr>
        <w:keepNext/>
      </w:pPr>
      <w:r w:rsidRPr="00002625">
        <w:t>T</w:t>
      </w:r>
      <w:r w:rsidR="00F948A9" w:rsidRPr="00002625">
        <w:t>he</w:t>
      </w:r>
      <w:r w:rsidR="00FA466A" w:rsidRPr="00002625">
        <w:t xml:space="preserve"> six PICO </w:t>
      </w:r>
      <w:r w:rsidR="00D57B61" w:rsidRPr="00002625">
        <w:t>s</w:t>
      </w:r>
      <w:r w:rsidR="00FA466A" w:rsidRPr="00002625">
        <w:t>ets</w:t>
      </w:r>
      <w:r w:rsidR="001F4E66" w:rsidRPr="00002625">
        <w:t xml:space="preserve"> requested by the applicant</w:t>
      </w:r>
      <w:r w:rsidR="00FA466A" w:rsidRPr="00002625">
        <w:t xml:space="preserve"> </w:t>
      </w:r>
      <w:r w:rsidR="003A5E3E" w:rsidRPr="00002625">
        <w:t>are</w:t>
      </w:r>
      <w:r w:rsidR="00FA466A" w:rsidRPr="00002625">
        <w:t xml:space="preserve"> </w:t>
      </w:r>
      <w:r w:rsidRPr="00002625">
        <w:t>summarised</w:t>
      </w:r>
      <w:r w:rsidR="00FA466A" w:rsidRPr="00002625">
        <w:t xml:space="preserve"> in </w:t>
      </w:r>
      <w:r w:rsidR="00FA466A" w:rsidRPr="00002625">
        <w:fldChar w:fldCharType="begin"/>
      </w:r>
      <w:r w:rsidR="00FA466A" w:rsidRPr="00002625">
        <w:instrText xml:space="preserve"> REF _Ref69725659 \h </w:instrText>
      </w:r>
      <w:r w:rsidR="00FA466A" w:rsidRPr="00002625">
        <w:fldChar w:fldCharType="separate"/>
      </w:r>
      <w:r w:rsidR="00637321" w:rsidRPr="00002625">
        <w:t>Table </w:t>
      </w:r>
      <w:r w:rsidR="00637321" w:rsidRPr="00002625">
        <w:rPr>
          <w:noProof/>
        </w:rPr>
        <w:t>5</w:t>
      </w:r>
      <w:r w:rsidR="00FA466A" w:rsidRPr="00002625">
        <w:fldChar w:fldCharType="end"/>
      </w:r>
      <w:r w:rsidR="00F3505D" w:rsidRPr="00002625">
        <w:t>.</w:t>
      </w:r>
      <w:r w:rsidR="00E32E36" w:rsidRPr="00002625">
        <w:t xml:space="preserve"> </w:t>
      </w:r>
    </w:p>
    <w:p w14:paraId="326828C4" w14:textId="391E5C93" w:rsidR="000A5D27" w:rsidRPr="00002625" w:rsidRDefault="000A5D27" w:rsidP="007F7C39">
      <w:pPr>
        <w:pStyle w:val="TableHeading"/>
        <w:rPr>
          <w:sz w:val="16"/>
          <w:szCs w:val="16"/>
        </w:rPr>
      </w:pPr>
      <w:bookmarkStart w:id="8" w:name="_Ref69725659"/>
      <w:r w:rsidRPr="00002625">
        <w:t>Table </w:t>
      </w:r>
      <w:r>
        <w:fldChar w:fldCharType="begin"/>
      </w:r>
      <w:r>
        <w:instrText>SEQ Table \* ARABIC</w:instrText>
      </w:r>
      <w:r>
        <w:fldChar w:fldCharType="separate"/>
      </w:r>
      <w:r w:rsidR="00637321" w:rsidRPr="00002625">
        <w:rPr>
          <w:noProof/>
        </w:rPr>
        <w:t>5</w:t>
      </w:r>
      <w:r>
        <w:fldChar w:fldCharType="end"/>
      </w:r>
      <w:bookmarkEnd w:id="8"/>
      <w:r w:rsidRPr="00002625">
        <w:tab/>
        <w:t xml:space="preserve">Overview of populations requested for the six PICO </w:t>
      </w:r>
      <w:r w:rsidR="00F6164F" w:rsidRPr="00002625">
        <w:t>s</w:t>
      </w:r>
      <w:r w:rsidRPr="00002625">
        <w:t>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Overview of populations requested for the six PICO sets"/>
        <w:tblDescription w:val="Table showing overview of populations requested for the six PICO sets"/>
      </w:tblPr>
      <w:tblGrid>
        <w:gridCol w:w="1041"/>
        <w:gridCol w:w="8530"/>
      </w:tblGrid>
      <w:tr w:rsidR="001B33D0" w:rsidRPr="00002625" w14:paraId="04B0E307" w14:textId="77777777" w:rsidTr="00FD739F">
        <w:trPr>
          <w:tblHeader/>
        </w:trPr>
        <w:tc>
          <w:tcPr>
            <w:tcW w:w="544" w:type="pct"/>
          </w:tcPr>
          <w:p w14:paraId="60F0B042" w14:textId="02E66A66" w:rsidR="001B33D0" w:rsidRPr="00002625" w:rsidRDefault="001B33D0" w:rsidP="007F7C39">
            <w:pPr>
              <w:pStyle w:val="TableHeading"/>
            </w:pPr>
            <w:bookmarkStart w:id="9" w:name="ColumnTitle_Table4"/>
            <w:bookmarkStart w:id="10" w:name="_Hlk68276288"/>
            <w:bookmarkEnd w:id="9"/>
            <w:r w:rsidRPr="00002625">
              <w:t xml:space="preserve">PICO </w:t>
            </w:r>
            <w:r w:rsidR="00D9008F" w:rsidRPr="00002625">
              <w:t>s</w:t>
            </w:r>
            <w:r w:rsidRPr="00002625">
              <w:t>et</w:t>
            </w:r>
          </w:p>
        </w:tc>
        <w:tc>
          <w:tcPr>
            <w:tcW w:w="4456" w:type="pct"/>
            <w:hideMark/>
          </w:tcPr>
          <w:p w14:paraId="0CA6B1A4" w14:textId="77777777" w:rsidR="001B33D0" w:rsidRPr="00002625" w:rsidRDefault="001B33D0" w:rsidP="007F7C39">
            <w:pPr>
              <w:pStyle w:val="TableHeading"/>
            </w:pPr>
            <w:r w:rsidRPr="00002625">
              <w:t>Proposed population</w:t>
            </w:r>
          </w:p>
        </w:tc>
      </w:tr>
      <w:tr w:rsidR="001B33D0" w:rsidRPr="00002625" w14:paraId="1CB1348F" w14:textId="77777777" w:rsidTr="00FD739F">
        <w:tc>
          <w:tcPr>
            <w:tcW w:w="544" w:type="pct"/>
          </w:tcPr>
          <w:p w14:paraId="11023526" w14:textId="77777777" w:rsidR="001B33D0" w:rsidRPr="00002625" w:rsidRDefault="001B33D0" w:rsidP="007F7C39">
            <w:pPr>
              <w:pStyle w:val="TableText0"/>
            </w:pPr>
            <w:bookmarkStart w:id="11" w:name="_Hlk178935472"/>
            <w:r w:rsidRPr="00002625">
              <w:t>1</w:t>
            </w:r>
          </w:p>
        </w:tc>
        <w:tc>
          <w:tcPr>
            <w:tcW w:w="4456" w:type="pct"/>
          </w:tcPr>
          <w:p w14:paraId="1CBDAFB9" w14:textId="77777777" w:rsidR="001B33D0" w:rsidRPr="00002625" w:rsidRDefault="001B33D0" w:rsidP="007F7C39">
            <w:pPr>
              <w:pStyle w:val="TableText0"/>
            </w:pPr>
            <w:r w:rsidRPr="00002625">
              <w:t>Patients for whom a repeat colonic evaluation is required due to inadequate bowel preparation for the patient’s previous examination, or the previous examination was incomplete.</w:t>
            </w:r>
          </w:p>
        </w:tc>
      </w:tr>
      <w:tr w:rsidR="001B33D0" w:rsidRPr="00002625" w14:paraId="0A5E323C" w14:textId="77777777" w:rsidTr="00FD739F">
        <w:tc>
          <w:tcPr>
            <w:tcW w:w="544" w:type="pct"/>
          </w:tcPr>
          <w:p w14:paraId="553A07F9" w14:textId="77777777" w:rsidR="001B33D0" w:rsidRPr="00002625" w:rsidRDefault="001B33D0" w:rsidP="007F7C39">
            <w:pPr>
              <w:pStyle w:val="TableText0"/>
            </w:pPr>
            <w:r w:rsidRPr="00002625">
              <w:t>2</w:t>
            </w:r>
          </w:p>
        </w:tc>
        <w:tc>
          <w:tcPr>
            <w:tcW w:w="4456" w:type="pct"/>
          </w:tcPr>
          <w:p w14:paraId="2E50B3E0" w14:textId="77777777" w:rsidR="001B33D0" w:rsidRPr="00002625" w:rsidRDefault="001B33D0" w:rsidP="007F7C39">
            <w:pPr>
              <w:pStyle w:val="TableText0"/>
            </w:pPr>
            <w:r w:rsidRPr="00002625">
              <w:t>Patients for whom diagnostic imaging has shown an abnormality of the colon</w:t>
            </w:r>
          </w:p>
        </w:tc>
      </w:tr>
      <w:tr w:rsidR="001B33D0" w:rsidRPr="00002625" w14:paraId="144BDB11" w14:textId="77777777" w:rsidTr="00FD739F">
        <w:tc>
          <w:tcPr>
            <w:tcW w:w="544" w:type="pct"/>
          </w:tcPr>
          <w:p w14:paraId="5AB9E9BC" w14:textId="77777777" w:rsidR="001B33D0" w:rsidRPr="00002625" w:rsidRDefault="001B33D0" w:rsidP="007F7C39">
            <w:pPr>
              <w:pStyle w:val="TableText0"/>
            </w:pPr>
            <w:r w:rsidRPr="00002625">
              <w:t>3</w:t>
            </w:r>
          </w:p>
        </w:tc>
        <w:tc>
          <w:tcPr>
            <w:tcW w:w="4456" w:type="pct"/>
          </w:tcPr>
          <w:p w14:paraId="2948A525" w14:textId="77777777" w:rsidR="001B33D0" w:rsidRPr="00002625" w:rsidRDefault="001B33D0" w:rsidP="007F7C39">
            <w:pPr>
              <w:pStyle w:val="TableText0"/>
            </w:pPr>
            <w:r w:rsidRPr="00002625">
              <w:t>Patients requiring surveillance following prior diagnosis of colorectal polyps or cancer</w:t>
            </w:r>
          </w:p>
        </w:tc>
      </w:tr>
      <w:tr w:rsidR="001B33D0" w:rsidRPr="00002625" w14:paraId="54471D9C" w14:textId="77777777" w:rsidTr="00FD739F">
        <w:tc>
          <w:tcPr>
            <w:tcW w:w="544" w:type="pct"/>
          </w:tcPr>
          <w:p w14:paraId="3D1FCDC1" w14:textId="77777777" w:rsidR="001B33D0" w:rsidRPr="00002625" w:rsidRDefault="001B33D0" w:rsidP="007F7C39">
            <w:pPr>
              <w:pStyle w:val="TableText0"/>
            </w:pPr>
            <w:r w:rsidRPr="00002625">
              <w:t>4</w:t>
            </w:r>
          </w:p>
        </w:tc>
        <w:tc>
          <w:tcPr>
            <w:tcW w:w="4456" w:type="pct"/>
          </w:tcPr>
          <w:p w14:paraId="08252FE5" w14:textId="77777777" w:rsidR="001B33D0" w:rsidRPr="00002625" w:rsidRDefault="001B33D0" w:rsidP="007F7C39">
            <w:pPr>
              <w:pStyle w:val="TableText0"/>
            </w:pPr>
            <w:r w:rsidRPr="00002625">
              <w:t>Patients who have previously had an incomplete colonoscopy or are on anticoagulation</w:t>
            </w:r>
          </w:p>
        </w:tc>
      </w:tr>
      <w:tr w:rsidR="001B33D0" w:rsidRPr="00002625" w14:paraId="4878CE83" w14:textId="77777777" w:rsidTr="00FD739F">
        <w:tc>
          <w:tcPr>
            <w:tcW w:w="544" w:type="pct"/>
          </w:tcPr>
          <w:p w14:paraId="4747C6BC" w14:textId="77777777" w:rsidR="001B33D0" w:rsidRPr="00002625" w:rsidRDefault="001B33D0" w:rsidP="007F7C39">
            <w:pPr>
              <w:pStyle w:val="TableText0"/>
            </w:pPr>
            <w:r w:rsidRPr="00002625">
              <w:t>5</w:t>
            </w:r>
          </w:p>
        </w:tc>
        <w:tc>
          <w:tcPr>
            <w:tcW w:w="4456" w:type="pct"/>
          </w:tcPr>
          <w:p w14:paraId="279FE4B4" w14:textId="25E5F62E" w:rsidR="001B33D0" w:rsidRPr="00002625" w:rsidRDefault="001B33D0" w:rsidP="007F7C39">
            <w:pPr>
              <w:pStyle w:val="TableText0"/>
            </w:pPr>
            <w:r w:rsidRPr="00002625">
              <w:t>Patients with positive FOBT</w:t>
            </w:r>
          </w:p>
        </w:tc>
      </w:tr>
      <w:tr w:rsidR="001B33D0" w:rsidRPr="00002625" w14:paraId="520AEC15" w14:textId="77777777" w:rsidTr="00FD739F">
        <w:tc>
          <w:tcPr>
            <w:tcW w:w="544" w:type="pct"/>
          </w:tcPr>
          <w:p w14:paraId="5D976642" w14:textId="77777777" w:rsidR="001B33D0" w:rsidRPr="00002625" w:rsidRDefault="001B33D0" w:rsidP="007F7C39">
            <w:pPr>
              <w:pStyle w:val="TableText0"/>
            </w:pPr>
            <w:r w:rsidRPr="00002625">
              <w:t>6</w:t>
            </w:r>
          </w:p>
        </w:tc>
        <w:tc>
          <w:tcPr>
            <w:tcW w:w="4456" w:type="pct"/>
          </w:tcPr>
          <w:p w14:paraId="143AD6AF" w14:textId="77777777" w:rsidR="001B33D0" w:rsidRPr="00002625" w:rsidRDefault="001B33D0" w:rsidP="007F7C39">
            <w:pPr>
              <w:pStyle w:val="TableText0"/>
            </w:pPr>
            <w:r w:rsidRPr="00002625">
              <w:t>Patients with signs or symptoms potentially from colorectal cancer</w:t>
            </w:r>
          </w:p>
        </w:tc>
      </w:tr>
    </w:tbl>
    <w:p w14:paraId="080FC7D6" w14:textId="4F0C3F49" w:rsidR="000A5D27" w:rsidRPr="00002625" w:rsidRDefault="000A5D27" w:rsidP="000A5D27">
      <w:pPr>
        <w:pStyle w:val="Tablenotes"/>
        <w:spacing w:after="240"/>
      </w:pPr>
      <w:bookmarkStart w:id="12" w:name="_Hlk68276301"/>
      <w:bookmarkEnd w:id="10"/>
      <w:bookmarkEnd w:id="11"/>
      <w:r w:rsidRPr="00002625">
        <w:t>FOBT = faecal occult blood test</w:t>
      </w:r>
      <w:r w:rsidR="0049453A" w:rsidRPr="00002625">
        <w:t xml:space="preserve"> </w:t>
      </w:r>
      <w:r w:rsidR="0049453A" w:rsidRPr="00002625">
        <w:tab/>
      </w:r>
      <w:r w:rsidR="0049453A" w:rsidRPr="00002625">
        <w:br/>
        <w:t>Source: MSAC 1789 Application Summary</w:t>
      </w:r>
      <w:r w:rsidR="0049453A" w:rsidRPr="00002625">
        <w:tab/>
      </w:r>
    </w:p>
    <w:bookmarkEnd w:id="12"/>
    <w:p w14:paraId="2114E3CC" w14:textId="18B560EA" w:rsidR="0021506C" w:rsidRPr="00002625" w:rsidRDefault="008E38AD" w:rsidP="00F3505D">
      <w:r w:rsidRPr="00002625">
        <w:t>The populations presented by the applicant</w:t>
      </w:r>
      <w:r w:rsidR="00C3675A" w:rsidRPr="00002625">
        <w:t xml:space="preserve"> </w:t>
      </w:r>
      <w:r w:rsidR="00B4724F" w:rsidRPr="00002625">
        <w:t>are</w:t>
      </w:r>
      <w:r w:rsidR="005710D4" w:rsidRPr="00002625">
        <w:t xml:space="preserve"> likely to inadvertently restrict the evidence that can be used in the assessment given that they </w:t>
      </w:r>
      <w:r w:rsidR="00315852" w:rsidRPr="00002625">
        <w:t>were</w:t>
      </w:r>
      <w:r w:rsidR="00863B0F" w:rsidRPr="00002625">
        <w:t xml:space="preserve"> so </w:t>
      </w:r>
      <w:r w:rsidRPr="00002625" w:rsidDel="00434CE8">
        <w:t>specific</w:t>
      </w:r>
      <w:r w:rsidR="008C4D15" w:rsidRPr="00002625">
        <w:t>. This</w:t>
      </w:r>
      <w:r w:rsidRPr="00002625">
        <w:t xml:space="preserve"> was confirmed with preliminary literature searches. </w:t>
      </w:r>
      <w:r w:rsidR="009276D8" w:rsidRPr="00002625">
        <w:t>The evaluation group</w:t>
      </w:r>
      <w:r w:rsidR="00434CE8" w:rsidRPr="00002625">
        <w:t xml:space="preserve"> proposed two </w:t>
      </w:r>
      <w:r w:rsidR="001805DF" w:rsidRPr="00002625">
        <w:t>PICO sets</w:t>
      </w:r>
      <w:r w:rsidR="00857581" w:rsidRPr="00002625">
        <w:t xml:space="preserve"> </w:t>
      </w:r>
      <w:r w:rsidR="001805DF" w:rsidRPr="00002625">
        <w:t>for diagnostic use</w:t>
      </w:r>
      <w:r w:rsidR="00E27FF6" w:rsidRPr="00002625">
        <w:t xml:space="preserve"> </w:t>
      </w:r>
      <w:r w:rsidR="001805DF" w:rsidRPr="00002625">
        <w:t>and for surveillance use</w:t>
      </w:r>
      <w:r w:rsidR="009276D8" w:rsidRPr="00002625">
        <w:t xml:space="preserve">, based on </w:t>
      </w:r>
      <w:r w:rsidR="00D427EC" w:rsidRPr="00002625">
        <w:t>current</w:t>
      </w:r>
      <w:r w:rsidR="00DF3E38" w:rsidRPr="00002625">
        <w:t xml:space="preserve"> clinical </w:t>
      </w:r>
      <w:r w:rsidR="00D427EC" w:rsidRPr="00002625">
        <w:t xml:space="preserve">guidelines and evidence </w:t>
      </w:r>
      <w:r w:rsidR="00B1289C" w:rsidRPr="00002625">
        <w:t xml:space="preserve">considering the </w:t>
      </w:r>
      <w:r w:rsidR="009276D8" w:rsidRPr="00002625">
        <w:t>applicant and department input</w:t>
      </w:r>
      <w:r w:rsidR="00FB5EF1" w:rsidRPr="00002625">
        <w:t>. An overview of</w:t>
      </w:r>
      <w:r w:rsidR="00C56F8D" w:rsidRPr="00002625">
        <w:t xml:space="preserve"> the revised PICO sets </w:t>
      </w:r>
      <w:r w:rsidR="00C73CAA" w:rsidRPr="00002625">
        <w:t>is</w:t>
      </w:r>
      <w:r w:rsidR="009276D8" w:rsidRPr="00002625">
        <w:t xml:space="preserve"> presented in </w:t>
      </w:r>
      <w:r w:rsidR="009276D8" w:rsidRPr="00002625">
        <w:fldChar w:fldCharType="begin"/>
      </w:r>
      <w:r w:rsidR="009276D8" w:rsidRPr="00002625">
        <w:instrText xml:space="preserve"> REF _Ref180394413 \h </w:instrText>
      </w:r>
      <w:r w:rsidR="0052533D" w:rsidRPr="00002625">
        <w:instrText xml:space="preserve"> \* MERGEFORMAT </w:instrText>
      </w:r>
      <w:r w:rsidR="009276D8" w:rsidRPr="00002625">
        <w:fldChar w:fldCharType="separate"/>
      </w:r>
      <w:r w:rsidR="00637321" w:rsidRPr="00002625">
        <w:t>Table 6</w:t>
      </w:r>
      <w:r w:rsidR="009276D8" w:rsidRPr="00002625">
        <w:fldChar w:fldCharType="end"/>
      </w:r>
      <w:r w:rsidR="009276D8" w:rsidRPr="00002625">
        <w:t xml:space="preserve">. </w:t>
      </w:r>
    </w:p>
    <w:p w14:paraId="4F751567" w14:textId="77777777" w:rsidR="00F87900" w:rsidRDefault="00F87900">
      <w:pPr>
        <w:spacing w:after="160" w:line="259" w:lineRule="auto"/>
        <w:rPr>
          <w:rFonts w:ascii="Arial Narrow" w:eastAsia="Times New Roman" w:hAnsi="Arial Narrow" w:cs="Tahoma"/>
          <w:b/>
          <w:sz w:val="20"/>
          <w:szCs w:val="20"/>
          <w:lang w:eastAsia="en-AU"/>
        </w:rPr>
      </w:pPr>
      <w:bookmarkStart w:id="13" w:name="_Ref180394413"/>
      <w:r>
        <w:br w:type="page"/>
      </w:r>
    </w:p>
    <w:p w14:paraId="23B036D5" w14:textId="581F9A73" w:rsidR="00C66EE4" w:rsidRPr="00002625" w:rsidRDefault="00C66EE4" w:rsidP="00315852">
      <w:pPr>
        <w:pStyle w:val="TableHeading"/>
      </w:pPr>
      <w:r w:rsidRPr="00002625">
        <w:lastRenderedPageBreak/>
        <w:t>T</w:t>
      </w:r>
      <w:r w:rsidRPr="00002625">
        <w:rPr>
          <w:rStyle w:val="TableHeadingChar"/>
          <w:b/>
        </w:rPr>
        <w:t>able </w:t>
      </w:r>
      <w:r w:rsidRPr="00002625">
        <w:rPr>
          <w:rStyle w:val="TableHeadingChar"/>
          <w:b/>
        </w:rPr>
        <w:fldChar w:fldCharType="begin"/>
      </w:r>
      <w:r w:rsidRPr="00002625">
        <w:rPr>
          <w:rStyle w:val="TableHeadingChar"/>
          <w:b/>
        </w:rPr>
        <w:instrText xml:space="preserve"> SEQ Table \* ARABIC </w:instrText>
      </w:r>
      <w:r w:rsidRPr="00002625">
        <w:rPr>
          <w:rStyle w:val="TableHeadingChar"/>
          <w:b/>
        </w:rPr>
        <w:fldChar w:fldCharType="separate"/>
      </w:r>
      <w:r w:rsidR="00637321" w:rsidRPr="00002625">
        <w:rPr>
          <w:rStyle w:val="TableHeadingChar"/>
          <w:b/>
          <w:noProof/>
        </w:rPr>
        <w:t>6</w:t>
      </w:r>
      <w:r w:rsidRPr="00002625">
        <w:rPr>
          <w:rStyle w:val="TableHeadingChar"/>
          <w:b/>
        </w:rPr>
        <w:fldChar w:fldCharType="end"/>
      </w:r>
      <w:bookmarkEnd w:id="13"/>
      <w:r w:rsidR="002F5BB5" w:rsidRPr="00002625">
        <w:rPr>
          <w:rStyle w:val="TableHeadingChar"/>
          <w:b/>
        </w:rPr>
        <w:tab/>
      </w:r>
      <w:r w:rsidRPr="00002625">
        <w:rPr>
          <w:rStyle w:val="TableHeadingChar"/>
          <w:b/>
        </w:rPr>
        <w:t>Overview of</w:t>
      </w:r>
      <w:r w:rsidR="0020022B" w:rsidRPr="00002625">
        <w:rPr>
          <w:rStyle w:val="TableHeadingChar"/>
          <w:b/>
        </w:rPr>
        <w:t xml:space="preserve"> the revised</w:t>
      </w:r>
      <w:r w:rsidRPr="00002625">
        <w:rPr>
          <w:rStyle w:val="TableHeadingChar"/>
          <w:b/>
        </w:rPr>
        <w:t xml:space="preserve"> PICO </w:t>
      </w:r>
      <w:r w:rsidR="0001073F" w:rsidRPr="00002625">
        <w:rPr>
          <w:rStyle w:val="TableHeadingChar"/>
          <w:b/>
        </w:rPr>
        <w:t>s</w:t>
      </w:r>
      <w:r w:rsidRPr="00002625">
        <w:rPr>
          <w:rStyle w:val="TableHeadingChar"/>
          <w:b/>
        </w:rPr>
        <w:t>ets</w:t>
      </w:r>
      <w:r w:rsidR="0006725E" w:rsidRPr="00002625">
        <w:rPr>
          <w:rStyle w:val="TableHeadingChar"/>
          <w:b/>
        </w:rPr>
        <w:t xml:space="preserve"> proposed by the evaluation 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overview of the revised PICO sets proposed by the evaluation group"/>
        <w:tblDescription w:val="Table showing overview of the revised PICO sets proposed by the evaluation group"/>
      </w:tblPr>
      <w:tblGrid>
        <w:gridCol w:w="999"/>
        <w:gridCol w:w="1547"/>
        <w:gridCol w:w="1078"/>
        <w:gridCol w:w="5947"/>
      </w:tblGrid>
      <w:tr w:rsidR="00E80320" w:rsidRPr="00002625" w14:paraId="1745D6C1" w14:textId="42C8BD7A" w:rsidTr="009413BF">
        <w:trPr>
          <w:trHeight w:val="300"/>
          <w:tblHeader/>
        </w:trPr>
        <w:tc>
          <w:tcPr>
            <w:tcW w:w="522" w:type="pct"/>
            <w:tcBorders>
              <w:bottom w:val="single" w:sz="4" w:space="0" w:color="auto"/>
            </w:tcBorders>
          </w:tcPr>
          <w:p w14:paraId="3A34550F" w14:textId="45835885" w:rsidR="00E80320" w:rsidRPr="00002625" w:rsidRDefault="00E80320" w:rsidP="00745B43">
            <w:pPr>
              <w:pStyle w:val="TableText0"/>
              <w:ind w:left="-57" w:right="-57"/>
              <w:rPr>
                <w:b/>
              </w:rPr>
            </w:pPr>
            <w:r w:rsidRPr="00002625">
              <w:rPr>
                <w:b/>
              </w:rPr>
              <w:t xml:space="preserve">Revised PICO </w:t>
            </w:r>
            <w:r w:rsidR="00EA4B11" w:rsidRPr="00002625">
              <w:rPr>
                <w:b/>
              </w:rPr>
              <w:t>s</w:t>
            </w:r>
            <w:r w:rsidRPr="00002625">
              <w:rPr>
                <w:b/>
              </w:rPr>
              <w:t>et</w:t>
            </w:r>
          </w:p>
        </w:tc>
        <w:tc>
          <w:tcPr>
            <w:tcW w:w="808" w:type="pct"/>
            <w:tcBorders>
              <w:bottom w:val="single" w:sz="4" w:space="0" w:color="auto"/>
            </w:tcBorders>
            <w:hideMark/>
          </w:tcPr>
          <w:p w14:paraId="04AFE576" w14:textId="6DA74B41" w:rsidR="00E80320" w:rsidRPr="00002625" w:rsidRDefault="00FB6B8B" w:rsidP="00745B43">
            <w:pPr>
              <w:pStyle w:val="TableText0"/>
              <w:ind w:left="-57" w:right="-57"/>
              <w:rPr>
                <w:b/>
              </w:rPr>
            </w:pPr>
            <w:r w:rsidRPr="00002625">
              <w:rPr>
                <w:b/>
              </w:rPr>
              <w:t>Indication</w:t>
            </w:r>
          </w:p>
        </w:tc>
        <w:tc>
          <w:tcPr>
            <w:tcW w:w="563" w:type="pct"/>
          </w:tcPr>
          <w:p w14:paraId="6B029E81" w14:textId="3725CCC5" w:rsidR="00E80320" w:rsidRPr="00002625" w:rsidRDefault="00A814D0" w:rsidP="00745B43">
            <w:pPr>
              <w:pStyle w:val="TableText0"/>
              <w:ind w:left="-57" w:right="-57"/>
              <w:rPr>
                <w:b/>
              </w:rPr>
            </w:pPr>
            <w:r w:rsidRPr="00002625">
              <w:rPr>
                <w:b/>
              </w:rPr>
              <w:t>A</w:t>
            </w:r>
            <w:r w:rsidR="00E80320" w:rsidRPr="00002625">
              <w:rPr>
                <w:b/>
              </w:rPr>
              <w:t xml:space="preserve">pplicant’s PICO </w:t>
            </w:r>
            <w:r w:rsidR="0001073F" w:rsidRPr="00002625">
              <w:rPr>
                <w:b/>
              </w:rPr>
              <w:t>s</w:t>
            </w:r>
            <w:r w:rsidR="00E80320" w:rsidRPr="00002625">
              <w:rPr>
                <w:b/>
              </w:rPr>
              <w:t>ets</w:t>
            </w:r>
          </w:p>
        </w:tc>
        <w:tc>
          <w:tcPr>
            <w:tcW w:w="3107" w:type="pct"/>
          </w:tcPr>
          <w:p w14:paraId="5E87B55F" w14:textId="52DA2440" w:rsidR="00E80320" w:rsidRPr="00002625" w:rsidRDefault="00FB6B8B" w:rsidP="00745B43">
            <w:pPr>
              <w:pStyle w:val="TableText0"/>
              <w:ind w:left="-57" w:right="-57"/>
              <w:rPr>
                <w:b/>
              </w:rPr>
            </w:pPr>
            <w:r w:rsidRPr="00002625">
              <w:rPr>
                <w:b/>
              </w:rPr>
              <w:t xml:space="preserve">Proposed </w:t>
            </w:r>
            <w:r w:rsidR="00E80320" w:rsidRPr="00002625">
              <w:rPr>
                <w:b/>
              </w:rPr>
              <w:t>population</w:t>
            </w:r>
          </w:p>
        </w:tc>
      </w:tr>
      <w:tr w:rsidR="00E80320" w:rsidRPr="00002625" w14:paraId="176ABDF8" w14:textId="4868845C" w:rsidTr="009413BF">
        <w:trPr>
          <w:trHeight w:val="300"/>
        </w:trPr>
        <w:tc>
          <w:tcPr>
            <w:tcW w:w="522" w:type="pct"/>
            <w:tcBorders>
              <w:bottom w:val="nil"/>
            </w:tcBorders>
          </w:tcPr>
          <w:p w14:paraId="6D4C6A66" w14:textId="77777777" w:rsidR="00E80320" w:rsidRPr="00002625" w:rsidRDefault="00E80320" w:rsidP="009413BF">
            <w:pPr>
              <w:pStyle w:val="TableText0"/>
              <w:ind w:left="-57" w:right="-57"/>
            </w:pPr>
            <w:r w:rsidRPr="00002625">
              <w:t>1</w:t>
            </w:r>
          </w:p>
        </w:tc>
        <w:tc>
          <w:tcPr>
            <w:tcW w:w="808" w:type="pct"/>
            <w:tcBorders>
              <w:bottom w:val="nil"/>
            </w:tcBorders>
          </w:tcPr>
          <w:p w14:paraId="279AC56A" w14:textId="44100CA2" w:rsidR="00E80320" w:rsidRPr="00002625" w:rsidRDefault="00E80320" w:rsidP="009413BF">
            <w:pPr>
              <w:pStyle w:val="TableText0"/>
              <w:ind w:left="-57" w:right="-57"/>
            </w:pPr>
            <w:r w:rsidRPr="00002625">
              <w:t>Diagnostic use</w:t>
            </w:r>
          </w:p>
        </w:tc>
        <w:tc>
          <w:tcPr>
            <w:tcW w:w="563" w:type="pct"/>
          </w:tcPr>
          <w:p w14:paraId="77943ECF" w14:textId="14266EE0" w:rsidR="00E80320" w:rsidRPr="00002625" w:rsidRDefault="00720790" w:rsidP="009413BF">
            <w:pPr>
              <w:pStyle w:val="TableText0"/>
              <w:ind w:left="-57" w:right="-57"/>
            </w:pPr>
            <w:r w:rsidRPr="00002625">
              <w:t>1,</w:t>
            </w:r>
            <w:r w:rsidR="00E80320" w:rsidRPr="00002625">
              <w:t>2,</w:t>
            </w:r>
            <w:r w:rsidR="00F60C17" w:rsidRPr="00002625">
              <w:t>4,</w:t>
            </w:r>
            <w:r w:rsidR="00E80320" w:rsidRPr="00002625">
              <w:t>5,6</w:t>
            </w:r>
          </w:p>
        </w:tc>
        <w:tc>
          <w:tcPr>
            <w:tcW w:w="3107" w:type="pct"/>
          </w:tcPr>
          <w:p w14:paraId="56DDA0AD" w14:textId="50A7562C" w:rsidR="00E80320" w:rsidRPr="00002625" w:rsidRDefault="00E708F8" w:rsidP="009413BF">
            <w:pPr>
              <w:pStyle w:val="TableText0"/>
              <w:ind w:left="-57" w:right="-57"/>
            </w:pPr>
            <w:r w:rsidRPr="00002625">
              <w:t xml:space="preserve">Patients with </w:t>
            </w:r>
            <w:r w:rsidR="002B0612" w:rsidRPr="00002625">
              <w:t>low risk</w:t>
            </w:r>
            <w:r w:rsidR="00743D87" w:rsidRPr="00002625">
              <w:rPr>
                <w:vertAlign w:val="superscript"/>
              </w:rPr>
              <w:t>a</w:t>
            </w:r>
            <w:r w:rsidR="002B0612" w:rsidRPr="00002625">
              <w:t xml:space="preserve"> </w:t>
            </w:r>
            <w:r w:rsidRPr="00002625">
              <w:t xml:space="preserve">symptoms </w:t>
            </w:r>
            <w:r w:rsidR="00AA5A48" w:rsidRPr="00002625">
              <w:t>suggestive of</w:t>
            </w:r>
            <w:r w:rsidRPr="00002625">
              <w:t xml:space="preserve"> colorectal cancer</w:t>
            </w:r>
          </w:p>
          <w:p w14:paraId="11F6FA99" w14:textId="0BEB2456" w:rsidR="00E80320" w:rsidRPr="00002625" w:rsidRDefault="00E80320" w:rsidP="009413BF">
            <w:pPr>
              <w:pStyle w:val="TableText0"/>
              <w:ind w:left="-57" w:right="-57"/>
            </w:pPr>
            <w:r w:rsidRPr="00002625">
              <w:t>Patients with positive FOBT</w:t>
            </w:r>
          </w:p>
          <w:p w14:paraId="4F607ECD" w14:textId="77777777" w:rsidR="00127CF6" w:rsidRPr="00002625" w:rsidRDefault="00E708F8" w:rsidP="009413BF">
            <w:pPr>
              <w:pStyle w:val="TableText0"/>
              <w:ind w:left="-57" w:right="-57"/>
            </w:pPr>
            <w:r w:rsidRPr="00002625">
              <w:t>Patients for whom diagnostic imaging has shown an abnormality of the colon</w:t>
            </w:r>
          </w:p>
          <w:p w14:paraId="181C362C" w14:textId="7CE6F412" w:rsidR="00D44422" w:rsidRPr="00002625" w:rsidRDefault="00D44422" w:rsidP="00D44422">
            <w:pPr>
              <w:pStyle w:val="TableText0"/>
              <w:ind w:left="-57" w:right="-57"/>
            </w:pPr>
            <w:r w:rsidRPr="00002625">
              <w:t>Patients who have a medical history of incomplete colonoscopy</w:t>
            </w:r>
            <w:r w:rsidR="003E2EC6" w:rsidRPr="00002625">
              <w:t xml:space="preserve"> or colonic </w:t>
            </w:r>
            <w:r w:rsidR="008D62B4" w:rsidRPr="00002625">
              <w:t>evaluation</w:t>
            </w:r>
            <w:r w:rsidR="00662630" w:rsidRPr="00002625">
              <w:t xml:space="preserve"> (including patients who fall outside of current requirement that incomplete colonoscopy must have occurred within 3 months)</w:t>
            </w:r>
          </w:p>
          <w:p w14:paraId="0D3A7A19" w14:textId="0D5704AA" w:rsidR="00D44422" w:rsidRPr="00002625" w:rsidRDefault="00D44422" w:rsidP="00D44422">
            <w:pPr>
              <w:pStyle w:val="TableText0"/>
              <w:ind w:left="-57" w:right="-57"/>
            </w:pPr>
            <w:r w:rsidRPr="00002625">
              <w:t>Patients in whom colonoscopy is contraindicated (e.g. on anticoagulants)</w:t>
            </w:r>
          </w:p>
        </w:tc>
      </w:tr>
      <w:tr w:rsidR="008364C6" w:rsidRPr="00002625" w14:paraId="7D9924C2" w14:textId="41ED555D" w:rsidTr="009413BF">
        <w:trPr>
          <w:trHeight w:val="300"/>
        </w:trPr>
        <w:tc>
          <w:tcPr>
            <w:tcW w:w="522" w:type="pct"/>
          </w:tcPr>
          <w:p w14:paraId="7B69ACD1" w14:textId="1A20B893" w:rsidR="008364C6" w:rsidRPr="00002625" w:rsidRDefault="00CE417B" w:rsidP="009413BF">
            <w:pPr>
              <w:pStyle w:val="TableText0"/>
              <w:ind w:left="-57" w:right="-57"/>
            </w:pPr>
            <w:r w:rsidRPr="00002625">
              <w:t>2</w:t>
            </w:r>
          </w:p>
        </w:tc>
        <w:tc>
          <w:tcPr>
            <w:tcW w:w="808" w:type="pct"/>
          </w:tcPr>
          <w:p w14:paraId="2017D446" w14:textId="0C430AA5" w:rsidR="008364C6" w:rsidRPr="00002625" w:rsidRDefault="008364C6" w:rsidP="009413BF">
            <w:pPr>
              <w:pStyle w:val="TableText0"/>
              <w:ind w:left="-57" w:right="-57"/>
            </w:pPr>
            <w:r w:rsidRPr="00002625">
              <w:t>Surveillance &amp; monitoring</w:t>
            </w:r>
          </w:p>
        </w:tc>
        <w:tc>
          <w:tcPr>
            <w:tcW w:w="563" w:type="pct"/>
          </w:tcPr>
          <w:p w14:paraId="4D374F21" w14:textId="77777777" w:rsidR="008364C6" w:rsidRPr="00002625" w:rsidRDefault="008364C6" w:rsidP="009413BF">
            <w:pPr>
              <w:pStyle w:val="TableText0"/>
              <w:ind w:left="-57" w:right="-57"/>
            </w:pPr>
            <w:r w:rsidRPr="00002625">
              <w:t>3</w:t>
            </w:r>
          </w:p>
        </w:tc>
        <w:tc>
          <w:tcPr>
            <w:tcW w:w="3107" w:type="pct"/>
          </w:tcPr>
          <w:p w14:paraId="5DE38CB0" w14:textId="2B47A5CA" w:rsidR="008364C6" w:rsidRPr="00002625" w:rsidRDefault="00E708F8" w:rsidP="009413BF">
            <w:pPr>
              <w:pStyle w:val="TableText0"/>
              <w:ind w:left="-57" w:right="-57"/>
            </w:pPr>
            <w:r w:rsidRPr="00002625">
              <w:t>Patients requiring surveillance following prior diagnosis of colorectal polyps</w:t>
            </w:r>
          </w:p>
        </w:tc>
      </w:tr>
    </w:tbl>
    <w:p w14:paraId="36EA2C77" w14:textId="7089A389" w:rsidR="00C66EE4" w:rsidRPr="00002625" w:rsidRDefault="00C66EE4" w:rsidP="00C66EE4">
      <w:pPr>
        <w:pStyle w:val="Tablenotes"/>
        <w:spacing w:after="240"/>
      </w:pPr>
      <w:r w:rsidRPr="00002625">
        <w:t>FOBT = faecal occult blood test</w:t>
      </w:r>
      <w:r w:rsidR="005543D8" w:rsidRPr="00002625">
        <w:t xml:space="preserve"> </w:t>
      </w:r>
      <w:r w:rsidR="005543D8" w:rsidRPr="00002625">
        <w:tab/>
      </w:r>
      <w:r w:rsidR="00743D87" w:rsidRPr="00002625">
        <w:br/>
      </w:r>
      <w:r w:rsidR="00743D87" w:rsidRPr="00002625">
        <w:rPr>
          <w:vertAlign w:val="superscript"/>
        </w:rPr>
        <w:t>a</w:t>
      </w:r>
      <w:r w:rsidR="00FB0D3A" w:rsidRPr="00002625">
        <w:t xml:space="preserve"> “low risk” refers to patients with symptoms suggestive of CRC that do not include symptoms such as rectal bleeding, anaemia or unexplained weight loss that would otherwise warrant urgent referral for colonoscopy. </w:t>
      </w:r>
      <w:r w:rsidR="00FB0D3A" w:rsidRPr="00002625">
        <w:tab/>
      </w:r>
      <w:r w:rsidR="005543D8" w:rsidRPr="00002625">
        <w:br/>
        <w:t>Source: Produced during PICO development</w:t>
      </w:r>
      <w:r w:rsidR="005543D8" w:rsidRPr="00002625">
        <w:tab/>
      </w:r>
    </w:p>
    <w:p w14:paraId="4804D719" w14:textId="2D5E4AA0" w:rsidR="00BB6A42" w:rsidRPr="00002625" w:rsidRDefault="00115D6B" w:rsidP="00BB6A42">
      <w:r w:rsidRPr="00002625">
        <w:rPr>
          <w:rFonts w:cs="Calibri"/>
          <w:color w:val="000000" w:themeColor="text1"/>
        </w:rPr>
        <w:t>The proposed population includes p</w:t>
      </w:r>
      <w:r w:rsidR="00BF1683" w:rsidRPr="00002625">
        <w:rPr>
          <w:rFonts w:cs="Calibri"/>
          <w:color w:val="000000" w:themeColor="text1"/>
        </w:rPr>
        <w:t>atients with a medical history of incomplete colonoscopy</w:t>
      </w:r>
      <w:r w:rsidR="007922F5" w:rsidRPr="00002625">
        <w:rPr>
          <w:rFonts w:cs="Calibri"/>
          <w:color w:val="000000" w:themeColor="text1"/>
        </w:rPr>
        <w:t xml:space="preserve"> or colonic evalu</w:t>
      </w:r>
      <w:r w:rsidR="009B3FBE" w:rsidRPr="00002625">
        <w:rPr>
          <w:rFonts w:cs="Calibri"/>
          <w:color w:val="000000" w:themeColor="text1"/>
        </w:rPr>
        <w:t>ation</w:t>
      </w:r>
      <w:r w:rsidR="00BF1683" w:rsidRPr="00002625">
        <w:rPr>
          <w:rFonts w:cs="Calibri"/>
          <w:color w:val="000000" w:themeColor="text1"/>
        </w:rPr>
        <w:t xml:space="preserve"> falling outside the </w:t>
      </w:r>
      <w:r w:rsidR="003E5254" w:rsidRPr="00002625">
        <w:rPr>
          <w:rFonts w:cs="Calibri"/>
          <w:color w:val="000000" w:themeColor="text1"/>
        </w:rPr>
        <w:t>three-month</w:t>
      </w:r>
      <w:r w:rsidR="00BF1683" w:rsidRPr="00002625">
        <w:rPr>
          <w:rFonts w:cs="Calibri"/>
          <w:color w:val="000000" w:themeColor="text1"/>
        </w:rPr>
        <w:t xml:space="preserve"> criterion in the current </w:t>
      </w:r>
      <w:r w:rsidR="00B811D0" w:rsidRPr="00002625">
        <w:rPr>
          <w:rFonts w:cs="Calibri"/>
          <w:color w:val="000000" w:themeColor="text1"/>
        </w:rPr>
        <w:t xml:space="preserve">MBS </w:t>
      </w:r>
      <w:r w:rsidR="00BF1683" w:rsidRPr="00002625">
        <w:rPr>
          <w:rFonts w:cs="Calibri"/>
          <w:color w:val="000000" w:themeColor="text1"/>
        </w:rPr>
        <w:t xml:space="preserve">item </w:t>
      </w:r>
      <w:r w:rsidR="00B811D0" w:rsidRPr="00002625">
        <w:rPr>
          <w:rFonts w:cs="Calibri"/>
          <w:color w:val="000000" w:themeColor="text1"/>
        </w:rPr>
        <w:t xml:space="preserve">56553 </w:t>
      </w:r>
      <w:r w:rsidR="00BF1683" w:rsidRPr="00002625">
        <w:rPr>
          <w:rFonts w:cs="Calibri"/>
          <w:color w:val="000000" w:themeColor="text1"/>
        </w:rPr>
        <w:t xml:space="preserve">and would include any patients with a previous incomplete colonoscopy documented by an endoscopist in their medical history. </w:t>
      </w:r>
      <w:r w:rsidR="00CC301E" w:rsidRPr="00002625">
        <w:rPr>
          <w:rFonts w:cs="Calibri"/>
          <w:color w:val="000000" w:themeColor="text1"/>
        </w:rPr>
        <w:t>The</w:t>
      </w:r>
      <w:r w:rsidR="008435EE" w:rsidRPr="00002625">
        <w:rPr>
          <w:rFonts w:cs="Calibri"/>
          <w:color w:val="000000" w:themeColor="text1"/>
        </w:rPr>
        <w:t xml:space="preserve"> applicant</w:t>
      </w:r>
      <w:r w:rsidR="00DA0CB2" w:rsidRPr="00002625">
        <w:rPr>
          <w:rFonts w:cs="Calibri"/>
          <w:color w:val="000000" w:themeColor="text1"/>
        </w:rPr>
        <w:t xml:space="preserve"> </w:t>
      </w:r>
      <w:r w:rsidR="008435EE" w:rsidRPr="00002625">
        <w:rPr>
          <w:rFonts w:cs="Calibri"/>
          <w:color w:val="000000" w:themeColor="text1"/>
        </w:rPr>
        <w:t>reques</w:t>
      </w:r>
      <w:r w:rsidR="003E263D" w:rsidRPr="00002625">
        <w:rPr>
          <w:rFonts w:cs="Calibri"/>
          <w:color w:val="000000" w:themeColor="text1"/>
        </w:rPr>
        <w:t>ted</w:t>
      </w:r>
      <w:r w:rsidR="008435EE" w:rsidRPr="00002625">
        <w:rPr>
          <w:rFonts w:cs="Calibri"/>
          <w:color w:val="000000" w:themeColor="text1"/>
        </w:rPr>
        <w:t xml:space="preserve"> </w:t>
      </w:r>
      <w:r w:rsidR="003E263D" w:rsidRPr="00002625">
        <w:rPr>
          <w:rFonts w:cs="Calibri"/>
          <w:color w:val="000000" w:themeColor="text1"/>
        </w:rPr>
        <w:t>that</w:t>
      </w:r>
      <w:r w:rsidR="008435EE" w:rsidRPr="00002625">
        <w:rPr>
          <w:rFonts w:cs="Calibri"/>
          <w:color w:val="000000" w:themeColor="text1"/>
        </w:rPr>
        <w:t xml:space="preserve"> </w:t>
      </w:r>
      <w:r w:rsidR="00971C17" w:rsidRPr="00002625">
        <w:rPr>
          <w:rFonts w:cs="Calibri"/>
          <w:color w:val="000000" w:themeColor="text1"/>
        </w:rPr>
        <w:t>referral</w:t>
      </w:r>
      <w:r w:rsidR="008435EE" w:rsidRPr="00002625">
        <w:rPr>
          <w:rFonts w:cs="Calibri"/>
          <w:color w:val="000000" w:themeColor="text1"/>
        </w:rPr>
        <w:t xml:space="preserve"> of the </w:t>
      </w:r>
      <w:r w:rsidR="00EE7E2A" w:rsidRPr="00002625">
        <w:t>existing MBS item 56553</w:t>
      </w:r>
      <w:r w:rsidR="003E263D" w:rsidRPr="00002625">
        <w:t xml:space="preserve"> be extended</w:t>
      </w:r>
      <w:r w:rsidR="00EE7E2A" w:rsidRPr="00002625">
        <w:t xml:space="preserve"> </w:t>
      </w:r>
      <w:r w:rsidR="008435EE" w:rsidRPr="00002625">
        <w:t>to</w:t>
      </w:r>
      <w:r w:rsidR="00EE7E2A" w:rsidRPr="00002625">
        <w:t xml:space="preserve"> </w:t>
      </w:r>
      <w:r w:rsidRPr="00002625">
        <w:t>include referral by</w:t>
      </w:r>
      <w:r w:rsidR="00EE7E2A" w:rsidRPr="00002625">
        <w:t xml:space="preserve"> </w:t>
      </w:r>
      <w:r w:rsidR="00F9236B" w:rsidRPr="00002625">
        <w:t>general practitioner</w:t>
      </w:r>
      <w:r w:rsidR="006C301B" w:rsidRPr="00002625">
        <w:t>s</w:t>
      </w:r>
      <w:r w:rsidR="00F9236B" w:rsidRPr="00002625">
        <w:t xml:space="preserve"> (</w:t>
      </w:r>
      <w:r w:rsidR="00EE7E2A" w:rsidRPr="00002625">
        <w:t>GPs</w:t>
      </w:r>
      <w:r w:rsidR="00F9236B" w:rsidRPr="00002625">
        <w:t>)</w:t>
      </w:r>
      <w:r w:rsidR="00EE7E2A" w:rsidRPr="00002625">
        <w:t xml:space="preserve"> </w:t>
      </w:r>
      <w:r w:rsidR="00F46E46" w:rsidRPr="00002625">
        <w:t>(</w:t>
      </w:r>
      <w:r w:rsidR="008435EE" w:rsidRPr="00002625">
        <w:t xml:space="preserve">as well as </w:t>
      </w:r>
      <w:r w:rsidR="00EE7E2A" w:rsidRPr="00002625">
        <w:t>specialist endoscopists</w:t>
      </w:r>
      <w:r w:rsidR="00F46E46" w:rsidRPr="00002625">
        <w:t>)</w:t>
      </w:r>
      <w:r w:rsidR="008435EE" w:rsidRPr="00002625">
        <w:t xml:space="preserve">, </w:t>
      </w:r>
      <w:r w:rsidR="003E263D" w:rsidRPr="00002625">
        <w:t xml:space="preserve">however </w:t>
      </w:r>
      <w:r w:rsidR="008435EE" w:rsidRPr="00002625">
        <w:t xml:space="preserve">it is understood </w:t>
      </w:r>
      <w:r w:rsidR="00DF6F62" w:rsidRPr="00002625">
        <w:t xml:space="preserve">that </w:t>
      </w:r>
      <w:r w:rsidR="008435EE" w:rsidRPr="00002625">
        <w:t>GPs are already eligible</w:t>
      </w:r>
      <w:r w:rsidR="00DF6F62" w:rsidRPr="00002625">
        <w:t xml:space="preserve"> to refer patients </w:t>
      </w:r>
      <w:r w:rsidR="00E202C2" w:rsidRPr="00002625">
        <w:t>for two indications</w:t>
      </w:r>
      <w:r w:rsidR="00DF6F62" w:rsidRPr="00002625">
        <w:t xml:space="preserve"> </w:t>
      </w:r>
      <w:r w:rsidR="00E202C2" w:rsidRPr="00002625">
        <w:t>(</w:t>
      </w:r>
      <w:r w:rsidR="00DF6F62" w:rsidRPr="00002625">
        <w:t>incomplete colonoscopy</w:t>
      </w:r>
      <w:r w:rsidR="00E202C2" w:rsidRPr="00002625">
        <w:t xml:space="preserve"> and </w:t>
      </w:r>
      <w:r w:rsidR="00C2697C" w:rsidRPr="00002625">
        <w:t xml:space="preserve">high </w:t>
      </w:r>
      <w:r w:rsidRPr="00002625">
        <w:t>grade colonic obstruction)</w:t>
      </w:r>
      <w:r w:rsidR="003B5C13" w:rsidRPr="00002625">
        <w:t xml:space="preserve">, while specialist referral for CTC </w:t>
      </w:r>
      <w:r w:rsidR="003B5C13" w:rsidRPr="00002625">
        <w:rPr>
          <w:rFonts w:asciiTheme="minorHAnsi" w:hAnsiTheme="minorHAnsi" w:cstheme="minorHAnsi"/>
        </w:rPr>
        <w:t xml:space="preserve">is </w:t>
      </w:r>
      <w:r w:rsidR="000707CF" w:rsidRPr="00002625">
        <w:rPr>
          <w:rFonts w:asciiTheme="minorHAnsi" w:hAnsiTheme="minorHAnsi" w:cstheme="minorHAnsi"/>
        </w:rPr>
        <w:t>broader and</w:t>
      </w:r>
      <w:r w:rsidR="00416B86" w:rsidRPr="00002625">
        <w:rPr>
          <w:rFonts w:asciiTheme="minorHAnsi" w:hAnsiTheme="minorHAnsi" w:cstheme="minorHAnsi"/>
        </w:rPr>
        <w:t xml:space="preserve"> for</w:t>
      </w:r>
      <w:r w:rsidR="64E6A43C" w:rsidRPr="00002625">
        <w:rPr>
          <w:rFonts w:asciiTheme="minorHAnsi" w:hAnsiTheme="minorHAnsi" w:cstheme="minorHAnsi"/>
        </w:rPr>
        <w:t xml:space="preserve"> the </w:t>
      </w:r>
      <w:r w:rsidR="00416B86" w:rsidRPr="00002625">
        <w:rPr>
          <w:rFonts w:asciiTheme="minorHAnsi" w:hAnsiTheme="minorHAnsi" w:cstheme="minorHAnsi"/>
        </w:rPr>
        <w:t xml:space="preserve">purpose </w:t>
      </w:r>
      <w:r w:rsidR="64E6A43C" w:rsidRPr="00002625">
        <w:rPr>
          <w:rFonts w:asciiTheme="minorHAnsi" w:hAnsiTheme="minorHAnsi" w:cstheme="minorHAnsi"/>
        </w:rPr>
        <w:t>of</w:t>
      </w:r>
      <w:r w:rsidR="64E6A43C" w:rsidRPr="00002625">
        <w:rPr>
          <w:rFonts w:asciiTheme="minorHAnsi" w:eastAsia="Helvetica" w:hAnsiTheme="minorHAnsi" w:cstheme="minorHAnsi"/>
          <w:color w:val="222222"/>
        </w:rPr>
        <w:t xml:space="preserve"> exclu</w:t>
      </w:r>
      <w:r w:rsidR="001E0D69" w:rsidRPr="00002625">
        <w:rPr>
          <w:rFonts w:asciiTheme="minorHAnsi" w:eastAsia="Helvetica" w:hAnsiTheme="minorHAnsi" w:cstheme="minorHAnsi"/>
          <w:color w:val="222222"/>
        </w:rPr>
        <w:t>ding</w:t>
      </w:r>
      <w:r w:rsidR="64E6A43C" w:rsidRPr="00002625">
        <w:rPr>
          <w:rFonts w:asciiTheme="minorHAnsi" w:eastAsia="Helvetica" w:hAnsiTheme="minorHAnsi" w:cstheme="minorHAnsi"/>
          <w:color w:val="222222"/>
        </w:rPr>
        <w:t xml:space="preserve"> or diagnosi</w:t>
      </w:r>
      <w:r w:rsidR="001E0D69" w:rsidRPr="00002625">
        <w:rPr>
          <w:rFonts w:asciiTheme="minorHAnsi" w:eastAsia="Helvetica" w:hAnsiTheme="minorHAnsi" w:cstheme="minorHAnsi"/>
          <w:color w:val="222222"/>
        </w:rPr>
        <w:t>ng</w:t>
      </w:r>
      <w:r w:rsidR="64E6A43C" w:rsidRPr="00002625">
        <w:rPr>
          <w:rFonts w:asciiTheme="minorHAnsi" w:eastAsia="Helvetica" w:hAnsiTheme="minorHAnsi" w:cstheme="minorHAnsi"/>
          <w:color w:val="222222"/>
        </w:rPr>
        <w:t xml:space="preserve"> colorectal neoplasia in a symptomatic</w:t>
      </w:r>
      <w:r w:rsidR="00641955" w:rsidRPr="00002625">
        <w:rPr>
          <w:rFonts w:asciiTheme="minorHAnsi" w:eastAsia="Helvetica" w:hAnsiTheme="minorHAnsi" w:cstheme="minorHAnsi"/>
          <w:color w:val="222222"/>
        </w:rPr>
        <w:t xml:space="preserve"> patient</w:t>
      </w:r>
      <w:r w:rsidR="64E6A43C" w:rsidRPr="00002625">
        <w:rPr>
          <w:rFonts w:asciiTheme="minorHAnsi" w:eastAsia="Helvetica" w:hAnsiTheme="minorHAnsi" w:cstheme="minorHAnsi"/>
          <w:color w:val="222222"/>
        </w:rPr>
        <w:t xml:space="preserve"> or </w:t>
      </w:r>
      <w:r w:rsidR="007552C1" w:rsidRPr="00002625">
        <w:rPr>
          <w:rFonts w:asciiTheme="minorHAnsi" w:eastAsia="Helvetica" w:hAnsiTheme="minorHAnsi" w:cstheme="minorHAnsi"/>
          <w:color w:val="222222"/>
        </w:rPr>
        <w:t xml:space="preserve">in </w:t>
      </w:r>
      <w:r w:rsidR="00081E7B" w:rsidRPr="00002625">
        <w:rPr>
          <w:rFonts w:asciiTheme="minorHAnsi" w:eastAsia="Helvetica" w:hAnsiTheme="minorHAnsi" w:cstheme="minorHAnsi"/>
          <w:color w:val="222222"/>
        </w:rPr>
        <w:t xml:space="preserve">a </w:t>
      </w:r>
      <w:r w:rsidR="64E6A43C" w:rsidRPr="00002625">
        <w:rPr>
          <w:rFonts w:asciiTheme="minorHAnsi" w:eastAsia="Helvetica" w:hAnsiTheme="minorHAnsi" w:cstheme="minorHAnsi"/>
          <w:color w:val="222222"/>
        </w:rPr>
        <w:t>high risk patient</w:t>
      </w:r>
      <w:r w:rsidR="00641955" w:rsidRPr="00002625">
        <w:rPr>
          <w:rFonts w:asciiTheme="minorHAnsi" w:eastAsia="Helvetica" w:hAnsiTheme="minorHAnsi" w:cstheme="minorHAnsi"/>
          <w:color w:val="222222"/>
        </w:rPr>
        <w:t xml:space="preserve"> </w:t>
      </w:r>
      <w:r w:rsidR="00081E7B" w:rsidRPr="00002625">
        <w:rPr>
          <w:rFonts w:asciiTheme="minorHAnsi" w:eastAsia="Helvetica" w:hAnsiTheme="minorHAnsi" w:cstheme="minorHAnsi"/>
          <w:color w:val="222222"/>
        </w:rPr>
        <w:t>(</w:t>
      </w:r>
      <w:r w:rsidR="00AF25BE" w:rsidRPr="00002625">
        <w:rPr>
          <w:rFonts w:asciiTheme="minorHAnsi" w:eastAsia="Helvetica" w:hAnsiTheme="minorHAnsi" w:cstheme="minorHAnsi"/>
          <w:color w:val="222222"/>
        </w:rPr>
        <w:t>high risk due to</w:t>
      </w:r>
      <w:r w:rsidR="00641955" w:rsidRPr="00002625">
        <w:rPr>
          <w:rFonts w:asciiTheme="minorHAnsi" w:eastAsia="Helvetica" w:hAnsiTheme="minorHAnsi" w:cstheme="minorHAnsi"/>
          <w:color w:val="222222"/>
        </w:rPr>
        <w:t xml:space="preserve"> familial</w:t>
      </w:r>
      <w:r w:rsidR="00DE3CB6" w:rsidRPr="00002625">
        <w:rPr>
          <w:rFonts w:asciiTheme="minorHAnsi" w:eastAsia="Helvetica" w:hAnsiTheme="minorHAnsi" w:cstheme="minorHAnsi"/>
          <w:color w:val="222222"/>
        </w:rPr>
        <w:t xml:space="preserve"> CRC </w:t>
      </w:r>
      <w:r w:rsidR="00AF25BE" w:rsidRPr="00002625">
        <w:rPr>
          <w:rFonts w:asciiTheme="minorHAnsi" w:eastAsia="Helvetica" w:hAnsiTheme="minorHAnsi" w:cstheme="minorHAnsi"/>
          <w:color w:val="222222"/>
        </w:rPr>
        <w:t>history</w:t>
      </w:r>
      <w:r w:rsidR="00081E7B" w:rsidRPr="00002625">
        <w:rPr>
          <w:rFonts w:asciiTheme="minorHAnsi" w:eastAsia="Helvetica" w:hAnsiTheme="minorHAnsi" w:cstheme="minorHAnsi"/>
          <w:color w:val="222222"/>
        </w:rPr>
        <w:t>)</w:t>
      </w:r>
      <w:r w:rsidR="006C301B" w:rsidRPr="00002625">
        <w:rPr>
          <w:rFonts w:asciiTheme="minorHAnsi" w:eastAsia="Helvetica" w:hAnsiTheme="minorHAnsi" w:cstheme="minorHAnsi"/>
          <w:color w:val="222222"/>
        </w:rPr>
        <w:t xml:space="preserve"> (described above </w:t>
      </w:r>
      <w:r w:rsidR="00704281" w:rsidRPr="00002625">
        <w:rPr>
          <w:rFonts w:asciiTheme="minorHAnsi" w:eastAsia="Helvetica" w:hAnsiTheme="minorHAnsi" w:cstheme="minorHAnsi"/>
          <w:color w:val="222222"/>
        </w:rPr>
        <w:t xml:space="preserve">in </w:t>
      </w:r>
      <w:r w:rsidR="00704281" w:rsidRPr="00002625">
        <w:rPr>
          <w:rFonts w:asciiTheme="minorHAnsi" w:eastAsia="Helvetica" w:hAnsiTheme="minorHAnsi" w:cstheme="minorHAnsi"/>
          <w:color w:val="222222"/>
        </w:rPr>
        <w:fldChar w:fldCharType="begin"/>
      </w:r>
      <w:r w:rsidR="00704281" w:rsidRPr="00002625">
        <w:rPr>
          <w:rFonts w:asciiTheme="minorHAnsi" w:eastAsia="Helvetica" w:hAnsiTheme="minorHAnsi" w:cstheme="minorHAnsi"/>
          <w:color w:val="222222"/>
        </w:rPr>
        <w:instrText xml:space="preserve"> REF _Ref182378273 \h </w:instrText>
      </w:r>
      <w:r w:rsidR="00704281" w:rsidRPr="00002625">
        <w:rPr>
          <w:rFonts w:asciiTheme="minorHAnsi" w:eastAsia="Helvetica" w:hAnsiTheme="minorHAnsi" w:cstheme="minorHAnsi"/>
          <w:color w:val="222222"/>
        </w:rPr>
      </w:r>
      <w:r w:rsidR="00704281" w:rsidRPr="00002625">
        <w:rPr>
          <w:rFonts w:asciiTheme="minorHAnsi" w:eastAsia="Helvetica" w:hAnsiTheme="minorHAnsi" w:cstheme="minorHAnsi"/>
          <w:color w:val="222222"/>
        </w:rPr>
        <w:fldChar w:fldCharType="separate"/>
      </w:r>
      <w:r w:rsidR="00637321" w:rsidRPr="00002625">
        <w:t>Background</w:t>
      </w:r>
      <w:r w:rsidR="00704281" w:rsidRPr="00002625">
        <w:rPr>
          <w:rFonts w:asciiTheme="minorHAnsi" w:eastAsia="Helvetica" w:hAnsiTheme="minorHAnsi" w:cstheme="minorHAnsi"/>
          <w:color w:val="222222"/>
        </w:rPr>
        <w:fldChar w:fldCharType="end"/>
      </w:r>
      <w:r w:rsidR="006C301B" w:rsidRPr="00002625">
        <w:rPr>
          <w:rFonts w:asciiTheme="minorHAnsi" w:eastAsia="Helvetica" w:hAnsiTheme="minorHAnsi" w:cstheme="minorHAnsi"/>
          <w:color w:val="222222"/>
        </w:rPr>
        <w:t>)</w:t>
      </w:r>
      <w:r w:rsidR="00BB6A42" w:rsidRPr="00002625">
        <w:t xml:space="preserve">. The applicant’s PICO set 1 population (patients with inadequate bowel preparation or with previous incomplete examination) </w:t>
      </w:r>
      <w:r w:rsidR="00704281" w:rsidRPr="00002625">
        <w:t xml:space="preserve">was </w:t>
      </w:r>
      <w:r w:rsidR="00262A8C" w:rsidRPr="00002625">
        <w:t>considered to be</w:t>
      </w:r>
      <w:r w:rsidR="00BB6A42" w:rsidRPr="00002625">
        <w:t xml:space="preserve"> </w:t>
      </w:r>
      <w:r w:rsidR="0023097C" w:rsidRPr="00002625">
        <w:t>covered</w:t>
      </w:r>
      <w:r w:rsidR="00F46E46" w:rsidRPr="00002625">
        <w:t xml:space="preserve"> </w:t>
      </w:r>
      <w:r w:rsidR="00502BAF" w:rsidRPr="00002625">
        <w:t>by the current item</w:t>
      </w:r>
      <w:r w:rsidR="00BB6A42" w:rsidRPr="00002625">
        <w:t>.</w:t>
      </w:r>
    </w:p>
    <w:p w14:paraId="250FA9DC" w14:textId="209C8662" w:rsidR="00253CF8" w:rsidRPr="00002625" w:rsidRDefault="001F4E66" w:rsidP="00F3505D">
      <w:pPr>
        <w:rPr>
          <w:rFonts w:cs="Calibri"/>
          <w:color w:val="000000" w:themeColor="text1"/>
        </w:rPr>
      </w:pPr>
      <w:r w:rsidRPr="00002625">
        <w:rPr>
          <w:rFonts w:cs="Calibri"/>
          <w:color w:val="000000" w:themeColor="text1"/>
        </w:rPr>
        <w:t xml:space="preserve">Further discussion of proposed PICO </w:t>
      </w:r>
      <w:r w:rsidR="00EA4B11" w:rsidRPr="00002625">
        <w:rPr>
          <w:rFonts w:cs="Calibri"/>
          <w:color w:val="000000" w:themeColor="text1"/>
        </w:rPr>
        <w:t>s</w:t>
      </w:r>
      <w:r w:rsidRPr="00002625">
        <w:rPr>
          <w:rFonts w:cs="Calibri"/>
          <w:color w:val="000000" w:themeColor="text1"/>
        </w:rPr>
        <w:t xml:space="preserve">et elements is given in the following sections. </w:t>
      </w:r>
    </w:p>
    <w:p w14:paraId="3D4E6886" w14:textId="0DC5B94B" w:rsidR="007B563D" w:rsidRPr="00002625" w:rsidRDefault="007B563D" w:rsidP="007B563D">
      <w:pPr>
        <w:pStyle w:val="Heading2"/>
      </w:pPr>
      <w:r w:rsidRPr="00002625">
        <w:t xml:space="preserve">PICO criteria: PICO </w:t>
      </w:r>
      <w:r w:rsidR="002B0470" w:rsidRPr="00002625">
        <w:t>s</w:t>
      </w:r>
      <w:r w:rsidRPr="00002625">
        <w:t xml:space="preserve">et 1 – Diagnostic use </w:t>
      </w:r>
    </w:p>
    <w:p w14:paraId="404C7051" w14:textId="6FA19A02" w:rsidR="005959FB" w:rsidRPr="00002625" w:rsidRDefault="0088672B" w:rsidP="005959FB">
      <w:pPr>
        <w:pStyle w:val="Heading3"/>
      </w:pPr>
      <w:r w:rsidRPr="00002625">
        <w:t>Population</w:t>
      </w:r>
    </w:p>
    <w:p w14:paraId="27E1E8D2" w14:textId="5A275B45" w:rsidR="008A06BD" w:rsidRPr="00002625" w:rsidRDefault="008A06BD" w:rsidP="00383053">
      <w:pPr>
        <w:keepNext/>
        <w:rPr>
          <w:rFonts w:cs="Calibri"/>
          <w:color w:val="000000" w:themeColor="text1"/>
        </w:rPr>
      </w:pPr>
      <w:r w:rsidRPr="00002625">
        <w:rPr>
          <w:rFonts w:cs="Calibri"/>
          <w:color w:val="000000" w:themeColor="text1"/>
        </w:rPr>
        <w:t>The</w:t>
      </w:r>
      <w:r w:rsidR="00940DFF">
        <w:rPr>
          <w:rFonts w:cs="Calibri"/>
          <w:color w:val="000000" w:themeColor="text1"/>
        </w:rPr>
        <w:t xml:space="preserve"> </w:t>
      </w:r>
      <w:r w:rsidRPr="00002625">
        <w:rPr>
          <w:rFonts w:cs="Calibri"/>
          <w:color w:val="000000" w:themeColor="text1"/>
        </w:rPr>
        <w:t>proposed population for CTC</w:t>
      </w:r>
      <w:r w:rsidR="007565BA" w:rsidRPr="00002625">
        <w:rPr>
          <w:rFonts w:cs="Calibri"/>
          <w:color w:val="000000" w:themeColor="text1"/>
        </w:rPr>
        <w:t xml:space="preserve"> is patients</w:t>
      </w:r>
      <w:r w:rsidR="00C0026B" w:rsidRPr="00002625">
        <w:rPr>
          <w:rFonts w:cs="Calibri"/>
          <w:color w:val="000000" w:themeColor="text1"/>
        </w:rPr>
        <w:t xml:space="preserve"> </w:t>
      </w:r>
      <w:r w:rsidR="00C0026B" w:rsidRPr="00002625">
        <w:t>requiring diagnostic investigation for suspected CRC</w:t>
      </w:r>
      <w:r w:rsidR="00E8567D" w:rsidRPr="00002625">
        <w:rPr>
          <w:rFonts w:cs="Calibri"/>
          <w:color w:val="000000" w:themeColor="text1"/>
        </w:rPr>
        <w:t xml:space="preserve"> </w:t>
      </w:r>
      <w:r w:rsidR="00094E4C" w:rsidRPr="00002625">
        <w:rPr>
          <w:rFonts w:cs="Calibri"/>
          <w:color w:val="000000" w:themeColor="text1"/>
        </w:rPr>
        <w:t>who</w:t>
      </w:r>
      <w:r w:rsidR="001B4B70" w:rsidRPr="00002625">
        <w:rPr>
          <w:rFonts w:cs="Calibri"/>
          <w:color w:val="000000" w:themeColor="text1"/>
        </w:rPr>
        <w:t xml:space="preserve"> fulfil</w:t>
      </w:r>
      <w:r w:rsidR="00F4602B" w:rsidRPr="00002625">
        <w:rPr>
          <w:rFonts w:cs="Calibri"/>
          <w:color w:val="000000" w:themeColor="text1"/>
        </w:rPr>
        <w:t xml:space="preserve"> </w:t>
      </w:r>
      <w:r w:rsidR="0064471E" w:rsidRPr="00002625">
        <w:rPr>
          <w:rFonts w:cs="Calibri"/>
          <w:color w:val="000000" w:themeColor="text1"/>
        </w:rPr>
        <w:t>at least one of the following criteria</w:t>
      </w:r>
      <w:r w:rsidR="00F4602B" w:rsidRPr="00002625">
        <w:rPr>
          <w:rFonts w:cs="Calibri"/>
          <w:color w:val="000000" w:themeColor="text1"/>
        </w:rPr>
        <w:t>:</w:t>
      </w:r>
    </w:p>
    <w:p w14:paraId="24B20C06" w14:textId="4B572F99" w:rsidR="004B00D3" w:rsidRPr="00002625" w:rsidRDefault="003E564A" w:rsidP="000773E1">
      <w:pPr>
        <w:pStyle w:val="ListParagraph"/>
        <w:numPr>
          <w:ilvl w:val="0"/>
          <w:numId w:val="6"/>
        </w:numPr>
        <w:rPr>
          <w:rFonts w:cs="Calibri"/>
          <w:color w:val="000000" w:themeColor="text1"/>
        </w:rPr>
      </w:pPr>
      <w:r w:rsidRPr="00002625">
        <w:rPr>
          <w:rFonts w:cs="Calibri"/>
          <w:color w:val="000000" w:themeColor="text1"/>
        </w:rPr>
        <w:t>have</w:t>
      </w:r>
      <w:r w:rsidR="009F541D" w:rsidRPr="00002625">
        <w:rPr>
          <w:rFonts w:cs="Calibri"/>
          <w:color w:val="000000" w:themeColor="text1"/>
        </w:rPr>
        <w:t xml:space="preserve"> </w:t>
      </w:r>
      <w:r w:rsidR="00CB4C83" w:rsidRPr="00002625">
        <w:rPr>
          <w:rFonts w:cs="Calibri"/>
          <w:color w:val="000000" w:themeColor="text1"/>
        </w:rPr>
        <w:t xml:space="preserve">low risk </w:t>
      </w:r>
      <w:r w:rsidR="004B00D3" w:rsidRPr="00002625">
        <w:rPr>
          <w:rFonts w:cs="Calibri"/>
          <w:color w:val="000000" w:themeColor="text1"/>
        </w:rPr>
        <w:t>symptoms</w:t>
      </w:r>
      <w:r w:rsidR="00BD438A" w:rsidRPr="00002625">
        <w:rPr>
          <w:rFonts w:cs="Calibri"/>
          <w:color w:val="000000" w:themeColor="text1"/>
        </w:rPr>
        <w:t xml:space="preserve"> suggestive of CRC</w:t>
      </w:r>
      <w:r w:rsidR="00A40615" w:rsidRPr="00002625">
        <w:rPr>
          <w:rFonts w:cs="Calibri"/>
          <w:color w:val="000000" w:themeColor="text1"/>
        </w:rPr>
        <w:t xml:space="preserve"> </w:t>
      </w:r>
    </w:p>
    <w:p w14:paraId="1EEAD9F7" w14:textId="4A22BF60" w:rsidR="00436CC5" w:rsidRPr="00002625" w:rsidRDefault="00436CC5" w:rsidP="000773E1">
      <w:pPr>
        <w:pStyle w:val="ListParagraph"/>
        <w:numPr>
          <w:ilvl w:val="0"/>
          <w:numId w:val="6"/>
        </w:numPr>
        <w:rPr>
          <w:rFonts w:cs="Calibri"/>
          <w:color w:val="000000" w:themeColor="text1"/>
        </w:rPr>
      </w:pPr>
      <w:r w:rsidRPr="00002625">
        <w:t xml:space="preserve">have a positive </w:t>
      </w:r>
      <w:r w:rsidR="000C3200" w:rsidRPr="00002625">
        <w:t>faecal occult blood test (</w:t>
      </w:r>
      <w:r w:rsidRPr="00002625">
        <w:t>FOBT</w:t>
      </w:r>
      <w:r w:rsidR="000C3200" w:rsidRPr="00002625">
        <w:t>)</w:t>
      </w:r>
    </w:p>
    <w:p w14:paraId="132FD240" w14:textId="3A0A6AA6" w:rsidR="004B00D3" w:rsidRPr="00002625" w:rsidRDefault="00F630EC" w:rsidP="000773E1">
      <w:pPr>
        <w:pStyle w:val="ListParagraph"/>
        <w:numPr>
          <w:ilvl w:val="0"/>
          <w:numId w:val="6"/>
        </w:numPr>
        <w:rPr>
          <w:rFonts w:cs="Calibri"/>
          <w:color w:val="000000" w:themeColor="text1"/>
        </w:rPr>
      </w:pPr>
      <w:r w:rsidRPr="00002625">
        <w:t>for whom diagnostic imaging has shown an abnormality of the colon</w:t>
      </w:r>
    </w:p>
    <w:p w14:paraId="5F970AF7" w14:textId="4ADC6B55" w:rsidR="00436CC5" w:rsidRPr="00002625" w:rsidRDefault="00436CC5" w:rsidP="000773E1">
      <w:pPr>
        <w:pStyle w:val="ListParagraph"/>
        <w:numPr>
          <w:ilvl w:val="0"/>
          <w:numId w:val="6"/>
        </w:numPr>
        <w:rPr>
          <w:rFonts w:cs="Calibri"/>
          <w:color w:val="000000" w:themeColor="text1"/>
        </w:rPr>
      </w:pPr>
      <w:r w:rsidRPr="00002625">
        <w:t>contraindicated for colonoscopy</w:t>
      </w:r>
      <w:r w:rsidR="00D53F72" w:rsidRPr="00002625">
        <w:t xml:space="preserve"> </w:t>
      </w:r>
      <w:r w:rsidR="007955E5" w:rsidRPr="00002625">
        <w:t xml:space="preserve">(expansion of MBS item 56553 to include </w:t>
      </w:r>
      <w:r w:rsidR="004706D8" w:rsidRPr="00002625">
        <w:t>GPs as requestors</w:t>
      </w:r>
      <w:r w:rsidR="00354C74" w:rsidRPr="00002625">
        <w:t xml:space="preserve"> for this indication</w:t>
      </w:r>
      <w:r w:rsidR="004706D8" w:rsidRPr="00002625">
        <w:t>)</w:t>
      </w:r>
    </w:p>
    <w:p w14:paraId="724F6BA1" w14:textId="74466FB1" w:rsidR="00436CC5" w:rsidRPr="00002625" w:rsidRDefault="006045C3" w:rsidP="000773E1">
      <w:pPr>
        <w:pStyle w:val="ListParagraph"/>
        <w:numPr>
          <w:ilvl w:val="0"/>
          <w:numId w:val="6"/>
        </w:numPr>
        <w:rPr>
          <w:rFonts w:cs="Calibri"/>
          <w:color w:val="000000" w:themeColor="text1"/>
        </w:rPr>
      </w:pPr>
      <w:r w:rsidRPr="00002625">
        <w:t xml:space="preserve">with </w:t>
      </w:r>
      <w:r w:rsidR="00CD61B2" w:rsidRPr="00002625">
        <w:t xml:space="preserve">a medical history of </w:t>
      </w:r>
      <w:r w:rsidRPr="00002625">
        <w:t>incomplete colonoscopy</w:t>
      </w:r>
      <w:r w:rsidR="00D53F72" w:rsidRPr="00002625">
        <w:t xml:space="preserve"> (</w:t>
      </w:r>
      <w:r w:rsidR="006E16D8" w:rsidRPr="00002625">
        <w:t>expansion of MBS item 5655</w:t>
      </w:r>
      <w:r w:rsidR="00970E15" w:rsidRPr="00002625">
        <w:t>3</w:t>
      </w:r>
      <w:r w:rsidR="006E16D8" w:rsidRPr="00002625">
        <w:t xml:space="preserve"> to </w:t>
      </w:r>
      <w:r w:rsidR="00B51774" w:rsidRPr="00002625">
        <w:t>enable</w:t>
      </w:r>
      <w:r w:rsidR="00DE35C8" w:rsidRPr="00002625">
        <w:t xml:space="preserve"> GPs </w:t>
      </w:r>
      <w:r w:rsidR="00B51774" w:rsidRPr="00002625">
        <w:t>to re</w:t>
      </w:r>
      <w:r w:rsidR="00354C74" w:rsidRPr="00002625">
        <w:t>quest CTC for</w:t>
      </w:r>
      <w:r w:rsidR="009D77DE" w:rsidRPr="00002625">
        <w:t xml:space="preserve"> </w:t>
      </w:r>
      <w:r w:rsidR="009D7C17" w:rsidRPr="00002625">
        <w:t xml:space="preserve">patients </w:t>
      </w:r>
      <w:r w:rsidR="00771859" w:rsidRPr="00002625">
        <w:t xml:space="preserve">who fall outside </w:t>
      </w:r>
      <w:r w:rsidR="009D7C17" w:rsidRPr="00002625">
        <w:t xml:space="preserve">of </w:t>
      </w:r>
      <w:r w:rsidR="00F07C41" w:rsidRPr="00002625">
        <w:t xml:space="preserve">the </w:t>
      </w:r>
      <w:r w:rsidR="00771859" w:rsidRPr="00002625">
        <w:t xml:space="preserve">current </w:t>
      </w:r>
      <w:r w:rsidR="00970E15" w:rsidRPr="00002625">
        <w:t xml:space="preserve">item </w:t>
      </w:r>
      <w:r w:rsidR="00771859" w:rsidRPr="00002625">
        <w:t>requirement</w:t>
      </w:r>
      <w:r w:rsidR="003D4E24" w:rsidRPr="00002625">
        <w:t xml:space="preserve"> </w:t>
      </w:r>
      <w:r w:rsidR="00771859" w:rsidRPr="00002625">
        <w:t>that incomplete colonoscopy must have occurred within 3 months</w:t>
      </w:r>
      <w:r w:rsidR="00CC5D57" w:rsidRPr="00002625">
        <w:t>)</w:t>
      </w:r>
    </w:p>
    <w:p w14:paraId="68682732" w14:textId="11AB803F" w:rsidR="00AF75C0" w:rsidRPr="00002625" w:rsidRDefault="00752DEE" w:rsidP="008E5381">
      <w:pPr>
        <w:pStyle w:val="Heading4"/>
      </w:pPr>
      <w:r w:rsidRPr="00002625">
        <w:lastRenderedPageBreak/>
        <w:t>Colorectal Cancer</w:t>
      </w:r>
      <w:r w:rsidR="00E03B93" w:rsidRPr="00002625">
        <w:t xml:space="preserve"> and polyps</w:t>
      </w:r>
    </w:p>
    <w:p w14:paraId="09FC0A8E" w14:textId="1BAB99CF" w:rsidR="00696CE1" w:rsidRPr="00002625" w:rsidRDefault="00BD173C" w:rsidP="00696CE1">
      <w:r w:rsidRPr="00002625">
        <w:t xml:space="preserve">CRC is a disease which often presents at a late (advanced) phase. </w:t>
      </w:r>
      <w:r w:rsidR="00696CE1" w:rsidRPr="00002625">
        <w:t>CRC is the fourth most commonly diagnosed cancer in Australia (Australian Institute of Health and Welfare [AIHW</w:t>
      </w:r>
      <w:r w:rsidR="00495373" w:rsidRPr="00002625">
        <w:t>]</w:t>
      </w:r>
      <w:r w:rsidR="00696CE1" w:rsidRPr="00002625">
        <w:t xml:space="preserve"> 2024). </w:t>
      </w:r>
      <w:r w:rsidR="002E6B47" w:rsidRPr="00002625">
        <w:t>It was</w:t>
      </w:r>
      <w:r w:rsidR="00696CE1" w:rsidRPr="00002625">
        <w:t xml:space="preserve"> estimated that in 2024 about 7,265 people aged 50–74</w:t>
      </w:r>
      <w:r w:rsidR="0063673C" w:rsidRPr="00002625">
        <w:t xml:space="preserve"> years</w:t>
      </w:r>
      <w:r w:rsidR="00696CE1" w:rsidRPr="00002625">
        <w:t xml:space="preserve"> will be diagnosed with bowel cancer (around 47% of all bowel cancers diagnosed) and 1,793 people in this age group will die from the disease (around 34% of all bowel cancer deaths)</w:t>
      </w:r>
      <w:r w:rsidR="002E6B47" w:rsidRPr="00002625">
        <w:t xml:space="preserve"> (AIHW 2024)</w:t>
      </w:r>
      <w:r w:rsidR="00696CE1" w:rsidRPr="00002625">
        <w:t xml:space="preserve">. </w:t>
      </w:r>
      <w:r w:rsidR="00071CD3" w:rsidRPr="00002625">
        <w:t>The majority of bowel cancers are</w:t>
      </w:r>
      <w:r w:rsidR="00C435E4" w:rsidRPr="00002625">
        <w:t xml:space="preserve"> </w:t>
      </w:r>
      <w:r w:rsidR="00696CE1" w:rsidRPr="00002625">
        <w:t>carcinomas (95% in 2020), of which the most common type of carcinoma is adenocarcinoma (87%) followed by neuroendocrine neoplasms (5.5%)</w:t>
      </w:r>
      <w:r w:rsidR="002E6B47" w:rsidRPr="00002625">
        <w:t xml:space="preserve"> (AIHW 2024)</w:t>
      </w:r>
      <w:r w:rsidR="00696CE1" w:rsidRPr="00002625">
        <w:t xml:space="preserve">. </w:t>
      </w:r>
    </w:p>
    <w:p w14:paraId="649C0B9D" w14:textId="40C1AA56" w:rsidR="00B009D1" w:rsidRPr="00002625" w:rsidRDefault="00BD173C" w:rsidP="00B009D1">
      <w:r w:rsidRPr="00002625">
        <w:t>Symptoms</w:t>
      </w:r>
      <w:r w:rsidR="00BF708F" w:rsidRPr="00002625">
        <w:t xml:space="preserve"> of bowel cancer</w:t>
      </w:r>
      <w:r w:rsidRPr="00002625">
        <w:t xml:space="preserve"> may be vague or non-specific and patients typically present to their GP</w:t>
      </w:r>
      <w:r w:rsidR="00A45A2C" w:rsidRPr="00002625">
        <w:t xml:space="preserve"> (Calazani et al. 2021)</w:t>
      </w:r>
      <w:r w:rsidRPr="00002625">
        <w:t xml:space="preserve">. </w:t>
      </w:r>
      <w:r w:rsidR="00B009D1" w:rsidRPr="00002625">
        <w:t>Symptoms usually cited as suggestive of CRC (Cancer Council 2023; ACS 2024; McMurrick et al. 2006; the United Kingdom National Institute for Health and Care Excellence [NICE] 2023) are as follows</w:t>
      </w:r>
      <w:r w:rsidR="006408CA" w:rsidRPr="00002625">
        <w:t>:</w:t>
      </w:r>
      <w:r w:rsidR="00B009D1" w:rsidRPr="00002625">
        <w:t xml:space="preserve"> </w:t>
      </w:r>
    </w:p>
    <w:p w14:paraId="5176686A" w14:textId="77777777" w:rsidR="00B009D1" w:rsidRPr="00002625" w:rsidRDefault="00B009D1" w:rsidP="000773E1">
      <w:pPr>
        <w:pStyle w:val="ListParagraph"/>
        <w:numPr>
          <w:ilvl w:val="0"/>
          <w:numId w:val="8"/>
        </w:numPr>
      </w:pPr>
      <w:r w:rsidRPr="00002625">
        <w:t>Rectal bleeding</w:t>
      </w:r>
    </w:p>
    <w:p w14:paraId="4690974E" w14:textId="77777777" w:rsidR="00B009D1" w:rsidRPr="00002625" w:rsidRDefault="00B009D1" w:rsidP="000773E1">
      <w:pPr>
        <w:pStyle w:val="ListParagraph"/>
        <w:numPr>
          <w:ilvl w:val="0"/>
          <w:numId w:val="8"/>
        </w:numPr>
      </w:pPr>
      <w:r w:rsidRPr="00002625">
        <w:t>Anaemia</w:t>
      </w:r>
    </w:p>
    <w:p w14:paraId="34095B49" w14:textId="77777777" w:rsidR="00B009D1" w:rsidRPr="00002625" w:rsidRDefault="00B009D1" w:rsidP="000773E1">
      <w:pPr>
        <w:pStyle w:val="ListParagraph"/>
        <w:numPr>
          <w:ilvl w:val="0"/>
          <w:numId w:val="8"/>
        </w:numPr>
      </w:pPr>
      <w:r w:rsidRPr="00002625">
        <w:t>Weight loss (unexplained)</w:t>
      </w:r>
    </w:p>
    <w:p w14:paraId="65FFD217" w14:textId="77777777" w:rsidR="00B009D1" w:rsidRPr="00002625" w:rsidRDefault="00B009D1" w:rsidP="000773E1">
      <w:pPr>
        <w:pStyle w:val="ListParagraph"/>
        <w:numPr>
          <w:ilvl w:val="0"/>
          <w:numId w:val="8"/>
        </w:numPr>
      </w:pPr>
      <w:r w:rsidRPr="00002625">
        <w:t>Change in bowel habit (persistent)</w:t>
      </w:r>
    </w:p>
    <w:p w14:paraId="222B9CA4" w14:textId="77777777" w:rsidR="00B009D1" w:rsidRPr="00002625" w:rsidRDefault="00B009D1" w:rsidP="000773E1">
      <w:pPr>
        <w:pStyle w:val="ListParagraph"/>
        <w:numPr>
          <w:ilvl w:val="0"/>
          <w:numId w:val="8"/>
        </w:numPr>
      </w:pPr>
      <w:r w:rsidRPr="00002625">
        <w:t>Dark stool / blood in stool</w:t>
      </w:r>
    </w:p>
    <w:p w14:paraId="7E2502B6" w14:textId="77777777" w:rsidR="00B009D1" w:rsidRPr="00002625" w:rsidRDefault="00B009D1" w:rsidP="000773E1">
      <w:pPr>
        <w:pStyle w:val="ListParagraph"/>
        <w:numPr>
          <w:ilvl w:val="0"/>
          <w:numId w:val="8"/>
        </w:numPr>
      </w:pPr>
      <w:r w:rsidRPr="00002625">
        <w:t>Abdominal pain</w:t>
      </w:r>
    </w:p>
    <w:p w14:paraId="6CE5F6BA" w14:textId="77777777" w:rsidR="00B009D1" w:rsidRPr="00002625" w:rsidRDefault="00B009D1" w:rsidP="000773E1">
      <w:pPr>
        <w:pStyle w:val="ListParagraph"/>
        <w:numPr>
          <w:ilvl w:val="0"/>
          <w:numId w:val="8"/>
        </w:numPr>
      </w:pPr>
      <w:r w:rsidRPr="00002625">
        <w:t>Abdominal lumps or swelling (palpable mass)</w:t>
      </w:r>
    </w:p>
    <w:p w14:paraId="4D372C17" w14:textId="77777777" w:rsidR="00B009D1" w:rsidRPr="00002625" w:rsidRDefault="00B009D1" w:rsidP="000773E1">
      <w:pPr>
        <w:pStyle w:val="ListParagraph"/>
        <w:numPr>
          <w:ilvl w:val="0"/>
          <w:numId w:val="8"/>
        </w:numPr>
      </w:pPr>
      <w:r w:rsidRPr="00002625">
        <w:t>An unrelieved urge to void the bowels</w:t>
      </w:r>
    </w:p>
    <w:p w14:paraId="58A34532" w14:textId="77777777" w:rsidR="00B009D1" w:rsidRPr="00002625" w:rsidRDefault="00B009D1" w:rsidP="000773E1">
      <w:pPr>
        <w:pStyle w:val="ListParagraph"/>
        <w:numPr>
          <w:ilvl w:val="0"/>
          <w:numId w:val="8"/>
        </w:numPr>
      </w:pPr>
      <w:r w:rsidRPr="00002625">
        <w:t xml:space="preserve">Mucous discharge </w:t>
      </w:r>
    </w:p>
    <w:p w14:paraId="0AA27D03" w14:textId="77777777" w:rsidR="00B009D1" w:rsidRPr="00002625" w:rsidRDefault="00B009D1" w:rsidP="000773E1">
      <w:pPr>
        <w:pStyle w:val="ListParagraph"/>
        <w:numPr>
          <w:ilvl w:val="0"/>
          <w:numId w:val="8"/>
        </w:numPr>
      </w:pPr>
      <w:r w:rsidRPr="00002625">
        <w:t xml:space="preserve">Diarrhoea or constipation </w:t>
      </w:r>
    </w:p>
    <w:p w14:paraId="16A29A82" w14:textId="77777777" w:rsidR="00B009D1" w:rsidRPr="00002625" w:rsidRDefault="00B009D1" w:rsidP="000773E1">
      <w:pPr>
        <w:pStyle w:val="ListParagraph"/>
        <w:numPr>
          <w:ilvl w:val="0"/>
          <w:numId w:val="8"/>
        </w:numPr>
      </w:pPr>
      <w:r w:rsidRPr="00002625">
        <w:t>Weakness and fatigue</w:t>
      </w:r>
    </w:p>
    <w:p w14:paraId="770E2C77" w14:textId="77777777" w:rsidR="00B009D1" w:rsidRPr="00002625" w:rsidRDefault="00B009D1" w:rsidP="000773E1">
      <w:pPr>
        <w:pStyle w:val="ListParagraph"/>
        <w:numPr>
          <w:ilvl w:val="0"/>
          <w:numId w:val="8"/>
        </w:numPr>
      </w:pPr>
      <w:r w:rsidRPr="00002625">
        <w:t>Dyspepsia</w:t>
      </w:r>
    </w:p>
    <w:p w14:paraId="5976328E" w14:textId="203D4F89" w:rsidR="008027D8" w:rsidRPr="00002625" w:rsidRDefault="00855AC5" w:rsidP="008027D8">
      <w:r w:rsidRPr="00002625">
        <w:t xml:space="preserve">Patients </w:t>
      </w:r>
      <w:r w:rsidR="004B4AA0" w:rsidRPr="00002625">
        <w:t xml:space="preserve">diagnosed </w:t>
      </w:r>
      <w:r w:rsidRPr="00002625">
        <w:t>with</w:t>
      </w:r>
      <w:r w:rsidR="00F52352" w:rsidRPr="00002625">
        <w:t xml:space="preserve"> localised</w:t>
      </w:r>
      <w:r w:rsidRPr="00002625">
        <w:t xml:space="preserve"> CRC have a 90% </w:t>
      </w:r>
      <w:r w:rsidR="00D2427F" w:rsidRPr="00002625">
        <w:t>five</w:t>
      </w:r>
      <w:r w:rsidRPr="00002625">
        <w:t xml:space="preserve">-year </w:t>
      </w:r>
      <w:r w:rsidR="00C826D9" w:rsidRPr="00002625">
        <w:t xml:space="preserve">relative </w:t>
      </w:r>
      <w:r w:rsidRPr="00002625">
        <w:t>survival rate</w:t>
      </w:r>
      <w:r w:rsidR="004B711E" w:rsidRPr="00002625">
        <w:t xml:space="preserve"> compared to the general population</w:t>
      </w:r>
      <w:r w:rsidRPr="00002625">
        <w:t>, whereas</w:t>
      </w:r>
      <w:r w:rsidR="00787DE1" w:rsidRPr="00002625">
        <w:t>,</w:t>
      </w:r>
      <w:r w:rsidRPr="00002625">
        <w:t xml:space="preserve"> </w:t>
      </w:r>
      <w:r w:rsidR="00787DE1" w:rsidRPr="00002625">
        <w:t xml:space="preserve">once the cancer has </w:t>
      </w:r>
      <w:r w:rsidR="005F6B15" w:rsidRPr="00002625">
        <w:t>metastasi</w:t>
      </w:r>
      <w:r w:rsidR="003A59C0" w:rsidRPr="00002625">
        <w:t>s</w:t>
      </w:r>
      <w:r w:rsidR="005F6B15" w:rsidRPr="00002625">
        <w:t>ed</w:t>
      </w:r>
      <w:r w:rsidR="00786F64" w:rsidRPr="00002625">
        <w:t>,</w:t>
      </w:r>
      <w:r w:rsidRPr="00002625">
        <w:t xml:space="preserve"> </w:t>
      </w:r>
      <w:r w:rsidR="00067169" w:rsidRPr="00002625">
        <w:t xml:space="preserve">survival </w:t>
      </w:r>
      <w:r w:rsidR="00787DE1" w:rsidRPr="00002625">
        <w:t>rate</w:t>
      </w:r>
      <w:r w:rsidR="00A05A4E" w:rsidRPr="00002625">
        <w:t xml:space="preserve">s </w:t>
      </w:r>
      <w:r w:rsidR="00067169" w:rsidRPr="00002625">
        <w:t xml:space="preserve">decrease to </w:t>
      </w:r>
      <w:r w:rsidRPr="00002625">
        <w:t xml:space="preserve">71% </w:t>
      </w:r>
      <w:r w:rsidR="005B2EC1" w:rsidRPr="00002625">
        <w:t xml:space="preserve">for </w:t>
      </w:r>
      <w:r w:rsidR="00A93B5D" w:rsidRPr="00002625">
        <w:t>regional metastases</w:t>
      </w:r>
      <w:r w:rsidRPr="00002625">
        <w:t xml:space="preserve"> and 14%</w:t>
      </w:r>
      <w:r w:rsidR="00FC578B" w:rsidRPr="00002625" w:rsidDel="005B2EC1">
        <w:t xml:space="preserve"> </w:t>
      </w:r>
      <w:r w:rsidR="005B2EC1" w:rsidRPr="00002625">
        <w:t xml:space="preserve">for </w:t>
      </w:r>
      <w:r w:rsidR="00FC578B" w:rsidRPr="00002625">
        <w:t>distal</w:t>
      </w:r>
      <w:r w:rsidR="00A93B5D" w:rsidRPr="00002625">
        <w:t xml:space="preserve"> metastases</w:t>
      </w:r>
      <w:r w:rsidR="00B25769" w:rsidRPr="00002625">
        <w:t xml:space="preserve"> (</w:t>
      </w:r>
      <w:r w:rsidR="00470851" w:rsidRPr="00002625">
        <w:t>Sieg</w:t>
      </w:r>
      <w:r w:rsidR="00D66CE1" w:rsidRPr="00002625">
        <w:t>el et al. 2020</w:t>
      </w:r>
      <w:r w:rsidR="00B25769" w:rsidRPr="00002625">
        <w:t>)</w:t>
      </w:r>
      <w:r w:rsidRPr="00002625">
        <w:t xml:space="preserve">. </w:t>
      </w:r>
    </w:p>
    <w:p w14:paraId="357883ED" w14:textId="65BFC85C" w:rsidR="00CC6A10" w:rsidRPr="00002625" w:rsidRDefault="00DA0FEF" w:rsidP="00855AC5">
      <w:r w:rsidRPr="00002625">
        <w:t>Colorectal p</w:t>
      </w:r>
      <w:r w:rsidR="00181B90" w:rsidRPr="00002625">
        <w:t>olyps are the precancerous stage of CRC</w:t>
      </w:r>
      <w:r w:rsidR="00EB4005" w:rsidRPr="00002625">
        <w:t>;</w:t>
      </w:r>
      <w:r w:rsidR="00181B90" w:rsidRPr="00002625">
        <w:t xml:space="preserve"> however</w:t>
      </w:r>
      <w:r w:rsidR="00EB4005" w:rsidRPr="00002625">
        <w:t>,</w:t>
      </w:r>
      <w:r w:rsidR="00181B90" w:rsidRPr="00002625">
        <w:t xml:space="preserve"> polyps </w:t>
      </w:r>
      <w:r w:rsidR="00FF42EA" w:rsidRPr="00002625">
        <w:t xml:space="preserve">are very common </w:t>
      </w:r>
      <w:r w:rsidR="00181B90" w:rsidRPr="00002625">
        <w:t>in the l</w:t>
      </w:r>
      <w:r w:rsidR="00FF42EA" w:rsidRPr="00002625">
        <w:t>arge</w:t>
      </w:r>
      <w:r w:rsidR="00181B90" w:rsidRPr="00002625">
        <w:t xml:space="preserve"> intestine </w:t>
      </w:r>
      <w:r w:rsidR="00171E83" w:rsidRPr="00002625">
        <w:t>of persons aged over 45 years</w:t>
      </w:r>
      <w:r w:rsidR="002D4AF1" w:rsidRPr="00002625">
        <w:t xml:space="preserve"> and</w:t>
      </w:r>
      <w:r w:rsidR="00776108" w:rsidRPr="00002625">
        <w:t xml:space="preserve"> </w:t>
      </w:r>
      <w:r w:rsidR="00FF42EA" w:rsidRPr="00002625">
        <w:t>the majority will not develop into cancers</w:t>
      </w:r>
      <w:r w:rsidR="002D4AF1" w:rsidRPr="00002625">
        <w:t xml:space="preserve">. </w:t>
      </w:r>
      <w:r w:rsidR="00E855A9" w:rsidRPr="00002625">
        <w:t xml:space="preserve">Colorectal polyps </w:t>
      </w:r>
      <w:r w:rsidR="00F6691E" w:rsidRPr="00002625">
        <w:t>were previously</w:t>
      </w:r>
      <w:r w:rsidR="00E855A9" w:rsidRPr="00002625">
        <w:t xml:space="preserve"> described as either hyperplastic polyps or adenomas</w:t>
      </w:r>
      <w:r w:rsidR="00FE40A5" w:rsidRPr="00002625">
        <w:t>.</w:t>
      </w:r>
      <w:r w:rsidR="00E9273C" w:rsidRPr="00002625">
        <w:t xml:space="preserve"> More recent classification </w:t>
      </w:r>
      <w:r w:rsidR="00F15F96" w:rsidRPr="00002625">
        <w:t xml:space="preserve">has </w:t>
      </w:r>
      <w:r w:rsidR="00E42317" w:rsidRPr="00002625">
        <w:t xml:space="preserve">renamed </w:t>
      </w:r>
      <w:r w:rsidR="00047F6B" w:rsidRPr="00002625">
        <w:t xml:space="preserve">hyperplastic polyps </w:t>
      </w:r>
      <w:r w:rsidR="00A42E06" w:rsidRPr="00002625">
        <w:t xml:space="preserve">as </w:t>
      </w:r>
      <w:r w:rsidR="00E9273C" w:rsidRPr="00002625">
        <w:t>serrated polyps</w:t>
      </w:r>
      <w:r w:rsidR="00A42E06" w:rsidRPr="00002625">
        <w:t>, which are divided into true hyperplastic polyps</w:t>
      </w:r>
      <w:r w:rsidR="00E9273C" w:rsidRPr="00002625">
        <w:t>, sessile serrated adenomas/polyps (SSA/Ps) and traditional serrated adenomas (TSAs</w:t>
      </w:r>
      <w:r w:rsidR="00A42E06" w:rsidRPr="00002625">
        <w:t>)</w:t>
      </w:r>
      <w:r w:rsidR="0079751B" w:rsidRPr="00002625">
        <w:t xml:space="preserve"> (</w:t>
      </w:r>
      <w:r w:rsidR="001D1F6F" w:rsidRPr="00002625">
        <w:t>IJspeert et al.</w:t>
      </w:r>
      <w:r w:rsidRPr="00002625">
        <w:t xml:space="preserve"> 2015</w:t>
      </w:r>
      <w:r w:rsidR="0079751B" w:rsidRPr="00002625">
        <w:t>)</w:t>
      </w:r>
      <w:r w:rsidR="00A42E06" w:rsidRPr="00002625">
        <w:t xml:space="preserve">. </w:t>
      </w:r>
    </w:p>
    <w:p w14:paraId="46A02B78" w14:textId="6CA23209" w:rsidR="002719CD" w:rsidRPr="00002625" w:rsidRDefault="002719CD" w:rsidP="002719CD">
      <w:pPr>
        <w:pStyle w:val="Heading4"/>
      </w:pPr>
      <w:r w:rsidRPr="00002625">
        <w:t xml:space="preserve">Current </w:t>
      </w:r>
      <w:r w:rsidR="00DB2D00" w:rsidRPr="00002625">
        <w:t>management</w:t>
      </w:r>
    </w:p>
    <w:p w14:paraId="09B064DA" w14:textId="5C92B06A" w:rsidR="002719CD" w:rsidRPr="00002625" w:rsidRDefault="002719CD" w:rsidP="002719CD">
      <w:pPr>
        <w:rPr>
          <w:rFonts w:cs="Calibri"/>
        </w:rPr>
      </w:pPr>
      <w:r w:rsidRPr="00002625">
        <w:rPr>
          <w:rFonts w:cs="Calibri"/>
        </w:rPr>
        <w:t>Recommendations for CTC and alternatives to colonoscopy for detection of CRC in Australia are captured in guidelines published by Cancer Council Australia and in New Zealand by Health New Zealand and the</w:t>
      </w:r>
      <w:r w:rsidR="00217242" w:rsidRPr="00002625">
        <w:rPr>
          <w:rFonts w:cs="Calibri"/>
        </w:rPr>
        <w:t xml:space="preserve"> New Zealand</w:t>
      </w:r>
      <w:r w:rsidRPr="00002625">
        <w:rPr>
          <w:rFonts w:cs="Calibri"/>
        </w:rPr>
        <w:t xml:space="preserve"> Ministry of Health</w:t>
      </w:r>
      <w:r w:rsidR="00217242" w:rsidRPr="00002625">
        <w:rPr>
          <w:rFonts w:cs="Calibri"/>
        </w:rPr>
        <w:t xml:space="preserve"> (NZ MOH)</w:t>
      </w:r>
      <w:r w:rsidR="002926A2" w:rsidRPr="00002625">
        <w:rPr>
          <w:rFonts w:cs="Calibri"/>
        </w:rPr>
        <w:t xml:space="preserve">. </w:t>
      </w:r>
      <w:r w:rsidR="001658DC" w:rsidRPr="00002625">
        <w:rPr>
          <w:rFonts w:cs="Calibri"/>
        </w:rPr>
        <w:fldChar w:fldCharType="begin"/>
      </w:r>
      <w:r w:rsidR="001658DC" w:rsidRPr="00002625">
        <w:rPr>
          <w:rFonts w:cs="Calibri"/>
        </w:rPr>
        <w:instrText xml:space="preserve"> REF _Ref180999646 \h </w:instrText>
      </w:r>
      <w:r w:rsidR="001658DC" w:rsidRPr="00002625">
        <w:rPr>
          <w:rFonts w:cs="Calibri"/>
        </w:rPr>
      </w:r>
      <w:r w:rsidR="001658DC" w:rsidRPr="00002625">
        <w:rPr>
          <w:rFonts w:cs="Calibri"/>
        </w:rPr>
        <w:fldChar w:fldCharType="separate"/>
      </w:r>
      <w:r w:rsidR="00637321" w:rsidRPr="00002625">
        <w:t>Table </w:t>
      </w:r>
      <w:r w:rsidR="00637321" w:rsidRPr="00002625">
        <w:rPr>
          <w:noProof/>
        </w:rPr>
        <w:t>7</w:t>
      </w:r>
      <w:r w:rsidR="001658DC" w:rsidRPr="00002625">
        <w:rPr>
          <w:rFonts w:cs="Calibri"/>
        </w:rPr>
        <w:fldChar w:fldCharType="end"/>
      </w:r>
      <w:r w:rsidR="002926A2" w:rsidRPr="00002625">
        <w:rPr>
          <w:rFonts w:cs="Calibri"/>
        </w:rPr>
        <w:t xml:space="preserve"> present</w:t>
      </w:r>
      <w:r w:rsidR="00E12BA2" w:rsidRPr="00002625">
        <w:rPr>
          <w:rFonts w:cs="Calibri"/>
        </w:rPr>
        <w:t>s current recommendations for CTC</w:t>
      </w:r>
      <w:r w:rsidRPr="00002625">
        <w:rPr>
          <w:rFonts w:cs="Calibri"/>
        </w:rPr>
        <w:t xml:space="preserve">. </w:t>
      </w:r>
    </w:p>
    <w:p w14:paraId="60A79E1A" w14:textId="5482BA63" w:rsidR="001658DC" w:rsidRPr="00002625" w:rsidRDefault="001658DC" w:rsidP="00731588">
      <w:pPr>
        <w:pStyle w:val="TableHeading"/>
        <w:rPr>
          <w:sz w:val="16"/>
          <w:szCs w:val="16"/>
        </w:rPr>
      </w:pPr>
      <w:bookmarkStart w:id="14" w:name="_Ref180999646"/>
      <w:r w:rsidRPr="00002625">
        <w:lastRenderedPageBreak/>
        <w:t>Table </w:t>
      </w:r>
      <w:r>
        <w:fldChar w:fldCharType="begin"/>
      </w:r>
      <w:r>
        <w:instrText>SEQ Table \* ARABIC</w:instrText>
      </w:r>
      <w:r>
        <w:fldChar w:fldCharType="separate"/>
      </w:r>
      <w:r w:rsidR="00637321" w:rsidRPr="00002625">
        <w:rPr>
          <w:noProof/>
        </w:rPr>
        <w:t>7</w:t>
      </w:r>
      <w:r>
        <w:fldChar w:fldCharType="end"/>
      </w:r>
      <w:bookmarkEnd w:id="14"/>
      <w:r w:rsidRPr="00002625">
        <w:tab/>
        <w:t>Current Guidelines with recommendations for CTC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6 Current Guidelines with recommendations for CTC"/>
        <w:tblDescription w:val="Table showing current guidelines with recommendations for CTC"/>
      </w:tblPr>
      <w:tblGrid>
        <w:gridCol w:w="1271"/>
        <w:gridCol w:w="2268"/>
        <w:gridCol w:w="6032"/>
      </w:tblGrid>
      <w:tr w:rsidR="002719CD" w:rsidRPr="00002625" w14:paraId="6A94E739" w14:textId="77777777" w:rsidTr="00F87900">
        <w:trPr>
          <w:cantSplit/>
          <w:trHeight w:val="351"/>
          <w:tblHeader/>
        </w:trPr>
        <w:tc>
          <w:tcPr>
            <w:tcW w:w="664" w:type="pct"/>
            <w:tcBorders>
              <w:top w:val="single" w:sz="4" w:space="0" w:color="000000"/>
              <w:left w:val="single" w:sz="4" w:space="0" w:color="000000"/>
              <w:bottom w:val="single" w:sz="4" w:space="0" w:color="000000"/>
              <w:right w:val="single" w:sz="4" w:space="0" w:color="000000"/>
            </w:tcBorders>
          </w:tcPr>
          <w:p w14:paraId="27F0E1C5" w14:textId="14F495B1" w:rsidR="002719CD" w:rsidRPr="00002625" w:rsidRDefault="00D54300" w:rsidP="00731588">
            <w:pPr>
              <w:pStyle w:val="TableHeading"/>
            </w:pPr>
            <w:r w:rsidRPr="00002625">
              <w:t xml:space="preserve"> Region</w:t>
            </w:r>
          </w:p>
        </w:tc>
        <w:tc>
          <w:tcPr>
            <w:tcW w:w="1185" w:type="pct"/>
            <w:tcBorders>
              <w:top w:val="single" w:sz="4" w:space="0" w:color="000000"/>
              <w:left w:val="single" w:sz="4" w:space="0" w:color="000000"/>
              <w:bottom w:val="single" w:sz="4" w:space="0" w:color="000000"/>
              <w:right w:val="single" w:sz="4" w:space="0" w:color="000000"/>
            </w:tcBorders>
          </w:tcPr>
          <w:p w14:paraId="5F120F97" w14:textId="77777777" w:rsidR="002719CD" w:rsidRPr="00002625" w:rsidRDefault="002719CD" w:rsidP="00731588">
            <w:pPr>
              <w:pStyle w:val="TableHeading"/>
            </w:pPr>
            <w:r w:rsidRPr="00002625">
              <w:t>Guideline title</w:t>
            </w:r>
          </w:p>
        </w:tc>
        <w:tc>
          <w:tcPr>
            <w:tcW w:w="3151" w:type="pct"/>
            <w:tcBorders>
              <w:top w:val="single" w:sz="4" w:space="0" w:color="000000"/>
              <w:left w:val="single" w:sz="4" w:space="0" w:color="000000"/>
              <w:bottom w:val="single" w:sz="4" w:space="0" w:color="000000"/>
              <w:right w:val="single" w:sz="4" w:space="0" w:color="000000"/>
            </w:tcBorders>
          </w:tcPr>
          <w:p w14:paraId="52ED0991" w14:textId="77777777" w:rsidR="002719CD" w:rsidRPr="00002625" w:rsidRDefault="002719CD" w:rsidP="00731588">
            <w:pPr>
              <w:pStyle w:val="TableHeading"/>
            </w:pPr>
            <w:r w:rsidRPr="00002625">
              <w:t>Recommendations regarding CTC</w:t>
            </w:r>
          </w:p>
        </w:tc>
      </w:tr>
      <w:tr w:rsidR="002719CD" w:rsidRPr="00002625" w14:paraId="663D6E19" w14:textId="77777777" w:rsidTr="00F87900">
        <w:trPr>
          <w:cantSplit/>
        </w:trPr>
        <w:tc>
          <w:tcPr>
            <w:tcW w:w="664" w:type="pct"/>
            <w:tcBorders>
              <w:top w:val="single" w:sz="4" w:space="0" w:color="000000"/>
              <w:left w:val="single" w:sz="4" w:space="0" w:color="000000"/>
              <w:bottom w:val="nil"/>
              <w:right w:val="single" w:sz="4" w:space="0" w:color="000000"/>
            </w:tcBorders>
          </w:tcPr>
          <w:p w14:paraId="085DF04A" w14:textId="4E2DB884" w:rsidR="002719CD" w:rsidRPr="00002625" w:rsidRDefault="00D54300" w:rsidP="007A1201">
            <w:pPr>
              <w:pStyle w:val="TableText0"/>
            </w:pPr>
            <w:r w:rsidRPr="00002625">
              <w:t>Australia</w:t>
            </w:r>
          </w:p>
        </w:tc>
        <w:tc>
          <w:tcPr>
            <w:tcW w:w="1185" w:type="pct"/>
            <w:tcBorders>
              <w:top w:val="single" w:sz="4" w:space="0" w:color="000000"/>
              <w:left w:val="single" w:sz="4" w:space="0" w:color="000000"/>
              <w:bottom w:val="single" w:sz="4" w:space="0" w:color="000000"/>
              <w:right w:val="single" w:sz="4" w:space="0" w:color="000000"/>
            </w:tcBorders>
          </w:tcPr>
          <w:p w14:paraId="16D7F3FE" w14:textId="0BF6ED3F" w:rsidR="002719CD" w:rsidRPr="00002625" w:rsidRDefault="002719CD" w:rsidP="007A1201">
            <w:pPr>
              <w:pStyle w:val="TableText0"/>
            </w:pPr>
            <w:r w:rsidRPr="00002625">
              <w:t>Clinical practice guidelines for the prevention, early detection and management of colorectal cancer</w:t>
            </w:r>
            <w:r w:rsidR="0029381A" w:rsidRPr="00002625">
              <w:t xml:space="preserve"> </w:t>
            </w:r>
            <w:r w:rsidR="00015A19" w:rsidRPr="00002625">
              <w:br/>
            </w:r>
            <w:r w:rsidR="0029381A" w:rsidRPr="00002625">
              <w:t>(</w:t>
            </w:r>
            <w:r w:rsidR="00015A19" w:rsidRPr="00002625">
              <w:t xml:space="preserve">Cancer Council </w:t>
            </w:r>
            <w:r w:rsidR="0029381A" w:rsidRPr="00002625">
              <w:t>2023)</w:t>
            </w:r>
          </w:p>
        </w:tc>
        <w:tc>
          <w:tcPr>
            <w:tcW w:w="3151" w:type="pct"/>
            <w:tcBorders>
              <w:top w:val="single" w:sz="4" w:space="0" w:color="000000"/>
              <w:left w:val="single" w:sz="4" w:space="0" w:color="000000"/>
              <w:bottom w:val="single" w:sz="4" w:space="0" w:color="000000"/>
              <w:right w:val="single" w:sz="4" w:space="0" w:color="000000"/>
            </w:tcBorders>
          </w:tcPr>
          <w:p w14:paraId="75B81815" w14:textId="77777777" w:rsidR="002719CD" w:rsidRPr="00002625" w:rsidRDefault="002719CD" w:rsidP="007A1201">
            <w:pPr>
              <w:pStyle w:val="TableText0"/>
              <w:rPr>
                <w:szCs w:val="20"/>
              </w:rPr>
            </w:pPr>
            <w:r w:rsidRPr="00002625">
              <w:t>CT</w:t>
            </w:r>
            <w:r w:rsidRPr="00002625">
              <w:rPr>
                <w:szCs w:val="20"/>
              </w:rPr>
              <w:t xml:space="preserve">C is recommended as follows: </w:t>
            </w:r>
          </w:p>
          <w:p w14:paraId="3280E267" w14:textId="0A7F8679" w:rsidR="002719CD" w:rsidRPr="00002625" w:rsidRDefault="002719CD" w:rsidP="007A1201">
            <w:pPr>
              <w:pStyle w:val="TableText0"/>
              <w:rPr>
                <w:szCs w:val="20"/>
              </w:rPr>
            </w:pPr>
            <w:r w:rsidRPr="00002625">
              <w:t xml:space="preserve">• </w:t>
            </w:r>
            <w:r w:rsidRPr="00002625">
              <w:rPr>
                <w:szCs w:val="20"/>
              </w:rPr>
              <w:t>CRC symptoms</w:t>
            </w:r>
            <w:r w:rsidR="00D14414" w:rsidRPr="00002625">
              <w:rPr>
                <w:szCs w:val="20"/>
              </w:rPr>
              <w:t xml:space="preserve"> with a </w:t>
            </w:r>
            <w:r w:rsidR="00E81FAC" w:rsidRPr="00002625">
              <w:rPr>
                <w:szCs w:val="20"/>
              </w:rPr>
              <w:t xml:space="preserve">disease </w:t>
            </w:r>
            <w:r w:rsidRPr="00002625">
              <w:rPr>
                <w:szCs w:val="20"/>
              </w:rPr>
              <w:t>risk threshold</w:t>
            </w:r>
            <w:r w:rsidR="00D14414" w:rsidRPr="00002625">
              <w:rPr>
                <w:szCs w:val="20"/>
              </w:rPr>
              <w:t xml:space="preserve"> below 3%</w:t>
            </w:r>
            <w:r w:rsidRPr="00002625">
              <w:rPr>
                <w:szCs w:val="20"/>
                <w:vertAlign w:val="superscript"/>
              </w:rPr>
              <w:t xml:space="preserve"> </w:t>
            </w:r>
            <w:r w:rsidRPr="00002625">
              <w:rPr>
                <w:szCs w:val="20"/>
              </w:rPr>
              <w:t>(i.e. lower risk symptoms)</w:t>
            </w:r>
            <w:r w:rsidR="00216318" w:rsidRPr="00002625">
              <w:rPr>
                <w:szCs w:val="20"/>
                <w:vertAlign w:val="superscript"/>
              </w:rPr>
              <w:t>a</w:t>
            </w:r>
          </w:p>
          <w:p w14:paraId="157A5E2A" w14:textId="77777777" w:rsidR="002719CD" w:rsidRPr="00002625" w:rsidRDefault="002719CD" w:rsidP="007A1201">
            <w:pPr>
              <w:pStyle w:val="TableText0"/>
              <w:rPr>
                <w:szCs w:val="20"/>
              </w:rPr>
            </w:pPr>
            <w:r w:rsidRPr="00002625">
              <w:t xml:space="preserve">• in areas with limited access to colonoscopy services but </w:t>
            </w:r>
            <w:r w:rsidRPr="00002625">
              <w:rPr>
                <w:szCs w:val="20"/>
              </w:rPr>
              <w:t>with access to CT</w:t>
            </w:r>
          </w:p>
          <w:p w14:paraId="127B3572" w14:textId="77777777" w:rsidR="002719CD" w:rsidRPr="00002625" w:rsidRDefault="002719CD" w:rsidP="007A1201">
            <w:pPr>
              <w:pStyle w:val="TableText0"/>
              <w:rPr>
                <w:szCs w:val="20"/>
              </w:rPr>
            </w:pPr>
            <w:r w:rsidRPr="00002625">
              <w:t>• colonoscopy</w:t>
            </w:r>
            <w:r w:rsidRPr="00002625">
              <w:rPr>
                <w:szCs w:val="20"/>
              </w:rPr>
              <w:t xml:space="preserve"> contraindicated</w:t>
            </w:r>
          </w:p>
          <w:p w14:paraId="1BBE1522" w14:textId="77777777" w:rsidR="002719CD" w:rsidRPr="00002625" w:rsidRDefault="002719CD" w:rsidP="007A1201">
            <w:pPr>
              <w:pStyle w:val="TableText0"/>
            </w:pPr>
            <w:r w:rsidRPr="00002625">
              <w:t>Also: Some patients may have a colon cancer diagnosed by CT scan if they present emergently with obstruction</w:t>
            </w:r>
          </w:p>
        </w:tc>
      </w:tr>
      <w:tr w:rsidR="002719CD" w:rsidRPr="00002625" w14:paraId="3B07D6AE" w14:textId="77777777" w:rsidTr="00F87900">
        <w:trPr>
          <w:cantSplit/>
        </w:trPr>
        <w:tc>
          <w:tcPr>
            <w:tcW w:w="664" w:type="pct"/>
            <w:tcBorders>
              <w:top w:val="nil"/>
              <w:left w:val="single" w:sz="4" w:space="0" w:color="000000"/>
              <w:bottom w:val="single" w:sz="4" w:space="0" w:color="000000"/>
              <w:right w:val="single" w:sz="4" w:space="0" w:color="000000"/>
            </w:tcBorders>
          </w:tcPr>
          <w:p w14:paraId="5DB5B07D" w14:textId="63684D64" w:rsidR="002719CD" w:rsidRPr="00002625" w:rsidRDefault="002719CD" w:rsidP="007A1201">
            <w:pPr>
              <w:pStyle w:val="TableText0"/>
            </w:pPr>
          </w:p>
        </w:tc>
        <w:tc>
          <w:tcPr>
            <w:tcW w:w="1185" w:type="pct"/>
            <w:tcBorders>
              <w:top w:val="single" w:sz="4" w:space="0" w:color="000000"/>
              <w:left w:val="single" w:sz="4" w:space="0" w:color="000000"/>
              <w:bottom w:val="single" w:sz="4" w:space="0" w:color="000000"/>
              <w:right w:val="single" w:sz="4" w:space="0" w:color="000000"/>
            </w:tcBorders>
          </w:tcPr>
          <w:p w14:paraId="1E408B78" w14:textId="62796363" w:rsidR="002719CD" w:rsidRPr="00002625" w:rsidRDefault="002719CD" w:rsidP="007A1201">
            <w:pPr>
              <w:pStyle w:val="TableText0"/>
            </w:pPr>
            <w:r w:rsidRPr="00002625">
              <w:t>Clinical practice guidelines for surveillance colonoscopy</w:t>
            </w:r>
            <w:r w:rsidR="0029381A" w:rsidRPr="00002625">
              <w:t xml:space="preserve"> </w:t>
            </w:r>
            <w:r w:rsidR="00546FEC" w:rsidRPr="00002625">
              <w:br/>
            </w:r>
            <w:r w:rsidR="0029381A" w:rsidRPr="00002625">
              <w:t>(</w:t>
            </w:r>
            <w:r w:rsidR="00015A19" w:rsidRPr="00002625">
              <w:t xml:space="preserve">Cancer Council </w:t>
            </w:r>
            <w:r w:rsidR="0029381A" w:rsidRPr="00002625">
              <w:t>2022)</w:t>
            </w:r>
          </w:p>
        </w:tc>
        <w:tc>
          <w:tcPr>
            <w:tcW w:w="3151" w:type="pct"/>
            <w:tcBorders>
              <w:top w:val="single" w:sz="4" w:space="0" w:color="000000"/>
              <w:left w:val="single" w:sz="4" w:space="0" w:color="000000"/>
              <w:bottom w:val="single" w:sz="4" w:space="0" w:color="000000"/>
              <w:right w:val="single" w:sz="4" w:space="0" w:color="000000"/>
            </w:tcBorders>
          </w:tcPr>
          <w:p w14:paraId="2D334F30" w14:textId="77777777" w:rsidR="002719CD" w:rsidRPr="00002625" w:rsidRDefault="002719CD" w:rsidP="007A1201">
            <w:pPr>
              <w:pStyle w:val="TableText0"/>
              <w:rPr>
                <w:szCs w:val="20"/>
              </w:rPr>
            </w:pPr>
            <w:r w:rsidRPr="00002625">
              <w:t>CT</w:t>
            </w:r>
            <w:r w:rsidRPr="00002625">
              <w:rPr>
                <w:szCs w:val="20"/>
              </w:rPr>
              <w:t>C is an alternative for patients unable to have colonoscopy</w:t>
            </w:r>
          </w:p>
          <w:p w14:paraId="2471C10D" w14:textId="30B7AA24" w:rsidR="002719CD" w:rsidRPr="00002625" w:rsidRDefault="002719CD" w:rsidP="007A1201">
            <w:pPr>
              <w:pStyle w:val="TableText0"/>
            </w:pPr>
            <w:r w:rsidRPr="00002625">
              <w:t xml:space="preserve">Patients with polyp on CTC &gt;10mm </w:t>
            </w:r>
            <w:r w:rsidR="00F86091" w:rsidRPr="00002625">
              <w:t xml:space="preserve">should be </w:t>
            </w:r>
            <w:r w:rsidRPr="00002625">
              <w:t xml:space="preserve">referred for polypectomy; patients with polyps on CTC 6–9mm </w:t>
            </w:r>
            <w:r w:rsidR="00F86091" w:rsidRPr="00002625">
              <w:t>should be</w:t>
            </w:r>
            <w:r w:rsidRPr="00002625">
              <w:t xml:space="preserve"> either referred for polypectomy or repeat colonic examination at </w:t>
            </w:r>
            <w:r w:rsidR="009E134C" w:rsidRPr="00002625">
              <w:t>three</w:t>
            </w:r>
            <w:r w:rsidRPr="00002625">
              <w:t xml:space="preserve"> years</w:t>
            </w:r>
          </w:p>
        </w:tc>
      </w:tr>
      <w:tr w:rsidR="002719CD" w:rsidRPr="00002625" w14:paraId="4CC0B089" w14:textId="77777777" w:rsidTr="00F87900">
        <w:trPr>
          <w:cantSplit/>
        </w:trPr>
        <w:tc>
          <w:tcPr>
            <w:tcW w:w="664" w:type="pct"/>
            <w:tcBorders>
              <w:top w:val="single" w:sz="4" w:space="0" w:color="000000"/>
              <w:left w:val="single" w:sz="4" w:space="0" w:color="000000"/>
              <w:bottom w:val="nil"/>
              <w:right w:val="single" w:sz="4" w:space="0" w:color="000000"/>
            </w:tcBorders>
          </w:tcPr>
          <w:p w14:paraId="2E5E5851" w14:textId="0F43F575" w:rsidR="002719CD" w:rsidRPr="00002625" w:rsidRDefault="002719CD" w:rsidP="007A1201">
            <w:pPr>
              <w:pStyle w:val="TableText0"/>
            </w:pPr>
            <w:r w:rsidRPr="00002625">
              <w:t>New Zealand</w:t>
            </w:r>
          </w:p>
        </w:tc>
        <w:tc>
          <w:tcPr>
            <w:tcW w:w="1185" w:type="pct"/>
            <w:tcBorders>
              <w:top w:val="single" w:sz="4" w:space="0" w:color="000000"/>
              <w:left w:val="single" w:sz="4" w:space="0" w:color="000000"/>
              <w:bottom w:val="single" w:sz="4" w:space="0" w:color="000000"/>
              <w:right w:val="single" w:sz="4" w:space="0" w:color="000000"/>
            </w:tcBorders>
          </w:tcPr>
          <w:p w14:paraId="746EEC45" w14:textId="049C0E6D" w:rsidR="002719CD" w:rsidRPr="00002625" w:rsidRDefault="002719CD" w:rsidP="007A1201">
            <w:pPr>
              <w:pStyle w:val="TableText0"/>
              <w:rPr>
                <w:highlight w:val="yellow"/>
              </w:rPr>
            </w:pPr>
            <w:r w:rsidRPr="00002625">
              <w:t>Clinical Practice Guidelines for Bowel Screening in New Zealand</w:t>
            </w:r>
            <w:r w:rsidR="007701DA" w:rsidRPr="00002625">
              <w:t xml:space="preserve"> </w:t>
            </w:r>
            <w:r w:rsidR="00546FEC" w:rsidRPr="00002625">
              <w:br/>
            </w:r>
            <w:r w:rsidR="007701DA" w:rsidRPr="00002625">
              <w:t>(</w:t>
            </w:r>
            <w:r w:rsidR="00301C3C" w:rsidRPr="00002625">
              <w:rPr>
                <w:szCs w:val="20"/>
              </w:rPr>
              <w:t>Health New Zealand 2023</w:t>
            </w:r>
            <w:r w:rsidR="007701DA" w:rsidRPr="00002625">
              <w:t>)</w:t>
            </w:r>
          </w:p>
        </w:tc>
        <w:tc>
          <w:tcPr>
            <w:tcW w:w="3151" w:type="pct"/>
            <w:tcBorders>
              <w:top w:val="single" w:sz="4" w:space="0" w:color="000000"/>
              <w:left w:val="single" w:sz="4" w:space="0" w:color="000000"/>
              <w:bottom w:val="single" w:sz="4" w:space="0" w:color="000000"/>
              <w:right w:val="single" w:sz="4" w:space="0" w:color="000000"/>
            </w:tcBorders>
          </w:tcPr>
          <w:p w14:paraId="20EAE50D" w14:textId="320E7F43" w:rsidR="002719CD" w:rsidRPr="00002625" w:rsidRDefault="002E57B7" w:rsidP="007A1201">
            <w:pPr>
              <w:pStyle w:val="TableText0"/>
              <w:rPr>
                <w:szCs w:val="20"/>
              </w:rPr>
            </w:pPr>
            <w:r w:rsidRPr="00002625">
              <w:t xml:space="preserve">CTC may be offered as an alternative to colonoscopy for </w:t>
            </w:r>
            <w:r w:rsidRPr="00002625">
              <w:rPr>
                <w:szCs w:val="20"/>
              </w:rPr>
              <w:t>patients with a positive FOBT</w:t>
            </w:r>
            <w:r w:rsidR="00E83631" w:rsidRPr="00002625">
              <w:rPr>
                <w:szCs w:val="20"/>
              </w:rPr>
              <w:t xml:space="preserve"> </w:t>
            </w:r>
            <w:r w:rsidR="00723EA9" w:rsidRPr="00002625">
              <w:rPr>
                <w:szCs w:val="20"/>
              </w:rPr>
              <w:t>(this refers to asymptomatic patients from the NZ bowel screening program)</w:t>
            </w:r>
          </w:p>
          <w:p w14:paraId="5E6B12E4" w14:textId="675ED4C3" w:rsidR="006E0396" w:rsidRPr="00002625" w:rsidRDefault="006E0396" w:rsidP="007A1201">
            <w:pPr>
              <w:pStyle w:val="TableText0"/>
            </w:pPr>
            <w:r w:rsidRPr="00002625">
              <w:t xml:space="preserve">CTC as an alternative to </w:t>
            </w:r>
            <w:r w:rsidR="000F5E00" w:rsidRPr="00002625">
              <w:t>colonoscopy based on referral criteria (below)</w:t>
            </w:r>
          </w:p>
        </w:tc>
      </w:tr>
      <w:tr w:rsidR="002719CD" w:rsidRPr="00002625" w14:paraId="29CBD817" w14:textId="77777777" w:rsidTr="00F87900">
        <w:trPr>
          <w:cantSplit/>
        </w:trPr>
        <w:tc>
          <w:tcPr>
            <w:tcW w:w="664" w:type="pct"/>
            <w:tcBorders>
              <w:top w:val="nil"/>
              <w:left w:val="single" w:sz="4" w:space="0" w:color="000000"/>
              <w:bottom w:val="single" w:sz="4" w:space="0" w:color="000000"/>
              <w:right w:val="single" w:sz="4" w:space="0" w:color="000000"/>
            </w:tcBorders>
          </w:tcPr>
          <w:p w14:paraId="17414D57" w14:textId="3D2C38EF" w:rsidR="002719CD" w:rsidRPr="00002625" w:rsidRDefault="002719CD" w:rsidP="007A1201">
            <w:pPr>
              <w:pStyle w:val="TableText0"/>
            </w:pPr>
          </w:p>
        </w:tc>
        <w:tc>
          <w:tcPr>
            <w:tcW w:w="1185" w:type="pct"/>
            <w:tcBorders>
              <w:top w:val="single" w:sz="4" w:space="0" w:color="000000"/>
              <w:left w:val="single" w:sz="4" w:space="0" w:color="000000"/>
              <w:bottom w:val="single" w:sz="4" w:space="0" w:color="000000"/>
              <w:right w:val="single" w:sz="4" w:space="0" w:color="000000"/>
            </w:tcBorders>
          </w:tcPr>
          <w:p w14:paraId="3F40C6B7" w14:textId="29EF948E" w:rsidR="002719CD" w:rsidRPr="00002625" w:rsidRDefault="002719CD" w:rsidP="007A1201">
            <w:pPr>
              <w:pStyle w:val="TableText0"/>
              <w:rPr>
                <w:highlight w:val="yellow"/>
              </w:rPr>
            </w:pPr>
            <w:r w:rsidRPr="00002625">
              <w:t>Referral of patients with features suggestive of bowel cancer: Ministry of Health guidance</w:t>
            </w:r>
            <w:r w:rsidR="007701DA" w:rsidRPr="00002625">
              <w:t xml:space="preserve"> </w:t>
            </w:r>
            <w:r w:rsidR="00015A19" w:rsidRPr="00002625">
              <w:br/>
            </w:r>
            <w:r w:rsidR="007701DA" w:rsidRPr="00002625">
              <w:t>(</w:t>
            </w:r>
            <w:r w:rsidR="00015A19" w:rsidRPr="00002625">
              <w:t xml:space="preserve">NZ MOH </w:t>
            </w:r>
            <w:r w:rsidR="007701DA" w:rsidRPr="00002625">
              <w:t>2020)</w:t>
            </w:r>
          </w:p>
        </w:tc>
        <w:tc>
          <w:tcPr>
            <w:tcW w:w="3151" w:type="pct"/>
            <w:tcBorders>
              <w:top w:val="single" w:sz="4" w:space="0" w:color="000000"/>
              <w:left w:val="single" w:sz="4" w:space="0" w:color="000000"/>
              <w:bottom w:val="single" w:sz="4" w:space="0" w:color="000000"/>
              <w:right w:val="single" w:sz="4" w:space="0" w:color="000000"/>
            </w:tcBorders>
          </w:tcPr>
          <w:p w14:paraId="66A510C6" w14:textId="32BF6EBD" w:rsidR="002719CD" w:rsidRPr="00002625" w:rsidRDefault="005A23F4" w:rsidP="007A1201">
            <w:pPr>
              <w:pStyle w:val="TableText0"/>
              <w:rPr>
                <w:szCs w:val="20"/>
              </w:rPr>
            </w:pPr>
            <w:r w:rsidRPr="00002625">
              <w:t xml:space="preserve">Clinicians in primary care can refer patients </w:t>
            </w:r>
            <w:r w:rsidRPr="00002625">
              <w:rPr>
                <w:szCs w:val="20"/>
              </w:rPr>
              <w:t xml:space="preserve">for colonoscopy or </w:t>
            </w:r>
            <w:r w:rsidR="002D6314" w:rsidRPr="00002625">
              <w:rPr>
                <w:szCs w:val="20"/>
              </w:rPr>
              <w:t>CTC</w:t>
            </w:r>
            <w:r w:rsidRPr="00002625">
              <w:rPr>
                <w:szCs w:val="20"/>
              </w:rPr>
              <w:t xml:space="preserve"> if they have symptoms and signs suggestive of bowel cancer and meet the referral criteria</w:t>
            </w:r>
            <w:r w:rsidR="00CD00DA" w:rsidRPr="00002625">
              <w:rPr>
                <w:szCs w:val="20"/>
              </w:rPr>
              <w:t>:</w:t>
            </w:r>
          </w:p>
          <w:p w14:paraId="39315164" w14:textId="2E4E7E94" w:rsidR="000D13D6" w:rsidRPr="00002625" w:rsidRDefault="000D13D6" w:rsidP="007A1201">
            <w:pPr>
              <w:pStyle w:val="TableText0"/>
              <w:rPr>
                <w:szCs w:val="20"/>
              </w:rPr>
            </w:pPr>
            <w:r w:rsidRPr="00002625">
              <w:t>CT</w:t>
            </w:r>
            <w:r w:rsidRPr="00002625">
              <w:rPr>
                <w:szCs w:val="20"/>
              </w:rPr>
              <w:t xml:space="preserve">C may be more appropriate in: </w:t>
            </w:r>
            <w:r w:rsidRPr="00002625">
              <w:rPr>
                <w:szCs w:val="20"/>
              </w:rPr>
              <w:br/>
            </w:r>
            <w:r w:rsidR="00792F1D" w:rsidRPr="00002625">
              <w:rPr>
                <w:rFonts w:cs="Calibri"/>
                <w:szCs w:val="20"/>
              </w:rPr>
              <w:t xml:space="preserve">• </w:t>
            </w:r>
            <w:r w:rsidRPr="00002625">
              <w:rPr>
                <w:szCs w:val="20"/>
              </w:rPr>
              <w:t>symptomatic patients who do not have altered bowel habit or rectal bleeding as the predominant indication</w:t>
            </w:r>
            <w:r w:rsidR="00757829" w:rsidRPr="00002625">
              <w:rPr>
                <w:szCs w:val="20"/>
              </w:rPr>
              <w:t>; patients without family history of CRC meeting the referral criteria</w:t>
            </w:r>
            <w:r w:rsidR="008409CA" w:rsidRPr="00002625">
              <w:rPr>
                <w:szCs w:val="20"/>
              </w:rPr>
              <w:t>.</w:t>
            </w:r>
          </w:p>
          <w:p w14:paraId="33143897" w14:textId="050A6C3A" w:rsidR="000D13D6" w:rsidRPr="00002625" w:rsidRDefault="00792F1D" w:rsidP="00DF0E13">
            <w:pPr>
              <w:pStyle w:val="TableText0"/>
              <w:rPr>
                <w:highlight w:val="yellow"/>
              </w:rPr>
            </w:pPr>
            <w:r w:rsidRPr="00002625">
              <w:rPr>
                <w:rFonts w:cs="Calibri"/>
              </w:rPr>
              <w:t>•</w:t>
            </w:r>
            <w:r w:rsidRPr="00002625">
              <w:rPr>
                <w:rFonts w:cs="Calibri"/>
                <w:szCs w:val="20"/>
              </w:rPr>
              <w:t xml:space="preserve"> </w:t>
            </w:r>
            <w:r w:rsidR="000D13D6" w:rsidRPr="00002625">
              <w:rPr>
                <w:szCs w:val="20"/>
              </w:rPr>
              <w:t>patients aged &gt; 80 y</w:t>
            </w:r>
            <w:r w:rsidR="00120F41" w:rsidRPr="00002625">
              <w:rPr>
                <w:szCs w:val="20"/>
              </w:rPr>
              <w:t>ears</w:t>
            </w:r>
            <w:r w:rsidR="000D13D6" w:rsidRPr="00002625">
              <w:rPr>
                <w:szCs w:val="20"/>
              </w:rPr>
              <w:t xml:space="preserve"> </w:t>
            </w:r>
            <w:r w:rsidR="00CF4BE8" w:rsidRPr="00002625">
              <w:rPr>
                <w:szCs w:val="20"/>
              </w:rPr>
              <w:t>with</w:t>
            </w:r>
            <w:r w:rsidR="000D13D6" w:rsidRPr="00002625">
              <w:rPr>
                <w:szCs w:val="20"/>
              </w:rPr>
              <w:t xml:space="preserve"> co-morbidities </w:t>
            </w:r>
            <w:r w:rsidR="00CF4BE8" w:rsidRPr="00002625">
              <w:rPr>
                <w:szCs w:val="20"/>
              </w:rPr>
              <w:t>that would complicate colonoscopy or bowel preparation</w:t>
            </w:r>
            <w:r w:rsidR="000D13D6" w:rsidRPr="00002625">
              <w:rPr>
                <w:szCs w:val="20"/>
              </w:rPr>
              <w:t>.</w:t>
            </w:r>
            <w:r w:rsidR="00DF0E13" w:rsidRPr="00002625" w:rsidDel="00DF0E13">
              <w:rPr>
                <w:szCs w:val="20"/>
              </w:rPr>
              <w:t xml:space="preserve"> </w:t>
            </w:r>
          </w:p>
        </w:tc>
      </w:tr>
    </w:tbl>
    <w:p w14:paraId="467425A2" w14:textId="3E95305E" w:rsidR="00F86091" w:rsidRPr="00002625" w:rsidRDefault="002719CD" w:rsidP="002719CD">
      <w:pPr>
        <w:pStyle w:val="Tablenotes"/>
        <w:spacing w:after="240"/>
      </w:pPr>
      <w:r w:rsidRPr="00002625">
        <w:t xml:space="preserve">CRC = colorectal cancer; </w:t>
      </w:r>
      <w:r w:rsidR="00AE7960" w:rsidRPr="00002625">
        <w:t>CT</w:t>
      </w:r>
      <w:r w:rsidR="008D2AC8" w:rsidRPr="00002625">
        <w:t xml:space="preserve"> = computed tomography; </w:t>
      </w:r>
      <w:r w:rsidRPr="00002625">
        <w:t>CTC = computed tomography colonography</w:t>
      </w:r>
      <w:r w:rsidR="002E57B7" w:rsidRPr="00002625">
        <w:t>; FOBT = faecal occult blood test</w:t>
      </w:r>
      <w:r w:rsidRPr="00002625">
        <w:t>.</w:t>
      </w:r>
      <w:r w:rsidR="00216318" w:rsidRPr="00002625">
        <w:tab/>
      </w:r>
      <w:r w:rsidR="00846D6B" w:rsidRPr="00002625">
        <w:br/>
      </w:r>
      <w:r w:rsidR="00195AC2" w:rsidRPr="00002625">
        <w:t>Source: Cancer Council</w:t>
      </w:r>
      <w:r w:rsidR="0068710C" w:rsidRPr="00002625">
        <w:t xml:space="preserve"> Australia</w:t>
      </w:r>
      <w:r w:rsidR="00195AC2" w:rsidRPr="00002625">
        <w:t xml:space="preserve"> (2022); Cancer Council</w:t>
      </w:r>
      <w:r w:rsidR="0068710C" w:rsidRPr="00002625">
        <w:t xml:space="preserve"> Australia</w:t>
      </w:r>
      <w:r w:rsidR="00195AC2" w:rsidRPr="00002625">
        <w:t xml:space="preserve"> (2023); Health New Zealand (2023); NZ MOH (2020).</w:t>
      </w:r>
      <w:r w:rsidR="00195AC2" w:rsidRPr="00002625">
        <w:tab/>
      </w:r>
      <w:r w:rsidR="00F86091" w:rsidRPr="00002625">
        <w:br/>
      </w:r>
      <w:r w:rsidR="00216318" w:rsidRPr="00002625">
        <w:t>a</w:t>
      </w:r>
      <w:r w:rsidR="00F86091" w:rsidRPr="00002625">
        <w:t xml:space="preserve"> See </w:t>
      </w:r>
      <w:r w:rsidR="00216318" w:rsidRPr="00002625">
        <w:fldChar w:fldCharType="begin"/>
      </w:r>
      <w:r w:rsidR="00216318" w:rsidRPr="00002625">
        <w:instrText xml:space="preserve"> REF _Ref182233929 \h </w:instrText>
      </w:r>
      <w:r w:rsidR="00216318" w:rsidRPr="00002625">
        <w:fldChar w:fldCharType="separate"/>
      </w:r>
      <w:r w:rsidR="00637321" w:rsidRPr="00002625">
        <w:t>Table </w:t>
      </w:r>
      <w:r w:rsidR="00637321" w:rsidRPr="00002625">
        <w:rPr>
          <w:noProof/>
        </w:rPr>
        <w:t>8</w:t>
      </w:r>
      <w:r w:rsidR="00216318" w:rsidRPr="00002625">
        <w:fldChar w:fldCharType="end"/>
      </w:r>
      <w:r w:rsidR="00F86091" w:rsidRPr="00002625">
        <w:t xml:space="preserve"> for further information regarding symptoms</w:t>
      </w:r>
    </w:p>
    <w:p w14:paraId="5CAD7F81" w14:textId="7BE68E09" w:rsidR="00520F43" w:rsidRPr="00002625" w:rsidRDefault="00520F43" w:rsidP="002719CD">
      <w:pPr>
        <w:rPr>
          <w:rFonts w:cs="Calibri"/>
        </w:rPr>
      </w:pPr>
      <w:r w:rsidRPr="00002625">
        <w:rPr>
          <w:rFonts w:cs="Calibri"/>
        </w:rPr>
        <w:t xml:space="preserve">The </w:t>
      </w:r>
      <w:r w:rsidR="002543DA" w:rsidRPr="00002625">
        <w:rPr>
          <w:rFonts w:cs="Calibri"/>
        </w:rPr>
        <w:t xml:space="preserve">Clinical Practice Guidelines for Bowel Screening in New Zealand </w:t>
      </w:r>
      <w:r w:rsidRPr="00002625">
        <w:rPr>
          <w:rFonts w:cs="Calibri"/>
        </w:rPr>
        <w:t xml:space="preserve">include </w:t>
      </w:r>
      <w:r w:rsidR="00B004E2" w:rsidRPr="00002625">
        <w:rPr>
          <w:rFonts w:cs="Calibri"/>
        </w:rPr>
        <w:t xml:space="preserve">recommendations </w:t>
      </w:r>
      <w:r w:rsidR="007978C4" w:rsidRPr="00002625">
        <w:rPr>
          <w:rFonts w:cs="Calibri"/>
        </w:rPr>
        <w:t xml:space="preserve">for CTC and colonoscopy for </w:t>
      </w:r>
      <w:r w:rsidR="00374324" w:rsidRPr="00002625">
        <w:rPr>
          <w:rFonts w:cs="Calibri"/>
        </w:rPr>
        <w:t xml:space="preserve">asymptomatic patients </w:t>
      </w:r>
      <w:r w:rsidR="0084330A" w:rsidRPr="00002625">
        <w:rPr>
          <w:rFonts w:cs="Calibri"/>
        </w:rPr>
        <w:t xml:space="preserve">identified through the </w:t>
      </w:r>
      <w:r w:rsidRPr="00002625">
        <w:rPr>
          <w:rFonts w:cs="Calibri"/>
        </w:rPr>
        <w:t>New Zealand’s National Bowel Screening Programme, “Time to Screen</w:t>
      </w:r>
      <w:r w:rsidR="007C4A14" w:rsidRPr="00002625">
        <w:rPr>
          <w:rFonts w:cs="Calibri"/>
        </w:rPr>
        <w:t>”.</w:t>
      </w:r>
      <w:r w:rsidR="007C14C5" w:rsidRPr="00002625">
        <w:rPr>
          <w:rStyle w:val="FootnoteReference"/>
          <w:rFonts w:cs="Calibri"/>
        </w:rPr>
        <w:footnoteReference w:id="3"/>
      </w:r>
      <w:r w:rsidR="007C4A14" w:rsidRPr="00002625">
        <w:rPr>
          <w:rFonts w:cs="Calibri"/>
        </w:rPr>
        <w:t xml:space="preserve"> Th</w:t>
      </w:r>
      <w:r w:rsidR="00BA16A7" w:rsidRPr="00002625">
        <w:rPr>
          <w:rFonts w:cs="Calibri"/>
        </w:rPr>
        <w:t>is</w:t>
      </w:r>
      <w:r w:rsidR="007C4A14" w:rsidRPr="00002625">
        <w:rPr>
          <w:rFonts w:cs="Calibri"/>
        </w:rPr>
        <w:t xml:space="preserve"> program</w:t>
      </w:r>
      <w:r w:rsidRPr="00002625">
        <w:rPr>
          <w:rFonts w:cs="Calibri"/>
        </w:rPr>
        <w:t xml:space="preserve"> offers a free FOBT every two years to eligible New Zealanders aged 60 to 74 years of age. Following a positive FOBT, further investigation is typically done through a colonoscopy. Approximately 7% of people who have a colonoscopy as part of the screening program </w:t>
      </w:r>
      <w:r w:rsidR="00F15E09">
        <w:rPr>
          <w:rFonts w:cs="Calibri"/>
        </w:rPr>
        <w:t xml:space="preserve">in New Zealand </w:t>
      </w:r>
      <w:r w:rsidRPr="00002625">
        <w:rPr>
          <w:rFonts w:cs="Calibri"/>
        </w:rPr>
        <w:t>will have cancer</w:t>
      </w:r>
      <w:r w:rsidRPr="00002625">
        <w:rPr>
          <w:rStyle w:val="FootnoteReference"/>
          <w:rFonts w:cs="Calibri"/>
        </w:rPr>
        <w:footnoteReference w:id="4"/>
      </w:r>
      <w:r w:rsidRPr="00002625">
        <w:rPr>
          <w:rFonts w:cs="Calibri"/>
        </w:rPr>
        <w:t xml:space="preserve">. </w:t>
      </w:r>
    </w:p>
    <w:p w14:paraId="52062CC2" w14:textId="40844EA2" w:rsidR="002719CD" w:rsidRPr="00002625" w:rsidRDefault="002719CD" w:rsidP="002719CD">
      <w:pPr>
        <w:rPr>
          <w:rFonts w:cs="Calibri"/>
        </w:rPr>
      </w:pPr>
      <w:r w:rsidRPr="00002625">
        <w:rPr>
          <w:rFonts w:cs="Calibri"/>
        </w:rPr>
        <w:t xml:space="preserve">Until quite recently, </w:t>
      </w:r>
      <w:r w:rsidR="00F15E09">
        <w:rPr>
          <w:rFonts w:cs="Calibri"/>
        </w:rPr>
        <w:t xml:space="preserve">guidelines only recommended </w:t>
      </w:r>
      <w:r w:rsidRPr="00002625">
        <w:rPr>
          <w:rFonts w:cs="Calibri"/>
        </w:rPr>
        <w:t xml:space="preserve">CTC for diagnostic use in </w:t>
      </w:r>
      <w:r w:rsidR="00586F52" w:rsidRPr="00002625">
        <w:rPr>
          <w:rFonts w:cs="Calibri"/>
        </w:rPr>
        <w:t xml:space="preserve">Australia </w:t>
      </w:r>
      <w:r w:rsidRPr="00002625">
        <w:rPr>
          <w:rFonts w:cs="Calibri"/>
        </w:rPr>
        <w:t xml:space="preserve">in patients with failed/incomplete colonoscopy or contraindications to colonoscopy (Parkin et al. 2018; </w:t>
      </w:r>
      <w:r w:rsidRPr="00002625">
        <w:t xml:space="preserve">Moore </w:t>
      </w:r>
      <w:r w:rsidR="00255111" w:rsidRPr="00002625">
        <w:t>and</w:t>
      </w:r>
      <w:r w:rsidRPr="00002625">
        <w:t xml:space="preserve"> Naidoo 2017</w:t>
      </w:r>
      <w:r w:rsidRPr="00002625">
        <w:rPr>
          <w:rFonts w:cs="Calibri"/>
        </w:rPr>
        <w:t xml:space="preserve">). The updated </w:t>
      </w:r>
      <w:r w:rsidR="00F15E09">
        <w:rPr>
          <w:rFonts w:cs="Calibri"/>
        </w:rPr>
        <w:t>Cancer Council Australia</w:t>
      </w:r>
      <w:r w:rsidR="00F15E09" w:rsidRPr="00002625">
        <w:rPr>
          <w:rFonts w:cs="Calibri"/>
        </w:rPr>
        <w:t xml:space="preserve"> </w:t>
      </w:r>
      <w:r w:rsidRPr="00002625">
        <w:rPr>
          <w:rFonts w:cs="Calibri"/>
        </w:rPr>
        <w:t xml:space="preserve">guideline recommends CTC in two additional categories, in areas where access to colonoscopy services is limited </w:t>
      </w:r>
      <w:r w:rsidR="00F15E09">
        <w:rPr>
          <w:rFonts w:cs="Calibri"/>
        </w:rPr>
        <w:t xml:space="preserve">but where there is access to CT, </w:t>
      </w:r>
      <w:r w:rsidRPr="00002625">
        <w:rPr>
          <w:rFonts w:cs="Calibri"/>
        </w:rPr>
        <w:t>and in patients with lower risk symptoms (</w:t>
      </w:r>
      <w:r w:rsidR="00F15E09">
        <w:rPr>
          <w:rFonts w:cs="Calibri"/>
        </w:rPr>
        <w:t>estimated at &lt;3% CRC risk threshold), for the exclusion of cancer, based on the high sensitivity of CTC for colorectal cancer</w:t>
      </w:r>
      <w:r w:rsidRPr="00002625">
        <w:rPr>
          <w:rFonts w:cs="Calibri"/>
        </w:rPr>
        <w:t xml:space="preserve">(Cancer Council 2023). </w:t>
      </w:r>
    </w:p>
    <w:p w14:paraId="73A8280B" w14:textId="5B0495E7" w:rsidR="0048033E" w:rsidRPr="00002625" w:rsidRDefault="0048033E" w:rsidP="0048033E">
      <w:r w:rsidRPr="00002625">
        <w:t>Symptoms</w:t>
      </w:r>
      <w:r w:rsidR="003D220E" w:rsidRPr="00002625">
        <w:t xml:space="preserve"> considered in the Cancer Coun</w:t>
      </w:r>
      <w:r w:rsidR="005904D5" w:rsidRPr="00002625">
        <w:t>cil guideline,</w:t>
      </w:r>
      <w:r w:rsidRPr="00002625">
        <w:t xml:space="preserve"> </w:t>
      </w:r>
      <w:r w:rsidR="005B1300" w:rsidRPr="00002625">
        <w:t>and their recommended risk status</w:t>
      </w:r>
      <w:r w:rsidR="00F659FB" w:rsidRPr="00002625">
        <w:t>,</w:t>
      </w:r>
      <w:r w:rsidR="00FD4C2E" w:rsidRPr="00002625">
        <w:t xml:space="preserve"> are presented</w:t>
      </w:r>
      <w:r w:rsidRPr="00002625">
        <w:t xml:space="preserve"> in </w:t>
      </w:r>
      <w:r w:rsidR="00BB2085" w:rsidRPr="00002625">
        <w:fldChar w:fldCharType="begin"/>
      </w:r>
      <w:r w:rsidR="00BB2085" w:rsidRPr="00002625">
        <w:instrText xml:space="preserve"> REF _Ref181279538 \h </w:instrText>
      </w:r>
      <w:r w:rsidR="00BB2085" w:rsidRPr="00002625">
        <w:fldChar w:fldCharType="separate"/>
      </w:r>
      <w:r w:rsidR="00637321" w:rsidRPr="00002625">
        <w:t>Table </w:t>
      </w:r>
      <w:r w:rsidR="00637321" w:rsidRPr="00002625">
        <w:rPr>
          <w:noProof/>
        </w:rPr>
        <w:t>8</w:t>
      </w:r>
      <w:r w:rsidR="00BB2085" w:rsidRPr="00002625">
        <w:fldChar w:fldCharType="end"/>
      </w:r>
      <w:r w:rsidR="00C000E3" w:rsidRPr="00002625">
        <w:t xml:space="preserve">. </w:t>
      </w:r>
      <w:r w:rsidR="00F659FB" w:rsidRPr="00002625">
        <w:t>Disease r</w:t>
      </w:r>
      <w:r w:rsidR="00C000E3" w:rsidRPr="00002625">
        <w:t xml:space="preserve">isk was </w:t>
      </w:r>
      <w:r w:rsidRPr="00002625">
        <w:t>based on a 3% threshold positive predictive value</w:t>
      </w:r>
      <w:r w:rsidR="00F659FB" w:rsidRPr="00002625">
        <w:t xml:space="preserve"> (</w:t>
      </w:r>
      <w:r w:rsidRPr="00002625">
        <w:t xml:space="preserve">PPV). </w:t>
      </w:r>
      <w:r w:rsidR="005C21D2" w:rsidRPr="00002625">
        <w:t xml:space="preserve">Symptoms with a PPV under the 3% threshold </w:t>
      </w:r>
      <w:r w:rsidR="00F15E09">
        <w:t>may</w:t>
      </w:r>
      <w:r w:rsidR="00F15E09" w:rsidRPr="00002625">
        <w:t xml:space="preserve"> </w:t>
      </w:r>
      <w:r w:rsidR="005C21D2" w:rsidRPr="00002625">
        <w:t>be considered low risk for this PICO</w:t>
      </w:r>
      <w:r w:rsidR="00F15E09">
        <w:t xml:space="preserve">, noting that there is some discordance for </w:t>
      </w:r>
      <w:r w:rsidR="00F15E09">
        <w:lastRenderedPageBreak/>
        <w:t>symptoms and thresholds among different sources</w:t>
      </w:r>
      <w:r w:rsidR="005C21D2" w:rsidRPr="00002625">
        <w:t xml:space="preserve">. </w:t>
      </w:r>
      <w:r w:rsidR="007053B5" w:rsidRPr="00002625">
        <w:t xml:space="preserve">This forms the basis for the proposed description of low risk symptoms for the PICO set </w:t>
      </w:r>
      <w:r w:rsidR="0037020E">
        <w:t xml:space="preserve">1 </w:t>
      </w:r>
      <w:r w:rsidR="007053B5" w:rsidRPr="00002625">
        <w:t>subpopulation</w:t>
      </w:r>
      <w:r w:rsidR="00024266" w:rsidRPr="00002625">
        <w:t xml:space="preserve"> patients </w:t>
      </w:r>
    </w:p>
    <w:p w14:paraId="15151F71" w14:textId="0391320E" w:rsidR="0048033E" w:rsidRPr="00002625" w:rsidRDefault="0048033E" w:rsidP="0011735E">
      <w:pPr>
        <w:pStyle w:val="TableHeading"/>
        <w:rPr>
          <w:sz w:val="16"/>
          <w:szCs w:val="16"/>
        </w:rPr>
      </w:pPr>
      <w:bookmarkStart w:id="15" w:name="_Ref181279538"/>
      <w:bookmarkStart w:id="16" w:name="_Ref182233929"/>
      <w:r w:rsidRPr="00002625">
        <w:t>Table </w:t>
      </w:r>
      <w:r>
        <w:fldChar w:fldCharType="begin"/>
      </w:r>
      <w:r>
        <w:instrText>SEQ Table \* ARABIC</w:instrText>
      </w:r>
      <w:r>
        <w:fldChar w:fldCharType="separate"/>
      </w:r>
      <w:r w:rsidR="00637321" w:rsidRPr="00002625">
        <w:rPr>
          <w:noProof/>
        </w:rPr>
        <w:t>8</w:t>
      </w:r>
      <w:r>
        <w:fldChar w:fldCharType="end"/>
      </w:r>
      <w:bookmarkEnd w:id="15"/>
      <w:bookmarkEnd w:id="16"/>
      <w:r w:rsidRPr="00002625">
        <w:tab/>
        <w:t xml:space="preserve">Symptoms suggestive of CRC </w:t>
      </w:r>
      <w:r w:rsidR="00616F1E" w:rsidRPr="00002625">
        <w:t xml:space="preserve">and their risk status </w:t>
      </w:r>
      <w:r w:rsidRPr="00002625">
        <w:t>(Cancer Council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Symptoms suggestive of CRC and their risk status (Cancer Council 2023)"/>
        <w:tblDescription w:val="Table showing symptoms suggestive of CRC and their risk status (Cancer Council 2023)"/>
      </w:tblPr>
      <w:tblGrid>
        <w:gridCol w:w="4784"/>
        <w:gridCol w:w="4787"/>
      </w:tblGrid>
      <w:tr w:rsidR="0048033E" w:rsidRPr="00002625" w14:paraId="168B166F" w14:textId="77777777">
        <w:trPr>
          <w:tblHeader/>
        </w:trPr>
        <w:tc>
          <w:tcPr>
            <w:tcW w:w="2499" w:type="pct"/>
          </w:tcPr>
          <w:p w14:paraId="6663E5D3" w14:textId="77777777" w:rsidR="0048033E" w:rsidRPr="00002625" w:rsidRDefault="0048033E">
            <w:pPr>
              <w:pStyle w:val="TableText0"/>
              <w:keepNext/>
              <w:ind w:left="-57" w:right="-57"/>
              <w:rPr>
                <w:b/>
              </w:rPr>
            </w:pPr>
            <w:r w:rsidRPr="00002625">
              <w:rPr>
                <w:b/>
              </w:rPr>
              <w:t>Symptom</w:t>
            </w:r>
          </w:p>
        </w:tc>
        <w:tc>
          <w:tcPr>
            <w:tcW w:w="2501" w:type="pct"/>
          </w:tcPr>
          <w:p w14:paraId="2174BD33" w14:textId="77777777" w:rsidR="0048033E" w:rsidRPr="00002625" w:rsidRDefault="0048033E">
            <w:pPr>
              <w:pStyle w:val="TableText0"/>
              <w:keepNext/>
              <w:ind w:left="-57" w:right="-57"/>
              <w:rPr>
                <w:b/>
              </w:rPr>
            </w:pPr>
            <w:r w:rsidRPr="00002625">
              <w:rPr>
                <w:b/>
              </w:rPr>
              <w:t>Cancer Council 2023</w:t>
            </w:r>
            <w:r w:rsidRPr="00002625">
              <w:rPr>
                <w:b/>
                <w:vertAlign w:val="superscript"/>
              </w:rPr>
              <w:t>a</w:t>
            </w:r>
            <w:r w:rsidRPr="00002625">
              <w:rPr>
                <w:b/>
              </w:rPr>
              <w:t xml:space="preserve"> (as PPV [95% CI])</w:t>
            </w:r>
          </w:p>
        </w:tc>
      </w:tr>
      <w:tr w:rsidR="0048033E" w:rsidRPr="00002625" w14:paraId="6EC1A2AF" w14:textId="77777777">
        <w:tc>
          <w:tcPr>
            <w:tcW w:w="2499" w:type="pct"/>
          </w:tcPr>
          <w:p w14:paraId="70E8700C" w14:textId="77777777" w:rsidR="0048033E" w:rsidRPr="00002625" w:rsidRDefault="0048033E">
            <w:pPr>
              <w:pStyle w:val="TableText0"/>
              <w:ind w:left="-57" w:right="-57"/>
              <w:rPr>
                <w:b/>
                <w:bCs/>
              </w:rPr>
            </w:pPr>
            <w:r w:rsidRPr="00002625">
              <w:rPr>
                <w:b/>
                <w:bCs/>
              </w:rPr>
              <w:t>Rectal bleeding</w:t>
            </w:r>
          </w:p>
        </w:tc>
        <w:tc>
          <w:tcPr>
            <w:tcW w:w="2501" w:type="pct"/>
          </w:tcPr>
          <w:p w14:paraId="201F6064" w14:textId="77777777" w:rsidR="0048033E" w:rsidRPr="00002625" w:rsidRDefault="0048033E">
            <w:pPr>
              <w:pStyle w:val="TableText0"/>
              <w:ind w:left="-57" w:right="-57"/>
              <w:rPr>
                <w:b/>
                <w:bCs/>
              </w:rPr>
            </w:pPr>
            <w:r w:rsidRPr="00002625">
              <w:rPr>
                <w:b/>
                <w:bCs/>
              </w:rPr>
              <w:t>4.8% (3.3 – 6.8)</w:t>
            </w:r>
          </w:p>
        </w:tc>
      </w:tr>
      <w:tr w:rsidR="0048033E" w:rsidRPr="00002625" w14:paraId="263CAD77" w14:textId="77777777">
        <w:tc>
          <w:tcPr>
            <w:tcW w:w="2499" w:type="pct"/>
          </w:tcPr>
          <w:p w14:paraId="158B02EC" w14:textId="77777777" w:rsidR="0048033E" w:rsidRPr="00002625" w:rsidRDefault="0048033E">
            <w:pPr>
              <w:pStyle w:val="TableText0"/>
              <w:ind w:left="-57" w:right="-57"/>
            </w:pPr>
            <w:r w:rsidRPr="00002625">
              <w:t>Abdominal pain</w:t>
            </w:r>
          </w:p>
        </w:tc>
        <w:tc>
          <w:tcPr>
            <w:tcW w:w="2501" w:type="pct"/>
          </w:tcPr>
          <w:p w14:paraId="10FBC837" w14:textId="77777777" w:rsidR="0048033E" w:rsidRPr="00002625" w:rsidRDefault="0048033E">
            <w:pPr>
              <w:pStyle w:val="TableText0"/>
              <w:ind w:left="-57" w:right="-57"/>
            </w:pPr>
            <w:r w:rsidRPr="00002625">
              <w:t>2.0% (0.5 – 7.6)</w:t>
            </w:r>
          </w:p>
        </w:tc>
      </w:tr>
      <w:tr w:rsidR="0048033E" w:rsidRPr="00002625" w14:paraId="55464906" w14:textId="77777777">
        <w:tc>
          <w:tcPr>
            <w:tcW w:w="2499" w:type="pct"/>
          </w:tcPr>
          <w:p w14:paraId="00D76CA6" w14:textId="77777777" w:rsidR="0048033E" w:rsidRPr="00002625" w:rsidRDefault="0048033E">
            <w:pPr>
              <w:pStyle w:val="TableText0"/>
              <w:ind w:left="-57" w:right="-57"/>
              <w:rPr>
                <w:b/>
                <w:bCs/>
              </w:rPr>
            </w:pPr>
            <w:r w:rsidRPr="00002625">
              <w:rPr>
                <w:b/>
                <w:bCs/>
              </w:rPr>
              <w:t>Anaemia</w:t>
            </w:r>
          </w:p>
        </w:tc>
        <w:tc>
          <w:tcPr>
            <w:tcW w:w="2501" w:type="pct"/>
          </w:tcPr>
          <w:p w14:paraId="636FDB8B" w14:textId="77777777" w:rsidR="0048033E" w:rsidRPr="00002625" w:rsidRDefault="0048033E">
            <w:pPr>
              <w:pStyle w:val="TableText0"/>
              <w:ind w:left="-57" w:right="-57"/>
              <w:rPr>
                <w:b/>
                <w:bCs/>
              </w:rPr>
            </w:pPr>
            <w:r w:rsidRPr="00002625">
              <w:rPr>
                <w:b/>
                <w:bCs/>
              </w:rPr>
              <w:t>5.8% (2.6 – 12.0)</w:t>
            </w:r>
          </w:p>
        </w:tc>
      </w:tr>
      <w:tr w:rsidR="0048033E" w:rsidRPr="00002625" w14:paraId="60EFC72E" w14:textId="77777777">
        <w:tc>
          <w:tcPr>
            <w:tcW w:w="2499" w:type="pct"/>
          </w:tcPr>
          <w:p w14:paraId="046C5535" w14:textId="77777777" w:rsidR="0048033E" w:rsidRPr="00002625" w:rsidRDefault="0048033E">
            <w:pPr>
              <w:pStyle w:val="TableText0"/>
              <w:ind w:left="-57" w:right="-57"/>
              <w:rPr>
                <w:b/>
                <w:bCs/>
              </w:rPr>
            </w:pPr>
            <w:r w:rsidRPr="00002625">
              <w:rPr>
                <w:b/>
                <w:bCs/>
              </w:rPr>
              <w:t>Weight loss</w:t>
            </w:r>
          </w:p>
        </w:tc>
        <w:tc>
          <w:tcPr>
            <w:tcW w:w="2501" w:type="pct"/>
          </w:tcPr>
          <w:p w14:paraId="4B0D868E" w14:textId="77777777" w:rsidR="0048033E" w:rsidRPr="00002625" w:rsidRDefault="0048033E">
            <w:pPr>
              <w:pStyle w:val="TableText0"/>
              <w:ind w:left="-57" w:right="-57"/>
              <w:rPr>
                <w:b/>
                <w:bCs/>
              </w:rPr>
            </w:pPr>
            <w:r w:rsidRPr="00002625">
              <w:rPr>
                <w:b/>
                <w:bCs/>
              </w:rPr>
              <w:t>3% (0.3 – 22.9)</w:t>
            </w:r>
          </w:p>
        </w:tc>
      </w:tr>
      <w:tr w:rsidR="0048033E" w:rsidRPr="00002625" w14:paraId="3CF5FA6D" w14:textId="77777777">
        <w:tc>
          <w:tcPr>
            <w:tcW w:w="2499" w:type="pct"/>
          </w:tcPr>
          <w:p w14:paraId="69B9287E" w14:textId="77777777" w:rsidR="0048033E" w:rsidRPr="00002625" w:rsidRDefault="0048033E">
            <w:pPr>
              <w:pStyle w:val="TableText0"/>
              <w:ind w:left="-57" w:right="-57"/>
            </w:pPr>
            <w:r w:rsidRPr="00002625">
              <w:t>Dyspepsia</w:t>
            </w:r>
          </w:p>
        </w:tc>
        <w:tc>
          <w:tcPr>
            <w:tcW w:w="2501" w:type="pct"/>
          </w:tcPr>
          <w:p w14:paraId="7F53627B" w14:textId="77777777" w:rsidR="0048033E" w:rsidRPr="00002625" w:rsidRDefault="0048033E">
            <w:pPr>
              <w:pStyle w:val="TableText0"/>
              <w:ind w:left="-57" w:right="-57"/>
            </w:pPr>
            <w:r w:rsidRPr="00002625">
              <w:t>0.6% (0.3 – 1.4)</w:t>
            </w:r>
          </w:p>
        </w:tc>
      </w:tr>
      <w:tr w:rsidR="0048033E" w:rsidRPr="00002625" w14:paraId="150A1CAF" w14:textId="77777777">
        <w:tc>
          <w:tcPr>
            <w:tcW w:w="2499" w:type="pct"/>
          </w:tcPr>
          <w:p w14:paraId="4394F73F" w14:textId="77777777" w:rsidR="0048033E" w:rsidRPr="00002625" w:rsidRDefault="0048033E">
            <w:pPr>
              <w:pStyle w:val="TableText0"/>
              <w:ind w:left="-57" w:right="-57"/>
            </w:pPr>
            <w:r w:rsidRPr="00002625">
              <w:t>Constipation</w:t>
            </w:r>
          </w:p>
        </w:tc>
        <w:tc>
          <w:tcPr>
            <w:tcW w:w="2501" w:type="pct"/>
          </w:tcPr>
          <w:p w14:paraId="44DE08F3" w14:textId="77777777" w:rsidR="0048033E" w:rsidRPr="00002625" w:rsidRDefault="0048033E">
            <w:pPr>
              <w:pStyle w:val="TableText0"/>
              <w:ind w:left="-57" w:right="-57"/>
            </w:pPr>
            <w:r w:rsidRPr="00002625">
              <w:t>(0.4–2.5%)</w:t>
            </w:r>
          </w:p>
        </w:tc>
      </w:tr>
      <w:tr w:rsidR="0048033E" w:rsidRPr="00002625" w14:paraId="4F28FE6A" w14:textId="77777777">
        <w:tc>
          <w:tcPr>
            <w:tcW w:w="2499" w:type="pct"/>
          </w:tcPr>
          <w:p w14:paraId="3FFB2736" w14:textId="77777777" w:rsidR="0048033E" w:rsidRPr="00002625" w:rsidRDefault="0048033E">
            <w:pPr>
              <w:pStyle w:val="TableText0"/>
              <w:ind w:left="-57" w:right="-57"/>
            </w:pPr>
            <w:r w:rsidRPr="00002625">
              <w:t>Change in bowel habit</w:t>
            </w:r>
          </w:p>
        </w:tc>
        <w:tc>
          <w:tcPr>
            <w:tcW w:w="2501" w:type="pct"/>
          </w:tcPr>
          <w:p w14:paraId="211C20F4" w14:textId="77777777" w:rsidR="0048033E" w:rsidRPr="00002625" w:rsidRDefault="0048033E">
            <w:pPr>
              <w:pStyle w:val="TableText0"/>
              <w:ind w:left="-57" w:right="-57"/>
            </w:pPr>
            <w:r w:rsidRPr="00002625">
              <w:t>2.8 – 2.9%</w:t>
            </w:r>
          </w:p>
        </w:tc>
      </w:tr>
    </w:tbl>
    <w:p w14:paraId="0AA52C0E" w14:textId="2856A7D6" w:rsidR="007D7F55" w:rsidRPr="00002625" w:rsidRDefault="0048033E" w:rsidP="00E37ACC">
      <w:pPr>
        <w:pStyle w:val="Tablenotes"/>
        <w:spacing w:after="0"/>
      </w:pPr>
      <w:r w:rsidRPr="00002625">
        <w:t>CI = confidence interval; CRC = colorectal cancer; PPV = positive predictive value.</w:t>
      </w:r>
      <w:r w:rsidRPr="00002625">
        <w:tab/>
      </w:r>
      <w:r w:rsidRPr="00002625">
        <w:br/>
      </w:r>
      <w:r w:rsidRPr="00002625">
        <w:rPr>
          <w:vertAlign w:val="superscript"/>
        </w:rPr>
        <w:t>a</w:t>
      </w:r>
      <w:r w:rsidRPr="00002625">
        <w:t xml:space="preserve"> PPV (95% CI) values for potential symptoms of CRC based on a meta-analysis presented in the Australian guideline (Cancer Council 2023), with a disease risk threshold of 3%. Symptoms with a PPV of 3% or above (in bold type) were recommended as criteria for urgent referral for investigation of CRC. The symptoms constipation and change in bowel habit were not included in the meta-analysis but PPV values were presented as a range from other studies.</w:t>
      </w:r>
      <w:r w:rsidR="007D7F55" w:rsidRPr="00002625">
        <w:t xml:space="preserve"> </w:t>
      </w:r>
    </w:p>
    <w:p w14:paraId="28EAC740" w14:textId="0CC18270" w:rsidR="0046763C" w:rsidRPr="00002625" w:rsidRDefault="005543D8" w:rsidP="00F65D36">
      <w:pPr>
        <w:pStyle w:val="Tablenotes"/>
        <w:spacing w:after="240"/>
      </w:pPr>
      <w:r w:rsidRPr="00002625">
        <w:rPr>
          <w:rStyle w:val="TableFigureFooterChar"/>
          <w:snapToGrid w:val="0"/>
          <w:lang w:eastAsia="en-US"/>
        </w:rPr>
        <w:t xml:space="preserve">Note: </w:t>
      </w:r>
      <w:r w:rsidR="00765571" w:rsidRPr="00002625">
        <w:rPr>
          <w:rStyle w:val="TableFigureFooterChar"/>
          <w:b/>
          <w:snapToGrid w:val="0"/>
          <w:lang w:eastAsia="en-US"/>
        </w:rPr>
        <w:t>Bold</w:t>
      </w:r>
      <w:r w:rsidR="008B339C" w:rsidRPr="00002625">
        <w:rPr>
          <w:rStyle w:val="TableFigureFooterChar"/>
          <w:snapToGrid w:val="0"/>
          <w:lang w:eastAsia="en-US"/>
        </w:rPr>
        <w:t xml:space="preserve"> indicates</w:t>
      </w:r>
      <w:r w:rsidR="00ED77AC" w:rsidRPr="00002625">
        <w:rPr>
          <w:rStyle w:val="TableFigureFooterChar"/>
          <w:snapToGrid w:val="0"/>
          <w:lang w:eastAsia="en-US"/>
        </w:rPr>
        <w:t xml:space="preserve"> symptoms</w:t>
      </w:r>
      <w:r w:rsidR="00792270" w:rsidRPr="00002625">
        <w:rPr>
          <w:rStyle w:val="TableFigureFooterChar"/>
          <w:snapToGrid w:val="0"/>
          <w:lang w:eastAsia="en-US"/>
        </w:rPr>
        <w:t xml:space="preserve"> conferring higher disease risk warranting urgent referral</w:t>
      </w:r>
      <w:r w:rsidR="00CA59D6" w:rsidRPr="00002625">
        <w:rPr>
          <w:rStyle w:val="TableFigureFooterChar"/>
          <w:snapToGrid w:val="0"/>
          <w:lang w:eastAsia="en-US"/>
        </w:rPr>
        <w:t xml:space="preserve"> for colonoscopy.</w:t>
      </w:r>
      <w:r w:rsidR="00537BA6" w:rsidRPr="00002625">
        <w:t xml:space="preserve"> </w:t>
      </w:r>
      <w:r w:rsidR="005E0202" w:rsidRPr="00002625">
        <w:tab/>
      </w:r>
      <w:r w:rsidR="00537BA6" w:rsidRPr="00002625">
        <w:br/>
        <w:t xml:space="preserve">Source: Cancer Council </w:t>
      </w:r>
      <w:r w:rsidR="00FA6BB0" w:rsidRPr="00002625">
        <w:t>Australia</w:t>
      </w:r>
      <w:r w:rsidR="00537BA6" w:rsidRPr="00002625">
        <w:t xml:space="preserve"> (2023).</w:t>
      </w:r>
    </w:p>
    <w:p w14:paraId="2846FE0E" w14:textId="3AAC6467" w:rsidR="0048033E" w:rsidRPr="00002625" w:rsidRDefault="0048033E" w:rsidP="0048033E">
      <w:r w:rsidRPr="00002625">
        <w:t>It is not clear how the 3% PPV threshold is being interpreted and used in clinical practice. At least one state health service guideline (N</w:t>
      </w:r>
      <w:r w:rsidR="006E29C5" w:rsidRPr="00002625">
        <w:t>ew South Wales</w:t>
      </w:r>
      <w:r w:rsidR="00E37ACC" w:rsidRPr="00002625">
        <w:t xml:space="preserve"> </w:t>
      </w:r>
      <w:r w:rsidRPr="00002625">
        <w:t>Agency for Clinical Innovation 2020) cites different PPV figures for those symptoms (for example PPV for rectal bleeding of 2.4%; anaemia 9.7%; abdominal pain 3.3% and so on).</w:t>
      </w:r>
    </w:p>
    <w:p w14:paraId="41A4C171" w14:textId="34B16DE8" w:rsidR="00252F6A" w:rsidRPr="00002625" w:rsidRDefault="00252F6A" w:rsidP="00252F6A">
      <w:r w:rsidRPr="00002625">
        <w:t xml:space="preserve">The Australian guidelines approach of identifying higher risk symptoms where colonoscopy is preferred versus lower risk symptoms where CTC is a recommended alternative </w:t>
      </w:r>
      <w:r w:rsidR="00EA5213" w:rsidRPr="00002625">
        <w:t xml:space="preserve">were </w:t>
      </w:r>
      <w:r w:rsidR="007428AF" w:rsidRPr="00002625">
        <w:t xml:space="preserve">also </w:t>
      </w:r>
      <w:r w:rsidRPr="00002625">
        <w:t xml:space="preserve">found in clinical guidelines for other countries (the United Kingdom </w:t>
      </w:r>
      <w:r w:rsidR="00230726" w:rsidRPr="00002625">
        <w:t>[</w:t>
      </w:r>
      <w:r w:rsidRPr="00002625">
        <w:t>N</w:t>
      </w:r>
      <w:r w:rsidR="00735C40" w:rsidRPr="00002625">
        <w:t>ational Institu</w:t>
      </w:r>
      <w:r w:rsidR="00ED749D" w:rsidRPr="00002625">
        <w:t>te for Health and care Excellence (N</w:t>
      </w:r>
      <w:r w:rsidRPr="00002625">
        <w:t>ICE</w:t>
      </w:r>
      <w:r w:rsidR="00ED749D" w:rsidRPr="00002625">
        <w:t>)</w:t>
      </w:r>
      <w:r w:rsidRPr="00002625">
        <w:t xml:space="preserve"> 2023</w:t>
      </w:r>
      <w:r w:rsidR="00230726" w:rsidRPr="00002625">
        <w:t>]</w:t>
      </w:r>
      <w:r w:rsidRPr="00002625">
        <w:t xml:space="preserve">, Europe </w:t>
      </w:r>
      <w:r w:rsidR="00230726" w:rsidRPr="00002625">
        <w:t>[</w:t>
      </w:r>
      <w:r w:rsidRPr="00002625">
        <w:t>E</w:t>
      </w:r>
      <w:r w:rsidR="004E7E1A" w:rsidRPr="00002625">
        <w:t>uropean Society of Gastrointe</w:t>
      </w:r>
      <w:r w:rsidR="00A0342A" w:rsidRPr="00002625">
        <w:t>stinal Endoscopy (E</w:t>
      </w:r>
      <w:r w:rsidRPr="00002625">
        <w:t>SGE</w:t>
      </w:r>
      <w:r w:rsidR="00A0342A" w:rsidRPr="00002625">
        <w:t>)</w:t>
      </w:r>
      <w:r w:rsidRPr="00002625">
        <w:t>/</w:t>
      </w:r>
      <w:r w:rsidR="00D322D1" w:rsidRPr="00002625">
        <w:t xml:space="preserve"> European Society of Gastrointestinal and Abdominal Radiology (</w:t>
      </w:r>
      <w:r w:rsidRPr="00002625">
        <w:t>ESGAR</w:t>
      </w:r>
      <w:r w:rsidR="00D322D1" w:rsidRPr="00002625">
        <w:t>)</w:t>
      </w:r>
      <w:r w:rsidRPr="00002625">
        <w:t xml:space="preserve"> 2023</w:t>
      </w:r>
      <w:r w:rsidR="00230726" w:rsidRPr="00002625">
        <w:t>]</w:t>
      </w:r>
      <w:r w:rsidRPr="00002625">
        <w:t xml:space="preserve"> and New Zealand </w:t>
      </w:r>
      <w:r w:rsidR="00230726" w:rsidRPr="00002625">
        <w:t>[</w:t>
      </w:r>
      <w:r w:rsidRPr="00002625">
        <w:t>NZ MOH</w:t>
      </w:r>
      <w:r w:rsidR="0039516A" w:rsidRPr="00002625">
        <w:t xml:space="preserve"> </w:t>
      </w:r>
      <w:r w:rsidRPr="00002625">
        <w:t>2020</w:t>
      </w:r>
      <w:r w:rsidR="00230726" w:rsidRPr="00002625">
        <w:t>]</w:t>
      </w:r>
      <w:r w:rsidRPr="00002625">
        <w:t xml:space="preserve">). The PPV values presented in the Australian guideline </w:t>
      </w:r>
      <w:r w:rsidR="00DE41A7" w:rsidRPr="00002625">
        <w:t>originated</w:t>
      </w:r>
      <w:r w:rsidRPr="00002625">
        <w:t xml:space="preserve"> from an update of a meta-analysis undertaken for the NICE guideline on suspected cancer recognition and referral (June 2015 version, chapter on lower gastrointestinal tract cancers).</w:t>
      </w:r>
    </w:p>
    <w:p w14:paraId="1BBABB35" w14:textId="59F7B5FA" w:rsidR="00D26E00" w:rsidRPr="00002625" w:rsidRDefault="00252F6A" w:rsidP="00252F6A">
      <w:pPr>
        <w:rPr>
          <w:rFonts w:cs="Calibri"/>
        </w:rPr>
      </w:pPr>
      <w:r w:rsidRPr="00002625">
        <w:t xml:space="preserve">The ESGE/ESGAR (2023) guideline recommends CTC </w:t>
      </w:r>
      <w:r w:rsidR="00263A27" w:rsidRPr="00002625">
        <w:t>as</w:t>
      </w:r>
      <w:r w:rsidRPr="00002625">
        <w:t xml:space="preserve"> an acceptable alternative to colonoscopy for patients with non-alarm symptoms</w:t>
      </w:r>
      <w:r w:rsidR="00C50DA9" w:rsidRPr="00002625">
        <w:t xml:space="preserve">, </w:t>
      </w:r>
      <w:r w:rsidRPr="00002625">
        <w:t>define</w:t>
      </w:r>
      <w:r w:rsidR="00C50DA9" w:rsidRPr="00002625">
        <w:t>d</w:t>
      </w:r>
      <w:r w:rsidRPr="00002625">
        <w:t xml:space="preserve"> as abdominal symptoms suggestive of colorectal cancer requiring detailed investigation</w:t>
      </w:r>
      <w:r w:rsidR="00B4542F" w:rsidRPr="00002625">
        <w:t xml:space="preserve">. </w:t>
      </w:r>
      <w:r w:rsidR="00D71647" w:rsidRPr="00002625">
        <w:t>The guideline define</w:t>
      </w:r>
      <w:r w:rsidR="00E81A5E" w:rsidRPr="00002625">
        <w:t>d</w:t>
      </w:r>
      <w:r w:rsidR="00D71647" w:rsidRPr="00002625">
        <w:t xml:space="preserve"> </w:t>
      </w:r>
      <w:r w:rsidR="00E37ACC" w:rsidRPr="00002625">
        <w:t>a</w:t>
      </w:r>
      <w:r w:rsidRPr="00002625">
        <w:t>larm symptoms as rectal bleeding, anaemia, weight loss,</w:t>
      </w:r>
      <w:r w:rsidR="000533FA" w:rsidRPr="00002625">
        <w:t xml:space="preserve"> and </w:t>
      </w:r>
      <w:r w:rsidRPr="00002625">
        <w:t xml:space="preserve">intestinal subocclusion. The </w:t>
      </w:r>
      <w:r w:rsidR="00906695" w:rsidRPr="00002625">
        <w:t>NZ MOH</w:t>
      </w:r>
      <w:r w:rsidRPr="00002625">
        <w:t xml:space="preserve"> guideline identifies rectal bleeding and persistent change in bowel habit</w:t>
      </w:r>
      <w:r w:rsidR="002167A8" w:rsidRPr="00002625">
        <w:t>s</w:t>
      </w:r>
      <w:r w:rsidRPr="00002625">
        <w:t xml:space="preserve"> (more than 6 weeks) as key referral criteria where colonoscopy is preferred. Otherwise, </w:t>
      </w:r>
      <w:r w:rsidR="0037020E">
        <w:t>in New Zealand</w:t>
      </w:r>
      <w:r w:rsidRPr="00002625">
        <w:t xml:space="preserve">, patients with symptoms suggestive of CRC may be offered CTC. Thus, CTC </w:t>
      </w:r>
      <w:r w:rsidR="00F15D01">
        <w:t>may be</w:t>
      </w:r>
      <w:r w:rsidR="00F15D01" w:rsidRPr="00002625">
        <w:t xml:space="preserve"> </w:t>
      </w:r>
      <w:r w:rsidRPr="00002625">
        <w:t>recommended as an alternative to colonoscopy in the absence of higher risk symptoms, but there is limited agreement among clinical guidelines as to what constitutes ‘higher risk’.</w:t>
      </w:r>
      <w:r w:rsidRPr="00002625">
        <w:rPr>
          <w:rFonts w:cs="Calibri"/>
        </w:rPr>
        <w:t xml:space="preserve"> </w:t>
      </w:r>
    </w:p>
    <w:p w14:paraId="7166238E" w14:textId="75BB8861" w:rsidR="0022251E" w:rsidRPr="00002625" w:rsidRDefault="00252F6A" w:rsidP="00252F6A">
      <w:pPr>
        <w:rPr>
          <w:rFonts w:cs="Calibri"/>
        </w:rPr>
      </w:pPr>
      <w:r w:rsidRPr="00002625">
        <w:rPr>
          <w:rFonts w:cs="Calibri"/>
        </w:rPr>
        <w:t xml:space="preserve">In the </w:t>
      </w:r>
      <w:r w:rsidR="001210F5" w:rsidRPr="00002625">
        <w:rPr>
          <w:rFonts w:cs="Calibri"/>
        </w:rPr>
        <w:t>United States</w:t>
      </w:r>
      <w:r w:rsidRPr="00002625">
        <w:rPr>
          <w:rFonts w:cs="Calibri"/>
        </w:rPr>
        <w:t xml:space="preserve">, colonoscopy remains the mainstay of diagnostic workup (National Comprehensive Cancer Network [NCCN] 2024a; NCCN 2024b) and </w:t>
      </w:r>
      <w:r w:rsidR="009605F0" w:rsidRPr="00002625">
        <w:rPr>
          <w:rFonts w:cs="Calibri"/>
        </w:rPr>
        <w:t>CTC</w:t>
      </w:r>
      <w:r w:rsidRPr="00002625">
        <w:rPr>
          <w:rFonts w:cs="Calibri"/>
        </w:rPr>
        <w:t xml:space="preserve"> is only recommended for screening (NCCN 2024c)</w:t>
      </w:r>
      <w:r w:rsidR="00465C03" w:rsidRPr="00002625">
        <w:rPr>
          <w:rFonts w:cs="Calibri"/>
        </w:rPr>
        <w:t xml:space="preserve">. </w:t>
      </w:r>
    </w:p>
    <w:p w14:paraId="7C4D8A39" w14:textId="08ED4DDA" w:rsidR="001D22A0" w:rsidRPr="00002625" w:rsidRDefault="001D22A0" w:rsidP="00CD3D6F">
      <w:pPr>
        <w:pStyle w:val="Heading5"/>
      </w:pPr>
      <w:r w:rsidRPr="00002625">
        <w:lastRenderedPageBreak/>
        <w:t>Patients</w:t>
      </w:r>
      <w:r w:rsidR="000A3B4A" w:rsidRPr="00002625">
        <w:t xml:space="preserve"> with</w:t>
      </w:r>
      <w:r w:rsidR="00015E4A" w:rsidRPr="00002625">
        <w:t xml:space="preserve"> low risk</w:t>
      </w:r>
      <w:r w:rsidR="000A3B4A" w:rsidRPr="00002625">
        <w:t xml:space="preserve"> symptoms, incid</w:t>
      </w:r>
      <w:r w:rsidR="004A26CF" w:rsidRPr="00002625">
        <w:t xml:space="preserve">ental findings </w:t>
      </w:r>
      <w:r w:rsidR="008D5349" w:rsidRPr="00002625">
        <w:t>on diagnostic imaging</w:t>
      </w:r>
      <w:r w:rsidR="004A26CF" w:rsidRPr="00002625">
        <w:t xml:space="preserve"> or </w:t>
      </w:r>
      <w:r w:rsidR="000A3B4A" w:rsidRPr="00002625">
        <w:t>with positive FOBT</w:t>
      </w:r>
    </w:p>
    <w:p w14:paraId="17945FC9" w14:textId="0D82F679" w:rsidR="00613005" w:rsidRPr="00002625" w:rsidRDefault="00613005" w:rsidP="006D1D72">
      <w:r w:rsidRPr="00002625">
        <w:t xml:space="preserve">Patients </w:t>
      </w:r>
      <w:r w:rsidR="00810E4C" w:rsidRPr="00002625">
        <w:t>with</w:t>
      </w:r>
      <w:r w:rsidR="00810E4C" w:rsidRPr="00002625" w:rsidDel="000A3B4A">
        <w:t xml:space="preserve"> </w:t>
      </w:r>
      <w:r w:rsidR="00015E4A" w:rsidRPr="00002625">
        <w:t xml:space="preserve">low risk </w:t>
      </w:r>
      <w:r w:rsidR="00810E4C" w:rsidRPr="00002625">
        <w:t xml:space="preserve">symptoms suggestive of CRC, patients </w:t>
      </w:r>
      <w:r w:rsidRPr="00002625">
        <w:t xml:space="preserve">for whom diagnostic imaging </w:t>
      </w:r>
      <w:r w:rsidRPr="00002625" w:rsidDel="007315A5">
        <w:t>has</w:t>
      </w:r>
      <w:r w:rsidRPr="00002625">
        <w:t xml:space="preserve"> shown an abnormality of the colon</w:t>
      </w:r>
      <w:r w:rsidR="00E45C6E" w:rsidRPr="00002625">
        <w:t xml:space="preserve"> and patients with positive FOBT</w:t>
      </w:r>
      <w:r w:rsidR="004E6385" w:rsidRPr="00002625">
        <w:t xml:space="preserve"> would usually be managed similarly</w:t>
      </w:r>
      <w:r w:rsidR="00750AC4" w:rsidRPr="00002625">
        <w:t xml:space="preserve"> </w:t>
      </w:r>
      <w:r w:rsidR="004E6385" w:rsidRPr="00002625">
        <w:t xml:space="preserve">and </w:t>
      </w:r>
      <w:r w:rsidRPr="00002625">
        <w:t>be referred for colonoscopy.</w:t>
      </w:r>
      <w:r w:rsidR="001F4E66" w:rsidRPr="00002625">
        <w:t xml:space="preserve"> </w:t>
      </w:r>
      <w:r w:rsidR="009C7382" w:rsidRPr="00002625">
        <w:t>The applicant indicated that symptomatic patients will typically present to their GP, who would determine the need for further investigation based on clinical features and medical history. The applicant noted that GPs may order MBS items for either colonoscopy (item 32222) or DCBE (item 589</w:t>
      </w:r>
      <w:r w:rsidR="00B8773C" w:rsidRPr="00002625">
        <w:t>21</w:t>
      </w:r>
      <w:r w:rsidR="009C7382" w:rsidRPr="00002625">
        <w:t xml:space="preserve">) as diagnostic investigations of the colon, but not CTC. </w:t>
      </w:r>
      <w:r w:rsidR="00580375" w:rsidRPr="00002625">
        <w:t>However</w:t>
      </w:r>
      <w:r w:rsidR="005F3C05" w:rsidRPr="00002625">
        <w:t>,</w:t>
      </w:r>
      <w:r w:rsidR="00580375" w:rsidRPr="00002625">
        <w:t xml:space="preserve"> it </w:t>
      </w:r>
      <w:r w:rsidR="00CC7631" w:rsidRPr="00002625">
        <w:t>wa</w:t>
      </w:r>
      <w:r w:rsidR="00580375" w:rsidRPr="00002625">
        <w:t>s noted that GPs may order CTC</w:t>
      </w:r>
      <w:r w:rsidR="006D6ADC" w:rsidRPr="00002625">
        <w:t xml:space="preserve"> (item </w:t>
      </w:r>
      <w:r w:rsidR="002E5905" w:rsidRPr="00002625">
        <w:t>56553)</w:t>
      </w:r>
      <w:r w:rsidR="00580375" w:rsidRPr="00002625">
        <w:t xml:space="preserve"> under limited circumstances</w:t>
      </w:r>
      <w:r w:rsidR="009C7382" w:rsidRPr="00002625">
        <w:t xml:space="preserve"> </w:t>
      </w:r>
      <w:r w:rsidR="00F41FE0" w:rsidRPr="00002625">
        <w:t xml:space="preserve">which are </w:t>
      </w:r>
      <w:r w:rsidR="00794C05" w:rsidRPr="00002625">
        <w:t xml:space="preserve">for the purposes of excluding or diagnosing </w:t>
      </w:r>
      <w:r w:rsidR="00824905" w:rsidRPr="00002625">
        <w:t xml:space="preserve">colorectal neoplasia in a </w:t>
      </w:r>
      <w:r w:rsidR="00F41FE0" w:rsidRPr="00002625">
        <w:t>patient</w:t>
      </w:r>
      <w:r w:rsidR="00E70D60" w:rsidRPr="00002625">
        <w:t xml:space="preserve"> </w:t>
      </w:r>
      <w:r w:rsidR="00C0030D" w:rsidRPr="00002625">
        <w:t>who</w:t>
      </w:r>
      <w:r w:rsidR="00F41FE0" w:rsidRPr="00002625">
        <w:t xml:space="preserve"> has had an i</w:t>
      </w:r>
      <w:r w:rsidR="005321C7" w:rsidRPr="00002625">
        <w:t>n</w:t>
      </w:r>
      <w:r w:rsidR="00F41FE0" w:rsidRPr="00002625">
        <w:t>complete colonoscopy in the 3 months before the scan or there is high grade colonic obstruction</w:t>
      </w:r>
      <w:r w:rsidR="005321C7" w:rsidRPr="00002625">
        <w:t>.</w:t>
      </w:r>
      <w:r w:rsidR="009C7382" w:rsidRPr="00002625">
        <w:t xml:space="preserve"> </w:t>
      </w:r>
      <w:r w:rsidR="001F4E66" w:rsidRPr="00002625">
        <w:t>A preliminary search of the literature indicated th</w:t>
      </w:r>
      <w:r w:rsidR="00A35CE9" w:rsidRPr="00002625">
        <w:t>ese</w:t>
      </w:r>
      <w:r w:rsidR="001F4E66" w:rsidRPr="00002625">
        <w:t xml:space="preserve"> </w:t>
      </w:r>
      <w:r w:rsidR="00E67697" w:rsidRPr="00002625">
        <w:t xml:space="preserve">three </w:t>
      </w:r>
      <w:r w:rsidR="001F4E66" w:rsidRPr="00002625">
        <w:t>population</w:t>
      </w:r>
      <w:r w:rsidR="00A35CE9" w:rsidRPr="00002625">
        <w:t>s</w:t>
      </w:r>
      <w:r w:rsidR="001F4E66" w:rsidRPr="00002625">
        <w:t xml:space="preserve"> </w:t>
      </w:r>
      <w:r w:rsidR="00A35CE9" w:rsidRPr="00002625">
        <w:t>are</w:t>
      </w:r>
      <w:r w:rsidR="001F4E66" w:rsidRPr="00002625">
        <w:t xml:space="preserve"> </w:t>
      </w:r>
      <w:r w:rsidR="00666010" w:rsidRPr="00002625">
        <w:t xml:space="preserve">not frequently studied </w:t>
      </w:r>
      <w:r w:rsidR="003F7DD9" w:rsidRPr="00002625">
        <w:t>in relation to CTC</w:t>
      </w:r>
      <w:r w:rsidR="00666010" w:rsidRPr="00002625">
        <w:t xml:space="preserve"> and there is likely to be limited evidence to support specific inclusion of patients meeting </w:t>
      </w:r>
      <w:r w:rsidR="000147D1" w:rsidRPr="00002625">
        <w:t xml:space="preserve">these </w:t>
      </w:r>
      <w:r w:rsidR="00666010" w:rsidRPr="00002625">
        <w:t>criteri</w:t>
      </w:r>
      <w:r w:rsidR="00E67697" w:rsidRPr="00002625">
        <w:t>a</w:t>
      </w:r>
      <w:r w:rsidR="00666010" w:rsidRPr="00002625">
        <w:t xml:space="preserve">. </w:t>
      </w:r>
    </w:p>
    <w:p w14:paraId="3AC72941" w14:textId="17854F6F" w:rsidR="00EF4524" w:rsidRPr="00002625" w:rsidRDefault="00EF4524" w:rsidP="00EF4524">
      <w:r w:rsidRPr="00002625">
        <w:rPr>
          <w:rFonts w:cs="Calibri"/>
          <w:i/>
          <w:iCs/>
          <w:color w:val="000000" w:themeColor="text1"/>
        </w:rPr>
        <w:t xml:space="preserve">PASC agreed that </w:t>
      </w:r>
      <w:r w:rsidR="00720DEE">
        <w:rPr>
          <w:rFonts w:cs="Calibri"/>
          <w:i/>
          <w:iCs/>
          <w:color w:val="000000" w:themeColor="text1"/>
        </w:rPr>
        <w:t xml:space="preserve">out of all proposed populations, </w:t>
      </w:r>
      <w:r w:rsidRPr="00002625">
        <w:rPr>
          <w:rFonts w:cs="Calibri"/>
          <w:i/>
          <w:iCs/>
          <w:color w:val="000000" w:themeColor="text1"/>
        </w:rPr>
        <w:t xml:space="preserve">patients with low-risk symptoms suggestive of CRC </w:t>
      </w:r>
      <w:r w:rsidR="00720DEE">
        <w:rPr>
          <w:rFonts w:cs="Calibri"/>
          <w:i/>
          <w:iCs/>
          <w:color w:val="000000" w:themeColor="text1"/>
        </w:rPr>
        <w:t>may</w:t>
      </w:r>
      <w:r w:rsidR="00720DEE" w:rsidRPr="00002625">
        <w:rPr>
          <w:rFonts w:cs="Calibri"/>
          <w:i/>
          <w:iCs/>
          <w:color w:val="000000" w:themeColor="text1"/>
        </w:rPr>
        <w:t xml:space="preserve"> </w:t>
      </w:r>
      <w:r w:rsidRPr="00002625">
        <w:rPr>
          <w:rFonts w:cs="Calibri"/>
          <w:i/>
          <w:iCs/>
          <w:color w:val="000000" w:themeColor="text1"/>
        </w:rPr>
        <w:t xml:space="preserve">be most appropriate for CTC but noted that there was no clinical consensus on the definition of low risk versus high-risk symptoms for CRC in this PICO set. PASC was concerned that complexity around current risk definitions </w:t>
      </w:r>
      <w:r w:rsidR="00FB12D7" w:rsidRPr="00002625">
        <w:rPr>
          <w:rFonts w:cs="Calibri"/>
          <w:i/>
          <w:iCs/>
          <w:color w:val="000000" w:themeColor="text1"/>
        </w:rPr>
        <w:t>c</w:t>
      </w:r>
      <w:r w:rsidRPr="00002625">
        <w:rPr>
          <w:rFonts w:cs="Calibri"/>
          <w:i/>
          <w:iCs/>
          <w:color w:val="000000" w:themeColor="text1"/>
        </w:rPr>
        <w:t xml:space="preserve">ould be difficult to interpret at the primary care interface. PASC determined that low risk populations should be </w:t>
      </w:r>
      <w:r w:rsidR="00D848F8" w:rsidRPr="00002625">
        <w:rPr>
          <w:rFonts w:cs="Calibri"/>
          <w:i/>
          <w:iCs/>
          <w:color w:val="000000" w:themeColor="text1"/>
        </w:rPr>
        <w:t xml:space="preserve">more </w:t>
      </w:r>
      <w:r w:rsidRPr="00002625">
        <w:rPr>
          <w:rFonts w:cs="Calibri"/>
          <w:i/>
          <w:iCs/>
          <w:color w:val="000000" w:themeColor="text1"/>
        </w:rPr>
        <w:t>clearly defined</w:t>
      </w:r>
    </w:p>
    <w:p w14:paraId="6B65D5E4" w14:textId="15EE805D" w:rsidR="00453575" w:rsidRPr="00002625" w:rsidRDefault="009848C0" w:rsidP="008A0612">
      <w:r w:rsidRPr="00002625">
        <w:t>In Australia</w:t>
      </w:r>
      <w:r w:rsidR="001D0A57" w:rsidRPr="00002625">
        <w:t xml:space="preserve">, </w:t>
      </w:r>
      <w:r w:rsidR="00650C3B" w:rsidRPr="00002625">
        <w:t xml:space="preserve">eligible individuals </w:t>
      </w:r>
      <w:r w:rsidR="008F5384" w:rsidRPr="00002625">
        <w:t xml:space="preserve">aged </w:t>
      </w:r>
      <w:r w:rsidR="0037020E">
        <w:t>50</w:t>
      </w:r>
      <w:r w:rsidR="008F5384" w:rsidRPr="00002625">
        <w:t xml:space="preserve"> to 74</w:t>
      </w:r>
      <w:r w:rsidR="005D193A" w:rsidRPr="00002625">
        <w:t xml:space="preserve"> years</w:t>
      </w:r>
      <w:r w:rsidR="008F5384" w:rsidRPr="00002625">
        <w:t xml:space="preserve"> </w:t>
      </w:r>
      <w:r w:rsidR="00650C3B" w:rsidRPr="00002625">
        <w:t xml:space="preserve">are offered a free kit </w:t>
      </w:r>
      <w:r w:rsidR="00750AC4" w:rsidRPr="00002625">
        <w:t xml:space="preserve">for </w:t>
      </w:r>
      <w:r w:rsidR="00650C3B" w:rsidRPr="00002625">
        <w:t>a FOBT every two years</w:t>
      </w:r>
      <w:r w:rsidR="001D0A57" w:rsidRPr="00002625">
        <w:t xml:space="preserve"> </w:t>
      </w:r>
      <w:r w:rsidR="0037020E">
        <w:t xml:space="preserve">(with the option for self request of the kit for </w:t>
      </w:r>
      <w:r w:rsidR="004A7332">
        <w:t xml:space="preserve">individuals </w:t>
      </w:r>
      <w:r w:rsidR="0037020E">
        <w:t>age</w:t>
      </w:r>
      <w:r w:rsidR="004A7332">
        <w:t>d</w:t>
      </w:r>
      <w:r w:rsidR="0037020E">
        <w:t xml:space="preserve"> 45-49) </w:t>
      </w:r>
      <w:r w:rsidR="001D0A57" w:rsidRPr="00002625">
        <w:t xml:space="preserve">under the </w:t>
      </w:r>
      <w:r w:rsidR="00750AC4" w:rsidRPr="00002625">
        <w:t xml:space="preserve">National Bowel Cancer Screening Program </w:t>
      </w:r>
      <w:r w:rsidR="001D0A57" w:rsidRPr="00002625">
        <w:t>(NBCSP)</w:t>
      </w:r>
      <w:r w:rsidR="005144A2" w:rsidRPr="00002625">
        <w:rPr>
          <w:rStyle w:val="FootnoteReference"/>
        </w:rPr>
        <w:footnoteReference w:id="5"/>
      </w:r>
      <w:r w:rsidR="00650C3B" w:rsidRPr="00002625">
        <w:t xml:space="preserve">. The FOBT is an immunochemical test sometimes called a faecal immunochemical test (FIT). </w:t>
      </w:r>
      <w:r w:rsidR="0016373E" w:rsidRPr="00002625">
        <w:t xml:space="preserve">The FOBT has a high false positive rate </w:t>
      </w:r>
      <w:r w:rsidR="00F91E67" w:rsidRPr="00002625">
        <w:t>(as high as 40%</w:t>
      </w:r>
      <w:r w:rsidR="00B80E3A" w:rsidRPr="00002625">
        <w:t xml:space="preserve"> in Canada [</w:t>
      </w:r>
      <w:r w:rsidR="007A0AB8" w:rsidRPr="00002625">
        <w:t>Chowdhury et al. 2023</w:t>
      </w:r>
      <w:r w:rsidR="00B80E3A" w:rsidRPr="00002625">
        <w:t>];</w:t>
      </w:r>
      <w:r w:rsidR="00284243" w:rsidRPr="00002625">
        <w:t xml:space="preserve"> </w:t>
      </w:r>
      <w:r w:rsidR="00B80E3A" w:rsidRPr="00002625">
        <w:t>reported as 96%</w:t>
      </w:r>
      <w:r w:rsidR="00DE1F08" w:rsidRPr="00002625">
        <w:t xml:space="preserve"> for NBCSP </w:t>
      </w:r>
      <w:r w:rsidR="00284243" w:rsidRPr="00002625">
        <w:t>participants</w:t>
      </w:r>
      <w:r w:rsidR="00DE1F08" w:rsidRPr="00002625">
        <w:t xml:space="preserve"> [</w:t>
      </w:r>
      <w:r w:rsidR="00284243" w:rsidRPr="00002625">
        <w:t>Olver and Order, 2017</w:t>
      </w:r>
      <w:r w:rsidR="00DE1F08" w:rsidRPr="00002625">
        <w:t>]</w:t>
      </w:r>
      <w:r w:rsidR="007A0AB8" w:rsidRPr="00002625">
        <w:t xml:space="preserve">) </w:t>
      </w:r>
      <w:r w:rsidR="0016373E" w:rsidRPr="00002625">
        <w:t xml:space="preserve">thus a positive result requires follow-up investigation. Of patients with a positive FOBT, 58% will have normal colonoscopy, 39% will be diagnosed with a polyp and only 3% will be diagnosed with cancer or suspected cancer (Parkin </w:t>
      </w:r>
      <w:r w:rsidR="005D0D5D" w:rsidRPr="00002625">
        <w:t xml:space="preserve">et al. </w:t>
      </w:r>
      <w:r w:rsidR="0016373E" w:rsidRPr="00002625">
        <w:t xml:space="preserve">2018). </w:t>
      </w:r>
      <w:r w:rsidR="00D322A0" w:rsidRPr="00002625">
        <w:t xml:space="preserve">A breakdown of </w:t>
      </w:r>
      <w:r w:rsidR="001A1542" w:rsidRPr="00002625">
        <w:t>onward test findings</w:t>
      </w:r>
      <w:r w:rsidR="009857E9" w:rsidRPr="00002625">
        <w:t xml:space="preserve"> for FOBT positive NBCSP participants in 202</w:t>
      </w:r>
      <w:r w:rsidR="00E525CA" w:rsidRPr="00002625">
        <w:t>2</w:t>
      </w:r>
      <w:r w:rsidR="009857E9" w:rsidRPr="00002625">
        <w:t xml:space="preserve"> has been presented in </w:t>
      </w:r>
      <w:r w:rsidR="00BA13EE" w:rsidRPr="00002625">
        <w:fldChar w:fldCharType="begin"/>
      </w:r>
      <w:r w:rsidR="00BA13EE" w:rsidRPr="00002625">
        <w:instrText xml:space="preserve"> REF _Ref182377246 \h </w:instrText>
      </w:r>
      <w:r w:rsidR="00BA13EE" w:rsidRPr="00002625">
        <w:fldChar w:fldCharType="separate"/>
      </w:r>
      <w:r w:rsidR="00637321" w:rsidRPr="00002625">
        <w:t>Appendix 1</w:t>
      </w:r>
      <w:r w:rsidR="00BA13EE" w:rsidRPr="00002625">
        <w:fldChar w:fldCharType="end"/>
      </w:r>
      <w:r w:rsidR="00707D50" w:rsidRPr="00002625">
        <w:t xml:space="preserve"> (</w:t>
      </w:r>
      <w:r w:rsidR="00707D50" w:rsidRPr="00002625">
        <w:fldChar w:fldCharType="begin"/>
      </w:r>
      <w:r w:rsidR="00707D50" w:rsidRPr="00002625">
        <w:instrText xml:space="preserve"> REF _Ref180487564 \h </w:instrText>
      </w:r>
      <w:r w:rsidR="00707D50" w:rsidRPr="00002625">
        <w:fldChar w:fldCharType="separate"/>
      </w:r>
      <w:r w:rsidR="00637321" w:rsidRPr="00002625">
        <w:t>Table </w:t>
      </w:r>
      <w:r w:rsidR="00637321" w:rsidRPr="00002625">
        <w:rPr>
          <w:noProof/>
        </w:rPr>
        <w:t>17</w:t>
      </w:r>
      <w:r w:rsidR="00707D50" w:rsidRPr="00002625">
        <w:fldChar w:fldCharType="end"/>
      </w:r>
      <w:r w:rsidR="00707D50" w:rsidRPr="00002625">
        <w:t>)</w:t>
      </w:r>
      <w:r w:rsidR="009857E9" w:rsidRPr="00002625">
        <w:t xml:space="preserve">. </w:t>
      </w:r>
      <w:r w:rsidR="7BC83EF9" w:rsidRPr="00002625">
        <w:t xml:space="preserve">A </w:t>
      </w:r>
      <w:r w:rsidR="6AAAB2FF">
        <w:t>proposed</w:t>
      </w:r>
      <w:r w:rsidR="7607EC13">
        <w:t xml:space="preserve"> </w:t>
      </w:r>
      <w:r w:rsidR="00AF467A" w:rsidRPr="00002625">
        <w:t>benefit of CTC</w:t>
      </w:r>
      <w:r w:rsidR="002B19FA" w:rsidRPr="00002625">
        <w:t xml:space="preserve"> in these patients would be </w:t>
      </w:r>
      <w:r w:rsidR="002B17B3">
        <w:t>the potential to rule out the</w:t>
      </w:r>
      <w:r w:rsidR="002B19FA" w:rsidRPr="00002625">
        <w:t xml:space="preserve"> </w:t>
      </w:r>
      <w:r w:rsidR="00B51B9D" w:rsidRPr="00002625">
        <w:t xml:space="preserve">need for a </w:t>
      </w:r>
      <w:r w:rsidR="00097598" w:rsidRPr="00002625">
        <w:t xml:space="preserve">subsequent </w:t>
      </w:r>
      <w:r w:rsidR="00B51B9D" w:rsidRPr="00002625">
        <w:t>colonoscopy</w:t>
      </w:r>
      <w:r w:rsidR="002D513E" w:rsidRPr="00002625">
        <w:t xml:space="preserve"> </w:t>
      </w:r>
      <w:r w:rsidR="00843EA1" w:rsidRPr="00002625">
        <w:t>in the event of a negative</w:t>
      </w:r>
      <w:r w:rsidR="000A2627" w:rsidRPr="00002625">
        <w:t xml:space="preserve"> result</w:t>
      </w:r>
      <w:r w:rsidR="0037020E">
        <w:t xml:space="preserve"> and no symptoms</w:t>
      </w:r>
      <w:r w:rsidR="00B51B9D" w:rsidRPr="00002625">
        <w:t xml:space="preserve">. </w:t>
      </w:r>
    </w:p>
    <w:p w14:paraId="4E524B15" w14:textId="57CE214E" w:rsidR="00F26953" w:rsidRPr="00002625" w:rsidRDefault="004E02A2" w:rsidP="008A0612">
      <w:r w:rsidRPr="00002625">
        <w:t xml:space="preserve">Although </w:t>
      </w:r>
      <w:r w:rsidR="00DE7204" w:rsidRPr="00002625">
        <w:t>the patients</w:t>
      </w:r>
      <w:r w:rsidR="00856091">
        <w:t xml:space="preserve"> </w:t>
      </w:r>
      <w:r w:rsidR="00C35CEB" w:rsidRPr="00002625">
        <w:t xml:space="preserve">who are </w:t>
      </w:r>
      <w:r w:rsidR="004B557F" w:rsidRPr="00002625">
        <w:t xml:space="preserve">symptomatic, </w:t>
      </w:r>
      <w:r w:rsidR="00C35CEB" w:rsidRPr="00002625">
        <w:t xml:space="preserve">or who have </w:t>
      </w:r>
      <w:r w:rsidR="004B557F" w:rsidRPr="00002625">
        <w:t>incidental findings</w:t>
      </w:r>
      <w:r w:rsidR="00C35CEB" w:rsidRPr="00002625">
        <w:t xml:space="preserve"> </w:t>
      </w:r>
      <w:r w:rsidR="004F1126" w:rsidRPr="00002625">
        <w:t>on diagnostic imaging</w:t>
      </w:r>
      <w:r w:rsidR="00C35CEB" w:rsidRPr="00002625">
        <w:t xml:space="preserve"> or </w:t>
      </w:r>
      <w:r w:rsidR="004B557F" w:rsidRPr="00002625">
        <w:t>positive FOBT</w:t>
      </w:r>
      <w:r w:rsidR="00670BEF">
        <w:t>,</w:t>
      </w:r>
      <w:r w:rsidR="00DE7204" w:rsidRPr="00002625">
        <w:t xml:space="preserve"> </w:t>
      </w:r>
      <w:r w:rsidR="00B00B98" w:rsidRPr="00002625">
        <w:t xml:space="preserve">would </w:t>
      </w:r>
      <w:r w:rsidR="00F42ABF" w:rsidRPr="00002625">
        <w:t>most likely</w:t>
      </w:r>
      <w:r w:rsidR="00B00B98" w:rsidRPr="00002625">
        <w:t xml:space="preserve"> </w:t>
      </w:r>
      <w:r w:rsidR="00DE7204" w:rsidRPr="00002625">
        <w:t>present to their GP</w:t>
      </w:r>
      <w:r w:rsidR="00B00B98" w:rsidRPr="00002625">
        <w:t xml:space="preserve"> </w:t>
      </w:r>
      <w:r w:rsidR="00D27119" w:rsidRPr="00002625">
        <w:t>o</w:t>
      </w:r>
      <w:r w:rsidR="00F42ABF" w:rsidRPr="00002625">
        <w:t>r</w:t>
      </w:r>
      <w:r w:rsidR="00D27119" w:rsidRPr="00002625">
        <w:t xml:space="preserve"> specialist</w:t>
      </w:r>
      <w:r w:rsidR="00B00B98" w:rsidRPr="00002625">
        <w:t xml:space="preserve"> for </w:t>
      </w:r>
      <w:r w:rsidR="00D01CB1" w:rsidRPr="00002625">
        <w:t>assessment</w:t>
      </w:r>
      <w:r w:rsidR="00925077" w:rsidRPr="00002625">
        <w:t xml:space="preserve">, </w:t>
      </w:r>
      <w:r w:rsidR="00E86FD9" w:rsidRPr="00002625">
        <w:t xml:space="preserve">the </w:t>
      </w:r>
      <w:r w:rsidR="00BA1CEF" w:rsidRPr="00002625">
        <w:t xml:space="preserve">current Cancer Council (2023) recommendations are different </w:t>
      </w:r>
      <w:r w:rsidR="00B7793C" w:rsidRPr="00002625">
        <w:t xml:space="preserve">for patients with a positive FOBT compared to symptomatic patients. </w:t>
      </w:r>
      <w:r w:rsidR="007953A2" w:rsidRPr="00002625">
        <w:t>The guideline</w:t>
      </w:r>
      <w:r w:rsidR="00F53342" w:rsidRPr="00002625">
        <w:t xml:space="preserve">s for Chapter </w:t>
      </w:r>
      <w:r w:rsidR="008342C4" w:rsidRPr="00002625">
        <w:t>5 on Su</w:t>
      </w:r>
      <w:r w:rsidR="00783C24" w:rsidRPr="00002625">
        <w:t xml:space="preserve">mmary of recommendations for population screening </w:t>
      </w:r>
      <w:r w:rsidR="007953A2" w:rsidRPr="00002625">
        <w:t xml:space="preserve">recommends colonoscopy for patients with a positive FOBT, which </w:t>
      </w:r>
      <w:r w:rsidR="00305E82" w:rsidRPr="00002625">
        <w:t xml:space="preserve">is different to the </w:t>
      </w:r>
      <w:r w:rsidR="00186FFB" w:rsidRPr="00002625">
        <w:t>recommendations for low risk symptomatic patients to receive colonoscopy</w:t>
      </w:r>
      <w:r w:rsidR="00FB6714" w:rsidRPr="00002625">
        <w:t xml:space="preserve"> </w:t>
      </w:r>
      <w:r w:rsidR="0037020E">
        <w:t xml:space="preserve">with the option of CTC where colonoscopy is not available but there is access to CT </w:t>
      </w:r>
      <w:r w:rsidR="00FB6714" w:rsidRPr="00002625">
        <w:t>(Guideline chapter 7 on symptomatic patients) (Cancer Council 2023)</w:t>
      </w:r>
      <w:r w:rsidR="00186FFB" w:rsidRPr="00002625">
        <w:t xml:space="preserve">. </w:t>
      </w:r>
      <w:r w:rsidR="00F32A0B" w:rsidRPr="00002625">
        <w:t>The studies cited</w:t>
      </w:r>
      <w:r w:rsidR="00AF6BA5" w:rsidRPr="00002625">
        <w:t xml:space="preserve"> (</w:t>
      </w:r>
      <w:r w:rsidR="0002607B" w:rsidRPr="00002625">
        <w:t>Aniwan</w:t>
      </w:r>
      <w:r w:rsidR="00D30A66" w:rsidRPr="00002625">
        <w:t xml:space="preserve"> et al. </w:t>
      </w:r>
      <w:r w:rsidR="004D49A7" w:rsidRPr="00002625">
        <w:t xml:space="preserve">2017, </w:t>
      </w:r>
      <w:r w:rsidR="00D83517" w:rsidRPr="00002625">
        <w:t>Chiu et</w:t>
      </w:r>
      <w:r w:rsidR="00596F51" w:rsidRPr="00002625">
        <w:t xml:space="preserve"> </w:t>
      </w:r>
      <w:r w:rsidR="00D83517" w:rsidRPr="00002625">
        <w:t>al.</w:t>
      </w:r>
      <w:r w:rsidR="00596F51" w:rsidRPr="00002625">
        <w:t xml:space="preserve"> 2016, Digby </w:t>
      </w:r>
      <w:r w:rsidR="00AF326E" w:rsidRPr="00002625">
        <w:t xml:space="preserve">et al. 2015, Njor et al. </w:t>
      </w:r>
      <w:r w:rsidR="00714B0D" w:rsidRPr="00002625">
        <w:t xml:space="preserve">2022, Ribbing et al. </w:t>
      </w:r>
      <w:r w:rsidR="00DF26FB" w:rsidRPr="00002625">
        <w:t>2019)</w:t>
      </w:r>
      <w:r w:rsidR="00D83517" w:rsidRPr="00002625">
        <w:t xml:space="preserve"> </w:t>
      </w:r>
      <w:r w:rsidR="00F32A0B" w:rsidRPr="00002625">
        <w:t>to support the</w:t>
      </w:r>
      <w:r w:rsidR="009B1945" w:rsidRPr="00002625">
        <w:t xml:space="preserve"> Chapter </w:t>
      </w:r>
      <w:r w:rsidR="00C94F84" w:rsidRPr="00002625">
        <w:t>5</w:t>
      </w:r>
      <w:r w:rsidR="00F32A0B" w:rsidRPr="00002625">
        <w:t xml:space="preserve"> recommendation </w:t>
      </w:r>
      <w:r w:rsidR="00CF632C" w:rsidRPr="00002625">
        <w:t>to follow-up a positive FOBT with colonoscopy</w:t>
      </w:r>
      <w:r w:rsidR="008304B8" w:rsidRPr="00002625">
        <w:t xml:space="preserve"> </w:t>
      </w:r>
      <w:r w:rsidR="0037020E">
        <w:t xml:space="preserve">however, </w:t>
      </w:r>
      <w:r w:rsidR="0079062B" w:rsidRPr="00002625">
        <w:t>were</w:t>
      </w:r>
      <w:r w:rsidR="008304B8" w:rsidRPr="00002625">
        <w:t xml:space="preserve"> </w:t>
      </w:r>
      <w:r w:rsidR="0079062B" w:rsidRPr="00002625">
        <w:t>mainly</w:t>
      </w:r>
      <w:r w:rsidR="008304B8" w:rsidRPr="00002625">
        <w:t xml:space="preserve"> investigations of FOBT </w:t>
      </w:r>
      <w:r w:rsidR="0079062B" w:rsidRPr="00002625">
        <w:t xml:space="preserve">to examine optimal cut off </w:t>
      </w:r>
      <w:r w:rsidR="00E86B5B" w:rsidRPr="00002625">
        <w:t>thresholds</w:t>
      </w:r>
      <w:r w:rsidR="00D51DF2" w:rsidRPr="00002625">
        <w:t xml:space="preserve">, using </w:t>
      </w:r>
      <w:r w:rsidR="00DE682D" w:rsidRPr="00002625">
        <w:t>colonoscopy to confirm</w:t>
      </w:r>
      <w:r w:rsidR="00670420" w:rsidRPr="00002625">
        <w:t xml:space="preserve"> the presence</w:t>
      </w:r>
      <w:r w:rsidR="00D87F0E" w:rsidRPr="00002625">
        <w:t xml:space="preserve"> of </w:t>
      </w:r>
      <w:r w:rsidR="00FC5566" w:rsidRPr="00002625">
        <w:t>CRC and CRC r</w:t>
      </w:r>
      <w:r w:rsidR="00E90265" w:rsidRPr="00002625">
        <w:t>elated pathology</w:t>
      </w:r>
      <w:r w:rsidR="00090870" w:rsidRPr="00002625">
        <w:t xml:space="preserve"> and did not investigate </w:t>
      </w:r>
      <w:r w:rsidR="00D74477" w:rsidRPr="00002625">
        <w:t>alternate modalities such as CTC.</w:t>
      </w:r>
      <w:r w:rsidR="004B557F" w:rsidRPr="00002625">
        <w:t xml:space="preserve"> </w:t>
      </w:r>
    </w:p>
    <w:p w14:paraId="61004CF7" w14:textId="3CBCDEF7" w:rsidR="00BC0CA8" w:rsidRPr="00002625" w:rsidRDefault="00974C58" w:rsidP="00974C58">
      <w:pPr>
        <w:rPr>
          <w:rFonts w:cs="Calibri"/>
          <w:i/>
          <w:iCs/>
          <w:color w:val="000000" w:themeColor="text1"/>
        </w:rPr>
      </w:pPr>
      <w:r w:rsidRPr="00002625">
        <w:rPr>
          <w:rFonts w:cs="Calibri"/>
          <w:i/>
          <w:iCs/>
        </w:rPr>
        <w:t xml:space="preserve">PASC noted that CTC is not </w:t>
      </w:r>
      <w:r w:rsidR="0037020E">
        <w:rPr>
          <w:rFonts w:cs="Calibri"/>
          <w:i/>
          <w:iCs/>
        </w:rPr>
        <w:t xml:space="preserve">recommended </w:t>
      </w:r>
      <w:r w:rsidRPr="00002625">
        <w:rPr>
          <w:rFonts w:cs="Calibri"/>
          <w:i/>
          <w:iCs/>
        </w:rPr>
        <w:t xml:space="preserve">for managing positive FOBT patients in the current Australian screening guidelines. The applicant stated that </w:t>
      </w:r>
      <w:r w:rsidR="0037020E">
        <w:rPr>
          <w:rFonts w:cs="Calibri"/>
          <w:i/>
          <w:iCs/>
        </w:rPr>
        <w:t>this was because</w:t>
      </w:r>
      <w:r w:rsidRPr="00002625">
        <w:rPr>
          <w:rFonts w:cs="Calibri"/>
          <w:i/>
          <w:iCs/>
        </w:rPr>
        <w:t xml:space="preserve"> the guidelines </w:t>
      </w:r>
      <w:r w:rsidR="0037020E">
        <w:rPr>
          <w:rFonts w:cs="Calibri"/>
          <w:i/>
          <w:iCs/>
        </w:rPr>
        <w:t xml:space="preserve">had </w:t>
      </w:r>
      <w:r w:rsidRPr="00002625">
        <w:rPr>
          <w:rFonts w:cs="Calibri"/>
          <w:i/>
          <w:iCs/>
        </w:rPr>
        <w:t xml:space="preserve">lacked consultation </w:t>
      </w:r>
      <w:r w:rsidRPr="00002625">
        <w:rPr>
          <w:rFonts w:cs="Calibri"/>
          <w:i/>
          <w:iCs/>
        </w:rPr>
        <w:lastRenderedPageBreak/>
        <w:t>with wider clinical specialty groups, including radiologists</w:t>
      </w:r>
      <w:r w:rsidR="0037020E">
        <w:rPr>
          <w:rFonts w:cs="Calibri"/>
          <w:i/>
          <w:iCs/>
        </w:rPr>
        <w:t>.</w:t>
      </w:r>
      <w:r w:rsidRPr="00002625">
        <w:rPr>
          <w:rFonts w:cs="Calibri"/>
          <w:i/>
          <w:iCs/>
        </w:rPr>
        <w:t xml:space="preserve"> compared to overseas guidelines. PASC noted NBCSP data for 2020-2021 showed that 3% of patients with a positive FOBT have a cancer detected on colonoscopy (noting that data were incomplete due to limitations on data captured by NBCSP). PASC advised that patients considered </w:t>
      </w:r>
      <w:r w:rsidRPr="00002625">
        <w:rPr>
          <w:rFonts w:cs="Calibri"/>
          <w:i/>
          <w:iCs/>
          <w:color w:val="000000" w:themeColor="text1"/>
        </w:rPr>
        <w:t xml:space="preserve">high risk for CRC should be excluded from this application as these patients should </w:t>
      </w:r>
      <w:r w:rsidR="002B17B3">
        <w:rPr>
          <w:rFonts w:cs="Calibri"/>
          <w:i/>
          <w:iCs/>
          <w:color w:val="000000" w:themeColor="text1"/>
        </w:rPr>
        <w:t xml:space="preserve">undergo </w:t>
      </w:r>
      <w:r w:rsidRPr="00002625">
        <w:rPr>
          <w:rFonts w:cs="Calibri"/>
          <w:i/>
          <w:iCs/>
          <w:color w:val="000000" w:themeColor="text1"/>
        </w:rPr>
        <w:t>colonoscopy.</w:t>
      </w:r>
    </w:p>
    <w:p w14:paraId="647E3C71" w14:textId="34C26FF0" w:rsidR="00B179E5" w:rsidRPr="00002625" w:rsidRDefault="00B179E5" w:rsidP="00974C58">
      <w:pPr>
        <w:rPr>
          <w:rFonts w:cs="Calibri"/>
          <w:i/>
          <w:iCs/>
          <w:color w:val="000000" w:themeColor="text1"/>
        </w:rPr>
      </w:pPr>
      <w:r w:rsidRPr="00002625">
        <w:rPr>
          <w:rFonts w:cs="Calibri"/>
          <w:i/>
          <w:iCs/>
          <w:color w:val="000000" w:themeColor="text1"/>
        </w:rPr>
        <w:t xml:space="preserve">PASC considered the population subset for whom diagnostic imaging has shown an abnormality of the colon </w:t>
      </w:r>
      <w:r w:rsidR="002B17B3">
        <w:rPr>
          <w:rFonts w:cs="Calibri"/>
          <w:i/>
          <w:iCs/>
          <w:color w:val="000000" w:themeColor="text1"/>
        </w:rPr>
        <w:t xml:space="preserve">(such as bowel thickening) </w:t>
      </w:r>
      <w:r w:rsidRPr="00002625">
        <w:rPr>
          <w:rFonts w:cs="Calibri"/>
          <w:i/>
          <w:iCs/>
          <w:color w:val="000000" w:themeColor="text1"/>
        </w:rPr>
        <w:t xml:space="preserve">to </w:t>
      </w:r>
      <w:r w:rsidR="002B17B3">
        <w:rPr>
          <w:rFonts w:cs="Calibri"/>
          <w:i/>
          <w:iCs/>
          <w:color w:val="000000" w:themeColor="text1"/>
        </w:rPr>
        <w:t xml:space="preserve">potentially </w:t>
      </w:r>
      <w:r w:rsidRPr="00002625">
        <w:rPr>
          <w:rFonts w:cs="Calibri"/>
          <w:i/>
          <w:iCs/>
          <w:color w:val="000000" w:themeColor="text1"/>
        </w:rPr>
        <w:t xml:space="preserve">be appropriate for </w:t>
      </w:r>
      <w:r w:rsidR="000E0316" w:rsidRPr="00002625">
        <w:rPr>
          <w:rFonts w:cs="Calibri"/>
          <w:i/>
          <w:iCs/>
          <w:color w:val="000000" w:themeColor="text1"/>
        </w:rPr>
        <w:t xml:space="preserve">further investigation </w:t>
      </w:r>
      <w:r w:rsidRPr="00002625">
        <w:rPr>
          <w:rFonts w:cs="Calibri"/>
          <w:i/>
          <w:iCs/>
          <w:color w:val="000000" w:themeColor="text1"/>
        </w:rPr>
        <w:t>by CTC</w:t>
      </w:r>
    </w:p>
    <w:p w14:paraId="7153B6AC" w14:textId="713E6802" w:rsidR="00613F76" w:rsidRPr="00002625" w:rsidRDefault="00613F76" w:rsidP="00974C58">
      <w:pPr>
        <w:rPr>
          <w:i/>
          <w:iCs/>
        </w:rPr>
      </w:pPr>
      <w:r w:rsidRPr="00002625">
        <w:rPr>
          <w:rFonts w:asciiTheme="minorHAnsi" w:hAnsiTheme="minorHAnsi" w:cstheme="minorBidi"/>
          <w:i/>
          <w:iCs/>
        </w:rPr>
        <w:t>Overall PASC considered that patients with low-risk symptoms and abnormal abdominal imaging may form the basis of an appropriate population</w:t>
      </w:r>
      <w:r w:rsidR="0037020E">
        <w:rPr>
          <w:rFonts w:asciiTheme="minorHAnsi" w:hAnsiTheme="minorHAnsi" w:cstheme="minorBidi"/>
          <w:i/>
          <w:iCs/>
        </w:rPr>
        <w:t>, pending consensus on definition of low risk</w:t>
      </w:r>
      <w:r w:rsidRPr="00002625">
        <w:rPr>
          <w:rFonts w:asciiTheme="minorHAnsi" w:hAnsiTheme="minorHAnsi" w:cstheme="minorBidi"/>
          <w:i/>
          <w:iCs/>
        </w:rPr>
        <w:t>.</w:t>
      </w:r>
    </w:p>
    <w:p w14:paraId="74FD0C7F" w14:textId="4DCA1414" w:rsidR="00DB6F0B" w:rsidRPr="00002625" w:rsidRDefault="00764516" w:rsidP="00270BF6">
      <w:pPr>
        <w:pStyle w:val="Heading5"/>
      </w:pPr>
      <w:r w:rsidRPr="00002625">
        <w:t xml:space="preserve">Patients </w:t>
      </w:r>
      <w:r w:rsidR="00AE33A0" w:rsidRPr="00002625">
        <w:t>with c</w:t>
      </w:r>
      <w:r w:rsidR="004F7400" w:rsidRPr="00002625">
        <w:t>ontraindication</w:t>
      </w:r>
      <w:r w:rsidR="0073404B" w:rsidRPr="00002625">
        <w:t xml:space="preserve">s </w:t>
      </w:r>
      <w:r w:rsidR="00A2390D" w:rsidRPr="00002625">
        <w:t>for</w:t>
      </w:r>
      <w:r w:rsidR="0073404B" w:rsidRPr="00002625">
        <w:t xml:space="preserve"> </w:t>
      </w:r>
      <w:r w:rsidR="00453652" w:rsidRPr="00002625">
        <w:t>c</w:t>
      </w:r>
      <w:r w:rsidR="00DB6F0B" w:rsidRPr="00002625">
        <w:t xml:space="preserve">olonoscopy </w:t>
      </w:r>
    </w:p>
    <w:p w14:paraId="7A2AB64F" w14:textId="6759F30D" w:rsidR="00E85FCC" w:rsidRPr="00002625" w:rsidRDefault="00DB6F0B" w:rsidP="00DB6F0B">
      <w:r w:rsidRPr="00002625">
        <w:t xml:space="preserve">CTC for patients with contraindications for colonoscopy was considered </w:t>
      </w:r>
      <w:r w:rsidR="00A95082" w:rsidRPr="00002625">
        <w:t xml:space="preserve">by MSAC </w:t>
      </w:r>
      <w:r w:rsidRPr="00002625">
        <w:t xml:space="preserve">in the previous MSAC application 1269. The list of contraindications for that application was supplied by ARGANZ, </w:t>
      </w:r>
      <w:r w:rsidR="00C0770E" w:rsidRPr="00002625">
        <w:t xml:space="preserve">which </w:t>
      </w:r>
      <w:r w:rsidR="00192C42" w:rsidRPr="00002625">
        <w:t>is</w:t>
      </w:r>
      <w:r w:rsidRPr="00002625">
        <w:t xml:space="preserve"> </w:t>
      </w:r>
      <w:r w:rsidR="009016F4" w:rsidRPr="00002625">
        <w:t xml:space="preserve">presented </w:t>
      </w:r>
      <w:r w:rsidRPr="00002625">
        <w:t xml:space="preserve">in </w:t>
      </w:r>
      <w:r w:rsidRPr="00002625">
        <w:fldChar w:fldCharType="begin"/>
      </w:r>
      <w:r w:rsidRPr="00002625">
        <w:instrText xml:space="preserve"> REF _Ref181279211 \h </w:instrText>
      </w:r>
      <w:r w:rsidRPr="00002625">
        <w:fldChar w:fldCharType="separate"/>
      </w:r>
      <w:r w:rsidR="00637321" w:rsidRPr="00002625">
        <w:t>Table </w:t>
      </w:r>
      <w:r w:rsidR="00637321" w:rsidRPr="00002625">
        <w:rPr>
          <w:noProof/>
        </w:rPr>
        <w:t>9</w:t>
      </w:r>
      <w:r w:rsidRPr="00002625">
        <w:fldChar w:fldCharType="end"/>
      </w:r>
      <w:r w:rsidR="007D6268" w:rsidRPr="00002625">
        <w:t>.</w:t>
      </w:r>
    </w:p>
    <w:p w14:paraId="4EE77271" w14:textId="201C352E" w:rsidR="00DF7C9E" w:rsidRPr="00002625" w:rsidRDefault="00764DBC" w:rsidP="00DB6F0B">
      <w:r w:rsidRPr="00002625">
        <w:t xml:space="preserve">Although </w:t>
      </w:r>
      <w:r w:rsidR="00287072" w:rsidRPr="00002625">
        <w:t xml:space="preserve">MSAC supported </w:t>
      </w:r>
      <w:r w:rsidR="00496317" w:rsidRPr="00002625">
        <w:t xml:space="preserve">extending </w:t>
      </w:r>
      <w:r w:rsidR="00287072" w:rsidRPr="00002625">
        <w:t xml:space="preserve">the </w:t>
      </w:r>
      <w:r w:rsidR="00496317" w:rsidRPr="00002625">
        <w:t xml:space="preserve">eligibility of CTC to </w:t>
      </w:r>
      <w:r w:rsidR="00F17D37" w:rsidRPr="00002625">
        <w:t xml:space="preserve">a wider list of </w:t>
      </w:r>
      <w:r w:rsidR="001A3C53" w:rsidRPr="00002625">
        <w:t>con</w:t>
      </w:r>
      <w:r w:rsidR="001C0C5A" w:rsidRPr="00002625">
        <w:t>t</w:t>
      </w:r>
      <w:r w:rsidR="006328B1" w:rsidRPr="00002625">
        <w:t xml:space="preserve">raindications </w:t>
      </w:r>
      <w:r w:rsidR="00627396" w:rsidRPr="00002625">
        <w:t xml:space="preserve">to colonoscopy </w:t>
      </w:r>
      <w:r w:rsidR="001F6EAE" w:rsidRPr="00002625">
        <w:t>as part of the associated explanatory notes</w:t>
      </w:r>
      <w:r w:rsidR="006A3D1A" w:rsidRPr="00002625">
        <w:t xml:space="preserve"> (MSAC application 1269 Public Summary Document [PSD]</w:t>
      </w:r>
      <w:r w:rsidR="006A3D1A" w:rsidRPr="00002625">
        <w:rPr>
          <w:rStyle w:val="FootnoteReference"/>
        </w:rPr>
        <w:footnoteReference w:id="6"/>
      </w:r>
      <w:r w:rsidR="006A3D1A" w:rsidRPr="00002625">
        <w:t>)</w:t>
      </w:r>
      <w:r w:rsidR="001F6EAE" w:rsidRPr="00002625">
        <w:t xml:space="preserve">, </w:t>
      </w:r>
      <w:r w:rsidR="00444675" w:rsidRPr="00002625">
        <w:t>the explanatory notes</w:t>
      </w:r>
      <w:r w:rsidR="006D3FE7" w:rsidRPr="00002625">
        <w:t xml:space="preserve"> IN.0.15</w:t>
      </w:r>
      <w:r w:rsidR="00444675" w:rsidRPr="00002625">
        <w:t xml:space="preserve"> were not amended during implementation</w:t>
      </w:r>
      <w:r w:rsidR="354F444B" w:rsidRPr="00002625">
        <w:t xml:space="preserve"> and additionally, as the explanatory notes </w:t>
      </w:r>
      <w:r w:rsidR="0696336E" w:rsidRPr="00002625">
        <w:t>do not have legislative power, they would not have provided authority to render the MBS service to patients for this reason without that population being included in the final item description itself</w:t>
      </w:r>
      <w:r w:rsidR="00444675" w:rsidRPr="00002625">
        <w:t>.</w:t>
      </w:r>
    </w:p>
    <w:p w14:paraId="1D99460B" w14:textId="7C167DC3" w:rsidR="00E80EB3" w:rsidRPr="00002625" w:rsidRDefault="00E80EB3" w:rsidP="00F87900">
      <w:pPr>
        <w:spacing w:after="80"/>
      </w:pPr>
      <w:r w:rsidRPr="00002625">
        <w:t xml:space="preserve">The list of contraindications </w:t>
      </w:r>
      <w:r w:rsidR="00460A8C" w:rsidRPr="00002625">
        <w:t>to colonoscopy</w:t>
      </w:r>
      <w:r w:rsidRPr="00002625">
        <w:t xml:space="preserve"> provided by ARGANZ</w:t>
      </w:r>
      <w:r w:rsidR="00460A8C" w:rsidRPr="00002625">
        <w:t xml:space="preserve"> to support application 1269</w:t>
      </w:r>
      <w:r w:rsidRPr="00002625">
        <w:t xml:space="preserve"> were more specific conditions </w:t>
      </w:r>
      <w:r w:rsidR="0071629D" w:rsidRPr="00002625">
        <w:t>and</w:t>
      </w:r>
      <w:r w:rsidRPr="00002625">
        <w:t xml:space="preserve"> differed from the general contraindications cited in the colonoscopy protocols consulted (Canberra Health Services 2022; Western Australia Country Health Service 2019; Alfred Health 2024; Lee and Saltzman 2024). It </w:t>
      </w:r>
      <w:r w:rsidR="00A60713" w:rsidRPr="00002625">
        <w:t>wa</w:t>
      </w:r>
      <w:r w:rsidRPr="00002625">
        <w:t xml:space="preserve">s </w:t>
      </w:r>
      <w:r w:rsidR="004A5E9C" w:rsidRPr="00002625">
        <w:t>unclear</w:t>
      </w:r>
      <w:r w:rsidRPr="00002625">
        <w:t xml:space="preserve"> whether some or all conditions provided by ARGANZ may fall under the general contraindication “When the risks of the colonoscopy outweigh the expected benefits”. Some of the contraindications for colonoscopy were noted to be contraindications for CTC as well (toxic megacolon, colitis and pregnancy) (</w:t>
      </w:r>
      <w:r w:rsidR="0011735E" w:rsidRPr="00002625">
        <w:fldChar w:fldCharType="begin"/>
      </w:r>
      <w:r w:rsidR="0011735E" w:rsidRPr="00002625">
        <w:instrText xml:space="preserve"> REF _Ref181279211 \h </w:instrText>
      </w:r>
      <w:r w:rsidR="0011735E" w:rsidRPr="00002625">
        <w:fldChar w:fldCharType="separate"/>
      </w:r>
      <w:r w:rsidR="00637321" w:rsidRPr="00002625">
        <w:t>Table </w:t>
      </w:r>
      <w:r w:rsidR="00637321" w:rsidRPr="00002625">
        <w:rPr>
          <w:noProof/>
        </w:rPr>
        <w:t>9</w:t>
      </w:r>
      <w:r w:rsidR="0011735E" w:rsidRPr="00002625">
        <w:fldChar w:fldCharType="end"/>
      </w:r>
      <w:r w:rsidRPr="00002625">
        <w:t>)</w:t>
      </w:r>
      <w:r w:rsidR="00465C03" w:rsidRPr="00002625">
        <w:t xml:space="preserve">. </w:t>
      </w:r>
    </w:p>
    <w:p w14:paraId="2366CDE7" w14:textId="77777777" w:rsidR="00134FCB" w:rsidRDefault="00134FCB">
      <w:pPr>
        <w:spacing w:after="160" w:line="259" w:lineRule="auto"/>
        <w:rPr>
          <w:rFonts w:ascii="Arial Narrow" w:eastAsia="Times New Roman" w:hAnsi="Arial Narrow" w:cs="Tahoma"/>
          <w:b/>
          <w:sz w:val="20"/>
          <w:szCs w:val="20"/>
          <w:lang w:eastAsia="en-AU"/>
        </w:rPr>
      </w:pPr>
      <w:bookmarkStart w:id="17" w:name="_Ref181278057"/>
      <w:bookmarkStart w:id="18" w:name="_Ref181277851"/>
      <w:bookmarkStart w:id="19" w:name="_Ref181279211"/>
      <w:r>
        <w:br w:type="page"/>
      </w:r>
    </w:p>
    <w:p w14:paraId="7D9CDCBB" w14:textId="2596C095" w:rsidR="00752475" w:rsidRPr="00002625" w:rsidRDefault="00752475" w:rsidP="00F87900">
      <w:pPr>
        <w:pStyle w:val="TableHeading"/>
        <w:spacing w:before="0"/>
      </w:pPr>
      <w:r w:rsidRPr="00002625">
        <w:lastRenderedPageBreak/>
        <w:t>Table </w:t>
      </w:r>
      <w:r w:rsidRPr="00002625">
        <w:fldChar w:fldCharType="begin"/>
      </w:r>
      <w:r w:rsidRPr="00002625">
        <w:fldChar w:fldCharType="separate"/>
      </w:r>
      <w:r w:rsidRPr="00002625">
        <w:fldChar w:fldCharType="end"/>
      </w:r>
      <w:r>
        <w:fldChar w:fldCharType="begin"/>
      </w:r>
      <w:r>
        <w:instrText>SEQ Table \* ARABIC</w:instrText>
      </w:r>
      <w:r>
        <w:fldChar w:fldCharType="separate"/>
      </w:r>
      <w:r w:rsidRPr="00002625">
        <w:rPr>
          <w:noProof/>
        </w:rPr>
        <w:t>9</w:t>
      </w:r>
      <w:r>
        <w:fldChar w:fldCharType="end"/>
      </w:r>
      <w:r w:rsidRPr="00002625">
        <w:tab/>
        <w:t>Contraindications for colonoscopy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Contraindications for colonoscopy"/>
        <w:tblDescription w:val="Table showing contraindications for colonoscopy"/>
      </w:tblPr>
      <w:tblGrid>
        <w:gridCol w:w="2263"/>
        <w:gridCol w:w="7308"/>
      </w:tblGrid>
      <w:tr w:rsidR="00752475" w:rsidRPr="00002625" w14:paraId="4C3E7D1B" w14:textId="77777777" w:rsidTr="00134FCB">
        <w:trPr>
          <w:cantSplit/>
          <w:tblHeader/>
        </w:trPr>
        <w:tc>
          <w:tcPr>
            <w:tcW w:w="1182" w:type="pct"/>
            <w:tcBorders>
              <w:bottom w:val="single" w:sz="4" w:space="0" w:color="auto"/>
            </w:tcBorders>
            <w:hideMark/>
          </w:tcPr>
          <w:p w14:paraId="05CCFFED" w14:textId="77777777" w:rsidR="00752475" w:rsidRPr="00002625" w:rsidRDefault="00752475">
            <w:pPr>
              <w:pStyle w:val="TableText0"/>
              <w:keepNext/>
              <w:rPr>
                <w:b/>
              </w:rPr>
            </w:pPr>
            <w:r w:rsidRPr="00002625">
              <w:rPr>
                <w:b/>
              </w:rPr>
              <w:t>Source</w:t>
            </w:r>
          </w:p>
        </w:tc>
        <w:tc>
          <w:tcPr>
            <w:tcW w:w="3818" w:type="pct"/>
          </w:tcPr>
          <w:p w14:paraId="2482E2AB" w14:textId="77777777" w:rsidR="00752475" w:rsidRPr="00002625" w:rsidRDefault="00752475">
            <w:pPr>
              <w:pStyle w:val="TableText0"/>
              <w:keepNext/>
              <w:rPr>
                <w:b/>
              </w:rPr>
            </w:pPr>
            <w:r w:rsidRPr="00002625">
              <w:rPr>
                <w:b/>
              </w:rPr>
              <w:t>Type of contraindication</w:t>
            </w:r>
          </w:p>
        </w:tc>
      </w:tr>
      <w:tr w:rsidR="00752475" w:rsidRPr="00002625" w14:paraId="08A371DE" w14:textId="77777777" w:rsidTr="00134FCB">
        <w:trPr>
          <w:cantSplit/>
        </w:trPr>
        <w:tc>
          <w:tcPr>
            <w:tcW w:w="1182" w:type="pct"/>
            <w:tcBorders>
              <w:bottom w:val="single" w:sz="4" w:space="0" w:color="auto"/>
            </w:tcBorders>
          </w:tcPr>
          <w:p w14:paraId="14525D7D" w14:textId="77777777" w:rsidR="00752475" w:rsidRPr="00002625" w:rsidRDefault="00752475">
            <w:pPr>
              <w:pStyle w:val="TableText0"/>
            </w:pPr>
            <w:r w:rsidRPr="00002625">
              <w:t>Supplied by ARGANZ (MSAC application 1269)</w:t>
            </w:r>
          </w:p>
        </w:tc>
        <w:tc>
          <w:tcPr>
            <w:tcW w:w="3818" w:type="pct"/>
            <w:tcBorders>
              <w:bottom w:val="single" w:sz="4" w:space="0" w:color="auto"/>
            </w:tcBorders>
          </w:tcPr>
          <w:p w14:paraId="36D92E5F" w14:textId="77777777" w:rsidR="00752475" w:rsidRPr="00002625" w:rsidRDefault="00752475">
            <w:pPr>
              <w:pStyle w:val="TableText0"/>
            </w:pPr>
            <w:r w:rsidRPr="00002625">
              <w:t xml:space="preserve">• active colitis  </w:t>
            </w:r>
          </w:p>
          <w:p w14:paraId="44D4C190" w14:textId="77777777" w:rsidR="00752475" w:rsidRPr="00002625" w:rsidRDefault="00752475">
            <w:pPr>
              <w:pStyle w:val="TableText0"/>
            </w:pPr>
            <w:r w:rsidRPr="00002625">
              <w:t xml:space="preserve">• large abdominal aortic aneurysms </w:t>
            </w:r>
          </w:p>
          <w:p w14:paraId="31127CFE" w14:textId="77777777" w:rsidR="00752475" w:rsidRPr="00002625" w:rsidRDefault="00752475">
            <w:pPr>
              <w:pStyle w:val="TableText0"/>
            </w:pPr>
            <w:r w:rsidRPr="00002625">
              <w:t xml:space="preserve">• recent myocardial infarction or pulmonary embolism </w:t>
            </w:r>
          </w:p>
          <w:p w14:paraId="2D51E149" w14:textId="77777777" w:rsidR="00752475" w:rsidRPr="00002625" w:rsidRDefault="00752475">
            <w:pPr>
              <w:pStyle w:val="TableText0"/>
            </w:pPr>
            <w:r w:rsidRPr="00002625">
              <w:t xml:space="preserve">• coagulopathies, including patients receiving therapeutic anticoagulation </w:t>
            </w:r>
          </w:p>
          <w:p w14:paraId="393C6C29" w14:textId="77777777" w:rsidR="00752475" w:rsidRPr="00002625" w:rsidRDefault="00752475">
            <w:pPr>
              <w:pStyle w:val="TableText0"/>
            </w:pPr>
            <w:r w:rsidRPr="00002625">
              <w:t xml:space="preserve">• patients unable to tolerate adequate bowel preparations for colonoscopy </w:t>
            </w:r>
          </w:p>
          <w:p w14:paraId="5E0E350A" w14:textId="77777777" w:rsidR="00752475" w:rsidRPr="00002625" w:rsidRDefault="00752475">
            <w:pPr>
              <w:pStyle w:val="TableText0"/>
            </w:pPr>
            <w:r w:rsidRPr="00002625">
              <w:t xml:space="preserve">• frail patients of advanced age </w:t>
            </w:r>
          </w:p>
          <w:p w14:paraId="621599CC" w14:textId="77777777" w:rsidR="00752475" w:rsidRPr="00002625" w:rsidRDefault="00752475">
            <w:pPr>
              <w:pStyle w:val="TableText0"/>
            </w:pPr>
            <w:r w:rsidRPr="00002625">
              <w:t xml:space="preserve">• abdominal large-bowel hernias </w:t>
            </w:r>
          </w:p>
          <w:p w14:paraId="71BA06CA" w14:textId="77777777" w:rsidR="00752475" w:rsidRPr="00002625" w:rsidRDefault="00752475">
            <w:pPr>
              <w:pStyle w:val="TableText0"/>
            </w:pPr>
            <w:r w:rsidRPr="00002625">
              <w:t>• splenomegaly</w:t>
            </w:r>
          </w:p>
        </w:tc>
      </w:tr>
      <w:tr w:rsidR="00752475" w:rsidRPr="00002625" w14:paraId="76FC6C8E" w14:textId="77777777" w:rsidTr="00134FCB">
        <w:trPr>
          <w:cantSplit/>
        </w:trPr>
        <w:tc>
          <w:tcPr>
            <w:tcW w:w="1182" w:type="pct"/>
            <w:tcBorders>
              <w:bottom w:val="single" w:sz="4" w:space="0" w:color="auto"/>
            </w:tcBorders>
          </w:tcPr>
          <w:p w14:paraId="0153F625" w14:textId="77777777" w:rsidR="00752475" w:rsidRPr="00002625" w:rsidRDefault="00752475">
            <w:pPr>
              <w:pStyle w:val="TableText0"/>
            </w:pPr>
            <w:r w:rsidRPr="00002625">
              <w:t>Current clinical practice</w:t>
            </w:r>
          </w:p>
        </w:tc>
        <w:tc>
          <w:tcPr>
            <w:tcW w:w="3818" w:type="pct"/>
            <w:tcBorders>
              <w:bottom w:val="single" w:sz="4" w:space="0" w:color="auto"/>
            </w:tcBorders>
          </w:tcPr>
          <w:p w14:paraId="0D16882A" w14:textId="77777777" w:rsidR="00752475" w:rsidRPr="00002625" w:rsidRDefault="00752475">
            <w:pPr>
              <w:pStyle w:val="TableText0"/>
            </w:pPr>
            <w:r w:rsidRPr="00002625">
              <w:t>• Patient refusal / lack of consent</w:t>
            </w:r>
          </w:p>
          <w:p w14:paraId="347278DE" w14:textId="77777777" w:rsidR="00752475" w:rsidRPr="00002625" w:rsidRDefault="00752475">
            <w:pPr>
              <w:pStyle w:val="TableText0"/>
            </w:pPr>
            <w:r w:rsidRPr="00002625">
              <w:t>• Known or suspected colonic perforation</w:t>
            </w:r>
          </w:p>
          <w:p w14:paraId="2693B82D" w14:textId="77777777" w:rsidR="00752475" w:rsidRPr="00002625" w:rsidRDefault="00752475">
            <w:pPr>
              <w:pStyle w:val="TableText0"/>
            </w:pPr>
            <w:r w:rsidRPr="00002625">
              <w:t>• When the risks of the colonoscopy outweigh the expected benefits</w:t>
            </w:r>
          </w:p>
          <w:p w14:paraId="0C0D582D" w14:textId="77777777" w:rsidR="00752475" w:rsidRPr="00002625" w:rsidRDefault="00752475">
            <w:pPr>
              <w:pStyle w:val="TableText0"/>
            </w:pPr>
            <w:r w:rsidRPr="00002625">
              <w:t>• Active inflammation (toxic megacolon, fulminant colitis, ulcerative colitis, Crohn disease, diverticulitis)</w:t>
            </w:r>
          </w:p>
        </w:tc>
      </w:tr>
    </w:tbl>
    <w:p w14:paraId="4CDD809A" w14:textId="77777777" w:rsidR="00752475" w:rsidRPr="00002625" w:rsidRDefault="00752475" w:rsidP="00752475">
      <w:pPr>
        <w:pStyle w:val="Tablenotes"/>
        <w:spacing w:after="240"/>
      </w:pPr>
      <w:r w:rsidRPr="00002625">
        <w:t xml:space="preserve">ARGANZ = The Abdominal Radiology Group of Australia and New Zealand; MSAC = Medical Services Advisory Committee </w:t>
      </w:r>
      <w:r w:rsidRPr="00002625">
        <w:tab/>
      </w:r>
      <w:r w:rsidRPr="00002625">
        <w:br/>
        <w:t>Source: MSAC application 1269; Canberra Health Services (2022); Western Australia Country Health Service (2019); Alfred Health (2024); Lee and Saltzman (2024).</w:t>
      </w:r>
      <w:r w:rsidRPr="00002625">
        <w:tab/>
      </w:r>
    </w:p>
    <w:p w14:paraId="3815A4C6" w14:textId="1955D90A" w:rsidR="00752475" w:rsidRPr="00002625" w:rsidRDefault="1BDFDEA2" w:rsidP="79C36C26">
      <w:pPr>
        <w:rPr>
          <w:rFonts w:asciiTheme="minorHAnsi" w:hAnsiTheme="minorHAnsi" w:cstheme="minorBidi"/>
          <w:i/>
          <w:iCs/>
        </w:rPr>
      </w:pPr>
      <w:r w:rsidRPr="00002625">
        <w:rPr>
          <w:rFonts w:cs="Calibri"/>
          <w:i/>
          <w:iCs/>
        </w:rPr>
        <w:t xml:space="preserve">PASC considered that many of the contraindications to colonoscopy which were supplied by ARGANZ during MSAC consideration of Application 1269 would </w:t>
      </w:r>
      <w:r w:rsidR="002B17B3">
        <w:rPr>
          <w:rFonts w:cs="Calibri"/>
          <w:i/>
          <w:iCs/>
        </w:rPr>
        <w:t xml:space="preserve">no longer be contraindications, or would </w:t>
      </w:r>
      <w:r w:rsidRPr="00002625">
        <w:rPr>
          <w:rFonts w:cs="Calibri"/>
          <w:i/>
          <w:iCs/>
        </w:rPr>
        <w:t xml:space="preserve">now be considered relative contraindications </w:t>
      </w:r>
      <w:r w:rsidR="002B17B3">
        <w:rPr>
          <w:rFonts w:cs="Calibri"/>
          <w:i/>
          <w:iCs/>
        </w:rPr>
        <w:t>and</w:t>
      </w:r>
      <w:r w:rsidR="002B17B3" w:rsidRPr="00002625">
        <w:rPr>
          <w:rFonts w:cs="Calibri"/>
          <w:i/>
          <w:iCs/>
        </w:rPr>
        <w:t xml:space="preserve"> </w:t>
      </w:r>
      <w:r w:rsidRPr="00002625">
        <w:rPr>
          <w:rFonts w:cs="Calibri"/>
          <w:i/>
          <w:iCs/>
        </w:rPr>
        <w:t xml:space="preserve">could be managed clinically, (such as patients on anticoagulant therapy). </w:t>
      </w:r>
      <w:r w:rsidR="002B17B3">
        <w:rPr>
          <w:rFonts w:cs="Calibri"/>
          <w:i/>
          <w:iCs/>
        </w:rPr>
        <w:t xml:space="preserve">Some </w:t>
      </w:r>
      <w:r w:rsidRPr="00002625">
        <w:rPr>
          <w:rFonts w:cs="Calibri"/>
          <w:i/>
          <w:iCs/>
        </w:rPr>
        <w:t>contraindications to colonoscopy could also be considered contraindications to CTC (for example colitis).</w:t>
      </w:r>
      <w:r w:rsidRPr="00002625">
        <w:rPr>
          <w:rFonts w:asciiTheme="minorHAnsi" w:hAnsiTheme="minorHAnsi" w:cstheme="minorBidi"/>
          <w:i/>
          <w:iCs/>
        </w:rPr>
        <w:t xml:space="preserve"> </w:t>
      </w:r>
      <w:r w:rsidRPr="00002625">
        <w:rPr>
          <w:rFonts w:cs="Calibri"/>
          <w:i/>
          <w:iCs/>
        </w:rPr>
        <w:t>PASC determined that this list of contraindications</w:t>
      </w:r>
      <w:r w:rsidR="53F8F221" w:rsidRPr="00002625">
        <w:rPr>
          <w:rFonts w:cs="Calibri"/>
          <w:i/>
          <w:iCs/>
        </w:rPr>
        <w:t xml:space="preserve"> </w:t>
      </w:r>
      <w:r w:rsidRPr="00002625">
        <w:rPr>
          <w:rFonts w:cs="Calibri"/>
          <w:i/>
          <w:iCs/>
        </w:rPr>
        <w:t>need</w:t>
      </w:r>
      <w:r w:rsidR="4155BCFF" w:rsidRPr="00002625">
        <w:rPr>
          <w:rFonts w:cs="Calibri"/>
          <w:i/>
          <w:iCs/>
        </w:rPr>
        <w:t>s</w:t>
      </w:r>
      <w:r w:rsidRPr="00002625">
        <w:rPr>
          <w:rFonts w:cs="Calibri"/>
          <w:i/>
          <w:iCs/>
        </w:rPr>
        <w:t xml:space="preserve"> to be updated. PASC noted the list of</w:t>
      </w:r>
      <w:r w:rsidRPr="00002625">
        <w:rPr>
          <w:rFonts w:asciiTheme="minorHAnsi" w:hAnsiTheme="minorHAnsi" w:cstheme="minorBidi"/>
          <w:i/>
          <w:iCs/>
        </w:rPr>
        <w:t xml:space="preserve"> contraindications </w:t>
      </w:r>
      <w:r w:rsidR="002B17B3">
        <w:rPr>
          <w:rFonts w:asciiTheme="minorHAnsi" w:hAnsiTheme="minorHAnsi" w:cstheme="minorBidi"/>
          <w:i/>
          <w:iCs/>
        </w:rPr>
        <w:t xml:space="preserve">to colonoscopy </w:t>
      </w:r>
      <w:r w:rsidRPr="00002625">
        <w:rPr>
          <w:rFonts w:asciiTheme="minorHAnsi" w:hAnsiTheme="minorHAnsi" w:cstheme="minorBidi"/>
          <w:i/>
          <w:iCs/>
        </w:rPr>
        <w:t xml:space="preserve">presented in the PICO (Table 9) as pertaining to current clinical practice and commented that </w:t>
      </w:r>
      <w:r w:rsidR="002B17B3">
        <w:rPr>
          <w:rFonts w:asciiTheme="minorHAnsi" w:hAnsiTheme="minorHAnsi" w:cstheme="minorBidi"/>
          <w:i/>
          <w:iCs/>
        </w:rPr>
        <w:t>currently, most contraindications are relative, such as very</w:t>
      </w:r>
      <w:r w:rsidR="002B17B3" w:rsidRPr="00002625">
        <w:rPr>
          <w:rFonts w:asciiTheme="minorHAnsi" w:hAnsiTheme="minorHAnsi" w:cstheme="minorBidi"/>
          <w:i/>
          <w:iCs/>
        </w:rPr>
        <w:t xml:space="preserve"> </w:t>
      </w:r>
      <w:r w:rsidRPr="00002625">
        <w:rPr>
          <w:rFonts w:asciiTheme="minorHAnsi" w:hAnsiTheme="minorHAnsi" w:cstheme="minorBidi"/>
          <w:i/>
          <w:iCs/>
        </w:rPr>
        <w:t xml:space="preserve">frail patients with multiple co-morbidities </w:t>
      </w:r>
      <w:r w:rsidR="002B17B3">
        <w:rPr>
          <w:rFonts w:asciiTheme="minorHAnsi" w:hAnsiTheme="minorHAnsi" w:cstheme="minorBidi"/>
          <w:i/>
          <w:iCs/>
        </w:rPr>
        <w:t>and high anaesthetic risk where</w:t>
      </w:r>
      <w:r w:rsidR="002B17B3" w:rsidRPr="00002625">
        <w:rPr>
          <w:rFonts w:asciiTheme="minorHAnsi" w:hAnsiTheme="minorHAnsi" w:cstheme="minorBidi"/>
          <w:i/>
          <w:iCs/>
        </w:rPr>
        <w:t xml:space="preserve"> </w:t>
      </w:r>
      <w:r w:rsidRPr="00002625">
        <w:rPr>
          <w:rFonts w:asciiTheme="minorHAnsi" w:hAnsiTheme="minorHAnsi" w:cstheme="minorBidi"/>
          <w:i/>
          <w:iCs/>
        </w:rPr>
        <w:t>CTC</w:t>
      </w:r>
      <w:r w:rsidR="002B17B3">
        <w:rPr>
          <w:rFonts w:asciiTheme="minorHAnsi" w:hAnsiTheme="minorHAnsi" w:cstheme="minorBidi"/>
          <w:i/>
          <w:iCs/>
        </w:rPr>
        <w:t xml:space="preserve"> may be preferred to colonoscopy</w:t>
      </w:r>
      <w:r w:rsidR="0037020E">
        <w:rPr>
          <w:rFonts w:asciiTheme="minorHAnsi" w:hAnsiTheme="minorHAnsi" w:cstheme="minorBidi"/>
          <w:i/>
          <w:iCs/>
        </w:rPr>
        <w:t xml:space="preserve"> and clinical judgment is usually required</w:t>
      </w:r>
      <w:r w:rsidRPr="00002625">
        <w:rPr>
          <w:rFonts w:asciiTheme="minorHAnsi" w:hAnsiTheme="minorHAnsi" w:cstheme="minorBidi"/>
          <w:i/>
          <w:iCs/>
        </w:rPr>
        <w:t xml:space="preserve">. </w:t>
      </w:r>
    </w:p>
    <w:p w14:paraId="315F15A6" w14:textId="3F7D1332" w:rsidR="00752475" w:rsidRPr="00002625" w:rsidRDefault="00752475" w:rsidP="00752475">
      <w:pPr>
        <w:rPr>
          <w:rFonts w:cs="Calibri"/>
          <w:color w:val="000000" w:themeColor="text1"/>
        </w:rPr>
      </w:pPr>
      <w:r w:rsidRPr="14FEC86D">
        <w:rPr>
          <w:rFonts w:cs="Calibri"/>
          <w:i/>
          <w:iCs/>
        </w:rPr>
        <w:t>PASC noted that</w:t>
      </w:r>
      <w:r w:rsidR="00AA0153" w:rsidRPr="14FEC86D">
        <w:rPr>
          <w:rFonts w:cs="Calibri"/>
          <w:i/>
          <w:iCs/>
        </w:rPr>
        <w:t xml:space="preserve"> although the current item for CTC (item </w:t>
      </w:r>
      <w:r w:rsidR="00177CFF" w:rsidRPr="007920FE">
        <w:rPr>
          <w:i/>
          <w:iCs/>
        </w:rPr>
        <w:t>56553</w:t>
      </w:r>
      <w:r w:rsidR="00AA0153" w:rsidRPr="14FEC86D">
        <w:rPr>
          <w:rFonts w:cs="Calibri"/>
          <w:i/>
          <w:iCs/>
        </w:rPr>
        <w:t>)</w:t>
      </w:r>
      <w:r w:rsidR="00B6451D" w:rsidRPr="14FEC86D">
        <w:rPr>
          <w:rFonts w:cs="Calibri"/>
          <w:i/>
          <w:iCs/>
        </w:rPr>
        <w:t xml:space="preserve"> includes</w:t>
      </w:r>
      <w:r w:rsidR="00A46D03" w:rsidRPr="14FEC86D">
        <w:rPr>
          <w:rFonts w:cs="Calibri"/>
          <w:i/>
          <w:iCs/>
        </w:rPr>
        <w:t xml:space="preserve"> high grade colonic</w:t>
      </w:r>
      <w:r w:rsidR="00B6451D" w:rsidRPr="14FEC86D">
        <w:rPr>
          <w:rFonts w:cs="Calibri"/>
          <w:i/>
          <w:iCs/>
        </w:rPr>
        <w:t xml:space="preserve"> </w:t>
      </w:r>
      <w:r w:rsidR="00B060BE" w:rsidRPr="14FEC86D">
        <w:rPr>
          <w:rFonts w:cs="Calibri"/>
          <w:i/>
          <w:iCs/>
        </w:rPr>
        <w:t>obstruction</w:t>
      </w:r>
      <w:r w:rsidR="00B6451D" w:rsidRPr="14FEC86D">
        <w:rPr>
          <w:rFonts w:cs="Calibri"/>
          <w:i/>
          <w:iCs/>
        </w:rPr>
        <w:t xml:space="preserve"> as an indication,</w:t>
      </w:r>
      <w:r w:rsidRPr="14FEC86D">
        <w:rPr>
          <w:rFonts w:cs="Calibri"/>
          <w:i/>
          <w:iCs/>
        </w:rPr>
        <w:t xml:space="preserve"> </w:t>
      </w:r>
      <w:r w:rsidR="00895B98" w:rsidRPr="14FEC86D">
        <w:rPr>
          <w:rFonts w:cs="Calibri"/>
          <w:i/>
          <w:iCs/>
        </w:rPr>
        <w:t xml:space="preserve">clinically, </w:t>
      </w:r>
      <w:r w:rsidRPr="14FEC86D">
        <w:rPr>
          <w:rFonts w:cs="Calibri"/>
          <w:i/>
          <w:iCs/>
        </w:rPr>
        <w:t xml:space="preserve">CTC </w:t>
      </w:r>
      <w:r w:rsidR="001B341E" w:rsidRPr="14FEC86D">
        <w:rPr>
          <w:rFonts w:cs="Calibri"/>
          <w:i/>
          <w:iCs/>
        </w:rPr>
        <w:t>is</w:t>
      </w:r>
      <w:r w:rsidRPr="14FEC86D">
        <w:rPr>
          <w:rFonts w:cs="Calibri"/>
          <w:i/>
          <w:iCs/>
        </w:rPr>
        <w:t xml:space="preserve"> contraindicated for patients with high grade </w:t>
      </w:r>
      <w:r w:rsidR="007247B4" w:rsidRPr="14FEC86D">
        <w:rPr>
          <w:rFonts w:cs="Calibri"/>
          <w:i/>
          <w:iCs/>
        </w:rPr>
        <w:t>colonic</w:t>
      </w:r>
      <w:r w:rsidR="00EA13BF" w:rsidRPr="14FEC86D">
        <w:rPr>
          <w:rFonts w:cs="Calibri"/>
          <w:i/>
          <w:iCs/>
        </w:rPr>
        <w:t xml:space="preserve"> </w:t>
      </w:r>
      <w:r w:rsidRPr="14FEC86D">
        <w:rPr>
          <w:rFonts w:cs="Calibri"/>
          <w:i/>
          <w:iCs/>
        </w:rPr>
        <w:t>obstruction</w:t>
      </w:r>
      <w:r w:rsidR="00A46D03" w:rsidRPr="14FEC86D">
        <w:rPr>
          <w:rFonts w:cs="Calibri"/>
          <w:i/>
          <w:iCs/>
        </w:rPr>
        <w:t xml:space="preserve"> due to the risk of bowel perforation</w:t>
      </w:r>
      <w:r w:rsidRPr="14FEC86D">
        <w:rPr>
          <w:rFonts w:cs="Calibri"/>
          <w:i/>
          <w:iCs/>
        </w:rPr>
        <w:t xml:space="preserve">. </w:t>
      </w:r>
      <w:r w:rsidR="00F251CE" w:rsidRPr="14FEC86D">
        <w:rPr>
          <w:rFonts w:cs="Calibri"/>
          <w:i/>
          <w:iCs/>
        </w:rPr>
        <w:t xml:space="preserve">MSAC may wish to consider whether </w:t>
      </w:r>
      <w:r w:rsidR="00A46D03" w:rsidRPr="14FEC86D">
        <w:rPr>
          <w:rFonts w:cs="Calibri"/>
          <w:i/>
          <w:iCs/>
        </w:rPr>
        <w:t xml:space="preserve">high grade colonic </w:t>
      </w:r>
      <w:r w:rsidR="00DB2FEA" w:rsidRPr="14FEC86D">
        <w:rPr>
          <w:rFonts w:cs="Calibri"/>
          <w:i/>
          <w:iCs/>
        </w:rPr>
        <w:t xml:space="preserve">obstruction should be </w:t>
      </w:r>
      <w:r w:rsidR="00A46D03" w:rsidRPr="14FEC86D">
        <w:rPr>
          <w:rFonts w:cs="Calibri"/>
          <w:i/>
          <w:iCs/>
        </w:rPr>
        <w:t>removed</w:t>
      </w:r>
      <w:r w:rsidR="007A1037" w:rsidRPr="14FEC86D">
        <w:rPr>
          <w:rFonts w:cs="Calibri"/>
          <w:i/>
          <w:iCs/>
        </w:rPr>
        <w:t xml:space="preserve"> as an indication for CTC.</w:t>
      </w:r>
    </w:p>
    <w:bookmarkEnd w:id="17"/>
    <w:bookmarkEnd w:id="18"/>
    <w:bookmarkEnd w:id="19"/>
    <w:p w14:paraId="31994F0D" w14:textId="27C883F3" w:rsidR="001D22A0" w:rsidRPr="00002625" w:rsidRDefault="001D22A0" w:rsidP="008016E5">
      <w:pPr>
        <w:pStyle w:val="Heading5"/>
      </w:pPr>
      <w:r w:rsidRPr="00002625">
        <w:t>Patients with incomplete colonoscopy</w:t>
      </w:r>
      <w:r w:rsidR="00F43833" w:rsidRPr="00002625">
        <w:t xml:space="preserve"> or colonic evaluation</w:t>
      </w:r>
    </w:p>
    <w:p w14:paraId="7F44F399" w14:textId="537073A2" w:rsidR="00252724" w:rsidRPr="00002625" w:rsidRDefault="006657F7" w:rsidP="00252724">
      <w:pPr>
        <w:rPr>
          <w:rFonts w:cs="Calibri"/>
          <w:color w:val="000000" w:themeColor="text1"/>
        </w:rPr>
      </w:pPr>
      <w:r w:rsidRPr="00002625">
        <w:t>The applicant noted that</w:t>
      </w:r>
      <w:r w:rsidR="002D57C9" w:rsidRPr="00002625">
        <w:t xml:space="preserve"> incomplete colonoscopy or colonic evaluation</w:t>
      </w:r>
      <w:r w:rsidR="002D57C9" w:rsidRPr="00002625" w:rsidDel="006657F7">
        <w:t xml:space="preserve"> </w:t>
      </w:r>
      <w:r w:rsidR="002D57C9" w:rsidRPr="00002625">
        <w:t xml:space="preserve">may be caused by </w:t>
      </w:r>
      <w:r w:rsidR="00252724" w:rsidRPr="00002625">
        <w:t>multiple risk factors</w:t>
      </w:r>
      <w:r w:rsidR="00551282" w:rsidRPr="00002625">
        <w:t xml:space="preserve"> including</w:t>
      </w:r>
      <w:r w:rsidR="00252724" w:rsidRPr="00002625">
        <w:t xml:space="preserve"> increasing age, female gender, </w:t>
      </w:r>
      <w:r w:rsidR="000163D5" w:rsidRPr="00002625">
        <w:t>or</w:t>
      </w:r>
      <w:r w:rsidR="00622B73" w:rsidRPr="00002625">
        <w:t xml:space="preserve"> </w:t>
      </w:r>
      <w:r w:rsidR="00252724" w:rsidRPr="00002625">
        <w:t>previous abdominal or pelvic surgery (especially hysterectomy)</w:t>
      </w:r>
      <w:r w:rsidR="00985D12" w:rsidRPr="00002625">
        <w:t xml:space="preserve">. </w:t>
      </w:r>
      <w:r w:rsidR="00903A36" w:rsidRPr="00002625">
        <w:t xml:space="preserve">The applicant </w:t>
      </w:r>
      <w:r w:rsidR="00A72F49">
        <w:t>estimate</w:t>
      </w:r>
      <w:r w:rsidR="00BC682B">
        <w:t>d</w:t>
      </w:r>
      <w:r w:rsidR="00A72F49">
        <w:t xml:space="preserve"> </w:t>
      </w:r>
      <w:r w:rsidR="00903A36" w:rsidRPr="00002625">
        <w:t>that</w:t>
      </w:r>
      <w:r w:rsidR="00252724" w:rsidRPr="00002625">
        <w:t xml:space="preserve"> 50% of patients with an incomplete colonoscopy will have another incomplete colonoscopy at next attempt. </w:t>
      </w:r>
      <w:r w:rsidR="00252724" w:rsidRPr="00002625">
        <w:rPr>
          <w:rFonts w:cs="Calibri"/>
          <w:color w:val="000000" w:themeColor="text1"/>
        </w:rPr>
        <w:t xml:space="preserve">The applicant </w:t>
      </w:r>
      <w:r w:rsidR="00CF360D">
        <w:rPr>
          <w:rFonts w:cs="Calibri"/>
          <w:color w:val="000000" w:themeColor="text1"/>
        </w:rPr>
        <w:t>stated</w:t>
      </w:r>
      <w:r w:rsidR="00252724" w:rsidRPr="00002625">
        <w:rPr>
          <w:rFonts w:cs="Calibri"/>
          <w:color w:val="000000" w:themeColor="text1"/>
        </w:rPr>
        <w:t xml:space="preserve"> that</w:t>
      </w:r>
      <w:r w:rsidR="00CF360D">
        <w:rPr>
          <w:rFonts w:cs="Calibri"/>
          <w:color w:val="000000" w:themeColor="text1"/>
        </w:rPr>
        <w:t xml:space="preserve"> some</w:t>
      </w:r>
      <w:r w:rsidR="00244DDC">
        <w:rPr>
          <w:rFonts w:cs="Calibri"/>
          <w:color w:val="000000" w:themeColor="text1"/>
        </w:rPr>
        <w:t xml:space="preserve"> </w:t>
      </w:r>
      <w:r w:rsidR="00F81BBA" w:rsidRPr="563D65F6">
        <w:rPr>
          <w:rFonts w:cs="Calibri"/>
          <w:color w:val="000000" w:themeColor="text1"/>
        </w:rPr>
        <w:t>patients with a history of incomplete colonoscopy (outside the three-month criterion)</w:t>
      </w:r>
      <w:r w:rsidR="00F81BBA">
        <w:rPr>
          <w:rFonts w:cs="Calibri"/>
          <w:color w:val="000000" w:themeColor="text1"/>
        </w:rPr>
        <w:t xml:space="preserve"> had </w:t>
      </w:r>
      <w:r w:rsidR="00F15D01">
        <w:rPr>
          <w:rFonts w:cs="Calibri"/>
          <w:color w:val="000000" w:themeColor="text1"/>
        </w:rPr>
        <w:t>reported from personal experience</w:t>
      </w:r>
      <w:r w:rsidR="00F15D01" w:rsidRPr="00002625">
        <w:rPr>
          <w:rFonts w:cs="Calibri"/>
          <w:color w:val="000000" w:themeColor="text1"/>
        </w:rPr>
        <w:t xml:space="preserve"> </w:t>
      </w:r>
      <w:r w:rsidR="00252724" w:rsidRPr="563D65F6">
        <w:rPr>
          <w:rFonts w:cs="Calibri"/>
          <w:color w:val="000000" w:themeColor="text1"/>
        </w:rPr>
        <w:t>that</w:t>
      </w:r>
      <w:r w:rsidR="00686B2E">
        <w:rPr>
          <w:rFonts w:cs="Calibri"/>
          <w:color w:val="000000" w:themeColor="text1"/>
        </w:rPr>
        <w:t xml:space="preserve"> </w:t>
      </w:r>
      <w:r w:rsidR="00F81BBA">
        <w:rPr>
          <w:rFonts w:cs="Calibri"/>
          <w:color w:val="000000" w:themeColor="text1"/>
        </w:rPr>
        <w:t xml:space="preserve">they </w:t>
      </w:r>
      <w:r w:rsidR="00252724" w:rsidRPr="00002625">
        <w:rPr>
          <w:rFonts w:cs="Calibri"/>
          <w:color w:val="000000" w:themeColor="text1"/>
        </w:rPr>
        <w:t>are currently access</w:t>
      </w:r>
      <w:r w:rsidR="00343E38" w:rsidRPr="00002625">
        <w:rPr>
          <w:rFonts w:cs="Calibri"/>
          <w:color w:val="000000" w:themeColor="text1"/>
        </w:rPr>
        <w:t>ing</w:t>
      </w:r>
      <w:r w:rsidR="00252724" w:rsidRPr="00002625">
        <w:rPr>
          <w:rFonts w:cs="Calibri"/>
          <w:color w:val="000000" w:themeColor="text1"/>
        </w:rPr>
        <w:t xml:space="preserve"> the CTC item by attempting a trial of colonoscopy in order to obtain a referral for CTC. </w:t>
      </w:r>
    </w:p>
    <w:p w14:paraId="6F3C5270" w14:textId="49E252C0" w:rsidR="00252724" w:rsidRPr="00002625" w:rsidRDefault="00EB217F" w:rsidP="00DB6F0B">
      <w:r w:rsidRPr="00002625">
        <w:t>The</w:t>
      </w:r>
      <w:r w:rsidR="00777603" w:rsidRPr="00002625">
        <w:t xml:space="preserve"> previous MSAC application 1269 for CTC </w:t>
      </w:r>
      <w:r w:rsidR="00436428" w:rsidRPr="00002625">
        <w:t xml:space="preserve">also requested the removal of </w:t>
      </w:r>
      <w:r w:rsidR="00763870" w:rsidRPr="00002625">
        <w:t xml:space="preserve">the </w:t>
      </w:r>
      <w:r w:rsidR="004073BA" w:rsidRPr="00002625">
        <w:t>three</w:t>
      </w:r>
      <w:r w:rsidR="005E4102" w:rsidRPr="00002625">
        <w:t>-</w:t>
      </w:r>
      <w:r w:rsidR="00763870" w:rsidRPr="00002625">
        <w:t xml:space="preserve">month </w:t>
      </w:r>
      <w:r w:rsidR="00277381" w:rsidRPr="00002625">
        <w:t>restriction</w:t>
      </w:r>
      <w:r w:rsidR="00763870" w:rsidRPr="00002625">
        <w:t xml:space="preserve"> </w:t>
      </w:r>
      <w:r w:rsidR="00E957AD" w:rsidRPr="00002625">
        <w:t xml:space="preserve">from the item descriptor for CTC for patients who had an incomplete colonoscopy. </w:t>
      </w:r>
      <w:r w:rsidR="006B50CA" w:rsidRPr="00002625">
        <w:t>P</w:t>
      </w:r>
      <w:r w:rsidR="00EF584D" w:rsidRPr="00002625">
        <w:t>rofessional body feedback supported the removal of the restriction</w:t>
      </w:r>
      <w:r w:rsidR="006673AF" w:rsidRPr="00002625">
        <w:t xml:space="preserve"> from the item descriptor</w:t>
      </w:r>
      <w:r w:rsidR="001363B8" w:rsidRPr="00002625">
        <w:t xml:space="preserve"> given that patients who </w:t>
      </w:r>
      <w:r w:rsidR="0085358E" w:rsidRPr="00002625">
        <w:t>have had an incomplete colonoscopy are likely to remain unsuitable for a</w:t>
      </w:r>
      <w:r w:rsidR="00F06074" w:rsidRPr="00002625">
        <w:t>n</w:t>
      </w:r>
      <w:r w:rsidR="0085358E" w:rsidRPr="00002625">
        <w:t xml:space="preserve"> </w:t>
      </w:r>
      <w:r w:rsidR="0067050B" w:rsidRPr="00002625">
        <w:t>optical colonoscopy</w:t>
      </w:r>
      <w:r w:rsidR="00902F21" w:rsidRPr="00002625">
        <w:t>. MSAC,</w:t>
      </w:r>
      <w:r w:rsidR="00734D9B" w:rsidRPr="00002625">
        <w:t xml:space="preserve"> however, </w:t>
      </w:r>
      <w:r w:rsidR="00902F21" w:rsidRPr="00002625">
        <w:t>did not support removal of the restriction</w:t>
      </w:r>
      <w:r w:rsidR="00F06074" w:rsidRPr="00002625">
        <w:t xml:space="preserve"> from the item descriptor for CTC</w:t>
      </w:r>
      <w:r w:rsidR="00902F21" w:rsidRPr="00002625">
        <w:t>.</w:t>
      </w:r>
      <w:r w:rsidR="0075324B" w:rsidRPr="00002625">
        <w:t xml:space="preserve"> </w:t>
      </w:r>
      <w:r w:rsidR="00886DDB" w:rsidRPr="00002625">
        <w:t>A</w:t>
      </w:r>
      <w:r w:rsidR="003F68D8" w:rsidRPr="00002625">
        <w:t xml:space="preserve">lthough no detailed rationale </w:t>
      </w:r>
      <w:r w:rsidR="003F68D8" w:rsidRPr="00002625">
        <w:lastRenderedPageBreak/>
        <w:t>was included</w:t>
      </w:r>
      <w:r w:rsidR="00E9597C" w:rsidRPr="00002625">
        <w:t>, the PSD reported</w:t>
      </w:r>
      <w:r w:rsidR="003F68D8" w:rsidRPr="00002625">
        <w:t xml:space="preserve"> that the </w:t>
      </w:r>
      <w:r w:rsidR="00C24BFE" w:rsidRPr="00002625">
        <w:t xml:space="preserve">Evaluation </w:t>
      </w:r>
      <w:r w:rsidR="00EB4D99" w:rsidRPr="00002625">
        <w:t>S</w:t>
      </w:r>
      <w:r w:rsidR="001257C3" w:rsidRPr="00002625">
        <w:t>ub-</w:t>
      </w:r>
      <w:r w:rsidR="005E4102" w:rsidRPr="00002625">
        <w:t>c</w:t>
      </w:r>
      <w:r w:rsidR="001257C3" w:rsidRPr="00002625">
        <w:t>ommittee</w:t>
      </w:r>
      <w:r w:rsidR="00C24BFE" w:rsidRPr="00002625">
        <w:t xml:space="preserve"> (ESC)</w:t>
      </w:r>
      <w:r w:rsidR="00EB4D99" w:rsidRPr="00002625">
        <w:t xml:space="preserve"> raised </w:t>
      </w:r>
      <w:r w:rsidR="00730738" w:rsidRPr="00002625">
        <w:t xml:space="preserve">removal of the </w:t>
      </w:r>
      <w:r w:rsidR="00270BF6" w:rsidRPr="00002625">
        <w:t>three-month</w:t>
      </w:r>
      <w:r w:rsidR="00730738" w:rsidRPr="00002625">
        <w:t xml:space="preserve"> requirement </w:t>
      </w:r>
      <w:r w:rsidR="00EB4D99" w:rsidRPr="00002625">
        <w:t xml:space="preserve">as a key </w:t>
      </w:r>
      <w:r w:rsidR="00730738" w:rsidRPr="00002625">
        <w:t>issue</w:t>
      </w:r>
      <w:r w:rsidR="00EB4D99" w:rsidRPr="00002625">
        <w:t xml:space="preserve"> </w:t>
      </w:r>
      <w:r w:rsidR="00730738" w:rsidRPr="00002625">
        <w:t>due to</w:t>
      </w:r>
      <w:r w:rsidR="00EB4D99" w:rsidRPr="00002625">
        <w:t xml:space="preserve"> “considerable potential for use outside the intended patient population”.</w:t>
      </w:r>
      <w:r w:rsidR="0075324B" w:rsidRPr="00002625">
        <w:t xml:space="preserve"> </w:t>
      </w:r>
    </w:p>
    <w:p w14:paraId="7F09BEC2" w14:textId="25149189" w:rsidR="00563E93" w:rsidRPr="00002625" w:rsidRDefault="00050F7B" w:rsidP="00DB6F0B">
      <w:r w:rsidRPr="00002625">
        <w:t>There have been no changes to guidelines</w:t>
      </w:r>
      <w:r w:rsidR="00C416D0" w:rsidRPr="00002625">
        <w:t xml:space="preserve"> since</w:t>
      </w:r>
      <w:r w:rsidR="005654FE" w:rsidRPr="00002625">
        <w:t xml:space="preserve"> the previous application</w:t>
      </w:r>
      <w:r w:rsidRPr="00002625">
        <w:t xml:space="preserve"> that might affect the removal of the three</w:t>
      </w:r>
      <w:r w:rsidR="005654FE" w:rsidRPr="00002625">
        <w:t>-</w:t>
      </w:r>
      <w:r w:rsidRPr="00002625">
        <w:t xml:space="preserve">month restriction. </w:t>
      </w:r>
      <w:r w:rsidR="004D1031" w:rsidRPr="00002625">
        <w:t xml:space="preserve">The </w:t>
      </w:r>
      <w:r w:rsidR="00317DBA" w:rsidRPr="00002625">
        <w:t xml:space="preserve">Cancer Council </w:t>
      </w:r>
      <w:r w:rsidR="00222E00" w:rsidRPr="00002625">
        <w:t>(202</w:t>
      </w:r>
      <w:r w:rsidR="009C5F04" w:rsidRPr="00002625">
        <w:t>2</w:t>
      </w:r>
      <w:r w:rsidR="00222E00" w:rsidRPr="00002625">
        <w:t xml:space="preserve">) </w:t>
      </w:r>
      <w:r w:rsidR="005E19E9" w:rsidRPr="00002625">
        <w:t>recommen</w:t>
      </w:r>
      <w:r w:rsidR="008A2E6C" w:rsidRPr="00002625">
        <w:t>ds</w:t>
      </w:r>
      <w:r w:rsidR="00921FF2" w:rsidRPr="00002625">
        <w:t xml:space="preserve">, as part of their </w:t>
      </w:r>
      <w:r w:rsidR="00E027F3" w:rsidRPr="00002625">
        <w:t xml:space="preserve">colonoscopy </w:t>
      </w:r>
      <w:r w:rsidR="00D74F9A" w:rsidRPr="00002625">
        <w:t xml:space="preserve">surveillance </w:t>
      </w:r>
      <w:r w:rsidR="00E027F3" w:rsidRPr="00002625">
        <w:t>guidelines,</w:t>
      </w:r>
      <w:r w:rsidR="008A2E6C" w:rsidRPr="00002625">
        <w:t xml:space="preserve"> that same-day CTC is safe to perform </w:t>
      </w:r>
      <w:r w:rsidR="00753D2A" w:rsidRPr="00002625">
        <w:t>following an incomplete colonoscopy</w:t>
      </w:r>
      <w:r w:rsidR="00F20B17" w:rsidRPr="00002625">
        <w:t>, including in patients who have had</w:t>
      </w:r>
      <w:r w:rsidR="00753D2A" w:rsidRPr="00002625">
        <w:t xml:space="preserve"> </w:t>
      </w:r>
      <w:r w:rsidR="00865402" w:rsidRPr="00002625">
        <w:t xml:space="preserve">a biopsy or simple polypectomy. </w:t>
      </w:r>
      <w:r w:rsidR="009E01AF" w:rsidRPr="00002625">
        <w:t xml:space="preserve">ESGE/ESGAR (2021) also recommends CTC following incomplete colonoscopy, preferably on the same day or next day, with timing dependent on “interdisciplinary decision including endoscopy and radiological factors”. </w:t>
      </w:r>
      <w:r w:rsidR="00220594" w:rsidRPr="00002625">
        <w:t>However, t</w:t>
      </w:r>
      <w:r w:rsidR="00EB6AFA" w:rsidRPr="00002625">
        <w:t xml:space="preserve">he </w:t>
      </w:r>
      <w:r w:rsidR="009E01AF" w:rsidRPr="00002625">
        <w:t>Cancer Council (2022)</w:t>
      </w:r>
      <w:r w:rsidR="00EB6AFA" w:rsidRPr="00002625">
        <w:t xml:space="preserve"> guideline recommends that </w:t>
      </w:r>
      <w:r w:rsidR="006341E1" w:rsidRPr="00002625">
        <w:t>“</w:t>
      </w:r>
      <w:r w:rsidR="00EB6AFA" w:rsidRPr="00002625">
        <w:t>CTC should be delayed in patients w</w:t>
      </w:r>
      <w:r w:rsidR="00A217DD" w:rsidRPr="00002625">
        <w:t xml:space="preserve">ith complex endoscopic </w:t>
      </w:r>
      <w:r w:rsidR="003C04AC" w:rsidRPr="00002625">
        <w:t>intervention and in patients with high risk of perforation</w:t>
      </w:r>
      <w:r w:rsidR="003A2B1C" w:rsidRPr="00002625">
        <w:t>”</w:t>
      </w:r>
      <w:r w:rsidR="000730B0" w:rsidRPr="00002625">
        <w:t xml:space="preserve">, which may mean that </w:t>
      </w:r>
      <w:r w:rsidR="00825224" w:rsidRPr="00002625">
        <w:t xml:space="preserve">these patients may </w:t>
      </w:r>
      <w:r w:rsidR="00296992" w:rsidRPr="00002625">
        <w:t>have</w:t>
      </w:r>
      <w:r w:rsidR="00825224" w:rsidRPr="00002625">
        <w:t xml:space="preserve"> a CTC </w:t>
      </w:r>
      <w:r w:rsidR="0050171B" w:rsidRPr="00002625">
        <w:t xml:space="preserve">more than 3 months </w:t>
      </w:r>
      <w:r w:rsidR="00637F93" w:rsidRPr="00002625">
        <w:t xml:space="preserve">after their initial incomplete </w:t>
      </w:r>
      <w:r w:rsidR="00296992" w:rsidRPr="00002625">
        <w:t>colonoscop</w:t>
      </w:r>
      <w:r w:rsidR="002A6D8E" w:rsidRPr="00002625">
        <w:t>y</w:t>
      </w:r>
      <w:r w:rsidR="00465C03" w:rsidRPr="00002625">
        <w:t xml:space="preserve">. </w:t>
      </w:r>
    </w:p>
    <w:p w14:paraId="2D49C4C0" w14:textId="22223320" w:rsidR="00613F76" w:rsidRPr="00002625" w:rsidRDefault="00613F76" w:rsidP="00613F76">
      <w:pPr>
        <w:rPr>
          <w:i/>
        </w:rPr>
      </w:pPr>
      <w:r w:rsidRPr="00002625">
        <w:rPr>
          <w:rFonts w:cs="Calibri"/>
          <w:i/>
          <w:iCs/>
        </w:rPr>
        <w:t>PASC noted the value of CTC for patients in whom a colonoscopy could not be completed</w:t>
      </w:r>
      <w:r w:rsidR="00F15D01">
        <w:rPr>
          <w:rFonts w:cs="Calibri"/>
          <w:i/>
          <w:iCs/>
        </w:rPr>
        <w:t>.</w:t>
      </w:r>
    </w:p>
    <w:p w14:paraId="551EEAC4" w14:textId="286E35EE" w:rsidR="008643CC" w:rsidRPr="00002625" w:rsidRDefault="0064607D" w:rsidP="0045442D">
      <w:pPr>
        <w:pStyle w:val="Heading4"/>
      </w:pPr>
      <w:r w:rsidRPr="00002625">
        <w:rPr>
          <w:rStyle w:val="Heading4Char"/>
          <w:i/>
          <w:iCs/>
        </w:rPr>
        <w:t>Size of the population</w:t>
      </w:r>
      <w:r w:rsidR="00921DFF" w:rsidRPr="00002625">
        <w:rPr>
          <w:rStyle w:val="Heading4Char"/>
          <w:i/>
          <w:iCs/>
        </w:rPr>
        <w:t xml:space="preserve"> for testing</w:t>
      </w:r>
    </w:p>
    <w:p w14:paraId="52FFC555" w14:textId="6D17B88D" w:rsidR="00F570BE" w:rsidRPr="00002625" w:rsidRDefault="004A1AAD" w:rsidP="0023581B">
      <w:r w:rsidRPr="00002625">
        <w:t xml:space="preserve">For investigative technologies, the incidence and prevalence of the target population </w:t>
      </w:r>
      <w:r w:rsidR="00402EFE" w:rsidRPr="00002625">
        <w:t>(and sub</w:t>
      </w:r>
      <w:r w:rsidR="00792297" w:rsidRPr="00002625">
        <w:t xml:space="preserve">groups) </w:t>
      </w:r>
      <w:r w:rsidRPr="00002625">
        <w:t xml:space="preserve">for the test is required. </w:t>
      </w:r>
      <w:r w:rsidR="00F570BE" w:rsidRPr="00002625">
        <w:t>The applicant provided some limited information regarding estimated utilisation for the proposed use of CTC:</w:t>
      </w:r>
    </w:p>
    <w:p w14:paraId="147D8A89" w14:textId="69E45E09" w:rsidR="003E5161" w:rsidRPr="00002625" w:rsidRDefault="0069619D" w:rsidP="000773E1">
      <w:pPr>
        <w:pStyle w:val="ListParagraph"/>
        <w:numPr>
          <w:ilvl w:val="0"/>
          <w:numId w:val="9"/>
        </w:numPr>
      </w:pPr>
      <w:r w:rsidRPr="00002625">
        <w:t xml:space="preserve">The applicant </w:t>
      </w:r>
      <w:r w:rsidR="004F4189" w:rsidRPr="00002625">
        <w:t xml:space="preserve">noted </w:t>
      </w:r>
      <w:r w:rsidRPr="00002625">
        <w:t xml:space="preserve">that in other countries where CTC has been recommended for diagnostic use around a third of all colonic examinations are performed with CTC. As a result, the </w:t>
      </w:r>
      <w:r w:rsidR="00B04904" w:rsidRPr="00002625">
        <w:t>applicant proposed a</w:t>
      </w:r>
      <w:r w:rsidR="00DB4E98" w:rsidRPr="00002625">
        <w:t xml:space="preserve"> four year</w:t>
      </w:r>
      <w:r w:rsidRPr="00002625">
        <w:t xml:space="preserve"> uptake estimate of 20-30% patients requiring investigation would receive CTC instead of colonoscopy. </w:t>
      </w:r>
    </w:p>
    <w:p w14:paraId="00E5DBAF" w14:textId="437B2574" w:rsidR="003E5161" w:rsidRPr="00002625" w:rsidRDefault="006E5F42" w:rsidP="000773E1">
      <w:pPr>
        <w:pStyle w:val="ListParagraph"/>
        <w:numPr>
          <w:ilvl w:val="0"/>
          <w:numId w:val="9"/>
        </w:numPr>
      </w:pPr>
      <w:r w:rsidRPr="00002625">
        <w:t>For</w:t>
      </w:r>
      <w:r w:rsidR="004F4189" w:rsidRPr="00002625">
        <w:t xml:space="preserve"> incomplete colonoscopies, t</w:t>
      </w:r>
      <w:r w:rsidR="000D5DB8" w:rsidRPr="00002625">
        <w:t xml:space="preserve">he applicant also suggested that the performance indicator </w:t>
      </w:r>
      <w:r w:rsidR="00EE218F" w:rsidRPr="00002625">
        <w:t xml:space="preserve">of </w:t>
      </w:r>
      <w:r w:rsidR="00CB6551" w:rsidRPr="00002625">
        <w:t>‘</w:t>
      </w:r>
      <w:r w:rsidR="00DE7B6C" w:rsidRPr="00002625">
        <w:t xml:space="preserve">no more than 5% of </w:t>
      </w:r>
      <w:r w:rsidR="00826160" w:rsidRPr="00002625">
        <w:t>colonoscopies should be incomplete</w:t>
      </w:r>
      <w:r w:rsidR="00CB6551" w:rsidRPr="00002625">
        <w:t>’</w:t>
      </w:r>
      <w:r w:rsidR="00826160" w:rsidRPr="00002625">
        <w:t xml:space="preserve"> could provide an estimate for that population. </w:t>
      </w:r>
    </w:p>
    <w:p w14:paraId="405F8180" w14:textId="1DCEB7B6" w:rsidR="003E5161" w:rsidRPr="00002625" w:rsidRDefault="003E5161" w:rsidP="000773E1">
      <w:pPr>
        <w:pStyle w:val="ListParagraph"/>
        <w:numPr>
          <w:ilvl w:val="0"/>
          <w:numId w:val="9"/>
        </w:numPr>
      </w:pPr>
      <w:r w:rsidRPr="00002625">
        <w:t>The applicant noted that there is little data to support an estimate of</w:t>
      </w:r>
      <w:r w:rsidR="009C4A69" w:rsidRPr="00002625">
        <w:t xml:space="preserve"> </w:t>
      </w:r>
      <w:r w:rsidR="008F7791" w:rsidRPr="00002625">
        <w:t>patients with an incidental finding on imaging</w:t>
      </w:r>
      <w:r w:rsidRPr="00002625">
        <w:t xml:space="preserve"> but </w:t>
      </w:r>
      <w:r w:rsidR="008F7791" w:rsidRPr="00002625">
        <w:t xml:space="preserve">noted </w:t>
      </w:r>
      <w:r w:rsidRPr="00002625">
        <w:t xml:space="preserve">it would be small and under 1000 patients per year. </w:t>
      </w:r>
    </w:p>
    <w:p w14:paraId="13BF6980" w14:textId="6051483B" w:rsidR="00710211" w:rsidRDefault="00F35879" w:rsidP="0023581B">
      <w:r w:rsidRPr="00002625">
        <w:t xml:space="preserve">In addition, </w:t>
      </w:r>
      <w:r w:rsidR="00506F63" w:rsidRPr="00002625">
        <w:t xml:space="preserve">NBCSP data </w:t>
      </w:r>
      <w:r w:rsidR="00311C4D" w:rsidRPr="00002625">
        <w:t xml:space="preserve">was used </w:t>
      </w:r>
      <w:r w:rsidR="00506F63" w:rsidRPr="00002625">
        <w:t>to derive an estimate of patients with positive FOBT</w:t>
      </w:r>
      <w:r w:rsidR="00E410CD" w:rsidRPr="00002625">
        <w:t xml:space="preserve"> (</w:t>
      </w:r>
      <w:r w:rsidR="00E410CD" w:rsidRPr="00002625">
        <w:fldChar w:fldCharType="begin"/>
      </w:r>
      <w:r w:rsidR="00E410CD" w:rsidRPr="00002625">
        <w:instrText xml:space="preserve"> REF _Ref180657422 \h </w:instrText>
      </w:r>
      <w:r w:rsidR="00E410CD" w:rsidRPr="00002625">
        <w:fldChar w:fldCharType="separate"/>
      </w:r>
      <w:r w:rsidR="00637321" w:rsidRPr="00002625">
        <w:t>Appendix 1</w:t>
      </w:r>
      <w:r w:rsidR="00E410CD" w:rsidRPr="00002625">
        <w:fldChar w:fldCharType="end"/>
      </w:r>
      <w:r w:rsidR="00E410CD" w:rsidRPr="00002625">
        <w:t>)</w:t>
      </w:r>
      <w:r w:rsidR="00D67772" w:rsidRPr="00002625">
        <w:t xml:space="preserve">. </w:t>
      </w:r>
      <w:r w:rsidR="00311C4D" w:rsidRPr="00002625">
        <w:t>Otherwise, a</w:t>
      </w:r>
      <w:r w:rsidR="004A1AAD" w:rsidRPr="00002625">
        <w:t xml:space="preserve"> preliminary search conducted during PICO development found that much of the required data to estimate the size of the testing population</w:t>
      </w:r>
      <w:r w:rsidRPr="00002625">
        <w:t xml:space="preserve"> subgroups</w:t>
      </w:r>
      <w:r w:rsidR="004A1AAD" w:rsidRPr="00002625">
        <w:t xml:space="preserve"> in the Australian setting </w:t>
      </w:r>
      <w:r w:rsidRPr="00002625">
        <w:t>wa</w:t>
      </w:r>
      <w:r w:rsidR="004A1AAD" w:rsidRPr="00002625">
        <w:t>s unavailable (at least publicly)</w:t>
      </w:r>
      <w:r w:rsidR="00465C03" w:rsidRPr="00002625">
        <w:t xml:space="preserve">. </w:t>
      </w:r>
    </w:p>
    <w:p w14:paraId="10B55B2D" w14:textId="038691EC" w:rsidR="00322F25" w:rsidRPr="00002625" w:rsidRDefault="00322F25" w:rsidP="00322F25">
      <w:r w:rsidRPr="00002625">
        <w:t xml:space="preserve">A summary of the population estimates, and potential basis, developed by the evaluation group is given in </w:t>
      </w:r>
      <w:r w:rsidR="00B21EBE" w:rsidRPr="00002625">
        <w:fldChar w:fldCharType="begin"/>
      </w:r>
      <w:r w:rsidR="00B21EBE" w:rsidRPr="00002625">
        <w:instrText xml:space="preserve"> REF _Ref181131549 \h </w:instrText>
      </w:r>
      <w:r w:rsidR="00B21EBE" w:rsidRPr="00002625">
        <w:fldChar w:fldCharType="separate"/>
      </w:r>
      <w:r w:rsidR="00637321" w:rsidRPr="00002625">
        <w:t>Table </w:t>
      </w:r>
      <w:r w:rsidR="00637321" w:rsidRPr="00002625">
        <w:rPr>
          <w:noProof/>
        </w:rPr>
        <w:t>10</w:t>
      </w:r>
      <w:r w:rsidR="00B21EBE" w:rsidRPr="00002625">
        <w:fldChar w:fldCharType="end"/>
      </w:r>
      <w:r w:rsidRPr="00002625">
        <w:t xml:space="preserve">. </w:t>
      </w:r>
    </w:p>
    <w:p w14:paraId="25A47364" w14:textId="77777777" w:rsidR="00134FCB" w:rsidRDefault="00134FCB">
      <w:pPr>
        <w:spacing w:after="160" w:line="259" w:lineRule="auto"/>
        <w:rPr>
          <w:rFonts w:ascii="Arial Narrow" w:eastAsia="Times New Roman" w:hAnsi="Arial Narrow" w:cs="Tahoma"/>
          <w:b/>
          <w:sz w:val="20"/>
          <w:szCs w:val="20"/>
          <w:lang w:eastAsia="en-AU"/>
        </w:rPr>
      </w:pPr>
      <w:bookmarkStart w:id="20" w:name="_Ref181131549"/>
      <w:r>
        <w:br w:type="page"/>
      </w:r>
    </w:p>
    <w:p w14:paraId="1877889E" w14:textId="39F5CC1E" w:rsidR="00322F25" w:rsidRPr="00002625" w:rsidRDefault="00322F25" w:rsidP="00751B09">
      <w:pPr>
        <w:pStyle w:val="TableHeading"/>
        <w:rPr>
          <w:sz w:val="16"/>
          <w:szCs w:val="16"/>
        </w:rPr>
      </w:pPr>
      <w:r w:rsidRPr="00002625">
        <w:lastRenderedPageBreak/>
        <w:t>Table </w:t>
      </w:r>
      <w:r>
        <w:fldChar w:fldCharType="begin"/>
      </w:r>
      <w:r>
        <w:instrText>SEQ Table \* ARABIC</w:instrText>
      </w:r>
      <w:r>
        <w:fldChar w:fldCharType="separate"/>
      </w:r>
      <w:r w:rsidR="00637321" w:rsidRPr="00002625">
        <w:rPr>
          <w:noProof/>
        </w:rPr>
        <w:t>10</w:t>
      </w:r>
      <w:r>
        <w:fldChar w:fldCharType="end"/>
      </w:r>
      <w:bookmarkEnd w:id="20"/>
      <w:r w:rsidRPr="00002625">
        <w:tab/>
        <w:t xml:space="preserve">Population estimates for PICO </w:t>
      </w:r>
      <w:r w:rsidR="00E3344D" w:rsidRPr="00002625">
        <w:t>s</w:t>
      </w:r>
      <w:r w:rsidRPr="00002625">
        <w:t>et</w:t>
      </w:r>
      <w:r w:rsidR="00071D5C" w:rsidRPr="00002625">
        <w:t xml:space="preserv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Population estimates for the PICO set 1"/>
        <w:tblDescription w:val="Table showing Population estimates for the PICO set 1"/>
      </w:tblPr>
      <w:tblGrid>
        <w:gridCol w:w="2547"/>
        <w:gridCol w:w="4960"/>
        <w:gridCol w:w="2064"/>
      </w:tblGrid>
      <w:tr w:rsidR="00421AAB" w:rsidRPr="00002625" w14:paraId="528E5A9D" w14:textId="77777777" w:rsidTr="004E4C02">
        <w:trPr>
          <w:tblHeader/>
        </w:trPr>
        <w:tc>
          <w:tcPr>
            <w:tcW w:w="1331" w:type="pct"/>
          </w:tcPr>
          <w:p w14:paraId="4ECC7E2C" w14:textId="77777777" w:rsidR="00421AAB" w:rsidRPr="00002625" w:rsidRDefault="00421AAB" w:rsidP="00751B09">
            <w:pPr>
              <w:pStyle w:val="TableHeading"/>
            </w:pPr>
            <w:r w:rsidRPr="00002625">
              <w:t>Populations</w:t>
            </w:r>
          </w:p>
        </w:tc>
        <w:tc>
          <w:tcPr>
            <w:tcW w:w="2591" w:type="pct"/>
          </w:tcPr>
          <w:p w14:paraId="16112CD0" w14:textId="14F5C4E5" w:rsidR="00421AAB" w:rsidRPr="00002625" w:rsidRDefault="00774DA5" w:rsidP="00751B09">
            <w:pPr>
              <w:pStyle w:val="TableHeading"/>
            </w:pPr>
            <w:r w:rsidRPr="00002625">
              <w:t>Source</w:t>
            </w:r>
          </w:p>
        </w:tc>
        <w:tc>
          <w:tcPr>
            <w:tcW w:w="1078" w:type="pct"/>
          </w:tcPr>
          <w:p w14:paraId="2BF0DE56" w14:textId="22016B77" w:rsidR="00421AAB" w:rsidRPr="00002625" w:rsidRDefault="00421AAB" w:rsidP="00751B09">
            <w:pPr>
              <w:pStyle w:val="TableHeading"/>
            </w:pPr>
            <w:r w:rsidRPr="00002625">
              <w:t>Population estimate (</w:t>
            </w:r>
            <w:r w:rsidR="004B2F4D" w:rsidRPr="00002625">
              <w:t>for 2023-2024</w:t>
            </w:r>
            <w:r w:rsidRPr="00002625">
              <w:t>)</w:t>
            </w:r>
          </w:p>
        </w:tc>
      </w:tr>
      <w:tr w:rsidR="00421AAB" w:rsidRPr="00002625" w14:paraId="141672E4" w14:textId="77777777" w:rsidTr="004E4C02">
        <w:tc>
          <w:tcPr>
            <w:tcW w:w="1331" w:type="pct"/>
          </w:tcPr>
          <w:p w14:paraId="6F5D1BB7" w14:textId="77777777" w:rsidR="00421AAB" w:rsidRPr="00002625" w:rsidRDefault="00421AAB">
            <w:pPr>
              <w:pStyle w:val="TableText0"/>
            </w:pPr>
            <w:r w:rsidRPr="00002625">
              <w:t>Symptomatic patients</w:t>
            </w:r>
          </w:p>
        </w:tc>
        <w:tc>
          <w:tcPr>
            <w:tcW w:w="2591" w:type="pct"/>
          </w:tcPr>
          <w:p w14:paraId="61FD2C19" w14:textId="77777777" w:rsidR="00421AAB" w:rsidRPr="00002625" w:rsidRDefault="00421AAB">
            <w:pPr>
              <w:pStyle w:val="TableText0"/>
            </w:pPr>
            <w:r w:rsidRPr="00002625">
              <w:t>Applicant estimate 20-30% of current colonoscopies (MBS item 32222)</w:t>
            </w:r>
          </w:p>
        </w:tc>
        <w:tc>
          <w:tcPr>
            <w:tcW w:w="1078" w:type="pct"/>
          </w:tcPr>
          <w:p w14:paraId="48919538" w14:textId="77777777" w:rsidR="00421AAB" w:rsidRPr="00002625" w:rsidRDefault="00421AAB">
            <w:pPr>
              <w:pStyle w:val="TableText0"/>
            </w:pPr>
            <w:r w:rsidRPr="00002625">
              <w:t>103,805 – 155,708</w:t>
            </w:r>
          </w:p>
        </w:tc>
      </w:tr>
      <w:tr w:rsidR="00421AAB" w:rsidRPr="00002625" w14:paraId="65F953E9" w14:textId="77777777" w:rsidTr="004E4C02">
        <w:tc>
          <w:tcPr>
            <w:tcW w:w="1331" w:type="pct"/>
          </w:tcPr>
          <w:p w14:paraId="5912C505" w14:textId="77777777" w:rsidR="00421AAB" w:rsidRPr="00002625" w:rsidRDefault="00421AAB">
            <w:pPr>
              <w:pStyle w:val="TableText0"/>
            </w:pPr>
            <w:r w:rsidRPr="00002625">
              <w:t>Patients with positive FOBT</w:t>
            </w:r>
          </w:p>
        </w:tc>
        <w:tc>
          <w:tcPr>
            <w:tcW w:w="2591" w:type="pct"/>
          </w:tcPr>
          <w:p w14:paraId="00A762DC" w14:textId="77777777" w:rsidR="00421AAB" w:rsidRPr="00002625" w:rsidRDefault="00421AAB">
            <w:pPr>
              <w:pStyle w:val="TableText0"/>
            </w:pPr>
            <w:r w:rsidRPr="00002625">
              <w:t>NBCSP data for 2022 calendar year participants (AIHW 2024)</w:t>
            </w:r>
          </w:p>
          <w:p w14:paraId="401D34D9" w14:textId="0CE16AE1" w:rsidR="00AB7D78" w:rsidRPr="00002625" w:rsidRDefault="00AB7D78">
            <w:pPr>
              <w:pStyle w:val="TableText0"/>
            </w:pPr>
            <w:r w:rsidRPr="00002625">
              <w:t xml:space="preserve">(of which 15-25% require </w:t>
            </w:r>
            <w:r w:rsidR="00446B38" w:rsidRPr="00002625">
              <w:t>biopsy or polypectomy)</w:t>
            </w:r>
          </w:p>
        </w:tc>
        <w:tc>
          <w:tcPr>
            <w:tcW w:w="1078" w:type="pct"/>
          </w:tcPr>
          <w:p w14:paraId="3B812F1E" w14:textId="77777777" w:rsidR="00421AAB" w:rsidRPr="00002625" w:rsidRDefault="00421AAB">
            <w:pPr>
              <w:pStyle w:val="TableText0"/>
            </w:pPr>
            <w:r w:rsidRPr="00002625">
              <w:t>~70,000</w:t>
            </w:r>
          </w:p>
        </w:tc>
      </w:tr>
      <w:tr w:rsidR="00421AAB" w:rsidRPr="00002625" w14:paraId="38D262BB" w14:textId="77777777" w:rsidTr="004E4C02">
        <w:tc>
          <w:tcPr>
            <w:tcW w:w="1331" w:type="pct"/>
          </w:tcPr>
          <w:p w14:paraId="22C0240A" w14:textId="77777777" w:rsidR="00421AAB" w:rsidRPr="00002625" w:rsidRDefault="00421AAB">
            <w:pPr>
              <w:pStyle w:val="TableText0"/>
            </w:pPr>
            <w:r w:rsidRPr="00002625">
              <w:t>Patients with incidental finding on imaging</w:t>
            </w:r>
          </w:p>
        </w:tc>
        <w:tc>
          <w:tcPr>
            <w:tcW w:w="2591" w:type="pct"/>
          </w:tcPr>
          <w:p w14:paraId="40335DD0" w14:textId="77777777" w:rsidR="00421AAB" w:rsidRPr="00002625" w:rsidRDefault="00421AAB">
            <w:pPr>
              <w:pStyle w:val="TableText0"/>
            </w:pPr>
            <w:r w:rsidRPr="00002625">
              <w:t>Applicant estimate</w:t>
            </w:r>
          </w:p>
        </w:tc>
        <w:tc>
          <w:tcPr>
            <w:tcW w:w="1078" w:type="pct"/>
          </w:tcPr>
          <w:p w14:paraId="0DA2C7A9" w14:textId="77777777" w:rsidR="00421AAB" w:rsidRPr="00002625" w:rsidRDefault="00421AAB">
            <w:pPr>
              <w:pStyle w:val="TableText0"/>
            </w:pPr>
            <w:r w:rsidRPr="00002625">
              <w:t>&lt;1000</w:t>
            </w:r>
          </w:p>
        </w:tc>
      </w:tr>
      <w:tr w:rsidR="00421AAB" w:rsidRPr="00002625" w14:paraId="2F312630" w14:textId="77777777" w:rsidTr="004E4C02">
        <w:tc>
          <w:tcPr>
            <w:tcW w:w="1331" w:type="pct"/>
          </w:tcPr>
          <w:p w14:paraId="15AC895E" w14:textId="77777777" w:rsidR="00421AAB" w:rsidRPr="00002625" w:rsidRDefault="00421AAB">
            <w:pPr>
              <w:pStyle w:val="TableText0"/>
            </w:pPr>
            <w:r w:rsidRPr="00002625">
              <w:t>Colonoscopy contraindicated</w:t>
            </w:r>
          </w:p>
        </w:tc>
        <w:tc>
          <w:tcPr>
            <w:tcW w:w="2591" w:type="pct"/>
          </w:tcPr>
          <w:p w14:paraId="171E8ABB" w14:textId="3E3456C1" w:rsidR="00421AAB" w:rsidRPr="00002625" w:rsidRDefault="00CB22C4">
            <w:pPr>
              <w:pStyle w:val="TableText0"/>
            </w:pPr>
            <w:r w:rsidRPr="00002625">
              <w:t xml:space="preserve">MSAC 1269 estimated </w:t>
            </w:r>
            <w:r w:rsidR="00FE4E76" w:rsidRPr="00002625">
              <w:t>this to be 4,893 in 2014-2015</w:t>
            </w:r>
          </w:p>
        </w:tc>
        <w:tc>
          <w:tcPr>
            <w:tcW w:w="1078" w:type="pct"/>
          </w:tcPr>
          <w:p w14:paraId="09BCE887" w14:textId="79770FFC" w:rsidR="00421AAB" w:rsidRPr="00002625" w:rsidRDefault="00576F93">
            <w:pPr>
              <w:pStyle w:val="TableText0"/>
            </w:pPr>
            <w:r w:rsidRPr="00002625">
              <w:t xml:space="preserve">~4000 – 5000 </w:t>
            </w:r>
          </w:p>
        </w:tc>
      </w:tr>
      <w:tr w:rsidR="00D67772" w:rsidRPr="00002625" w14:paraId="5E462087" w14:textId="77777777" w:rsidTr="004E4C02">
        <w:tc>
          <w:tcPr>
            <w:tcW w:w="1331" w:type="pct"/>
          </w:tcPr>
          <w:p w14:paraId="16FD6023" w14:textId="77777777" w:rsidR="00D67772" w:rsidRPr="00002625" w:rsidRDefault="00D67772" w:rsidP="00D67772">
            <w:pPr>
              <w:pStyle w:val="TableText0"/>
            </w:pPr>
            <w:r w:rsidRPr="00002625">
              <w:t>Patients with incomplete colonoscopy</w:t>
            </w:r>
          </w:p>
        </w:tc>
        <w:tc>
          <w:tcPr>
            <w:tcW w:w="2591" w:type="pct"/>
          </w:tcPr>
          <w:p w14:paraId="4BB05D9A" w14:textId="77777777" w:rsidR="00413242" w:rsidRPr="00002625" w:rsidRDefault="00D67772" w:rsidP="00413242">
            <w:pPr>
              <w:pStyle w:val="TableText0"/>
            </w:pPr>
            <w:r w:rsidRPr="00002625">
              <w:t>Applicant estimate 5% of current colonoscopies</w:t>
            </w:r>
          </w:p>
          <w:p w14:paraId="115DE7FF" w14:textId="4699E86B" w:rsidR="00D67772" w:rsidRPr="00002625" w:rsidRDefault="0068623D" w:rsidP="00413242">
            <w:pPr>
              <w:pStyle w:val="TableText0"/>
            </w:pPr>
            <w:r w:rsidRPr="00002625">
              <w:t>MBS items 32222-3222</w:t>
            </w:r>
            <w:r w:rsidR="004718DC" w:rsidRPr="00002625">
              <w:t>8</w:t>
            </w:r>
            <w:r w:rsidR="00E66806" w:rsidRPr="00002625">
              <w:t>, 32230</w:t>
            </w:r>
            <w:r w:rsidR="00E83F4D" w:rsidRPr="00002625">
              <w:rPr>
                <w:vertAlign w:val="superscript"/>
              </w:rPr>
              <w:t>b</w:t>
            </w:r>
            <w:r w:rsidR="003C16C4" w:rsidRPr="00002625">
              <w:t xml:space="preserve"> (2023-2024): </w:t>
            </w:r>
            <w:r w:rsidR="00720748" w:rsidRPr="00002625">
              <w:t>683,354</w:t>
            </w:r>
            <w:r w:rsidR="00C86594" w:rsidRPr="00002625">
              <w:t xml:space="preserve"> </w:t>
            </w:r>
            <w:r w:rsidR="004B2F4D" w:rsidRPr="00002625">
              <w:t>services</w:t>
            </w:r>
          </w:p>
        </w:tc>
        <w:tc>
          <w:tcPr>
            <w:tcW w:w="1078" w:type="pct"/>
          </w:tcPr>
          <w:p w14:paraId="5A99EDD6" w14:textId="0FCD60EE" w:rsidR="009D2F03" w:rsidRPr="00002625" w:rsidRDefault="007A5A13" w:rsidP="00D67772">
            <w:pPr>
              <w:pStyle w:val="TableText0"/>
            </w:pPr>
            <w:r w:rsidRPr="00002625">
              <w:t>34,168</w:t>
            </w:r>
          </w:p>
        </w:tc>
      </w:tr>
    </w:tbl>
    <w:p w14:paraId="6E1EF076" w14:textId="090FFD68" w:rsidR="00322F25" w:rsidRPr="00002625" w:rsidRDefault="00322F25" w:rsidP="00322F25">
      <w:pPr>
        <w:pStyle w:val="Tablenotes"/>
        <w:spacing w:after="240"/>
      </w:pPr>
      <w:r w:rsidRPr="00002625">
        <w:t>AIHW = Australian Institute for Health and Welfare; CTC = computed tomography colonography; FOBT = faecal occult blood test; MBS = Medical Benefit Schedule</w:t>
      </w:r>
      <w:r w:rsidR="004E64D7" w:rsidRPr="00002625">
        <w:t>; MSAC = Medical Services Advisory Committee</w:t>
      </w:r>
      <w:r w:rsidR="00B50306" w:rsidRPr="00002625">
        <w:t>; NBCSP = National Bowel Cancer Screening Program.</w:t>
      </w:r>
      <w:r w:rsidRPr="00002625">
        <w:tab/>
        <w:t xml:space="preserve"> </w:t>
      </w:r>
      <w:r w:rsidRPr="00002625">
        <w:br/>
      </w:r>
      <w:r w:rsidRPr="00002625">
        <w:rPr>
          <w:vertAlign w:val="superscript"/>
        </w:rPr>
        <w:t>a</w:t>
      </w:r>
      <w:r w:rsidRPr="00002625">
        <w:t xml:space="preserve"> </w:t>
      </w:r>
      <w:r w:rsidR="00C52F20" w:rsidRPr="00002625">
        <w:t xml:space="preserve">Only MBS item </w:t>
      </w:r>
      <w:r w:rsidR="00E711F3" w:rsidRPr="00002625">
        <w:t>32222 has been used as other items (32223-32228) are for patients with specific conditions unlikely to be referred for CTC.</w:t>
      </w:r>
      <w:r w:rsidR="00E711F3" w:rsidRPr="00002625">
        <w:tab/>
      </w:r>
      <w:r w:rsidR="00E83F4D" w:rsidRPr="00002625">
        <w:br/>
      </w:r>
      <w:r w:rsidR="00F51D22" w:rsidRPr="00002625">
        <w:rPr>
          <w:vertAlign w:val="superscript"/>
        </w:rPr>
        <w:t>b</w:t>
      </w:r>
      <w:r w:rsidR="00F51D22" w:rsidRPr="00002625">
        <w:t xml:space="preserve"> </w:t>
      </w:r>
      <w:r w:rsidR="004E4C02" w:rsidRPr="00002625">
        <w:t xml:space="preserve">MBS items </w:t>
      </w:r>
      <w:r w:rsidR="00CB648B" w:rsidRPr="00002625">
        <w:t>32223</w:t>
      </w:r>
      <w:r w:rsidR="00181199" w:rsidRPr="00002625">
        <w:t xml:space="preserve"> – 32228 are lower utilisation items for patients in specific circumstances</w:t>
      </w:r>
      <w:r w:rsidR="008F223C" w:rsidRPr="00002625">
        <w:t xml:space="preserve"> but if the colonoscopy was incomplete, these patients would all be managed the same way.</w:t>
      </w:r>
      <w:r w:rsidR="00687F84" w:rsidRPr="00002625">
        <w:t xml:space="preserve"> Item 32230 is for colonoscopy including endoscopic mucosal resection.</w:t>
      </w:r>
      <w:r w:rsidR="008F223C" w:rsidRPr="00002625">
        <w:t xml:space="preserve"> </w:t>
      </w:r>
      <w:r w:rsidR="00687F84" w:rsidRPr="00002625">
        <w:t>I</w:t>
      </w:r>
      <w:r w:rsidR="00181199" w:rsidRPr="00002625">
        <w:t>tem 32229</w:t>
      </w:r>
      <w:r w:rsidR="00E61A03" w:rsidRPr="00002625">
        <w:t xml:space="preserve"> has not been included as this </w:t>
      </w:r>
      <w:r w:rsidR="00181199" w:rsidRPr="00002625">
        <w:t xml:space="preserve">is </w:t>
      </w:r>
      <w:r w:rsidR="00E61A03" w:rsidRPr="00002625">
        <w:t>co-claimed</w:t>
      </w:r>
      <w:r w:rsidR="004326B4" w:rsidRPr="00002625">
        <w:t xml:space="preserve"> as a second item</w:t>
      </w:r>
      <w:r w:rsidR="00181199" w:rsidRPr="00002625">
        <w:t xml:space="preserve"> where </w:t>
      </w:r>
      <w:r w:rsidR="000F4C0D" w:rsidRPr="00002625">
        <w:t>polypectomy is undertaken</w:t>
      </w:r>
      <w:r w:rsidR="004718DC" w:rsidRPr="00002625">
        <w:t xml:space="preserve"> during the colonoscopy</w:t>
      </w:r>
      <w:r w:rsidRPr="00002625">
        <w:t xml:space="preserve">. </w:t>
      </w:r>
    </w:p>
    <w:p w14:paraId="5AADFE16" w14:textId="58DCA3D3" w:rsidR="00E10EE6" w:rsidRPr="00002625" w:rsidRDefault="00E10EE6" w:rsidP="0023581B">
      <w:r w:rsidRPr="00002625">
        <w:t xml:space="preserve">The estimate for the </w:t>
      </w:r>
      <w:r w:rsidR="00FB1BF1" w:rsidRPr="00002625">
        <w:t xml:space="preserve">symptomatic patient subpopulation is for the group as a whole, no obvious measure is available to permit </w:t>
      </w:r>
      <w:r w:rsidR="00F7354C" w:rsidRPr="00002625">
        <w:t>further estimate for patients with low risk symptoms only.</w:t>
      </w:r>
    </w:p>
    <w:p w14:paraId="0E2EBA28" w14:textId="77777777" w:rsidR="004F18D2" w:rsidRDefault="00B074B5" w:rsidP="004F18D2">
      <w:r w:rsidRPr="00002625">
        <w:t xml:space="preserve">The applicant has emphasised the importance of CTC as alternative to colonoscopy given colonoscopy wait times and the pressure on existing colonoscopy services. </w:t>
      </w:r>
      <w:r w:rsidR="0ADD6B86" w:rsidRPr="00002625">
        <w:t>T</w:t>
      </w:r>
      <w:r w:rsidR="00DA1F8F" w:rsidRPr="00002625">
        <w:t>he NBCSP reported that t</w:t>
      </w:r>
      <w:r w:rsidRPr="00002625">
        <w:t>he national median</w:t>
      </w:r>
      <w:r w:rsidR="00CD5B0D" w:rsidRPr="00002625">
        <w:t xml:space="preserve"> colonoscopy wait times (median time between a positive screen and diagnostic assessment) for participants with a positive FOBT</w:t>
      </w:r>
      <w:r w:rsidRPr="00002625">
        <w:t xml:space="preserve"> in 2022 was 62 days</w:t>
      </w:r>
      <w:r w:rsidR="00CD5B0D" w:rsidRPr="00002625">
        <w:t xml:space="preserve"> (AIHW 2024). W</w:t>
      </w:r>
      <w:r w:rsidRPr="00002625">
        <w:t xml:space="preserve">ait times were longer for certain sub-groups: 87 days for patients in the public system (versus 51 days for private care); 78 days for those in remote areas, 71 days for people in low socioeconomic areas and 72 days for </w:t>
      </w:r>
      <w:r w:rsidR="00465C03" w:rsidRPr="00002625">
        <w:t>Indigenous</w:t>
      </w:r>
      <w:r w:rsidRPr="00002625">
        <w:t xml:space="preserve"> Australians</w:t>
      </w:r>
      <w:r w:rsidR="00A873FA" w:rsidRPr="00002625">
        <w:t xml:space="preserve"> (AIHW 2024).</w:t>
      </w:r>
      <w:r w:rsidRPr="00002625">
        <w:t xml:space="preserve"> </w:t>
      </w:r>
    </w:p>
    <w:p w14:paraId="4C554A61" w14:textId="66D2CB6B" w:rsidR="008643CC" w:rsidRPr="00002625" w:rsidRDefault="004F18D2" w:rsidP="0023581B">
      <w:r w:rsidRPr="0622754C">
        <w:rPr>
          <w:i/>
          <w:iCs/>
        </w:rPr>
        <w:t xml:space="preserve">PASC considered that </w:t>
      </w:r>
      <w:r w:rsidR="00862F95">
        <w:rPr>
          <w:i/>
          <w:iCs/>
        </w:rPr>
        <w:t>there is uncertainty regarding the size of the population for testing</w:t>
      </w:r>
      <w:r w:rsidR="00E312AF">
        <w:rPr>
          <w:i/>
          <w:iCs/>
        </w:rPr>
        <w:t xml:space="preserve"> and </w:t>
      </w:r>
      <w:r w:rsidRPr="0622754C">
        <w:rPr>
          <w:i/>
          <w:iCs/>
        </w:rPr>
        <w:t>further evaluation of the</w:t>
      </w:r>
      <w:r w:rsidR="005369CE">
        <w:rPr>
          <w:i/>
          <w:iCs/>
        </w:rPr>
        <w:t xml:space="preserve"> evidence</w:t>
      </w:r>
      <w:r w:rsidR="00646BC2">
        <w:rPr>
          <w:i/>
          <w:iCs/>
        </w:rPr>
        <w:t xml:space="preserve"> will be </w:t>
      </w:r>
      <w:r w:rsidR="00C20223">
        <w:rPr>
          <w:i/>
          <w:iCs/>
        </w:rPr>
        <w:t>needed</w:t>
      </w:r>
      <w:r w:rsidR="00646BC2">
        <w:rPr>
          <w:i/>
          <w:iCs/>
        </w:rPr>
        <w:t xml:space="preserve"> for</w:t>
      </w:r>
      <w:r w:rsidR="00C20223">
        <w:rPr>
          <w:i/>
          <w:iCs/>
        </w:rPr>
        <w:t xml:space="preserve"> development of an assessment report</w:t>
      </w:r>
      <w:r w:rsidR="00646BC2">
        <w:rPr>
          <w:i/>
          <w:iCs/>
        </w:rPr>
        <w:t xml:space="preserve"> </w:t>
      </w:r>
      <w:r w:rsidRPr="0622754C">
        <w:rPr>
          <w:i/>
          <w:iCs/>
        </w:rPr>
        <w:t xml:space="preserve"> </w:t>
      </w:r>
    </w:p>
    <w:p w14:paraId="0EB3DD9F" w14:textId="534ED061" w:rsidR="007B563D" w:rsidRPr="00002625" w:rsidRDefault="007B563D" w:rsidP="007B563D">
      <w:pPr>
        <w:pStyle w:val="Heading3"/>
      </w:pPr>
      <w:r w:rsidRPr="00002625">
        <w:t>Intervention</w:t>
      </w:r>
    </w:p>
    <w:p w14:paraId="04E3D780" w14:textId="712142EA" w:rsidR="00FB10F0" w:rsidRPr="00002625" w:rsidRDefault="002C4083" w:rsidP="007B563D">
      <w:r w:rsidRPr="00002625">
        <w:t xml:space="preserve">CTC is </w:t>
      </w:r>
      <w:r w:rsidR="007B563D" w:rsidRPr="00002625">
        <w:t xml:space="preserve">a radiographic imaging technique for investigating internal structures </w:t>
      </w:r>
      <w:r w:rsidR="00D42292" w:rsidRPr="00002625">
        <w:t>of</w:t>
      </w:r>
      <w:r w:rsidR="007B563D" w:rsidRPr="00002625">
        <w:t xml:space="preserve"> the colon and rectum</w:t>
      </w:r>
      <w:r w:rsidR="00A85D37" w:rsidRPr="00002625">
        <w:t xml:space="preserve"> (Cancer Council 2022</w:t>
      </w:r>
      <w:r w:rsidR="00BD2D15" w:rsidRPr="00002625">
        <w:t>; Chieng 2023</w:t>
      </w:r>
      <w:r w:rsidR="00A85D37" w:rsidRPr="00002625">
        <w:t>)</w:t>
      </w:r>
      <w:r w:rsidRPr="00002625">
        <w:t>.</w:t>
      </w:r>
      <w:r w:rsidR="00A778C0" w:rsidRPr="00002625">
        <w:t xml:space="preserve"> </w:t>
      </w:r>
      <w:r w:rsidR="00B54656" w:rsidRPr="00002625">
        <w:t xml:space="preserve">CTC is sometimes described as ‘virtual colonoscopy’ or ‘CT colonoscopy’. </w:t>
      </w:r>
      <w:r w:rsidR="007B563D" w:rsidRPr="00002625">
        <w:t xml:space="preserve">It employs an X-ray source that rotates around the patient, to acquire consecutive tomographic sections of the colon and rectum resembling slices. These two-dimensional images, in turn, can be compiled as a three-dimensional reconstruction of the bowel using imaging software. This may or may not include automated polyp detection software (RANZCR 2013). For the imaging procedure itself, the colon is distended </w:t>
      </w:r>
      <w:r w:rsidR="00504D3B" w:rsidRPr="00002625">
        <w:t xml:space="preserve">using </w:t>
      </w:r>
      <w:r w:rsidR="007B563D" w:rsidRPr="00002625">
        <w:t>carbon dioxide insufflation</w:t>
      </w:r>
      <w:r w:rsidR="00504D3B" w:rsidRPr="00002625">
        <w:t xml:space="preserve"> </w:t>
      </w:r>
      <w:r w:rsidR="007B563D" w:rsidRPr="00002625">
        <w:t xml:space="preserve">via a catheter placed in the rectum. </w:t>
      </w:r>
      <w:r w:rsidR="007B563D" w:rsidRPr="00002625">
        <w:rPr>
          <w:rFonts w:cs="Calibri"/>
        </w:rPr>
        <w:t xml:space="preserve">Perforation of the bowel is </w:t>
      </w:r>
      <w:r w:rsidR="00461A4F" w:rsidRPr="00002625">
        <w:rPr>
          <w:rFonts w:cs="Calibri"/>
        </w:rPr>
        <w:t>a potential complication</w:t>
      </w:r>
      <w:r w:rsidR="007B563D" w:rsidRPr="00002625">
        <w:rPr>
          <w:rFonts w:cs="Calibri"/>
        </w:rPr>
        <w:t xml:space="preserve"> (0.04%)</w:t>
      </w:r>
      <w:r w:rsidR="00745B2C" w:rsidRPr="00002625">
        <w:rPr>
          <w:rFonts w:cs="Calibri"/>
        </w:rPr>
        <w:t xml:space="preserve"> (Cancer Council 2022)</w:t>
      </w:r>
      <w:r w:rsidR="007B563D" w:rsidRPr="00002625">
        <w:rPr>
          <w:rFonts w:cs="Calibri"/>
        </w:rPr>
        <w:t xml:space="preserve"> but at a lower rate than from </w:t>
      </w:r>
      <w:r w:rsidR="00461A4F" w:rsidRPr="00002625">
        <w:rPr>
          <w:rFonts w:cs="Calibri"/>
        </w:rPr>
        <w:t>colonoscopy</w:t>
      </w:r>
      <w:r w:rsidR="007B563D" w:rsidRPr="00002625">
        <w:rPr>
          <w:rFonts w:cs="Calibri"/>
        </w:rPr>
        <w:t xml:space="preserve"> (</w:t>
      </w:r>
      <w:r w:rsidR="00745B2C" w:rsidRPr="00002625">
        <w:rPr>
          <w:rFonts w:cs="Calibri"/>
        </w:rPr>
        <w:t>up to 0.1% for screening colonoscopies</w:t>
      </w:r>
      <w:r w:rsidR="00BF10C3" w:rsidRPr="00002625">
        <w:rPr>
          <w:rFonts w:cs="Calibri"/>
        </w:rPr>
        <w:t>;</w:t>
      </w:r>
      <w:r w:rsidR="00745B2C" w:rsidRPr="00002625">
        <w:rPr>
          <w:rFonts w:cs="Calibri"/>
        </w:rPr>
        <w:t xml:space="preserve"> Lee and Sal</w:t>
      </w:r>
      <w:r w:rsidR="00C920FE" w:rsidRPr="00002625">
        <w:rPr>
          <w:rFonts w:cs="Calibri"/>
        </w:rPr>
        <w:t>t</w:t>
      </w:r>
      <w:r w:rsidR="00745B2C" w:rsidRPr="00002625">
        <w:rPr>
          <w:rFonts w:cs="Calibri"/>
        </w:rPr>
        <w:t>zman</w:t>
      </w:r>
      <w:r w:rsidR="00B34B82" w:rsidRPr="00002625">
        <w:rPr>
          <w:rFonts w:cs="Calibri"/>
        </w:rPr>
        <w:t xml:space="preserve"> 2024</w:t>
      </w:r>
      <w:r w:rsidR="007B563D" w:rsidRPr="00002625">
        <w:rPr>
          <w:rFonts w:cs="Calibri"/>
        </w:rPr>
        <w:t xml:space="preserve">). </w:t>
      </w:r>
      <w:r w:rsidR="007B563D" w:rsidRPr="00002625">
        <w:t>The patient is not usually offered sedation</w:t>
      </w:r>
      <w:r w:rsidR="00C85570" w:rsidRPr="00002625">
        <w:t xml:space="preserve"> as opposed to colonoscopy</w:t>
      </w:r>
      <w:r w:rsidR="007B563D" w:rsidRPr="00002625">
        <w:t xml:space="preserve">. </w:t>
      </w:r>
      <w:r w:rsidR="007D430F" w:rsidRPr="00002625">
        <w:t>If a polyp o</w:t>
      </w:r>
      <w:r w:rsidR="000E7701" w:rsidRPr="00002625">
        <w:t>r</w:t>
      </w:r>
      <w:r w:rsidR="007D430F" w:rsidRPr="00002625">
        <w:t xml:space="preserve"> lesion is </w:t>
      </w:r>
      <w:r w:rsidR="009673AF" w:rsidRPr="00002625">
        <w:t>detected</w:t>
      </w:r>
      <w:r w:rsidR="007D430F" w:rsidRPr="00002625">
        <w:t xml:space="preserve">, the patient is usually referred for </w:t>
      </w:r>
      <w:r w:rsidR="000E7701" w:rsidRPr="00002625">
        <w:t xml:space="preserve">colonoscopy. </w:t>
      </w:r>
    </w:p>
    <w:p w14:paraId="3F349672" w14:textId="36B4119A" w:rsidR="007B563D" w:rsidRPr="00002625" w:rsidRDefault="006A0BD1" w:rsidP="007B563D">
      <w:r w:rsidRPr="00002625">
        <w:t xml:space="preserve">As with colonoscopy, CTC also requires a cathartic bowel preparation </w:t>
      </w:r>
      <w:r w:rsidR="007C748C" w:rsidRPr="00002625">
        <w:t xml:space="preserve">that </w:t>
      </w:r>
      <w:r w:rsidR="00E71A48" w:rsidRPr="00002625">
        <w:t xml:space="preserve">is used to </w:t>
      </w:r>
      <w:r w:rsidR="00E1767A" w:rsidRPr="00002625">
        <w:t xml:space="preserve">cleanse and </w:t>
      </w:r>
      <w:r w:rsidRPr="00002625">
        <w:t>remove faecal material which would obstruct the imaging</w:t>
      </w:r>
      <w:r w:rsidR="00D21D31" w:rsidRPr="00002625">
        <w:t>. This</w:t>
      </w:r>
      <w:r w:rsidR="00E1767A" w:rsidRPr="00002625">
        <w:t xml:space="preserve"> preparation</w:t>
      </w:r>
      <w:r w:rsidR="007569D9" w:rsidRPr="00002625">
        <w:t xml:space="preserve"> </w:t>
      </w:r>
      <w:r w:rsidR="00E1767A" w:rsidRPr="00002625">
        <w:t>involves</w:t>
      </w:r>
      <w:r w:rsidR="007569D9" w:rsidRPr="00002625">
        <w:t xml:space="preserve"> </w:t>
      </w:r>
      <w:r w:rsidR="007B563D" w:rsidRPr="00002625">
        <w:t xml:space="preserve">dietary restrictions and a </w:t>
      </w:r>
      <w:r w:rsidR="007B563D" w:rsidRPr="00002625">
        <w:lastRenderedPageBreak/>
        <w:t xml:space="preserve">laxative solution for 1-3 days before the procedure. In addition, a contrast agent for faecal tagging (typically Gastrografin which contains iodine) is given orally or as an enema to reduce artefacts from residual material in the bowel (NPS MedicineWise 2021). </w:t>
      </w:r>
      <w:r w:rsidR="004C5595" w:rsidRPr="00002625">
        <w:t xml:space="preserve">Unlike CT </w:t>
      </w:r>
      <w:r w:rsidR="00737283" w:rsidRPr="00002625">
        <w:t xml:space="preserve">of </w:t>
      </w:r>
      <w:r w:rsidR="004C5595" w:rsidRPr="00002625">
        <w:t xml:space="preserve">abdomen/pelvis, </w:t>
      </w:r>
      <w:r w:rsidR="007B563D" w:rsidRPr="00002625">
        <w:t xml:space="preserve">CTC does not usually employ intravenous contrast (RANZCR 2019). </w:t>
      </w:r>
    </w:p>
    <w:p w14:paraId="00DC5C6D" w14:textId="3FD2B531" w:rsidR="00FB10F0" w:rsidRPr="00002625" w:rsidRDefault="00FB10F0" w:rsidP="00FB10F0">
      <w:r w:rsidRPr="00002625">
        <w:t xml:space="preserve">The applicant indicated that no change in the way CTC is performed has occurred since this intervention was considered by MSAC in 2014 (application 1269). The </w:t>
      </w:r>
      <w:r w:rsidR="00F46A26" w:rsidRPr="00002625">
        <w:t xml:space="preserve">use </w:t>
      </w:r>
      <w:r w:rsidR="00E34326" w:rsidRPr="00002625">
        <w:t>of CTC</w:t>
      </w:r>
      <w:r w:rsidR="00C9204E" w:rsidRPr="00002625">
        <w:t xml:space="preserve"> for diagnosis or exclusion of CRC</w:t>
      </w:r>
      <w:r w:rsidR="00C82988" w:rsidRPr="00002625">
        <w:t xml:space="preserve"> would be</w:t>
      </w:r>
      <w:r w:rsidR="00C9204E" w:rsidRPr="00002625">
        <w:t xml:space="preserve"> as a</w:t>
      </w:r>
      <w:r w:rsidR="00694C79" w:rsidRPr="00002625">
        <w:t>n add-on or</w:t>
      </w:r>
      <w:r w:rsidR="00C9204E" w:rsidRPr="00002625">
        <w:t xml:space="preserve"> triage test</w:t>
      </w:r>
      <w:r w:rsidR="00B62F6F" w:rsidRPr="00002625">
        <w:t xml:space="preserve"> – that is, </w:t>
      </w:r>
      <w:r w:rsidR="00B27313" w:rsidRPr="00002625">
        <w:t xml:space="preserve">a test </w:t>
      </w:r>
      <w:r w:rsidR="00B62F6F" w:rsidRPr="00002625">
        <w:t>used to determine which patients require further tests</w:t>
      </w:r>
      <w:r w:rsidR="00B27313" w:rsidRPr="00002625">
        <w:t xml:space="preserve"> (MSAC Guidelines</w:t>
      </w:r>
      <w:r w:rsidR="009A211F" w:rsidRPr="00002625">
        <w:t xml:space="preserve"> 2021)</w:t>
      </w:r>
      <w:r w:rsidR="00C94B28" w:rsidRPr="00002625">
        <w:t xml:space="preserve">. </w:t>
      </w:r>
      <w:r w:rsidR="003E4243" w:rsidRPr="00002625">
        <w:t>The purpose of a triage test is to enrich the</w:t>
      </w:r>
      <w:r w:rsidR="00202CA9" w:rsidRPr="00002625">
        <w:t xml:space="preserve"> test population</w:t>
      </w:r>
      <w:r w:rsidR="000D79D5" w:rsidRPr="00002625">
        <w:t>,</w:t>
      </w:r>
      <w:r w:rsidR="00797C33" w:rsidRPr="00002625">
        <w:t xml:space="preserve"> thus</w:t>
      </w:r>
      <w:r w:rsidR="00202CA9" w:rsidRPr="00002625">
        <w:t xml:space="preserve"> increas</w:t>
      </w:r>
      <w:r w:rsidR="00797C33" w:rsidRPr="00002625">
        <w:t>ing the</w:t>
      </w:r>
      <w:r w:rsidR="003E4243" w:rsidRPr="00002625">
        <w:t xml:space="preserve"> </w:t>
      </w:r>
      <w:r w:rsidR="00202CA9" w:rsidRPr="00002625">
        <w:t>proportion</w:t>
      </w:r>
      <w:r w:rsidR="00102CA0" w:rsidRPr="00002625">
        <w:t xml:space="preserve"> of patients likely to benefit from</w:t>
      </w:r>
      <w:r w:rsidR="00E37875" w:rsidRPr="00002625">
        <w:t xml:space="preserve"> the definitive test</w:t>
      </w:r>
      <w:r w:rsidR="00A91241" w:rsidRPr="00002625">
        <w:t xml:space="preserve">. </w:t>
      </w:r>
      <w:r w:rsidR="00272909" w:rsidRPr="00002625">
        <w:t>In the case of CTC, p</w:t>
      </w:r>
      <w:r w:rsidR="00C94B28" w:rsidRPr="00002625">
        <w:t xml:space="preserve">atients with clinically significant </w:t>
      </w:r>
      <w:r w:rsidR="00B863E7" w:rsidRPr="00002625">
        <w:t>findings would</w:t>
      </w:r>
      <w:r w:rsidR="00355578" w:rsidRPr="00002625">
        <w:t xml:space="preserve"> still require</w:t>
      </w:r>
      <w:r w:rsidR="00F625D5" w:rsidRPr="00002625">
        <w:t xml:space="preserve"> onward referral for colonoscopy</w:t>
      </w:r>
      <w:r w:rsidR="00236DCF" w:rsidRPr="00002625">
        <w:t xml:space="preserve"> (the definitive test)</w:t>
      </w:r>
      <w:r w:rsidR="00E76F8E" w:rsidRPr="00002625">
        <w:t xml:space="preserve">, </w:t>
      </w:r>
      <w:r w:rsidR="00F91EA6" w:rsidRPr="00002625">
        <w:t xml:space="preserve">while patients not requiring </w:t>
      </w:r>
      <w:r w:rsidR="004F6BF0" w:rsidRPr="00002625">
        <w:t>further investigation</w:t>
      </w:r>
      <w:r w:rsidR="00F91EA6" w:rsidRPr="00002625">
        <w:t xml:space="preserve"> </w:t>
      </w:r>
      <w:r w:rsidR="0065605E">
        <w:t>may</w:t>
      </w:r>
      <w:r w:rsidR="0065605E" w:rsidRPr="00002625">
        <w:t xml:space="preserve"> </w:t>
      </w:r>
      <w:r w:rsidR="00F357D5" w:rsidRPr="00002625">
        <w:t>be spa</w:t>
      </w:r>
      <w:r w:rsidR="00D654DD" w:rsidRPr="00002625">
        <w:t>red</w:t>
      </w:r>
      <w:r w:rsidR="00F357D5" w:rsidRPr="00002625">
        <w:t xml:space="preserve"> unnecessary </w:t>
      </w:r>
      <w:r w:rsidR="001C7C85" w:rsidRPr="00002625">
        <w:t>colonoscopy</w:t>
      </w:r>
      <w:r w:rsidR="00F357D5" w:rsidRPr="00002625">
        <w:t xml:space="preserve"> (and its associated risks). </w:t>
      </w:r>
    </w:p>
    <w:p w14:paraId="300E8062" w14:textId="6DAB75BB" w:rsidR="00164957" w:rsidRPr="00002625" w:rsidRDefault="00164957" w:rsidP="00134FCB">
      <w:pPr>
        <w:tabs>
          <w:tab w:val="left" w:pos="8789"/>
        </w:tabs>
        <w:spacing w:after="120"/>
      </w:pPr>
      <w:r w:rsidRPr="00002625">
        <w:t xml:space="preserve">Current Australian recommendations for polyps detected are summarised in </w:t>
      </w:r>
      <w:r w:rsidR="00FF258E" w:rsidRPr="00002625">
        <w:fldChar w:fldCharType="begin"/>
      </w:r>
      <w:r w:rsidR="00FF258E" w:rsidRPr="00002625">
        <w:instrText xml:space="preserve"> REF _Ref181129378 \h </w:instrText>
      </w:r>
      <w:r w:rsidR="00FF258E" w:rsidRPr="00002625">
        <w:fldChar w:fldCharType="separate"/>
      </w:r>
      <w:r w:rsidR="00637321" w:rsidRPr="00002625">
        <w:t>Table </w:t>
      </w:r>
      <w:r w:rsidR="00637321" w:rsidRPr="00002625">
        <w:rPr>
          <w:noProof/>
        </w:rPr>
        <w:t>11</w:t>
      </w:r>
      <w:r w:rsidR="00FF258E" w:rsidRPr="00002625">
        <w:fldChar w:fldCharType="end"/>
      </w:r>
      <w:r w:rsidRPr="00002625">
        <w:t xml:space="preserve"> (irrespective of detection method). </w:t>
      </w:r>
    </w:p>
    <w:p w14:paraId="375FFB5B" w14:textId="0B8CAA41" w:rsidR="00164957" w:rsidRPr="00002625" w:rsidRDefault="00164957" w:rsidP="000D40DA">
      <w:pPr>
        <w:pStyle w:val="TableHeading"/>
        <w:rPr>
          <w:sz w:val="16"/>
          <w:szCs w:val="16"/>
        </w:rPr>
      </w:pPr>
      <w:bookmarkStart w:id="21" w:name="_Ref181129378"/>
      <w:r w:rsidRPr="00002625">
        <w:t>Table </w:t>
      </w:r>
      <w:r>
        <w:fldChar w:fldCharType="begin"/>
      </w:r>
      <w:r>
        <w:instrText>SEQ Table \* ARABIC</w:instrText>
      </w:r>
      <w:r>
        <w:fldChar w:fldCharType="separate"/>
      </w:r>
      <w:r w:rsidR="00637321" w:rsidRPr="00002625">
        <w:rPr>
          <w:noProof/>
        </w:rPr>
        <w:t>11</w:t>
      </w:r>
      <w:r>
        <w:fldChar w:fldCharType="end"/>
      </w:r>
      <w:bookmarkEnd w:id="21"/>
      <w:r w:rsidRPr="00002625">
        <w:tab/>
        <w:t>Recommended steps for different polyps detected, based on size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Recommended steps for different polyps detected, based on size"/>
        <w:tblDescription w:val="Table showing recommended steps for different polyps detected, based on size"/>
      </w:tblPr>
      <w:tblGrid>
        <w:gridCol w:w="1130"/>
        <w:gridCol w:w="4119"/>
        <w:gridCol w:w="4322"/>
      </w:tblGrid>
      <w:tr w:rsidR="00164957" w:rsidRPr="00002625" w14:paraId="1A0D3187" w14:textId="77777777">
        <w:trPr>
          <w:tblHeader/>
        </w:trPr>
        <w:tc>
          <w:tcPr>
            <w:tcW w:w="590" w:type="pct"/>
            <w:tcBorders>
              <w:bottom w:val="single" w:sz="4" w:space="0" w:color="auto"/>
            </w:tcBorders>
            <w:hideMark/>
          </w:tcPr>
          <w:p w14:paraId="783A9E08" w14:textId="77777777" w:rsidR="00164957" w:rsidRPr="00002625" w:rsidRDefault="00164957">
            <w:pPr>
              <w:pStyle w:val="TableText0"/>
              <w:keepNext/>
              <w:rPr>
                <w:b/>
              </w:rPr>
            </w:pPr>
            <w:r w:rsidRPr="00002625">
              <w:rPr>
                <w:b/>
              </w:rPr>
              <w:t>Polyp size</w:t>
            </w:r>
          </w:p>
        </w:tc>
        <w:tc>
          <w:tcPr>
            <w:tcW w:w="2152" w:type="pct"/>
          </w:tcPr>
          <w:p w14:paraId="7BCDA026" w14:textId="77777777" w:rsidR="00164957" w:rsidRPr="00002625" w:rsidRDefault="00164957">
            <w:pPr>
              <w:pStyle w:val="TableText0"/>
              <w:keepNext/>
              <w:rPr>
                <w:b/>
              </w:rPr>
            </w:pPr>
            <w:r w:rsidRPr="00002625">
              <w:rPr>
                <w:b/>
              </w:rPr>
              <w:t>Action on detection</w:t>
            </w:r>
          </w:p>
        </w:tc>
        <w:tc>
          <w:tcPr>
            <w:tcW w:w="2258" w:type="pct"/>
          </w:tcPr>
          <w:p w14:paraId="1A85CCC4" w14:textId="77777777" w:rsidR="00164957" w:rsidRPr="00002625" w:rsidRDefault="00164957">
            <w:pPr>
              <w:pStyle w:val="TableText0"/>
              <w:keepNext/>
              <w:rPr>
                <w:b/>
              </w:rPr>
            </w:pPr>
            <w:r w:rsidRPr="00002625">
              <w:rPr>
                <w:b/>
              </w:rPr>
              <w:t>Action for follow-up</w:t>
            </w:r>
          </w:p>
        </w:tc>
      </w:tr>
      <w:tr w:rsidR="00164957" w:rsidRPr="00002625" w14:paraId="1A847D1C" w14:textId="77777777">
        <w:tc>
          <w:tcPr>
            <w:tcW w:w="590" w:type="pct"/>
            <w:tcBorders>
              <w:bottom w:val="single" w:sz="4" w:space="0" w:color="auto"/>
            </w:tcBorders>
          </w:tcPr>
          <w:p w14:paraId="0731D5F9" w14:textId="77777777" w:rsidR="00164957" w:rsidRPr="00002625" w:rsidRDefault="00164957">
            <w:pPr>
              <w:pStyle w:val="TableText0"/>
            </w:pPr>
            <w:r w:rsidRPr="00002625">
              <w:t>&lt;6mm</w:t>
            </w:r>
          </w:p>
        </w:tc>
        <w:tc>
          <w:tcPr>
            <w:tcW w:w="2152" w:type="pct"/>
          </w:tcPr>
          <w:p w14:paraId="1DEA6157" w14:textId="68899A19" w:rsidR="00164957" w:rsidRPr="00002625" w:rsidRDefault="00164957">
            <w:pPr>
              <w:pStyle w:val="TableText0"/>
            </w:pPr>
            <w:r w:rsidRPr="00002625">
              <w:t xml:space="preserve">Proximal site; and descending colon site: </w:t>
            </w:r>
            <w:r w:rsidR="005F7C35" w:rsidRPr="00002625">
              <w:t>removal depends on characteristics</w:t>
            </w:r>
            <w:r w:rsidR="00C645B7" w:rsidRPr="00002625">
              <w:t xml:space="preserve"> (on colonoscopy)</w:t>
            </w:r>
            <w:r w:rsidR="007574FD" w:rsidRPr="00002625">
              <w:t xml:space="preserve">; </w:t>
            </w:r>
            <w:r w:rsidR="004A1A31" w:rsidRPr="00002625">
              <w:t xml:space="preserve">polyps of this size are </w:t>
            </w:r>
            <w:r w:rsidR="007574FD" w:rsidRPr="00002625">
              <w:t>not reported (on CTC)</w:t>
            </w:r>
          </w:p>
          <w:p w14:paraId="43A4FCB4" w14:textId="77777777" w:rsidR="00164957" w:rsidRPr="00002625" w:rsidRDefault="00164957">
            <w:pPr>
              <w:pStyle w:val="TableText0"/>
            </w:pPr>
            <w:r w:rsidRPr="00002625">
              <w:t>Rectosigmoid site: No action recommended (unlikely to be clinically significant and polypectomy is associated with complications)</w:t>
            </w:r>
          </w:p>
        </w:tc>
        <w:tc>
          <w:tcPr>
            <w:tcW w:w="2258" w:type="pct"/>
          </w:tcPr>
          <w:p w14:paraId="5149E289" w14:textId="6829161A" w:rsidR="00164957" w:rsidRPr="00002625" w:rsidRDefault="00164957">
            <w:pPr>
              <w:pStyle w:val="TableText0"/>
            </w:pPr>
            <w:r w:rsidRPr="00002625">
              <w:t>Return to screening population</w:t>
            </w:r>
            <w:r w:rsidR="00FF4EA8" w:rsidRPr="00002625">
              <w:t xml:space="preserve"> (in occasional cases where diminutive polyps are removed on colonoscopy that show histopathology of concern, the patient would be subject to </w:t>
            </w:r>
            <w:r w:rsidR="00B82015" w:rsidRPr="00002625">
              <w:t xml:space="preserve">surveillance intervals in </w:t>
            </w:r>
            <w:r w:rsidR="009426F2" w:rsidRPr="00002625">
              <w:fldChar w:fldCharType="begin"/>
            </w:r>
            <w:r w:rsidR="009426F2" w:rsidRPr="00002625">
              <w:instrText xml:space="preserve"> REF _Ref181288810 \h </w:instrText>
            </w:r>
            <w:r w:rsidR="009426F2" w:rsidRPr="00002625">
              <w:fldChar w:fldCharType="separate"/>
            </w:r>
            <w:r w:rsidR="00637321" w:rsidRPr="00002625">
              <w:t>Table </w:t>
            </w:r>
            <w:r w:rsidR="00637321" w:rsidRPr="00002625">
              <w:rPr>
                <w:noProof/>
              </w:rPr>
              <w:t>14</w:t>
            </w:r>
            <w:r w:rsidR="009426F2" w:rsidRPr="00002625">
              <w:fldChar w:fldCharType="end"/>
            </w:r>
            <w:r w:rsidR="00B82015" w:rsidRPr="00002625">
              <w:t>).</w:t>
            </w:r>
          </w:p>
        </w:tc>
      </w:tr>
      <w:tr w:rsidR="00164957" w:rsidRPr="00002625" w14:paraId="7CCE2E8D" w14:textId="77777777">
        <w:tc>
          <w:tcPr>
            <w:tcW w:w="590" w:type="pct"/>
            <w:tcBorders>
              <w:top w:val="single" w:sz="4" w:space="0" w:color="auto"/>
              <w:bottom w:val="single" w:sz="4" w:space="0" w:color="auto"/>
            </w:tcBorders>
          </w:tcPr>
          <w:p w14:paraId="67C05EC1" w14:textId="77777777" w:rsidR="00164957" w:rsidRPr="00002625" w:rsidRDefault="00164957">
            <w:pPr>
              <w:pStyle w:val="TableText0"/>
            </w:pPr>
            <w:r w:rsidRPr="00002625">
              <w:t>6&lt;9mm</w:t>
            </w:r>
          </w:p>
        </w:tc>
        <w:tc>
          <w:tcPr>
            <w:tcW w:w="2152" w:type="pct"/>
            <w:tcBorders>
              <w:bottom w:val="single" w:sz="4" w:space="0" w:color="auto"/>
            </w:tcBorders>
          </w:tcPr>
          <w:p w14:paraId="5A000C2C" w14:textId="77777777" w:rsidR="00164957" w:rsidRPr="00002625" w:rsidRDefault="00164957">
            <w:pPr>
              <w:pStyle w:val="TableText0"/>
            </w:pPr>
            <w:r w:rsidRPr="00002625">
              <w:t>Patient / physician choice to remove (polypectomy)</w:t>
            </w:r>
          </w:p>
        </w:tc>
        <w:tc>
          <w:tcPr>
            <w:tcW w:w="2258" w:type="pct"/>
            <w:tcBorders>
              <w:bottom w:val="single" w:sz="4" w:space="0" w:color="auto"/>
            </w:tcBorders>
          </w:tcPr>
          <w:p w14:paraId="4EDFC9B4" w14:textId="1FC2F19A" w:rsidR="00164957" w:rsidRPr="00002625" w:rsidRDefault="00164957">
            <w:pPr>
              <w:pStyle w:val="TableText0"/>
              <w:keepNext/>
            </w:pPr>
            <w:r w:rsidRPr="00002625">
              <w:t xml:space="preserve">If </w:t>
            </w:r>
            <w:r w:rsidR="00322D73" w:rsidRPr="00002625">
              <w:t xml:space="preserve">non adenomatous </w:t>
            </w:r>
            <w:r w:rsidRPr="00002625">
              <w:t>return to screening population</w:t>
            </w:r>
          </w:p>
          <w:p w14:paraId="7A49D06F" w14:textId="1A212AEC" w:rsidR="00164957" w:rsidRPr="00002625" w:rsidRDefault="00164957">
            <w:pPr>
              <w:pStyle w:val="TableText0"/>
            </w:pPr>
            <w:r w:rsidRPr="00002625">
              <w:t>Clinically significant if adenoma</w:t>
            </w:r>
            <w:r w:rsidRPr="00002625">
              <w:rPr>
                <w:vertAlign w:val="superscript"/>
              </w:rPr>
              <w:t>a</w:t>
            </w:r>
            <w:r w:rsidRPr="00002625">
              <w:t xml:space="preserve"> – See surveillance intervals in </w:t>
            </w:r>
            <w:r w:rsidR="009426F2" w:rsidRPr="00002625">
              <w:fldChar w:fldCharType="begin"/>
            </w:r>
            <w:r w:rsidR="009426F2" w:rsidRPr="00002625">
              <w:instrText xml:space="preserve"> REF _Ref181288810 \h </w:instrText>
            </w:r>
            <w:r w:rsidR="009426F2" w:rsidRPr="00002625">
              <w:fldChar w:fldCharType="separate"/>
            </w:r>
            <w:r w:rsidR="00637321" w:rsidRPr="00002625">
              <w:t>Table </w:t>
            </w:r>
            <w:r w:rsidR="00637321" w:rsidRPr="00002625">
              <w:rPr>
                <w:noProof/>
              </w:rPr>
              <w:t>14</w:t>
            </w:r>
            <w:r w:rsidR="009426F2" w:rsidRPr="00002625">
              <w:fldChar w:fldCharType="end"/>
            </w:r>
          </w:p>
        </w:tc>
      </w:tr>
      <w:tr w:rsidR="00164957" w:rsidRPr="00002625" w14:paraId="4CF253A7" w14:textId="77777777">
        <w:tc>
          <w:tcPr>
            <w:tcW w:w="590" w:type="pct"/>
            <w:tcBorders>
              <w:top w:val="single" w:sz="4" w:space="0" w:color="auto"/>
              <w:bottom w:val="single" w:sz="4" w:space="0" w:color="auto"/>
            </w:tcBorders>
          </w:tcPr>
          <w:p w14:paraId="0CDCDDB9" w14:textId="4CBBACB7" w:rsidR="00164957" w:rsidRPr="00002625" w:rsidRDefault="00164957">
            <w:pPr>
              <w:pStyle w:val="TableText0"/>
              <w:keepNext/>
            </w:pPr>
            <w:r w:rsidRPr="00002625">
              <w:t>&gt;10mm</w:t>
            </w:r>
            <w:r w:rsidR="00C20DF6" w:rsidRPr="00002625">
              <w:rPr>
                <w:vertAlign w:val="superscript"/>
              </w:rPr>
              <w:t>a</w:t>
            </w:r>
          </w:p>
        </w:tc>
        <w:tc>
          <w:tcPr>
            <w:tcW w:w="2152" w:type="pct"/>
            <w:tcBorders>
              <w:top w:val="single" w:sz="4" w:space="0" w:color="auto"/>
              <w:bottom w:val="single" w:sz="4" w:space="0" w:color="auto"/>
            </w:tcBorders>
          </w:tcPr>
          <w:p w14:paraId="1032B77C" w14:textId="77777777" w:rsidR="00164957" w:rsidRPr="00002625" w:rsidRDefault="00164957">
            <w:pPr>
              <w:pStyle w:val="TableText0"/>
              <w:keepNext/>
            </w:pPr>
            <w:r w:rsidRPr="00002625">
              <w:t>Clinically significant – polypectomy recommended. (Also depends on site, invasive characteristics, histology)</w:t>
            </w:r>
          </w:p>
        </w:tc>
        <w:tc>
          <w:tcPr>
            <w:tcW w:w="2258" w:type="pct"/>
            <w:tcBorders>
              <w:top w:val="single" w:sz="4" w:space="0" w:color="auto"/>
              <w:bottom w:val="single" w:sz="4" w:space="0" w:color="auto"/>
            </w:tcBorders>
          </w:tcPr>
          <w:p w14:paraId="04B5C925" w14:textId="243306C7" w:rsidR="00164957" w:rsidRPr="00002625" w:rsidRDefault="00164957">
            <w:pPr>
              <w:pStyle w:val="TableText0"/>
              <w:keepNext/>
            </w:pPr>
            <w:r w:rsidRPr="00002625">
              <w:t xml:space="preserve">See surveillance intervals in </w:t>
            </w:r>
            <w:r w:rsidR="00B21911" w:rsidRPr="00002625">
              <w:fldChar w:fldCharType="begin"/>
            </w:r>
            <w:r w:rsidR="00B21911" w:rsidRPr="00002625">
              <w:instrText xml:space="preserve"> REF _Ref181288810 \h </w:instrText>
            </w:r>
            <w:r w:rsidR="00B21911" w:rsidRPr="00002625">
              <w:fldChar w:fldCharType="separate"/>
            </w:r>
            <w:r w:rsidR="00637321" w:rsidRPr="00002625">
              <w:t>Table </w:t>
            </w:r>
            <w:r w:rsidR="00637321" w:rsidRPr="00002625">
              <w:rPr>
                <w:noProof/>
              </w:rPr>
              <w:t>14</w:t>
            </w:r>
            <w:r w:rsidR="00B21911" w:rsidRPr="00002625">
              <w:fldChar w:fldCharType="end"/>
            </w:r>
          </w:p>
        </w:tc>
      </w:tr>
    </w:tbl>
    <w:p w14:paraId="078004E3" w14:textId="0AA68568" w:rsidR="00164957" w:rsidRPr="00002625" w:rsidRDefault="00717A20" w:rsidP="007A1201">
      <w:pPr>
        <w:pStyle w:val="Tablenotes"/>
        <w:spacing w:after="240"/>
      </w:pPr>
      <w:r w:rsidRPr="00002625">
        <w:t xml:space="preserve">CTC = </w:t>
      </w:r>
      <w:r w:rsidR="005D5BB5" w:rsidRPr="00002625">
        <w:t>computed tomography colonography</w:t>
      </w:r>
      <w:r w:rsidR="00D3053E" w:rsidRPr="00002625">
        <w:tab/>
      </w:r>
      <w:r w:rsidR="005D5BB5" w:rsidRPr="00002625">
        <w:t xml:space="preserve"> </w:t>
      </w:r>
      <w:r w:rsidR="00D3053E" w:rsidRPr="00002625">
        <w:br/>
      </w:r>
      <w:r w:rsidR="00164957" w:rsidRPr="00002625">
        <w:rPr>
          <w:vertAlign w:val="superscript"/>
        </w:rPr>
        <w:t>a</w:t>
      </w:r>
      <w:r w:rsidR="00164957" w:rsidRPr="00002625">
        <w:t xml:space="preserve"> an adenoma </w:t>
      </w:r>
      <w:r w:rsidR="00164957" w:rsidRPr="00002625">
        <w:rPr>
          <w:rFonts w:cs="Calibri"/>
        </w:rPr>
        <w:t>≥</w:t>
      </w:r>
      <w:r w:rsidR="00164957" w:rsidRPr="00002625">
        <w:t>10mm in size is defined as an advanced adenoma</w:t>
      </w:r>
      <w:r w:rsidR="00930372" w:rsidRPr="00002625">
        <w:tab/>
        <w:t xml:space="preserve"> </w:t>
      </w:r>
      <w:r w:rsidR="00930372" w:rsidRPr="00002625">
        <w:br/>
        <w:t>Source: Cancer Council (2022); ESGE (2024)</w:t>
      </w:r>
      <w:r w:rsidR="00930372" w:rsidRPr="00002625">
        <w:tab/>
      </w:r>
    </w:p>
    <w:p w14:paraId="00F13FDA" w14:textId="7585379A" w:rsidR="00164957" w:rsidRPr="00002625" w:rsidRDefault="00164957" w:rsidP="00C93427">
      <w:pPr>
        <w:tabs>
          <w:tab w:val="left" w:pos="8789"/>
        </w:tabs>
      </w:pPr>
      <w:r w:rsidRPr="00002625">
        <w:t>The ESGE/ESGAR (2020) guideline notes that in symptomatic patients, small polyps (6–9 mm) and diminutive polyps (≤5 mm) are less relevant since they cannot explain the patient’s symptoms.</w:t>
      </w:r>
      <w:r w:rsidR="0054287D" w:rsidRPr="00002625">
        <w:t xml:space="preserve"> Other recommendations for Europe are captured in the ESGE guidelines on polypectomy </w:t>
      </w:r>
      <w:r w:rsidR="00B04A62" w:rsidRPr="00002625">
        <w:t>and resection</w:t>
      </w:r>
      <w:r w:rsidR="0054287D" w:rsidRPr="00002625">
        <w:t xml:space="preserve"> (ESGE 2024) which may diverge from practice in Australia</w:t>
      </w:r>
      <w:r w:rsidR="00B04A62" w:rsidRPr="00002625">
        <w:t>. I</w:t>
      </w:r>
      <w:r w:rsidR="0054287D" w:rsidRPr="00002625">
        <w:t>n particular</w:t>
      </w:r>
      <w:r w:rsidR="00BE6A80" w:rsidRPr="00002625">
        <w:t>,</w:t>
      </w:r>
      <w:r w:rsidR="0054287D" w:rsidRPr="00002625">
        <w:t xml:space="preserve"> the </w:t>
      </w:r>
      <w:r w:rsidR="00DF0C77" w:rsidRPr="00002625">
        <w:t xml:space="preserve">ESGE recommends </w:t>
      </w:r>
      <w:r w:rsidR="004713C6" w:rsidRPr="00002625">
        <w:t>“</w:t>
      </w:r>
      <w:r w:rsidR="00DF0C77" w:rsidRPr="00002625">
        <w:t xml:space="preserve">resection of all polyps with the exception of </w:t>
      </w:r>
      <w:r w:rsidR="001D1EB0" w:rsidRPr="00002625">
        <w:t xml:space="preserve">diminutive </w:t>
      </w:r>
      <w:r w:rsidR="00B04A62" w:rsidRPr="00002625">
        <w:t>(≤</w:t>
      </w:r>
      <w:r w:rsidR="001F6802" w:rsidRPr="00002625">
        <w:t>5 </w:t>
      </w:r>
      <w:r w:rsidR="00B04A62" w:rsidRPr="00002625">
        <w:t>mm)</w:t>
      </w:r>
      <w:r w:rsidR="001D1EB0" w:rsidRPr="00002625">
        <w:t xml:space="preserve"> </w:t>
      </w:r>
      <w:r w:rsidR="00B04A62" w:rsidRPr="00002625">
        <w:t>rectosigmoid polyps that are predicted to be non</w:t>
      </w:r>
      <w:r w:rsidR="003A2AD2" w:rsidRPr="00002625">
        <w:t>-</w:t>
      </w:r>
      <w:r w:rsidR="00B04A62" w:rsidRPr="00002625">
        <w:t>adenomatous with high confidence</w:t>
      </w:r>
      <w:r w:rsidR="004713C6" w:rsidRPr="00002625">
        <w:t>”</w:t>
      </w:r>
      <w:r w:rsidR="00B04A62" w:rsidRPr="00002625">
        <w:t xml:space="preserve">. This would appear to contradict the current Cancer Council recommendation that diminutive polyps detected on CTC </w:t>
      </w:r>
      <w:r w:rsidR="00297CBC" w:rsidRPr="00002625">
        <w:t>are usually not reported</w:t>
      </w:r>
      <w:r w:rsidR="00191477" w:rsidRPr="00002625">
        <w:t xml:space="preserve"> as the overwhelming majority of these do not harbour advanced histology (Cancer Council 2022)</w:t>
      </w:r>
      <w:r w:rsidR="00B04A62" w:rsidRPr="00002625">
        <w:t xml:space="preserve">. </w:t>
      </w:r>
    </w:p>
    <w:p w14:paraId="0EFA502B" w14:textId="49AD462C" w:rsidR="003E7105" w:rsidRPr="00002625" w:rsidRDefault="003E7105" w:rsidP="00DE2E5F">
      <w:pPr>
        <w:rPr>
          <w:i/>
        </w:rPr>
      </w:pPr>
      <w:r w:rsidRPr="00002625">
        <w:rPr>
          <w:i/>
        </w:rPr>
        <w:t xml:space="preserve">PASC noted the main purpose of CTC would be to rule out patients who did not require onward referral for colonoscopy,. PASC noted </w:t>
      </w:r>
      <w:r w:rsidR="0065605E">
        <w:rPr>
          <w:i/>
        </w:rPr>
        <w:t>that all p</w:t>
      </w:r>
      <w:r w:rsidR="004933B9">
        <w:rPr>
          <w:i/>
        </w:rPr>
        <w:t>a</w:t>
      </w:r>
      <w:r w:rsidR="0065605E">
        <w:rPr>
          <w:i/>
        </w:rPr>
        <w:t>tients with an abnormal CTC still require a colonoscopy, as</w:t>
      </w:r>
      <w:r w:rsidRPr="00002625">
        <w:rPr>
          <w:i/>
        </w:rPr>
        <w:t xml:space="preserve"> consultation feedback </w:t>
      </w:r>
      <w:r w:rsidR="0065605E">
        <w:rPr>
          <w:i/>
        </w:rPr>
        <w:t xml:space="preserve">suggests </w:t>
      </w:r>
      <w:r w:rsidRPr="00002625">
        <w:rPr>
          <w:i/>
        </w:rPr>
        <w:t xml:space="preserve">that patients would be very unlikely to proceed to surgery following detection of lesions on CTC </w:t>
      </w:r>
      <w:r w:rsidR="0065605E">
        <w:rPr>
          <w:i/>
        </w:rPr>
        <w:t>alone</w:t>
      </w:r>
      <w:r w:rsidR="00A72F49">
        <w:rPr>
          <w:i/>
        </w:rPr>
        <w:t xml:space="preserve"> due to the need for tissue </w:t>
      </w:r>
      <w:r w:rsidR="00940DFF">
        <w:rPr>
          <w:i/>
        </w:rPr>
        <w:t>diagnosis</w:t>
      </w:r>
    </w:p>
    <w:p w14:paraId="0735DC1B" w14:textId="389E89B7" w:rsidR="003E7105" w:rsidRPr="00002625" w:rsidRDefault="003E7105" w:rsidP="00DE2E5F">
      <w:pPr>
        <w:rPr>
          <w:i/>
        </w:rPr>
      </w:pPr>
      <w:r w:rsidRPr="00002625">
        <w:rPr>
          <w:i/>
        </w:rPr>
        <w:t>PASC noted CTC is a diagnostic test only and does not have a therapeutic component (as colonoscopy does).</w:t>
      </w:r>
    </w:p>
    <w:p w14:paraId="7AD5BCDD" w14:textId="0681C851" w:rsidR="003E7105" w:rsidRPr="00002625" w:rsidRDefault="003E7105" w:rsidP="00DE2E5F">
      <w:pPr>
        <w:rPr>
          <w:i/>
        </w:rPr>
      </w:pPr>
      <w:r w:rsidRPr="00002625">
        <w:rPr>
          <w:i/>
        </w:rPr>
        <w:lastRenderedPageBreak/>
        <w:t xml:space="preserve">PASC noted CTC may only be offered in Australia by radiologists with the appropriate accreditation from RANZCR, which the applicant stated is maintained by delivering a minimum number of services per year and meeting the required RANZCR training criteria. </w:t>
      </w:r>
    </w:p>
    <w:p w14:paraId="1F4B775C" w14:textId="74BB6996" w:rsidR="003E7105" w:rsidRPr="00002625" w:rsidRDefault="003E7105" w:rsidP="00DE2E5F">
      <w:pPr>
        <w:rPr>
          <w:i/>
        </w:rPr>
      </w:pPr>
      <w:r w:rsidRPr="00002625">
        <w:rPr>
          <w:i/>
        </w:rPr>
        <w:t>PASC noted the applicant’s clinical expert stated that CTC use is widespread in comparable countries such as the United Kingdom and New Zealand.</w:t>
      </w:r>
    </w:p>
    <w:p w14:paraId="0A79FF8D" w14:textId="7BD6BF0B" w:rsidR="00A207B7" w:rsidRPr="00002625" w:rsidRDefault="11537F8D" w:rsidP="00C93427">
      <w:pPr>
        <w:tabs>
          <w:tab w:val="left" w:pos="8789"/>
        </w:tabs>
      </w:pPr>
      <w:r w:rsidRPr="00002625">
        <w:t>Most</w:t>
      </w:r>
      <w:r w:rsidR="00A207B7" w:rsidRPr="00002625">
        <w:t xml:space="preserve"> R-type </w:t>
      </w:r>
      <w:r w:rsidR="3E4E93C3" w:rsidRPr="00002625">
        <w:t>CT</w:t>
      </w:r>
      <w:r w:rsidR="00A207B7" w:rsidRPr="00002625">
        <w:t xml:space="preserve"> diagnostic imaging services</w:t>
      </w:r>
      <w:r w:rsidR="001D73DD" w:rsidRPr="00002625">
        <w:t xml:space="preserve"> </w:t>
      </w:r>
      <w:r w:rsidR="00804504" w:rsidRPr="00002625">
        <w:t xml:space="preserve">(including </w:t>
      </w:r>
      <w:r w:rsidR="00472BBA" w:rsidRPr="00002625">
        <w:t xml:space="preserve">the </w:t>
      </w:r>
      <w:r w:rsidR="00D35864" w:rsidRPr="00002625">
        <w:t>current CTC item</w:t>
      </w:r>
      <w:r w:rsidR="0074491C" w:rsidRPr="00002625">
        <w:t xml:space="preserve"> 56553</w:t>
      </w:r>
      <w:r w:rsidR="00472BBA" w:rsidRPr="00002625">
        <w:t>)</w:t>
      </w:r>
      <w:r w:rsidR="001D73DD" w:rsidRPr="00002625">
        <w:t xml:space="preserve"> may be ordered by </w:t>
      </w:r>
      <w:r w:rsidR="00941BA7" w:rsidRPr="00002625">
        <w:t xml:space="preserve">medical practitioners, </w:t>
      </w:r>
      <w:r w:rsidR="00A001F7" w:rsidRPr="00002625">
        <w:t xml:space="preserve">specialists and consultant </w:t>
      </w:r>
      <w:r w:rsidR="00625C6A" w:rsidRPr="00002625">
        <w:t>physicians</w:t>
      </w:r>
      <w:r w:rsidR="00A001F7" w:rsidRPr="00002625">
        <w:t xml:space="preserve"> (MBS explanatory note IN.0.6</w:t>
      </w:r>
      <w:r w:rsidR="008E5C6A" w:rsidRPr="00002625">
        <w:t xml:space="preserve">). </w:t>
      </w:r>
    </w:p>
    <w:p w14:paraId="2A839BE3" w14:textId="08A89823" w:rsidR="001A1EF1" w:rsidRPr="00002625" w:rsidRDefault="00B631CD" w:rsidP="001A1EF1">
      <w:pPr>
        <w:pStyle w:val="Heading4"/>
      </w:pPr>
      <w:bookmarkStart w:id="22" w:name="_Ref180578121"/>
      <w:r w:rsidRPr="00002625">
        <w:t>CTC r</w:t>
      </w:r>
      <w:r w:rsidR="001A1EF1" w:rsidRPr="00002625">
        <w:t>adiation exposure</w:t>
      </w:r>
      <w:bookmarkEnd w:id="22"/>
    </w:p>
    <w:p w14:paraId="5F7C6B74" w14:textId="4FA0BDDC" w:rsidR="007B563D" w:rsidRPr="00002625" w:rsidRDefault="007B563D" w:rsidP="007B563D">
      <w:r w:rsidRPr="00002625">
        <w:t>CTC typically involves a paired scan – one scan with the patient prone (lying on the front) or lateral (lying on the side) and a second scan with the patient supine (lying on the back facing up). According to the International Atomic Energy Agency (IAEA), most multi-slice CT</w:t>
      </w:r>
      <w:r w:rsidR="00840F21" w:rsidRPr="00002625">
        <w:t xml:space="preserve">C </w:t>
      </w:r>
      <w:r w:rsidRPr="00002625">
        <w:t xml:space="preserve">protocols deliver an effective dose in the range of 2-6 </w:t>
      </w:r>
      <w:r w:rsidR="009340CC" w:rsidRPr="00002625">
        <w:t>millisievert (</w:t>
      </w:r>
      <w:r w:rsidRPr="00002625">
        <w:t>mSv</w:t>
      </w:r>
      <w:r w:rsidR="009340CC" w:rsidRPr="00002625">
        <w:t>)</w:t>
      </w:r>
      <w:r w:rsidRPr="00002625">
        <w:t xml:space="preserve"> per scan (4-12 mSv for the examination) involving scans in the supine and prone positions (IAEA 2017). The IAEA note</w:t>
      </w:r>
      <w:r w:rsidR="00A7496C" w:rsidRPr="00002625">
        <w:t>d</w:t>
      </w:r>
      <w:r w:rsidRPr="00002625">
        <w:t xml:space="preserve"> this is comparable with the dose that might be received during a DCBE (7 mSv) and marginally lower than from a CT </w:t>
      </w:r>
      <w:r w:rsidR="00193063" w:rsidRPr="00002625">
        <w:t xml:space="preserve">of </w:t>
      </w:r>
      <w:r w:rsidRPr="00002625">
        <w:t xml:space="preserve">pelvis (6-10 mSv) (noting the latter would be typically performed twice – once with and once without contrast, thus doubling the dose). The Cancer Council guideline </w:t>
      </w:r>
      <w:r w:rsidR="00EF3BAC" w:rsidRPr="00002625">
        <w:t xml:space="preserve">on surveillance </w:t>
      </w:r>
      <w:r w:rsidRPr="00002625">
        <w:t xml:space="preserve">describes this procedure as a “low dose CT” (Cancer Council 2022). </w:t>
      </w:r>
    </w:p>
    <w:p w14:paraId="5409F346" w14:textId="554D8CCE" w:rsidR="001A1EF1" w:rsidRPr="00002625" w:rsidRDefault="001A1EF1" w:rsidP="001A1EF1">
      <w:pPr>
        <w:pStyle w:val="Heading4"/>
      </w:pPr>
      <w:r w:rsidRPr="00002625">
        <w:t>Treatment setting</w:t>
      </w:r>
      <w:r w:rsidR="00D969F7" w:rsidRPr="00002625">
        <w:t xml:space="preserve"> for CTC</w:t>
      </w:r>
    </w:p>
    <w:p w14:paraId="43332B64" w14:textId="1B541A71" w:rsidR="007B563D" w:rsidRPr="00002625" w:rsidRDefault="007B563D" w:rsidP="007B563D">
      <w:r w:rsidRPr="00002625">
        <w:t>CTC</w:t>
      </w:r>
      <w:r w:rsidR="00CC045D" w:rsidRPr="00002625">
        <w:t xml:space="preserve"> is generally</w:t>
      </w:r>
      <w:r w:rsidRPr="00002625">
        <w:t xml:space="preserve"> performed in a radiology clinic in a similar manner to other diagnostic imaging services. This would be in a public hospital, private hospital or private clinic (all as outpatient services). It was considered unlikely that a patient would receive CTC as an in-patient</w:t>
      </w:r>
      <w:r w:rsidR="0051778B" w:rsidRPr="00002625">
        <w:t>. P</w:t>
      </w:r>
      <w:r w:rsidRPr="00002625">
        <w:t xml:space="preserve">atients hospitalised for acute or high-grade symptoms such as bleeding or severe pain would most likely receive colonoscopy or CT </w:t>
      </w:r>
      <w:r w:rsidR="007B4AA4" w:rsidRPr="00002625">
        <w:t xml:space="preserve">of </w:t>
      </w:r>
      <w:r w:rsidRPr="00002625">
        <w:t xml:space="preserve">abdomen/pelvis. </w:t>
      </w:r>
      <w:r w:rsidR="004C5595" w:rsidRPr="00002625">
        <w:t xml:space="preserve">The </w:t>
      </w:r>
      <w:r w:rsidR="00665491" w:rsidRPr="00002625">
        <w:t xml:space="preserve">procedure would be </w:t>
      </w:r>
      <w:r w:rsidR="00D071B2" w:rsidRPr="00002625">
        <w:t>performed</w:t>
      </w:r>
      <w:r w:rsidR="00665491" w:rsidRPr="00002625">
        <w:t xml:space="preserve"> by a radiograph</w:t>
      </w:r>
      <w:r w:rsidR="006A181F" w:rsidRPr="00002625">
        <w:t>y technician</w:t>
      </w:r>
      <w:r w:rsidR="00665491" w:rsidRPr="00002625">
        <w:t xml:space="preserve"> under the supervision of a specialist radiologist, both of whom </w:t>
      </w:r>
      <w:r w:rsidR="00D36580" w:rsidRPr="00002625">
        <w:t xml:space="preserve">need appropriate credentials and training </w:t>
      </w:r>
      <w:r w:rsidR="00665491" w:rsidRPr="00002625">
        <w:t>for this</w:t>
      </w:r>
      <w:r w:rsidR="00D071B2" w:rsidRPr="00002625">
        <w:t xml:space="preserve"> procedure</w:t>
      </w:r>
      <w:r w:rsidR="00B6441B" w:rsidRPr="00002625">
        <w:t xml:space="preserve"> (</w:t>
      </w:r>
      <w:r w:rsidR="00442679" w:rsidRPr="00002625">
        <w:t>RANZCR 2013</w:t>
      </w:r>
      <w:r w:rsidR="00B6441B" w:rsidRPr="00002625">
        <w:t>)</w:t>
      </w:r>
      <w:r w:rsidR="00D071B2" w:rsidRPr="00002625">
        <w:t xml:space="preserve">. </w:t>
      </w:r>
    </w:p>
    <w:p w14:paraId="2C2D006E" w14:textId="549C3184" w:rsidR="001A1EF1" w:rsidRPr="00002625" w:rsidRDefault="001A1EF1" w:rsidP="001A1EF1">
      <w:pPr>
        <w:pStyle w:val="Heading4"/>
      </w:pPr>
      <w:r w:rsidRPr="00002625">
        <w:t>Contraindications</w:t>
      </w:r>
      <w:r w:rsidR="00D969F7" w:rsidRPr="00002625">
        <w:t xml:space="preserve"> for CTC</w:t>
      </w:r>
    </w:p>
    <w:p w14:paraId="4F13F851" w14:textId="5B6EFDB7" w:rsidR="006F5BF0" w:rsidRPr="00002625" w:rsidRDefault="006F5BF0" w:rsidP="00134FCB">
      <w:pPr>
        <w:spacing w:after="0"/>
      </w:pPr>
      <w:r w:rsidRPr="00002625">
        <w:t xml:space="preserve">Contraindications for CTC are summarised in </w:t>
      </w:r>
      <w:r w:rsidR="00433449" w:rsidRPr="00002625">
        <w:rPr>
          <w:b/>
          <w:bCs/>
        </w:rPr>
        <w:fldChar w:fldCharType="begin"/>
      </w:r>
      <w:r w:rsidR="00433449" w:rsidRPr="00002625">
        <w:instrText xml:space="preserve"> REF _Ref181278027 \h </w:instrText>
      </w:r>
      <w:r w:rsidR="00433449" w:rsidRPr="00002625">
        <w:rPr>
          <w:b/>
          <w:bCs/>
        </w:rPr>
      </w:r>
      <w:r w:rsidR="00433449" w:rsidRPr="00002625">
        <w:rPr>
          <w:b/>
          <w:bCs/>
        </w:rPr>
        <w:fldChar w:fldCharType="separate"/>
      </w:r>
      <w:r w:rsidR="00637321" w:rsidRPr="00002625">
        <w:t>Table </w:t>
      </w:r>
      <w:r w:rsidR="00637321" w:rsidRPr="00002625">
        <w:rPr>
          <w:noProof/>
        </w:rPr>
        <w:t>12</w:t>
      </w:r>
      <w:r w:rsidR="00433449" w:rsidRPr="00002625">
        <w:rPr>
          <w:b/>
          <w:bCs/>
        </w:rPr>
        <w:fldChar w:fldCharType="end"/>
      </w:r>
      <w:r w:rsidRPr="00002625">
        <w:t xml:space="preserve">. </w:t>
      </w:r>
      <w:r w:rsidR="002450A3" w:rsidRPr="00002625">
        <w:t>It was noted that several contraindications are shared with those for colonoscopy (</w:t>
      </w:r>
      <w:r w:rsidR="0011735E" w:rsidRPr="00002625">
        <w:fldChar w:fldCharType="begin"/>
      </w:r>
      <w:r w:rsidR="0011735E" w:rsidRPr="00002625">
        <w:instrText xml:space="preserve"> REF _Ref181279211 \h </w:instrText>
      </w:r>
      <w:r w:rsidR="0011735E" w:rsidRPr="00002625">
        <w:fldChar w:fldCharType="separate"/>
      </w:r>
      <w:r w:rsidR="00637321" w:rsidRPr="00002625">
        <w:t>Table </w:t>
      </w:r>
      <w:r w:rsidR="00637321" w:rsidRPr="00002625">
        <w:rPr>
          <w:noProof/>
        </w:rPr>
        <w:t>9</w:t>
      </w:r>
      <w:r w:rsidR="0011735E" w:rsidRPr="00002625">
        <w:fldChar w:fldCharType="end"/>
      </w:r>
      <w:r w:rsidR="002450A3" w:rsidRPr="00002625">
        <w:t>)</w:t>
      </w:r>
      <w:r w:rsidR="004E4C0A" w:rsidRPr="00002625">
        <w:t xml:space="preserve"> (</w:t>
      </w:r>
      <w:r w:rsidR="002F1C69" w:rsidRPr="00002625">
        <w:t xml:space="preserve">conditions causing </w:t>
      </w:r>
      <w:r w:rsidR="004E4C0A" w:rsidRPr="00002625">
        <w:t>acute in</w:t>
      </w:r>
      <w:r w:rsidR="00A56E65" w:rsidRPr="00002625">
        <w:t>flammation</w:t>
      </w:r>
      <w:r w:rsidR="002F1C69" w:rsidRPr="00002625">
        <w:t xml:space="preserve"> such as toxic megacolon</w:t>
      </w:r>
      <w:r w:rsidR="00A56E65" w:rsidRPr="00002625">
        <w:t xml:space="preserve"> </w:t>
      </w:r>
      <w:r w:rsidR="002F1C69" w:rsidRPr="00002625">
        <w:t xml:space="preserve">also </w:t>
      </w:r>
      <w:r w:rsidR="00A56E65" w:rsidRPr="00002625">
        <w:t xml:space="preserve">and bowel </w:t>
      </w:r>
      <w:r w:rsidR="002F1C69" w:rsidRPr="00002625">
        <w:t>obstruction</w:t>
      </w:r>
      <w:r w:rsidR="004E4C0A" w:rsidRPr="00002625">
        <w:t>)</w:t>
      </w:r>
      <w:r w:rsidR="002450A3" w:rsidRPr="00002625">
        <w:t xml:space="preserve">. </w:t>
      </w:r>
    </w:p>
    <w:p w14:paraId="50A10D05" w14:textId="0300B6BF" w:rsidR="00113594" w:rsidRPr="00002625" w:rsidRDefault="00C46892" w:rsidP="000D40DA">
      <w:pPr>
        <w:pStyle w:val="TableHeading"/>
      </w:pPr>
      <w:bookmarkStart w:id="23" w:name="_Ref181278027"/>
      <w:r w:rsidRPr="00002625">
        <w:t>Table </w:t>
      </w:r>
      <w:r>
        <w:fldChar w:fldCharType="begin"/>
      </w:r>
      <w:r>
        <w:instrText>SEQ Table \* ARABIC</w:instrText>
      </w:r>
      <w:r>
        <w:fldChar w:fldCharType="separate"/>
      </w:r>
      <w:r w:rsidR="00637321" w:rsidRPr="00002625">
        <w:rPr>
          <w:noProof/>
        </w:rPr>
        <w:t>12</w:t>
      </w:r>
      <w:r>
        <w:fldChar w:fldCharType="end"/>
      </w:r>
      <w:bookmarkEnd w:id="23"/>
      <w:r w:rsidRPr="00002625">
        <w:tab/>
      </w:r>
      <w:r w:rsidR="00113594" w:rsidRPr="00002625">
        <w:t>Recommended absolute and relative contraindications for CTC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 Recommended absolute and relative contraindications for CTC"/>
        <w:tblDescription w:val="Table showing the recommended absolute and relative contraindications for CTC"/>
      </w:tblPr>
      <w:tblGrid>
        <w:gridCol w:w="2123"/>
        <w:gridCol w:w="7448"/>
      </w:tblGrid>
      <w:tr w:rsidR="007B563D" w:rsidRPr="00002625" w14:paraId="1C917FE4" w14:textId="77777777" w:rsidTr="007238D6">
        <w:trPr>
          <w:tblHeader/>
        </w:trPr>
        <w:tc>
          <w:tcPr>
            <w:tcW w:w="1109" w:type="pct"/>
            <w:tcBorders>
              <w:bottom w:val="single" w:sz="4" w:space="0" w:color="auto"/>
            </w:tcBorders>
            <w:hideMark/>
          </w:tcPr>
          <w:p w14:paraId="666A76E8" w14:textId="77777777" w:rsidR="007B563D" w:rsidRPr="00002625" w:rsidRDefault="007B563D">
            <w:pPr>
              <w:pStyle w:val="TableText0"/>
              <w:keepNext/>
              <w:rPr>
                <w:b/>
              </w:rPr>
            </w:pPr>
            <w:r w:rsidRPr="00002625">
              <w:rPr>
                <w:b/>
              </w:rPr>
              <w:t>Type of contraindication</w:t>
            </w:r>
          </w:p>
        </w:tc>
        <w:tc>
          <w:tcPr>
            <w:tcW w:w="3891" w:type="pct"/>
            <w:tcBorders>
              <w:bottom w:val="single" w:sz="4" w:space="0" w:color="auto"/>
            </w:tcBorders>
          </w:tcPr>
          <w:p w14:paraId="1D60906E" w14:textId="77777777" w:rsidR="007B563D" w:rsidRPr="00002625" w:rsidRDefault="007B563D">
            <w:pPr>
              <w:pStyle w:val="TableText0"/>
              <w:keepNext/>
              <w:rPr>
                <w:b/>
              </w:rPr>
            </w:pPr>
            <w:r w:rsidRPr="00002625">
              <w:rPr>
                <w:b/>
              </w:rPr>
              <w:t>Details</w:t>
            </w:r>
          </w:p>
        </w:tc>
      </w:tr>
      <w:tr w:rsidR="007B563D" w:rsidRPr="00002625" w14:paraId="6DAE1A00" w14:textId="77777777" w:rsidTr="007238D6">
        <w:tc>
          <w:tcPr>
            <w:tcW w:w="1109" w:type="pct"/>
            <w:tcBorders>
              <w:bottom w:val="single" w:sz="4" w:space="0" w:color="auto"/>
            </w:tcBorders>
          </w:tcPr>
          <w:p w14:paraId="14E3FC96" w14:textId="77777777" w:rsidR="007B563D" w:rsidRPr="00002625" w:rsidRDefault="007B563D">
            <w:pPr>
              <w:pStyle w:val="TableText0"/>
            </w:pPr>
            <w:r w:rsidRPr="00002625">
              <w:t>Absolute</w:t>
            </w:r>
          </w:p>
        </w:tc>
        <w:tc>
          <w:tcPr>
            <w:tcW w:w="3891" w:type="pct"/>
            <w:tcBorders>
              <w:bottom w:val="single" w:sz="4" w:space="0" w:color="auto"/>
            </w:tcBorders>
          </w:tcPr>
          <w:p w14:paraId="7A4ED1D5" w14:textId="77777777" w:rsidR="007238D6" w:rsidRPr="00002625" w:rsidRDefault="007238D6" w:rsidP="007238D6">
            <w:pPr>
              <w:pStyle w:val="TableText0"/>
            </w:pPr>
            <w:r w:rsidRPr="00002625">
              <w:t>Patient refusal</w:t>
            </w:r>
          </w:p>
          <w:p w14:paraId="3CD4CF37" w14:textId="77777777" w:rsidR="007238D6" w:rsidRPr="00002625" w:rsidRDefault="007238D6" w:rsidP="007238D6">
            <w:pPr>
              <w:pStyle w:val="TableText0"/>
            </w:pPr>
            <w:r w:rsidRPr="00002625">
              <w:t>Acute abdomen or acute diverticulitis</w:t>
            </w:r>
          </w:p>
          <w:p w14:paraId="4B1E4E1E" w14:textId="77777777" w:rsidR="007238D6" w:rsidRPr="00002625" w:rsidRDefault="007238D6" w:rsidP="007238D6">
            <w:pPr>
              <w:pStyle w:val="TableText0"/>
            </w:pPr>
            <w:r w:rsidRPr="00002625">
              <w:t>Bowel obstruction</w:t>
            </w:r>
          </w:p>
          <w:p w14:paraId="64A7A645" w14:textId="77777777" w:rsidR="007238D6" w:rsidRPr="00002625" w:rsidRDefault="007238D6" w:rsidP="007238D6">
            <w:pPr>
              <w:pStyle w:val="TableText0"/>
            </w:pPr>
            <w:r w:rsidRPr="00002625">
              <w:t>Toxic megacolon</w:t>
            </w:r>
          </w:p>
          <w:p w14:paraId="095DC729" w14:textId="0F4A4E12" w:rsidR="007B563D" w:rsidRPr="00002625" w:rsidRDefault="007238D6" w:rsidP="007238D6">
            <w:pPr>
              <w:pStyle w:val="TableText0"/>
            </w:pPr>
            <w:r w:rsidRPr="00002625">
              <w:t>Recent colonoscopy with biopsy or polypectomy (due to increased risk of perforation. Wait between 2–6 weeks</w:t>
            </w:r>
            <w:r w:rsidR="00744F56" w:rsidRPr="00002625">
              <w:t xml:space="preserve"> before performing CTC</w:t>
            </w:r>
            <w:r w:rsidRPr="00002625">
              <w:t>)</w:t>
            </w:r>
          </w:p>
        </w:tc>
      </w:tr>
      <w:tr w:rsidR="00036B98" w:rsidRPr="00002625" w14:paraId="4F88A182" w14:textId="77777777" w:rsidTr="007238D6">
        <w:tc>
          <w:tcPr>
            <w:tcW w:w="1109" w:type="pct"/>
            <w:tcBorders>
              <w:top w:val="single" w:sz="4" w:space="0" w:color="auto"/>
              <w:bottom w:val="single" w:sz="4" w:space="0" w:color="auto"/>
            </w:tcBorders>
          </w:tcPr>
          <w:p w14:paraId="0F971893" w14:textId="77777777" w:rsidR="00036B98" w:rsidRPr="00002625" w:rsidRDefault="00036B98" w:rsidP="00036B98">
            <w:pPr>
              <w:pStyle w:val="TableText0"/>
              <w:keepNext/>
            </w:pPr>
            <w:r w:rsidRPr="00002625">
              <w:t>Relative</w:t>
            </w:r>
          </w:p>
        </w:tc>
        <w:tc>
          <w:tcPr>
            <w:tcW w:w="3891" w:type="pct"/>
            <w:tcBorders>
              <w:top w:val="single" w:sz="4" w:space="0" w:color="auto"/>
              <w:bottom w:val="single" w:sz="4" w:space="0" w:color="auto"/>
            </w:tcBorders>
          </w:tcPr>
          <w:p w14:paraId="0BD70BE5" w14:textId="77777777" w:rsidR="007238D6" w:rsidRPr="00002625" w:rsidRDefault="007238D6" w:rsidP="007238D6">
            <w:pPr>
              <w:pStyle w:val="TableText0"/>
              <w:keepNext/>
            </w:pPr>
            <w:r w:rsidRPr="00002625">
              <w:t>Pregnancy</w:t>
            </w:r>
          </w:p>
          <w:p w14:paraId="53F018F2" w14:textId="77777777" w:rsidR="007238D6" w:rsidRPr="00002625" w:rsidRDefault="007238D6" w:rsidP="007238D6">
            <w:pPr>
              <w:pStyle w:val="TableText0"/>
              <w:keepNext/>
            </w:pPr>
            <w:r w:rsidRPr="00002625">
              <w:t>Physical weight limits (based on capacity of the CT scanning table)</w:t>
            </w:r>
          </w:p>
          <w:p w14:paraId="3CF9E411" w14:textId="77777777" w:rsidR="007238D6" w:rsidRPr="00002625" w:rsidRDefault="007238D6" w:rsidP="007238D6">
            <w:pPr>
              <w:pStyle w:val="TableText0"/>
              <w:keepNext/>
            </w:pPr>
            <w:r w:rsidRPr="00002625">
              <w:t>Inflammatory bowel disease or other patients at high risk for colorectal cancer due to high likelihood of requiring biopsies or endoscopic intervention, such as polypectomy.</w:t>
            </w:r>
          </w:p>
          <w:p w14:paraId="32966AB6" w14:textId="2278C7C7" w:rsidR="00036B98" w:rsidRPr="00002625" w:rsidRDefault="007238D6" w:rsidP="007238D6">
            <w:pPr>
              <w:pStyle w:val="TableText0"/>
              <w:keepNext/>
            </w:pPr>
            <w:r w:rsidRPr="00002625">
              <w:t>Young patients (patients younger than 40 years have poorer risk/benefit due to radiation)</w:t>
            </w:r>
          </w:p>
        </w:tc>
      </w:tr>
    </w:tbl>
    <w:p w14:paraId="0042CB42" w14:textId="4C943825" w:rsidR="007B563D" w:rsidRPr="00002625" w:rsidRDefault="007B563D" w:rsidP="007B563D">
      <w:pPr>
        <w:pStyle w:val="Tablenotes"/>
        <w:spacing w:after="240"/>
      </w:pPr>
      <w:r w:rsidRPr="00002625">
        <w:t>CT = computed tomography; CTC = CT colonography</w:t>
      </w:r>
      <w:r w:rsidR="006F5BF0" w:rsidRPr="00002625">
        <w:t>.</w:t>
      </w:r>
      <w:r w:rsidR="00D33AA7" w:rsidRPr="00002625">
        <w:t xml:space="preserve"> </w:t>
      </w:r>
      <w:r w:rsidR="00D33AA7" w:rsidRPr="00002625">
        <w:tab/>
      </w:r>
      <w:r w:rsidR="00D33AA7" w:rsidRPr="00002625">
        <w:br/>
        <w:t>Source: Moore and Naidoo (2017).</w:t>
      </w:r>
    </w:p>
    <w:p w14:paraId="37C251F2" w14:textId="77777777" w:rsidR="00BC2DD9" w:rsidRPr="00002625" w:rsidRDefault="00BC2DD9" w:rsidP="00BC2DD9">
      <w:pPr>
        <w:pStyle w:val="Heading4"/>
      </w:pPr>
      <w:r w:rsidRPr="00002625">
        <w:lastRenderedPageBreak/>
        <w:t xml:space="preserve">MBS Review Taskforce  </w:t>
      </w:r>
    </w:p>
    <w:p w14:paraId="5D6EF806" w14:textId="77777777" w:rsidR="00004044" w:rsidRPr="00002625" w:rsidRDefault="00BC2DD9" w:rsidP="00BC2DD9">
      <w:r w:rsidRPr="00002625">
        <w:t>In 2016, the Department of Health undertook the MBS Review, which included a consideration of colonoscopy items by the Gastroenterology Clinical Committee (</w:t>
      </w:r>
      <w:r w:rsidR="00B841C2" w:rsidRPr="00002625">
        <w:t xml:space="preserve">MBS Review </w:t>
      </w:r>
      <w:r w:rsidR="00D774D1" w:rsidRPr="00002625">
        <w:t>Advisory Committee 2023</w:t>
      </w:r>
      <w:r w:rsidRPr="00002625">
        <w:t xml:space="preserve">). The Committee recommended changes to colonoscopy items but made no comment regarding CTC. A post-implementation report </w:t>
      </w:r>
      <w:r w:rsidR="004728FF" w:rsidRPr="00002625">
        <w:t>(</w:t>
      </w:r>
      <w:r w:rsidR="007F3E84" w:rsidRPr="00002625">
        <w:t>MBS Review Advisory Committee 2024</w:t>
      </w:r>
      <w:r w:rsidR="005674D6" w:rsidRPr="00002625">
        <w:t xml:space="preserve">, authored by the </w:t>
      </w:r>
      <w:r w:rsidR="00AF7E40" w:rsidRPr="00002625">
        <w:t>C</w:t>
      </w:r>
      <w:r w:rsidR="005674D6" w:rsidRPr="00002625">
        <w:t xml:space="preserve">olonoscopy </w:t>
      </w:r>
      <w:r w:rsidR="00AF7E40" w:rsidRPr="00002625">
        <w:t>W</w:t>
      </w:r>
      <w:r w:rsidR="005674D6" w:rsidRPr="00002625">
        <w:t xml:space="preserve">orking </w:t>
      </w:r>
      <w:r w:rsidR="00AF7E40" w:rsidRPr="00002625">
        <w:t>G</w:t>
      </w:r>
      <w:r w:rsidR="005674D6" w:rsidRPr="00002625">
        <w:t>roup</w:t>
      </w:r>
      <w:r w:rsidR="007F3E84" w:rsidRPr="00002625">
        <w:t>)</w:t>
      </w:r>
      <w:r w:rsidRPr="00002625">
        <w:t xml:space="preserve"> noted that colonoscopy services remained over-subscribed and that people living in rural and regional areas were not accessing colonoscopy services at a level consistent with their risk of </w:t>
      </w:r>
      <w:r w:rsidR="00457D55" w:rsidRPr="00002625">
        <w:t>CRC</w:t>
      </w:r>
      <w:r w:rsidRPr="00002625">
        <w:t xml:space="preserve">. </w:t>
      </w:r>
    </w:p>
    <w:p w14:paraId="34CE8C54" w14:textId="0ABFAC96" w:rsidR="00BC2DD9" w:rsidRPr="00002625" w:rsidRDefault="00BC2DD9" w:rsidP="00BC2DD9">
      <w:pPr>
        <w:rPr>
          <w:rFonts w:cs="Calibri"/>
        </w:rPr>
      </w:pPr>
      <w:r w:rsidRPr="00002625">
        <w:t>The applicant propose</w:t>
      </w:r>
      <w:r w:rsidR="00241C67" w:rsidRPr="00002625">
        <w:t>d</w:t>
      </w:r>
      <w:r w:rsidRPr="00002625">
        <w:t xml:space="preserve"> that CTC could offer an alternative to colonoscopy, taking pressure off services and waiting lists. However, the </w:t>
      </w:r>
      <w:r w:rsidR="00120E61" w:rsidRPr="00002625">
        <w:t>post-implementation report stated</w:t>
      </w:r>
      <w:r w:rsidR="00875DD6" w:rsidRPr="00002625">
        <w:t xml:space="preserve"> that </w:t>
      </w:r>
      <w:r w:rsidR="00875DD6" w:rsidRPr="00002625">
        <w:rPr>
          <w:rFonts w:cs="Calibri"/>
        </w:rPr>
        <w:t>CTC</w:t>
      </w:r>
      <w:r w:rsidRPr="00002625">
        <w:rPr>
          <w:rFonts w:cs="Calibri"/>
        </w:rPr>
        <w:t xml:space="preserve"> was emerging, but it still required bowel preparation and could not provide histopathology. The </w:t>
      </w:r>
      <w:r w:rsidR="005E4EB6" w:rsidRPr="00002625">
        <w:rPr>
          <w:rFonts w:cs="Calibri"/>
        </w:rPr>
        <w:t>working group</w:t>
      </w:r>
      <w:r w:rsidRPr="00002625">
        <w:rPr>
          <w:rFonts w:cs="Calibri"/>
        </w:rPr>
        <w:t xml:space="preserve"> considered </w:t>
      </w:r>
      <w:r w:rsidR="00F50067" w:rsidRPr="00002625">
        <w:rPr>
          <w:rFonts w:cs="Calibri"/>
        </w:rPr>
        <w:t>“</w:t>
      </w:r>
      <w:r w:rsidRPr="00002625">
        <w:rPr>
          <w:rFonts w:cs="Calibri"/>
        </w:rPr>
        <w:t xml:space="preserve">that the role of </w:t>
      </w:r>
      <w:r w:rsidR="003A5557" w:rsidRPr="00002625">
        <w:rPr>
          <w:rFonts w:cs="Calibri"/>
        </w:rPr>
        <w:t>CTC</w:t>
      </w:r>
      <w:r w:rsidRPr="00002625">
        <w:rPr>
          <w:rFonts w:cs="Calibri"/>
        </w:rPr>
        <w:t xml:space="preserve"> in screening assessment has yet to be fully defined</w:t>
      </w:r>
      <w:r w:rsidR="00F50067" w:rsidRPr="00002625">
        <w:rPr>
          <w:rFonts w:cs="Calibri"/>
        </w:rPr>
        <w:t>”</w:t>
      </w:r>
      <w:r w:rsidRPr="00002625">
        <w:rPr>
          <w:rFonts w:cs="Calibri"/>
        </w:rPr>
        <w:t>.</w:t>
      </w:r>
    </w:p>
    <w:p w14:paraId="1ED182C9" w14:textId="13ABB5DF" w:rsidR="007B563D" w:rsidRPr="00002625" w:rsidRDefault="007B563D" w:rsidP="007B563D">
      <w:pPr>
        <w:pStyle w:val="Heading3"/>
      </w:pPr>
      <w:r w:rsidRPr="00002625">
        <w:t>Comparator(s)</w:t>
      </w:r>
    </w:p>
    <w:p w14:paraId="6D746C96" w14:textId="5CDA567D" w:rsidR="00253CF8" w:rsidRPr="00002625" w:rsidRDefault="00962AE3" w:rsidP="00253CF8">
      <w:r w:rsidRPr="00002625">
        <w:t>The applicant proposed colonoscopy as the comparator</w:t>
      </w:r>
      <w:r w:rsidR="00376CB8" w:rsidRPr="00002625">
        <w:t xml:space="preserve"> for all requested populations</w:t>
      </w:r>
      <w:r w:rsidRPr="00002625">
        <w:t xml:space="preserve">. </w:t>
      </w:r>
      <w:r w:rsidR="005C168F" w:rsidRPr="00002625">
        <w:t>I</w:t>
      </w:r>
      <w:r w:rsidR="00AB5DB4" w:rsidRPr="00002625">
        <w:t xml:space="preserve">n </w:t>
      </w:r>
      <w:r w:rsidR="005C168F" w:rsidRPr="00002625">
        <w:t xml:space="preserve">current </w:t>
      </w:r>
      <w:r w:rsidR="00AB5DB4" w:rsidRPr="00002625">
        <w:t>clinical practice</w:t>
      </w:r>
      <w:r w:rsidR="005C168F" w:rsidRPr="00002625">
        <w:t xml:space="preserve">, this </w:t>
      </w:r>
      <w:r w:rsidR="00932CB4" w:rsidRPr="00002625">
        <w:t xml:space="preserve">is recommended for any patients with symptoms </w:t>
      </w:r>
      <w:r w:rsidR="002F5310" w:rsidRPr="00002625">
        <w:t xml:space="preserve">or other findings </w:t>
      </w:r>
      <w:r w:rsidR="00932CB4" w:rsidRPr="00002625">
        <w:t>suggestive of CRC</w:t>
      </w:r>
      <w:r w:rsidR="003A0026" w:rsidRPr="00002625">
        <w:t xml:space="preserve"> (Cancer Council 2023</w:t>
      </w:r>
      <w:r w:rsidR="002F5310" w:rsidRPr="00002625">
        <w:t xml:space="preserve">). </w:t>
      </w:r>
      <w:r w:rsidR="00A445CB" w:rsidRPr="00002625">
        <w:t xml:space="preserve">This is appropriate for </w:t>
      </w:r>
      <w:r w:rsidR="0068384C" w:rsidRPr="00002625">
        <w:t xml:space="preserve">symptomatic </w:t>
      </w:r>
      <w:r w:rsidR="00A445CB" w:rsidRPr="00002625">
        <w:t>patients</w:t>
      </w:r>
      <w:r w:rsidR="0068384C" w:rsidRPr="00002625">
        <w:t>, and patients with incidental findings on imaging or a positive FOBT.</w:t>
      </w:r>
    </w:p>
    <w:p w14:paraId="39507F5C" w14:textId="015CB806" w:rsidR="00B55CD6" w:rsidRPr="00002625" w:rsidRDefault="0088390A" w:rsidP="00FE4154">
      <w:r w:rsidRPr="00002625">
        <w:t xml:space="preserve">Current standard of care (SOC) </w:t>
      </w:r>
      <w:r w:rsidR="00703E58" w:rsidRPr="00002625">
        <w:t>was identified a</w:t>
      </w:r>
      <w:r w:rsidR="004279C8" w:rsidRPr="00002625">
        <w:t xml:space="preserve">s an alternative </w:t>
      </w:r>
      <w:r w:rsidR="004E738C" w:rsidRPr="00002625" w:rsidDel="004279C8">
        <w:t>for</w:t>
      </w:r>
      <w:r w:rsidR="004E738C" w:rsidRPr="00002625">
        <w:t xml:space="preserve"> patients with contraindications to colonoscopy</w:t>
      </w:r>
      <w:r w:rsidR="004279C8" w:rsidRPr="00002625">
        <w:t xml:space="preserve">. </w:t>
      </w:r>
      <w:r w:rsidR="00B601C7" w:rsidRPr="00002625">
        <w:t>G</w:t>
      </w:r>
      <w:r w:rsidR="00E91A50" w:rsidRPr="00002625">
        <w:t>iven there is no single alternative recommended in clinical guidelines</w:t>
      </w:r>
      <w:r w:rsidR="00B601C7" w:rsidRPr="00002625">
        <w:t xml:space="preserve">, </w:t>
      </w:r>
      <w:r w:rsidR="00F046AA" w:rsidRPr="00002625">
        <w:t>SOC</w:t>
      </w:r>
      <w:r w:rsidR="00027D29" w:rsidRPr="00002625">
        <w:t xml:space="preserve"> </w:t>
      </w:r>
      <w:r w:rsidR="00376CB8" w:rsidRPr="00002625">
        <w:t xml:space="preserve">could include </w:t>
      </w:r>
      <w:r w:rsidR="00B55CD6" w:rsidRPr="00002625">
        <w:t>a range of options:</w:t>
      </w:r>
    </w:p>
    <w:p w14:paraId="549ECB25" w14:textId="4F917BAB" w:rsidR="00B55CD6" w:rsidRPr="00002625" w:rsidRDefault="00376CB8" w:rsidP="000773E1">
      <w:pPr>
        <w:pStyle w:val="ListParagraph"/>
        <w:numPr>
          <w:ilvl w:val="0"/>
          <w:numId w:val="5"/>
        </w:numPr>
      </w:pPr>
      <w:r w:rsidRPr="00002625">
        <w:t>CTC</w:t>
      </w:r>
      <w:r w:rsidR="0068384C" w:rsidRPr="00002625">
        <w:t xml:space="preserve"> (privately funded)</w:t>
      </w:r>
    </w:p>
    <w:p w14:paraId="4F619808" w14:textId="0ACFE147" w:rsidR="00B55CD6" w:rsidRPr="00002625" w:rsidRDefault="00376CB8" w:rsidP="000773E1">
      <w:pPr>
        <w:pStyle w:val="ListParagraph"/>
        <w:numPr>
          <w:ilvl w:val="0"/>
          <w:numId w:val="5"/>
        </w:numPr>
      </w:pPr>
      <w:r w:rsidRPr="00002625">
        <w:t>another test (DCBE, though rarely used)</w:t>
      </w:r>
    </w:p>
    <w:p w14:paraId="4F31960E" w14:textId="1AD5539D" w:rsidR="00B55CD6" w:rsidRPr="00002625" w:rsidRDefault="0068384C" w:rsidP="000773E1">
      <w:pPr>
        <w:pStyle w:val="ListParagraph"/>
        <w:numPr>
          <w:ilvl w:val="0"/>
          <w:numId w:val="5"/>
        </w:numPr>
      </w:pPr>
      <w:r w:rsidRPr="00002625">
        <w:t>a colonoscopy with adjustments</w:t>
      </w:r>
      <w:r w:rsidR="00DB4C65" w:rsidRPr="00002625">
        <w:t xml:space="preserve"> </w:t>
      </w:r>
      <w:r w:rsidR="009D0A0B" w:rsidRPr="00002625">
        <w:t>such as a pause in oral anticoagulants</w:t>
      </w:r>
    </w:p>
    <w:p w14:paraId="70E45AEC" w14:textId="2D3659C9" w:rsidR="00176E55" w:rsidRPr="00002625" w:rsidRDefault="00176E55" w:rsidP="000773E1">
      <w:pPr>
        <w:pStyle w:val="ListParagraph"/>
        <w:numPr>
          <w:ilvl w:val="0"/>
          <w:numId w:val="5"/>
        </w:numPr>
      </w:pPr>
      <w:r w:rsidRPr="00002625">
        <w:t>flexible sigmoidoscopy</w:t>
      </w:r>
    </w:p>
    <w:p w14:paraId="26085A6F" w14:textId="2933D187" w:rsidR="00B55CD6" w:rsidRPr="00002625" w:rsidRDefault="00376CB8" w:rsidP="000773E1">
      <w:pPr>
        <w:pStyle w:val="ListParagraph"/>
        <w:numPr>
          <w:ilvl w:val="0"/>
          <w:numId w:val="5"/>
        </w:numPr>
      </w:pPr>
      <w:r w:rsidRPr="00002625">
        <w:t xml:space="preserve">a decision to maintain surveillance (no testing) </w:t>
      </w:r>
      <w:r w:rsidR="00B55CD6" w:rsidRPr="00002625">
        <w:t>where the risk of CRC was considered unlikely</w:t>
      </w:r>
    </w:p>
    <w:p w14:paraId="0110EFEE" w14:textId="570934F9" w:rsidR="00B55CD6" w:rsidRPr="00002625" w:rsidRDefault="00376CB8" w:rsidP="000773E1">
      <w:pPr>
        <w:pStyle w:val="ListParagraph"/>
        <w:numPr>
          <w:ilvl w:val="0"/>
          <w:numId w:val="5"/>
        </w:numPr>
      </w:pPr>
      <w:r w:rsidRPr="00002625">
        <w:t>a decision to proceed straight to surgery</w:t>
      </w:r>
    </w:p>
    <w:p w14:paraId="23A40AFE" w14:textId="0DFC95D5" w:rsidR="00FE4154" w:rsidRPr="00002625" w:rsidRDefault="00244EFC" w:rsidP="00FE4154">
      <w:pPr>
        <w:rPr>
          <w:rFonts w:cs="Calibri"/>
          <w:color w:val="000000" w:themeColor="text1"/>
        </w:rPr>
      </w:pPr>
      <w:r w:rsidRPr="00002625">
        <w:t xml:space="preserve">The option chosen </w:t>
      </w:r>
      <w:r w:rsidR="00F046AA" w:rsidRPr="00002625">
        <w:t>would</w:t>
      </w:r>
      <w:r w:rsidR="00376CB8" w:rsidRPr="00002625">
        <w:t xml:space="preserve"> depen</w:t>
      </w:r>
      <w:r w:rsidR="00F046AA" w:rsidRPr="00002625">
        <w:t>d</w:t>
      </w:r>
      <w:r w:rsidR="00376CB8" w:rsidRPr="00002625">
        <w:t xml:space="preserve"> on the </w:t>
      </w:r>
      <w:r w:rsidR="00F0645F" w:rsidRPr="00002625">
        <w:t xml:space="preserve">patient’s clinical situation </w:t>
      </w:r>
      <w:r w:rsidR="00376CB8" w:rsidRPr="00002625">
        <w:t>and the treating physician.</w:t>
      </w:r>
      <w:r w:rsidR="009D0A0B" w:rsidRPr="00002625">
        <w:t xml:space="preserve"> </w:t>
      </w:r>
      <w:r w:rsidR="004E738C" w:rsidRPr="00002625">
        <w:t>However, i</w:t>
      </w:r>
      <w:r w:rsidR="00027D29" w:rsidRPr="00002625">
        <w:t xml:space="preserve">n terms of the evaluation, colonoscopy would be the most commonly studied intervention. </w:t>
      </w:r>
      <w:r w:rsidR="00183F13" w:rsidRPr="00002625">
        <w:rPr>
          <w:rFonts w:cs="Calibri"/>
          <w:color w:val="000000" w:themeColor="text1"/>
        </w:rPr>
        <w:t>A preliminary search of the peer-reviewed literature indicate</w:t>
      </w:r>
      <w:r w:rsidR="00CB7EF9" w:rsidRPr="00002625">
        <w:rPr>
          <w:rFonts w:cs="Calibri"/>
          <w:color w:val="000000" w:themeColor="text1"/>
        </w:rPr>
        <w:t>d</w:t>
      </w:r>
      <w:r w:rsidR="00183F13" w:rsidRPr="00002625">
        <w:rPr>
          <w:rFonts w:cs="Calibri"/>
          <w:color w:val="000000" w:themeColor="text1"/>
        </w:rPr>
        <w:t xml:space="preserve"> that studies of CTC are either uncontrolled (single arm), or compared with colonoscopy, or compared with other interventions not as frequently used for investigation of CRC (</w:t>
      </w:r>
      <w:r w:rsidR="00996D9E" w:rsidRPr="00002625">
        <w:rPr>
          <w:rFonts w:cs="Calibri"/>
          <w:color w:val="000000" w:themeColor="text1"/>
        </w:rPr>
        <w:t xml:space="preserve">i.e., </w:t>
      </w:r>
      <w:r w:rsidR="00183F13" w:rsidRPr="00002625">
        <w:rPr>
          <w:rFonts w:cs="Calibri"/>
          <w:color w:val="000000" w:themeColor="text1"/>
        </w:rPr>
        <w:t>sigmoidoscopy, capsule endoscopy, CTC without bowel preparation).</w:t>
      </w:r>
      <w:r w:rsidR="00965E1E" w:rsidRPr="00002625">
        <w:rPr>
          <w:rFonts w:cs="Calibri"/>
          <w:color w:val="000000" w:themeColor="text1"/>
        </w:rPr>
        <w:t xml:space="preserve"> </w:t>
      </w:r>
      <w:r w:rsidR="0043181E" w:rsidRPr="00002625">
        <w:rPr>
          <w:rFonts w:cs="Calibri"/>
          <w:color w:val="000000" w:themeColor="text1"/>
        </w:rPr>
        <w:t>A</w:t>
      </w:r>
      <w:r w:rsidR="00FE4154" w:rsidRPr="00002625">
        <w:rPr>
          <w:rFonts w:cs="Calibri"/>
          <w:color w:val="000000" w:themeColor="text1"/>
        </w:rPr>
        <w:t xml:space="preserve">s colonoscopy comprises a large portion of this use in practice it remains the most appropriate choice of comparator for the evaluation. </w:t>
      </w:r>
    </w:p>
    <w:p w14:paraId="7F1B57A5" w14:textId="53DCC4C3" w:rsidR="0000650A" w:rsidRPr="00002625" w:rsidRDefault="0000650A" w:rsidP="0000650A">
      <w:pPr>
        <w:pStyle w:val="Heading4"/>
      </w:pPr>
      <w:r w:rsidRPr="00002625">
        <w:t>Description of colonoscopy</w:t>
      </w:r>
    </w:p>
    <w:p w14:paraId="6AF7D991" w14:textId="493B24D3" w:rsidR="00962AE3" w:rsidRPr="00002625" w:rsidRDefault="009B5092" w:rsidP="00962AE3">
      <w:r w:rsidRPr="00002625">
        <w:t>Colonoscopy involves</w:t>
      </w:r>
      <w:r w:rsidR="004E6491" w:rsidRPr="00002625">
        <w:t xml:space="preserve"> endoscopic</w:t>
      </w:r>
      <w:r w:rsidRPr="00002625">
        <w:t xml:space="preserve"> visualisation of the full length of the colon (anal canal, rectum, sigmoid, descending, transverse and ascending portions of the colon and the caecum)</w:t>
      </w:r>
      <w:r w:rsidR="00A9506B" w:rsidRPr="00002625">
        <w:t xml:space="preserve"> (Lee and Saltzman 2024)</w:t>
      </w:r>
      <w:r w:rsidRPr="00002625">
        <w:t xml:space="preserve">. </w:t>
      </w:r>
      <w:r w:rsidR="00002475" w:rsidRPr="00002625">
        <w:t>The applicant note</w:t>
      </w:r>
      <w:r w:rsidR="009E1F6A" w:rsidRPr="00002625">
        <w:t>d</w:t>
      </w:r>
      <w:r w:rsidR="00002475" w:rsidRPr="00002625">
        <w:t xml:space="preserve"> that </w:t>
      </w:r>
      <w:r w:rsidR="00842826" w:rsidRPr="00002625">
        <w:t>in a procedure where the</w:t>
      </w:r>
      <w:r w:rsidR="00195DB6" w:rsidRPr="00002625">
        <w:t xml:space="preserve"> ileocaecal junction and appendiceal orifice </w:t>
      </w:r>
      <w:r w:rsidR="00D20658" w:rsidRPr="00002625">
        <w:t xml:space="preserve">could </w:t>
      </w:r>
      <w:r w:rsidR="00195DB6" w:rsidRPr="00002625">
        <w:t xml:space="preserve">not </w:t>
      </w:r>
      <w:r w:rsidR="00D20658" w:rsidRPr="00002625">
        <w:t xml:space="preserve">be </w:t>
      </w:r>
      <w:r w:rsidR="00195DB6" w:rsidRPr="00002625">
        <w:t>visualised, this would usually be considered a failed colonoscopy.</w:t>
      </w:r>
      <w:r w:rsidR="00002475" w:rsidRPr="00002625">
        <w:t xml:space="preserve"> </w:t>
      </w:r>
      <w:r w:rsidR="002857B2" w:rsidRPr="00002625">
        <w:t xml:space="preserve">The endoscope is a camera mounted on a thin flexible tube which is passed through the anus, including a light </w:t>
      </w:r>
      <w:r w:rsidR="00C87F9D" w:rsidRPr="00002625">
        <w:t>along with</w:t>
      </w:r>
      <w:r w:rsidR="002857B2" w:rsidRPr="00002625">
        <w:t xml:space="preserve"> equipment for taking </w:t>
      </w:r>
      <w:r w:rsidR="00C87F9D" w:rsidRPr="00002625">
        <w:t>biopsy samples and removing polyps (polypectomy).</w:t>
      </w:r>
      <w:r w:rsidR="00967BD3" w:rsidRPr="00002625">
        <w:t xml:space="preserve"> The procedure requires bowel preparation and </w:t>
      </w:r>
      <w:r w:rsidR="00967BD3" w:rsidRPr="00002625">
        <w:lastRenderedPageBreak/>
        <w:t>sedation</w:t>
      </w:r>
      <w:r w:rsidR="005D7EF7" w:rsidRPr="00002625">
        <w:t xml:space="preserve"> and is usually performed as a day patient procedure in an outpatient setting</w:t>
      </w:r>
      <w:r w:rsidR="00967BD3" w:rsidRPr="00002625">
        <w:t>. In comparison with CTC</w:t>
      </w:r>
      <w:r w:rsidR="005D7EF7" w:rsidRPr="00002625">
        <w:t>,</w:t>
      </w:r>
      <w:r w:rsidR="00967BD3" w:rsidRPr="00002625">
        <w:t xml:space="preserve"> </w:t>
      </w:r>
      <w:r w:rsidR="005D7EF7" w:rsidRPr="00002625">
        <w:t>colonoscopy</w:t>
      </w:r>
      <w:r w:rsidR="00967BD3" w:rsidRPr="00002625">
        <w:t xml:space="preserve"> requires no contrast media and involves no </w:t>
      </w:r>
      <w:r w:rsidR="00CD5BFA" w:rsidRPr="00002625">
        <w:t>radiographic imaging.</w:t>
      </w:r>
      <w:r w:rsidR="00C87F9D" w:rsidRPr="00002625">
        <w:t xml:space="preserve"> </w:t>
      </w:r>
      <w:r w:rsidR="005F6E5D" w:rsidRPr="00002625">
        <w:t xml:space="preserve">When discussed in the context of CTC, colonoscopy is sometimes </w:t>
      </w:r>
      <w:r w:rsidR="00EC7A20" w:rsidRPr="00002625">
        <w:t>referred</w:t>
      </w:r>
      <w:r w:rsidR="005F6E5D" w:rsidRPr="00002625">
        <w:t xml:space="preserve"> to as optical colonoscopy to distinguish between the two procedures. </w:t>
      </w:r>
    </w:p>
    <w:p w14:paraId="2470E233" w14:textId="7358C887" w:rsidR="004300B5" w:rsidRPr="00002625" w:rsidRDefault="00BC4788" w:rsidP="00962AE3">
      <w:r w:rsidRPr="00002625">
        <w:t xml:space="preserve">Training and credentialling of endoscopists performing this procedure are mandatory in Australia (ACSQHC 2020). </w:t>
      </w:r>
      <w:r w:rsidR="00527B0B" w:rsidRPr="00002625">
        <w:t xml:space="preserve">Colonoscopy </w:t>
      </w:r>
      <w:r w:rsidR="00A72F49">
        <w:t>may be</w:t>
      </w:r>
      <w:r w:rsidR="00527B0B" w:rsidRPr="00002625">
        <w:t xml:space="preserve"> </w:t>
      </w:r>
      <w:r w:rsidR="00E06DFE" w:rsidRPr="00002625">
        <w:t xml:space="preserve">performed by </w:t>
      </w:r>
      <w:r w:rsidR="00627481" w:rsidRPr="00002625">
        <w:t>a</w:t>
      </w:r>
      <w:r w:rsidR="00AC41B0" w:rsidRPr="00002625">
        <w:t xml:space="preserve"> specialist gastroenterologist</w:t>
      </w:r>
      <w:r w:rsidR="00A72F49">
        <w:t>, consultant surgeon, appropriately credentialled physician or a nurse endoscopist</w:t>
      </w:r>
      <w:r w:rsidR="009A180D" w:rsidRPr="00002625">
        <w:t xml:space="preserve">. In </w:t>
      </w:r>
      <w:r w:rsidR="0073200E" w:rsidRPr="00002625">
        <w:t>country</w:t>
      </w:r>
      <w:r w:rsidR="002E347A" w:rsidRPr="00002625">
        <w:t xml:space="preserve"> areas, </w:t>
      </w:r>
      <w:r w:rsidR="00C136D8" w:rsidRPr="00002625">
        <w:t xml:space="preserve">the endoscopist </w:t>
      </w:r>
      <w:r w:rsidR="0073200E" w:rsidRPr="00002625">
        <w:t>may be a GP</w:t>
      </w:r>
      <w:r w:rsidR="00685547" w:rsidRPr="00002625">
        <w:t xml:space="preserve">. </w:t>
      </w:r>
      <w:r w:rsidR="001B5DD9" w:rsidRPr="00002625">
        <w:t xml:space="preserve">In </w:t>
      </w:r>
      <w:r w:rsidR="00940DFF">
        <w:t xml:space="preserve">any </w:t>
      </w:r>
      <w:r w:rsidR="001B5DD9" w:rsidRPr="00002625">
        <w:t xml:space="preserve">case, </w:t>
      </w:r>
      <w:r w:rsidR="00976FF7" w:rsidRPr="00002625">
        <w:t xml:space="preserve">the </w:t>
      </w:r>
      <w:r w:rsidR="008F355B" w:rsidRPr="00002625">
        <w:t xml:space="preserve">qualifications specified by ACSQHC (2020) will apply. </w:t>
      </w:r>
    </w:p>
    <w:p w14:paraId="1302F269" w14:textId="6E156CCE" w:rsidR="00214D2F" w:rsidRPr="00002625" w:rsidRDefault="00214D2F" w:rsidP="00962AE3">
      <w:r w:rsidRPr="00002625">
        <w:t xml:space="preserve">MBS items for colonoscopy may be ordered by </w:t>
      </w:r>
      <w:r w:rsidR="00233FCB" w:rsidRPr="00002625">
        <w:t xml:space="preserve">GPs and </w:t>
      </w:r>
      <w:r w:rsidR="0092017C" w:rsidRPr="00002625">
        <w:t>also</w:t>
      </w:r>
      <w:r w:rsidR="00233FCB" w:rsidRPr="00002625">
        <w:t xml:space="preserve"> specialists and </w:t>
      </w:r>
      <w:r w:rsidR="008950FB" w:rsidRPr="00002625">
        <w:t>consultant physicians</w:t>
      </w:r>
      <w:r w:rsidR="00D516C5" w:rsidRPr="00002625">
        <w:t xml:space="preserve"> (MBS explanatory note</w:t>
      </w:r>
      <w:r w:rsidR="00694EAD" w:rsidRPr="00002625">
        <w:t>s</w:t>
      </w:r>
      <w:r w:rsidR="007C5B0E" w:rsidRPr="00002625">
        <w:t xml:space="preserve"> TN.8.152</w:t>
      </w:r>
      <w:r w:rsidR="00694EAD" w:rsidRPr="00002625">
        <w:t>, GN.6.16</w:t>
      </w:r>
      <w:r w:rsidR="007C5B0E" w:rsidRPr="00002625">
        <w:t>)</w:t>
      </w:r>
      <w:r w:rsidRPr="00002625">
        <w:t>.</w:t>
      </w:r>
    </w:p>
    <w:p w14:paraId="665EF813" w14:textId="39E50468" w:rsidR="00C62441" w:rsidRPr="00002625" w:rsidRDefault="00962AE3" w:rsidP="00C62441">
      <w:r>
        <w:t xml:space="preserve">The applicant </w:t>
      </w:r>
      <w:r w:rsidR="00003118">
        <w:t>stated</w:t>
      </w:r>
      <w:r>
        <w:t xml:space="preserve"> that rates of polypectomy at colonoscopy </w:t>
      </w:r>
      <w:r w:rsidR="0065605E">
        <w:t xml:space="preserve">may be </w:t>
      </w:r>
      <w:r>
        <w:t xml:space="preserve">high. </w:t>
      </w:r>
      <w:r w:rsidR="00C62441">
        <w:t xml:space="preserve">A representative breakdown of polyps </w:t>
      </w:r>
      <w:r w:rsidR="00AC5F73">
        <w:t>removed on colonoscopy</w:t>
      </w:r>
      <w:r w:rsidR="00C62441">
        <w:t xml:space="preserve"> </w:t>
      </w:r>
      <w:r w:rsidR="009166CD">
        <w:t>in FOBT positive patients</w:t>
      </w:r>
      <w:r w:rsidR="00992557">
        <w:t xml:space="preserve"> identified through the</w:t>
      </w:r>
      <w:r w:rsidR="000B4CDE">
        <w:t xml:space="preserve"> NBCSP</w:t>
      </w:r>
      <w:r w:rsidR="009166CD">
        <w:t xml:space="preserve"> </w:t>
      </w:r>
      <w:r w:rsidR="00176C40">
        <w:t>(</w:t>
      </w:r>
      <w:r>
        <w:fldChar w:fldCharType="begin"/>
      </w:r>
      <w:r>
        <w:instrText xml:space="preserve"> REF _Ref180750880 \h </w:instrText>
      </w:r>
      <w:r>
        <w:fldChar w:fldCharType="separate"/>
      </w:r>
      <w:r w:rsidR="00637321">
        <w:t>Table </w:t>
      </w:r>
      <w:r w:rsidR="00637321" w:rsidRPr="165541D6">
        <w:rPr>
          <w:noProof/>
        </w:rPr>
        <w:t>13</w:t>
      </w:r>
      <w:r>
        <w:fldChar w:fldCharType="end"/>
      </w:r>
      <w:r w:rsidR="00176C40">
        <w:t xml:space="preserve">) </w:t>
      </w:r>
      <w:r w:rsidR="00251027">
        <w:t xml:space="preserve">estimated </w:t>
      </w:r>
      <w:r w:rsidR="00F0091F">
        <w:t xml:space="preserve">the rate of </w:t>
      </w:r>
      <w:r w:rsidR="00AD04A9">
        <w:t>polyp detection</w:t>
      </w:r>
      <w:r w:rsidR="00F0091F">
        <w:t xml:space="preserve"> </w:t>
      </w:r>
      <w:r w:rsidR="006C68E6">
        <w:t>at</w:t>
      </w:r>
      <w:r w:rsidR="00423DC2">
        <w:t xml:space="preserve"> 51.5%</w:t>
      </w:r>
      <w:r w:rsidR="009E7A74">
        <w:t xml:space="preserve">, of which just over 10% </w:t>
      </w:r>
      <w:r w:rsidR="00E42DE6">
        <w:t xml:space="preserve">are </w:t>
      </w:r>
      <w:r w:rsidR="2FC0909C">
        <w:t>hyperplastic.</w:t>
      </w:r>
      <w:r w:rsidR="00C62441">
        <w:t xml:space="preserve"> </w:t>
      </w:r>
    </w:p>
    <w:p w14:paraId="645FDD3F" w14:textId="07DFEF65" w:rsidR="00C62441" w:rsidRPr="00002625" w:rsidRDefault="00C62441" w:rsidP="00C62441">
      <w:pPr>
        <w:pStyle w:val="Caption"/>
        <w:rPr>
          <w:sz w:val="16"/>
          <w:szCs w:val="16"/>
          <w:lang w:val="en-AU"/>
        </w:rPr>
      </w:pPr>
      <w:bookmarkStart w:id="24" w:name="_Ref180750880"/>
      <w:r w:rsidRPr="00002625">
        <w:rPr>
          <w:lang w:val="en-AU"/>
        </w:rPr>
        <w:t>Table </w:t>
      </w:r>
      <w:r w:rsidRPr="00002625">
        <w:rPr>
          <w:lang w:val="en-AU"/>
        </w:rPr>
        <w:fldChar w:fldCharType="begin"/>
      </w:r>
      <w:r w:rsidRPr="00002625">
        <w:rPr>
          <w:lang w:val="en-AU"/>
        </w:rPr>
        <w:instrText xml:space="preserve"> SEQ Table \* ARABIC </w:instrText>
      </w:r>
      <w:r w:rsidRPr="00002625">
        <w:rPr>
          <w:lang w:val="en-AU"/>
        </w:rPr>
        <w:fldChar w:fldCharType="separate"/>
      </w:r>
      <w:r w:rsidR="00637321" w:rsidRPr="00002625">
        <w:rPr>
          <w:noProof/>
          <w:lang w:val="en-AU"/>
        </w:rPr>
        <w:t>13</w:t>
      </w:r>
      <w:r w:rsidRPr="00002625">
        <w:rPr>
          <w:noProof/>
          <w:lang w:val="en-AU"/>
        </w:rPr>
        <w:fldChar w:fldCharType="end"/>
      </w:r>
      <w:bookmarkEnd w:id="24"/>
      <w:r w:rsidRPr="00002625">
        <w:rPr>
          <w:lang w:val="en-AU"/>
        </w:rPr>
        <w:tab/>
        <w:t>Indicative breakdown of polyps removed on colonoscopy – NBCSP data (Bobridge 2013)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2 Indicative breakdown of polyps removed on colonoscopy – NBCSP data (Bobridge 2013)"/>
        <w:tblDescription w:val="Table showing Indicative breakdown of polyps removed on colonoscopy – NBCSP data (Bobridge 2013)"/>
      </w:tblPr>
      <w:tblGrid>
        <w:gridCol w:w="3870"/>
        <w:gridCol w:w="2910"/>
        <w:gridCol w:w="2791"/>
      </w:tblGrid>
      <w:tr w:rsidR="00C62441" w:rsidRPr="00002625" w14:paraId="090B11F6" w14:textId="77777777" w:rsidTr="007A1201">
        <w:trPr>
          <w:tblHeader/>
        </w:trPr>
        <w:tc>
          <w:tcPr>
            <w:tcW w:w="2022" w:type="pct"/>
          </w:tcPr>
          <w:p w14:paraId="4CB7ACC0" w14:textId="77777777" w:rsidR="00C62441" w:rsidRPr="00002625" w:rsidRDefault="00C62441">
            <w:pPr>
              <w:pStyle w:val="TableText0"/>
              <w:rPr>
                <w:b/>
              </w:rPr>
            </w:pPr>
            <w:r w:rsidRPr="00002625">
              <w:rPr>
                <w:b/>
              </w:rPr>
              <w:t>Type of polyp</w:t>
            </w:r>
          </w:p>
        </w:tc>
        <w:tc>
          <w:tcPr>
            <w:tcW w:w="1520" w:type="pct"/>
          </w:tcPr>
          <w:p w14:paraId="3D6B2D0C" w14:textId="77777777" w:rsidR="00C62441" w:rsidRPr="00002625" w:rsidRDefault="00C62441">
            <w:pPr>
              <w:pStyle w:val="TableText0"/>
              <w:rPr>
                <w:b/>
              </w:rPr>
            </w:pPr>
            <w:r w:rsidRPr="00002625">
              <w:rPr>
                <w:b/>
              </w:rPr>
              <w:t>N = 443 colonoscopies</w:t>
            </w:r>
          </w:p>
        </w:tc>
        <w:tc>
          <w:tcPr>
            <w:tcW w:w="1458" w:type="pct"/>
          </w:tcPr>
          <w:p w14:paraId="53AC0365" w14:textId="77777777" w:rsidR="00C62441" w:rsidRPr="00002625" w:rsidRDefault="00C62441">
            <w:pPr>
              <w:pStyle w:val="TableText0"/>
              <w:rPr>
                <w:b/>
              </w:rPr>
            </w:pPr>
            <w:r w:rsidRPr="00002625">
              <w:rPr>
                <w:b/>
              </w:rPr>
              <w:t>Proportion (%)</w:t>
            </w:r>
          </w:p>
        </w:tc>
      </w:tr>
      <w:tr w:rsidR="00C62441" w:rsidRPr="00002625" w14:paraId="61094DFA" w14:textId="77777777" w:rsidTr="007A1201">
        <w:tc>
          <w:tcPr>
            <w:tcW w:w="2022" w:type="pct"/>
          </w:tcPr>
          <w:p w14:paraId="08BCBCCC" w14:textId="77777777" w:rsidR="00C62441" w:rsidRPr="00002625" w:rsidRDefault="00C62441">
            <w:pPr>
              <w:pStyle w:val="TableText0"/>
            </w:pPr>
            <w:r w:rsidRPr="00002625">
              <w:t>Polyp detection rate</w:t>
            </w:r>
          </w:p>
        </w:tc>
        <w:tc>
          <w:tcPr>
            <w:tcW w:w="1520" w:type="pct"/>
          </w:tcPr>
          <w:p w14:paraId="4BA39AF3" w14:textId="77777777" w:rsidR="00C62441" w:rsidRPr="00002625" w:rsidRDefault="00C62441">
            <w:pPr>
              <w:pStyle w:val="TableText0"/>
            </w:pPr>
            <w:r w:rsidRPr="00002625">
              <w:t>223</w:t>
            </w:r>
          </w:p>
        </w:tc>
        <w:tc>
          <w:tcPr>
            <w:tcW w:w="1458" w:type="pct"/>
          </w:tcPr>
          <w:p w14:paraId="5E7C48FF" w14:textId="77777777" w:rsidR="00C62441" w:rsidRPr="00002625" w:rsidRDefault="00C62441">
            <w:pPr>
              <w:pStyle w:val="TableText0"/>
            </w:pPr>
            <w:r w:rsidRPr="00002625">
              <w:t>51.5</w:t>
            </w:r>
          </w:p>
        </w:tc>
      </w:tr>
      <w:tr w:rsidR="00C62441" w:rsidRPr="00002625" w14:paraId="3925F347" w14:textId="77777777" w:rsidTr="007A1201">
        <w:tc>
          <w:tcPr>
            <w:tcW w:w="2022" w:type="pct"/>
          </w:tcPr>
          <w:p w14:paraId="3D016CE0" w14:textId="77777777" w:rsidR="00C62441" w:rsidRPr="00002625" w:rsidRDefault="00C62441">
            <w:pPr>
              <w:pStyle w:val="TableText0"/>
            </w:pPr>
            <w:r w:rsidRPr="00002625">
              <w:t>Hyperplastic polyps</w:t>
            </w:r>
          </w:p>
        </w:tc>
        <w:tc>
          <w:tcPr>
            <w:tcW w:w="1520" w:type="pct"/>
          </w:tcPr>
          <w:p w14:paraId="7ABAAD48" w14:textId="77777777" w:rsidR="00C62441" w:rsidRPr="00002625" w:rsidRDefault="00C62441">
            <w:pPr>
              <w:pStyle w:val="TableText0"/>
            </w:pPr>
            <w:r w:rsidRPr="00002625">
              <w:t>44</w:t>
            </w:r>
          </w:p>
        </w:tc>
        <w:tc>
          <w:tcPr>
            <w:tcW w:w="1458" w:type="pct"/>
          </w:tcPr>
          <w:p w14:paraId="6696902D" w14:textId="77777777" w:rsidR="00C62441" w:rsidRPr="00002625" w:rsidRDefault="00C62441">
            <w:pPr>
              <w:pStyle w:val="TableText0"/>
            </w:pPr>
            <w:r w:rsidRPr="00002625">
              <w:t>10.2</w:t>
            </w:r>
          </w:p>
        </w:tc>
      </w:tr>
      <w:tr w:rsidR="00C62441" w:rsidRPr="00002625" w14:paraId="7BB1905D" w14:textId="77777777" w:rsidTr="007A1201">
        <w:tc>
          <w:tcPr>
            <w:tcW w:w="2022" w:type="pct"/>
          </w:tcPr>
          <w:p w14:paraId="7FF2B7F7" w14:textId="77777777" w:rsidR="00C62441" w:rsidRPr="00002625" w:rsidRDefault="00C62441">
            <w:pPr>
              <w:pStyle w:val="TableText0"/>
            </w:pPr>
            <w:r w:rsidRPr="00002625">
              <w:t>Adenomas</w:t>
            </w:r>
          </w:p>
        </w:tc>
        <w:tc>
          <w:tcPr>
            <w:tcW w:w="1520" w:type="pct"/>
          </w:tcPr>
          <w:p w14:paraId="1D888262" w14:textId="77777777" w:rsidR="00C62441" w:rsidRPr="00002625" w:rsidRDefault="00C62441">
            <w:pPr>
              <w:pStyle w:val="TableText0"/>
            </w:pPr>
            <w:r w:rsidRPr="00002625">
              <w:t>82</w:t>
            </w:r>
          </w:p>
        </w:tc>
        <w:tc>
          <w:tcPr>
            <w:tcW w:w="1458" w:type="pct"/>
          </w:tcPr>
          <w:p w14:paraId="18FEA2A0" w14:textId="77777777" w:rsidR="00C62441" w:rsidRPr="00002625" w:rsidRDefault="00C62441">
            <w:pPr>
              <w:pStyle w:val="TableText0"/>
            </w:pPr>
            <w:r w:rsidRPr="00002625">
              <w:t>18.9</w:t>
            </w:r>
          </w:p>
        </w:tc>
      </w:tr>
      <w:tr w:rsidR="00C62441" w:rsidRPr="00002625" w14:paraId="2FDBD17D" w14:textId="77777777" w:rsidTr="007A1201">
        <w:tc>
          <w:tcPr>
            <w:tcW w:w="2022" w:type="pct"/>
          </w:tcPr>
          <w:p w14:paraId="65FC417C" w14:textId="77777777" w:rsidR="00C62441" w:rsidRPr="00002625" w:rsidRDefault="00C62441">
            <w:pPr>
              <w:pStyle w:val="TableText0"/>
            </w:pPr>
            <w:bookmarkStart w:id="25" w:name="_Hlk180750302"/>
            <w:r w:rsidRPr="00002625">
              <w:t>Advanced adenomas</w:t>
            </w:r>
            <w:bookmarkEnd w:id="25"/>
            <w:r w:rsidRPr="00002625">
              <w:rPr>
                <w:vertAlign w:val="superscript"/>
              </w:rPr>
              <w:t>a</w:t>
            </w:r>
          </w:p>
        </w:tc>
        <w:tc>
          <w:tcPr>
            <w:tcW w:w="1520" w:type="pct"/>
          </w:tcPr>
          <w:p w14:paraId="19691C13" w14:textId="77777777" w:rsidR="00C62441" w:rsidRPr="00002625" w:rsidRDefault="00C62441">
            <w:pPr>
              <w:pStyle w:val="TableText0"/>
            </w:pPr>
            <w:r w:rsidRPr="00002625">
              <w:t>71</w:t>
            </w:r>
          </w:p>
        </w:tc>
        <w:tc>
          <w:tcPr>
            <w:tcW w:w="1458" w:type="pct"/>
          </w:tcPr>
          <w:p w14:paraId="7066B933" w14:textId="77777777" w:rsidR="00C62441" w:rsidRPr="00002625" w:rsidRDefault="00C62441">
            <w:pPr>
              <w:pStyle w:val="TableText0"/>
            </w:pPr>
            <w:r w:rsidRPr="00002625">
              <w:t>16.4</w:t>
            </w:r>
          </w:p>
        </w:tc>
      </w:tr>
      <w:tr w:rsidR="00C62441" w:rsidRPr="00002625" w14:paraId="6E7B130D" w14:textId="77777777" w:rsidTr="007A1201">
        <w:tc>
          <w:tcPr>
            <w:tcW w:w="2022" w:type="pct"/>
          </w:tcPr>
          <w:p w14:paraId="1F007AE9" w14:textId="13906BEE" w:rsidR="00C62441" w:rsidRPr="00002625" w:rsidRDefault="00C62441">
            <w:pPr>
              <w:pStyle w:val="TableText0"/>
            </w:pPr>
            <w:r w:rsidRPr="00002625">
              <w:t>CRC (pathology confirmed)</w:t>
            </w:r>
          </w:p>
        </w:tc>
        <w:tc>
          <w:tcPr>
            <w:tcW w:w="1520" w:type="pct"/>
          </w:tcPr>
          <w:p w14:paraId="7077EF98" w14:textId="77777777" w:rsidR="00C62441" w:rsidRPr="00002625" w:rsidRDefault="00C62441">
            <w:pPr>
              <w:pStyle w:val="TableText0"/>
            </w:pPr>
            <w:r w:rsidRPr="00002625">
              <w:t>14</w:t>
            </w:r>
          </w:p>
        </w:tc>
        <w:tc>
          <w:tcPr>
            <w:tcW w:w="1458" w:type="pct"/>
          </w:tcPr>
          <w:p w14:paraId="442F87D7" w14:textId="77777777" w:rsidR="00C62441" w:rsidRPr="00002625" w:rsidRDefault="00C62441">
            <w:pPr>
              <w:pStyle w:val="TableText0"/>
            </w:pPr>
            <w:r w:rsidRPr="00002625">
              <w:t>3.2</w:t>
            </w:r>
          </w:p>
        </w:tc>
      </w:tr>
      <w:tr w:rsidR="00C62441" w:rsidRPr="00002625" w14:paraId="145A2C6C" w14:textId="77777777" w:rsidTr="007A1201">
        <w:tc>
          <w:tcPr>
            <w:tcW w:w="2022" w:type="pct"/>
          </w:tcPr>
          <w:p w14:paraId="0296D2A9" w14:textId="77777777" w:rsidR="00C62441" w:rsidRPr="00002625" w:rsidRDefault="00C62441">
            <w:pPr>
              <w:pStyle w:val="TableText0"/>
            </w:pPr>
            <w:r w:rsidRPr="00002625">
              <w:t>Polyps unable to be retrieved / classified</w:t>
            </w:r>
          </w:p>
        </w:tc>
        <w:tc>
          <w:tcPr>
            <w:tcW w:w="1520" w:type="pct"/>
          </w:tcPr>
          <w:p w14:paraId="6F1C5776" w14:textId="77777777" w:rsidR="00C62441" w:rsidRPr="00002625" w:rsidRDefault="00C62441">
            <w:pPr>
              <w:pStyle w:val="TableText0"/>
            </w:pPr>
            <w:r w:rsidRPr="00002625">
              <w:t>12</w:t>
            </w:r>
          </w:p>
        </w:tc>
        <w:tc>
          <w:tcPr>
            <w:tcW w:w="1458" w:type="pct"/>
          </w:tcPr>
          <w:p w14:paraId="2D54414F" w14:textId="77777777" w:rsidR="00C62441" w:rsidRPr="00002625" w:rsidRDefault="00C62441">
            <w:pPr>
              <w:pStyle w:val="TableText0"/>
            </w:pPr>
            <w:r w:rsidRPr="00002625">
              <w:t>2.8</w:t>
            </w:r>
          </w:p>
        </w:tc>
      </w:tr>
    </w:tbl>
    <w:p w14:paraId="6266F1F7" w14:textId="62B1947F" w:rsidR="00C62441" w:rsidRPr="00002625" w:rsidRDefault="00C62441" w:rsidP="00C62441">
      <w:pPr>
        <w:pStyle w:val="Tablenotes"/>
        <w:spacing w:after="240"/>
      </w:pPr>
      <w:r w:rsidRPr="00002625">
        <w:t>CRC = colorectal cancer; NBCSP = National Bowel Cancer Screening Program.</w:t>
      </w:r>
      <w:r w:rsidRPr="00002625">
        <w:tab/>
        <w:t xml:space="preserve"> </w:t>
      </w:r>
      <w:r w:rsidRPr="00002625">
        <w:br/>
      </w:r>
      <w:r w:rsidRPr="00002625">
        <w:rPr>
          <w:vertAlign w:val="superscript"/>
        </w:rPr>
        <w:t>a</w:t>
      </w:r>
      <w:r w:rsidRPr="00002625">
        <w:t xml:space="preserve"> advanced adenomas defined as a large ≥1 cm adenoma with high grade dysplasia and/or villous changes. </w:t>
      </w:r>
      <w:r w:rsidR="002F147F" w:rsidRPr="00002625">
        <w:tab/>
      </w:r>
      <w:r w:rsidR="002F147F" w:rsidRPr="00002625">
        <w:br/>
        <w:t>Source: Bobridge 2013</w:t>
      </w:r>
      <w:r w:rsidR="002F147F" w:rsidRPr="00002625">
        <w:tab/>
      </w:r>
    </w:p>
    <w:p w14:paraId="6B397613" w14:textId="21E6D3E3" w:rsidR="00AC5F73" w:rsidRPr="00002625" w:rsidRDefault="00C62441" w:rsidP="00C62441">
      <w:r w:rsidRPr="00002625">
        <w:t xml:space="preserve">The data </w:t>
      </w:r>
      <w:r w:rsidR="009166CD" w:rsidRPr="00002625">
        <w:t xml:space="preserve">in </w:t>
      </w:r>
      <w:r w:rsidR="009166CD" w:rsidRPr="00002625">
        <w:fldChar w:fldCharType="begin"/>
      </w:r>
      <w:r w:rsidR="009166CD" w:rsidRPr="00002625">
        <w:instrText xml:space="preserve"> REF _Ref180750880 \h </w:instrText>
      </w:r>
      <w:r w:rsidR="009166CD" w:rsidRPr="00002625">
        <w:fldChar w:fldCharType="separate"/>
      </w:r>
      <w:r w:rsidR="00637321" w:rsidRPr="00002625">
        <w:t>Table </w:t>
      </w:r>
      <w:r w:rsidR="00637321" w:rsidRPr="00002625">
        <w:rPr>
          <w:noProof/>
        </w:rPr>
        <w:t>13</w:t>
      </w:r>
      <w:r w:rsidR="009166CD" w:rsidRPr="00002625">
        <w:fldChar w:fldCharType="end"/>
      </w:r>
      <w:r w:rsidRPr="00002625">
        <w:t xml:space="preserve"> are from FOBT positive patients identified through the NBCSP between 2006-2009 in South Australia (Bobridge 2013)</w:t>
      </w:r>
      <w:r w:rsidR="00433CF0" w:rsidRPr="00002625">
        <w:t xml:space="preserve">. </w:t>
      </w:r>
      <w:r w:rsidRPr="00002625">
        <w:t>Note that hyperplastic polyps are now referred to as serrated polyps according to the Cancer Council (2022)</w:t>
      </w:r>
      <w:r w:rsidR="00651B3E" w:rsidRPr="00002625">
        <w:t>,</w:t>
      </w:r>
      <w:r w:rsidRPr="00002625">
        <w:t xml:space="preserve"> </w:t>
      </w:r>
      <w:r w:rsidR="0065605E">
        <w:t xml:space="preserve">and </w:t>
      </w:r>
      <w:r w:rsidRPr="00002625">
        <w:t xml:space="preserve">only a subset are true hyperplastic polyps. A more recent source of information for rates of polyps and their histology </w:t>
      </w:r>
      <w:r w:rsidR="00CE2F6C" w:rsidRPr="00002625">
        <w:t>similar</w:t>
      </w:r>
      <w:r w:rsidRPr="00002625">
        <w:t xml:space="preserve"> to </w:t>
      </w:r>
      <w:r w:rsidRPr="00002625">
        <w:fldChar w:fldCharType="begin"/>
      </w:r>
      <w:r w:rsidRPr="00002625">
        <w:instrText xml:space="preserve"> REF _Ref180750880 \h </w:instrText>
      </w:r>
      <w:r w:rsidRPr="00002625">
        <w:fldChar w:fldCharType="separate"/>
      </w:r>
      <w:r w:rsidR="00637321" w:rsidRPr="00002625">
        <w:t>Table </w:t>
      </w:r>
      <w:r w:rsidR="00637321" w:rsidRPr="00002625">
        <w:rPr>
          <w:noProof/>
        </w:rPr>
        <w:t>13</w:t>
      </w:r>
      <w:r w:rsidRPr="00002625">
        <w:fldChar w:fldCharType="end"/>
      </w:r>
      <w:r w:rsidRPr="00002625">
        <w:t xml:space="preserve"> </w:t>
      </w:r>
      <w:r w:rsidR="00614E60" w:rsidRPr="00002625">
        <w:t xml:space="preserve">with the current classification </w:t>
      </w:r>
      <w:r w:rsidRPr="00002625">
        <w:t xml:space="preserve">could not be found following a limited search. </w:t>
      </w:r>
    </w:p>
    <w:p w14:paraId="664DC92E" w14:textId="54162496" w:rsidR="00E80EB3" w:rsidRPr="00002625" w:rsidRDefault="00BF25D3" w:rsidP="00962AE3">
      <w:r w:rsidRPr="00002625">
        <w:t xml:space="preserve">The contraindications for colonoscopy </w:t>
      </w:r>
      <w:r w:rsidR="001F531C" w:rsidRPr="00002625">
        <w:t xml:space="preserve">are summarised in </w:t>
      </w:r>
      <w:r w:rsidR="0011735E" w:rsidRPr="00002625">
        <w:rPr>
          <w:b/>
          <w:bCs/>
        </w:rPr>
        <w:fldChar w:fldCharType="begin"/>
      </w:r>
      <w:r w:rsidR="0011735E" w:rsidRPr="00002625">
        <w:instrText xml:space="preserve"> REF _Ref181279211 \h </w:instrText>
      </w:r>
      <w:r w:rsidR="0011735E" w:rsidRPr="00002625">
        <w:rPr>
          <w:b/>
          <w:bCs/>
        </w:rPr>
      </w:r>
      <w:r w:rsidR="0011735E" w:rsidRPr="00002625">
        <w:rPr>
          <w:b/>
          <w:bCs/>
        </w:rPr>
        <w:fldChar w:fldCharType="separate"/>
      </w:r>
      <w:r w:rsidR="00637321" w:rsidRPr="00002625">
        <w:t>Table </w:t>
      </w:r>
      <w:r w:rsidR="00637321" w:rsidRPr="00002625">
        <w:rPr>
          <w:noProof/>
        </w:rPr>
        <w:t>9</w:t>
      </w:r>
      <w:r w:rsidR="0011735E" w:rsidRPr="00002625">
        <w:rPr>
          <w:b/>
          <w:bCs/>
        </w:rPr>
        <w:fldChar w:fldCharType="end"/>
      </w:r>
      <w:r w:rsidR="0011735E" w:rsidRPr="00002625">
        <w:rPr>
          <w:b/>
          <w:bCs/>
        </w:rPr>
        <w:t>.</w:t>
      </w:r>
      <w:r w:rsidR="0000650A" w:rsidRPr="00002625">
        <w:rPr>
          <w:b/>
        </w:rPr>
        <w:t xml:space="preserve"> </w:t>
      </w:r>
    </w:p>
    <w:p w14:paraId="5F956BCC" w14:textId="77777777" w:rsidR="00B87244" w:rsidRPr="00002625" w:rsidRDefault="00B87244" w:rsidP="00B87244">
      <w:pPr>
        <w:pStyle w:val="Heading4"/>
      </w:pPr>
      <w:r w:rsidRPr="00002625">
        <w:t>Double contrast barium enema (DCBE)</w:t>
      </w:r>
    </w:p>
    <w:p w14:paraId="02555FA2" w14:textId="1284B797" w:rsidR="00B87244" w:rsidRPr="00002625" w:rsidRDefault="00B87244" w:rsidP="00B87244">
      <w:pPr>
        <w:rPr>
          <w:rFonts w:cs="Calibri"/>
          <w:color w:val="000000" w:themeColor="text1"/>
        </w:rPr>
      </w:pPr>
      <w:r w:rsidRPr="00002625">
        <w:rPr>
          <w:rFonts w:cs="Calibri"/>
          <w:color w:val="000000" w:themeColor="text1"/>
        </w:rPr>
        <w:t>The applicant has not included DCBE as a comparator,</w:t>
      </w:r>
      <w:r w:rsidR="004D394C" w:rsidRPr="00002625">
        <w:rPr>
          <w:rFonts w:cs="Calibri"/>
          <w:color w:val="000000" w:themeColor="text1"/>
        </w:rPr>
        <w:t xml:space="preserve"> </w:t>
      </w:r>
      <w:r w:rsidRPr="00002625">
        <w:rPr>
          <w:rFonts w:cs="Calibri"/>
          <w:color w:val="000000" w:themeColor="text1"/>
        </w:rPr>
        <w:t xml:space="preserve">although it was included as a comparator in the previous CTC application (MSAC 1269). Application 1269 was lodged in 2012 and a shift away from use of DCBE has occurred during that time even though its use remains funded on the MBS. The applicant stated that barium enema </w:t>
      </w:r>
      <w:r w:rsidR="436B4AC0" w:rsidRPr="00002625">
        <w:rPr>
          <w:rFonts w:cs="Calibri"/>
          <w:color w:val="000000" w:themeColor="text1"/>
        </w:rPr>
        <w:t>(that is, DCBE)</w:t>
      </w:r>
      <w:r w:rsidR="57F5B19E" w:rsidRPr="00002625">
        <w:rPr>
          <w:rFonts w:cs="Calibri"/>
          <w:color w:val="000000" w:themeColor="text1"/>
        </w:rPr>
        <w:t xml:space="preserve"> </w:t>
      </w:r>
      <w:r w:rsidRPr="00002625">
        <w:rPr>
          <w:rFonts w:cs="Calibri"/>
          <w:color w:val="000000" w:themeColor="text1"/>
        </w:rPr>
        <w:t xml:space="preserve">is no longer appropriate as it has been replaced by CTC which has vastly superior sensitivity, specificity and is supported by a large body of evidence. Although no reference was supplied for this statement, a key randomised trial undertaken for the National Institute for Health Research (NIHR) in the United Kingdom showed CTC was superior to DCBE for both detection rates (7.0% </w:t>
      </w:r>
      <w:r w:rsidRPr="00002625">
        <w:rPr>
          <w:rFonts w:cs="Calibri"/>
          <w:color w:val="000000" w:themeColor="text1"/>
        </w:rPr>
        <w:lastRenderedPageBreak/>
        <w:t xml:space="preserve">vs 5.2%; p = 0.0243) and subsequent 3-year cancer incidence (6.7% vs 14.1%, respectively) (Halligan </w:t>
      </w:r>
      <w:r w:rsidR="005C730C" w:rsidRPr="00002625">
        <w:rPr>
          <w:rFonts w:cs="Calibri"/>
          <w:color w:val="000000" w:themeColor="text1"/>
        </w:rPr>
        <w:t>et al.</w:t>
      </w:r>
      <w:r w:rsidRPr="00002625">
        <w:rPr>
          <w:rFonts w:cs="Calibri"/>
          <w:color w:val="000000" w:themeColor="text1"/>
        </w:rPr>
        <w:t xml:space="preserve"> 2015). </w:t>
      </w:r>
    </w:p>
    <w:p w14:paraId="20427A42" w14:textId="3A3832F2" w:rsidR="00B87244" w:rsidRPr="00002625" w:rsidRDefault="00A43641" w:rsidP="00B87244">
      <w:r w:rsidRPr="00002625">
        <w:rPr>
          <w:rFonts w:cs="Calibri"/>
          <w:color w:val="000000" w:themeColor="text1"/>
        </w:rPr>
        <w:t>MBS u</w:t>
      </w:r>
      <w:r w:rsidR="00B87244" w:rsidRPr="00002625">
        <w:t>tilisation figures were retrieved</w:t>
      </w:r>
      <w:r w:rsidR="00383400" w:rsidRPr="00002625">
        <w:t xml:space="preserve"> </w:t>
      </w:r>
      <w:r w:rsidR="00B87244" w:rsidRPr="00002625">
        <w:t xml:space="preserve">to investigate </w:t>
      </w:r>
      <w:r w:rsidRPr="00002625">
        <w:t xml:space="preserve">the </w:t>
      </w:r>
      <w:r w:rsidR="00B87244" w:rsidRPr="00002625">
        <w:t>use of DCBE. Over the 12-month period between July 2023 and June 2024, use of the current MBS item for DCBE (MBS item 58921) was 1,365 services, which represented</w:t>
      </w:r>
      <w:r w:rsidR="00B70B9E" w:rsidRPr="00002625">
        <w:t xml:space="preserve"> </w:t>
      </w:r>
      <w:r w:rsidR="00B87244" w:rsidRPr="00002625">
        <w:t>0.26% of the corresponding utilisation for colonoscopy (MBS item 32222) during the same period (519,026 services).</w:t>
      </w:r>
      <w:r w:rsidR="00E62AA6" w:rsidRPr="00002625">
        <w:t xml:space="preserve"> This can be compared to</w:t>
      </w:r>
      <w:r w:rsidR="00557A66" w:rsidRPr="00002625">
        <w:t xml:space="preserve"> DCBE</w:t>
      </w:r>
      <w:r w:rsidR="00E62AA6" w:rsidRPr="00002625">
        <w:t xml:space="preserve"> utilisation in </w:t>
      </w:r>
      <w:r w:rsidR="00557A66" w:rsidRPr="00002625">
        <w:t>2001-2002 of 38</w:t>
      </w:r>
      <w:r w:rsidR="00802E7B" w:rsidRPr="00002625">
        <w:t>,</w:t>
      </w:r>
      <w:r w:rsidR="00557A66" w:rsidRPr="00002625">
        <w:t xml:space="preserve">330 services. </w:t>
      </w:r>
    </w:p>
    <w:p w14:paraId="3854CD6D" w14:textId="6AC0F197" w:rsidR="00731FD5" w:rsidRPr="00002625" w:rsidRDefault="00B87244" w:rsidP="00B87244">
      <w:r w:rsidRPr="00002625">
        <w:t>Guidelines from RANZCR, Cancer Council (2023)</w:t>
      </w:r>
      <w:r w:rsidR="003F2A78" w:rsidRPr="00002625">
        <w:t xml:space="preserve"> </w:t>
      </w:r>
      <w:r w:rsidRPr="00002625">
        <w:t xml:space="preserve">and Europe (ESGE/ ESGAR 2020) </w:t>
      </w:r>
      <w:r w:rsidR="0066560A" w:rsidRPr="00002625">
        <w:t xml:space="preserve">no longer </w:t>
      </w:r>
      <w:r w:rsidR="00A76EE6" w:rsidRPr="00002625">
        <w:t xml:space="preserve">include recommendations for </w:t>
      </w:r>
      <w:r w:rsidRPr="00002625">
        <w:t xml:space="preserve">DCBE for diagnostic use (Moore </w:t>
      </w:r>
      <w:r w:rsidR="005C730C" w:rsidRPr="00002625">
        <w:t>and</w:t>
      </w:r>
      <w:r w:rsidRPr="00002625">
        <w:t xml:space="preserve"> Naidoo, 2017; ESGE/ ESGAR 2020). It is understood that DCBE may be considered as a later line option in patients with contraindications for colonoscopy (</w:t>
      </w:r>
      <w:r w:rsidR="00EB4BA5" w:rsidRPr="00002625">
        <w:t xml:space="preserve">Moore </w:t>
      </w:r>
      <w:r w:rsidR="005C730C" w:rsidRPr="00002625">
        <w:t>and</w:t>
      </w:r>
      <w:r w:rsidR="00EB4BA5" w:rsidRPr="00002625">
        <w:t xml:space="preserve"> Naidoo 2017</w:t>
      </w:r>
      <w:r w:rsidRPr="00002625">
        <w:t xml:space="preserve">). </w:t>
      </w:r>
    </w:p>
    <w:p w14:paraId="316B6CB9" w14:textId="77777777" w:rsidR="0022602C" w:rsidRPr="00002625" w:rsidRDefault="0022602C" w:rsidP="0022602C">
      <w:pPr>
        <w:autoSpaceDE w:val="0"/>
        <w:autoSpaceDN w:val="0"/>
        <w:adjustRightInd w:val="0"/>
        <w:spacing w:line="23" w:lineRule="atLeast"/>
        <w:rPr>
          <w:rFonts w:asciiTheme="minorHAnsi" w:hAnsiTheme="minorHAnsi" w:cstheme="minorHAnsi"/>
          <w:i/>
          <w:iCs/>
        </w:rPr>
      </w:pPr>
      <w:r w:rsidRPr="00002625">
        <w:rPr>
          <w:rFonts w:asciiTheme="minorHAnsi" w:hAnsiTheme="minorHAnsi" w:cstheme="minorHAnsi"/>
          <w:i/>
          <w:iCs/>
        </w:rPr>
        <w:t>PASC agreed that the appropriate comparator for CTC is colonoscopy, noting that colonoscopy has both diagnostic and therapeutic components.</w:t>
      </w:r>
    </w:p>
    <w:p w14:paraId="3CD7E3E5" w14:textId="32830E37" w:rsidR="00EB4BA5" w:rsidRPr="00002625" w:rsidRDefault="00240029" w:rsidP="00B87244">
      <w:pPr>
        <w:rPr>
          <w:i/>
          <w:iCs/>
        </w:rPr>
      </w:pPr>
      <w:r w:rsidRPr="00002625">
        <w:rPr>
          <w:rFonts w:asciiTheme="minorHAnsi" w:hAnsiTheme="minorHAnsi" w:cstheme="minorHAnsi"/>
          <w:i/>
          <w:szCs w:val="21"/>
        </w:rPr>
        <w:t>PASC noted that for patients in whom colonoscopy was contraindicated, SOC is an appropriate secondary comparator. However, PASC noted that SOC could include a range of options as no single alternative was recommended in the clinical guidelines.</w:t>
      </w:r>
    </w:p>
    <w:p w14:paraId="375DDBBE" w14:textId="77777777" w:rsidR="007B563D" w:rsidRPr="00002625" w:rsidRDefault="007B563D" w:rsidP="007B563D">
      <w:pPr>
        <w:pStyle w:val="Heading3"/>
      </w:pPr>
      <w:r w:rsidRPr="00002625">
        <w:t>Reference standard (for investigative technologies only)</w:t>
      </w:r>
    </w:p>
    <w:p w14:paraId="26C3D880" w14:textId="21A0CC07" w:rsidR="007B563D" w:rsidRPr="00002625" w:rsidRDefault="007B563D" w:rsidP="007B563D">
      <w:r w:rsidRPr="00002625">
        <w:t xml:space="preserve">The reference standard would be colonoscopy (for determining accuracy of the test). This is the same for all PICO </w:t>
      </w:r>
      <w:r w:rsidR="000B7502" w:rsidRPr="00002625">
        <w:t>s</w:t>
      </w:r>
      <w:r w:rsidRPr="00002625">
        <w:t>ets.</w:t>
      </w:r>
    </w:p>
    <w:p w14:paraId="7693F76E" w14:textId="1EB7EA91" w:rsidR="0022602C" w:rsidRPr="00002625" w:rsidRDefault="0022602C" w:rsidP="007B563D">
      <w:r w:rsidRPr="00002625">
        <w:rPr>
          <w:rFonts w:asciiTheme="minorHAnsi" w:hAnsiTheme="minorHAnsi" w:cstheme="minorHAnsi"/>
          <w:i/>
          <w:iCs/>
        </w:rPr>
        <w:t>PASC agreed that the appropriate reference standard for both PICO set 1 and PICO set 2 is colonoscopy.</w:t>
      </w:r>
    </w:p>
    <w:p w14:paraId="3A15A566" w14:textId="15FF204E" w:rsidR="007B563D" w:rsidRPr="00002625" w:rsidRDefault="007B563D" w:rsidP="007B563D">
      <w:pPr>
        <w:pStyle w:val="Heading3"/>
      </w:pPr>
      <w:r w:rsidRPr="00002625">
        <w:t xml:space="preserve">Outcomes </w:t>
      </w:r>
    </w:p>
    <w:p w14:paraId="0E8402AF" w14:textId="562B3AF5" w:rsidR="00B73D7F" w:rsidRPr="00002625" w:rsidRDefault="00B73D7F" w:rsidP="0026227A">
      <w:r w:rsidRPr="00002625">
        <w:t>The proposed outcomes are summarised in the list below:</w:t>
      </w:r>
    </w:p>
    <w:p w14:paraId="09145C19" w14:textId="65965420" w:rsidR="009C1548" w:rsidRPr="00002625" w:rsidRDefault="00EF71CA" w:rsidP="000E7039">
      <w:r w:rsidRPr="00002625">
        <w:t>Efficacy</w:t>
      </w:r>
      <w:r w:rsidR="00F8734B" w:rsidRPr="00002625">
        <w:t>/effectiveness</w:t>
      </w:r>
      <w:r w:rsidRPr="00002625">
        <w:t xml:space="preserve"> </w:t>
      </w:r>
    </w:p>
    <w:p w14:paraId="5C2FAD6A" w14:textId="79F1D556" w:rsidR="00CC5FED" w:rsidRPr="00002625" w:rsidRDefault="00CC5FED" w:rsidP="000773E1">
      <w:pPr>
        <w:pStyle w:val="ListParagraph"/>
        <w:numPr>
          <w:ilvl w:val="0"/>
          <w:numId w:val="12"/>
        </w:numPr>
      </w:pPr>
      <w:r w:rsidRPr="00002625">
        <w:t>Polyp detection rates, for adenomas, total serrated polyps, SSA/Ps and TSAs (where available)</w:t>
      </w:r>
    </w:p>
    <w:p w14:paraId="2C1CA41C" w14:textId="77777777" w:rsidR="00CC5FED" w:rsidRPr="00002625" w:rsidRDefault="00CC5FED" w:rsidP="000773E1">
      <w:pPr>
        <w:pStyle w:val="ListParagraph"/>
        <w:numPr>
          <w:ilvl w:val="0"/>
          <w:numId w:val="12"/>
        </w:numPr>
      </w:pPr>
      <w:r w:rsidRPr="00002625">
        <w:t>Diagnostic performance (accuracy, sensitivity, specificity)</w:t>
      </w:r>
    </w:p>
    <w:p w14:paraId="61D08F86" w14:textId="7071BA5B" w:rsidR="00CC5FED" w:rsidRPr="00002625" w:rsidRDefault="00CC5FED" w:rsidP="000773E1">
      <w:pPr>
        <w:pStyle w:val="ListParagraph"/>
        <w:numPr>
          <w:ilvl w:val="0"/>
          <w:numId w:val="12"/>
        </w:numPr>
      </w:pPr>
      <w:r w:rsidRPr="00002625">
        <w:t>Subsequent cancer incidence (</w:t>
      </w:r>
      <w:r w:rsidR="00D90FBC" w:rsidRPr="00002625">
        <w:t>referred to as</w:t>
      </w:r>
      <w:r w:rsidRPr="00002625">
        <w:t xml:space="preserve"> post-colonoscopy CRC</w:t>
      </w:r>
      <w:r w:rsidR="00D90FBC" w:rsidRPr="00002625">
        <w:t xml:space="preserve"> for the comparator</w:t>
      </w:r>
      <w:r w:rsidRPr="00002625">
        <w:t xml:space="preserve">) </w:t>
      </w:r>
    </w:p>
    <w:p w14:paraId="68CD7910" w14:textId="70D94B2B" w:rsidR="007A634B" w:rsidRPr="00002625" w:rsidRDefault="007A634B" w:rsidP="000773E1">
      <w:pPr>
        <w:pStyle w:val="ListParagraph"/>
        <w:numPr>
          <w:ilvl w:val="0"/>
          <w:numId w:val="12"/>
        </w:numPr>
      </w:pPr>
      <w:r w:rsidRPr="00002625">
        <w:t>Health-related quality of life (HRQOL)</w:t>
      </w:r>
    </w:p>
    <w:p w14:paraId="74CDBD76" w14:textId="6307CAAC" w:rsidR="009C1548" w:rsidRPr="00002625" w:rsidRDefault="00CC5FED" w:rsidP="000773E1">
      <w:pPr>
        <w:pStyle w:val="ListParagraph"/>
        <w:numPr>
          <w:ilvl w:val="0"/>
          <w:numId w:val="12"/>
        </w:numPr>
      </w:pPr>
      <w:r>
        <w:t>Incomplete colon</w:t>
      </w:r>
      <w:r w:rsidR="004F473E">
        <w:t>ic examination</w:t>
      </w:r>
      <w:r w:rsidR="002155EB">
        <w:t xml:space="preserve">/failed procedure </w:t>
      </w:r>
    </w:p>
    <w:p w14:paraId="03C8C613" w14:textId="3D3CA978" w:rsidR="00E85DA6" w:rsidRPr="00002625" w:rsidRDefault="00E85DA6" w:rsidP="000773E1">
      <w:pPr>
        <w:pStyle w:val="ListParagraph"/>
        <w:numPr>
          <w:ilvl w:val="0"/>
          <w:numId w:val="12"/>
        </w:numPr>
      </w:pPr>
      <w:r w:rsidRPr="00002625">
        <w:t>Time from first presentation to diagnostic assessment</w:t>
      </w:r>
    </w:p>
    <w:p w14:paraId="23F59BF9" w14:textId="77777777" w:rsidR="00CC5FED" w:rsidRPr="00002625" w:rsidRDefault="00CC5FED" w:rsidP="00D35B85">
      <w:pPr>
        <w:keepNext/>
      </w:pPr>
      <w:r w:rsidRPr="00002625">
        <w:t>Safety</w:t>
      </w:r>
    </w:p>
    <w:p w14:paraId="4304F9B7" w14:textId="66F92DE3" w:rsidR="00CC5FED" w:rsidRPr="00002625" w:rsidRDefault="00CC5FED" w:rsidP="000773E1">
      <w:pPr>
        <w:pStyle w:val="ListParagraph"/>
        <w:numPr>
          <w:ilvl w:val="0"/>
          <w:numId w:val="13"/>
        </w:numPr>
      </w:pPr>
      <w:r w:rsidRPr="00002625">
        <w:t>Bowel perforation</w:t>
      </w:r>
      <w:r w:rsidR="00E71A29" w:rsidRPr="00002625">
        <w:t xml:space="preserve"> </w:t>
      </w:r>
    </w:p>
    <w:p w14:paraId="30ECB9BF" w14:textId="00624F96" w:rsidR="00CC5FED" w:rsidRPr="00002625" w:rsidRDefault="00CC5FED" w:rsidP="000773E1">
      <w:pPr>
        <w:pStyle w:val="ListParagraph"/>
        <w:numPr>
          <w:ilvl w:val="0"/>
          <w:numId w:val="13"/>
        </w:numPr>
      </w:pPr>
      <w:r w:rsidRPr="00002625">
        <w:t>Bleeding post-colonoscopy</w:t>
      </w:r>
      <w:r w:rsidR="00E71A29" w:rsidRPr="00002625">
        <w:t xml:space="preserve"> </w:t>
      </w:r>
    </w:p>
    <w:p w14:paraId="049EAD2E" w14:textId="5693D31B" w:rsidR="00CC5FED" w:rsidRPr="00002625" w:rsidRDefault="00CC5FED" w:rsidP="000773E1">
      <w:pPr>
        <w:pStyle w:val="ListParagraph"/>
        <w:numPr>
          <w:ilvl w:val="0"/>
          <w:numId w:val="13"/>
        </w:numPr>
      </w:pPr>
      <w:r w:rsidRPr="00002625">
        <w:t xml:space="preserve">Radiation-related events </w:t>
      </w:r>
    </w:p>
    <w:p w14:paraId="206D63A5" w14:textId="3B3C521B" w:rsidR="00CC5FED" w:rsidRPr="00002625" w:rsidRDefault="00CC5FED" w:rsidP="000773E1">
      <w:pPr>
        <w:pStyle w:val="ListParagraph"/>
        <w:numPr>
          <w:ilvl w:val="0"/>
          <w:numId w:val="13"/>
        </w:numPr>
      </w:pPr>
      <w:r w:rsidRPr="00002625">
        <w:t>Allergic reactions to contrast media</w:t>
      </w:r>
      <w:r w:rsidR="00667A9A" w:rsidRPr="00002625">
        <w:t xml:space="preserve"> </w:t>
      </w:r>
    </w:p>
    <w:p w14:paraId="3E00DB71" w14:textId="77777777" w:rsidR="00134FCB" w:rsidRDefault="00134FCB">
      <w:pPr>
        <w:spacing w:after="160" w:line="259" w:lineRule="auto"/>
      </w:pPr>
      <w:r>
        <w:br w:type="page"/>
      </w:r>
    </w:p>
    <w:p w14:paraId="03A50E45" w14:textId="61561217" w:rsidR="00CC5FED" w:rsidRPr="00002625" w:rsidRDefault="00CC5FED" w:rsidP="00CC5FED">
      <w:r w:rsidRPr="00002625">
        <w:lastRenderedPageBreak/>
        <w:t>Healthcare resource use</w:t>
      </w:r>
    </w:p>
    <w:p w14:paraId="1611759C" w14:textId="7A3F4407" w:rsidR="002E139A" w:rsidRPr="00002625" w:rsidRDefault="002E139A" w:rsidP="000773E1">
      <w:pPr>
        <w:pStyle w:val="ListParagraph"/>
        <w:numPr>
          <w:ilvl w:val="0"/>
          <w:numId w:val="7"/>
        </w:numPr>
      </w:pPr>
      <w:r w:rsidRPr="00002625">
        <w:t xml:space="preserve">Extracolonic findings </w:t>
      </w:r>
      <w:r w:rsidR="00D37B9C" w:rsidRPr="00002625">
        <w:t>(as a measure of onward costs)</w:t>
      </w:r>
    </w:p>
    <w:p w14:paraId="6E211FA4" w14:textId="738CFE4E" w:rsidR="00CC5FED" w:rsidRPr="00002625" w:rsidRDefault="002E139A" w:rsidP="000773E1">
      <w:pPr>
        <w:pStyle w:val="ListParagraph"/>
        <w:numPr>
          <w:ilvl w:val="0"/>
          <w:numId w:val="7"/>
        </w:numPr>
      </w:pPr>
      <w:r w:rsidRPr="00002625">
        <w:t>Onward referrals (colonoscopy/biopsy/polypectomy incidence or rate)</w:t>
      </w:r>
    </w:p>
    <w:p w14:paraId="121D444E" w14:textId="759E3070" w:rsidR="00E91EAB" w:rsidRPr="00002625" w:rsidRDefault="00E91EAB" w:rsidP="00E91EAB">
      <w:r w:rsidRPr="00002625">
        <w:t xml:space="preserve">Outcomes proposed are the same for each PICO </w:t>
      </w:r>
      <w:r w:rsidR="00A4523B" w:rsidRPr="00002625">
        <w:t>s</w:t>
      </w:r>
      <w:r w:rsidRPr="00002625">
        <w:t>ets. These have been based on outcomes use</w:t>
      </w:r>
      <w:r w:rsidR="00C24DA0" w:rsidRPr="00002625">
        <w:t>d</w:t>
      </w:r>
      <w:r w:rsidRPr="00002625">
        <w:t xml:space="preserve"> in the previous MSAC application 1269 and those in one of the key studies found in the preliminary literature search (Halligan et al. 2015) which was undertaken to support health technology assessment of diagnostic interventions for NICE, and two relatively recent health technology assessments of CTC versus colonoscopy for the Netherlands (van der Meulen et al. 2018) and Canada (Svystun et al. 2022).</w:t>
      </w:r>
    </w:p>
    <w:p w14:paraId="56E4537F" w14:textId="77609D60" w:rsidR="008258C4" w:rsidRDefault="00692AD9" w:rsidP="00FB3E07">
      <w:r w:rsidRPr="00002625">
        <w:t xml:space="preserve">The applicant </w:t>
      </w:r>
      <w:r w:rsidR="00E16350">
        <w:t>stated</w:t>
      </w:r>
      <w:r w:rsidRPr="00002625">
        <w:t xml:space="preserve"> that current issues with colonoscopy include extended wait lists with virtually every state and territory having substantial waiting lists</w:t>
      </w:r>
      <w:r w:rsidR="003A686B">
        <w:t xml:space="preserve"> of over 100 days.</w:t>
      </w:r>
      <w:r w:rsidR="00E952D2">
        <w:rPr>
          <w:rStyle w:val="FootnoteReference"/>
        </w:rPr>
        <w:footnoteReference w:id="7"/>
      </w:r>
      <w:r w:rsidR="00E952D2" w:rsidRPr="008258C4">
        <w:t xml:space="preserve"> </w:t>
      </w:r>
      <w:r w:rsidR="00E952D2">
        <w:t>.</w:t>
      </w:r>
      <w:r w:rsidRPr="00002625">
        <w:t xml:space="preserve"> </w:t>
      </w:r>
    </w:p>
    <w:p w14:paraId="2343A00E" w14:textId="1A6CAEE2" w:rsidR="001626BE" w:rsidRPr="00002625" w:rsidRDefault="008E4F6F" w:rsidP="00FB3E07">
      <w:r w:rsidRPr="00002625">
        <w:t xml:space="preserve">The applicant </w:t>
      </w:r>
      <w:r w:rsidR="002C0060">
        <w:t>proposed</w:t>
      </w:r>
      <w:r w:rsidR="002C0060" w:rsidRPr="00002625">
        <w:t xml:space="preserve"> </w:t>
      </w:r>
      <w:r w:rsidRPr="00002625">
        <w:t xml:space="preserve">that CTC services have </w:t>
      </w:r>
      <w:r w:rsidR="00F81025" w:rsidRPr="00002625">
        <w:t>almost no</w:t>
      </w:r>
      <w:r w:rsidRPr="00002625">
        <w:t xml:space="preserve"> wait list and that CTC has the potential to reduce over-subscribed colonoscopy services.</w:t>
      </w:r>
      <w:r w:rsidR="00692AD9" w:rsidRPr="00002625">
        <w:t xml:space="preserve"> </w:t>
      </w:r>
    </w:p>
    <w:p w14:paraId="2C836DD9" w14:textId="3A026A9B" w:rsidR="0061684F" w:rsidRPr="00002625" w:rsidRDefault="00D41696" w:rsidP="00FB3E07">
      <w:r w:rsidRPr="00002625">
        <w:t>A preliminary survey of the peer-reviewed literature suggested that few studies presented wait times separated by intervention</w:t>
      </w:r>
      <w:r w:rsidR="008762C5" w:rsidRPr="00002625">
        <w:t xml:space="preserve"> – thus no comparative data were available</w:t>
      </w:r>
      <w:r w:rsidR="00D200EA" w:rsidRPr="00002625">
        <w:t>. A registry study presented by the applicant (</w:t>
      </w:r>
      <w:r w:rsidR="00D200EA" w:rsidRPr="00002625">
        <w:rPr>
          <w:szCs w:val="20"/>
        </w:rPr>
        <w:t xml:space="preserve">Delisle </w:t>
      </w:r>
      <w:r w:rsidR="005C730C" w:rsidRPr="00002625">
        <w:rPr>
          <w:szCs w:val="20"/>
        </w:rPr>
        <w:t xml:space="preserve">et al. </w:t>
      </w:r>
      <w:r w:rsidR="00D200EA" w:rsidRPr="00002625">
        <w:rPr>
          <w:szCs w:val="20"/>
        </w:rPr>
        <w:t>2020) falls into</w:t>
      </w:r>
      <w:r w:rsidR="00F4521D" w:rsidRPr="00002625">
        <w:rPr>
          <w:szCs w:val="20"/>
        </w:rPr>
        <w:t xml:space="preserve"> this </w:t>
      </w:r>
      <w:r w:rsidR="00D200EA" w:rsidRPr="00002625">
        <w:rPr>
          <w:szCs w:val="20"/>
        </w:rPr>
        <w:t>category</w:t>
      </w:r>
      <w:r w:rsidR="0022133F" w:rsidRPr="00002625">
        <w:rPr>
          <w:szCs w:val="20"/>
        </w:rPr>
        <w:t>.</w:t>
      </w:r>
      <w:r w:rsidR="007946A7" w:rsidRPr="00002625">
        <w:rPr>
          <w:szCs w:val="20"/>
        </w:rPr>
        <w:t xml:space="preserve"> Delisle et al. (2020)</w:t>
      </w:r>
      <w:r w:rsidR="001E6E0D" w:rsidRPr="00002625">
        <w:rPr>
          <w:szCs w:val="20"/>
        </w:rPr>
        <w:t xml:space="preserve"> presented </w:t>
      </w:r>
      <w:r w:rsidR="00F4521D" w:rsidRPr="00002625">
        <w:rPr>
          <w:szCs w:val="20"/>
        </w:rPr>
        <w:t xml:space="preserve">data from the </w:t>
      </w:r>
      <w:r w:rsidR="005E3972" w:rsidRPr="00002625">
        <w:rPr>
          <w:szCs w:val="20"/>
        </w:rPr>
        <w:t>Manitoba Cancer Registry</w:t>
      </w:r>
      <w:r w:rsidR="005E3972" w:rsidRPr="00002625">
        <w:t xml:space="preserve"> </w:t>
      </w:r>
      <w:r w:rsidR="00401903" w:rsidRPr="00002625">
        <w:t>which include</w:t>
      </w:r>
      <w:r w:rsidR="007D4D59" w:rsidRPr="00002625">
        <w:t>d</w:t>
      </w:r>
      <w:r w:rsidR="00401DE1" w:rsidRPr="00002625">
        <w:t xml:space="preserve"> wait times prior to</w:t>
      </w:r>
      <w:r w:rsidR="00401903" w:rsidRPr="00002625">
        <w:t xml:space="preserve"> </w:t>
      </w:r>
      <w:r w:rsidR="003758DF" w:rsidRPr="00002625">
        <w:t xml:space="preserve">assessments that included </w:t>
      </w:r>
      <w:r w:rsidR="00401903" w:rsidRPr="00002625">
        <w:t xml:space="preserve">CTC and </w:t>
      </w:r>
      <w:r w:rsidR="00401DE1" w:rsidRPr="00002625">
        <w:t>colonoscopy,</w:t>
      </w:r>
      <w:r w:rsidR="00401903" w:rsidRPr="00002625">
        <w:t xml:space="preserve"> but it </w:t>
      </w:r>
      <w:r w:rsidR="00401DE1" w:rsidRPr="00002625">
        <w:t>wa</w:t>
      </w:r>
      <w:r w:rsidR="00401903" w:rsidRPr="00002625">
        <w:t xml:space="preserve">s not possible to distinguish </w:t>
      </w:r>
      <w:r w:rsidR="00401DE1" w:rsidRPr="00002625">
        <w:t xml:space="preserve">between these. </w:t>
      </w:r>
      <w:r w:rsidR="00A92022" w:rsidRPr="00002625">
        <w:t>Thus,</w:t>
      </w:r>
      <w:r w:rsidR="00E74897" w:rsidRPr="00002625">
        <w:t xml:space="preserve"> wait list times</w:t>
      </w:r>
      <w:r w:rsidR="005C4830" w:rsidRPr="00002625">
        <w:t xml:space="preserve"> are </w:t>
      </w:r>
      <w:r w:rsidR="001A2FC0" w:rsidRPr="00002625">
        <w:t>included</w:t>
      </w:r>
      <w:r w:rsidR="005C4830" w:rsidRPr="00002625">
        <w:t xml:space="preserve"> </w:t>
      </w:r>
      <w:r w:rsidR="00755900" w:rsidRPr="00002625">
        <w:t xml:space="preserve">in </w:t>
      </w:r>
      <w:r w:rsidR="005C4830" w:rsidRPr="00002625">
        <w:t xml:space="preserve">the </w:t>
      </w:r>
      <w:r w:rsidR="00755900" w:rsidRPr="00002625">
        <w:t xml:space="preserve">proposed </w:t>
      </w:r>
      <w:r w:rsidR="00E74897" w:rsidRPr="00002625">
        <w:t xml:space="preserve">outcomes for this PICO </w:t>
      </w:r>
      <w:r w:rsidR="00877B52" w:rsidRPr="00002625">
        <w:t>s</w:t>
      </w:r>
      <w:r w:rsidR="00E74897" w:rsidRPr="00002625">
        <w:t>et</w:t>
      </w:r>
      <w:r w:rsidR="005C4830" w:rsidRPr="00002625">
        <w:t xml:space="preserve"> </w:t>
      </w:r>
      <w:r w:rsidR="001A2FC0" w:rsidRPr="00002625">
        <w:t xml:space="preserve">but may not be </w:t>
      </w:r>
      <w:r w:rsidR="00755900" w:rsidRPr="00002625">
        <w:t>able to be assessed depending on availability of clinical evidence</w:t>
      </w:r>
      <w:r w:rsidR="00E74897" w:rsidRPr="00002625">
        <w:t xml:space="preserve">. </w:t>
      </w:r>
    </w:p>
    <w:p w14:paraId="1881B002" w14:textId="77777777" w:rsidR="000E54F9" w:rsidRPr="00002625" w:rsidRDefault="000E54F9" w:rsidP="000E54F9">
      <w:r w:rsidRPr="00002625">
        <w:t xml:space="preserve">Any information on onward referral rates (for colonoscopy or requirement for further investigations such as biopsy or polypectomy) will be valuable to inform measures for the evaluation such as colonoscopies avoided. Although this has been included in the proposed outcomes for this PICO set, like wait times, it is unlikely that comparable evidence will be available in the literature. </w:t>
      </w:r>
    </w:p>
    <w:p w14:paraId="5012F6DD" w14:textId="2EDB5FC7" w:rsidR="00060D29" w:rsidRPr="00002625" w:rsidRDefault="006A5FB8" w:rsidP="00FB3E07">
      <w:r w:rsidRPr="00002625">
        <w:t>E</w:t>
      </w:r>
      <w:r w:rsidR="00060D29" w:rsidRPr="00002625">
        <w:t xml:space="preserve">xtracolonic findings on CTC </w:t>
      </w:r>
      <w:r w:rsidRPr="00002625">
        <w:t xml:space="preserve">could be included </w:t>
      </w:r>
      <w:r w:rsidR="00060D29" w:rsidRPr="00002625">
        <w:t xml:space="preserve">as a resource use </w:t>
      </w:r>
      <w:r w:rsidR="00484B2E" w:rsidRPr="00002625">
        <w:t>outcome as these are reported in studies of CTC</w:t>
      </w:r>
      <w:r w:rsidR="0036517F" w:rsidRPr="00002625">
        <w:t>.</w:t>
      </w:r>
      <w:r w:rsidR="003D239B" w:rsidRPr="00002625">
        <w:t xml:space="preserve"> </w:t>
      </w:r>
      <w:r w:rsidR="002C0060">
        <w:t>It</w:t>
      </w:r>
      <w:r w:rsidR="002435AF" w:rsidRPr="00002625">
        <w:t xml:space="preserve"> was noted that extracolonic pathology outcomes were not considered for MSAC application 1269 as there was no </w:t>
      </w:r>
      <w:r w:rsidR="00D03695" w:rsidRPr="00002625">
        <w:t xml:space="preserve">available </w:t>
      </w:r>
      <w:r w:rsidR="002435AF" w:rsidRPr="00002625">
        <w:t>effectiveness data</w:t>
      </w:r>
      <w:r w:rsidR="00956429" w:rsidRPr="00002625">
        <w:t xml:space="preserve"> but that these findings were an outcome reported for the key study (Halligan et al. 2015) </w:t>
      </w:r>
      <w:r w:rsidR="003D6F0A" w:rsidRPr="00002625">
        <w:t>published since then</w:t>
      </w:r>
      <w:r w:rsidR="002435AF" w:rsidRPr="00002625">
        <w:t xml:space="preserve">. </w:t>
      </w:r>
    </w:p>
    <w:p w14:paraId="628A4E94" w14:textId="0FA71949" w:rsidR="00755900" w:rsidRPr="00002625" w:rsidRDefault="00755900" w:rsidP="00FB3E07">
      <w:r w:rsidRPr="00002625">
        <w:t>Any information on onward referral rates</w:t>
      </w:r>
      <w:r w:rsidR="00A80110" w:rsidRPr="00002625">
        <w:t xml:space="preserve"> (for colonoscopy or requirement for further investigations such as biopsy or polypectomy)</w:t>
      </w:r>
      <w:r w:rsidRPr="00002625">
        <w:t xml:space="preserve"> will be valuable to inform measures </w:t>
      </w:r>
      <w:r w:rsidR="00DF60D8" w:rsidRPr="00002625">
        <w:t xml:space="preserve">for the evaluation </w:t>
      </w:r>
      <w:r w:rsidR="00382C61" w:rsidRPr="00002625">
        <w:t>such as</w:t>
      </w:r>
      <w:r w:rsidR="00DF60D8" w:rsidRPr="00002625">
        <w:t xml:space="preserve"> </w:t>
      </w:r>
      <w:r w:rsidRPr="00002625">
        <w:t>colonoscopies avoided.</w:t>
      </w:r>
      <w:r w:rsidR="00DF60D8" w:rsidRPr="00002625">
        <w:t xml:space="preserve"> </w:t>
      </w:r>
      <w:r w:rsidR="00376EC4" w:rsidRPr="00002625">
        <w:t xml:space="preserve">Although this has been included in the proposed outcomes for this PICO </w:t>
      </w:r>
      <w:r w:rsidR="00FA276F" w:rsidRPr="00002625">
        <w:t>s</w:t>
      </w:r>
      <w:r w:rsidR="00376EC4" w:rsidRPr="00002625">
        <w:t>et</w:t>
      </w:r>
      <w:r w:rsidR="00DF60D8" w:rsidRPr="00002625">
        <w:t>, like wait times</w:t>
      </w:r>
      <w:r w:rsidR="00382C61" w:rsidRPr="00002625">
        <w:t>,</w:t>
      </w:r>
      <w:r w:rsidR="00DF60D8" w:rsidRPr="00002625">
        <w:t xml:space="preserve"> it is unlikely that comparable evidence will be </w:t>
      </w:r>
      <w:r w:rsidR="00202887" w:rsidRPr="00002625">
        <w:t xml:space="preserve">available in the literature. </w:t>
      </w:r>
    </w:p>
    <w:p w14:paraId="39DEB356" w14:textId="77777777" w:rsidR="00D35B85" w:rsidRPr="00002625" w:rsidRDefault="00D35B85" w:rsidP="00D35B85">
      <w:pPr>
        <w:autoSpaceDE w:val="0"/>
        <w:autoSpaceDN w:val="0"/>
        <w:adjustRightInd w:val="0"/>
        <w:spacing w:line="23" w:lineRule="atLeast"/>
        <w:rPr>
          <w:rFonts w:asciiTheme="minorHAnsi" w:hAnsiTheme="minorHAnsi" w:cstheme="minorHAnsi"/>
          <w:i/>
          <w:iCs/>
        </w:rPr>
      </w:pPr>
      <w:r w:rsidRPr="00002625">
        <w:rPr>
          <w:rFonts w:asciiTheme="minorHAnsi" w:hAnsiTheme="minorHAnsi" w:cstheme="minorHAnsi"/>
          <w:i/>
          <w:iCs/>
        </w:rPr>
        <w:t>PASC agreed with the proposed outcomes for this PICO set.</w:t>
      </w:r>
    </w:p>
    <w:p w14:paraId="5A7F3B75" w14:textId="30F623D2" w:rsidR="00F8022A" w:rsidRPr="00002625" w:rsidRDefault="00D35B85" w:rsidP="00FB3E07">
      <w:r w:rsidRPr="00002625">
        <w:rPr>
          <w:rFonts w:cs="Calibri"/>
          <w:i/>
          <w:iCs/>
        </w:rPr>
        <w:lastRenderedPageBreak/>
        <w:t>PASC noted advice from the applicant’s clinical expert that CTC offered diagnostic outcomes for lesions extending beyond the lumen of the gastrointestinal tract, which offers an additional benefit in diagnosing patients with unexplained symptoms.</w:t>
      </w:r>
      <w:r w:rsidR="00FE77F0">
        <w:rPr>
          <w:rFonts w:cs="Calibri"/>
          <w:i/>
          <w:iCs/>
        </w:rPr>
        <w:t xml:space="preserve"> However, additional findings may also be incidental and</w:t>
      </w:r>
      <w:r w:rsidR="004353B9">
        <w:rPr>
          <w:rFonts w:cs="Calibri"/>
          <w:i/>
          <w:iCs/>
        </w:rPr>
        <w:t xml:space="preserve"> </w:t>
      </w:r>
      <w:r w:rsidR="002C0060">
        <w:rPr>
          <w:rFonts w:cs="Calibri"/>
          <w:i/>
          <w:iCs/>
        </w:rPr>
        <w:t xml:space="preserve">clinically insignificant </w:t>
      </w:r>
      <w:r w:rsidR="00FE77F0">
        <w:rPr>
          <w:rFonts w:cs="Calibri"/>
          <w:i/>
          <w:iCs/>
        </w:rPr>
        <w:t>and incur additional cost</w:t>
      </w:r>
      <w:r w:rsidR="00C91FC0">
        <w:rPr>
          <w:rFonts w:cs="Calibri"/>
          <w:i/>
          <w:iCs/>
        </w:rPr>
        <w:t>s</w:t>
      </w:r>
      <w:r w:rsidR="00FE77F0">
        <w:rPr>
          <w:rFonts w:cs="Calibri"/>
          <w:i/>
          <w:iCs/>
        </w:rPr>
        <w:t xml:space="preserve"> when further investigations are undertaken.</w:t>
      </w:r>
    </w:p>
    <w:p w14:paraId="2CC6159E" w14:textId="62F8AACF" w:rsidR="000B7556" w:rsidRPr="00002625" w:rsidRDefault="000B7556" w:rsidP="000B7556">
      <w:pPr>
        <w:pStyle w:val="Heading2"/>
      </w:pPr>
      <w:bookmarkStart w:id="26" w:name="_Ref180569206"/>
      <w:r w:rsidRPr="00002625">
        <w:t xml:space="preserve">PICO criteria: PICO </w:t>
      </w:r>
      <w:r w:rsidR="001F0919" w:rsidRPr="00002625">
        <w:t>s</w:t>
      </w:r>
      <w:r w:rsidRPr="00002625">
        <w:t xml:space="preserve">et </w:t>
      </w:r>
      <w:r w:rsidR="00710444" w:rsidRPr="00002625">
        <w:t>2</w:t>
      </w:r>
      <w:r w:rsidRPr="00002625">
        <w:t xml:space="preserve"> –</w:t>
      </w:r>
      <w:r w:rsidR="000E6C00" w:rsidRPr="00002625">
        <w:t xml:space="preserve"> </w:t>
      </w:r>
      <w:r w:rsidR="00F641E1" w:rsidRPr="00002625">
        <w:t>surveillance</w:t>
      </w:r>
      <w:bookmarkEnd w:id="26"/>
    </w:p>
    <w:p w14:paraId="3AEEDC09" w14:textId="5E2CCCFE" w:rsidR="00D9273B" w:rsidRPr="00002625" w:rsidRDefault="00D9273B" w:rsidP="00D9273B">
      <w:pPr>
        <w:pStyle w:val="Heading3"/>
      </w:pPr>
      <w:r w:rsidRPr="00002625">
        <w:t>Population</w:t>
      </w:r>
      <w:r w:rsidR="000E6C00" w:rsidRPr="00002625">
        <w:t xml:space="preserve"> </w:t>
      </w:r>
    </w:p>
    <w:p w14:paraId="0649ABFF" w14:textId="761607BE" w:rsidR="00AA4A6B" w:rsidRPr="00002625" w:rsidRDefault="00665A1B" w:rsidP="00CD6F5D">
      <w:r w:rsidRPr="00002625">
        <w:t xml:space="preserve">The applicant has requested </w:t>
      </w:r>
      <w:r w:rsidR="007B0A71" w:rsidRPr="00002625">
        <w:t xml:space="preserve">CTC </w:t>
      </w:r>
      <w:r w:rsidR="008C103E" w:rsidRPr="00002625">
        <w:t xml:space="preserve">as an alternative tool for surveillance and monitoring in patients </w:t>
      </w:r>
      <w:r w:rsidR="002D1E1A" w:rsidRPr="00002625">
        <w:t>as follows:</w:t>
      </w:r>
    </w:p>
    <w:p w14:paraId="76459BA4" w14:textId="0067E19F" w:rsidR="00AA4A6B" w:rsidRPr="00002625" w:rsidRDefault="008C103E" w:rsidP="000773E1">
      <w:pPr>
        <w:pStyle w:val="ListParagraph"/>
        <w:numPr>
          <w:ilvl w:val="0"/>
          <w:numId w:val="16"/>
        </w:numPr>
        <w:ind w:left="720"/>
      </w:pPr>
      <w:r w:rsidRPr="00002625">
        <w:t xml:space="preserve">6-9mm polyp(s) who have not opted for a polypectomy and require surveillance in three years to monitor changes within the polyp(s), </w:t>
      </w:r>
    </w:p>
    <w:p w14:paraId="38FCB4D3" w14:textId="40B9F409" w:rsidR="00AA4A6B" w:rsidRPr="00002625" w:rsidRDefault="008C103E" w:rsidP="000773E1">
      <w:pPr>
        <w:pStyle w:val="ListParagraph"/>
        <w:numPr>
          <w:ilvl w:val="0"/>
          <w:numId w:val="16"/>
        </w:numPr>
        <w:ind w:left="720"/>
      </w:pPr>
      <w:r w:rsidRPr="00002625">
        <w:t xml:space="preserve">patients with ≥6mm polyp(s) who have returned a benign biopsy result, and </w:t>
      </w:r>
    </w:p>
    <w:p w14:paraId="2AF5400A" w14:textId="2043E078" w:rsidR="00D00901" w:rsidRPr="00002625" w:rsidRDefault="008C103E" w:rsidP="129F01C4">
      <w:r w:rsidRPr="00002625">
        <w:t>(iii)</w:t>
      </w:r>
      <w:r w:rsidRPr="00002625">
        <w:tab/>
        <w:t>patients with previous history of CRC diagnosis.</w:t>
      </w:r>
    </w:p>
    <w:p w14:paraId="65963D90" w14:textId="0113B27F" w:rsidR="003E0D5C" w:rsidRPr="00002625" w:rsidRDefault="003E0D5C" w:rsidP="000E1780">
      <w:pPr>
        <w:pStyle w:val="Heading4"/>
      </w:pPr>
      <w:r w:rsidRPr="00002625">
        <w:t>Current management</w:t>
      </w:r>
    </w:p>
    <w:p w14:paraId="76EBEDCF" w14:textId="62B7A258" w:rsidR="00EA4B11" w:rsidRPr="00002625" w:rsidRDefault="002F715E" w:rsidP="006E3955">
      <w:r w:rsidRPr="00002625">
        <w:t xml:space="preserve">Patients who have had a previous adenomatous polyp or polyp with advanced histology require regular colonic surveillance (Cancer Council 2022) (subject to surveillance recommendations described below in </w:t>
      </w:r>
      <w:r w:rsidR="00B21911" w:rsidRPr="00002625">
        <w:fldChar w:fldCharType="begin"/>
      </w:r>
      <w:r w:rsidR="00B21911" w:rsidRPr="00002625">
        <w:instrText xml:space="preserve"> REF _Ref181288810 \h </w:instrText>
      </w:r>
      <w:r w:rsidR="00B21911" w:rsidRPr="00002625">
        <w:fldChar w:fldCharType="separate"/>
      </w:r>
      <w:r w:rsidR="00637321" w:rsidRPr="00002625">
        <w:t>Table </w:t>
      </w:r>
      <w:r w:rsidR="00637321" w:rsidRPr="00002625">
        <w:rPr>
          <w:noProof/>
        </w:rPr>
        <w:t>14</w:t>
      </w:r>
      <w:r w:rsidR="00B21911" w:rsidRPr="00002625">
        <w:fldChar w:fldCharType="end"/>
      </w:r>
      <w:r w:rsidRPr="00002625">
        <w:t xml:space="preserve">). </w:t>
      </w:r>
      <w:r w:rsidR="00973F82" w:rsidRPr="00002625">
        <w:t>Not all of the clinical situations described would be suitable for CTC</w:t>
      </w:r>
      <w:r w:rsidR="00E020F6" w:rsidRPr="00002625">
        <w:t xml:space="preserve"> – those patients with </w:t>
      </w:r>
      <w:r w:rsidR="00195C4D" w:rsidRPr="00002625">
        <w:t xml:space="preserve">a strong possibility of </w:t>
      </w:r>
      <w:r w:rsidR="00054098" w:rsidRPr="00002625">
        <w:t>lesions requiring</w:t>
      </w:r>
      <w:r w:rsidR="00631CA2" w:rsidRPr="00002625">
        <w:t xml:space="preserve"> removal</w:t>
      </w:r>
      <w:r w:rsidR="00054098" w:rsidRPr="00002625">
        <w:t xml:space="preserve"> (in the high and highest categories) would </w:t>
      </w:r>
      <w:r w:rsidR="006D19D5" w:rsidRPr="00002625">
        <w:t>require colonoscopy</w:t>
      </w:r>
      <w:r w:rsidR="00973F82" w:rsidRPr="00002625">
        <w:t xml:space="preserve">. </w:t>
      </w:r>
    </w:p>
    <w:p w14:paraId="132E987B" w14:textId="77777777" w:rsidR="00134FCB" w:rsidRDefault="00134FCB">
      <w:pPr>
        <w:spacing w:after="160" w:line="259" w:lineRule="auto"/>
        <w:rPr>
          <w:rFonts w:ascii="Arial Narrow" w:eastAsia="Times New Roman" w:hAnsi="Arial Narrow" w:cs="Tahoma"/>
          <w:b/>
          <w:sz w:val="20"/>
          <w:szCs w:val="20"/>
          <w:lang w:eastAsia="en-AU"/>
        </w:rPr>
      </w:pPr>
      <w:bookmarkStart w:id="27" w:name="_Ref181288810"/>
      <w:r>
        <w:br w:type="page"/>
      </w:r>
    </w:p>
    <w:p w14:paraId="737F308E" w14:textId="41EF44C9" w:rsidR="007A15DF" w:rsidRPr="00002625" w:rsidRDefault="007A15DF" w:rsidP="007A15DF">
      <w:pPr>
        <w:pStyle w:val="TableHeading"/>
        <w:rPr>
          <w:sz w:val="16"/>
          <w:szCs w:val="16"/>
        </w:rPr>
      </w:pPr>
      <w:r w:rsidRPr="00002625">
        <w:lastRenderedPageBreak/>
        <w:t>Table </w:t>
      </w:r>
      <w:r>
        <w:fldChar w:fldCharType="begin"/>
      </w:r>
      <w:r>
        <w:instrText>SEQ Table \* ARABIC</w:instrText>
      </w:r>
      <w:r>
        <w:fldChar w:fldCharType="separate"/>
      </w:r>
      <w:r w:rsidR="00637321" w:rsidRPr="00002625">
        <w:rPr>
          <w:noProof/>
        </w:rPr>
        <w:t>14</w:t>
      </w:r>
      <w:r>
        <w:fldChar w:fldCharType="end"/>
      </w:r>
      <w:bookmarkEnd w:id="27"/>
      <w:r w:rsidRPr="00002625">
        <w:tab/>
        <w:t>Recommended colonoscopy surveillance intervals (Cancer Council 2022)</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 Recommended colonoscopy surveillance intervals (Cancer Council 2022)"/>
        <w:tblDescription w:val="Table showing recommended colonoscopy surveillance intervals (Cancer Council 2022)"/>
      </w:tblPr>
      <w:tblGrid>
        <w:gridCol w:w="3246"/>
        <w:gridCol w:w="1215"/>
        <w:gridCol w:w="1126"/>
        <w:gridCol w:w="4189"/>
      </w:tblGrid>
      <w:tr w:rsidR="007A15DF" w:rsidRPr="00002625" w14:paraId="621CF19C" w14:textId="77777777">
        <w:trPr>
          <w:tblHeader/>
        </w:trPr>
        <w:tc>
          <w:tcPr>
            <w:tcW w:w="1673" w:type="pct"/>
          </w:tcPr>
          <w:p w14:paraId="7176A6C7" w14:textId="77777777" w:rsidR="007A15DF" w:rsidRPr="00002625" w:rsidRDefault="007A15DF">
            <w:pPr>
              <w:pStyle w:val="TableText0"/>
              <w:keepNext/>
              <w:ind w:left="-57" w:right="-57"/>
              <w:rPr>
                <w:b/>
              </w:rPr>
            </w:pPr>
            <w:r w:rsidRPr="00002625">
              <w:rPr>
                <w:b/>
              </w:rPr>
              <w:t>Findings on 1</w:t>
            </w:r>
            <w:r w:rsidRPr="00002625">
              <w:rPr>
                <w:b/>
                <w:vertAlign w:val="superscript"/>
              </w:rPr>
              <w:t>st</w:t>
            </w:r>
            <w:r w:rsidRPr="00002625">
              <w:rPr>
                <w:b/>
              </w:rPr>
              <w:t xml:space="preserve"> colonoscopy</w:t>
            </w:r>
          </w:p>
        </w:tc>
        <w:tc>
          <w:tcPr>
            <w:tcW w:w="634" w:type="pct"/>
          </w:tcPr>
          <w:p w14:paraId="6FE90F69" w14:textId="77777777" w:rsidR="007A15DF" w:rsidRPr="00002625" w:rsidRDefault="007A15DF">
            <w:pPr>
              <w:pStyle w:val="TableText0"/>
              <w:keepNext/>
              <w:ind w:left="-57" w:right="-57"/>
              <w:rPr>
                <w:b/>
              </w:rPr>
            </w:pPr>
            <w:r w:rsidRPr="00002625">
              <w:rPr>
                <w:b/>
              </w:rPr>
              <w:t>Surveillance risk category</w:t>
            </w:r>
          </w:p>
        </w:tc>
        <w:tc>
          <w:tcPr>
            <w:tcW w:w="538" w:type="pct"/>
          </w:tcPr>
          <w:p w14:paraId="5B01175E" w14:textId="77777777" w:rsidR="007A15DF" w:rsidRPr="00002625" w:rsidRDefault="007A15DF">
            <w:pPr>
              <w:pStyle w:val="TableText0"/>
              <w:keepNext/>
              <w:ind w:left="-57" w:right="-57"/>
              <w:rPr>
                <w:b/>
              </w:rPr>
            </w:pPr>
            <w:r w:rsidRPr="00002625">
              <w:rPr>
                <w:b/>
              </w:rPr>
              <w:t>Surveillance interval (y)</w:t>
            </w:r>
          </w:p>
        </w:tc>
        <w:tc>
          <w:tcPr>
            <w:tcW w:w="2155" w:type="pct"/>
          </w:tcPr>
          <w:p w14:paraId="53EA6476" w14:textId="335E7BDD" w:rsidR="007A15DF" w:rsidRPr="00002625" w:rsidRDefault="00014B18">
            <w:pPr>
              <w:pStyle w:val="TableText0"/>
              <w:keepNext/>
              <w:rPr>
                <w:b/>
              </w:rPr>
            </w:pPr>
            <w:r w:rsidRPr="00002625">
              <w:rPr>
                <w:b/>
              </w:rPr>
              <w:t>Recommended s</w:t>
            </w:r>
            <w:r w:rsidR="007A15DF" w:rsidRPr="00002625">
              <w:rPr>
                <w:b/>
              </w:rPr>
              <w:t xml:space="preserve">urveillance colonoscopy interval </w:t>
            </w:r>
            <w:r w:rsidR="00744091" w:rsidRPr="00002625">
              <w:rPr>
                <w:b/>
              </w:rPr>
              <w:t xml:space="preserve">based </w:t>
            </w:r>
            <w:r w:rsidR="000E3502" w:rsidRPr="00002625">
              <w:rPr>
                <w:b/>
              </w:rPr>
              <w:t>on the below</w:t>
            </w:r>
            <w:r w:rsidR="0009194F" w:rsidRPr="00002625">
              <w:rPr>
                <w:b/>
              </w:rPr>
              <w:t xml:space="preserve"> findings </w:t>
            </w:r>
            <w:r w:rsidR="008919E4" w:rsidRPr="00002625">
              <w:rPr>
                <w:b/>
              </w:rPr>
              <w:t xml:space="preserve">on </w:t>
            </w:r>
            <w:r w:rsidR="00DA1E0A" w:rsidRPr="00002625">
              <w:rPr>
                <w:b/>
              </w:rPr>
              <w:t>2</w:t>
            </w:r>
            <w:r w:rsidR="00DA1E0A" w:rsidRPr="00002625">
              <w:rPr>
                <w:b/>
                <w:vertAlign w:val="superscript"/>
              </w:rPr>
              <w:t>nd</w:t>
            </w:r>
            <w:r w:rsidR="00973D77" w:rsidRPr="00002625">
              <w:rPr>
                <w:b/>
              </w:rPr>
              <w:t xml:space="preserve"> </w:t>
            </w:r>
            <w:r w:rsidR="007A15DF" w:rsidRPr="00002625">
              <w:rPr>
                <w:b/>
              </w:rPr>
              <w:t>colonoscopy</w:t>
            </w:r>
            <w:r w:rsidR="00973D77" w:rsidRPr="00002625">
              <w:rPr>
                <w:b/>
              </w:rPr>
              <w:t xml:space="preserve"> </w:t>
            </w:r>
          </w:p>
        </w:tc>
      </w:tr>
      <w:tr w:rsidR="007A15DF" w:rsidRPr="00002625" w14:paraId="3D9E1117" w14:textId="77777777">
        <w:tc>
          <w:tcPr>
            <w:tcW w:w="1673" w:type="pct"/>
          </w:tcPr>
          <w:p w14:paraId="0B6DD959" w14:textId="77777777" w:rsidR="007A15DF" w:rsidRPr="00002625" w:rsidRDefault="007A15DF">
            <w:pPr>
              <w:pStyle w:val="TableText0"/>
              <w:ind w:left="-57" w:right="-57"/>
            </w:pPr>
            <w:r w:rsidRPr="00002625">
              <w:t>1-2 adenomas; no risk factors</w:t>
            </w:r>
            <w:r w:rsidRPr="00002625">
              <w:rPr>
                <w:vertAlign w:val="superscript"/>
              </w:rPr>
              <w:t>a</w:t>
            </w:r>
          </w:p>
        </w:tc>
        <w:tc>
          <w:tcPr>
            <w:tcW w:w="634" w:type="pct"/>
          </w:tcPr>
          <w:p w14:paraId="1037DF7C" w14:textId="77777777" w:rsidR="007A15DF" w:rsidRPr="00002625" w:rsidRDefault="007A15DF">
            <w:pPr>
              <w:pStyle w:val="TableText0"/>
              <w:ind w:left="-57" w:right="-57"/>
              <w:jc w:val="center"/>
            </w:pPr>
            <w:r w:rsidRPr="00002625">
              <w:t>Low</w:t>
            </w:r>
          </w:p>
        </w:tc>
        <w:tc>
          <w:tcPr>
            <w:tcW w:w="538" w:type="pct"/>
          </w:tcPr>
          <w:p w14:paraId="4A855BB5" w14:textId="77777777" w:rsidR="007A15DF" w:rsidRPr="00002625" w:rsidRDefault="007A15DF">
            <w:pPr>
              <w:pStyle w:val="TableText0"/>
              <w:ind w:left="-57" w:right="-57"/>
              <w:jc w:val="center"/>
            </w:pPr>
            <w:r w:rsidRPr="00002625">
              <w:t xml:space="preserve">10 </w:t>
            </w:r>
          </w:p>
        </w:tc>
        <w:tc>
          <w:tcPr>
            <w:tcW w:w="2155" w:type="pct"/>
          </w:tcPr>
          <w:p w14:paraId="791C096A" w14:textId="59F2AAFD" w:rsidR="007A15DF" w:rsidRPr="00002625" w:rsidRDefault="007A15DF">
            <w:pPr>
              <w:pStyle w:val="TableText0"/>
            </w:pPr>
            <w:r w:rsidRPr="00002625">
              <w:t>Clear: Return to FOBT screening population</w:t>
            </w:r>
          </w:p>
          <w:p w14:paraId="43A21F78" w14:textId="77777777" w:rsidR="007A15DF" w:rsidRPr="00002625" w:rsidRDefault="007A15DF">
            <w:pPr>
              <w:pStyle w:val="TableText0"/>
            </w:pPr>
            <w:r w:rsidRPr="00002625">
              <w:t>Otherwise, risk category as for 1</w:t>
            </w:r>
            <w:r w:rsidRPr="00002625">
              <w:rPr>
                <w:vertAlign w:val="superscript"/>
              </w:rPr>
              <w:t>st</w:t>
            </w:r>
            <w:r w:rsidRPr="00002625">
              <w:t xml:space="preserve"> colonoscopy</w:t>
            </w:r>
          </w:p>
        </w:tc>
      </w:tr>
      <w:tr w:rsidR="007A15DF" w:rsidRPr="00002625" w14:paraId="7A93146A" w14:textId="77777777">
        <w:tc>
          <w:tcPr>
            <w:tcW w:w="1673" w:type="pct"/>
          </w:tcPr>
          <w:p w14:paraId="740278AB" w14:textId="77777777" w:rsidR="007A15DF" w:rsidRPr="00002625" w:rsidRDefault="007A15DF">
            <w:pPr>
              <w:pStyle w:val="TableText0"/>
              <w:keepNext/>
              <w:ind w:left="-57" w:right="-57"/>
            </w:pPr>
            <w:r w:rsidRPr="00002625">
              <w:t>1-2 adenomas; plus risk factors</w:t>
            </w:r>
          </w:p>
        </w:tc>
        <w:tc>
          <w:tcPr>
            <w:tcW w:w="634" w:type="pct"/>
          </w:tcPr>
          <w:p w14:paraId="1DDC25BE" w14:textId="77777777" w:rsidR="007A15DF" w:rsidRPr="00002625" w:rsidRDefault="007A15DF">
            <w:pPr>
              <w:pStyle w:val="TableText0"/>
              <w:keepNext/>
              <w:ind w:left="-57" w:right="-57"/>
              <w:jc w:val="center"/>
            </w:pPr>
            <w:r w:rsidRPr="00002625">
              <w:t>Intermediate</w:t>
            </w:r>
          </w:p>
        </w:tc>
        <w:tc>
          <w:tcPr>
            <w:tcW w:w="538" w:type="pct"/>
          </w:tcPr>
          <w:p w14:paraId="21A0B9F9" w14:textId="77777777" w:rsidR="007A15DF" w:rsidRPr="00002625" w:rsidRDefault="007A15DF">
            <w:pPr>
              <w:pStyle w:val="TableText0"/>
              <w:keepNext/>
              <w:ind w:left="-57" w:right="-57"/>
              <w:jc w:val="center"/>
            </w:pPr>
            <w:r w:rsidRPr="00002625">
              <w:t xml:space="preserve">5 </w:t>
            </w:r>
          </w:p>
        </w:tc>
        <w:tc>
          <w:tcPr>
            <w:tcW w:w="2155" w:type="pct"/>
          </w:tcPr>
          <w:p w14:paraId="2E0B5808" w14:textId="3C3918F1" w:rsidR="007A15DF" w:rsidRPr="00002625" w:rsidRDefault="007A15DF">
            <w:pPr>
              <w:pStyle w:val="TableText0"/>
              <w:keepNext/>
            </w:pPr>
            <w:r w:rsidRPr="00002625">
              <w:t>Clear: Colonoscopy at 10 y</w:t>
            </w:r>
          </w:p>
          <w:p w14:paraId="043CE4D4" w14:textId="09EE368F" w:rsidR="007A15DF" w:rsidRPr="00002625" w:rsidRDefault="007A15DF">
            <w:pPr>
              <w:pStyle w:val="TableText0"/>
              <w:keepNext/>
            </w:pPr>
            <w:r w:rsidRPr="00002625">
              <w:t>1-2 adenomas (± risk factors): colonoscopy at 5 y</w:t>
            </w:r>
          </w:p>
          <w:p w14:paraId="2F235C27" w14:textId="77777777" w:rsidR="007A15DF" w:rsidRPr="00002625" w:rsidRDefault="007A15DF">
            <w:pPr>
              <w:pStyle w:val="TableText0"/>
              <w:keepNext/>
            </w:pPr>
            <w:r w:rsidRPr="00002625">
              <w:t>Otherwise, risk category as for 1</w:t>
            </w:r>
            <w:r w:rsidRPr="00002625">
              <w:rPr>
                <w:vertAlign w:val="superscript"/>
              </w:rPr>
              <w:t>st</w:t>
            </w:r>
            <w:r w:rsidRPr="00002625">
              <w:t xml:space="preserve"> colonoscopy</w:t>
            </w:r>
          </w:p>
        </w:tc>
      </w:tr>
      <w:tr w:rsidR="007A15DF" w:rsidRPr="00002625" w14:paraId="0AB4AB01" w14:textId="77777777">
        <w:tc>
          <w:tcPr>
            <w:tcW w:w="1673" w:type="pct"/>
          </w:tcPr>
          <w:p w14:paraId="778314F3" w14:textId="77777777" w:rsidR="007A15DF" w:rsidRPr="00002625" w:rsidRDefault="007A15DF">
            <w:pPr>
              <w:pStyle w:val="TableText0"/>
              <w:keepNext/>
              <w:ind w:left="-57" w:right="-57"/>
            </w:pPr>
            <w:r w:rsidRPr="00002625">
              <w:t>3-4 adenomas; no risk factors</w:t>
            </w:r>
          </w:p>
        </w:tc>
        <w:tc>
          <w:tcPr>
            <w:tcW w:w="634" w:type="pct"/>
          </w:tcPr>
          <w:p w14:paraId="7AC7A496" w14:textId="77777777" w:rsidR="007A15DF" w:rsidRPr="00002625" w:rsidRDefault="007A15DF">
            <w:pPr>
              <w:pStyle w:val="TableText0"/>
              <w:keepNext/>
              <w:ind w:left="-57" w:right="-57"/>
              <w:jc w:val="center"/>
            </w:pPr>
            <w:r w:rsidRPr="00002625">
              <w:t>Intermediate</w:t>
            </w:r>
          </w:p>
        </w:tc>
        <w:tc>
          <w:tcPr>
            <w:tcW w:w="538" w:type="pct"/>
          </w:tcPr>
          <w:p w14:paraId="58020780" w14:textId="77777777" w:rsidR="007A15DF" w:rsidRPr="00002625" w:rsidRDefault="007A15DF">
            <w:pPr>
              <w:pStyle w:val="TableText0"/>
              <w:keepNext/>
              <w:ind w:left="-57" w:right="-57"/>
              <w:jc w:val="center"/>
            </w:pPr>
            <w:r w:rsidRPr="00002625">
              <w:t xml:space="preserve">5 </w:t>
            </w:r>
          </w:p>
        </w:tc>
        <w:tc>
          <w:tcPr>
            <w:tcW w:w="2155" w:type="pct"/>
          </w:tcPr>
          <w:p w14:paraId="60E6A0D3" w14:textId="77777777" w:rsidR="007A15DF" w:rsidRPr="00002625" w:rsidRDefault="007A15DF">
            <w:pPr>
              <w:pStyle w:val="TableText0"/>
              <w:keepNext/>
            </w:pPr>
            <w:r w:rsidRPr="00002625">
              <w:t>As above (intermediate risk at 1</w:t>
            </w:r>
            <w:r w:rsidRPr="00002625">
              <w:rPr>
                <w:vertAlign w:val="superscript"/>
              </w:rPr>
              <w:t>st</w:t>
            </w:r>
            <w:r w:rsidRPr="00002625">
              <w:t xml:space="preserve"> colonoscopy)</w:t>
            </w:r>
          </w:p>
        </w:tc>
      </w:tr>
      <w:tr w:rsidR="007A15DF" w:rsidRPr="00002625" w14:paraId="4EEF69BF" w14:textId="77777777">
        <w:tc>
          <w:tcPr>
            <w:tcW w:w="1673" w:type="pct"/>
          </w:tcPr>
          <w:p w14:paraId="5010EB80" w14:textId="77777777" w:rsidR="007A15DF" w:rsidRPr="00002625" w:rsidRDefault="007A15DF">
            <w:pPr>
              <w:pStyle w:val="TableText0"/>
              <w:keepNext/>
              <w:ind w:left="-57" w:right="-57"/>
            </w:pPr>
            <w:r w:rsidRPr="00002625">
              <w:t xml:space="preserve">1-2 adenomas; </w:t>
            </w:r>
            <w:r w:rsidRPr="00002625">
              <w:rPr>
                <w:rFonts w:cs="Calibri"/>
              </w:rPr>
              <w:t>≥</w:t>
            </w:r>
            <w:r w:rsidRPr="00002625">
              <w:t>10mm</w:t>
            </w:r>
            <w:r w:rsidRPr="00002625">
              <w:rPr>
                <w:vertAlign w:val="superscript"/>
              </w:rPr>
              <w:t>b</w:t>
            </w:r>
            <w:r w:rsidRPr="00002625">
              <w:t xml:space="preserve"> plus risk factors</w:t>
            </w:r>
          </w:p>
        </w:tc>
        <w:tc>
          <w:tcPr>
            <w:tcW w:w="634" w:type="pct"/>
          </w:tcPr>
          <w:p w14:paraId="342778CC" w14:textId="77777777" w:rsidR="007A15DF" w:rsidRPr="00002625" w:rsidRDefault="007A15DF">
            <w:pPr>
              <w:pStyle w:val="TableText0"/>
              <w:keepNext/>
              <w:ind w:left="-57" w:right="-57"/>
              <w:jc w:val="center"/>
            </w:pPr>
            <w:r w:rsidRPr="00002625">
              <w:t>High</w:t>
            </w:r>
          </w:p>
        </w:tc>
        <w:tc>
          <w:tcPr>
            <w:tcW w:w="538" w:type="pct"/>
          </w:tcPr>
          <w:p w14:paraId="69520824" w14:textId="77777777" w:rsidR="007A15DF" w:rsidRPr="00002625" w:rsidRDefault="007A15DF">
            <w:pPr>
              <w:pStyle w:val="TableText0"/>
              <w:keepNext/>
              <w:ind w:left="-57" w:right="-57"/>
              <w:jc w:val="center"/>
            </w:pPr>
            <w:r w:rsidRPr="00002625">
              <w:t>3</w:t>
            </w:r>
          </w:p>
        </w:tc>
        <w:tc>
          <w:tcPr>
            <w:tcW w:w="2155" w:type="pct"/>
          </w:tcPr>
          <w:p w14:paraId="0B0F4BB6" w14:textId="77777777" w:rsidR="007A15DF" w:rsidRPr="00002625" w:rsidRDefault="007A15DF">
            <w:pPr>
              <w:pStyle w:val="TableText0"/>
              <w:keepNext/>
            </w:pPr>
            <w:r w:rsidRPr="00002625">
              <w:t>Clear or 1-2 adenomas (no risk factors): colonoscopy at 5 y</w:t>
            </w:r>
          </w:p>
          <w:p w14:paraId="64D8378B" w14:textId="77777777" w:rsidR="007A15DF" w:rsidRPr="00002625" w:rsidRDefault="007A15DF">
            <w:pPr>
              <w:pStyle w:val="TableText0"/>
              <w:keepNext/>
            </w:pPr>
            <w:r w:rsidRPr="00002625">
              <w:t xml:space="preserve">1-2 adenomas (+ risk factors or </w:t>
            </w:r>
            <w:r w:rsidRPr="00002625">
              <w:rPr>
                <w:rFonts w:cs="Calibri"/>
              </w:rPr>
              <w:t>≥</w:t>
            </w:r>
            <w:r w:rsidRPr="00002625">
              <w:t xml:space="preserve">10mm); </w:t>
            </w:r>
            <w:r w:rsidRPr="00002625">
              <w:br/>
              <w:t>3-4 adenomas (no risk factors); colonoscopy at 3 y</w:t>
            </w:r>
          </w:p>
          <w:p w14:paraId="55D7B2B3" w14:textId="77777777" w:rsidR="007A15DF" w:rsidRPr="00002625" w:rsidRDefault="007A15DF">
            <w:pPr>
              <w:pStyle w:val="TableText0"/>
              <w:keepNext/>
            </w:pPr>
            <w:r w:rsidRPr="00002625">
              <w:t>Otherwise, risk category as for 1</w:t>
            </w:r>
            <w:r w:rsidRPr="00002625">
              <w:rPr>
                <w:vertAlign w:val="superscript"/>
              </w:rPr>
              <w:t>st</w:t>
            </w:r>
            <w:r w:rsidRPr="00002625">
              <w:t xml:space="preserve"> colonoscopy</w:t>
            </w:r>
          </w:p>
        </w:tc>
      </w:tr>
      <w:tr w:rsidR="007A15DF" w:rsidRPr="00002625" w14:paraId="098A0B00" w14:textId="77777777">
        <w:tc>
          <w:tcPr>
            <w:tcW w:w="1673" w:type="pct"/>
          </w:tcPr>
          <w:p w14:paraId="51B8B3BB" w14:textId="77777777" w:rsidR="007A15DF" w:rsidRPr="00002625" w:rsidRDefault="007A15DF">
            <w:pPr>
              <w:pStyle w:val="TableText0"/>
              <w:keepNext/>
              <w:ind w:left="-57" w:right="-57"/>
            </w:pPr>
            <w:r w:rsidRPr="00002625">
              <w:t xml:space="preserve">3-4 adenomas; risk factors OR </w:t>
            </w:r>
            <w:r w:rsidRPr="00002625">
              <w:rPr>
                <w:rFonts w:cs="Calibri"/>
              </w:rPr>
              <w:t>≥</w:t>
            </w:r>
            <w:r w:rsidRPr="00002625">
              <w:t>10mm</w:t>
            </w:r>
          </w:p>
          <w:p w14:paraId="35D3E3A0" w14:textId="77777777" w:rsidR="007A15DF" w:rsidRPr="00002625" w:rsidRDefault="007A15DF">
            <w:pPr>
              <w:pStyle w:val="TableText0"/>
              <w:keepNext/>
              <w:ind w:left="-57" w:right="-57"/>
            </w:pPr>
            <w:r w:rsidRPr="00002625">
              <w:t>5-9 adenomas; no risk factors</w:t>
            </w:r>
          </w:p>
        </w:tc>
        <w:tc>
          <w:tcPr>
            <w:tcW w:w="634" w:type="pct"/>
          </w:tcPr>
          <w:p w14:paraId="1CD05109" w14:textId="77777777" w:rsidR="007A15DF" w:rsidRPr="00002625" w:rsidRDefault="007A15DF">
            <w:pPr>
              <w:pStyle w:val="TableText0"/>
              <w:keepNext/>
              <w:ind w:left="-57" w:right="-57"/>
              <w:jc w:val="center"/>
            </w:pPr>
            <w:r w:rsidRPr="00002625">
              <w:t>High</w:t>
            </w:r>
          </w:p>
        </w:tc>
        <w:tc>
          <w:tcPr>
            <w:tcW w:w="538" w:type="pct"/>
          </w:tcPr>
          <w:p w14:paraId="7EC18CEC" w14:textId="77777777" w:rsidR="007A15DF" w:rsidRPr="00002625" w:rsidRDefault="007A15DF">
            <w:pPr>
              <w:pStyle w:val="TableText0"/>
              <w:keepNext/>
              <w:ind w:left="-57" w:right="-57"/>
              <w:jc w:val="center"/>
            </w:pPr>
            <w:r w:rsidRPr="00002625">
              <w:t xml:space="preserve">3 </w:t>
            </w:r>
          </w:p>
        </w:tc>
        <w:tc>
          <w:tcPr>
            <w:tcW w:w="2155" w:type="pct"/>
          </w:tcPr>
          <w:p w14:paraId="624844F3" w14:textId="1E966879" w:rsidR="007A15DF" w:rsidRPr="00002625" w:rsidRDefault="007A15DF">
            <w:pPr>
              <w:pStyle w:val="TableText0"/>
              <w:keepNext/>
              <w:rPr>
                <w:highlight w:val="yellow"/>
              </w:rPr>
            </w:pPr>
            <w:r w:rsidRPr="00002625">
              <w:t>As above (high risk</w:t>
            </w:r>
            <w:r w:rsidR="00154343" w:rsidRPr="00002625">
              <w:t xml:space="preserve"> category</w:t>
            </w:r>
            <w:r w:rsidRPr="00002625">
              <w:t xml:space="preserve"> at 1</w:t>
            </w:r>
            <w:r w:rsidRPr="00002625">
              <w:rPr>
                <w:vertAlign w:val="superscript"/>
              </w:rPr>
              <w:t>st</w:t>
            </w:r>
            <w:r w:rsidRPr="00002625">
              <w:t xml:space="preserve"> colonoscopy)</w:t>
            </w:r>
          </w:p>
        </w:tc>
      </w:tr>
      <w:tr w:rsidR="007A15DF" w:rsidRPr="00002625" w14:paraId="0B5A8D48" w14:textId="77777777">
        <w:tc>
          <w:tcPr>
            <w:tcW w:w="1673" w:type="pct"/>
          </w:tcPr>
          <w:p w14:paraId="0FD4C7FC" w14:textId="77777777" w:rsidR="007A15DF" w:rsidRPr="00002625" w:rsidRDefault="007A15DF">
            <w:pPr>
              <w:pStyle w:val="TableText0"/>
              <w:keepNext/>
              <w:ind w:left="-57" w:right="-57"/>
            </w:pPr>
            <w:r w:rsidRPr="00002625">
              <w:t>1-2 adenomas;</w:t>
            </w:r>
            <w:r w:rsidRPr="00002625">
              <w:rPr>
                <w:rFonts w:cs="Calibri"/>
              </w:rPr>
              <w:t xml:space="preserve"> ≥</w:t>
            </w:r>
            <w:r w:rsidRPr="00002625">
              <w:t>10mm ± risk factors</w:t>
            </w:r>
          </w:p>
        </w:tc>
        <w:tc>
          <w:tcPr>
            <w:tcW w:w="634" w:type="pct"/>
          </w:tcPr>
          <w:p w14:paraId="7108BEDF" w14:textId="77777777" w:rsidR="007A15DF" w:rsidRPr="00002625" w:rsidRDefault="007A15DF">
            <w:pPr>
              <w:pStyle w:val="TableText0"/>
              <w:keepNext/>
              <w:ind w:left="-57" w:right="-57"/>
              <w:jc w:val="center"/>
            </w:pPr>
            <w:r w:rsidRPr="00002625">
              <w:t>High</w:t>
            </w:r>
          </w:p>
        </w:tc>
        <w:tc>
          <w:tcPr>
            <w:tcW w:w="538" w:type="pct"/>
          </w:tcPr>
          <w:p w14:paraId="778F7748" w14:textId="77777777" w:rsidR="007A15DF" w:rsidRPr="00002625" w:rsidRDefault="007A15DF">
            <w:pPr>
              <w:pStyle w:val="TableText0"/>
              <w:keepNext/>
              <w:ind w:left="-57" w:right="-57"/>
              <w:jc w:val="center"/>
            </w:pPr>
            <w:r w:rsidRPr="00002625">
              <w:t xml:space="preserve">3 </w:t>
            </w:r>
          </w:p>
        </w:tc>
        <w:tc>
          <w:tcPr>
            <w:tcW w:w="2155" w:type="pct"/>
          </w:tcPr>
          <w:p w14:paraId="55DFF22D" w14:textId="002B0AC0" w:rsidR="007A15DF" w:rsidRPr="00002625" w:rsidRDefault="007A15DF">
            <w:pPr>
              <w:pStyle w:val="TableText0"/>
              <w:keepNext/>
              <w:rPr>
                <w:highlight w:val="yellow"/>
              </w:rPr>
            </w:pPr>
            <w:r w:rsidRPr="00002625">
              <w:t>As above (high risk</w:t>
            </w:r>
            <w:r w:rsidR="00154343" w:rsidRPr="00002625">
              <w:t xml:space="preserve"> category</w:t>
            </w:r>
            <w:r w:rsidRPr="00002625">
              <w:t xml:space="preserve"> at 1</w:t>
            </w:r>
            <w:r w:rsidRPr="00002625">
              <w:rPr>
                <w:vertAlign w:val="superscript"/>
              </w:rPr>
              <w:t>st</w:t>
            </w:r>
            <w:r w:rsidRPr="00002625">
              <w:t xml:space="preserve"> colonoscopy)</w:t>
            </w:r>
          </w:p>
        </w:tc>
      </w:tr>
      <w:tr w:rsidR="007A15DF" w:rsidRPr="00002625" w14:paraId="5C2F98E8" w14:textId="77777777">
        <w:tc>
          <w:tcPr>
            <w:tcW w:w="1673" w:type="pct"/>
          </w:tcPr>
          <w:p w14:paraId="2BEAA9F8" w14:textId="77777777" w:rsidR="007A15DF" w:rsidRPr="00002625" w:rsidRDefault="007A15DF">
            <w:pPr>
              <w:pStyle w:val="TableText0"/>
              <w:keepNext/>
              <w:ind w:left="-57" w:right="-57"/>
            </w:pPr>
            <w:r w:rsidRPr="00002625">
              <w:rPr>
                <w:rFonts w:cs="Calibri"/>
              </w:rPr>
              <w:t>3-4 adenomas; ≥</w:t>
            </w:r>
            <w:r w:rsidRPr="00002625">
              <w:t>10mm plus risk factors</w:t>
            </w:r>
          </w:p>
          <w:p w14:paraId="64876C61" w14:textId="77777777" w:rsidR="007A15DF" w:rsidRPr="00002625" w:rsidRDefault="007A15DF">
            <w:pPr>
              <w:pStyle w:val="TableText0"/>
              <w:keepNext/>
              <w:ind w:left="-57" w:right="-57"/>
              <w:rPr>
                <w:rFonts w:cs="Calibri"/>
              </w:rPr>
            </w:pPr>
            <w:r w:rsidRPr="00002625">
              <w:rPr>
                <w:rFonts w:cs="Calibri"/>
              </w:rPr>
              <w:t>5-9 adenomas; ≥</w:t>
            </w:r>
            <w:r w:rsidRPr="00002625">
              <w:t>10mm ± risk factors</w:t>
            </w:r>
          </w:p>
          <w:p w14:paraId="3A55A48C" w14:textId="77777777" w:rsidR="007A15DF" w:rsidRPr="00002625" w:rsidRDefault="007A15DF">
            <w:pPr>
              <w:pStyle w:val="TableText0"/>
              <w:keepNext/>
              <w:ind w:left="-57" w:right="-57"/>
            </w:pPr>
            <w:r w:rsidRPr="00002625">
              <w:rPr>
                <w:rFonts w:cs="Calibri"/>
              </w:rPr>
              <w:t>≥</w:t>
            </w:r>
            <w:r w:rsidRPr="00002625">
              <w:t>10 adenomas</w:t>
            </w:r>
          </w:p>
        </w:tc>
        <w:tc>
          <w:tcPr>
            <w:tcW w:w="634" w:type="pct"/>
          </w:tcPr>
          <w:p w14:paraId="02966A80" w14:textId="77777777" w:rsidR="007A15DF" w:rsidRPr="00002625" w:rsidRDefault="007A15DF">
            <w:pPr>
              <w:pStyle w:val="TableText0"/>
              <w:keepNext/>
              <w:ind w:left="-57" w:right="-57"/>
              <w:jc w:val="center"/>
            </w:pPr>
            <w:r w:rsidRPr="00002625">
              <w:t>Highest</w:t>
            </w:r>
          </w:p>
        </w:tc>
        <w:tc>
          <w:tcPr>
            <w:tcW w:w="538" w:type="pct"/>
          </w:tcPr>
          <w:p w14:paraId="5F806998" w14:textId="77777777" w:rsidR="007A15DF" w:rsidRPr="00002625" w:rsidRDefault="007A15DF">
            <w:pPr>
              <w:pStyle w:val="TableText0"/>
              <w:keepNext/>
              <w:ind w:left="-57" w:right="-57"/>
              <w:jc w:val="center"/>
            </w:pPr>
            <w:r w:rsidRPr="00002625">
              <w:t xml:space="preserve">1 </w:t>
            </w:r>
          </w:p>
        </w:tc>
        <w:tc>
          <w:tcPr>
            <w:tcW w:w="2155" w:type="pct"/>
          </w:tcPr>
          <w:p w14:paraId="5C5FD5CB" w14:textId="77777777" w:rsidR="007A15DF" w:rsidRPr="00002625" w:rsidRDefault="007A15DF">
            <w:pPr>
              <w:pStyle w:val="TableText0"/>
              <w:keepNext/>
            </w:pPr>
            <w:r w:rsidRPr="00002625">
              <w:t>Clear or 1-2 adenomas (no risk factors): colonoscopy at 5 y</w:t>
            </w:r>
          </w:p>
          <w:p w14:paraId="6399BAF7" w14:textId="77777777" w:rsidR="007A15DF" w:rsidRPr="00002625" w:rsidRDefault="007A15DF">
            <w:pPr>
              <w:pStyle w:val="TableText0"/>
              <w:keepNext/>
            </w:pPr>
            <w:r w:rsidRPr="00002625">
              <w:t>1-2 adenomas (+ risk factors) or 3-4 adenomas (no risk factors): colonoscopy at 3 y</w:t>
            </w:r>
          </w:p>
          <w:p w14:paraId="1BA676FD" w14:textId="77777777" w:rsidR="007A15DF" w:rsidRPr="00002625" w:rsidRDefault="007A15DF">
            <w:pPr>
              <w:pStyle w:val="TableText0"/>
              <w:keepNext/>
            </w:pPr>
            <w:r w:rsidRPr="00002625">
              <w:t>Otherwise, 1 y surveillance interval</w:t>
            </w:r>
          </w:p>
        </w:tc>
      </w:tr>
    </w:tbl>
    <w:p w14:paraId="2909E3AF" w14:textId="2542F510" w:rsidR="007A15DF" w:rsidRPr="00002625" w:rsidRDefault="009A675B" w:rsidP="005203A8">
      <w:pPr>
        <w:pStyle w:val="Tablenotes"/>
        <w:spacing w:after="360"/>
      </w:pPr>
      <w:r w:rsidRPr="00002625">
        <w:t>FOBT</w:t>
      </w:r>
      <w:r w:rsidR="00EF4DD1" w:rsidRPr="00002625">
        <w:t xml:space="preserve"> </w:t>
      </w:r>
      <w:r w:rsidRPr="00002625">
        <w:t>= faecal occult blood test</w:t>
      </w:r>
      <w:r w:rsidR="005203A8" w:rsidRPr="00002625">
        <w:tab/>
      </w:r>
      <w:r w:rsidR="005203A8" w:rsidRPr="00002625">
        <w:br/>
      </w:r>
      <w:r w:rsidR="007A15DF" w:rsidRPr="00002625">
        <w:rPr>
          <w:vertAlign w:val="superscript"/>
        </w:rPr>
        <w:t>a</w:t>
      </w:r>
      <w:r w:rsidR="007A15DF" w:rsidRPr="00002625">
        <w:t xml:space="preserve"> </w:t>
      </w:r>
      <w:r w:rsidR="00825359" w:rsidRPr="00002625">
        <w:t xml:space="preserve">Presence of at least </w:t>
      </w:r>
      <w:r w:rsidR="00DA2B6B" w:rsidRPr="00002625">
        <w:t>one risk factor confers a higher risk classification. R</w:t>
      </w:r>
      <w:r w:rsidR="007A15DF" w:rsidRPr="00002625">
        <w:t>isk factors based on histopathology findings are high-grade dysplasia</w:t>
      </w:r>
      <w:r w:rsidR="009D7680" w:rsidRPr="00002625">
        <w:t xml:space="preserve"> and</w:t>
      </w:r>
      <w:r w:rsidR="007A15DF" w:rsidRPr="00002625">
        <w:t xml:space="preserve"> villosity</w:t>
      </w:r>
      <w:r w:rsidR="002C2B03" w:rsidRPr="00002625">
        <w:t xml:space="preserve"> (defined as 25% villous component on histology)</w:t>
      </w:r>
      <w:r w:rsidR="009D7680" w:rsidRPr="00002625">
        <w:t xml:space="preserve"> – these are recognised indicators of advanced histology, </w:t>
      </w:r>
      <w:r w:rsidR="00DC4250" w:rsidRPr="00002625">
        <w:t>or</w:t>
      </w:r>
      <w:r w:rsidR="009D7680" w:rsidRPr="00002625">
        <w:t xml:space="preserve"> that the lesion is starting to show dysplastic or</w:t>
      </w:r>
      <w:r w:rsidR="00F16D4D" w:rsidRPr="00002625">
        <w:t xml:space="preserve"> neoplastic characteristics</w:t>
      </w:r>
      <w:r w:rsidR="007A15DF" w:rsidRPr="00002625">
        <w:t xml:space="preserve">. </w:t>
      </w:r>
      <w:r w:rsidR="007A15DF" w:rsidRPr="00002625">
        <w:tab/>
      </w:r>
      <w:r w:rsidR="007A15DF" w:rsidRPr="00002625">
        <w:br/>
      </w:r>
      <w:r w:rsidR="007A15DF" w:rsidRPr="00002625">
        <w:rPr>
          <w:rFonts w:cs="Calibri"/>
          <w:vertAlign w:val="superscript"/>
        </w:rPr>
        <w:t>b</w:t>
      </w:r>
      <w:r w:rsidR="007A15DF" w:rsidRPr="00002625">
        <w:rPr>
          <w:rFonts w:cs="Calibri"/>
        </w:rPr>
        <w:t xml:space="preserve"> </w:t>
      </w:r>
      <w:r w:rsidR="007A15DF" w:rsidRPr="00002625">
        <w:t xml:space="preserve">adenomas of </w:t>
      </w:r>
      <w:r w:rsidR="007A15DF" w:rsidRPr="00002625">
        <w:rPr>
          <w:rFonts w:cs="Calibri"/>
        </w:rPr>
        <w:t>≥</w:t>
      </w:r>
      <w:r w:rsidR="007A15DF" w:rsidRPr="00002625">
        <w:t>10mm size are defined as advanced.</w:t>
      </w:r>
      <w:r w:rsidR="0029770E" w:rsidRPr="00002625">
        <w:tab/>
      </w:r>
      <w:r w:rsidR="0029770E" w:rsidRPr="00002625">
        <w:br/>
      </w:r>
      <w:r w:rsidR="00F565E1" w:rsidRPr="00002625">
        <w:t>Source: Cancer Council (2022)</w:t>
      </w:r>
      <w:r w:rsidR="000C2C5C" w:rsidRPr="00002625">
        <w:t xml:space="preserve"> (Tables</w:t>
      </w:r>
      <w:r w:rsidR="005E279E" w:rsidRPr="00002625">
        <w:t xml:space="preserve"> 3, 14, 15 and 16</w:t>
      </w:r>
      <w:r w:rsidR="000C2C5C" w:rsidRPr="00002625">
        <w:t>)</w:t>
      </w:r>
      <w:r w:rsidR="00F565E1" w:rsidRPr="00002625">
        <w:tab/>
      </w:r>
    </w:p>
    <w:p w14:paraId="3A10BFCD" w14:textId="26632EC6" w:rsidR="007A15DF" w:rsidRPr="00002625" w:rsidRDefault="007A15DF" w:rsidP="007A15DF">
      <w:r w:rsidRPr="00002625">
        <w:t>Surveillance recommendations are different if the previously identified polyps were small (in size and number) and the patient is returning for a follow-up visit at 12 or 24 months to determine if there is any change to the status of the polyps. These patients are currently managed within the screening framework (</w:t>
      </w:r>
      <w:r w:rsidR="00B21911" w:rsidRPr="00002625">
        <w:fldChar w:fldCharType="begin"/>
      </w:r>
      <w:r w:rsidR="00B21911" w:rsidRPr="00002625">
        <w:instrText xml:space="preserve"> REF _Ref181288810 \h </w:instrText>
      </w:r>
      <w:r w:rsidR="00B21911" w:rsidRPr="00002625">
        <w:fldChar w:fldCharType="separate"/>
      </w:r>
      <w:r w:rsidR="00637321" w:rsidRPr="00002625">
        <w:t>Table </w:t>
      </w:r>
      <w:r w:rsidR="00637321" w:rsidRPr="00002625">
        <w:rPr>
          <w:noProof/>
        </w:rPr>
        <w:t>14</w:t>
      </w:r>
      <w:r w:rsidR="00B21911" w:rsidRPr="00002625">
        <w:fldChar w:fldCharType="end"/>
      </w:r>
      <w:r w:rsidRPr="00002625">
        <w:t xml:space="preserve">). See current management recommendations for polyps of different sizes summarised in the section </w:t>
      </w:r>
      <w:r w:rsidRPr="00002625">
        <w:rPr>
          <w:highlight w:val="yellow"/>
        </w:rPr>
        <w:fldChar w:fldCharType="begin"/>
      </w:r>
      <w:r w:rsidRPr="00002625">
        <w:instrText xml:space="preserve"> REF _Ref181128614 \h </w:instrText>
      </w:r>
      <w:r w:rsidRPr="00002625">
        <w:rPr>
          <w:highlight w:val="yellow"/>
        </w:rPr>
      </w:r>
      <w:r w:rsidRPr="00002625">
        <w:rPr>
          <w:highlight w:val="yellow"/>
        </w:rPr>
        <w:fldChar w:fldCharType="separate"/>
      </w:r>
      <w:r w:rsidR="00637321" w:rsidRPr="00002625">
        <w:t>Current management algorithm</w:t>
      </w:r>
      <w:r w:rsidRPr="00002625">
        <w:rPr>
          <w:highlight w:val="yellow"/>
        </w:rPr>
        <w:fldChar w:fldCharType="end"/>
      </w:r>
      <w:r w:rsidR="00465C03" w:rsidRPr="00002625">
        <w:t xml:space="preserve">. </w:t>
      </w:r>
    </w:p>
    <w:p w14:paraId="696644FB" w14:textId="7452F2B9" w:rsidR="00884B3B" w:rsidRPr="00002625" w:rsidRDefault="002F715E" w:rsidP="00725968">
      <w:r w:rsidRPr="00002625">
        <w:t xml:space="preserve">Patients with a diagnosis of cancer (CRC) are subject to different requirements for follow-up and monitoring and also a higher baseline risk of disease. </w:t>
      </w:r>
      <w:r w:rsidR="00725968" w:rsidRPr="00002625">
        <w:t xml:space="preserve">Patients who have previously been treated for cancer </w:t>
      </w:r>
      <w:r w:rsidR="00987A6D" w:rsidRPr="00002625">
        <w:t>may</w:t>
      </w:r>
      <w:r w:rsidR="00725968" w:rsidRPr="00002625">
        <w:t xml:space="preserve"> be subject to more intense surveillance either receiving colonoscopy or CT </w:t>
      </w:r>
      <w:r w:rsidR="000634A2" w:rsidRPr="00002625">
        <w:t>chest ab</w:t>
      </w:r>
      <w:r w:rsidR="005C618B" w:rsidRPr="00002625">
        <w:t>domen</w:t>
      </w:r>
      <w:r w:rsidR="00666F0F" w:rsidRPr="00002625">
        <w:t xml:space="preserve"> and pelvis (</w:t>
      </w:r>
      <w:r w:rsidR="00725968" w:rsidRPr="00002625">
        <w:t>C/A/P</w:t>
      </w:r>
      <w:r w:rsidR="00666F0F" w:rsidRPr="00002625">
        <w:t>)</w:t>
      </w:r>
      <w:r w:rsidR="00725968" w:rsidRPr="00002625">
        <w:t xml:space="preserve"> (and </w:t>
      </w:r>
      <w:r w:rsidR="00987A6D" w:rsidRPr="00002625">
        <w:t>likely</w:t>
      </w:r>
      <w:r w:rsidR="00725968" w:rsidRPr="00002625">
        <w:t xml:space="preserve"> other tests) and the intervals would be more frequent such as </w:t>
      </w:r>
      <w:r w:rsidR="00A41807" w:rsidRPr="00002625">
        <w:t>three</w:t>
      </w:r>
      <w:r w:rsidR="00725968" w:rsidRPr="00002625">
        <w:t xml:space="preserve"> or </w:t>
      </w:r>
      <w:r w:rsidR="00A41807" w:rsidRPr="00002625">
        <w:t xml:space="preserve">six </w:t>
      </w:r>
      <w:r w:rsidR="00725968" w:rsidRPr="00002625">
        <w:t>months depending on disease staging</w:t>
      </w:r>
      <w:r w:rsidR="00465C03" w:rsidRPr="00002625">
        <w:t xml:space="preserve">. </w:t>
      </w:r>
    </w:p>
    <w:p w14:paraId="71AB0A30" w14:textId="0E5B13CE" w:rsidR="001A7685" w:rsidRPr="00002625" w:rsidRDefault="00695CA3" w:rsidP="0035198A">
      <w:r w:rsidRPr="00002625">
        <w:t xml:space="preserve">Patients with a diagnosis of CRC who have undergone curative resection are recommended to receive regular </w:t>
      </w:r>
      <w:r w:rsidR="006669A1" w:rsidRPr="00002625">
        <w:t>tests for tumour antigen (</w:t>
      </w:r>
      <w:r w:rsidR="00A42BBC" w:rsidRPr="00002625">
        <w:t>carcinoembryonic antigen</w:t>
      </w:r>
      <w:r w:rsidR="00DB5319" w:rsidRPr="00002625">
        <w:t xml:space="preserve">; </w:t>
      </w:r>
      <w:r w:rsidR="006669A1" w:rsidRPr="00002625">
        <w:t xml:space="preserve">CEA) and CT </w:t>
      </w:r>
      <w:r w:rsidR="2BD64489" w:rsidRPr="00002625">
        <w:t>C</w:t>
      </w:r>
      <w:r w:rsidR="00F4533E" w:rsidRPr="00002625">
        <w:t>hest</w:t>
      </w:r>
      <w:r w:rsidR="2BD64489" w:rsidRPr="00002625">
        <w:t>/A</w:t>
      </w:r>
      <w:r w:rsidR="00F4533E" w:rsidRPr="00002625">
        <w:t>bdomen</w:t>
      </w:r>
      <w:r w:rsidR="2BD64489" w:rsidRPr="00002625">
        <w:t>/P</w:t>
      </w:r>
      <w:r w:rsidR="00F4533E" w:rsidRPr="00002625">
        <w:t>elvis</w:t>
      </w:r>
      <w:r w:rsidR="006669A1" w:rsidRPr="00002625">
        <w:t xml:space="preserve"> (Cancer Council 2023). This CT </w:t>
      </w:r>
      <w:r w:rsidR="00BA0BCF" w:rsidRPr="00002625">
        <w:t>scan</w:t>
      </w:r>
      <w:r w:rsidR="006669A1" w:rsidRPr="00002625">
        <w:t xml:space="preserve"> is a higher dose broader scan compared to CTC. None of the guidelines </w:t>
      </w:r>
      <w:r w:rsidR="005E3286" w:rsidRPr="00002625">
        <w:t>identified</w:t>
      </w:r>
      <w:r w:rsidR="006669A1" w:rsidRPr="00002625">
        <w:t xml:space="preserve"> </w:t>
      </w:r>
      <w:r w:rsidR="00395961" w:rsidRPr="00002625">
        <w:t>recommend</w:t>
      </w:r>
      <w:r w:rsidR="00452C9A" w:rsidRPr="00002625">
        <w:t>ed</w:t>
      </w:r>
      <w:r w:rsidR="0087011F" w:rsidRPr="00002625">
        <w:t xml:space="preserve"> CTC </w:t>
      </w:r>
      <w:r w:rsidR="00395961" w:rsidRPr="00002625">
        <w:t xml:space="preserve">for </w:t>
      </w:r>
      <w:r w:rsidR="0087011F" w:rsidRPr="00002625">
        <w:t xml:space="preserve">this patient population. </w:t>
      </w:r>
      <w:r w:rsidR="00FE28CF" w:rsidRPr="00002625">
        <w:t xml:space="preserve">Furthermore, preliminary literature searches revealed no studies of CTC for this type of monitoring. </w:t>
      </w:r>
    </w:p>
    <w:p w14:paraId="34E678AB" w14:textId="77777777" w:rsidR="00361D74" w:rsidRPr="00002625" w:rsidRDefault="00361D74" w:rsidP="00361D74">
      <w:r w:rsidRPr="00002625">
        <w:t>No comparative studies were identified in the preliminary literature scan that considered use of CTC for surveillance (monitoring) of CRC patients for recurrence of their disease.</w:t>
      </w:r>
    </w:p>
    <w:p w14:paraId="7AB4A793" w14:textId="4E372D2E" w:rsidR="00361D74" w:rsidRPr="00002625" w:rsidRDefault="00361D74" w:rsidP="0035198A">
      <w:r w:rsidRPr="00002625">
        <w:lastRenderedPageBreak/>
        <w:t xml:space="preserve">None of the studies reported on patient-relevant direct disease outcomes of CRC such as overall survival, progression-free survival or disease progression. </w:t>
      </w:r>
    </w:p>
    <w:p w14:paraId="4B0D5B91" w14:textId="7F5E1CEF" w:rsidR="001574DD" w:rsidRPr="00002625" w:rsidRDefault="001574DD" w:rsidP="0035198A">
      <w:r w:rsidRPr="00002625">
        <w:t>There was a</w:t>
      </w:r>
      <w:r w:rsidR="00554ADB" w:rsidRPr="00002625">
        <w:t xml:space="preserve"> </w:t>
      </w:r>
      <w:r w:rsidRPr="00002625">
        <w:t>lack of robust clinical evidence to support the population regarding polyp surveillance</w:t>
      </w:r>
      <w:r w:rsidRPr="00002625" w:rsidDel="001C44A9">
        <w:t>.</w:t>
      </w:r>
      <w:r w:rsidR="001C44A9" w:rsidRPr="00002625">
        <w:t xml:space="preserve"> Guidelines </w:t>
      </w:r>
      <w:r w:rsidR="00161B8E" w:rsidRPr="00002625">
        <w:t xml:space="preserve">from the British Society of Gastroenterology </w:t>
      </w:r>
      <w:r w:rsidR="00BF190D" w:rsidRPr="00002625">
        <w:t>(BSG) state that</w:t>
      </w:r>
      <w:r w:rsidR="00360420" w:rsidRPr="00002625">
        <w:t xml:space="preserve"> CTC</w:t>
      </w:r>
      <w:r w:rsidR="005C7557" w:rsidRPr="00002625">
        <w:t xml:space="preserve"> for patients requiring polyp surveillance should be restricted </w:t>
      </w:r>
      <w:r w:rsidR="00CF2788" w:rsidRPr="00002625">
        <w:t xml:space="preserve">to </w:t>
      </w:r>
      <w:r w:rsidR="005C7557" w:rsidRPr="00002625">
        <w:t xml:space="preserve">those </w:t>
      </w:r>
      <w:r w:rsidR="006F3205" w:rsidRPr="00002625">
        <w:t>who have undergone polypectomy</w:t>
      </w:r>
      <w:r w:rsidR="004B7E98" w:rsidRPr="00002625">
        <w:t xml:space="preserve"> and who have</w:t>
      </w:r>
      <w:r w:rsidR="5D5F0027" w:rsidRPr="00002625">
        <w:t xml:space="preserve"> contraindications to colonoscopy or have had an</w:t>
      </w:r>
      <w:r w:rsidR="004B7E98" w:rsidRPr="00002625">
        <w:t xml:space="preserve"> incomplete colonoscopy</w:t>
      </w:r>
      <w:r w:rsidR="62865AC7" w:rsidRPr="00002625">
        <w:t xml:space="preserve"> </w:t>
      </w:r>
      <w:r w:rsidR="0023417C" w:rsidRPr="00002625">
        <w:t>(</w:t>
      </w:r>
      <w:r w:rsidR="62865AC7" w:rsidRPr="00002625">
        <w:t>Rutter et al</w:t>
      </w:r>
      <w:r w:rsidR="00C079E1" w:rsidRPr="00002625">
        <w:t>.</w:t>
      </w:r>
      <w:r w:rsidR="62865AC7" w:rsidRPr="00002625">
        <w:t xml:space="preserve"> 2020)</w:t>
      </w:r>
      <w:r w:rsidR="004B7E98" w:rsidRPr="00002625">
        <w:t xml:space="preserve">, </w:t>
      </w:r>
    </w:p>
    <w:p w14:paraId="36630BCA" w14:textId="4B486769" w:rsidR="00C03581" w:rsidRPr="00002625" w:rsidRDefault="00390744" w:rsidP="00A577B6">
      <w:pPr>
        <w:pStyle w:val="Heading4"/>
      </w:pPr>
      <w:r w:rsidRPr="00002625">
        <w:t>Size of the population</w:t>
      </w:r>
    </w:p>
    <w:p w14:paraId="46B39D87" w14:textId="4A2CCF97" w:rsidR="00322F25" w:rsidRPr="00002625" w:rsidRDefault="00322F25" w:rsidP="00322F25">
      <w:r w:rsidRPr="00002625">
        <w:t xml:space="preserve">The applicant provided </w:t>
      </w:r>
      <w:r w:rsidR="003343B0" w:rsidRPr="00002625">
        <w:t>no</w:t>
      </w:r>
      <w:r w:rsidRPr="00002625">
        <w:t xml:space="preserve"> estimate</w:t>
      </w:r>
      <w:r w:rsidR="003343B0" w:rsidRPr="00002625">
        <w:t xml:space="preserve"> of</w:t>
      </w:r>
      <w:r w:rsidRPr="00002625">
        <w:t xml:space="preserve"> utilisation </w:t>
      </w:r>
      <w:r w:rsidR="003343B0" w:rsidRPr="00002625">
        <w:t>for</w:t>
      </w:r>
      <w:r w:rsidRPr="00002625">
        <w:t xml:space="preserve"> CTC</w:t>
      </w:r>
      <w:r w:rsidR="00E76ECE" w:rsidRPr="00002625">
        <w:t xml:space="preserve"> in patients</w:t>
      </w:r>
      <w:r w:rsidR="003343B0" w:rsidRPr="00002625">
        <w:t xml:space="preserve"> </w:t>
      </w:r>
      <w:r w:rsidR="00F31ADC" w:rsidRPr="00002625">
        <w:t xml:space="preserve">requiring </w:t>
      </w:r>
      <w:r w:rsidR="003343B0" w:rsidRPr="00002625">
        <w:t>surveillance</w:t>
      </w:r>
      <w:r w:rsidR="00F31ADC" w:rsidRPr="00002625">
        <w:t xml:space="preserve"> for</w:t>
      </w:r>
      <w:r w:rsidR="00147F90" w:rsidRPr="00002625">
        <w:t xml:space="preserve"> CRC</w:t>
      </w:r>
      <w:r w:rsidRPr="00002625">
        <w:t xml:space="preserve">. </w:t>
      </w:r>
      <w:r w:rsidR="00CD29B1" w:rsidRPr="00002625">
        <w:t xml:space="preserve">A limited search of the literature found two </w:t>
      </w:r>
      <w:r w:rsidR="007A6540" w:rsidRPr="00002625">
        <w:t xml:space="preserve">recent publications which </w:t>
      </w:r>
      <w:r w:rsidR="00EF0D43" w:rsidRPr="00002625">
        <w:t xml:space="preserve">suggested approximately 15% of </w:t>
      </w:r>
      <w:r w:rsidR="006A2A4F" w:rsidRPr="00002625">
        <w:t xml:space="preserve">colonoscopies undertaken in Australia were for polyp surveillance </w:t>
      </w:r>
      <w:r w:rsidR="004C122F" w:rsidRPr="00002625">
        <w:t>(</w:t>
      </w:r>
      <w:r w:rsidR="00A231E0" w:rsidRPr="00002625">
        <w:t xml:space="preserve">Haga </w:t>
      </w:r>
      <w:r w:rsidR="00C20D9F" w:rsidRPr="00002625">
        <w:t xml:space="preserve">et al. </w:t>
      </w:r>
      <w:r w:rsidR="00A231E0" w:rsidRPr="00002625">
        <w:t xml:space="preserve">2022; Watson </w:t>
      </w:r>
      <w:r w:rsidR="000C434D" w:rsidRPr="00002625">
        <w:t xml:space="preserve">et al. </w:t>
      </w:r>
      <w:r w:rsidR="00A231E0" w:rsidRPr="00002625">
        <w:t>202</w:t>
      </w:r>
      <w:r w:rsidR="000C434D" w:rsidRPr="00002625">
        <w:t>3</w:t>
      </w:r>
      <w:r w:rsidR="004C122F" w:rsidRPr="00002625">
        <w:t xml:space="preserve">). </w:t>
      </w:r>
      <w:r w:rsidR="00502C2F" w:rsidRPr="00002625">
        <w:t xml:space="preserve">This would </w:t>
      </w:r>
      <w:r w:rsidR="007C610A" w:rsidRPr="00002625">
        <w:t xml:space="preserve">have </w:t>
      </w:r>
      <w:r w:rsidR="00502C2F" w:rsidRPr="00002625">
        <w:t>correspond</w:t>
      </w:r>
      <w:r w:rsidR="007C610A" w:rsidRPr="00002625">
        <w:t>ed</w:t>
      </w:r>
      <w:r w:rsidR="00502C2F" w:rsidRPr="00002625">
        <w:t xml:space="preserve"> to 77,854 services </w:t>
      </w:r>
      <w:r w:rsidR="00A231E0" w:rsidRPr="00002625">
        <w:t xml:space="preserve">in </w:t>
      </w:r>
      <w:r w:rsidR="00502C2F" w:rsidRPr="00002625">
        <w:t xml:space="preserve">2023-2024 </w:t>
      </w:r>
      <w:r w:rsidR="00A231E0" w:rsidRPr="00002625">
        <w:t xml:space="preserve">based on </w:t>
      </w:r>
      <w:r w:rsidR="00502C2F" w:rsidRPr="00002625">
        <w:t>utilisation</w:t>
      </w:r>
      <w:r w:rsidR="008B7302" w:rsidRPr="00002625">
        <w:t xml:space="preserve"> </w:t>
      </w:r>
      <w:r w:rsidR="00FB121B" w:rsidRPr="00002625">
        <w:t xml:space="preserve">in </w:t>
      </w:r>
      <w:r w:rsidR="00A231E0" w:rsidRPr="00002625">
        <w:t xml:space="preserve">the same period </w:t>
      </w:r>
      <w:r w:rsidR="00C777B1" w:rsidRPr="00002625">
        <w:t xml:space="preserve">of </w:t>
      </w:r>
      <w:r w:rsidR="00F43187" w:rsidRPr="00002625">
        <w:t>the main</w:t>
      </w:r>
      <w:r w:rsidR="00A231E0" w:rsidRPr="00002625">
        <w:t xml:space="preserve"> colonoscopy item (MBS item 32222)</w:t>
      </w:r>
      <w:r w:rsidRPr="00002625">
        <w:t xml:space="preserve">. </w:t>
      </w:r>
      <w:r w:rsidR="00B055E7" w:rsidRPr="00002625">
        <w:t xml:space="preserve">The two articles found were </w:t>
      </w:r>
      <w:r w:rsidR="00847DFE" w:rsidRPr="00002625">
        <w:t>based on data from</w:t>
      </w:r>
      <w:r w:rsidR="00B055E7" w:rsidRPr="00002625">
        <w:t xml:space="preserve"> regional hospitals and it was </w:t>
      </w:r>
      <w:r w:rsidR="00491FDD" w:rsidRPr="00002625">
        <w:t xml:space="preserve">not known if figures for metropolitan centres would have been different. </w:t>
      </w:r>
    </w:p>
    <w:p w14:paraId="2D91D8B9" w14:textId="2410B144" w:rsidR="00CE6CBE" w:rsidRPr="00002625" w:rsidRDefault="00CE6CBE" w:rsidP="00CE6CBE">
      <w:pPr>
        <w:autoSpaceDE w:val="0"/>
        <w:autoSpaceDN w:val="0"/>
        <w:adjustRightInd w:val="0"/>
        <w:spacing w:line="23" w:lineRule="atLeast"/>
        <w:rPr>
          <w:rFonts w:asciiTheme="minorHAnsi" w:hAnsiTheme="minorHAnsi" w:cstheme="minorHAnsi"/>
          <w:i/>
          <w:iCs/>
        </w:rPr>
      </w:pPr>
      <w:r w:rsidRPr="00002625">
        <w:rPr>
          <w:rFonts w:asciiTheme="minorHAnsi" w:hAnsiTheme="minorHAnsi" w:cstheme="minorHAnsi"/>
          <w:i/>
          <w:iCs/>
        </w:rPr>
        <w:t xml:space="preserve">PASC noted that the current Cancer Council guidelines do not include the use of CTC in polyp surveillance and noted the limited evidence to support CTC use in both CRC and polyp surveillance. PASC noted that patients who have had a previous adenomatous polyp or polyp with advanced histology require regular colonic surveillance, and some clinical situations may not be suitable for CTC (e.g. patients with a high likelihood </w:t>
      </w:r>
      <w:r w:rsidR="005B243D" w:rsidRPr="00002625">
        <w:rPr>
          <w:rFonts w:asciiTheme="minorHAnsi" w:hAnsiTheme="minorHAnsi" w:cstheme="minorHAnsi"/>
          <w:i/>
          <w:iCs/>
        </w:rPr>
        <w:t>that they</w:t>
      </w:r>
      <w:r w:rsidRPr="00002625">
        <w:rPr>
          <w:rFonts w:asciiTheme="minorHAnsi" w:hAnsiTheme="minorHAnsi" w:cstheme="minorHAnsi"/>
          <w:i/>
          <w:iCs/>
        </w:rPr>
        <w:t xml:space="preserve"> would require colonoscopy for lesion/polyp removal, biopsy and histology</w:t>
      </w:r>
      <w:r w:rsidR="00DB3920" w:rsidRPr="00002625">
        <w:rPr>
          <w:rFonts w:asciiTheme="minorHAnsi" w:hAnsiTheme="minorHAnsi" w:cstheme="minorHAnsi"/>
          <w:i/>
          <w:iCs/>
        </w:rPr>
        <w:t xml:space="preserve"> based on their </w:t>
      </w:r>
      <w:r w:rsidR="008342EB" w:rsidRPr="00002625">
        <w:rPr>
          <w:rFonts w:asciiTheme="minorHAnsi" w:hAnsiTheme="minorHAnsi" w:cstheme="minorHAnsi"/>
          <w:i/>
          <w:iCs/>
        </w:rPr>
        <w:t>previous history of polyps</w:t>
      </w:r>
      <w:r w:rsidRPr="00002625">
        <w:rPr>
          <w:rFonts w:asciiTheme="minorHAnsi" w:hAnsiTheme="minorHAnsi" w:cstheme="minorHAnsi"/>
          <w:i/>
          <w:iCs/>
        </w:rPr>
        <w:t>).</w:t>
      </w:r>
    </w:p>
    <w:p w14:paraId="03E0B56C" w14:textId="7EE2D4C5" w:rsidR="00FA5F41" w:rsidRPr="00002625" w:rsidRDefault="00CE6CBE" w:rsidP="00322F25">
      <w:pPr>
        <w:rPr>
          <w:i/>
          <w:iCs/>
        </w:rPr>
      </w:pPr>
      <w:r w:rsidRPr="00002625">
        <w:rPr>
          <w:rFonts w:asciiTheme="minorHAnsi" w:hAnsiTheme="minorHAnsi" w:cstheme="minorHAnsi"/>
          <w:i/>
          <w:iCs/>
        </w:rPr>
        <w:t xml:space="preserve">PASC considered that CRC follow up and surveillance is complex, stratified by risk and involves multiple </w:t>
      </w:r>
      <w:r w:rsidR="004D49E4" w:rsidRPr="00002625">
        <w:rPr>
          <w:rFonts w:asciiTheme="minorHAnsi" w:hAnsiTheme="minorHAnsi" w:cstheme="minorHAnsi"/>
          <w:i/>
          <w:iCs/>
        </w:rPr>
        <w:t xml:space="preserve">surveillance </w:t>
      </w:r>
      <w:r w:rsidRPr="00002625">
        <w:rPr>
          <w:rFonts w:asciiTheme="minorHAnsi" w:hAnsiTheme="minorHAnsi" w:cstheme="minorHAnsi"/>
          <w:i/>
          <w:iCs/>
        </w:rPr>
        <w:t>modalities, noting that recommendations for polyp surveillance would be highly complex and could be difficult to interpret and manage from a primary care perspective without oversight from a specialist.</w:t>
      </w:r>
    </w:p>
    <w:p w14:paraId="0CB0B3EA" w14:textId="77777777" w:rsidR="00D9273B" w:rsidRPr="00002625" w:rsidRDefault="00D9273B" w:rsidP="00D9273B">
      <w:pPr>
        <w:pStyle w:val="Heading3"/>
      </w:pPr>
      <w:r w:rsidRPr="00002625">
        <w:t>Intervention</w:t>
      </w:r>
    </w:p>
    <w:p w14:paraId="3064A212" w14:textId="672493D0" w:rsidR="00666723" w:rsidRPr="00002625" w:rsidRDefault="00666723" w:rsidP="00666723">
      <w:r w:rsidRPr="00002625">
        <w:t>The intervention is the same as described in PICO set 1.</w:t>
      </w:r>
    </w:p>
    <w:p w14:paraId="0AD8C0DD" w14:textId="77777777" w:rsidR="00D9273B" w:rsidRPr="00002625" w:rsidRDefault="00D9273B" w:rsidP="00D9273B">
      <w:pPr>
        <w:pStyle w:val="Heading3"/>
      </w:pPr>
      <w:r w:rsidRPr="00002625">
        <w:t>Comparator(s)</w:t>
      </w:r>
    </w:p>
    <w:p w14:paraId="47FA15F1" w14:textId="2F1F0160" w:rsidR="00DD5AD5" w:rsidRPr="00002625" w:rsidRDefault="00DD5AD5" w:rsidP="00DD5AD5">
      <w:r w:rsidRPr="00002625">
        <w:t xml:space="preserve">The applicant proposed colonoscopy as the comparator described above for PICO </w:t>
      </w:r>
      <w:r w:rsidR="00EA4B11" w:rsidRPr="00002625">
        <w:t>s</w:t>
      </w:r>
      <w:r w:rsidRPr="00002625">
        <w:t xml:space="preserve">et 1. </w:t>
      </w:r>
    </w:p>
    <w:p w14:paraId="20E40DA6" w14:textId="0CA5F06E" w:rsidR="00492DB8" w:rsidRPr="00002625" w:rsidRDefault="00492DB8" w:rsidP="00DD5AD5">
      <w:r w:rsidRPr="00002625">
        <w:rPr>
          <w:rFonts w:asciiTheme="minorHAnsi" w:hAnsiTheme="minorHAnsi" w:cstheme="minorHAnsi"/>
          <w:i/>
          <w:iCs/>
        </w:rPr>
        <w:t>PASC agreed the appropriate comparator for CTC is colonoscopy, as per PICO set 1.</w:t>
      </w:r>
    </w:p>
    <w:p w14:paraId="08CF496B" w14:textId="77777777" w:rsidR="00D9273B" w:rsidRPr="00002625" w:rsidRDefault="00D9273B" w:rsidP="00D9273B">
      <w:pPr>
        <w:pStyle w:val="Heading3"/>
      </w:pPr>
      <w:r w:rsidRPr="00002625">
        <w:t>Reference standard (for investigative technologies only)</w:t>
      </w:r>
    </w:p>
    <w:p w14:paraId="49084889" w14:textId="17A92B48" w:rsidR="002D618C" w:rsidRPr="00002625" w:rsidRDefault="002D618C" w:rsidP="002D618C">
      <w:r w:rsidRPr="00002625">
        <w:t>The reference standard would be colonoscopy (for determining accuracy of the test)</w:t>
      </w:r>
      <w:r w:rsidR="00EF59AC" w:rsidRPr="00002625">
        <w:t xml:space="preserve"> as described</w:t>
      </w:r>
      <w:r w:rsidR="00A46155" w:rsidRPr="00002625">
        <w:t xml:space="preserve"> for PICO set 1</w:t>
      </w:r>
      <w:r w:rsidR="006C0FED" w:rsidRPr="00002625">
        <w:t>.</w:t>
      </w:r>
    </w:p>
    <w:p w14:paraId="085F80AD" w14:textId="23508235" w:rsidR="00492DB8" w:rsidRPr="00002625" w:rsidRDefault="00492DB8" w:rsidP="002D618C">
      <w:r w:rsidRPr="00002625">
        <w:rPr>
          <w:rFonts w:asciiTheme="minorHAnsi" w:hAnsiTheme="minorHAnsi" w:cstheme="minorHAnsi"/>
          <w:i/>
          <w:iCs/>
        </w:rPr>
        <w:t>PASC agreed that the appropriate reference standard for both PICO set 1 and PICO set 2 is colonoscopy.</w:t>
      </w:r>
    </w:p>
    <w:p w14:paraId="228AEB58" w14:textId="77777777" w:rsidR="00D9273B" w:rsidRPr="00002625" w:rsidRDefault="00D9273B" w:rsidP="00D9273B">
      <w:pPr>
        <w:pStyle w:val="Heading3"/>
      </w:pPr>
      <w:r w:rsidRPr="00002625">
        <w:t xml:space="preserve">Outcomes </w:t>
      </w:r>
    </w:p>
    <w:p w14:paraId="38C18A02" w14:textId="503FFB31" w:rsidR="00405171" w:rsidRPr="00002625" w:rsidRDefault="00405171" w:rsidP="00405171">
      <w:r w:rsidRPr="00002625">
        <w:t xml:space="preserve">Outcomes are the same </w:t>
      </w:r>
      <w:r w:rsidR="00865495" w:rsidRPr="00002625">
        <w:t xml:space="preserve">as described </w:t>
      </w:r>
      <w:r w:rsidR="004617A7" w:rsidRPr="00002625">
        <w:t xml:space="preserve">in </w:t>
      </w:r>
      <w:r w:rsidRPr="00002625">
        <w:t xml:space="preserve">PICO </w:t>
      </w:r>
      <w:r w:rsidR="00EA4B11" w:rsidRPr="00002625">
        <w:t>s</w:t>
      </w:r>
      <w:r w:rsidRPr="00002625">
        <w:t>et 1.</w:t>
      </w:r>
    </w:p>
    <w:p w14:paraId="4BBF84CB" w14:textId="77777777" w:rsidR="009B31CC" w:rsidRPr="00002625" w:rsidRDefault="009B31CC" w:rsidP="00713728">
      <w:pPr>
        <w:pStyle w:val="Heading2"/>
      </w:pPr>
      <w:bookmarkStart w:id="28" w:name="_Ref180409263"/>
      <w:r w:rsidRPr="00002625">
        <w:lastRenderedPageBreak/>
        <w:t>Assessment framework (for investigative technologies)</w:t>
      </w:r>
      <w:bookmarkEnd w:id="28"/>
    </w:p>
    <w:p w14:paraId="6EB847D0" w14:textId="3F7D7894" w:rsidR="008D1DD7" w:rsidRPr="00002625" w:rsidRDefault="008D1DD7" w:rsidP="008D1DD7">
      <w:pPr>
        <w:pStyle w:val="Heading3"/>
      </w:pPr>
      <w:bookmarkStart w:id="29" w:name="_Ref181182798"/>
      <w:r w:rsidRPr="00002625">
        <w:t>Comments on the clinical evidence</w:t>
      </w:r>
      <w:bookmarkEnd w:id="29"/>
    </w:p>
    <w:p w14:paraId="7667B7A4" w14:textId="05E646CA" w:rsidR="00A41419" w:rsidRPr="00002625" w:rsidRDefault="00A51825" w:rsidP="00E846D0">
      <w:r w:rsidRPr="00002625">
        <w:t xml:space="preserve">The studies cited by the applicant as </w:t>
      </w:r>
      <w:r w:rsidR="009737D1" w:rsidRPr="00002625">
        <w:t xml:space="preserve">clinical </w:t>
      </w:r>
      <w:r w:rsidRPr="00002625">
        <w:t xml:space="preserve">evidence are summarised in </w:t>
      </w:r>
      <w:r w:rsidR="003E3B0A" w:rsidRPr="00002625">
        <w:fldChar w:fldCharType="begin"/>
      </w:r>
      <w:r w:rsidR="003E3B0A" w:rsidRPr="00002625">
        <w:instrText xml:space="preserve"> REF _Ref181126390 \h </w:instrText>
      </w:r>
      <w:r w:rsidR="003E3B0A" w:rsidRPr="00002625">
        <w:fldChar w:fldCharType="separate"/>
      </w:r>
      <w:r w:rsidR="00637321" w:rsidRPr="00002625">
        <w:t>Appendix 2</w:t>
      </w:r>
      <w:r w:rsidR="003E3B0A" w:rsidRPr="00002625">
        <w:fldChar w:fldCharType="end"/>
      </w:r>
      <w:r w:rsidRPr="00002625">
        <w:t xml:space="preserve">, </w:t>
      </w:r>
      <w:r w:rsidRPr="00002625">
        <w:fldChar w:fldCharType="begin"/>
      </w:r>
      <w:r w:rsidRPr="00002625">
        <w:instrText xml:space="preserve"> REF _Ref179970014 \h </w:instrText>
      </w:r>
      <w:r w:rsidRPr="00002625">
        <w:fldChar w:fldCharType="separate"/>
      </w:r>
      <w:r w:rsidR="00637321" w:rsidRPr="00002625">
        <w:t>Table </w:t>
      </w:r>
      <w:r w:rsidR="00637321" w:rsidRPr="00002625">
        <w:rPr>
          <w:noProof/>
        </w:rPr>
        <w:t>18</w:t>
      </w:r>
      <w:r w:rsidRPr="00002625">
        <w:fldChar w:fldCharType="end"/>
      </w:r>
      <w:r w:rsidRPr="00002625">
        <w:t xml:space="preserve"> (comparative evidence) and in </w:t>
      </w:r>
      <w:r w:rsidRPr="00002625">
        <w:fldChar w:fldCharType="begin"/>
      </w:r>
      <w:r w:rsidRPr="00002625">
        <w:instrText xml:space="preserve"> REF _Ref179970039 \h </w:instrText>
      </w:r>
      <w:r w:rsidRPr="00002625">
        <w:fldChar w:fldCharType="separate"/>
      </w:r>
      <w:r w:rsidR="00637321" w:rsidRPr="00002625">
        <w:t>Table </w:t>
      </w:r>
      <w:r w:rsidR="00637321" w:rsidRPr="00002625">
        <w:rPr>
          <w:noProof/>
        </w:rPr>
        <w:t>19</w:t>
      </w:r>
      <w:r w:rsidRPr="00002625">
        <w:fldChar w:fldCharType="end"/>
      </w:r>
      <w:r w:rsidRPr="00002625">
        <w:t xml:space="preserve"> (other, non-comparative evidence). The applicant has cited the same studies for all PICO </w:t>
      </w:r>
      <w:r w:rsidR="000C63E4" w:rsidRPr="00002625">
        <w:t>s</w:t>
      </w:r>
      <w:r w:rsidRPr="00002625">
        <w:t>ets</w:t>
      </w:r>
      <w:r w:rsidR="003736B8" w:rsidRPr="00002625">
        <w:t xml:space="preserve"> requested</w:t>
      </w:r>
      <w:r w:rsidRPr="00002625">
        <w:t xml:space="preserve">. </w:t>
      </w:r>
      <w:r w:rsidR="00B97ACA" w:rsidRPr="00002625">
        <w:t>Only three of the studies were comparative</w:t>
      </w:r>
      <w:r w:rsidR="006D2522" w:rsidRPr="00002625">
        <w:t xml:space="preserve"> (</w:t>
      </w:r>
      <w:r w:rsidR="00E846D0" w:rsidRPr="00002625">
        <w:t>Pickhardt 2003; Kim 2007; Rua 2020</w:t>
      </w:r>
      <w:r w:rsidR="006D2522" w:rsidRPr="00002625">
        <w:t>)</w:t>
      </w:r>
      <w:r w:rsidR="00B97ACA" w:rsidRPr="00002625">
        <w:t xml:space="preserve">, </w:t>
      </w:r>
      <w:r w:rsidR="00E846D0" w:rsidRPr="00002625">
        <w:t xml:space="preserve">the first </w:t>
      </w:r>
      <w:r w:rsidR="00B97ACA" w:rsidRPr="00002625">
        <w:t xml:space="preserve">two of which </w:t>
      </w:r>
      <w:r w:rsidR="00E846D0" w:rsidRPr="00002625">
        <w:t>were considered in</w:t>
      </w:r>
      <w:r w:rsidR="00B97ACA" w:rsidRPr="00002625">
        <w:t xml:space="preserve"> the last </w:t>
      </w:r>
      <w:r w:rsidR="00675DCC" w:rsidRPr="00002625">
        <w:t xml:space="preserve">submission to MSAC </w:t>
      </w:r>
      <w:r w:rsidR="002063DE" w:rsidRPr="00002625">
        <w:t xml:space="preserve">(application </w:t>
      </w:r>
      <w:r w:rsidR="00675DCC" w:rsidRPr="00002625">
        <w:t>1269</w:t>
      </w:r>
      <w:r w:rsidR="002063DE" w:rsidRPr="00002625">
        <w:t>)</w:t>
      </w:r>
      <w:r w:rsidR="00675DCC" w:rsidRPr="00002625">
        <w:t xml:space="preserve">. </w:t>
      </w:r>
      <w:r w:rsidR="00187C11" w:rsidRPr="00002625">
        <w:t xml:space="preserve">The remaining studies cited were not comparative </w:t>
      </w:r>
      <w:r w:rsidR="00011FD0" w:rsidRPr="00002625">
        <w:t xml:space="preserve">and represent </w:t>
      </w:r>
      <w:r w:rsidR="00187C11" w:rsidRPr="00002625">
        <w:t xml:space="preserve">a very low level of evidence for </w:t>
      </w:r>
      <w:r w:rsidR="00E846D0" w:rsidRPr="00002625">
        <w:t xml:space="preserve">an indication where there are already funded interventions available. </w:t>
      </w:r>
    </w:p>
    <w:p w14:paraId="76813DAB" w14:textId="0124CAF9" w:rsidR="00D27370" w:rsidRPr="00002625" w:rsidRDefault="00D27370" w:rsidP="00A51825">
      <w:r w:rsidRPr="00002625">
        <w:t xml:space="preserve">A preliminary search of the peer-reviewed literature </w:t>
      </w:r>
      <w:r w:rsidR="000E20A0" w:rsidRPr="00002625">
        <w:t xml:space="preserve">was undertaken that focused on evidence published in the last 10 years. </w:t>
      </w:r>
      <w:r w:rsidR="00EC1936" w:rsidRPr="00002625">
        <w:t>F</w:t>
      </w:r>
      <w:r w:rsidR="00DF2E2B" w:rsidRPr="00002625">
        <w:t xml:space="preserve">ew articles were </w:t>
      </w:r>
      <w:r w:rsidR="007C4C74" w:rsidRPr="00002625">
        <w:t>returned</w:t>
      </w:r>
      <w:r w:rsidR="00DF2E2B" w:rsidRPr="00002625">
        <w:t xml:space="preserve"> that evaluated </w:t>
      </w:r>
      <w:r w:rsidR="008F736C" w:rsidRPr="00002625">
        <w:t>CTC versus colonoscopy</w:t>
      </w:r>
      <w:r w:rsidR="00EC1936" w:rsidRPr="00002625">
        <w:t xml:space="preserve"> and presented either diagnostic or disease outcomes</w:t>
      </w:r>
      <w:r w:rsidR="008F736C" w:rsidRPr="00002625">
        <w:t xml:space="preserve">. </w:t>
      </w:r>
      <w:r w:rsidR="001B55C1" w:rsidRPr="00002625">
        <w:t>Many</w:t>
      </w:r>
      <w:r w:rsidR="00AC7133" w:rsidRPr="00002625">
        <w:t xml:space="preserve"> studies </w:t>
      </w:r>
      <w:r w:rsidR="00D2194B" w:rsidRPr="00002625">
        <w:t>were non-comparative</w:t>
      </w:r>
      <w:r w:rsidR="000B4A02" w:rsidRPr="00002625">
        <w:t xml:space="preserve"> and presented specific outcomes only (interval cancers; </w:t>
      </w:r>
      <w:r w:rsidR="001217E1" w:rsidRPr="00002625">
        <w:t>perforations)</w:t>
      </w:r>
      <w:r w:rsidR="00D2194B" w:rsidRPr="00002625">
        <w:t xml:space="preserve">. Others </w:t>
      </w:r>
      <w:r w:rsidR="00AC7133" w:rsidRPr="00002625">
        <w:t xml:space="preserve">explored </w:t>
      </w:r>
      <w:r w:rsidR="002D62BC" w:rsidRPr="00002625">
        <w:t xml:space="preserve">different </w:t>
      </w:r>
      <w:r w:rsidR="00654CCC" w:rsidRPr="00002625">
        <w:t>comparators</w:t>
      </w:r>
      <w:r w:rsidR="002D62BC" w:rsidRPr="00002625">
        <w:t xml:space="preserve"> (sigmoidoscopy, capsule endoscopy</w:t>
      </w:r>
      <w:r w:rsidR="001217E1" w:rsidRPr="00002625">
        <w:t>, gu</w:t>
      </w:r>
      <w:r w:rsidR="00343D7E" w:rsidRPr="00002625">
        <w:t>a</w:t>
      </w:r>
      <w:r w:rsidR="001217E1" w:rsidRPr="00002625">
        <w:t xml:space="preserve">iac </w:t>
      </w:r>
      <w:r w:rsidR="00343D7E" w:rsidRPr="00002625">
        <w:t>or immunochemical</w:t>
      </w:r>
      <w:r w:rsidR="00D53AFE" w:rsidRPr="00002625">
        <w:t xml:space="preserve"> stool</w:t>
      </w:r>
      <w:r w:rsidR="00343D7E" w:rsidRPr="00002625">
        <w:t xml:space="preserve"> </w:t>
      </w:r>
      <w:r w:rsidR="001217E1" w:rsidRPr="00002625">
        <w:t>testing</w:t>
      </w:r>
      <w:r w:rsidR="002D62BC" w:rsidRPr="00002625">
        <w:t>)</w:t>
      </w:r>
      <w:r w:rsidR="00410ADF" w:rsidRPr="00002625">
        <w:t>, modified interventions (</w:t>
      </w:r>
      <w:r w:rsidR="00CA7AEC" w:rsidRPr="00002625">
        <w:t xml:space="preserve">in terms of </w:t>
      </w:r>
      <w:r w:rsidR="005E1BD9" w:rsidRPr="00002625">
        <w:t>computer aided detection</w:t>
      </w:r>
      <w:r w:rsidR="00CA7AEC" w:rsidRPr="00002625">
        <w:t xml:space="preserve"> methods</w:t>
      </w:r>
      <w:r w:rsidR="005E1BD9" w:rsidRPr="00002625">
        <w:t xml:space="preserve">, bowel </w:t>
      </w:r>
      <w:r w:rsidR="00CA7AEC" w:rsidRPr="00002625">
        <w:t>preparations)</w:t>
      </w:r>
      <w:r w:rsidR="00E01581" w:rsidRPr="00002625">
        <w:t>,</w:t>
      </w:r>
      <w:r w:rsidR="000971FE" w:rsidRPr="00002625">
        <w:t xml:space="preserve"> or</w:t>
      </w:r>
      <w:r w:rsidR="00E01581" w:rsidRPr="00002625">
        <w:t xml:space="preserve"> experimental populations (</w:t>
      </w:r>
      <w:r w:rsidR="000971FE" w:rsidRPr="00002625">
        <w:t xml:space="preserve">for example </w:t>
      </w:r>
      <w:r w:rsidR="00E01581" w:rsidRPr="00002625">
        <w:t>Lynch Syndrome)</w:t>
      </w:r>
      <w:r w:rsidR="000971FE" w:rsidRPr="00002625">
        <w:t>.</w:t>
      </w:r>
      <w:r w:rsidR="00B36A36" w:rsidRPr="00002625">
        <w:t xml:space="preserve"> </w:t>
      </w:r>
      <w:r w:rsidR="00F406CA" w:rsidRPr="00002625">
        <w:t>One randomised study was identified in the preliminary search which presents high quality evidence of CTC versus colonoscopy</w:t>
      </w:r>
      <w:r w:rsidR="00485ECD" w:rsidRPr="00002625">
        <w:t xml:space="preserve"> for diagnosis of CRC in symptomatic patients</w:t>
      </w:r>
      <w:r w:rsidR="0099290C" w:rsidRPr="00002625">
        <w:t xml:space="preserve"> </w:t>
      </w:r>
      <w:r w:rsidR="0099290C" w:rsidRPr="00002625">
        <w:rPr>
          <w:rFonts w:cs="Calibri"/>
          <w:color w:val="000000" w:themeColor="text1"/>
        </w:rPr>
        <w:t>(</w:t>
      </w:r>
      <w:r w:rsidR="00E3013E" w:rsidRPr="00002625">
        <w:rPr>
          <w:rFonts w:cs="Calibri"/>
          <w:color w:val="000000" w:themeColor="text1"/>
        </w:rPr>
        <w:t xml:space="preserve">Atkin </w:t>
      </w:r>
      <w:r w:rsidR="005C730C" w:rsidRPr="00002625">
        <w:rPr>
          <w:rFonts w:cs="Calibri"/>
          <w:color w:val="000000" w:themeColor="text1"/>
        </w:rPr>
        <w:t>et al.</w:t>
      </w:r>
      <w:r w:rsidR="00E3013E" w:rsidRPr="00002625">
        <w:rPr>
          <w:rFonts w:cs="Calibri"/>
          <w:color w:val="000000" w:themeColor="text1"/>
        </w:rPr>
        <w:t xml:space="preserve"> 2013; </w:t>
      </w:r>
      <w:r w:rsidR="0099290C" w:rsidRPr="00002625">
        <w:rPr>
          <w:rFonts w:cs="Calibri"/>
          <w:color w:val="000000" w:themeColor="text1"/>
        </w:rPr>
        <w:t xml:space="preserve">Halligan </w:t>
      </w:r>
      <w:r w:rsidR="005C730C" w:rsidRPr="00002625">
        <w:rPr>
          <w:rFonts w:cs="Calibri"/>
          <w:color w:val="000000" w:themeColor="text1"/>
        </w:rPr>
        <w:t>et al.</w:t>
      </w:r>
      <w:r w:rsidR="0099290C" w:rsidRPr="00002625">
        <w:rPr>
          <w:rFonts w:cs="Calibri"/>
          <w:color w:val="000000" w:themeColor="text1"/>
        </w:rPr>
        <w:t xml:space="preserve"> 2015)</w:t>
      </w:r>
      <w:r w:rsidR="00F406CA" w:rsidRPr="00002625">
        <w:t xml:space="preserve">. </w:t>
      </w:r>
      <w:r w:rsidR="00F406CA" w:rsidRPr="00002625">
        <w:rPr>
          <w:rFonts w:cs="Calibri"/>
          <w:color w:val="000000" w:themeColor="text1"/>
        </w:rPr>
        <w:t>This was a trial undertaken for the NIHR</w:t>
      </w:r>
      <w:r w:rsidR="0099290C" w:rsidRPr="00002625">
        <w:rPr>
          <w:rFonts w:cs="Calibri"/>
          <w:color w:val="000000" w:themeColor="text1"/>
        </w:rPr>
        <w:t xml:space="preserve"> (</w:t>
      </w:r>
      <w:r w:rsidR="00F406CA" w:rsidRPr="00002625">
        <w:rPr>
          <w:rFonts w:cs="Calibri"/>
          <w:color w:val="000000" w:themeColor="text1"/>
        </w:rPr>
        <w:t>United Kingdom</w:t>
      </w:r>
      <w:r w:rsidR="0099290C" w:rsidRPr="00002625">
        <w:rPr>
          <w:rFonts w:cs="Calibri"/>
          <w:color w:val="000000" w:themeColor="text1"/>
        </w:rPr>
        <w:t>)</w:t>
      </w:r>
      <w:r w:rsidR="00812018" w:rsidRPr="00002625">
        <w:rPr>
          <w:rFonts w:cs="Calibri"/>
          <w:color w:val="000000" w:themeColor="text1"/>
        </w:rPr>
        <w:t xml:space="preserve"> </w:t>
      </w:r>
      <w:r w:rsidR="00526905" w:rsidRPr="00002625">
        <w:rPr>
          <w:rFonts w:cs="Calibri"/>
          <w:color w:val="000000" w:themeColor="text1"/>
        </w:rPr>
        <w:t xml:space="preserve">to inform </w:t>
      </w:r>
      <w:r w:rsidR="00A17C2A" w:rsidRPr="00002625">
        <w:rPr>
          <w:rFonts w:cs="Calibri"/>
          <w:color w:val="000000" w:themeColor="text1"/>
        </w:rPr>
        <w:t>Health Technology Assessment (</w:t>
      </w:r>
      <w:r w:rsidR="00526905" w:rsidRPr="00002625">
        <w:rPr>
          <w:rFonts w:cs="Calibri"/>
          <w:color w:val="000000" w:themeColor="text1"/>
        </w:rPr>
        <w:t>HTA</w:t>
      </w:r>
      <w:r w:rsidR="00A17C2A" w:rsidRPr="00002625">
        <w:rPr>
          <w:rFonts w:cs="Calibri"/>
          <w:color w:val="000000" w:themeColor="text1"/>
        </w:rPr>
        <w:t>)</w:t>
      </w:r>
      <w:r w:rsidR="00526905" w:rsidRPr="00002625">
        <w:rPr>
          <w:rFonts w:cs="Calibri"/>
          <w:color w:val="000000" w:themeColor="text1"/>
        </w:rPr>
        <w:t xml:space="preserve"> and funding decision-making</w:t>
      </w:r>
      <w:r w:rsidR="00812018" w:rsidRPr="00002625">
        <w:rPr>
          <w:rFonts w:cs="Calibri"/>
          <w:color w:val="000000" w:themeColor="text1"/>
        </w:rPr>
        <w:t>.</w:t>
      </w:r>
      <w:r w:rsidR="00F406CA" w:rsidRPr="00002625">
        <w:t xml:space="preserve"> </w:t>
      </w:r>
      <w:r w:rsidR="00F843F3" w:rsidRPr="00002625">
        <w:t xml:space="preserve">It was noted further that the current Australian guideline (Cancer Council 2023) undertook an updated systematic review and meta-analysis of evidence for CTC which is also likely to be relevant. </w:t>
      </w:r>
      <w:r w:rsidR="00B36A36" w:rsidRPr="00002625">
        <w:t xml:space="preserve">Although the literature search will be a matter for the assessment, </w:t>
      </w:r>
      <w:r w:rsidR="007D785F" w:rsidRPr="00002625">
        <w:t xml:space="preserve">it was considered unlikely </w:t>
      </w:r>
      <w:r w:rsidR="0080190E" w:rsidRPr="00002625">
        <w:t xml:space="preserve">that </w:t>
      </w:r>
      <w:r w:rsidR="007D785F" w:rsidRPr="00002625">
        <w:t xml:space="preserve">there will be more than 10 </w:t>
      </w:r>
      <w:r w:rsidR="008A5CA3" w:rsidRPr="00002625">
        <w:t>or so</w:t>
      </w:r>
      <w:r w:rsidR="007D785F" w:rsidRPr="00002625">
        <w:t xml:space="preserve"> studies with directly relevant </w:t>
      </w:r>
      <w:r w:rsidR="0080190E" w:rsidRPr="00002625">
        <w:t xml:space="preserve">comparative </w:t>
      </w:r>
      <w:r w:rsidR="007D785F" w:rsidRPr="00002625">
        <w:t xml:space="preserve">diagnostic or </w:t>
      </w:r>
      <w:r w:rsidR="0080190E" w:rsidRPr="00002625">
        <w:t xml:space="preserve">disease outcomes for any of the requested PICO </w:t>
      </w:r>
      <w:r w:rsidR="00AE6336" w:rsidRPr="00002625">
        <w:t>s</w:t>
      </w:r>
      <w:r w:rsidR="0080190E" w:rsidRPr="00002625">
        <w:t xml:space="preserve">ets. </w:t>
      </w:r>
    </w:p>
    <w:p w14:paraId="737F199F" w14:textId="0DBBC26F" w:rsidR="00F616E8" w:rsidRPr="00002625" w:rsidDel="00361D74" w:rsidRDefault="00F616E8" w:rsidP="00A51825">
      <w:r w:rsidRPr="00002625">
        <w:t>As previously mentioned in</w:t>
      </w:r>
      <w:r w:rsidR="00615671" w:rsidRPr="00002625">
        <w:t xml:space="preserve"> the population section for PICO Set 2, no comparative studies were </w:t>
      </w:r>
      <w:r w:rsidR="008F59B7" w:rsidRPr="00002625">
        <w:t xml:space="preserve">found examining the use of CTC for </w:t>
      </w:r>
      <w:r w:rsidR="0062246F" w:rsidRPr="00002625">
        <w:t>surveillance (monitoring) of CRC patients</w:t>
      </w:r>
      <w:r w:rsidR="00416FF3" w:rsidRPr="00002625">
        <w:t xml:space="preserve"> for recurren</w:t>
      </w:r>
      <w:r w:rsidR="00BA270F" w:rsidRPr="00002625">
        <w:t>ce</w:t>
      </w:r>
      <w:r w:rsidR="00416FF3" w:rsidRPr="00002625">
        <w:t xml:space="preserve"> of their disease</w:t>
      </w:r>
      <w:r w:rsidR="00A932B1" w:rsidRPr="00002625">
        <w:t xml:space="preserve"> and no data could be found on patient-relevant </w:t>
      </w:r>
      <w:r w:rsidR="0040705B" w:rsidRPr="00002625">
        <w:t>direct disease outcomes. In the absence of direct disease outcomes, the assessment would have to employ a linked evidence approach.</w:t>
      </w:r>
    </w:p>
    <w:p w14:paraId="38B9CC6B" w14:textId="4AB92883" w:rsidR="00BF3BC5" w:rsidRPr="00002625" w:rsidRDefault="00BF3BC5" w:rsidP="007A1201">
      <w:r w:rsidRPr="00002625">
        <w:t>A truncated assessment framework</w:t>
      </w:r>
      <w:r w:rsidR="001A2265" w:rsidRPr="00002625">
        <w:t xml:space="preserve"> for triage testing</w:t>
      </w:r>
      <w:r w:rsidRPr="00002625">
        <w:t xml:space="preserve"> </w:t>
      </w:r>
      <w:r w:rsidR="00F22C69" w:rsidRPr="00002625">
        <w:t xml:space="preserve">(see </w:t>
      </w:r>
      <w:r w:rsidR="00F22C69" w:rsidRPr="00002625">
        <w:fldChar w:fldCharType="begin"/>
      </w:r>
      <w:r w:rsidR="00F22C69" w:rsidRPr="00002625">
        <w:instrText xml:space="preserve"> REF _Ref68327680 \h </w:instrText>
      </w:r>
      <w:r w:rsidR="00891160" w:rsidRPr="00002625">
        <w:instrText xml:space="preserve"> \* MERGEFORMAT </w:instrText>
      </w:r>
      <w:r w:rsidR="00F22C69" w:rsidRPr="00002625">
        <w:fldChar w:fldCharType="separate"/>
      </w:r>
      <w:r w:rsidR="00637321" w:rsidRPr="00002625">
        <w:t>Figure 1</w:t>
      </w:r>
      <w:r w:rsidR="00F22C69" w:rsidRPr="00002625">
        <w:fldChar w:fldCharType="end"/>
      </w:r>
      <w:r w:rsidR="00F22C69" w:rsidRPr="00002625">
        <w:t xml:space="preserve">) is proposed based on the claim of non-inferiority and the </w:t>
      </w:r>
      <w:r w:rsidR="00D251A4" w:rsidRPr="00002625">
        <w:t xml:space="preserve">proposal that CTC is an alternative to colonoscopy. The applicant claims </w:t>
      </w:r>
      <w:r w:rsidR="006D7F8B" w:rsidRPr="00002625">
        <w:t xml:space="preserve">that CTC </w:t>
      </w:r>
      <w:r w:rsidR="009A3FA3" w:rsidRPr="00002625">
        <w:t>will provide the same diagnostic information</w:t>
      </w:r>
      <w:r w:rsidR="00162544" w:rsidRPr="00002625">
        <w:t xml:space="preserve"> for CRC as colonoscopy. It is therefore assumed that</w:t>
      </w:r>
      <w:r w:rsidR="009905D7" w:rsidRPr="00002625">
        <w:t xml:space="preserve"> there would be no difference in </w:t>
      </w:r>
      <w:r w:rsidR="00BE4F86" w:rsidRPr="00002625">
        <w:t xml:space="preserve">health outcomes </w:t>
      </w:r>
      <w:r w:rsidR="001E557B" w:rsidRPr="00002625">
        <w:t>if a patient</w:t>
      </w:r>
      <w:r w:rsidR="00510B01" w:rsidRPr="00002625">
        <w:t xml:space="preserve"> from either </w:t>
      </w:r>
      <w:r w:rsidR="007C5F09" w:rsidRPr="00002625">
        <w:t>population (diagnostic or surveillance)</w:t>
      </w:r>
      <w:r w:rsidR="001E557B" w:rsidRPr="00002625">
        <w:t xml:space="preserve"> were </w:t>
      </w:r>
      <w:r w:rsidR="0050017A" w:rsidRPr="00002625">
        <w:t xml:space="preserve">to undergo CTC or </w:t>
      </w:r>
      <w:r w:rsidR="007C5F09" w:rsidRPr="00002625">
        <w:t>colonoscopy</w:t>
      </w:r>
      <w:r w:rsidR="00FA4E41" w:rsidRPr="00002625">
        <w:t xml:space="preserve"> for the detection of CRC or colorectal polyps.</w:t>
      </w:r>
    </w:p>
    <w:p w14:paraId="5190F45A" w14:textId="28A53258" w:rsidR="00FA4E41" w:rsidRPr="00002625" w:rsidRDefault="00FA4E41" w:rsidP="007A1201">
      <w:r w:rsidRPr="00002625">
        <w:t>In the event th</w:t>
      </w:r>
      <w:r w:rsidR="00342883" w:rsidRPr="00002625">
        <w:t>at</w:t>
      </w:r>
      <w:r w:rsidRPr="00002625">
        <w:t xml:space="preserve"> non</w:t>
      </w:r>
      <w:r w:rsidR="005C751C" w:rsidRPr="00002625">
        <w:t>-</w:t>
      </w:r>
      <w:r w:rsidR="00891160" w:rsidRPr="00002625">
        <w:t>inferiority</w:t>
      </w:r>
      <w:r w:rsidR="0090090E" w:rsidRPr="00002625">
        <w:t xml:space="preserve"> cannot be demonstrated (i.e. </w:t>
      </w:r>
      <w:r w:rsidR="00CB76DA" w:rsidRPr="00002625">
        <w:t xml:space="preserve">CTC </w:t>
      </w:r>
      <w:r w:rsidR="001C19E5" w:rsidRPr="00002625">
        <w:t xml:space="preserve">does not provide the same information and health </w:t>
      </w:r>
      <w:r w:rsidR="005D2529" w:rsidRPr="00002625">
        <w:t>outcomes)</w:t>
      </w:r>
      <w:r w:rsidR="00F643BA" w:rsidRPr="00002625">
        <w:t xml:space="preserve">, a full assessment framework may be required. </w:t>
      </w:r>
    </w:p>
    <w:p w14:paraId="7C5CF912" w14:textId="33F2A0E9" w:rsidR="4B1D7DFB" w:rsidRPr="00002625" w:rsidRDefault="4B1D7DFB" w:rsidP="4B1D7DFB">
      <w:pPr>
        <w:keepNext/>
        <w:jc w:val="right"/>
      </w:pPr>
    </w:p>
    <w:p w14:paraId="12F2305D" w14:textId="29DE80E8" w:rsidR="00717443" w:rsidRPr="00002625" w:rsidRDefault="00BB4CD4" w:rsidP="003703B3">
      <w:pPr>
        <w:keepNext/>
        <w:jc w:val="right"/>
      </w:pPr>
      <w:r w:rsidRPr="00002625">
        <w:rPr>
          <w:noProof/>
        </w:rPr>
        <w:object w:dxaOrig="9605" w:dyaOrig="5393" w14:anchorId="134F6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ssessment framework that has been truncated at the final classification of test results (following a triage and definitive test) with the inference that the final classification will result in the same health outcomes" style="width:7in;height:168.3pt" o:ole="">
            <v:imagedata r:id="rId10" o:title="" croptop="18603f" cropbottom="8750f"/>
          </v:shape>
          <o:OLEObject Type="Embed" ProgID="PowerPoint.Slide.12" ShapeID="_x0000_i1025" DrawAspect="Content" ObjectID="_1808039090" r:id="rId11"/>
        </w:object>
      </w:r>
    </w:p>
    <w:p w14:paraId="58E23E9A" w14:textId="7F4516EC" w:rsidR="009B31CC" w:rsidRPr="00002625" w:rsidRDefault="00AE6FE0" w:rsidP="00C40CC4">
      <w:pPr>
        <w:pStyle w:val="Caption"/>
        <w:rPr>
          <w:lang w:val="en-AU"/>
        </w:rPr>
      </w:pPr>
      <w:bookmarkStart w:id="30" w:name="_Ref68327593"/>
      <w:bookmarkStart w:id="31" w:name="_Ref68327680"/>
      <w:r w:rsidRPr="00002625">
        <w:rPr>
          <w:lang w:val="en-AU"/>
        </w:rPr>
        <w:t>Figure</w:t>
      </w:r>
      <w:bookmarkEnd w:id="30"/>
      <w:r w:rsidR="00E607F3" w:rsidRPr="00002625">
        <w:rPr>
          <w:lang w:val="en-AU"/>
        </w:rPr>
        <w:t> </w:t>
      </w:r>
      <w:r w:rsidRPr="00002625">
        <w:rPr>
          <w:lang w:val="en-AU"/>
        </w:rPr>
        <w:fldChar w:fldCharType="begin"/>
      </w:r>
      <w:r w:rsidRPr="00002625">
        <w:rPr>
          <w:lang w:val="en-AU"/>
        </w:rPr>
        <w:instrText xml:space="preserve"> SEQ Figure \* ARABIC </w:instrText>
      </w:r>
      <w:r w:rsidRPr="00002625">
        <w:rPr>
          <w:lang w:val="en-AU"/>
        </w:rPr>
        <w:fldChar w:fldCharType="separate"/>
      </w:r>
      <w:r w:rsidR="00637321" w:rsidRPr="00002625">
        <w:rPr>
          <w:noProof/>
          <w:lang w:val="en-AU"/>
        </w:rPr>
        <w:t>1</w:t>
      </w:r>
      <w:r w:rsidRPr="00002625">
        <w:rPr>
          <w:lang w:val="en-AU"/>
        </w:rPr>
        <w:fldChar w:fldCharType="end"/>
      </w:r>
      <w:bookmarkEnd w:id="31"/>
      <w:r w:rsidR="009B31CC" w:rsidRPr="00002625">
        <w:rPr>
          <w:lang w:val="en-AU"/>
        </w:rPr>
        <w:tab/>
      </w:r>
      <w:r w:rsidR="00C52B41" w:rsidRPr="00002625">
        <w:rPr>
          <w:lang w:val="en-AU"/>
        </w:rPr>
        <w:t>A</w:t>
      </w:r>
      <w:r w:rsidR="009B31CC" w:rsidRPr="00002625">
        <w:rPr>
          <w:lang w:val="en-AU"/>
        </w:rPr>
        <w:t xml:space="preserve">ssessment framework </w:t>
      </w:r>
      <w:r w:rsidR="004930C6" w:rsidRPr="00002625">
        <w:rPr>
          <w:lang w:val="en-AU"/>
        </w:rPr>
        <w:t xml:space="preserve">that has been truncated at the final </w:t>
      </w:r>
      <w:r w:rsidR="00750451" w:rsidRPr="00002625">
        <w:rPr>
          <w:lang w:val="en-AU"/>
        </w:rPr>
        <w:t xml:space="preserve">classification </w:t>
      </w:r>
      <w:r w:rsidR="00186082" w:rsidRPr="00002625">
        <w:rPr>
          <w:lang w:val="en-AU"/>
        </w:rPr>
        <w:t xml:space="preserve">of test results (following a triage and definitive test) with the inference that the final classification </w:t>
      </w:r>
      <w:r w:rsidR="00AA30DB" w:rsidRPr="00002625">
        <w:rPr>
          <w:lang w:val="en-AU"/>
        </w:rPr>
        <w:t xml:space="preserve">will result in the </w:t>
      </w:r>
      <w:r w:rsidR="00E4225A" w:rsidRPr="00002625">
        <w:rPr>
          <w:lang w:val="en-AU"/>
        </w:rPr>
        <w:t>same health outcomes</w:t>
      </w:r>
    </w:p>
    <w:p w14:paraId="1797D15B" w14:textId="068EAC6F" w:rsidR="00982729" w:rsidRPr="00002625" w:rsidRDefault="005C336E" w:rsidP="00712EA1">
      <w:pPr>
        <w:pStyle w:val="Tablenotes"/>
        <w:keepLines/>
        <w:spacing w:after="360"/>
        <w:rPr>
          <w:szCs w:val="18"/>
        </w:rPr>
      </w:pPr>
      <w:r w:rsidRPr="00002625">
        <w:rPr>
          <w:szCs w:val="18"/>
        </w:rPr>
        <w:t xml:space="preserve">CRC = colorectal cancer; CTC = </w:t>
      </w:r>
      <w:r w:rsidRPr="00002625">
        <w:t>computed tomography colonography</w:t>
      </w:r>
      <w:r w:rsidRPr="00002625" w:rsidDel="005C336E">
        <w:rPr>
          <w:szCs w:val="18"/>
        </w:rPr>
        <w:t xml:space="preserve"> </w:t>
      </w:r>
      <w:r w:rsidRPr="00002625">
        <w:rPr>
          <w:szCs w:val="18"/>
        </w:rPr>
        <w:tab/>
      </w:r>
      <w:r w:rsidRPr="00002625">
        <w:rPr>
          <w:szCs w:val="18"/>
        </w:rPr>
        <w:br/>
        <w:t xml:space="preserve">1: </w:t>
      </w:r>
      <w:r w:rsidR="00EB165B" w:rsidRPr="00002625">
        <w:rPr>
          <w:szCs w:val="18"/>
        </w:rPr>
        <w:t xml:space="preserve">change in uptake </w:t>
      </w:r>
      <w:r w:rsidR="005009D1" w:rsidRPr="00002625">
        <w:rPr>
          <w:szCs w:val="18"/>
        </w:rPr>
        <w:t>rate for testing</w:t>
      </w:r>
      <w:r w:rsidR="00C40CC4" w:rsidRPr="00002625">
        <w:rPr>
          <w:szCs w:val="18"/>
        </w:rPr>
        <w:t xml:space="preserve">; 2: </w:t>
      </w:r>
      <w:r w:rsidR="008E4D44" w:rsidRPr="00002625">
        <w:rPr>
          <w:szCs w:val="18"/>
        </w:rPr>
        <w:t>direct from test to health outcomes evidence</w:t>
      </w:r>
      <w:r w:rsidR="00C40CC4" w:rsidRPr="00002625">
        <w:rPr>
          <w:szCs w:val="18"/>
        </w:rPr>
        <w:t xml:space="preserve">; 3: </w:t>
      </w:r>
      <w:r w:rsidR="007A2DC6" w:rsidRPr="00002625">
        <w:rPr>
          <w:szCs w:val="18"/>
        </w:rPr>
        <w:t xml:space="preserve">direct from test to </w:t>
      </w:r>
      <w:r w:rsidR="00503934" w:rsidRPr="00002625">
        <w:rPr>
          <w:szCs w:val="18"/>
        </w:rPr>
        <w:t>categorisations and clinical decisions</w:t>
      </w:r>
      <w:r w:rsidR="00C40CC4" w:rsidRPr="00002625">
        <w:rPr>
          <w:szCs w:val="18"/>
        </w:rPr>
        <w:t xml:space="preserve">; 4: </w:t>
      </w:r>
      <w:r w:rsidR="006403DE" w:rsidRPr="00002625">
        <w:rPr>
          <w:szCs w:val="18"/>
        </w:rPr>
        <w:t>test accuracy</w:t>
      </w:r>
      <w:r w:rsidR="00B0470B" w:rsidRPr="00002625">
        <w:rPr>
          <w:szCs w:val="18"/>
        </w:rPr>
        <w:t xml:space="preserve">; 5: </w:t>
      </w:r>
      <w:r w:rsidR="000F021F" w:rsidRPr="00002625">
        <w:rPr>
          <w:szCs w:val="18"/>
        </w:rPr>
        <w:t>change in investigative thinking</w:t>
      </w:r>
      <w:r w:rsidR="00B0470B" w:rsidRPr="00002625">
        <w:rPr>
          <w:szCs w:val="18"/>
        </w:rPr>
        <w:t xml:space="preserve">; 6: </w:t>
      </w:r>
      <w:r w:rsidR="0071562D" w:rsidRPr="00002625">
        <w:rPr>
          <w:szCs w:val="18"/>
        </w:rPr>
        <w:t xml:space="preserve">test accuracy in terms of </w:t>
      </w:r>
      <w:r w:rsidR="005E21C5" w:rsidRPr="00002625">
        <w:rPr>
          <w:szCs w:val="18"/>
        </w:rPr>
        <w:t>sensitivity and specificity</w:t>
      </w:r>
      <w:r w:rsidR="00B0470B" w:rsidRPr="00002625">
        <w:rPr>
          <w:szCs w:val="18"/>
        </w:rPr>
        <w:t xml:space="preserve">; 7: </w:t>
      </w:r>
      <w:r w:rsidR="00EA69AB" w:rsidRPr="00002625">
        <w:rPr>
          <w:szCs w:val="18"/>
        </w:rPr>
        <w:t>inference</w:t>
      </w:r>
      <w:r w:rsidR="00B0470B" w:rsidRPr="00002625">
        <w:rPr>
          <w:szCs w:val="18"/>
        </w:rPr>
        <w:t xml:space="preserve">; 8: </w:t>
      </w:r>
      <w:r w:rsidR="00145103" w:rsidRPr="00002625">
        <w:rPr>
          <w:szCs w:val="18"/>
        </w:rPr>
        <w:t>adverse events due to CTC; 9. adverse events due to colonoscopy</w:t>
      </w:r>
    </w:p>
    <w:p w14:paraId="630D2EE2" w14:textId="643788AC" w:rsidR="00142210" w:rsidRPr="00002625" w:rsidRDefault="00142210" w:rsidP="00142210">
      <w:r w:rsidRPr="00002625">
        <w:t xml:space="preserve">The assessment questions </w:t>
      </w:r>
      <w:r w:rsidR="00597DA2" w:rsidRPr="00002625">
        <w:t xml:space="preserve">for a claim of non-inferiority </w:t>
      </w:r>
      <w:r w:rsidR="00E4225A" w:rsidRPr="00002625">
        <w:t xml:space="preserve">for use of a triage test (CTC) compared with the main comparator (definitive test [colonoscopy]) </w:t>
      </w:r>
      <w:r w:rsidRPr="00002625">
        <w:t>are:</w:t>
      </w:r>
    </w:p>
    <w:p w14:paraId="5E84A2E9" w14:textId="55F4C8D7" w:rsidR="00E4225A" w:rsidRPr="00002625" w:rsidRDefault="00E4225A" w:rsidP="000773E1">
      <w:pPr>
        <w:pStyle w:val="ListParagraph"/>
        <w:numPr>
          <w:ilvl w:val="0"/>
          <w:numId w:val="10"/>
        </w:numPr>
      </w:pPr>
      <w:r w:rsidRPr="00002625">
        <w:t>Does the use of CTC change the uptake rate for testing compared with the current testing regimen?</w:t>
      </w:r>
    </w:p>
    <w:p w14:paraId="44B52B00" w14:textId="1CC06AAD" w:rsidR="00142210" w:rsidRPr="00002625" w:rsidRDefault="00B47EB3" w:rsidP="000773E1">
      <w:pPr>
        <w:pStyle w:val="ListParagraph"/>
        <w:numPr>
          <w:ilvl w:val="0"/>
          <w:numId w:val="10"/>
        </w:numPr>
      </w:pPr>
      <w:r w:rsidRPr="00002625">
        <w:t xml:space="preserve">Does the use of CTC in the diagnostic and surveillance populations in </w:t>
      </w:r>
      <w:r w:rsidR="00276A6A" w:rsidRPr="00002625">
        <w:t xml:space="preserve">PICO </w:t>
      </w:r>
      <w:r w:rsidR="00EA4B11" w:rsidRPr="00002625">
        <w:t>s</w:t>
      </w:r>
      <w:r w:rsidR="00276A6A" w:rsidRPr="00002625">
        <w:t>ets 1 and 2</w:t>
      </w:r>
      <w:r w:rsidRPr="00002625">
        <w:t xml:space="preserve"> result in </w:t>
      </w:r>
      <w:r w:rsidR="0055479D" w:rsidRPr="00002625">
        <w:t xml:space="preserve">the same or better </w:t>
      </w:r>
      <w:r w:rsidRPr="00002625">
        <w:t>health outcomes</w:t>
      </w:r>
      <w:r w:rsidR="000D2943" w:rsidRPr="00002625">
        <w:t xml:space="preserve"> (</w:t>
      </w:r>
      <w:r w:rsidRPr="00002625">
        <w:t xml:space="preserve">e.g. </w:t>
      </w:r>
      <w:r w:rsidR="000D2943" w:rsidRPr="00002625">
        <w:t>detection rate, post-CTC cancers)</w:t>
      </w:r>
      <w:r w:rsidRPr="00002625">
        <w:t xml:space="preserve"> </w:t>
      </w:r>
      <w:r w:rsidR="00087FC6" w:rsidRPr="00002625">
        <w:t>compared with</w:t>
      </w:r>
      <w:r w:rsidRPr="00002625">
        <w:t xml:space="preserve"> </w:t>
      </w:r>
      <w:r w:rsidR="00C229A4" w:rsidRPr="00002625">
        <w:t>colonoscopy</w:t>
      </w:r>
      <w:r w:rsidRPr="00002625">
        <w:t>?</w:t>
      </w:r>
    </w:p>
    <w:p w14:paraId="20FE96F0" w14:textId="5CF19996" w:rsidR="00952946" w:rsidRPr="00002625" w:rsidRDefault="00952946" w:rsidP="000773E1">
      <w:pPr>
        <w:pStyle w:val="ListParagraph"/>
        <w:numPr>
          <w:ilvl w:val="0"/>
          <w:numId w:val="10"/>
        </w:numPr>
      </w:pPr>
      <w:r w:rsidRPr="00002625">
        <w:t xml:space="preserve">Does the use of CTC in the diagnostic and surveillance populations in PICO sets 1 and 2 </w:t>
      </w:r>
      <w:r w:rsidR="00131C80" w:rsidRPr="00002625">
        <w:t>result in the same categorisation (positive/negative, presence/absence, high risk/low risk) or the same clinical decisions compared with colonoscopy?</w:t>
      </w:r>
    </w:p>
    <w:p w14:paraId="7F340BF6" w14:textId="53FCEFFD" w:rsidR="0001413F" w:rsidRPr="00002625" w:rsidRDefault="0001413F" w:rsidP="000773E1">
      <w:pPr>
        <w:pStyle w:val="ListParagraph"/>
        <w:numPr>
          <w:ilvl w:val="0"/>
          <w:numId w:val="10"/>
        </w:numPr>
      </w:pPr>
      <w:r w:rsidRPr="00002625">
        <w:t>What is the test accuracy of C</w:t>
      </w:r>
      <w:r w:rsidR="006076C5" w:rsidRPr="00002625">
        <w:t>TC</w:t>
      </w:r>
      <w:r w:rsidR="00EE382B" w:rsidRPr="00002625">
        <w:t xml:space="preserve"> compared with colonoscopy? What is the nature of the incorrect classifications (i.e. ratio of false positive</w:t>
      </w:r>
      <w:r w:rsidR="001D69C6" w:rsidRPr="00002625">
        <w:t>s to false negatives) from using CTC? What are the clinical consequences of the false negative CTC result?</w:t>
      </w:r>
    </w:p>
    <w:p w14:paraId="026D6F87" w14:textId="4B92DE7A" w:rsidR="000E63F2" w:rsidRPr="00002625" w:rsidRDefault="00D577A4" w:rsidP="000773E1">
      <w:pPr>
        <w:pStyle w:val="ListParagraph"/>
        <w:numPr>
          <w:ilvl w:val="0"/>
          <w:numId w:val="10"/>
        </w:numPr>
      </w:pPr>
      <w:r w:rsidRPr="00002625">
        <w:t>Does information from CTC result in a change in investigative thinking and change in the individuals who are referred for the definitive test?</w:t>
      </w:r>
    </w:p>
    <w:p w14:paraId="2830C900" w14:textId="3878D678" w:rsidR="0001688C" w:rsidRPr="00002625" w:rsidRDefault="005C751C" w:rsidP="000773E1">
      <w:pPr>
        <w:pStyle w:val="ListParagraph"/>
        <w:numPr>
          <w:ilvl w:val="0"/>
          <w:numId w:val="10"/>
        </w:numPr>
      </w:pPr>
      <w:r w:rsidRPr="00002625">
        <w:t xml:space="preserve">Inference that </w:t>
      </w:r>
      <w:r w:rsidR="00BB7833" w:rsidRPr="00002625">
        <w:t xml:space="preserve">the same final classification of patient (all patients classified using </w:t>
      </w:r>
      <w:r w:rsidR="00DF05A1" w:rsidRPr="00002625">
        <w:t xml:space="preserve">colonoscopy are classified similarly if </w:t>
      </w:r>
      <w:r w:rsidR="006633E1" w:rsidRPr="00002625">
        <w:t>CTC were introduced</w:t>
      </w:r>
      <w:r w:rsidR="00465C03" w:rsidRPr="00002625">
        <w:t xml:space="preserve">? </w:t>
      </w:r>
      <w:r w:rsidR="00AF4449" w:rsidRPr="00002625">
        <w:t>will result in the same</w:t>
      </w:r>
      <w:r w:rsidRPr="00002625">
        <w:t xml:space="preserve"> health outcomes</w:t>
      </w:r>
      <w:r w:rsidR="004C1D9A" w:rsidRPr="00002625">
        <w:t>?</w:t>
      </w:r>
    </w:p>
    <w:p w14:paraId="3D5FA370" w14:textId="261626E9" w:rsidR="006C6C2E" w:rsidRPr="00002625" w:rsidRDefault="00F947BF" w:rsidP="000773E1">
      <w:pPr>
        <w:pStyle w:val="ListParagraph"/>
        <w:numPr>
          <w:ilvl w:val="0"/>
          <w:numId w:val="10"/>
        </w:numPr>
      </w:pPr>
      <w:r w:rsidRPr="00002625">
        <w:t xml:space="preserve">What are the </w:t>
      </w:r>
      <w:r w:rsidR="00C1185C" w:rsidRPr="00002625">
        <w:t>harms</w:t>
      </w:r>
      <w:r w:rsidR="00030CC5" w:rsidRPr="00002625">
        <w:t xml:space="preserve"> </w:t>
      </w:r>
      <w:r w:rsidRPr="00002625">
        <w:t>of CTC?</w:t>
      </w:r>
    </w:p>
    <w:p w14:paraId="3D02C2E7" w14:textId="04FC79E4" w:rsidR="00C1185C" w:rsidRPr="00002625" w:rsidRDefault="00C1185C" w:rsidP="000773E1">
      <w:pPr>
        <w:pStyle w:val="ListParagraph"/>
        <w:numPr>
          <w:ilvl w:val="0"/>
          <w:numId w:val="10"/>
        </w:numPr>
      </w:pPr>
      <w:r w:rsidRPr="00002625">
        <w:t xml:space="preserve">What are the harms of </w:t>
      </w:r>
      <w:r w:rsidR="00703872" w:rsidRPr="00002625">
        <w:t>colonoscopy?</w:t>
      </w:r>
    </w:p>
    <w:p w14:paraId="016FCC47" w14:textId="69231AF0" w:rsidR="00492DB8" w:rsidRPr="00002625" w:rsidRDefault="00492DB8" w:rsidP="003703B3">
      <w:r w:rsidRPr="00002625">
        <w:rPr>
          <w:rFonts w:asciiTheme="minorHAnsi" w:hAnsiTheme="minorHAnsi" w:cstheme="minorHAnsi"/>
          <w:i/>
          <w:iCs/>
        </w:rPr>
        <w:t>PASC noted that assessment of CTC would be considered as an add-on service to the existing diagnostic pathway.</w:t>
      </w:r>
    </w:p>
    <w:p w14:paraId="6069F0B5" w14:textId="77777777" w:rsidR="00D73332" w:rsidRPr="00002625" w:rsidRDefault="00D73332" w:rsidP="00713728">
      <w:pPr>
        <w:pStyle w:val="Heading2"/>
      </w:pPr>
      <w:r w:rsidRPr="00002625">
        <w:lastRenderedPageBreak/>
        <w:t>Clinical management algorithms</w:t>
      </w:r>
    </w:p>
    <w:p w14:paraId="081F4469" w14:textId="41155D40" w:rsidR="00992B53" w:rsidRPr="00002625" w:rsidRDefault="00992B53" w:rsidP="00C647AD">
      <w:pPr>
        <w:pStyle w:val="Heading4"/>
      </w:pPr>
      <w:bookmarkStart w:id="32" w:name="_Ref181128614"/>
      <w:r w:rsidRPr="00002625">
        <w:t>Current management algorithm</w:t>
      </w:r>
      <w:bookmarkEnd w:id="32"/>
    </w:p>
    <w:p w14:paraId="3DD1B69E" w14:textId="5696A854" w:rsidR="00B02C47" w:rsidRPr="00002625" w:rsidRDefault="001E5C4A" w:rsidP="00A12789">
      <w:r w:rsidRPr="00002625">
        <w:t xml:space="preserve">The clinical management algorithm </w:t>
      </w:r>
      <w:r w:rsidR="008B040C" w:rsidRPr="00002625">
        <w:t xml:space="preserve">showing current practice for detection of CRC </w:t>
      </w:r>
      <w:r w:rsidR="003F1EC8" w:rsidRPr="00002625">
        <w:t xml:space="preserve">using </w:t>
      </w:r>
      <w:r w:rsidR="00693151" w:rsidRPr="00002625">
        <w:t xml:space="preserve">colonoscopy and </w:t>
      </w:r>
      <w:r w:rsidR="005C43EF" w:rsidRPr="00002625">
        <w:t xml:space="preserve">CTC </w:t>
      </w:r>
      <w:r w:rsidR="00D36292" w:rsidRPr="00002625">
        <w:t xml:space="preserve">(under MBS item </w:t>
      </w:r>
      <w:r w:rsidR="00FC3FFF" w:rsidRPr="00002625">
        <w:t xml:space="preserve">56553) </w:t>
      </w:r>
      <w:r w:rsidR="002A72AD" w:rsidRPr="00002625">
        <w:t>is shown in</w:t>
      </w:r>
      <w:r w:rsidR="00536CF1" w:rsidRPr="00002625">
        <w:t xml:space="preserve"> </w:t>
      </w:r>
      <w:r w:rsidR="001F3059" w:rsidRPr="00002625">
        <w:fldChar w:fldCharType="begin"/>
      </w:r>
      <w:r w:rsidR="001F3059" w:rsidRPr="00002625">
        <w:instrText xml:space="preserve"> REF _Ref181173433 \h </w:instrText>
      </w:r>
      <w:r w:rsidR="001F3059" w:rsidRPr="00002625">
        <w:fldChar w:fldCharType="separate"/>
      </w:r>
      <w:r w:rsidR="00637321" w:rsidRPr="00002625">
        <w:t xml:space="preserve">Figure </w:t>
      </w:r>
      <w:r w:rsidR="00637321" w:rsidRPr="00002625">
        <w:rPr>
          <w:noProof/>
        </w:rPr>
        <w:t>2</w:t>
      </w:r>
      <w:r w:rsidR="001F3059" w:rsidRPr="00002625">
        <w:fldChar w:fldCharType="end"/>
      </w:r>
      <w:r w:rsidR="002A72AD" w:rsidRPr="00002625">
        <w:t>.</w:t>
      </w:r>
      <w:r w:rsidR="00AA0071" w:rsidRPr="00002625">
        <w:t xml:space="preserve"> </w:t>
      </w:r>
      <w:r w:rsidR="00032A26" w:rsidRPr="00002625">
        <w:t>CTC is currently only available</w:t>
      </w:r>
      <w:r w:rsidR="00B02C47" w:rsidRPr="00002625">
        <w:t xml:space="preserve"> as follows:</w:t>
      </w:r>
      <w:r w:rsidR="00032A26" w:rsidRPr="00002625">
        <w:t xml:space="preserve"> </w:t>
      </w:r>
    </w:p>
    <w:p w14:paraId="40B171E7" w14:textId="771ED830" w:rsidR="00B02C47" w:rsidRPr="00002625" w:rsidRDefault="00644D1C" w:rsidP="000773E1">
      <w:pPr>
        <w:pStyle w:val="ListParagraph"/>
        <w:numPr>
          <w:ilvl w:val="0"/>
          <w:numId w:val="15"/>
        </w:numPr>
      </w:pPr>
      <w:r w:rsidRPr="00002625">
        <w:t xml:space="preserve">For referral by GPs: </w:t>
      </w:r>
      <w:r w:rsidR="00BB00C6" w:rsidRPr="00002625">
        <w:t xml:space="preserve">patients who </w:t>
      </w:r>
      <w:r w:rsidR="002950D7" w:rsidRPr="00002625">
        <w:t xml:space="preserve">have undergone </w:t>
      </w:r>
      <w:r w:rsidR="00BB00C6" w:rsidRPr="00002625">
        <w:t xml:space="preserve">an incomplete colonoscopy </w:t>
      </w:r>
      <w:r w:rsidR="00B63F2F" w:rsidRPr="00002625">
        <w:t xml:space="preserve">no more than </w:t>
      </w:r>
      <w:r w:rsidR="00C32904" w:rsidRPr="00002625">
        <w:t>three</w:t>
      </w:r>
      <w:r w:rsidR="003807BD" w:rsidRPr="00002625">
        <w:t xml:space="preserve"> </w:t>
      </w:r>
      <w:r w:rsidR="007F5D7C" w:rsidRPr="00002625">
        <w:t>months prior</w:t>
      </w:r>
      <w:r w:rsidR="002950D7" w:rsidRPr="00002625">
        <w:t xml:space="preserve">, or who </w:t>
      </w:r>
      <w:r w:rsidR="000A0FAE" w:rsidRPr="00002625">
        <w:t>have a high-grade colonic obstruction</w:t>
      </w:r>
    </w:p>
    <w:p w14:paraId="1AB8B9AB" w14:textId="0A402906" w:rsidR="00644D1C" w:rsidRPr="00002625" w:rsidRDefault="00875F20" w:rsidP="000773E1">
      <w:pPr>
        <w:pStyle w:val="ListParagraph"/>
        <w:numPr>
          <w:ilvl w:val="0"/>
          <w:numId w:val="15"/>
        </w:numPr>
      </w:pPr>
      <w:r w:rsidRPr="00002625">
        <w:t xml:space="preserve">For referral by </w:t>
      </w:r>
      <w:r w:rsidR="009B1528" w:rsidRPr="00002625">
        <w:t>specialist</w:t>
      </w:r>
      <w:r w:rsidR="000A06E0" w:rsidRPr="00002625">
        <w:t xml:space="preserve"> endoscopists</w:t>
      </w:r>
      <w:r w:rsidR="009B1528" w:rsidRPr="00002625">
        <w:t xml:space="preserve"> or physician </w:t>
      </w:r>
      <w:r w:rsidR="00C40556" w:rsidRPr="00002625">
        <w:t>qualified to perform</w:t>
      </w:r>
      <w:r w:rsidR="009B1528" w:rsidRPr="00002625">
        <w:t xml:space="preserve"> colonoscopies</w:t>
      </w:r>
      <w:r w:rsidR="000A06E0" w:rsidRPr="00002625">
        <w:t>:</w:t>
      </w:r>
      <w:r w:rsidR="00C247E8" w:rsidRPr="00002625">
        <w:t xml:space="preserve"> a</w:t>
      </w:r>
      <w:r w:rsidR="008C4C5E" w:rsidRPr="00002625">
        <w:t xml:space="preserve"> patient who is</w:t>
      </w:r>
      <w:r w:rsidR="00C247E8" w:rsidRPr="00002625">
        <w:t xml:space="preserve"> symptomatic or </w:t>
      </w:r>
      <w:r w:rsidR="008C4C5E" w:rsidRPr="00002625">
        <w:t xml:space="preserve">high risk (in terms of familial CRC risk), </w:t>
      </w:r>
      <w:r w:rsidR="00C247E8" w:rsidRPr="00002625">
        <w:t>as clinically indicated</w:t>
      </w:r>
      <w:r w:rsidR="009B1528" w:rsidRPr="00002625">
        <w:t xml:space="preserve">. </w:t>
      </w:r>
    </w:p>
    <w:p w14:paraId="081DB9B9" w14:textId="183673E5" w:rsidR="00A63A04" w:rsidRPr="00002625" w:rsidRDefault="00A63A04" w:rsidP="003703B3">
      <w:r w:rsidRPr="00002625">
        <w:rPr>
          <w:rFonts w:asciiTheme="minorHAnsi" w:hAnsiTheme="minorHAnsi" w:cstheme="minorHAnsi"/>
          <w:i/>
          <w:iCs/>
        </w:rPr>
        <w:t xml:space="preserve">PASC noted that including high grade colonic obstruction as a clinical indication for CTC in the current clinical algorithm </w:t>
      </w:r>
      <w:r w:rsidR="007F2FB7">
        <w:rPr>
          <w:rFonts w:asciiTheme="minorHAnsi" w:hAnsiTheme="minorHAnsi" w:cstheme="minorHAnsi"/>
          <w:i/>
          <w:iCs/>
        </w:rPr>
        <w:t>is</w:t>
      </w:r>
      <w:r w:rsidRPr="00002625">
        <w:rPr>
          <w:rFonts w:asciiTheme="minorHAnsi" w:hAnsiTheme="minorHAnsi" w:cstheme="minorHAnsi"/>
          <w:i/>
          <w:iCs/>
        </w:rPr>
        <w:t xml:space="preserve"> not</w:t>
      </w:r>
      <w:r w:rsidR="007F2FB7">
        <w:rPr>
          <w:rFonts w:asciiTheme="minorHAnsi" w:hAnsiTheme="minorHAnsi" w:cstheme="minorHAnsi"/>
          <w:i/>
          <w:iCs/>
        </w:rPr>
        <w:t xml:space="preserve"> </w:t>
      </w:r>
      <w:r w:rsidRPr="00002625">
        <w:rPr>
          <w:rFonts w:asciiTheme="minorHAnsi" w:hAnsiTheme="minorHAnsi" w:cstheme="minorHAnsi"/>
          <w:i/>
          <w:iCs/>
        </w:rPr>
        <w:t>appropriate. CTC, like colonoscopy, requires bowel preparation which</w:t>
      </w:r>
      <w:r w:rsidR="00A07F11">
        <w:rPr>
          <w:rFonts w:asciiTheme="minorHAnsi" w:hAnsiTheme="minorHAnsi" w:cstheme="minorHAnsi"/>
          <w:i/>
          <w:iCs/>
        </w:rPr>
        <w:t xml:space="preserve"> is </w:t>
      </w:r>
      <w:r w:rsidRPr="00002625">
        <w:rPr>
          <w:rFonts w:asciiTheme="minorHAnsi" w:hAnsiTheme="minorHAnsi" w:cstheme="minorHAnsi"/>
          <w:i/>
          <w:iCs/>
        </w:rPr>
        <w:t xml:space="preserve">not </w:t>
      </w:r>
      <w:r w:rsidR="00A07F11">
        <w:rPr>
          <w:rFonts w:asciiTheme="minorHAnsi" w:hAnsiTheme="minorHAnsi" w:cstheme="minorHAnsi"/>
          <w:i/>
          <w:iCs/>
        </w:rPr>
        <w:t xml:space="preserve">safe </w:t>
      </w:r>
      <w:r w:rsidRPr="00002625">
        <w:rPr>
          <w:rFonts w:asciiTheme="minorHAnsi" w:hAnsiTheme="minorHAnsi" w:cstheme="minorHAnsi"/>
          <w:i/>
          <w:iCs/>
        </w:rPr>
        <w:t xml:space="preserve">for patients with high grade colonic obstruction </w:t>
      </w:r>
      <w:r w:rsidR="001140E8" w:rsidRPr="00002625">
        <w:rPr>
          <w:rFonts w:asciiTheme="minorHAnsi" w:hAnsiTheme="minorHAnsi" w:cstheme="minorHAnsi"/>
          <w:i/>
          <w:iCs/>
        </w:rPr>
        <w:t xml:space="preserve">due to </w:t>
      </w:r>
      <w:r w:rsidRPr="00002625">
        <w:rPr>
          <w:rFonts w:asciiTheme="minorHAnsi" w:hAnsiTheme="minorHAnsi" w:cstheme="minorHAnsi"/>
          <w:i/>
          <w:iCs/>
        </w:rPr>
        <w:t xml:space="preserve">the risk of perforation. PASC noted that CTC </w:t>
      </w:r>
      <w:r w:rsidR="000032DC">
        <w:rPr>
          <w:rFonts w:asciiTheme="minorHAnsi" w:hAnsiTheme="minorHAnsi" w:cstheme="minorHAnsi"/>
          <w:i/>
          <w:iCs/>
        </w:rPr>
        <w:t xml:space="preserve">is </w:t>
      </w:r>
      <w:r w:rsidRPr="00002625">
        <w:rPr>
          <w:rFonts w:asciiTheme="minorHAnsi" w:hAnsiTheme="minorHAnsi" w:cstheme="minorHAnsi"/>
          <w:i/>
          <w:iCs/>
        </w:rPr>
        <w:t>not appropriate in the setting of high grade colonic obstruction, due to it being a contraindication for CTC, with other imaging techniques (e.g. CT scan of abdomen and pelvis) being more appropriate than CTC in that setting</w:t>
      </w:r>
      <w:r w:rsidR="00AC0047" w:rsidRPr="00002625">
        <w:rPr>
          <w:rFonts w:asciiTheme="minorHAnsi" w:hAnsiTheme="minorHAnsi" w:cstheme="minorHAnsi"/>
          <w:i/>
          <w:iCs/>
        </w:rPr>
        <w:t>.</w:t>
      </w:r>
    </w:p>
    <w:p w14:paraId="608851D6" w14:textId="527A6F3A" w:rsidR="00623E2F" w:rsidRPr="00002625" w:rsidRDefault="00534AEC" w:rsidP="00A12789">
      <w:r w:rsidRPr="00002625">
        <w:t>The MBS item for C</w:t>
      </w:r>
      <w:r w:rsidR="00CB7B2B" w:rsidRPr="00002625">
        <w:t>TC</w:t>
      </w:r>
      <w:r w:rsidR="00C81745" w:rsidRPr="00002625">
        <w:t xml:space="preserve"> is currently only </w:t>
      </w:r>
      <w:r w:rsidR="007B4578" w:rsidRPr="00002625">
        <w:t xml:space="preserve">eligible for use in a diagnostic setting, with </w:t>
      </w:r>
      <w:r w:rsidR="00564B0D" w:rsidRPr="00002625">
        <w:t>l</w:t>
      </w:r>
      <w:r w:rsidR="004A57D2" w:rsidRPr="00002625">
        <w:t>ittle guidance or evidence available</w:t>
      </w:r>
      <w:r w:rsidR="00A51233" w:rsidRPr="00002625">
        <w:t xml:space="preserve"> on the use of CTC in monitoring and surveillance. </w:t>
      </w:r>
      <w:r w:rsidR="001D7576" w:rsidRPr="00002625">
        <w:t>T</w:t>
      </w:r>
      <w:r w:rsidR="00E76572" w:rsidRPr="00002625">
        <w:t xml:space="preserve">he </w:t>
      </w:r>
      <w:r w:rsidR="00CC17F0" w:rsidRPr="00002625">
        <w:t xml:space="preserve">Cancer Council’s </w:t>
      </w:r>
      <w:r w:rsidR="00872149" w:rsidRPr="00002625">
        <w:t xml:space="preserve">clinical practice guideline on </w:t>
      </w:r>
      <w:r w:rsidR="003F2303" w:rsidRPr="00002625">
        <w:t xml:space="preserve">CRC and colonoscopy surveillance </w:t>
      </w:r>
      <w:r w:rsidR="00EF4CB4" w:rsidRPr="00002625">
        <w:t xml:space="preserve">recommends that </w:t>
      </w:r>
      <w:r w:rsidR="00F24BD8" w:rsidRPr="00002625">
        <w:t xml:space="preserve">patients with </w:t>
      </w:r>
      <w:r w:rsidR="00986F47" w:rsidRPr="00002625">
        <w:t>a d</w:t>
      </w:r>
      <w:r w:rsidR="0024502C" w:rsidRPr="00002625">
        <w:t xml:space="preserve">etected polyp </w:t>
      </w:r>
      <w:r w:rsidR="004A57D2" w:rsidRPr="00002625">
        <w:t>between 6mm and 9mm</w:t>
      </w:r>
      <w:r w:rsidR="003D7899" w:rsidRPr="00002625">
        <w:t xml:space="preserve"> can either be offered a polypectomy or </w:t>
      </w:r>
      <w:r w:rsidR="008F18E6">
        <w:t>“</w:t>
      </w:r>
      <w:r w:rsidR="003D7899" w:rsidRPr="00002625">
        <w:t xml:space="preserve">repeat </w:t>
      </w:r>
      <w:r w:rsidR="003D7899" w:rsidRPr="00002625" w:rsidDel="00436619">
        <w:t>colonic examination</w:t>
      </w:r>
      <w:r w:rsidR="003D7899" w:rsidRPr="00002625">
        <w:t xml:space="preserve"> </w:t>
      </w:r>
      <w:r w:rsidR="008F18E6">
        <w:t>“</w:t>
      </w:r>
      <w:r w:rsidR="003D7899" w:rsidRPr="00002625">
        <w:t xml:space="preserve">at </w:t>
      </w:r>
      <w:r w:rsidR="00861572" w:rsidRPr="00002625">
        <w:t>three</w:t>
      </w:r>
      <w:r w:rsidR="003D7899" w:rsidRPr="00002625">
        <w:t xml:space="preserve"> years</w:t>
      </w:r>
      <w:r w:rsidR="008F18E6">
        <w:t xml:space="preserve">, where </w:t>
      </w:r>
      <w:r w:rsidR="00FE3E8F">
        <w:t>“colonic examination”</w:t>
      </w:r>
      <w:r w:rsidR="008F18E6">
        <w:t xml:space="preserve"> is not explicitly defined as colonoscopy or CTC, but noting that there is no evidence to support to use of CTC as surveillance</w:t>
      </w:r>
      <w:r w:rsidR="003D7899" w:rsidRPr="00002625">
        <w:t xml:space="preserve">. This </w:t>
      </w:r>
      <w:r w:rsidR="00564B0D" w:rsidRPr="00002625">
        <w:t xml:space="preserve">guidance </w:t>
      </w:r>
      <w:r w:rsidR="003D7899" w:rsidRPr="00002625">
        <w:t>has been incorporated into the current clinical algorithm</w:t>
      </w:r>
      <w:r w:rsidR="00923926" w:rsidRPr="00002625">
        <w:t>; however, it is not covered under the current MBS item for CTC</w:t>
      </w:r>
      <w:r w:rsidR="003D7899" w:rsidRPr="00002625">
        <w:t>.</w:t>
      </w:r>
    </w:p>
    <w:p w14:paraId="43FA6307" w14:textId="2A8BDEEC" w:rsidR="00032A26" w:rsidRPr="00002625" w:rsidRDefault="007559A6" w:rsidP="00A12789">
      <w:r w:rsidRPr="00002625">
        <w:t xml:space="preserve">DCBE has not </w:t>
      </w:r>
      <w:r w:rsidR="00923926" w:rsidRPr="00002625">
        <w:t xml:space="preserve">been </w:t>
      </w:r>
      <w:r w:rsidRPr="00002625">
        <w:t xml:space="preserve">included as a comparator </w:t>
      </w:r>
      <w:r w:rsidR="00AB4547" w:rsidRPr="00002625">
        <w:t xml:space="preserve">in the current clinical algorithm due to its diminishing use in Australian clinical practice, supported by </w:t>
      </w:r>
      <w:r w:rsidR="00AB2E12" w:rsidRPr="00002625">
        <w:t xml:space="preserve">recommendations from the </w:t>
      </w:r>
      <w:r w:rsidR="00460E9A" w:rsidRPr="00002625">
        <w:t xml:space="preserve">New Zealand Clinical Practice Guidelines for Bowel Screening and the European </w:t>
      </w:r>
      <w:r w:rsidR="007B086B" w:rsidRPr="00002625">
        <w:t xml:space="preserve">ESGE/ESGAR </w:t>
      </w:r>
      <w:r w:rsidR="00C47438" w:rsidRPr="00002625">
        <w:t>Guideline</w:t>
      </w:r>
      <w:r w:rsidR="00845E69" w:rsidRPr="00002625">
        <w:t xml:space="preserve"> which state that </w:t>
      </w:r>
      <w:r w:rsidR="00E23391" w:rsidRPr="00002625">
        <w:t>DCBE should not be performed</w:t>
      </w:r>
      <w:r w:rsidR="0085394B" w:rsidRPr="00002625">
        <w:t xml:space="preserve"> in the diagnosis of colorectal neoplasia or as an alternative to colonoscopy.</w:t>
      </w:r>
    </w:p>
    <w:p w14:paraId="3060C0FC" w14:textId="77C1A1ED" w:rsidR="006C7C7B" w:rsidRPr="00002625" w:rsidRDefault="006C7C7B">
      <w:pPr>
        <w:spacing w:after="160" w:line="259" w:lineRule="auto"/>
      </w:pPr>
      <w:r w:rsidRPr="00002625">
        <w:br w:type="page"/>
      </w:r>
    </w:p>
    <w:p w14:paraId="5A6DF3D0" w14:textId="77777777" w:rsidR="006C7C7B" w:rsidRPr="00002625" w:rsidRDefault="006C7C7B" w:rsidP="00A12789"/>
    <w:p w14:paraId="09694A9A" w14:textId="50FA0F7C" w:rsidR="00656A3B" w:rsidRPr="00002625" w:rsidRDefault="00BB4CD4" w:rsidP="003703B3">
      <w:pPr>
        <w:jc w:val="right"/>
      </w:pPr>
      <w:r w:rsidRPr="00002625">
        <w:rPr>
          <w:noProof/>
        </w:rPr>
        <w:object w:dxaOrig="1794" w:dyaOrig="1064" w14:anchorId="4F547BA6">
          <v:shape id="_x0000_i1026" type="#_x0000_t75" alt="Current clinical diagnostic and monitoring pathway for CRC detection using CTC and colonoscopy." style="width:528.3pt;height:330.3pt" o:ole="">
            <v:imagedata r:id="rId12" o:title="" croptop="6983f" cropbottom="2095f" cropleft="6421f" cropright="6421f"/>
          </v:shape>
          <o:OLEObject Type="Embed" ProgID="PowerPoint.Slide.12" ShapeID="_x0000_i1026" DrawAspect="Content" ObjectID="_1808039091" r:id="rId13"/>
        </w:object>
      </w:r>
    </w:p>
    <w:p w14:paraId="6EB1C26E" w14:textId="2BAC2363" w:rsidR="000C2E50" w:rsidRPr="00002625" w:rsidRDefault="000C2E50" w:rsidP="000C2E50">
      <w:pPr>
        <w:pStyle w:val="Caption"/>
        <w:spacing w:before="0"/>
        <w:rPr>
          <w:lang w:val="en-AU"/>
        </w:rPr>
      </w:pPr>
      <w:bookmarkStart w:id="33" w:name="_Ref181173433"/>
      <w:r w:rsidRPr="00002625">
        <w:rPr>
          <w:lang w:val="en-AU"/>
        </w:rPr>
        <w:t xml:space="preserve">Figure </w:t>
      </w:r>
      <w:r w:rsidRPr="00002625">
        <w:rPr>
          <w:lang w:val="en-AU"/>
        </w:rPr>
        <w:fldChar w:fldCharType="begin"/>
      </w:r>
      <w:r w:rsidRPr="00002625">
        <w:rPr>
          <w:lang w:val="en-AU"/>
        </w:rPr>
        <w:instrText xml:space="preserve"> SEQ Figure \* ARABIC </w:instrText>
      </w:r>
      <w:r w:rsidRPr="00002625">
        <w:rPr>
          <w:lang w:val="en-AU"/>
        </w:rPr>
        <w:fldChar w:fldCharType="separate"/>
      </w:r>
      <w:r w:rsidR="00637321" w:rsidRPr="00002625">
        <w:rPr>
          <w:noProof/>
          <w:lang w:val="en-AU"/>
        </w:rPr>
        <w:t>2</w:t>
      </w:r>
      <w:r w:rsidRPr="00002625">
        <w:rPr>
          <w:lang w:val="en-AU"/>
        </w:rPr>
        <w:fldChar w:fldCharType="end"/>
      </w:r>
      <w:bookmarkEnd w:id="33"/>
      <w:r w:rsidRPr="00002625">
        <w:rPr>
          <w:lang w:val="en-AU"/>
        </w:rPr>
        <w:tab/>
        <w:t>Current clinical diagnostic and monitoring pathway for CRC detection using CTC and colonoscopy.</w:t>
      </w:r>
    </w:p>
    <w:p w14:paraId="143283E1" w14:textId="2C09D2EF" w:rsidR="00552C97" w:rsidRPr="00002625" w:rsidRDefault="000C2E50" w:rsidP="00552C97">
      <w:pPr>
        <w:pStyle w:val="TableFigureFooter"/>
      </w:pPr>
      <w:r w:rsidRPr="00002625">
        <w:t>CRC = colorectal cancer; CT = computed tomography; FOBT = faecal occult blood test</w:t>
      </w:r>
      <w:r w:rsidR="0044270E" w:rsidRPr="00002625">
        <w:br/>
      </w:r>
      <w:r w:rsidR="007C4BC4" w:rsidRPr="00002625">
        <w:rPr>
          <w:vertAlign w:val="superscript"/>
        </w:rPr>
        <w:t>a</w:t>
      </w:r>
      <w:r w:rsidR="007C4BC4" w:rsidRPr="00002625">
        <w:t xml:space="preserve"> </w:t>
      </w:r>
      <w:r w:rsidR="00C63AC4" w:rsidRPr="00002625">
        <w:t>As per MBS item 56553: p</w:t>
      </w:r>
      <w:r w:rsidR="0053457A" w:rsidRPr="00002625">
        <w:t xml:space="preserve">atients must be symptomatic </w:t>
      </w:r>
      <w:r w:rsidR="000A06CE" w:rsidRPr="00002625">
        <w:t>or high risk</w:t>
      </w:r>
      <w:r w:rsidR="00E03453" w:rsidRPr="00002625">
        <w:t xml:space="preserve"> (in terms of familial CRC</w:t>
      </w:r>
      <w:r w:rsidR="00C63AC4" w:rsidRPr="00002625">
        <w:t xml:space="preserve"> history)</w:t>
      </w:r>
      <w:r w:rsidR="00435F63" w:rsidRPr="00002625">
        <w:t xml:space="preserve">, and had a scan to exclude of diagnose </w:t>
      </w:r>
      <w:r w:rsidR="001B3C50" w:rsidRPr="00002625">
        <w:t>colorectal neoplasm</w:t>
      </w:r>
      <w:r w:rsidR="00D014FF" w:rsidRPr="00002625">
        <w:t>.</w:t>
      </w:r>
      <w:r w:rsidR="002D7B84" w:rsidRPr="00002625">
        <w:br/>
        <w:t xml:space="preserve">Note: </w:t>
      </w:r>
      <w:r w:rsidR="001F3A49" w:rsidRPr="00002625">
        <w:t>Grey boxes indicate no further action required.</w:t>
      </w:r>
      <w:r w:rsidR="0044270E" w:rsidRPr="00002625">
        <w:br/>
        <w:t>Source: adapted from clinical algorithm provided in application; Cancer Council (202</w:t>
      </w:r>
      <w:r w:rsidR="00733FD7" w:rsidRPr="00002625">
        <w:t>2</w:t>
      </w:r>
      <w:r w:rsidR="0044270E" w:rsidRPr="00002625">
        <w:t>); Cancer C</w:t>
      </w:r>
      <w:r w:rsidR="00733FD7" w:rsidRPr="00002625">
        <w:t>ouncil (202</w:t>
      </w:r>
      <w:r w:rsidR="00D64E3A" w:rsidRPr="00002625">
        <w:t>3</w:t>
      </w:r>
      <w:r w:rsidR="00733FD7" w:rsidRPr="00002625">
        <w:t>)</w:t>
      </w:r>
    </w:p>
    <w:p w14:paraId="1A7F90B4" w14:textId="085F8EFE" w:rsidR="001E68ED" w:rsidRPr="00002625" w:rsidRDefault="001E68ED" w:rsidP="00552C97">
      <w:pPr>
        <w:pStyle w:val="Heading4"/>
      </w:pPr>
      <w:r w:rsidRPr="00002625">
        <w:t>Proposed clinical algorithm</w:t>
      </w:r>
    </w:p>
    <w:p w14:paraId="7D54DCBF" w14:textId="183D495D" w:rsidR="00E03032" w:rsidRPr="00002625" w:rsidRDefault="00713EF2" w:rsidP="00A12789">
      <w:r w:rsidRPr="00002625">
        <w:t xml:space="preserve">The application proposes the use of CTC </w:t>
      </w:r>
      <w:r w:rsidR="001B5191" w:rsidRPr="00002625">
        <w:t xml:space="preserve">as an </w:t>
      </w:r>
      <w:r w:rsidR="001F36FB" w:rsidRPr="00002625">
        <w:t>alternative to colonoscopy for a</w:t>
      </w:r>
      <w:r w:rsidR="000979F4" w:rsidRPr="00002625">
        <w:t xml:space="preserve">n expanded population </w:t>
      </w:r>
      <w:r w:rsidR="005F2100" w:rsidRPr="00002625">
        <w:t>of patients that are currently eligible for colonoscopy.</w:t>
      </w:r>
      <w:r w:rsidR="0042033A" w:rsidRPr="00002625">
        <w:t xml:space="preserve"> </w:t>
      </w:r>
      <w:r w:rsidR="00361F1C" w:rsidRPr="00002625">
        <w:fldChar w:fldCharType="begin"/>
      </w:r>
      <w:r w:rsidR="00361F1C" w:rsidRPr="00002625">
        <w:instrText xml:space="preserve"> REF _Ref180439935 \h </w:instrText>
      </w:r>
      <w:r w:rsidR="00361F1C" w:rsidRPr="00002625">
        <w:fldChar w:fldCharType="separate"/>
      </w:r>
      <w:r w:rsidR="00637321" w:rsidRPr="00002625">
        <w:t xml:space="preserve">Figure </w:t>
      </w:r>
      <w:r w:rsidR="00637321" w:rsidRPr="00002625">
        <w:rPr>
          <w:noProof/>
        </w:rPr>
        <w:t>3</w:t>
      </w:r>
      <w:r w:rsidR="00361F1C" w:rsidRPr="00002625">
        <w:fldChar w:fldCharType="end"/>
      </w:r>
      <w:r w:rsidR="00361F1C" w:rsidRPr="00002625">
        <w:t xml:space="preserve"> </w:t>
      </w:r>
      <w:r w:rsidR="0042033A" w:rsidRPr="00002625">
        <w:t xml:space="preserve">shows the proposed clinical algorithm, which includes </w:t>
      </w:r>
      <w:r w:rsidR="00624298" w:rsidRPr="00002625">
        <w:t>the t</w:t>
      </w:r>
      <w:r w:rsidR="003A7957" w:rsidRPr="00002625">
        <w:t>wo</w:t>
      </w:r>
      <w:r w:rsidR="00624298" w:rsidRPr="00002625">
        <w:t xml:space="preserve"> PICO sets proposed by the evaluation group for diagnostic, and monitoring and surveillance populations</w:t>
      </w:r>
      <w:r w:rsidR="00C4729C" w:rsidRPr="00002625">
        <w:t xml:space="preserve">. </w:t>
      </w:r>
    </w:p>
    <w:p w14:paraId="03405A80" w14:textId="401C9F6F" w:rsidR="0088516E" w:rsidRPr="00002625" w:rsidRDefault="0088516E" w:rsidP="00A12789">
      <w:r w:rsidRPr="00002625">
        <w:t xml:space="preserve">The </w:t>
      </w:r>
      <w:r w:rsidR="00F21780" w:rsidRPr="00002625">
        <w:t xml:space="preserve">proposed clinical management algorithm </w:t>
      </w:r>
      <w:r w:rsidR="004802E8" w:rsidRPr="00002625">
        <w:t xml:space="preserve">incorporating the use of CTC for </w:t>
      </w:r>
      <w:r w:rsidR="00AE29B4" w:rsidRPr="00002625">
        <w:t>diagnostic and surveillance</w:t>
      </w:r>
      <w:r w:rsidR="004802E8" w:rsidRPr="00002625">
        <w:t xml:space="preserve"> populations as an alternative to colonoscopy</w:t>
      </w:r>
      <w:r w:rsidR="000C0D7D" w:rsidRPr="00002625">
        <w:t xml:space="preserve"> differs from </w:t>
      </w:r>
      <w:r w:rsidR="00FC6921" w:rsidRPr="00002625">
        <w:t>current management (</w:t>
      </w:r>
      <w:r w:rsidR="001F3059" w:rsidRPr="00002625">
        <w:fldChar w:fldCharType="begin"/>
      </w:r>
      <w:r w:rsidR="001F3059" w:rsidRPr="00002625">
        <w:instrText xml:space="preserve"> REF _Ref181173433 \h </w:instrText>
      </w:r>
      <w:r w:rsidR="001F3059" w:rsidRPr="00002625">
        <w:fldChar w:fldCharType="separate"/>
      </w:r>
      <w:r w:rsidR="00637321" w:rsidRPr="00002625">
        <w:t xml:space="preserve">Figure </w:t>
      </w:r>
      <w:r w:rsidR="00637321" w:rsidRPr="00002625">
        <w:rPr>
          <w:noProof/>
        </w:rPr>
        <w:t>2</w:t>
      </w:r>
      <w:r w:rsidR="001F3059" w:rsidRPr="00002625">
        <w:fldChar w:fldCharType="end"/>
      </w:r>
      <w:r w:rsidR="00FC6921" w:rsidRPr="00002625">
        <w:t>) in the fol</w:t>
      </w:r>
      <w:r w:rsidR="006A62BD" w:rsidRPr="00002625">
        <w:t>lowing ways:</w:t>
      </w:r>
    </w:p>
    <w:p w14:paraId="6816685B" w14:textId="0FEDE47B" w:rsidR="006A62BD" w:rsidRPr="00002625" w:rsidRDefault="00D05337" w:rsidP="000773E1">
      <w:pPr>
        <w:pStyle w:val="ListParagraph"/>
        <w:numPr>
          <w:ilvl w:val="0"/>
          <w:numId w:val="4"/>
        </w:numPr>
      </w:pPr>
      <w:r w:rsidRPr="00002625">
        <w:t>Patients with</w:t>
      </w:r>
      <w:r w:rsidR="00A455B3" w:rsidRPr="00002625">
        <w:t xml:space="preserve"> symptoms suggestive of CRC, with a positive </w:t>
      </w:r>
      <w:r w:rsidR="00CC6315" w:rsidRPr="00002625">
        <w:t xml:space="preserve">FOBT, </w:t>
      </w:r>
      <w:r w:rsidR="001E3840" w:rsidRPr="00002625">
        <w:t>or</w:t>
      </w:r>
      <w:r w:rsidR="00A455B3" w:rsidRPr="00002625">
        <w:t xml:space="preserve"> </w:t>
      </w:r>
      <w:r w:rsidR="00C179B0" w:rsidRPr="00002625">
        <w:t xml:space="preserve">in whom </w:t>
      </w:r>
      <w:r w:rsidR="00F5107C" w:rsidRPr="00002625">
        <w:t xml:space="preserve">diagnostic imaging has shown an abnormality of the colon </w:t>
      </w:r>
      <w:r w:rsidR="00491EED" w:rsidRPr="00002625">
        <w:t>would be</w:t>
      </w:r>
      <w:r w:rsidR="00F5107C" w:rsidRPr="00002625">
        <w:t xml:space="preserve"> eligible for </w:t>
      </w:r>
      <w:r w:rsidR="00B21B88" w:rsidRPr="00002625">
        <w:t xml:space="preserve">CTC as a diagnostic tool for </w:t>
      </w:r>
      <w:r w:rsidR="00E92928" w:rsidRPr="00002625">
        <w:t xml:space="preserve">polyp detection. </w:t>
      </w:r>
    </w:p>
    <w:p w14:paraId="758CE7BF" w14:textId="663161BC" w:rsidR="00EB0A0C" w:rsidRPr="00002625" w:rsidRDefault="00FD023D" w:rsidP="000773E1">
      <w:pPr>
        <w:pStyle w:val="ListParagraph"/>
        <w:numPr>
          <w:ilvl w:val="0"/>
          <w:numId w:val="4"/>
        </w:numPr>
      </w:pPr>
      <w:r w:rsidRPr="00002625">
        <w:t>Patien</w:t>
      </w:r>
      <w:r w:rsidR="00BD5A2F" w:rsidRPr="00002625">
        <w:t xml:space="preserve">ts contraindicated for colonoscopy </w:t>
      </w:r>
      <w:r w:rsidR="00491EED" w:rsidRPr="00002625">
        <w:t>would also be eligible for CTC as a diagnostic tool for polyp detection</w:t>
      </w:r>
      <w:r w:rsidR="00111BEE" w:rsidRPr="00002625">
        <w:t xml:space="preserve"> as an alternative to colonoscopy.</w:t>
      </w:r>
      <w:r w:rsidR="00DE2EDF" w:rsidRPr="00002625">
        <w:t xml:space="preserve"> These patients can currently only be referred by </w:t>
      </w:r>
      <w:r w:rsidR="00DE2EDF" w:rsidRPr="00002625">
        <w:lastRenderedPageBreak/>
        <w:t xml:space="preserve">specialist endoscopists </w:t>
      </w:r>
      <w:r w:rsidR="00E53820" w:rsidRPr="00002625">
        <w:t>in the setting of excluding or diagnosing colorectal neoplasia in symptomatic or high risk patients</w:t>
      </w:r>
      <w:r w:rsidR="00DE2EDF" w:rsidRPr="00002625">
        <w:t xml:space="preserve"> </w:t>
      </w:r>
      <w:r w:rsidR="00E53820" w:rsidRPr="00002625">
        <w:t>and</w:t>
      </w:r>
      <w:r w:rsidR="00DE2EDF" w:rsidRPr="00002625">
        <w:t xml:space="preserve"> the proposal </w:t>
      </w:r>
      <w:r w:rsidR="00554C84" w:rsidRPr="00002625">
        <w:t>is to</w:t>
      </w:r>
      <w:r w:rsidR="00DE2EDF" w:rsidRPr="00002625">
        <w:t xml:space="preserve"> extend this to include GPs</w:t>
      </w:r>
      <w:r w:rsidR="00C27AC8" w:rsidRPr="00002625">
        <w:t xml:space="preserve"> as requestors</w:t>
      </w:r>
      <w:r w:rsidR="00A545D4" w:rsidRPr="00002625">
        <w:t xml:space="preserve">. </w:t>
      </w:r>
    </w:p>
    <w:p w14:paraId="11DA2C2E" w14:textId="505987F7" w:rsidR="00107C92" w:rsidRPr="00002625" w:rsidRDefault="00B25EB1" w:rsidP="000773E1">
      <w:pPr>
        <w:pStyle w:val="ListParagraph"/>
        <w:numPr>
          <w:ilvl w:val="0"/>
          <w:numId w:val="4"/>
        </w:numPr>
      </w:pPr>
      <w:r w:rsidRPr="00002625">
        <w:t xml:space="preserve">Patients </w:t>
      </w:r>
      <w:r w:rsidR="00D574E5" w:rsidRPr="00002625">
        <w:t xml:space="preserve">with an incomplete </w:t>
      </w:r>
      <w:r w:rsidR="00DE6326" w:rsidRPr="00002625">
        <w:t xml:space="preserve">colonoscopy would no longer be required to </w:t>
      </w:r>
      <w:r w:rsidR="00132CA3" w:rsidRPr="00002625">
        <w:t>undergo CTC within 3 months of failure</w:t>
      </w:r>
      <w:r w:rsidR="00273EBC" w:rsidRPr="00002625">
        <w:t>.</w:t>
      </w:r>
    </w:p>
    <w:p w14:paraId="397EE9B8" w14:textId="11B29D47" w:rsidR="004A1453" w:rsidRPr="00002625" w:rsidRDefault="00AA7059" w:rsidP="000773E1">
      <w:pPr>
        <w:pStyle w:val="ListParagraph"/>
        <w:numPr>
          <w:ilvl w:val="0"/>
          <w:numId w:val="4"/>
        </w:numPr>
      </w:pPr>
      <w:r w:rsidRPr="00002625">
        <w:t xml:space="preserve">CTC is </w:t>
      </w:r>
      <w:r w:rsidR="00037476" w:rsidRPr="00002625">
        <w:t xml:space="preserve">proposed to be an alternative tool for surveillance and monitoring </w:t>
      </w:r>
      <w:r w:rsidR="00C06FDB" w:rsidRPr="00002625">
        <w:t>in patients with</w:t>
      </w:r>
      <w:r w:rsidR="00856311" w:rsidRPr="00002625">
        <w:t xml:space="preserve"> (i) 6-9mm polyp</w:t>
      </w:r>
      <w:r w:rsidR="004215CD" w:rsidRPr="00002625">
        <w:t>(</w:t>
      </w:r>
      <w:r w:rsidR="00856311" w:rsidRPr="00002625">
        <w:t>s</w:t>
      </w:r>
      <w:r w:rsidR="004215CD" w:rsidRPr="00002625">
        <w:t>)</w:t>
      </w:r>
      <w:r w:rsidR="00856311" w:rsidRPr="00002625">
        <w:t xml:space="preserve"> who have not opted for a polypectomy </w:t>
      </w:r>
      <w:r w:rsidR="000E19B8" w:rsidRPr="00002625">
        <w:t>and require surveillance</w:t>
      </w:r>
      <w:r w:rsidR="004215CD" w:rsidRPr="00002625">
        <w:t xml:space="preserve"> in </w:t>
      </w:r>
      <w:r w:rsidR="00F20596" w:rsidRPr="00002625">
        <w:t>three</w:t>
      </w:r>
      <w:r w:rsidR="004215CD" w:rsidRPr="00002625">
        <w:t xml:space="preserve"> years to monitor changes within the polyp(s), (ii) patients with </w:t>
      </w:r>
      <w:r w:rsidR="000B051E" w:rsidRPr="00002625">
        <w:rPr>
          <w:rFonts w:cs="Calibri"/>
        </w:rPr>
        <w:t>≥</w:t>
      </w:r>
      <w:r w:rsidR="000B051E" w:rsidRPr="00002625">
        <w:t>6mm polyp(s) who have returned a benign biopsy result, and (iii) patients with previous history of CRC diagnosis</w:t>
      </w:r>
      <w:r w:rsidR="00922F4D" w:rsidRPr="00002625">
        <w:t xml:space="preserve">. </w:t>
      </w:r>
    </w:p>
    <w:p w14:paraId="39F90D73" w14:textId="4628DAE6" w:rsidR="00966782" w:rsidRPr="00002625" w:rsidRDefault="00BB4CD4" w:rsidP="00C17DC0">
      <w:pPr>
        <w:tabs>
          <w:tab w:val="left" w:pos="8789"/>
        </w:tabs>
      </w:pPr>
      <w:r w:rsidRPr="00002625">
        <w:rPr>
          <w:noProof/>
        </w:rPr>
        <w:object w:dxaOrig="9605" w:dyaOrig="5692" w14:anchorId="738B6F10">
          <v:shape id="_x0000_i1027" type="#_x0000_t75" alt="Proposed clinical diagnostic and monitoring pathway for CRC detection using CTC and colonoscopy." style="width:510.3pt;height:299.7pt" o:ole="">
            <v:imagedata r:id="rId14" o:title="" croptop="7246f" cropbottom="2611f" cropleft="9748f"/>
          </v:shape>
          <o:OLEObject Type="Embed" ProgID="PowerPoint.Slide.12" ShapeID="_x0000_i1027" DrawAspect="Content" ObjectID="_1808039092" r:id="rId15"/>
        </w:object>
      </w:r>
      <w:r w:rsidR="00D6691C" w:rsidRPr="00002625">
        <w:rPr>
          <w:rFonts w:ascii="Arial Narrow" w:eastAsia="Times New Roman" w:hAnsi="Arial Narrow" w:cs="Tahoma"/>
          <w:sz w:val="20"/>
          <w:szCs w:val="20"/>
          <w:lang w:eastAsia="ja-JP"/>
        </w:rPr>
        <w:fldChar w:fldCharType="begin"/>
      </w:r>
      <w:r w:rsidR="00D6691C" w:rsidRPr="00002625">
        <w:rPr>
          <w:rFonts w:ascii="Arial Narrow" w:eastAsia="Times New Roman" w:hAnsi="Arial Narrow" w:cs="Tahoma"/>
          <w:sz w:val="20"/>
          <w:szCs w:val="20"/>
          <w:lang w:eastAsia="ja-JP"/>
        </w:rPr>
        <w:fldChar w:fldCharType="separate"/>
      </w:r>
      <w:r w:rsidR="00F905DD" w:rsidRPr="00002625">
        <w:rPr>
          <w:noProof/>
        </w:rPr>
        <w:t>3</w:t>
      </w:r>
      <w:r w:rsidR="00D6691C" w:rsidRPr="00002625">
        <w:rPr>
          <w:rFonts w:ascii="Arial Narrow" w:eastAsia="Times New Roman" w:hAnsi="Arial Narrow" w:cs="Tahoma"/>
          <w:sz w:val="20"/>
          <w:szCs w:val="20"/>
          <w:lang w:eastAsia="ja-JP"/>
        </w:rPr>
        <w:fldChar w:fldCharType="end"/>
      </w:r>
    </w:p>
    <w:p w14:paraId="05554750" w14:textId="26E13025" w:rsidR="004F43BB" w:rsidRPr="00002625" w:rsidRDefault="00CB687C" w:rsidP="00CB687C">
      <w:pPr>
        <w:pStyle w:val="Caption"/>
        <w:rPr>
          <w:lang w:val="en-AU"/>
        </w:rPr>
      </w:pPr>
      <w:bookmarkStart w:id="34" w:name="_Ref180439935"/>
      <w:r w:rsidRPr="00002625">
        <w:rPr>
          <w:lang w:val="en-AU"/>
        </w:rPr>
        <w:t xml:space="preserve">Figure </w:t>
      </w:r>
      <w:r w:rsidRPr="00002625">
        <w:rPr>
          <w:lang w:val="en-AU"/>
        </w:rPr>
        <w:fldChar w:fldCharType="begin"/>
      </w:r>
      <w:r w:rsidRPr="00002625">
        <w:rPr>
          <w:lang w:val="en-AU"/>
        </w:rPr>
        <w:instrText xml:space="preserve"> SEQ Figure \* ARABIC </w:instrText>
      </w:r>
      <w:r w:rsidRPr="00002625">
        <w:rPr>
          <w:lang w:val="en-AU"/>
        </w:rPr>
        <w:fldChar w:fldCharType="separate"/>
      </w:r>
      <w:r w:rsidR="00637321" w:rsidRPr="00002625">
        <w:rPr>
          <w:noProof/>
          <w:lang w:val="en-AU"/>
        </w:rPr>
        <w:t>3</w:t>
      </w:r>
      <w:r w:rsidRPr="00002625">
        <w:rPr>
          <w:lang w:val="en-AU"/>
        </w:rPr>
        <w:fldChar w:fldCharType="end"/>
      </w:r>
      <w:bookmarkEnd w:id="34"/>
      <w:r w:rsidRPr="00002625">
        <w:rPr>
          <w:lang w:val="en-AU"/>
        </w:rPr>
        <w:tab/>
      </w:r>
      <w:r w:rsidR="004F43BB" w:rsidRPr="00002625">
        <w:rPr>
          <w:lang w:val="en-AU"/>
        </w:rPr>
        <w:t>Proposed clinical diagnostic and monitoring pathway for CRC detection using CTC and colonoscopy.</w:t>
      </w:r>
    </w:p>
    <w:p w14:paraId="0E78C2E0" w14:textId="77777777" w:rsidR="009969AC" w:rsidRPr="00002625" w:rsidRDefault="004F43BB" w:rsidP="007A1201">
      <w:pPr>
        <w:pStyle w:val="TableFigureFooter"/>
        <w:spacing w:after="0"/>
      </w:pPr>
      <w:r w:rsidRPr="00002625">
        <w:t xml:space="preserve">CRC = colorectal cancer; CT = computed tomography; </w:t>
      </w:r>
      <w:r w:rsidR="006C762D" w:rsidRPr="00002625">
        <w:t xml:space="preserve">DCBE = double contrast barium enema; </w:t>
      </w:r>
      <w:r w:rsidRPr="00002625">
        <w:t>FOBT = faecal occult blood test;</w:t>
      </w:r>
      <w:r w:rsidR="00FC142B" w:rsidRPr="00002625">
        <w:t>; SOC = standard of care.</w:t>
      </w:r>
      <w:r w:rsidR="00A92B78" w:rsidRPr="00002625">
        <w:br/>
      </w:r>
      <w:r w:rsidR="00103579" w:rsidRPr="00002625">
        <w:rPr>
          <w:vertAlign w:val="superscript"/>
        </w:rPr>
        <w:t>a</w:t>
      </w:r>
      <w:r w:rsidR="00103579" w:rsidRPr="00002625">
        <w:t xml:space="preserve"> </w:t>
      </w:r>
      <w:r w:rsidR="00D206C5" w:rsidRPr="00002625">
        <w:t xml:space="preserve">Patients contraindicated </w:t>
      </w:r>
      <w:r w:rsidR="00F03E93" w:rsidRPr="00002625">
        <w:t>for colonoscopy</w:t>
      </w:r>
      <w:r w:rsidR="00DF1C91" w:rsidRPr="00002625">
        <w:t xml:space="preserve"> may also be eligible for other </w:t>
      </w:r>
      <w:r w:rsidR="001100FA" w:rsidRPr="00002625">
        <w:t xml:space="preserve">alternatives </w:t>
      </w:r>
      <w:r w:rsidR="00987716" w:rsidRPr="00002625">
        <w:t xml:space="preserve">to colonoscopy </w:t>
      </w:r>
      <w:r w:rsidR="001100FA" w:rsidRPr="00002625">
        <w:t xml:space="preserve">as part of </w:t>
      </w:r>
      <w:r w:rsidR="00C02145" w:rsidRPr="00002625">
        <w:t>SOC</w:t>
      </w:r>
      <w:r w:rsidR="00987716" w:rsidRPr="00002625">
        <w:t xml:space="preserve"> (e.g.</w:t>
      </w:r>
      <w:r w:rsidR="00C66D88" w:rsidRPr="00002625">
        <w:t xml:space="preserve"> </w:t>
      </w:r>
      <w:r w:rsidR="006C762D" w:rsidRPr="00002625">
        <w:t>DCBE)</w:t>
      </w:r>
      <w:r w:rsidR="00F43282" w:rsidRPr="00002625">
        <w:t xml:space="preserve"> </w:t>
      </w:r>
      <w:r w:rsidR="00F43282" w:rsidRPr="00002625">
        <w:tab/>
      </w:r>
      <w:r w:rsidR="00605B9C" w:rsidRPr="00002625">
        <w:br/>
      </w:r>
      <w:r w:rsidR="00F5097D" w:rsidRPr="00002625">
        <w:rPr>
          <w:vertAlign w:val="superscript"/>
        </w:rPr>
        <w:t>b</w:t>
      </w:r>
      <w:r w:rsidR="00605B9C" w:rsidRPr="00002625">
        <w:t xml:space="preserve"> Patients</w:t>
      </w:r>
      <w:r w:rsidR="003902E2" w:rsidRPr="00002625">
        <w:t xml:space="preserve"> referred for CTC</w:t>
      </w:r>
      <w:r w:rsidR="00605B9C" w:rsidRPr="00002625">
        <w:t xml:space="preserve"> must be </w:t>
      </w:r>
      <w:r w:rsidR="00774699" w:rsidRPr="00002625">
        <w:t xml:space="preserve">low risk </w:t>
      </w:r>
      <w:r w:rsidR="00605B9C" w:rsidRPr="00002625">
        <w:t xml:space="preserve">symptomatic or </w:t>
      </w:r>
      <w:r w:rsidR="00C86223" w:rsidRPr="00002625">
        <w:t>without symptoms</w:t>
      </w:r>
      <w:r w:rsidR="00900A3C" w:rsidRPr="00002625">
        <w:t xml:space="preserve"> that would warrant urgent referral (such as rectal bleeding, anaemia or unexplained weight loss)</w:t>
      </w:r>
      <w:r w:rsidR="00B7662F" w:rsidRPr="00002625">
        <w:br/>
      </w:r>
      <w:r w:rsidR="00B7662F" w:rsidRPr="00002625">
        <w:rPr>
          <w:vertAlign w:val="superscript"/>
        </w:rPr>
        <w:t>c</w:t>
      </w:r>
      <w:r w:rsidR="00B7662F" w:rsidRPr="00002625">
        <w:t xml:space="preserve"> </w:t>
      </w:r>
      <w:r w:rsidR="00C25B7B" w:rsidRPr="00002625">
        <w:t xml:space="preserve">As per MBS item 56553: patients must be symptomatic or high risk (in terms of familial CRC history), and had a scan to exclude of diagnose colorectal </w:t>
      </w:r>
      <w:r w:rsidR="00E61E94" w:rsidRPr="00002625">
        <w:t>neoplasm</w:t>
      </w:r>
      <w:r w:rsidR="00605B9C" w:rsidRPr="00002625">
        <w:br/>
        <w:t>Note: Grey boxes indicate no further action required.</w:t>
      </w:r>
      <w:r w:rsidR="00F43282" w:rsidRPr="00002625">
        <w:br/>
        <w:t>Source: adapted from clinical algorithm provided in application; Cancer Council (2022); Cancer Council (2023).</w:t>
      </w:r>
    </w:p>
    <w:p w14:paraId="1EBAF4EE" w14:textId="77777777" w:rsidR="009969AC" w:rsidRPr="00002625" w:rsidRDefault="009969AC" w:rsidP="007A1201">
      <w:pPr>
        <w:pStyle w:val="TableFigureFooter"/>
        <w:spacing w:after="0"/>
      </w:pPr>
    </w:p>
    <w:p w14:paraId="5F3B864D" w14:textId="3E09E6E7" w:rsidR="009969AC" w:rsidRPr="00002625" w:rsidRDefault="00815C66" w:rsidP="007A1201">
      <w:pPr>
        <w:pStyle w:val="TableFigureFooter"/>
        <w:spacing w:after="0"/>
      </w:pPr>
      <w:r w:rsidRPr="00002625">
        <w:rPr>
          <w:rFonts w:asciiTheme="minorHAnsi" w:hAnsiTheme="minorHAnsi" w:cstheme="minorBidi"/>
          <w:i/>
          <w:iCs/>
          <w:sz w:val="22"/>
        </w:rPr>
        <w:t>PASC determined that the clinical algorithms are not currently fit-for</w:t>
      </w:r>
      <w:r w:rsidR="004638E0" w:rsidRPr="00002625">
        <w:rPr>
          <w:rFonts w:asciiTheme="minorHAnsi" w:hAnsiTheme="minorHAnsi" w:cstheme="minorBidi"/>
          <w:i/>
          <w:iCs/>
          <w:sz w:val="22"/>
        </w:rPr>
        <w:t>-</w:t>
      </w:r>
      <w:r w:rsidRPr="00002625">
        <w:rPr>
          <w:rFonts w:asciiTheme="minorHAnsi" w:hAnsiTheme="minorHAnsi" w:cstheme="minorBidi"/>
          <w:i/>
          <w:iCs/>
          <w:sz w:val="22"/>
        </w:rPr>
        <w:t xml:space="preserve">purpose and would need to be revised. The revised algorithms would need to incorporate a symptomatic </w:t>
      </w:r>
      <w:r w:rsidR="00034EDD" w:rsidRPr="00002625">
        <w:rPr>
          <w:rFonts w:asciiTheme="minorHAnsi" w:hAnsiTheme="minorHAnsi" w:cstheme="minorBidi"/>
          <w:i/>
          <w:iCs/>
          <w:sz w:val="22"/>
        </w:rPr>
        <w:t xml:space="preserve">population </w:t>
      </w:r>
      <w:r w:rsidR="00AE6A7F" w:rsidRPr="00002625">
        <w:rPr>
          <w:rFonts w:asciiTheme="minorHAnsi" w:hAnsiTheme="minorHAnsi" w:cstheme="minorBidi"/>
          <w:i/>
          <w:iCs/>
          <w:sz w:val="22"/>
        </w:rPr>
        <w:t>that is at</w:t>
      </w:r>
      <w:r w:rsidRPr="00002625">
        <w:rPr>
          <w:rFonts w:asciiTheme="minorHAnsi" w:hAnsiTheme="minorHAnsi" w:cstheme="minorBidi"/>
          <w:i/>
          <w:iCs/>
          <w:sz w:val="22"/>
        </w:rPr>
        <w:t xml:space="preserve"> low</w:t>
      </w:r>
      <w:r w:rsidR="00F049DD" w:rsidRPr="00002625">
        <w:rPr>
          <w:rFonts w:asciiTheme="minorHAnsi" w:hAnsiTheme="minorHAnsi" w:cstheme="minorBidi"/>
          <w:i/>
          <w:iCs/>
          <w:sz w:val="22"/>
        </w:rPr>
        <w:t xml:space="preserve"> </w:t>
      </w:r>
      <w:r w:rsidRPr="00002625">
        <w:rPr>
          <w:rFonts w:asciiTheme="minorHAnsi" w:hAnsiTheme="minorHAnsi" w:cstheme="minorBidi"/>
          <w:i/>
          <w:iCs/>
          <w:sz w:val="22"/>
        </w:rPr>
        <w:t xml:space="preserve">risk for CRC which PASC considered to be </w:t>
      </w:r>
      <w:r w:rsidR="002155EB">
        <w:rPr>
          <w:rFonts w:asciiTheme="minorHAnsi" w:hAnsiTheme="minorHAnsi" w:cstheme="minorBidi"/>
          <w:i/>
          <w:iCs/>
          <w:sz w:val="22"/>
        </w:rPr>
        <w:t xml:space="preserve">likely to be </w:t>
      </w:r>
      <w:r w:rsidRPr="00002625">
        <w:rPr>
          <w:rFonts w:asciiTheme="minorHAnsi" w:hAnsiTheme="minorHAnsi" w:cstheme="minorBidi"/>
          <w:i/>
          <w:iCs/>
          <w:sz w:val="22"/>
        </w:rPr>
        <w:t xml:space="preserve">the most appropriate population for the application, rather than </w:t>
      </w:r>
      <w:r w:rsidR="00EF0FA6" w:rsidRPr="00002625">
        <w:rPr>
          <w:rFonts w:asciiTheme="minorHAnsi" w:hAnsiTheme="minorHAnsi" w:cstheme="minorBidi"/>
          <w:i/>
          <w:iCs/>
          <w:sz w:val="22"/>
        </w:rPr>
        <w:t>including patients who are at</w:t>
      </w:r>
      <w:r w:rsidRPr="00002625">
        <w:rPr>
          <w:rFonts w:asciiTheme="minorHAnsi" w:hAnsiTheme="minorHAnsi" w:cstheme="minorBidi"/>
          <w:i/>
          <w:iCs/>
          <w:sz w:val="22"/>
        </w:rPr>
        <w:t xml:space="preserve"> high</w:t>
      </w:r>
      <w:r w:rsidR="00876C85" w:rsidRPr="00002625">
        <w:rPr>
          <w:rFonts w:asciiTheme="minorHAnsi" w:hAnsiTheme="minorHAnsi" w:cstheme="minorBidi"/>
          <w:i/>
          <w:iCs/>
          <w:sz w:val="22"/>
        </w:rPr>
        <w:t xml:space="preserve"> </w:t>
      </w:r>
      <w:r w:rsidRPr="00002625">
        <w:rPr>
          <w:rFonts w:asciiTheme="minorHAnsi" w:hAnsiTheme="minorHAnsi" w:cstheme="minorBidi"/>
          <w:i/>
          <w:iCs/>
          <w:sz w:val="22"/>
        </w:rPr>
        <w:t xml:space="preserve">risk for CRC. PASC suggested that patients with low-risk symptoms for CRC and </w:t>
      </w:r>
      <w:r w:rsidR="0019353B" w:rsidRPr="00002625">
        <w:rPr>
          <w:rFonts w:asciiTheme="minorHAnsi" w:hAnsiTheme="minorHAnsi" w:cstheme="minorBidi"/>
          <w:i/>
          <w:iCs/>
          <w:sz w:val="22"/>
        </w:rPr>
        <w:t xml:space="preserve">patients with </w:t>
      </w:r>
      <w:r w:rsidRPr="00002625">
        <w:rPr>
          <w:rFonts w:asciiTheme="minorHAnsi" w:hAnsiTheme="minorHAnsi" w:cstheme="minorBidi"/>
          <w:i/>
          <w:iCs/>
          <w:sz w:val="22"/>
        </w:rPr>
        <w:t>abnormal abdominal imaging may form the basis of an appropriate population when revising the algorithm.</w:t>
      </w:r>
    </w:p>
    <w:p w14:paraId="33F85E5F" w14:textId="77777777" w:rsidR="009969AC" w:rsidRPr="00002625" w:rsidRDefault="009969AC" w:rsidP="007A1201">
      <w:pPr>
        <w:pStyle w:val="TableFigureFooter"/>
        <w:spacing w:after="0"/>
      </w:pPr>
    </w:p>
    <w:p w14:paraId="2BDE22B9" w14:textId="77777777" w:rsidR="00D73332" w:rsidRPr="00002625" w:rsidRDefault="00D73332" w:rsidP="00713728">
      <w:pPr>
        <w:pStyle w:val="Heading2"/>
      </w:pPr>
      <w:r w:rsidRPr="00002625">
        <w:lastRenderedPageBreak/>
        <w:t>Proposed economic evaluation</w:t>
      </w:r>
    </w:p>
    <w:p w14:paraId="5A62C0B2" w14:textId="7605EE97" w:rsidR="008561AE" w:rsidRPr="00002625" w:rsidRDefault="004138CA" w:rsidP="008561AE">
      <w:r w:rsidRPr="00002625">
        <w:t xml:space="preserve">The proposed approach for assessment of each PICO </w:t>
      </w:r>
      <w:r w:rsidR="00EA4B11" w:rsidRPr="00002625">
        <w:t>s</w:t>
      </w:r>
      <w:r w:rsidRPr="00002625">
        <w:t xml:space="preserve">et is presented below </w:t>
      </w:r>
      <w:r w:rsidR="00687505" w:rsidRPr="00002625">
        <w:fldChar w:fldCharType="begin"/>
      </w:r>
      <w:r w:rsidR="00687505" w:rsidRPr="00002625">
        <w:instrText xml:space="preserve"> REF _Ref54260209 \h </w:instrText>
      </w:r>
      <w:r w:rsidR="00687505" w:rsidRPr="00002625">
        <w:fldChar w:fldCharType="separate"/>
      </w:r>
      <w:r w:rsidR="00637321" w:rsidRPr="00002625">
        <w:t>Table </w:t>
      </w:r>
      <w:r w:rsidR="00637321" w:rsidRPr="00002625">
        <w:rPr>
          <w:noProof/>
        </w:rPr>
        <w:t>15</w:t>
      </w:r>
      <w:r w:rsidR="00687505" w:rsidRPr="00002625">
        <w:fldChar w:fldCharType="end"/>
      </w:r>
      <w:r w:rsidRPr="00002625">
        <w:t xml:space="preserve">. </w:t>
      </w:r>
      <w:r w:rsidR="004C0875" w:rsidRPr="00002625">
        <w:t xml:space="preserve">The cells </w:t>
      </w:r>
      <w:r w:rsidR="006E13D6" w:rsidRPr="00002625">
        <w:t xml:space="preserve">for the noninferiority claim and cost-minimisation analysis are shaded as the appropriate economic evaluation. </w:t>
      </w:r>
    </w:p>
    <w:p w14:paraId="6DAB2DBD" w14:textId="2E4B041F" w:rsidR="000939E0" w:rsidRPr="00002625" w:rsidRDefault="000939E0" w:rsidP="00CF502C">
      <w:pPr>
        <w:pStyle w:val="TableHeading"/>
      </w:pPr>
      <w:bookmarkStart w:id="35" w:name="_Ref54260209"/>
      <w:bookmarkStart w:id="36" w:name="_Toc423450289"/>
      <w:r w:rsidRPr="00002625">
        <w:t>Table</w:t>
      </w:r>
      <w:r w:rsidR="00DE762F" w:rsidRPr="00002625">
        <w:t> </w:t>
      </w:r>
      <w:r w:rsidRPr="00002625">
        <w:fldChar w:fldCharType="begin"/>
      </w:r>
      <w:r w:rsidRPr="00002625">
        <w:instrText>SEQ Table \* ARABIC</w:instrText>
      </w:r>
      <w:r w:rsidRPr="00002625">
        <w:fldChar w:fldCharType="separate"/>
      </w:r>
      <w:r w:rsidR="00637321" w:rsidRPr="00002625">
        <w:rPr>
          <w:noProof/>
        </w:rPr>
        <w:t>15</w:t>
      </w:r>
      <w:r w:rsidRPr="00002625">
        <w:fldChar w:fldCharType="end"/>
      </w:r>
      <w:bookmarkEnd w:id="35"/>
      <w:r w:rsidR="001A5D2F" w:rsidRPr="00002625">
        <w:tab/>
        <w:t>Classification of</w:t>
      </w:r>
      <w:r w:rsidRPr="00002625">
        <w:t xml:space="preserve"> comparative effectiveness and safety of the proposed intervention</w:t>
      </w:r>
      <w:r w:rsidR="001A5D2F" w:rsidRPr="00002625">
        <w:t>,</w:t>
      </w:r>
      <w:r w:rsidRPr="00002625">
        <w:t xml:space="preserve"> compared with its main comparator</w:t>
      </w:r>
      <w:r w:rsidR="001A5D2F" w:rsidRPr="00002625">
        <w:t>,</w:t>
      </w:r>
      <w:r w:rsidRPr="00002625">
        <w:t xml:space="preserve"> and guide to the suitable type of economic evaluation</w:t>
      </w:r>
      <w:bookmarkEnd w:id="36"/>
    </w:p>
    <w:tbl>
      <w:tblPr>
        <w:tblW w:w="4872" w:type="pct"/>
        <w:tblInd w:w="115" w:type="dxa"/>
        <w:tblLayout w:type="fixed"/>
        <w:tblCellMar>
          <w:left w:w="115" w:type="dxa"/>
          <w:right w:w="115" w:type="dxa"/>
        </w:tblCellMar>
        <w:tblLook w:val="01E0" w:firstRow="1" w:lastRow="1" w:firstColumn="1" w:lastColumn="1" w:noHBand="0" w:noVBand="0"/>
        <w:tblCaption w:val="Table 14 Classification of the comparative effectiveness and safety of the proposed therapeutic medical service compared with its main comparator and guide to the suitable type of economic evaluation"/>
        <w:tblDescription w:val="Table showing classification of comparative effectiveness and safety of the proposed intervention, compared with its main comparator, and guide to the suitable type of economic evaluation"/>
      </w:tblPr>
      <w:tblGrid>
        <w:gridCol w:w="2012"/>
        <w:gridCol w:w="1905"/>
        <w:gridCol w:w="2227"/>
        <w:gridCol w:w="1748"/>
        <w:gridCol w:w="1434"/>
      </w:tblGrid>
      <w:tr w:rsidR="00686EED" w:rsidRPr="00002625" w14:paraId="5238F44C" w14:textId="77777777" w:rsidTr="00BF081B">
        <w:trPr>
          <w:tblHeader/>
        </w:trPr>
        <w:tc>
          <w:tcPr>
            <w:tcW w:w="2012" w:type="dxa"/>
            <w:vMerge w:val="restart"/>
            <w:tcBorders>
              <w:top w:val="single" w:sz="4" w:space="0" w:color="auto"/>
              <w:left w:val="single" w:sz="4" w:space="0" w:color="auto"/>
              <w:right w:val="single" w:sz="4" w:space="0" w:color="auto"/>
            </w:tcBorders>
          </w:tcPr>
          <w:p w14:paraId="5B06A6EA" w14:textId="0B5BD26C" w:rsidR="00686EED" w:rsidRPr="00002625" w:rsidRDefault="00686EED" w:rsidP="00A045E0">
            <w:pPr>
              <w:pStyle w:val="TableHeading"/>
            </w:pPr>
            <w:bookmarkStart w:id="37" w:name="Title_Table2" w:colFirst="0" w:colLast="0"/>
            <w:r w:rsidRPr="00002625">
              <w:t>Comparative safety</w:t>
            </w:r>
          </w:p>
        </w:tc>
        <w:tc>
          <w:tcPr>
            <w:tcW w:w="1905" w:type="dxa"/>
            <w:tcBorders>
              <w:top w:val="single" w:sz="4" w:space="0" w:color="auto"/>
              <w:left w:val="single" w:sz="4" w:space="0" w:color="auto"/>
              <w:bottom w:val="single" w:sz="4" w:space="0" w:color="auto"/>
              <w:right w:val="nil"/>
            </w:tcBorders>
          </w:tcPr>
          <w:p w14:paraId="293E5792" w14:textId="77777777" w:rsidR="00686EED" w:rsidRPr="00002625" w:rsidRDefault="00686EED" w:rsidP="00A045E0">
            <w:pPr>
              <w:pStyle w:val="TableHeading"/>
            </w:pPr>
          </w:p>
        </w:tc>
        <w:tc>
          <w:tcPr>
            <w:tcW w:w="2227" w:type="dxa"/>
            <w:tcBorders>
              <w:top w:val="single" w:sz="4" w:space="0" w:color="auto"/>
              <w:left w:val="nil"/>
              <w:bottom w:val="single" w:sz="4" w:space="0" w:color="auto"/>
            </w:tcBorders>
          </w:tcPr>
          <w:p w14:paraId="57B2397B" w14:textId="77777777" w:rsidR="00686EED" w:rsidRPr="00002625" w:rsidRDefault="00686EED" w:rsidP="00A045E0">
            <w:pPr>
              <w:pStyle w:val="TableHeading"/>
            </w:pPr>
            <w:r w:rsidRPr="00002625">
              <w:t>Comparative effectiveness</w:t>
            </w:r>
          </w:p>
        </w:tc>
        <w:tc>
          <w:tcPr>
            <w:tcW w:w="1748" w:type="dxa"/>
            <w:tcBorders>
              <w:top w:val="single" w:sz="4" w:space="0" w:color="auto"/>
              <w:left w:val="nil"/>
              <w:bottom w:val="single" w:sz="4" w:space="0" w:color="auto"/>
            </w:tcBorders>
          </w:tcPr>
          <w:p w14:paraId="6B53FB6C" w14:textId="77777777" w:rsidR="00686EED" w:rsidRPr="00002625" w:rsidRDefault="00686EED" w:rsidP="00A045E0">
            <w:pPr>
              <w:pStyle w:val="TableHeading"/>
            </w:pPr>
          </w:p>
        </w:tc>
        <w:tc>
          <w:tcPr>
            <w:tcW w:w="1434" w:type="dxa"/>
            <w:tcBorders>
              <w:top w:val="single" w:sz="4" w:space="0" w:color="auto"/>
              <w:left w:val="nil"/>
              <w:bottom w:val="single" w:sz="4" w:space="0" w:color="auto"/>
              <w:right w:val="single" w:sz="4" w:space="0" w:color="auto"/>
            </w:tcBorders>
          </w:tcPr>
          <w:p w14:paraId="0FE152FA" w14:textId="77777777" w:rsidR="00686EED" w:rsidRPr="00002625" w:rsidRDefault="00686EED" w:rsidP="00A045E0">
            <w:pPr>
              <w:pStyle w:val="TableHeading"/>
            </w:pPr>
          </w:p>
        </w:tc>
      </w:tr>
      <w:bookmarkEnd w:id="37"/>
      <w:tr w:rsidR="00686EED" w:rsidRPr="00002625" w14:paraId="78A8F3F1" w14:textId="77777777" w:rsidTr="00BF081B">
        <w:trPr>
          <w:tblHeader/>
        </w:trPr>
        <w:tc>
          <w:tcPr>
            <w:tcW w:w="2012" w:type="dxa"/>
            <w:vMerge/>
            <w:tcBorders>
              <w:left w:val="single" w:sz="4" w:space="0" w:color="auto"/>
              <w:bottom w:val="single" w:sz="4" w:space="0" w:color="auto"/>
              <w:right w:val="single" w:sz="4" w:space="0" w:color="auto"/>
            </w:tcBorders>
          </w:tcPr>
          <w:p w14:paraId="6E00D947" w14:textId="57BEC7DE" w:rsidR="00686EED" w:rsidRPr="00002625" w:rsidRDefault="00686EED" w:rsidP="00A045E0">
            <w:pPr>
              <w:pStyle w:val="TableHeading"/>
            </w:pPr>
          </w:p>
        </w:tc>
        <w:tc>
          <w:tcPr>
            <w:tcW w:w="1905" w:type="dxa"/>
            <w:tcBorders>
              <w:left w:val="single" w:sz="4" w:space="0" w:color="auto"/>
              <w:bottom w:val="single" w:sz="4" w:space="0" w:color="auto"/>
              <w:right w:val="single" w:sz="4" w:space="0" w:color="auto"/>
            </w:tcBorders>
          </w:tcPr>
          <w:p w14:paraId="319C788C" w14:textId="77777777" w:rsidR="00686EED" w:rsidRPr="00002625" w:rsidRDefault="00686EED" w:rsidP="00A045E0">
            <w:pPr>
              <w:pStyle w:val="TableHeading"/>
            </w:pPr>
            <w:r w:rsidRPr="00002625">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002625" w:rsidRDefault="00686EED" w:rsidP="00A045E0">
            <w:pPr>
              <w:pStyle w:val="TableHeading"/>
            </w:pPr>
            <w:r w:rsidRPr="00002625">
              <w:t>Uncertain</w:t>
            </w:r>
            <w:r w:rsidRPr="00002625">
              <w:rPr>
                <w:vertAlign w:val="superscript"/>
              </w:rPr>
              <w:t>a</w:t>
            </w:r>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002625" w:rsidRDefault="00686EED" w:rsidP="00A045E0">
            <w:pPr>
              <w:pStyle w:val="TableHeading"/>
            </w:pPr>
            <w:r w:rsidRPr="00002625">
              <w:t>Noninferior</w:t>
            </w:r>
            <w:r w:rsidRPr="00002625">
              <w:rPr>
                <w:vertAlign w:val="superscript"/>
              </w:rPr>
              <w:t>b</w:t>
            </w:r>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002625" w:rsidRDefault="00686EED" w:rsidP="00A045E0">
            <w:pPr>
              <w:pStyle w:val="TableHeading"/>
            </w:pPr>
            <w:r w:rsidRPr="00002625">
              <w:t>Superior</w:t>
            </w:r>
          </w:p>
        </w:tc>
      </w:tr>
      <w:tr w:rsidR="000939E0" w:rsidRPr="00002625" w14:paraId="1E111DC3" w14:textId="77777777" w:rsidTr="00BF081B">
        <w:tc>
          <w:tcPr>
            <w:tcW w:w="201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002625" w:rsidRDefault="000939E0" w:rsidP="00C40CC4">
            <w:pPr>
              <w:pStyle w:val="Tabletext"/>
              <w:keepNext/>
            </w:pPr>
            <w:r w:rsidRPr="00002625">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002625" w:rsidRDefault="000939E0" w:rsidP="00C40CC4">
            <w:pPr>
              <w:pStyle w:val="Tabletext"/>
              <w:keepNext/>
            </w:pPr>
            <w:r w:rsidRPr="00002625">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002625" w:rsidRDefault="000939E0" w:rsidP="00C40CC4">
            <w:pPr>
              <w:pStyle w:val="Tabletext"/>
              <w:keepNext/>
            </w:pPr>
            <w:r w:rsidRPr="00002625">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002625" w:rsidRDefault="000939E0" w:rsidP="00C40CC4">
            <w:pPr>
              <w:pStyle w:val="Tabletext"/>
              <w:keepNext/>
            </w:pPr>
            <w:r w:rsidRPr="00002625">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002625" w:rsidRDefault="000939E0" w:rsidP="00C40CC4">
            <w:pPr>
              <w:pStyle w:val="Tabletext"/>
              <w:keepNext/>
            </w:pPr>
            <w:r w:rsidRPr="00002625">
              <w:t>? Likely CUA</w:t>
            </w:r>
          </w:p>
        </w:tc>
      </w:tr>
      <w:tr w:rsidR="000939E0" w:rsidRPr="00002625" w14:paraId="463C2753" w14:textId="77777777" w:rsidTr="00BF081B">
        <w:tc>
          <w:tcPr>
            <w:tcW w:w="201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002625" w:rsidRDefault="000939E0" w:rsidP="00C40CC4">
            <w:pPr>
              <w:pStyle w:val="Tabletext"/>
              <w:keepNext/>
            </w:pPr>
            <w:r w:rsidRPr="00002625">
              <w:t>Uncertain</w:t>
            </w:r>
            <w:r w:rsidRPr="00002625">
              <w:rPr>
                <w:vertAlign w:val="superscript"/>
              </w:rPr>
              <w:t>a</w:t>
            </w:r>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002625" w:rsidRDefault="000939E0" w:rsidP="00C40CC4">
            <w:pPr>
              <w:pStyle w:val="Tabletext"/>
              <w:keepNext/>
            </w:pPr>
            <w:r w:rsidRPr="00002625">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002625" w:rsidRDefault="000939E0" w:rsidP="00C40CC4">
            <w:pPr>
              <w:pStyle w:val="Tabletext"/>
              <w:keepNext/>
            </w:pPr>
            <w:r w:rsidRPr="00002625">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002625" w:rsidRDefault="000939E0" w:rsidP="00C40CC4">
            <w:pPr>
              <w:pStyle w:val="Tabletext"/>
              <w:keepNext/>
            </w:pPr>
            <w:r w:rsidRPr="00002625">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002625" w:rsidRDefault="000939E0" w:rsidP="00C40CC4">
            <w:pPr>
              <w:pStyle w:val="Tabletext"/>
              <w:keepNext/>
            </w:pPr>
            <w:r w:rsidRPr="00002625">
              <w:t>? Likely CEA/CUA</w:t>
            </w:r>
          </w:p>
        </w:tc>
      </w:tr>
      <w:tr w:rsidR="000939E0" w:rsidRPr="00002625" w14:paraId="47335FF9" w14:textId="77777777" w:rsidTr="006E3955">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14:paraId="0CBD845B" w14:textId="149CC18B" w:rsidR="000939E0" w:rsidRPr="00002625" w:rsidRDefault="000939E0" w:rsidP="00C40CC4">
            <w:pPr>
              <w:pStyle w:val="Tabletext"/>
              <w:keepNext/>
            </w:pPr>
            <w:r w:rsidRPr="00002625">
              <w:t>Noninferior</w:t>
            </w:r>
            <w:r w:rsidRPr="00002625">
              <w:rPr>
                <w:vertAlign w:val="superscript"/>
              </w:rPr>
              <w:t>b</w:t>
            </w:r>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002625" w:rsidRDefault="000939E0" w:rsidP="00C40CC4">
            <w:pPr>
              <w:pStyle w:val="Tabletext"/>
              <w:keepNext/>
            </w:pPr>
            <w:r w:rsidRPr="00002625">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002625" w:rsidRDefault="000939E0" w:rsidP="00C40CC4">
            <w:pPr>
              <w:pStyle w:val="Tabletext"/>
              <w:keepNext/>
            </w:pPr>
            <w:r w:rsidRPr="00002625">
              <w:t>?</w:t>
            </w:r>
          </w:p>
        </w:tc>
        <w:tc>
          <w:tcPr>
            <w:tcW w:w="1748" w:type="dxa"/>
            <w:tcBorders>
              <w:top w:val="single" w:sz="4" w:space="0" w:color="auto"/>
              <w:left w:val="single" w:sz="4" w:space="0" w:color="auto"/>
              <w:bottom w:val="single" w:sz="4" w:space="0" w:color="auto"/>
              <w:right w:val="single" w:sz="4" w:space="0" w:color="auto"/>
            </w:tcBorders>
            <w:shd w:val="clear" w:color="auto" w:fill="FFFF00"/>
            <w:vAlign w:val="center"/>
          </w:tcPr>
          <w:p w14:paraId="12BD2E22" w14:textId="77777777" w:rsidR="000939E0" w:rsidRPr="00002625" w:rsidRDefault="000939E0" w:rsidP="00C40CC4">
            <w:pPr>
              <w:pStyle w:val="Tabletext"/>
              <w:keepNext/>
            </w:pPr>
            <w:r w:rsidRPr="00002625">
              <w:rPr>
                <w:highlight w:val="yellow"/>
              </w:rPr>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E9F7AB5" w14:textId="77777777" w:rsidR="000939E0" w:rsidRPr="00002625" w:rsidRDefault="000939E0" w:rsidP="00C40CC4">
            <w:pPr>
              <w:pStyle w:val="Tabletext"/>
              <w:keepNext/>
            </w:pPr>
            <w:r w:rsidRPr="00002625">
              <w:t>CEA/CUA</w:t>
            </w:r>
          </w:p>
        </w:tc>
      </w:tr>
      <w:tr w:rsidR="000939E0" w:rsidRPr="00002625" w14:paraId="41AB5715" w14:textId="77777777" w:rsidTr="00BF081B">
        <w:tc>
          <w:tcPr>
            <w:tcW w:w="201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002625" w:rsidRDefault="000939E0" w:rsidP="00C40CC4">
            <w:pPr>
              <w:pStyle w:val="Tabletext"/>
              <w:keepNext/>
            </w:pPr>
            <w:r w:rsidRPr="00002625">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002625" w:rsidRDefault="000939E0" w:rsidP="00C40CC4">
            <w:pPr>
              <w:pStyle w:val="Tabletext"/>
              <w:keepNext/>
            </w:pPr>
            <w:r w:rsidRPr="00002625">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002625" w:rsidRDefault="000939E0" w:rsidP="00C40CC4">
            <w:pPr>
              <w:pStyle w:val="Tabletext"/>
              <w:keepNext/>
            </w:pPr>
            <w:r w:rsidRPr="00002625">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002625" w:rsidRDefault="000939E0" w:rsidP="00C40CC4">
            <w:pPr>
              <w:pStyle w:val="Tabletext"/>
              <w:keepNext/>
            </w:pPr>
            <w:r w:rsidRPr="00002625">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002625" w:rsidRDefault="000939E0" w:rsidP="00C40CC4">
            <w:pPr>
              <w:pStyle w:val="Tabletext"/>
              <w:keepNext/>
            </w:pPr>
            <w:r w:rsidRPr="00002625">
              <w:t>CEA/CUA</w:t>
            </w:r>
          </w:p>
        </w:tc>
      </w:tr>
    </w:tbl>
    <w:p w14:paraId="1CB9C9B3" w14:textId="04F0D317" w:rsidR="000939E0" w:rsidRPr="00002625" w:rsidRDefault="000939E0" w:rsidP="008561AE">
      <w:pPr>
        <w:pStyle w:val="Tablenotes"/>
      </w:pPr>
      <w:r w:rsidRPr="00002625">
        <w:t>CEA=cost-effectiveness analysis; CMA=cost-minimisation analysis; CUA=cost-utility analysis</w:t>
      </w:r>
      <w:r w:rsidR="00A423B3" w:rsidRPr="00002625">
        <w:tab/>
      </w:r>
      <w:r w:rsidR="00A423B3" w:rsidRPr="00002625">
        <w:br/>
      </w:r>
      <w:r w:rsidRPr="00002625">
        <w:t xml:space="preserve">? = reflect uncertainties and any identified health trade-offs in the economic evaluation, as a minimum in a cost-consequences analysis </w:t>
      </w:r>
      <w:r w:rsidR="008218DE" w:rsidRPr="00002625">
        <w:tab/>
      </w:r>
      <w:r w:rsidR="00A423B3" w:rsidRPr="00002625">
        <w:br/>
      </w:r>
      <w:r w:rsidRPr="00002625">
        <w:rPr>
          <w:szCs w:val="18"/>
          <w:vertAlign w:val="superscript"/>
        </w:rPr>
        <w:t>a</w:t>
      </w:r>
      <w:r w:rsidRPr="00002625">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r w:rsidR="008218DE" w:rsidRPr="00002625">
        <w:tab/>
      </w:r>
      <w:r w:rsidR="008218DE" w:rsidRPr="00002625">
        <w:br/>
      </w:r>
      <w:r w:rsidRPr="00002625">
        <w:rPr>
          <w:szCs w:val="18"/>
          <w:vertAlign w:val="superscript"/>
        </w:rPr>
        <w:t>b</w:t>
      </w:r>
      <w:r w:rsidRPr="00002625">
        <w:t> An adequate assessment of ‘noninferiority’ is the preferred basis for demonstrating equivalence</w:t>
      </w:r>
      <w:r w:rsidR="008218DE" w:rsidRPr="00002625">
        <w:tab/>
      </w:r>
      <w:r w:rsidR="008218DE" w:rsidRPr="00002625">
        <w:br/>
      </w:r>
    </w:p>
    <w:p w14:paraId="2A25AF14" w14:textId="1CEBF5CD" w:rsidR="008561AE" w:rsidRPr="00002625" w:rsidRDefault="008561AE" w:rsidP="008561AE">
      <w:pPr>
        <w:autoSpaceDE w:val="0"/>
        <w:autoSpaceDN w:val="0"/>
        <w:adjustRightInd w:val="0"/>
        <w:spacing w:line="23" w:lineRule="atLeast"/>
        <w:rPr>
          <w:rFonts w:asciiTheme="minorHAnsi" w:hAnsiTheme="minorHAnsi" w:cstheme="minorBidi"/>
          <w:i/>
          <w:iCs/>
        </w:rPr>
      </w:pPr>
      <w:r w:rsidRPr="00002625">
        <w:rPr>
          <w:rFonts w:asciiTheme="minorHAnsi" w:hAnsiTheme="minorHAnsi" w:cstheme="minorBidi"/>
          <w:i/>
          <w:iCs/>
        </w:rPr>
        <w:t>PASC noted that the proposed cost-minimisation evaluation, comparing CTC to colonoscopy, was based on a non-inferiority claim, with the use of CTC considered an add-on service to the management pathway that currently applies to colonoscopy. Nevertheless, PASC raised concerns that a cost minimisation approach may not be appropriate if the onward management pathways for colonoscopy and CTC differ</w:t>
      </w:r>
      <w:r w:rsidR="002155EB">
        <w:rPr>
          <w:rFonts w:asciiTheme="minorHAnsi" w:hAnsiTheme="minorHAnsi" w:cstheme="minorBidi"/>
          <w:i/>
          <w:iCs/>
        </w:rPr>
        <w:t>, and if colonoscopy may be clinically superior given the simultaneous therapeutic ability</w:t>
      </w:r>
      <w:r w:rsidRPr="00002625">
        <w:rPr>
          <w:rFonts w:asciiTheme="minorHAnsi" w:hAnsiTheme="minorHAnsi" w:cstheme="minorBidi"/>
          <w:i/>
          <w:iCs/>
        </w:rPr>
        <w:t xml:space="preserve"> </w:t>
      </w:r>
      <w:r w:rsidR="008F18E6">
        <w:rPr>
          <w:rFonts w:asciiTheme="minorHAnsi" w:hAnsiTheme="minorHAnsi" w:cstheme="minorBidi"/>
          <w:i/>
          <w:iCs/>
        </w:rPr>
        <w:t>A CUA should be considered depending on the final subpopulations included in the PICO.</w:t>
      </w:r>
      <w:r w:rsidRPr="00002625">
        <w:rPr>
          <w:rFonts w:asciiTheme="minorHAnsi" w:hAnsiTheme="minorHAnsi" w:cstheme="minorBidi"/>
          <w:i/>
          <w:iCs/>
        </w:rPr>
        <w:t xml:space="preserve"> PASC noted that the schedule fee for the current CTC MBS item is higher than that of colonoscopy, however </w:t>
      </w:r>
      <w:r w:rsidR="00F145A0" w:rsidRPr="00002625">
        <w:rPr>
          <w:rFonts w:asciiTheme="minorHAnsi" w:hAnsiTheme="minorHAnsi" w:cstheme="minorBidi"/>
          <w:i/>
          <w:iCs/>
        </w:rPr>
        <w:t xml:space="preserve">the applicant stated that </w:t>
      </w:r>
      <w:r w:rsidRPr="00002625">
        <w:rPr>
          <w:rFonts w:asciiTheme="minorHAnsi" w:hAnsiTheme="minorHAnsi" w:cstheme="minorBidi"/>
          <w:i/>
          <w:iCs/>
        </w:rPr>
        <w:t xml:space="preserve">colonoscopy </w:t>
      </w:r>
      <w:r w:rsidR="0036149F" w:rsidRPr="00002625">
        <w:rPr>
          <w:rFonts w:asciiTheme="minorHAnsi" w:hAnsiTheme="minorHAnsi" w:cstheme="minorBidi"/>
          <w:i/>
          <w:iCs/>
        </w:rPr>
        <w:t xml:space="preserve">services </w:t>
      </w:r>
      <w:r w:rsidRPr="00002625">
        <w:rPr>
          <w:rFonts w:asciiTheme="minorHAnsi" w:hAnsiTheme="minorHAnsi" w:cstheme="minorBidi"/>
          <w:i/>
          <w:iCs/>
        </w:rPr>
        <w:t>will include additional MBS costs from associated polypectomy and anaesthesia.</w:t>
      </w:r>
    </w:p>
    <w:p w14:paraId="02BA491E" w14:textId="77777777" w:rsidR="008561AE" w:rsidRPr="00002625" w:rsidRDefault="008561AE" w:rsidP="008561AE">
      <w:pPr>
        <w:rPr>
          <w:i/>
        </w:rPr>
      </w:pPr>
      <w:r w:rsidRPr="00002625">
        <w:rPr>
          <w:rFonts w:asciiTheme="minorHAnsi" w:hAnsiTheme="minorHAnsi" w:cstheme="minorBidi"/>
          <w:i/>
        </w:rPr>
        <w:t>PASC noted there was no clinical consensus for risk stratification between low and high risk categories for CRC and considered that further definition of the target population was needed for an economic evaluation.</w:t>
      </w:r>
    </w:p>
    <w:p w14:paraId="3BF51EEF" w14:textId="75E5D4DB" w:rsidR="00195A29" w:rsidRPr="00002625" w:rsidRDefault="00195A29" w:rsidP="00195A29">
      <w:pPr>
        <w:pStyle w:val="Heading3"/>
      </w:pPr>
      <w:r w:rsidRPr="00002625">
        <w:t xml:space="preserve">PICO </w:t>
      </w:r>
      <w:r w:rsidR="00173621" w:rsidRPr="00002625">
        <w:t>s</w:t>
      </w:r>
      <w:r w:rsidRPr="00002625">
        <w:t>et 1</w:t>
      </w:r>
      <w:r w:rsidR="007246A9" w:rsidRPr="00002625">
        <w:t xml:space="preserve"> – diagnostic use </w:t>
      </w:r>
    </w:p>
    <w:p w14:paraId="0B549521" w14:textId="1DF55964" w:rsidR="00195A29" w:rsidRPr="00002625" w:rsidRDefault="00195A29" w:rsidP="00195A29">
      <w:r w:rsidRPr="00002625">
        <w:t>The applicant has claimed that CTC</w:t>
      </w:r>
      <w:r w:rsidR="00E3067F" w:rsidRPr="00002625">
        <w:t xml:space="preserve"> for diagnostic use</w:t>
      </w:r>
      <w:r w:rsidRPr="00002625">
        <w:t xml:space="preserve"> is non-inferior to colonoscopy for detection of lesions suggestive of CRC </w:t>
      </w:r>
      <w:r w:rsidR="0018634B" w:rsidRPr="00002625">
        <w:t xml:space="preserve">or significant </w:t>
      </w:r>
      <w:r w:rsidR="009928C4" w:rsidRPr="00002625">
        <w:t>polyps</w:t>
      </w:r>
      <w:r w:rsidRPr="00002625">
        <w:t xml:space="preserve"> in terms of both efficacy and safety. This is supported by preliminary literature searches and clinical guidelines for patients with lower disease risk factors for CRC</w:t>
      </w:r>
      <w:r w:rsidR="00F12459" w:rsidRPr="00002625">
        <w:t>,</w:t>
      </w:r>
      <w:r w:rsidR="00205EED" w:rsidRPr="00002625">
        <w:t xml:space="preserve"> although direct to health outcomes evidence was not available</w:t>
      </w:r>
      <w:r w:rsidRPr="00002625">
        <w:t>.</w:t>
      </w:r>
      <w:r w:rsidR="006E3991" w:rsidRPr="00002625">
        <w:t xml:space="preserve"> Key efficacy outcomes for the linked evidence would be detection rate and </w:t>
      </w:r>
      <w:r w:rsidR="00967498" w:rsidRPr="00002625">
        <w:t>cancer incidence during follow-up.</w:t>
      </w:r>
      <w:r w:rsidRPr="00002625">
        <w:t xml:space="preserve"> For</w:t>
      </w:r>
      <w:r w:rsidR="00F91A59" w:rsidRPr="00002625">
        <w:t xml:space="preserve"> the safety outcome</w:t>
      </w:r>
      <w:r w:rsidRPr="00002625">
        <w:t xml:space="preserve"> bowel perforation rate, CTC may be superior</w:t>
      </w:r>
      <w:r w:rsidR="00205EED" w:rsidRPr="00002625">
        <w:t>,</w:t>
      </w:r>
      <w:r w:rsidRPr="00002625">
        <w:t xml:space="preserve"> but this has not been reflected in the overall claim. </w:t>
      </w:r>
      <w:r w:rsidR="00F91A59" w:rsidRPr="00002625">
        <w:t xml:space="preserve">Conversely, </w:t>
      </w:r>
      <w:r w:rsidR="00AB3991" w:rsidRPr="00002625">
        <w:t xml:space="preserve">radiation safety </w:t>
      </w:r>
      <w:r w:rsidR="00986581" w:rsidRPr="00002625">
        <w:t>was considered</w:t>
      </w:r>
      <w:r w:rsidR="00AB3991" w:rsidRPr="00002625">
        <w:t xml:space="preserve"> </w:t>
      </w:r>
      <w:r w:rsidR="002B5EE3" w:rsidRPr="00002625">
        <w:t xml:space="preserve">– </w:t>
      </w:r>
      <w:r w:rsidR="00AB3991" w:rsidRPr="00002625">
        <w:t xml:space="preserve">in principle </w:t>
      </w:r>
      <w:r w:rsidR="002B5EE3" w:rsidRPr="00002625">
        <w:t xml:space="preserve">– </w:t>
      </w:r>
      <w:r w:rsidR="00AB3991" w:rsidRPr="00002625">
        <w:t xml:space="preserve">inferior for CTC compared to colonoscopy but </w:t>
      </w:r>
      <w:r w:rsidR="002B5EE3" w:rsidRPr="00002625">
        <w:t>there was no direct evidence found to inform an assessment of this outcome</w:t>
      </w:r>
      <w:r w:rsidR="00D57918" w:rsidRPr="00002625">
        <w:t xml:space="preserve"> as actual events are likely to be extremely low frequency and</w:t>
      </w:r>
      <w:r w:rsidR="00A8444A" w:rsidRPr="00002625">
        <w:t xml:space="preserve"> only observed</w:t>
      </w:r>
      <w:r w:rsidR="00D57918" w:rsidRPr="00002625">
        <w:t xml:space="preserve"> over the long term.</w:t>
      </w:r>
      <w:r w:rsidR="00AB3991" w:rsidRPr="00002625">
        <w:t xml:space="preserve"> </w:t>
      </w:r>
      <w:r w:rsidRPr="00002625">
        <w:t xml:space="preserve">A cost-minimisation approach would be appropriate </w:t>
      </w:r>
      <w:r w:rsidRPr="00002625">
        <w:lastRenderedPageBreak/>
        <w:t>for the assessment</w:t>
      </w:r>
      <w:r w:rsidR="00CC40C0" w:rsidRPr="00002625">
        <w:t xml:space="preserve"> (per procedure)</w:t>
      </w:r>
      <w:r w:rsidR="00F15BF5" w:rsidRPr="00002625">
        <w:t xml:space="preserve"> based on a linked evidence approach</w:t>
      </w:r>
      <w:r w:rsidRPr="00002625">
        <w:t xml:space="preserve">. </w:t>
      </w:r>
      <w:r w:rsidR="0029025E" w:rsidRPr="00002625">
        <w:t>Some further outcomes may be of interest</w:t>
      </w:r>
      <w:r w:rsidR="00F15BF5" w:rsidRPr="00002625">
        <w:t>, particularly</w:t>
      </w:r>
      <w:r w:rsidR="0029025E" w:rsidRPr="00002625">
        <w:t xml:space="preserve"> colonoscopies avoided</w:t>
      </w:r>
      <w:r w:rsidR="00465C03" w:rsidRPr="00002625">
        <w:t xml:space="preserve">. </w:t>
      </w:r>
    </w:p>
    <w:p w14:paraId="450F5A99" w14:textId="2801E60E" w:rsidR="00481F45" w:rsidRPr="00002625" w:rsidRDefault="00481F45" w:rsidP="00481F45">
      <w:pPr>
        <w:pStyle w:val="Heading3"/>
      </w:pPr>
      <w:r w:rsidRPr="00002625">
        <w:t xml:space="preserve">PICO </w:t>
      </w:r>
      <w:r w:rsidR="00173621" w:rsidRPr="00002625">
        <w:t>s</w:t>
      </w:r>
      <w:r w:rsidRPr="00002625">
        <w:t xml:space="preserve">et </w:t>
      </w:r>
      <w:r w:rsidR="00F6117D" w:rsidRPr="00002625">
        <w:t>2</w:t>
      </w:r>
      <w:r w:rsidRPr="00002625">
        <w:t xml:space="preserve"> – surveillance</w:t>
      </w:r>
    </w:p>
    <w:p w14:paraId="2845E58A" w14:textId="4E0CB3D1" w:rsidR="00F43521" w:rsidRPr="00002625" w:rsidRDefault="00481F45" w:rsidP="00195A29">
      <w:r w:rsidRPr="00002625">
        <w:t xml:space="preserve">The applicant has claimed that CTC in patients </w:t>
      </w:r>
      <w:r w:rsidR="00BB2C2E" w:rsidRPr="00002625">
        <w:t xml:space="preserve">requiring surveillance is </w:t>
      </w:r>
      <w:r w:rsidRPr="00002625">
        <w:t xml:space="preserve">non-inferior for detection of lesions suggestive of CRC in terms of both efficacy and safety, compared to colonoscopy. </w:t>
      </w:r>
      <w:r w:rsidR="00BB2C2E" w:rsidRPr="00002625">
        <w:t>This was not supported by preliminary literature searches and clinical guidelines (as discussed in</w:t>
      </w:r>
      <w:r w:rsidR="003A5C45" w:rsidRPr="00002625">
        <w:t xml:space="preserve"> </w:t>
      </w:r>
      <w:r w:rsidR="002766E0" w:rsidRPr="00002625">
        <w:fldChar w:fldCharType="begin"/>
      </w:r>
      <w:r w:rsidR="002766E0" w:rsidRPr="00002625">
        <w:instrText xml:space="preserve"> REF _Ref181182798 \h </w:instrText>
      </w:r>
      <w:r w:rsidR="002766E0" w:rsidRPr="00002625">
        <w:fldChar w:fldCharType="separate"/>
      </w:r>
      <w:r w:rsidR="00637321" w:rsidRPr="00002625">
        <w:t>Comments on the clinical evidence</w:t>
      </w:r>
      <w:r w:rsidR="002766E0" w:rsidRPr="00002625">
        <w:fldChar w:fldCharType="end"/>
      </w:r>
      <w:r w:rsidR="00BB2C2E" w:rsidRPr="00002625">
        <w:t xml:space="preserve">). </w:t>
      </w:r>
      <w:r w:rsidR="00826D66" w:rsidRPr="00002625">
        <w:t xml:space="preserve">Clinical evidence for use in this population was </w:t>
      </w:r>
      <w:r w:rsidR="004138CA" w:rsidRPr="00002625">
        <w:t>very limited and unlikely to be comparative.</w:t>
      </w:r>
      <w:r w:rsidR="00826D66" w:rsidRPr="00002625">
        <w:t xml:space="preserve"> </w:t>
      </w:r>
      <w:r w:rsidR="00AD2A26" w:rsidRPr="00002625">
        <w:t xml:space="preserve">Should this PICO </w:t>
      </w:r>
      <w:r w:rsidR="000C341D" w:rsidRPr="00002625">
        <w:t>s</w:t>
      </w:r>
      <w:r w:rsidR="00AD2A26" w:rsidRPr="00002625">
        <w:t xml:space="preserve">et be supported for an assessment, </w:t>
      </w:r>
      <w:r w:rsidR="00152868" w:rsidRPr="00002625">
        <w:t xml:space="preserve">a </w:t>
      </w:r>
      <w:r w:rsidR="00AD2A26" w:rsidRPr="00002625">
        <w:t xml:space="preserve">cost-minimisation </w:t>
      </w:r>
      <w:r w:rsidR="00152868" w:rsidRPr="00002625">
        <w:t>approach would be appropriate.</w:t>
      </w:r>
    </w:p>
    <w:p w14:paraId="047E4738" w14:textId="1D501EE9" w:rsidR="00D73332" w:rsidRPr="00002625" w:rsidRDefault="00D73332" w:rsidP="00DE762F">
      <w:pPr>
        <w:pStyle w:val="Heading2"/>
      </w:pPr>
      <w:r w:rsidRPr="00002625">
        <w:t>Propos</w:t>
      </w:r>
      <w:r w:rsidR="000D1FCF" w:rsidRPr="00002625">
        <w:t>al for public funding</w:t>
      </w:r>
    </w:p>
    <w:p w14:paraId="31CB70A3" w14:textId="271C4FC8" w:rsidR="00A02CEB" w:rsidRPr="00002625" w:rsidRDefault="008F0ACB" w:rsidP="008F0ACB">
      <w:r w:rsidRPr="00002625">
        <w:t xml:space="preserve">The item descriptor and fee proposed by the applicant </w:t>
      </w:r>
      <w:r w:rsidR="00D7578B" w:rsidRPr="00002625">
        <w:t xml:space="preserve">have been adapted for the revised </w:t>
      </w:r>
      <w:r w:rsidR="00193782" w:rsidRPr="00002625">
        <w:t>t</w:t>
      </w:r>
      <w:r w:rsidR="00FF575C" w:rsidRPr="00002625">
        <w:t>wo</w:t>
      </w:r>
      <w:r w:rsidR="006B2018" w:rsidRPr="00002625">
        <w:t xml:space="preserve"> </w:t>
      </w:r>
      <w:r w:rsidR="00D7578B" w:rsidRPr="00002625">
        <w:t xml:space="preserve">PICO </w:t>
      </w:r>
      <w:r w:rsidR="006E65E9" w:rsidRPr="00002625">
        <w:t>s</w:t>
      </w:r>
      <w:r w:rsidR="00D7578B" w:rsidRPr="00002625">
        <w:t>ets below.</w:t>
      </w:r>
      <w:r w:rsidR="00375797" w:rsidRPr="00002625">
        <w:t xml:space="preserve"> </w:t>
      </w:r>
    </w:p>
    <w:p w14:paraId="2232FF3B" w14:textId="24602A24" w:rsidR="008F0ACB" w:rsidRPr="00002625" w:rsidRDefault="00375797" w:rsidP="008F0ACB">
      <w:r w:rsidRPr="00002625">
        <w:t>The applicant has indicated that</w:t>
      </w:r>
      <w:r w:rsidR="330625E7" w:rsidRPr="00002625">
        <w:t xml:space="preserve"> the</w:t>
      </w:r>
      <w:r w:rsidRPr="00002625">
        <w:t xml:space="preserve"> bulk billing incentive should be included (as for colonoscopy and the existing CTC item). </w:t>
      </w:r>
      <w:r w:rsidR="0038733B" w:rsidRPr="00002625">
        <w:t>In recommending the current item, MSAC noted that use should be limited to one CTC scan per patient every three years. It was assumed this would remain unchanged for any new and/or amended items.</w:t>
      </w:r>
    </w:p>
    <w:p w14:paraId="23FDA1DE" w14:textId="01AE86FE" w:rsidR="00965CDF" w:rsidRPr="00002625" w:rsidRDefault="00965CDF" w:rsidP="00965CDF">
      <w:pPr>
        <w:pStyle w:val="Heading3"/>
      </w:pPr>
      <w:r w:rsidRPr="00002625">
        <w:t xml:space="preserve">PICO </w:t>
      </w:r>
      <w:r w:rsidR="002D299B" w:rsidRPr="00002625">
        <w:t>s</w:t>
      </w:r>
      <w:r w:rsidRPr="00002625">
        <w:t>et 1</w:t>
      </w:r>
      <w:r w:rsidR="00411AE8" w:rsidRPr="00002625">
        <w:t xml:space="preserve"> – </w:t>
      </w:r>
      <w:r w:rsidR="008F0ACB" w:rsidRPr="00002625">
        <w:t xml:space="preserve">Diagnostic use </w:t>
      </w:r>
    </w:p>
    <w:p w14:paraId="6E385B0D" w14:textId="293C3895" w:rsidR="008F0ACB" w:rsidRPr="00002625" w:rsidRDefault="004735DA" w:rsidP="00451333">
      <w:r w:rsidRPr="00002625">
        <w:t>An item for</w:t>
      </w:r>
      <w:r w:rsidR="00F57378" w:rsidRPr="00002625">
        <w:t xml:space="preserve"> PICO </w:t>
      </w:r>
      <w:r w:rsidR="002D299B" w:rsidRPr="00002625">
        <w:t>s</w:t>
      </w:r>
      <w:r w:rsidR="00F57378" w:rsidRPr="00002625">
        <w:t>et</w:t>
      </w:r>
      <w:r w:rsidRPr="00002625">
        <w:t xml:space="preserve"> </w:t>
      </w:r>
      <w:r w:rsidR="00C61F1B" w:rsidRPr="00002625">
        <w:t>1</w:t>
      </w:r>
      <w:r w:rsidR="00F57378" w:rsidRPr="00002625">
        <w:t xml:space="preserve"> is presented below as an amendment of the existing item for PASC’s </w:t>
      </w:r>
      <w:r w:rsidR="00241D58" w:rsidRPr="00002625">
        <w:t xml:space="preserve">consideration. </w:t>
      </w:r>
    </w:p>
    <w:tbl>
      <w:tblPr>
        <w:tblStyle w:val="ASDTable1"/>
        <w:tblW w:w="0" w:type="auto"/>
        <w:tblInd w:w="0" w:type="dxa"/>
        <w:tblLook w:val="04A0" w:firstRow="1" w:lastRow="0" w:firstColumn="1" w:lastColumn="0" w:noHBand="0" w:noVBand="1"/>
        <w:tblCaption w:val="Proposed Item Descriptor Table"/>
        <w:tblDescription w:val="Please enter the:&#10;1. Proposed Category 5&#10;2. Diagnostic imaging services;&#10;3. Computed tomography—scan of colon for exclusion or diagnosis of colorectal neoplasia in a symptomatic or high risk patient, if:&#10;(a) one or more of the following applies:&#10;  (i) the patient has had an incomplete colonoscopy in the 3 months before the scan, as confirmed by the treating endoscopist, and requires further colonic investigation&#10;  (ii) there is a high grade colonic obstruction or other contraindication to colonoscopy&#10;  (iii) the patient has symptoms suggestive of colorectal cancer &#10;  (iv) for a patient in whom diagnostic imaging has shown an abnormality of the colon&#10;  (v) for a patient who has received a positive faecal occult blood test&#10;(b) the service is not a service to which item 56301, 56307, 56401, 56407, 56409, 56412, 56501, 56507, 56801, 56807 or 57001 applies (R) &#10;Bulk bill incentive&#10;(Anaes.)&#10;(See para IN.0.19 and IN.0.15 of explanatory notes to this Category)&#10;; and&#10;4. Fee: $583.05 Benefit: 75% = $437.30 85% = $495.60"/>
      </w:tblPr>
      <w:tblGrid>
        <w:gridCol w:w="9242"/>
      </w:tblGrid>
      <w:tr w:rsidR="00042145" w:rsidRPr="00002625" w14:paraId="110C2EBE" w14:textId="77777777" w:rsidTr="00D96E92">
        <w:trPr>
          <w:tblHeader/>
        </w:trPr>
        <w:tc>
          <w:tcPr>
            <w:tcW w:w="9242" w:type="dxa"/>
            <w:tcBorders>
              <w:top w:val="single" w:sz="4" w:space="0" w:color="auto"/>
              <w:left w:val="single" w:sz="4" w:space="0" w:color="auto"/>
              <w:bottom w:val="single" w:sz="4" w:space="0" w:color="auto"/>
              <w:right w:val="single" w:sz="4" w:space="0" w:color="auto"/>
            </w:tcBorders>
            <w:hideMark/>
          </w:tcPr>
          <w:p w14:paraId="396FCCAF" w14:textId="130CAE3F" w:rsidR="00042145" w:rsidRPr="00002625" w:rsidRDefault="00042145" w:rsidP="00B508B3">
            <w:pPr>
              <w:spacing w:before="40" w:after="40"/>
              <w:rPr>
                <w:rFonts w:ascii="Arial Narrow" w:hAnsi="Arial Narrow"/>
                <w:sz w:val="20"/>
                <w:szCs w:val="20"/>
              </w:rPr>
            </w:pPr>
            <w:r w:rsidRPr="00002625">
              <w:rPr>
                <w:rFonts w:ascii="Arial Narrow" w:hAnsi="Arial Narrow"/>
                <w:sz w:val="20"/>
                <w:szCs w:val="20"/>
              </w:rPr>
              <w:lastRenderedPageBreak/>
              <w:t>Category 5 - DIAGNOSTIC IMAGING SERVICES</w:t>
            </w:r>
          </w:p>
        </w:tc>
      </w:tr>
      <w:tr w:rsidR="00042145" w:rsidRPr="00002625" w14:paraId="5A87A2E4" w14:textId="77777777" w:rsidTr="0034647C">
        <w:trPr>
          <w:tblHeader/>
        </w:trPr>
        <w:tc>
          <w:tcPr>
            <w:tcW w:w="9242" w:type="dxa"/>
            <w:tcBorders>
              <w:top w:val="single" w:sz="4" w:space="0" w:color="auto"/>
              <w:left w:val="single" w:sz="4" w:space="0" w:color="auto"/>
              <w:bottom w:val="single" w:sz="4" w:space="0" w:color="auto"/>
              <w:right w:val="single" w:sz="4" w:space="0" w:color="auto"/>
            </w:tcBorders>
            <w:hideMark/>
          </w:tcPr>
          <w:p w14:paraId="1B69E859" w14:textId="77777777" w:rsidR="00042145" w:rsidRPr="00002625" w:rsidRDefault="00042145" w:rsidP="0034647C">
            <w:pPr>
              <w:spacing w:before="120" w:after="120"/>
              <w:rPr>
                <w:rFonts w:ascii="Arial Narrow" w:hAnsi="Arial Narrow"/>
                <w:sz w:val="20"/>
                <w:szCs w:val="20"/>
              </w:rPr>
            </w:pPr>
            <w:r w:rsidRPr="00002625">
              <w:rPr>
                <w:rFonts w:ascii="Arial Narrow" w:hAnsi="Arial Narrow"/>
                <w:sz w:val="20"/>
                <w:szCs w:val="20"/>
              </w:rPr>
              <w:t>MBS item 56553</w:t>
            </w:r>
          </w:p>
          <w:p w14:paraId="49035016" w14:textId="458751D6" w:rsidR="00042145" w:rsidRPr="00002625" w:rsidRDefault="00042145" w:rsidP="0034647C">
            <w:pPr>
              <w:spacing w:before="120" w:after="120"/>
              <w:rPr>
                <w:rFonts w:ascii="Arial Narrow" w:hAnsi="Arial Narrow"/>
                <w:sz w:val="20"/>
                <w:szCs w:val="20"/>
              </w:rPr>
            </w:pPr>
            <w:r w:rsidRPr="00002625">
              <w:rPr>
                <w:rFonts w:ascii="Arial Narrow" w:hAnsi="Arial Narrow"/>
                <w:sz w:val="20"/>
                <w:szCs w:val="20"/>
              </w:rPr>
              <w:t xml:space="preserve">Computed tomography—scan of colon for exclusion or diagnosis of colorectal neoplasia in a symptomatic or high risk </w:t>
            </w:r>
            <w:r w:rsidRPr="00002625" w:rsidDel="00065BDA">
              <w:rPr>
                <w:rFonts w:ascii="Arial Narrow" w:hAnsi="Arial Narrow"/>
                <w:sz w:val="20"/>
                <w:szCs w:val="20"/>
              </w:rPr>
              <w:t>patient</w:t>
            </w:r>
            <w:r w:rsidR="00186794" w:rsidRPr="00002625">
              <w:rPr>
                <w:rFonts w:ascii="Arial Narrow" w:hAnsi="Arial Narrow"/>
                <w:color w:val="2E74B5" w:themeColor="accent1" w:themeShade="BF"/>
                <w:sz w:val="20"/>
                <w:szCs w:val="20"/>
              </w:rPr>
              <w:t xml:space="preserve">, </w:t>
            </w:r>
            <w:r w:rsidRPr="00002625">
              <w:rPr>
                <w:rFonts w:ascii="Arial Narrow" w:hAnsi="Arial Narrow"/>
                <w:sz w:val="20"/>
                <w:szCs w:val="20"/>
              </w:rPr>
              <w:t>if:</w:t>
            </w:r>
          </w:p>
          <w:p w14:paraId="1F2426D9" w14:textId="77777777" w:rsidR="00042145" w:rsidRPr="00002625" w:rsidRDefault="00042145" w:rsidP="0034647C">
            <w:pPr>
              <w:spacing w:before="120" w:after="120"/>
              <w:rPr>
                <w:rFonts w:ascii="Arial Narrow" w:hAnsi="Arial Narrow"/>
                <w:sz w:val="20"/>
                <w:szCs w:val="20"/>
              </w:rPr>
            </w:pPr>
            <w:r w:rsidRPr="00002625">
              <w:rPr>
                <w:rFonts w:ascii="Arial Narrow" w:hAnsi="Arial Narrow"/>
                <w:sz w:val="20"/>
                <w:szCs w:val="20"/>
              </w:rPr>
              <w:t>(a) one or more of the following applies:</w:t>
            </w:r>
          </w:p>
          <w:p w14:paraId="48F317EA" w14:textId="267AED8D" w:rsidR="00042145" w:rsidRPr="00002625" w:rsidRDefault="00F343DA" w:rsidP="0034647C">
            <w:pPr>
              <w:spacing w:before="120" w:after="120"/>
              <w:rPr>
                <w:rFonts w:ascii="Arial Narrow" w:hAnsi="Arial Narrow"/>
                <w:sz w:val="20"/>
                <w:szCs w:val="20"/>
              </w:rPr>
            </w:pPr>
            <w:r w:rsidRPr="00002625">
              <w:rPr>
                <w:rFonts w:ascii="Arial Narrow" w:hAnsi="Arial Narrow"/>
                <w:sz w:val="20"/>
                <w:szCs w:val="20"/>
              </w:rPr>
              <w:t xml:space="preserve">  </w:t>
            </w:r>
            <w:r w:rsidR="00042145" w:rsidRPr="00002625">
              <w:rPr>
                <w:rFonts w:ascii="Arial Narrow" w:hAnsi="Arial Narrow"/>
                <w:sz w:val="20"/>
                <w:szCs w:val="20"/>
              </w:rPr>
              <w:t xml:space="preserve">(i) the patient has had an incomplete colonoscopy </w:t>
            </w:r>
            <w:r w:rsidR="00042145" w:rsidRPr="00002625">
              <w:rPr>
                <w:rFonts w:ascii="Arial Narrow" w:hAnsi="Arial Narrow"/>
                <w:strike/>
                <w:sz w:val="20"/>
                <w:szCs w:val="20"/>
              </w:rPr>
              <w:t>in the 3 months before the scan</w:t>
            </w:r>
            <w:r w:rsidR="00815C84" w:rsidRPr="00002625">
              <w:rPr>
                <w:rFonts w:ascii="Arial Narrow" w:hAnsi="Arial Narrow"/>
                <w:color w:val="2E74B5" w:themeColor="accent1" w:themeShade="BF"/>
                <w:sz w:val="20"/>
                <w:szCs w:val="20"/>
              </w:rPr>
              <w:t xml:space="preserve">, as </w:t>
            </w:r>
            <w:r w:rsidR="007F538F" w:rsidRPr="00002625">
              <w:rPr>
                <w:rFonts w:ascii="Arial Narrow" w:hAnsi="Arial Narrow"/>
                <w:color w:val="2E74B5" w:themeColor="accent1" w:themeShade="BF"/>
                <w:sz w:val="20"/>
                <w:szCs w:val="20"/>
              </w:rPr>
              <w:t>confirmed by the treating endoscopist</w:t>
            </w:r>
            <w:r w:rsidR="00815C84" w:rsidRPr="00002625">
              <w:rPr>
                <w:rFonts w:ascii="Arial Narrow" w:hAnsi="Arial Narrow"/>
                <w:color w:val="2E74B5" w:themeColor="accent1" w:themeShade="BF"/>
                <w:sz w:val="20"/>
                <w:szCs w:val="20"/>
              </w:rPr>
              <w:t>,</w:t>
            </w:r>
            <w:r w:rsidR="007F538F" w:rsidRPr="00002625">
              <w:rPr>
                <w:rFonts w:ascii="Arial Narrow" w:hAnsi="Arial Narrow"/>
                <w:color w:val="2E74B5" w:themeColor="accent1" w:themeShade="BF"/>
                <w:sz w:val="20"/>
                <w:szCs w:val="20"/>
              </w:rPr>
              <w:t xml:space="preserve"> </w:t>
            </w:r>
            <w:r w:rsidR="00383163" w:rsidRPr="00002625">
              <w:rPr>
                <w:rFonts w:ascii="Arial Narrow" w:hAnsi="Arial Narrow"/>
                <w:color w:val="2E74B5" w:themeColor="accent1" w:themeShade="BF"/>
                <w:sz w:val="20"/>
                <w:szCs w:val="20"/>
              </w:rPr>
              <w:t>and requires</w:t>
            </w:r>
            <w:r w:rsidR="00E95380" w:rsidRPr="00002625">
              <w:rPr>
                <w:rFonts w:ascii="Arial Narrow" w:hAnsi="Arial Narrow"/>
                <w:color w:val="2E74B5" w:themeColor="accent1" w:themeShade="BF"/>
                <w:sz w:val="20"/>
                <w:szCs w:val="20"/>
              </w:rPr>
              <w:t xml:space="preserve"> </w:t>
            </w:r>
            <w:r w:rsidR="00CD150C" w:rsidRPr="00002625">
              <w:rPr>
                <w:rFonts w:ascii="Arial Narrow" w:hAnsi="Arial Narrow"/>
                <w:color w:val="2E74B5" w:themeColor="accent1" w:themeShade="BF"/>
                <w:sz w:val="20"/>
                <w:szCs w:val="20"/>
              </w:rPr>
              <w:t xml:space="preserve">further </w:t>
            </w:r>
            <w:r w:rsidR="007F538F" w:rsidRPr="00002625">
              <w:rPr>
                <w:rFonts w:ascii="Arial Narrow" w:hAnsi="Arial Narrow"/>
                <w:color w:val="2E74B5" w:themeColor="accent1" w:themeShade="BF"/>
                <w:sz w:val="20"/>
                <w:szCs w:val="20"/>
              </w:rPr>
              <w:t xml:space="preserve">colonic </w:t>
            </w:r>
            <w:r w:rsidR="00CD150C" w:rsidRPr="00002625">
              <w:rPr>
                <w:rFonts w:ascii="Arial Narrow" w:hAnsi="Arial Narrow"/>
                <w:color w:val="2E74B5" w:themeColor="accent1" w:themeShade="BF"/>
                <w:sz w:val="20"/>
                <w:szCs w:val="20"/>
              </w:rPr>
              <w:t>investigation</w:t>
            </w:r>
          </w:p>
          <w:p w14:paraId="30E957FB" w14:textId="618F43AD" w:rsidR="00042145" w:rsidRPr="00002625" w:rsidRDefault="00F343DA" w:rsidP="0034647C">
            <w:pPr>
              <w:spacing w:before="120" w:after="120"/>
              <w:rPr>
                <w:rFonts w:ascii="Arial Narrow" w:hAnsi="Arial Narrow"/>
                <w:sz w:val="20"/>
                <w:szCs w:val="20"/>
              </w:rPr>
            </w:pPr>
            <w:r w:rsidRPr="00002625">
              <w:rPr>
                <w:rFonts w:ascii="Arial Narrow" w:hAnsi="Arial Narrow"/>
                <w:sz w:val="20"/>
                <w:szCs w:val="20"/>
              </w:rPr>
              <w:t xml:space="preserve">  </w:t>
            </w:r>
            <w:r w:rsidR="00042145" w:rsidRPr="00002625">
              <w:rPr>
                <w:rFonts w:ascii="Arial Narrow" w:hAnsi="Arial Narrow"/>
                <w:sz w:val="20"/>
                <w:szCs w:val="20"/>
              </w:rPr>
              <w:t>(ii) there is a high grade colonic obstruction</w:t>
            </w:r>
            <w:r w:rsidR="006B0926" w:rsidRPr="00002625">
              <w:rPr>
                <w:rFonts w:ascii="Arial Narrow" w:hAnsi="Arial Narrow"/>
                <w:color w:val="2E74B5" w:themeColor="accent1" w:themeShade="BF"/>
                <w:sz w:val="20"/>
                <w:szCs w:val="20"/>
              </w:rPr>
              <w:t xml:space="preserve"> or other contraindication to colonoscopy</w:t>
            </w:r>
          </w:p>
          <w:p w14:paraId="30D03EAA" w14:textId="6B680CFB" w:rsidR="00A41140" w:rsidRPr="00002625" w:rsidRDefault="00A41140" w:rsidP="00B508B3">
            <w:pPr>
              <w:spacing w:before="120" w:after="120" w:line="240" w:lineRule="auto"/>
              <w:rPr>
                <w:rFonts w:ascii="Arial Narrow" w:hAnsi="Arial Narrow"/>
                <w:color w:val="2E74B5" w:themeColor="accent1" w:themeShade="BF"/>
                <w:sz w:val="20"/>
                <w:szCs w:val="20"/>
              </w:rPr>
            </w:pPr>
            <w:r w:rsidRPr="00002625">
              <w:rPr>
                <w:rFonts w:ascii="Arial Narrow" w:hAnsi="Arial Narrow"/>
                <w:color w:val="2E74B5" w:themeColor="accent1" w:themeShade="BF"/>
                <w:sz w:val="20"/>
                <w:szCs w:val="20"/>
              </w:rPr>
              <w:t xml:space="preserve">  (iii) the patient has </w:t>
            </w:r>
            <w:r w:rsidR="00C92578" w:rsidRPr="00002625">
              <w:rPr>
                <w:rFonts w:ascii="Arial Narrow" w:hAnsi="Arial Narrow"/>
                <w:color w:val="2E74B5" w:themeColor="accent1" w:themeShade="BF"/>
                <w:sz w:val="20"/>
                <w:szCs w:val="20"/>
              </w:rPr>
              <w:t xml:space="preserve">low risk </w:t>
            </w:r>
            <w:r w:rsidRPr="00002625">
              <w:rPr>
                <w:rFonts w:ascii="Arial Narrow" w:hAnsi="Arial Narrow"/>
                <w:color w:val="2E74B5" w:themeColor="accent1" w:themeShade="BF"/>
                <w:sz w:val="20"/>
                <w:szCs w:val="20"/>
              </w:rPr>
              <w:t>symptoms suggestive of colorectal cancer</w:t>
            </w:r>
          </w:p>
          <w:p w14:paraId="688E49DB" w14:textId="087CA4F0" w:rsidR="00F343DA" w:rsidRPr="00002625" w:rsidRDefault="00F343DA" w:rsidP="00B508B3">
            <w:pPr>
              <w:spacing w:before="120" w:after="120" w:line="240" w:lineRule="auto"/>
              <w:rPr>
                <w:rFonts w:ascii="Arial Narrow" w:hAnsi="Arial Narrow"/>
                <w:color w:val="2E74B5" w:themeColor="accent1" w:themeShade="BF"/>
                <w:sz w:val="20"/>
                <w:szCs w:val="20"/>
              </w:rPr>
            </w:pPr>
            <w:r w:rsidRPr="00002625">
              <w:rPr>
                <w:rFonts w:ascii="Arial Narrow" w:hAnsi="Arial Narrow"/>
                <w:color w:val="2E74B5" w:themeColor="accent1" w:themeShade="BF"/>
                <w:sz w:val="20"/>
                <w:szCs w:val="20"/>
              </w:rPr>
              <w:t xml:space="preserve">  (i</w:t>
            </w:r>
            <w:r w:rsidR="00E10003" w:rsidRPr="00002625">
              <w:rPr>
                <w:rFonts w:ascii="Arial Narrow" w:hAnsi="Arial Narrow"/>
                <w:color w:val="2E74B5" w:themeColor="accent1" w:themeShade="BF"/>
                <w:sz w:val="20"/>
                <w:szCs w:val="20"/>
              </w:rPr>
              <w:t>v</w:t>
            </w:r>
            <w:r w:rsidRPr="00002625">
              <w:rPr>
                <w:rFonts w:ascii="Arial Narrow" w:hAnsi="Arial Narrow"/>
                <w:color w:val="2E74B5" w:themeColor="accent1" w:themeShade="BF"/>
                <w:sz w:val="20"/>
                <w:szCs w:val="20"/>
              </w:rPr>
              <w:t xml:space="preserve">) for </w:t>
            </w:r>
            <w:r w:rsidR="00E10003" w:rsidRPr="00002625">
              <w:rPr>
                <w:rFonts w:ascii="Arial Narrow" w:hAnsi="Arial Narrow"/>
                <w:color w:val="2E74B5" w:themeColor="accent1" w:themeShade="BF"/>
                <w:sz w:val="20"/>
                <w:szCs w:val="20"/>
              </w:rPr>
              <w:t xml:space="preserve">a patient in </w:t>
            </w:r>
            <w:r w:rsidRPr="00002625">
              <w:rPr>
                <w:rFonts w:ascii="Arial Narrow" w:hAnsi="Arial Narrow"/>
                <w:color w:val="2E74B5" w:themeColor="accent1" w:themeShade="BF"/>
                <w:sz w:val="20"/>
                <w:szCs w:val="20"/>
              </w:rPr>
              <w:t>whom diagnostic imaging has shown an abnormality of the colon</w:t>
            </w:r>
          </w:p>
          <w:p w14:paraId="2EE3D352" w14:textId="3235DCF0" w:rsidR="00F343DA" w:rsidRPr="00002625" w:rsidRDefault="00F343DA" w:rsidP="0034647C">
            <w:pPr>
              <w:spacing w:before="120" w:after="120" w:line="240" w:lineRule="auto"/>
              <w:rPr>
                <w:rFonts w:ascii="Arial Narrow" w:hAnsi="Arial Narrow"/>
                <w:color w:val="2E74B5" w:themeColor="accent1" w:themeShade="BF"/>
                <w:sz w:val="20"/>
                <w:szCs w:val="20"/>
              </w:rPr>
            </w:pPr>
            <w:r w:rsidRPr="00002625">
              <w:rPr>
                <w:rFonts w:ascii="Arial Narrow" w:hAnsi="Arial Narrow"/>
                <w:color w:val="2E74B5" w:themeColor="accent1" w:themeShade="BF"/>
                <w:sz w:val="20"/>
                <w:szCs w:val="20"/>
              </w:rPr>
              <w:t xml:space="preserve">  (</w:t>
            </w:r>
            <w:r w:rsidR="00E10003" w:rsidRPr="00002625">
              <w:rPr>
                <w:rFonts w:ascii="Arial Narrow" w:hAnsi="Arial Narrow"/>
                <w:color w:val="2E74B5" w:themeColor="accent1" w:themeShade="BF"/>
                <w:sz w:val="20"/>
                <w:szCs w:val="20"/>
              </w:rPr>
              <w:t>v</w:t>
            </w:r>
            <w:r w:rsidRPr="00002625">
              <w:rPr>
                <w:rFonts w:ascii="Arial Narrow" w:hAnsi="Arial Narrow"/>
                <w:color w:val="2E74B5" w:themeColor="accent1" w:themeShade="BF"/>
                <w:sz w:val="20"/>
                <w:szCs w:val="20"/>
              </w:rPr>
              <w:t xml:space="preserve">) </w:t>
            </w:r>
            <w:r w:rsidR="00E10003" w:rsidRPr="00002625">
              <w:rPr>
                <w:rFonts w:ascii="Arial Narrow" w:hAnsi="Arial Narrow"/>
                <w:color w:val="2E74B5" w:themeColor="accent1" w:themeShade="BF"/>
                <w:sz w:val="20"/>
                <w:szCs w:val="20"/>
              </w:rPr>
              <w:t>for a patient who</w:t>
            </w:r>
            <w:r w:rsidRPr="00002625">
              <w:rPr>
                <w:rFonts w:ascii="Arial Narrow" w:hAnsi="Arial Narrow"/>
                <w:color w:val="2E74B5" w:themeColor="accent1" w:themeShade="BF"/>
                <w:sz w:val="20"/>
                <w:szCs w:val="20"/>
              </w:rPr>
              <w:t xml:space="preserve"> has received a positive faecal occult blood test</w:t>
            </w:r>
          </w:p>
          <w:p w14:paraId="02E10836" w14:textId="390C9C45" w:rsidR="00042145" w:rsidRPr="00002625" w:rsidRDefault="00947A15" w:rsidP="0034647C">
            <w:pPr>
              <w:spacing w:before="120" w:after="120"/>
              <w:rPr>
                <w:rFonts w:ascii="Arial Narrow" w:hAnsi="Arial Narrow"/>
                <w:sz w:val="20"/>
                <w:szCs w:val="20"/>
              </w:rPr>
            </w:pPr>
            <w:r w:rsidRPr="00002625">
              <w:rPr>
                <w:rFonts w:ascii="Arial Narrow" w:hAnsi="Arial Narrow"/>
                <w:sz w:val="20"/>
                <w:szCs w:val="20"/>
              </w:rPr>
              <w:t xml:space="preserve">  </w:t>
            </w:r>
            <w:r w:rsidR="00042145" w:rsidRPr="00002625">
              <w:rPr>
                <w:rFonts w:ascii="Arial Narrow" w:hAnsi="Arial Narrow"/>
                <w:sz w:val="20"/>
                <w:szCs w:val="20"/>
              </w:rPr>
              <w:t>(</w:t>
            </w:r>
            <w:r w:rsidR="007E1EB5" w:rsidRPr="00002625">
              <w:rPr>
                <w:rFonts w:ascii="Arial Narrow" w:hAnsi="Arial Narrow"/>
                <w:sz w:val="20"/>
                <w:szCs w:val="20"/>
              </w:rPr>
              <w:t>vi</w:t>
            </w:r>
            <w:r w:rsidR="00042145" w:rsidRPr="00002625">
              <w:rPr>
                <w:rFonts w:ascii="Arial Narrow" w:hAnsi="Arial Narrow"/>
                <w:sz w:val="20"/>
                <w:szCs w:val="20"/>
              </w:rPr>
              <w:t>) the service is requested by a specialist or consultant physician who performs colonoscopies in the practice of the specialist’s or consultant physician’s speciality; and</w:t>
            </w:r>
          </w:p>
          <w:p w14:paraId="0E04B2CC" w14:textId="77777777" w:rsidR="00042145" w:rsidRPr="00002625" w:rsidRDefault="00042145" w:rsidP="0034647C">
            <w:pPr>
              <w:spacing w:before="120" w:after="120"/>
              <w:rPr>
                <w:rFonts w:ascii="Arial Narrow" w:hAnsi="Arial Narrow"/>
                <w:sz w:val="20"/>
                <w:szCs w:val="20"/>
              </w:rPr>
            </w:pPr>
            <w:r w:rsidRPr="00002625">
              <w:rPr>
                <w:rFonts w:ascii="Arial Narrow" w:hAnsi="Arial Narrow"/>
                <w:sz w:val="20"/>
                <w:szCs w:val="20"/>
              </w:rPr>
              <w:t xml:space="preserve">(b) the service is not a service to which item 56301, 56307, 56401, 56407, 56409, 56412, 56501, 56507, 56801, 56807 or 57001 applies (R) </w:t>
            </w:r>
          </w:p>
          <w:p w14:paraId="654BF1E9" w14:textId="77777777" w:rsidR="00042145" w:rsidRPr="00002625" w:rsidRDefault="00042145" w:rsidP="0034647C">
            <w:pPr>
              <w:spacing w:before="240" w:after="120"/>
              <w:rPr>
                <w:rFonts w:ascii="Arial Narrow" w:hAnsi="Arial Narrow"/>
                <w:sz w:val="20"/>
                <w:szCs w:val="20"/>
              </w:rPr>
            </w:pPr>
            <w:r w:rsidRPr="00002625">
              <w:rPr>
                <w:rFonts w:ascii="Arial Narrow" w:hAnsi="Arial Narrow"/>
                <w:sz w:val="20"/>
                <w:szCs w:val="20"/>
              </w:rPr>
              <w:t>Bulk bill incentive</w:t>
            </w:r>
          </w:p>
          <w:p w14:paraId="7B38B28D" w14:textId="4329E3F1" w:rsidR="00042145" w:rsidRPr="00D13C7B" w:rsidRDefault="00042145" w:rsidP="0034647C">
            <w:pPr>
              <w:spacing w:before="240" w:after="120"/>
              <w:rPr>
                <w:rFonts w:ascii="Arial Narrow" w:hAnsi="Arial Narrow"/>
                <w:sz w:val="20"/>
                <w:szCs w:val="20"/>
              </w:rPr>
            </w:pPr>
            <w:r w:rsidRPr="00D13C7B">
              <w:rPr>
                <w:rFonts w:ascii="Arial Narrow" w:hAnsi="Arial Narrow"/>
                <w:sz w:val="20"/>
                <w:szCs w:val="20"/>
              </w:rPr>
              <w:t>(Anaes.)</w:t>
            </w:r>
          </w:p>
          <w:p w14:paraId="0DD90AFF" w14:textId="35E2E6CB" w:rsidR="00042145" w:rsidRPr="00002625" w:rsidRDefault="00184908" w:rsidP="0034647C">
            <w:pPr>
              <w:spacing w:before="240" w:after="120"/>
              <w:rPr>
                <w:rFonts w:ascii="Arial Narrow" w:hAnsi="Arial Narrow"/>
                <w:sz w:val="20"/>
                <w:szCs w:val="20"/>
              </w:rPr>
            </w:pPr>
            <w:r w:rsidRPr="00002625">
              <w:rPr>
                <w:rFonts w:ascii="Arial Narrow" w:hAnsi="Arial Narrow"/>
                <w:sz w:val="20"/>
                <w:szCs w:val="20"/>
              </w:rPr>
              <w:t xml:space="preserve">(See para IN.0.19 </w:t>
            </w:r>
            <w:r w:rsidR="00DD0B6D" w:rsidRPr="00002625">
              <w:rPr>
                <w:rFonts w:ascii="Arial Narrow" w:hAnsi="Arial Narrow"/>
                <w:color w:val="2E74B5" w:themeColor="accent1" w:themeShade="BF"/>
                <w:sz w:val="20"/>
                <w:szCs w:val="20"/>
              </w:rPr>
              <w:t>and IN.0.15</w:t>
            </w:r>
            <w:r w:rsidR="00DD0B6D" w:rsidRPr="00002625">
              <w:rPr>
                <w:rFonts w:ascii="Arial Narrow" w:hAnsi="Arial Narrow"/>
                <w:sz w:val="20"/>
                <w:szCs w:val="20"/>
              </w:rPr>
              <w:t xml:space="preserve"> </w:t>
            </w:r>
            <w:r w:rsidRPr="00002625">
              <w:rPr>
                <w:rFonts w:ascii="Arial Narrow" w:hAnsi="Arial Narrow"/>
                <w:sz w:val="20"/>
                <w:szCs w:val="20"/>
              </w:rPr>
              <w:t>of explanatory notes to this Category)</w:t>
            </w:r>
          </w:p>
        </w:tc>
      </w:tr>
      <w:tr w:rsidR="00042145" w:rsidRPr="00002625" w14:paraId="0AF3B769" w14:textId="77777777" w:rsidTr="00D96E92">
        <w:trPr>
          <w:tblHeader/>
        </w:trPr>
        <w:tc>
          <w:tcPr>
            <w:tcW w:w="9242" w:type="dxa"/>
            <w:tcBorders>
              <w:top w:val="single" w:sz="4" w:space="0" w:color="auto"/>
              <w:left w:val="single" w:sz="4" w:space="0" w:color="auto"/>
              <w:bottom w:val="single" w:sz="4" w:space="0" w:color="auto"/>
              <w:right w:val="single" w:sz="4" w:space="0" w:color="auto"/>
            </w:tcBorders>
            <w:vAlign w:val="center"/>
            <w:hideMark/>
          </w:tcPr>
          <w:p w14:paraId="2080DEE5" w14:textId="77777777" w:rsidR="00042145" w:rsidRPr="00002625" w:rsidRDefault="00042145" w:rsidP="00B508B3">
            <w:pPr>
              <w:spacing w:before="40" w:after="40"/>
              <w:rPr>
                <w:rFonts w:ascii="Arial Narrow" w:hAnsi="Arial Narrow"/>
                <w:sz w:val="20"/>
                <w:szCs w:val="20"/>
              </w:rPr>
            </w:pPr>
            <w:r w:rsidRPr="00002625">
              <w:rPr>
                <w:rFonts w:ascii="Arial Narrow" w:hAnsi="Arial Narrow"/>
                <w:sz w:val="20"/>
                <w:szCs w:val="20"/>
              </w:rPr>
              <w:t>Fee: $583.05 Benefit: 75% = $437.30 85% = $495.60</w:t>
            </w:r>
          </w:p>
        </w:tc>
      </w:tr>
    </w:tbl>
    <w:p w14:paraId="21B6C15D" w14:textId="6CF0F1F5" w:rsidR="00017338" w:rsidRPr="00002625" w:rsidRDefault="00492567" w:rsidP="000C24A2">
      <w:pPr>
        <w:pStyle w:val="Tablenotes"/>
        <w:spacing w:after="360"/>
        <w:jc w:val="left"/>
      </w:pPr>
      <w:r w:rsidRPr="00002625">
        <w:t>MBS = Medicare Benefits Schedule</w:t>
      </w:r>
      <w:r w:rsidR="00386EEA" w:rsidRPr="00002625">
        <w:br/>
      </w:r>
      <w:r w:rsidR="001B08B5" w:rsidRPr="00002625">
        <w:t xml:space="preserve">Note: </w:t>
      </w:r>
      <w:r w:rsidR="00DD0B6D" w:rsidRPr="00002625">
        <w:t xml:space="preserve">Amended text is indicated either in strikethrough or blue type. </w:t>
      </w:r>
    </w:p>
    <w:p w14:paraId="66D0C9F4" w14:textId="5AAF72AD" w:rsidR="0036166B" w:rsidRPr="00002625" w:rsidRDefault="00C92578" w:rsidP="0036166B">
      <w:r w:rsidRPr="00002625">
        <w:t xml:space="preserve">Proposed wording to capture </w:t>
      </w:r>
      <w:r w:rsidR="007D66F7" w:rsidRPr="00002625">
        <w:t xml:space="preserve">CTC use in </w:t>
      </w:r>
      <w:r w:rsidRPr="00002625">
        <w:t xml:space="preserve">the </w:t>
      </w:r>
      <w:r w:rsidR="007D66F7" w:rsidRPr="00002625">
        <w:t>subpopulation with</w:t>
      </w:r>
      <w:r w:rsidRPr="00002625">
        <w:t xml:space="preserve"> low risk disease symptoms ha</w:t>
      </w:r>
      <w:r w:rsidR="007D66F7" w:rsidRPr="00002625">
        <w:t>s</w:t>
      </w:r>
      <w:r w:rsidRPr="00002625">
        <w:t xml:space="preserve"> been included in </w:t>
      </w:r>
      <w:r w:rsidR="007D66F7" w:rsidRPr="00002625">
        <w:t>criterion</w:t>
      </w:r>
      <w:r w:rsidRPr="00002625">
        <w:t xml:space="preserve"> (iii)</w:t>
      </w:r>
      <w:r w:rsidR="007D66F7" w:rsidRPr="00002625">
        <w:t xml:space="preserve"> in the draft descriptor</w:t>
      </w:r>
      <w:r w:rsidRPr="00002625">
        <w:t>.</w:t>
      </w:r>
      <w:r w:rsidR="004C127E" w:rsidRPr="00002625">
        <w:t xml:space="preserve"> </w:t>
      </w:r>
      <w:r w:rsidR="00707C66" w:rsidRPr="00002625">
        <w:t>A m</w:t>
      </w:r>
      <w:r w:rsidR="009B2131" w:rsidRPr="00002625">
        <w:t xml:space="preserve">ore detailed definition is proposed in the </w:t>
      </w:r>
      <w:r w:rsidR="00707C66" w:rsidRPr="00002625">
        <w:t xml:space="preserve">amended </w:t>
      </w:r>
      <w:r w:rsidR="009B2131" w:rsidRPr="00002625">
        <w:t>explanatory note</w:t>
      </w:r>
      <w:r w:rsidR="00600C23" w:rsidRPr="00002625">
        <w:t xml:space="preserve"> below</w:t>
      </w:r>
      <w:r w:rsidR="009B2131" w:rsidRPr="00002625">
        <w:t>.</w:t>
      </w:r>
      <w:r w:rsidR="00D83C54" w:rsidRPr="00002625">
        <w:t xml:space="preserve"> </w:t>
      </w:r>
      <w:r w:rsidR="0036166B" w:rsidRPr="00002625">
        <w:t xml:space="preserve">Revised text as it could apply to </w:t>
      </w:r>
      <w:r w:rsidR="00B4346F" w:rsidRPr="00002625">
        <w:t>explanatory note IN.0.15</w:t>
      </w:r>
      <w:r w:rsidR="0036166B" w:rsidRPr="00002625">
        <w:t xml:space="preserve"> is suggested below.</w:t>
      </w:r>
      <w:r w:rsidR="00D64C1A" w:rsidRPr="00002625">
        <w:t xml:space="preserve"> </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5;&#10;2. proposed categroy description diagnostic imaging services;&#10;3. proposed item descriptor: Computed tomography of the colon&#10;In item 56553, the terms 'high risk' and, 'incomplete colonoscopy' and ‘contraindications for colonoscopy’ are defined as follows: &#10;High Risk&#10;Asymptomatic people fit into this category if they have any of the following:&#10;·   at least three first-degree relatives diagnosed with colorectal cancer at any age&#10;·   at least three first-degree or second-degree relatives with colorectal cancer with at least one diagnosed before age 55 years.&#10;Relative risk for category 3 is 7–10 times average risk. For the majority of people in this category, the risk of colorectal cancer is 7 times higher than average.&#10; &#10;Source:  Cancer Council Australia – Short Form Summary of NHMRC Approved Recommendations - January 2018 - Clinical practice guidelines for the prevention, early detection and management of colorectal cancer – category 3 – those at high risk (page 12) .&#10; &#10;Incomplete Colonoscopy&#10;An incomplete colonoscopy is defined as one that is not completed for technical or medical reasons.&#10;&#10;Contraindications for Colonoscopy &#10;Patients fit into this category if they have any of the following:&#10;  Active colitis;&#10;  Large abdominal aortic aneurysms; &#10;  Recent myocardial infarction or pulmonary embolism; &#10;  Coagulopathies, including therapeutic anticoagulation; &#10;  Patients unable to tolerate adequate bowel preparation for colonoscopy; &#10;  Frail patients of advanced age; &#10;  Abdominal large bowel hernias; and &#10;  Splenomegaly.&#10;&#10;4. proposed fee N/A"/>
      </w:tblPr>
      <w:tblGrid>
        <w:gridCol w:w="9242"/>
      </w:tblGrid>
      <w:tr w:rsidR="0036166B" w:rsidRPr="00002625" w14:paraId="286F0FD2" w14:textId="77777777" w:rsidTr="00F87900">
        <w:trPr>
          <w:cantSplit/>
        </w:trPr>
        <w:tc>
          <w:tcPr>
            <w:tcW w:w="9242" w:type="dxa"/>
            <w:tcBorders>
              <w:top w:val="single" w:sz="4" w:space="0" w:color="auto"/>
              <w:left w:val="single" w:sz="4" w:space="0" w:color="auto"/>
              <w:bottom w:val="single" w:sz="4" w:space="0" w:color="auto"/>
              <w:right w:val="single" w:sz="4" w:space="0" w:color="auto"/>
            </w:tcBorders>
            <w:hideMark/>
          </w:tcPr>
          <w:p w14:paraId="72E0782B" w14:textId="77777777" w:rsidR="0036166B" w:rsidRPr="00002625" w:rsidRDefault="0036166B" w:rsidP="006E3955">
            <w:pPr>
              <w:keepNext/>
              <w:spacing w:before="40" w:after="40" w:line="240" w:lineRule="auto"/>
              <w:rPr>
                <w:rFonts w:ascii="Arial Narrow" w:hAnsi="Arial Narrow"/>
                <w:sz w:val="20"/>
                <w:szCs w:val="20"/>
              </w:rPr>
            </w:pPr>
            <w:r w:rsidRPr="00002625">
              <w:rPr>
                <w:rFonts w:ascii="Arial Narrow" w:hAnsi="Arial Narrow"/>
                <w:sz w:val="20"/>
                <w:szCs w:val="20"/>
              </w:rPr>
              <w:lastRenderedPageBreak/>
              <w:t>Category 5 - DIAGNOSTIC IMAGING SERVICES</w:t>
            </w:r>
          </w:p>
        </w:tc>
      </w:tr>
      <w:tr w:rsidR="0036166B" w:rsidRPr="00002625" w14:paraId="1136AF9B" w14:textId="77777777" w:rsidTr="00F87900">
        <w:trPr>
          <w:cantSplit/>
          <w:trHeight w:val="1860"/>
        </w:trPr>
        <w:tc>
          <w:tcPr>
            <w:tcW w:w="9242" w:type="dxa"/>
            <w:tcBorders>
              <w:top w:val="single" w:sz="4" w:space="0" w:color="auto"/>
              <w:left w:val="single" w:sz="4" w:space="0" w:color="auto"/>
              <w:bottom w:val="single" w:sz="4" w:space="0" w:color="auto"/>
              <w:right w:val="single" w:sz="4" w:space="0" w:color="auto"/>
            </w:tcBorders>
          </w:tcPr>
          <w:p w14:paraId="47BEAB0E" w14:textId="7420734F" w:rsidR="0036166B" w:rsidRPr="00002625" w:rsidRDefault="0036166B">
            <w:pPr>
              <w:spacing w:before="120" w:after="120" w:line="240" w:lineRule="auto"/>
              <w:rPr>
                <w:rFonts w:ascii="Arial Narrow" w:hAnsi="Arial Narrow"/>
                <w:sz w:val="20"/>
                <w:szCs w:val="20"/>
              </w:rPr>
            </w:pPr>
            <w:r w:rsidRPr="00002625">
              <w:rPr>
                <w:rFonts w:ascii="Arial Narrow" w:hAnsi="Arial Narrow"/>
                <w:sz w:val="20"/>
                <w:szCs w:val="20"/>
              </w:rPr>
              <w:t>IN.0.15</w:t>
            </w:r>
            <w:r w:rsidRPr="00002625">
              <w:tab/>
            </w:r>
            <w:r w:rsidRPr="00002625">
              <w:rPr>
                <w:rFonts w:ascii="Arial Narrow" w:hAnsi="Arial Narrow"/>
                <w:sz w:val="20"/>
                <w:szCs w:val="20"/>
              </w:rPr>
              <w:t>Group I2 - Computed Tomography (CT)</w:t>
            </w:r>
            <w:r w:rsidR="40A70B02" w:rsidRPr="00002625">
              <w:rPr>
                <w:rFonts w:ascii="Arial Narrow" w:hAnsi="Arial Narrow"/>
                <w:sz w:val="20"/>
                <w:szCs w:val="20"/>
              </w:rPr>
              <w:t xml:space="preserve"> (</w:t>
            </w:r>
            <w:r w:rsidR="42B463F4" w:rsidRPr="00002625">
              <w:rPr>
                <w:rFonts w:ascii="Arial Narrow" w:hAnsi="Arial Narrow"/>
                <w:sz w:val="20"/>
                <w:szCs w:val="20"/>
              </w:rPr>
              <w:t>suggested amendment for inclusion</w:t>
            </w:r>
            <w:r w:rsidR="40A70B02" w:rsidRPr="00002625">
              <w:rPr>
                <w:rFonts w:ascii="Arial Narrow" w:hAnsi="Arial Narrow"/>
                <w:sz w:val="20"/>
                <w:szCs w:val="20"/>
              </w:rPr>
              <w:t>)</w:t>
            </w:r>
          </w:p>
          <w:p w14:paraId="6ED9B908" w14:textId="6C8342FF" w:rsidR="2766FFC7" w:rsidRPr="00002625" w:rsidRDefault="2766FFC7" w:rsidP="4596B97F">
            <w:pPr>
              <w:spacing w:before="120" w:after="120" w:line="240" w:lineRule="auto"/>
              <w:rPr>
                <w:rFonts w:ascii="Arial Narrow" w:hAnsi="Arial Narrow"/>
                <w:b/>
                <w:bCs/>
                <w:sz w:val="20"/>
                <w:szCs w:val="20"/>
                <w:u w:val="single"/>
              </w:rPr>
            </w:pPr>
            <w:r w:rsidRPr="00002625">
              <w:rPr>
                <w:rFonts w:ascii="Arial Narrow" w:hAnsi="Arial Narrow"/>
                <w:b/>
                <w:bCs/>
                <w:sz w:val="20"/>
                <w:szCs w:val="20"/>
                <w:u w:val="single"/>
              </w:rPr>
              <w:t>Computed tomography of the upper abdomen and pelvis</w:t>
            </w:r>
          </w:p>
          <w:p w14:paraId="194EAAFC" w14:textId="2097787C" w:rsidR="2766FFC7" w:rsidRPr="00002625" w:rsidRDefault="2766FFC7" w:rsidP="4596B97F">
            <w:pPr>
              <w:spacing w:before="120" w:after="120" w:line="240" w:lineRule="auto"/>
            </w:pPr>
            <w:r w:rsidRPr="00002625">
              <w:rPr>
                <w:rFonts w:ascii="Arial Narrow" w:hAnsi="Arial Narrow"/>
                <w:sz w:val="20"/>
                <w:szCs w:val="20"/>
              </w:rPr>
              <w:t>Items 56501 and 56507 are not eligible for benefits if performed for the purpose of performing a virtual colonoscopy (otherwise known as CT colonography and CT colonography)</w:t>
            </w:r>
            <w:r w:rsidR="00465C03" w:rsidRPr="00002625">
              <w:rPr>
                <w:rFonts w:ascii="Arial Narrow" w:hAnsi="Arial Narrow"/>
                <w:sz w:val="20"/>
                <w:szCs w:val="20"/>
              </w:rPr>
              <w:t xml:space="preserve">. </w:t>
            </w:r>
            <w:r w:rsidRPr="00002625">
              <w:rPr>
                <w:rFonts w:ascii="Arial Narrow" w:hAnsi="Arial Narrow"/>
                <w:sz w:val="20"/>
                <w:szCs w:val="20"/>
              </w:rPr>
              <w:t>Item 56553 is to be used for a CT colonography.</w:t>
            </w:r>
          </w:p>
          <w:p w14:paraId="0DD1F551" w14:textId="678BEB18" w:rsidR="0036166B" w:rsidRPr="00002625" w:rsidRDefault="0036166B" w:rsidP="0BA2A233">
            <w:pPr>
              <w:spacing w:after="120" w:line="240" w:lineRule="auto"/>
              <w:rPr>
                <w:rFonts w:ascii="Arial Narrow" w:hAnsi="Arial Narrow"/>
                <w:color w:val="2E74B5" w:themeColor="accent1" w:themeShade="BF"/>
                <w:sz w:val="20"/>
                <w:szCs w:val="20"/>
              </w:rPr>
            </w:pPr>
            <w:r w:rsidRPr="00002625">
              <w:rPr>
                <w:rFonts w:ascii="Arial Narrow" w:hAnsi="Arial Narrow"/>
                <w:b/>
                <w:bCs/>
                <w:i/>
                <w:iCs/>
                <w:color w:val="2E74B5" w:themeColor="accent1" w:themeShade="BF"/>
                <w:sz w:val="20"/>
                <w:szCs w:val="20"/>
              </w:rPr>
              <w:t>C</w:t>
            </w:r>
            <w:r w:rsidR="69AD950E" w:rsidRPr="00002625">
              <w:rPr>
                <w:rFonts w:ascii="Arial Narrow" w:hAnsi="Arial Narrow"/>
                <w:b/>
                <w:bCs/>
                <w:i/>
                <w:iCs/>
                <w:color w:val="2E74B5" w:themeColor="accent1" w:themeShade="BF"/>
                <w:sz w:val="20"/>
                <w:szCs w:val="20"/>
              </w:rPr>
              <w:t>omputed tomography of the colon</w:t>
            </w:r>
          </w:p>
          <w:p w14:paraId="2927E2F7" w14:textId="04DDFF34" w:rsidR="0036166B" w:rsidRPr="00002625" w:rsidRDefault="69AD950E" w:rsidP="6EFE9373">
            <w:pPr>
              <w:spacing w:after="120" w:line="240" w:lineRule="auto"/>
              <w:rPr>
                <w:rFonts w:ascii="Arial Narrow" w:hAnsi="Arial Narrow"/>
                <w:i/>
                <w:iCs/>
                <w:color w:val="2E74B5" w:themeColor="accent1" w:themeShade="BF"/>
                <w:sz w:val="20"/>
                <w:szCs w:val="20"/>
              </w:rPr>
            </w:pPr>
            <w:r w:rsidRPr="00002625">
              <w:rPr>
                <w:rFonts w:ascii="Arial Narrow" w:hAnsi="Arial Narrow"/>
                <w:color w:val="2E74B5" w:themeColor="accent1" w:themeShade="BF"/>
                <w:sz w:val="20"/>
                <w:szCs w:val="20"/>
              </w:rPr>
              <w:t>Item 56553 is for a scan of the colon for the exclusion or diagnosis of colorectal neoplasia in a symptomatic or high risk patient, who meets defined criteria</w:t>
            </w:r>
            <w:r w:rsidR="5D6D629B" w:rsidRPr="00002625">
              <w:rPr>
                <w:rFonts w:ascii="Arial Narrow" w:hAnsi="Arial Narrow"/>
                <w:color w:val="2E74B5" w:themeColor="accent1" w:themeShade="BF"/>
                <w:sz w:val="20"/>
                <w:szCs w:val="20"/>
              </w:rPr>
              <w:t xml:space="preserve"> as listed in the item description</w:t>
            </w:r>
            <w:r w:rsidRPr="00002625">
              <w:rPr>
                <w:rFonts w:ascii="Arial Narrow" w:hAnsi="Arial Narrow"/>
                <w:color w:val="2E74B5" w:themeColor="accent1" w:themeShade="BF"/>
                <w:sz w:val="20"/>
                <w:szCs w:val="20"/>
              </w:rPr>
              <w:t xml:space="preserve">. </w:t>
            </w:r>
            <w:r w:rsidR="4396AD60" w:rsidRPr="00002625">
              <w:rPr>
                <w:rFonts w:ascii="Arial Narrow" w:hAnsi="Arial Narrow"/>
                <w:color w:val="2E74B5" w:themeColor="accent1" w:themeShade="BF"/>
                <w:sz w:val="20"/>
                <w:szCs w:val="20"/>
              </w:rPr>
              <w:t>The following list of contraindications for colonoscopy, and ‘low risk’</w:t>
            </w:r>
            <w:r w:rsidRPr="00002625">
              <w:rPr>
                <w:rFonts w:ascii="Arial Narrow" w:hAnsi="Arial Narrow"/>
                <w:color w:val="2E74B5" w:themeColor="accent1" w:themeShade="BF"/>
                <w:sz w:val="20"/>
                <w:szCs w:val="20"/>
              </w:rPr>
              <w:t xml:space="preserve"> </w:t>
            </w:r>
            <w:r w:rsidR="20BE6467" w:rsidRPr="00002625">
              <w:rPr>
                <w:rFonts w:ascii="Arial Narrow" w:hAnsi="Arial Narrow"/>
                <w:color w:val="2E74B5" w:themeColor="accent1" w:themeShade="BF"/>
                <w:sz w:val="20"/>
                <w:szCs w:val="20"/>
              </w:rPr>
              <w:t xml:space="preserve">definition </w:t>
            </w:r>
            <w:r w:rsidR="4396AD60" w:rsidRPr="00002625">
              <w:rPr>
                <w:rFonts w:ascii="Arial Narrow" w:hAnsi="Arial Narrow"/>
                <w:color w:val="2E74B5" w:themeColor="accent1" w:themeShade="BF"/>
                <w:sz w:val="20"/>
                <w:szCs w:val="20"/>
              </w:rPr>
              <w:t>for colorectal cancer, relate to Item 56553.</w:t>
            </w:r>
          </w:p>
          <w:p w14:paraId="61B1D03C" w14:textId="0F4AC816" w:rsidR="0036166B" w:rsidRPr="00002625" w:rsidRDefault="793243B5">
            <w:pPr>
              <w:spacing w:after="120" w:line="240" w:lineRule="auto"/>
              <w:rPr>
                <w:rFonts w:ascii="Arial Narrow" w:hAnsi="Arial Narrow"/>
                <w:color w:val="2E74B5" w:themeColor="accent1" w:themeShade="BF"/>
                <w:sz w:val="20"/>
                <w:szCs w:val="20"/>
              </w:rPr>
            </w:pPr>
            <w:r w:rsidRPr="00002625">
              <w:rPr>
                <w:rFonts w:ascii="Arial Narrow" w:hAnsi="Arial Narrow"/>
                <w:b/>
                <w:bCs/>
                <w:i/>
                <w:iCs/>
                <w:color w:val="2E74B5" w:themeColor="accent1" w:themeShade="BF"/>
                <w:sz w:val="20"/>
                <w:szCs w:val="20"/>
              </w:rPr>
              <w:t>Co</w:t>
            </w:r>
            <w:r w:rsidR="0036166B" w:rsidRPr="00002625">
              <w:rPr>
                <w:rFonts w:ascii="Arial Narrow" w:hAnsi="Arial Narrow"/>
                <w:b/>
                <w:bCs/>
                <w:i/>
                <w:iCs/>
                <w:color w:val="2E74B5" w:themeColor="accent1" w:themeShade="BF"/>
                <w:sz w:val="20"/>
                <w:szCs w:val="20"/>
              </w:rPr>
              <w:t xml:space="preserve">ntraindications for Colonoscopy </w:t>
            </w:r>
          </w:p>
          <w:p w14:paraId="7D8E6EC0" w14:textId="77777777" w:rsidR="0036166B" w:rsidRPr="00002625" w:rsidRDefault="0036166B">
            <w:pPr>
              <w:spacing w:before="120" w:after="120" w:line="240" w:lineRule="auto"/>
              <w:rPr>
                <w:rFonts w:ascii="Arial Narrow" w:hAnsi="Arial Narrow"/>
                <w:color w:val="2E74B5" w:themeColor="accent1" w:themeShade="BF"/>
                <w:sz w:val="20"/>
                <w:szCs w:val="20"/>
              </w:rPr>
            </w:pPr>
            <w:r w:rsidRPr="00002625">
              <w:rPr>
                <w:rFonts w:ascii="Arial Narrow" w:hAnsi="Arial Narrow"/>
                <w:color w:val="2E74B5" w:themeColor="accent1" w:themeShade="BF"/>
                <w:sz w:val="20"/>
                <w:szCs w:val="20"/>
              </w:rPr>
              <w:t>Patients fit into this category if they have any of the following:</w:t>
            </w:r>
          </w:p>
          <w:p w14:paraId="5C3BBD99" w14:textId="77777777" w:rsidR="0036166B" w:rsidRPr="00002625" w:rsidRDefault="0036166B" w:rsidP="000773E1">
            <w:pPr>
              <w:pStyle w:val="ListParagraph"/>
              <w:numPr>
                <w:ilvl w:val="0"/>
                <w:numId w:val="18"/>
              </w:numPr>
              <w:spacing w:before="120" w:after="120" w:line="240" w:lineRule="auto"/>
              <w:rPr>
                <w:rFonts w:ascii="Arial Narrow" w:hAnsi="Arial Narrow"/>
                <w:color w:val="2E74B5" w:themeColor="accent1" w:themeShade="BF"/>
                <w:sz w:val="20"/>
                <w:szCs w:val="20"/>
              </w:rPr>
            </w:pPr>
            <w:r w:rsidRPr="00002625">
              <w:rPr>
                <w:rFonts w:ascii="Arial Narrow" w:hAnsi="Arial Narrow"/>
                <w:color w:val="2E74B5" w:themeColor="accent1" w:themeShade="BF"/>
                <w:sz w:val="20"/>
                <w:szCs w:val="20"/>
              </w:rPr>
              <w:t xml:space="preserve">  Active colitis;</w:t>
            </w:r>
          </w:p>
          <w:p w14:paraId="7AE58E8A" w14:textId="77777777" w:rsidR="0036166B" w:rsidRPr="00002625" w:rsidRDefault="0036166B" w:rsidP="000773E1">
            <w:pPr>
              <w:pStyle w:val="ListParagraph"/>
              <w:numPr>
                <w:ilvl w:val="0"/>
                <w:numId w:val="18"/>
              </w:numPr>
              <w:spacing w:before="120" w:after="120" w:line="240" w:lineRule="auto"/>
              <w:rPr>
                <w:rFonts w:ascii="Arial Narrow" w:hAnsi="Arial Narrow"/>
                <w:color w:val="2E74B5" w:themeColor="accent1" w:themeShade="BF"/>
                <w:sz w:val="20"/>
                <w:szCs w:val="20"/>
              </w:rPr>
            </w:pPr>
            <w:r w:rsidRPr="00002625">
              <w:rPr>
                <w:rFonts w:ascii="Arial Narrow" w:hAnsi="Arial Narrow"/>
                <w:color w:val="2E74B5" w:themeColor="accent1" w:themeShade="BF"/>
                <w:sz w:val="20"/>
                <w:szCs w:val="20"/>
              </w:rPr>
              <w:t xml:space="preserve">  Large abdominal aortic aneurysms; </w:t>
            </w:r>
          </w:p>
          <w:p w14:paraId="539A3CEB" w14:textId="77777777" w:rsidR="0036166B" w:rsidRPr="00002625" w:rsidRDefault="0036166B" w:rsidP="000773E1">
            <w:pPr>
              <w:pStyle w:val="ListParagraph"/>
              <w:numPr>
                <w:ilvl w:val="0"/>
                <w:numId w:val="18"/>
              </w:numPr>
              <w:spacing w:before="120" w:after="120" w:line="240" w:lineRule="auto"/>
              <w:rPr>
                <w:rFonts w:ascii="Arial Narrow" w:hAnsi="Arial Narrow"/>
                <w:color w:val="2E74B5" w:themeColor="accent1" w:themeShade="BF"/>
                <w:sz w:val="20"/>
                <w:szCs w:val="20"/>
              </w:rPr>
            </w:pPr>
            <w:r w:rsidRPr="00002625">
              <w:rPr>
                <w:rFonts w:ascii="Arial Narrow" w:hAnsi="Arial Narrow"/>
                <w:color w:val="2E74B5" w:themeColor="accent1" w:themeShade="BF"/>
                <w:sz w:val="20"/>
                <w:szCs w:val="20"/>
              </w:rPr>
              <w:t xml:space="preserve">  Recent myocardial infarction or pulmonary embolism; </w:t>
            </w:r>
          </w:p>
          <w:p w14:paraId="5F1FD5B7" w14:textId="77777777" w:rsidR="0036166B" w:rsidRPr="00002625" w:rsidRDefault="0036166B" w:rsidP="000773E1">
            <w:pPr>
              <w:pStyle w:val="ListParagraph"/>
              <w:numPr>
                <w:ilvl w:val="0"/>
                <w:numId w:val="18"/>
              </w:numPr>
              <w:spacing w:before="120" w:after="120" w:line="240" w:lineRule="auto"/>
              <w:rPr>
                <w:rFonts w:ascii="Arial Narrow" w:hAnsi="Arial Narrow"/>
                <w:color w:val="2E74B5" w:themeColor="accent1" w:themeShade="BF"/>
                <w:sz w:val="20"/>
                <w:szCs w:val="20"/>
              </w:rPr>
            </w:pPr>
            <w:r w:rsidRPr="00002625">
              <w:rPr>
                <w:rFonts w:ascii="Arial Narrow" w:hAnsi="Arial Narrow"/>
                <w:color w:val="2E74B5" w:themeColor="accent1" w:themeShade="BF"/>
                <w:sz w:val="20"/>
                <w:szCs w:val="20"/>
              </w:rPr>
              <w:t xml:space="preserve">  Coagulopathies, including therapeutic anticoagulation; </w:t>
            </w:r>
          </w:p>
          <w:p w14:paraId="6356BF38" w14:textId="77777777" w:rsidR="0036166B" w:rsidRPr="00002625" w:rsidRDefault="0036166B" w:rsidP="000773E1">
            <w:pPr>
              <w:pStyle w:val="ListParagraph"/>
              <w:numPr>
                <w:ilvl w:val="0"/>
                <w:numId w:val="18"/>
              </w:numPr>
              <w:spacing w:before="120" w:after="120" w:line="240" w:lineRule="auto"/>
              <w:rPr>
                <w:rFonts w:ascii="Arial Narrow" w:hAnsi="Arial Narrow"/>
                <w:color w:val="2E74B5" w:themeColor="accent1" w:themeShade="BF"/>
                <w:sz w:val="20"/>
                <w:szCs w:val="20"/>
              </w:rPr>
            </w:pPr>
            <w:r w:rsidRPr="00002625">
              <w:rPr>
                <w:rFonts w:ascii="Arial Narrow" w:hAnsi="Arial Narrow"/>
                <w:color w:val="2E74B5" w:themeColor="accent1" w:themeShade="BF"/>
                <w:sz w:val="20"/>
                <w:szCs w:val="20"/>
              </w:rPr>
              <w:t xml:space="preserve">  Patients unable to tolerate adequate bowel preparation for colonoscopy; </w:t>
            </w:r>
          </w:p>
          <w:p w14:paraId="11F2BD36" w14:textId="77777777" w:rsidR="0036166B" w:rsidRPr="00002625" w:rsidRDefault="0036166B" w:rsidP="000773E1">
            <w:pPr>
              <w:pStyle w:val="ListParagraph"/>
              <w:numPr>
                <w:ilvl w:val="0"/>
                <w:numId w:val="18"/>
              </w:numPr>
              <w:spacing w:before="120" w:after="120" w:line="240" w:lineRule="auto"/>
              <w:rPr>
                <w:rFonts w:ascii="Arial Narrow" w:hAnsi="Arial Narrow"/>
                <w:color w:val="2E74B5" w:themeColor="accent1" w:themeShade="BF"/>
                <w:sz w:val="20"/>
                <w:szCs w:val="20"/>
              </w:rPr>
            </w:pPr>
            <w:r w:rsidRPr="00002625">
              <w:rPr>
                <w:rFonts w:ascii="Arial Narrow" w:hAnsi="Arial Narrow"/>
                <w:color w:val="2E74B5" w:themeColor="accent1" w:themeShade="BF"/>
                <w:sz w:val="20"/>
                <w:szCs w:val="20"/>
              </w:rPr>
              <w:t xml:space="preserve">  Frail patients of advanced age; </w:t>
            </w:r>
          </w:p>
          <w:p w14:paraId="28516961" w14:textId="77777777" w:rsidR="0036166B" w:rsidRPr="00002625" w:rsidRDefault="0036166B" w:rsidP="000773E1">
            <w:pPr>
              <w:pStyle w:val="ListParagraph"/>
              <w:numPr>
                <w:ilvl w:val="0"/>
                <w:numId w:val="18"/>
              </w:numPr>
              <w:spacing w:before="120" w:after="120" w:line="240" w:lineRule="auto"/>
              <w:rPr>
                <w:rFonts w:ascii="Arial Narrow" w:hAnsi="Arial Narrow"/>
                <w:color w:val="2E74B5" w:themeColor="accent1" w:themeShade="BF"/>
                <w:sz w:val="20"/>
                <w:szCs w:val="20"/>
              </w:rPr>
            </w:pPr>
            <w:r w:rsidRPr="00002625">
              <w:rPr>
                <w:rFonts w:ascii="Arial Narrow" w:hAnsi="Arial Narrow"/>
                <w:color w:val="2E74B5" w:themeColor="accent1" w:themeShade="BF"/>
                <w:sz w:val="20"/>
                <w:szCs w:val="20"/>
              </w:rPr>
              <w:t xml:space="preserve">  Abdominal large bowel hernias; and </w:t>
            </w:r>
          </w:p>
          <w:p w14:paraId="564480E2" w14:textId="77777777" w:rsidR="0036166B" w:rsidRPr="00002625" w:rsidRDefault="0036166B" w:rsidP="000773E1">
            <w:pPr>
              <w:pStyle w:val="ListParagraph"/>
              <w:numPr>
                <w:ilvl w:val="0"/>
                <w:numId w:val="18"/>
              </w:numPr>
              <w:spacing w:before="120" w:after="120" w:line="240" w:lineRule="auto"/>
              <w:rPr>
                <w:rFonts w:ascii="Arial Narrow" w:hAnsi="Arial Narrow"/>
                <w:color w:val="2E74B5" w:themeColor="accent1" w:themeShade="BF"/>
                <w:sz w:val="20"/>
                <w:szCs w:val="20"/>
              </w:rPr>
            </w:pPr>
            <w:r w:rsidRPr="00002625">
              <w:rPr>
                <w:rFonts w:ascii="Arial Narrow" w:hAnsi="Arial Narrow"/>
                <w:color w:val="2E74B5" w:themeColor="accent1" w:themeShade="BF"/>
                <w:sz w:val="20"/>
                <w:szCs w:val="20"/>
              </w:rPr>
              <w:t xml:space="preserve">  Splenomegaly.</w:t>
            </w:r>
          </w:p>
          <w:p w14:paraId="3A9E7313" w14:textId="42EAB568" w:rsidR="0036166B" w:rsidRPr="00002625" w:rsidRDefault="52976729">
            <w:pPr>
              <w:keepNext/>
              <w:spacing w:after="120" w:line="240" w:lineRule="auto"/>
              <w:rPr>
                <w:rFonts w:ascii="Arial Narrow" w:hAnsi="Arial Narrow"/>
                <w:b/>
                <w:i/>
                <w:color w:val="2E74B5" w:themeColor="accent1" w:themeShade="BF"/>
                <w:sz w:val="20"/>
                <w:szCs w:val="20"/>
              </w:rPr>
            </w:pPr>
            <w:r w:rsidRPr="00002625">
              <w:rPr>
                <w:rFonts w:ascii="Arial Narrow" w:hAnsi="Arial Narrow"/>
                <w:b/>
                <w:bCs/>
                <w:i/>
                <w:iCs/>
                <w:color w:val="2E74B5" w:themeColor="accent1" w:themeShade="BF"/>
                <w:sz w:val="20"/>
                <w:szCs w:val="20"/>
              </w:rPr>
              <w:t>Definition of ‘</w:t>
            </w:r>
            <w:r w:rsidR="15153F25" w:rsidRPr="00002625">
              <w:rPr>
                <w:rFonts w:ascii="Arial Narrow" w:hAnsi="Arial Narrow"/>
                <w:b/>
                <w:bCs/>
                <w:i/>
                <w:iCs/>
                <w:color w:val="2E74B5" w:themeColor="accent1" w:themeShade="BF"/>
                <w:sz w:val="20"/>
                <w:szCs w:val="20"/>
              </w:rPr>
              <w:t>l</w:t>
            </w:r>
            <w:r w:rsidR="0036166B" w:rsidRPr="00002625">
              <w:rPr>
                <w:rFonts w:ascii="Arial Narrow" w:hAnsi="Arial Narrow"/>
                <w:b/>
                <w:bCs/>
                <w:i/>
                <w:iCs/>
                <w:color w:val="2E74B5" w:themeColor="accent1" w:themeShade="BF"/>
                <w:sz w:val="20"/>
                <w:szCs w:val="20"/>
              </w:rPr>
              <w:t>ow risk</w:t>
            </w:r>
            <w:r w:rsidR="36A5785D" w:rsidRPr="00002625">
              <w:rPr>
                <w:rFonts w:ascii="Arial Narrow" w:hAnsi="Arial Narrow"/>
                <w:b/>
                <w:bCs/>
                <w:i/>
                <w:iCs/>
                <w:color w:val="2E74B5" w:themeColor="accent1" w:themeShade="BF"/>
                <w:sz w:val="20"/>
                <w:szCs w:val="20"/>
              </w:rPr>
              <w:t>’ for Item 56553</w:t>
            </w:r>
          </w:p>
          <w:p w14:paraId="6BB17086" w14:textId="58D4692D" w:rsidR="0036166B" w:rsidRPr="00002625" w:rsidRDefault="0036166B">
            <w:pPr>
              <w:spacing w:before="120" w:after="240" w:line="240" w:lineRule="auto"/>
              <w:rPr>
                <w:rFonts w:ascii="Arial Narrow" w:hAnsi="Arial Narrow"/>
                <w:sz w:val="20"/>
                <w:szCs w:val="20"/>
              </w:rPr>
            </w:pPr>
            <w:r w:rsidRPr="00002625">
              <w:rPr>
                <w:rFonts w:ascii="Arial Narrow" w:hAnsi="Arial Narrow"/>
                <w:color w:val="2E74B5" w:themeColor="accent1" w:themeShade="BF"/>
                <w:sz w:val="20"/>
                <w:szCs w:val="20"/>
              </w:rPr>
              <w:t>Patients with symptoms suggestive of colorectal cancer are considered low risk if they do not have symptoms warranting urgent referral such as rectal bleeding, anaemia or unexplained weight loss</w:t>
            </w:r>
            <w:r w:rsidR="00465C03" w:rsidRPr="00002625">
              <w:rPr>
                <w:rFonts w:ascii="Arial Narrow" w:hAnsi="Arial Narrow"/>
                <w:color w:val="2E74B5" w:themeColor="accent1" w:themeShade="BF"/>
                <w:sz w:val="20"/>
                <w:szCs w:val="20"/>
              </w:rPr>
              <w:t xml:space="preserve">. </w:t>
            </w:r>
          </w:p>
        </w:tc>
      </w:tr>
    </w:tbl>
    <w:p w14:paraId="2B0F4F8A" w14:textId="0D7EDA4B" w:rsidR="0036166B" w:rsidRPr="00002625" w:rsidRDefault="0036166B" w:rsidP="006E3955">
      <w:pPr>
        <w:pStyle w:val="TableFigureFooter"/>
      </w:pPr>
      <w:r w:rsidRPr="00002625">
        <w:t>Note: Amended text is indicated</w:t>
      </w:r>
      <w:r w:rsidR="4B3BAD8F" w:rsidRPr="00002625">
        <w:t xml:space="preserve"> in</w:t>
      </w:r>
      <w:r w:rsidRPr="00002625">
        <w:t xml:space="preserve"> blue type.</w:t>
      </w:r>
    </w:p>
    <w:p w14:paraId="38E993A8" w14:textId="77777777" w:rsidR="00397591" w:rsidRPr="00002625" w:rsidRDefault="00397591" w:rsidP="00397591">
      <w:r w:rsidRPr="00002625">
        <w:t xml:space="preserve">Contraindications for colonoscopy could be captured outside the descriptor text in an amendment to the existing MBS explanatory note IN.0.15 for this item (per proposal above), as originally recommended in the PSD for MSAC application 1269. </w:t>
      </w:r>
    </w:p>
    <w:p w14:paraId="6716607D" w14:textId="3249764D" w:rsidR="00397591" w:rsidRPr="00002625" w:rsidRDefault="00397591" w:rsidP="00397591">
      <w:r w:rsidRPr="00002625">
        <w:t xml:space="preserve">It has been proposed that this item </w:t>
      </w:r>
      <w:r w:rsidR="00F927FC">
        <w:t>can</w:t>
      </w:r>
      <w:r w:rsidRPr="00002625">
        <w:t xml:space="preserve"> be co-claimed with anaesthesia</w:t>
      </w:r>
      <w:r w:rsidR="00D13C7B">
        <w:t>.</w:t>
      </w:r>
      <w:r w:rsidR="00D13C7B" w:rsidRPr="00002625">
        <w:t xml:space="preserve"> </w:t>
      </w:r>
      <w:r w:rsidR="00527B88">
        <w:t xml:space="preserve">Although </w:t>
      </w:r>
      <w:r w:rsidR="00593696">
        <w:t xml:space="preserve">patients undergoing </w:t>
      </w:r>
      <w:r w:rsidRPr="00002625">
        <w:t xml:space="preserve">CTC would </w:t>
      </w:r>
      <w:r w:rsidR="00383862">
        <w:t>usually</w:t>
      </w:r>
      <w:r>
        <w:t xml:space="preserve"> </w:t>
      </w:r>
      <w:r w:rsidRPr="00002625">
        <w:t xml:space="preserve">not require anaesthesia, </w:t>
      </w:r>
      <w:r w:rsidR="00FB1FB5">
        <w:t xml:space="preserve"> some patients may require </w:t>
      </w:r>
      <w:r w:rsidRPr="00002625">
        <w:t xml:space="preserve">sedation </w:t>
      </w:r>
      <w:r w:rsidR="00102A28">
        <w:t>and the</w:t>
      </w:r>
      <w:r w:rsidR="00383862">
        <w:t xml:space="preserve"> anaesthetic</w:t>
      </w:r>
      <w:r w:rsidR="00D95181">
        <w:t xml:space="preserve"> MBS</w:t>
      </w:r>
      <w:r w:rsidR="00383862">
        <w:t xml:space="preserve"> items can be </w:t>
      </w:r>
      <w:r w:rsidR="51970ED3">
        <w:t>claimed in conjunction with the service</w:t>
      </w:r>
      <w:r w:rsidR="00383862">
        <w:t>.</w:t>
      </w:r>
      <w:r w:rsidRPr="00002625">
        <w:t xml:space="preserve"> </w:t>
      </w:r>
    </w:p>
    <w:p w14:paraId="6EB69853" w14:textId="36F981FB" w:rsidR="00C862AD" w:rsidRPr="00002625" w:rsidRDefault="00C862AD" w:rsidP="00C862AD">
      <w:pPr>
        <w:autoSpaceDE w:val="0"/>
        <w:autoSpaceDN w:val="0"/>
        <w:adjustRightInd w:val="0"/>
        <w:spacing w:line="23" w:lineRule="atLeast"/>
        <w:rPr>
          <w:rFonts w:asciiTheme="minorHAnsi" w:hAnsiTheme="minorHAnsi" w:cstheme="minorHAnsi"/>
          <w:i/>
          <w:iCs/>
        </w:rPr>
      </w:pPr>
      <w:r w:rsidRPr="00002625">
        <w:rPr>
          <w:rFonts w:asciiTheme="minorHAnsi" w:hAnsiTheme="minorHAnsi" w:cstheme="minorHAnsi"/>
          <w:i/>
          <w:iCs/>
        </w:rPr>
        <w:t>PASC advised that the proposed item descriptors would need amendment as follows</w:t>
      </w:r>
      <w:r w:rsidR="00533134" w:rsidRPr="00002625">
        <w:rPr>
          <w:rFonts w:asciiTheme="minorHAnsi" w:hAnsiTheme="minorHAnsi" w:cstheme="minorHAnsi"/>
          <w:i/>
          <w:iCs/>
        </w:rPr>
        <w:t xml:space="preserve"> for PICO set 1</w:t>
      </w:r>
      <w:r w:rsidRPr="00002625">
        <w:rPr>
          <w:rFonts w:asciiTheme="minorHAnsi" w:hAnsiTheme="minorHAnsi" w:cstheme="minorHAnsi"/>
          <w:i/>
          <w:iCs/>
        </w:rPr>
        <w:t>:</w:t>
      </w:r>
    </w:p>
    <w:p w14:paraId="5A4342C6" w14:textId="668BDDE2" w:rsidR="00C862AD" w:rsidRPr="00002625" w:rsidRDefault="00C862AD" w:rsidP="00C862AD">
      <w:pPr>
        <w:pStyle w:val="ListParagraph"/>
        <w:numPr>
          <w:ilvl w:val="0"/>
          <w:numId w:val="20"/>
        </w:numPr>
        <w:autoSpaceDE w:val="0"/>
        <w:autoSpaceDN w:val="0"/>
        <w:adjustRightInd w:val="0"/>
        <w:spacing w:line="23" w:lineRule="atLeast"/>
        <w:rPr>
          <w:rFonts w:asciiTheme="minorHAnsi" w:hAnsiTheme="minorHAnsi" w:cstheme="minorBidi"/>
          <w:i/>
          <w:iCs/>
        </w:rPr>
      </w:pPr>
      <w:r w:rsidRPr="00002625">
        <w:rPr>
          <w:rFonts w:asciiTheme="minorHAnsi" w:hAnsiTheme="minorHAnsi" w:cstheme="minorBidi"/>
          <w:i/>
          <w:iCs/>
        </w:rPr>
        <w:t>The list of contraindications to colonoscopy should be updated to reflect current clinical practice</w:t>
      </w:r>
      <w:r w:rsidR="00465C03" w:rsidRPr="00002625">
        <w:rPr>
          <w:rFonts w:asciiTheme="minorHAnsi" w:hAnsiTheme="minorHAnsi" w:cstheme="minorBidi"/>
          <w:i/>
          <w:iCs/>
        </w:rPr>
        <w:t xml:space="preserve">. </w:t>
      </w:r>
    </w:p>
    <w:p w14:paraId="6165792C" w14:textId="77777777" w:rsidR="00C862AD" w:rsidRPr="00002625" w:rsidRDefault="00C862AD" w:rsidP="00C862AD">
      <w:pPr>
        <w:pStyle w:val="ListParagraph"/>
        <w:numPr>
          <w:ilvl w:val="0"/>
          <w:numId w:val="20"/>
        </w:numPr>
        <w:autoSpaceDE w:val="0"/>
        <w:autoSpaceDN w:val="0"/>
        <w:adjustRightInd w:val="0"/>
        <w:spacing w:line="23" w:lineRule="atLeast"/>
        <w:rPr>
          <w:rFonts w:asciiTheme="minorHAnsi" w:hAnsiTheme="minorHAnsi" w:cstheme="minorHAnsi"/>
          <w:i/>
          <w:iCs/>
        </w:rPr>
      </w:pPr>
      <w:r w:rsidRPr="00002625">
        <w:rPr>
          <w:rFonts w:asciiTheme="minorHAnsi" w:hAnsiTheme="minorHAnsi" w:cstheme="minorHAnsi"/>
          <w:i/>
          <w:iCs/>
        </w:rPr>
        <w:t>A clear definition of criteria for low risk (and high risk) patients would be necessary once clinical consensus could be reached.</w:t>
      </w:r>
    </w:p>
    <w:p w14:paraId="0CE6859F" w14:textId="5BFFA2DE" w:rsidR="00C862AD" w:rsidRPr="00002625" w:rsidRDefault="00C862AD" w:rsidP="00C862AD">
      <w:pPr>
        <w:autoSpaceDE w:val="0"/>
        <w:autoSpaceDN w:val="0"/>
        <w:adjustRightInd w:val="0"/>
        <w:spacing w:line="23" w:lineRule="atLeast"/>
        <w:rPr>
          <w:rFonts w:asciiTheme="minorHAnsi" w:hAnsiTheme="minorHAnsi" w:cstheme="minorBidi"/>
          <w:i/>
          <w:iCs/>
        </w:rPr>
      </w:pPr>
      <w:r w:rsidRPr="00002625">
        <w:rPr>
          <w:rFonts w:asciiTheme="minorHAnsi" w:hAnsiTheme="minorHAnsi" w:cstheme="minorBidi"/>
          <w:i/>
          <w:iCs/>
        </w:rPr>
        <w:t xml:space="preserve">PASC considered the three-month restriction (maximum time limit between incomplete colonoscopy and CTC) for referrals other than by a specialist or consultant physician was reasonable on the basis that patients with an incomplete colonoscopy were typically scanned on the same day. </w:t>
      </w:r>
      <w:r w:rsidR="003848DC">
        <w:rPr>
          <w:rFonts w:asciiTheme="minorHAnsi" w:hAnsiTheme="minorHAnsi" w:cstheme="minorBidi"/>
          <w:i/>
          <w:iCs/>
        </w:rPr>
        <w:t>However, PASC considered it reasonable that some patients with</w:t>
      </w:r>
      <w:r w:rsidR="009E785C">
        <w:rPr>
          <w:rFonts w:asciiTheme="minorHAnsi" w:hAnsiTheme="minorHAnsi" w:cstheme="minorBidi"/>
          <w:i/>
          <w:iCs/>
        </w:rPr>
        <w:t xml:space="preserve"> a</w:t>
      </w:r>
      <w:r w:rsidR="003848DC">
        <w:rPr>
          <w:rFonts w:asciiTheme="minorHAnsi" w:hAnsiTheme="minorHAnsi" w:cstheme="minorBidi"/>
          <w:i/>
          <w:iCs/>
        </w:rPr>
        <w:t xml:space="preserve"> history of incomple</w:t>
      </w:r>
      <w:r w:rsidR="008F3E7B">
        <w:rPr>
          <w:rFonts w:asciiTheme="minorHAnsi" w:hAnsiTheme="minorHAnsi" w:cstheme="minorBidi"/>
          <w:i/>
          <w:iCs/>
        </w:rPr>
        <w:t>te colon</w:t>
      </w:r>
      <w:r w:rsidR="00133AF7">
        <w:rPr>
          <w:rFonts w:asciiTheme="minorHAnsi" w:hAnsiTheme="minorHAnsi" w:cstheme="minorBidi"/>
          <w:i/>
          <w:iCs/>
        </w:rPr>
        <w:t>o</w:t>
      </w:r>
      <w:r w:rsidR="008F3E7B">
        <w:rPr>
          <w:rFonts w:asciiTheme="minorHAnsi" w:hAnsiTheme="minorHAnsi" w:cstheme="minorBidi"/>
          <w:i/>
          <w:iCs/>
        </w:rPr>
        <w:t>scopy</w:t>
      </w:r>
      <w:r w:rsidR="009F3228">
        <w:rPr>
          <w:rFonts w:asciiTheme="minorHAnsi" w:hAnsiTheme="minorHAnsi" w:cstheme="minorBidi"/>
          <w:i/>
          <w:iCs/>
        </w:rPr>
        <w:t xml:space="preserve"> may be likely to hav</w:t>
      </w:r>
      <w:r w:rsidR="00420EA8">
        <w:rPr>
          <w:rFonts w:asciiTheme="minorHAnsi" w:hAnsiTheme="minorHAnsi" w:cstheme="minorBidi"/>
          <w:i/>
          <w:iCs/>
        </w:rPr>
        <w:t>e</w:t>
      </w:r>
      <w:r w:rsidR="00D34949">
        <w:rPr>
          <w:rFonts w:asciiTheme="minorHAnsi" w:hAnsiTheme="minorHAnsi" w:cstheme="minorBidi"/>
          <w:i/>
          <w:iCs/>
        </w:rPr>
        <w:t xml:space="preserve"> future incomplete colonoscopy. PASC noted that the three-month restriction should be further considered by PASC following re-development of the PICO</w:t>
      </w:r>
      <w:r w:rsidR="00D13C7B">
        <w:rPr>
          <w:rFonts w:asciiTheme="minorHAnsi" w:hAnsiTheme="minorHAnsi" w:cstheme="minorBidi"/>
          <w:i/>
          <w:iCs/>
        </w:rPr>
        <w:t xml:space="preserve">. </w:t>
      </w:r>
    </w:p>
    <w:p w14:paraId="13F26AA6" w14:textId="49080306" w:rsidR="00C862AD" w:rsidRPr="007920FE" w:rsidRDefault="00C862AD" w:rsidP="00C862AD">
      <w:pPr>
        <w:rPr>
          <w:rFonts w:asciiTheme="minorHAnsi" w:hAnsiTheme="minorHAnsi" w:cstheme="minorBidi"/>
          <w:i/>
          <w:iCs/>
        </w:rPr>
      </w:pPr>
      <w:r w:rsidRPr="00002625">
        <w:rPr>
          <w:rFonts w:asciiTheme="minorHAnsi" w:hAnsiTheme="minorHAnsi" w:cstheme="minorBidi"/>
          <w:i/>
        </w:rPr>
        <w:t xml:space="preserve">PASC </w:t>
      </w:r>
      <w:r w:rsidRPr="00002625">
        <w:rPr>
          <w:rFonts w:asciiTheme="minorHAnsi" w:hAnsiTheme="minorHAnsi" w:cstheme="minorBidi"/>
          <w:i/>
          <w:iCs/>
        </w:rPr>
        <w:t xml:space="preserve">noted that the current MBS item 56553 includes high grade colonic obstruction as one of the eligibility criteria for CTC however, PASC </w:t>
      </w:r>
      <w:r w:rsidRPr="00002625">
        <w:rPr>
          <w:rFonts w:asciiTheme="minorHAnsi" w:hAnsiTheme="minorHAnsi" w:cstheme="minorBidi"/>
          <w:i/>
        </w:rPr>
        <w:t xml:space="preserve">considered </w:t>
      </w:r>
      <w:r w:rsidRPr="00002625">
        <w:rPr>
          <w:rFonts w:asciiTheme="minorHAnsi" w:hAnsiTheme="minorHAnsi" w:cstheme="minorBidi"/>
          <w:i/>
          <w:iCs/>
        </w:rPr>
        <w:t>CTC may</w:t>
      </w:r>
      <w:r w:rsidRPr="00002625">
        <w:rPr>
          <w:rFonts w:asciiTheme="minorHAnsi" w:hAnsiTheme="minorHAnsi" w:cstheme="minorBidi"/>
          <w:i/>
        </w:rPr>
        <w:t xml:space="preserve"> </w:t>
      </w:r>
      <w:r w:rsidRPr="00002625">
        <w:rPr>
          <w:rFonts w:asciiTheme="minorHAnsi" w:hAnsiTheme="minorHAnsi" w:cstheme="minorBidi"/>
          <w:i/>
          <w:iCs/>
        </w:rPr>
        <w:t>also be contraindicated</w:t>
      </w:r>
      <w:r w:rsidRPr="00002625">
        <w:rPr>
          <w:rFonts w:asciiTheme="minorHAnsi" w:hAnsiTheme="minorHAnsi" w:cstheme="minorBidi"/>
          <w:i/>
        </w:rPr>
        <w:t xml:space="preserve"> for patients with a high grade </w:t>
      </w:r>
      <w:r w:rsidRPr="00002625">
        <w:rPr>
          <w:rFonts w:asciiTheme="minorHAnsi" w:hAnsiTheme="minorHAnsi" w:cstheme="minorBidi"/>
          <w:i/>
        </w:rPr>
        <w:lastRenderedPageBreak/>
        <w:t xml:space="preserve">colonic obstruction </w:t>
      </w:r>
      <w:r w:rsidRPr="00002625">
        <w:rPr>
          <w:rFonts w:asciiTheme="minorHAnsi" w:hAnsiTheme="minorHAnsi" w:cstheme="minorBidi"/>
          <w:i/>
          <w:iCs/>
        </w:rPr>
        <w:t xml:space="preserve">due to the bowel preparation required for CTC. PASC noted </w:t>
      </w:r>
      <w:r w:rsidR="00120B46">
        <w:rPr>
          <w:rFonts w:asciiTheme="minorHAnsi" w:hAnsiTheme="minorHAnsi" w:cstheme="minorBidi"/>
          <w:i/>
          <w:iCs/>
        </w:rPr>
        <w:t xml:space="preserve">that following the assessment, </w:t>
      </w:r>
      <w:r w:rsidRPr="00002625">
        <w:rPr>
          <w:rFonts w:asciiTheme="minorHAnsi" w:hAnsiTheme="minorHAnsi" w:cstheme="minorBidi"/>
          <w:i/>
          <w:iCs/>
        </w:rPr>
        <w:t xml:space="preserve">the current MBS item descriptor wording may </w:t>
      </w:r>
      <w:r w:rsidR="00AC5796" w:rsidRPr="00002625">
        <w:rPr>
          <w:rFonts w:asciiTheme="minorHAnsi" w:hAnsiTheme="minorHAnsi" w:cstheme="minorBidi"/>
          <w:i/>
          <w:iCs/>
        </w:rPr>
        <w:t>require further</w:t>
      </w:r>
      <w:r w:rsidRPr="00002625">
        <w:rPr>
          <w:rFonts w:asciiTheme="minorHAnsi" w:hAnsiTheme="minorHAnsi" w:cstheme="minorBidi"/>
          <w:i/>
          <w:iCs/>
        </w:rPr>
        <w:t xml:space="preserve"> review to reflect clinical practice recommendations from this assessment.</w:t>
      </w:r>
      <w:r w:rsidR="00AB7FE6">
        <w:rPr>
          <w:rFonts w:asciiTheme="minorHAnsi" w:hAnsiTheme="minorHAnsi" w:cstheme="minorBidi"/>
          <w:i/>
          <w:iCs/>
        </w:rPr>
        <w:t xml:space="preserve"> </w:t>
      </w:r>
      <w:r w:rsidR="00F95F12">
        <w:rPr>
          <w:rFonts w:cs="Calibri"/>
          <w:i/>
          <w:iCs/>
        </w:rPr>
        <w:t xml:space="preserve">MSAC may wish to consider whether </w:t>
      </w:r>
      <w:r w:rsidR="00F95F12" w:rsidRPr="00002625">
        <w:rPr>
          <w:rFonts w:cs="Calibri"/>
          <w:i/>
          <w:iCs/>
        </w:rPr>
        <w:t>high grade colonic</w:t>
      </w:r>
      <w:r w:rsidR="00F95F12">
        <w:rPr>
          <w:rFonts w:cs="Calibri"/>
          <w:i/>
          <w:iCs/>
        </w:rPr>
        <w:t xml:space="preserve"> obstruction </w:t>
      </w:r>
      <w:r w:rsidR="00771341">
        <w:rPr>
          <w:rFonts w:cs="Calibri"/>
          <w:i/>
          <w:iCs/>
        </w:rPr>
        <w:t xml:space="preserve">should be removed </w:t>
      </w:r>
      <w:r w:rsidR="007E4063">
        <w:rPr>
          <w:rFonts w:cs="Calibri"/>
          <w:i/>
          <w:iCs/>
        </w:rPr>
        <w:t xml:space="preserve">as </w:t>
      </w:r>
      <w:r w:rsidR="0037239F">
        <w:rPr>
          <w:rFonts w:cs="Calibri"/>
          <w:i/>
          <w:iCs/>
        </w:rPr>
        <w:t xml:space="preserve">an </w:t>
      </w:r>
      <w:r w:rsidR="007E4063">
        <w:rPr>
          <w:rFonts w:cs="Calibri"/>
          <w:i/>
          <w:iCs/>
        </w:rPr>
        <w:t>indication</w:t>
      </w:r>
      <w:r w:rsidR="0037239F">
        <w:rPr>
          <w:rFonts w:cs="Calibri"/>
          <w:i/>
          <w:iCs/>
        </w:rPr>
        <w:t xml:space="preserve"> for CTC</w:t>
      </w:r>
      <w:r w:rsidR="007E4063">
        <w:rPr>
          <w:rFonts w:cs="Calibri"/>
          <w:i/>
          <w:iCs/>
        </w:rPr>
        <w:t xml:space="preserve"> </w:t>
      </w:r>
      <w:r w:rsidR="00BF5C9A">
        <w:rPr>
          <w:rFonts w:cs="Calibri"/>
          <w:i/>
          <w:iCs/>
        </w:rPr>
        <w:t xml:space="preserve">from the current CTC </w:t>
      </w:r>
      <w:r w:rsidR="00B06A53">
        <w:rPr>
          <w:rFonts w:cs="Calibri"/>
          <w:i/>
          <w:iCs/>
        </w:rPr>
        <w:t xml:space="preserve">items. </w:t>
      </w:r>
    </w:p>
    <w:p w14:paraId="3C79A124" w14:textId="26FA1161" w:rsidR="008F0ACB" w:rsidRPr="00002625" w:rsidRDefault="008F0ACB" w:rsidP="008F0ACB">
      <w:pPr>
        <w:pStyle w:val="Heading3"/>
      </w:pPr>
      <w:r w:rsidRPr="00002625">
        <w:t xml:space="preserve">PICO </w:t>
      </w:r>
      <w:r w:rsidR="00763177" w:rsidRPr="00002625">
        <w:t>s</w:t>
      </w:r>
      <w:r w:rsidRPr="00002625">
        <w:t xml:space="preserve">et </w:t>
      </w:r>
      <w:r w:rsidR="003F1AD5" w:rsidRPr="00002625">
        <w:t>2</w:t>
      </w:r>
      <w:r w:rsidRPr="00002625">
        <w:t xml:space="preserve"> – </w:t>
      </w:r>
      <w:r w:rsidR="002752D3" w:rsidRPr="00002625">
        <w:t>S</w:t>
      </w:r>
      <w:r w:rsidR="00A51D3A" w:rsidRPr="00002625">
        <w:t xml:space="preserve">urveillance </w:t>
      </w:r>
    </w:p>
    <w:p w14:paraId="7C659842" w14:textId="041B191E" w:rsidR="008F0ACB" w:rsidRPr="00002625" w:rsidRDefault="0089047B" w:rsidP="00451333">
      <w:r w:rsidRPr="00002625">
        <w:t>An item</w:t>
      </w:r>
      <w:r w:rsidR="00535F58" w:rsidRPr="00002625">
        <w:t xml:space="preserve"> descriptor</w:t>
      </w:r>
      <w:r w:rsidRPr="00002625">
        <w:t xml:space="preserve"> for PICO </w:t>
      </w:r>
      <w:r w:rsidR="00763177" w:rsidRPr="00002625">
        <w:t>s</w:t>
      </w:r>
      <w:r w:rsidRPr="00002625">
        <w:t xml:space="preserve">et 2 is presented below </w:t>
      </w:r>
      <w:r w:rsidR="00655D3F" w:rsidRPr="00002625">
        <w:t xml:space="preserve">using a modification of the item 56553 wording and the </w:t>
      </w:r>
      <w:r w:rsidR="00746197" w:rsidRPr="00002625">
        <w:t xml:space="preserve">wording for the </w:t>
      </w:r>
      <w:r w:rsidR="00655D3F" w:rsidRPr="00002625">
        <w:t>applicant’s proposed</w:t>
      </w:r>
      <w:r w:rsidR="00746197" w:rsidRPr="00002625">
        <w:t xml:space="preserve"> PICO </w:t>
      </w:r>
      <w:r w:rsidR="00FB1F5A" w:rsidRPr="00002625">
        <w:t>s</w:t>
      </w:r>
      <w:r w:rsidR="00746197" w:rsidRPr="00002625">
        <w:t>et 3</w:t>
      </w:r>
      <w:r w:rsidRPr="00002625">
        <w:t>.</w:t>
      </w:r>
      <w:r w:rsidR="001077EE" w:rsidRPr="00002625">
        <w:t xml:space="preserve"> The applicant proposed the wording to read “previous adenomatous or cancer” but “cancer”</w:t>
      </w:r>
      <w:r w:rsidR="00077000" w:rsidRPr="00002625">
        <w:t xml:space="preserve"> is proposed </w:t>
      </w:r>
      <w:r w:rsidR="00E76BE5" w:rsidRPr="00002625">
        <w:t xml:space="preserve">by the evaluation group </w:t>
      </w:r>
      <w:r w:rsidR="00077000" w:rsidRPr="00002625">
        <w:t xml:space="preserve">to be deleted as patients with a diagnosis of CRC have defined </w:t>
      </w:r>
      <w:r w:rsidR="007251E6" w:rsidRPr="00002625">
        <w:t xml:space="preserve">monitoring which currently does not include CTC. </w:t>
      </w:r>
    </w:p>
    <w:p w14:paraId="1AABF4FF" w14:textId="2962C446" w:rsidR="00076C10" w:rsidRPr="00002625" w:rsidRDefault="00533134" w:rsidP="00076C10">
      <w:pPr>
        <w:autoSpaceDE w:val="0"/>
        <w:autoSpaceDN w:val="0"/>
        <w:adjustRightInd w:val="0"/>
        <w:spacing w:line="23" w:lineRule="atLeast"/>
        <w:rPr>
          <w:rFonts w:asciiTheme="minorHAnsi" w:hAnsiTheme="minorHAnsi" w:cstheme="minorHAnsi"/>
          <w:i/>
          <w:iCs/>
        </w:rPr>
      </w:pPr>
      <w:r w:rsidRPr="00002625">
        <w:rPr>
          <w:rFonts w:asciiTheme="minorHAnsi" w:hAnsiTheme="minorHAnsi" w:cstheme="minorHAnsi"/>
          <w:i/>
          <w:iCs/>
        </w:rPr>
        <w:t>PASC advised that the proposed item descriptors would need amendment as follows</w:t>
      </w:r>
      <w:r w:rsidR="00076C10" w:rsidRPr="00002625">
        <w:rPr>
          <w:rFonts w:asciiTheme="minorHAnsi" w:hAnsiTheme="minorHAnsi" w:cstheme="minorHAnsi"/>
          <w:i/>
          <w:iCs/>
        </w:rPr>
        <w:t xml:space="preserve"> for PICO set 2</w:t>
      </w:r>
      <w:r w:rsidRPr="00002625">
        <w:rPr>
          <w:rFonts w:asciiTheme="minorHAnsi" w:hAnsiTheme="minorHAnsi" w:cstheme="minorHAnsi"/>
          <w:i/>
          <w:iCs/>
        </w:rPr>
        <w:t>:</w:t>
      </w:r>
    </w:p>
    <w:p w14:paraId="51E2A5CA" w14:textId="77777777" w:rsidR="00076C10" w:rsidRPr="00002625" w:rsidRDefault="00076C10" w:rsidP="00076C10">
      <w:pPr>
        <w:pStyle w:val="ListParagraph"/>
        <w:numPr>
          <w:ilvl w:val="0"/>
          <w:numId w:val="21"/>
        </w:numPr>
        <w:autoSpaceDE w:val="0"/>
        <w:autoSpaceDN w:val="0"/>
        <w:adjustRightInd w:val="0"/>
        <w:spacing w:line="23" w:lineRule="atLeast"/>
        <w:rPr>
          <w:rFonts w:asciiTheme="minorHAnsi" w:hAnsiTheme="minorHAnsi" w:cstheme="minorBidi"/>
        </w:rPr>
      </w:pPr>
      <w:r w:rsidRPr="00002625">
        <w:rPr>
          <w:rFonts w:asciiTheme="minorHAnsi" w:hAnsiTheme="minorHAnsi" w:cstheme="minorBidi"/>
          <w:i/>
        </w:rPr>
        <w:t>to remove 'cancer' from the item for the proposed surveillance population.</w:t>
      </w:r>
    </w:p>
    <w:p w14:paraId="62075BBE" w14:textId="5D4A630F" w:rsidR="00076C10" w:rsidRPr="00002625" w:rsidRDefault="00076C10" w:rsidP="00533134">
      <w:pPr>
        <w:rPr>
          <w:i/>
          <w:iCs/>
        </w:rPr>
      </w:pPr>
      <w:r w:rsidRPr="00002625">
        <w:rPr>
          <w:rFonts w:asciiTheme="minorHAnsi" w:hAnsiTheme="minorHAnsi" w:cstheme="minorBidi"/>
          <w:i/>
          <w:iCs/>
        </w:rPr>
        <w:t>As per PASC’s advice, PICO set 2 will not progress to the assessment phase due to limited evidence supporting the inclusion of this population.</w:t>
      </w:r>
    </w:p>
    <w:tbl>
      <w:tblPr>
        <w:tblStyle w:val="TableGrid"/>
        <w:tblW w:w="0" w:type="auto"/>
        <w:tblInd w:w="0" w:type="dxa"/>
        <w:tblLook w:val="04A0" w:firstRow="1" w:lastRow="0" w:firstColumn="1" w:lastColumn="0" w:noHBand="0" w:noVBand="1"/>
        <w:tblCaption w:val="Proposed Item Descriptor Table for PICO set 2"/>
        <w:tblDescription w:val="Please enter the:&#10;1. proposed category number 5;&#10;2. Diagnostic imaging services;&#10;3. MBS item *XXXX&#10;Computed tomography—surveillance scan of colon for exclusion or diagnosis of colorectal neoplasia, in a patient&#10;(a) for whom a repeat colonic evaluation is required due to due to previous adenomatous colonic polyps or cancer; and&#10;(b) the service is not a service to which item 56301, 56307, 56401, 56407, 56409, 56412, 56501, 56507, 56801, 56807 or 57001 applies (R) &#10;Bulk bill incentive&#10;&#10;&lt;Explanatory notes as per current item or to be determined as part of implementation&gt;&#10;; and&#10;4. Fee: $583.05 Benefit: 75% = $437.30 85% = $495.60."/>
      </w:tblPr>
      <w:tblGrid>
        <w:gridCol w:w="9242"/>
      </w:tblGrid>
      <w:tr w:rsidR="00D96E92" w:rsidRPr="00002625" w14:paraId="18AC69CC" w14:textId="77777777">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2AF874FA" w14:textId="0DD2B4DB" w:rsidR="00D96E92" w:rsidRPr="00002625" w:rsidRDefault="00167342">
            <w:pPr>
              <w:spacing w:before="40" w:after="40" w:line="240" w:lineRule="auto"/>
              <w:rPr>
                <w:rFonts w:ascii="Arial Narrow" w:hAnsi="Arial Narrow"/>
                <w:sz w:val="20"/>
                <w:szCs w:val="20"/>
              </w:rPr>
            </w:pPr>
            <w:r w:rsidRPr="00002625">
              <w:rPr>
                <w:rFonts w:ascii="Arial Narrow" w:hAnsi="Arial Narrow"/>
                <w:sz w:val="20"/>
                <w:szCs w:val="20"/>
              </w:rPr>
              <w:t>Category 5 - DIAGNOSTIC IMAGING SERVICES</w:t>
            </w:r>
            <w:r w:rsidRPr="00002625" w:rsidDel="00167342">
              <w:rPr>
                <w:rFonts w:ascii="Arial Narrow" w:hAnsi="Arial Narrow"/>
                <w:sz w:val="20"/>
                <w:szCs w:val="20"/>
              </w:rPr>
              <w:t xml:space="preserve"> </w:t>
            </w:r>
          </w:p>
        </w:tc>
      </w:tr>
      <w:tr w:rsidR="00D96E92" w:rsidRPr="00002625" w14:paraId="0CA22C08" w14:textId="77777777">
        <w:trPr>
          <w:cantSplit/>
          <w:tblHeader/>
        </w:trPr>
        <w:tc>
          <w:tcPr>
            <w:tcW w:w="9242" w:type="dxa"/>
            <w:tcBorders>
              <w:top w:val="single" w:sz="4" w:space="0" w:color="auto"/>
              <w:left w:val="single" w:sz="4" w:space="0" w:color="auto"/>
              <w:bottom w:val="single" w:sz="4" w:space="0" w:color="auto"/>
              <w:right w:val="single" w:sz="4" w:space="0" w:color="auto"/>
            </w:tcBorders>
          </w:tcPr>
          <w:p w14:paraId="29637BD2" w14:textId="77777777" w:rsidR="00D96E92" w:rsidRPr="00002625" w:rsidRDefault="00D96E92">
            <w:pPr>
              <w:spacing w:before="120" w:after="120" w:line="240" w:lineRule="auto"/>
              <w:rPr>
                <w:rFonts w:ascii="Arial Narrow" w:hAnsi="Arial Narrow"/>
                <w:sz w:val="20"/>
                <w:szCs w:val="20"/>
              </w:rPr>
            </w:pPr>
            <w:r w:rsidRPr="00002625">
              <w:rPr>
                <w:rFonts w:ascii="Arial Narrow" w:hAnsi="Arial Narrow"/>
                <w:sz w:val="20"/>
                <w:szCs w:val="20"/>
              </w:rPr>
              <w:t>MBS item *XXXX</w:t>
            </w:r>
          </w:p>
          <w:p w14:paraId="6891F06B" w14:textId="42E118B4" w:rsidR="00D96E92" w:rsidRPr="00002625" w:rsidRDefault="00E40BE1">
            <w:pPr>
              <w:spacing w:before="120" w:after="120" w:line="240" w:lineRule="auto"/>
              <w:rPr>
                <w:rFonts w:ascii="Arial Narrow" w:hAnsi="Arial Narrow"/>
                <w:sz w:val="20"/>
                <w:szCs w:val="20"/>
              </w:rPr>
            </w:pPr>
            <w:r w:rsidRPr="00002625">
              <w:rPr>
                <w:rFonts w:ascii="Arial Narrow" w:hAnsi="Arial Narrow"/>
                <w:sz w:val="20"/>
                <w:szCs w:val="20"/>
              </w:rPr>
              <w:t>Computed tomography—</w:t>
            </w:r>
            <w:r w:rsidR="00655D3F" w:rsidRPr="00002625">
              <w:rPr>
                <w:rFonts w:ascii="Arial Narrow" w:hAnsi="Arial Narrow"/>
                <w:sz w:val="20"/>
                <w:szCs w:val="20"/>
              </w:rPr>
              <w:t xml:space="preserve">surveillance </w:t>
            </w:r>
            <w:r w:rsidRPr="00002625">
              <w:rPr>
                <w:rFonts w:ascii="Arial Narrow" w:hAnsi="Arial Narrow"/>
                <w:sz w:val="20"/>
                <w:szCs w:val="20"/>
              </w:rPr>
              <w:t>scan of colon for exclusion or diagnosis of colorectal neoplasia</w:t>
            </w:r>
            <w:r w:rsidR="00655D3F" w:rsidRPr="00002625">
              <w:rPr>
                <w:rFonts w:ascii="Arial Narrow" w:hAnsi="Arial Narrow"/>
                <w:sz w:val="20"/>
                <w:szCs w:val="20"/>
              </w:rPr>
              <w:t>, in a patient</w:t>
            </w:r>
          </w:p>
          <w:p w14:paraId="0F81795D" w14:textId="63F54541" w:rsidR="008348E3" w:rsidRPr="00002625" w:rsidRDefault="002752D3" w:rsidP="008348E3">
            <w:pPr>
              <w:spacing w:before="120" w:after="120"/>
              <w:rPr>
                <w:rFonts w:ascii="Arial Narrow" w:hAnsi="Arial Narrow"/>
                <w:sz w:val="20"/>
                <w:szCs w:val="20"/>
              </w:rPr>
            </w:pPr>
            <w:r w:rsidRPr="00002625">
              <w:rPr>
                <w:rFonts w:ascii="Arial Narrow" w:hAnsi="Arial Narrow"/>
                <w:sz w:val="20"/>
                <w:szCs w:val="20"/>
              </w:rPr>
              <w:t>(a) for whom a repeat colonic evaluation is required due to previous adenomatous colonic polyps</w:t>
            </w:r>
            <w:r w:rsidRPr="00002625">
              <w:rPr>
                <w:rFonts w:ascii="Arial Narrow" w:hAnsi="Arial Narrow"/>
                <w:strike/>
                <w:sz w:val="20"/>
                <w:szCs w:val="20"/>
              </w:rPr>
              <w:t xml:space="preserve"> or cancer</w:t>
            </w:r>
            <w:r w:rsidR="008348E3" w:rsidRPr="00002625">
              <w:rPr>
                <w:rFonts w:ascii="Arial Narrow" w:hAnsi="Arial Narrow"/>
                <w:sz w:val="20"/>
                <w:szCs w:val="20"/>
              </w:rPr>
              <w:t>; and</w:t>
            </w:r>
          </w:p>
          <w:p w14:paraId="29EC5038" w14:textId="462F6F4C" w:rsidR="002752D3" w:rsidRPr="00002625" w:rsidRDefault="008348E3" w:rsidP="00167342">
            <w:pPr>
              <w:spacing w:before="120" w:after="120"/>
              <w:rPr>
                <w:rFonts w:ascii="Arial Narrow" w:hAnsi="Arial Narrow"/>
                <w:sz w:val="20"/>
                <w:szCs w:val="20"/>
              </w:rPr>
            </w:pPr>
            <w:r w:rsidRPr="00002625">
              <w:rPr>
                <w:rFonts w:ascii="Arial Narrow" w:hAnsi="Arial Narrow"/>
                <w:sz w:val="20"/>
                <w:szCs w:val="20"/>
              </w:rPr>
              <w:t xml:space="preserve">(b) the service is not a service to which item 56301, 56307, 56401, 56407, 56409, 56412, 56501, 56507, 56801, 56807 or 57001 applies (R) </w:t>
            </w:r>
          </w:p>
          <w:p w14:paraId="69CE4AF5" w14:textId="77777777" w:rsidR="002752D3" w:rsidRPr="00002625" w:rsidRDefault="002752D3" w:rsidP="002752D3">
            <w:pPr>
              <w:spacing w:before="240" w:after="120"/>
              <w:rPr>
                <w:rFonts w:ascii="Arial Narrow" w:hAnsi="Arial Narrow"/>
                <w:sz w:val="20"/>
                <w:szCs w:val="20"/>
              </w:rPr>
            </w:pPr>
            <w:r w:rsidRPr="00002625">
              <w:rPr>
                <w:rFonts w:ascii="Arial Narrow" w:hAnsi="Arial Narrow"/>
                <w:sz w:val="20"/>
                <w:szCs w:val="20"/>
              </w:rPr>
              <w:t>Bulk bill incentive</w:t>
            </w:r>
          </w:p>
          <w:p w14:paraId="2A1E984F" w14:textId="77777777" w:rsidR="002752D3" w:rsidRPr="00002625" w:rsidRDefault="002752D3" w:rsidP="002752D3">
            <w:pPr>
              <w:spacing w:before="240" w:after="120"/>
              <w:rPr>
                <w:rFonts w:ascii="Arial Narrow" w:hAnsi="Arial Narrow"/>
                <w:sz w:val="20"/>
                <w:szCs w:val="20"/>
              </w:rPr>
            </w:pPr>
          </w:p>
          <w:p w14:paraId="28958F2B" w14:textId="20100907" w:rsidR="00D96E92" w:rsidRPr="00002625" w:rsidRDefault="002752D3">
            <w:pPr>
              <w:spacing w:before="120" w:after="120" w:line="240" w:lineRule="auto"/>
              <w:rPr>
                <w:rFonts w:ascii="Arial Narrow" w:hAnsi="Arial Narrow"/>
                <w:sz w:val="20"/>
                <w:szCs w:val="20"/>
              </w:rPr>
            </w:pPr>
            <w:r w:rsidRPr="00002625">
              <w:rPr>
                <w:rFonts w:ascii="Arial Narrow" w:hAnsi="Arial Narrow"/>
                <w:color w:val="2E74B5" w:themeColor="accent1" w:themeShade="BF"/>
                <w:sz w:val="20"/>
                <w:szCs w:val="20"/>
              </w:rPr>
              <w:t>&lt;Explanatory notes as per current item or to be determined as part of implementation&gt;</w:t>
            </w:r>
          </w:p>
        </w:tc>
      </w:tr>
      <w:tr w:rsidR="002752D3" w:rsidRPr="00002625" w14:paraId="79B4F46A" w14:textId="77777777" w:rsidTr="00E40BE1">
        <w:trPr>
          <w:cantSplit/>
          <w:tblHeader/>
        </w:trPr>
        <w:tc>
          <w:tcPr>
            <w:tcW w:w="9242" w:type="dxa"/>
            <w:tcBorders>
              <w:top w:val="single" w:sz="4" w:space="0" w:color="auto"/>
              <w:left w:val="single" w:sz="4" w:space="0" w:color="auto"/>
              <w:bottom w:val="single" w:sz="4" w:space="0" w:color="auto"/>
              <w:right w:val="single" w:sz="4" w:space="0" w:color="auto"/>
            </w:tcBorders>
          </w:tcPr>
          <w:p w14:paraId="447FE65A" w14:textId="172A2E9E" w:rsidR="002752D3" w:rsidRPr="00002625" w:rsidRDefault="002752D3" w:rsidP="002752D3">
            <w:pPr>
              <w:spacing w:before="40" w:after="40" w:line="240" w:lineRule="auto"/>
              <w:rPr>
                <w:rFonts w:ascii="Arial Narrow" w:hAnsi="Arial Narrow"/>
                <w:sz w:val="20"/>
                <w:szCs w:val="20"/>
              </w:rPr>
            </w:pPr>
            <w:r w:rsidRPr="00002625">
              <w:rPr>
                <w:rFonts w:ascii="Arial Narrow" w:hAnsi="Arial Narrow"/>
                <w:sz w:val="20"/>
                <w:szCs w:val="20"/>
              </w:rPr>
              <w:t>Fee: $583.05 Benefit: 75% = $437.30 85% = $495.60</w:t>
            </w:r>
          </w:p>
        </w:tc>
      </w:tr>
    </w:tbl>
    <w:p w14:paraId="6EE6A17C" w14:textId="3BC0C767" w:rsidR="0055004E" w:rsidRPr="00002625" w:rsidRDefault="00D91727" w:rsidP="00E76BE5">
      <w:pPr>
        <w:pStyle w:val="Tablenotes"/>
      </w:pPr>
      <w:r w:rsidRPr="00002625">
        <w:t>MBS = Medicare Benefits Schedule</w:t>
      </w:r>
      <w:r w:rsidR="005372A6" w:rsidRPr="00002625">
        <w:tab/>
      </w:r>
      <w:r w:rsidR="005372A6" w:rsidRPr="00002625">
        <w:br/>
      </w:r>
      <w:r w:rsidR="001B08B5" w:rsidRPr="00002625">
        <w:t xml:space="preserve">Note: </w:t>
      </w:r>
      <w:r w:rsidR="005372A6" w:rsidRPr="00002625">
        <w:t>Amended text is indicated either in strikethrough or blue type.</w:t>
      </w:r>
    </w:p>
    <w:p w14:paraId="2CBBF1B6" w14:textId="11365106" w:rsidR="009E6BE6" w:rsidRPr="00002625" w:rsidRDefault="009E6BE6" w:rsidP="009E6BE6">
      <w:pPr>
        <w:pStyle w:val="Heading3"/>
      </w:pPr>
      <w:r w:rsidRPr="00002625">
        <w:t>Proposed fee</w:t>
      </w:r>
      <w:r w:rsidR="00316FA9" w:rsidRPr="00002625">
        <w:t xml:space="preserve"> and out of pocket costs</w:t>
      </w:r>
    </w:p>
    <w:p w14:paraId="11AACE18" w14:textId="0A4A2EA3" w:rsidR="0038733B" w:rsidRPr="00002625" w:rsidRDefault="005A7DCF" w:rsidP="00451333">
      <w:r w:rsidRPr="00002625">
        <w:t xml:space="preserve">The proposed fee for both PICO </w:t>
      </w:r>
      <w:r w:rsidR="009E463F" w:rsidRPr="00002625">
        <w:t>s</w:t>
      </w:r>
      <w:r w:rsidRPr="00002625">
        <w:t>ets was the same as the 1 November 2023 Schedule fee for the existing CTC item 56553</w:t>
      </w:r>
      <w:r w:rsidR="007E7BB6" w:rsidRPr="00002625">
        <w:t>. It was</w:t>
      </w:r>
      <w:r w:rsidRPr="00002625">
        <w:t xml:space="preserve"> assumed </w:t>
      </w:r>
      <w:r w:rsidR="007E7BB6" w:rsidRPr="00002625">
        <w:t xml:space="preserve">that the applicant </w:t>
      </w:r>
      <w:r w:rsidR="0038733B" w:rsidRPr="00002625">
        <w:t>intended</w:t>
      </w:r>
      <w:r w:rsidR="007E7BB6" w:rsidRPr="00002625">
        <w:t xml:space="preserve"> for any new item to have the same fee as the current item. </w:t>
      </w:r>
      <w:r w:rsidR="0038733B" w:rsidRPr="00002625">
        <w:t>The</w:t>
      </w:r>
      <w:r w:rsidRPr="00002625">
        <w:t xml:space="preserve"> assessment should use the fee applicable for item 56553 that is current at that time. </w:t>
      </w:r>
    </w:p>
    <w:p w14:paraId="3DE327AA" w14:textId="4B8D9570" w:rsidR="00451333" w:rsidRPr="00002625" w:rsidRDefault="00451333" w:rsidP="00E40BE1">
      <w:pPr>
        <w:keepNext/>
      </w:pPr>
      <w:r w:rsidRPr="00002625">
        <w:t>The applicant identified the following components</w:t>
      </w:r>
      <w:r w:rsidR="0062154E" w:rsidRPr="00002625">
        <w:t xml:space="preserve"> as</w:t>
      </w:r>
      <w:r w:rsidRPr="00002625">
        <w:t xml:space="preserve"> contributing to CTC costs:</w:t>
      </w:r>
    </w:p>
    <w:p w14:paraId="4E7570F6" w14:textId="1FE5CAA5" w:rsidR="00451333" w:rsidRPr="00002625" w:rsidRDefault="00451333" w:rsidP="000773E1">
      <w:pPr>
        <w:pStyle w:val="ListParagraph"/>
        <w:numPr>
          <w:ilvl w:val="0"/>
          <w:numId w:val="3"/>
        </w:numPr>
      </w:pPr>
      <w:r w:rsidRPr="00002625">
        <w:t>Equipment costs</w:t>
      </w:r>
    </w:p>
    <w:p w14:paraId="0A7B5CCB" w14:textId="23EFE122" w:rsidR="00451333" w:rsidRPr="00002625" w:rsidRDefault="00451333" w:rsidP="000773E1">
      <w:pPr>
        <w:pStyle w:val="ListParagraph"/>
        <w:numPr>
          <w:ilvl w:val="0"/>
          <w:numId w:val="3"/>
        </w:numPr>
      </w:pPr>
      <w:r w:rsidRPr="00002625">
        <w:t>Staffing cost (radiographers)</w:t>
      </w:r>
    </w:p>
    <w:p w14:paraId="39A39FE7" w14:textId="420EA7F5" w:rsidR="00451333" w:rsidRPr="00002625" w:rsidRDefault="00451333" w:rsidP="000773E1">
      <w:pPr>
        <w:pStyle w:val="ListParagraph"/>
        <w:numPr>
          <w:ilvl w:val="0"/>
          <w:numId w:val="3"/>
        </w:numPr>
      </w:pPr>
      <w:r w:rsidRPr="00002625">
        <w:t>Reporting costs (radiologists)</w:t>
      </w:r>
    </w:p>
    <w:p w14:paraId="553A37AF" w14:textId="385D45C6" w:rsidR="00451333" w:rsidRPr="00002625" w:rsidRDefault="00451333" w:rsidP="00134FCB">
      <w:pPr>
        <w:pStyle w:val="ListParagraph"/>
        <w:keepNext/>
        <w:numPr>
          <w:ilvl w:val="0"/>
          <w:numId w:val="3"/>
        </w:numPr>
      </w:pPr>
      <w:r w:rsidRPr="00002625">
        <w:lastRenderedPageBreak/>
        <w:t>Administrative costs</w:t>
      </w:r>
    </w:p>
    <w:p w14:paraId="505C63D8" w14:textId="475AAC1C" w:rsidR="00451333" w:rsidRPr="00002625" w:rsidRDefault="00451333" w:rsidP="00134FCB">
      <w:pPr>
        <w:pStyle w:val="ListParagraph"/>
        <w:keepNext/>
        <w:numPr>
          <w:ilvl w:val="0"/>
          <w:numId w:val="3"/>
        </w:numPr>
      </w:pPr>
      <w:r w:rsidRPr="00002625">
        <w:t>Consumables (foley catheter, carbon dioxide, faecal tagging</w:t>
      </w:r>
      <w:r w:rsidR="00A07465" w:rsidRPr="00002625">
        <w:t xml:space="preserve"> [</w:t>
      </w:r>
      <w:r w:rsidR="00A5054B" w:rsidRPr="00002625">
        <w:t>iodine-containing oral solution such as Gastro</w:t>
      </w:r>
      <w:r w:rsidR="006C46B4" w:rsidRPr="00002625">
        <w:t>gra</w:t>
      </w:r>
      <w:r w:rsidR="00A5054B" w:rsidRPr="00002625">
        <w:t>fin]</w:t>
      </w:r>
      <w:r w:rsidRPr="00002625">
        <w:t>, buscopan</w:t>
      </w:r>
      <w:r w:rsidR="000E6B0C" w:rsidRPr="00002625">
        <w:t xml:space="preserve"> </w:t>
      </w:r>
      <w:r w:rsidR="00A07465" w:rsidRPr="00002625">
        <w:t xml:space="preserve">[anticholinergic </w:t>
      </w:r>
      <w:r w:rsidR="000E6B0C" w:rsidRPr="00002625">
        <w:t>muscle relaxant</w:t>
      </w:r>
      <w:r w:rsidR="00A07465" w:rsidRPr="00002625">
        <w:t>]</w:t>
      </w:r>
      <w:r w:rsidRPr="00002625">
        <w:t>)</w:t>
      </w:r>
    </w:p>
    <w:p w14:paraId="495BAF47" w14:textId="19B9975F" w:rsidR="0015103A" w:rsidRPr="00002625" w:rsidRDefault="0015103A" w:rsidP="00E400C0">
      <w:r w:rsidRPr="00002625">
        <w:t xml:space="preserve">No numerical values were supplied for these costs, as the </w:t>
      </w:r>
      <w:r w:rsidR="0062154E" w:rsidRPr="00002625">
        <w:t xml:space="preserve">proposed fee was based on the </w:t>
      </w:r>
      <w:r w:rsidR="00126B18" w:rsidRPr="00002625">
        <w:t>fee for the existing CTC item</w:t>
      </w:r>
      <w:r w:rsidR="0062154E" w:rsidRPr="00002625">
        <w:t xml:space="preserve">. </w:t>
      </w:r>
      <w:r w:rsidR="00FC4F4B" w:rsidRPr="00002625">
        <w:t xml:space="preserve">Further details </w:t>
      </w:r>
      <w:r w:rsidR="000C22E5" w:rsidRPr="00002625">
        <w:t xml:space="preserve">should be provided for the assessment. </w:t>
      </w:r>
    </w:p>
    <w:p w14:paraId="283764CD" w14:textId="6696EB77" w:rsidR="0DA161EF" w:rsidRPr="00002625" w:rsidRDefault="00FB2702">
      <w:r w:rsidRPr="00002625">
        <w:t xml:space="preserve">The applicant claims that the proposed fee will cover the costs of the </w:t>
      </w:r>
      <w:r w:rsidR="00451333" w:rsidRPr="00002625">
        <w:t>intervention,</w:t>
      </w:r>
      <w:r w:rsidRPr="00002625">
        <w:t xml:space="preserve"> and the patient should have </w:t>
      </w:r>
      <w:r w:rsidR="6E7328EB" w:rsidRPr="00002625">
        <w:t>no</w:t>
      </w:r>
      <w:r w:rsidRPr="00002625">
        <w:t xml:space="preserve"> out of pocket costs</w:t>
      </w:r>
      <w:r w:rsidR="00FF1CEE" w:rsidRPr="00002625">
        <w:t xml:space="preserve">. </w:t>
      </w:r>
    </w:p>
    <w:p w14:paraId="47BC31EC" w14:textId="26115A33" w:rsidR="0DA161EF" w:rsidRPr="00002625" w:rsidRDefault="37441F48">
      <w:r w:rsidRPr="00002625">
        <w:t>In</w:t>
      </w:r>
      <w:r w:rsidR="37A42581" w:rsidRPr="00002625">
        <w:t xml:space="preserve"> the 2023-2024 financial year</w:t>
      </w:r>
      <w:r w:rsidR="1A89B70A" w:rsidRPr="00002625">
        <w:t>, t</w:t>
      </w:r>
      <w:r w:rsidR="37A42581" w:rsidRPr="00002625">
        <w:t xml:space="preserve">he majority of </w:t>
      </w:r>
      <w:r w:rsidR="3CC6506E" w:rsidRPr="00002625">
        <w:t>services for I</w:t>
      </w:r>
      <w:r w:rsidR="37A42581" w:rsidRPr="00002625">
        <w:t>tem 56553 were performed out of hospital (</w:t>
      </w:r>
      <w:r w:rsidR="0E7BB924" w:rsidRPr="00002625">
        <w:t>89.1%), and of these services</w:t>
      </w:r>
      <w:r w:rsidR="3E80AF56" w:rsidRPr="00002625">
        <w:t>,</w:t>
      </w:r>
      <w:r w:rsidR="0E7BB924" w:rsidRPr="00002625">
        <w:t xml:space="preserve"> most </w:t>
      </w:r>
      <w:r w:rsidR="5FD45C80" w:rsidRPr="00002625">
        <w:t>we</w:t>
      </w:r>
      <w:r w:rsidR="0E7BB924" w:rsidRPr="00002625">
        <w:t>re bulk-billed (82.4%</w:t>
      </w:r>
      <w:r w:rsidR="02126A7E" w:rsidRPr="00002625">
        <w:t xml:space="preserve"> bulk-billed</w:t>
      </w:r>
      <w:r w:rsidR="0E7BB924" w:rsidRPr="00002625">
        <w:t>)</w:t>
      </w:r>
      <w:r w:rsidR="517CBF34" w:rsidRPr="00002625">
        <w:t>,</w:t>
      </w:r>
      <w:r w:rsidR="1F5C76B1" w:rsidRPr="00002625">
        <w:t xml:space="preserve"> with a smaller number of patients receiving an out-of-pocket </w:t>
      </w:r>
      <w:r w:rsidR="31C497E1" w:rsidRPr="00002625">
        <w:t>amount</w:t>
      </w:r>
      <w:r w:rsidR="1F5C76B1" w:rsidRPr="00002625">
        <w:t xml:space="preserve"> for the scan</w:t>
      </w:r>
      <w:r w:rsidR="0E7BB924" w:rsidRPr="00002625">
        <w:t xml:space="preserve">. </w:t>
      </w:r>
    </w:p>
    <w:p w14:paraId="53E810FD" w14:textId="280385D0" w:rsidR="0DA161EF" w:rsidRPr="00002625" w:rsidRDefault="0E7BB924">
      <w:r w:rsidRPr="00002625">
        <w:t xml:space="preserve">A smaller number of services for Item 56553 </w:t>
      </w:r>
      <w:r w:rsidR="680C885A" w:rsidRPr="00002625">
        <w:t>we</w:t>
      </w:r>
      <w:r w:rsidRPr="00002625">
        <w:t>re performed in ho</w:t>
      </w:r>
      <w:r w:rsidR="038EA2D8" w:rsidRPr="00002625">
        <w:t>s</w:t>
      </w:r>
      <w:r w:rsidRPr="00002625">
        <w:t xml:space="preserve">pital, however almost all of these services </w:t>
      </w:r>
      <w:r w:rsidR="5538B6D2" w:rsidRPr="00002625">
        <w:t xml:space="preserve">(95.5%) </w:t>
      </w:r>
      <w:r w:rsidR="0620F034" w:rsidRPr="00002625">
        <w:t>involve</w:t>
      </w:r>
      <w:r w:rsidR="036EE2BA" w:rsidRPr="00002625">
        <w:t>d</w:t>
      </w:r>
      <w:r w:rsidR="0620F034" w:rsidRPr="00002625">
        <w:t xml:space="preserve"> an out-of-pocket </w:t>
      </w:r>
      <w:r w:rsidR="12361608" w:rsidRPr="00002625">
        <w:t>amount</w:t>
      </w:r>
      <w:r w:rsidR="0620F034" w:rsidRPr="00002625">
        <w:t xml:space="preserve"> to the patient</w:t>
      </w:r>
      <w:r w:rsidR="43227ADC" w:rsidRPr="00002625">
        <w:t xml:space="preserve">. </w:t>
      </w:r>
    </w:p>
    <w:p w14:paraId="3DE4D200" w14:textId="49BCE979" w:rsidR="0DA161EF" w:rsidRPr="00002625" w:rsidRDefault="35A22E70">
      <w:r w:rsidRPr="00002625">
        <w:t>For in and out of hospital services, t</w:t>
      </w:r>
      <w:r w:rsidR="43227ADC" w:rsidRPr="00002625">
        <w:t>he average out</w:t>
      </w:r>
      <w:r w:rsidR="740E4662" w:rsidRPr="00002625">
        <w:t>-</w:t>
      </w:r>
      <w:r w:rsidR="43227ADC" w:rsidRPr="00002625">
        <w:t>of</w:t>
      </w:r>
      <w:r w:rsidR="454A9C4C" w:rsidRPr="00002625">
        <w:t>-</w:t>
      </w:r>
      <w:r w:rsidR="43227ADC" w:rsidRPr="00002625">
        <w:t xml:space="preserve">pocket </w:t>
      </w:r>
      <w:r w:rsidR="7D942023" w:rsidRPr="00002625">
        <w:t>fee</w:t>
      </w:r>
      <w:r w:rsidR="5748CB22" w:rsidRPr="00002625">
        <w:t xml:space="preserve"> for Item 56553 (after the </w:t>
      </w:r>
      <w:r w:rsidR="7D942023" w:rsidRPr="00002625">
        <w:t>MBS benefit</w:t>
      </w:r>
      <w:r w:rsidR="7353B199" w:rsidRPr="00002625">
        <w:t xml:space="preserve"> has been reimbu</w:t>
      </w:r>
      <w:r w:rsidR="00460684" w:rsidRPr="00002625">
        <w:t>r</w:t>
      </w:r>
      <w:r w:rsidR="7353B199" w:rsidRPr="00002625">
        <w:t>sed)</w:t>
      </w:r>
      <w:r w:rsidR="7D942023" w:rsidRPr="00002625">
        <w:t xml:space="preserve"> was $163.25 in the 2023-2024 financial year. </w:t>
      </w:r>
    </w:p>
    <w:p w14:paraId="62338695" w14:textId="775A0FF4" w:rsidR="00D37A3F" w:rsidRPr="00002625" w:rsidRDefault="003F0A39" w:rsidP="00713728">
      <w:pPr>
        <w:pStyle w:val="Heading2"/>
      </w:pPr>
      <w:r w:rsidRPr="00002625">
        <w:t xml:space="preserve">Summary of public consultation </w:t>
      </w:r>
      <w:r w:rsidR="00E470B0" w:rsidRPr="00002625">
        <w:t>input</w:t>
      </w:r>
    </w:p>
    <w:p w14:paraId="450082A2" w14:textId="77777777" w:rsidR="00E84581" w:rsidRPr="00002625" w:rsidRDefault="00E84581" w:rsidP="00E84581">
      <w:pPr>
        <w:spacing w:after="120"/>
      </w:pPr>
      <w:r w:rsidRPr="00002625">
        <w:rPr>
          <w:i/>
          <w:iCs/>
        </w:rPr>
        <w:t>PASC noted and welcomed consultation input from</w:t>
      </w:r>
      <w:r w:rsidRPr="00002625">
        <w:t xml:space="preserve"> 7</w:t>
      </w:r>
      <w:r w:rsidRPr="00002625">
        <w:rPr>
          <w:i/>
          <w:iCs/>
        </w:rPr>
        <w:t xml:space="preserve"> organisations. The 7 organisations that submitted input were:</w:t>
      </w:r>
      <w:r w:rsidRPr="00002625">
        <w:t xml:space="preserve"> </w:t>
      </w:r>
    </w:p>
    <w:p w14:paraId="3FA060C3" w14:textId="77777777" w:rsidR="00E84581" w:rsidRPr="00002625" w:rsidRDefault="00E84581" w:rsidP="00E84581">
      <w:pPr>
        <w:pStyle w:val="ListParagraph"/>
        <w:numPr>
          <w:ilvl w:val="0"/>
          <w:numId w:val="24"/>
        </w:numPr>
        <w:spacing w:after="120" w:line="259" w:lineRule="auto"/>
      </w:pPr>
      <w:bookmarkStart w:id="38" w:name="_Hlk181980686"/>
      <w:r w:rsidRPr="00002625">
        <w:t>Lumus Imaging</w:t>
      </w:r>
    </w:p>
    <w:p w14:paraId="06ACDF80" w14:textId="77777777" w:rsidR="00E84581" w:rsidRPr="00002625" w:rsidRDefault="00E84581" w:rsidP="00E84581">
      <w:pPr>
        <w:pStyle w:val="ListParagraph"/>
        <w:numPr>
          <w:ilvl w:val="0"/>
          <w:numId w:val="24"/>
        </w:numPr>
        <w:spacing w:after="120" w:line="259" w:lineRule="auto"/>
      </w:pPr>
      <w:r w:rsidRPr="00002625">
        <w:t>Colorectal Surgical Society of Australia and New Zealand (CSSANZ)</w:t>
      </w:r>
    </w:p>
    <w:p w14:paraId="3106EFFE" w14:textId="77777777" w:rsidR="00E84581" w:rsidRPr="00002625" w:rsidRDefault="00E84581" w:rsidP="00E84581">
      <w:pPr>
        <w:pStyle w:val="ListParagraph"/>
        <w:numPr>
          <w:ilvl w:val="0"/>
          <w:numId w:val="24"/>
        </w:numPr>
        <w:spacing w:after="120" w:line="259" w:lineRule="auto"/>
      </w:pPr>
      <w:r w:rsidRPr="00002625">
        <w:t>Australian Diagnostic Imaging Association (ADIA)</w:t>
      </w:r>
    </w:p>
    <w:p w14:paraId="7231A97A" w14:textId="77777777" w:rsidR="00E84581" w:rsidRPr="00002625" w:rsidRDefault="00E84581" w:rsidP="00E84581">
      <w:pPr>
        <w:pStyle w:val="ListParagraph"/>
        <w:numPr>
          <w:ilvl w:val="0"/>
          <w:numId w:val="24"/>
        </w:numPr>
        <w:spacing w:after="120" w:line="259" w:lineRule="auto"/>
      </w:pPr>
      <w:r w:rsidRPr="00002625">
        <w:t>Abdominal Radiology Group of Australia and New Zealand (ARGANZ) a special interest group (SIG) within the Royal Australian and NZ College of Radiologists (RANZCR)</w:t>
      </w:r>
    </w:p>
    <w:p w14:paraId="763FB516" w14:textId="77777777" w:rsidR="00E84581" w:rsidRPr="00002625" w:rsidRDefault="00E84581" w:rsidP="00E84581">
      <w:pPr>
        <w:pStyle w:val="ListParagraph"/>
        <w:numPr>
          <w:ilvl w:val="0"/>
          <w:numId w:val="24"/>
        </w:numPr>
        <w:spacing w:after="120" w:line="259" w:lineRule="auto"/>
      </w:pPr>
      <w:r w:rsidRPr="00002625">
        <w:t>Gastroenterological Society of Australia (GESA)</w:t>
      </w:r>
    </w:p>
    <w:p w14:paraId="0513124B" w14:textId="77777777" w:rsidR="00E84581" w:rsidRPr="00002625" w:rsidRDefault="00E84581" w:rsidP="00E84581">
      <w:pPr>
        <w:pStyle w:val="ListParagraph"/>
        <w:numPr>
          <w:ilvl w:val="0"/>
          <w:numId w:val="24"/>
        </w:numPr>
        <w:spacing w:after="120" w:line="259" w:lineRule="auto"/>
      </w:pPr>
      <w:r w:rsidRPr="00002625">
        <w:t>Royal Australian and NZ College of Radiologists (RANZCR)</w:t>
      </w:r>
    </w:p>
    <w:p w14:paraId="47B1801E" w14:textId="77777777" w:rsidR="00E84581" w:rsidRPr="00002625" w:rsidRDefault="00E84581" w:rsidP="00E84581">
      <w:pPr>
        <w:pStyle w:val="ListParagraph"/>
        <w:numPr>
          <w:ilvl w:val="0"/>
          <w:numId w:val="24"/>
        </w:numPr>
        <w:spacing w:after="120" w:line="259" w:lineRule="auto"/>
      </w:pPr>
      <w:bookmarkStart w:id="39" w:name="_Hlk182493554"/>
      <w:r w:rsidRPr="00002625">
        <w:t>Royal Australian College of General Practitioners (RACGP</w:t>
      </w:r>
      <w:bookmarkEnd w:id="39"/>
      <w:r w:rsidRPr="00002625">
        <w:t>)</w:t>
      </w:r>
    </w:p>
    <w:bookmarkEnd w:id="38"/>
    <w:p w14:paraId="7F8CD390" w14:textId="77777777" w:rsidR="00E84581" w:rsidRPr="00002625" w:rsidRDefault="00E84581" w:rsidP="00E84581">
      <w:pPr>
        <w:rPr>
          <w:color w:val="5B9BD5" w:themeColor="accent1"/>
        </w:rPr>
      </w:pPr>
      <w:r w:rsidRPr="00002625">
        <w:t xml:space="preserve">The consultation input received was partly supportive of public funding for </w:t>
      </w:r>
      <w:r w:rsidRPr="00002625">
        <w:rPr>
          <w:bCs/>
        </w:rPr>
        <w:t xml:space="preserve">CTC for the detection of colorectal polyps and colorectal cancer. </w:t>
      </w:r>
      <w:r w:rsidRPr="00002625">
        <w:t>The consultation input raised a number of concerns, predominately in relation to the proposed populations and number of patients who would require a subsequent colonoscopy following CTC.</w:t>
      </w:r>
    </w:p>
    <w:p w14:paraId="589D4541" w14:textId="77777777" w:rsidR="00E84581" w:rsidRPr="00002625" w:rsidRDefault="00E84581" w:rsidP="00E84581">
      <w:pPr>
        <w:rPr>
          <w:b/>
          <w:bCs/>
        </w:rPr>
      </w:pPr>
      <w:r w:rsidRPr="00002625">
        <w:rPr>
          <w:b/>
          <w:bCs/>
        </w:rPr>
        <w:t>Consumer Input</w:t>
      </w:r>
    </w:p>
    <w:p w14:paraId="2476B7E4" w14:textId="77777777" w:rsidR="00E84581" w:rsidRPr="00002625" w:rsidRDefault="00E84581" w:rsidP="00E84581">
      <w:r w:rsidRPr="00002625">
        <w:t>The consultation input included anecdotal experiences from health professionals, stating that extended wait times for colonoscopy caused anxiety for patients and their family, particularly when a patient is waiting to find out if they have cancer.</w:t>
      </w:r>
    </w:p>
    <w:p w14:paraId="7979612B" w14:textId="77777777" w:rsidR="00E84581" w:rsidRPr="00002625" w:rsidRDefault="00E84581" w:rsidP="00E84581">
      <w:pPr>
        <w:rPr>
          <w:b/>
          <w:bCs/>
        </w:rPr>
      </w:pPr>
      <w:r w:rsidRPr="00002625">
        <w:rPr>
          <w:b/>
          <w:bCs/>
        </w:rPr>
        <w:t>Benefits and Disadvantages</w:t>
      </w:r>
    </w:p>
    <w:p w14:paraId="4091A96E" w14:textId="3BD27CF3" w:rsidR="00E84581" w:rsidRPr="00002625" w:rsidRDefault="00E84581" w:rsidP="00E84581">
      <w:r w:rsidRPr="00002625">
        <w:t xml:space="preserve">The main benefits of public funding received in the consultation input included decreased wait times for colonoscopy including, improved access to colon examination for regional and public patients, the </w:t>
      </w:r>
      <w:r w:rsidRPr="00002625">
        <w:lastRenderedPageBreak/>
        <w:t>potential to prevent disease progression from benign to malignant, locally advanced or metastatic disease and to diagnose cancer faster. ARGANZ stated that the wait time for public patients to access colonoscopy in Australia is greater than 100 days in all states and territories</w:t>
      </w:r>
      <w:r w:rsidR="00716C21">
        <w:rPr>
          <w:rStyle w:val="FootnoteReference"/>
        </w:rPr>
        <w:footnoteReference w:id="8"/>
      </w:r>
      <w:r w:rsidRPr="00002625">
        <w:t xml:space="preserve">, and that increasing access to CTC would reduce wait times improve access to colon examination for patients unable to afford private colonoscopies. The benefit of expanding the criteria for GPs to request CTC in addition to gastroenterologists included faster access to colon examination for patients leading to faster diagnosis of polyps and cancer and allowing expedition of necessary treatments. RACGP stated that GPs have detailed knowledge of </w:t>
      </w:r>
      <w:r w:rsidR="00B2328D">
        <w:t xml:space="preserve">their </w:t>
      </w:r>
      <w:r w:rsidRPr="00002625">
        <w:t>patient</w:t>
      </w:r>
      <w:r w:rsidR="00B2328D">
        <w:t>s’</w:t>
      </w:r>
      <w:r w:rsidRPr="00002625">
        <w:t xml:space="preserve"> comorbidities, contraindications</w:t>
      </w:r>
      <w:r w:rsidR="006773B1">
        <w:t xml:space="preserve"> to colonoscopy</w:t>
      </w:r>
      <w:r w:rsidRPr="00002625">
        <w:t xml:space="preserve"> and </w:t>
      </w:r>
      <w:r w:rsidR="0072250B">
        <w:t xml:space="preserve">other </w:t>
      </w:r>
      <w:r w:rsidRPr="00002625">
        <w:t>factors</w:t>
      </w:r>
      <w:r w:rsidR="00B22B9A">
        <w:t xml:space="preserve"> (e.g. </w:t>
      </w:r>
      <w:r w:rsidR="004B6608">
        <w:t>need for travel, carer responsibilities</w:t>
      </w:r>
      <w:r w:rsidR="00E34783">
        <w:t>)</w:t>
      </w:r>
      <w:r w:rsidRPr="00002625">
        <w:t xml:space="preserve"> that may make colonoscopy</w:t>
      </w:r>
      <w:r w:rsidR="00F25D2B">
        <w:t xml:space="preserve"> a less favourable option</w:t>
      </w:r>
      <w:r w:rsidR="00A84C95">
        <w:t xml:space="preserve"> and CTC more preferable</w:t>
      </w:r>
      <w:r w:rsidRPr="00002625">
        <w:t>.</w:t>
      </w:r>
    </w:p>
    <w:p w14:paraId="2F1DAFB6" w14:textId="77777777" w:rsidR="00E84581" w:rsidRPr="00002625" w:rsidRDefault="00E84581" w:rsidP="00E84581">
      <w:r w:rsidRPr="00002625">
        <w:t xml:space="preserve">Input supporting the application stated CTC was more cost effective for both the healthcare system and patients, less invasive, had a lower risk profile, is clinically non-inferior to colonoscopy and does not require sedation which can pose a logistical challenge for regional and remote patients. Input stated that increased access to CTC would address the current inequity for regional, rural and First Nations populations, as CTC does not require hospital admission that may incur higher out of pocket costs for people required to travel long distances to access hospital. </w:t>
      </w:r>
    </w:p>
    <w:p w14:paraId="20EAAF49" w14:textId="304504DB" w:rsidR="00E84581" w:rsidRPr="00002625" w:rsidRDefault="00E84581" w:rsidP="00E84581">
      <w:r w:rsidRPr="00002625">
        <w:t xml:space="preserve">The main disadvantage of public funding received in the consultation input was that patients with a positive finding on CTC would require colonoscopy for biopsy and removal of polyps to determine diagnosis and potential treatment planning for cancer, with CTC in these cases a waste of resources. RACGP requested further information on CTC including the preparation required and potential harms of radiation exposure. GESA noted that CTC still requires a bowel preparation and colonic gas </w:t>
      </w:r>
      <w:r w:rsidR="00FE77F0">
        <w:t>in</w:t>
      </w:r>
      <w:r w:rsidRPr="00002625">
        <w:t>sufflation.</w:t>
      </w:r>
    </w:p>
    <w:p w14:paraId="66535903" w14:textId="77777777" w:rsidR="00E84581" w:rsidRPr="00002625" w:rsidRDefault="00E84581" w:rsidP="00E84581">
      <w:pPr>
        <w:rPr>
          <w:b/>
          <w:bCs/>
        </w:rPr>
      </w:pPr>
      <w:r w:rsidRPr="00002625">
        <w:rPr>
          <w:b/>
          <w:bCs/>
        </w:rPr>
        <w:t>Population, Comparator (current management) and Delivery</w:t>
      </w:r>
    </w:p>
    <w:p w14:paraId="268AAB99" w14:textId="1E44F731" w:rsidR="00E84581" w:rsidRPr="00002625" w:rsidRDefault="00E84581" w:rsidP="00E84581">
      <w:r w:rsidRPr="00002625">
        <w:t xml:space="preserve">The consultation input mostly agreed with the proposed populations, with all agreeing to the principle of CTC to detect colorectal polyps and colorectal cancer in patients. ADIA proposed expanding the population to include people aged under 45 who do not currently qualify for bowel cancer screening but are being diagnosed at increasing rates. CSSANZ stated CTC is not appropriate for all populations e.g. not suitable to assess </w:t>
      </w:r>
      <w:r w:rsidR="00CC51D3" w:rsidRPr="00002625">
        <w:t>inflammatory</w:t>
      </w:r>
      <w:r w:rsidRPr="00002625">
        <w:t xml:space="preserve"> bowel disease or follow-up for patients with small polyps.</w:t>
      </w:r>
    </w:p>
    <w:p w14:paraId="30E5C873" w14:textId="77777777" w:rsidR="00E84581" w:rsidRPr="00002625" w:rsidRDefault="00E84581" w:rsidP="00E84581">
      <w:r w:rsidRPr="00002625">
        <w:t>The consultation input mostly agreed with the proposed comparator of colonoscopy.</w:t>
      </w:r>
    </w:p>
    <w:p w14:paraId="7A47C2A2" w14:textId="77777777" w:rsidR="00E84581" w:rsidRPr="00002625" w:rsidRDefault="00E84581" w:rsidP="00E84581">
      <w:r w:rsidRPr="00002625">
        <w:t>ARGANZ stated that the technology for providing CTC is already widely in place and that the additional software and insufflation device is cheap to obtain.</w:t>
      </w:r>
    </w:p>
    <w:p w14:paraId="2E02BF68" w14:textId="77777777" w:rsidR="00E84581" w:rsidRPr="00002625" w:rsidRDefault="00E84581" w:rsidP="00E84581">
      <w:pPr>
        <w:rPr>
          <w:b/>
          <w:bCs/>
        </w:rPr>
      </w:pPr>
      <w:r w:rsidRPr="00002625">
        <w:rPr>
          <w:b/>
          <w:bCs/>
        </w:rPr>
        <w:t>MBS Item Descriptor and Fee</w:t>
      </w:r>
    </w:p>
    <w:p w14:paraId="3A75CAAE" w14:textId="349DAB95" w:rsidR="00E84581" w:rsidRPr="00002625" w:rsidRDefault="00E84581" w:rsidP="00E84581">
      <w:r w:rsidRPr="00002625">
        <w:t xml:space="preserve">The consultation input mostly agreed with the proposed service descriptor. RACGP proposed including ‘where colon cancer or colonic polyps are suspected’ to avoid use in young or menstruating people as other causes of iron deficiency and anaemia should be considered first. GESA support the current referral </w:t>
      </w:r>
      <w:r w:rsidRPr="00002625">
        <w:lastRenderedPageBreak/>
        <w:t xml:space="preserve">for CTC being limited to specialists, stating that majority of CTCs are ordered by specialists who a perform colonoscopy and the patient had a failed procedure. </w:t>
      </w:r>
    </w:p>
    <w:p w14:paraId="53ED3D24" w14:textId="77777777" w:rsidR="00E84581" w:rsidRPr="00002625" w:rsidRDefault="00E84581" w:rsidP="00E84581">
      <w:r w:rsidRPr="00002625">
        <w:t>The consultation input agreed with the proposed service fee, with ADIA stating the fee could be increased as the current CTC MBS item attracts an average gap of $185 and is a barrier for many patients.</w:t>
      </w:r>
    </w:p>
    <w:p w14:paraId="4F4F764E" w14:textId="77777777" w:rsidR="00E84581" w:rsidRPr="00002625" w:rsidRDefault="00E84581" w:rsidP="00E84581">
      <w:pPr>
        <w:rPr>
          <w:color w:val="5B9BD5" w:themeColor="accent1"/>
        </w:rPr>
      </w:pPr>
      <w:r w:rsidRPr="00002625">
        <w:rPr>
          <w:b/>
          <w:bCs/>
        </w:rPr>
        <w:t xml:space="preserve">Additional Comments </w:t>
      </w:r>
    </w:p>
    <w:p w14:paraId="367A5B37" w14:textId="77777777" w:rsidR="00E84581" w:rsidRPr="00002625" w:rsidRDefault="00E84581" w:rsidP="00E84581">
      <w:r w:rsidRPr="00002625">
        <w:t>CSSANZ noted that if the aim is to address challenges in accessing colonoscopy, the most effective and safest solution would be to increase colonoscopy availability rather than expanding access to CTC. GESA noted that there are clear dedicated pathways for referral for endoscopic services with cases triaged based on urgency.</w:t>
      </w:r>
    </w:p>
    <w:p w14:paraId="0F0A0E65" w14:textId="77777777" w:rsidR="00E84581" w:rsidRPr="00002625" w:rsidRDefault="00E84581" w:rsidP="00E84581">
      <w:r w:rsidRPr="00002625">
        <w:t>AGANZ stated that the New Zealand referral pathway for bowel investigation includes CTC with up to 30% of colonic investigations being CTC in some areas.</w:t>
      </w:r>
    </w:p>
    <w:p w14:paraId="2D25B071" w14:textId="0FD70220" w:rsidR="005F7185" w:rsidRPr="00002625" w:rsidRDefault="00E84581" w:rsidP="00E01349">
      <w:pPr>
        <w:pStyle w:val="Instructionaltext"/>
        <w:rPr>
          <w:color w:val="auto"/>
        </w:rPr>
      </w:pPr>
      <w:r w:rsidRPr="00002625">
        <w:rPr>
          <w:color w:val="auto"/>
        </w:rPr>
        <w:t>GESA, CSSANZ and RACGP responded to targeted questions including whether a positive result on CTC would require colonoscopy prior to surgery for suspected cancer. All organisations stated that a biopsy or polyp removal, usually via colonoscopy, is best practice to provide histological information for a diagnosis and treatment planning in cases where polyps were detected and particularly if cancer was suspected.</w:t>
      </w:r>
    </w:p>
    <w:p w14:paraId="189D28D5" w14:textId="77777777" w:rsidR="00F577FD" w:rsidRPr="00002625" w:rsidRDefault="00F577FD" w:rsidP="00F577FD">
      <w:pPr>
        <w:autoSpaceDE w:val="0"/>
        <w:autoSpaceDN w:val="0"/>
        <w:adjustRightInd w:val="0"/>
        <w:spacing w:line="23" w:lineRule="atLeast"/>
        <w:rPr>
          <w:rFonts w:asciiTheme="minorHAnsi" w:hAnsiTheme="minorHAnsi" w:cstheme="minorBidi"/>
          <w:i/>
        </w:rPr>
      </w:pPr>
      <w:r w:rsidRPr="00002625">
        <w:rPr>
          <w:rFonts w:asciiTheme="minorHAnsi" w:hAnsiTheme="minorHAnsi" w:cstheme="minorBidi"/>
          <w:i/>
        </w:rPr>
        <w:t xml:space="preserve">PASC raised concerns about the lack of support from peak </w:t>
      </w:r>
      <w:r w:rsidRPr="00002625">
        <w:rPr>
          <w:rFonts w:asciiTheme="minorHAnsi" w:hAnsiTheme="minorHAnsi" w:cstheme="minorBidi"/>
          <w:i/>
          <w:iCs/>
        </w:rPr>
        <w:t>body</w:t>
      </w:r>
      <w:r w:rsidRPr="00002625">
        <w:rPr>
          <w:rFonts w:asciiTheme="minorHAnsi" w:hAnsiTheme="minorHAnsi" w:cstheme="minorBidi"/>
          <w:i/>
        </w:rPr>
        <w:t xml:space="preserve"> GESA and </w:t>
      </w:r>
      <w:r w:rsidRPr="00002625">
        <w:rPr>
          <w:rFonts w:asciiTheme="minorHAnsi" w:hAnsiTheme="minorHAnsi" w:cstheme="minorBidi"/>
          <w:i/>
          <w:iCs/>
        </w:rPr>
        <w:t>cautious support from RACGP and CSSANZ</w:t>
      </w:r>
      <w:r w:rsidRPr="00002625">
        <w:rPr>
          <w:rFonts w:asciiTheme="minorHAnsi" w:hAnsiTheme="minorHAnsi" w:cstheme="minorBidi"/>
          <w:i/>
        </w:rPr>
        <w:t xml:space="preserve"> for CTC. PASC considered feedback from the Cancer Council to understand their view on CTC in CRC screening and management would be useful for further development of the PICO.</w:t>
      </w:r>
    </w:p>
    <w:p w14:paraId="6DBEDE70" w14:textId="1FCB88FA" w:rsidR="00D37A3F" w:rsidRPr="00002625" w:rsidRDefault="00F577FD" w:rsidP="0093007F">
      <w:pPr>
        <w:autoSpaceDE w:val="0"/>
        <w:autoSpaceDN w:val="0"/>
        <w:adjustRightInd w:val="0"/>
        <w:spacing w:line="23" w:lineRule="atLeast"/>
        <w:rPr>
          <w:iCs/>
        </w:rPr>
      </w:pPr>
      <w:r w:rsidRPr="00002625">
        <w:rPr>
          <w:rFonts w:asciiTheme="minorHAnsi" w:hAnsiTheme="minorHAnsi" w:cstheme="minorBidi"/>
          <w:i/>
        </w:rPr>
        <w:t xml:space="preserve">Additionally, PASC noted that clinical advice should be sought from relevant clinical groups to determine consensus around the appropriate target population. PASC considered this to be important to ensure there would be no inadvertent </w:t>
      </w:r>
      <w:r w:rsidR="00720DEE">
        <w:rPr>
          <w:rFonts w:asciiTheme="minorHAnsi" w:hAnsiTheme="minorHAnsi" w:cstheme="minorBidi"/>
          <w:i/>
        </w:rPr>
        <w:t>inclusion of</w:t>
      </w:r>
      <w:r w:rsidRPr="00002625">
        <w:rPr>
          <w:rFonts w:asciiTheme="minorHAnsi" w:hAnsiTheme="minorHAnsi" w:cstheme="minorBidi"/>
          <w:i/>
        </w:rPr>
        <w:t xml:space="preserve"> groups at high-risk of CRC if the population was restricted to low-risk patients.</w:t>
      </w:r>
    </w:p>
    <w:p w14:paraId="4E68667F" w14:textId="547A01CB" w:rsidR="00D37A3F" w:rsidRPr="00002625" w:rsidRDefault="00D37A3F" w:rsidP="00713728">
      <w:pPr>
        <w:pStyle w:val="Heading2"/>
      </w:pPr>
      <w:r w:rsidRPr="00002625">
        <w:t>Next steps</w:t>
      </w:r>
    </w:p>
    <w:p w14:paraId="3B3B0959" w14:textId="247D9459" w:rsidR="00880733" w:rsidRPr="00002625" w:rsidRDefault="00880733" w:rsidP="00C00B3D">
      <w:pPr>
        <w:rPr>
          <w:i/>
          <w:iCs/>
        </w:rPr>
      </w:pPr>
      <w:bookmarkStart w:id="40" w:name="_Hlk143691641"/>
      <w:r w:rsidRPr="00002625">
        <w:rPr>
          <w:i/>
          <w:iCs/>
        </w:rPr>
        <w:t>PASC considered the PICO Confirmation required significant re-development to be feasible for assessment</w:t>
      </w:r>
      <w:r w:rsidR="00A4011A">
        <w:rPr>
          <w:i/>
          <w:iCs/>
        </w:rPr>
        <w:t xml:space="preserve"> and </w:t>
      </w:r>
      <w:r w:rsidR="00A4011A" w:rsidRPr="61D9529C">
        <w:rPr>
          <w:i/>
          <w:iCs/>
        </w:rPr>
        <w:t xml:space="preserve">considered that once the PICO has been further developed, it will require consideration at a future PASC meeting. </w:t>
      </w:r>
      <w:r w:rsidRPr="00002625">
        <w:rPr>
          <w:i/>
          <w:iCs/>
        </w:rPr>
        <w:t xml:space="preserve">The PASC considered that the re-development of the PICO set 1 would need </w:t>
      </w:r>
      <w:r w:rsidR="008E19AF" w:rsidRPr="00002625">
        <w:rPr>
          <w:i/>
          <w:iCs/>
        </w:rPr>
        <w:t xml:space="preserve">clinically supported </w:t>
      </w:r>
      <w:r w:rsidRPr="00002625">
        <w:rPr>
          <w:i/>
          <w:iCs/>
        </w:rPr>
        <w:t>defin</w:t>
      </w:r>
      <w:r w:rsidR="008E19AF" w:rsidRPr="00002625">
        <w:rPr>
          <w:i/>
          <w:iCs/>
        </w:rPr>
        <w:t>itions</w:t>
      </w:r>
      <w:r w:rsidR="00AD0648" w:rsidRPr="00002625">
        <w:rPr>
          <w:i/>
          <w:iCs/>
        </w:rPr>
        <w:t xml:space="preserve"> of </w:t>
      </w:r>
      <w:r w:rsidRPr="00002625">
        <w:rPr>
          <w:i/>
          <w:iCs/>
        </w:rPr>
        <w:t xml:space="preserve">low and high risk symptomatic populations in order to be appropriate for assessment. PASC considered that the low and high risk symptomatic populations would likely require differing clinical algorithms, which will need to be revised. </w:t>
      </w:r>
    </w:p>
    <w:p w14:paraId="62E26D74" w14:textId="00B0DA40" w:rsidR="00880733" w:rsidRDefault="00880733" w:rsidP="00C00B3D">
      <w:pPr>
        <w:rPr>
          <w:i/>
          <w:iCs/>
        </w:rPr>
      </w:pPr>
      <w:r w:rsidRPr="00002625">
        <w:rPr>
          <w:i/>
          <w:iCs/>
        </w:rPr>
        <w:t xml:space="preserve">PASC considered that further work and input from relevant stakeholders </w:t>
      </w:r>
      <w:r w:rsidR="000243C7" w:rsidRPr="00002625">
        <w:rPr>
          <w:i/>
          <w:iCs/>
        </w:rPr>
        <w:t>would be</w:t>
      </w:r>
      <w:r w:rsidRPr="00002625">
        <w:rPr>
          <w:i/>
          <w:iCs/>
        </w:rPr>
        <w:t xml:space="preserve"> needed to </w:t>
      </w:r>
      <w:r w:rsidR="00720DEE">
        <w:rPr>
          <w:i/>
          <w:iCs/>
        </w:rPr>
        <w:t xml:space="preserve">assist defining the target groups who are suitable for a CT colonography instead of colonoscopy, and provide input into </w:t>
      </w:r>
      <w:r w:rsidRPr="00002625">
        <w:rPr>
          <w:i/>
          <w:iCs/>
        </w:rPr>
        <w:t>defin</w:t>
      </w:r>
      <w:r w:rsidR="00720DEE">
        <w:rPr>
          <w:i/>
          <w:iCs/>
        </w:rPr>
        <w:t>ing</w:t>
      </w:r>
      <w:r w:rsidRPr="00002625">
        <w:rPr>
          <w:i/>
          <w:iCs/>
        </w:rPr>
        <w:t xml:space="preserve"> the low and high risk symptomatic populations</w:t>
      </w:r>
      <w:r w:rsidR="00720DEE">
        <w:rPr>
          <w:i/>
          <w:iCs/>
        </w:rPr>
        <w:t xml:space="preserve"> given the inconsistency in the literature</w:t>
      </w:r>
      <w:r w:rsidRPr="00002625">
        <w:rPr>
          <w:i/>
          <w:iCs/>
        </w:rPr>
        <w:t>.</w:t>
      </w:r>
    </w:p>
    <w:p w14:paraId="3E39D4BC" w14:textId="238DD7FB" w:rsidR="002306D9" w:rsidRPr="00002625" w:rsidRDefault="00880733" w:rsidP="00C00B3D">
      <w:pPr>
        <w:rPr>
          <w:i/>
          <w:iCs/>
        </w:rPr>
      </w:pPr>
      <w:r w:rsidRPr="00002625">
        <w:rPr>
          <w:i/>
          <w:iCs/>
        </w:rPr>
        <w:t>PASC also advised not to proceed with the assessment of PICO Set 2 population due to the lack of evidence (based on preliminary research by the assessment group) and clinical support rendering it not feasible for assessment.</w:t>
      </w:r>
    </w:p>
    <w:p w14:paraId="1A7CFA89" w14:textId="77777777" w:rsidR="00BA6C82" w:rsidRDefault="00BA6C82" w:rsidP="00BA6C82">
      <w:pPr>
        <w:pStyle w:val="Heading2"/>
      </w:pPr>
      <w:r>
        <w:lastRenderedPageBreak/>
        <w:t>Applicant Comments on Ratified PICO</w:t>
      </w:r>
    </w:p>
    <w:p w14:paraId="4106F747" w14:textId="77777777" w:rsidR="00BA6C82" w:rsidRDefault="00BA6C82" w:rsidP="00BA6C82">
      <w:pPr>
        <w:rPr>
          <w:rFonts w:eastAsiaTheme="minorHAnsi" w:cs="Calibri"/>
        </w:rPr>
      </w:pPr>
      <w:r>
        <w:rPr>
          <w:rFonts w:cs="Calibri"/>
        </w:rPr>
        <w:t>The department acknowledges that the applicant noted PASC currently does not have a member with a specialty in radiology.</w:t>
      </w:r>
    </w:p>
    <w:p w14:paraId="6C19C47E" w14:textId="3FDA1189" w:rsidR="00BA6C82" w:rsidRDefault="00BA6C82" w:rsidP="00BA6C82">
      <w:pPr>
        <w:rPr>
          <w:rFonts w:cs="Calibri"/>
        </w:rPr>
      </w:pPr>
      <w:r>
        <w:rPr>
          <w:rFonts w:cs="Calibri"/>
        </w:rPr>
        <w:t>The department notes that the applicant is disappointed that PICO set 2 for the population requiring  surveillance had insufficient evidence during the preliminary literature search to proceed to assessment at this point in time. The department has summarised and listed below, the applicant comments on the PICO elements of the application.</w:t>
      </w:r>
    </w:p>
    <w:p w14:paraId="339415E7" w14:textId="77777777" w:rsidR="00BA6C82" w:rsidRDefault="00BA6C82" w:rsidP="00BA6C82">
      <w:pPr>
        <w:numPr>
          <w:ilvl w:val="0"/>
          <w:numId w:val="25"/>
        </w:numPr>
        <w:spacing w:after="0" w:line="240" w:lineRule="auto"/>
        <w:rPr>
          <w:rFonts w:eastAsia="Times New Roman" w:cs="Calibri"/>
        </w:rPr>
      </w:pPr>
      <w:r>
        <w:rPr>
          <w:rFonts w:eastAsia="Times New Roman" w:cs="Calibri"/>
        </w:rPr>
        <w:t xml:space="preserve">When assessing cost effectiveness of CTC vs colonoscopy, all codes used for colonoscopy including additional codes for polypectomy, anaesthetic codes, pathology codes and specialist consultation should be included. </w:t>
      </w:r>
    </w:p>
    <w:p w14:paraId="531909C5" w14:textId="77777777" w:rsidR="00BA6C82" w:rsidRDefault="00BA6C82" w:rsidP="00BA6C82">
      <w:pPr>
        <w:numPr>
          <w:ilvl w:val="0"/>
          <w:numId w:val="25"/>
        </w:numPr>
        <w:spacing w:after="0" w:line="240" w:lineRule="auto"/>
        <w:rPr>
          <w:rFonts w:eastAsia="Times New Roman" w:cs="Calibri"/>
        </w:rPr>
      </w:pPr>
      <w:r>
        <w:rPr>
          <w:rFonts w:eastAsia="Times New Roman" w:cs="Calibri"/>
        </w:rPr>
        <w:t>Polyp size is important and should be included in the efficacy/effectiveness outcomes, and categorised as &gt;10mm, 6-9mm or &lt;6mm. The safety outcomes should include visceral injury, and sedation complications for colonoscopies.</w:t>
      </w:r>
    </w:p>
    <w:p w14:paraId="0298B605" w14:textId="77777777" w:rsidR="00BA6C82" w:rsidRDefault="00BA6C82" w:rsidP="00BA6C82">
      <w:pPr>
        <w:numPr>
          <w:ilvl w:val="0"/>
          <w:numId w:val="25"/>
        </w:numPr>
        <w:spacing w:after="0" w:line="240" w:lineRule="auto"/>
        <w:rPr>
          <w:rFonts w:eastAsia="Times New Roman" w:cs="Calibri"/>
        </w:rPr>
      </w:pPr>
      <w:r>
        <w:rPr>
          <w:rFonts w:eastAsia="Times New Roman" w:cs="Calibri"/>
        </w:rPr>
        <w:t>Given the current lack of definitions for low and high risk symptomatic populations, there may be difficulty obtaining clinically supported definitions for these populations, even with further input from stakeholders.</w:t>
      </w:r>
    </w:p>
    <w:p w14:paraId="103E97C0" w14:textId="77777777" w:rsidR="006370F4" w:rsidRPr="00002625" w:rsidRDefault="006370F4" w:rsidP="00E01349">
      <w:pPr>
        <w:pStyle w:val="Instructionaltext"/>
      </w:pPr>
    </w:p>
    <w:p w14:paraId="13E8DDAF" w14:textId="77777777" w:rsidR="002306D9" w:rsidRPr="00002625" w:rsidRDefault="002306D9" w:rsidP="003703B3">
      <w:pPr>
        <w:spacing w:after="160" w:line="259" w:lineRule="auto"/>
        <w:jc w:val="right"/>
        <w:rPr>
          <w:rFonts w:eastAsiaTheme="minorEastAsia" w:cstheme="minorBidi"/>
          <w:color w:val="258221"/>
        </w:rPr>
      </w:pPr>
      <w:r w:rsidRPr="00002625">
        <w:br w:type="page"/>
      </w:r>
    </w:p>
    <w:bookmarkEnd w:id="40"/>
    <w:p w14:paraId="73A2A9C9" w14:textId="75713C2D" w:rsidR="006478E7" w:rsidRPr="00002625" w:rsidRDefault="00A33126" w:rsidP="00713728">
      <w:pPr>
        <w:pStyle w:val="Heading2"/>
      </w:pPr>
      <w:r w:rsidRPr="00002625">
        <w:lastRenderedPageBreak/>
        <w:t>References</w:t>
      </w:r>
    </w:p>
    <w:p w14:paraId="6048BD86" w14:textId="0CD707BA" w:rsidR="00E60EBC" w:rsidRPr="00EE5492" w:rsidRDefault="00E60EBC" w:rsidP="007A1201">
      <w:pPr>
        <w:spacing w:before="40" w:after="120" w:line="264" w:lineRule="auto"/>
      </w:pPr>
      <w:r w:rsidRPr="00EE5492">
        <w:t xml:space="preserve">ACS 2024. Colorectal Cancer Signs and Symptoms. American Cancer Society, Last Revised January 29, 2024. </w:t>
      </w:r>
      <w:hyperlink r:id="rId16" w:history="1">
        <w:r w:rsidRPr="00EE5492">
          <w:rPr>
            <w:rStyle w:val="Hyperlink"/>
            <w:rFonts w:ascii="Calibri" w:hAnsi="Calibri"/>
          </w:rPr>
          <w:t>www.cancer.org/cancer/types/colon-rectal-cancer.html</w:t>
        </w:r>
      </w:hyperlink>
      <w:r w:rsidRPr="00EE5492">
        <w:t xml:space="preserve"> (accessed 10 October 2024). </w:t>
      </w:r>
    </w:p>
    <w:p w14:paraId="605543AE" w14:textId="077580CF" w:rsidR="00070DE4" w:rsidRPr="00EE5492" w:rsidRDefault="00070DE4" w:rsidP="007A1201">
      <w:pPr>
        <w:spacing w:before="40" w:after="120" w:line="264" w:lineRule="auto"/>
      </w:pPr>
      <w:r w:rsidRPr="00EE5492">
        <w:t xml:space="preserve">ACSQHC 2020. Colonoscopy Clinical Care Standard, January 2020. </w:t>
      </w:r>
      <w:r w:rsidR="007E302A" w:rsidRPr="00EE5492">
        <w:t>Australian Commission on Safety and Quality in Health Care (ACSQHC)</w:t>
      </w:r>
      <w:r w:rsidR="00D73889" w:rsidRPr="00EE5492">
        <w:t xml:space="preserve"> </w:t>
      </w:r>
      <w:r w:rsidR="007E302A" w:rsidRPr="00EE5492">
        <w:t xml:space="preserve">Clinical Care Standards. </w:t>
      </w:r>
    </w:p>
    <w:p w14:paraId="53C85601" w14:textId="0EEAC986" w:rsidR="004C31EE" w:rsidRPr="00EE5492" w:rsidRDefault="00D53FA9" w:rsidP="007A1201">
      <w:pPr>
        <w:spacing w:before="40" w:after="120" w:line="264" w:lineRule="auto"/>
      </w:pPr>
      <w:r w:rsidRPr="00EE5492">
        <w:t xml:space="preserve">AIHW 2024. Cancer data in Australia. </w:t>
      </w:r>
      <w:r w:rsidR="001E3DF2" w:rsidRPr="00EE5492">
        <w:t>Australian Institute of Health and Welfare</w:t>
      </w:r>
      <w:r w:rsidR="00003DCD" w:rsidRPr="00EE5492">
        <w:t>,</w:t>
      </w:r>
      <w:r w:rsidR="001E3DF2" w:rsidRPr="00EE5492">
        <w:t xml:space="preserve"> </w:t>
      </w:r>
      <w:r w:rsidRPr="00EE5492">
        <w:t>15 August 2024.</w:t>
      </w:r>
      <w:r w:rsidR="006A17E4" w:rsidRPr="00EE5492">
        <w:t xml:space="preserve"> </w:t>
      </w:r>
      <w:hyperlink r:id="rId17" w:history="1">
        <w:r w:rsidR="00AE26CA" w:rsidRPr="00EE5492">
          <w:rPr>
            <w:rStyle w:val="Hyperlink"/>
            <w:rFonts w:ascii="Calibri" w:hAnsi="Calibri"/>
          </w:rPr>
          <w:t>www.aihw.gov.au/reports/cancer-screening/nbcsp-monitoring-2024/summary</w:t>
        </w:r>
      </w:hyperlink>
      <w:r w:rsidR="00AE26CA" w:rsidRPr="00EE5492">
        <w:t xml:space="preserve"> </w:t>
      </w:r>
      <w:r w:rsidR="006A17E4" w:rsidRPr="00EE5492">
        <w:t>(accessed 14 October 2024).</w:t>
      </w:r>
      <w:r w:rsidR="00AE26CA" w:rsidRPr="00EE5492">
        <w:t xml:space="preserve"> </w:t>
      </w:r>
    </w:p>
    <w:p w14:paraId="571CB2D7" w14:textId="21CB15C4" w:rsidR="005F40A1" w:rsidRPr="00EE5492" w:rsidRDefault="005F40A1" w:rsidP="007A1201">
      <w:pPr>
        <w:spacing w:before="40" w:after="120" w:line="264" w:lineRule="auto"/>
      </w:pPr>
      <w:r w:rsidRPr="00EE5492">
        <w:t xml:space="preserve">Alfred Health </w:t>
      </w:r>
      <w:r w:rsidR="002B2ADC" w:rsidRPr="00EE5492">
        <w:t>2024</w:t>
      </w:r>
      <w:r w:rsidR="007344E7" w:rsidRPr="00EE5492">
        <w:t xml:space="preserve">. Endoscopy </w:t>
      </w:r>
      <w:r w:rsidR="002B2ADC" w:rsidRPr="00EE5492">
        <w:t xml:space="preserve">– </w:t>
      </w:r>
      <w:r w:rsidR="007344E7" w:rsidRPr="00EE5492">
        <w:t xml:space="preserve">Specialist Clinic Referral Guidelines. </w:t>
      </w:r>
      <w:r w:rsidR="00774B93" w:rsidRPr="00EE5492">
        <w:t>Issued March 2006; Last reviewed January 2024</w:t>
      </w:r>
      <w:r w:rsidR="002B2ADC" w:rsidRPr="00EE5492">
        <w:t xml:space="preserve">. </w:t>
      </w:r>
    </w:p>
    <w:p w14:paraId="02A49504" w14:textId="26BFE7A3" w:rsidR="00FE5D2E" w:rsidRPr="00EE5492" w:rsidRDefault="00D51A00" w:rsidP="007A1201">
      <w:pPr>
        <w:spacing w:before="40" w:after="120" w:line="264" w:lineRule="auto"/>
      </w:pPr>
      <w:r w:rsidRPr="00EE5492">
        <w:t xml:space="preserve">Aniwan, S., Ek, T. R., Pongprasobchai, S., Limsrivilai, J., Praisontarangkul, O. A., Pisespongsa, P., Mairiang, P., Sangchan, A., Sottisuporn, J., Wisedopas, N., Kullavanijaya, P., &amp; Rerknimitr, R. (2017). The Optimal Cut-Off Level of The Fecal Immunochemical Test For Colorectal Cancer Screening in a Country with Limited Colonoscopy Resources: A Multi-Center Study from Thailand. Asian Pacific Journal of Cancer Prevention : APJCP, 18(2), 405–412. </w:t>
      </w:r>
      <w:r w:rsidR="00FE5D2E" w:rsidRPr="00EE5492">
        <w:t xml:space="preserve">Bowel Cancer Australia (undated). A Colonoscopy Wait-time and Performance Guarantee: Bowel Cancer Australia advocates for a colonoscopy wait-time and performance guarantee. </w:t>
      </w:r>
      <w:hyperlink r:id="rId18" w:history="1">
        <w:r w:rsidR="00FE5D2E" w:rsidRPr="00EE5492">
          <w:rPr>
            <w:rStyle w:val="Hyperlink"/>
            <w:rFonts w:ascii="Calibri" w:hAnsi="Calibri"/>
          </w:rPr>
          <w:t>www.bowelcanceraustralia.org/a-colonoscopy-wait-time-and-performance-guarantee</w:t>
        </w:r>
      </w:hyperlink>
      <w:r w:rsidR="00FE5D2E" w:rsidRPr="00EE5492">
        <w:t xml:space="preserve"> (accessed 16 October 2024).</w:t>
      </w:r>
    </w:p>
    <w:p w14:paraId="6BC0ADEE" w14:textId="47841DB4" w:rsidR="00A45A2C" w:rsidRPr="00EE5492" w:rsidRDefault="00A45A2C" w:rsidP="007A1201">
      <w:pPr>
        <w:spacing w:before="40" w:after="120" w:line="264" w:lineRule="auto"/>
      </w:pPr>
      <w:r w:rsidRPr="00EE5492">
        <w:t>Calanzani N, Chang A, Van Melle M, Pannebakker MM, Funston G, Walter FM. Recognising Colorectal Cancer in Primary Care. Adv Ther. 2021 May;38(5):2732-2746.</w:t>
      </w:r>
    </w:p>
    <w:p w14:paraId="51D0B7E9" w14:textId="41CCE02B" w:rsidR="00C24DEF" w:rsidRPr="00EE5492" w:rsidRDefault="00C24DEF" w:rsidP="007A1201">
      <w:pPr>
        <w:spacing w:before="40" w:after="120" w:line="264" w:lineRule="auto"/>
      </w:pPr>
      <w:r w:rsidRPr="00EE5492">
        <w:t>Canberra Health Services</w:t>
      </w:r>
      <w:r w:rsidR="000E1523" w:rsidRPr="00EE5492">
        <w:t xml:space="preserve"> 2022</w:t>
      </w:r>
      <w:r w:rsidR="0041689D" w:rsidRPr="00EE5492">
        <w:t>. Colonoscopy</w:t>
      </w:r>
      <w:r w:rsidR="008301AA" w:rsidRPr="00EE5492">
        <w:t xml:space="preserve"> </w:t>
      </w:r>
      <w:r w:rsidR="0041689D" w:rsidRPr="00EE5492">
        <w:t>Procedures</w:t>
      </w:r>
      <w:r w:rsidR="008301AA" w:rsidRPr="00EE5492">
        <w:t xml:space="preserve"> </w:t>
      </w:r>
      <w:r w:rsidR="0041689D" w:rsidRPr="00EE5492">
        <w:t>in Adults</w:t>
      </w:r>
      <w:r w:rsidR="008301AA" w:rsidRPr="00EE5492">
        <w:t>. Procedure CHS22/283. Canberra Health Services</w:t>
      </w:r>
      <w:r w:rsidR="006753AF" w:rsidRPr="00EE5492">
        <w:t>,</w:t>
      </w:r>
      <w:r w:rsidR="008301AA" w:rsidRPr="00EE5492">
        <w:t xml:space="preserve"> </w:t>
      </w:r>
      <w:r w:rsidR="00932911" w:rsidRPr="00EE5492">
        <w:t xml:space="preserve">27 June 2022. </w:t>
      </w:r>
    </w:p>
    <w:p w14:paraId="375F5108" w14:textId="5FA429EF" w:rsidR="00A933CE" w:rsidRPr="00EE5492" w:rsidRDefault="00A933CE" w:rsidP="007A1201">
      <w:pPr>
        <w:spacing w:before="40" w:after="120" w:line="264" w:lineRule="auto"/>
      </w:pPr>
      <w:r w:rsidRPr="00EE5492">
        <w:t>Cancer Council 2022.</w:t>
      </w:r>
      <w:r w:rsidR="00DD5736" w:rsidRPr="00EE5492">
        <w:t xml:space="preserve"> Clinical practice guidelines for surveillance colonoscopy. Living </w:t>
      </w:r>
      <w:r w:rsidR="00F76953" w:rsidRPr="00EE5492">
        <w:t>guideline version July 2022.</w:t>
      </w:r>
      <w:r w:rsidR="00AC6E6D" w:rsidRPr="00EE5492">
        <w:t xml:space="preserve"> </w:t>
      </w:r>
      <w:hyperlink r:id="rId19" w:history="1">
        <w:r w:rsidR="00EF444C" w:rsidRPr="00EE5492">
          <w:rPr>
            <w:rStyle w:val="Hyperlink"/>
            <w:rFonts w:ascii="Calibri" w:hAnsi="Calibri"/>
          </w:rPr>
          <w:t>www.cancer.org.au/clinical-guidelines/bowel-cancer/surveillance-colonoscopy</w:t>
        </w:r>
      </w:hyperlink>
      <w:r w:rsidR="00F571C6" w:rsidRPr="00EE5492">
        <w:t xml:space="preserve"> (accessed </w:t>
      </w:r>
      <w:r w:rsidR="00E83CE0" w:rsidRPr="00EE5492">
        <w:t>15 October 2024</w:t>
      </w:r>
      <w:r w:rsidR="00F571C6" w:rsidRPr="00EE5492">
        <w:t>)</w:t>
      </w:r>
    </w:p>
    <w:p w14:paraId="0B57A003" w14:textId="1755D1A1" w:rsidR="000C1D12" w:rsidRPr="00EE5492" w:rsidRDefault="000C1D12" w:rsidP="007A1201">
      <w:pPr>
        <w:spacing w:before="40" w:after="120" w:line="264" w:lineRule="auto"/>
        <w:rPr>
          <w:highlight w:val="yellow"/>
        </w:rPr>
      </w:pPr>
      <w:r w:rsidRPr="00EE5492">
        <w:t xml:space="preserve">Cancer Council 2023. </w:t>
      </w:r>
      <w:r w:rsidR="00114C67" w:rsidRPr="00EE5492">
        <w:t>Clinical practice guidelines for the prevention, early detection and management of colorectal cancer</w:t>
      </w:r>
      <w:r w:rsidR="00EF444C" w:rsidRPr="00EE5492">
        <w:t xml:space="preserve">. </w:t>
      </w:r>
      <w:r w:rsidR="00D53666" w:rsidRPr="00EE5492">
        <w:t>Living guideline u</w:t>
      </w:r>
      <w:r w:rsidR="00EF444C" w:rsidRPr="00EE5492">
        <w:t>pdate 17 November 2023</w:t>
      </w:r>
      <w:r w:rsidR="00D53666" w:rsidRPr="00EE5492">
        <w:t xml:space="preserve"> (</w:t>
      </w:r>
      <w:r w:rsidR="00114C67" w:rsidRPr="00EE5492">
        <w:t>v2.2 published on 14 October 2024</w:t>
      </w:r>
      <w:r w:rsidR="00D53666" w:rsidRPr="00EE5492">
        <w:t>)</w:t>
      </w:r>
      <w:r w:rsidR="003F38AA" w:rsidRPr="00EE5492">
        <w:t xml:space="preserve">. </w:t>
      </w:r>
      <w:hyperlink r:id="rId20" w:history="1">
        <w:r w:rsidR="003F38AA" w:rsidRPr="00EE5492">
          <w:rPr>
            <w:rStyle w:val="Hyperlink"/>
            <w:rFonts w:ascii="Calibri" w:hAnsi="Calibri"/>
          </w:rPr>
          <w:t>www.cancer.org.au/clinical-guidelines/bowel-cancer/colorectal-cancer</w:t>
        </w:r>
      </w:hyperlink>
      <w:r w:rsidR="003F38AA" w:rsidRPr="00EE5492">
        <w:t xml:space="preserve"> (accessed </w:t>
      </w:r>
      <w:r w:rsidR="00630843" w:rsidRPr="00EE5492">
        <w:t>15 October 2024</w:t>
      </w:r>
      <w:r w:rsidR="003F38AA" w:rsidRPr="00EE5492">
        <w:t>)</w:t>
      </w:r>
    </w:p>
    <w:p w14:paraId="42648F82" w14:textId="0D9ADDFF" w:rsidR="00BD2D15" w:rsidRPr="00EE5492" w:rsidRDefault="00797E3A" w:rsidP="007A1201">
      <w:pPr>
        <w:spacing w:before="40" w:after="120" w:line="264" w:lineRule="auto"/>
      </w:pPr>
      <w:r w:rsidRPr="00EE5492">
        <w:t xml:space="preserve">Chieng, R. </w:t>
      </w:r>
      <w:r w:rsidR="008A3CB3" w:rsidRPr="00EE5492">
        <w:t>CT colonography (protocol)</w:t>
      </w:r>
      <w:r w:rsidR="003D5F6C" w:rsidRPr="00EE5492">
        <w:t xml:space="preserve">. </w:t>
      </w:r>
      <w:r w:rsidR="005C1418" w:rsidRPr="00EE5492">
        <w:t xml:space="preserve">Radiopaedia, </w:t>
      </w:r>
      <w:r w:rsidR="006E626E" w:rsidRPr="00EE5492">
        <w:t xml:space="preserve">23 September 2023. </w:t>
      </w:r>
      <w:hyperlink r:id="rId21" w:history="1">
        <w:r w:rsidR="00DD57E9" w:rsidRPr="00EE5492">
          <w:rPr>
            <w:rStyle w:val="Hyperlink"/>
            <w:rFonts w:ascii="Calibri" w:hAnsi="Calibri"/>
          </w:rPr>
          <w:t>radiopaedia.org/articles/ct-colonography-protocol</w:t>
        </w:r>
      </w:hyperlink>
      <w:r w:rsidR="00DD57E9" w:rsidRPr="00EE5492">
        <w:t xml:space="preserve"> (access</w:t>
      </w:r>
      <w:r w:rsidR="00515B0B" w:rsidRPr="00EE5492">
        <w:t>ed</w:t>
      </w:r>
      <w:r w:rsidR="00DD57E9" w:rsidRPr="00EE5492">
        <w:t xml:space="preserve"> 10 October 2024) </w:t>
      </w:r>
    </w:p>
    <w:p w14:paraId="319E10F7" w14:textId="4DCA34C9" w:rsidR="002F6692" w:rsidRPr="00EE5492" w:rsidRDefault="002F6692" w:rsidP="007A1201">
      <w:pPr>
        <w:spacing w:before="40" w:after="120" w:line="264" w:lineRule="auto"/>
      </w:pPr>
      <w:r w:rsidRPr="00EE5492">
        <w:t>Chiu, H.-M., Ching, J. Y. L., Wu, K. C., Rerknimitr, R., Li, J., Wu, D.-C., Goh, K. L., Matsuda, T., Kim, H.-S., Leong, R., Yeoh, K. G., Chong, V. H., Sollano, J. D., Ahmed, F., Menon, J., &amp; Sung, J. J. Y. (2016). A Risk-Scoring System Combined With a Fecal Immunochemical Test Is Effective in Screening High-Risk Subjects for Early Colonoscopy to Detect Advanced Colorectal Neoplasms. Gastroenterology, 150(3), 617-625.e3. https://doi.org/10.1053/j.gastro.2015.11.042</w:t>
      </w:r>
    </w:p>
    <w:p w14:paraId="2FD47B4C" w14:textId="561CDA84" w:rsidR="005B5BA6" w:rsidRPr="00EE5492" w:rsidRDefault="00547B32" w:rsidP="007A1201">
      <w:pPr>
        <w:spacing w:before="40" w:after="120" w:line="264" w:lineRule="auto"/>
      </w:pPr>
      <w:r w:rsidRPr="00EE5492">
        <w:t>Chowdhury MR, Hone KGMS, Prévost K, Balthazar P, Avino M, Arguin M, Beaudoin J, Malick M, Desgagné M, Robert G, Scott M, Dubé J, Laforest-Lapointe I, Massé E. Optimizing Fecal Occult Blood Test (FOBT) Colorectal Cancer Screening Using Gut Bacteriome as a Biomarker. Clin Colorectal Cancer. 2024 Mar;23(1):22-34.e2.</w:t>
      </w:r>
    </w:p>
    <w:p w14:paraId="57C51B0F" w14:textId="4D641F53" w:rsidR="00FE5D2E" w:rsidRPr="00EE5492" w:rsidRDefault="00FE5D2E" w:rsidP="007A1201">
      <w:pPr>
        <w:spacing w:before="40" w:after="120" w:line="264" w:lineRule="auto"/>
      </w:pPr>
      <w:r w:rsidRPr="00EE5492">
        <w:lastRenderedPageBreak/>
        <w:t>Delisle M, Helewa RM, Ward MAR, Hochman DJ, Park J, McKay A. The Association Between Wait Times for Colorectal Cancer Treatment and Health Care Costs: A Population-Based Analysis. Dis Colon Rectum. 2020 Feb;63(2):160-171.</w:t>
      </w:r>
    </w:p>
    <w:p w14:paraId="7D3F3CB1" w14:textId="3165D21E" w:rsidR="00646972" w:rsidRPr="00EE5492" w:rsidRDefault="00646972" w:rsidP="007A1201">
      <w:pPr>
        <w:spacing w:before="40" w:after="120" w:line="264" w:lineRule="auto"/>
      </w:pPr>
      <w:r w:rsidRPr="00EE5492">
        <w:t>Digby, J., Fraser, C. G., Carey, F. A., Lang, J., Stanners, G., &amp; Steele, R. J. (2016). Interval cancers using a quantitative faecal immunochemical test (FIT) for haemoglobin when colonoscopy capacity is limited. </w:t>
      </w:r>
      <w:r w:rsidRPr="00EE5492">
        <w:rPr>
          <w:i/>
          <w:iCs/>
        </w:rPr>
        <w:t>Journal of Medical Screening</w:t>
      </w:r>
      <w:r w:rsidRPr="00EE5492">
        <w:t>, </w:t>
      </w:r>
      <w:r w:rsidRPr="00EE5492">
        <w:rPr>
          <w:i/>
          <w:iCs/>
        </w:rPr>
        <w:t>23</w:t>
      </w:r>
      <w:r w:rsidRPr="00EE5492">
        <w:t xml:space="preserve">(3), 130–134. </w:t>
      </w:r>
    </w:p>
    <w:p w14:paraId="5C8DFA68" w14:textId="17290DA8" w:rsidR="00950715" w:rsidRPr="00EE5492" w:rsidRDefault="002116AA" w:rsidP="007A1201">
      <w:pPr>
        <w:spacing w:before="40" w:after="120" w:line="264" w:lineRule="auto"/>
      </w:pPr>
      <w:r w:rsidRPr="00EE5492">
        <w:t>ESGE/ESGAR 2020.</w:t>
      </w:r>
      <w:r w:rsidR="00950715" w:rsidRPr="00EE5492">
        <w:t xml:space="preserve"> Spada C, Hassan C, Bellini D, Burling D, Cappello G, Carretero C, Dekker E, Eliakim R, de Haan M, Kaminski MF, Koulaouzidis A, Laghi A, Lefere P, Mang T, Milluzzo SM, Morrin M, McNamara D, Neri E, Pecere S, Pioche M, Plumb A, Rondonotti E, Spaander MC, Taylor S, Fernandez-Urien I, van Hooft JE, Stoker J, Regge D. Imaging alternatives to colonoscopy: CT colonography and colon capsule. European Society of Gastrointestinal Endoscopy (ESGE) and European Society of Gastrointestinal and Abdominal Radiology (ESGAR) Guideline - Update 2020. Eur Radiol. 2021 May;31(5):2967-2982.</w:t>
      </w:r>
    </w:p>
    <w:p w14:paraId="798B17F1" w14:textId="49450F92" w:rsidR="007652C1" w:rsidRPr="00EE5492" w:rsidRDefault="007652C1" w:rsidP="007A1201">
      <w:pPr>
        <w:spacing w:before="40" w:after="120" w:line="264" w:lineRule="auto"/>
      </w:pPr>
      <w:r w:rsidRPr="00EE5492">
        <w:t>Haga H, Tran E, Rieger N. Colonoscopy quality of GP endoscopists in three rural hospitals in Queensland, Australia. Aust J Gen Pract. 2022 Dec;51(12):979-985.</w:t>
      </w:r>
    </w:p>
    <w:p w14:paraId="35E79855" w14:textId="07B487B8" w:rsidR="003D792A" w:rsidRPr="00EE5492" w:rsidRDefault="003D792A" w:rsidP="007A1201">
      <w:pPr>
        <w:spacing w:before="40" w:after="120" w:line="264" w:lineRule="auto"/>
      </w:pPr>
      <w:r w:rsidRPr="00EE5492">
        <w:t xml:space="preserve">Halligan S, Dadswell E, Wooldrage K, Wardle J, von Wagner C, Lilford R, </w:t>
      </w:r>
      <w:r w:rsidR="005610F8" w:rsidRPr="00EE5492">
        <w:t xml:space="preserve">Guiqing L, Shihua </w:t>
      </w:r>
      <w:r w:rsidR="00CE5597" w:rsidRPr="00EE5492">
        <w:t>Z</w:t>
      </w:r>
      <w:r w:rsidR="005610F8" w:rsidRPr="00EE5492">
        <w:t xml:space="preserve"> and Atkin</w:t>
      </w:r>
      <w:r w:rsidR="00CE5597" w:rsidRPr="00EE5492">
        <w:t xml:space="preserve"> W</w:t>
      </w:r>
      <w:r w:rsidRPr="00EE5492">
        <w:t>. Computed tomographic colonography compared with colonoscopy or barium enema for diagnosis of colorectal cancer in older symptomatic patients: two multicentre randomised trials with economic evaluation (the SIGGAR trials). Health Technol Assess 2015;19(54).</w:t>
      </w:r>
    </w:p>
    <w:p w14:paraId="3B2D6684" w14:textId="528016B4" w:rsidR="000D2B9F" w:rsidRPr="00EE5492" w:rsidRDefault="000D2B9F" w:rsidP="007A1201">
      <w:pPr>
        <w:spacing w:before="40" w:after="120" w:line="264" w:lineRule="auto"/>
      </w:pPr>
      <w:r w:rsidRPr="00EE5492">
        <w:t>Health New Zealand 2023. Clinical Practice Guidelines for Bowel Screening in New Zealand. Te Whatu Ora – Health New Zealand. Wellington, May 2023.</w:t>
      </w:r>
    </w:p>
    <w:p w14:paraId="0F895920" w14:textId="752EAD1F" w:rsidR="000F7296" w:rsidRPr="00EE5492" w:rsidRDefault="000F7296" w:rsidP="007A1201">
      <w:pPr>
        <w:spacing w:before="40" w:after="120" w:line="264" w:lineRule="auto"/>
      </w:pPr>
      <w:r w:rsidRPr="00EE5492">
        <w:t xml:space="preserve">IAEA 2017. </w:t>
      </w:r>
      <w:r w:rsidR="00DE19B4" w:rsidRPr="00EE5492">
        <w:t xml:space="preserve">Computed Tomography (CT) Colonography. FAQs for health professionals. </w:t>
      </w:r>
      <w:r w:rsidRPr="00EE5492">
        <w:t xml:space="preserve">The International Atomic Energy Agency (IAEA), August 2017. </w:t>
      </w:r>
      <w:hyperlink r:id="rId22" w:history="1">
        <w:r w:rsidR="00DE19B4" w:rsidRPr="00EE5492">
          <w:rPr>
            <w:rStyle w:val="Hyperlink"/>
            <w:rFonts w:ascii="Calibri" w:hAnsi="Calibri"/>
          </w:rPr>
          <w:t>www.iaea.org/resources/rpop/health-professionals/radiology/computed-tomography/computed-tomography-colonography</w:t>
        </w:r>
      </w:hyperlink>
      <w:r w:rsidR="008D1CFD" w:rsidRPr="00EE5492">
        <w:t xml:space="preserve"> </w:t>
      </w:r>
      <w:r w:rsidR="003404DA" w:rsidRPr="00EE5492">
        <w:t>(</w:t>
      </w:r>
      <w:r w:rsidR="00296819" w:rsidRPr="00EE5492">
        <w:t>a</w:t>
      </w:r>
      <w:r w:rsidRPr="00EE5492">
        <w:t>ccessed 14 October 2024</w:t>
      </w:r>
      <w:r w:rsidR="003404DA" w:rsidRPr="00EE5492">
        <w:t>)</w:t>
      </w:r>
      <w:r w:rsidRPr="00EE5492">
        <w:t>.</w:t>
      </w:r>
    </w:p>
    <w:p w14:paraId="7A368110" w14:textId="20FB7810" w:rsidR="00A8329C" w:rsidRPr="00EE5492" w:rsidRDefault="00A8329C" w:rsidP="007A1201">
      <w:pPr>
        <w:spacing w:before="40" w:after="120" w:line="264" w:lineRule="auto"/>
      </w:pPr>
      <w:r w:rsidRPr="00EE5492">
        <w:t>IJspeert JE, Bastiaansen BA, van Leerdam ME, Meijer GA, van Eeden S, Sanduleanu S, Schoon EJ, Bisseling TM, Spaander MC, van Lelyveld N, Bargeman M, Wang J, Dekker E; Dutch Workgroup serrAted polypS &amp; Polyposis (WASP). Development and validation of the WASP classification system for optical diagnosis of adenomas, hyperplastic polyps and sessile serrated adenomas/polyps. Gut. 2016 Jun;65(6):963-70.</w:t>
      </w:r>
    </w:p>
    <w:p w14:paraId="7E9870B5" w14:textId="5C5DF97F" w:rsidR="008D69D5" w:rsidRPr="00EE5492" w:rsidRDefault="00AC0CD4" w:rsidP="007A1201">
      <w:pPr>
        <w:spacing w:before="40" w:after="120" w:line="264" w:lineRule="auto"/>
      </w:pPr>
      <w:r w:rsidRPr="00EE5492">
        <w:t>Kim DH, Pickhardt PJ, Taylor AJ, Leung WK, Winter TC, Hinshaw JL, Gopal DV, Reichelderfer M, Hsu RH, Pfau PR. CT colonography versus colonoscopy for the detection of advanced neoplasia. N Engl J Med. 2007 Oct 4;357(14):1403-12.</w:t>
      </w:r>
    </w:p>
    <w:p w14:paraId="2F21EA83" w14:textId="0BAB86C8" w:rsidR="005F40A1" w:rsidRPr="00EE5492" w:rsidRDefault="00A72BE9" w:rsidP="007A1201">
      <w:pPr>
        <w:spacing w:before="40" w:after="120" w:line="264" w:lineRule="auto"/>
      </w:pPr>
      <w:r w:rsidRPr="00EE5492">
        <w:t>Lee</w:t>
      </w:r>
      <w:r w:rsidR="00245209" w:rsidRPr="00EE5492">
        <w:t xml:space="preserve"> </w:t>
      </w:r>
      <w:r w:rsidR="00FD57A1" w:rsidRPr="00EE5492">
        <w:t xml:space="preserve">L </w:t>
      </w:r>
      <w:r w:rsidR="00245209" w:rsidRPr="00EE5492">
        <w:t>and</w:t>
      </w:r>
      <w:r w:rsidRPr="00EE5492">
        <w:t xml:space="preserve"> Saltzman</w:t>
      </w:r>
      <w:r w:rsidR="00FD57A1" w:rsidRPr="00EE5492">
        <w:t xml:space="preserve"> JR 2024</w:t>
      </w:r>
      <w:r w:rsidRPr="00EE5492">
        <w:t xml:space="preserve">. </w:t>
      </w:r>
      <w:r w:rsidR="00245209" w:rsidRPr="00EE5492">
        <w:t xml:space="preserve">Overview of colonoscopy in adults. UpToDate, 13 </w:t>
      </w:r>
      <w:r w:rsidRPr="00EE5492">
        <w:t>August</w:t>
      </w:r>
      <w:r w:rsidR="005F40A1" w:rsidRPr="00EE5492">
        <w:t xml:space="preserve"> 2024</w:t>
      </w:r>
      <w:r w:rsidR="00245209" w:rsidRPr="00EE5492">
        <w:t xml:space="preserve">. </w:t>
      </w:r>
    </w:p>
    <w:p w14:paraId="203478F7" w14:textId="73F6961B" w:rsidR="001975B5" w:rsidRPr="00EE5492" w:rsidRDefault="001975B5" w:rsidP="007A1201">
      <w:pPr>
        <w:spacing w:before="40" w:after="120" w:line="264" w:lineRule="auto"/>
      </w:pPr>
      <w:r w:rsidRPr="00EE5492">
        <w:t>MBS Review Advisory Committee</w:t>
      </w:r>
      <w:r w:rsidR="00021DFB" w:rsidRPr="00EE5492">
        <w:t xml:space="preserve">. </w:t>
      </w:r>
      <w:r w:rsidR="002D0119" w:rsidRPr="00EE5492">
        <w:t>Colonoscopy Working Group Draft Findings Report. August 2023</w:t>
      </w:r>
      <w:r w:rsidR="00220B1C" w:rsidRPr="00EE5492">
        <w:t>.</w:t>
      </w:r>
    </w:p>
    <w:p w14:paraId="328C728C" w14:textId="65FBD44D" w:rsidR="007F3E84" w:rsidRPr="00EE5492" w:rsidRDefault="007F3E84" w:rsidP="007A1201">
      <w:pPr>
        <w:spacing w:before="40" w:after="120" w:line="264" w:lineRule="auto"/>
      </w:pPr>
      <w:r w:rsidRPr="00EE5492">
        <w:t>MBS Review Advisory Committee. Colonoscopy Post-implementation Review. Final Report. February 2024.</w:t>
      </w:r>
    </w:p>
    <w:p w14:paraId="79828182" w14:textId="7CF1327E" w:rsidR="00965C4B" w:rsidRPr="00EE5492" w:rsidRDefault="00965C4B" w:rsidP="007A1201">
      <w:pPr>
        <w:spacing w:before="40" w:after="120" w:line="264" w:lineRule="auto"/>
      </w:pPr>
      <w:r w:rsidRPr="00EE5492">
        <w:t>McMurrick P, Dorien S, Shapiro J. Bowel cancer</w:t>
      </w:r>
      <w:r w:rsidR="00EC2A10" w:rsidRPr="00EE5492">
        <w:t xml:space="preserve">. A </w:t>
      </w:r>
      <w:r w:rsidRPr="00EE5492">
        <w:t>guide for the GP. Aust Fam Physician. 2006 Apr;35(4):192-7.</w:t>
      </w:r>
    </w:p>
    <w:p w14:paraId="1FD8B612" w14:textId="197E4BBE" w:rsidR="008D69D5" w:rsidRPr="00EE5492" w:rsidRDefault="008D69D5" w:rsidP="007A1201">
      <w:pPr>
        <w:spacing w:before="40" w:after="120" w:line="264" w:lineRule="auto"/>
      </w:pPr>
      <w:r w:rsidRPr="00EE5492">
        <w:t xml:space="preserve">Moore H &amp; Naidoo P, 2017. CT Colonography. What are the generally accepted indications for a CT colonography? Inside Radiology, 18 August 2017. The Royal Australian and New Zealand College of Radiologists (RANZCR). </w:t>
      </w:r>
      <w:hyperlink r:id="rId23" w:history="1">
        <w:r w:rsidRPr="00EE5492">
          <w:rPr>
            <w:rStyle w:val="Hyperlink"/>
            <w:rFonts w:ascii="Calibri" w:hAnsi="Calibri"/>
          </w:rPr>
          <w:t>www.insideradiology.com.au/ct-colonography/</w:t>
        </w:r>
      </w:hyperlink>
      <w:r w:rsidRPr="00EE5492">
        <w:t xml:space="preserve"> (accessed 7 October 2024).</w:t>
      </w:r>
    </w:p>
    <w:p w14:paraId="3C8A7296" w14:textId="4C447DC0" w:rsidR="00E718A3" w:rsidRPr="00EE5492" w:rsidRDefault="00E718A3" w:rsidP="00A45A2C">
      <w:pPr>
        <w:spacing w:before="40" w:after="120" w:line="264" w:lineRule="auto"/>
      </w:pPr>
      <w:r w:rsidRPr="00EE5492">
        <w:lastRenderedPageBreak/>
        <w:t xml:space="preserve">MSAC application 1269. </w:t>
      </w:r>
      <w:r w:rsidR="001A7528" w:rsidRPr="00EE5492">
        <w:t xml:space="preserve">Computed Tomography Colonography. </w:t>
      </w:r>
      <w:r w:rsidR="00246875" w:rsidRPr="00EE5492">
        <w:t xml:space="preserve">Medical Services Advisory Committee. </w:t>
      </w:r>
      <w:r w:rsidR="00F85DD9" w:rsidRPr="00EE5492">
        <w:t>Department of Health and Aged Care, Canberra. (</w:t>
      </w:r>
      <w:hyperlink r:id="rId24" w:history="1">
        <w:r w:rsidR="00F85DD9" w:rsidRPr="00EE5492">
          <w:rPr>
            <w:rStyle w:val="Hyperlink"/>
            <w:rFonts w:ascii="Calibri" w:hAnsi="Calibri"/>
          </w:rPr>
          <w:t>www.msac.gov.au/internet/msac/publishing.nsf/Content/1269-public</w:t>
        </w:r>
      </w:hyperlink>
      <w:r w:rsidR="00F85DD9" w:rsidRPr="00EE5492">
        <w:t>) (accessed 30 October 2024)</w:t>
      </w:r>
    </w:p>
    <w:p w14:paraId="5B20B580" w14:textId="26C0453C" w:rsidR="000C1D12" w:rsidRPr="00EE5492" w:rsidRDefault="00ED7BAC" w:rsidP="007A1201">
      <w:pPr>
        <w:spacing w:before="40" w:after="120" w:line="264" w:lineRule="auto"/>
      </w:pPr>
      <w:r w:rsidRPr="00EE5492">
        <w:t xml:space="preserve">NCCN 2024a. </w:t>
      </w:r>
      <w:r w:rsidR="000C1D12" w:rsidRPr="00EE5492">
        <w:t xml:space="preserve">NCCN </w:t>
      </w:r>
      <w:r w:rsidR="003433E7" w:rsidRPr="00EE5492">
        <w:t xml:space="preserve">Colon Cancer </w:t>
      </w:r>
      <w:r w:rsidR="0069466B" w:rsidRPr="00EE5492">
        <w:t>Version 5.2024 — August 22, 2024</w:t>
      </w:r>
      <w:r w:rsidR="000C1D12" w:rsidRPr="00EE5492">
        <w:t>. NCCN Clinical Practice Guidelines in Oncology, National Comprehensive Cancer Network (USA).</w:t>
      </w:r>
    </w:p>
    <w:p w14:paraId="36B23AB8" w14:textId="17C739F8" w:rsidR="00ED7BAC" w:rsidRPr="00EE5492" w:rsidRDefault="006E3B23" w:rsidP="007A1201">
      <w:pPr>
        <w:spacing w:before="40" w:after="120" w:line="264" w:lineRule="auto"/>
      </w:pPr>
      <w:r w:rsidRPr="00EE5492">
        <w:t xml:space="preserve">NCCN 2024b. </w:t>
      </w:r>
      <w:r w:rsidR="00183C82" w:rsidRPr="00EE5492">
        <w:t>Rectal Cancer</w:t>
      </w:r>
      <w:r w:rsidR="006F7AE9" w:rsidRPr="00EE5492">
        <w:t xml:space="preserve"> </w:t>
      </w:r>
      <w:r w:rsidR="00183C82" w:rsidRPr="00EE5492">
        <w:t>V</w:t>
      </w:r>
      <w:r w:rsidR="0069466B" w:rsidRPr="00EE5492">
        <w:t>ersion</w:t>
      </w:r>
      <w:r w:rsidR="00183C82" w:rsidRPr="00EE5492">
        <w:t xml:space="preserve"> 4.2024 — August 22, 2024.</w:t>
      </w:r>
      <w:r w:rsidRPr="00EE5492">
        <w:t xml:space="preserve"> NCCN Clinical Practice Guidelines in Oncology, National Comprehensive Cancer Network (USA).</w:t>
      </w:r>
    </w:p>
    <w:p w14:paraId="12A9276D" w14:textId="0DD5784A" w:rsidR="009C551D" w:rsidRPr="00EE5492" w:rsidRDefault="006E3B23" w:rsidP="007A1201">
      <w:pPr>
        <w:spacing w:before="40" w:after="120" w:line="264" w:lineRule="auto"/>
      </w:pPr>
      <w:r w:rsidRPr="00EE5492">
        <w:t xml:space="preserve">NCCN 2024c. </w:t>
      </w:r>
      <w:r w:rsidR="001E4ED8" w:rsidRPr="00EE5492">
        <w:t xml:space="preserve">Colorectal Cancer Screening Version 1.2024 — February 27, 2024. </w:t>
      </w:r>
      <w:r w:rsidRPr="00EE5492">
        <w:t xml:space="preserve">NCCN Clinical Practice Guidelines in Oncology, National Comprehensive Cancer Network (USA). </w:t>
      </w:r>
    </w:p>
    <w:p w14:paraId="491FB75E" w14:textId="1F4FC2A3" w:rsidR="00955529" w:rsidRPr="00EE5492" w:rsidRDefault="00955529" w:rsidP="007A1201">
      <w:pPr>
        <w:spacing w:before="40" w:after="120" w:line="264" w:lineRule="auto"/>
      </w:pPr>
      <w:r w:rsidRPr="00EE5492">
        <w:t xml:space="preserve">Njor, S. H., Rasmussen, M., Friis-Hansen, L., &amp; Andersen, B. (2022). Varying fecal immunochemical test screening cutoffs by age and gender: a way to increase detection rates and reduce the number of colonoscopies. Gastrointestinal Endoscopy, 95(3), 540–549. </w:t>
      </w:r>
    </w:p>
    <w:p w14:paraId="63BAC4F2" w14:textId="53254F88" w:rsidR="00CE4404" w:rsidRPr="00EE5492" w:rsidRDefault="00011B05" w:rsidP="007A1201">
      <w:pPr>
        <w:spacing w:before="40" w:after="120" w:line="264" w:lineRule="auto"/>
      </w:pPr>
      <w:r w:rsidRPr="00EE5492">
        <w:t>NICE</w:t>
      </w:r>
      <w:r w:rsidR="00C6467B" w:rsidRPr="00EE5492">
        <w:t xml:space="preserve"> </w:t>
      </w:r>
      <w:r w:rsidRPr="00EE5492">
        <w:t>2023. Suspected cancer: recognition and referral. NICE Guideline</w:t>
      </w:r>
      <w:r w:rsidR="00C6467B" w:rsidRPr="00EE5492">
        <w:t xml:space="preserve"> NG12,</w:t>
      </w:r>
      <w:r w:rsidRPr="00EE5492">
        <w:t xml:space="preserve"> June 2015</w:t>
      </w:r>
      <w:r w:rsidR="00EC6C41" w:rsidRPr="00EE5492">
        <w:t xml:space="preserve"> (incorporating updates to October 2023). </w:t>
      </w:r>
      <w:r w:rsidR="006F1642" w:rsidRPr="00EE5492">
        <w:t>National Collaborating Centre for Cancer for t</w:t>
      </w:r>
      <w:r w:rsidR="00EC6C41" w:rsidRPr="00EE5492">
        <w:t>he National Institute for Health and Care Excellence</w:t>
      </w:r>
      <w:r w:rsidR="00D7223D" w:rsidRPr="00EE5492">
        <w:t xml:space="preserve"> (United Kingdom)</w:t>
      </w:r>
      <w:r w:rsidR="00EC6C41" w:rsidRPr="00EE5492">
        <w:t xml:space="preserve">. </w:t>
      </w:r>
    </w:p>
    <w:p w14:paraId="27C0B93A" w14:textId="5ACEC754" w:rsidR="000278B4" w:rsidRPr="00EE5492" w:rsidRDefault="000278B4" w:rsidP="007A1201">
      <w:pPr>
        <w:spacing w:before="40" w:after="120" w:line="264" w:lineRule="auto"/>
      </w:pPr>
      <w:r w:rsidRPr="00EE5492">
        <w:t>NPS Medicine</w:t>
      </w:r>
      <w:r w:rsidR="00DF3531" w:rsidRPr="00EE5492">
        <w:t>W</w:t>
      </w:r>
      <w:r w:rsidRPr="00EE5492">
        <w:t xml:space="preserve">ise 2021. </w:t>
      </w:r>
      <w:r w:rsidR="00DE240A" w:rsidRPr="00EE5492">
        <w:t>Gastrografin Liquid</w:t>
      </w:r>
      <w:r w:rsidR="00BB3B1F" w:rsidRPr="00EE5492">
        <w:t>.</w:t>
      </w:r>
      <w:r w:rsidR="00DE240A" w:rsidRPr="00EE5492">
        <w:t xml:space="preserve"> </w:t>
      </w:r>
      <w:r w:rsidR="00BB3B1F" w:rsidRPr="00EE5492">
        <w:t xml:space="preserve">Australian Commission on Safety and Quality in Health Care, </w:t>
      </w:r>
      <w:r w:rsidR="00DF3531" w:rsidRPr="00EE5492">
        <w:t xml:space="preserve">01 February 2021 </w:t>
      </w:r>
      <w:hyperlink r:id="rId25" w:history="1">
        <w:r w:rsidRPr="00EE5492">
          <w:rPr>
            <w:rStyle w:val="Hyperlink"/>
            <w:rFonts w:ascii="Calibri" w:hAnsi="Calibri"/>
          </w:rPr>
          <w:t>www.nps.org.au/medicine-finder/gastrografin-liquid</w:t>
        </w:r>
      </w:hyperlink>
      <w:r w:rsidR="00DF3531" w:rsidRPr="00EE5492">
        <w:t xml:space="preserve"> </w:t>
      </w:r>
      <w:r w:rsidR="003404DA" w:rsidRPr="00EE5492">
        <w:t>(</w:t>
      </w:r>
      <w:r w:rsidR="00296819" w:rsidRPr="00EE5492">
        <w:t>a</w:t>
      </w:r>
      <w:r w:rsidR="00DF3531" w:rsidRPr="00EE5492">
        <w:t>ccessed 14 October 2024</w:t>
      </w:r>
      <w:r w:rsidR="003404DA" w:rsidRPr="00EE5492">
        <w:t>)</w:t>
      </w:r>
      <w:r w:rsidR="00DF3531" w:rsidRPr="00EE5492">
        <w:t>.</w:t>
      </w:r>
    </w:p>
    <w:p w14:paraId="58BF012F" w14:textId="16F47F65" w:rsidR="00C91F00" w:rsidRPr="00EE5492" w:rsidRDefault="00C91F00" w:rsidP="007A1201">
      <w:pPr>
        <w:spacing w:before="40" w:after="120" w:line="264" w:lineRule="auto"/>
      </w:pPr>
      <w:r w:rsidRPr="00EE5492">
        <w:t>NSW Agency for Clinical Innovation. NSW colonoscopy categorisation. Clinical Practice Guide. Sydney: ACI; August 2020.</w:t>
      </w:r>
    </w:p>
    <w:p w14:paraId="0EFA66EE" w14:textId="2BD53A59" w:rsidR="001E2781" w:rsidRPr="00EE5492" w:rsidRDefault="00E77B63" w:rsidP="007A1201">
      <w:pPr>
        <w:spacing w:before="40" w:after="120" w:line="264" w:lineRule="auto"/>
      </w:pPr>
      <w:r w:rsidRPr="00EE5492">
        <w:t xml:space="preserve">NSW Health 2014. </w:t>
      </w:r>
      <w:r w:rsidR="00520CB4" w:rsidRPr="00EE5492">
        <w:t>Gastrografin/Barium Enema</w:t>
      </w:r>
      <w:r w:rsidR="00034AAE" w:rsidRPr="00EE5492">
        <w:t xml:space="preserve">. Medical Imaging Services Information. </w:t>
      </w:r>
      <w:hyperlink r:id="rId26" w:history="1">
        <w:r w:rsidR="003C0D6E" w:rsidRPr="00EE5492">
          <w:rPr>
            <w:rStyle w:val="Hyperlink"/>
            <w:rFonts w:ascii="Calibri" w:hAnsi="Calibri"/>
          </w:rPr>
          <w:t>www.swslhd.health.nsw.gov.au/medicalImaging/serv_xray_Gastrografin.html</w:t>
        </w:r>
      </w:hyperlink>
      <w:r w:rsidRPr="00EE5492">
        <w:t xml:space="preserve"> </w:t>
      </w:r>
      <w:r w:rsidR="001E2781" w:rsidRPr="00EE5492">
        <w:t>(</w:t>
      </w:r>
      <w:r w:rsidR="00296819" w:rsidRPr="00EE5492">
        <w:t>a</w:t>
      </w:r>
      <w:r w:rsidR="001E2781" w:rsidRPr="00EE5492">
        <w:t>ccessed 8 October 2024)</w:t>
      </w:r>
    </w:p>
    <w:p w14:paraId="599BD8AA" w14:textId="77777777" w:rsidR="006062B0" w:rsidRPr="00EE5492" w:rsidRDefault="006062B0" w:rsidP="007A1201">
      <w:pPr>
        <w:spacing w:before="40" w:after="120" w:line="264" w:lineRule="auto"/>
      </w:pPr>
      <w:r w:rsidRPr="00EE5492">
        <w:t>NZ MOH 2020. Referral of patients with features suggestive of bowel cancer: Ministry of Health guidance. January 2020, New Zealand.</w:t>
      </w:r>
    </w:p>
    <w:p w14:paraId="415831B6" w14:textId="17BE7750" w:rsidR="00284243" w:rsidRPr="00EE5492" w:rsidRDefault="00284243" w:rsidP="00284243">
      <w:pPr>
        <w:spacing w:before="40" w:after="120" w:line="264" w:lineRule="auto"/>
      </w:pPr>
      <w:r w:rsidRPr="00EE5492">
        <w:t>Olver IN, Roder D. History, development and future of cancer screening in Australia. Public Health Res Pract. 2017 Jul 26;27(3):2731725.</w:t>
      </w:r>
    </w:p>
    <w:p w14:paraId="4558F6E0" w14:textId="69A4C1D7" w:rsidR="005D0D5D" w:rsidRPr="00EE5492" w:rsidRDefault="004063E8" w:rsidP="007A1201">
      <w:pPr>
        <w:spacing w:before="40" w:after="120" w:line="264" w:lineRule="auto"/>
      </w:pPr>
      <w:r w:rsidRPr="00EE5492">
        <w:t>Parkin CJ, Bell SW, Mirbagheri N. Colorectal cancer screening in Australia: An update. Aust J Gen Pract. 2018 Dec;47(12):859-863.</w:t>
      </w:r>
    </w:p>
    <w:p w14:paraId="226ACDEA" w14:textId="39C93DF1" w:rsidR="00FE5D2E" w:rsidRPr="00EE5492" w:rsidRDefault="00FF1F0B" w:rsidP="007A1201">
      <w:pPr>
        <w:spacing w:before="40" w:after="120" w:line="264" w:lineRule="auto"/>
      </w:pPr>
      <w:r w:rsidRPr="00EE5492">
        <w:t>Paterson WG, Barkun AN, Hopman WM, Leddin DJ, Paré P, Petrunia DM, Sewitch MJ, Switzer C, van Zanten SV. Wait times for gastroenterology consultation in Canada: the patients' perspective. Can J Gastroenterol. 2010 Jan;24(1):28-32.</w:t>
      </w:r>
    </w:p>
    <w:p w14:paraId="468F1F30" w14:textId="5F38B701" w:rsidR="008D69D5" w:rsidRPr="00EE5492" w:rsidRDefault="005861E5" w:rsidP="007A1201">
      <w:pPr>
        <w:spacing w:before="40" w:after="120" w:line="264" w:lineRule="auto"/>
      </w:pPr>
      <w:r w:rsidRPr="00EE5492">
        <w:t>Pickhardt PJ, Choi JR, Hwang I, Butler JA, Puckett ML, Hildebrandt HA, Wong RK, Nugent PA, Mysliwiec PA, Schindler WR. Computed tomographic virtual colonoscopy to screen for colorectal neoplasia in asymptomatic adults. N Engl J Med. 2003 Dec 4;349(23):2191-200.</w:t>
      </w:r>
    </w:p>
    <w:p w14:paraId="10E65676" w14:textId="7290A7BF" w:rsidR="00FE5D2E" w:rsidRPr="00EE5492" w:rsidRDefault="00FE5D2E" w:rsidP="007A1201">
      <w:pPr>
        <w:spacing w:before="40" w:after="120" w:line="264" w:lineRule="auto"/>
      </w:pPr>
      <w:r w:rsidRPr="00EE5492">
        <w:t>Pickhardt PJ, Pooler BD, Mbah I, Weiss JM, Kim DH. Colorectal Findings at Repeat CT Colonography Screening after Initial CT Colonography Screening Negative for Polyps Larger than 5 mm. Radiology. 2017 Jan;282(1):139-148.</w:t>
      </w:r>
    </w:p>
    <w:p w14:paraId="6E4AFAB7" w14:textId="77F73F46" w:rsidR="00167F73" w:rsidRPr="00EE5492" w:rsidRDefault="00167F73" w:rsidP="007A1201">
      <w:pPr>
        <w:spacing w:before="40" w:after="120" w:line="264" w:lineRule="auto"/>
      </w:pPr>
      <w:r w:rsidRPr="00EE5492">
        <w:t xml:space="preserve">RANZCR 2013. </w:t>
      </w:r>
      <w:r w:rsidR="00787D3A" w:rsidRPr="00EE5492">
        <w:t>RANZCR Requirements for the Practice of Computed Tomography Colonography</w:t>
      </w:r>
      <w:r w:rsidR="006A5B44" w:rsidRPr="00EE5492">
        <w:t>, Version 3.1</w:t>
      </w:r>
      <w:r w:rsidR="00787D3A" w:rsidRPr="00EE5492">
        <w:t xml:space="preserve">. The Royal Australian and New Zealand College of Radiologists (RANZCR), </w:t>
      </w:r>
      <w:r w:rsidR="006A5B44" w:rsidRPr="00EE5492">
        <w:t xml:space="preserve">28 </w:t>
      </w:r>
      <w:r w:rsidR="00787D3A" w:rsidRPr="00EE5492">
        <w:t>March 2013.</w:t>
      </w:r>
    </w:p>
    <w:p w14:paraId="21B259F0" w14:textId="2B1A5426" w:rsidR="00CF263A" w:rsidRPr="00EE5492" w:rsidRDefault="00CF263A" w:rsidP="007A1201">
      <w:pPr>
        <w:spacing w:before="40" w:after="120" w:line="264" w:lineRule="auto"/>
      </w:pPr>
      <w:r w:rsidRPr="00EE5492">
        <w:t xml:space="preserve">RANZCR 2018. Iodinated Contrast Media Guideline. </w:t>
      </w:r>
      <w:r w:rsidR="00E85981" w:rsidRPr="00EE5492">
        <w:t xml:space="preserve">V2.3. </w:t>
      </w:r>
      <w:r w:rsidRPr="00EE5492">
        <w:t>Faculty Of Clinical Radiology. The Royal Australian and New Zealand College of Radiologists (RANZCR)</w:t>
      </w:r>
      <w:r w:rsidR="00E85981" w:rsidRPr="00EE5492">
        <w:t xml:space="preserve">, March 2018. </w:t>
      </w:r>
    </w:p>
    <w:p w14:paraId="52B08971" w14:textId="2348408E" w:rsidR="00BC045D" w:rsidRPr="00EE5492" w:rsidRDefault="00BC045D" w:rsidP="007A1201">
      <w:pPr>
        <w:spacing w:before="40" w:after="120" w:line="264" w:lineRule="auto"/>
      </w:pPr>
      <w:r w:rsidRPr="00EE5492">
        <w:lastRenderedPageBreak/>
        <w:t xml:space="preserve">RANZCR 2019. </w:t>
      </w:r>
      <w:r w:rsidR="00BE3340" w:rsidRPr="00EE5492">
        <w:t xml:space="preserve">Computed Tomographic Colonography (CTC) Standards for Quality Assurance in the New Zealand Bowel Cancer Screening Programme (NZBCSP). Compiled by H Moore, J Feltham, D Cranefield, A Balasingam. </w:t>
      </w:r>
      <w:r w:rsidR="000741B1" w:rsidRPr="00EE5492">
        <w:t xml:space="preserve">Working group for the New Zealand Bowel Cancer Screening Programme, </w:t>
      </w:r>
      <w:r w:rsidR="005C7A55" w:rsidRPr="00EE5492">
        <w:t>The Royal Australian and New Zealand College of Radiologists (RANZCR).</w:t>
      </w:r>
    </w:p>
    <w:p w14:paraId="42973845" w14:textId="7F943FA9" w:rsidR="000F2078" w:rsidRPr="00EE5492" w:rsidRDefault="000F2078" w:rsidP="007A1201">
      <w:pPr>
        <w:spacing w:before="40" w:after="120" w:line="264" w:lineRule="auto"/>
      </w:pPr>
      <w:r w:rsidRPr="00EE5492">
        <w:t>Ribbing Wilén, H., Blom, J., Höijer, J., Andersson, G., Löwbeer, C., &amp; Hultcrantz, R. (2019). Fecal immunochemical test in cancer screening - colonoscopy outcome in FIT positives and negatives. </w:t>
      </w:r>
      <w:r w:rsidRPr="00EE5492">
        <w:rPr>
          <w:i/>
          <w:iCs/>
        </w:rPr>
        <w:t>Scandinavian Journal of Gastroenterology</w:t>
      </w:r>
      <w:r w:rsidRPr="00EE5492">
        <w:t>, </w:t>
      </w:r>
      <w:r w:rsidRPr="00EE5492">
        <w:rPr>
          <w:i/>
          <w:iCs/>
        </w:rPr>
        <w:t>54</w:t>
      </w:r>
      <w:r w:rsidRPr="00EE5492">
        <w:t xml:space="preserve">(3), 303–310. </w:t>
      </w:r>
    </w:p>
    <w:p w14:paraId="4B2FD12B" w14:textId="38883DBA" w:rsidR="008D69D5" w:rsidRPr="00EE5492" w:rsidRDefault="00D10AD5" w:rsidP="007A1201">
      <w:pPr>
        <w:spacing w:before="40" w:after="120" w:line="264" w:lineRule="auto"/>
      </w:pPr>
      <w:r w:rsidRPr="00EE5492">
        <w:t>Rua T, Watson H, Malhotra B, Turville J, Razavi R, Peacock JL, McCrone P, Goh V, Shearer J, Griffin N. An observational study to compare the utilisation of computed tomography colonography with optical colonoscopy as the first diagnostic imaging tool in patients with suspected colorectal cancer. Clin Radiol. 2020 Sep;75(9):712.e23-712.e31.</w:t>
      </w:r>
    </w:p>
    <w:p w14:paraId="160DFBE8" w14:textId="3185A376" w:rsidR="001D6D4F" w:rsidRPr="00EE5492" w:rsidRDefault="001D6D4F" w:rsidP="00A45A2C">
      <w:pPr>
        <w:spacing w:before="40" w:after="120" w:line="264" w:lineRule="auto"/>
      </w:pPr>
      <w:r w:rsidRPr="00EE5492">
        <w:t>Rutter MD, East J, Rees CJ, et al. British Society of Gastroenterology/Association of Coloproctology of Great Britain and Ireland/Public Health England post-polypectomy and post-colorectal cancer resection surveillance guidelines. </w:t>
      </w:r>
      <w:r w:rsidRPr="00EE5492">
        <w:rPr>
          <w:i/>
          <w:iCs/>
        </w:rPr>
        <w:t>Gut</w:t>
      </w:r>
      <w:r w:rsidRPr="00EE5492">
        <w:t xml:space="preserve">. 2020;69(2):201-223. </w:t>
      </w:r>
    </w:p>
    <w:p w14:paraId="2371D727" w14:textId="79DFB41F" w:rsidR="00406ADA" w:rsidRPr="00EE5492" w:rsidRDefault="00406ADA" w:rsidP="00A45A2C">
      <w:pPr>
        <w:spacing w:before="40" w:after="120" w:line="264" w:lineRule="auto"/>
      </w:pPr>
      <w:r w:rsidRPr="00EE5492">
        <w:t>Siegel RL, Miller KD, Goding Sauer A, Fedewa SA, Butterly LF, Anderson JC, Cercek A, Smith RA, Jemal A. Colorectal cancer statistics, 2020. CA Cancer J Clin. 2020 May;70(3):145-164.</w:t>
      </w:r>
    </w:p>
    <w:p w14:paraId="57FED4D4" w14:textId="5070294D" w:rsidR="00270A84" w:rsidRPr="00EE5492" w:rsidRDefault="00CF1961" w:rsidP="001E54C3">
      <w:pPr>
        <w:spacing w:before="40" w:after="120" w:line="264" w:lineRule="auto"/>
      </w:pPr>
      <w:r w:rsidRPr="00EE5492">
        <w:t>Svystun O, Zeman M, Michael Seidler M, Fung</w:t>
      </w:r>
      <w:r w:rsidR="002D31E3" w:rsidRPr="00EE5492">
        <w:t xml:space="preserve"> C.</w:t>
      </w:r>
      <w:r w:rsidR="001E54C3" w:rsidRPr="00EE5492">
        <w:t xml:space="preserve"> CT Colonography Versus Optical Colonoscopy: Cost-Effectiveness in Colorectal Cancer Screening. </w:t>
      </w:r>
      <w:r w:rsidR="003C737C" w:rsidRPr="00EE5492">
        <w:t>EMJ Innov. 2022</w:t>
      </w:r>
      <w:r w:rsidR="00663E3B" w:rsidRPr="00EE5492">
        <w:t>.</w:t>
      </w:r>
      <w:r w:rsidR="00C1483D" w:rsidRPr="00EE5492">
        <w:t xml:space="preserve"> 24th October 2022.</w:t>
      </w:r>
    </w:p>
    <w:p w14:paraId="089ACE8A" w14:textId="210301A3" w:rsidR="00033775" w:rsidRPr="00EE5492" w:rsidRDefault="009F7F7D" w:rsidP="007A1201">
      <w:pPr>
        <w:spacing w:before="40" w:after="120" w:line="264" w:lineRule="auto"/>
      </w:pPr>
      <w:r w:rsidRPr="00EE5492">
        <w:t>van der Meulen MP, Lansdorp-Vogelaar I, Goede SL, Kuipers EJ, Dekker E, Stoker J, van Ballegooijen M. Colorectal Cancer: Cost-effectiveness of Colonoscopy versus CT Colonography Screening with Participation Rates and Costs. Radiology. 2018 Jun;287(3):901-911.</w:t>
      </w:r>
    </w:p>
    <w:p w14:paraId="650AA9C6" w14:textId="55215469" w:rsidR="005F40A1" w:rsidRPr="00EE5492" w:rsidRDefault="003800FD" w:rsidP="007A1201">
      <w:pPr>
        <w:spacing w:before="40" w:after="120" w:line="264" w:lineRule="auto"/>
      </w:pPr>
      <w:r w:rsidRPr="00EE5492">
        <w:t>WA</w:t>
      </w:r>
      <w:r w:rsidR="005F40A1" w:rsidRPr="00EE5492">
        <w:t xml:space="preserve"> Country Health Service 2019</w:t>
      </w:r>
      <w:r w:rsidR="000D2004" w:rsidRPr="00EE5492">
        <w:t>. WACHS Colonoscopy Clinical Practice Standard</w:t>
      </w:r>
      <w:r w:rsidRPr="00EE5492">
        <w:t>. Effective 9 May 2019.</w:t>
      </w:r>
      <w:r w:rsidR="00DF18DA" w:rsidRPr="00EE5492">
        <w:t xml:space="preserve"> Government of Western Australia. </w:t>
      </w:r>
    </w:p>
    <w:p w14:paraId="15477013" w14:textId="146C71EC" w:rsidR="00394C36" w:rsidRPr="00EE5492" w:rsidRDefault="00B055E7" w:rsidP="007A1201">
      <w:pPr>
        <w:spacing w:before="40" w:after="120" w:line="264" w:lineRule="auto"/>
      </w:pPr>
      <w:r w:rsidRPr="00EE5492">
        <w:t>Watson MM; South Australian Rural Surgical Research Group; Watson DC, Maddern GJ, Wichmann MW. Quality of rural colonoscopy outperforms key performance indicators in a multi-centre prospective clinical study. ANZ J Surg. 2023 Mar;93(3):528-533.</w:t>
      </w:r>
    </w:p>
    <w:p w14:paraId="66A7A4B4" w14:textId="77777777" w:rsidR="00F90C98" w:rsidRPr="00002625" w:rsidRDefault="00F90C98" w:rsidP="00F90C98"/>
    <w:p w14:paraId="4866820E" w14:textId="77777777" w:rsidR="00F90C98" w:rsidRPr="00002625" w:rsidRDefault="00F90C98" w:rsidP="00F90C98">
      <w:pPr>
        <w:sectPr w:rsidR="00F90C98" w:rsidRPr="00002625" w:rsidSect="00F90C98">
          <w:headerReference w:type="even" r:id="rId27"/>
          <w:headerReference w:type="default" r:id="rId28"/>
          <w:footerReference w:type="even" r:id="rId29"/>
          <w:footerReference w:type="default" r:id="rId30"/>
          <w:headerReference w:type="first" r:id="rId31"/>
          <w:footerReference w:type="first" r:id="rId32"/>
          <w:pgSz w:w="11906" w:h="16838"/>
          <w:pgMar w:top="682" w:right="1134" w:bottom="1021" w:left="1191" w:header="709" w:footer="709" w:gutter="0"/>
          <w:cols w:space="708"/>
          <w:docGrid w:linePitch="360"/>
        </w:sectPr>
      </w:pPr>
    </w:p>
    <w:p w14:paraId="1F9825CF" w14:textId="35AF99CD" w:rsidR="00F90C98" w:rsidRPr="00002625" w:rsidRDefault="00F90C98" w:rsidP="00F90C98">
      <w:pPr>
        <w:pStyle w:val="Heading2"/>
      </w:pPr>
      <w:bookmarkStart w:id="41" w:name="_Ref182377246"/>
      <w:bookmarkStart w:id="42" w:name="_Ref180657422"/>
      <w:r w:rsidRPr="00002625">
        <w:lastRenderedPageBreak/>
        <w:t xml:space="preserve">Appendix </w:t>
      </w:r>
      <w:r w:rsidR="00142634" w:rsidRPr="00002625">
        <w:t>1</w:t>
      </w:r>
      <w:bookmarkEnd w:id="41"/>
      <w:bookmarkEnd w:id="42"/>
    </w:p>
    <w:p w14:paraId="2AEF3E0F" w14:textId="79282E41" w:rsidR="00F90C98" w:rsidRPr="00002625" w:rsidRDefault="00F90C98" w:rsidP="00F90C98">
      <w:pPr>
        <w:pStyle w:val="Heading3"/>
      </w:pPr>
      <w:r w:rsidRPr="00002625">
        <w:t xml:space="preserve">Patients with </w:t>
      </w:r>
      <w:r w:rsidR="00232F36" w:rsidRPr="00002625">
        <w:t xml:space="preserve">positive </w:t>
      </w:r>
      <w:r w:rsidRPr="00002625">
        <w:t>FOBT</w:t>
      </w:r>
    </w:p>
    <w:p w14:paraId="6DB4B8E7" w14:textId="0849AE64" w:rsidR="00232F36" w:rsidRPr="00002625" w:rsidRDefault="00232F36" w:rsidP="00232F36">
      <w:r w:rsidRPr="00002625">
        <w:t>The number of NBCSP participants with a positive FOBT has varied from year to year (due to changes in the number of eligible invitees – which has changed again in 2024) (</w:t>
      </w:r>
      <w:r w:rsidRPr="00002625">
        <w:fldChar w:fldCharType="begin"/>
      </w:r>
      <w:r w:rsidRPr="00002625">
        <w:instrText xml:space="preserve"> REF _Ref180656938 \h </w:instrText>
      </w:r>
      <w:r w:rsidRPr="00002625">
        <w:fldChar w:fldCharType="separate"/>
      </w:r>
      <w:r w:rsidR="00637321" w:rsidRPr="00002625">
        <w:t>Table </w:t>
      </w:r>
      <w:r w:rsidR="00637321" w:rsidRPr="00002625">
        <w:rPr>
          <w:noProof/>
        </w:rPr>
        <w:t>16</w:t>
      </w:r>
      <w:r w:rsidRPr="00002625">
        <w:fldChar w:fldCharType="end"/>
      </w:r>
      <w:r w:rsidRPr="00002625">
        <w:t>). The rate of positive FOBT individuals as a proportion of those invited has been fairly steady, declining slightly as the NBCSP has been expanded.</w:t>
      </w:r>
    </w:p>
    <w:p w14:paraId="492663EA" w14:textId="5DFADE63" w:rsidR="00232F36" w:rsidRPr="00002625" w:rsidRDefault="00232F36" w:rsidP="00232F36">
      <w:pPr>
        <w:pStyle w:val="Caption"/>
        <w:rPr>
          <w:sz w:val="16"/>
          <w:szCs w:val="16"/>
          <w:lang w:val="en-AU"/>
        </w:rPr>
      </w:pPr>
      <w:bookmarkStart w:id="43" w:name="_Ref180656938"/>
      <w:r w:rsidRPr="00002625">
        <w:rPr>
          <w:lang w:val="en-AU"/>
        </w:rPr>
        <w:t>Table </w:t>
      </w:r>
      <w:r w:rsidRPr="00002625">
        <w:rPr>
          <w:lang w:val="en-AU"/>
        </w:rPr>
        <w:fldChar w:fldCharType="begin"/>
      </w:r>
      <w:r w:rsidRPr="00002625">
        <w:rPr>
          <w:lang w:val="en-AU"/>
        </w:rPr>
        <w:instrText xml:space="preserve"> SEQ Table \* ARABIC </w:instrText>
      </w:r>
      <w:r w:rsidRPr="00002625">
        <w:rPr>
          <w:lang w:val="en-AU"/>
        </w:rPr>
        <w:fldChar w:fldCharType="separate"/>
      </w:r>
      <w:r w:rsidR="00637321" w:rsidRPr="00002625">
        <w:rPr>
          <w:noProof/>
          <w:lang w:val="en-AU"/>
        </w:rPr>
        <w:t>16</w:t>
      </w:r>
      <w:r w:rsidRPr="00002625">
        <w:rPr>
          <w:noProof/>
          <w:lang w:val="en-AU"/>
        </w:rPr>
        <w:fldChar w:fldCharType="end"/>
      </w:r>
      <w:bookmarkEnd w:id="43"/>
      <w:r w:rsidRPr="00002625">
        <w:rPr>
          <w:lang w:val="en-AU"/>
        </w:rPr>
        <w:tab/>
        <w:t>NBCSP participants with a positive FOBT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5 NBCSP participants with a positive FOBT"/>
        <w:tblDescription w:val="Table showing NBCSP participants with a positive FOBT"/>
      </w:tblPr>
      <w:tblGrid>
        <w:gridCol w:w="1153"/>
        <w:gridCol w:w="2534"/>
        <w:gridCol w:w="2488"/>
        <w:gridCol w:w="3396"/>
      </w:tblGrid>
      <w:tr w:rsidR="00232F36" w:rsidRPr="00002625" w14:paraId="43B69170" w14:textId="77777777">
        <w:trPr>
          <w:tblHeader/>
        </w:trPr>
        <w:tc>
          <w:tcPr>
            <w:tcW w:w="602" w:type="pct"/>
            <w:tcBorders>
              <w:bottom w:val="single" w:sz="4" w:space="0" w:color="auto"/>
            </w:tcBorders>
            <w:hideMark/>
          </w:tcPr>
          <w:p w14:paraId="60D3D45C" w14:textId="77777777" w:rsidR="00232F36" w:rsidRPr="00002625" w:rsidRDefault="00232F36">
            <w:pPr>
              <w:pStyle w:val="TableText0"/>
              <w:keepNext/>
              <w:rPr>
                <w:b/>
              </w:rPr>
            </w:pPr>
            <w:r w:rsidRPr="00002625">
              <w:rPr>
                <w:b/>
              </w:rPr>
              <w:t>Year</w:t>
            </w:r>
            <w:r w:rsidRPr="00002625">
              <w:rPr>
                <w:b/>
                <w:vertAlign w:val="superscript"/>
              </w:rPr>
              <w:t>a</w:t>
            </w:r>
          </w:p>
        </w:tc>
        <w:tc>
          <w:tcPr>
            <w:tcW w:w="1324" w:type="pct"/>
            <w:tcBorders>
              <w:bottom w:val="single" w:sz="4" w:space="0" w:color="auto"/>
            </w:tcBorders>
          </w:tcPr>
          <w:p w14:paraId="3986AAC9" w14:textId="77777777" w:rsidR="00232F36" w:rsidRPr="00002625" w:rsidRDefault="00232F36">
            <w:pPr>
              <w:pStyle w:val="TableText0"/>
              <w:keepNext/>
              <w:rPr>
                <w:b/>
              </w:rPr>
            </w:pPr>
            <w:r w:rsidRPr="00002625">
              <w:rPr>
                <w:b/>
              </w:rPr>
              <w:t>Participants with positive FOBT</w:t>
            </w:r>
          </w:p>
        </w:tc>
        <w:tc>
          <w:tcPr>
            <w:tcW w:w="1300" w:type="pct"/>
            <w:tcBorders>
              <w:bottom w:val="single" w:sz="4" w:space="0" w:color="auto"/>
            </w:tcBorders>
          </w:tcPr>
          <w:p w14:paraId="7E52A0EE" w14:textId="77777777" w:rsidR="00232F36" w:rsidRPr="00002625" w:rsidRDefault="00232F36">
            <w:pPr>
              <w:pStyle w:val="TableText0"/>
              <w:keepNext/>
              <w:rPr>
                <w:b/>
              </w:rPr>
            </w:pPr>
            <w:r w:rsidRPr="00002625">
              <w:rPr>
                <w:b/>
              </w:rPr>
              <w:t>Positivity rate</w:t>
            </w:r>
          </w:p>
        </w:tc>
        <w:tc>
          <w:tcPr>
            <w:tcW w:w="1774" w:type="pct"/>
            <w:tcBorders>
              <w:bottom w:val="single" w:sz="4" w:space="0" w:color="auto"/>
            </w:tcBorders>
          </w:tcPr>
          <w:p w14:paraId="42F4C857" w14:textId="77777777" w:rsidR="00232F36" w:rsidRPr="00002625" w:rsidRDefault="00232F36">
            <w:pPr>
              <w:pStyle w:val="TableText0"/>
              <w:keepNext/>
              <w:rPr>
                <w:b/>
              </w:rPr>
            </w:pPr>
            <w:r w:rsidRPr="00002625">
              <w:rPr>
                <w:b/>
              </w:rPr>
              <w:t>Estimated number requiring biopsy or polypectomy</w:t>
            </w:r>
            <w:r w:rsidRPr="00002625">
              <w:rPr>
                <w:b/>
                <w:vertAlign w:val="superscript"/>
              </w:rPr>
              <w:t>b</w:t>
            </w:r>
          </w:p>
        </w:tc>
      </w:tr>
      <w:tr w:rsidR="00232F36" w:rsidRPr="00002625" w14:paraId="7533AE0E" w14:textId="77777777">
        <w:tc>
          <w:tcPr>
            <w:tcW w:w="602" w:type="pct"/>
            <w:tcBorders>
              <w:top w:val="single" w:sz="4" w:space="0" w:color="auto"/>
              <w:bottom w:val="single" w:sz="4" w:space="0" w:color="auto"/>
            </w:tcBorders>
          </w:tcPr>
          <w:p w14:paraId="4DF65BBD" w14:textId="77777777" w:rsidR="00232F36" w:rsidRPr="00002625" w:rsidRDefault="00232F36">
            <w:pPr>
              <w:pStyle w:val="TableText0"/>
            </w:pPr>
            <w:r w:rsidRPr="00002625">
              <w:t>2022</w:t>
            </w:r>
          </w:p>
        </w:tc>
        <w:tc>
          <w:tcPr>
            <w:tcW w:w="1324" w:type="pct"/>
            <w:tcBorders>
              <w:top w:val="single" w:sz="4" w:space="0" w:color="auto"/>
              <w:bottom w:val="single" w:sz="4" w:space="0" w:color="auto"/>
            </w:tcBorders>
          </w:tcPr>
          <w:p w14:paraId="7F2A4AA2" w14:textId="77777777" w:rsidR="00232F36" w:rsidRPr="00002625" w:rsidRDefault="00232F36">
            <w:pPr>
              <w:pStyle w:val="TableText0"/>
            </w:pPr>
            <w:r w:rsidRPr="00002625">
              <w:t>64,932</w:t>
            </w:r>
          </w:p>
        </w:tc>
        <w:tc>
          <w:tcPr>
            <w:tcW w:w="1300" w:type="pct"/>
            <w:tcBorders>
              <w:top w:val="single" w:sz="4" w:space="0" w:color="auto"/>
              <w:bottom w:val="single" w:sz="4" w:space="0" w:color="auto"/>
            </w:tcBorders>
          </w:tcPr>
          <w:p w14:paraId="147E150D" w14:textId="77777777" w:rsidR="00232F36" w:rsidRPr="00002625" w:rsidRDefault="00232F36">
            <w:pPr>
              <w:pStyle w:val="TableText0"/>
            </w:pPr>
            <w:r w:rsidRPr="00002625">
              <w:t>6%</w:t>
            </w:r>
          </w:p>
        </w:tc>
        <w:tc>
          <w:tcPr>
            <w:tcW w:w="1774" w:type="pct"/>
            <w:tcBorders>
              <w:top w:val="single" w:sz="4" w:space="0" w:color="auto"/>
              <w:bottom w:val="single" w:sz="4" w:space="0" w:color="auto"/>
            </w:tcBorders>
          </w:tcPr>
          <w:p w14:paraId="43FA524A" w14:textId="77777777" w:rsidR="00232F36" w:rsidRPr="00002625" w:rsidRDefault="00232F36">
            <w:pPr>
              <w:pStyle w:val="TableText0"/>
            </w:pPr>
            <w:r w:rsidRPr="00002625">
              <w:t>10194 – 17012</w:t>
            </w:r>
          </w:p>
        </w:tc>
      </w:tr>
      <w:tr w:rsidR="00232F36" w:rsidRPr="00002625" w14:paraId="75E7D35C" w14:textId="77777777">
        <w:tc>
          <w:tcPr>
            <w:tcW w:w="602" w:type="pct"/>
            <w:tcBorders>
              <w:top w:val="single" w:sz="4" w:space="0" w:color="auto"/>
              <w:bottom w:val="single" w:sz="4" w:space="0" w:color="auto"/>
            </w:tcBorders>
          </w:tcPr>
          <w:p w14:paraId="5AA952BC" w14:textId="77777777" w:rsidR="00232F36" w:rsidRPr="00002625" w:rsidRDefault="00232F36">
            <w:pPr>
              <w:pStyle w:val="TableText0"/>
            </w:pPr>
            <w:r w:rsidRPr="00002625">
              <w:t>2021</w:t>
            </w:r>
          </w:p>
        </w:tc>
        <w:tc>
          <w:tcPr>
            <w:tcW w:w="1324" w:type="pct"/>
            <w:tcBorders>
              <w:top w:val="single" w:sz="4" w:space="0" w:color="auto"/>
              <w:bottom w:val="single" w:sz="4" w:space="0" w:color="auto"/>
            </w:tcBorders>
          </w:tcPr>
          <w:p w14:paraId="2CD7D5AF" w14:textId="77777777" w:rsidR="00232F36" w:rsidRPr="00002625" w:rsidRDefault="00232F36">
            <w:pPr>
              <w:pStyle w:val="TableText0"/>
            </w:pPr>
            <w:r w:rsidRPr="00002625">
              <w:t>76,880</w:t>
            </w:r>
          </w:p>
        </w:tc>
        <w:tc>
          <w:tcPr>
            <w:tcW w:w="1300" w:type="pct"/>
            <w:tcBorders>
              <w:top w:val="single" w:sz="4" w:space="0" w:color="auto"/>
              <w:bottom w:val="single" w:sz="4" w:space="0" w:color="auto"/>
            </w:tcBorders>
          </w:tcPr>
          <w:p w14:paraId="6F2D56D0" w14:textId="77777777" w:rsidR="00232F36" w:rsidRPr="00002625" w:rsidRDefault="00232F36">
            <w:pPr>
              <w:pStyle w:val="TableText0"/>
            </w:pPr>
            <w:r w:rsidRPr="00002625">
              <w:t>6%</w:t>
            </w:r>
          </w:p>
        </w:tc>
        <w:tc>
          <w:tcPr>
            <w:tcW w:w="1774" w:type="pct"/>
            <w:tcBorders>
              <w:top w:val="single" w:sz="4" w:space="0" w:color="auto"/>
              <w:bottom w:val="single" w:sz="4" w:space="0" w:color="auto"/>
            </w:tcBorders>
          </w:tcPr>
          <w:p w14:paraId="39686B44" w14:textId="77777777" w:rsidR="00232F36" w:rsidRPr="00002625" w:rsidRDefault="00232F36">
            <w:pPr>
              <w:pStyle w:val="TableText0"/>
            </w:pPr>
            <w:r w:rsidRPr="00002625">
              <w:t>12070 – 20143</w:t>
            </w:r>
          </w:p>
        </w:tc>
      </w:tr>
      <w:tr w:rsidR="00232F36" w:rsidRPr="00002625" w14:paraId="2C6682CA" w14:textId="77777777">
        <w:tc>
          <w:tcPr>
            <w:tcW w:w="602" w:type="pct"/>
            <w:tcBorders>
              <w:top w:val="single" w:sz="4" w:space="0" w:color="auto"/>
              <w:bottom w:val="single" w:sz="4" w:space="0" w:color="auto"/>
            </w:tcBorders>
          </w:tcPr>
          <w:p w14:paraId="59A47172" w14:textId="77777777" w:rsidR="00232F36" w:rsidRPr="00002625" w:rsidRDefault="00232F36">
            <w:pPr>
              <w:pStyle w:val="TableText0"/>
            </w:pPr>
            <w:r w:rsidRPr="00002625">
              <w:t>2020</w:t>
            </w:r>
          </w:p>
        </w:tc>
        <w:tc>
          <w:tcPr>
            <w:tcW w:w="1324" w:type="pct"/>
            <w:tcBorders>
              <w:top w:val="single" w:sz="4" w:space="0" w:color="auto"/>
              <w:bottom w:val="single" w:sz="4" w:space="0" w:color="auto"/>
            </w:tcBorders>
          </w:tcPr>
          <w:p w14:paraId="14A11A87" w14:textId="77777777" w:rsidR="00232F36" w:rsidRPr="00002625" w:rsidRDefault="00232F36">
            <w:pPr>
              <w:pStyle w:val="TableText0"/>
            </w:pPr>
            <w:r w:rsidRPr="00002625">
              <w:t>85,693</w:t>
            </w:r>
          </w:p>
        </w:tc>
        <w:tc>
          <w:tcPr>
            <w:tcW w:w="1300" w:type="pct"/>
            <w:tcBorders>
              <w:top w:val="single" w:sz="4" w:space="0" w:color="auto"/>
              <w:bottom w:val="single" w:sz="4" w:space="0" w:color="auto"/>
            </w:tcBorders>
          </w:tcPr>
          <w:p w14:paraId="0383670B" w14:textId="77777777" w:rsidR="00232F36" w:rsidRPr="00002625" w:rsidRDefault="00232F36">
            <w:pPr>
              <w:pStyle w:val="TableText0"/>
            </w:pPr>
            <w:r w:rsidRPr="00002625">
              <w:t>7%</w:t>
            </w:r>
          </w:p>
        </w:tc>
        <w:tc>
          <w:tcPr>
            <w:tcW w:w="1774" w:type="pct"/>
            <w:tcBorders>
              <w:top w:val="single" w:sz="4" w:space="0" w:color="auto"/>
              <w:bottom w:val="single" w:sz="4" w:space="0" w:color="auto"/>
            </w:tcBorders>
          </w:tcPr>
          <w:p w14:paraId="6314B4BC" w14:textId="77777777" w:rsidR="00232F36" w:rsidRPr="00002625" w:rsidRDefault="00232F36">
            <w:pPr>
              <w:pStyle w:val="TableText0"/>
            </w:pPr>
            <w:r w:rsidRPr="00002625">
              <w:t>13454 – 22452</w:t>
            </w:r>
          </w:p>
        </w:tc>
      </w:tr>
      <w:tr w:rsidR="00232F36" w:rsidRPr="00002625" w14:paraId="1CE0BB69" w14:textId="77777777">
        <w:tc>
          <w:tcPr>
            <w:tcW w:w="602" w:type="pct"/>
            <w:tcBorders>
              <w:top w:val="single" w:sz="4" w:space="0" w:color="auto"/>
              <w:bottom w:val="single" w:sz="4" w:space="0" w:color="auto"/>
            </w:tcBorders>
          </w:tcPr>
          <w:p w14:paraId="73B447D6" w14:textId="77777777" w:rsidR="00232F36" w:rsidRPr="00002625" w:rsidRDefault="00232F36">
            <w:pPr>
              <w:pStyle w:val="TableText0"/>
            </w:pPr>
            <w:r w:rsidRPr="00002625">
              <w:t>2019</w:t>
            </w:r>
          </w:p>
        </w:tc>
        <w:tc>
          <w:tcPr>
            <w:tcW w:w="1324" w:type="pct"/>
            <w:tcBorders>
              <w:top w:val="single" w:sz="4" w:space="0" w:color="auto"/>
              <w:bottom w:val="single" w:sz="4" w:space="0" w:color="auto"/>
            </w:tcBorders>
          </w:tcPr>
          <w:p w14:paraId="6634CF61" w14:textId="77777777" w:rsidR="00232F36" w:rsidRPr="00002625" w:rsidRDefault="00232F36">
            <w:pPr>
              <w:pStyle w:val="TableText0"/>
            </w:pPr>
            <w:r w:rsidRPr="00002625">
              <w:t>89,817</w:t>
            </w:r>
          </w:p>
        </w:tc>
        <w:tc>
          <w:tcPr>
            <w:tcW w:w="1300" w:type="pct"/>
            <w:tcBorders>
              <w:top w:val="single" w:sz="4" w:space="0" w:color="auto"/>
              <w:bottom w:val="single" w:sz="4" w:space="0" w:color="auto"/>
            </w:tcBorders>
          </w:tcPr>
          <w:p w14:paraId="1304B926" w14:textId="77777777" w:rsidR="00232F36" w:rsidRPr="00002625" w:rsidRDefault="00232F36">
            <w:pPr>
              <w:pStyle w:val="TableText0"/>
            </w:pPr>
            <w:r w:rsidRPr="00002625">
              <w:t>7%</w:t>
            </w:r>
          </w:p>
        </w:tc>
        <w:tc>
          <w:tcPr>
            <w:tcW w:w="1774" w:type="pct"/>
            <w:tcBorders>
              <w:top w:val="single" w:sz="4" w:space="0" w:color="auto"/>
              <w:bottom w:val="single" w:sz="4" w:space="0" w:color="auto"/>
            </w:tcBorders>
          </w:tcPr>
          <w:p w14:paraId="373F926A" w14:textId="77777777" w:rsidR="00232F36" w:rsidRPr="00002625" w:rsidRDefault="00232F36">
            <w:pPr>
              <w:pStyle w:val="TableText0"/>
            </w:pPr>
            <w:r w:rsidRPr="00002625">
              <w:t>14101 – 23532</w:t>
            </w:r>
          </w:p>
        </w:tc>
      </w:tr>
      <w:tr w:rsidR="00232F36" w:rsidRPr="00002625" w14:paraId="388F32F3" w14:textId="77777777">
        <w:tc>
          <w:tcPr>
            <w:tcW w:w="602" w:type="pct"/>
            <w:tcBorders>
              <w:top w:val="single" w:sz="4" w:space="0" w:color="auto"/>
              <w:bottom w:val="single" w:sz="4" w:space="0" w:color="auto"/>
            </w:tcBorders>
          </w:tcPr>
          <w:p w14:paraId="748268E2" w14:textId="77777777" w:rsidR="00232F36" w:rsidRPr="00002625" w:rsidRDefault="00232F36">
            <w:pPr>
              <w:pStyle w:val="TableText0"/>
            </w:pPr>
            <w:r w:rsidRPr="00002625">
              <w:t>2018</w:t>
            </w:r>
          </w:p>
        </w:tc>
        <w:tc>
          <w:tcPr>
            <w:tcW w:w="1324" w:type="pct"/>
            <w:tcBorders>
              <w:top w:val="single" w:sz="4" w:space="0" w:color="auto"/>
              <w:bottom w:val="single" w:sz="4" w:space="0" w:color="auto"/>
            </w:tcBorders>
          </w:tcPr>
          <w:p w14:paraId="49FE99B7" w14:textId="77777777" w:rsidR="00232F36" w:rsidRPr="00002625" w:rsidRDefault="00232F36">
            <w:pPr>
              <w:pStyle w:val="TableText0"/>
            </w:pPr>
            <w:r w:rsidRPr="00002625">
              <w:t>78,600</w:t>
            </w:r>
          </w:p>
        </w:tc>
        <w:tc>
          <w:tcPr>
            <w:tcW w:w="1300" w:type="pct"/>
            <w:tcBorders>
              <w:top w:val="single" w:sz="4" w:space="0" w:color="auto"/>
              <w:bottom w:val="single" w:sz="4" w:space="0" w:color="auto"/>
            </w:tcBorders>
          </w:tcPr>
          <w:p w14:paraId="475BE5CF" w14:textId="77777777" w:rsidR="00232F36" w:rsidRPr="00002625" w:rsidRDefault="00232F36">
            <w:pPr>
              <w:pStyle w:val="TableText0"/>
            </w:pPr>
            <w:r w:rsidRPr="00002625">
              <w:t>7%</w:t>
            </w:r>
          </w:p>
        </w:tc>
        <w:tc>
          <w:tcPr>
            <w:tcW w:w="1774" w:type="pct"/>
            <w:tcBorders>
              <w:top w:val="single" w:sz="4" w:space="0" w:color="auto"/>
              <w:bottom w:val="single" w:sz="4" w:space="0" w:color="auto"/>
            </w:tcBorders>
          </w:tcPr>
          <w:p w14:paraId="2B8C185B" w14:textId="77777777" w:rsidR="00232F36" w:rsidRPr="00002625" w:rsidRDefault="00232F36">
            <w:pPr>
              <w:pStyle w:val="TableText0"/>
            </w:pPr>
            <w:r w:rsidRPr="00002625">
              <w:t>12340 – 20593</w:t>
            </w:r>
          </w:p>
        </w:tc>
      </w:tr>
      <w:tr w:rsidR="00232F36" w:rsidRPr="00002625" w14:paraId="64BA0A5D" w14:textId="77777777">
        <w:tc>
          <w:tcPr>
            <w:tcW w:w="602" w:type="pct"/>
            <w:tcBorders>
              <w:top w:val="single" w:sz="4" w:space="0" w:color="auto"/>
              <w:bottom w:val="single" w:sz="4" w:space="0" w:color="auto"/>
            </w:tcBorders>
          </w:tcPr>
          <w:p w14:paraId="68A27096" w14:textId="77777777" w:rsidR="00232F36" w:rsidRPr="00002625" w:rsidRDefault="00232F36">
            <w:pPr>
              <w:pStyle w:val="TableText0"/>
            </w:pPr>
            <w:r w:rsidRPr="00002625">
              <w:t>2017</w:t>
            </w:r>
          </w:p>
        </w:tc>
        <w:tc>
          <w:tcPr>
            <w:tcW w:w="1324" w:type="pct"/>
            <w:tcBorders>
              <w:top w:val="single" w:sz="4" w:space="0" w:color="auto"/>
              <w:bottom w:val="single" w:sz="4" w:space="0" w:color="auto"/>
            </w:tcBorders>
          </w:tcPr>
          <w:p w14:paraId="3AC6224E" w14:textId="77777777" w:rsidR="00232F36" w:rsidRPr="00002625" w:rsidRDefault="00232F36">
            <w:pPr>
              <w:pStyle w:val="TableText0"/>
            </w:pPr>
            <w:r w:rsidRPr="00002625">
              <w:t>69,000</w:t>
            </w:r>
          </w:p>
        </w:tc>
        <w:tc>
          <w:tcPr>
            <w:tcW w:w="1300" w:type="pct"/>
            <w:tcBorders>
              <w:top w:val="single" w:sz="4" w:space="0" w:color="auto"/>
              <w:bottom w:val="single" w:sz="4" w:space="0" w:color="auto"/>
            </w:tcBorders>
          </w:tcPr>
          <w:p w14:paraId="5E1ECED2" w14:textId="77777777" w:rsidR="00232F36" w:rsidRPr="00002625" w:rsidRDefault="00232F36">
            <w:pPr>
              <w:pStyle w:val="TableText0"/>
            </w:pPr>
            <w:r w:rsidRPr="00002625">
              <w:t>8%</w:t>
            </w:r>
          </w:p>
        </w:tc>
        <w:tc>
          <w:tcPr>
            <w:tcW w:w="1774" w:type="pct"/>
            <w:tcBorders>
              <w:top w:val="single" w:sz="4" w:space="0" w:color="auto"/>
              <w:bottom w:val="single" w:sz="4" w:space="0" w:color="auto"/>
            </w:tcBorders>
          </w:tcPr>
          <w:p w14:paraId="5EF128E0" w14:textId="77777777" w:rsidR="00232F36" w:rsidRPr="00002625" w:rsidRDefault="00232F36">
            <w:pPr>
              <w:pStyle w:val="TableText0"/>
            </w:pPr>
            <w:r w:rsidRPr="00002625">
              <w:t>10833 – 18078</w:t>
            </w:r>
          </w:p>
        </w:tc>
      </w:tr>
      <w:tr w:rsidR="00232F36" w:rsidRPr="00002625" w14:paraId="55EF4503" w14:textId="77777777">
        <w:tc>
          <w:tcPr>
            <w:tcW w:w="602" w:type="pct"/>
            <w:tcBorders>
              <w:top w:val="single" w:sz="4" w:space="0" w:color="auto"/>
              <w:bottom w:val="single" w:sz="4" w:space="0" w:color="auto"/>
            </w:tcBorders>
          </w:tcPr>
          <w:p w14:paraId="502C8EB1" w14:textId="77777777" w:rsidR="00232F36" w:rsidRPr="00002625" w:rsidRDefault="00232F36">
            <w:pPr>
              <w:pStyle w:val="TableText0"/>
            </w:pPr>
            <w:r w:rsidRPr="00002625">
              <w:t>2016</w:t>
            </w:r>
          </w:p>
        </w:tc>
        <w:tc>
          <w:tcPr>
            <w:tcW w:w="1324" w:type="pct"/>
            <w:tcBorders>
              <w:top w:val="single" w:sz="4" w:space="0" w:color="auto"/>
              <w:bottom w:val="single" w:sz="4" w:space="0" w:color="auto"/>
            </w:tcBorders>
          </w:tcPr>
          <w:p w14:paraId="586AEE45" w14:textId="77777777" w:rsidR="00232F36" w:rsidRPr="00002625" w:rsidRDefault="00232F36">
            <w:pPr>
              <w:pStyle w:val="TableText0"/>
            </w:pPr>
            <w:r w:rsidRPr="00002625">
              <w:t>69,000</w:t>
            </w:r>
          </w:p>
        </w:tc>
        <w:tc>
          <w:tcPr>
            <w:tcW w:w="1300" w:type="pct"/>
            <w:tcBorders>
              <w:top w:val="single" w:sz="4" w:space="0" w:color="auto"/>
              <w:bottom w:val="single" w:sz="4" w:space="0" w:color="auto"/>
            </w:tcBorders>
          </w:tcPr>
          <w:p w14:paraId="1943C255" w14:textId="77777777" w:rsidR="00232F36" w:rsidRPr="00002625" w:rsidRDefault="00232F36">
            <w:pPr>
              <w:pStyle w:val="TableText0"/>
            </w:pPr>
            <w:r w:rsidRPr="00002625">
              <w:t>8%</w:t>
            </w:r>
          </w:p>
        </w:tc>
        <w:tc>
          <w:tcPr>
            <w:tcW w:w="1774" w:type="pct"/>
            <w:tcBorders>
              <w:top w:val="single" w:sz="4" w:space="0" w:color="auto"/>
              <w:bottom w:val="single" w:sz="4" w:space="0" w:color="auto"/>
            </w:tcBorders>
          </w:tcPr>
          <w:p w14:paraId="5782F49E" w14:textId="77777777" w:rsidR="00232F36" w:rsidRPr="00002625" w:rsidRDefault="00232F36">
            <w:pPr>
              <w:pStyle w:val="TableText0"/>
            </w:pPr>
            <w:r w:rsidRPr="00002625">
              <w:t>10833 – 18078</w:t>
            </w:r>
          </w:p>
        </w:tc>
      </w:tr>
    </w:tbl>
    <w:p w14:paraId="57376858" w14:textId="2CF547A0" w:rsidR="00232F36" w:rsidRPr="00002625" w:rsidRDefault="0052784A" w:rsidP="00232F36">
      <w:pPr>
        <w:pStyle w:val="Tablenotes"/>
        <w:spacing w:after="360"/>
      </w:pPr>
      <w:r w:rsidRPr="00002625">
        <w:t>FOBT = faecal occult blood test</w:t>
      </w:r>
      <w:r w:rsidR="00232F36" w:rsidRPr="00002625">
        <w:tab/>
      </w:r>
      <w:r w:rsidR="00232F36" w:rsidRPr="00002625">
        <w:br/>
      </w:r>
      <w:r w:rsidR="00232F36" w:rsidRPr="00002625">
        <w:rPr>
          <w:vertAlign w:val="superscript"/>
        </w:rPr>
        <w:t>a</w:t>
      </w:r>
      <w:r w:rsidR="00232F36" w:rsidRPr="00002625">
        <w:t xml:space="preserve"> participant numbers are variable in part due to addition of age groups to the NBCSP as follows: 72 and 64 year olds were added in 2016; 68, 58 and 54 year olds were added in 2017; 66 and 62 year olds added in 2018; and 56 and 52 year olds added in 2019</w:t>
      </w:r>
      <w:r w:rsidR="00232F36" w:rsidRPr="00002625">
        <w:rPr>
          <w:rStyle w:val="FootnoteReference"/>
        </w:rPr>
        <w:footnoteReference w:id="9"/>
      </w:r>
      <w:r w:rsidR="00232F36" w:rsidRPr="00002625">
        <w:t>.</w:t>
      </w:r>
      <w:r w:rsidR="00232F36" w:rsidRPr="00002625">
        <w:br/>
      </w:r>
      <w:r w:rsidR="00232F36" w:rsidRPr="00002625">
        <w:rPr>
          <w:vertAlign w:val="superscript"/>
        </w:rPr>
        <w:t>b</w:t>
      </w:r>
      <w:r w:rsidR="00232F36" w:rsidRPr="00002625">
        <w:t xml:space="preserve"> a range between 15.7 – 26.2% of patients with a positive FOBT requiring a biopsy or polypectomy.</w:t>
      </w:r>
      <w:r w:rsidRPr="00002625">
        <w:tab/>
      </w:r>
      <w:r w:rsidRPr="00002625">
        <w:br/>
        <w:t>Source: AIHW National Bowel Cancer Screening Program: monitoring reports 2016 – 2022</w:t>
      </w:r>
    </w:p>
    <w:p w14:paraId="03AAD329" w14:textId="04794940" w:rsidR="00232F36" w:rsidRPr="00002625" w:rsidRDefault="00232F36" w:rsidP="00232F36">
      <w:r w:rsidRPr="00002625">
        <w:t>An approximation of the proportion of patients who would require a colonoscopy following CTC was calculated. It was assumed that any patient in the NBCSP data with histopathology outcomes could be a proxy for this group. Outcomes are published for NBCSP participants with a positive FOBT who have undergone a colonoscopy (AIHW 2024)</w:t>
      </w:r>
      <w:r w:rsidR="00C833AF" w:rsidRPr="00002625">
        <w:t>.</w:t>
      </w:r>
      <w:r w:rsidRPr="00002625">
        <w:t xml:space="preserve"> It was estimated that the proportion of positive participants with a positive FOBT who went on to require tissue sampling and pathology was at least 16% and may be as high as 26%</w:t>
      </w:r>
      <w:r w:rsidR="005361B4" w:rsidRPr="00002625">
        <w:t xml:space="preserve"> (</w:t>
      </w:r>
      <w:r w:rsidR="0087044E" w:rsidRPr="00002625">
        <w:t>derivation explained below</w:t>
      </w:r>
      <w:r w:rsidR="005361B4" w:rsidRPr="00002625">
        <w:t>).</w:t>
      </w:r>
    </w:p>
    <w:p w14:paraId="6B008AD9" w14:textId="6BEDF766" w:rsidR="00D51464" w:rsidRPr="00002625" w:rsidRDefault="00232F36" w:rsidP="007A1201">
      <w:pPr>
        <w:pStyle w:val="Heading4"/>
      </w:pPr>
      <w:r w:rsidRPr="00002625">
        <w:t xml:space="preserve">Proportion of positive FOBT </w:t>
      </w:r>
      <w:r w:rsidR="00AB7D78" w:rsidRPr="00002625">
        <w:t xml:space="preserve">patients </w:t>
      </w:r>
      <w:r w:rsidRPr="00002625">
        <w:t xml:space="preserve">requiring </w:t>
      </w:r>
      <w:r w:rsidR="00675E6D" w:rsidRPr="00002625">
        <w:t xml:space="preserve">biopsy or polypectomy </w:t>
      </w:r>
    </w:p>
    <w:p w14:paraId="658E5FB6" w14:textId="27E62D61" w:rsidR="00F90C98" w:rsidRPr="00002625" w:rsidRDefault="005A5DFA" w:rsidP="00F31B31">
      <w:r w:rsidRPr="00002625">
        <w:t xml:space="preserve">Outcomes were available for less than a third of NBCSP participants recorded as having undergone a colonoscopy following a positive FOBT – this may disproportionately exclude those who returned normal findings in their colonoscopy and required no further investigation. Nevertheless, the data from participants with histology or confirmed diagnosis were considered an approximation of the participants who required a biopsy or polypectomy on colonoscopy. This proxy was used to derive a further estimate of how many of the total participants receiving a colonoscopy (with or without outcomes) required a biopsy/polypectomy – which was 15.7% (figure in bold, </w:t>
      </w:r>
      <w:r w:rsidRPr="00002625">
        <w:fldChar w:fldCharType="begin"/>
      </w:r>
      <w:r w:rsidRPr="00002625">
        <w:instrText xml:space="preserve"> REF _Ref180487564 \h </w:instrText>
      </w:r>
      <w:r w:rsidRPr="00002625">
        <w:fldChar w:fldCharType="separate"/>
      </w:r>
      <w:r w:rsidR="00637321" w:rsidRPr="00002625">
        <w:t>Table </w:t>
      </w:r>
      <w:r w:rsidR="00637321" w:rsidRPr="00002625">
        <w:rPr>
          <w:noProof/>
        </w:rPr>
        <w:t>17</w:t>
      </w:r>
      <w:r w:rsidRPr="00002625">
        <w:fldChar w:fldCharType="end"/>
      </w:r>
      <w:r w:rsidRPr="00002625">
        <w:t xml:space="preserve">). It was noted that some of the participants who recorded an outcome of “no issue noted” may have had histopathology (note a, </w:t>
      </w:r>
      <w:r w:rsidRPr="00002625">
        <w:fldChar w:fldCharType="begin"/>
      </w:r>
      <w:r w:rsidRPr="00002625">
        <w:instrText xml:space="preserve"> REF _Ref180487564 \h </w:instrText>
      </w:r>
      <w:r w:rsidRPr="00002625">
        <w:fldChar w:fldCharType="separate"/>
      </w:r>
      <w:r w:rsidR="00637321" w:rsidRPr="00002625">
        <w:t>Table </w:t>
      </w:r>
      <w:r w:rsidR="00637321" w:rsidRPr="00002625">
        <w:rPr>
          <w:noProof/>
        </w:rPr>
        <w:t>17</w:t>
      </w:r>
      <w:r w:rsidRPr="00002625">
        <w:fldChar w:fldCharType="end"/>
      </w:r>
      <w:r w:rsidRPr="00002625">
        <w:t xml:space="preserve">), thus the proportion of colonoscopy cases who required a biopsy or polypectomy could be as high as 26.2%. </w:t>
      </w:r>
    </w:p>
    <w:p w14:paraId="5B73A1FB" w14:textId="7AD0C47A" w:rsidR="00F90C98" w:rsidRPr="00002625" w:rsidRDefault="00F90C98" w:rsidP="00F90C98">
      <w:pPr>
        <w:pStyle w:val="Caption"/>
        <w:rPr>
          <w:sz w:val="16"/>
          <w:szCs w:val="16"/>
          <w:lang w:val="en-AU"/>
        </w:rPr>
      </w:pPr>
      <w:bookmarkStart w:id="44" w:name="_Ref180487564"/>
      <w:r w:rsidRPr="00002625">
        <w:rPr>
          <w:lang w:val="en-AU"/>
        </w:rPr>
        <w:lastRenderedPageBreak/>
        <w:t>Table </w:t>
      </w:r>
      <w:r w:rsidRPr="00002625">
        <w:rPr>
          <w:lang w:val="en-AU"/>
        </w:rPr>
        <w:fldChar w:fldCharType="begin"/>
      </w:r>
      <w:r w:rsidRPr="00002625">
        <w:rPr>
          <w:lang w:val="en-AU"/>
        </w:rPr>
        <w:instrText xml:space="preserve"> SEQ Table \* ARABIC </w:instrText>
      </w:r>
      <w:r w:rsidRPr="00002625">
        <w:rPr>
          <w:lang w:val="en-AU"/>
        </w:rPr>
        <w:fldChar w:fldCharType="separate"/>
      </w:r>
      <w:r w:rsidR="00637321" w:rsidRPr="00002625">
        <w:rPr>
          <w:noProof/>
          <w:lang w:val="en-AU"/>
        </w:rPr>
        <w:t>17</w:t>
      </w:r>
      <w:r w:rsidRPr="00002625">
        <w:rPr>
          <w:noProof/>
          <w:lang w:val="en-AU"/>
        </w:rPr>
        <w:fldChar w:fldCharType="end"/>
      </w:r>
      <w:bookmarkEnd w:id="44"/>
      <w:r w:rsidRPr="00002625">
        <w:rPr>
          <w:lang w:val="en-AU"/>
        </w:rPr>
        <w:tab/>
        <w:t>Colonoscopy assessment outcomes – NBCSP (2022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6 colonoscopy assessment outcomes – NBCSP (2022 data)"/>
        <w:tblDescription w:val="Table showing colonoscopy assessment outcomes – NBCSP (2022 data)"/>
      </w:tblPr>
      <w:tblGrid>
        <w:gridCol w:w="344"/>
        <w:gridCol w:w="4158"/>
        <w:gridCol w:w="1491"/>
        <w:gridCol w:w="1386"/>
        <w:gridCol w:w="2192"/>
      </w:tblGrid>
      <w:tr w:rsidR="00F90C98" w:rsidRPr="00002625" w14:paraId="69A289B9" w14:textId="77777777" w:rsidTr="00310E52">
        <w:trPr>
          <w:tblHeader/>
        </w:trPr>
        <w:tc>
          <w:tcPr>
            <w:tcW w:w="180" w:type="pct"/>
            <w:tcBorders>
              <w:bottom w:val="single" w:sz="4" w:space="0" w:color="auto"/>
            </w:tcBorders>
          </w:tcPr>
          <w:p w14:paraId="7E19F837" w14:textId="77777777" w:rsidR="00F90C98" w:rsidRPr="00002625" w:rsidRDefault="00F90C98">
            <w:pPr>
              <w:pStyle w:val="TableText0"/>
              <w:keepNext/>
              <w:rPr>
                <w:b/>
              </w:rPr>
            </w:pPr>
          </w:p>
        </w:tc>
        <w:tc>
          <w:tcPr>
            <w:tcW w:w="2172" w:type="pct"/>
            <w:tcBorders>
              <w:bottom w:val="single" w:sz="4" w:space="0" w:color="auto"/>
            </w:tcBorders>
          </w:tcPr>
          <w:p w14:paraId="4554549C" w14:textId="77777777" w:rsidR="00F90C98" w:rsidRPr="00002625" w:rsidRDefault="00F90C98">
            <w:pPr>
              <w:pStyle w:val="TableText0"/>
              <w:keepNext/>
              <w:rPr>
                <w:b/>
              </w:rPr>
            </w:pPr>
            <w:r w:rsidRPr="00002625">
              <w:rPr>
                <w:b/>
              </w:rPr>
              <w:t>Outcome</w:t>
            </w:r>
          </w:p>
        </w:tc>
        <w:tc>
          <w:tcPr>
            <w:tcW w:w="779" w:type="pct"/>
          </w:tcPr>
          <w:p w14:paraId="4F3EBD9C" w14:textId="77777777" w:rsidR="00F90C98" w:rsidRPr="00002625" w:rsidRDefault="00F90C98">
            <w:pPr>
              <w:pStyle w:val="TableText0"/>
              <w:keepNext/>
              <w:rPr>
                <w:b/>
              </w:rPr>
            </w:pPr>
            <w:r w:rsidRPr="00002625">
              <w:rPr>
                <w:b/>
              </w:rPr>
              <w:t>Number of participants</w:t>
            </w:r>
          </w:p>
        </w:tc>
        <w:tc>
          <w:tcPr>
            <w:tcW w:w="724" w:type="pct"/>
          </w:tcPr>
          <w:p w14:paraId="34FCFAD1" w14:textId="77777777" w:rsidR="00F90C98" w:rsidRPr="00002625" w:rsidRDefault="00F90C98">
            <w:pPr>
              <w:pStyle w:val="TableText0"/>
              <w:keepNext/>
              <w:rPr>
                <w:b/>
              </w:rPr>
            </w:pPr>
            <w:r w:rsidRPr="00002625">
              <w:rPr>
                <w:b/>
              </w:rPr>
              <w:t xml:space="preserve">Percentage </w:t>
            </w:r>
            <w:r w:rsidRPr="00002625">
              <w:rPr>
                <w:b/>
              </w:rPr>
              <w:br/>
              <w:t>(outcomes reported)</w:t>
            </w:r>
          </w:p>
        </w:tc>
        <w:tc>
          <w:tcPr>
            <w:tcW w:w="1145" w:type="pct"/>
          </w:tcPr>
          <w:p w14:paraId="682EE20A" w14:textId="77777777" w:rsidR="00F90C98" w:rsidRPr="00002625" w:rsidRDefault="00F90C98">
            <w:pPr>
              <w:pStyle w:val="TableText0"/>
              <w:keepNext/>
              <w:rPr>
                <w:b/>
                <w:i/>
                <w:iCs/>
              </w:rPr>
            </w:pPr>
            <w:r w:rsidRPr="00002625">
              <w:rPr>
                <w:b/>
                <w:i/>
                <w:iCs/>
              </w:rPr>
              <w:t>Percentage (with / without outcomes reported)</w:t>
            </w:r>
          </w:p>
        </w:tc>
      </w:tr>
      <w:tr w:rsidR="00F90C98" w:rsidRPr="00002625" w14:paraId="2F728D03" w14:textId="77777777" w:rsidTr="00310E52">
        <w:tc>
          <w:tcPr>
            <w:tcW w:w="180" w:type="pct"/>
            <w:tcBorders>
              <w:top w:val="nil"/>
              <w:bottom w:val="single" w:sz="4" w:space="0" w:color="auto"/>
            </w:tcBorders>
          </w:tcPr>
          <w:p w14:paraId="1B8A7439" w14:textId="77777777" w:rsidR="00F90C98" w:rsidRPr="00002625" w:rsidRDefault="00F90C98">
            <w:pPr>
              <w:pStyle w:val="TableText0"/>
            </w:pPr>
            <w:r w:rsidRPr="00002625">
              <w:t>A</w:t>
            </w:r>
          </w:p>
        </w:tc>
        <w:tc>
          <w:tcPr>
            <w:tcW w:w="2172" w:type="pct"/>
            <w:tcBorders>
              <w:top w:val="nil"/>
              <w:bottom w:val="single" w:sz="4" w:space="0" w:color="auto"/>
            </w:tcBorders>
          </w:tcPr>
          <w:p w14:paraId="29996568" w14:textId="77777777" w:rsidR="00F90C98" w:rsidRPr="00002625" w:rsidRDefault="00F90C98">
            <w:pPr>
              <w:pStyle w:val="TableText0"/>
            </w:pPr>
            <w:r w:rsidRPr="00002625">
              <w:t>Assessments without outcome data:</w:t>
            </w:r>
            <w:r w:rsidRPr="00002625">
              <w:br/>
              <w:t xml:space="preserve">   reported by Medicare claim</w:t>
            </w:r>
            <w:r w:rsidRPr="00002625">
              <w:br/>
              <w:t xml:space="preserve">   reported via NBCSP follow-up (PFUF)</w:t>
            </w:r>
          </w:p>
        </w:tc>
        <w:tc>
          <w:tcPr>
            <w:tcW w:w="779" w:type="pct"/>
          </w:tcPr>
          <w:p w14:paraId="7CD4112F" w14:textId="65663DCF" w:rsidR="00F90C98" w:rsidRPr="00002625" w:rsidRDefault="00F90C98" w:rsidP="00310E52">
            <w:pPr>
              <w:pStyle w:val="TableText0"/>
            </w:pPr>
            <w:r w:rsidRPr="00002625">
              <w:t>40,591</w:t>
            </w:r>
            <w:r w:rsidRPr="00002625">
              <w:br/>
              <w:t>23,929</w:t>
            </w:r>
            <w:r w:rsidRPr="00002625">
              <w:br/>
              <w:t>16,662</w:t>
            </w:r>
          </w:p>
        </w:tc>
        <w:tc>
          <w:tcPr>
            <w:tcW w:w="724" w:type="pct"/>
          </w:tcPr>
          <w:p w14:paraId="6EA42012" w14:textId="77777777" w:rsidR="00F90C98" w:rsidRPr="00002625" w:rsidRDefault="00F90C98" w:rsidP="00310E52">
            <w:pPr>
              <w:pStyle w:val="TableText0"/>
            </w:pPr>
            <w:r w:rsidRPr="00002625">
              <w:t>--</w:t>
            </w:r>
          </w:p>
        </w:tc>
        <w:tc>
          <w:tcPr>
            <w:tcW w:w="1145" w:type="pct"/>
          </w:tcPr>
          <w:p w14:paraId="296F573D" w14:textId="66B8E1AD" w:rsidR="00F90C98" w:rsidRPr="00002625" w:rsidRDefault="00F90C98" w:rsidP="00310E52">
            <w:pPr>
              <w:pStyle w:val="TableText0"/>
              <w:rPr>
                <w:i/>
                <w:iCs/>
              </w:rPr>
            </w:pPr>
            <w:r w:rsidRPr="00002625">
              <w:rPr>
                <w:i/>
                <w:iCs/>
              </w:rPr>
              <w:t>73.8</w:t>
            </w:r>
            <w:r w:rsidRPr="00002625">
              <w:rPr>
                <w:i/>
                <w:iCs/>
              </w:rPr>
              <w:br/>
              <w:t>43.5</w:t>
            </w:r>
            <w:r w:rsidRPr="00002625">
              <w:rPr>
                <w:i/>
                <w:iCs/>
              </w:rPr>
              <w:br/>
              <w:t>30.3</w:t>
            </w:r>
          </w:p>
        </w:tc>
      </w:tr>
      <w:tr w:rsidR="00F90C98" w:rsidRPr="00002625" w14:paraId="7A5BE0AE" w14:textId="77777777" w:rsidTr="00310E52">
        <w:tc>
          <w:tcPr>
            <w:tcW w:w="180" w:type="pct"/>
            <w:tcBorders>
              <w:top w:val="nil"/>
              <w:bottom w:val="single" w:sz="4" w:space="0" w:color="auto"/>
            </w:tcBorders>
          </w:tcPr>
          <w:p w14:paraId="58987B5D" w14:textId="77777777" w:rsidR="00F90C98" w:rsidRPr="00002625" w:rsidRDefault="00F90C98">
            <w:pPr>
              <w:pStyle w:val="TableText0"/>
            </w:pPr>
            <w:r w:rsidRPr="00002625">
              <w:t>B</w:t>
            </w:r>
          </w:p>
        </w:tc>
        <w:tc>
          <w:tcPr>
            <w:tcW w:w="2172" w:type="pct"/>
            <w:tcBorders>
              <w:top w:val="nil"/>
              <w:bottom w:val="single" w:sz="4" w:space="0" w:color="auto"/>
            </w:tcBorders>
          </w:tcPr>
          <w:p w14:paraId="6CC17F5E" w14:textId="77777777" w:rsidR="00F90C98" w:rsidRPr="00002625" w:rsidRDefault="00F90C98">
            <w:pPr>
              <w:pStyle w:val="TableText0"/>
            </w:pPr>
            <w:r w:rsidRPr="00002625">
              <w:t>Assessments with outcome data</w:t>
            </w:r>
          </w:p>
        </w:tc>
        <w:tc>
          <w:tcPr>
            <w:tcW w:w="779" w:type="pct"/>
          </w:tcPr>
          <w:p w14:paraId="56401828" w14:textId="77777777" w:rsidR="00F90C98" w:rsidRPr="00002625" w:rsidRDefault="00F90C98" w:rsidP="00B5404D">
            <w:pPr>
              <w:pStyle w:val="TableText0"/>
            </w:pPr>
            <w:r w:rsidRPr="00002625">
              <w:t>14,390</w:t>
            </w:r>
          </w:p>
        </w:tc>
        <w:tc>
          <w:tcPr>
            <w:tcW w:w="724" w:type="pct"/>
          </w:tcPr>
          <w:p w14:paraId="73EB9CA8" w14:textId="77777777" w:rsidR="00F90C98" w:rsidRPr="00002625" w:rsidRDefault="00F90C98" w:rsidP="00B5404D">
            <w:pPr>
              <w:pStyle w:val="TableText0"/>
            </w:pPr>
            <w:r w:rsidRPr="00002625">
              <w:t>(100)</w:t>
            </w:r>
          </w:p>
        </w:tc>
        <w:tc>
          <w:tcPr>
            <w:tcW w:w="1145" w:type="pct"/>
          </w:tcPr>
          <w:p w14:paraId="30E5C8FA" w14:textId="77777777" w:rsidR="00F90C98" w:rsidRPr="00002625" w:rsidRDefault="00F90C98" w:rsidP="00B5404D">
            <w:pPr>
              <w:pStyle w:val="TableText0"/>
              <w:rPr>
                <w:i/>
                <w:iCs/>
              </w:rPr>
            </w:pPr>
            <w:r w:rsidRPr="00002625">
              <w:rPr>
                <w:i/>
                <w:iCs/>
              </w:rPr>
              <w:t>26.2</w:t>
            </w:r>
          </w:p>
        </w:tc>
      </w:tr>
      <w:tr w:rsidR="00F90C98" w:rsidRPr="00002625" w14:paraId="67F61E0F" w14:textId="77777777" w:rsidTr="00310E52">
        <w:tc>
          <w:tcPr>
            <w:tcW w:w="180" w:type="pct"/>
            <w:tcBorders>
              <w:top w:val="nil"/>
              <w:bottom w:val="single" w:sz="4" w:space="0" w:color="auto"/>
            </w:tcBorders>
          </w:tcPr>
          <w:p w14:paraId="31C76674" w14:textId="77777777" w:rsidR="00F90C98" w:rsidRPr="00002625" w:rsidRDefault="00F90C98">
            <w:pPr>
              <w:pStyle w:val="TableText0"/>
            </w:pPr>
            <w:r w:rsidRPr="00002625">
              <w:t>C</w:t>
            </w:r>
          </w:p>
        </w:tc>
        <w:tc>
          <w:tcPr>
            <w:tcW w:w="2172" w:type="pct"/>
            <w:tcBorders>
              <w:top w:val="nil"/>
              <w:bottom w:val="single" w:sz="4" w:space="0" w:color="auto"/>
            </w:tcBorders>
          </w:tcPr>
          <w:p w14:paraId="49B231B4" w14:textId="77777777" w:rsidR="00F90C98" w:rsidRPr="00002625" w:rsidRDefault="00F90C98">
            <w:pPr>
              <w:pStyle w:val="TableText0"/>
            </w:pPr>
            <w:r w:rsidRPr="00002625">
              <w:t>No issue noted</w:t>
            </w:r>
            <w:r w:rsidRPr="00002625">
              <w:rPr>
                <w:vertAlign w:val="superscript"/>
              </w:rPr>
              <w:t>a</w:t>
            </w:r>
          </w:p>
        </w:tc>
        <w:tc>
          <w:tcPr>
            <w:tcW w:w="779" w:type="pct"/>
          </w:tcPr>
          <w:p w14:paraId="54299DC2" w14:textId="77777777" w:rsidR="00F90C98" w:rsidRPr="00002625" w:rsidRDefault="00F90C98" w:rsidP="00B5404D">
            <w:pPr>
              <w:pStyle w:val="TableText0"/>
            </w:pPr>
            <w:r w:rsidRPr="00002625">
              <w:t>5,732</w:t>
            </w:r>
          </w:p>
        </w:tc>
        <w:tc>
          <w:tcPr>
            <w:tcW w:w="724" w:type="pct"/>
          </w:tcPr>
          <w:p w14:paraId="5B95ED5F" w14:textId="77777777" w:rsidR="00F90C98" w:rsidRPr="00002625" w:rsidRDefault="00F90C98" w:rsidP="00B5404D">
            <w:pPr>
              <w:pStyle w:val="TableText0"/>
            </w:pPr>
            <w:r w:rsidRPr="00002625">
              <w:t>39.8</w:t>
            </w:r>
          </w:p>
        </w:tc>
        <w:tc>
          <w:tcPr>
            <w:tcW w:w="1145" w:type="pct"/>
          </w:tcPr>
          <w:p w14:paraId="21C043CF" w14:textId="77777777" w:rsidR="00F90C98" w:rsidRPr="00002625" w:rsidRDefault="00F90C98" w:rsidP="00B5404D">
            <w:pPr>
              <w:pStyle w:val="TableText0"/>
              <w:rPr>
                <w:i/>
                <w:iCs/>
              </w:rPr>
            </w:pPr>
            <w:r w:rsidRPr="00002625">
              <w:rPr>
                <w:i/>
                <w:iCs/>
              </w:rPr>
              <w:t>10.4</w:t>
            </w:r>
          </w:p>
        </w:tc>
      </w:tr>
      <w:tr w:rsidR="00F90C98" w:rsidRPr="00002625" w14:paraId="10083DF3" w14:textId="77777777" w:rsidTr="00310E52">
        <w:tc>
          <w:tcPr>
            <w:tcW w:w="180" w:type="pct"/>
            <w:tcBorders>
              <w:top w:val="nil"/>
              <w:bottom w:val="single" w:sz="4" w:space="0" w:color="auto"/>
            </w:tcBorders>
          </w:tcPr>
          <w:p w14:paraId="67EC18B0" w14:textId="77777777" w:rsidR="00F90C98" w:rsidRPr="00002625" w:rsidRDefault="00F90C98">
            <w:pPr>
              <w:pStyle w:val="TableText0"/>
            </w:pPr>
            <w:r w:rsidRPr="00002625">
              <w:t>D</w:t>
            </w:r>
          </w:p>
        </w:tc>
        <w:tc>
          <w:tcPr>
            <w:tcW w:w="2172" w:type="pct"/>
            <w:tcBorders>
              <w:top w:val="nil"/>
              <w:bottom w:val="single" w:sz="4" w:space="0" w:color="auto"/>
            </w:tcBorders>
          </w:tcPr>
          <w:p w14:paraId="677BFFB6" w14:textId="77777777" w:rsidR="00F90C98" w:rsidRPr="00002625" w:rsidRDefault="00F90C98">
            <w:pPr>
              <w:pStyle w:val="TableText0"/>
            </w:pPr>
            <w:r w:rsidRPr="00002625">
              <w:t>Biopsy awaiting histopathology</w:t>
            </w:r>
            <w:r w:rsidRPr="00002625">
              <w:rPr>
                <w:vertAlign w:val="superscript"/>
              </w:rPr>
              <w:t>b</w:t>
            </w:r>
          </w:p>
        </w:tc>
        <w:tc>
          <w:tcPr>
            <w:tcW w:w="779" w:type="pct"/>
          </w:tcPr>
          <w:p w14:paraId="1B0DD8EA" w14:textId="77777777" w:rsidR="00F90C98" w:rsidRPr="00002625" w:rsidRDefault="00F90C98" w:rsidP="00B5404D">
            <w:pPr>
              <w:pStyle w:val="TableText0"/>
            </w:pPr>
            <w:r w:rsidRPr="00002625">
              <w:t>5,696</w:t>
            </w:r>
          </w:p>
        </w:tc>
        <w:tc>
          <w:tcPr>
            <w:tcW w:w="724" w:type="pct"/>
          </w:tcPr>
          <w:p w14:paraId="7D473CC8" w14:textId="77777777" w:rsidR="00F90C98" w:rsidRPr="00002625" w:rsidRDefault="00F90C98" w:rsidP="00B5404D">
            <w:pPr>
              <w:pStyle w:val="TableText0"/>
            </w:pPr>
            <w:r w:rsidRPr="00002625">
              <w:t>39.6</w:t>
            </w:r>
          </w:p>
        </w:tc>
        <w:tc>
          <w:tcPr>
            <w:tcW w:w="1145" w:type="pct"/>
          </w:tcPr>
          <w:p w14:paraId="30F3B234" w14:textId="77777777" w:rsidR="00F90C98" w:rsidRPr="00002625" w:rsidRDefault="00F90C98" w:rsidP="00B5404D">
            <w:pPr>
              <w:pStyle w:val="TableText0"/>
              <w:rPr>
                <w:i/>
                <w:iCs/>
              </w:rPr>
            </w:pPr>
            <w:r w:rsidRPr="00002625">
              <w:rPr>
                <w:i/>
                <w:iCs/>
              </w:rPr>
              <w:t>10.4</w:t>
            </w:r>
          </w:p>
        </w:tc>
      </w:tr>
      <w:tr w:rsidR="00F90C98" w:rsidRPr="00002625" w14:paraId="3599860F" w14:textId="77777777" w:rsidTr="00310E52">
        <w:tc>
          <w:tcPr>
            <w:tcW w:w="180" w:type="pct"/>
            <w:tcBorders>
              <w:top w:val="nil"/>
              <w:bottom w:val="single" w:sz="4" w:space="0" w:color="auto"/>
            </w:tcBorders>
          </w:tcPr>
          <w:p w14:paraId="273D4A94" w14:textId="77777777" w:rsidR="00F90C98" w:rsidRPr="00002625" w:rsidRDefault="00F90C98">
            <w:pPr>
              <w:pStyle w:val="TableText0"/>
            </w:pPr>
            <w:r w:rsidRPr="00002625">
              <w:t>E</w:t>
            </w:r>
          </w:p>
        </w:tc>
        <w:tc>
          <w:tcPr>
            <w:tcW w:w="2172" w:type="pct"/>
            <w:tcBorders>
              <w:top w:val="nil"/>
              <w:bottom w:val="single" w:sz="4" w:space="0" w:color="auto"/>
            </w:tcBorders>
          </w:tcPr>
          <w:p w14:paraId="7562C530" w14:textId="77777777" w:rsidR="00F90C98" w:rsidRPr="00002625" w:rsidRDefault="00F90C98">
            <w:pPr>
              <w:pStyle w:val="TableText0"/>
            </w:pPr>
            <w:r w:rsidRPr="00002625">
              <w:t>Other histopathology diagnosis</w:t>
            </w:r>
            <w:r w:rsidRPr="00002625">
              <w:rPr>
                <w:vertAlign w:val="superscript"/>
              </w:rPr>
              <w:t>c</w:t>
            </w:r>
          </w:p>
        </w:tc>
        <w:tc>
          <w:tcPr>
            <w:tcW w:w="779" w:type="pct"/>
          </w:tcPr>
          <w:p w14:paraId="6933AFD5" w14:textId="77777777" w:rsidR="00F90C98" w:rsidRPr="00002625" w:rsidRDefault="00F90C98" w:rsidP="00B5404D">
            <w:pPr>
              <w:pStyle w:val="TableText0"/>
            </w:pPr>
            <w:r w:rsidRPr="00002625">
              <w:t>307</w:t>
            </w:r>
          </w:p>
        </w:tc>
        <w:tc>
          <w:tcPr>
            <w:tcW w:w="724" w:type="pct"/>
          </w:tcPr>
          <w:p w14:paraId="7EED5FB5" w14:textId="77777777" w:rsidR="00F90C98" w:rsidRPr="00002625" w:rsidRDefault="00F90C98" w:rsidP="00B5404D">
            <w:pPr>
              <w:pStyle w:val="TableText0"/>
            </w:pPr>
            <w:r w:rsidRPr="00002625">
              <w:t>2.1</w:t>
            </w:r>
          </w:p>
        </w:tc>
        <w:tc>
          <w:tcPr>
            <w:tcW w:w="1145" w:type="pct"/>
          </w:tcPr>
          <w:p w14:paraId="737DA115" w14:textId="77777777" w:rsidR="00F90C98" w:rsidRPr="00002625" w:rsidRDefault="00F90C98" w:rsidP="00B5404D">
            <w:pPr>
              <w:pStyle w:val="TableText0"/>
              <w:rPr>
                <w:i/>
                <w:iCs/>
              </w:rPr>
            </w:pPr>
            <w:r w:rsidRPr="00002625">
              <w:rPr>
                <w:i/>
                <w:iCs/>
              </w:rPr>
              <w:t>0.6</w:t>
            </w:r>
          </w:p>
        </w:tc>
      </w:tr>
      <w:tr w:rsidR="00F90C98" w:rsidRPr="00002625" w14:paraId="3A1006A5" w14:textId="77777777" w:rsidTr="00310E52">
        <w:tc>
          <w:tcPr>
            <w:tcW w:w="180" w:type="pct"/>
            <w:tcBorders>
              <w:top w:val="nil"/>
              <w:bottom w:val="single" w:sz="4" w:space="0" w:color="auto"/>
            </w:tcBorders>
          </w:tcPr>
          <w:p w14:paraId="5DB8C8C9" w14:textId="77777777" w:rsidR="00F90C98" w:rsidRPr="00002625" w:rsidRDefault="00F90C98">
            <w:pPr>
              <w:pStyle w:val="TableText0"/>
            </w:pPr>
            <w:r w:rsidRPr="00002625">
              <w:t>F</w:t>
            </w:r>
          </w:p>
        </w:tc>
        <w:tc>
          <w:tcPr>
            <w:tcW w:w="2172" w:type="pct"/>
            <w:tcBorders>
              <w:top w:val="nil"/>
              <w:bottom w:val="single" w:sz="4" w:space="0" w:color="auto"/>
            </w:tcBorders>
          </w:tcPr>
          <w:p w14:paraId="14FBB0F9" w14:textId="77777777" w:rsidR="00F90C98" w:rsidRPr="00002625" w:rsidRDefault="00F90C98">
            <w:pPr>
              <w:pStyle w:val="TableText0"/>
            </w:pPr>
            <w:r w:rsidRPr="00002625">
              <w:t>Confirmed non-advanced adenoma</w:t>
            </w:r>
            <w:r w:rsidRPr="00002625">
              <w:rPr>
                <w:vertAlign w:val="superscript"/>
              </w:rPr>
              <w:t>c</w:t>
            </w:r>
          </w:p>
        </w:tc>
        <w:tc>
          <w:tcPr>
            <w:tcW w:w="779" w:type="pct"/>
          </w:tcPr>
          <w:p w14:paraId="16C0EDCB" w14:textId="77777777" w:rsidR="00F90C98" w:rsidRPr="00002625" w:rsidRDefault="00F90C98" w:rsidP="00B5404D">
            <w:pPr>
              <w:pStyle w:val="TableText0"/>
            </w:pPr>
            <w:r w:rsidRPr="00002625">
              <w:t>982</w:t>
            </w:r>
          </w:p>
        </w:tc>
        <w:tc>
          <w:tcPr>
            <w:tcW w:w="724" w:type="pct"/>
          </w:tcPr>
          <w:p w14:paraId="026F341B" w14:textId="77777777" w:rsidR="00F90C98" w:rsidRPr="00002625" w:rsidRDefault="00F90C98" w:rsidP="00B5404D">
            <w:pPr>
              <w:pStyle w:val="TableText0"/>
            </w:pPr>
            <w:r w:rsidRPr="00002625">
              <w:t>6.8</w:t>
            </w:r>
          </w:p>
        </w:tc>
        <w:tc>
          <w:tcPr>
            <w:tcW w:w="1145" w:type="pct"/>
          </w:tcPr>
          <w:p w14:paraId="7F2E9B7D" w14:textId="77777777" w:rsidR="00F90C98" w:rsidRPr="00002625" w:rsidRDefault="00F90C98" w:rsidP="00B5404D">
            <w:pPr>
              <w:pStyle w:val="TableText0"/>
              <w:rPr>
                <w:i/>
                <w:iCs/>
              </w:rPr>
            </w:pPr>
            <w:r w:rsidRPr="00002625">
              <w:rPr>
                <w:i/>
                <w:iCs/>
              </w:rPr>
              <w:t>1.8</w:t>
            </w:r>
          </w:p>
        </w:tc>
      </w:tr>
      <w:tr w:rsidR="00F90C98" w:rsidRPr="00002625" w14:paraId="0D97C29E" w14:textId="77777777" w:rsidTr="00310E52">
        <w:tc>
          <w:tcPr>
            <w:tcW w:w="180" w:type="pct"/>
            <w:tcBorders>
              <w:top w:val="nil"/>
              <w:bottom w:val="single" w:sz="4" w:space="0" w:color="auto"/>
            </w:tcBorders>
          </w:tcPr>
          <w:p w14:paraId="13DBB8A4" w14:textId="77777777" w:rsidR="00F90C98" w:rsidRPr="00002625" w:rsidRDefault="00F90C98">
            <w:pPr>
              <w:pStyle w:val="TableText0"/>
            </w:pPr>
            <w:r w:rsidRPr="00002625">
              <w:t>G</w:t>
            </w:r>
          </w:p>
        </w:tc>
        <w:tc>
          <w:tcPr>
            <w:tcW w:w="2172" w:type="pct"/>
            <w:tcBorders>
              <w:top w:val="nil"/>
              <w:bottom w:val="single" w:sz="4" w:space="0" w:color="auto"/>
            </w:tcBorders>
          </w:tcPr>
          <w:p w14:paraId="6F47371A" w14:textId="77777777" w:rsidR="00F90C98" w:rsidRPr="00002625" w:rsidRDefault="00F90C98">
            <w:pPr>
              <w:pStyle w:val="TableText0"/>
            </w:pPr>
            <w:r w:rsidRPr="00002625">
              <w:t>Confirmed advanced adenoma</w:t>
            </w:r>
            <w:r w:rsidRPr="00002625">
              <w:rPr>
                <w:vertAlign w:val="superscript"/>
              </w:rPr>
              <w:t>d</w:t>
            </w:r>
          </w:p>
        </w:tc>
        <w:tc>
          <w:tcPr>
            <w:tcW w:w="779" w:type="pct"/>
          </w:tcPr>
          <w:p w14:paraId="1A19E43F" w14:textId="77777777" w:rsidR="00F90C98" w:rsidRPr="00002625" w:rsidRDefault="00F90C98" w:rsidP="00B5404D">
            <w:pPr>
              <w:pStyle w:val="TableText0"/>
            </w:pPr>
            <w:r w:rsidRPr="00002625">
              <w:t>1,092</w:t>
            </w:r>
          </w:p>
        </w:tc>
        <w:tc>
          <w:tcPr>
            <w:tcW w:w="724" w:type="pct"/>
          </w:tcPr>
          <w:p w14:paraId="6E560BD7" w14:textId="77777777" w:rsidR="00F90C98" w:rsidRPr="00002625" w:rsidRDefault="00F90C98" w:rsidP="00B5404D">
            <w:pPr>
              <w:pStyle w:val="TableText0"/>
            </w:pPr>
            <w:r w:rsidRPr="00002625">
              <w:t>7.6</w:t>
            </w:r>
          </w:p>
        </w:tc>
        <w:tc>
          <w:tcPr>
            <w:tcW w:w="1145" w:type="pct"/>
          </w:tcPr>
          <w:p w14:paraId="761137D4" w14:textId="77777777" w:rsidR="00F90C98" w:rsidRPr="00002625" w:rsidRDefault="00F90C98" w:rsidP="00B5404D">
            <w:pPr>
              <w:pStyle w:val="TableText0"/>
              <w:rPr>
                <w:i/>
                <w:iCs/>
              </w:rPr>
            </w:pPr>
            <w:r w:rsidRPr="00002625">
              <w:rPr>
                <w:i/>
                <w:iCs/>
              </w:rPr>
              <w:t>2.0</w:t>
            </w:r>
          </w:p>
        </w:tc>
      </w:tr>
      <w:tr w:rsidR="00F90C98" w:rsidRPr="00002625" w14:paraId="73E89590" w14:textId="77777777" w:rsidTr="00310E52">
        <w:tc>
          <w:tcPr>
            <w:tcW w:w="180" w:type="pct"/>
            <w:tcBorders>
              <w:top w:val="nil"/>
              <w:bottom w:val="single" w:sz="4" w:space="0" w:color="auto"/>
            </w:tcBorders>
          </w:tcPr>
          <w:p w14:paraId="1211F1F5" w14:textId="77777777" w:rsidR="00F90C98" w:rsidRPr="00002625" w:rsidRDefault="00F90C98">
            <w:pPr>
              <w:pStyle w:val="TableText0"/>
            </w:pPr>
            <w:r w:rsidRPr="00002625">
              <w:t>H</w:t>
            </w:r>
          </w:p>
        </w:tc>
        <w:tc>
          <w:tcPr>
            <w:tcW w:w="2172" w:type="pct"/>
            <w:tcBorders>
              <w:top w:val="nil"/>
              <w:bottom w:val="single" w:sz="4" w:space="0" w:color="auto"/>
            </w:tcBorders>
          </w:tcPr>
          <w:p w14:paraId="557BED37" w14:textId="77777777" w:rsidR="00F90C98" w:rsidRPr="00002625" w:rsidRDefault="00F90C98">
            <w:pPr>
              <w:pStyle w:val="TableText0"/>
            </w:pPr>
            <w:r w:rsidRPr="00002625">
              <w:t>Suspected cancer</w:t>
            </w:r>
            <w:r w:rsidRPr="00002625">
              <w:rPr>
                <w:vertAlign w:val="superscript"/>
              </w:rPr>
              <w:t>e</w:t>
            </w:r>
          </w:p>
        </w:tc>
        <w:tc>
          <w:tcPr>
            <w:tcW w:w="779" w:type="pct"/>
          </w:tcPr>
          <w:p w14:paraId="0E482D14" w14:textId="77777777" w:rsidR="00F90C98" w:rsidRPr="00002625" w:rsidRDefault="00F90C98" w:rsidP="00B5404D">
            <w:pPr>
              <w:pStyle w:val="TableText0"/>
            </w:pPr>
            <w:r w:rsidRPr="00002625">
              <w:t>497</w:t>
            </w:r>
          </w:p>
        </w:tc>
        <w:tc>
          <w:tcPr>
            <w:tcW w:w="724" w:type="pct"/>
          </w:tcPr>
          <w:p w14:paraId="01F6006E" w14:textId="77777777" w:rsidR="00F90C98" w:rsidRPr="00002625" w:rsidRDefault="00F90C98" w:rsidP="00B5404D">
            <w:pPr>
              <w:pStyle w:val="TableText0"/>
            </w:pPr>
            <w:r w:rsidRPr="00002625">
              <w:t>3.5</w:t>
            </w:r>
          </w:p>
        </w:tc>
        <w:tc>
          <w:tcPr>
            <w:tcW w:w="1145" w:type="pct"/>
          </w:tcPr>
          <w:p w14:paraId="557B3D39" w14:textId="77777777" w:rsidR="00F90C98" w:rsidRPr="00002625" w:rsidRDefault="00F90C98" w:rsidP="00B5404D">
            <w:pPr>
              <w:pStyle w:val="TableText0"/>
              <w:rPr>
                <w:i/>
                <w:iCs/>
              </w:rPr>
            </w:pPr>
            <w:r w:rsidRPr="00002625">
              <w:rPr>
                <w:i/>
                <w:iCs/>
              </w:rPr>
              <w:t>0.9</w:t>
            </w:r>
          </w:p>
        </w:tc>
      </w:tr>
      <w:tr w:rsidR="00F90C98" w:rsidRPr="00002625" w14:paraId="2B21FB81" w14:textId="77777777" w:rsidTr="00310E52">
        <w:tc>
          <w:tcPr>
            <w:tcW w:w="180" w:type="pct"/>
            <w:tcBorders>
              <w:top w:val="nil"/>
              <w:bottom w:val="single" w:sz="4" w:space="0" w:color="auto"/>
            </w:tcBorders>
          </w:tcPr>
          <w:p w14:paraId="3CBEAEB2" w14:textId="77777777" w:rsidR="00F90C98" w:rsidRPr="00002625" w:rsidRDefault="00F90C98">
            <w:pPr>
              <w:pStyle w:val="TableText0"/>
            </w:pPr>
            <w:r w:rsidRPr="00002625">
              <w:t>I</w:t>
            </w:r>
          </w:p>
        </w:tc>
        <w:tc>
          <w:tcPr>
            <w:tcW w:w="2172" w:type="pct"/>
            <w:tcBorders>
              <w:top w:val="nil"/>
              <w:bottom w:val="single" w:sz="4" w:space="0" w:color="auto"/>
            </w:tcBorders>
          </w:tcPr>
          <w:p w14:paraId="7A40C664" w14:textId="77777777" w:rsidR="00F90C98" w:rsidRPr="00002625" w:rsidRDefault="00F90C98">
            <w:pPr>
              <w:pStyle w:val="TableText0"/>
            </w:pPr>
            <w:r w:rsidRPr="00002625">
              <w:t>Confirmed cancer</w:t>
            </w:r>
            <w:r w:rsidRPr="00002625">
              <w:rPr>
                <w:vertAlign w:val="superscript"/>
              </w:rPr>
              <w:t>f</w:t>
            </w:r>
          </w:p>
        </w:tc>
        <w:tc>
          <w:tcPr>
            <w:tcW w:w="779" w:type="pct"/>
          </w:tcPr>
          <w:p w14:paraId="2207E177" w14:textId="77777777" w:rsidR="00F90C98" w:rsidRPr="00002625" w:rsidRDefault="00F90C98" w:rsidP="00B5404D">
            <w:pPr>
              <w:pStyle w:val="TableText0"/>
            </w:pPr>
            <w:r w:rsidRPr="00002625">
              <w:t>84</w:t>
            </w:r>
          </w:p>
        </w:tc>
        <w:tc>
          <w:tcPr>
            <w:tcW w:w="724" w:type="pct"/>
          </w:tcPr>
          <w:p w14:paraId="236164E1" w14:textId="77777777" w:rsidR="00F90C98" w:rsidRPr="00002625" w:rsidRDefault="00F90C98" w:rsidP="00B5404D">
            <w:pPr>
              <w:pStyle w:val="TableText0"/>
            </w:pPr>
            <w:r w:rsidRPr="00002625">
              <w:t>0.6</w:t>
            </w:r>
          </w:p>
        </w:tc>
        <w:tc>
          <w:tcPr>
            <w:tcW w:w="1145" w:type="pct"/>
          </w:tcPr>
          <w:p w14:paraId="6A67CCA0" w14:textId="77777777" w:rsidR="00F90C98" w:rsidRPr="00002625" w:rsidRDefault="00F90C98" w:rsidP="00B5404D">
            <w:pPr>
              <w:pStyle w:val="TableText0"/>
              <w:rPr>
                <w:i/>
                <w:iCs/>
              </w:rPr>
            </w:pPr>
            <w:r w:rsidRPr="00002625">
              <w:rPr>
                <w:i/>
                <w:iCs/>
              </w:rPr>
              <w:t>0.2</w:t>
            </w:r>
          </w:p>
        </w:tc>
      </w:tr>
      <w:tr w:rsidR="00F90C98" w:rsidRPr="00002625" w14:paraId="5B7792EF" w14:textId="77777777" w:rsidTr="00310E52">
        <w:tc>
          <w:tcPr>
            <w:tcW w:w="180" w:type="pct"/>
            <w:tcBorders>
              <w:top w:val="nil"/>
              <w:bottom w:val="single" w:sz="4" w:space="0" w:color="auto"/>
            </w:tcBorders>
          </w:tcPr>
          <w:p w14:paraId="51BA547C" w14:textId="77777777" w:rsidR="00F90C98" w:rsidRPr="00002625" w:rsidRDefault="00F90C98">
            <w:pPr>
              <w:pStyle w:val="TableText0"/>
              <w:rPr>
                <w:i/>
                <w:iCs/>
              </w:rPr>
            </w:pPr>
            <w:r w:rsidRPr="00002625">
              <w:rPr>
                <w:i/>
                <w:iCs/>
              </w:rPr>
              <w:t>J</w:t>
            </w:r>
          </w:p>
        </w:tc>
        <w:tc>
          <w:tcPr>
            <w:tcW w:w="2172" w:type="pct"/>
            <w:tcBorders>
              <w:top w:val="nil"/>
              <w:bottom w:val="single" w:sz="4" w:space="0" w:color="auto"/>
            </w:tcBorders>
          </w:tcPr>
          <w:p w14:paraId="744803F7" w14:textId="77777777" w:rsidR="00F90C98" w:rsidRPr="00002625" w:rsidRDefault="00F90C98">
            <w:pPr>
              <w:pStyle w:val="TableText0"/>
              <w:rPr>
                <w:i/>
                <w:iCs/>
              </w:rPr>
            </w:pPr>
            <w:r w:rsidRPr="00002625">
              <w:rPr>
                <w:i/>
                <w:iCs/>
              </w:rPr>
              <w:t>Estimated total colonoscopies (A+B)</w:t>
            </w:r>
          </w:p>
        </w:tc>
        <w:tc>
          <w:tcPr>
            <w:tcW w:w="779" w:type="pct"/>
          </w:tcPr>
          <w:p w14:paraId="09CD22A7" w14:textId="77777777" w:rsidR="00F90C98" w:rsidRPr="00002625" w:rsidRDefault="00F90C98" w:rsidP="00B5404D">
            <w:pPr>
              <w:pStyle w:val="TableText0"/>
              <w:rPr>
                <w:i/>
                <w:iCs/>
              </w:rPr>
            </w:pPr>
            <w:r w:rsidRPr="00002625">
              <w:rPr>
                <w:i/>
                <w:iCs/>
              </w:rPr>
              <w:t>54,981</w:t>
            </w:r>
          </w:p>
        </w:tc>
        <w:tc>
          <w:tcPr>
            <w:tcW w:w="724" w:type="pct"/>
          </w:tcPr>
          <w:p w14:paraId="1DB72754" w14:textId="77777777" w:rsidR="00F90C98" w:rsidRPr="00002625" w:rsidRDefault="00F90C98" w:rsidP="00B5404D">
            <w:pPr>
              <w:pStyle w:val="TableText0"/>
              <w:rPr>
                <w:i/>
                <w:iCs/>
              </w:rPr>
            </w:pPr>
            <w:r w:rsidRPr="00002625">
              <w:rPr>
                <w:i/>
                <w:iCs/>
              </w:rPr>
              <w:t>--</w:t>
            </w:r>
          </w:p>
        </w:tc>
        <w:tc>
          <w:tcPr>
            <w:tcW w:w="1145" w:type="pct"/>
          </w:tcPr>
          <w:p w14:paraId="166C8002" w14:textId="77777777" w:rsidR="00F90C98" w:rsidRPr="00002625" w:rsidRDefault="00F90C98" w:rsidP="00B5404D">
            <w:pPr>
              <w:pStyle w:val="TableText0"/>
              <w:rPr>
                <w:i/>
                <w:iCs/>
              </w:rPr>
            </w:pPr>
            <w:r w:rsidRPr="00002625">
              <w:rPr>
                <w:i/>
                <w:iCs/>
              </w:rPr>
              <w:t>(100)</w:t>
            </w:r>
          </w:p>
        </w:tc>
      </w:tr>
      <w:tr w:rsidR="00F90C98" w:rsidRPr="00002625" w14:paraId="6FF073EF" w14:textId="77777777" w:rsidTr="00310E52">
        <w:tc>
          <w:tcPr>
            <w:tcW w:w="180" w:type="pct"/>
            <w:tcBorders>
              <w:top w:val="nil"/>
              <w:bottom w:val="single" w:sz="4" w:space="0" w:color="auto"/>
            </w:tcBorders>
          </w:tcPr>
          <w:p w14:paraId="154CBC3C" w14:textId="77777777" w:rsidR="00F90C98" w:rsidRPr="00002625" w:rsidRDefault="00F90C98">
            <w:pPr>
              <w:pStyle w:val="TableText0"/>
              <w:rPr>
                <w:i/>
                <w:iCs/>
              </w:rPr>
            </w:pPr>
            <w:r w:rsidRPr="00002625">
              <w:rPr>
                <w:i/>
                <w:iCs/>
              </w:rPr>
              <w:t>K</w:t>
            </w:r>
          </w:p>
        </w:tc>
        <w:tc>
          <w:tcPr>
            <w:tcW w:w="2172" w:type="pct"/>
            <w:tcBorders>
              <w:top w:val="nil"/>
              <w:bottom w:val="single" w:sz="4" w:space="0" w:color="auto"/>
            </w:tcBorders>
          </w:tcPr>
          <w:p w14:paraId="3BDE025E" w14:textId="77777777" w:rsidR="00F90C98" w:rsidRPr="00002625" w:rsidRDefault="00F90C98">
            <w:pPr>
              <w:pStyle w:val="TableText0"/>
              <w:rPr>
                <w:i/>
                <w:iCs/>
              </w:rPr>
            </w:pPr>
            <w:r w:rsidRPr="00002625">
              <w:rPr>
                <w:i/>
                <w:iCs/>
              </w:rPr>
              <w:t>Total participants with histopathology or confirmed diagnosis (D+E+F+G+H+I) (as a proxy for biopsy recipients)</w:t>
            </w:r>
          </w:p>
        </w:tc>
        <w:tc>
          <w:tcPr>
            <w:tcW w:w="779" w:type="pct"/>
          </w:tcPr>
          <w:p w14:paraId="4F0DAF4F" w14:textId="77777777" w:rsidR="00F90C98" w:rsidRPr="00002625" w:rsidRDefault="00F90C98" w:rsidP="00B5404D">
            <w:pPr>
              <w:pStyle w:val="TableText0"/>
              <w:rPr>
                <w:i/>
                <w:iCs/>
              </w:rPr>
            </w:pPr>
            <w:r w:rsidRPr="00002625">
              <w:rPr>
                <w:i/>
                <w:iCs/>
              </w:rPr>
              <w:t>8,658</w:t>
            </w:r>
          </w:p>
        </w:tc>
        <w:tc>
          <w:tcPr>
            <w:tcW w:w="724" w:type="pct"/>
          </w:tcPr>
          <w:p w14:paraId="5B0B3766" w14:textId="77777777" w:rsidR="00F90C98" w:rsidRPr="00002625" w:rsidRDefault="00F90C98" w:rsidP="00B5404D">
            <w:pPr>
              <w:pStyle w:val="TableText0"/>
              <w:rPr>
                <w:i/>
                <w:iCs/>
              </w:rPr>
            </w:pPr>
            <w:r w:rsidRPr="00002625">
              <w:rPr>
                <w:i/>
                <w:iCs/>
              </w:rPr>
              <w:t>60.2</w:t>
            </w:r>
          </w:p>
        </w:tc>
        <w:tc>
          <w:tcPr>
            <w:tcW w:w="1145" w:type="pct"/>
          </w:tcPr>
          <w:p w14:paraId="58592BC1" w14:textId="77777777" w:rsidR="00F90C98" w:rsidRPr="00002625" w:rsidRDefault="00F90C98" w:rsidP="00B5404D">
            <w:pPr>
              <w:pStyle w:val="TableText0"/>
              <w:rPr>
                <w:b/>
                <w:bCs/>
                <w:i/>
                <w:iCs/>
              </w:rPr>
            </w:pPr>
            <w:r w:rsidRPr="00002625">
              <w:rPr>
                <w:b/>
                <w:bCs/>
                <w:i/>
                <w:iCs/>
              </w:rPr>
              <w:t>15.7</w:t>
            </w:r>
          </w:p>
        </w:tc>
      </w:tr>
    </w:tbl>
    <w:p w14:paraId="086FA8E8" w14:textId="07D7A82F" w:rsidR="00881C22" w:rsidRPr="00002625" w:rsidRDefault="00F90C98" w:rsidP="00F90C98">
      <w:pPr>
        <w:pStyle w:val="Tablenotes"/>
        <w:spacing w:after="240"/>
      </w:pPr>
      <w:r w:rsidRPr="00002625">
        <w:t xml:space="preserve">Explanatory notes are reproduced below (a – f). Text in italics represent figures derived by the evaluation group. </w:t>
      </w:r>
      <w:r w:rsidRPr="00002625">
        <w:tab/>
      </w:r>
      <w:r w:rsidRPr="00002625">
        <w:br/>
        <w:t>NBCSP = National Bowel Cancer Screening Program; NCSR = National Cancer Screening Register (NBCSP and cervical screening); PFUF = Participant Follow Up Function (NBCSP).</w:t>
      </w:r>
      <w:r w:rsidRPr="00002625">
        <w:tab/>
      </w:r>
      <w:r w:rsidRPr="00002625">
        <w:br/>
      </w:r>
      <w:r w:rsidRPr="00002625">
        <w:rPr>
          <w:vertAlign w:val="superscript"/>
        </w:rPr>
        <w:t xml:space="preserve">a </w:t>
      </w:r>
      <w:r w:rsidRPr="00002625">
        <w:t>‘No issue noted’ recorded when no cancers, adenomas, polyps or other diagnoses were noted at colonoscopy and/or histopathology.</w:t>
      </w:r>
      <w:r w:rsidRPr="00002625">
        <w:tab/>
      </w:r>
      <w:r w:rsidRPr="00002625">
        <w:br/>
      </w:r>
      <w:r w:rsidRPr="00002625">
        <w:rPr>
          <w:vertAlign w:val="superscript"/>
        </w:rPr>
        <w:t>b</w:t>
      </w:r>
      <w:r w:rsidRPr="00002625">
        <w:t xml:space="preserve"> Polyps detected at assessment and sent to histopathology for analysis. No histopathology report form received by Register.</w:t>
      </w:r>
      <w:r w:rsidRPr="00002625">
        <w:tab/>
        <w:t xml:space="preserve"> </w:t>
      </w:r>
      <w:r w:rsidRPr="00002625">
        <w:br/>
      </w:r>
      <w:r w:rsidRPr="00002625">
        <w:rPr>
          <w:vertAlign w:val="superscript"/>
        </w:rPr>
        <w:t>c</w:t>
      </w:r>
      <w:r w:rsidRPr="00002625">
        <w:t xml:space="preserve"> A non-cancer, non-adenoma diagnosis was recorded at colonoscopy; for example, hyperplastic polyps.</w:t>
      </w:r>
      <w:r w:rsidRPr="00002625">
        <w:tab/>
      </w:r>
      <w:r w:rsidRPr="00002625">
        <w:br/>
      </w:r>
      <w:r w:rsidRPr="00002625">
        <w:rPr>
          <w:vertAlign w:val="superscript"/>
        </w:rPr>
        <w:t>d</w:t>
      </w:r>
      <w:r w:rsidRPr="00002625">
        <w:t xml:space="preserve"> Confirmed adenoma figures were based on a combination of the assessment and histopathology report forms for a person received by the NCSR. </w:t>
      </w:r>
      <w:r w:rsidRPr="00002625">
        <w:br/>
      </w:r>
      <w:r w:rsidRPr="00002625">
        <w:rPr>
          <w:vertAlign w:val="superscript"/>
        </w:rPr>
        <w:t>e</w:t>
      </w:r>
      <w:r w:rsidRPr="00002625">
        <w:t xml:space="preserve"> Cancer suspected at assessment but not yet confirmed by histopathology. </w:t>
      </w:r>
      <w:r w:rsidRPr="00002625">
        <w:tab/>
      </w:r>
      <w:r w:rsidRPr="00002625">
        <w:br/>
      </w:r>
      <w:r w:rsidRPr="00002625">
        <w:rPr>
          <w:vertAlign w:val="superscript"/>
        </w:rPr>
        <w:t>f</w:t>
      </w:r>
      <w:r w:rsidRPr="00002625">
        <w:t xml:space="preserve"> Cancer confirmed by histopathology.</w:t>
      </w:r>
      <w:r w:rsidR="00881C22" w:rsidRPr="00002625">
        <w:tab/>
      </w:r>
      <w:r w:rsidR="00881C22" w:rsidRPr="00002625">
        <w:br/>
        <w:t>Source: AIHW 2024 Appendix (Table A4.1: Available assessment outcomes of people aged 50–74, by age and sex, Australia, assessed in 2022).</w:t>
      </w:r>
    </w:p>
    <w:p w14:paraId="12703E1B" w14:textId="77777777" w:rsidR="00F90C98" w:rsidRPr="00002625" w:rsidRDefault="00F90C98" w:rsidP="00F31B31"/>
    <w:p w14:paraId="23382677" w14:textId="77777777" w:rsidR="00A528FB" w:rsidRPr="00002625" w:rsidRDefault="00A528FB" w:rsidP="00A528FB"/>
    <w:p w14:paraId="3C286458" w14:textId="77777777" w:rsidR="00A528FB" w:rsidRPr="00002625" w:rsidRDefault="00A528FB" w:rsidP="00A528FB">
      <w:pPr>
        <w:sectPr w:rsidR="00A528FB" w:rsidRPr="00002625" w:rsidSect="00A528FB">
          <w:headerReference w:type="default" r:id="rId33"/>
          <w:footerReference w:type="even" r:id="rId34"/>
          <w:footerReference w:type="default" r:id="rId35"/>
          <w:pgSz w:w="11906" w:h="16838"/>
          <w:pgMar w:top="682" w:right="1134" w:bottom="1021" w:left="1191" w:header="709" w:footer="709" w:gutter="0"/>
          <w:cols w:space="708"/>
          <w:docGrid w:linePitch="360"/>
        </w:sectPr>
      </w:pPr>
    </w:p>
    <w:p w14:paraId="749E57E3" w14:textId="247A701B" w:rsidR="00A528FB" w:rsidRPr="00002625" w:rsidRDefault="00A528FB" w:rsidP="00A528FB">
      <w:pPr>
        <w:pStyle w:val="Heading2"/>
      </w:pPr>
      <w:bookmarkStart w:id="45" w:name="_Ref179974094"/>
      <w:bookmarkStart w:id="46" w:name="_Ref181126390"/>
      <w:r w:rsidRPr="00002625">
        <w:lastRenderedPageBreak/>
        <w:t xml:space="preserve">Appendix </w:t>
      </w:r>
      <w:bookmarkEnd w:id="45"/>
      <w:r w:rsidR="00142634" w:rsidRPr="00002625">
        <w:t>2</w:t>
      </w:r>
      <w:bookmarkEnd w:id="46"/>
    </w:p>
    <w:p w14:paraId="799E8A16" w14:textId="337B439B" w:rsidR="00A528FB" w:rsidRPr="00002625" w:rsidRDefault="006F415D" w:rsidP="00A528FB">
      <w:pPr>
        <w:pStyle w:val="Heading3"/>
      </w:pPr>
      <w:r w:rsidRPr="00002625">
        <w:t>Clinical evidence presented by</w:t>
      </w:r>
      <w:r w:rsidR="00A528FB" w:rsidRPr="00002625">
        <w:t xml:space="preserve"> the applicant</w:t>
      </w:r>
    </w:p>
    <w:p w14:paraId="1B1B1094" w14:textId="79B69EC4" w:rsidR="00F31B31" w:rsidRPr="00002625" w:rsidRDefault="00673504" w:rsidP="002A1DD6">
      <w:r w:rsidRPr="00002625">
        <w:t xml:space="preserve">The studies cited by the applicant as evidence are summarised in </w:t>
      </w:r>
      <w:r w:rsidR="008F4F5E" w:rsidRPr="00002625">
        <w:fldChar w:fldCharType="begin"/>
      </w:r>
      <w:r w:rsidR="008F4F5E" w:rsidRPr="00002625">
        <w:instrText xml:space="preserve"> REF _Ref179970014 \h </w:instrText>
      </w:r>
      <w:r w:rsidR="008F4F5E" w:rsidRPr="00002625">
        <w:fldChar w:fldCharType="separate"/>
      </w:r>
      <w:r w:rsidR="00637321" w:rsidRPr="00002625">
        <w:t>Table </w:t>
      </w:r>
      <w:r w:rsidR="00637321" w:rsidRPr="00002625">
        <w:rPr>
          <w:noProof/>
        </w:rPr>
        <w:t>18</w:t>
      </w:r>
      <w:r w:rsidR="008F4F5E" w:rsidRPr="00002625">
        <w:fldChar w:fldCharType="end"/>
      </w:r>
      <w:r w:rsidR="008F4F5E" w:rsidRPr="00002625">
        <w:t xml:space="preserve"> </w:t>
      </w:r>
      <w:r w:rsidRPr="00002625">
        <w:t xml:space="preserve">(comparative </w:t>
      </w:r>
      <w:r w:rsidR="00602924" w:rsidRPr="00002625">
        <w:t xml:space="preserve">evidence) and in </w:t>
      </w:r>
      <w:r w:rsidR="008F4F5E" w:rsidRPr="00002625">
        <w:fldChar w:fldCharType="begin"/>
      </w:r>
      <w:r w:rsidR="008F4F5E" w:rsidRPr="00002625">
        <w:instrText xml:space="preserve"> REF _Ref179970039 \h </w:instrText>
      </w:r>
      <w:r w:rsidR="0075318F" w:rsidRPr="00002625">
        <w:instrText xml:space="preserve"> \* MERGEFORMAT </w:instrText>
      </w:r>
      <w:r w:rsidR="008F4F5E" w:rsidRPr="00002625">
        <w:fldChar w:fldCharType="separate"/>
      </w:r>
      <w:r w:rsidR="00637321" w:rsidRPr="00002625">
        <w:t>Table 19</w:t>
      </w:r>
      <w:r w:rsidR="008F4F5E" w:rsidRPr="00002625">
        <w:fldChar w:fldCharType="end"/>
      </w:r>
      <w:r w:rsidR="008F4F5E" w:rsidRPr="00002625">
        <w:t xml:space="preserve"> </w:t>
      </w:r>
      <w:r w:rsidR="00602924" w:rsidRPr="00002625">
        <w:t xml:space="preserve">(other, non-comparative evidence). </w:t>
      </w:r>
    </w:p>
    <w:p w14:paraId="2EDBA7E6" w14:textId="3CBE075C" w:rsidR="009E4099" w:rsidRPr="00002625" w:rsidRDefault="009E4099" w:rsidP="009E4099">
      <w:pPr>
        <w:pStyle w:val="Caption"/>
        <w:rPr>
          <w:sz w:val="16"/>
          <w:szCs w:val="16"/>
          <w:lang w:val="en-AU"/>
        </w:rPr>
      </w:pPr>
      <w:bookmarkStart w:id="47" w:name="_Ref179970014"/>
      <w:r w:rsidRPr="00002625">
        <w:rPr>
          <w:lang w:val="en-AU"/>
        </w:rPr>
        <w:t>Table </w:t>
      </w:r>
      <w:r w:rsidRPr="00002625">
        <w:rPr>
          <w:lang w:val="en-AU"/>
        </w:rPr>
        <w:fldChar w:fldCharType="begin"/>
      </w:r>
      <w:r w:rsidRPr="00002625">
        <w:rPr>
          <w:lang w:val="en-AU"/>
        </w:rPr>
        <w:instrText xml:space="preserve"> SEQ Table \* ARABIC </w:instrText>
      </w:r>
      <w:r w:rsidRPr="00002625">
        <w:rPr>
          <w:lang w:val="en-AU"/>
        </w:rPr>
        <w:fldChar w:fldCharType="separate"/>
      </w:r>
      <w:r w:rsidR="00637321" w:rsidRPr="00002625">
        <w:rPr>
          <w:noProof/>
          <w:lang w:val="en-AU"/>
        </w:rPr>
        <w:t>18</w:t>
      </w:r>
      <w:r w:rsidRPr="00002625">
        <w:rPr>
          <w:noProof/>
          <w:lang w:val="en-AU"/>
        </w:rPr>
        <w:fldChar w:fldCharType="end"/>
      </w:r>
      <w:bookmarkEnd w:id="47"/>
      <w:r w:rsidRPr="00002625">
        <w:rPr>
          <w:lang w:val="en-AU"/>
        </w:rPr>
        <w:tab/>
      </w:r>
      <w:r w:rsidR="00E403F4" w:rsidRPr="00002625">
        <w:rPr>
          <w:lang w:val="en-AU"/>
        </w:rPr>
        <w:t>C</w:t>
      </w:r>
      <w:r w:rsidR="00602924" w:rsidRPr="00002625">
        <w:rPr>
          <w:lang w:val="en-AU"/>
        </w:rPr>
        <w:t>omparative c</w:t>
      </w:r>
      <w:r w:rsidR="00E403F4" w:rsidRPr="00002625">
        <w:rPr>
          <w:lang w:val="en-AU"/>
        </w:rPr>
        <w:t>linical evidence presented by the applicant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7 Comparative clinical evidence presented by the applicant"/>
        <w:tblDescription w:val="Table showing comparative clinical evidence presented by the applicant"/>
      </w:tblPr>
      <w:tblGrid>
        <w:gridCol w:w="843"/>
        <w:gridCol w:w="2979"/>
        <w:gridCol w:w="4814"/>
        <w:gridCol w:w="935"/>
      </w:tblGrid>
      <w:tr w:rsidR="009857E0" w:rsidRPr="00002625" w14:paraId="4D1D4874" w14:textId="77777777" w:rsidTr="0076462D">
        <w:trPr>
          <w:tblHeader/>
        </w:trPr>
        <w:tc>
          <w:tcPr>
            <w:tcW w:w="843" w:type="dxa"/>
          </w:tcPr>
          <w:p w14:paraId="3BC4EC36" w14:textId="41AEB384" w:rsidR="00383E72" w:rsidRPr="00002625" w:rsidRDefault="00383E72" w:rsidP="00602924">
            <w:pPr>
              <w:pStyle w:val="TableText0"/>
              <w:ind w:left="-57" w:right="-57"/>
              <w:rPr>
                <w:b/>
                <w:szCs w:val="20"/>
              </w:rPr>
            </w:pPr>
            <w:r w:rsidRPr="00002625">
              <w:rPr>
                <w:b/>
                <w:szCs w:val="20"/>
              </w:rPr>
              <w:t>Ref ID</w:t>
            </w:r>
          </w:p>
        </w:tc>
        <w:tc>
          <w:tcPr>
            <w:tcW w:w="2979" w:type="dxa"/>
            <w:hideMark/>
          </w:tcPr>
          <w:p w14:paraId="0CA69C4D" w14:textId="30AF3005" w:rsidR="00383E72" w:rsidRPr="00002625" w:rsidRDefault="00383E72" w:rsidP="00602924">
            <w:pPr>
              <w:pStyle w:val="TableText0"/>
              <w:rPr>
                <w:b/>
                <w:szCs w:val="20"/>
              </w:rPr>
            </w:pPr>
            <w:r w:rsidRPr="00002625">
              <w:rPr>
                <w:b/>
                <w:szCs w:val="20"/>
              </w:rPr>
              <w:t>Citation</w:t>
            </w:r>
          </w:p>
        </w:tc>
        <w:tc>
          <w:tcPr>
            <w:tcW w:w="4814" w:type="dxa"/>
          </w:tcPr>
          <w:p w14:paraId="6EC6F0CA" w14:textId="65531393" w:rsidR="00383E72" w:rsidRPr="00002625" w:rsidRDefault="00A62D20" w:rsidP="00602924">
            <w:pPr>
              <w:pStyle w:val="TableText0"/>
              <w:rPr>
                <w:b/>
                <w:szCs w:val="20"/>
              </w:rPr>
            </w:pPr>
            <w:r w:rsidRPr="00002625">
              <w:rPr>
                <w:b/>
                <w:szCs w:val="20"/>
              </w:rPr>
              <w:t>Study c</w:t>
            </w:r>
            <w:r w:rsidR="00E403F4" w:rsidRPr="00002625">
              <w:rPr>
                <w:b/>
                <w:szCs w:val="20"/>
              </w:rPr>
              <w:t>haracteristics</w:t>
            </w:r>
          </w:p>
        </w:tc>
        <w:tc>
          <w:tcPr>
            <w:tcW w:w="935" w:type="dxa"/>
          </w:tcPr>
          <w:p w14:paraId="611065C6" w14:textId="3852EF76" w:rsidR="00383E72" w:rsidRPr="00002625" w:rsidRDefault="00383E72" w:rsidP="009857E0">
            <w:pPr>
              <w:pStyle w:val="TableText0"/>
              <w:ind w:left="-57" w:right="-57"/>
              <w:rPr>
                <w:b/>
                <w:szCs w:val="20"/>
              </w:rPr>
            </w:pPr>
            <w:r w:rsidRPr="00002625">
              <w:rPr>
                <w:b/>
                <w:szCs w:val="20"/>
              </w:rPr>
              <w:t xml:space="preserve">PICO </w:t>
            </w:r>
            <w:r w:rsidR="00EA4B11" w:rsidRPr="00002625">
              <w:rPr>
                <w:b/>
                <w:szCs w:val="20"/>
              </w:rPr>
              <w:t>s</w:t>
            </w:r>
            <w:r w:rsidRPr="00002625">
              <w:rPr>
                <w:b/>
                <w:szCs w:val="20"/>
              </w:rPr>
              <w:t>ets</w:t>
            </w:r>
          </w:p>
        </w:tc>
      </w:tr>
      <w:tr w:rsidR="009857E0" w:rsidRPr="00002625" w14:paraId="21126D32" w14:textId="77777777" w:rsidTr="0076462D">
        <w:tc>
          <w:tcPr>
            <w:tcW w:w="843" w:type="dxa"/>
          </w:tcPr>
          <w:p w14:paraId="777156B7" w14:textId="3D9BCE1E" w:rsidR="001F2957" w:rsidRPr="00002625" w:rsidRDefault="001F2957" w:rsidP="001F2957">
            <w:pPr>
              <w:pStyle w:val="TableText0"/>
              <w:ind w:left="-57" w:right="-57"/>
              <w:rPr>
                <w:szCs w:val="20"/>
              </w:rPr>
            </w:pPr>
            <w:r w:rsidRPr="00002625">
              <w:rPr>
                <w:szCs w:val="20"/>
              </w:rPr>
              <w:t>Pickhardt 2003</w:t>
            </w:r>
          </w:p>
        </w:tc>
        <w:tc>
          <w:tcPr>
            <w:tcW w:w="2979" w:type="dxa"/>
          </w:tcPr>
          <w:p w14:paraId="3859278C" w14:textId="77777777" w:rsidR="001F2957" w:rsidRPr="00002625" w:rsidRDefault="001F2957" w:rsidP="001F2957">
            <w:pPr>
              <w:pStyle w:val="TableText0"/>
              <w:rPr>
                <w:szCs w:val="20"/>
              </w:rPr>
            </w:pPr>
            <w:r w:rsidRPr="00002625">
              <w:rPr>
                <w:szCs w:val="20"/>
              </w:rPr>
              <w:t>Computed tomographic virtual colonoscopy to screen for colorectal neoplasia in asymptomatic adults.</w:t>
            </w:r>
          </w:p>
          <w:p w14:paraId="64CC1CD8" w14:textId="77777777" w:rsidR="001F2957" w:rsidRPr="00002625" w:rsidRDefault="001F2957" w:rsidP="001F2957">
            <w:pPr>
              <w:pStyle w:val="TableText0"/>
              <w:rPr>
                <w:szCs w:val="20"/>
              </w:rPr>
            </w:pPr>
            <w:r w:rsidRPr="00002625">
              <w:rPr>
                <w:szCs w:val="20"/>
              </w:rPr>
              <w:t xml:space="preserve">Pickhardt PJ, Choi JR, Hwang I, Butler JA, Puckett ML, Hildebrandt HA, Wong RK, Nugent PA, Mysliwiec PA, Schindler WR. </w:t>
            </w:r>
          </w:p>
          <w:p w14:paraId="52189CBF" w14:textId="299218BF" w:rsidR="001F2957" w:rsidRPr="00002625" w:rsidRDefault="001F2957" w:rsidP="001F2957">
            <w:pPr>
              <w:pStyle w:val="TableText0"/>
              <w:rPr>
                <w:szCs w:val="20"/>
              </w:rPr>
            </w:pPr>
            <w:r w:rsidRPr="00002625">
              <w:rPr>
                <w:szCs w:val="20"/>
              </w:rPr>
              <w:t>N Engl J Med. 2003 Dec 4;349(23):2191-200.</w:t>
            </w:r>
          </w:p>
        </w:tc>
        <w:tc>
          <w:tcPr>
            <w:tcW w:w="4814" w:type="dxa"/>
          </w:tcPr>
          <w:p w14:paraId="53AD0BAB" w14:textId="1AB62BCF" w:rsidR="001F2957" w:rsidRPr="00002625" w:rsidRDefault="00B13404" w:rsidP="001F2957">
            <w:pPr>
              <w:pStyle w:val="TableText0"/>
              <w:rPr>
                <w:szCs w:val="20"/>
              </w:rPr>
            </w:pPr>
            <w:r w:rsidRPr="00002625">
              <w:rPr>
                <w:szCs w:val="20"/>
              </w:rPr>
              <w:t>Prospective o</w:t>
            </w:r>
            <w:r w:rsidR="001F2957" w:rsidRPr="00002625">
              <w:rPr>
                <w:szCs w:val="20"/>
              </w:rPr>
              <w:t xml:space="preserve">bservational cohort (N=1233), received </w:t>
            </w:r>
            <w:r w:rsidRPr="00002625">
              <w:rPr>
                <w:szCs w:val="20"/>
              </w:rPr>
              <w:t xml:space="preserve">both </w:t>
            </w:r>
            <w:r w:rsidR="001F2957" w:rsidRPr="00002625">
              <w:rPr>
                <w:szCs w:val="20"/>
              </w:rPr>
              <w:t>OC and CTC in sequence</w:t>
            </w:r>
            <w:r w:rsidR="00D75E26" w:rsidRPr="00002625">
              <w:rPr>
                <w:szCs w:val="20"/>
              </w:rPr>
              <w:t xml:space="preserve"> (same day)</w:t>
            </w:r>
          </w:p>
          <w:p w14:paraId="3277EC7C" w14:textId="499B08F3" w:rsidR="001F2957" w:rsidRPr="00002625" w:rsidRDefault="001F2957" w:rsidP="001F2957">
            <w:pPr>
              <w:pStyle w:val="TableText0"/>
              <w:rPr>
                <w:szCs w:val="20"/>
              </w:rPr>
            </w:pPr>
            <w:r w:rsidRPr="00002625">
              <w:rPr>
                <w:szCs w:val="20"/>
              </w:rPr>
              <w:t>Asymptomatic adults, mean age, 57.8</w:t>
            </w:r>
            <w:r w:rsidR="00424BF3" w:rsidRPr="00002625">
              <w:rPr>
                <w:szCs w:val="20"/>
              </w:rPr>
              <w:t> </w:t>
            </w:r>
            <w:r w:rsidRPr="00002625">
              <w:rPr>
                <w:szCs w:val="20"/>
              </w:rPr>
              <w:t>y (no range or SD reported)</w:t>
            </w:r>
            <w:r w:rsidR="00082DF5" w:rsidRPr="00002625">
              <w:rPr>
                <w:szCs w:val="20"/>
              </w:rPr>
              <w:t>. Any CRC symptoms or risk factors were exclusion criteria.</w:t>
            </w:r>
          </w:p>
          <w:p w14:paraId="3DB81562" w14:textId="77777777" w:rsidR="001F2957" w:rsidRPr="00002625" w:rsidRDefault="001F2957" w:rsidP="001F2957">
            <w:pPr>
              <w:pStyle w:val="TableText0"/>
              <w:rPr>
                <w:szCs w:val="20"/>
              </w:rPr>
            </w:pPr>
            <w:r w:rsidRPr="00002625">
              <w:rPr>
                <w:szCs w:val="20"/>
              </w:rPr>
              <w:t>Non-randomised, consecutive patients</w:t>
            </w:r>
          </w:p>
          <w:p w14:paraId="5A191D40" w14:textId="77777777" w:rsidR="001F2957" w:rsidRPr="00002625" w:rsidRDefault="001F2957" w:rsidP="001F2957">
            <w:pPr>
              <w:pStyle w:val="TableText0"/>
              <w:rPr>
                <w:szCs w:val="20"/>
              </w:rPr>
            </w:pPr>
            <w:r w:rsidRPr="00002625">
              <w:rPr>
                <w:szCs w:val="20"/>
              </w:rPr>
              <w:t>Open label, concealed outcomes</w:t>
            </w:r>
          </w:p>
          <w:p w14:paraId="15422561" w14:textId="47D1E7AE" w:rsidR="001F2957" w:rsidRPr="00002625" w:rsidRDefault="001F2957" w:rsidP="001F2957">
            <w:pPr>
              <w:pStyle w:val="TableText0"/>
              <w:rPr>
                <w:szCs w:val="20"/>
              </w:rPr>
            </w:pPr>
            <w:r w:rsidRPr="00002625">
              <w:rPr>
                <w:szCs w:val="20"/>
              </w:rPr>
              <w:t>Outcomes reported: polyps by number, size, site and histology. Also reported: inadequate preparation, incomplete OC, complications.</w:t>
            </w:r>
          </w:p>
        </w:tc>
        <w:tc>
          <w:tcPr>
            <w:tcW w:w="935" w:type="dxa"/>
          </w:tcPr>
          <w:p w14:paraId="25A0B37C" w14:textId="11AF3A26" w:rsidR="001F2957" w:rsidRPr="00002625" w:rsidRDefault="00FF3733" w:rsidP="009857E0">
            <w:pPr>
              <w:pStyle w:val="TableText0"/>
              <w:ind w:left="-57" w:right="-57"/>
              <w:rPr>
                <w:szCs w:val="20"/>
              </w:rPr>
            </w:pPr>
            <w:r w:rsidRPr="00002625">
              <w:rPr>
                <w:szCs w:val="18"/>
              </w:rPr>
              <w:t>1,</w:t>
            </w:r>
            <w:r w:rsidR="00E70E59" w:rsidRPr="00002625">
              <w:rPr>
                <w:szCs w:val="18"/>
              </w:rPr>
              <w:t>2,</w:t>
            </w:r>
            <w:r w:rsidR="008C33BE" w:rsidRPr="00002625">
              <w:rPr>
                <w:szCs w:val="18"/>
              </w:rPr>
              <w:t>3,</w:t>
            </w:r>
            <w:r w:rsidR="00115EF4" w:rsidRPr="00002625">
              <w:rPr>
                <w:szCs w:val="18"/>
              </w:rPr>
              <w:t>4,</w:t>
            </w:r>
            <w:r w:rsidR="001F2957" w:rsidRPr="00002625">
              <w:rPr>
                <w:szCs w:val="18"/>
              </w:rPr>
              <w:t>5,6</w:t>
            </w:r>
          </w:p>
        </w:tc>
      </w:tr>
      <w:tr w:rsidR="009857E0" w:rsidRPr="00002625" w14:paraId="7EF97B02" w14:textId="77777777" w:rsidTr="0076462D">
        <w:tc>
          <w:tcPr>
            <w:tcW w:w="843" w:type="dxa"/>
          </w:tcPr>
          <w:p w14:paraId="5AF3E623" w14:textId="1073116E" w:rsidR="00E70E59" w:rsidRPr="00002625" w:rsidRDefault="00E70E59" w:rsidP="00E70E59">
            <w:pPr>
              <w:pStyle w:val="TableText0"/>
              <w:ind w:left="-57" w:right="-57"/>
              <w:rPr>
                <w:szCs w:val="20"/>
              </w:rPr>
            </w:pPr>
            <w:r w:rsidRPr="00002625">
              <w:rPr>
                <w:szCs w:val="20"/>
              </w:rPr>
              <w:t>Kim 2007</w:t>
            </w:r>
          </w:p>
        </w:tc>
        <w:tc>
          <w:tcPr>
            <w:tcW w:w="2979" w:type="dxa"/>
          </w:tcPr>
          <w:p w14:paraId="61893092" w14:textId="77777777" w:rsidR="00E70E59" w:rsidRPr="00002625" w:rsidRDefault="00E70E59" w:rsidP="00E70E59">
            <w:pPr>
              <w:pStyle w:val="TableText0"/>
              <w:rPr>
                <w:szCs w:val="20"/>
              </w:rPr>
            </w:pPr>
            <w:r w:rsidRPr="00002625">
              <w:rPr>
                <w:szCs w:val="20"/>
              </w:rPr>
              <w:t>CT colonography versus colonoscopy for the detection of advanced neoplasia.</w:t>
            </w:r>
          </w:p>
          <w:p w14:paraId="50740102" w14:textId="77777777" w:rsidR="00E70E59" w:rsidRPr="00002625" w:rsidRDefault="00E70E59" w:rsidP="00E70E59">
            <w:pPr>
              <w:pStyle w:val="TableText0"/>
              <w:rPr>
                <w:szCs w:val="20"/>
              </w:rPr>
            </w:pPr>
            <w:r w:rsidRPr="00002625">
              <w:rPr>
                <w:szCs w:val="20"/>
              </w:rPr>
              <w:t xml:space="preserve">Kim DH, Pickhardt PJ, Taylor AJ, Leung WK, Winter TC, Hinshaw JL, Gopal DV, Reichelderfer M, Hsu RH, Pfau PR. </w:t>
            </w:r>
          </w:p>
          <w:p w14:paraId="59D0B7C9" w14:textId="22707CE4" w:rsidR="00E70E59" w:rsidRPr="00002625" w:rsidRDefault="00E70E59" w:rsidP="00E70E59">
            <w:pPr>
              <w:pStyle w:val="TableText0"/>
              <w:rPr>
                <w:szCs w:val="20"/>
              </w:rPr>
            </w:pPr>
            <w:r w:rsidRPr="00002625">
              <w:rPr>
                <w:szCs w:val="20"/>
              </w:rPr>
              <w:t>N Engl J Med. 2007 Oct 4;357(14):1403-12.</w:t>
            </w:r>
          </w:p>
        </w:tc>
        <w:tc>
          <w:tcPr>
            <w:tcW w:w="4814" w:type="dxa"/>
          </w:tcPr>
          <w:p w14:paraId="78C27757" w14:textId="6A7CB1CB" w:rsidR="00B97187" w:rsidRPr="00002625" w:rsidRDefault="00A44893" w:rsidP="00B97187">
            <w:pPr>
              <w:pStyle w:val="TableText0"/>
              <w:rPr>
                <w:szCs w:val="20"/>
              </w:rPr>
            </w:pPr>
            <w:r w:rsidRPr="00002625">
              <w:rPr>
                <w:szCs w:val="20"/>
              </w:rPr>
              <w:t xml:space="preserve">Two retrospective observational cohorts of consecutive patients that received either </w:t>
            </w:r>
            <w:r w:rsidR="00B97187" w:rsidRPr="00002625">
              <w:rPr>
                <w:szCs w:val="20"/>
              </w:rPr>
              <w:t xml:space="preserve">CTC (N=3120) </w:t>
            </w:r>
            <w:r w:rsidRPr="00002625">
              <w:rPr>
                <w:szCs w:val="20"/>
              </w:rPr>
              <w:t>or</w:t>
            </w:r>
            <w:r w:rsidR="00B97187" w:rsidRPr="00002625">
              <w:rPr>
                <w:szCs w:val="20"/>
              </w:rPr>
              <w:t xml:space="preserve"> OC (N=3163)</w:t>
            </w:r>
          </w:p>
          <w:p w14:paraId="4B07D609" w14:textId="3156DF08" w:rsidR="00E70E59" w:rsidRPr="00002625" w:rsidRDefault="00B97187" w:rsidP="00B97187">
            <w:pPr>
              <w:pStyle w:val="TableText0"/>
              <w:rPr>
                <w:szCs w:val="20"/>
              </w:rPr>
            </w:pPr>
            <w:r w:rsidRPr="00002625">
              <w:rPr>
                <w:szCs w:val="20"/>
              </w:rPr>
              <w:t>Screening</w:t>
            </w:r>
            <w:r w:rsidR="00082DF5" w:rsidRPr="00002625">
              <w:rPr>
                <w:szCs w:val="20"/>
              </w:rPr>
              <w:t xml:space="preserve"> population of </w:t>
            </w:r>
            <w:r w:rsidRPr="00002625">
              <w:rPr>
                <w:szCs w:val="20"/>
              </w:rPr>
              <w:t>adults (</w:t>
            </w:r>
            <w:r w:rsidR="00C60801" w:rsidRPr="00002625">
              <w:rPr>
                <w:szCs w:val="20"/>
              </w:rPr>
              <w:t xml:space="preserve">CTC age: </w:t>
            </w:r>
            <w:r w:rsidRPr="00002625">
              <w:rPr>
                <w:szCs w:val="20"/>
              </w:rPr>
              <w:t>57.0±7.2</w:t>
            </w:r>
            <w:r w:rsidR="001809A5" w:rsidRPr="00002625">
              <w:rPr>
                <w:szCs w:val="20"/>
              </w:rPr>
              <w:t> </w:t>
            </w:r>
            <w:r w:rsidRPr="00002625">
              <w:rPr>
                <w:szCs w:val="20"/>
              </w:rPr>
              <w:t>y</w:t>
            </w:r>
            <w:r w:rsidR="00C60801" w:rsidRPr="00002625">
              <w:rPr>
                <w:szCs w:val="20"/>
              </w:rPr>
              <w:t xml:space="preserve">; OC age: </w:t>
            </w:r>
            <w:r w:rsidRPr="00002625">
              <w:rPr>
                <w:szCs w:val="20"/>
              </w:rPr>
              <w:t>58.1±7.8</w:t>
            </w:r>
            <w:r w:rsidR="001809A5" w:rsidRPr="00002625">
              <w:rPr>
                <w:szCs w:val="20"/>
              </w:rPr>
              <w:t> </w:t>
            </w:r>
            <w:r w:rsidRPr="00002625">
              <w:rPr>
                <w:szCs w:val="20"/>
              </w:rPr>
              <w:t>y)</w:t>
            </w:r>
            <w:r w:rsidR="00674E71" w:rsidRPr="00002625">
              <w:rPr>
                <w:szCs w:val="20"/>
              </w:rPr>
              <w:t xml:space="preserve">. </w:t>
            </w:r>
            <w:r w:rsidR="00E207A9" w:rsidRPr="00002625">
              <w:rPr>
                <w:szCs w:val="20"/>
              </w:rPr>
              <w:t>Exclusion criteria included a history of</w:t>
            </w:r>
            <w:r w:rsidR="00674E71" w:rsidRPr="00002625">
              <w:rPr>
                <w:szCs w:val="20"/>
              </w:rPr>
              <w:t xml:space="preserve"> CRC </w:t>
            </w:r>
            <w:r w:rsidR="00E207A9" w:rsidRPr="00002625">
              <w:rPr>
                <w:szCs w:val="20"/>
              </w:rPr>
              <w:t xml:space="preserve">or other </w:t>
            </w:r>
            <w:r w:rsidR="00674E71" w:rsidRPr="00002625">
              <w:rPr>
                <w:szCs w:val="20"/>
              </w:rPr>
              <w:t>risk factors.</w:t>
            </w:r>
          </w:p>
          <w:p w14:paraId="37278984" w14:textId="3CA3D3B5" w:rsidR="003D4F72" w:rsidRPr="00002625" w:rsidRDefault="003D4F72" w:rsidP="00B97187">
            <w:pPr>
              <w:pStyle w:val="TableText0"/>
              <w:rPr>
                <w:szCs w:val="20"/>
              </w:rPr>
            </w:pPr>
            <w:r w:rsidRPr="00002625">
              <w:rPr>
                <w:szCs w:val="20"/>
              </w:rPr>
              <w:t xml:space="preserve">Outcomes: </w:t>
            </w:r>
            <w:r w:rsidR="0077445D" w:rsidRPr="00002625">
              <w:rPr>
                <w:szCs w:val="20"/>
              </w:rPr>
              <w:t>polyps by size, number</w:t>
            </w:r>
            <w:r w:rsidR="00873B02" w:rsidRPr="00002625">
              <w:rPr>
                <w:szCs w:val="20"/>
              </w:rPr>
              <w:t xml:space="preserve">, </w:t>
            </w:r>
            <w:r w:rsidR="0077445D" w:rsidRPr="00002625">
              <w:rPr>
                <w:szCs w:val="20"/>
              </w:rPr>
              <w:t>histology</w:t>
            </w:r>
            <w:r w:rsidR="003004B3" w:rsidRPr="00002625">
              <w:rPr>
                <w:szCs w:val="20"/>
              </w:rPr>
              <w:t>; total harvested polyps</w:t>
            </w:r>
            <w:r w:rsidR="0077445D" w:rsidRPr="00002625">
              <w:rPr>
                <w:szCs w:val="20"/>
              </w:rPr>
              <w:t xml:space="preserve">; </w:t>
            </w:r>
            <w:r w:rsidRPr="00002625">
              <w:rPr>
                <w:szCs w:val="20"/>
              </w:rPr>
              <w:t>detection of advanced neoplasia (advanced adenomas; carcinomas)</w:t>
            </w:r>
            <w:r w:rsidR="00353BAC" w:rsidRPr="00002625">
              <w:rPr>
                <w:szCs w:val="20"/>
              </w:rPr>
              <w:t xml:space="preserve">. </w:t>
            </w:r>
            <w:r w:rsidR="006F4CE7" w:rsidRPr="00002625">
              <w:rPr>
                <w:szCs w:val="20"/>
              </w:rPr>
              <w:t>Also</w:t>
            </w:r>
            <w:r w:rsidR="00353BAC" w:rsidRPr="00002625">
              <w:rPr>
                <w:szCs w:val="20"/>
              </w:rPr>
              <w:t xml:space="preserve"> reported</w:t>
            </w:r>
            <w:r w:rsidR="006F4CE7" w:rsidRPr="00002625">
              <w:rPr>
                <w:szCs w:val="20"/>
              </w:rPr>
              <w:t xml:space="preserve">: </w:t>
            </w:r>
            <w:r w:rsidR="00353BAC" w:rsidRPr="00002625">
              <w:rPr>
                <w:szCs w:val="20"/>
              </w:rPr>
              <w:t>e</w:t>
            </w:r>
            <w:r w:rsidR="006F4CE7" w:rsidRPr="00002625">
              <w:rPr>
                <w:szCs w:val="20"/>
              </w:rPr>
              <w:t>xtracolonic findings detected on CTC; SAEs including perforation</w:t>
            </w:r>
            <w:r w:rsidR="00D31962" w:rsidRPr="00002625">
              <w:rPr>
                <w:szCs w:val="20"/>
              </w:rPr>
              <w:t>; referral rate for subsequent (in CTC group)</w:t>
            </w:r>
          </w:p>
        </w:tc>
        <w:tc>
          <w:tcPr>
            <w:tcW w:w="935" w:type="dxa"/>
          </w:tcPr>
          <w:p w14:paraId="02D34B39" w14:textId="33C8C435" w:rsidR="00E70E59" w:rsidRPr="00002625" w:rsidRDefault="00FF3733" w:rsidP="009857E0">
            <w:pPr>
              <w:pStyle w:val="TableText0"/>
              <w:ind w:left="-57" w:right="-57"/>
              <w:rPr>
                <w:szCs w:val="20"/>
              </w:rPr>
            </w:pPr>
            <w:r w:rsidRPr="00002625">
              <w:rPr>
                <w:szCs w:val="18"/>
              </w:rPr>
              <w:t>1,</w:t>
            </w:r>
            <w:r w:rsidR="00E70E59" w:rsidRPr="00002625">
              <w:rPr>
                <w:szCs w:val="18"/>
              </w:rPr>
              <w:t>2,3,4,5,6</w:t>
            </w:r>
          </w:p>
        </w:tc>
      </w:tr>
      <w:tr w:rsidR="00E71B17" w:rsidRPr="00002625" w14:paraId="04D2CA83" w14:textId="77777777" w:rsidTr="0076462D">
        <w:tc>
          <w:tcPr>
            <w:tcW w:w="843" w:type="dxa"/>
          </w:tcPr>
          <w:p w14:paraId="229FDCF5" w14:textId="5737F508" w:rsidR="00E70E59" w:rsidRPr="00002625" w:rsidRDefault="00E70E59" w:rsidP="00E70E59">
            <w:pPr>
              <w:pStyle w:val="TableText0"/>
              <w:ind w:left="-57" w:right="-57"/>
              <w:rPr>
                <w:szCs w:val="20"/>
              </w:rPr>
            </w:pPr>
            <w:r w:rsidRPr="00002625">
              <w:rPr>
                <w:szCs w:val="20"/>
              </w:rPr>
              <w:t>Rua 2020</w:t>
            </w:r>
          </w:p>
        </w:tc>
        <w:tc>
          <w:tcPr>
            <w:tcW w:w="2979" w:type="dxa"/>
          </w:tcPr>
          <w:p w14:paraId="4652683C" w14:textId="77777777" w:rsidR="00E70E59" w:rsidRPr="00002625" w:rsidRDefault="00E70E59" w:rsidP="00E70E59">
            <w:pPr>
              <w:pStyle w:val="TableText0"/>
              <w:rPr>
                <w:szCs w:val="20"/>
              </w:rPr>
            </w:pPr>
            <w:r w:rsidRPr="00002625">
              <w:rPr>
                <w:szCs w:val="20"/>
              </w:rPr>
              <w:t>An observational study to compare the utilisation of computed tomography colonography with optical colonoscopy as the first diagnostic imaging tool in patients with suspected colorectal cancer.</w:t>
            </w:r>
          </w:p>
          <w:p w14:paraId="6247CAA9" w14:textId="77777777" w:rsidR="00E70E59" w:rsidRPr="00002625" w:rsidRDefault="00E70E59" w:rsidP="00E70E59">
            <w:pPr>
              <w:pStyle w:val="TableText0"/>
              <w:rPr>
                <w:szCs w:val="20"/>
              </w:rPr>
            </w:pPr>
            <w:r w:rsidRPr="00002625">
              <w:rPr>
                <w:szCs w:val="20"/>
              </w:rPr>
              <w:t xml:space="preserve">Rua T, Watson H, Malhotra B, Turville J, Razavi R, Peacock JL, McCrone P, Goh V, Shearer J, Griffin N. </w:t>
            </w:r>
          </w:p>
          <w:p w14:paraId="69EC5ECB" w14:textId="1BC7FD29" w:rsidR="00E70E59" w:rsidRPr="00002625" w:rsidRDefault="00E70E59" w:rsidP="00E70E59">
            <w:pPr>
              <w:pStyle w:val="TableText0"/>
              <w:rPr>
                <w:szCs w:val="20"/>
              </w:rPr>
            </w:pPr>
            <w:r w:rsidRPr="00002625">
              <w:rPr>
                <w:szCs w:val="20"/>
              </w:rPr>
              <w:t>Clin Radiol. 2020 Sep;75(9):712.e23-712.e31.</w:t>
            </w:r>
          </w:p>
        </w:tc>
        <w:tc>
          <w:tcPr>
            <w:tcW w:w="4814" w:type="dxa"/>
          </w:tcPr>
          <w:p w14:paraId="774B3CBA" w14:textId="04738A90" w:rsidR="00E70E59" w:rsidRPr="00002625" w:rsidRDefault="00DB35B5" w:rsidP="009259A9">
            <w:pPr>
              <w:pStyle w:val="TableText0"/>
              <w:rPr>
                <w:szCs w:val="20"/>
              </w:rPr>
            </w:pPr>
            <w:r w:rsidRPr="00002625">
              <w:rPr>
                <w:szCs w:val="20"/>
              </w:rPr>
              <w:t>P</w:t>
            </w:r>
            <w:r w:rsidR="009259A9" w:rsidRPr="00002625">
              <w:rPr>
                <w:szCs w:val="20"/>
              </w:rPr>
              <w:t xml:space="preserve">rospective </w:t>
            </w:r>
            <w:r w:rsidR="00B70BE1" w:rsidRPr="00002625">
              <w:rPr>
                <w:szCs w:val="20"/>
              </w:rPr>
              <w:t>observational</w:t>
            </w:r>
            <w:r w:rsidR="009259A9" w:rsidRPr="00002625">
              <w:rPr>
                <w:szCs w:val="20"/>
              </w:rPr>
              <w:t xml:space="preserve"> </w:t>
            </w:r>
            <w:r w:rsidR="00622EB2" w:rsidRPr="00002625">
              <w:rPr>
                <w:szCs w:val="20"/>
              </w:rPr>
              <w:t xml:space="preserve">cost </w:t>
            </w:r>
            <w:r w:rsidRPr="00002625">
              <w:rPr>
                <w:szCs w:val="20"/>
              </w:rPr>
              <w:t xml:space="preserve">comparison of </w:t>
            </w:r>
            <w:r w:rsidR="00731E5A" w:rsidRPr="00002625">
              <w:rPr>
                <w:szCs w:val="20"/>
              </w:rPr>
              <w:t>CTC</w:t>
            </w:r>
            <w:r w:rsidRPr="00002625">
              <w:rPr>
                <w:szCs w:val="20"/>
              </w:rPr>
              <w:t xml:space="preserve"> </w:t>
            </w:r>
            <w:r w:rsidR="00622EB2" w:rsidRPr="00002625">
              <w:rPr>
                <w:szCs w:val="20"/>
              </w:rPr>
              <w:t>vs</w:t>
            </w:r>
            <w:r w:rsidRPr="00002625">
              <w:rPr>
                <w:szCs w:val="20"/>
              </w:rPr>
              <w:t xml:space="preserve"> </w:t>
            </w:r>
            <w:r w:rsidR="00731E5A" w:rsidRPr="00002625">
              <w:rPr>
                <w:szCs w:val="20"/>
              </w:rPr>
              <w:t>OC</w:t>
            </w:r>
            <w:r w:rsidR="001A1D6C" w:rsidRPr="00002625">
              <w:rPr>
                <w:szCs w:val="20"/>
              </w:rPr>
              <w:t xml:space="preserve"> (N=180)</w:t>
            </w:r>
          </w:p>
          <w:p w14:paraId="20A19380" w14:textId="3FB694DC" w:rsidR="00DB35B5" w:rsidRPr="00002625" w:rsidRDefault="00DB35B5" w:rsidP="009259A9">
            <w:pPr>
              <w:pStyle w:val="TableText0"/>
              <w:rPr>
                <w:szCs w:val="20"/>
              </w:rPr>
            </w:pPr>
            <w:r w:rsidRPr="00002625">
              <w:rPr>
                <w:szCs w:val="20"/>
              </w:rPr>
              <w:t>Non-randomised, single-centre</w:t>
            </w:r>
          </w:p>
          <w:p w14:paraId="5C6D23B1" w14:textId="219ED994" w:rsidR="009C01BD" w:rsidRPr="00002625" w:rsidRDefault="000F4BAA" w:rsidP="009259A9">
            <w:pPr>
              <w:pStyle w:val="TableText0"/>
              <w:rPr>
                <w:szCs w:val="20"/>
              </w:rPr>
            </w:pPr>
            <w:r w:rsidRPr="00002625">
              <w:rPr>
                <w:szCs w:val="20"/>
              </w:rPr>
              <w:t>P</w:t>
            </w:r>
            <w:r w:rsidR="009C01BD" w:rsidRPr="00002625">
              <w:rPr>
                <w:szCs w:val="20"/>
              </w:rPr>
              <w:t xml:space="preserve">atients </w:t>
            </w:r>
            <w:r w:rsidR="00326BFB" w:rsidRPr="00002625">
              <w:rPr>
                <w:szCs w:val="20"/>
              </w:rPr>
              <w:t>aged &gt;40</w:t>
            </w:r>
            <w:r w:rsidR="00AD7832" w:rsidRPr="00002625">
              <w:rPr>
                <w:szCs w:val="20"/>
              </w:rPr>
              <w:t> </w:t>
            </w:r>
            <w:r w:rsidR="00326BFB" w:rsidRPr="00002625">
              <w:rPr>
                <w:szCs w:val="20"/>
              </w:rPr>
              <w:t>y</w:t>
            </w:r>
            <w:r w:rsidR="00AD7832" w:rsidRPr="00002625">
              <w:rPr>
                <w:szCs w:val="20"/>
              </w:rPr>
              <w:t xml:space="preserve"> </w:t>
            </w:r>
            <w:r w:rsidR="009C01BD" w:rsidRPr="00002625">
              <w:rPr>
                <w:szCs w:val="20"/>
              </w:rPr>
              <w:t>with low-to</w:t>
            </w:r>
            <w:r w:rsidR="009B713A" w:rsidRPr="00002625">
              <w:rPr>
                <w:szCs w:val="20"/>
              </w:rPr>
              <w:t>-</w:t>
            </w:r>
            <w:r w:rsidR="009C01BD" w:rsidRPr="00002625">
              <w:rPr>
                <w:szCs w:val="20"/>
              </w:rPr>
              <w:t>intermediate risk of CRC</w:t>
            </w:r>
            <w:r w:rsidR="00677078" w:rsidRPr="00002625">
              <w:rPr>
                <w:szCs w:val="20"/>
              </w:rPr>
              <w:t xml:space="preserve"> (presenting with constipation or change in bowel habit with differential diagnosis of CRC) but not if </w:t>
            </w:r>
            <w:r w:rsidR="00425F1A" w:rsidRPr="00002625">
              <w:rPr>
                <w:szCs w:val="20"/>
              </w:rPr>
              <w:t>high risk symptoms were present (</w:t>
            </w:r>
            <w:r w:rsidR="00CF41FB" w:rsidRPr="00002625">
              <w:rPr>
                <w:szCs w:val="20"/>
              </w:rPr>
              <w:t>anaemia, diarrhoea &gt;6 weeks, rectal bleeding, colon exam in past 6 months, known history of CRC)</w:t>
            </w:r>
          </w:p>
          <w:p w14:paraId="2BFD9000" w14:textId="4EC59533" w:rsidR="00A1098C" w:rsidRPr="00002625" w:rsidRDefault="00135EDF" w:rsidP="00F30BD9">
            <w:pPr>
              <w:pStyle w:val="TableText0"/>
              <w:rPr>
                <w:szCs w:val="20"/>
              </w:rPr>
            </w:pPr>
            <w:r w:rsidRPr="00002625">
              <w:rPr>
                <w:szCs w:val="20"/>
              </w:rPr>
              <w:t>Outcomes only as relating to costing comparison: resource use (0-3 mo); PROs including EQ-5D-5L</w:t>
            </w:r>
            <w:r w:rsidR="00A1098C" w:rsidRPr="00002625">
              <w:rPr>
                <w:szCs w:val="20"/>
              </w:rPr>
              <w:t>.</w:t>
            </w:r>
            <w:r w:rsidR="00227FB1" w:rsidRPr="00002625">
              <w:rPr>
                <w:szCs w:val="20"/>
              </w:rPr>
              <w:t xml:space="preserve"> Also: </w:t>
            </w:r>
            <w:r w:rsidR="00D86AD0" w:rsidRPr="00002625">
              <w:rPr>
                <w:szCs w:val="20"/>
              </w:rPr>
              <w:t>incidence of cancers diagnosed within 12</w:t>
            </w:r>
            <w:r w:rsidR="006D6B4C" w:rsidRPr="00002625">
              <w:rPr>
                <w:szCs w:val="20"/>
              </w:rPr>
              <w:t> </w:t>
            </w:r>
            <w:r w:rsidR="00D86AD0" w:rsidRPr="00002625">
              <w:rPr>
                <w:szCs w:val="20"/>
              </w:rPr>
              <w:t>mo follow-up</w:t>
            </w:r>
            <w:r w:rsidR="00B144EE" w:rsidRPr="00002625">
              <w:rPr>
                <w:szCs w:val="20"/>
              </w:rPr>
              <w:t>; extra-colonic findings (CTC group only)</w:t>
            </w:r>
            <w:r w:rsidR="00F30BD9" w:rsidRPr="00002625">
              <w:rPr>
                <w:szCs w:val="20"/>
              </w:rPr>
              <w:t xml:space="preserve">; </w:t>
            </w:r>
            <w:r w:rsidR="007310C6" w:rsidRPr="00002625">
              <w:rPr>
                <w:szCs w:val="20"/>
              </w:rPr>
              <w:t>i</w:t>
            </w:r>
            <w:r w:rsidR="00F30BD9" w:rsidRPr="00002625">
              <w:rPr>
                <w:szCs w:val="20"/>
              </w:rPr>
              <w:t xml:space="preserve">ncomplete or suboptimal </w:t>
            </w:r>
            <w:r w:rsidR="007310C6" w:rsidRPr="00002625">
              <w:rPr>
                <w:szCs w:val="20"/>
              </w:rPr>
              <w:t xml:space="preserve">bowel </w:t>
            </w:r>
            <w:r w:rsidR="00F30BD9" w:rsidRPr="00002625">
              <w:rPr>
                <w:szCs w:val="20"/>
              </w:rPr>
              <w:t xml:space="preserve">visualisation. </w:t>
            </w:r>
            <w:r w:rsidR="00A1098C" w:rsidRPr="00002625">
              <w:rPr>
                <w:szCs w:val="20"/>
              </w:rPr>
              <w:t xml:space="preserve">No </w:t>
            </w:r>
            <w:r w:rsidR="00F30BD9" w:rsidRPr="00002625">
              <w:rPr>
                <w:szCs w:val="20"/>
              </w:rPr>
              <w:t xml:space="preserve">other </w:t>
            </w:r>
            <w:r w:rsidR="00A1098C" w:rsidRPr="00002625">
              <w:rPr>
                <w:szCs w:val="20"/>
              </w:rPr>
              <w:t>diagnostic performance</w:t>
            </w:r>
            <w:r w:rsidR="00227FB1" w:rsidRPr="00002625">
              <w:rPr>
                <w:szCs w:val="20"/>
              </w:rPr>
              <w:t xml:space="preserve"> </w:t>
            </w:r>
            <w:r w:rsidR="00FC0AB3" w:rsidRPr="00002625">
              <w:rPr>
                <w:szCs w:val="20"/>
              </w:rPr>
              <w:t xml:space="preserve">outcomes. </w:t>
            </w:r>
          </w:p>
        </w:tc>
        <w:tc>
          <w:tcPr>
            <w:tcW w:w="935" w:type="dxa"/>
          </w:tcPr>
          <w:p w14:paraId="398A2C50" w14:textId="0376E531" w:rsidR="00E70E59" w:rsidRPr="00002625" w:rsidRDefault="00FF3733" w:rsidP="009857E0">
            <w:pPr>
              <w:tabs>
                <w:tab w:val="left" w:pos="699"/>
              </w:tabs>
              <w:ind w:left="-57" w:right="-57"/>
              <w:rPr>
                <w:rFonts w:ascii="Arial Narrow" w:hAnsi="Arial Narrow"/>
                <w:sz w:val="20"/>
                <w:szCs w:val="20"/>
              </w:rPr>
            </w:pPr>
            <w:r w:rsidRPr="00002625">
              <w:rPr>
                <w:rFonts w:ascii="Arial Narrow" w:hAnsi="Arial Narrow"/>
                <w:sz w:val="20"/>
                <w:szCs w:val="20"/>
              </w:rPr>
              <w:t>1,</w:t>
            </w:r>
            <w:r w:rsidR="00E70E59" w:rsidRPr="00002625">
              <w:rPr>
                <w:rFonts w:ascii="Arial Narrow" w:hAnsi="Arial Narrow"/>
                <w:sz w:val="20"/>
                <w:szCs w:val="20"/>
              </w:rPr>
              <w:t>2,3,4,5,6</w:t>
            </w:r>
          </w:p>
        </w:tc>
      </w:tr>
    </w:tbl>
    <w:p w14:paraId="1C3F8F10" w14:textId="7ED8C601" w:rsidR="009E4099" w:rsidRPr="00002625" w:rsidRDefault="00082DF5" w:rsidP="009E4099">
      <w:pPr>
        <w:pStyle w:val="Tablenotes"/>
        <w:spacing w:after="240"/>
      </w:pPr>
      <w:r w:rsidRPr="00002625">
        <w:t xml:space="preserve">CRC = colorectal cancer; </w:t>
      </w:r>
      <w:r w:rsidR="007B728F" w:rsidRPr="00002625">
        <w:t xml:space="preserve">CTC = computed tomography colonography; </w:t>
      </w:r>
      <w:r w:rsidR="00076AE5" w:rsidRPr="00002625">
        <w:t xml:space="preserve">EQ-5D-5L = </w:t>
      </w:r>
      <w:r w:rsidR="00E82B12" w:rsidRPr="00002625">
        <w:t>5-level</w:t>
      </w:r>
      <w:r w:rsidR="00D85599" w:rsidRPr="00002625">
        <w:t xml:space="preserve"> version of the</w:t>
      </w:r>
      <w:r w:rsidR="00055E37" w:rsidRPr="00002625">
        <w:t xml:space="preserve"> EuroQol</w:t>
      </w:r>
      <w:r w:rsidR="009D4C72" w:rsidRPr="00002625">
        <w:t xml:space="preserve"> 5-domain</w:t>
      </w:r>
      <w:r w:rsidR="00E82B12" w:rsidRPr="00002625">
        <w:t xml:space="preserve"> instrument; </w:t>
      </w:r>
      <w:r w:rsidR="007B728F" w:rsidRPr="00002625">
        <w:t>OC = optical colonoscopy</w:t>
      </w:r>
      <w:r w:rsidR="00CF0406" w:rsidRPr="00002625">
        <w:t xml:space="preserve">; </w:t>
      </w:r>
      <w:r w:rsidR="00A1098C" w:rsidRPr="00002625">
        <w:t xml:space="preserve">PRO = patient reported outcome; </w:t>
      </w:r>
      <w:r w:rsidR="001E604C" w:rsidRPr="00002625">
        <w:t xml:space="preserve">Ref ID = reference identification; </w:t>
      </w:r>
      <w:r w:rsidR="006F4CE7" w:rsidRPr="00002625">
        <w:t xml:space="preserve">SAE = serious adverse event; </w:t>
      </w:r>
      <w:r w:rsidR="00CF0406" w:rsidRPr="00002625">
        <w:t>SD = standard deviation</w:t>
      </w:r>
      <w:r w:rsidR="007B728F" w:rsidRPr="00002625">
        <w:t>.</w:t>
      </w:r>
      <w:r w:rsidR="001B08B5" w:rsidRPr="00002625">
        <w:t xml:space="preserve"> </w:t>
      </w:r>
      <w:r w:rsidR="001B08B5" w:rsidRPr="00002625">
        <w:tab/>
      </w:r>
      <w:r w:rsidR="001B08B5" w:rsidRPr="00002625">
        <w:br/>
        <w:t>Source: compiled for this evaluation.</w:t>
      </w:r>
      <w:r w:rsidR="004E6B22" w:rsidRPr="00002625">
        <w:tab/>
      </w:r>
    </w:p>
    <w:p w14:paraId="6F5DB54C" w14:textId="1EAD0CB7" w:rsidR="00602924" w:rsidRPr="00002625" w:rsidRDefault="00602924" w:rsidP="00602924">
      <w:pPr>
        <w:pStyle w:val="Caption"/>
        <w:rPr>
          <w:sz w:val="16"/>
          <w:szCs w:val="16"/>
          <w:lang w:val="en-AU"/>
        </w:rPr>
      </w:pPr>
      <w:bookmarkStart w:id="48" w:name="_Ref179970039"/>
      <w:r w:rsidRPr="00002625">
        <w:rPr>
          <w:lang w:val="en-AU"/>
        </w:rPr>
        <w:lastRenderedPageBreak/>
        <w:t>Table </w:t>
      </w:r>
      <w:r w:rsidRPr="00002625">
        <w:rPr>
          <w:lang w:val="en-AU"/>
        </w:rPr>
        <w:fldChar w:fldCharType="begin"/>
      </w:r>
      <w:r w:rsidRPr="00002625">
        <w:rPr>
          <w:lang w:val="en-AU"/>
        </w:rPr>
        <w:instrText xml:space="preserve"> SEQ Table \* ARABIC </w:instrText>
      </w:r>
      <w:r w:rsidRPr="00002625">
        <w:rPr>
          <w:lang w:val="en-AU"/>
        </w:rPr>
        <w:fldChar w:fldCharType="separate"/>
      </w:r>
      <w:r w:rsidR="00637321" w:rsidRPr="00002625">
        <w:rPr>
          <w:noProof/>
          <w:lang w:val="en-AU"/>
        </w:rPr>
        <w:t>19</w:t>
      </w:r>
      <w:r w:rsidRPr="00002625">
        <w:rPr>
          <w:noProof/>
          <w:lang w:val="en-AU"/>
        </w:rPr>
        <w:fldChar w:fldCharType="end"/>
      </w:r>
      <w:bookmarkEnd w:id="48"/>
      <w:r w:rsidRPr="00002625">
        <w:rPr>
          <w:lang w:val="en-AU"/>
        </w:rPr>
        <w:tab/>
        <w:t xml:space="preserve">Other </w:t>
      </w:r>
      <w:r w:rsidR="0075318F" w:rsidRPr="00002625">
        <w:rPr>
          <w:lang w:val="en-AU"/>
        </w:rPr>
        <w:t xml:space="preserve">(non-comparative) </w:t>
      </w:r>
      <w:r w:rsidRPr="00002625">
        <w:rPr>
          <w:lang w:val="en-AU"/>
        </w:rPr>
        <w:t>evidence presented by the applicant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8 other (non-comparative) evidence presented by the applicant"/>
        <w:tblDescription w:val="Table showing other (non-comparative) evidence presented by the applicant"/>
      </w:tblPr>
      <w:tblGrid>
        <w:gridCol w:w="1269"/>
        <w:gridCol w:w="3545"/>
        <w:gridCol w:w="3691"/>
        <w:gridCol w:w="1066"/>
      </w:tblGrid>
      <w:tr w:rsidR="00871419" w:rsidRPr="00002625" w14:paraId="7FE59034" w14:textId="77777777" w:rsidTr="007A1201">
        <w:trPr>
          <w:tblHeader/>
        </w:trPr>
        <w:tc>
          <w:tcPr>
            <w:tcW w:w="663" w:type="pct"/>
          </w:tcPr>
          <w:p w14:paraId="79011B25" w14:textId="77777777" w:rsidR="00602924" w:rsidRPr="00002625" w:rsidRDefault="00602924" w:rsidP="0075318F">
            <w:pPr>
              <w:pStyle w:val="TableText0"/>
              <w:keepNext/>
              <w:ind w:left="-57" w:right="-57"/>
              <w:rPr>
                <w:b/>
                <w:szCs w:val="20"/>
              </w:rPr>
            </w:pPr>
            <w:r w:rsidRPr="00002625">
              <w:rPr>
                <w:b/>
                <w:szCs w:val="20"/>
              </w:rPr>
              <w:t>Ref ID</w:t>
            </w:r>
          </w:p>
        </w:tc>
        <w:tc>
          <w:tcPr>
            <w:tcW w:w="1852" w:type="pct"/>
            <w:hideMark/>
          </w:tcPr>
          <w:p w14:paraId="3A7B4211" w14:textId="77777777" w:rsidR="00602924" w:rsidRPr="00002625" w:rsidRDefault="00602924" w:rsidP="0075318F">
            <w:pPr>
              <w:pStyle w:val="TableText0"/>
              <w:keepNext/>
              <w:rPr>
                <w:b/>
                <w:szCs w:val="20"/>
              </w:rPr>
            </w:pPr>
            <w:r w:rsidRPr="00002625">
              <w:rPr>
                <w:b/>
                <w:szCs w:val="20"/>
              </w:rPr>
              <w:t>Citation</w:t>
            </w:r>
          </w:p>
        </w:tc>
        <w:tc>
          <w:tcPr>
            <w:tcW w:w="1928" w:type="pct"/>
          </w:tcPr>
          <w:p w14:paraId="25A2681C" w14:textId="77777777" w:rsidR="00602924" w:rsidRPr="00002625" w:rsidRDefault="00602924" w:rsidP="0075318F">
            <w:pPr>
              <w:pStyle w:val="TableText0"/>
              <w:keepNext/>
              <w:rPr>
                <w:b/>
                <w:szCs w:val="20"/>
              </w:rPr>
            </w:pPr>
            <w:r w:rsidRPr="00002625">
              <w:rPr>
                <w:b/>
                <w:szCs w:val="20"/>
              </w:rPr>
              <w:t>Study characteristics</w:t>
            </w:r>
          </w:p>
        </w:tc>
        <w:tc>
          <w:tcPr>
            <w:tcW w:w="557" w:type="pct"/>
          </w:tcPr>
          <w:p w14:paraId="6280BD28" w14:textId="44CB2147" w:rsidR="00602924" w:rsidRPr="00002625" w:rsidRDefault="00602924" w:rsidP="0075318F">
            <w:pPr>
              <w:pStyle w:val="TableText0"/>
              <w:keepNext/>
              <w:rPr>
                <w:b/>
                <w:szCs w:val="20"/>
              </w:rPr>
            </w:pPr>
            <w:r w:rsidRPr="00002625">
              <w:rPr>
                <w:b/>
                <w:szCs w:val="20"/>
              </w:rPr>
              <w:t xml:space="preserve">PICO </w:t>
            </w:r>
            <w:r w:rsidR="00173621" w:rsidRPr="00002625">
              <w:rPr>
                <w:b/>
                <w:szCs w:val="20"/>
              </w:rPr>
              <w:t>s</w:t>
            </w:r>
            <w:r w:rsidRPr="00002625">
              <w:rPr>
                <w:b/>
                <w:szCs w:val="20"/>
              </w:rPr>
              <w:t>ets</w:t>
            </w:r>
          </w:p>
        </w:tc>
      </w:tr>
      <w:tr w:rsidR="00871419" w:rsidRPr="00002625" w14:paraId="66392774" w14:textId="77777777" w:rsidTr="007A1201">
        <w:tc>
          <w:tcPr>
            <w:tcW w:w="663" w:type="pct"/>
          </w:tcPr>
          <w:p w14:paraId="4832AE0A" w14:textId="77777777" w:rsidR="00E70E59" w:rsidRPr="00002625" w:rsidRDefault="00E70E59" w:rsidP="0075318F">
            <w:pPr>
              <w:pStyle w:val="TableText0"/>
              <w:keepNext/>
              <w:ind w:left="-57" w:right="-57"/>
              <w:rPr>
                <w:szCs w:val="20"/>
              </w:rPr>
            </w:pPr>
            <w:r w:rsidRPr="00002625">
              <w:rPr>
                <w:szCs w:val="20"/>
              </w:rPr>
              <w:t>Paterson 2010</w:t>
            </w:r>
          </w:p>
        </w:tc>
        <w:tc>
          <w:tcPr>
            <w:tcW w:w="1852" w:type="pct"/>
          </w:tcPr>
          <w:p w14:paraId="5B4B80B6" w14:textId="77777777" w:rsidR="00E70E59" w:rsidRPr="00002625" w:rsidRDefault="00E70E59" w:rsidP="0075318F">
            <w:pPr>
              <w:pStyle w:val="TableText0"/>
              <w:keepNext/>
              <w:rPr>
                <w:szCs w:val="20"/>
              </w:rPr>
            </w:pPr>
            <w:r w:rsidRPr="00002625">
              <w:rPr>
                <w:szCs w:val="20"/>
              </w:rPr>
              <w:t>Wait times for gastroenterology consultation in Canada: the patients' perspective.</w:t>
            </w:r>
          </w:p>
          <w:p w14:paraId="7A95A01A" w14:textId="77777777" w:rsidR="00E70E59" w:rsidRPr="00002625" w:rsidRDefault="00E70E59" w:rsidP="0075318F">
            <w:pPr>
              <w:pStyle w:val="TableText0"/>
              <w:keepNext/>
              <w:rPr>
                <w:szCs w:val="20"/>
              </w:rPr>
            </w:pPr>
            <w:r w:rsidRPr="00002625">
              <w:rPr>
                <w:szCs w:val="20"/>
              </w:rPr>
              <w:t>Paterson WG, Barkun AN, Hopman WM, Leddin DJ, Paré P, Petrunia DM, Sewitch MJ, Switzer C, van Zanten SV.</w:t>
            </w:r>
          </w:p>
          <w:p w14:paraId="592C0B6A" w14:textId="77777777" w:rsidR="00E70E59" w:rsidRPr="00002625" w:rsidRDefault="00E70E59" w:rsidP="0075318F">
            <w:pPr>
              <w:pStyle w:val="TableText0"/>
              <w:keepNext/>
              <w:rPr>
                <w:szCs w:val="20"/>
              </w:rPr>
            </w:pPr>
            <w:r w:rsidRPr="00002625">
              <w:rPr>
                <w:szCs w:val="20"/>
              </w:rPr>
              <w:t>Can J Gastroenterol. 2010 Jan;24(1):28-32.</w:t>
            </w:r>
          </w:p>
        </w:tc>
        <w:tc>
          <w:tcPr>
            <w:tcW w:w="1928" w:type="pct"/>
          </w:tcPr>
          <w:p w14:paraId="78C66BE9" w14:textId="7331545A" w:rsidR="00C5790E" w:rsidRPr="00002625" w:rsidRDefault="00465D32" w:rsidP="0075318F">
            <w:pPr>
              <w:pStyle w:val="TableText0"/>
              <w:keepNext/>
              <w:rPr>
                <w:szCs w:val="20"/>
              </w:rPr>
            </w:pPr>
            <w:r w:rsidRPr="00002625">
              <w:rPr>
                <w:szCs w:val="20"/>
              </w:rPr>
              <w:t xml:space="preserve">Questionnaire of </w:t>
            </w:r>
            <w:r w:rsidR="00117B98" w:rsidRPr="00002625">
              <w:rPr>
                <w:szCs w:val="20"/>
              </w:rPr>
              <w:t xml:space="preserve">gastroenterology </w:t>
            </w:r>
            <w:r w:rsidRPr="00002625">
              <w:rPr>
                <w:szCs w:val="20"/>
              </w:rPr>
              <w:t xml:space="preserve">outpatients </w:t>
            </w:r>
            <w:r w:rsidR="00C5790E" w:rsidRPr="00002625">
              <w:rPr>
                <w:szCs w:val="20"/>
              </w:rPr>
              <w:t>(N=916)</w:t>
            </w:r>
          </w:p>
          <w:p w14:paraId="31F59D8E" w14:textId="77777777" w:rsidR="00E70E59" w:rsidRPr="00002625" w:rsidRDefault="00E70E59" w:rsidP="0075318F">
            <w:pPr>
              <w:pStyle w:val="TableText0"/>
              <w:keepNext/>
              <w:rPr>
                <w:szCs w:val="20"/>
              </w:rPr>
            </w:pPr>
            <w:r w:rsidRPr="00002625">
              <w:rPr>
                <w:szCs w:val="20"/>
              </w:rPr>
              <w:t>PROs including wait times</w:t>
            </w:r>
            <w:r w:rsidR="00117B98" w:rsidRPr="00002625">
              <w:rPr>
                <w:szCs w:val="20"/>
              </w:rPr>
              <w:t xml:space="preserve">, </w:t>
            </w:r>
            <w:r w:rsidR="00871419" w:rsidRPr="00002625">
              <w:rPr>
                <w:szCs w:val="20"/>
              </w:rPr>
              <w:t>QoL</w:t>
            </w:r>
          </w:p>
          <w:p w14:paraId="09BED906" w14:textId="28CBDD89" w:rsidR="00871419" w:rsidRPr="00002625" w:rsidRDefault="00871419" w:rsidP="0075318F">
            <w:pPr>
              <w:pStyle w:val="TableText0"/>
              <w:keepNext/>
              <w:rPr>
                <w:szCs w:val="20"/>
              </w:rPr>
            </w:pPr>
            <w:r w:rsidRPr="00002625">
              <w:rPr>
                <w:szCs w:val="20"/>
              </w:rPr>
              <w:t>Non-comparative, no diagnostic or disease outcomes.</w:t>
            </w:r>
          </w:p>
        </w:tc>
        <w:tc>
          <w:tcPr>
            <w:tcW w:w="557" w:type="pct"/>
          </w:tcPr>
          <w:p w14:paraId="799863CA" w14:textId="46A8733D" w:rsidR="00E70E59" w:rsidRPr="00002625" w:rsidRDefault="00FF3733" w:rsidP="0075318F">
            <w:pPr>
              <w:pStyle w:val="TableText0"/>
              <w:keepNext/>
              <w:rPr>
                <w:szCs w:val="20"/>
              </w:rPr>
            </w:pPr>
            <w:r w:rsidRPr="00002625">
              <w:rPr>
                <w:szCs w:val="18"/>
              </w:rPr>
              <w:t>1,</w:t>
            </w:r>
            <w:r w:rsidR="00E70E59" w:rsidRPr="00002625">
              <w:rPr>
                <w:szCs w:val="18"/>
              </w:rPr>
              <w:t>2,3,4,5,6</w:t>
            </w:r>
          </w:p>
        </w:tc>
      </w:tr>
      <w:tr w:rsidR="00556A0F" w:rsidRPr="00002625" w14:paraId="37D5F96D" w14:textId="77777777" w:rsidTr="007A1201">
        <w:tc>
          <w:tcPr>
            <w:tcW w:w="663" w:type="pct"/>
          </w:tcPr>
          <w:p w14:paraId="47CCDB56" w14:textId="77777777" w:rsidR="00556A0F" w:rsidRPr="00002625" w:rsidRDefault="00556A0F">
            <w:pPr>
              <w:pStyle w:val="TableText0"/>
              <w:ind w:left="-57" w:right="-57"/>
              <w:rPr>
                <w:szCs w:val="20"/>
              </w:rPr>
            </w:pPr>
            <w:r w:rsidRPr="00002625">
              <w:rPr>
                <w:szCs w:val="20"/>
              </w:rPr>
              <w:t>Pickhardt 2017</w:t>
            </w:r>
          </w:p>
        </w:tc>
        <w:tc>
          <w:tcPr>
            <w:tcW w:w="1852" w:type="pct"/>
          </w:tcPr>
          <w:p w14:paraId="190746FB" w14:textId="77777777" w:rsidR="00556A0F" w:rsidRPr="00002625" w:rsidRDefault="00556A0F">
            <w:pPr>
              <w:pStyle w:val="TableText0"/>
              <w:rPr>
                <w:szCs w:val="20"/>
              </w:rPr>
            </w:pPr>
            <w:r w:rsidRPr="00002625">
              <w:rPr>
                <w:szCs w:val="20"/>
              </w:rPr>
              <w:t>Colorectal Findings at Repeat CT Colonography Screening after Initial CT Colonography Screening Negative for Polyps Larger than 5 mm.</w:t>
            </w:r>
          </w:p>
          <w:p w14:paraId="473AC015" w14:textId="77777777" w:rsidR="00556A0F" w:rsidRPr="00002625" w:rsidRDefault="00556A0F">
            <w:pPr>
              <w:pStyle w:val="TableText0"/>
              <w:rPr>
                <w:szCs w:val="20"/>
              </w:rPr>
            </w:pPr>
            <w:r w:rsidRPr="00002625">
              <w:rPr>
                <w:szCs w:val="20"/>
              </w:rPr>
              <w:t xml:space="preserve">Pickhardt PJ, Pooler BD, Mbah I, Weiss JM, Kim DH. </w:t>
            </w:r>
          </w:p>
          <w:p w14:paraId="33E7C89C" w14:textId="77777777" w:rsidR="00556A0F" w:rsidRPr="00002625" w:rsidRDefault="00556A0F">
            <w:pPr>
              <w:pStyle w:val="TableText0"/>
              <w:rPr>
                <w:szCs w:val="20"/>
              </w:rPr>
            </w:pPr>
            <w:r w:rsidRPr="00002625">
              <w:rPr>
                <w:szCs w:val="20"/>
              </w:rPr>
              <w:t>Radiology. 2017 Jan;282(1):139-148.</w:t>
            </w:r>
          </w:p>
        </w:tc>
        <w:tc>
          <w:tcPr>
            <w:tcW w:w="1928" w:type="pct"/>
          </w:tcPr>
          <w:p w14:paraId="5E07E07C" w14:textId="379C932C" w:rsidR="00556A0F" w:rsidRPr="00002625" w:rsidRDefault="00556A0F">
            <w:pPr>
              <w:pStyle w:val="TableText0"/>
              <w:rPr>
                <w:szCs w:val="20"/>
              </w:rPr>
            </w:pPr>
            <w:r w:rsidRPr="00002625">
              <w:rPr>
                <w:szCs w:val="20"/>
              </w:rPr>
              <w:t xml:space="preserve">Retrospective observational cohort (N=1429), patients received repeat CTC screen (time since initial </w:t>
            </w:r>
            <w:r w:rsidR="00BA4434" w:rsidRPr="00002625">
              <w:rPr>
                <w:szCs w:val="20"/>
              </w:rPr>
              <w:t xml:space="preserve">CTC </w:t>
            </w:r>
            <w:r w:rsidRPr="00002625">
              <w:rPr>
                <w:szCs w:val="20"/>
              </w:rPr>
              <w:t>screen: 5.7±0.9 y [range 4.5–10.7  y])</w:t>
            </w:r>
          </w:p>
          <w:p w14:paraId="6F3BF0C0" w14:textId="77777777" w:rsidR="00556A0F" w:rsidRPr="00002625" w:rsidRDefault="00556A0F">
            <w:pPr>
              <w:pStyle w:val="TableText0"/>
              <w:rPr>
                <w:szCs w:val="20"/>
              </w:rPr>
            </w:pPr>
            <w:r w:rsidRPr="00002625">
              <w:rPr>
                <w:szCs w:val="20"/>
              </w:rPr>
              <w:t>Asymptomatic adult screening population with prior CTC having shown no findings, mean age 61.4 y (no range or SD reported).</w:t>
            </w:r>
          </w:p>
          <w:p w14:paraId="050B4A74" w14:textId="13DF2695" w:rsidR="00BA799F" w:rsidRPr="00002625" w:rsidRDefault="00BA799F">
            <w:pPr>
              <w:pStyle w:val="TableText0"/>
              <w:rPr>
                <w:szCs w:val="20"/>
              </w:rPr>
            </w:pPr>
            <w:r w:rsidRPr="00002625">
              <w:rPr>
                <w:szCs w:val="20"/>
              </w:rPr>
              <w:t xml:space="preserve">Positive rates and histologic findings of initial </w:t>
            </w:r>
            <w:r w:rsidR="003A2CC5" w:rsidRPr="00002625">
              <w:rPr>
                <w:szCs w:val="20"/>
              </w:rPr>
              <w:t>versus</w:t>
            </w:r>
            <w:r w:rsidRPr="00002625">
              <w:rPr>
                <w:szCs w:val="20"/>
              </w:rPr>
              <w:t xml:space="preserve"> repeat screening were </w:t>
            </w:r>
            <w:r w:rsidR="003A2CC5" w:rsidRPr="00002625">
              <w:rPr>
                <w:szCs w:val="20"/>
              </w:rPr>
              <w:t>reported</w:t>
            </w:r>
            <w:r w:rsidRPr="00002625">
              <w:rPr>
                <w:szCs w:val="20"/>
              </w:rPr>
              <w:t>.</w:t>
            </w:r>
          </w:p>
          <w:p w14:paraId="698FF1AE" w14:textId="77777777" w:rsidR="00556A0F" w:rsidRPr="00002625" w:rsidRDefault="00556A0F">
            <w:pPr>
              <w:pStyle w:val="TableText0"/>
              <w:rPr>
                <w:szCs w:val="20"/>
              </w:rPr>
            </w:pPr>
            <w:r w:rsidRPr="00002625">
              <w:rPr>
                <w:szCs w:val="20"/>
              </w:rPr>
              <w:t>Single arm, non-comparative.</w:t>
            </w:r>
          </w:p>
        </w:tc>
        <w:tc>
          <w:tcPr>
            <w:tcW w:w="557" w:type="pct"/>
          </w:tcPr>
          <w:p w14:paraId="52378AD5" w14:textId="77777777" w:rsidR="00556A0F" w:rsidRPr="00002625" w:rsidRDefault="00556A0F">
            <w:pPr>
              <w:pStyle w:val="TableText0"/>
              <w:rPr>
                <w:szCs w:val="20"/>
              </w:rPr>
            </w:pPr>
            <w:r w:rsidRPr="00002625">
              <w:rPr>
                <w:szCs w:val="18"/>
              </w:rPr>
              <w:t>1,2,3,4,5,6</w:t>
            </w:r>
          </w:p>
        </w:tc>
      </w:tr>
      <w:tr w:rsidR="00871419" w:rsidRPr="00002625" w14:paraId="4195AFFC" w14:textId="77777777" w:rsidTr="007A1201">
        <w:tc>
          <w:tcPr>
            <w:tcW w:w="663" w:type="pct"/>
          </w:tcPr>
          <w:p w14:paraId="39AB7CB6" w14:textId="77777777" w:rsidR="00E70E59" w:rsidRPr="00002625" w:rsidRDefault="00E70E59" w:rsidP="00E70E59">
            <w:pPr>
              <w:pStyle w:val="TableText0"/>
              <w:ind w:left="-57" w:right="-57"/>
              <w:rPr>
                <w:szCs w:val="20"/>
              </w:rPr>
            </w:pPr>
            <w:r w:rsidRPr="00002625">
              <w:rPr>
                <w:szCs w:val="20"/>
              </w:rPr>
              <w:t>Delisle 2020</w:t>
            </w:r>
          </w:p>
        </w:tc>
        <w:tc>
          <w:tcPr>
            <w:tcW w:w="1852" w:type="pct"/>
          </w:tcPr>
          <w:p w14:paraId="02DC175B" w14:textId="77777777" w:rsidR="00E70E59" w:rsidRPr="00002625" w:rsidRDefault="00E70E59" w:rsidP="00E70E59">
            <w:pPr>
              <w:pStyle w:val="TableText0"/>
              <w:rPr>
                <w:szCs w:val="20"/>
              </w:rPr>
            </w:pPr>
            <w:r w:rsidRPr="00002625">
              <w:rPr>
                <w:szCs w:val="20"/>
              </w:rPr>
              <w:t>The Association Between Wait Times for Colorectal Cancer Treatment and Health Care Costs: A Population-Based Analysis.</w:t>
            </w:r>
          </w:p>
          <w:p w14:paraId="5078AB3D" w14:textId="77777777" w:rsidR="00E70E59" w:rsidRPr="00002625" w:rsidRDefault="00E70E59" w:rsidP="00E70E59">
            <w:pPr>
              <w:pStyle w:val="TableText0"/>
              <w:rPr>
                <w:szCs w:val="20"/>
              </w:rPr>
            </w:pPr>
            <w:r w:rsidRPr="00002625">
              <w:rPr>
                <w:szCs w:val="20"/>
              </w:rPr>
              <w:t xml:space="preserve">Delisle M, Helewa RM, Ward MAR, Hochman DJ, Park J, McKay A. </w:t>
            </w:r>
          </w:p>
          <w:p w14:paraId="404E314F" w14:textId="77777777" w:rsidR="00E70E59" w:rsidRPr="00002625" w:rsidRDefault="00E70E59" w:rsidP="00E70E59">
            <w:pPr>
              <w:pStyle w:val="TableText0"/>
              <w:rPr>
                <w:szCs w:val="20"/>
              </w:rPr>
            </w:pPr>
            <w:r w:rsidRPr="00002625">
              <w:rPr>
                <w:szCs w:val="20"/>
              </w:rPr>
              <w:t>Dis Colon Rectum. 2020 Feb;63(2):160-171.</w:t>
            </w:r>
          </w:p>
        </w:tc>
        <w:tc>
          <w:tcPr>
            <w:tcW w:w="1928" w:type="pct"/>
          </w:tcPr>
          <w:p w14:paraId="7B9E1BFC" w14:textId="4F4B4C35" w:rsidR="00EF4CAA" w:rsidRPr="00002625" w:rsidRDefault="000378BA" w:rsidP="00E70E59">
            <w:pPr>
              <w:pStyle w:val="TableText0"/>
              <w:rPr>
                <w:szCs w:val="20"/>
              </w:rPr>
            </w:pPr>
            <w:r w:rsidRPr="00002625">
              <w:rPr>
                <w:szCs w:val="20"/>
              </w:rPr>
              <w:t>R</w:t>
            </w:r>
            <w:r w:rsidR="004C696F" w:rsidRPr="00002625">
              <w:rPr>
                <w:szCs w:val="20"/>
              </w:rPr>
              <w:t xml:space="preserve">etrospective cohort </w:t>
            </w:r>
            <w:r w:rsidR="00926853" w:rsidRPr="00002625">
              <w:rPr>
                <w:szCs w:val="20"/>
              </w:rPr>
              <w:t xml:space="preserve">registry </w:t>
            </w:r>
            <w:r w:rsidR="004C696F" w:rsidRPr="00002625">
              <w:rPr>
                <w:szCs w:val="20"/>
              </w:rPr>
              <w:t>study</w:t>
            </w:r>
            <w:r w:rsidR="00926853" w:rsidRPr="00002625">
              <w:rPr>
                <w:szCs w:val="20"/>
              </w:rPr>
              <w:t xml:space="preserve"> (N=6936)</w:t>
            </w:r>
            <w:r w:rsidR="00D11B71" w:rsidRPr="00002625">
              <w:rPr>
                <w:szCs w:val="20"/>
              </w:rPr>
              <w:t xml:space="preserve"> –Manitoba </w:t>
            </w:r>
            <w:r w:rsidR="001E35B3" w:rsidRPr="00002625">
              <w:rPr>
                <w:szCs w:val="20"/>
              </w:rPr>
              <w:t>C</w:t>
            </w:r>
            <w:r w:rsidR="00D11B71" w:rsidRPr="00002625">
              <w:rPr>
                <w:szCs w:val="20"/>
              </w:rPr>
              <w:t xml:space="preserve">ancer </w:t>
            </w:r>
            <w:r w:rsidR="001E35B3" w:rsidRPr="00002625">
              <w:rPr>
                <w:szCs w:val="20"/>
              </w:rPr>
              <w:t>R</w:t>
            </w:r>
            <w:r w:rsidR="00D11B71" w:rsidRPr="00002625">
              <w:rPr>
                <w:szCs w:val="20"/>
              </w:rPr>
              <w:t>egistr</w:t>
            </w:r>
            <w:r w:rsidR="001E35B3" w:rsidRPr="00002625">
              <w:rPr>
                <w:szCs w:val="20"/>
              </w:rPr>
              <w:t>y</w:t>
            </w:r>
            <w:r w:rsidR="00EF4CAA" w:rsidRPr="00002625">
              <w:rPr>
                <w:szCs w:val="20"/>
              </w:rPr>
              <w:t>.</w:t>
            </w:r>
          </w:p>
          <w:p w14:paraId="7936E8EC" w14:textId="54E633CB" w:rsidR="00E70E59" w:rsidRPr="00002625" w:rsidRDefault="004C696F" w:rsidP="00E70E59">
            <w:pPr>
              <w:pStyle w:val="TableText0"/>
              <w:rPr>
                <w:szCs w:val="20"/>
              </w:rPr>
            </w:pPr>
            <w:r w:rsidRPr="00002625">
              <w:rPr>
                <w:szCs w:val="20"/>
              </w:rPr>
              <w:t>Nonrandomised</w:t>
            </w:r>
            <w:r w:rsidR="00792453" w:rsidRPr="00002625">
              <w:rPr>
                <w:szCs w:val="20"/>
              </w:rPr>
              <w:t>.</w:t>
            </w:r>
            <w:r w:rsidR="002F49A5" w:rsidRPr="00002625">
              <w:rPr>
                <w:szCs w:val="20"/>
              </w:rPr>
              <w:t xml:space="preserve"> All diagnostic interventions grouped together – not possible to distinguish outcomes for CTC vs OC.</w:t>
            </w:r>
          </w:p>
          <w:p w14:paraId="12C66EA1" w14:textId="600B664E" w:rsidR="00E70E59" w:rsidRPr="00002625" w:rsidRDefault="00425A49" w:rsidP="00E70E59">
            <w:pPr>
              <w:pStyle w:val="TableText0"/>
              <w:rPr>
                <w:szCs w:val="20"/>
              </w:rPr>
            </w:pPr>
            <w:r w:rsidRPr="00002625">
              <w:rPr>
                <w:szCs w:val="20"/>
              </w:rPr>
              <w:t xml:space="preserve">Outcomes: </w:t>
            </w:r>
            <w:r w:rsidR="008514C8" w:rsidRPr="00002625">
              <w:rPr>
                <w:szCs w:val="20"/>
              </w:rPr>
              <w:t xml:space="preserve">total wait time from first GI intervention to diagnosis; </w:t>
            </w:r>
            <w:r w:rsidRPr="00002625">
              <w:rPr>
                <w:szCs w:val="20"/>
              </w:rPr>
              <w:t xml:space="preserve">total inpatient and outpatient health care costs. </w:t>
            </w:r>
            <w:r w:rsidR="00792453" w:rsidRPr="00002625">
              <w:rPr>
                <w:szCs w:val="20"/>
              </w:rPr>
              <w:t>Overall mortality reported as secondary outcome.</w:t>
            </w:r>
          </w:p>
        </w:tc>
        <w:tc>
          <w:tcPr>
            <w:tcW w:w="557" w:type="pct"/>
          </w:tcPr>
          <w:p w14:paraId="618EE28A" w14:textId="5AE46E4B" w:rsidR="00E70E59" w:rsidRPr="00002625" w:rsidRDefault="00FF3733" w:rsidP="00E70E59">
            <w:pPr>
              <w:pStyle w:val="TableText0"/>
              <w:rPr>
                <w:szCs w:val="20"/>
              </w:rPr>
            </w:pPr>
            <w:r w:rsidRPr="00002625">
              <w:rPr>
                <w:szCs w:val="18"/>
              </w:rPr>
              <w:t>1,</w:t>
            </w:r>
            <w:r w:rsidR="00E70E59" w:rsidRPr="00002625">
              <w:rPr>
                <w:szCs w:val="18"/>
              </w:rPr>
              <w:t>2,3,4,5,6</w:t>
            </w:r>
          </w:p>
        </w:tc>
      </w:tr>
      <w:tr w:rsidR="00E70E59" w:rsidRPr="00002625" w14:paraId="79553610" w14:textId="77777777" w:rsidTr="007A1201">
        <w:tc>
          <w:tcPr>
            <w:tcW w:w="663" w:type="pct"/>
          </w:tcPr>
          <w:p w14:paraId="303C9638" w14:textId="77777777" w:rsidR="00E70E59" w:rsidRPr="00002625" w:rsidRDefault="00E70E59" w:rsidP="00E70E59">
            <w:pPr>
              <w:pStyle w:val="TableText0"/>
              <w:ind w:left="-57" w:right="-57"/>
              <w:rPr>
                <w:szCs w:val="20"/>
              </w:rPr>
            </w:pPr>
            <w:r w:rsidRPr="00002625">
              <w:rPr>
                <w:szCs w:val="20"/>
              </w:rPr>
              <w:t>Bowel Cancer Australia (undated)</w:t>
            </w:r>
          </w:p>
        </w:tc>
        <w:tc>
          <w:tcPr>
            <w:tcW w:w="1852" w:type="pct"/>
          </w:tcPr>
          <w:p w14:paraId="1F5BA029" w14:textId="2CB1FB60" w:rsidR="00E70E59" w:rsidRPr="00002625" w:rsidRDefault="00E70E59" w:rsidP="00E70E59">
            <w:pPr>
              <w:pStyle w:val="TableText0"/>
              <w:rPr>
                <w:szCs w:val="20"/>
              </w:rPr>
            </w:pPr>
            <w:r w:rsidRPr="00002625">
              <w:rPr>
                <w:szCs w:val="20"/>
              </w:rPr>
              <w:t>A Colonoscopy Wait-time and Performance Guarantee:</w:t>
            </w:r>
            <w:r w:rsidRPr="00002625">
              <w:t xml:space="preserve"> </w:t>
            </w:r>
            <w:r w:rsidRPr="00002625">
              <w:rPr>
                <w:szCs w:val="20"/>
              </w:rPr>
              <w:t>Bowel Cancer Australia advocates for a colonoscopy wait-time and performance guarantee</w:t>
            </w:r>
            <w:r w:rsidR="004E4FC2" w:rsidRPr="00002625">
              <w:rPr>
                <w:szCs w:val="20"/>
                <w:vertAlign w:val="superscript"/>
              </w:rPr>
              <w:t>a</w:t>
            </w:r>
          </w:p>
        </w:tc>
        <w:tc>
          <w:tcPr>
            <w:tcW w:w="1928" w:type="pct"/>
          </w:tcPr>
          <w:p w14:paraId="191C191E" w14:textId="4390CD62" w:rsidR="00E70E59" w:rsidRPr="00002625" w:rsidRDefault="00E70E59" w:rsidP="00E70E59">
            <w:pPr>
              <w:pStyle w:val="TableText0"/>
              <w:rPr>
                <w:szCs w:val="20"/>
              </w:rPr>
            </w:pPr>
            <w:r w:rsidRPr="00002625">
              <w:rPr>
                <w:szCs w:val="20"/>
              </w:rPr>
              <w:t xml:space="preserve">Summary wait list data from the </w:t>
            </w:r>
            <w:r w:rsidR="00C95D64" w:rsidRPr="00002625">
              <w:rPr>
                <w:szCs w:val="20"/>
              </w:rPr>
              <w:t>NBCSP</w:t>
            </w:r>
            <w:r w:rsidRPr="00002625">
              <w:rPr>
                <w:szCs w:val="20"/>
              </w:rPr>
              <w:t xml:space="preserve"> (2014 – 2023). </w:t>
            </w:r>
          </w:p>
          <w:p w14:paraId="65FC4DAB" w14:textId="77777777" w:rsidR="00E70E59" w:rsidRPr="00002625" w:rsidRDefault="00E70E59" w:rsidP="00E70E59">
            <w:pPr>
              <w:pStyle w:val="TableText0"/>
              <w:rPr>
                <w:szCs w:val="20"/>
              </w:rPr>
            </w:pPr>
            <w:r w:rsidRPr="00002625">
              <w:rPr>
                <w:szCs w:val="20"/>
              </w:rPr>
              <w:t>Non-comparative (colonoscopy only).</w:t>
            </w:r>
          </w:p>
        </w:tc>
        <w:tc>
          <w:tcPr>
            <w:tcW w:w="557" w:type="pct"/>
          </w:tcPr>
          <w:p w14:paraId="1B3C74B0" w14:textId="1C82A2E1" w:rsidR="00E70E59" w:rsidRPr="00002625" w:rsidRDefault="00FF3733" w:rsidP="00E70E59">
            <w:pPr>
              <w:pStyle w:val="TableText0"/>
              <w:rPr>
                <w:szCs w:val="20"/>
              </w:rPr>
            </w:pPr>
            <w:r w:rsidRPr="00002625">
              <w:rPr>
                <w:szCs w:val="18"/>
              </w:rPr>
              <w:t>1,</w:t>
            </w:r>
            <w:r w:rsidR="00E70E59" w:rsidRPr="00002625">
              <w:rPr>
                <w:szCs w:val="18"/>
              </w:rPr>
              <w:t>2,3,4,5,6</w:t>
            </w:r>
          </w:p>
        </w:tc>
      </w:tr>
    </w:tbl>
    <w:p w14:paraId="5507F182" w14:textId="4B61F942" w:rsidR="00602924" w:rsidRPr="00002625" w:rsidRDefault="0075318F" w:rsidP="00602924">
      <w:pPr>
        <w:pStyle w:val="Tablenotes"/>
        <w:spacing w:after="240"/>
      </w:pPr>
      <w:r w:rsidRPr="00002625">
        <w:t>Source:</w:t>
      </w:r>
      <w:r w:rsidR="004909BB" w:rsidRPr="00002625">
        <w:t xml:space="preserve"> compiled for this evaluation.</w:t>
      </w:r>
      <w:r w:rsidRPr="00002625">
        <w:tab/>
      </w:r>
      <w:r w:rsidRPr="00002625">
        <w:br/>
      </w:r>
      <w:r w:rsidR="003F1AF3" w:rsidRPr="00002625">
        <w:t xml:space="preserve">CT = computed tomography; </w:t>
      </w:r>
      <w:r w:rsidR="00602924" w:rsidRPr="00002625">
        <w:t xml:space="preserve">CTC = computed tomography colonography; </w:t>
      </w:r>
      <w:r w:rsidR="008514C8" w:rsidRPr="00002625">
        <w:t>GI = gastrointestinal</w:t>
      </w:r>
      <w:r w:rsidR="00602924" w:rsidRPr="00002625">
        <w:t xml:space="preserve">; </w:t>
      </w:r>
      <w:r w:rsidR="00C95D64" w:rsidRPr="00002625">
        <w:t xml:space="preserve">NBCSP = National Bowel Cancer Screening Program; </w:t>
      </w:r>
      <w:r w:rsidR="00DB71F6" w:rsidRPr="00002625">
        <w:t xml:space="preserve">OC = optical colonoscopy; </w:t>
      </w:r>
      <w:r w:rsidR="00602924" w:rsidRPr="00002625">
        <w:t xml:space="preserve">PRO = patient reported outcome; </w:t>
      </w:r>
      <w:r w:rsidR="00D62CCF" w:rsidRPr="00002625">
        <w:t xml:space="preserve">QoL = quality of life; </w:t>
      </w:r>
      <w:r w:rsidR="00602924" w:rsidRPr="00002625">
        <w:t>Ref ID = reference identification; SD = standard deviation.</w:t>
      </w:r>
      <w:r w:rsidR="001B08B5" w:rsidRPr="00002625">
        <w:rPr>
          <w:b/>
          <w:bCs/>
        </w:rPr>
        <w:br/>
      </w:r>
      <w:r w:rsidR="004E4FC2" w:rsidRPr="00002625">
        <w:rPr>
          <w:vertAlign w:val="superscript"/>
        </w:rPr>
        <w:t>a</w:t>
      </w:r>
      <w:r w:rsidR="00602924" w:rsidRPr="00002625">
        <w:t xml:space="preserve"> </w:t>
      </w:r>
      <w:r w:rsidR="00A97ED4" w:rsidRPr="00002625">
        <w:t>A Colonoscopy Wait-time and Performance Guarantee</w:t>
      </w:r>
      <w:r w:rsidR="00602924" w:rsidRPr="00002625">
        <w:t xml:space="preserve"> </w:t>
      </w:r>
      <w:hyperlink r:id="rId36" w:tooltip="This link goes to the bowel cancer Australia webpage" w:history="1">
        <w:r w:rsidR="00602924" w:rsidRPr="00002625">
          <w:rPr>
            <w:rStyle w:val="Hyperlink"/>
            <w:rFonts w:ascii="Arial Narrow" w:hAnsi="Arial Narrow" w:cs="Arial"/>
          </w:rPr>
          <w:t>www.bowelcanceraustralia.org/a-colonoscopy-wait-time-and-performance-guarantee</w:t>
        </w:r>
      </w:hyperlink>
      <w:r w:rsidR="00602924" w:rsidRPr="00002625">
        <w:t xml:space="preserve"> (accessed 16 October 2024)</w:t>
      </w:r>
    </w:p>
    <w:p w14:paraId="2307EFCA" w14:textId="77777777" w:rsidR="00006971" w:rsidRPr="00002625" w:rsidRDefault="00006971" w:rsidP="002A1DD6"/>
    <w:p w14:paraId="057EF56E" w14:textId="7AD2D64E" w:rsidR="00C44FAE" w:rsidRPr="00002625" w:rsidRDefault="00C44FAE" w:rsidP="00F87900">
      <w:pPr>
        <w:pStyle w:val="Heading2"/>
      </w:pPr>
    </w:p>
    <w:sectPr w:rsidR="00C44FAE" w:rsidRPr="00002625" w:rsidSect="00AE6FE0">
      <w:headerReference w:type="default" r:id="rId37"/>
      <w:footerReference w:type="even" r:id="rId38"/>
      <w:footerReference w:type="default" r:id="rId39"/>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F9B8F" w14:textId="77777777" w:rsidR="00707B39" w:rsidRDefault="00707B39" w:rsidP="0016315C">
      <w:pPr>
        <w:spacing w:after="0" w:line="240" w:lineRule="auto"/>
      </w:pPr>
      <w:r>
        <w:separator/>
      </w:r>
    </w:p>
  </w:endnote>
  <w:endnote w:type="continuationSeparator" w:id="0">
    <w:p w14:paraId="2A9071D3" w14:textId="77777777" w:rsidR="00707B39" w:rsidRDefault="00707B39" w:rsidP="0016315C">
      <w:pPr>
        <w:spacing w:after="0" w:line="240" w:lineRule="auto"/>
      </w:pPr>
      <w:r>
        <w:continuationSeparator/>
      </w:r>
    </w:p>
  </w:endnote>
  <w:endnote w:type="continuationNotice" w:id="1">
    <w:p w14:paraId="6DEAD29D" w14:textId="77777777" w:rsidR="00707B39" w:rsidRDefault="00707B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D327B" w14:textId="77777777" w:rsidR="00F90C98" w:rsidRDefault="00F90C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D678AB" w14:textId="77777777" w:rsidR="00F90C98" w:rsidRDefault="00F90C98"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51294344"/>
      <w:docPartObj>
        <w:docPartGallery w:val="Page Numbers (Bottom of Page)"/>
        <w:docPartUnique/>
      </w:docPartObj>
    </w:sdtPr>
    <w:sdtEndPr>
      <w:rPr>
        <w:rStyle w:val="PageNumber"/>
      </w:rPr>
    </w:sdtEndPr>
    <w:sdtContent>
      <w:p w14:paraId="4D49511E" w14:textId="77777777" w:rsidR="00F90C98" w:rsidRDefault="00F90C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B9D8D9" w14:textId="418F862B" w:rsidR="00F90C98" w:rsidRPr="00685355" w:rsidRDefault="00A81CD2" w:rsidP="00BB0FFB">
    <w:pPr>
      <w:jc w:val="center"/>
    </w:pPr>
    <w:r>
      <w:t>R</w:t>
    </w:r>
    <w:r w:rsidR="001F1D86">
      <w:t xml:space="preserve">atified </w:t>
    </w:r>
    <w:r w:rsidR="00F90C98">
      <w:t xml:space="preserve">PICO </w:t>
    </w:r>
    <w:r w:rsidR="00F90C98" w:rsidRPr="000C1BB6">
      <w:t>Confirmation – December 2024 PASC Meeting</w:t>
    </w:r>
    <w:r w:rsidR="00F90C98" w:rsidRPr="000C1BB6">
      <w:br/>
      <w:t xml:space="preserve">Application 1789 – </w:t>
    </w:r>
    <w:r w:rsidR="001F1D86" w:rsidRPr="001F1D86">
      <w:t>Computed tomography (CT) colonography for the detection of colorectal polyps and colorectal cancer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240D8" w14:textId="77777777" w:rsidR="00473E07" w:rsidRDefault="00473E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31438" w14:textId="77777777" w:rsidR="00A528FB" w:rsidRDefault="00A528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3EB5647" w14:textId="77777777" w:rsidR="00A528FB" w:rsidRDefault="00A528FB" w:rsidP="0068535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8740413"/>
      <w:docPartObj>
        <w:docPartGallery w:val="Page Numbers (Bottom of Page)"/>
        <w:docPartUnique/>
      </w:docPartObj>
    </w:sdtPr>
    <w:sdtEndPr>
      <w:rPr>
        <w:rStyle w:val="PageNumber"/>
      </w:rPr>
    </w:sdtEndPr>
    <w:sdtContent>
      <w:p w14:paraId="17BD29DA" w14:textId="77777777" w:rsidR="00A528FB" w:rsidRDefault="00A528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37B2EE" w14:textId="736E8703" w:rsidR="009124B7" w:rsidRPr="00685355" w:rsidRDefault="00A81CD2" w:rsidP="009124B7">
    <w:pPr>
      <w:jc w:val="center"/>
    </w:pPr>
    <w:r>
      <w:t>R</w:t>
    </w:r>
    <w:r w:rsidR="009124B7">
      <w:t xml:space="preserve">atified PICO </w:t>
    </w:r>
    <w:r w:rsidR="009124B7" w:rsidRPr="000C1BB6">
      <w:t>Confirmation – December 2024 PASC Meeting</w:t>
    </w:r>
    <w:r w:rsidR="009124B7" w:rsidRPr="000C1BB6">
      <w:br/>
      <w:t xml:space="preserve">Application 1789 – </w:t>
    </w:r>
    <w:r w:rsidR="009124B7" w:rsidRPr="001F1D86">
      <w:t>Computed tomography (CT) colonography for the detection of colorectal polyps and colorectal cancer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4E890" w14:textId="77777777" w:rsidR="00605C56" w:rsidRDefault="00605C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6A86DF" w14:textId="77777777" w:rsidR="00605C56" w:rsidRDefault="00605C56" w:rsidP="00685355">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6005832"/>
      <w:docPartObj>
        <w:docPartGallery w:val="Page Numbers (Bottom of Page)"/>
        <w:docPartUnique/>
      </w:docPartObj>
    </w:sdtPr>
    <w:sdtEndPr>
      <w:rPr>
        <w:rStyle w:val="PageNumber"/>
      </w:rPr>
    </w:sdtEndPr>
    <w:sdtContent>
      <w:p w14:paraId="77A25B7C" w14:textId="77777777" w:rsidR="00605C56" w:rsidRDefault="00605C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9C926B" w14:textId="5FFBDA72" w:rsidR="00605C56" w:rsidRPr="00685355" w:rsidRDefault="00A81CD2" w:rsidP="009124B7">
    <w:pPr>
      <w:jc w:val="center"/>
    </w:pPr>
    <w:r>
      <w:t>R</w:t>
    </w:r>
    <w:r w:rsidR="009124B7">
      <w:t xml:space="preserve">atified PICO </w:t>
    </w:r>
    <w:r w:rsidR="009124B7" w:rsidRPr="000C1BB6">
      <w:t>Confirmation – December 2024 PASC Meeting</w:t>
    </w:r>
    <w:r w:rsidR="009124B7" w:rsidRPr="000C1BB6">
      <w:br/>
      <w:t xml:space="preserve">Application 1789 – </w:t>
    </w:r>
    <w:r w:rsidR="009124B7" w:rsidRPr="001F1D86">
      <w:t>Computed tomography (CT) colonography for the detection of colorectal polyps and colorectal cancer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C0798" w14:textId="77777777" w:rsidR="00707B39" w:rsidRDefault="00707B39" w:rsidP="0016315C">
      <w:pPr>
        <w:spacing w:after="0" w:line="240" w:lineRule="auto"/>
      </w:pPr>
      <w:r>
        <w:separator/>
      </w:r>
    </w:p>
  </w:footnote>
  <w:footnote w:type="continuationSeparator" w:id="0">
    <w:p w14:paraId="042B8D88" w14:textId="77777777" w:rsidR="00707B39" w:rsidRDefault="00707B39" w:rsidP="0016315C">
      <w:pPr>
        <w:spacing w:after="0" w:line="240" w:lineRule="auto"/>
      </w:pPr>
      <w:r>
        <w:continuationSeparator/>
      </w:r>
    </w:p>
  </w:footnote>
  <w:footnote w:type="continuationNotice" w:id="1">
    <w:p w14:paraId="7C7ECAE9" w14:textId="77777777" w:rsidR="00707B39" w:rsidRDefault="00707B39">
      <w:pPr>
        <w:spacing w:after="0" w:line="240" w:lineRule="auto"/>
      </w:pPr>
    </w:p>
  </w:footnote>
  <w:footnote w:id="2">
    <w:p w14:paraId="5A5611FB" w14:textId="4662DB7D" w:rsidR="00575143" w:rsidRDefault="00575143">
      <w:pPr>
        <w:pStyle w:val="FootnoteText"/>
      </w:pPr>
      <w:r>
        <w:rPr>
          <w:rStyle w:val="FootnoteReference"/>
        </w:rPr>
        <w:footnoteRef/>
      </w:r>
      <w:r>
        <w:t xml:space="preserve"> ARGANZ is a special interest group of </w:t>
      </w:r>
      <w:r w:rsidRPr="00575143">
        <w:t>the Royal Australian and New Zealand College of Radiologists (RANZCR)</w:t>
      </w:r>
      <w:r>
        <w:t>.</w:t>
      </w:r>
    </w:p>
  </w:footnote>
  <w:footnote w:id="3">
    <w:p w14:paraId="5F474B2E" w14:textId="7A5831B5" w:rsidR="007C14C5" w:rsidRDefault="007C14C5" w:rsidP="007C14C5">
      <w:pPr>
        <w:pStyle w:val="FootnoteText"/>
      </w:pPr>
      <w:r>
        <w:rPr>
          <w:rStyle w:val="FootnoteReference"/>
        </w:rPr>
        <w:footnoteRef/>
      </w:r>
      <w:r>
        <w:t xml:space="preserve"> </w:t>
      </w:r>
      <w:hyperlink r:id="rId1" w:history="1">
        <w:r w:rsidR="00487575" w:rsidRPr="00487575">
          <w:rPr>
            <w:rStyle w:val="Hyperlink"/>
            <w:rFonts w:ascii="Calibri" w:hAnsi="Calibri"/>
          </w:rPr>
          <w:t>Bowel Cancer Screening - Bowel Cancer New Zealand</w:t>
        </w:r>
      </w:hyperlink>
      <w:r w:rsidR="00487575" w:rsidRPr="00487575" w:rsidDel="00487575">
        <w:t xml:space="preserve"> </w:t>
      </w:r>
    </w:p>
  </w:footnote>
  <w:footnote w:id="4">
    <w:p w14:paraId="769D3201" w14:textId="5BA9B79E" w:rsidR="00520F43" w:rsidRDefault="00520F43" w:rsidP="00520F43">
      <w:pPr>
        <w:pStyle w:val="FootnoteText"/>
      </w:pPr>
      <w:r>
        <w:rPr>
          <w:rStyle w:val="FootnoteReference"/>
        </w:rPr>
        <w:footnoteRef/>
      </w:r>
      <w:hyperlink r:id="rId2" w:tooltip="This link goes to Health New Zealand's website on colonoscopy following a positive bowel screening test" w:history="1">
        <w:r w:rsidRPr="0096595F">
          <w:rPr>
            <w:rStyle w:val="Hyperlink"/>
            <w:rFonts w:ascii="Calibri" w:hAnsi="Calibri"/>
          </w:rPr>
          <w:t xml:space="preserve"> https://info.health.nz/keeping-healthy/cancer-screening/bowel-screening/colonoscopy</w:t>
        </w:r>
      </w:hyperlink>
      <w:r w:rsidR="0096595F">
        <w:t xml:space="preserve"> </w:t>
      </w:r>
      <w:r>
        <w:t xml:space="preserve"> </w:t>
      </w:r>
    </w:p>
  </w:footnote>
  <w:footnote w:id="5">
    <w:p w14:paraId="5C43C448" w14:textId="7547DF28" w:rsidR="005144A2" w:rsidRPr="00E071E6" w:rsidRDefault="005144A2">
      <w:pPr>
        <w:pStyle w:val="FootnoteText"/>
        <w:rPr>
          <w:lang w:val="en-US"/>
        </w:rPr>
      </w:pPr>
      <w:r>
        <w:rPr>
          <w:rStyle w:val="FootnoteReference"/>
        </w:rPr>
        <w:footnoteRef/>
      </w:r>
      <w:r>
        <w:t xml:space="preserve"> </w:t>
      </w:r>
      <w:r w:rsidRPr="005144A2">
        <w:t>https://www.health.gov.au/our-work/national-bowel-cancer-screening-program</w:t>
      </w:r>
    </w:p>
  </w:footnote>
  <w:footnote w:id="6">
    <w:p w14:paraId="195B6F4D" w14:textId="77777777" w:rsidR="006A3D1A" w:rsidRDefault="006A3D1A" w:rsidP="006A3D1A">
      <w:pPr>
        <w:pStyle w:val="FootnoteText"/>
      </w:pPr>
      <w:r>
        <w:rPr>
          <w:rStyle w:val="FootnoteReference"/>
        </w:rPr>
        <w:footnoteRef/>
      </w:r>
      <w:r>
        <w:t xml:space="preserve"> </w:t>
      </w:r>
      <w:r w:rsidRPr="0050797D">
        <w:t>http://www.msac.gov.au/internet/msac/publishing.nsf/Content/1269-public</w:t>
      </w:r>
    </w:p>
  </w:footnote>
  <w:footnote w:id="7">
    <w:p w14:paraId="7E0B7F3E" w14:textId="26E3449F" w:rsidR="00E952D2" w:rsidRDefault="00E952D2" w:rsidP="00E952D2">
      <w:pPr>
        <w:pStyle w:val="FootnoteText"/>
      </w:pPr>
      <w:r>
        <w:rPr>
          <w:rStyle w:val="FootnoteReference"/>
        </w:rPr>
        <w:footnoteRef/>
      </w:r>
      <w:r>
        <w:t xml:space="preserve"> Data on </w:t>
      </w:r>
      <w:r w:rsidR="00E97CE3">
        <w:t xml:space="preserve">wait time </w:t>
      </w:r>
      <w:r w:rsidR="001B0FA6">
        <w:t>is available</w:t>
      </w:r>
      <w:r w:rsidR="000B736B">
        <w:t xml:space="preserve"> from</w:t>
      </w:r>
      <w:r>
        <w:t xml:space="preserve"> the Bowel Cancer Australia website</w:t>
      </w:r>
      <w:r w:rsidR="000B736B">
        <w:t xml:space="preserve"> (</w:t>
      </w:r>
      <w:hyperlink r:id="rId3" w:history="1">
        <w:r w:rsidR="000B736B" w:rsidRPr="00520A60">
          <w:rPr>
            <w:rStyle w:val="Hyperlink"/>
            <w:rFonts w:ascii="Calibri" w:hAnsi="Calibri"/>
          </w:rPr>
          <w:t>https://www.bowelcanceraustralia.org/colonoscopy/colonoscopy-wait-times</w:t>
        </w:r>
      </w:hyperlink>
      <w:r w:rsidR="000B736B">
        <w:t>). The wait time represents the time from colonoscopy following a positive FOBT screen, undertaken as part of the National Bowel Cancer Screening Program</w:t>
      </w:r>
      <w:r w:rsidR="006A4C62">
        <w:t>.</w:t>
      </w:r>
    </w:p>
  </w:footnote>
  <w:footnote w:id="8">
    <w:p w14:paraId="6D78C5FA" w14:textId="02B1A142" w:rsidR="00716C21" w:rsidRDefault="00716C21">
      <w:pPr>
        <w:pStyle w:val="FootnoteText"/>
      </w:pPr>
      <w:r>
        <w:rPr>
          <w:rStyle w:val="FootnoteReference"/>
        </w:rPr>
        <w:footnoteRef/>
      </w:r>
      <w:r>
        <w:t xml:space="preserve"> </w:t>
      </w:r>
      <w:r w:rsidR="00AD7DF7">
        <w:t>Statement based on</w:t>
      </w:r>
      <w:r w:rsidR="0040517C">
        <w:t xml:space="preserve"> data from </w:t>
      </w:r>
      <w:r w:rsidR="007A7CCD">
        <w:t>the Bowel Cancer Australia</w:t>
      </w:r>
      <w:r w:rsidR="00B14DEC">
        <w:t xml:space="preserve"> website </w:t>
      </w:r>
      <w:r w:rsidR="00D039CE">
        <w:t>(</w:t>
      </w:r>
      <w:hyperlink r:id="rId4" w:history="1">
        <w:r w:rsidR="00AB6C9D" w:rsidRPr="00520A60">
          <w:rPr>
            <w:rStyle w:val="Hyperlink"/>
            <w:rFonts w:ascii="Calibri" w:hAnsi="Calibri"/>
          </w:rPr>
          <w:t>https://www.bowelcanceraustralia.org/colonoscopy/colonoscopy-wait-times/</w:t>
        </w:r>
      </w:hyperlink>
      <w:r w:rsidR="00FB3813">
        <w:t>)</w:t>
      </w:r>
      <w:r w:rsidR="00AB6C9D">
        <w:t xml:space="preserve"> </w:t>
      </w:r>
      <w:r w:rsidR="00F67F1B">
        <w:t xml:space="preserve">and the </w:t>
      </w:r>
      <w:r w:rsidR="003E0D0F">
        <w:t>wait time</w:t>
      </w:r>
      <w:r w:rsidR="00637D6C">
        <w:t xml:space="preserve"> quoted</w:t>
      </w:r>
      <w:r w:rsidR="003E0D0F">
        <w:t xml:space="preserve"> is representative of the 90</w:t>
      </w:r>
      <w:r w:rsidR="003E0D0F" w:rsidRPr="00D13C7B">
        <w:rPr>
          <w:vertAlign w:val="superscript"/>
        </w:rPr>
        <w:t>th</w:t>
      </w:r>
      <w:r w:rsidR="003E0D0F">
        <w:t xml:space="preserve"> percentile </w:t>
      </w:r>
      <w:r w:rsidR="00136EF8">
        <w:t xml:space="preserve">(i.e. </w:t>
      </w:r>
      <w:r w:rsidR="00EF1FCB">
        <w:t xml:space="preserve">90% </w:t>
      </w:r>
      <w:r w:rsidR="001348A9">
        <w:t>of</w:t>
      </w:r>
      <w:r w:rsidR="00EF1FCB">
        <w:t xml:space="preserve"> people waited less than or equal to </w:t>
      </w:r>
      <w:r w:rsidR="00705CA1">
        <w:t xml:space="preserve">that time, </w:t>
      </w:r>
      <w:r w:rsidR="00D84B66">
        <w:t>while</w:t>
      </w:r>
      <w:r w:rsidR="00705CA1">
        <w:t xml:space="preserve"> 10% waited longer)</w:t>
      </w:r>
      <w:r w:rsidR="003E0D0F">
        <w:t xml:space="preserve"> </w:t>
      </w:r>
      <w:r w:rsidR="006239DE">
        <w:t>in each state and territory in 2022</w:t>
      </w:r>
      <w:r w:rsidR="007F17F3">
        <w:t>. The wait time</w:t>
      </w:r>
      <w:r w:rsidR="00D551D5">
        <w:t xml:space="preserve"> </w:t>
      </w:r>
      <w:r w:rsidR="00372B88">
        <w:t>represents the time</w:t>
      </w:r>
      <w:r w:rsidR="00A36843">
        <w:t xml:space="preserve"> from colonoscopy following</w:t>
      </w:r>
      <w:r w:rsidR="00372B88">
        <w:t xml:space="preserve"> </w:t>
      </w:r>
      <w:r w:rsidR="00A36843">
        <w:t>a</w:t>
      </w:r>
      <w:r w:rsidR="00372B88">
        <w:t xml:space="preserve"> positive FOBT screen</w:t>
      </w:r>
      <w:r w:rsidR="003C57EF">
        <w:t>, undertaken as part of the National Bowel Cancer Screening Program.</w:t>
      </w:r>
    </w:p>
  </w:footnote>
  <w:footnote w:id="9">
    <w:p w14:paraId="3967B04B" w14:textId="51025B85" w:rsidR="00232F36" w:rsidRPr="005B5A8C" w:rsidRDefault="00232F36" w:rsidP="00232F36">
      <w:pPr>
        <w:pStyle w:val="FootnoteText"/>
        <w:rPr>
          <w:rFonts w:asciiTheme="minorHAnsi" w:hAnsiTheme="minorHAnsi" w:cstheme="minorHAnsi"/>
        </w:rPr>
      </w:pPr>
      <w:r w:rsidRPr="005B5A8C">
        <w:rPr>
          <w:rStyle w:val="FootnoteReference"/>
          <w:rFonts w:asciiTheme="minorHAnsi" w:hAnsiTheme="minorHAnsi" w:cstheme="minorHAnsi"/>
        </w:rPr>
        <w:footnoteRef/>
      </w:r>
      <w:r w:rsidRPr="005B5A8C">
        <w:rPr>
          <w:rFonts w:asciiTheme="minorHAnsi" w:hAnsiTheme="minorHAnsi" w:cstheme="minorHAnsi"/>
        </w:rPr>
        <w:t xml:space="preserve"> </w:t>
      </w:r>
      <w:hyperlink r:id="rId5" w:tooltip="This link goes to a page on the cancer council website " w:history="1">
        <w:r w:rsidRPr="00674238">
          <w:rPr>
            <w:rStyle w:val="Hyperlink"/>
            <w:rFonts w:asciiTheme="minorHAnsi" w:hAnsiTheme="minorHAnsi" w:cstheme="minorHAnsi"/>
          </w:rPr>
          <w:t>www.cancer.org.au/about-us/policy-and-advocacy/early-detection/bowel-cancer/policy-context</w:t>
        </w:r>
      </w:hyperlink>
      <w:r w:rsidRPr="005B5A8C">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4094D" w14:textId="77777777" w:rsidR="00473E07" w:rsidRDefault="00473E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90"/>
      <w:gridCol w:w="3190"/>
      <w:gridCol w:w="3190"/>
    </w:tblGrid>
    <w:tr w:rsidR="00F90C98" w14:paraId="77FAB405" w14:textId="77777777" w:rsidTr="009A4FFB">
      <w:trPr>
        <w:trHeight w:val="300"/>
      </w:trPr>
      <w:tc>
        <w:tcPr>
          <w:tcW w:w="3190" w:type="dxa"/>
        </w:tcPr>
        <w:p w14:paraId="7C146B21" w14:textId="77777777" w:rsidR="00F90C98" w:rsidRDefault="00F90C98" w:rsidP="009A4FFB">
          <w:pPr>
            <w:pStyle w:val="Header"/>
            <w:ind w:left="-115"/>
          </w:pPr>
        </w:p>
      </w:tc>
      <w:tc>
        <w:tcPr>
          <w:tcW w:w="3190" w:type="dxa"/>
        </w:tcPr>
        <w:p w14:paraId="365EC44E" w14:textId="77777777" w:rsidR="00F90C98" w:rsidRDefault="00F90C98" w:rsidP="009A4FFB">
          <w:pPr>
            <w:pStyle w:val="Header"/>
            <w:jc w:val="center"/>
          </w:pPr>
        </w:p>
      </w:tc>
      <w:tc>
        <w:tcPr>
          <w:tcW w:w="3190" w:type="dxa"/>
        </w:tcPr>
        <w:p w14:paraId="6C9DACCA" w14:textId="77777777" w:rsidR="00F90C98" w:rsidRDefault="00F90C98" w:rsidP="009A4FFB">
          <w:pPr>
            <w:pStyle w:val="Header"/>
            <w:ind w:right="-115"/>
            <w:jc w:val="right"/>
          </w:pPr>
        </w:p>
      </w:tc>
    </w:tr>
  </w:tbl>
  <w:p w14:paraId="67D920B8" w14:textId="77777777" w:rsidR="00F90C98" w:rsidRDefault="00F90C98" w:rsidP="009A4F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A5A81" w14:textId="77777777" w:rsidR="00473E07" w:rsidRDefault="00473E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90"/>
      <w:gridCol w:w="3190"/>
      <w:gridCol w:w="3190"/>
    </w:tblGrid>
    <w:tr w:rsidR="00A528FB" w14:paraId="7D945D9B" w14:textId="77777777" w:rsidTr="009A4FFB">
      <w:trPr>
        <w:trHeight w:val="300"/>
      </w:trPr>
      <w:tc>
        <w:tcPr>
          <w:tcW w:w="3190" w:type="dxa"/>
        </w:tcPr>
        <w:p w14:paraId="7964014D" w14:textId="23735F1F" w:rsidR="00A528FB" w:rsidRDefault="00A528FB" w:rsidP="009A4FFB">
          <w:pPr>
            <w:pStyle w:val="Header"/>
            <w:ind w:left="-115"/>
          </w:pPr>
        </w:p>
      </w:tc>
      <w:tc>
        <w:tcPr>
          <w:tcW w:w="3190" w:type="dxa"/>
        </w:tcPr>
        <w:p w14:paraId="0C92E621" w14:textId="77777777" w:rsidR="00A528FB" w:rsidRDefault="00A528FB" w:rsidP="009A4FFB">
          <w:pPr>
            <w:pStyle w:val="Header"/>
            <w:jc w:val="center"/>
          </w:pPr>
        </w:p>
      </w:tc>
      <w:tc>
        <w:tcPr>
          <w:tcW w:w="3190" w:type="dxa"/>
        </w:tcPr>
        <w:p w14:paraId="7A933CE7" w14:textId="77777777" w:rsidR="00A528FB" w:rsidRDefault="00A528FB" w:rsidP="009A4FFB">
          <w:pPr>
            <w:pStyle w:val="Header"/>
            <w:ind w:right="-115"/>
            <w:jc w:val="right"/>
          </w:pPr>
        </w:p>
      </w:tc>
    </w:tr>
  </w:tbl>
  <w:p w14:paraId="3FD7EE88" w14:textId="77777777" w:rsidR="00A528FB" w:rsidRDefault="00A528FB" w:rsidP="009A4F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90"/>
      <w:gridCol w:w="3190"/>
      <w:gridCol w:w="3190"/>
    </w:tblGrid>
    <w:tr w:rsidR="00605C56" w14:paraId="5894F136" w14:textId="77777777" w:rsidTr="009A4FFB">
      <w:trPr>
        <w:trHeight w:val="300"/>
      </w:trPr>
      <w:tc>
        <w:tcPr>
          <w:tcW w:w="3190" w:type="dxa"/>
        </w:tcPr>
        <w:p w14:paraId="44C73FAC" w14:textId="77777777" w:rsidR="00605C56" w:rsidRDefault="00605C56" w:rsidP="009A4FFB">
          <w:pPr>
            <w:pStyle w:val="Header"/>
            <w:ind w:left="-115"/>
          </w:pPr>
        </w:p>
      </w:tc>
      <w:tc>
        <w:tcPr>
          <w:tcW w:w="3190" w:type="dxa"/>
        </w:tcPr>
        <w:p w14:paraId="2AE28127" w14:textId="77777777" w:rsidR="00605C56" w:rsidRDefault="00605C56" w:rsidP="009A4FFB">
          <w:pPr>
            <w:pStyle w:val="Header"/>
            <w:jc w:val="center"/>
          </w:pPr>
        </w:p>
      </w:tc>
      <w:tc>
        <w:tcPr>
          <w:tcW w:w="3190" w:type="dxa"/>
        </w:tcPr>
        <w:p w14:paraId="4E817C93" w14:textId="77777777" w:rsidR="00605C56" w:rsidRDefault="00605C56" w:rsidP="009A4FFB">
          <w:pPr>
            <w:pStyle w:val="Header"/>
            <w:ind w:right="-115"/>
            <w:jc w:val="right"/>
          </w:pPr>
        </w:p>
      </w:tc>
    </w:tr>
  </w:tbl>
  <w:p w14:paraId="64F68E57" w14:textId="77777777" w:rsidR="00605C56" w:rsidRDefault="00605C56" w:rsidP="009A4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5A18"/>
    <w:multiLevelType w:val="hybridMultilevel"/>
    <w:tmpl w:val="FFFFFFFF"/>
    <w:lvl w:ilvl="0" w:tplc="134E04E6">
      <w:start w:val="1"/>
      <w:numFmt w:val="bullet"/>
      <w:lvlText w:val=""/>
      <w:lvlJc w:val="left"/>
      <w:pPr>
        <w:ind w:left="720" w:hanging="360"/>
      </w:pPr>
      <w:rPr>
        <w:rFonts w:ascii="Symbol" w:hAnsi="Symbol" w:hint="default"/>
      </w:rPr>
    </w:lvl>
    <w:lvl w:ilvl="1" w:tplc="51189840">
      <w:start w:val="1"/>
      <w:numFmt w:val="bullet"/>
      <w:lvlText w:val="o"/>
      <w:lvlJc w:val="left"/>
      <w:pPr>
        <w:ind w:left="1440" w:hanging="360"/>
      </w:pPr>
      <w:rPr>
        <w:rFonts w:ascii="Courier New" w:hAnsi="Courier New" w:hint="default"/>
      </w:rPr>
    </w:lvl>
    <w:lvl w:ilvl="2" w:tplc="71E61B56">
      <w:start w:val="1"/>
      <w:numFmt w:val="bullet"/>
      <w:lvlText w:val=""/>
      <w:lvlJc w:val="left"/>
      <w:pPr>
        <w:ind w:left="2160" w:hanging="360"/>
      </w:pPr>
      <w:rPr>
        <w:rFonts w:ascii="Wingdings" w:hAnsi="Wingdings" w:hint="default"/>
      </w:rPr>
    </w:lvl>
    <w:lvl w:ilvl="3" w:tplc="31EA5872">
      <w:start w:val="1"/>
      <w:numFmt w:val="bullet"/>
      <w:lvlText w:val=""/>
      <w:lvlJc w:val="left"/>
      <w:pPr>
        <w:ind w:left="2880" w:hanging="360"/>
      </w:pPr>
      <w:rPr>
        <w:rFonts w:ascii="Symbol" w:hAnsi="Symbol" w:hint="default"/>
      </w:rPr>
    </w:lvl>
    <w:lvl w:ilvl="4" w:tplc="73AACD0E">
      <w:start w:val="1"/>
      <w:numFmt w:val="bullet"/>
      <w:lvlText w:val="o"/>
      <w:lvlJc w:val="left"/>
      <w:pPr>
        <w:ind w:left="3600" w:hanging="360"/>
      </w:pPr>
      <w:rPr>
        <w:rFonts w:ascii="Courier New" w:hAnsi="Courier New" w:hint="default"/>
      </w:rPr>
    </w:lvl>
    <w:lvl w:ilvl="5" w:tplc="30E08262">
      <w:start w:val="1"/>
      <w:numFmt w:val="bullet"/>
      <w:lvlText w:val=""/>
      <w:lvlJc w:val="left"/>
      <w:pPr>
        <w:ind w:left="4320" w:hanging="360"/>
      </w:pPr>
      <w:rPr>
        <w:rFonts w:ascii="Wingdings" w:hAnsi="Wingdings" w:hint="default"/>
      </w:rPr>
    </w:lvl>
    <w:lvl w:ilvl="6" w:tplc="868AD202">
      <w:start w:val="1"/>
      <w:numFmt w:val="bullet"/>
      <w:lvlText w:val=""/>
      <w:lvlJc w:val="left"/>
      <w:pPr>
        <w:ind w:left="5040" w:hanging="360"/>
      </w:pPr>
      <w:rPr>
        <w:rFonts w:ascii="Symbol" w:hAnsi="Symbol" w:hint="default"/>
      </w:rPr>
    </w:lvl>
    <w:lvl w:ilvl="7" w:tplc="385EF268">
      <w:start w:val="1"/>
      <w:numFmt w:val="bullet"/>
      <w:lvlText w:val="o"/>
      <w:lvlJc w:val="left"/>
      <w:pPr>
        <w:ind w:left="5760" w:hanging="360"/>
      </w:pPr>
      <w:rPr>
        <w:rFonts w:ascii="Courier New" w:hAnsi="Courier New" w:hint="default"/>
      </w:rPr>
    </w:lvl>
    <w:lvl w:ilvl="8" w:tplc="3E5EFD3C">
      <w:start w:val="1"/>
      <w:numFmt w:val="bullet"/>
      <w:lvlText w:val=""/>
      <w:lvlJc w:val="left"/>
      <w:pPr>
        <w:ind w:left="6480" w:hanging="360"/>
      </w:pPr>
      <w:rPr>
        <w:rFonts w:ascii="Wingdings" w:hAnsi="Wingdings" w:hint="default"/>
      </w:rPr>
    </w:lvl>
  </w:abstractNum>
  <w:abstractNum w:abstractNumId="1" w15:restartNumberingAfterBreak="0">
    <w:nsid w:val="02ED6FC7"/>
    <w:multiLevelType w:val="hybridMultilevel"/>
    <w:tmpl w:val="F9E674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3C4EB8"/>
    <w:multiLevelType w:val="hybridMultilevel"/>
    <w:tmpl w:val="EC38C1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A14B07"/>
    <w:multiLevelType w:val="hybridMultilevel"/>
    <w:tmpl w:val="1B6A01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872326"/>
    <w:multiLevelType w:val="hybridMultilevel"/>
    <w:tmpl w:val="294CA3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0F0529"/>
    <w:multiLevelType w:val="hybridMultilevel"/>
    <w:tmpl w:val="605C4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023445"/>
    <w:multiLevelType w:val="hybridMultilevel"/>
    <w:tmpl w:val="0CE4E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B6587C"/>
    <w:multiLevelType w:val="hybridMultilevel"/>
    <w:tmpl w:val="8862B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4B462F"/>
    <w:multiLevelType w:val="hybridMultilevel"/>
    <w:tmpl w:val="748E0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E14952"/>
    <w:multiLevelType w:val="hybridMultilevel"/>
    <w:tmpl w:val="5BAEB8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D6A0151"/>
    <w:multiLevelType w:val="hybridMultilevel"/>
    <w:tmpl w:val="3B569D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72C5A33"/>
    <w:multiLevelType w:val="hybridMultilevel"/>
    <w:tmpl w:val="282463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77C456D"/>
    <w:multiLevelType w:val="hybridMultilevel"/>
    <w:tmpl w:val="582AA8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6F60517"/>
    <w:multiLevelType w:val="hybridMultilevel"/>
    <w:tmpl w:val="C5F6F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7095746"/>
    <w:multiLevelType w:val="hybridMultilevel"/>
    <w:tmpl w:val="28BC0FCE"/>
    <w:lvl w:ilvl="0" w:tplc="A26EFB64">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4874562A"/>
    <w:multiLevelType w:val="hybridMultilevel"/>
    <w:tmpl w:val="9CBC6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9B6ECD"/>
    <w:multiLevelType w:val="hybridMultilevel"/>
    <w:tmpl w:val="EFBCB9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AE03F67"/>
    <w:multiLevelType w:val="hybridMultilevel"/>
    <w:tmpl w:val="2FFC6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19" w15:restartNumberingAfterBreak="0">
    <w:nsid w:val="56DD2C67"/>
    <w:multiLevelType w:val="hybridMultilevel"/>
    <w:tmpl w:val="4CB63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D8D3E6F"/>
    <w:multiLevelType w:val="hybridMultilevel"/>
    <w:tmpl w:val="31200138"/>
    <w:lvl w:ilvl="0" w:tplc="0C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F70205D"/>
    <w:multiLevelType w:val="hybridMultilevel"/>
    <w:tmpl w:val="B3B82F5E"/>
    <w:lvl w:ilvl="0" w:tplc="A0E0503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1C094E"/>
    <w:multiLevelType w:val="hybridMultilevel"/>
    <w:tmpl w:val="3000EF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FCE08C1"/>
    <w:multiLevelType w:val="hybridMultilevel"/>
    <w:tmpl w:val="F25A21D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4" w15:restartNumberingAfterBreak="0">
    <w:nsid w:val="7DCF525E"/>
    <w:multiLevelType w:val="hybridMultilevel"/>
    <w:tmpl w:val="624ECD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98093375">
    <w:abstractNumId w:val="18"/>
  </w:num>
  <w:num w:numId="2" w16cid:durableId="823394897">
    <w:abstractNumId w:val="14"/>
  </w:num>
  <w:num w:numId="3" w16cid:durableId="1838573335">
    <w:abstractNumId w:val="20"/>
  </w:num>
  <w:num w:numId="4" w16cid:durableId="562066935">
    <w:abstractNumId w:val="15"/>
  </w:num>
  <w:num w:numId="5" w16cid:durableId="2075079379">
    <w:abstractNumId w:val="4"/>
  </w:num>
  <w:num w:numId="6" w16cid:durableId="2092122196">
    <w:abstractNumId w:val="5"/>
  </w:num>
  <w:num w:numId="7" w16cid:durableId="17242920">
    <w:abstractNumId w:val="3"/>
  </w:num>
  <w:num w:numId="8" w16cid:durableId="1994411959">
    <w:abstractNumId w:val="19"/>
  </w:num>
  <w:num w:numId="9" w16cid:durableId="1659186678">
    <w:abstractNumId w:val="1"/>
  </w:num>
  <w:num w:numId="10" w16cid:durableId="839808094">
    <w:abstractNumId w:val="7"/>
  </w:num>
  <w:num w:numId="11" w16cid:durableId="1574193080">
    <w:abstractNumId w:val="10"/>
  </w:num>
  <w:num w:numId="12" w16cid:durableId="1802577459">
    <w:abstractNumId w:val="9"/>
  </w:num>
  <w:num w:numId="13" w16cid:durableId="1154418272">
    <w:abstractNumId w:val="13"/>
  </w:num>
  <w:num w:numId="14" w16cid:durableId="1741247715">
    <w:abstractNumId w:val="16"/>
  </w:num>
  <w:num w:numId="15" w16cid:durableId="486554860">
    <w:abstractNumId w:val="22"/>
  </w:num>
  <w:num w:numId="16" w16cid:durableId="171838626">
    <w:abstractNumId w:val="21"/>
  </w:num>
  <w:num w:numId="17" w16cid:durableId="1434784359">
    <w:abstractNumId w:val="12"/>
  </w:num>
  <w:num w:numId="18" w16cid:durableId="1277176195">
    <w:abstractNumId w:val="0"/>
  </w:num>
  <w:num w:numId="19" w16cid:durableId="1950970740">
    <w:abstractNumId w:val="2"/>
  </w:num>
  <w:num w:numId="20" w16cid:durableId="989601226">
    <w:abstractNumId w:val="24"/>
  </w:num>
  <w:num w:numId="21" w16cid:durableId="252589287">
    <w:abstractNumId w:val="11"/>
  </w:num>
  <w:num w:numId="22" w16cid:durableId="1605116678">
    <w:abstractNumId w:val="17"/>
  </w:num>
  <w:num w:numId="23" w16cid:durableId="1273391905">
    <w:abstractNumId w:val="8"/>
  </w:num>
  <w:num w:numId="24" w16cid:durableId="1344354995">
    <w:abstractNumId w:val="6"/>
  </w:num>
  <w:num w:numId="25" w16cid:durableId="757676592">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F9C"/>
    <w:rsid w:val="000000B4"/>
    <w:rsid w:val="0000044D"/>
    <w:rsid w:val="000005EB"/>
    <w:rsid w:val="000005F5"/>
    <w:rsid w:val="00000673"/>
    <w:rsid w:val="000006E5"/>
    <w:rsid w:val="00000857"/>
    <w:rsid w:val="00000943"/>
    <w:rsid w:val="00000A06"/>
    <w:rsid w:val="00000A84"/>
    <w:rsid w:val="00000C95"/>
    <w:rsid w:val="00000D1B"/>
    <w:rsid w:val="0000168A"/>
    <w:rsid w:val="00001725"/>
    <w:rsid w:val="000017A3"/>
    <w:rsid w:val="000017AC"/>
    <w:rsid w:val="00001AEE"/>
    <w:rsid w:val="00001BB9"/>
    <w:rsid w:val="00001C4C"/>
    <w:rsid w:val="00001CD5"/>
    <w:rsid w:val="00001D0A"/>
    <w:rsid w:val="00001D93"/>
    <w:rsid w:val="00002475"/>
    <w:rsid w:val="00002625"/>
    <w:rsid w:val="00002793"/>
    <w:rsid w:val="00002A37"/>
    <w:rsid w:val="00002BDC"/>
    <w:rsid w:val="00002D6E"/>
    <w:rsid w:val="00003011"/>
    <w:rsid w:val="0000307A"/>
    <w:rsid w:val="00003118"/>
    <w:rsid w:val="0000314A"/>
    <w:rsid w:val="000032DC"/>
    <w:rsid w:val="0000334F"/>
    <w:rsid w:val="000033F2"/>
    <w:rsid w:val="0000359E"/>
    <w:rsid w:val="000036B6"/>
    <w:rsid w:val="000036FA"/>
    <w:rsid w:val="000037FD"/>
    <w:rsid w:val="00003D40"/>
    <w:rsid w:val="00003DCD"/>
    <w:rsid w:val="00004044"/>
    <w:rsid w:val="000040EB"/>
    <w:rsid w:val="000044BA"/>
    <w:rsid w:val="000046F3"/>
    <w:rsid w:val="00004820"/>
    <w:rsid w:val="0000490A"/>
    <w:rsid w:val="00004F92"/>
    <w:rsid w:val="00005193"/>
    <w:rsid w:val="000051A5"/>
    <w:rsid w:val="000052F4"/>
    <w:rsid w:val="00005335"/>
    <w:rsid w:val="00005851"/>
    <w:rsid w:val="000058C3"/>
    <w:rsid w:val="00005B0A"/>
    <w:rsid w:val="00005BCE"/>
    <w:rsid w:val="00005D26"/>
    <w:rsid w:val="000060D2"/>
    <w:rsid w:val="000064B4"/>
    <w:rsid w:val="0000650A"/>
    <w:rsid w:val="00006762"/>
    <w:rsid w:val="00006971"/>
    <w:rsid w:val="00006B4A"/>
    <w:rsid w:val="00006DAE"/>
    <w:rsid w:val="0000706C"/>
    <w:rsid w:val="00007267"/>
    <w:rsid w:val="00007379"/>
    <w:rsid w:val="000073AA"/>
    <w:rsid w:val="000073AC"/>
    <w:rsid w:val="00007551"/>
    <w:rsid w:val="0000767A"/>
    <w:rsid w:val="000079DE"/>
    <w:rsid w:val="00007A70"/>
    <w:rsid w:val="00007B51"/>
    <w:rsid w:val="00010061"/>
    <w:rsid w:val="0001011B"/>
    <w:rsid w:val="0001022B"/>
    <w:rsid w:val="00010361"/>
    <w:rsid w:val="00010623"/>
    <w:rsid w:val="000106D1"/>
    <w:rsid w:val="0001073F"/>
    <w:rsid w:val="000108DF"/>
    <w:rsid w:val="00010A74"/>
    <w:rsid w:val="00010C2C"/>
    <w:rsid w:val="00010E18"/>
    <w:rsid w:val="00011007"/>
    <w:rsid w:val="000113F0"/>
    <w:rsid w:val="0001171D"/>
    <w:rsid w:val="00011992"/>
    <w:rsid w:val="00011AA8"/>
    <w:rsid w:val="00011B05"/>
    <w:rsid w:val="00011C84"/>
    <w:rsid w:val="00011E29"/>
    <w:rsid w:val="00011F28"/>
    <w:rsid w:val="00011FD0"/>
    <w:rsid w:val="00012436"/>
    <w:rsid w:val="00012859"/>
    <w:rsid w:val="00012B0B"/>
    <w:rsid w:val="00012DEA"/>
    <w:rsid w:val="00012F36"/>
    <w:rsid w:val="00013055"/>
    <w:rsid w:val="0001305D"/>
    <w:rsid w:val="000130DE"/>
    <w:rsid w:val="00013171"/>
    <w:rsid w:val="00013382"/>
    <w:rsid w:val="0001340C"/>
    <w:rsid w:val="0001341F"/>
    <w:rsid w:val="0001354A"/>
    <w:rsid w:val="000136A3"/>
    <w:rsid w:val="00013710"/>
    <w:rsid w:val="000137F3"/>
    <w:rsid w:val="00013F5C"/>
    <w:rsid w:val="00013F8A"/>
    <w:rsid w:val="000140AE"/>
    <w:rsid w:val="0001410F"/>
    <w:rsid w:val="0001413F"/>
    <w:rsid w:val="00014400"/>
    <w:rsid w:val="000147D1"/>
    <w:rsid w:val="00014AEC"/>
    <w:rsid w:val="00014B18"/>
    <w:rsid w:val="00014EBD"/>
    <w:rsid w:val="00014EE1"/>
    <w:rsid w:val="00015331"/>
    <w:rsid w:val="000153FA"/>
    <w:rsid w:val="0001579A"/>
    <w:rsid w:val="00015942"/>
    <w:rsid w:val="000159EB"/>
    <w:rsid w:val="000159F4"/>
    <w:rsid w:val="00015A19"/>
    <w:rsid w:val="00015A5D"/>
    <w:rsid w:val="00015E4A"/>
    <w:rsid w:val="00015F68"/>
    <w:rsid w:val="00015F76"/>
    <w:rsid w:val="00015FC6"/>
    <w:rsid w:val="000163D5"/>
    <w:rsid w:val="000164EC"/>
    <w:rsid w:val="00016661"/>
    <w:rsid w:val="0001688C"/>
    <w:rsid w:val="000168D6"/>
    <w:rsid w:val="0001693A"/>
    <w:rsid w:val="00016945"/>
    <w:rsid w:val="00017338"/>
    <w:rsid w:val="00017519"/>
    <w:rsid w:val="00017A18"/>
    <w:rsid w:val="00017A49"/>
    <w:rsid w:val="00017F08"/>
    <w:rsid w:val="00017FBA"/>
    <w:rsid w:val="0002007B"/>
    <w:rsid w:val="000201A5"/>
    <w:rsid w:val="00020250"/>
    <w:rsid w:val="000204DB"/>
    <w:rsid w:val="000207BE"/>
    <w:rsid w:val="000208B5"/>
    <w:rsid w:val="00020A43"/>
    <w:rsid w:val="00020C13"/>
    <w:rsid w:val="00020C91"/>
    <w:rsid w:val="00020F2F"/>
    <w:rsid w:val="00021071"/>
    <w:rsid w:val="00021210"/>
    <w:rsid w:val="00021350"/>
    <w:rsid w:val="0002142B"/>
    <w:rsid w:val="00021487"/>
    <w:rsid w:val="00021DFB"/>
    <w:rsid w:val="00021FDE"/>
    <w:rsid w:val="000225DB"/>
    <w:rsid w:val="00022908"/>
    <w:rsid w:val="000236C9"/>
    <w:rsid w:val="0002384E"/>
    <w:rsid w:val="00023A8C"/>
    <w:rsid w:val="00023F83"/>
    <w:rsid w:val="0002413B"/>
    <w:rsid w:val="00024266"/>
    <w:rsid w:val="000242F2"/>
    <w:rsid w:val="000243C7"/>
    <w:rsid w:val="00024978"/>
    <w:rsid w:val="000249E4"/>
    <w:rsid w:val="00024A6E"/>
    <w:rsid w:val="00024BD6"/>
    <w:rsid w:val="0002515F"/>
    <w:rsid w:val="000252A4"/>
    <w:rsid w:val="0002548F"/>
    <w:rsid w:val="000254B4"/>
    <w:rsid w:val="0002555C"/>
    <w:rsid w:val="00025648"/>
    <w:rsid w:val="00025861"/>
    <w:rsid w:val="00025A43"/>
    <w:rsid w:val="00025CE7"/>
    <w:rsid w:val="00025EA7"/>
    <w:rsid w:val="00025FF5"/>
    <w:rsid w:val="0002607B"/>
    <w:rsid w:val="0002609C"/>
    <w:rsid w:val="00026173"/>
    <w:rsid w:val="00026597"/>
    <w:rsid w:val="000265C0"/>
    <w:rsid w:val="000265FC"/>
    <w:rsid w:val="00026767"/>
    <w:rsid w:val="00026889"/>
    <w:rsid w:val="00026954"/>
    <w:rsid w:val="00026991"/>
    <w:rsid w:val="00026A3E"/>
    <w:rsid w:val="00026C1D"/>
    <w:rsid w:val="00026C96"/>
    <w:rsid w:val="00026DC8"/>
    <w:rsid w:val="00027409"/>
    <w:rsid w:val="0002754E"/>
    <w:rsid w:val="0002769F"/>
    <w:rsid w:val="000278B4"/>
    <w:rsid w:val="00027BED"/>
    <w:rsid w:val="00027D29"/>
    <w:rsid w:val="00027EC8"/>
    <w:rsid w:val="00030042"/>
    <w:rsid w:val="000300E8"/>
    <w:rsid w:val="00030148"/>
    <w:rsid w:val="000302F9"/>
    <w:rsid w:val="00030362"/>
    <w:rsid w:val="0003045F"/>
    <w:rsid w:val="00030518"/>
    <w:rsid w:val="00030521"/>
    <w:rsid w:val="000307CA"/>
    <w:rsid w:val="0003089F"/>
    <w:rsid w:val="00030921"/>
    <w:rsid w:val="00030C2D"/>
    <w:rsid w:val="00030CC5"/>
    <w:rsid w:val="00030D74"/>
    <w:rsid w:val="00030E75"/>
    <w:rsid w:val="00030FA9"/>
    <w:rsid w:val="0003113F"/>
    <w:rsid w:val="000311F1"/>
    <w:rsid w:val="00031367"/>
    <w:rsid w:val="00031454"/>
    <w:rsid w:val="00031B80"/>
    <w:rsid w:val="00031CAE"/>
    <w:rsid w:val="00031E61"/>
    <w:rsid w:val="00031ED4"/>
    <w:rsid w:val="00031EDB"/>
    <w:rsid w:val="00031F3C"/>
    <w:rsid w:val="00031FD4"/>
    <w:rsid w:val="00032783"/>
    <w:rsid w:val="000327FD"/>
    <w:rsid w:val="00032861"/>
    <w:rsid w:val="00032964"/>
    <w:rsid w:val="00032981"/>
    <w:rsid w:val="00032A26"/>
    <w:rsid w:val="00032EE0"/>
    <w:rsid w:val="000333B3"/>
    <w:rsid w:val="0003360A"/>
    <w:rsid w:val="0003360F"/>
    <w:rsid w:val="000336F6"/>
    <w:rsid w:val="00033775"/>
    <w:rsid w:val="00033783"/>
    <w:rsid w:val="000337CF"/>
    <w:rsid w:val="00033AC2"/>
    <w:rsid w:val="00033BBD"/>
    <w:rsid w:val="00034068"/>
    <w:rsid w:val="000342A7"/>
    <w:rsid w:val="0003472E"/>
    <w:rsid w:val="00034927"/>
    <w:rsid w:val="00034AAE"/>
    <w:rsid w:val="00034EDD"/>
    <w:rsid w:val="00034FDE"/>
    <w:rsid w:val="000353FB"/>
    <w:rsid w:val="000359BC"/>
    <w:rsid w:val="00035F52"/>
    <w:rsid w:val="00036B01"/>
    <w:rsid w:val="00036B47"/>
    <w:rsid w:val="00036B98"/>
    <w:rsid w:val="00036D00"/>
    <w:rsid w:val="00036D0D"/>
    <w:rsid w:val="00036D86"/>
    <w:rsid w:val="00036ED6"/>
    <w:rsid w:val="00036F39"/>
    <w:rsid w:val="00037476"/>
    <w:rsid w:val="00037536"/>
    <w:rsid w:val="000377A4"/>
    <w:rsid w:val="00037810"/>
    <w:rsid w:val="000378BA"/>
    <w:rsid w:val="00037916"/>
    <w:rsid w:val="00037D3C"/>
    <w:rsid w:val="00037D9C"/>
    <w:rsid w:val="00037DA1"/>
    <w:rsid w:val="00040099"/>
    <w:rsid w:val="000406DB"/>
    <w:rsid w:val="00040714"/>
    <w:rsid w:val="0004090F"/>
    <w:rsid w:val="000409B3"/>
    <w:rsid w:val="00040B41"/>
    <w:rsid w:val="00040B49"/>
    <w:rsid w:val="00040DDD"/>
    <w:rsid w:val="00041040"/>
    <w:rsid w:val="000410B4"/>
    <w:rsid w:val="00041212"/>
    <w:rsid w:val="00041369"/>
    <w:rsid w:val="00041665"/>
    <w:rsid w:val="000417CA"/>
    <w:rsid w:val="00041812"/>
    <w:rsid w:val="000418FD"/>
    <w:rsid w:val="00041A13"/>
    <w:rsid w:val="00041A7C"/>
    <w:rsid w:val="00041A98"/>
    <w:rsid w:val="00041C92"/>
    <w:rsid w:val="00041F75"/>
    <w:rsid w:val="00041FA9"/>
    <w:rsid w:val="00042111"/>
    <w:rsid w:val="00042145"/>
    <w:rsid w:val="000422E3"/>
    <w:rsid w:val="0004246D"/>
    <w:rsid w:val="0004266D"/>
    <w:rsid w:val="000426B0"/>
    <w:rsid w:val="00042732"/>
    <w:rsid w:val="000429A5"/>
    <w:rsid w:val="00042DB9"/>
    <w:rsid w:val="00043283"/>
    <w:rsid w:val="00043799"/>
    <w:rsid w:val="00043A9E"/>
    <w:rsid w:val="00043B30"/>
    <w:rsid w:val="00043CDA"/>
    <w:rsid w:val="00043CEF"/>
    <w:rsid w:val="00044094"/>
    <w:rsid w:val="0004420B"/>
    <w:rsid w:val="000445B5"/>
    <w:rsid w:val="00044833"/>
    <w:rsid w:val="000449B5"/>
    <w:rsid w:val="00044A71"/>
    <w:rsid w:val="00044B0E"/>
    <w:rsid w:val="00044B6F"/>
    <w:rsid w:val="00044B87"/>
    <w:rsid w:val="00044DFB"/>
    <w:rsid w:val="00044F97"/>
    <w:rsid w:val="000451E1"/>
    <w:rsid w:val="00045245"/>
    <w:rsid w:val="0004525D"/>
    <w:rsid w:val="000452C3"/>
    <w:rsid w:val="00045385"/>
    <w:rsid w:val="000453E1"/>
    <w:rsid w:val="0004553A"/>
    <w:rsid w:val="00045622"/>
    <w:rsid w:val="00045787"/>
    <w:rsid w:val="000459AD"/>
    <w:rsid w:val="000459BE"/>
    <w:rsid w:val="00045ADD"/>
    <w:rsid w:val="00045BED"/>
    <w:rsid w:val="00045CD5"/>
    <w:rsid w:val="00045E3E"/>
    <w:rsid w:val="000462CD"/>
    <w:rsid w:val="000463EB"/>
    <w:rsid w:val="000467A0"/>
    <w:rsid w:val="000469C0"/>
    <w:rsid w:val="00046A0E"/>
    <w:rsid w:val="00046BA2"/>
    <w:rsid w:val="00046E01"/>
    <w:rsid w:val="00047667"/>
    <w:rsid w:val="00047A37"/>
    <w:rsid w:val="00047C3C"/>
    <w:rsid w:val="00047F0D"/>
    <w:rsid w:val="00047F6B"/>
    <w:rsid w:val="000500B6"/>
    <w:rsid w:val="00050151"/>
    <w:rsid w:val="00050216"/>
    <w:rsid w:val="00050285"/>
    <w:rsid w:val="000502A7"/>
    <w:rsid w:val="00050679"/>
    <w:rsid w:val="000507E7"/>
    <w:rsid w:val="0005098E"/>
    <w:rsid w:val="00050A9A"/>
    <w:rsid w:val="00050CA4"/>
    <w:rsid w:val="00050CD0"/>
    <w:rsid w:val="00050CD9"/>
    <w:rsid w:val="00050EF0"/>
    <w:rsid w:val="00050F11"/>
    <w:rsid w:val="00050F7B"/>
    <w:rsid w:val="00050F91"/>
    <w:rsid w:val="0005107A"/>
    <w:rsid w:val="00051131"/>
    <w:rsid w:val="0005144E"/>
    <w:rsid w:val="00051463"/>
    <w:rsid w:val="0005176B"/>
    <w:rsid w:val="000517C9"/>
    <w:rsid w:val="000517F6"/>
    <w:rsid w:val="0005194D"/>
    <w:rsid w:val="00051C14"/>
    <w:rsid w:val="000521B5"/>
    <w:rsid w:val="000524E9"/>
    <w:rsid w:val="00052522"/>
    <w:rsid w:val="000525FB"/>
    <w:rsid w:val="0005263D"/>
    <w:rsid w:val="00053337"/>
    <w:rsid w:val="000533FA"/>
    <w:rsid w:val="00053427"/>
    <w:rsid w:val="000535A4"/>
    <w:rsid w:val="00053841"/>
    <w:rsid w:val="000539F4"/>
    <w:rsid w:val="00053B73"/>
    <w:rsid w:val="00053C0A"/>
    <w:rsid w:val="00053E81"/>
    <w:rsid w:val="00053F3D"/>
    <w:rsid w:val="00053FA1"/>
    <w:rsid w:val="0005406A"/>
    <w:rsid w:val="00054098"/>
    <w:rsid w:val="00054282"/>
    <w:rsid w:val="0005436A"/>
    <w:rsid w:val="0005467B"/>
    <w:rsid w:val="00054A13"/>
    <w:rsid w:val="00054C0C"/>
    <w:rsid w:val="00054E07"/>
    <w:rsid w:val="000551AA"/>
    <w:rsid w:val="00055272"/>
    <w:rsid w:val="0005573F"/>
    <w:rsid w:val="0005588D"/>
    <w:rsid w:val="00055A8E"/>
    <w:rsid w:val="00055B5D"/>
    <w:rsid w:val="00055DF3"/>
    <w:rsid w:val="00055E37"/>
    <w:rsid w:val="00055ED4"/>
    <w:rsid w:val="00055FF6"/>
    <w:rsid w:val="0005605F"/>
    <w:rsid w:val="00056249"/>
    <w:rsid w:val="0005659E"/>
    <w:rsid w:val="0005666E"/>
    <w:rsid w:val="0005689C"/>
    <w:rsid w:val="00056BC4"/>
    <w:rsid w:val="00056CD6"/>
    <w:rsid w:val="00056CF5"/>
    <w:rsid w:val="00056E40"/>
    <w:rsid w:val="00056F1B"/>
    <w:rsid w:val="00056F8E"/>
    <w:rsid w:val="0005725E"/>
    <w:rsid w:val="00057275"/>
    <w:rsid w:val="000573D3"/>
    <w:rsid w:val="0005750C"/>
    <w:rsid w:val="0005753C"/>
    <w:rsid w:val="00057803"/>
    <w:rsid w:val="0005788C"/>
    <w:rsid w:val="000578A2"/>
    <w:rsid w:val="000578CC"/>
    <w:rsid w:val="00057C6B"/>
    <w:rsid w:val="00057C87"/>
    <w:rsid w:val="00057E04"/>
    <w:rsid w:val="00057EBB"/>
    <w:rsid w:val="000601A1"/>
    <w:rsid w:val="00060301"/>
    <w:rsid w:val="000603CA"/>
    <w:rsid w:val="00060580"/>
    <w:rsid w:val="000606B7"/>
    <w:rsid w:val="00060B73"/>
    <w:rsid w:val="00060D29"/>
    <w:rsid w:val="00060F36"/>
    <w:rsid w:val="00060FB2"/>
    <w:rsid w:val="00061042"/>
    <w:rsid w:val="000610C6"/>
    <w:rsid w:val="00061155"/>
    <w:rsid w:val="00061177"/>
    <w:rsid w:val="000612B4"/>
    <w:rsid w:val="00061439"/>
    <w:rsid w:val="00061E88"/>
    <w:rsid w:val="00062043"/>
    <w:rsid w:val="0006248A"/>
    <w:rsid w:val="0006258B"/>
    <w:rsid w:val="000627F4"/>
    <w:rsid w:val="0006283C"/>
    <w:rsid w:val="00062DAD"/>
    <w:rsid w:val="00062EA5"/>
    <w:rsid w:val="00062ED7"/>
    <w:rsid w:val="00062FC7"/>
    <w:rsid w:val="000634A2"/>
    <w:rsid w:val="00063A87"/>
    <w:rsid w:val="00063AA2"/>
    <w:rsid w:val="00063BC9"/>
    <w:rsid w:val="00063E2A"/>
    <w:rsid w:val="00064501"/>
    <w:rsid w:val="0006459A"/>
    <w:rsid w:val="0006465E"/>
    <w:rsid w:val="000646A7"/>
    <w:rsid w:val="000647F7"/>
    <w:rsid w:val="00064BBB"/>
    <w:rsid w:val="00064CB4"/>
    <w:rsid w:val="00064DA8"/>
    <w:rsid w:val="00064FD6"/>
    <w:rsid w:val="000651C2"/>
    <w:rsid w:val="0006532B"/>
    <w:rsid w:val="0006543A"/>
    <w:rsid w:val="0006546D"/>
    <w:rsid w:val="00065544"/>
    <w:rsid w:val="000655A7"/>
    <w:rsid w:val="000658FB"/>
    <w:rsid w:val="00065920"/>
    <w:rsid w:val="000659B1"/>
    <w:rsid w:val="00065A72"/>
    <w:rsid w:val="00065BDA"/>
    <w:rsid w:val="00065CBB"/>
    <w:rsid w:val="00066194"/>
    <w:rsid w:val="0006629A"/>
    <w:rsid w:val="0006633A"/>
    <w:rsid w:val="00066440"/>
    <w:rsid w:val="00066A78"/>
    <w:rsid w:val="00066D8D"/>
    <w:rsid w:val="00066ED6"/>
    <w:rsid w:val="00067169"/>
    <w:rsid w:val="000671A9"/>
    <w:rsid w:val="0006725E"/>
    <w:rsid w:val="00067428"/>
    <w:rsid w:val="000678E4"/>
    <w:rsid w:val="00067B40"/>
    <w:rsid w:val="00067E02"/>
    <w:rsid w:val="00067ED7"/>
    <w:rsid w:val="00067F38"/>
    <w:rsid w:val="00070382"/>
    <w:rsid w:val="000703A0"/>
    <w:rsid w:val="0007053C"/>
    <w:rsid w:val="00070554"/>
    <w:rsid w:val="00070588"/>
    <w:rsid w:val="00070687"/>
    <w:rsid w:val="000707CF"/>
    <w:rsid w:val="00070C6D"/>
    <w:rsid w:val="00070D31"/>
    <w:rsid w:val="00070D33"/>
    <w:rsid w:val="00070D99"/>
    <w:rsid w:val="00070DE4"/>
    <w:rsid w:val="00071102"/>
    <w:rsid w:val="0007110B"/>
    <w:rsid w:val="0007156F"/>
    <w:rsid w:val="000715B5"/>
    <w:rsid w:val="0007169D"/>
    <w:rsid w:val="000717B2"/>
    <w:rsid w:val="00071986"/>
    <w:rsid w:val="000719A8"/>
    <w:rsid w:val="00071C00"/>
    <w:rsid w:val="00071CD3"/>
    <w:rsid w:val="00071D5C"/>
    <w:rsid w:val="00071E64"/>
    <w:rsid w:val="00071E8D"/>
    <w:rsid w:val="000722F3"/>
    <w:rsid w:val="00072699"/>
    <w:rsid w:val="000726A8"/>
    <w:rsid w:val="00072859"/>
    <w:rsid w:val="00072C4B"/>
    <w:rsid w:val="00072F96"/>
    <w:rsid w:val="0007306A"/>
    <w:rsid w:val="000730B0"/>
    <w:rsid w:val="000730FA"/>
    <w:rsid w:val="0007310A"/>
    <w:rsid w:val="00073440"/>
    <w:rsid w:val="00073574"/>
    <w:rsid w:val="000735E2"/>
    <w:rsid w:val="00073607"/>
    <w:rsid w:val="00073768"/>
    <w:rsid w:val="00073777"/>
    <w:rsid w:val="000737C1"/>
    <w:rsid w:val="00073997"/>
    <w:rsid w:val="00073A03"/>
    <w:rsid w:val="00073C70"/>
    <w:rsid w:val="00073EDB"/>
    <w:rsid w:val="00073F82"/>
    <w:rsid w:val="000741B1"/>
    <w:rsid w:val="0007423A"/>
    <w:rsid w:val="000742F7"/>
    <w:rsid w:val="000743DE"/>
    <w:rsid w:val="0007478D"/>
    <w:rsid w:val="00074B3C"/>
    <w:rsid w:val="00074C6E"/>
    <w:rsid w:val="00074E41"/>
    <w:rsid w:val="00074FF5"/>
    <w:rsid w:val="00074FF6"/>
    <w:rsid w:val="00075036"/>
    <w:rsid w:val="000750A1"/>
    <w:rsid w:val="00075339"/>
    <w:rsid w:val="000755E7"/>
    <w:rsid w:val="00075601"/>
    <w:rsid w:val="000758FB"/>
    <w:rsid w:val="00075CFD"/>
    <w:rsid w:val="00076240"/>
    <w:rsid w:val="00076271"/>
    <w:rsid w:val="0007655F"/>
    <w:rsid w:val="00076898"/>
    <w:rsid w:val="00076AE5"/>
    <w:rsid w:val="00076C10"/>
    <w:rsid w:val="00076C53"/>
    <w:rsid w:val="00076CAE"/>
    <w:rsid w:val="00077000"/>
    <w:rsid w:val="00077075"/>
    <w:rsid w:val="0007718B"/>
    <w:rsid w:val="0007734E"/>
    <w:rsid w:val="000773E1"/>
    <w:rsid w:val="000775D0"/>
    <w:rsid w:val="0007762D"/>
    <w:rsid w:val="00077956"/>
    <w:rsid w:val="00077A87"/>
    <w:rsid w:val="00077C25"/>
    <w:rsid w:val="00077C90"/>
    <w:rsid w:val="00077CF7"/>
    <w:rsid w:val="00077D2C"/>
    <w:rsid w:val="00077F65"/>
    <w:rsid w:val="00077FD7"/>
    <w:rsid w:val="0008082B"/>
    <w:rsid w:val="00080A08"/>
    <w:rsid w:val="00080C35"/>
    <w:rsid w:val="00080DE7"/>
    <w:rsid w:val="00080FAB"/>
    <w:rsid w:val="00081175"/>
    <w:rsid w:val="000814FC"/>
    <w:rsid w:val="000817AD"/>
    <w:rsid w:val="000817D3"/>
    <w:rsid w:val="00081842"/>
    <w:rsid w:val="000818CD"/>
    <w:rsid w:val="00081E7B"/>
    <w:rsid w:val="0008207B"/>
    <w:rsid w:val="000820AD"/>
    <w:rsid w:val="00082155"/>
    <w:rsid w:val="0008277A"/>
    <w:rsid w:val="0008284B"/>
    <w:rsid w:val="00082AC3"/>
    <w:rsid w:val="00082DF5"/>
    <w:rsid w:val="00083130"/>
    <w:rsid w:val="000831F7"/>
    <w:rsid w:val="000832BF"/>
    <w:rsid w:val="000832E2"/>
    <w:rsid w:val="000834D5"/>
    <w:rsid w:val="00083821"/>
    <w:rsid w:val="00083A88"/>
    <w:rsid w:val="00083DA9"/>
    <w:rsid w:val="00083E4F"/>
    <w:rsid w:val="00083ED2"/>
    <w:rsid w:val="00083F40"/>
    <w:rsid w:val="00083FF8"/>
    <w:rsid w:val="00084434"/>
    <w:rsid w:val="000844F3"/>
    <w:rsid w:val="000846D3"/>
    <w:rsid w:val="000847C9"/>
    <w:rsid w:val="000849A6"/>
    <w:rsid w:val="00084B79"/>
    <w:rsid w:val="00084ED7"/>
    <w:rsid w:val="00084F61"/>
    <w:rsid w:val="00085063"/>
    <w:rsid w:val="000852C8"/>
    <w:rsid w:val="00085410"/>
    <w:rsid w:val="0008580D"/>
    <w:rsid w:val="0008594B"/>
    <w:rsid w:val="00085F2E"/>
    <w:rsid w:val="00085F54"/>
    <w:rsid w:val="00086061"/>
    <w:rsid w:val="0008612B"/>
    <w:rsid w:val="00086467"/>
    <w:rsid w:val="0008657D"/>
    <w:rsid w:val="00086847"/>
    <w:rsid w:val="00086D40"/>
    <w:rsid w:val="00086F9E"/>
    <w:rsid w:val="000870CA"/>
    <w:rsid w:val="0008725B"/>
    <w:rsid w:val="0008740F"/>
    <w:rsid w:val="00087602"/>
    <w:rsid w:val="000878E3"/>
    <w:rsid w:val="000878EE"/>
    <w:rsid w:val="00087A3B"/>
    <w:rsid w:val="00087CF8"/>
    <w:rsid w:val="00087DAA"/>
    <w:rsid w:val="00087FC6"/>
    <w:rsid w:val="00087FEB"/>
    <w:rsid w:val="0009007F"/>
    <w:rsid w:val="00090361"/>
    <w:rsid w:val="0009038A"/>
    <w:rsid w:val="000905C6"/>
    <w:rsid w:val="00090870"/>
    <w:rsid w:val="000909CE"/>
    <w:rsid w:val="00090AAE"/>
    <w:rsid w:val="00091038"/>
    <w:rsid w:val="00091234"/>
    <w:rsid w:val="000915FB"/>
    <w:rsid w:val="0009162D"/>
    <w:rsid w:val="000916DA"/>
    <w:rsid w:val="0009194F"/>
    <w:rsid w:val="0009195F"/>
    <w:rsid w:val="00092021"/>
    <w:rsid w:val="000921C7"/>
    <w:rsid w:val="000923F9"/>
    <w:rsid w:val="000924BA"/>
    <w:rsid w:val="00092563"/>
    <w:rsid w:val="00092BEE"/>
    <w:rsid w:val="00092C1F"/>
    <w:rsid w:val="00092C2C"/>
    <w:rsid w:val="00092EA2"/>
    <w:rsid w:val="00092FDD"/>
    <w:rsid w:val="00093178"/>
    <w:rsid w:val="00093426"/>
    <w:rsid w:val="000938D0"/>
    <w:rsid w:val="0009398E"/>
    <w:rsid w:val="000939E0"/>
    <w:rsid w:val="00093B45"/>
    <w:rsid w:val="00093D04"/>
    <w:rsid w:val="00093DE6"/>
    <w:rsid w:val="00093FA9"/>
    <w:rsid w:val="00094025"/>
    <w:rsid w:val="00094040"/>
    <w:rsid w:val="00094163"/>
    <w:rsid w:val="000942B7"/>
    <w:rsid w:val="00094B84"/>
    <w:rsid w:val="00094C4E"/>
    <w:rsid w:val="00094C7A"/>
    <w:rsid w:val="00094CD1"/>
    <w:rsid w:val="00094E4C"/>
    <w:rsid w:val="00094E8A"/>
    <w:rsid w:val="00094FED"/>
    <w:rsid w:val="00095149"/>
    <w:rsid w:val="000955FC"/>
    <w:rsid w:val="0009565E"/>
    <w:rsid w:val="00095677"/>
    <w:rsid w:val="00095680"/>
    <w:rsid w:val="00095777"/>
    <w:rsid w:val="00095B6C"/>
    <w:rsid w:val="00095FF7"/>
    <w:rsid w:val="000962A0"/>
    <w:rsid w:val="0009632C"/>
    <w:rsid w:val="00096582"/>
    <w:rsid w:val="00096859"/>
    <w:rsid w:val="0009690F"/>
    <w:rsid w:val="00096936"/>
    <w:rsid w:val="00096991"/>
    <w:rsid w:val="00096F15"/>
    <w:rsid w:val="0009707B"/>
    <w:rsid w:val="000971FE"/>
    <w:rsid w:val="00097272"/>
    <w:rsid w:val="00097312"/>
    <w:rsid w:val="0009733A"/>
    <w:rsid w:val="0009741D"/>
    <w:rsid w:val="000974F3"/>
    <w:rsid w:val="00097598"/>
    <w:rsid w:val="0009766C"/>
    <w:rsid w:val="000976E6"/>
    <w:rsid w:val="000977B1"/>
    <w:rsid w:val="0009791B"/>
    <w:rsid w:val="00097972"/>
    <w:rsid w:val="000979F4"/>
    <w:rsid w:val="00097C14"/>
    <w:rsid w:val="00097D35"/>
    <w:rsid w:val="00097EE2"/>
    <w:rsid w:val="000A01D8"/>
    <w:rsid w:val="000A026F"/>
    <w:rsid w:val="000A0333"/>
    <w:rsid w:val="000A03C9"/>
    <w:rsid w:val="000A055E"/>
    <w:rsid w:val="000A0562"/>
    <w:rsid w:val="000A0676"/>
    <w:rsid w:val="000A06CE"/>
    <w:rsid w:val="000A06E0"/>
    <w:rsid w:val="000A0E9E"/>
    <w:rsid w:val="000A0FAE"/>
    <w:rsid w:val="000A1D30"/>
    <w:rsid w:val="000A2540"/>
    <w:rsid w:val="000A2613"/>
    <w:rsid w:val="000A2627"/>
    <w:rsid w:val="000A266A"/>
    <w:rsid w:val="000A2A3B"/>
    <w:rsid w:val="000A2ACF"/>
    <w:rsid w:val="000A2B17"/>
    <w:rsid w:val="000A2B91"/>
    <w:rsid w:val="000A2ED3"/>
    <w:rsid w:val="000A2FC3"/>
    <w:rsid w:val="000A2FE0"/>
    <w:rsid w:val="000A302F"/>
    <w:rsid w:val="000A31DA"/>
    <w:rsid w:val="000A323D"/>
    <w:rsid w:val="000A3242"/>
    <w:rsid w:val="000A34B4"/>
    <w:rsid w:val="000A3618"/>
    <w:rsid w:val="000A3691"/>
    <w:rsid w:val="000A3B4A"/>
    <w:rsid w:val="000A3EA5"/>
    <w:rsid w:val="000A40CC"/>
    <w:rsid w:val="000A423F"/>
    <w:rsid w:val="000A4260"/>
    <w:rsid w:val="000A4372"/>
    <w:rsid w:val="000A453C"/>
    <w:rsid w:val="000A4AC2"/>
    <w:rsid w:val="000A4C39"/>
    <w:rsid w:val="000A4FE1"/>
    <w:rsid w:val="000A5198"/>
    <w:rsid w:val="000A52D5"/>
    <w:rsid w:val="000A5465"/>
    <w:rsid w:val="000A5497"/>
    <w:rsid w:val="000A5524"/>
    <w:rsid w:val="000A56FC"/>
    <w:rsid w:val="000A598A"/>
    <w:rsid w:val="000A5D27"/>
    <w:rsid w:val="000A626E"/>
    <w:rsid w:val="000A6369"/>
    <w:rsid w:val="000A6488"/>
    <w:rsid w:val="000A6951"/>
    <w:rsid w:val="000A6ADE"/>
    <w:rsid w:val="000A6D7C"/>
    <w:rsid w:val="000A6D8A"/>
    <w:rsid w:val="000A73A6"/>
    <w:rsid w:val="000A7446"/>
    <w:rsid w:val="000A7705"/>
    <w:rsid w:val="000A77F9"/>
    <w:rsid w:val="000A7C54"/>
    <w:rsid w:val="000B008D"/>
    <w:rsid w:val="000B0245"/>
    <w:rsid w:val="000B04BD"/>
    <w:rsid w:val="000B051E"/>
    <w:rsid w:val="000B0669"/>
    <w:rsid w:val="000B08B5"/>
    <w:rsid w:val="000B0918"/>
    <w:rsid w:val="000B0B24"/>
    <w:rsid w:val="000B0B32"/>
    <w:rsid w:val="000B0B3B"/>
    <w:rsid w:val="000B0C41"/>
    <w:rsid w:val="000B0CE7"/>
    <w:rsid w:val="000B0CFC"/>
    <w:rsid w:val="000B0D1B"/>
    <w:rsid w:val="000B0F55"/>
    <w:rsid w:val="000B1092"/>
    <w:rsid w:val="000B10B7"/>
    <w:rsid w:val="000B1678"/>
    <w:rsid w:val="000B170C"/>
    <w:rsid w:val="000B1841"/>
    <w:rsid w:val="000B1910"/>
    <w:rsid w:val="000B1B7C"/>
    <w:rsid w:val="000B1DD6"/>
    <w:rsid w:val="000B1F1C"/>
    <w:rsid w:val="000B2022"/>
    <w:rsid w:val="000B2100"/>
    <w:rsid w:val="000B2543"/>
    <w:rsid w:val="000B25EA"/>
    <w:rsid w:val="000B28A4"/>
    <w:rsid w:val="000B28DD"/>
    <w:rsid w:val="000B2BFD"/>
    <w:rsid w:val="000B2CD8"/>
    <w:rsid w:val="000B2E16"/>
    <w:rsid w:val="000B2FFD"/>
    <w:rsid w:val="000B3050"/>
    <w:rsid w:val="000B329F"/>
    <w:rsid w:val="000B3373"/>
    <w:rsid w:val="000B387B"/>
    <w:rsid w:val="000B39B1"/>
    <w:rsid w:val="000B3ACD"/>
    <w:rsid w:val="000B3C1C"/>
    <w:rsid w:val="000B3F78"/>
    <w:rsid w:val="000B41EF"/>
    <w:rsid w:val="000B4629"/>
    <w:rsid w:val="000B4A02"/>
    <w:rsid w:val="000B4AA9"/>
    <w:rsid w:val="000B4CDE"/>
    <w:rsid w:val="000B4F80"/>
    <w:rsid w:val="000B50B9"/>
    <w:rsid w:val="000B5166"/>
    <w:rsid w:val="000B51C4"/>
    <w:rsid w:val="000B5418"/>
    <w:rsid w:val="000B569D"/>
    <w:rsid w:val="000B5A37"/>
    <w:rsid w:val="000B5C14"/>
    <w:rsid w:val="000B5CBE"/>
    <w:rsid w:val="000B5CFB"/>
    <w:rsid w:val="000B613F"/>
    <w:rsid w:val="000B6189"/>
    <w:rsid w:val="000B61DC"/>
    <w:rsid w:val="000B6579"/>
    <w:rsid w:val="000B6640"/>
    <w:rsid w:val="000B682A"/>
    <w:rsid w:val="000B6B6D"/>
    <w:rsid w:val="000B7001"/>
    <w:rsid w:val="000B7126"/>
    <w:rsid w:val="000B7242"/>
    <w:rsid w:val="000B736B"/>
    <w:rsid w:val="000B743B"/>
    <w:rsid w:val="000B7467"/>
    <w:rsid w:val="000B7502"/>
    <w:rsid w:val="000B7556"/>
    <w:rsid w:val="000B77A8"/>
    <w:rsid w:val="000B794A"/>
    <w:rsid w:val="000B7AE9"/>
    <w:rsid w:val="000B7B67"/>
    <w:rsid w:val="000B7DEE"/>
    <w:rsid w:val="000B7F46"/>
    <w:rsid w:val="000B7F72"/>
    <w:rsid w:val="000B7F87"/>
    <w:rsid w:val="000C0353"/>
    <w:rsid w:val="000C0622"/>
    <w:rsid w:val="000C0964"/>
    <w:rsid w:val="000C0AC4"/>
    <w:rsid w:val="000C0C24"/>
    <w:rsid w:val="000C0D7D"/>
    <w:rsid w:val="000C0F99"/>
    <w:rsid w:val="000C14DD"/>
    <w:rsid w:val="000C16E8"/>
    <w:rsid w:val="000C193B"/>
    <w:rsid w:val="000C1BB6"/>
    <w:rsid w:val="000C1C64"/>
    <w:rsid w:val="000C1D12"/>
    <w:rsid w:val="000C1DB7"/>
    <w:rsid w:val="000C1E47"/>
    <w:rsid w:val="000C1FB0"/>
    <w:rsid w:val="000C217F"/>
    <w:rsid w:val="000C21CE"/>
    <w:rsid w:val="000C229F"/>
    <w:rsid w:val="000C22E5"/>
    <w:rsid w:val="000C24A2"/>
    <w:rsid w:val="000C2552"/>
    <w:rsid w:val="000C2A25"/>
    <w:rsid w:val="000C2C5C"/>
    <w:rsid w:val="000C2CF6"/>
    <w:rsid w:val="000C2DBB"/>
    <w:rsid w:val="000C2E50"/>
    <w:rsid w:val="000C2E7B"/>
    <w:rsid w:val="000C3200"/>
    <w:rsid w:val="000C340E"/>
    <w:rsid w:val="000C341D"/>
    <w:rsid w:val="000C34D1"/>
    <w:rsid w:val="000C35A0"/>
    <w:rsid w:val="000C35D6"/>
    <w:rsid w:val="000C382C"/>
    <w:rsid w:val="000C39A1"/>
    <w:rsid w:val="000C39BC"/>
    <w:rsid w:val="000C3A27"/>
    <w:rsid w:val="000C3F44"/>
    <w:rsid w:val="000C3F8C"/>
    <w:rsid w:val="000C434D"/>
    <w:rsid w:val="000C44AC"/>
    <w:rsid w:val="000C465E"/>
    <w:rsid w:val="000C47FA"/>
    <w:rsid w:val="000C4F78"/>
    <w:rsid w:val="000C4F81"/>
    <w:rsid w:val="000C512A"/>
    <w:rsid w:val="000C5876"/>
    <w:rsid w:val="000C5881"/>
    <w:rsid w:val="000C5B51"/>
    <w:rsid w:val="000C5FE0"/>
    <w:rsid w:val="000C606A"/>
    <w:rsid w:val="000C6112"/>
    <w:rsid w:val="000C6272"/>
    <w:rsid w:val="000C63E4"/>
    <w:rsid w:val="000C6479"/>
    <w:rsid w:val="000C6A0B"/>
    <w:rsid w:val="000C6A7F"/>
    <w:rsid w:val="000C6DE3"/>
    <w:rsid w:val="000C7044"/>
    <w:rsid w:val="000C7114"/>
    <w:rsid w:val="000C73AC"/>
    <w:rsid w:val="000C7501"/>
    <w:rsid w:val="000C78A8"/>
    <w:rsid w:val="000C78C3"/>
    <w:rsid w:val="000C799F"/>
    <w:rsid w:val="000C7BDF"/>
    <w:rsid w:val="000C7DB3"/>
    <w:rsid w:val="000C7DE0"/>
    <w:rsid w:val="000D0064"/>
    <w:rsid w:val="000D015A"/>
    <w:rsid w:val="000D03BE"/>
    <w:rsid w:val="000D0439"/>
    <w:rsid w:val="000D0475"/>
    <w:rsid w:val="000D04BC"/>
    <w:rsid w:val="000D0ADD"/>
    <w:rsid w:val="000D0D92"/>
    <w:rsid w:val="000D0E4A"/>
    <w:rsid w:val="000D115E"/>
    <w:rsid w:val="000D1291"/>
    <w:rsid w:val="000D13B2"/>
    <w:rsid w:val="000D13D6"/>
    <w:rsid w:val="000D1552"/>
    <w:rsid w:val="000D195B"/>
    <w:rsid w:val="000D1BF6"/>
    <w:rsid w:val="000D1FCF"/>
    <w:rsid w:val="000D2004"/>
    <w:rsid w:val="000D22EF"/>
    <w:rsid w:val="000D24AD"/>
    <w:rsid w:val="000D24B6"/>
    <w:rsid w:val="000D272E"/>
    <w:rsid w:val="000D2943"/>
    <w:rsid w:val="000D2981"/>
    <w:rsid w:val="000D2B9F"/>
    <w:rsid w:val="000D2E58"/>
    <w:rsid w:val="000D36DF"/>
    <w:rsid w:val="000D36E7"/>
    <w:rsid w:val="000D38FE"/>
    <w:rsid w:val="000D3AC0"/>
    <w:rsid w:val="000D3BC4"/>
    <w:rsid w:val="000D3CF7"/>
    <w:rsid w:val="000D3EE8"/>
    <w:rsid w:val="000D401E"/>
    <w:rsid w:val="000D40DA"/>
    <w:rsid w:val="000D4116"/>
    <w:rsid w:val="000D420F"/>
    <w:rsid w:val="000D4212"/>
    <w:rsid w:val="000D436A"/>
    <w:rsid w:val="000D4495"/>
    <w:rsid w:val="000D4755"/>
    <w:rsid w:val="000D4984"/>
    <w:rsid w:val="000D4ACA"/>
    <w:rsid w:val="000D4C9F"/>
    <w:rsid w:val="000D51A0"/>
    <w:rsid w:val="000D5222"/>
    <w:rsid w:val="000D5660"/>
    <w:rsid w:val="000D583F"/>
    <w:rsid w:val="000D5C42"/>
    <w:rsid w:val="000D5DB8"/>
    <w:rsid w:val="000D5E33"/>
    <w:rsid w:val="000D5E93"/>
    <w:rsid w:val="000D60B6"/>
    <w:rsid w:val="000D6361"/>
    <w:rsid w:val="000D6362"/>
    <w:rsid w:val="000D6386"/>
    <w:rsid w:val="000D6B74"/>
    <w:rsid w:val="000D6D8A"/>
    <w:rsid w:val="000D727C"/>
    <w:rsid w:val="000D74E1"/>
    <w:rsid w:val="000D79D5"/>
    <w:rsid w:val="000D7B88"/>
    <w:rsid w:val="000D7D49"/>
    <w:rsid w:val="000D7E09"/>
    <w:rsid w:val="000E02AB"/>
    <w:rsid w:val="000E02B6"/>
    <w:rsid w:val="000E0316"/>
    <w:rsid w:val="000E03CE"/>
    <w:rsid w:val="000E05D3"/>
    <w:rsid w:val="000E082C"/>
    <w:rsid w:val="000E0A83"/>
    <w:rsid w:val="000E0E69"/>
    <w:rsid w:val="000E1181"/>
    <w:rsid w:val="000E1223"/>
    <w:rsid w:val="000E1294"/>
    <w:rsid w:val="000E1523"/>
    <w:rsid w:val="000E159C"/>
    <w:rsid w:val="000E1780"/>
    <w:rsid w:val="000E1853"/>
    <w:rsid w:val="000E197C"/>
    <w:rsid w:val="000E19B8"/>
    <w:rsid w:val="000E1ADA"/>
    <w:rsid w:val="000E1E2B"/>
    <w:rsid w:val="000E1F59"/>
    <w:rsid w:val="000E20A0"/>
    <w:rsid w:val="000E25CA"/>
    <w:rsid w:val="000E2738"/>
    <w:rsid w:val="000E287F"/>
    <w:rsid w:val="000E2B57"/>
    <w:rsid w:val="000E2CA9"/>
    <w:rsid w:val="000E2D8B"/>
    <w:rsid w:val="000E2E9C"/>
    <w:rsid w:val="000E2FC1"/>
    <w:rsid w:val="000E345E"/>
    <w:rsid w:val="000E3502"/>
    <w:rsid w:val="000E369B"/>
    <w:rsid w:val="000E37A1"/>
    <w:rsid w:val="000E3918"/>
    <w:rsid w:val="000E3AB9"/>
    <w:rsid w:val="000E3B36"/>
    <w:rsid w:val="000E4437"/>
    <w:rsid w:val="000E44B1"/>
    <w:rsid w:val="000E450D"/>
    <w:rsid w:val="000E4573"/>
    <w:rsid w:val="000E4792"/>
    <w:rsid w:val="000E48F7"/>
    <w:rsid w:val="000E4999"/>
    <w:rsid w:val="000E49F8"/>
    <w:rsid w:val="000E4B05"/>
    <w:rsid w:val="000E4B68"/>
    <w:rsid w:val="000E4D14"/>
    <w:rsid w:val="000E4ECC"/>
    <w:rsid w:val="000E4EE7"/>
    <w:rsid w:val="000E4F0C"/>
    <w:rsid w:val="000E54F9"/>
    <w:rsid w:val="000E56C0"/>
    <w:rsid w:val="000E5898"/>
    <w:rsid w:val="000E5960"/>
    <w:rsid w:val="000E5B86"/>
    <w:rsid w:val="000E5C55"/>
    <w:rsid w:val="000E5F37"/>
    <w:rsid w:val="000E621B"/>
    <w:rsid w:val="000E623D"/>
    <w:rsid w:val="000E639F"/>
    <w:rsid w:val="000E63F2"/>
    <w:rsid w:val="000E65F2"/>
    <w:rsid w:val="000E6623"/>
    <w:rsid w:val="000E66B2"/>
    <w:rsid w:val="000E68A6"/>
    <w:rsid w:val="000E6ACF"/>
    <w:rsid w:val="000E6AF8"/>
    <w:rsid w:val="000E6B0C"/>
    <w:rsid w:val="000E6C00"/>
    <w:rsid w:val="000E6C46"/>
    <w:rsid w:val="000E6C8E"/>
    <w:rsid w:val="000E6CFB"/>
    <w:rsid w:val="000E6D65"/>
    <w:rsid w:val="000E7025"/>
    <w:rsid w:val="000E702C"/>
    <w:rsid w:val="000E7039"/>
    <w:rsid w:val="000E7458"/>
    <w:rsid w:val="000E7701"/>
    <w:rsid w:val="000E7797"/>
    <w:rsid w:val="000E7992"/>
    <w:rsid w:val="000E7A76"/>
    <w:rsid w:val="000E7C2A"/>
    <w:rsid w:val="000E7E1F"/>
    <w:rsid w:val="000E7E8D"/>
    <w:rsid w:val="000F013D"/>
    <w:rsid w:val="000F021F"/>
    <w:rsid w:val="000F059B"/>
    <w:rsid w:val="000F05B9"/>
    <w:rsid w:val="000F09A9"/>
    <w:rsid w:val="000F0D38"/>
    <w:rsid w:val="000F0DA5"/>
    <w:rsid w:val="000F111B"/>
    <w:rsid w:val="000F1131"/>
    <w:rsid w:val="000F1200"/>
    <w:rsid w:val="000F1872"/>
    <w:rsid w:val="000F1B8B"/>
    <w:rsid w:val="000F1C55"/>
    <w:rsid w:val="000F1CC6"/>
    <w:rsid w:val="000F1F2F"/>
    <w:rsid w:val="000F2078"/>
    <w:rsid w:val="000F2261"/>
    <w:rsid w:val="000F227D"/>
    <w:rsid w:val="000F24FD"/>
    <w:rsid w:val="000F29FF"/>
    <w:rsid w:val="000F2A4F"/>
    <w:rsid w:val="000F2DB1"/>
    <w:rsid w:val="000F2F5B"/>
    <w:rsid w:val="000F32A9"/>
    <w:rsid w:val="000F370D"/>
    <w:rsid w:val="000F37D2"/>
    <w:rsid w:val="000F388A"/>
    <w:rsid w:val="000F3914"/>
    <w:rsid w:val="000F3AA2"/>
    <w:rsid w:val="000F3AA5"/>
    <w:rsid w:val="000F3AEA"/>
    <w:rsid w:val="000F3AF4"/>
    <w:rsid w:val="000F3BD2"/>
    <w:rsid w:val="000F3BF1"/>
    <w:rsid w:val="000F3CB0"/>
    <w:rsid w:val="000F435D"/>
    <w:rsid w:val="000F4400"/>
    <w:rsid w:val="000F46E4"/>
    <w:rsid w:val="000F4776"/>
    <w:rsid w:val="000F4825"/>
    <w:rsid w:val="000F49AC"/>
    <w:rsid w:val="000F4BAA"/>
    <w:rsid w:val="000F4C0D"/>
    <w:rsid w:val="000F4D76"/>
    <w:rsid w:val="000F4EBD"/>
    <w:rsid w:val="000F4F41"/>
    <w:rsid w:val="000F5256"/>
    <w:rsid w:val="000F5558"/>
    <w:rsid w:val="000F5B99"/>
    <w:rsid w:val="000F5E00"/>
    <w:rsid w:val="000F60F3"/>
    <w:rsid w:val="000F617D"/>
    <w:rsid w:val="000F6303"/>
    <w:rsid w:val="000F6404"/>
    <w:rsid w:val="000F6647"/>
    <w:rsid w:val="000F6B91"/>
    <w:rsid w:val="000F6DC0"/>
    <w:rsid w:val="000F6DE2"/>
    <w:rsid w:val="000F6E73"/>
    <w:rsid w:val="000F6EAC"/>
    <w:rsid w:val="000F7296"/>
    <w:rsid w:val="000F7386"/>
    <w:rsid w:val="000F74C5"/>
    <w:rsid w:val="000F774D"/>
    <w:rsid w:val="000F79A9"/>
    <w:rsid w:val="000F79DD"/>
    <w:rsid w:val="000F7C35"/>
    <w:rsid w:val="000F7FBE"/>
    <w:rsid w:val="000F7FCD"/>
    <w:rsid w:val="0010006B"/>
    <w:rsid w:val="0010041A"/>
    <w:rsid w:val="001004ED"/>
    <w:rsid w:val="0010055B"/>
    <w:rsid w:val="001006B7"/>
    <w:rsid w:val="00100768"/>
    <w:rsid w:val="00100780"/>
    <w:rsid w:val="00100E3A"/>
    <w:rsid w:val="00100F8C"/>
    <w:rsid w:val="00101247"/>
    <w:rsid w:val="00101263"/>
    <w:rsid w:val="0010140A"/>
    <w:rsid w:val="001014DC"/>
    <w:rsid w:val="00101551"/>
    <w:rsid w:val="00101646"/>
    <w:rsid w:val="00101741"/>
    <w:rsid w:val="00101C08"/>
    <w:rsid w:val="00101C73"/>
    <w:rsid w:val="00101CD2"/>
    <w:rsid w:val="00101FB3"/>
    <w:rsid w:val="0010228C"/>
    <w:rsid w:val="00102311"/>
    <w:rsid w:val="00102A28"/>
    <w:rsid w:val="00102AEE"/>
    <w:rsid w:val="00102CA0"/>
    <w:rsid w:val="00102E52"/>
    <w:rsid w:val="001030DA"/>
    <w:rsid w:val="0010325D"/>
    <w:rsid w:val="00103579"/>
    <w:rsid w:val="001035F1"/>
    <w:rsid w:val="0010360D"/>
    <w:rsid w:val="00103BC4"/>
    <w:rsid w:val="00103FDB"/>
    <w:rsid w:val="001040F2"/>
    <w:rsid w:val="0010417B"/>
    <w:rsid w:val="001041F1"/>
    <w:rsid w:val="0010444C"/>
    <w:rsid w:val="00104785"/>
    <w:rsid w:val="001049DE"/>
    <w:rsid w:val="001049F9"/>
    <w:rsid w:val="00104C41"/>
    <w:rsid w:val="00104C89"/>
    <w:rsid w:val="00104CB4"/>
    <w:rsid w:val="001052EC"/>
    <w:rsid w:val="001053B3"/>
    <w:rsid w:val="001054B3"/>
    <w:rsid w:val="001057F9"/>
    <w:rsid w:val="00105F2B"/>
    <w:rsid w:val="001063C8"/>
    <w:rsid w:val="0010644F"/>
    <w:rsid w:val="0010656B"/>
    <w:rsid w:val="0010674F"/>
    <w:rsid w:val="00106A98"/>
    <w:rsid w:val="00107120"/>
    <w:rsid w:val="001075C6"/>
    <w:rsid w:val="001076D6"/>
    <w:rsid w:val="001077AD"/>
    <w:rsid w:val="001077EE"/>
    <w:rsid w:val="00107B34"/>
    <w:rsid w:val="00107C55"/>
    <w:rsid w:val="00107C92"/>
    <w:rsid w:val="00107CF0"/>
    <w:rsid w:val="00110044"/>
    <w:rsid w:val="001100FA"/>
    <w:rsid w:val="0011021B"/>
    <w:rsid w:val="001109DC"/>
    <w:rsid w:val="00110D88"/>
    <w:rsid w:val="00110E74"/>
    <w:rsid w:val="00110E75"/>
    <w:rsid w:val="0011145B"/>
    <w:rsid w:val="00111640"/>
    <w:rsid w:val="001116B4"/>
    <w:rsid w:val="001118C5"/>
    <w:rsid w:val="001119BC"/>
    <w:rsid w:val="00111A98"/>
    <w:rsid w:val="00111B06"/>
    <w:rsid w:val="00111B7E"/>
    <w:rsid w:val="00111BEE"/>
    <w:rsid w:val="00111C75"/>
    <w:rsid w:val="00111CDD"/>
    <w:rsid w:val="00111D9E"/>
    <w:rsid w:val="00111E1A"/>
    <w:rsid w:val="001120C7"/>
    <w:rsid w:val="0011221F"/>
    <w:rsid w:val="00112261"/>
    <w:rsid w:val="0011276B"/>
    <w:rsid w:val="0011282E"/>
    <w:rsid w:val="00112910"/>
    <w:rsid w:val="0011291B"/>
    <w:rsid w:val="00112A5F"/>
    <w:rsid w:val="00112B3C"/>
    <w:rsid w:val="00112BD4"/>
    <w:rsid w:val="00112C9B"/>
    <w:rsid w:val="00112CB6"/>
    <w:rsid w:val="00112E6F"/>
    <w:rsid w:val="00113285"/>
    <w:rsid w:val="001133C3"/>
    <w:rsid w:val="00113594"/>
    <w:rsid w:val="00113650"/>
    <w:rsid w:val="00113969"/>
    <w:rsid w:val="00113B16"/>
    <w:rsid w:val="00113BF2"/>
    <w:rsid w:val="00113E4D"/>
    <w:rsid w:val="00113ED6"/>
    <w:rsid w:val="001140E8"/>
    <w:rsid w:val="0011415E"/>
    <w:rsid w:val="00114325"/>
    <w:rsid w:val="0011436B"/>
    <w:rsid w:val="001143AC"/>
    <w:rsid w:val="001145C1"/>
    <w:rsid w:val="00114B96"/>
    <w:rsid w:val="00114C67"/>
    <w:rsid w:val="00114D21"/>
    <w:rsid w:val="00114ECA"/>
    <w:rsid w:val="00115334"/>
    <w:rsid w:val="0011553D"/>
    <w:rsid w:val="001156D7"/>
    <w:rsid w:val="001156EB"/>
    <w:rsid w:val="0011571A"/>
    <w:rsid w:val="0011580B"/>
    <w:rsid w:val="00115B9E"/>
    <w:rsid w:val="00115D1C"/>
    <w:rsid w:val="00115D42"/>
    <w:rsid w:val="00115D6B"/>
    <w:rsid w:val="00115EF4"/>
    <w:rsid w:val="00115F44"/>
    <w:rsid w:val="00116157"/>
    <w:rsid w:val="00116761"/>
    <w:rsid w:val="00116F30"/>
    <w:rsid w:val="0011735E"/>
    <w:rsid w:val="001176ED"/>
    <w:rsid w:val="00117947"/>
    <w:rsid w:val="0011795B"/>
    <w:rsid w:val="001179D6"/>
    <w:rsid w:val="00117B98"/>
    <w:rsid w:val="00117C77"/>
    <w:rsid w:val="00120164"/>
    <w:rsid w:val="001201B1"/>
    <w:rsid w:val="001201E2"/>
    <w:rsid w:val="00120533"/>
    <w:rsid w:val="00120657"/>
    <w:rsid w:val="001207B5"/>
    <w:rsid w:val="00120B46"/>
    <w:rsid w:val="00120E61"/>
    <w:rsid w:val="00120F41"/>
    <w:rsid w:val="00120F8A"/>
    <w:rsid w:val="001210F5"/>
    <w:rsid w:val="0012126F"/>
    <w:rsid w:val="001215A6"/>
    <w:rsid w:val="00121694"/>
    <w:rsid w:val="001217E1"/>
    <w:rsid w:val="0012197C"/>
    <w:rsid w:val="00121B7F"/>
    <w:rsid w:val="00121CBC"/>
    <w:rsid w:val="00121DF4"/>
    <w:rsid w:val="00121FCE"/>
    <w:rsid w:val="00122021"/>
    <w:rsid w:val="001221A2"/>
    <w:rsid w:val="00122439"/>
    <w:rsid w:val="001228EA"/>
    <w:rsid w:val="00122A02"/>
    <w:rsid w:val="00122AD7"/>
    <w:rsid w:val="00122F81"/>
    <w:rsid w:val="0012309F"/>
    <w:rsid w:val="00123492"/>
    <w:rsid w:val="00123822"/>
    <w:rsid w:val="00123C5D"/>
    <w:rsid w:val="00123D53"/>
    <w:rsid w:val="00123FAF"/>
    <w:rsid w:val="001241A3"/>
    <w:rsid w:val="00124316"/>
    <w:rsid w:val="0012464B"/>
    <w:rsid w:val="001246FF"/>
    <w:rsid w:val="00124A66"/>
    <w:rsid w:val="00124ADE"/>
    <w:rsid w:val="00124C43"/>
    <w:rsid w:val="00124DE6"/>
    <w:rsid w:val="00124F39"/>
    <w:rsid w:val="0012505E"/>
    <w:rsid w:val="00125146"/>
    <w:rsid w:val="00125358"/>
    <w:rsid w:val="001253AC"/>
    <w:rsid w:val="00125729"/>
    <w:rsid w:val="00125731"/>
    <w:rsid w:val="001257C3"/>
    <w:rsid w:val="00125A59"/>
    <w:rsid w:val="00125B06"/>
    <w:rsid w:val="00125D67"/>
    <w:rsid w:val="00125EDC"/>
    <w:rsid w:val="00125F2F"/>
    <w:rsid w:val="001264A2"/>
    <w:rsid w:val="001265E7"/>
    <w:rsid w:val="0012680D"/>
    <w:rsid w:val="00126935"/>
    <w:rsid w:val="00126AF1"/>
    <w:rsid w:val="00126B18"/>
    <w:rsid w:val="00126B7D"/>
    <w:rsid w:val="00126F7D"/>
    <w:rsid w:val="001271DD"/>
    <w:rsid w:val="001272B5"/>
    <w:rsid w:val="001275DB"/>
    <w:rsid w:val="00127711"/>
    <w:rsid w:val="0012778E"/>
    <w:rsid w:val="001278F0"/>
    <w:rsid w:val="001279FA"/>
    <w:rsid w:val="00127B0D"/>
    <w:rsid w:val="00127CF6"/>
    <w:rsid w:val="00130087"/>
    <w:rsid w:val="001300EE"/>
    <w:rsid w:val="00130331"/>
    <w:rsid w:val="00130464"/>
    <w:rsid w:val="00130741"/>
    <w:rsid w:val="0013093E"/>
    <w:rsid w:val="00130BD2"/>
    <w:rsid w:val="00130BFE"/>
    <w:rsid w:val="00130FFB"/>
    <w:rsid w:val="0013156B"/>
    <w:rsid w:val="00131572"/>
    <w:rsid w:val="00131AF2"/>
    <w:rsid w:val="00131B0D"/>
    <w:rsid w:val="00131B98"/>
    <w:rsid w:val="00131C80"/>
    <w:rsid w:val="00131C9D"/>
    <w:rsid w:val="00132193"/>
    <w:rsid w:val="00132267"/>
    <w:rsid w:val="0013247C"/>
    <w:rsid w:val="00132541"/>
    <w:rsid w:val="0013256A"/>
    <w:rsid w:val="00132778"/>
    <w:rsid w:val="00132867"/>
    <w:rsid w:val="00132986"/>
    <w:rsid w:val="00132BE5"/>
    <w:rsid w:val="00132CA3"/>
    <w:rsid w:val="00133176"/>
    <w:rsid w:val="00133662"/>
    <w:rsid w:val="0013369E"/>
    <w:rsid w:val="00133AE9"/>
    <w:rsid w:val="00133AF7"/>
    <w:rsid w:val="00133F53"/>
    <w:rsid w:val="00134157"/>
    <w:rsid w:val="0013420C"/>
    <w:rsid w:val="00134513"/>
    <w:rsid w:val="00134806"/>
    <w:rsid w:val="001348A9"/>
    <w:rsid w:val="00134993"/>
    <w:rsid w:val="00134A82"/>
    <w:rsid w:val="00134CB5"/>
    <w:rsid w:val="00134FCB"/>
    <w:rsid w:val="001350EC"/>
    <w:rsid w:val="001350FE"/>
    <w:rsid w:val="0013548D"/>
    <w:rsid w:val="001354A8"/>
    <w:rsid w:val="0013561F"/>
    <w:rsid w:val="001356F6"/>
    <w:rsid w:val="001357C1"/>
    <w:rsid w:val="00135AC0"/>
    <w:rsid w:val="00135C58"/>
    <w:rsid w:val="00135EDF"/>
    <w:rsid w:val="00135F20"/>
    <w:rsid w:val="00135FDC"/>
    <w:rsid w:val="001362B2"/>
    <w:rsid w:val="001363B8"/>
    <w:rsid w:val="00136412"/>
    <w:rsid w:val="001365AD"/>
    <w:rsid w:val="00136B1F"/>
    <w:rsid w:val="00136EF8"/>
    <w:rsid w:val="001370E0"/>
    <w:rsid w:val="00137315"/>
    <w:rsid w:val="00137562"/>
    <w:rsid w:val="001376AD"/>
    <w:rsid w:val="00137784"/>
    <w:rsid w:val="00137AFA"/>
    <w:rsid w:val="00140005"/>
    <w:rsid w:val="0014014B"/>
    <w:rsid w:val="001403F5"/>
    <w:rsid w:val="0014046D"/>
    <w:rsid w:val="00140774"/>
    <w:rsid w:val="0014078C"/>
    <w:rsid w:val="00140887"/>
    <w:rsid w:val="001408C2"/>
    <w:rsid w:val="001408CE"/>
    <w:rsid w:val="00140A00"/>
    <w:rsid w:val="00140AD5"/>
    <w:rsid w:val="001415BD"/>
    <w:rsid w:val="00141F25"/>
    <w:rsid w:val="00141F57"/>
    <w:rsid w:val="0014219A"/>
    <w:rsid w:val="00142210"/>
    <w:rsid w:val="0014249F"/>
    <w:rsid w:val="001425E8"/>
    <w:rsid w:val="00142634"/>
    <w:rsid w:val="00142E8F"/>
    <w:rsid w:val="001431C7"/>
    <w:rsid w:val="00143205"/>
    <w:rsid w:val="001432EA"/>
    <w:rsid w:val="00143391"/>
    <w:rsid w:val="001433C6"/>
    <w:rsid w:val="00143445"/>
    <w:rsid w:val="00143576"/>
    <w:rsid w:val="00143939"/>
    <w:rsid w:val="00143A2E"/>
    <w:rsid w:val="00143A40"/>
    <w:rsid w:val="00143A7F"/>
    <w:rsid w:val="00143BA5"/>
    <w:rsid w:val="00143C7C"/>
    <w:rsid w:val="00143D81"/>
    <w:rsid w:val="00143EE2"/>
    <w:rsid w:val="001441FC"/>
    <w:rsid w:val="00144255"/>
    <w:rsid w:val="001442AF"/>
    <w:rsid w:val="0014471E"/>
    <w:rsid w:val="00144C23"/>
    <w:rsid w:val="00144ED1"/>
    <w:rsid w:val="00144F16"/>
    <w:rsid w:val="001450F9"/>
    <w:rsid w:val="00145103"/>
    <w:rsid w:val="00145221"/>
    <w:rsid w:val="00145259"/>
    <w:rsid w:val="001453F7"/>
    <w:rsid w:val="0014588C"/>
    <w:rsid w:val="001458AF"/>
    <w:rsid w:val="001458FC"/>
    <w:rsid w:val="00145C03"/>
    <w:rsid w:val="00145CE9"/>
    <w:rsid w:val="00145FCB"/>
    <w:rsid w:val="001462BA"/>
    <w:rsid w:val="00146525"/>
    <w:rsid w:val="001466C4"/>
    <w:rsid w:val="001466D0"/>
    <w:rsid w:val="0014677C"/>
    <w:rsid w:val="00146A6A"/>
    <w:rsid w:val="00146DDF"/>
    <w:rsid w:val="00146E0B"/>
    <w:rsid w:val="00146E26"/>
    <w:rsid w:val="001470D9"/>
    <w:rsid w:val="001474E4"/>
    <w:rsid w:val="00147573"/>
    <w:rsid w:val="001475D7"/>
    <w:rsid w:val="00147658"/>
    <w:rsid w:val="0014775F"/>
    <w:rsid w:val="001477C4"/>
    <w:rsid w:val="001477F4"/>
    <w:rsid w:val="00147844"/>
    <w:rsid w:val="001479B5"/>
    <w:rsid w:val="00147A68"/>
    <w:rsid w:val="00147F90"/>
    <w:rsid w:val="00150050"/>
    <w:rsid w:val="001500D3"/>
    <w:rsid w:val="0015018E"/>
    <w:rsid w:val="0015030B"/>
    <w:rsid w:val="0015031E"/>
    <w:rsid w:val="001503D4"/>
    <w:rsid w:val="00150456"/>
    <w:rsid w:val="0015045F"/>
    <w:rsid w:val="001505EF"/>
    <w:rsid w:val="00150C67"/>
    <w:rsid w:val="0015103A"/>
    <w:rsid w:val="00151384"/>
    <w:rsid w:val="0015151C"/>
    <w:rsid w:val="001515A3"/>
    <w:rsid w:val="00151660"/>
    <w:rsid w:val="001516D5"/>
    <w:rsid w:val="001518BC"/>
    <w:rsid w:val="00151B89"/>
    <w:rsid w:val="00151BC1"/>
    <w:rsid w:val="00151FB1"/>
    <w:rsid w:val="00152490"/>
    <w:rsid w:val="00152868"/>
    <w:rsid w:val="00152A40"/>
    <w:rsid w:val="00152B85"/>
    <w:rsid w:val="00152D86"/>
    <w:rsid w:val="00152F26"/>
    <w:rsid w:val="00153112"/>
    <w:rsid w:val="001531D8"/>
    <w:rsid w:val="00153302"/>
    <w:rsid w:val="0015374A"/>
    <w:rsid w:val="00153885"/>
    <w:rsid w:val="00153980"/>
    <w:rsid w:val="001539B1"/>
    <w:rsid w:val="00153C3D"/>
    <w:rsid w:val="00153D6D"/>
    <w:rsid w:val="00153F69"/>
    <w:rsid w:val="00154224"/>
    <w:rsid w:val="00154343"/>
    <w:rsid w:val="001544AD"/>
    <w:rsid w:val="0015475C"/>
    <w:rsid w:val="00154870"/>
    <w:rsid w:val="0015496A"/>
    <w:rsid w:val="00154A18"/>
    <w:rsid w:val="00154B50"/>
    <w:rsid w:val="00154B6C"/>
    <w:rsid w:val="00154C71"/>
    <w:rsid w:val="00154D1C"/>
    <w:rsid w:val="00154DC1"/>
    <w:rsid w:val="001551D3"/>
    <w:rsid w:val="001552D1"/>
    <w:rsid w:val="001553C0"/>
    <w:rsid w:val="00155425"/>
    <w:rsid w:val="00155727"/>
    <w:rsid w:val="00155D9F"/>
    <w:rsid w:val="00155EDE"/>
    <w:rsid w:val="00156005"/>
    <w:rsid w:val="0015605E"/>
    <w:rsid w:val="001561B2"/>
    <w:rsid w:val="00156279"/>
    <w:rsid w:val="001562D4"/>
    <w:rsid w:val="00156422"/>
    <w:rsid w:val="001567A5"/>
    <w:rsid w:val="001567C9"/>
    <w:rsid w:val="00156A0E"/>
    <w:rsid w:val="00156B08"/>
    <w:rsid w:val="00156B2C"/>
    <w:rsid w:val="00156BA2"/>
    <w:rsid w:val="00156BE3"/>
    <w:rsid w:val="0015725B"/>
    <w:rsid w:val="00157293"/>
    <w:rsid w:val="001572EC"/>
    <w:rsid w:val="001572F8"/>
    <w:rsid w:val="00157384"/>
    <w:rsid w:val="001574DD"/>
    <w:rsid w:val="001576D4"/>
    <w:rsid w:val="00157711"/>
    <w:rsid w:val="00157886"/>
    <w:rsid w:val="00157A1F"/>
    <w:rsid w:val="00157B4D"/>
    <w:rsid w:val="00157D4C"/>
    <w:rsid w:val="00157D5D"/>
    <w:rsid w:val="00157EFC"/>
    <w:rsid w:val="00157F86"/>
    <w:rsid w:val="001602A4"/>
    <w:rsid w:val="001602C7"/>
    <w:rsid w:val="0016062C"/>
    <w:rsid w:val="001606A5"/>
    <w:rsid w:val="00160A25"/>
    <w:rsid w:val="00160AB1"/>
    <w:rsid w:val="00160E72"/>
    <w:rsid w:val="00160EA6"/>
    <w:rsid w:val="00160F70"/>
    <w:rsid w:val="00161355"/>
    <w:rsid w:val="001613F0"/>
    <w:rsid w:val="00161468"/>
    <w:rsid w:val="00161727"/>
    <w:rsid w:val="001617C6"/>
    <w:rsid w:val="00161AF5"/>
    <w:rsid w:val="00161B8E"/>
    <w:rsid w:val="00161B9E"/>
    <w:rsid w:val="00161C03"/>
    <w:rsid w:val="00161D16"/>
    <w:rsid w:val="00161D81"/>
    <w:rsid w:val="001621BA"/>
    <w:rsid w:val="00162421"/>
    <w:rsid w:val="00162544"/>
    <w:rsid w:val="001626BE"/>
    <w:rsid w:val="001629AE"/>
    <w:rsid w:val="00162B20"/>
    <w:rsid w:val="00162BE3"/>
    <w:rsid w:val="00162D70"/>
    <w:rsid w:val="00162DF7"/>
    <w:rsid w:val="0016315C"/>
    <w:rsid w:val="00163301"/>
    <w:rsid w:val="00163347"/>
    <w:rsid w:val="00163711"/>
    <w:rsid w:val="0016373E"/>
    <w:rsid w:val="00163BB6"/>
    <w:rsid w:val="00163C93"/>
    <w:rsid w:val="00163CB7"/>
    <w:rsid w:val="00163E48"/>
    <w:rsid w:val="00163EDB"/>
    <w:rsid w:val="001640DA"/>
    <w:rsid w:val="0016415D"/>
    <w:rsid w:val="00164503"/>
    <w:rsid w:val="00164650"/>
    <w:rsid w:val="00164695"/>
    <w:rsid w:val="00164957"/>
    <w:rsid w:val="00164B2A"/>
    <w:rsid w:val="00164EBB"/>
    <w:rsid w:val="00164FAC"/>
    <w:rsid w:val="00165081"/>
    <w:rsid w:val="00165103"/>
    <w:rsid w:val="001655B5"/>
    <w:rsid w:val="00165708"/>
    <w:rsid w:val="001657DF"/>
    <w:rsid w:val="001658DC"/>
    <w:rsid w:val="00165A1C"/>
    <w:rsid w:val="00165BB6"/>
    <w:rsid w:val="00165C5F"/>
    <w:rsid w:val="00165CB4"/>
    <w:rsid w:val="00165E62"/>
    <w:rsid w:val="00165EFD"/>
    <w:rsid w:val="00166063"/>
    <w:rsid w:val="00166155"/>
    <w:rsid w:val="001662DB"/>
    <w:rsid w:val="00166676"/>
    <w:rsid w:val="00166678"/>
    <w:rsid w:val="00166867"/>
    <w:rsid w:val="00166C00"/>
    <w:rsid w:val="00166DE1"/>
    <w:rsid w:val="00166F78"/>
    <w:rsid w:val="001670B9"/>
    <w:rsid w:val="0016723D"/>
    <w:rsid w:val="00167342"/>
    <w:rsid w:val="00167362"/>
    <w:rsid w:val="00167423"/>
    <w:rsid w:val="001674C5"/>
    <w:rsid w:val="0016752D"/>
    <w:rsid w:val="0016759F"/>
    <w:rsid w:val="001676C8"/>
    <w:rsid w:val="00167829"/>
    <w:rsid w:val="00167F73"/>
    <w:rsid w:val="00170162"/>
    <w:rsid w:val="0017020C"/>
    <w:rsid w:val="001705AB"/>
    <w:rsid w:val="00170619"/>
    <w:rsid w:val="001707F0"/>
    <w:rsid w:val="00170823"/>
    <w:rsid w:val="001709FD"/>
    <w:rsid w:val="00170AE5"/>
    <w:rsid w:val="00170B47"/>
    <w:rsid w:val="00170DC1"/>
    <w:rsid w:val="00170E40"/>
    <w:rsid w:val="00171222"/>
    <w:rsid w:val="001714E5"/>
    <w:rsid w:val="001714F0"/>
    <w:rsid w:val="00171682"/>
    <w:rsid w:val="00171A5F"/>
    <w:rsid w:val="00171CBE"/>
    <w:rsid w:val="00171E83"/>
    <w:rsid w:val="00171EDB"/>
    <w:rsid w:val="00171FE4"/>
    <w:rsid w:val="00172022"/>
    <w:rsid w:val="0017202A"/>
    <w:rsid w:val="0017230A"/>
    <w:rsid w:val="00172A56"/>
    <w:rsid w:val="00172B23"/>
    <w:rsid w:val="00173373"/>
    <w:rsid w:val="0017342E"/>
    <w:rsid w:val="00173541"/>
    <w:rsid w:val="00173621"/>
    <w:rsid w:val="00173763"/>
    <w:rsid w:val="00173850"/>
    <w:rsid w:val="00173979"/>
    <w:rsid w:val="00173B5F"/>
    <w:rsid w:val="00173B73"/>
    <w:rsid w:val="00173C9F"/>
    <w:rsid w:val="001741FF"/>
    <w:rsid w:val="0017435E"/>
    <w:rsid w:val="001744C2"/>
    <w:rsid w:val="00174597"/>
    <w:rsid w:val="00174642"/>
    <w:rsid w:val="00174833"/>
    <w:rsid w:val="0017491A"/>
    <w:rsid w:val="0017498A"/>
    <w:rsid w:val="001749DC"/>
    <w:rsid w:val="00174A00"/>
    <w:rsid w:val="00174B6C"/>
    <w:rsid w:val="001751E8"/>
    <w:rsid w:val="00175375"/>
    <w:rsid w:val="00175513"/>
    <w:rsid w:val="00175704"/>
    <w:rsid w:val="001759AA"/>
    <w:rsid w:val="00175AAF"/>
    <w:rsid w:val="00175CC5"/>
    <w:rsid w:val="00176268"/>
    <w:rsid w:val="001762EA"/>
    <w:rsid w:val="001764AD"/>
    <w:rsid w:val="00176949"/>
    <w:rsid w:val="001769D4"/>
    <w:rsid w:val="00176BD8"/>
    <w:rsid w:val="00176C40"/>
    <w:rsid w:val="00176C50"/>
    <w:rsid w:val="00176E55"/>
    <w:rsid w:val="001771A1"/>
    <w:rsid w:val="0017735C"/>
    <w:rsid w:val="00177603"/>
    <w:rsid w:val="001776EF"/>
    <w:rsid w:val="0017790F"/>
    <w:rsid w:val="00177B21"/>
    <w:rsid w:val="00177CFF"/>
    <w:rsid w:val="00177EA2"/>
    <w:rsid w:val="001805DB"/>
    <w:rsid w:val="001805DF"/>
    <w:rsid w:val="00180729"/>
    <w:rsid w:val="001809A5"/>
    <w:rsid w:val="00180CFB"/>
    <w:rsid w:val="00180D05"/>
    <w:rsid w:val="00180E42"/>
    <w:rsid w:val="00181199"/>
    <w:rsid w:val="001811EC"/>
    <w:rsid w:val="00181487"/>
    <w:rsid w:val="00181771"/>
    <w:rsid w:val="001817B3"/>
    <w:rsid w:val="001818D5"/>
    <w:rsid w:val="001819C1"/>
    <w:rsid w:val="00181A01"/>
    <w:rsid w:val="00181B90"/>
    <w:rsid w:val="00181B92"/>
    <w:rsid w:val="00181BA0"/>
    <w:rsid w:val="00181FA2"/>
    <w:rsid w:val="0018206D"/>
    <w:rsid w:val="00182099"/>
    <w:rsid w:val="001820A2"/>
    <w:rsid w:val="001820E9"/>
    <w:rsid w:val="0018212C"/>
    <w:rsid w:val="00182226"/>
    <w:rsid w:val="00182498"/>
    <w:rsid w:val="001824A4"/>
    <w:rsid w:val="001826E6"/>
    <w:rsid w:val="001828A2"/>
    <w:rsid w:val="001828F0"/>
    <w:rsid w:val="00182B16"/>
    <w:rsid w:val="00182C84"/>
    <w:rsid w:val="00182C91"/>
    <w:rsid w:val="00182E54"/>
    <w:rsid w:val="00183316"/>
    <w:rsid w:val="00183474"/>
    <w:rsid w:val="00183B88"/>
    <w:rsid w:val="00183C82"/>
    <w:rsid w:val="00183D20"/>
    <w:rsid w:val="00183D47"/>
    <w:rsid w:val="00183F0D"/>
    <w:rsid w:val="00183F13"/>
    <w:rsid w:val="001840DF"/>
    <w:rsid w:val="001841BC"/>
    <w:rsid w:val="001843F3"/>
    <w:rsid w:val="00184670"/>
    <w:rsid w:val="001847F8"/>
    <w:rsid w:val="0018482D"/>
    <w:rsid w:val="00184908"/>
    <w:rsid w:val="00184B5D"/>
    <w:rsid w:val="00184BBD"/>
    <w:rsid w:val="00184EA7"/>
    <w:rsid w:val="00184F21"/>
    <w:rsid w:val="00185251"/>
    <w:rsid w:val="00185623"/>
    <w:rsid w:val="001856C3"/>
    <w:rsid w:val="00185780"/>
    <w:rsid w:val="001858EC"/>
    <w:rsid w:val="00185E18"/>
    <w:rsid w:val="00185F10"/>
    <w:rsid w:val="00186082"/>
    <w:rsid w:val="001861C0"/>
    <w:rsid w:val="00186328"/>
    <w:rsid w:val="0018634B"/>
    <w:rsid w:val="001866B5"/>
    <w:rsid w:val="00186771"/>
    <w:rsid w:val="00186793"/>
    <w:rsid w:val="00186794"/>
    <w:rsid w:val="00186DB2"/>
    <w:rsid w:val="00186FD2"/>
    <w:rsid w:val="00186FFB"/>
    <w:rsid w:val="001870EE"/>
    <w:rsid w:val="00187283"/>
    <w:rsid w:val="0018738F"/>
    <w:rsid w:val="0018773C"/>
    <w:rsid w:val="0018786F"/>
    <w:rsid w:val="001878A8"/>
    <w:rsid w:val="00187AF9"/>
    <w:rsid w:val="00187C11"/>
    <w:rsid w:val="00187ED4"/>
    <w:rsid w:val="0019038A"/>
    <w:rsid w:val="001909E1"/>
    <w:rsid w:val="00190AAF"/>
    <w:rsid w:val="00190BCE"/>
    <w:rsid w:val="00190D8F"/>
    <w:rsid w:val="00190F48"/>
    <w:rsid w:val="00191477"/>
    <w:rsid w:val="001915C5"/>
    <w:rsid w:val="001917DB"/>
    <w:rsid w:val="0019185C"/>
    <w:rsid w:val="00191958"/>
    <w:rsid w:val="0019199E"/>
    <w:rsid w:val="00191A20"/>
    <w:rsid w:val="00191A9E"/>
    <w:rsid w:val="00191D1D"/>
    <w:rsid w:val="00192004"/>
    <w:rsid w:val="00192038"/>
    <w:rsid w:val="0019221B"/>
    <w:rsid w:val="0019223A"/>
    <w:rsid w:val="001922B5"/>
    <w:rsid w:val="001922B7"/>
    <w:rsid w:val="00192553"/>
    <w:rsid w:val="001925C1"/>
    <w:rsid w:val="00192664"/>
    <w:rsid w:val="00192934"/>
    <w:rsid w:val="00192972"/>
    <w:rsid w:val="0019298A"/>
    <w:rsid w:val="00192A29"/>
    <w:rsid w:val="00192ACA"/>
    <w:rsid w:val="00192BC2"/>
    <w:rsid w:val="00192C42"/>
    <w:rsid w:val="00193063"/>
    <w:rsid w:val="00193259"/>
    <w:rsid w:val="001933FD"/>
    <w:rsid w:val="0019353B"/>
    <w:rsid w:val="00193743"/>
    <w:rsid w:val="00193782"/>
    <w:rsid w:val="001937C8"/>
    <w:rsid w:val="00193849"/>
    <w:rsid w:val="00193B3D"/>
    <w:rsid w:val="0019400F"/>
    <w:rsid w:val="001940A3"/>
    <w:rsid w:val="001941F0"/>
    <w:rsid w:val="001942AC"/>
    <w:rsid w:val="00194326"/>
    <w:rsid w:val="00194592"/>
    <w:rsid w:val="00194634"/>
    <w:rsid w:val="001946A5"/>
    <w:rsid w:val="00194B45"/>
    <w:rsid w:val="00194E02"/>
    <w:rsid w:val="00194FFC"/>
    <w:rsid w:val="00195087"/>
    <w:rsid w:val="0019514C"/>
    <w:rsid w:val="00195231"/>
    <w:rsid w:val="001956C6"/>
    <w:rsid w:val="00195A29"/>
    <w:rsid w:val="00195AC2"/>
    <w:rsid w:val="00195ACA"/>
    <w:rsid w:val="00195B4A"/>
    <w:rsid w:val="00195C4D"/>
    <w:rsid w:val="00195DB6"/>
    <w:rsid w:val="00195E99"/>
    <w:rsid w:val="00195FE2"/>
    <w:rsid w:val="0019604F"/>
    <w:rsid w:val="00196099"/>
    <w:rsid w:val="0019620D"/>
    <w:rsid w:val="00196420"/>
    <w:rsid w:val="00196571"/>
    <w:rsid w:val="00196588"/>
    <w:rsid w:val="001966FC"/>
    <w:rsid w:val="00196813"/>
    <w:rsid w:val="00196D75"/>
    <w:rsid w:val="0019711A"/>
    <w:rsid w:val="00197358"/>
    <w:rsid w:val="001973EE"/>
    <w:rsid w:val="001974AA"/>
    <w:rsid w:val="001975B5"/>
    <w:rsid w:val="00197863"/>
    <w:rsid w:val="00197A86"/>
    <w:rsid w:val="00197BA1"/>
    <w:rsid w:val="00197BB9"/>
    <w:rsid w:val="00197C71"/>
    <w:rsid w:val="00197D54"/>
    <w:rsid w:val="00197DCD"/>
    <w:rsid w:val="00197E11"/>
    <w:rsid w:val="001A0340"/>
    <w:rsid w:val="001A05BB"/>
    <w:rsid w:val="001A07E2"/>
    <w:rsid w:val="001A0B7A"/>
    <w:rsid w:val="001A0CEB"/>
    <w:rsid w:val="001A0D57"/>
    <w:rsid w:val="001A1542"/>
    <w:rsid w:val="001A157C"/>
    <w:rsid w:val="001A1696"/>
    <w:rsid w:val="001A1733"/>
    <w:rsid w:val="001A194E"/>
    <w:rsid w:val="001A1A84"/>
    <w:rsid w:val="001A1D6C"/>
    <w:rsid w:val="001A1EF1"/>
    <w:rsid w:val="001A208B"/>
    <w:rsid w:val="001A2107"/>
    <w:rsid w:val="001A2265"/>
    <w:rsid w:val="001A251B"/>
    <w:rsid w:val="001A25FD"/>
    <w:rsid w:val="001A262A"/>
    <w:rsid w:val="001A26A7"/>
    <w:rsid w:val="001A2767"/>
    <w:rsid w:val="001A278B"/>
    <w:rsid w:val="001A2DC2"/>
    <w:rsid w:val="001A2FC0"/>
    <w:rsid w:val="001A3251"/>
    <w:rsid w:val="001A3289"/>
    <w:rsid w:val="001A3548"/>
    <w:rsid w:val="001A36E6"/>
    <w:rsid w:val="001A37C3"/>
    <w:rsid w:val="001A3966"/>
    <w:rsid w:val="001A3A5F"/>
    <w:rsid w:val="001A3C53"/>
    <w:rsid w:val="001A3D23"/>
    <w:rsid w:val="001A410F"/>
    <w:rsid w:val="001A4223"/>
    <w:rsid w:val="001A42CD"/>
    <w:rsid w:val="001A44B9"/>
    <w:rsid w:val="001A45E2"/>
    <w:rsid w:val="001A47D0"/>
    <w:rsid w:val="001A4BA2"/>
    <w:rsid w:val="001A4CDB"/>
    <w:rsid w:val="001A4DED"/>
    <w:rsid w:val="001A4E47"/>
    <w:rsid w:val="001A4F22"/>
    <w:rsid w:val="001A5371"/>
    <w:rsid w:val="001A548E"/>
    <w:rsid w:val="001A55BE"/>
    <w:rsid w:val="001A59DF"/>
    <w:rsid w:val="001A5BE2"/>
    <w:rsid w:val="001A5C7B"/>
    <w:rsid w:val="001A5D2F"/>
    <w:rsid w:val="001A5D55"/>
    <w:rsid w:val="001A613B"/>
    <w:rsid w:val="001A63C8"/>
    <w:rsid w:val="001A6B82"/>
    <w:rsid w:val="001A6C61"/>
    <w:rsid w:val="001A6D52"/>
    <w:rsid w:val="001A6E35"/>
    <w:rsid w:val="001A7164"/>
    <w:rsid w:val="001A74CB"/>
    <w:rsid w:val="001A74E5"/>
    <w:rsid w:val="001A7528"/>
    <w:rsid w:val="001A7685"/>
    <w:rsid w:val="001A7740"/>
    <w:rsid w:val="001A78E3"/>
    <w:rsid w:val="001A7AFA"/>
    <w:rsid w:val="001A7B20"/>
    <w:rsid w:val="001A7CE7"/>
    <w:rsid w:val="001A7D17"/>
    <w:rsid w:val="001A7D2C"/>
    <w:rsid w:val="001A7EB6"/>
    <w:rsid w:val="001A7F80"/>
    <w:rsid w:val="001B0003"/>
    <w:rsid w:val="001B00E7"/>
    <w:rsid w:val="001B0203"/>
    <w:rsid w:val="001B0274"/>
    <w:rsid w:val="001B0348"/>
    <w:rsid w:val="001B05EB"/>
    <w:rsid w:val="001B0693"/>
    <w:rsid w:val="001B08B5"/>
    <w:rsid w:val="001B0B23"/>
    <w:rsid w:val="001B0C7F"/>
    <w:rsid w:val="001B0EEE"/>
    <w:rsid w:val="001B0FA6"/>
    <w:rsid w:val="001B130D"/>
    <w:rsid w:val="001B13BA"/>
    <w:rsid w:val="001B1445"/>
    <w:rsid w:val="001B14EE"/>
    <w:rsid w:val="001B1525"/>
    <w:rsid w:val="001B165E"/>
    <w:rsid w:val="001B17E6"/>
    <w:rsid w:val="001B19A3"/>
    <w:rsid w:val="001B19A4"/>
    <w:rsid w:val="001B1A75"/>
    <w:rsid w:val="001B1B77"/>
    <w:rsid w:val="001B1C5C"/>
    <w:rsid w:val="001B1C72"/>
    <w:rsid w:val="001B1C7A"/>
    <w:rsid w:val="001B20BD"/>
    <w:rsid w:val="001B21AD"/>
    <w:rsid w:val="001B27E4"/>
    <w:rsid w:val="001B2962"/>
    <w:rsid w:val="001B2CA7"/>
    <w:rsid w:val="001B2CAA"/>
    <w:rsid w:val="001B2F4E"/>
    <w:rsid w:val="001B308F"/>
    <w:rsid w:val="001B311E"/>
    <w:rsid w:val="001B33D0"/>
    <w:rsid w:val="001B340D"/>
    <w:rsid w:val="001B341E"/>
    <w:rsid w:val="001B36F8"/>
    <w:rsid w:val="001B3A96"/>
    <w:rsid w:val="001B3A9F"/>
    <w:rsid w:val="001B3B33"/>
    <w:rsid w:val="001B3C50"/>
    <w:rsid w:val="001B3EDB"/>
    <w:rsid w:val="001B4077"/>
    <w:rsid w:val="001B48A8"/>
    <w:rsid w:val="001B48C2"/>
    <w:rsid w:val="001B490C"/>
    <w:rsid w:val="001B494E"/>
    <w:rsid w:val="001B4ACC"/>
    <w:rsid w:val="001B4B70"/>
    <w:rsid w:val="001B4D84"/>
    <w:rsid w:val="001B4FF5"/>
    <w:rsid w:val="001B511C"/>
    <w:rsid w:val="001B5191"/>
    <w:rsid w:val="001B51F0"/>
    <w:rsid w:val="001B5585"/>
    <w:rsid w:val="001B55C1"/>
    <w:rsid w:val="001B5ACF"/>
    <w:rsid w:val="001B5BA7"/>
    <w:rsid w:val="001B5CA5"/>
    <w:rsid w:val="001B5DD9"/>
    <w:rsid w:val="001B5E36"/>
    <w:rsid w:val="001B5E43"/>
    <w:rsid w:val="001B5EB8"/>
    <w:rsid w:val="001B5FD0"/>
    <w:rsid w:val="001B604C"/>
    <w:rsid w:val="001B624E"/>
    <w:rsid w:val="001B62AD"/>
    <w:rsid w:val="001B62EE"/>
    <w:rsid w:val="001B62FC"/>
    <w:rsid w:val="001B63A7"/>
    <w:rsid w:val="001B6554"/>
    <w:rsid w:val="001B6686"/>
    <w:rsid w:val="001B676E"/>
    <w:rsid w:val="001B6A70"/>
    <w:rsid w:val="001B6B1B"/>
    <w:rsid w:val="001B6F39"/>
    <w:rsid w:val="001B7057"/>
    <w:rsid w:val="001B717F"/>
    <w:rsid w:val="001B720B"/>
    <w:rsid w:val="001B728E"/>
    <w:rsid w:val="001B7301"/>
    <w:rsid w:val="001B7521"/>
    <w:rsid w:val="001B79F5"/>
    <w:rsid w:val="001B7A61"/>
    <w:rsid w:val="001B7AAB"/>
    <w:rsid w:val="001B7C87"/>
    <w:rsid w:val="001B7CC1"/>
    <w:rsid w:val="001B7E4F"/>
    <w:rsid w:val="001B7F21"/>
    <w:rsid w:val="001C00A2"/>
    <w:rsid w:val="001C01A5"/>
    <w:rsid w:val="001C028A"/>
    <w:rsid w:val="001C0368"/>
    <w:rsid w:val="001C04F8"/>
    <w:rsid w:val="001C05DE"/>
    <w:rsid w:val="001C0B6C"/>
    <w:rsid w:val="001C0B81"/>
    <w:rsid w:val="001C0BA2"/>
    <w:rsid w:val="001C0C5A"/>
    <w:rsid w:val="001C1052"/>
    <w:rsid w:val="001C11DE"/>
    <w:rsid w:val="001C120E"/>
    <w:rsid w:val="001C129A"/>
    <w:rsid w:val="001C149B"/>
    <w:rsid w:val="001C17D0"/>
    <w:rsid w:val="001C188D"/>
    <w:rsid w:val="001C1993"/>
    <w:rsid w:val="001C19D1"/>
    <w:rsid w:val="001C19E5"/>
    <w:rsid w:val="001C1BA4"/>
    <w:rsid w:val="001C1BF5"/>
    <w:rsid w:val="001C1E03"/>
    <w:rsid w:val="001C2294"/>
    <w:rsid w:val="001C23A2"/>
    <w:rsid w:val="001C2560"/>
    <w:rsid w:val="001C2909"/>
    <w:rsid w:val="001C2D9F"/>
    <w:rsid w:val="001C2F54"/>
    <w:rsid w:val="001C2FAF"/>
    <w:rsid w:val="001C3315"/>
    <w:rsid w:val="001C359B"/>
    <w:rsid w:val="001C385E"/>
    <w:rsid w:val="001C38FE"/>
    <w:rsid w:val="001C3915"/>
    <w:rsid w:val="001C3A11"/>
    <w:rsid w:val="001C3A5C"/>
    <w:rsid w:val="001C3C0E"/>
    <w:rsid w:val="001C3E3D"/>
    <w:rsid w:val="001C3EC8"/>
    <w:rsid w:val="001C44A9"/>
    <w:rsid w:val="001C44B2"/>
    <w:rsid w:val="001C467B"/>
    <w:rsid w:val="001C4B38"/>
    <w:rsid w:val="001C4B39"/>
    <w:rsid w:val="001C4DA7"/>
    <w:rsid w:val="001C4DBA"/>
    <w:rsid w:val="001C4F69"/>
    <w:rsid w:val="001C59A9"/>
    <w:rsid w:val="001C5B21"/>
    <w:rsid w:val="001C5C4B"/>
    <w:rsid w:val="001C637F"/>
    <w:rsid w:val="001C6411"/>
    <w:rsid w:val="001C6567"/>
    <w:rsid w:val="001C65A0"/>
    <w:rsid w:val="001C67C6"/>
    <w:rsid w:val="001C6810"/>
    <w:rsid w:val="001C6844"/>
    <w:rsid w:val="001C6BA3"/>
    <w:rsid w:val="001C6C61"/>
    <w:rsid w:val="001C7082"/>
    <w:rsid w:val="001C70DE"/>
    <w:rsid w:val="001C7482"/>
    <w:rsid w:val="001C78BF"/>
    <w:rsid w:val="001C78F0"/>
    <w:rsid w:val="001C7B13"/>
    <w:rsid w:val="001C7B56"/>
    <w:rsid w:val="001C7C85"/>
    <w:rsid w:val="001D005C"/>
    <w:rsid w:val="001D0365"/>
    <w:rsid w:val="001D03F5"/>
    <w:rsid w:val="001D0869"/>
    <w:rsid w:val="001D089E"/>
    <w:rsid w:val="001D0A57"/>
    <w:rsid w:val="001D0C0A"/>
    <w:rsid w:val="001D10EE"/>
    <w:rsid w:val="001D12B1"/>
    <w:rsid w:val="001D141A"/>
    <w:rsid w:val="001D14E8"/>
    <w:rsid w:val="001D1509"/>
    <w:rsid w:val="001D1761"/>
    <w:rsid w:val="001D1800"/>
    <w:rsid w:val="001D1B5C"/>
    <w:rsid w:val="001D1DAB"/>
    <w:rsid w:val="001D1E5B"/>
    <w:rsid w:val="001D1EB0"/>
    <w:rsid w:val="001D1F6F"/>
    <w:rsid w:val="001D2094"/>
    <w:rsid w:val="001D22A0"/>
    <w:rsid w:val="001D23CC"/>
    <w:rsid w:val="001D247E"/>
    <w:rsid w:val="001D259E"/>
    <w:rsid w:val="001D287F"/>
    <w:rsid w:val="001D2890"/>
    <w:rsid w:val="001D28DA"/>
    <w:rsid w:val="001D2947"/>
    <w:rsid w:val="001D2A0A"/>
    <w:rsid w:val="001D2A2F"/>
    <w:rsid w:val="001D2BE9"/>
    <w:rsid w:val="001D2BF6"/>
    <w:rsid w:val="001D2FBB"/>
    <w:rsid w:val="001D3348"/>
    <w:rsid w:val="001D3651"/>
    <w:rsid w:val="001D3696"/>
    <w:rsid w:val="001D3762"/>
    <w:rsid w:val="001D38BD"/>
    <w:rsid w:val="001D3940"/>
    <w:rsid w:val="001D39D0"/>
    <w:rsid w:val="001D3AE2"/>
    <w:rsid w:val="001D3CDF"/>
    <w:rsid w:val="001D3D16"/>
    <w:rsid w:val="001D3DDE"/>
    <w:rsid w:val="001D3E64"/>
    <w:rsid w:val="001D3FBE"/>
    <w:rsid w:val="001D41FF"/>
    <w:rsid w:val="001D42E7"/>
    <w:rsid w:val="001D43C6"/>
    <w:rsid w:val="001D44E4"/>
    <w:rsid w:val="001D4503"/>
    <w:rsid w:val="001D465F"/>
    <w:rsid w:val="001D46B1"/>
    <w:rsid w:val="001D4714"/>
    <w:rsid w:val="001D47C7"/>
    <w:rsid w:val="001D48F9"/>
    <w:rsid w:val="001D4FA4"/>
    <w:rsid w:val="001D503B"/>
    <w:rsid w:val="001D5056"/>
    <w:rsid w:val="001D5245"/>
    <w:rsid w:val="001D53BC"/>
    <w:rsid w:val="001D54E9"/>
    <w:rsid w:val="001D58E5"/>
    <w:rsid w:val="001D59C7"/>
    <w:rsid w:val="001D5BEF"/>
    <w:rsid w:val="001D5E78"/>
    <w:rsid w:val="001D5F3F"/>
    <w:rsid w:val="001D63AB"/>
    <w:rsid w:val="001D69C6"/>
    <w:rsid w:val="001D69ED"/>
    <w:rsid w:val="001D6A69"/>
    <w:rsid w:val="001D6D4F"/>
    <w:rsid w:val="001D6D5D"/>
    <w:rsid w:val="001D6DC8"/>
    <w:rsid w:val="001D6FE1"/>
    <w:rsid w:val="001D73B5"/>
    <w:rsid w:val="001D73DD"/>
    <w:rsid w:val="001D7576"/>
    <w:rsid w:val="001D7830"/>
    <w:rsid w:val="001D7844"/>
    <w:rsid w:val="001D7B8F"/>
    <w:rsid w:val="001D7C4A"/>
    <w:rsid w:val="001D7D90"/>
    <w:rsid w:val="001D7F96"/>
    <w:rsid w:val="001E038D"/>
    <w:rsid w:val="001E05C6"/>
    <w:rsid w:val="001E05CE"/>
    <w:rsid w:val="001E0612"/>
    <w:rsid w:val="001E097C"/>
    <w:rsid w:val="001E0ACF"/>
    <w:rsid w:val="001E0B32"/>
    <w:rsid w:val="001E0D0A"/>
    <w:rsid w:val="001E0D5E"/>
    <w:rsid w:val="001E0D69"/>
    <w:rsid w:val="001E0DC7"/>
    <w:rsid w:val="001E0F03"/>
    <w:rsid w:val="001E1387"/>
    <w:rsid w:val="001E1717"/>
    <w:rsid w:val="001E18A1"/>
    <w:rsid w:val="001E18DD"/>
    <w:rsid w:val="001E1E8D"/>
    <w:rsid w:val="001E20C3"/>
    <w:rsid w:val="001E2781"/>
    <w:rsid w:val="001E27EB"/>
    <w:rsid w:val="001E28DB"/>
    <w:rsid w:val="001E28E3"/>
    <w:rsid w:val="001E2982"/>
    <w:rsid w:val="001E2D0D"/>
    <w:rsid w:val="001E3028"/>
    <w:rsid w:val="001E32D4"/>
    <w:rsid w:val="001E35B3"/>
    <w:rsid w:val="001E35DD"/>
    <w:rsid w:val="001E3840"/>
    <w:rsid w:val="001E3863"/>
    <w:rsid w:val="001E392D"/>
    <w:rsid w:val="001E3A8C"/>
    <w:rsid w:val="001E3DF2"/>
    <w:rsid w:val="001E40BE"/>
    <w:rsid w:val="001E411E"/>
    <w:rsid w:val="001E42C4"/>
    <w:rsid w:val="001E46D7"/>
    <w:rsid w:val="001E4D56"/>
    <w:rsid w:val="001E4ED8"/>
    <w:rsid w:val="001E50C5"/>
    <w:rsid w:val="001E54C3"/>
    <w:rsid w:val="001E557B"/>
    <w:rsid w:val="001E5685"/>
    <w:rsid w:val="001E568B"/>
    <w:rsid w:val="001E59A3"/>
    <w:rsid w:val="001E5B5D"/>
    <w:rsid w:val="001E5C10"/>
    <w:rsid w:val="001E5C4A"/>
    <w:rsid w:val="001E5CB3"/>
    <w:rsid w:val="001E5D34"/>
    <w:rsid w:val="001E5D53"/>
    <w:rsid w:val="001E5D8A"/>
    <w:rsid w:val="001E5F0F"/>
    <w:rsid w:val="001E5F9C"/>
    <w:rsid w:val="001E604C"/>
    <w:rsid w:val="001E641C"/>
    <w:rsid w:val="001E655F"/>
    <w:rsid w:val="001E6804"/>
    <w:rsid w:val="001E68ED"/>
    <w:rsid w:val="001E6A1E"/>
    <w:rsid w:val="001E6B5E"/>
    <w:rsid w:val="001E6C69"/>
    <w:rsid w:val="001E6E0D"/>
    <w:rsid w:val="001E7023"/>
    <w:rsid w:val="001E72AA"/>
    <w:rsid w:val="001E7722"/>
    <w:rsid w:val="001E7A7F"/>
    <w:rsid w:val="001E7B33"/>
    <w:rsid w:val="001E7B9B"/>
    <w:rsid w:val="001E7BD4"/>
    <w:rsid w:val="001E7D35"/>
    <w:rsid w:val="001F06D2"/>
    <w:rsid w:val="001F07FD"/>
    <w:rsid w:val="001F0919"/>
    <w:rsid w:val="001F0A3C"/>
    <w:rsid w:val="001F0BA0"/>
    <w:rsid w:val="001F0C24"/>
    <w:rsid w:val="001F0E90"/>
    <w:rsid w:val="001F0FDA"/>
    <w:rsid w:val="001F1036"/>
    <w:rsid w:val="001F18B6"/>
    <w:rsid w:val="001F1AD7"/>
    <w:rsid w:val="001F1D86"/>
    <w:rsid w:val="001F1F0C"/>
    <w:rsid w:val="001F1F0F"/>
    <w:rsid w:val="001F203C"/>
    <w:rsid w:val="001F20BF"/>
    <w:rsid w:val="001F2378"/>
    <w:rsid w:val="001F2486"/>
    <w:rsid w:val="001F2642"/>
    <w:rsid w:val="001F268A"/>
    <w:rsid w:val="001F2741"/>
    <w:rsid w:val="001F2957"/>
    <w:rsid w:val="001F2EC5"/>
    <w:rsid w:val="001F2F29"/>
    <w:rsid w:val="001F2FB4"/>
    <w:rsid w:val="001F2FC0"/>
    <w:rsid w:val="001F304E"/>
    <w:rsid w:val="001F3059"/>
    <w:rsid w:val="001F36FB"/>
    <w:rsid w:val="001F3803"/>
    <w:rsid w:val="001F38BD"/>
    <w:rsid w:val="001F394E"/>
    <w:rsid w:val="001F3A35"/>
    <w:rsid w:val="001F3A49"/>
    <w:rsid w:val="001F3A75"/>
    <w:rsid w:val="001F3B29"/>
    <w:rsid w:val="001F3D20"/>
    <w:rsid w:val="001F3E17"/>
    <w:rsid w:val="001F3F05"/>
    <w:rsid w:val="001F4058"/>
    <w:rsid w:val="001F412C"/>
    <w:rsid w:val="001F4678"/>
    <w:rsid w:val="001F484B"/>
    <w:rsid w:val="001F4953"/>
    <w:rsid w:val="001F4BF2"/>
    <w:rsid w:val="001F4C0D"/>
    <w:rsid w:val="001F4C54"/>
    <w:rsid w:val="001F4E66"/>
    <w:rsid w:val="001F5003"/>
    <w:rsid w:val="001F518B"/>
    <w:rsid w:val="001F5296"/>
    <w:rsid w:val="001F52F0"/>
    <w:rsid w:val="001F531C"/>
    <w:rsid w:val="001F5408"/>
    <w:rsid w:val="001F57AD"/>
    <w:rsid w:val="001F57DB"/>
    <w:rsid w:val="001F587C"/>
    <w:rsid w:val="001F59BB"/>
    <w:rsid w:val="001F5AB1"/>
    <w:rsid w:val="001F5D1E"/>
    <w:rsid w:val="001F5D65"/>
    <w:rsid w:val="001F5F54"/>
    <w:rsid w:val="001F5F63"/>
    <w:rsid w:val="001F5FE3"/>
    <w:rsid w:val="001F6174"/>
    <w:rsid w:val="001F621E"/>
    <w:rsid w:val="001F63C6"/>
    <w:rsid w:val="001F654B"/>
    <w:rsid w:val="001F65F9"/>
    <w:rsid w:val="001F67E0"/>
    <w:rsid w:val="001F6802"/>
    <w:rsid w:val="001F68E6"/>
    <w:rsid w:val="001F6934"/>
    <w:rsid w:val="001F6A57"/>
    <w:rsid w:val="001F6B9A"/>
    <w:rsid w:val="001F6C28"/>
    <w:rsid w:val="001F6EAE"/>
    <w:rsid w:val="001F6F20"/>
    <w:rsid w:val="001F70C1"/>
    <w:rsid w:val="001F71D6"/>
    <w:rsid w:val="001F7234"/>
    <w:rsid w:val="001F735B"/>
    <w:rsid w:val="001F7389"/>
    <w:rsid w:val="001F773A"/>
    <w:rsid w:val="001F7A82"/>
    <w:rsid w:val="001F7EB9"/>
    <w:rsid w:val="001F7FB1"/>
    <w:rsid w:val="0020022B"/>
    <w:rsid w:val="00200322"/>
    <w:rsid w:val="002007F9"/>
    <w:rsid w:val="00200924"/>
    <w:rsid w:val="002009F9"/>
    <w:rsid w:val="00200A91"/>
    <w:rsid w:val="00200C91"/>
    <w:rsid w:val="00200D00"/>
    <w:rsid w:val="0020109A"/>
    <w:rsid w:val="0020132F"/>
    <w:rsid w:val="00201513"/>
    <w:rsid w:val="00201AFC"/>
    <w:rsid w:val="00201DA3"/>
    <w:rsid w:val="00202209"/>
    <w:rsid w:val="0020233C"/>
    <w:rsid w:val="00202645"/>
    <w:rsid w:val="00202887"/>
    <w:rsid w:val="0020293C"/>
    <w:rsid w:val="00202CA9"/>
    <w:rsid w:val="00202D8F"/>
    <w:rsid w:val="00202F2F"/>
    <w:rsid w:val="00203779"/>
    <w:rsid w:val="002039EA"/>
    <w:rsid w:val="00203F18"/>
    <w:rsid w:val="00204704"/>
    <w:rsid w:val="002048F4"/>
    <w:rsid w:val="002049A9"/>
    <w:rsid w:val="002049B9"/>
    <w:rsid w:val="00204A59"/>
    <w:rsid w:val="002058B5"/>
    <w:rsid w:val="002059E4"/>
    <w:rsid w:val="00205EED"/>
    <w:rsid w:val="0020606E"/>
    <w:rsid w:val="002063DE"/>
    <w:rsid w:val="00206422"/>
    <w:rsid w:val="0020646C"/>
    <w:rsid w:val="0020648C"/>
    <w:rsid w:val="002066F0"/>
    <w:rsid w:val="00206790"/>
    <w:rsid w:val="00206953"/>
    <w:rsid w:val="00206C4F"/>
    <w:rsid w:val="00206C66"/>
    <w:rsid w:val="00206FF5"/>
    <w:rsid w:val="00207283"/>
    <w:rsid w:val="00207431"/>
    <w:rsid w:val="00207629"/>
    <w:rsid w:val="002076AA"/>
    <w:rsid w:val="00207710"/>
    <w:rsid w:val="00207B64"/>
    <w:rsid w:val="00207C2E"/>
    <w:rsid w:val="00207D6E"/>
    <w:rsid w:val="00207E07"/>
    <w:rsid w:val="00207E7F"/>
    <w:rsid w:val="00210207"/>
    <w:rsid w:val="0021020F"/>
    <w:rsid w:val="0021036C"/>
    <w:rsid w:val="00210619"/>
    <w:rsid w:val="0021074C"/>
    <w:rsid w:val="00210792"/>
    <w:rsid w:val="00210BD6"/>
    <w:rsid w:val="00210EF0"/>
    <w:rsid w:val="002110C8"/>
    <w:rsid w:val="002110D1"/>
    <w:rsid w:val="002110F0"/>
    <w:rsid w:val="0021115F"/>
    <w:rsid w:val="0021118E"/>
    <w:rsid w:val="002114C1"/>
    <w:rsid w:val="002115DA"/>
    <w:rsid w:val="002116AA"/>
    <w:rsid w:val="002116AD"/>
    <w:rsid w:val="002117B7"/>
    <w:rsid w:val="002117F4"/>
    <w:rsid w:val="002119DE"/>
    <w:rsid w:val="00211B08"/>
    <w:rsid w:val="00211B19"/>
    <w:rsid w:val="00211DE0"/>
    <w:rsid w:val="00211F41"/>
    <w:rsid w:val="002120C2"/>
    <w:rsid w:val="0021238B"/>
    <w:rsid w:val="0021269C"/>
    <w:rsid w:val="00212768"/>
    <w:rsid w:val="0021290B"/>
    <w:rsid w:val="002129D5"/>
    <w:rsid w:val="002129D6"/>
    <w:rsid w:val="00212A04"/>
    <w:rsid w:val="00212BB4"/>
    <w:rsid w:val="00212CEC"/>
    <w:rsid w:val="002131B7"/>
    <w:rsid w:val="002132A6"/>
    <w:rsid w:val="002132B8"/>
    <w:rsid w:val="00213340"/>
    <w:rsid w:val="00213429"/>
    <w:rsid w:val="002135DF"/>
    <w:rsid w:val="00213651"/>
    <w:rsid w:val="00213D8D"/>
    <w:rsid w:val="00213DE3"/>
    <w:rsid w:val="00213FA7"/>
    <w:rsid w:val="00214087"/>
    <w:rsid w:val="002140A2"/>
    <w:rsid w:val="0021414D"/>
    <w:rsid w:val="00214771"/>
    <w:rsid w:val="002148D1"/>
    <w:rsid w:val="002149F7"/>
    <w:rsid w:val="00214A49"/>
    <w:rsid w:val="00214B8B"/>
    <w:rsid w:val="00214C63"/>
    <w:rsid w:val="00214D2F"/>
    <w:rsid w:val="0021506C"/>
    <w:rsid w:val="002151B7"/>
    <w:rsid w:val="002152BA"/>
    <w:rsid w:val="002155EB"/>
    <w:rsid w:val="00215668"/>
    <w:rsid w:val="002156DF"/>
    <w:rsid w:val="0021574A"/>
    <w:rsid w:val="002157E6"/>
    <w:rsid w:val="00215982"/>
    <w:rsid w:val="00215B01"/>
    <w:rsid w:val="00215F77"/>
    <w:rsid w:val="002160A6"/>
    <w:rsid w:val="00216318"/>
    <w:rsid w:val="002163F4"/>
    <w:rsid w:val="00216454"/>
    <w:rsid w:val="002164CD"/>
    <w:rsid w:val="0021654C"/>
    <w:rsid w:val="00216614"/>
    <w:rsid w:val="00216732"/>
    <w:rsid w:val="002167A8"/>
    <w:rsid w:val="00216BE0"/>
    <w:rsid w:val="00216D18"/>
    <w:rsid w:val="00216DFA"/>
    <w:rsid w:val="00216E4C"/>
    <w:rsid w:val="00217242"/>
    <w:rsid w:val="002172D3"/>
    <w:rsid w:val="00217455"/>
    <w:rsid w:val="002174FE"/>
    <w:rsid w:val="002175A6"/>
    <w:rsid w:val="0021770F"/>
    <w:rsid w:val="00217947"/>
    <w:rsid w:val="00217A29"/>
    <w:rsid w:val="00217AE8"/>
    <w:rsid w:val="00217E28"/>
    <w:rsid w:val="00217E8B"/>
    <w:rsid w:val="00217F78"/>
    <w:rsid w:val="00217FE5"/>
    <w:rsid w:val="002204E0"/>
    <w:rsid w:val="00220594"/>
    <w:rsid w:val="0022073C"/>
    <w:rsid w:val="002209DA"/>
    <w:rsid w:val="00220A48"/>
    <w:rsid w:val="00220B1C"/>
    <w:rsid w:val="00220D2A"/>
    <w:rsid w:val="00220D77"/>
    <w:rsid w:val="00220E5F"/>
    <w:rsid w:val="002210DD"/>
    <w:rsid w:val="0022127A"/>
    <w:rsid w:val="0022133F"/>
    <w:rsid w:val="00221437"/>
    <w:rsid w:val="0022151D"/>
    <w:rsid w:val="00221722"/>
    <w:rsid w:val="00221894"/>
    <w:rsid w:val="002218C7"/>
    <w:rsid w:val="00221997"/>
    <w:rsid w:val="00221A48"/>
    <w:rsid w:val="00221B6F"/>
    <w:rsid w:val="00221D33"/>
    <w:rsid w:val="00221F2F"/>
    <w:rsid w:val="0022251E"/>
    <w:rsid w:val="002228C0"/>
    <w:rsid w:val="00222957"/>
    <w:rsid w:val="002229BC"/>
    <w:rsid w:val="00222E00"/>
    <w:rsid w:val="00222E0B"/>
    <w:rsid w:val="00223069"/>
    <w:rsid w:val="002231AA"/>
    <w:rsid w:val="00223220"/>
    <w:rsid w:val="0022331C"/>
    <w:rsid w:val="00223329"/>
    <w:rsid w:val="002234D6"/>
    <w:rsid w:val="00223B33"/>
    <w:rsid w:val="00223FC7"/>
    <w:rsid w:val="00224097"/>
    <w:rsid w:val="002241F2"/>
    <w:rsid w:val="00224226"/>
    <w:rsid w:val="0022422B"/>
    <w:rsid w:val="002243D9"/>
    <w:rsid w:val="002244E1"/>
    <w:rsid w:val="002244F0"/>
    <w:rsid w:val="00224AA4"/>
    <w:rsid w:val="00224BC9"/>
    <w:rsid w:val="00224BCD"/>
    <w:rsid w:val="00224BD9"/>
    <w:rsid w:val="00224BEA"/>
    <w:rsid w:val="00224DC6"/>
    <w:rsid w:val="00224EED"/>
    <w:rsid w:val="00224F72"/>
    <w:rsid w:val="0022509D"/>
    <w:rsid w:val="0022510E"/>
    <w:rsid w:val="00225181"/>
    <w:rsid w:val="00225312"/>
    <w:rsid w:val="00225321"/>
    <w:rsid w:val="002259A6"/>
    <w:rsid w:val="00225E80"/>
    <w:rsid w:val="0022602C"/>
    <w:rsid w:val="002261E4"/>
    <w:rsid w:val="002266A7"/>
    <w:rsid w:val="002266C3"/>
    <w:rsid w:val="002267BE"/>
    <w:rsid w:val="0022681A"/>
    <w:rsid w:val="002268D8"/>
    <w:rsid w:val="00226DA2"/>
    <w:rsid w:val="00226DCE"/>
    <w:rsid w:val="00226EAF"/>
    <w:rsid w:val="00226F13"/>
    <w:rsid w:val="00227323"/>
    <w:rsid w:val="00227401"/>
    <w:rsid w:val="002274FB"/>
    <w:rsid w:val="00227548"/>
    <w:rsid w:val="00227ED9"/>
    <w:rsid w:val="00227F59"/>
    <w:rsid w:val="00227FB1"/>
    <w:rsid w:val="002300E1"/>
    <w:rsid w:val="00230414"/>
    <w:rsid w:val="00230570"/>
    <w:rsid w:val="002305B0"/>
    <w:rsid w:val="00230648"/>
    <w:rsid w:val="002306D9"/>
    <w:rsid w:val="00230726"/>
    <w:rsid w:val="0023087A"/>
    <w:rsid w:val="0023097C"/>
    <w:rsid w:val="00230D54"/>
    <w:rsid w:val="00230F4F"/>
    <w:rsid w:val="00231043"/>
    <w:rsid w:val="0023113B"/>
    <w:rsid w:val="00231352"/>
    <w:rsid w:val="0023141C"/>
    <w:rsid w:val="0023150F"/>
    <w:rsid w:val="002315B9"/>
    <w:rsid w:val="00231662"/>
    <w:rsid w:val="0023175B"/>
    <w:rsid w:val="00231943"/>
    <w:rsid w:val="002319D8"/>
    <w:rsid w:val="00231D95"/>
    <w:rsid w:val="00231DA7"/>
    <w:rsid w:val="00231EF6"/>
    <w:rsid w:val="00231F06"/>
    <w:rsid w:val="00231FEB"/>
    <w:rsid w:val="00232030"/>
    <w:rsid w:val="00232225"/>
    <w:rsid w:val="002322FF"/>
    <w:rsid w:val="0023232D"/>
    <w:rsid w:val="002323F6"/>
    <w:rsid w:val="0023251A"/>
    <w:rsid w:val="00232531"/>
    <w:rsid w:val="00232668"/>
    <w:rsid w:val="002326FF"/>
    <w:rsid w:val="002327CF"/>
    <w:rsid w:val="00232C8C"/>
    <w:rsid w:val="00232E6A"/>
    <w:rsid w:val="00232F36"/>
    <w:rsid w:val="00232F78"/>
    <w:rsid w:val="00232FB7"/>
    <w:rsid w:val="00233166"/>
    <w:rsid w:val="0023332E"/>
    <w:rsid w:val="0023345C"/>
    <w:rsid w:val="00233549"/>
    <w:rsid w:val="0023364E"/>
    <w:rsid w:val="002336ED"/>
    <w:rsid w:val="00233A4C"/>
    <w:rsid w:val="00233BBF"/>
    <w:rsid w:val="00233D37"/>
    <w:rsid w:val="00233DC2"/>
    <w:rsid w:val="00233F94"/>
    <w:rsid w:val="00233FCB"/>
    <w:rsid w:val="00234048"/>
    <w:rsid w:val="0023417C"/>
    <w:rsid w:val="002348C5"/>
    <w:rsid w:val="002348EE"/>
    <w:rsid w:val="0023494F"/>
    <w:rsid w:val="00234B46"/>
    <w:rsid w:val="002350E4"/>
    <w:rsid w:val="0023554C"/>
    <w:rsid w:val="0023581B"/>
    <w:rsid w:val="00235B21"/>
    <w:rsid w:val="00235BF6"/>
    <w:rsid w:val="00235F1D"/>
    <w:rsid w:val="0023635D"/>
    <w:rsid w:val="002367B3"/>
    <w:rsid w:val="00236945"/>
    <w:rsid w:val="002369F7"/>
    <w:rsid w:val="00236B19"/>
    <w:rsid w:val="00236B25"/>
    <w:rsid w:val="00236CEB"/>
    <w:rsid w:val="00236D92"/>
    <w:rsid w:val="00236DCF"/>
    <w:rsid w:val="0023701F"/>
    <w:rsid w:val="0023708D"/>
    <w:rsid w:val="002371AB"/>
    <w:rsid w:val="00237342"/>
    <w:rsid w:val="002374DE"/>
    <w:rsid w:val="00237542"/>
    <w:rsid w:val="002377D7"/>
    <w:rsid w:val="002379B5"/>
    <w:rsid w:val="00237B08"/>
    <w:rsid w:val="00237E4E"/>
    <w:rsid w:val="00240029"/>
    <w:rsid w:val="0024028A"/>
    <w:rsid w:val="002403CD"/>
    <w:rsid w:val="002404F5"/>
    <w:rsid w:val="00240571"/>
    <w:rsid w:val="0024078B"/>
    <w:rsid w:val="00240848"/>
    <w:rsid w:val="00240871"/>
    <w:rsid w:val="00240875"/>
    <w:rsid w:val="00240902"/>
    <w:rsid w:val="00240EC0"/>
    <w:rsid w:val="0024146D"/>
    <w:rsid w:val="00241638"/>
    <w:rsid w:val="00241691"/>
    <w:rsid w:val="0024171B"/>
    <w:rsid w:val="00241754"/>
    <w:rsid w:val="0024177F"/>
    <w:rsid w:val="00241C67"/>
    <w:rsid w:val="00241C71"/>
    <w:rsid w:val="00241D58"/>
    <w:rsid w:val="002420BD"/>
    <w:rsid w:val="00242617"/>
    <w:rsid w:val="00242622"/>
    <w:rsid w:val="0024275D"/>
    <w:rsid w:val="00242BBA"/>
    <w:rsid w:val="00242C63"/>
    <w:rsid w:val="00242EA1"/>
    <w:rsid w:val="00242EDA"/>
    <w:rsid w:val="00243116"/>
    <w:rsid w:val="00243202"/>
    <w:rsid w:val="00243440"/>
    <w:rsid w:val="00243588"/>
    <w:rsid w:val="002435AF"/>
    <w:rsid w:val="0024361F"/>
    <w:rsid w:val="00243B79"/>
    <w:rsid w:val="00243C39"/>
    <w:rsid w:val="00243F13"/>
    <w:rsid w:val="00244156"/>
    <w:rsid w:val="00244507"/>
    <w:rsid w:val="00244704"/>
    <w:rsid w:val="0024470E"/>
    <w:rsid w:val="0024474C"/>
    <w:rsid w:val="002448C9"/>
    <w:rsid w:val="002449C7"/>
    <w:rsid w:val="00244C64"/>
    <w:rsid w:val="00244D18"/>
    <w:rsid w:val="00244DDC"/>
    <w:rsid w:val="00244E01"/>
    <w:rsid w:val="00244EE9"/>
    <w:rsid w:val="00244EFC"/>
    <w:rsid w:val="00244F0F"/>
    <w:rsid w:val="00244FCC"/>
    <w:rsid w:val="0024502C"/>
    <w:rsid w:val="002450A3"/>
    <w:rsid w:val="00245193"/>
    <w:rsid w:val="00245209"/>
    <w:rsid w:val="002452D5"/>
    <w:rsid w:val="0024540E"/>
    <w:rsid w:val="00245946"/>
    <w:rsid w:val="00245A23"/>
    <w:rsid w:val="00245A7D"/>
    <w:rsid w:val="00245B80"/>
    <w:rsid w:val="00245CCB"/>
    <w:rsid w:val="00245E09"/>
    <w:rsid w:val="00245EE3"/>
    <w:rsid w:val="00245F39"/>
    <w:rsid w:val="002460AF"/>
    <w:rsid w:val="002467C1"/>
    <w:rsid w:val="00246875"/>
    <w:rsid w:val="00246B1F"/>
    <w:rsid w:val="00246D3A"/>
    <w:rsid w:val="00246FD0"/>
    <w:rsid w:val="00247025"/>
    <w:rsid w:val="00247429"/>
    <w:rsid w:val="00247456"/>
    <w:rsid w:val="00247505"/>
    <w:rsid w:val="002475C0"/>
    <w:rsid w:val="002477E3"/>
    <w:rsid w:val="00247829"/>
    <w:rsid w:val="0024793F"/>
    <w:rsid w:val="00247A6B"/>
    <w:rsid w:val="00247A6D"/>
    <w:rsid w:val="00247ACE"/>
    <w:rsid w:val="0025025A"/>
    <w:rsid w:val="00250426"/>
    <w:rsid w:val="002506C6"/>
    <w:rsid w:val="00250800"/>
    <w:rsid w:val="0025086A"/>
    <w:rsid w:val="00250898"/>
    <w:rsid w:val="00250AAA"/>
    <w:rsid w:val="00250ABE"/>
    <w:rsid w:val="00250C55"/>
    <w:rsid w:val="00251027"/>
    <w:rsid w:val="0025113B"/>
    <w:rsid w:val="00251248"/>
    <w:rsid w:val="00251302"/>
    <w:rsid w:val="00251BF4"/>
    <w:rsid w:val="00251CBD"/>
    <w:rsid w:val="00251D3C"/>
    <w:rsid w:val="00252680"/>
    <w:rsid w:val="00252724"/>
    <w:rsid w:val="00252926"/>
    <w:rsid w:val="0025293E"/>
    <w:rsid w:val="00252BB0"/>
    <w:rsid w:val="00252CF3"/>
    <w:rsid w:val="00252F6A"/>
    <w:rsid w:val="00252FDD"/>
    <w:rsid w:val="0025315D"/>
    <w:rsid w:val="0025332F"/>
    <w:rsid w:val="002533F0"/>
    <w:rsid w:val="0025341D"/>
    <w:rsid w:val="002534EF"/>
    <w:rsid w:val="002536E0"/>
    <w:rsid w:val="0025380B"/>
    <w:rsid w:val="00253AB9"/>
    <w:rsid w:val="00253CF8"/>
    <w:rsid w:val="00253D5C"/>
    <w:rsid w:val="00253E50"/>
    <w:rsid w:val="00253F7F"/>
    <w:rsid w:val="002543DA"/>
    <w:rsid w:val="0025449F"/>
    <w:rsid w:val="00254589"/>
    <w:rsid w:val="00254DBA"/>
    <w:rsid w:val="00254F2B"/>
    <w:rsid w:val="00254F97"/>
    <w:rsid w:val="00255111"/>
    <w:rsid w:val="00255243"/>
    <w:rsid w:val="002553C6"/>
    <w:rsid w:val="002559FA"/>
    <w:rsid w:val="00255A62"/>
    <w:rsid w:val="00255BAC"/>
    <w:rsid w:val="00255CC6"/>
    <w:rsid w:val="00255D0B"/>
    <w:rsid w:val="00255D3C"/>
    <w:rsid w:val="00255D45"/>
    <w:rsid w:val="00255E53"/>
    <w:rsid w:val="00255E60"/>
    <w:rsid w:val="00255F2F"/>
    <w:rsid w:val="00256422"/>
    <w:rsid w:val="0025652D"/>
    <w:rsid w:val="0025662F"/>
    <w:rsid w:val="0025676D"/>
    <w:rsid w:val="00256775"/>
    <w:rsid w:val="002567C6"/>
    <w:rsid w:val="00257000"/>
    <w:rsid w:val="0025712F"/>
    <w:rsid w:val="002575F4"/>
    <w:rsid w:val="002577BB"/>
    <w:rsid w:val="0025789E"/>
    <w:rsid w:val="002579BF"/>
    <w:rsid w:val="002579DE"/>
    <w:rsid w:val="00257AD7"/>
    <w:rsid w:val="00257D7C"/>
    <w:rsid w:val="002600FE"/>
    <w:rsid w:val="0026042D"/>
    <w:rsid w:val="00260588"/>
    <w:rsid w:val="002608C1"/>
    <w:rsid w:val="0026094C"/>
    <w:rsid w:val="002613CF"/>
    <w:rsid w:val="002613E3"/>
    <w:rsid w:val="002614FE"/>
    <w:rsid w:val="0026152D"/>
    <w:rsid w:val="0026174E"/>
    <w:rsid w:val="00261AC4"/>
    <w:rsid w:val="00261C66"/>
    <w:rsid w:val="00261D3B"/>
    <w:rsid w:val="0026227A"/>
    <w:rsid w:val="002622DA"/>
    <w:rsid w:val="002627B3"/>
    <w:rsid w:val="00262A5F"/>
    <w:rsid w:val="00262A8C"/>
    <w:rsid w:val="00262F1F"/>
    <w:rsid w:val="00262F78"/>
    <w:rsid w:val="0026329B"/>
    <w:rsid w:val="0026357C"/>
    <w:rsid w:val="002635AB"/>
    <w:rsid w:val="00263850"/>
    <w:rsid w:val="00263A27"/>
    <w:rsid w:val="00263A7F"/>
    <w:rsid w:val="00263A83"/>
    <w:rsid w:val="00263B6D"/>
    <w:rsid w:val="00263FC9"/>
    <w:rsid w:val="00264089"/>
    <w:rsid w:val="0026415E"/>
    <w:rsid w:val="00264176"/>
    <w:rsid w:val="00264529"/>
    <w:rsid w:val="00264532"/>
    <w:rsid w:val="00264577"/>
    <w:rsid w:val="00264591"/>
    <w:rsid w:val="00264A77"/>
    <w:rsid w:val="00264C47"/>
    <w:rsid w:val="0026526B"/>
    <w:rsid w:val="00265A9E"/>
    <w:rsid w:val="00265C84"/>
    <w:rsid w:val="00265DF3"/>
    <w:rsid w:val="00265E57"/>
    <w:rsid w:val="00265FB6"/>
    <w:rsid w:val="0026611E"/>
    <w:rsid w:val="00266152"/>
    <w:rsid w:val="00266664"/>
    <w:rsid w:val="0026667E"/>
    <w:rsid w:val="002666E2"/>
    <w:rsid w:val="00266714"/>
    <w:rsid w:val="00266A26"/>
    <w:rsid w:val="00266AA6"/>
    <w:rsid w:val="00266F08"/>
    <w:rsid w:val="00266F2E"/>
    <w:rsid w:val="00266F68"/>
    <w:rsid w:val="00267038"/>
    <w:rsid w:val="00267083"/>
    <w:rsid w:val="0026746A"/>
    <w:rsid w:val="00267517"/>
    <w:rsid w:val="0026785C"/>
    <w:rsid w:val="00267B31"/>
    <w:rsid w:val="00267CA4"/>
    <w:rsid w:val="00267CEB"/>
    <w:rsid w:val="00267D8B"/>
    <w:rsid w:val="0027003C"/>
    <w:rsid w:val="002701D6"/>
    <w:rsid w:val="0027094E"/>
    <w:rsid w:val="00270A84"/>
    <w:rsid w:val="00270BF6"/>
    <w:rsid w:val="00270CBE"/>
    <w:rsid w:val="00270DE7"/>
    <w:rsid w:val="0027120D"/>
    <w:rsid w:val="002712E0"/>
    <w:rsid w:val="002714A4"/>
    <w:rsid w:val="002716CA"/>
    <w:rsid w:val="0027170F"/>
    <w:rsid w:val="002717EA"/>
    <w:rsid w:val="00271900"/>
    <w:rsid w:val="002719CD"/>
    <w:rsid w:val="00271D49"/>
    <w:rsid w:val="00271E07"/>
    <w:rsid w:val="00271E3C"/>
    <w:rsid w:val="00271E63"/>
    <w:rsid w:val="00271F4B"/>
    <w:rsid w:val="00272150"/>
    <w:rsid w:val="0027231F"/>
    <w:rsid w:val="00272481"/>
    <w:rsid w:val="002727E1"/>
    <w:rsid w:val="00272821"/>
    <w:rsid w:val="00272909"/>
    <w:rsid w:val="002729F7"/>
    <w:rsid w:val="00272A0F"/>
    <w:rsid w:val="00272ABB"/>
    <w:rsid w:val="00272B95"/>
    <w:rsid w:val="00272E6D"/>
    <w:rsid w:val="0027315F"/>
    <w:rsid w:val="00273360"/>
    <w:rsid w:val="00273775"/>
    <w:rsid w:val="00273A1A"/>
    <w:rsid w:val="00273BBB"/>
    <w:rsid w:val="00273EBC"/>
    <w:rsid w:val="00274694"/>
    <w:rsid w:val="002746F8"/>
    <w:rsid w:val="00274A47"/>
    <w:rsid w:val="00275265"/>
    <w:rsid w:val="002752D3"/>
    <w:rsid w:val="00275734"/>
    <w:rsid w:val="00275742"/>
    <w:rsid w:val="002757F1"/>
    <w:rsid w:val="00275821"/>
    <w:rsid w:val="00275AD0"/>
    <w:rsid w:val="00275D53"/>
    <w:rsid w:val="00275DD0"/>
    <w:rsid w:val="00275F30"/>
    <w:rsid w:val="002762D6"/>
    <w:rsid w:val="0027638C"/>
    <w:rsid w:val="002763FA"/>
    <w:rsid w:val="002766E0"/>
    <w:rsid w:val="002766F2"/>
    <w:rsid w:val="002767C9"/>
    <w:rsid w:val="002767F7"/>
    <w:rsid w:val="00276A6A"/>
    <w:rsid w:val="00276BB4"/>
    <w:rsid w:val="00276E38"/>
    <w:rsid w:val="0027711C"/>
    <w:rsid w:val="00277146"/>
    <w:rsid w:val="002771C6"/>
    <w:rsid w:val="00277381"/>
    <w:rsid w:val="002774D4"/>
    <w:rsid w:val="002779E0"/>
    <w:rsid w:val="00277A61"/>
    <w:rsid w:val="00277B36"/>
    <w:rsid w:val="00280038"/>
    <w:rsid w:val="002809AA"/>
    <w:rsid w:val="00280C41"/>
    <w:rsid w:val="00281209"/>
    <w:rsid w:val="00281392"/>
    <w:rsid w:val="0028179C"/>
    <w:rsid w:val="002819D4"/>
    <w:rsid w:val="00281AF6"/>
    <w:rsid w:val="00281B59"/>
    <w:rsid w:val="00281D32"/>
    <w:rsid w:val="00281DCC"/>
    <w:rsid w:val="0028211E"/>
    <w:rsid w:val="002824B1"/>
    <w:rsid w:val="00282586"/>
    <w:rsid w:val="00282611"/>
    <w:rsid w:val="00282631"/>
    <w:rsid w:val="00282715"/>
    <w:rsid w:val="00282AFF"/>
    <w:rsid w:val="00282D84"/>
    <w:rsid w:val="00282E00"/>
    <w:rsid w:val="00282EAA"/>
    <w:rsid w:val="00283D14"/>
    <w:rsid w:val="00283F7C"/>
    <w:rsid w:val="00284243"/>
    <w:rsid w:val="00284275"/>
    <w:rsid w:val="00284536"/>
    <w:rsid w:val="00284705"/>
    <w:rsid w:val="002847F7"/>
    <w:rsid w:val="00284A78"/>
    <w:rsid w:val="00284BAB"/>
    <w:rsid w:val="00284C9A"/>
    <w:rsid w:val="002850FA"/>
    <w:rsid w:val="002851F9"/>
    <w:rsid w:val="002852AF"/>
    <w:rsid w:val="0028573B"/>
    <w:rsid w:val="002857B2"/>
    <w:rsid w:val="002858A7"/>
    <w:rsid w:val="00285966"/>
    <w:rsid w:val="00285C75"/>
    <w:rsid w:val="00285DBD"/>
    <w:rsid w:val="00285F9A"/>
    <w:rsid w:val="00286028"/>
    <w:rsid w:val="002860EE"/>
    <w:rsid w:val="00286429"/>
    <w:rsid w:val="0028643C"/>
    <w:rsid w:val="00286520"/>
    <w:rsid w:val="00286599"/>
    <w:rsid w:val="00286705"/>
    <w:rsid w:val="00286A71"/>
    <w:rsid w:val="00286E1B"/>
    <w:rsid w:val="00286F0C"/>
    <w:rsid w:val="00286F1E"/>
    <w:rsid w:val="00286FF6"/>
    <w:rsid w:val="00286FFD"/>
    <w:rsid w:val="00287057"/>
    <w:rsid w:val="00287072"/>
    <w:rsid w:val="00287096"/>
    <w:rsid w:val="002870AA"/>
    <w:rsid w:val="00287222"/>
    <w:rsid w:val="002873D4"/>
    <w:rsid w:val="002874EA"/>
    <w:rsid w:val="00287689"/>
    <w:rsid w:val="002878B8"/>
    <w:rsid w:val="002879C6"/>
    <w:rsid w:val="00287A34"/>
    <w:rsid w:val="00287A98"/>
    <w:rsid w:val="00287B86"/>
    <w:rsid w:val="00287D4F"/>
    <w:rsid w:val="00287FEC"/>
    <w:rsid w:val="00290244"/>
    <w:rsid w:val="0029025E"/>
    <w:rsid w:val="002903CB"/>
    <w:rsid w:val="00290538"/>
    <w:rsid w:val="002906BA"/>
    <w:rsid w:val="00290927"/>
    <w:rsid w:val="002909DA"/>
    <w:rsid w:val="00290B2B"/>
    <w:rsid w:val="00290D3C"/>
    <w:rsid w:val="00290EEC"/>
    <w:rsid w:val="00291278"/>
    <w:rsid w:val="00291353"/>
    <w:rsid w:val="0029139B"/>
    <w:rsid w:val="00291525"/>
    <w:rsid w:val="002915C8"/>
    <w:rsid w:val="00291985"/>
    <w:rsid w:val="00291B3D"/>
    <w:rsid w:val="00291BC8"/>
    <w:rsid w:val="00291D35"/>
    <w:rsid w:val="00291E20"/>
    <w:rsid w:val="00291EFC"/>
    <w:rsid w:val="00291F39"/>
    <w:rsid w:val="00291F88"/>
    <w:rsid w:val="0029206B"/>
    <w:rsid w:val="00292119"/>
    <w:rsid w:val="00292198"/>
    <w:rsid w:val="002924D1"/>
    <w:rsid w:val="002926A2"/>
    <w:rsid w:val="0029289A"/>
    <w:rsid w:val="00292BE4"/>
    <w:rsid w:val="00292D22"/>
    <w:rsid w:val="00293208"/>
    <w:rsid w:val="00293535"/>
    <w:rsid w:val="0029359B"/>
    <w:rsid w:val="002935D0"/>
    <w:rsid w:val="00293606"/>
    <w:rsid w:val="00293665"/>
    <w:rsid w:val="002936BC"/>
    <w:rsid w:val="00293728"/>
    <w:rsid w:val="0029381A"/>
    <w:rsid w:val="00293822"/>
    <w:rsid w:val="00293C45"/>
    <w:rsid w:val="00293F7F"/>
    <w:rsid w:val="00293FA9"/>
    <w:rsid w:val="002941DE"/>
    <w:rsid w:val="0029430D"/>
    <w:rsid w:val="00294493"/>
    <w:rsid w:val="00294661"/>
    <w:rsid w:val="0029498C"/>
    <w:rsid w:val="00294A94"/>
    <w:rsid w:val="00294CD8"/>
    <w:rsid w:val="002950D7"/>
    <w:rsid w:val="00295330"/>
    <w:rsid w:val="002953B0"/>
    <w:rsid w:val="00295421"/>
    <w:rsid w:val="00295471"/>
    <w:rsid w:val="00295501"/>
    <w:rsid w:val="002955DD"/>
    <w:rsid w:val="002956F9"/>
    <w:rsid w:val="0029591A"/>
    <w:rsid w:val="00295D44"/>
    <w:rsid w:val="00295FE2"/>
    <w:rsid w:val="00296020"/>
    <w:rsid w:val="0029614E"/>
    <w:rsid w:val="002962A5"/>
    <w:rsid w:val="002962C9"/>
    <w:rsid w:val="002964C4"/>
    <w:rsid w:val="002964D3"/>
    <w:rsid w:val="002966E8"/>
    <w:rsid w:val="00296810"/>
    <w:rsid w:val="00296819"/>
    <w:rsid w:val="00296992"/>
    <w:rsid w:val="00296A09"/>
    <w:rsid w:val="00296A76"/>
    <w:rsid w:val="00296B98"/>
    <w:rsid w:val="00296E5D"/>
    <w:rsid w:val="00297118"/>
    <w:rsid w:val="00297458"/>
    <w:rsid w:val="0029770E"/>
    <w:rsid w:val="00297864"/>
    <w:rsid w:val="00297A04"/>
    <w:rsid w:val="00297A97"/>
    <w:rsid w:val="00297AA5"/>
    <w:rsid w:val="00297CBC"/>
    <w:rsid w:val="002A0100"/>
    <w:rsid w:val="002A06E8"/>
    <w:rsid w:val="002A0F91"/>
    <w:rsid w:val="002A0FE2"/>
    <w:rsid w:val="002A1601"/>
    <w:rsid w:val="002A1866"/>
    <w:rsid w:val="002A19E1"/>
    <w:rsid w:val="002A1A05"/>
    <w:rsid w:val="002A1DD6"/>
    <w:rsid w:val="002A1F05"/>
    <w:rsid w:val="002A21F5"/>
    <w:rsid w:val="002A2429"/>
    <w:rsid w:val="002A2AA6"/>
    <w:rsid w:val="002A2ABF"/>
    <w:rsid w:val="002A2C35"/>
    <w:rsid w:val="002A2FBB"/>
    <w:rsid w:val="002A302F"/>
    <w:rsid w:val="002A31A1"/>
    <w:rsid w:val="002A3331"/>
    <w:rsid w:val="002A3437"/>
    <w:rsid w:val="002A39B7"/>
    <w:rsid w:val="002A3C01"/>
    <w:rsid w:val="002A3D62"/>
    <w:rsid w:val="002A3D7C"/>
    <w:rsid w:val="002A3DAA"/>
    <w:rsid w:val="002A3DB1"/>
    <w:rsid w:val="002A4158"/>
    <w:rsid w:val="002A4532"/>
    <w:rsid w:val="002A4547"/>
    <w:rsid w:val="002A46DE"/>
    <w:rsid w:val="002A4795"/>
    <w:rsid w:val="002A47CB"/>
    <w:rsid w:val="002A4D97"/>
    <w:rsid w:val="002A4E49"/>
    <w:rsid w:val="002A505E"/>
    <w:rsid w:val="002A50D9"/>
    <w:rsid w:val="002A55CA"/>
    <w:rsid w:val="002A5761"/>
    <w:rsid w:val="002A5908"/>
    <w:rsid w:val="002A5B9B"/>
    <w:rsid w:val="002A5C43"/>
    <w:rsid w:val="002A6357"/>
    <w:rsid w:val="002A65FC"/>
    <w:rsid w:val="002A6626"/>
    <w:rsid w:val="002A680C"/>
    <w:rsid w:val="002A681C"/>
    <w:rsid w:val="002A6C83"/>
    <w:rsid w:val="002A6D8E"/>
    <w:rsid w:val="002A7005"/>
    <w:rsid w:val="002A710F"/>
    <w:rsid w:val="002A72AD"/>
    <w:rsid w:val="002A72BC"/>
    <w:rsid w:val="002A7628"/>
    <w:rsid w:val="002A7C2A"/>
    <w:rsid w:val="002A7D9F"/>
    <w:rsid w:val="002B001E"/>
    <w:rsid w:val="002B043E"/>
    <w:rsid w:val="002B0466"/>
    <w:rsid w:val="002B0470"/>
    <w:rsid w:val="002B047D"/>
    <w:rsid w:val="002B0612"/>
    <w:rsid w:val="002B070A"/>
    <w:rsid w:val="002B0900"/>
    <w:rsid w:val="002B0A42"/>
    <w:rsid w:val="002B0ED3"/>
    <w:rsid w:val="002B0F56"/>
    <w:rsid w:val="002B103E"/>
    <w:rsid w:val="002B11D1"/>
    <w:rsid w:val="002B14F7"/>
    <w:rsid w:val="002B17B3"/>
    <w:rsid w:val="002B1810"/>
    <w:rsid w:val="002B19FA"/>
    <w:rsid w:val="002B1AFA"/>
    <w:rsid w:val="002B1BFA"/>
    <w:rsid w:val="002B1DC1"/>
    <w:rsid w:val="002B1F77"/>
    <w:rsid w:val="002B1F92"/>
    <w:rsid w:val="002B22BA"/>
    <w:rsid w:val="002B2357"/>
    <w:rsid w:val="002B242A"/>
    <w:rsid w:val="002B26B6"/>
    <w:rsid w:val="002B28F0"/>
    <w:rsid w:val="002B2970"/>
    <w:rsid w:val="002B2ADC"/>
    <w:rsid w:val="002B2AEC"/>
    <w:rsid w:val="002B2B74"/>
    <w:rsid w:val="002B2E99"/>
    <w:rsid w:val="002B348A"/>
    <w:rsid w:val="002B355A"/>
    <w:rsid w:val="002B38AD"/>
    <w:rsid w:val="002B3903"/>
    <w:rsid w:val="002B3ACF"/>
    <w:rsid w:val="002B3C52"/>
    <w:rsid w:val="002B3FBA"/>
    <w:rsid w:val="002B42EC"/>
    <w:rsid w:val="002B4869"/>
    <w:rsid w:val="002B4873"/>
    <w:rsid w:val="002B48C9"/>
    <w:rsid w:val="002B4A21"/>
    <w:rsid w:val="002B4A65"/>
    <w:rsid w:val="002B4AED"/>
    <w:rsid w:val="002B4B2E"/>
    <w:rsid w:val="002B4BB2"/>
    <w:rsid w:val="002B4CA3"/>
    <w:rsid w:val="002B527D"/>
    <w:rsid w:val="002B5359"/>
    <w:rsid w:val="002B55C8"/>
    <w:rsid w:val="002B5B30"/>
    <w:rsid w:val="002B5EA9"/>
    <w:rsid w:val="002B5EE3"/>
    <w:rsid w:val="002B5FD9"/>
    <w:rsid w:val="002B601A"/>
    <w:rsid w:val="002B6642"/>
    <w:rsid w:val="002B6727"/>
    <w:rsid w:val="002B682B"/>
    <w:rsid w:val="002B6899"/>
    <w:rsid w:val="002B695D"/>
    <w:rsid w:val="002B6A0E"/>
    <w:rsid w:val="002B6F67"/>
    <w:rsid w:val="002B702D"/>
    <w:rsid w:val="002B728B"/>
    <w:rsid w:val="002B76C5"/>
    <w:rsid w:val="002B7770"/>
    <w:rsid w:val="002B7774"/>
    <w:rsid w:val="002B7E74"/>
    <w:rsid w:val="002B7F00"/>
    <w:rsid w:val="002B7F24"/>
    <w:rsid w:val="002B7F37"/>
    <w:rsid w:val="002C0060"/>
    <w:rsid w:val="002C019A"/>
    <w:rsid w:val="002C0593"/>
    <w:rsid w:val="002C05E5"/>
    <w:rsid w:val="002C07ED"/>
    <w:rsid w:val="002C0834"/>
    <w:rsid w:val="002C0AFA"/>
    <w:rsid w:val="002C1294"/>
    <w:rsid w:val="002C134C"/>
    <w:rsid w:val="002C171C"/>
    <w:rsid w:val="002C17BB"/>
    <w:rsid w:val="002C1A6D"/>
    <w:rsid w:val="002C1CDE"/>
    <w:rsid w:val="002C2091"/>
    <w:rsid w:val="002C20A3"/>
    <w:rsid w:val="002C2212"/>
    <w:rsid w:val="002C223A"/>
    <w:rsid w:val="002C231F"/>
    <w:rsid w:val="002C2373"/>
    <w:rsid w:val="002C2417"/>
    <w:rsid w:val="002C2423"/>
    <w:rsid w:val="002C24A4"/>
    <w:rsid w:val="002C24D3"/>
    <w:rsid w:val="002C259C"/>
    <w:rsid w:val="002C279C"/>
    <w:rsid w:val="002C28EF"/>
    <w:rsid w:val="002C2A8C"/>
    <w:rsid w:val="002C2B03"/>
    <w:rsid w:val="002C2C16"/>
    <w:rsid w:val="002C2C19"/>
    <w:rsid w:val="002C2DFB"/>
    <w:rsid w:val="002C2E4D"/>
    <w:rsid w:val="002C2EB9"/>
    <w:rsid w:val="002C31F1"/>
    <w:rsid w:val="002C32CC"/>
    <w:rsid w:val="002C32D5"/>
    <w:rsid w:val="002C3426"/>
    <w:rsid w:val="002C36C8"/>
    <w:rsid w:val="002C3744"/>
    <w:rsid w:val="002C3935"/>
    <w:rsid w:val="002C3B09"/>
    <w:rsid w:val="002C3CF9"/>
    <w:rsid w:val="002C3DE3"/>
    <w:rsid w:val="002C3E5E"/>
    <w:rsid w:val="002C3F46"/>
    <w:rsid w:val="002C4038"/>
    <w:rsid w:val="002C4083"/>
    <w:rsid w:val="002C4111"/>
    <w:rsid w:val="002C4226"/>
    <w:rsid w:val="002C4242"/>
    <w:rsid w:val="002C428E"/>
    <w:rsid w:val="002C44F9"/>
    <w:rsid w:val="002C4686"/>
    <w:rsid w:val="002C4697"/>
    <w:rsid w:val="002C4C79"/>
    <w:rsid w:val="002C4C7B"/>
    <w:rsid w:val="002C4E15"/>
    <w:rsid w:val="002C4F91"/>
    <w:rsid w:val="002C537B"/>
    <w:rsid w:val="002C5478"/>
    <w:rsid w:val="002C56EE"/>
    <w:rsid w:val="002C5784"/>
    <w:rsid w:val="002C5B43"/>
    <w:rsid w:val="002C5C23"/>
    <w:rsid w:val="002C5E4B"/>
    <w:rsid w:val="002C6245"/>
    <w:rsid w:val="002C6664"/>
    <w:rsid w:val="002C66C3"/>
    <w:rsid w:val="002C6927"/>
    <w:rsid w:val="002C6EC5"/>
    <w:rsid w:val="002C72DA"/>
    <w:rsid w:val="002C76F0"/>
    <w:rsid w:val="002C7AB9"/>
    <w:rsid w:val="002C7D5A"/>
    <w:rsid w:val="002C7E86"/>
    <w:rsid w:val="002D002B"/>
    <w:rsid w:val="002D0104"/>
    <w:rsid w:val="002D0119"/>
    <w:rsid w:val="002D0480"/>
    <w:rsid w:val="002D0482"/>
    <w:rsid w:val="002D04A2"/>
    <w:rsid w:val="002D0623"/>
    <w:rsid w:val="002D0D18"/>
    <w:rsid w:val="002D0D30"/>
    <w:rsid w:val="002D0DAE"/>
    <w:rsid w:val="002D0FDD"/>
    <w:rsid w:val="002D10B3"/>
    <w:rsid w:val="002D1332"/>
    <w:rsid w:val="002D16A0"/>
    <w:rsid w:val="002D18C7"/>
    <w:rsid w:val="002D18E5"/>
    <w:rsid w:val="002D1A61"/>
    <w:rsid w:val="002D1DE9"/>
    <w:rsid w:val="002D1E1A"/>
    <w:rsid w:val="002D1F85"/>
    <w:rsid w:val="002D2308"/>
    <w:rsid w:val="002D2468"/>
    <w:rsid w:val="002D24AF"/>
    <w:rsid w:val="002D265B"/>
    <w:rsid w:val="002D283F"/>
    <w:rsid w:val="002D299B"/>
    <w:rsid w:val="002D2D0A"/>
    <w:rsid w:val="002D2D22"/>
    <w:rsid w:val="002D2EB2"/>
    <w:rsid w:val="002D31E3"/>
    <w:rsid w:val="002D3389"/>
    <w:rsid w:val="002D3B26"/>
    <w:rsid w:val="002D3D28"/>
    <w:rsid w:val="002D3FC0"/>
    <w:rsid w:val="002D42B7"/>
    <w:rsid w:val="002D4380"/>
    <w:rsid w:val="002D44A5"/>
    <w:rsid w:val="002D4907"/>
    <w:rsid w:val="002D495D"/>
    <w:rsid w:val="002D4AF1"/>
    <w:rsid w:val="002D4B0C"/>
    <w:rsid w:val="002D4BEE"/>
    <w:rsid w:val="002D4C3E"/>
    <w:rsid w:val="002D4DA1"/>
    <w:rsid w:val="002D4F41"/>
    <w:rsid w:val="002D513E"/>
    <w:rsid w:val="002D5155"/>
    <w:rsid w:val="002D527B"/>
    <w:rsid w:val="002D5287"/>
    <w:rsid w:val="002D57C9"/>
    <w:rsid w:val="002D5840"/>
    <w:rsid w:val="002D591F"/>
    <w:rsid w:val="002D59F9"/>
    <w:rsid w:val="002D5A63"/>
    <w:rsid w:val="002D5B6B"/>
    <w:rsid w:val="002D5C3B"/>
    <w:rsid w:val="002D5CFF"/>
    <w:rsid w:val="002D5D59"/>
    <w:rsid w:val="002D5F1F"/>
    <w:rsid w:val="002D5F83"/>
    <w:rsid w:val="002D5FAB"/>
    <w:rsid w:val="002D618C"/>
    <w:rsid w:val="002D62BC"/>
    <w:rsid w:val="002D6314"/>
    <w:rsid w:val="002D6599"/>
    <w:rsid w:val="002D65BB"/>
    <w:rsid w:val="002D6679"/>
    <w:rsid w:val="002D668D"/>
    <w:rsid w:val="002D66F7"/>
    <w:rsid w:val="002D7316"/>
    <w:rsid w:val="002D74B7"/>
    <w:rsid w:val="002D7509"/>
    <w:rsid w:val="002D76D7"/>
    <w:rsid w:val="002D797C"/>
    <w:rsid w:val="002D7B84"/>
    <w:rsid w:val="002D7BC4"/>
    <w:rsid w:val="002D7D77"/>
    <w:rsid w:val="002D7FDD"/>
    <w:rsid w:val="002E02AD"/>
    <w:rsid w:val="002E06E9"/>
    <w:rsid w:val="002E0778"/>
    <w:rsid w:val="002E07E6"/>
    <w:rsid w:val="002E0A33"/>
    <w:rsid w:val="002E0BA3"/>
    <w:rsid w:val="002E0E43"/>
    <w:rsid w:val="002E1002"/>
    <w:rsid w:val="002E1124"/>
    <w:rsid w:val="002E1130"/>
    <w:rsid w:val="002E1179"/>
    <w:rsid w:val="002E1191"/>
    <w:rsid w:val="002E11A2"/>
    <w:rsid w:val="002E1334"/>
    <w:rsid w:val="002E139A"/>
    <w:rsid w:val="002E139C"/>
    <w:rsid w:val="002E18A3"/>
    <w:rsid w:val="002E1A28"/>
    <w:rsid w:val="002E1CBC"/>
    <w:rsid w:val="002E1DB1"/>
    <w:rsid w:val="002E252C"/>
    <w:rsid w:val="002E253C"/>
    <w:rsid w:val="002E25EB"/>
    <w:rsid w:val="002E27B0"/>
    <w:rsid w:val="002E29C3"/>
    <w:rsid w:val="002E2BB0"/>
    <w:rsid w:val="002E2C1E"/>
    <w:rsid w:val="002E2DD5"/>
    <w:rsid w:val="002E2E96"/>
    <w:rsid w:val="002E30A7"/>
    <w:rsid w:val="002E30A9"/>
    <w:rsid w:val="002E347A"/>
    <w:rsid w:val="002E34CB"/>
    <w:rsid w:val="002E35F4"/>
    <w:rsid w:val="002E3A15"/>
    <w:rsid w:val="002E3CF7"/>
    <w:rsid w:val="002E427A"/>
    <w:rsid w:val="002E42A3"/>
    <w:rsid w:val="002E49FB"/>
    <w:rsid w:val="002E4D94"/>
    <w:rsid w:val="002E4F7D"/>
    <w:rsid w:val="002E5368"/>
    <w:rsid w:val="002E5378"/>
    <w:rsid w:val="002E5564"/>
    <w:rsid w:val="002E57B7"/>
    <w:rsid w:val="002E5905"/>
    <w:rsid w:val="002E5A3D"/>
    <w:rsid w:val="002E603E"/>
    <w:rsid w:val="002E6071"/>
    <w:rsid w:val="002E62B5"/>
    <w:rsid w:val="002E6373"/>
    <w:rsid w:val="002E658B"/>
    <w:rsid w:val="002E6B47"/>
    <w:rsid w:val="002E6C28"/>
    <w:rsid w:val="002E6F90"/>
    <w:rsid w:val="002E716C"/>
    <w:rsid w:val="002E7770"/>
    <w:rsid w:val="002E778C"/>
    <w:rsid w:val="002E7883"/>
    <w:rsid w:val="002E78AC"/>
    <w:rsid w:val="002E7CEC"/>
    <w:rsid w:val="002E7D38"/>
    <w:rsid w:val="002E7DAD"/>
    <w:rsid w:val="002E7F6C"/>
    <w:rsid w:val="002F029C"/>
    <w:rsid w:val="002F0375"/>
    <w:rsid w:val="002F0490"/>
    <w:rsid w:val="002F05A1"/>
    <w:rsid w:val="002F0BE0"/>
    <w:rsid w:val="002F0C73"/>
    <w:rsid w:val="002F0D63"/>
    <w:rsid w:val="002F0E07"/>
    <w:rsid w:val="002F0F2F"/>
    <w:rsid w:val="002F0F40"/>
    <w:rsid w:val="002F1017"/>
    <w:rsid w:val="002F1362"/>
    <w:rsid w:val="002F147F"/>
    <w:rsid w:val="002F15FE"/>
    <w:rsid w:val="002F166E"/>
    <w:rsid w:val="002F196C"/>
    <w:rsid w:val="002F1C69"/>
    <w:rsid w:val="002F221B"/>
    <w:rsid w:val="002F22FB"/>
    <w:rsid w:val="002F2832"/>
    <w:rsid w:val="002F2A21"/>
    <w:rsid w:val="002F2D00"/>
    <w:rsid w:val="002F2D34"/>
    <w:rsid w:val="002F2F29"/>
    <w:rsid w:val="002F30F9"/>
    <w:rsid w:val="002F320D"/>
    <w:rsid w:val="002F3700"/>
    <w:rsid w:val="002F386C"/>
    <w:rsid w:val="002F38D3"/>
    <w:rsid w:val="002F39D8"/>
    <w:rsid w:val="002F3A19"/>
    <w:rsid w:val="002F3BBF"/>
    <w:rsid w:val="002F3BD4"/>
    <w:rsid w:val="002F3C71"/>
    <w:rsid w:val="002F3E40"/>
    <w:rsid w:val="002F3E89"/>
    <w:rsid w:val="002F3FB2"/>
    <w:rsid w:val="002F41D9"/>
    <w:rsid w:val="002F43ED"/>
    <w:rsid w:val="002F44D9"/>
    <w:rsid w:val="002F4562"/>
    <w:rsid w:val="002F4866"/>
    <w:rsid w:val="002F488A"/>
    <w:rsid w:val="002F4950"/>
    <w:rsid w:val="002F49A5"/>
    <w:rsid w:val="002F4A62"/>
    <w:rsid w:val="002F4AAA"/>
    <w:rsid w:val="002F501A"/>
    <w:rsid w:val="002F505F"/>
    <w:rsid w:val="002F5083"/>
    <w:rsid w:val="002F52EE"/>
    <w:rsid w:val="002F5310"/>
    <w:rsid w:val="002F536C"/>
    <w:rsid w:val="002F53F5"/>
    <w:rsid w:val="002F5627"/>
    <w:rsid w:val="002F56D5"/>
    <w:rsid w:val="002F5A05"/>
    <w:rsid w:val="002F5AD3"/>
    <w:rsid w:val="002F5BB5"/>
    <w:rsid w:val="002F609E"/>
    <w:rsid w:val="002F6462"/>
    <w:rsid w:val="002F6692"/>
    <w:rsid w:val="002F66CC"/>
    <w:rsid w:val="002F6B3F"/>
    <w:rsid w:val="002F715E"/>
    <w:rsid w:val="002F7297"/>
    <w:rsid w:val="002F7454"/>
    <w:rsid w:val="002F797B"/>
    <w:rsid w:val="002F7C08"/>
    <w:rsid w:val="002F7CE5"/>
    <w:rsid w:val="002F7DFA"/>
    <w:rsid w:val="002F7E9D"/>
    <w:rsid w:val="002F7EC8"/>
    <w:rsid w:val="00300057"/>
    <w:rsid w:val="0030005A"/>
    <w:rsid w:val="00300122"/>
    <w:rsid w:val="003001CB"/>
    <w:rsid w:val="003002C8"/>
    <w:rsid w:val="003003F4"/>
    <w:rsid w:val="00300462"/>
    <w:rsid w:val="003004B3"/>
    <w:rsid w:val="0030092B"/>
    <w:rsid w:val="003009EE"/>
    <w:rsid w:val="00300D93"/>
    <w:rsid w:val="00301097"/>
    <w:rsid w:val="003013F6"/>
    <w:rsid w:val="00301421"/>
    <w:rsid w:val="003016E1"/>
    <w:rsid w:val="003017A3"/>
    <w:rsid w:val="00301A69"/>
    <w:rsid w:val="00301AC1"/>
    <w:rsid w:val="00301C3C"/>
    <w:rsid w:val="00301D45"/>
    <w:rsid w:val="00301DBF"/>
    <w:rsid w:val="003020F2"/>
    <w:rsid w:val="0030213E"/>
    <w:rsid w:val="00302297"/>
    <w:rsid w:val="003024E1"/>
    <w:rsid w:val="00302938"/>
    <w:rsid w:val="003029AC"/>
    <w:rsid w:val="00302A62"/>
    <w:rsid w:val="00302CDA"/>
    <w:rsid w:val="00302EEA"/>
    <w:rsid w:val="00302F2A"/>
    <w:rsid w:val="00303175"/>
    <w:rsid w:val="003035D6"/>
    <w:rsid w:val="0030382F"/>
    <w:rsid w:val="00303B4F"/>
    <w:rsid w:val="003040D4"/>
    <w:rsid w:val="00304193"/>
    <w:rsid w:val="00304260"/>
    <w:rsid w:val="003043EE"/>
    <w:rsid w:val="0030441A"/>
    <w:rsid w:val="0030480C"/>
    <w:rsid w:val="00305140"/>
    <w:rsid w:val="0030517C"/>
    <w:rsid w:val="0030537D"/>
    <w:rsid w:val="00305487"/>
    <w:rsid w:val="003054CE"/>
    <w:rsid w:val="003054F5"/>
    <w:rsid w:val="00305A37"/>
    <w:rsid w:val="00305E82"/>
    <w:rsid w:val="003060DA"/>
    <w:rsid w:val="003063C7"/>
    <w:rsid w:val="003063DA"/>
    <w:rsid w:val="00306407"/>
    <w:rsid w:val="003064F2"/>
    <w:rsid w:val="003069DA"/>
    <w:rsid w:val="00306D4A"/>
    <w:rsid w:val="003072D2"/>
    <w:rsid w:val="0030759C"/>
    <w:rsid w:val="003076C0"/>
    <w:rsid w:val="003076E8"/>
    <w:rsid w:val="00307785"/>
    <w:rsid w:val="00307B19"/>
    <w:rsid w:val="00307B37"/>
    <w:rsid w:val="00307CA2"/>
    <w:rsid w:val="00307FB4"/>
    <w:rsid w:val="0031003D"/>
    <w:rsid w:val="003101A0"/>
    <w:rsid w:val="00310290"/>
    <w:rsid w:val="00310349"/>
    <w:rsid w:val="00310638"/>
    <w:rsid w:val="00310902"/>
    <w:rsid w:val="00310B2D"/>
    <w:rsid w:val="00310B3E"/>
    <w:rsid w:val="00310C74"/>
    <w:rsid w:val="00310E52"/>
    <w:rsid w:val="00311142"/>
    <w:rsid w:val="00311262"/>
    <w:rsid w:val="00311282"/>
    <w:rsid w:val="00311336"/>
    <w:rsid w:val="0031149B"/>
    <w:rsid w:val="003114AB"/>
    <w:rsid w:val="00311524"/>
    <w:rsid w:val="00311657"/>
    <w:rsid w:val="00311A00"/>
    <w:rsid w:val="00311C4D"/>
    <w:rsid w:val="00311C79"/>
    <w:rsid w:val="00311FE8"/>
    <w:rsid w:val="00312209"/>
    <w:rsid w:val="0031250C"/>
    <w:rsid w:val="0031266C"/>
    <w:rsid w:val="00312B44"/>
    <w:rsid w:val="00312B6D"/>
    <w:rsid w:val="00312FAC"/>
    <w:rsid w:val="003136B4"/>
    <w:rsid w:val="0031387B"/>
    <w:rsid w:val="00313908"/>
    <w:rsid w:val="003139EE"/>
    <w:rsid w:val="00313CED"/>
    <w:rsid w:val="00313E9A"/>
    <w:rsid w:val="003149F2"/>
    <w:rsid w:val="00314AF2"/>
    <w:rsid w:val="00314BAB"/>
    <w:rsid w:val="00314D08"/>
    <w:rsid w:val="003151BD"/>
    <w:rsid w:val="003151CA"/>
    <w:rsid w:val="003155E0"/>
    <w:rsid w:val="00315671"/>
    <w:rsid w:val="00315852"/>
    <w:rsid w:val="00315935"/>
    <w:rsid w:val="00315A6E"/>
    <w:rsid w:val="00315ABA"/>
    <w:rsid w:val="00315D02"/>
    <w:rsid w:val="00315F33"/>
    <w:rsid w:val="0031601B"/>
    <w:rsid w:val="00316069"/>
    <w:rsid w:val="003162B4"/>
    <w:rsid w:val="0031643D"/>
    <w:rsid w:val="003164C6"/>
    <w:rsid w:val="003164F0"/>
    <w:rsid w:val="00316562"/>
    <w:rsid w:val="00316631"/>
    <w:rsid w:val="0031670E"/>
    <w:rsid w:val="00316BCB"/>
    <w:rsid w:val="00316CC1"/>
    <w:rsid w:val="00316FA9"/>
    <w:rsid w:val="003170A7"/>
    <w:rsid w:val="003170DD"/>
    <w:rsid w:val="00317AE3"/>
    <w:rsid w:val="00317AF8"/>
    <w:rsid w:val="00317BBB"/>
    <w:rsid w:val="00317DBA"/>
    <w:rsid w:val="00317E61"/>
    <w:rsid w:val="00317EB7"/>
    <w:rsid w:val="00320088"/>
    <w:rsid w:val="00320103"/>
    <w:rsid w:val="00320135"/>
    <w:rsid w:val="0032058E"/>
    <w:rsid w:val="0032076C"/>
    <w:rsid w:val="00320800"/>
    <w:rsid w:val="00320865"/>
    <w:rsid w:val="00321000"/>
    <w:rsid w:val="00321079"/>
    <w:rsid w:val="00321090"/>
    <w:rsid w:val="0032143A"/>
    <w:rsid w:val="0032155C"/>
    <w:rsid w:val="003216B7"/>
    <w:rsid w:val="0032171D"/>
    <w:rsid w:val="00321BE2"/>
    <w:rsid w:val="00322215"/>
    <w:rsid w:val="0032229F"/>
    <w:rsid w:val="00322490"/>
    <w:rsid w:val="00322795"/>
    <w:rsid w:val="00322921"/>
    <w:rsid w:val="00322A70"/>
    <w:rsid w:val="00322CEF"/>
    <w:rsid w:val="00322D49"/>
    <w:rsid w:val="00322D73"/>
    <w:rsid w:val="00322DFC"/>
    <w:rsid w:val="00322E8A"/>
    <w:rsid w:val="00322F25"/>
    <w:rsid w:val="003230D1"/>
    <w:rsid w:val="003232D4"/>
    <w:rsid w:val="0032331C"/>
    <w:rsid w:val="0032352C"/>
    <w:rsid w:val="00323761"/>
    <w:rsid w:val="00323A61"/>
    <w:rsid w:val="00323A6C"/>
    <w:rsid w:val="00323ABC"/>
    <w:rsid w:val="00323D1E"/>
    <w:rsid w:val="00323EDC"/>
    <w:rsid w:val="003245E8"/>
    <w:rsid w:val="00324616"/>
    <w:rsid w:val="0032467C"/>
    <w:rsid w:val="0032473F"/>
    <w:rsid w:val="00324879"/>
    <w:rsid w:val="003249C6"/>
    <w:rsid w:val="00324A3D"/>
    <w:rsid w:val="00324EF8"/>
    <w:rsid w:val="00324F2A"/>
    <w:rsid w:val="0032515B"/>
    <w:rsid w:val="00325213"/>
    <w:rsid w:val="0032533B"/>
    <w:rsid w:val="003253B1"/>
    <w:rsid w:val="00325551"/>
    <w:rsid w:val="00325701"/>
    <w:rsid w:val="0032585D"/>
    <w:rsid w:val="0032596E"/>
    <w:rsid w:val="00325DB3"/>
    <w:rsid w:val="003262C6"/>
    <w:rsid w:val="0032697D"/>
    <w:rsid w:val="00326A95"/>
    <w:rsid w:val="00326BFB"/>
    <w:rsid w:val="00326C10"/>
    <w:rsid w:val="00326C73"/>
    <w:rsid w:val="00326D8C"/>
    <w:rsid w:val="00326DC5"/>
    <w:rsid w:val="00326F42"/>
    <w:rsid w:val="003270F9"/>
    <w:rsid w:val="0032713A"/>
    <w:rsid w:val="003271F1"/>
    <w:rsid w:val="00327954"/>
    <w:rsid w:val="00327EA7"/>
    <w:rsid w:val="00330598"/>
    <w:rsid w:val="00330628"/>
    <w:rsid w:val="00330F24"/>
    <w:rsid w:val="00330F8B"/>
    <w:rsid w:val="0033105B"/>
    <w:rsid w:val="003310EE"/>
    <w:rsid w:val="00331650"/>
    <w:rsid w:val="00331655"/>
    <w:rsid w:val="00331832"/>
    <w:rsid w:val="00331930"/>
    <w:rsid w:val="003319A6"/>
    <w:rsid w:val="00331B9B"/>
    <w:rsid w:val="00331CC7"/>
    <w:rsid w:val="00331D5C"/>
    <w:rsid w:val="00331F23"/>
    <w:rsid w:val="00332121"/>
    <w:rsid w:val="0033219D"/>
    <w:rsid w:val="003323FF"/>
    <w:rsid w:val="00332554"/>
    <w:rsid w:val="0033264A"/>
    <w:rsid w:val="003328E4"/>
    <w:rsid w:val="003329C0"/>
    <w:rsid w:val="003330B5"/>
    <w:rsid w:val="003330D9"/>
    <w:rsid w:val="003330F8"/>
    <w:rsid w:val="003331E4"/>
    <w:rsid w:val="003332C7"/>
    <w:rsid w:val="003336A8"/>
    <w:rsid w:val="00333926"/>
    <w:rsid w:val="00333D3C"/>
    <w:rsid w:val="00333DF8"/>
    <w:rsid w:val="003340CA"/>
    <w:rsid w:val="00334132"/>
    <w:rsid w:val="003343B0"/>
    <w:rsid w:val="00334715"/>
    <w:rsid w:val="0033471D"/>
    <w:rsid w:val="00334777"/>
    <w:rsid w:val="00334A7C"/>
    <w:rsid w:val="00334BC6"/>
    <w:rsid w:val="00334C98"/>
    <w:rsid w:val="00334D63"/>
    <w:rsid w:val="00334E39"/>
    <w:rsid w:val="00334EEA"/>
    <w:rsid w:val="00335038"/>
    <w:rsid w:val="0033537C"/>
    <w:rsid w:val="003354C5"/>
    <w:rsid w:val="00335E52"/>
    <w:rsid w:val="00335EE2"/>
    <w:rsid w:val="0033609C"/>
    <w:rsid w:val="00336137"/>
    <w:rsid w:val="00336292"/>
    <w:rsid w:val="003365DE"/>
    <w:rsid w:val="00336C6A"/>
    <w:rsid w:val="00336F2A"/>
    <w:rsid w:val="00337388"/>
    <w:rsid w:val="0033754E"/>
    <w:rsid w:val="00337553"/>
    <w:rsid w:val="00337771"/>
    <w:rsid w:val="00337B87"/>
    <w:rsid w:val="00337BA2"/>
    <w:rsid w:val="00337D09"/>
    <w:rsid w:val="003404DA"/>
    <w:rsid w:val="00340693"/>
    <w:rsid w:val="00340916"/>
    <w:rsid w:val="00340B37"/>
    <w:rsid w:val="00340C75"/>
    <w:rsid w:val="00341B2F"/>
    <w:rsid w:val="00341BCB"/>
    <w:rsid w:val="00342027"/>
    <w:rsid w:val="003421EA"/>
    <w:rsid w:val="0034225E"/>
    <w:rsid w:val="00342609"/>
    <w:rsid w:val="00342828"/>
    <w:rsid w:val="00342883"/>
    <w:rsid w:val="00342BDA"/>
    <w:rsid w:val="00342C1D"/>
    <w:rsid w:val="00342D33"/>
    <w:rsid w:val="00342FCB"/>
    <w:rsid w:val="003433E7"/>
    <w:rsid w:val="00343839"/>
    <w:rsid w:val="00343C76"/>
    <w:rsid w:val="00343D7E"/>
    <w:rsid w:val="00343E38"/>
    <w:rsid w:val="003440AC"/>
    <w:rsid w:val="00344114"/>
    <w:rsid w:val="003443E2"/>
    <w:rsid w:val="003444A7"/>
    <w:rsid w:val="0034450B"/>
    <w:rsid w:val="003445C8"/>
    <w:rsid w:val="0034461C"/>
    <w:rsid w:val="00344660"/>
    <w:rsid w:val="003446A7"/>
    <w:rsid w:val="00344B60"/>
    <w:rsid w:val="00344C67"/>
    <w:rsid w:val="00344C8A"/>
    <w:rsid w:val="003450D5"/>
    <w:rsid w:val="003452C0"/>
    <w:rsid w:val="003455BC"/>
    <w:rsid w:val="00345966"/>
    <w:rsid w:val="00345A01"/>
    <w:rsid w:val="00345B4A"/>
    <w:rsid w:val="00345ECC"/>
    <w:rsid w:val="00346220"/>
    <w:rsid w:val="00346462"/>
    <w:rsid w:val="0034647C"/>
    <w:rsid w:val="00346647"/>
    <w:rsid w:val="00346765"/>
    <w:rsid w:val="00346C24"/>
    <w:rsid w:val="00346E8B"/>
    <w:rsid w:val="0034704A"/>
    <w:rsid w:val="0034715C"/>
    <w:rsid w:val="0034730B"/>
    <w:rsid w:val="003473B7"/>
    <w:rsid w:val="0034748E"/>
    <w:rsid w:val="00347548"/>
    <w:rsid w:val="003475A8"/>
    <w:rsid w:val="003475AB"/>
    <w:rsid w:val="0034764F"/>
    <w:rsid w:val="00347686"/>
    <w:rsid w:val="003478AC"/>
    <w:rsid w:val="00350068"/>
    <w:rsid w:val="0035013E"/>
    <w:rsid w:val="00350507"/>
    <w:rsid w:val="00350509"/>
    <w:rsid w:val="0035066A"/>
    <w:rsid w:val="003507D5"/>
    <w:rsid w:val="003507FF"/>
    <w:rsid w:val="00350873"/>
    <w:rsid w:val="003508B2"/>
    <w:rsid w:val="0035096A"/>
    <w:rsid w:val="003509B2"/>
    <w:rsid w:val="00350A5B"/>
    <w:rsid w:val="00350B4B"/>
    <w:rsid w:val="00350BF0"/>
    <w:rsid w:val="00351227"/>
    <w:rsid w:val="0035126B"/>
    <w:rsid w:val="003512C8"/>
    <w:rsid w:val="0035152C"/>
    <w:rsid w:val="0035167C"/>
    <w:rsid w:val="003516DC"/>
    <w:rsid w:val="00351724"/>
    <w:rsid w:val="0035192B"/>
    <w:rsid w:val="0035198A"/>
    <w:rsid w:val="00352096"/>
    <w:rsid w:val="003521B8"/>
    <w:rsid w:val="00352271"/>
    <w:rsid w:val="00352458"/>
    <w:rsid w:val="003526A2"/>
    <w:rsid w:val="00352E29"/>
    <w:rsid w:val="00352FD8"/>
    <w:rsid w:val="00352FDE"/>
    <w:rsid w:val="00353644"/>
    <w:rsid w:val="003539EF"/>
    <w:rsid w:val="00353BAC"/>
    <w:rsid w:val="00353CEC"/>
    <w:rsid w:val="00353D17"/>
    <w:rsid w:val="0035444B"/>
    <w:rsid w:val="003545D3"/>
    <w:rsid w:val="003546D2"/>
    <w:rsid w:val="0035486D"/>
    <w:rsid w:val="003549C4"/>
    <w:rsid w:val="00354AD9"/>
    <w:rsid w:val="00354B7E"/>
    <w:rsid w:val="00354C37"/>
    <w:rsid w:val="00354C74"/>
    <w:rsid w:val="0035531B"/>
    <w:rsid w:val="00355578"/>
    <w:rsid w:val="0035560B"/>
    <w:rsid w:val="00355809"/>
    <w:rsid w:val="00355F2D"/>
    <w:rsid w:val="00356026"/>
    <w:rsid w:val="00356255"/>
    <w:rsid w:val="00356587"/>
    <w:rsid w:val="0035692F"/>
    <w:rsid w:val="0035696D"/>
    <w:rsid w:val="00356C4A"/>
    <w:rsid w:val="00356C5F"/>
    <w:rsid w:val="00356D5F"/>
    <w:rsid w:val="00356D70"/>
    <w:rsid w:val="00356EB9"/>
    <w:rsid w:val="003572A4"/>
    <w:rsid w:val="00357851"/>
    <w:rsid w:val="00357A40"/>
    <w:rsid w:val="00357B6C"/>
    <w:rsid w:val="00357B8A"/>
    <w:rsid w:val="00357E61"/>
    <w:rsid w:val="00357FC5"/>
    <w:rsid w:val="00357FF9"/>
    <w:rsid w:val="00360144"/>
    <w:rsid w:val="00360213"/>
    <w:rsid w:val="00360420"/>
    <w:rsid w:val="00360484"/>
    <w:rsid w:val="003607D8"/>
    <w:rsid w:val="00360875"/>
    <w:rsid w:val="00360A56"/>
    <w:rsid w:val="00360A8B"/>
    <w:rsid w:val="003611B7"/>
    <w:rsid w:val="003611D3"/>
    <w:rsid w:val="00361465"/>
    <w:rsid w:val="0036149F"/>
    <w:rsid w:val="00361548"/>
    <w:rsid w:val="0036166B"/>
    <w:rsid w:val="00361747"/>
    <w:rsid w:val="00361795"/>
    <w:rsid w:val="003617DF"/>
    <w:rsid w:val="00361870"/>
    <w:rsid w:val="00361889"/>
    <w:rsid w:val="003618B7"/>
    <w:rsid w:val="003619B7"/>
    <w:rsid w:val="00361D74"/>
    <w:rsid w:val="00361E33"/>
    <w:rsid w:val="00361F1C"/>
    <w:rsid w:val="00362109"/>
    <w:rsid w:val="003622D4"/>
    <w:rsid w:val="00362342"/>
    <w:rsid w:val="00362437"/>
    <w:rsid w:val="0036256E"/>
    <w:rsid w:val="0036284D"/>
    <w:rsid w:val="00362A77"/>
    <w:rsid w:val="00362A82"/>
    <w:rsid w:val="00362CCD"/>
    <w:rsid w:val="00362DC4"/>
    <w:rsid w:val="00363037"/>
    <w:rsid w:val="00363067"/>
    <w:rsid w:val="00363073"/>
    <w:rsid w:val="00363573"/>
    <w:rsid w:val="003635A0"/>
    <w:rsid w:val="00363866"/>
    <w:rsid w:val="003639E1"/>
    <w:rsid w:val="00363E14"/>
    <w:rsid w:val="00363F02"/>
    <w:rsid w:val="00363FED"/>
    <w:rsid w:val="0036415C"/>
    <w:rsid w:val="00364311"/>
    <w:rsid w:val="0036458D"/>
    <w:rsid w:val="003648AD"/>
    <w:rsid w:val="00364B22"/>
    <w:rsid w:val="00364D8D"/>
    <w:rsid w:val="00364DF2"/>
    <w:rsid w:val="00365047"/>
    <w:rsid w:val="0036517F"/>
    <w:rsid w:val="003652D7"/>
    <w:rsid w:val="003656F7"/>
    <w:rsid w:val="003657B5"/>
    <w:rsid w:val="00365CEA"/>
    <w:rsid w:val="00365F69"/>
    <w:rsid w:val="00365FE4"/>
    <w:rsid w:val="003660DA"/>
    <w:rsid w:val="003662BA"/>
    <w:rsid w:val="00366603"/>
    <w:rsid w:val="0036699A"/>
    <w:rsid w:val="00366BBA"/>
    <w:rsid w:val="00366BFD"/>
    <w:rsid w:val="00366CBA"/>
    <w:rsid w:val="00366CD7"/>
    <w:rsid w:val="00366D60"/>
    <w:rsid w:val="00367025"/>
    <w:rsid w:val="0036722D"/>
    <w:rsid w:val="00367424"/>
    <w:rsid w:val="0036750A"/>
    <w:rsid w:val="003677DB"/>
    <w:rsid w:val="00367918"/>
    <w:rsid w:val="0036795A"/>
    <w:rsid w:val="003679C3"/>
    <w:rsid w:val="003679E1"/>
    <w:rsid w:val="00367A4A"/>
    <w:rsid w:val="00367B33"/>
    <w:rsid w:val="00367BF2"/>
    <w:rsid w:val="00367D1C"/>
    <w:rsid w:val="00367DCC"/>
    <w:rsid w:val="00367DE9"/>
    <w:rsid w:val="00367FF1"/>
    <w:rsid w:val="0037008B"/>
    <w:rsid w:val="0037020E"/>
    <w:rsid w:val="003703B3"/>
    <w:rsid w:val="003705D6"/>
    <w:rsid w:val="003706B0"/>
    <w:rsid w:val="003707C4"/>
    <w:rsid w:val="00370899"/>
    <w:rsid w:val="00370B0C"/>
    <w:rsid w:val="00370D23"/>
    <w:rsid w:val="00370D3B"/>
    <w:rsid w:val="003710CC"/>
    <w:rsid w:val="0037122A"/>
    <w:rsid w:val="003713E6"/>
    <w:rsid w:val="00371560"/>
    <w:rsid w:val="0037166D"/>
    <w:rsid w:val="00371877"/>
    <w:rsid w:val="003719A0"/>
    <w:rsid w:val="00371AC7"/>
    <w:rsid w:val="00371AFC"/>
    <w:rsid w:val="00371B6F"/>
    <w:rsid w:val="00371C60"/>
    <w:rsid w:val="00371F3E"/>
    <w:rsid w:val="0037224B"/>
    <w:rsid w:val="0037239F"/>
    <w:rsid w:val="003724A9"/>
    <w:rsid w:val="003725D2"/>
    <w:rsid w:val="003726B6"/>
    <w:rsid w:val="00372B7E"/>
    <w:rsid w:val="00372B88"/>
    <w:rsid w:val="00373255"/>
    <w:rsid w:val="00373267"/>
    <w:rsid w:val="0037336D"/>
    <w:rsid w:val="003734E7"/>
    <w:rsid w:val="003736B8"/>
    <w:rsid w:val="00373826"/>
    <w:rsid w:val="003738EF"/>
    <w:rsid w:val="003739E4"/>
    <w:rsid w:val="003739F9"/>
    <w:rsid w:val="00373ABF"/>
    <w:rsid w:val="00373C03"/>
    <w:rsid w:val="00373E19"/>
    <w:rsid w:val="00373F56"/>
    <w:rsid w:val="0037404C"/>
    <w:rsid w:val="00374178"/>
    <w:rsid w:val="003741D7"/>
    <w:rsid w:val="0037426A"/>
    <w:rsid w:val="00374324"/>
    <w:rsid w:val="003745AA"/>
    <w:rsid w:val="00374776"/>
    <w:rsid w:val="00374D55"/>
    <w:rsid w:val="00374E2F"/>
    <w:rsid w:val="00374E7F"/>
    <w:rsid w:val="00374E98"/>
    <w:rsid w:val="0037504A"/>
    <w:rsid w:val="00375147"/>
    <w:rsid w:val="003751AE"/>
    <w:rsid w:val="003755E9"/>
    <w:rsid w:val="003756E1"/>
    <w:rsid w:val="00375792"/>
    <w:rsid w:val="00375797"/>
    <w:rsid w:val="003757C6"/>
    <w:rsid w:val="003757CC"/>
    <w:rsid w:val="003758DF"/>
    <w:rsid w:val="003759FF"/>
    <w:rsid w:val="00375A10"/>
    <w:rsid w:val="00375D7E"/>
    <w:rsid w:val="00376114"/>
    <w:rsid w:val="003765C9"/>
    <w:rsid w:val="00376958"/>
    <w:rsid w:val="00376CA4"/>
    <w:rsid w:val="00376CB8"/>
    <w:rsid w:val="00376EC4"/>
    <w:rsid w:val="00376F05"/>
    <w:rsid w:val="0037717E"/>
    <w:rsid w:val="003771A3"/>
    <w:rsid w:val="003772EB"/>
    <w:rsid w:val="003776C8"/>
    <w:rsid w:val="003779DE"/>
    <w:rsid w:val="00377B51"/>
    <w:rsid w:val="00377B6A"/>
    <w:rsid w:val="00377D44"/>
    <w:rsid w:val="003800FD"/>
    <w:rsid w:val="00380151"/>
    <w:rsid w:val="003804C1"/>
    <w:rsid w:val="0038057B"/>
    <w:rsid w:val="00380619"/>
    <w:rsid w:val="00380678"/>
    <w:rsid w:val="003806A7"/>
    <w:rsid w:val="003807BD"/>
    <w:rsid w:val="003808C5"/>
    <w:rsid w:val="00380C9F"/>
    <w:rsid w:val="00380DAD"/>
    <w:rsid w:val="003813E6"/>
    <w:rsid w:val="003817AD"/>
    <w:rsid w:val="003817B6"/>
    <w:rsid w:val="00381A50"/>
    <w:rsid w:val="00381C60"/>
    <w:rsid w:val="00381C94"/>
    <w:rsid w:val="003829B8"/>
    <w:rsid w:val="003829F1"/>
    <w:rsid w:val="00382A52"/>
    <w:rsid w:val="00382B50"/>
    <w:rsid w:val="00382B9A"/>
    <w:rsid w:val="00382BD9"/>
    <w:rsid w:val="00382C06"/>
    <w:rsid w:val="00382C54"/>
    <w:rsid w:val="00382C61"/>
    <w:rsid w:val="00382E2E"/>
    <w:rsid w:val="00383053"/>
    <w:rsid w:val="00383163"/>
    <w:rsid w:val="003831D3"/>
    <w:rsid w:val="003831EC"/>
    <w:rsid w:val="003832C4"/>
    <w:rsid w:val="0038330D"/>
    <w:rsid w:val="00383400"/>
    <w:rsid w:val="00383582"/>
    <w:rsid w:val="0038375C"/>
    <w:rsid w:val="00383862"/>
    <w:rsid w:val="00383946"/>
    <w:rsid w:val="00383967"/>
    <w:rsid w:val="00383A12"/>
    <w:rsid w:val="00383E72"/>
    <w:rsid w:val="003840F2"/>
    <w:rsid w:val="003842CA"/>
    <w:rsid w:val="00384666"/>
    <w:rsid w:val="003846B6"/>
    <w:rsid w:val="00384795"/>
    <w:rsid w:val="003848DC"/>
    <w:rsid w:val="00384A64"/>
    <w:rsid w:val="00384A85"/>
    <w:rsid w:val="00384B82"/>
    <w:rsid w:val="00384C11"/>
    <w:rsid w:val="00384C6E"/>
    <w:rsid w:val="00385008"/>
    <w:rsid w:val="00385691"/>
    <w:rsid w:val="003856F7"/>
    <w:rsid w:val="00385726"/>
    <w:rsid w:val="003857AB"/>
    <w:rsid w:val="00385846"/>
    <w:rsid w:val="00385D60"/>
    <w:rsid w:val="00385D87"/>
    <w:rsid w:val="00385F3E"/>
    <w:rsid w:val="00385F63"/>
    <w:rsid w:val="00386441"/>
    <w:rsid w:val="0038662E"/>
    <w:rsid w:val="0038667B"/>
    <w:rsid w:val="00386ACE"/>
    <w:rsid w:val="00386C71"/>
    <w:rsid w:val="00386EEA"/>
    <w:rsid w:val="00386FFD"/>
    <w:rsid w:val="0038707B"/>
    <w:rsid w:val="0038732D"/>
    <w:rsid w:val="0038733B"/>
    <w:rsid w:val="00387620"/>
    <w:rsid w:val="003876D9"/>
    <w:rsid w:val="00387715"/>
    <w:rsid w:val="003878BE"/>
    <w:rsid w:val="00387CA0"/>
    <w:rsid w:val="00387EB8"/>
    <w:rsid w:val="003901AB"/>
    <w:rsid w:val="003902E2"/>
    <w:rsid w:val="00390484"/>
    <w:rsid w:val="003905C3"/>
    <w:rsid w:val="00390744"/>
    <w:rsid w:val="00390B76"/>
    <w:rsid w:val="00390C73"/>
    <w:rsid w:val="00391221"/>
    <w:rsid w:val="003915CD"/>
    <w:rsid w:val="00391BA0"/>
    <w:rsid w:val="00391CBB"/>
    <w:rsid w:val="00391F6F"/>
    <w:rsid w:val="00392189"/>
    <w:rsid w:val="003929C4"/>
    <w:rsid w:val="00392B6E"/>
    <w:rsid w:val="00392BCB"/>
    <w:rsid w:val="00392C72"/>
    <w:rsid w:val="00392E39"/>
    <w:rsid w:val="00393207"/>
    <w:rsid w:val="0039321A"/>
    <w:rsid w:val="00393331"/>
    <w:rsid w:val="0039338F"/>
    <w:rsid w:val="003933D2"/>
    <w:rsid w:val="003937A4"/>
    <w:rsid w:val="003937F4"/>
    <w:rsid w:val="00393B8C"/>
    <w:rsid w:val="00393E94"/>
    <w:rsid w:val="00393E99"/>
    <w:rsid w:val="00394092"/>
    <w:rsid w:val="003941A7"/>
    <w:rsid w:val="003941F6"/>
    <w:rsid w:val="003946FF"/>
    <w:rsid w:val="0039494F"/>
    <w:rsid w:val="00394A8A"/>
    <w:rsid w:val="00394B04"/>
    <w:rsid w:val="00394C36"/>
    <w:rsid w:val="00394E67"/>
    <w:rsid w:val="00394F48"/>
    <w:rsid w:val="0039516A"/>
    <w:rsid w:val="0039563A"/>
    <w:rsid w:val="00395961"/>
    <w:rsid w:val="003959C0"/>
    <w:rsid w:val="00395BA2"/>
    <w:rsid w:val="00395C43"/>
    <w:rsid w:val="00395F54"/>
    <w:rsid w:val="0039606B"/>
    <w:rsid w:val="00396357"/>
    <w:rsid w:val="003963B7"/>
    <w:rsid w:val="0039646C"/>
    <w:rsid w:val="003964BF"/>
    <w:rsid w:val="0039676D"/>
    <w:rsid w:val="00396832"/>
    <w:rsid w:val="00396AEC"/>
    <w:rsid w:val="00396E8B"/>
    <w:rsid w:val="00397051"/>
    <w:rsid w:val="00397445"/>
    <w:rsid w:val="00397446"/>
    <w:rsid w:val="00397591"/>
    <w:rsid w:val="00397787"/>
    <w:rsid w:val="00397892"/>
    <w:rsid w:val="00397BBB"/>
    <w:rsid w:val="00397BC8"/>
    <w:rsid w:val="003A0026"/>
    <w:rsid w:val="003A04C3"/>
    <w:rsid w:val="003A060B"/>
    <w:rsid w:val="003A0792"/>
    <w:rsid w:val="003A0E97"/>
    <w:rsid w:val="003A14EC"/>
    <w:rsid w:val="003A17D7"/>
    <w:rsid w:val="003A18FF"/>
    <w:rsid w:val="003A1B02"/>
    <w:rsid w:val="003A1E02"/>
    <w:rsid w:val="003A2049"/>
    <w:rsid w:val="003A244A"/>
    <w:rsid w:val="003A24B6"/>
    <w:rsid w:val="003A2588"/>
    <w:rsid w:val="003A29B3"/>
    <w:rsid w:val="003A2A68"/>
    <w:rsid w:val="003A2AD2"/>
    <w:rsid w:val="003A2AD5"/>
    <w:rsid w:val="003A2B1C"/>
    <w:rsid w:val="003A2CC5"/>
    <w:rsid w:val="003A2CED"/>
    <w:rsid w:val="003A2E86"/>
    <w:rsid w:val="003A2EC0"/>
    <w:rsid w:val="003A2EE3"/>
    <w:rsid w:val="003A2FDA"/>
    <w:rsid w:val="003A3022"/>
    <w:rsid w:val="003A317C"/>
    <w:rsid w:val="003A37CC"/>
    <w:rsid w:val="003A3948"/>
    <w:rsid w:val="003A3CEE"/>
    <w:rsid w:val="003A3EDC"/>
    <w:rsid w:val="003A40BA"/>
    <w:rsid w:val="003A41B7"/>
    <w:rsid w:val="003A4293"/>
    <w:rsid w:val="003A434F"/>
    <w:rsid w:val="003A43B5"/>
    <w:rsid w:val="003A465C"/>
    <w:rsid w:val="003A47FC"/>
    <w:rsid w:val="003A498E"/>
    <w:rsid w:val="003A4ADA"/>
    <w:rsid w:val="003A4B30"/>
    <w:rsid w:val="003A4B99"/>
    <w:rsid w:val="003A4C61"/>
    <w:rsid w:val="003A4F6C"/>
    <w:rsid w:val="003A4FF3"/>
    <w:rsid w:val="003A5007"/>
    <w:rsid w:val="003A5182"/>
    <w:rsid w:val="003A5232"/>
    <w:rsid w:val="003A5557"/>
    <w:rsid w:val="003A56FC"/>
    <w:rsid w:val="003A58E8"/>
    <w:rsid w:val="003A59C0"/>
    <w:rsid w:val="003A5B2B"/>
    <w:rsid w:val="003A5C45"/>
    <w:rsid w:val="003A5E3E"/>
    <w:rsid w:val="003A5F85"/>
    <w:rsid w:val="003A5F97"/>
    <w:rsid w:val="003A63C3"/>
    <w:rsid w:val="003A65FA"/>
    <w:rsid w:val="003A668C"/>
    <w:rsid w:val="003A677F"/>
    <w:rsid w:val="003A686B"/>
    <w:rsid w:val="003A6874"/>
    <w:rsid w:val="003A6AE4"/>
    <w:rsid w:val="003A6AE6"/>
    <w:rsid w:val="003A6CF4"/>
    <w:rsid w:val="003A6FD6"/>
    <w:rsid w:val="003A6FFE"/>
    <w:rsid w:val="003A734A"/>
    <w:rsid w:val="003A73C7"/>
    <w:rsid w:val="003A74A2"/>
    <w:rsid w:val="003A74D2"/>
    <w:rsid w:val="003A7618"/>
    <w:rsid w:val="003A77AD"/>
    <w:rsid w:val="003A78EC"/>
    <w:rsid w:val="003A7957"/>
    <w:rsid w:val="003A7AD0"/>
    <w:rsid w:val="003B011A"/>
    <w:rsid w:val="003B036C"/>
    <w:rsid w:val="003B06EF"/>
    <w:rsid w:val="003B08F6"/>
    <w:rsid w:val="003B0A3B"/>
    <w:rsid w:val="003B0C0D"/>
    <w:rsid w:val="003B0D4F"/>
    <w:rsid w:val="003B151E"/>
    <w:rsid w:val="003B15A9"/>
    <w:rsid w:val="003B19CA"/>
    <w:rsid w:val="003B1C41"/>
    <w:rsid w:val="003B1FC6"/>
    <w:rsid w:val="003B2020"/>
    <w:rsid w:val="003B202B"/>
    <w:rsid w:val="003B2222"/>
    <w:rsid w:val="003B2382"/>
    <w:rsid w:val="003B24F1"/>
    <w:rsid w:val="003B253F"/>
    <w:rsid w:val="003B25CE"/>
    <w:rsid w:val="003B2A67"/>
    <w:rsid w:val="003B2D22"/>
    <w:rsid w:val="003B2D6A"/>
    <w:rsid w:val="003B2D80"/>
    <w:rsid w:val="003B2E3B"/>
    <w:rsid w:val="003B3120"/>
    <w:rsid w:val="003B3394"/>
    <w:rsid w:val="003B3413"/>
    <w:rsid w:val="003B3854"/>
    <w:rsid w:val="003B388D"/>
    <w:rsid w:val="003B395A"/>
    <w:rsid w:val="003B398C"/>
    <w:rsid w:val="003B3A44"/>
    <w:rsid w:val="003B3B23"/>
    <w:rsid w:val="003B3CB1"/>
    <w:rsid w:val="003B3CF7"/>
    <w:rsid w:val="003B3CFA"/>
    <w:rsid w:val="003B3E78"/>
    <w:rsid w:val="003B4052"/>
    <w:rsid w:val="003B41D6"/>
    <w:rsid w:val="003B4412"/>
    <w:rsid w:val="003B4491"/>
    <w:rsid w:val="003B4598"/>
    <w:rsid w:val="003B4741"/>
    <w:rsid w:val="003B4D07"/>
    <w:rsid w:val="003B4DB6"/>
    <w:rsid w:val="003B515C"/>
    <w:rsid w:val="003B5211"/>
    <w:rsid w:val="003B54FA"/>
    <w:rsid w:val="003B552C"/>
    <w:rsid w:val="003B5640"/>
    <w:rsid w:val="003B58B4"/>
    <w:rsid w:val="003B5C13"/>
    <w:rsid w:val="003B5C26"/>
    <w:rsid w:val="003B5C58"/>
    <w:rsid w:val="003B5D74"/>
    <w:rsid w:val="003B5DBA"/>
    <w:rsid w:val="003B5E13"/>
    <w:rsid w:val="003B5EF8"/>
    <w:rsid w:val="003B5F26"/>
    <w:rsid w:val="003B6170"/>
    <w:rsid w:val="003B6201"/>
    <w:rsid w:val="003B63E0"/>
    <w:rsid w:val="003B6441"/>
    <w:rsid w:val="003B659E"/>
    <w:rsid w:val="003B6701"/>
    <w:rsid w:val="003B67D4"/>
    <w:rsid w:val="003B6BB1"/>
    <w:rsid w:val="003B6C20"/>
    <w:rsid w:val="003B6C53"/>
    <w:rsid w:val="003B6D86"/>
    <w:rsid w:val="003B6E81"/>
    <w:rsid w:val="003B7084"/>
    <w:rsid w:val="003B7113"/>
    <w:rsid w:val="003B7258"/>
    <w:rsid w:val="003B76F5"/>
    <w:rsid w:val="003B7782"/>
    <w:rsid w:val="003B77DB"/>
    <w:rsid w:val="003B7B52"/>
    <w:rsid w:val="003B7EA6"/>
    <w:rsid w:val="003B7F1A"/>
    <w:rsid w:val="003C02D4"/>
    <w:rsid w:val="003C0488"/>
    <w:rsid w:val="003C04AC"/>
    <w:rsid w:val="003C0709"/>
    <w:rsid w:val="003C07BB"/>
    <w:rsid w:val="003C0D6E"/>
    <w:rsid w:val="003C137E"/>
    <w:rsid w:val="003C139A"/>
    <w:rsid w:val="003C1413"/>
    <w:rsid w:val="003C14B5"/>
    <w:rsid w:val="003C1644"/>
    <w:rsid w:val="003C166D"/>
    <w:rsid w:val="003C16C4"/>
    <w:rsid w:val="003C186A"/>
    <w:rsid w:val="003C18A3"/>
    <w:rsid w:val="003C1E5B"/>
    <w:rsid w:val="003C227A"/>
    <w:rsid w:val="003C25C8"/>
    <w:rsid w:val="003C2629"/>
    <w:rsid w:val="003C2689"/>
    <w:rsid w:val="003C2837"/>
    <w:rsid w:val="003C2BFB"/>
    <w:rsid w:val="003C2EAE"/>
    <w:rsid w:val="003C33C2"/>
    <w:rsid w:val="003C3406"/>
    <w:rsid w:val="003C3441"/>
    <w:rsid w:val="003C38F2"/>
    <w:rsid w:val="003C3C26"/>
    <w:rsid w:val="003C3F10"/>
    <w:rsid w:val="003C3FF7"/>
    <w:rsid w:val="003C4034"/>
    <w:rsid w:val="003C4066"/>
    <w:rsid w:val="003C450D"/>
    <w:rsid w:val="003C4777"/>
    <w:rsid w:val="003C4E0D"/>
    <w:rsid w:val="003C4E8F"/>
    <w:rsid w:val="003C5118"/>
    <w:rsid w:val="003C57EF"/>
    <w:rsid w:val="003C590B"/>
    <w:rsid w:val="003C5A52"/>
    <w:rsid w:val="003C5AE3"/>
    <w:rsid w:val="003C5DBA"/>
    <w:rsid w:val="003C60B4"/>
    <w:rsid w:val="003C63A8"/>
    <w:rsid w:val="003C63C7"/>
    <w:rsid w:val="003C63FC"/>
    <w:rsid w:val="003C64EA"/>
    <w:rsid w:val="003C65A3"/>
    <w:rsid w:val="003C68A2"/>
    <w:rsid w:val="003C6937"/>
    <w:rsid w:val="003C6C9C"/>
    <w:rsid w:val="003C6D11"/>
    <w:rsid w:val="003C6DF6"/>
    <w:rsid w:val="003C6EE1"/>
    <w:rsid w:val="003C7002"/>
    <w:rsid w:val="003C700A"/>
    <w:rsid w:val="003C7072"/>
    <w:rsid w:val="003C737C"/>
    <w:rsid w:val="003C77D6"/>
    <w:rsid w:val="003C7ADA"/>
    <w:rsid w:val="003C7BF5"/>
    <w:rsid w:val="003C7D1A"/>
    <w:rsid w:val="003C7F65"/>
    <w:rsid w:val="003D0168"/>
    <w:rsid w:val="003D01D6"/>
    <w:rsid w:val="003D0279"/>
    <w:rsid w:val="003D041D"/>
    <w:rsid w:val="003D043A"/>
    <w:rsid w:val="003D04B1"/>
    <w:rsid w:val="003D0830"/>
    <w:rsid w:val="003D0A80"/>
    <w:rsid w:val="003D0ECD"/>
    <w:rsid w:val="003D10F5"/>
    <w:rsid w:val="003D17BF"/>
    <w:rsid w:val="003D1A46"/>
    <w:rsid w:val="003D1AD6"/>
    <w:rsid w:val="003D1ADE"/>
    <w:rsid w:val="003D220E"/>
    <w:rsid w:val="003D239B"/>
    <w:rsid w:val="003D2860"/>
    <w:rsid w:val="003D3446"/>
    <w:rsid w:val="003D3635"/>
    <w:rsid w:val="003D365D"/>
    <w:rsid w:val="003D3705"/>
    <w:rsid w:val="003D37EF"/>
    <w:rsid w:val="003D3A12"/>
    <w:rsid w:val="003D3B6B"/>
    <w:rsid w:val="003D3C8D"/>
    <w:rsid w:val="003D3DFB"/>
    <w:rsid w:val="003D4053"/>
    <w:rsid w:val="003D4930"/>
    <w:rsid w:val="003D4B2C"/>
    <w:rsid w:val="003D4D54"/>
    <w:rsid w:val="003D4E24"/>
    <w:rsid w:val="003D4F72"/>
    <w:rsid w:val="003D502C"/>
    <w:rsid w:val="003D51F5"/>
    <w:rsid w:val="003D537B"/>
    <w:rsid w:val="003D542E"/>
    <w:rsid w:val="003D54A3"/>
    <w:rsid w:val="003D572F"/>
    <w:rsid w:val="003D5AD5"/>
    <w:rsid w:val="003D5DD3"/>
    <w:rsid w:val="003D5EAA"/>
    <w:rsid w:val="003D5EAD"/>
    <w:rsid w:val="003D5F6C"/>
    <w:rsid w:val="003D62FA"/>
    <w:rsid w:val="003D6593"/>
    <w:rsid w:val="003D6681"/>
    <w:rsid w:val="003D66AF"/>
    <w:rsid w:val="003D671F"/>
    <w:rsid w:val="003D67F2"/>
    <w:rsid w:val="003D6804"/>
    <w:rsid w:val="003D6860"/>
    <w:rsid w:val="003D6BC2"/>
    <w:rsid w:val="003D6C3F"/>
    <w:rsid w:val="003D6F0A"/>
    <w:rsid w:val="003D740D"/>
    <w:rsid w:val="003D7849"/>
    <w:rsid w:val="003D7899"/>
    <w:rsid w:val="003D792A"/>
    <w:rsid w:val="003D79FA"/>
    <w:rsid w:val="003D7A84"/>
    <w:rsid w:val="003D7FB2"/>
    <w:rsid w:val="003E0166"/>
    <w:rsid w:val="003E026E"/>
    <w:rsid w:val="003E076C"/>
    <w:rsid w:val="003E083E"/>
    <w:rsid w:val="003E0866"/>
    <w:rsid w:val="003E0913"/>
    <w:rsid w:val="003E0B2A"/>
    <w:rsid w:val="003E0B6F"/>
    <w:rsid w:val="003E0C7A"/>
    <w:rsid w:val="003E0D0F"/>
    <w:rsid w:val="003E0D5C"/>
    <w:rsid w:val="003E10CD"/>
    <w:rsid w:val="003E10D4"/>
    <w:rsid w:val="003E156C"/>
    <w:rsid w:val="003E1784"/>
    <w:rsid w:val="003E17B8"/>
    <w:rsid w:val="003E17CD"/>
    <w:rsid w:val="003E17DA"/>
    <w:rsid w:val="003E18C1"/>
    <w:rsid w:val="003E1964"/>
    <w:rsid w:val="003E1A3C"/>
    <w:rsid w:val="003E1DA1"/>
    <w:rsid w:val="003E1E1B"/>
    <w:rsid w:val="003E2096"/>
    <w:rsid w:val="003E21D5"/>
    <w:rsid w:val="003E21E3"/>
    <w:rsid w:val="003E263D"/>
    <w:rsid w:val="003E26B2"/>
    <w:rsid w:val="003E2828"/>
    <w:rsid w:val="003E2A5C"/>
    <w:rsid w:val="003E2CE1"/>
    <w:rsid w:val="003E2E49"/>
    <w:rsid w:val="003E2EC6"/>
    <w:rsid w:val="003E2F3B"/>
    <w:rsid w:val="003E308C"/>
    <w:rsid w:val="003E32D5"/>
    <w:rsid w:val="003E35E3"/>
    <w:rsid w:val="003E3663"/>
    <w:rsid w:val="003E3800"/>
    <w:rsid w:val="003E398C"/>
    <w:rsid w:val="003E39E2"/>
    <w:rsid w:val="003E3A92"/>
    <w:rsid w:val="003E3B0A"/>
    <w:rsid w:val="003E40B5"/>
    <w:rsid w:val="003E4243"/>
    <w:rsid w:val="003E4587"/>
    <w:rsid w:val="003E478C"/>
    <w:rsid w:val="003E47BD"/>
    <w:rsid w:val="003E485B"/>
    <w:rsid w:val="003E4926"/>
    <w:rsid w:val="003E4AB7"/>
    <w:rsid w:val="003E4AF9"/>
    <w:rsid w:val="003E4E0C"/>
    <w:rsid w:val="003E4E50"/>
    <w:rsid w:val="003E5161"/>
    <w:rsid w:val="003E5254"/>
    <w:rsid w:val="003E5572"/>
    <w:rsid w:val="003E55F6"/>
    <w:rsid w:val="003E5602"/>
    <w:rsid w:val="003E564A"/>
    <w:rsid w:val="003E59FD"/>
    <w:rsid w:val="003E5AEB"/>
    <w:rsid w:val="003E5BF5"/>
    <w:rsid w:val="003E6151"/>
    <w:rsid w:val="003E6304"/>
    <w:rsid w:val="003E6370"/>
    <w:rsid w:val="003E6460"/>
    <w:rsid w:val="003E6711"/>
    <w:rsid w:val="003E678F"/>
    <w:rsid w:val="003E6971"/>
    <w:rsid w:val="003E6BE0"/>
    <w:rsid w:val="003E6EDC"/>
    <w:rsid w:val="003E7105"/>
    <w:rsid w:val="003E72C9"/>
    <w:rsid w:val="003E73D3"/>
    <w:rsid w:val="003E75B1"/>
    <w:rsid w:val="003E7A62"/>
    <w:rsid w:val="003E7AA3"/>
    <w:rsid w:val="003E7CCB"/>
    <w:rsid w:val="003E7E71"/>
    <w:rsid w:val="003E7EBB"/>
    <w:rsid w:val="003E7F36"/>
    <w:rsid w:val="003F0009"/>
    <w:rsid w:val="003F013D"/>
    <w:rsid w:val="003F014A"/>
    <w:rsid w:val="003F0151"/>
    <w:rsid w:val="003F01FD"/>
    <w:rsid w:val="003F0372"/>
    <w:rsid w:val="003F049C"/>
    <w:rsid w:val="003F078D"/>
    <w:rsid w:val="003F098B"/>
    <w:rsid w:val="003F0A39"/>
    <w:rsid w:val="003F0BCD"/>
    <w:rsid w:val="003F0E6C"/>
    <w:rsid w:val="003F1077"/>
    <w:rsid w:val="003F1683"/>
    <w:rsid w:val="003F1877"/>
    <w:rsid w:val="003F189C"/>
    <w:rsid w:val="003F1AAB"/>
    <w:rsid w:val="003F1AD5"/>
    <w:rsid w:val="003F1AF3"/>
    <w:rsid w:val="003F1BC5"/>
    <w:rsid w:val="003F1C63"/>
    <w:rsid w:val="003F1E74"/>
    <w:rsid w:val="003F1EA7"/>
    <w:rsid w:val="003F1EC8"/>
    <w:rsid w:val="003F1F75"/>
    <w:rsid w:val="003F21AF"/>
    <w:rsid w:val="003F2303"/>
    <w:rsid w:val="003F25A3"/>
    <w:rsid w:val="003F27A2"/>
    <w:rsid w:val="003F296D"/>
    <w:rsid w:val="003F29D9"/>
    <w:rsid w:val="003F2A64"/>
    <w:rsid w:val="003F2A78"/>
    <w:rsid w:val="003F2B1B"/>
    <w:rsid w:val="003F2CF9"/>
    <w:rsid w:val="003F2D1B"/>
    <w:rsid w:val="003F2E19"/>
    <w:rsid w:val="003F2E6F"/>
    <w:rsid w:val="003F2EF8"/>
    <w:rsid w:val="003F308B"/>
    <w:rsid w:val="003F32C4"/>
    <w:rsid w:val="003F3361"/>
    <w:rsid w:val="003F3387"/>
    <w:rsid w:val="003F33E3"/>
    <w:rsid w:val="003F3583"/>
    <w:rsid w:val="003F35EC"/>
    <w:rsid w:val="003F3771"/>
    <w:rsid w:val="003F38AA"/>
    <w:rsid w:val="003F3B3F"/>
    <w:rsid w:val="003F3BBD"/>
    <w:rsid w:val="003F3C1B"/>
    <w:rsid w:val="003F3C88"/>
    <w:rsid w:val="003F3F41"/>
    <w:rsid w:val="003F3F84"/>
    <w:rsid w:val="003F3F9B"/>
    <w:rsid w:val="003F3FB3"/>
    <w:rsid w:val="003F42B5"/>
    <w:rsid w:val="003F433C"/>
    <w:rsid w:val="003F47B1"/>
    <w:rsid w:val="003F4857"/>
    <w:rsid w:val="003F49DB"/>
    <w:rsid w:val="003F49F1"/>
    <w:rsid w:val="003F4A5D"/>
    <w:rsid w:val="003F4ACA"/>
    <w:rsid w:val="003F4B49"/>
    <w:rsid w:val="003F50E1"/>
    <w:rsid w:val="003F522E"/>
    <w:rsid w:val="003F5284"/>
    <w:rsid w:val="003F537D"/>
    <w:rsid w:val="003F553C"/>
    <w:rsid w:val="003F5A77"/>
    <w:rsid w:val="003F5F25"/>
    <w:rsid w:val="003F5F2C"/>
    <w:rsid w:val="003F5FF7"/>
    <w:rsid w:val="003F65B7"/>
    <w:rsid w:val="003F668D"/>
    <w:rsid w:val="003F68D8"/>
    <w:rsid w:val="003F690B"/>
    <w:rsid w:val="003F69BA"/>
    <w:rsid w:val="003F69E1"/>
    <w:rsid w:val="003F6D5E"/>
    <w:rsid w:val="003F6F2D"/>
    <w:rsid w:val="003F7301"/>
    <w:rsid w:val="003F7512"/>
    <w:rsid w:val="003F780A"/>
    <w:rsid w:val="003F79D8"/>
    <w:rsid w:val="003F7AEB"/>
    <w:rsid w:val="003F7B2C"/>
    <w:rsid w:val="003F7B4F"/>
    <w:rsid w:val="003F7B67"/>
    <w:rsid w:val="003F7C42"/>
    <w:rsid w:val="003F7CE6"/>
    <w:rsid w:val="003F7DD9"/>
    <w:rsid w:val="00400342"/>
    <w:rsid w:val="00400437"/>
    <w:rsid w:val="0040055A"/>
    <w:rsid w:val="00400962"/>
    <w:rsid w:val="00400A61"/>
    <w:rsid w:val="00400ED9"/>
    <w:rsid w:val="00401039"/>
    <w:rsid w:val="004011A5"/>
    <w:rsid w:val="004013DC"/>
    <w:rsid w:val="00401506"/>
    <w:rsid w:val="0040159C"/>
    <w:rsid w:val="004016D5"/>
    <w:rsid w:val="00401854"/>
    <w:rsid w:val="00401903"/>
    <w:rsid w:val="00401BC9"/>
    <w:rsid w:val="00401DE1"/>
    <w:rsid w:val="00401F67"/>
    <w:rsid w:val="004021BC"/>
    <w:rsid w:val="0040223B"/>
    <w:rsid w:val="004022B0"/>
    <w:rsid w:val="004022DC"/>
    <w:rsid w:val="004024E5"/>
    <w:rsid w:val="00402583"/>
    <w:rsid w:val="00402640"/>
    <w:rsid w:val="004026F7"/>
    <w:rsid w:val="00402E12"/>
    <w:rsid w:val="00402E78"/>
    <w:rsid w:val="00402EFE"/>
    <w:rsid w:val="0040302D"/>
    <w:rsid w:val="004032D5"/>
    <w:rsid w:val="00403330"/>
    <w:rsid w:val="0040340C"/>
    <w:rsid w:val="0040344D"/>
    <w:rsid w:val="004034B6"/>
    <w:rsid w:val="004036E3"/>
    <w:rsid w:val="0040370B"/>
    <w:rsid w:val="00403713"/>
    <w:rsid w:val="00403859"/>
    <w:rsid w:val="00403883"/>
    <w:rsid w:val="00403BC7"/>
    <w:rsid w:val="00403F14"/>
    <w:rsid w:val="00404077"/>
    <w:rsid w:val="004042D6"/>
    <w:rsid w:val="00404736"/>
    <w:rsid w:val="00404AAA"/>
    <w:rsid w:val="00404CF6"/>
    <w:rsid w:val="00404F76"/>
    <w:rsid w:val="00405171"/>
    <w:rsid w:val="0040517C"/>
    <w:rsid w:val="0040541A"/>
    <w:rsid w:val="0040583D"/>
    <w:rsid w:val="00405A8D"/>
    <w:rsid w:val="00405C17"/>
    <w:rsid w:val="00405CF7"/>
    <w:rsid w:val="00405D57"/>
    <w:rsid w:val="004063DD"/>
    <w:rsid w:val="004063E8"/>
    <w:rsid w:val="004066BE"/>
    <w:rsid w:val="00406A3E"/>
    <w:rsid w:val="00406AD6"/>
    <w:rsid w:val="00406ADA"/>
    <w:rsid w:val="00406C2B"/>
    <w:rsid w:val="00406D23"/>
    <w:rsid w:val="00406D56"/>
    <w:rsid w:val="0040705B"/>
    <w:rsid w:val="004070F0"/>
    <w:rsid w:val="004071FA"/>
    <w:rsid w:val="0040721F"/>
    <w:rsid w:val="00407300"/>
    <w:rsid w:val="0040738A"/>
    <w:rsid w:val="004073BA"/>
    <w:rsid w:val="0040778E"/>
    <w:rsid w:val="004079F7"/>
    <w:rsid w:val="00407B9F"/>
    <w:rsid w:val="00407D33"/>
    <w:rsid w:val="00410750"/>
    <w:rsid w:val="00410847"/>
    <w:rsid w:val="004108EA"/>
    <w:rsid w:val="00410ADF"/>
    <w:rsid w:val="00410DE4"/>
    <w:rsid w:val="00410E21"/>
    <w:rsid w:val="004110A8"/>
    <w:rsid w:val="004111AB"/>
    <w:rsid w:val="004112ED"/>
    <w:rsid w:val="004114E7"/>
    <w:rsid w:val="00411587"/>
    <w:rsid w:val="004116B5"/>
    <w:rsid w:val="0041187A"/>
    <w:rsid w:val="00411AA9"/>
    <w:rsid w:val="00411AE8"/>
    <w:rsid w:val="00411DFC"/>
    <w:rsid w:val="00411FCB"/>
    <w:rsid w:val="00412193"/>
    <w:rsid w:val="0041283F"/>
    <w:rsid w:val="0041284A"/>
    <w:rsid w:val="00412DC0"/>
    <w:rsid w:val="00412DE7"/>
    <w:rsid w:val="00412DFD"/>
    <w:rsid w:val="004130E2"/>
    <w:rsid w:val="00413136"/>
    <w:rsid w:val="004131FB"/>
    <w:rsid w:val="00413242"/>
    <w:rsid w:val="00413298"/>
    <w:rsid w:val="004136FF"/>
    <w:rsid w:val="0041388E"/>
    <w:rsid w:val="004138CA"/>
    <w:rsid w:val="00413A6F"/>
    <w:rsid w:val="00413C5A"/>
    <w:rsid w:val="00413E82"/>
    <w:rsid w:val="00414416"/>
    <w:rsid w:val="00414558"/>
    <w:rsid w:val="00414668"/>
    <w:rsid w:val="00414916"/>
    <w:rsid w:val="0041491E"/>
    <w:rsid w:val="00414A12"/>
    <w:rsid w:val="00414A66"/>
    <w:rsid w:val="00414CB8"/>
    <w:rsid w:val="004150FB"/>
    <w:rsid w:val="00415113"/>
    <w:rsid w:val="004152E0"/>
    <w:rsid w:val="0041560A"/>
    <w:rsid w:val="00415C06"/>
    <w:rsid w:val="00415CF9"/>
    <w:rsid w:val="00415D33"/>
    <w:rsid w:val="00415DF8"/>
    <w:rsid w:val="00415EAC"/>
    <w:rsid w:val="00415F22"/>
    <w:rsid w:val="0041611A"/>
    <w:rsid w:val="004161DA"/>
    <w:rsid w:val="004162E4"/>
    <w:rsid w:val="0041689D"/>
    <w:rsid w:val="004168D3"/>
    <w:rsid w:val="0041692C"/>
    <w:rsid w:val="004169DF"/>
    <w:rsid w:val="00416A5C"/>
    <w:rsid w:val="00416B86"/>
    <w:rsid w:val="00416FF3"/>
    <w:rsid w:val="00417224"/>
    <w:rsid w:val="0041729D"/>
    <w:rsid w:val="0041750E"/>
    <w:rsid w:val="004177B9"/>
    <w:rsid w:val="004178E3"/>
    <w:rsid w:val="00417C6D"/>
    <w:rsid w:val="00417D9D"/>
    <w:rsid w:val="00420072"/>
    <w:rsid w:val="0042022F"/>
    <w:rsid w:val="00420313"/>
    <w:rsid w:val="0042033A"/>
    <w:rsid w:val="00420381"/>
    <w:rsid w:val="004209EB"/>
    <w:rsid w:val="00420CF4"/>
    <w:rsid w:val="00420EA8"/>
    <w:rsid w:val="00420FBB"/>
    <w:rsid w:val="0042145D"/>
    <w:rsid w:val="004215CD"/>
    <w:rsid w:val="004215E4"/>
    <w:rsid w:val="00421AAB"/>
    <w:rsid w:val="00422104"/>
    <w:rsid w:val="004223F4"/>
    <w:rsid w:val="0042265C"/>
    <w:rsid w:val="004228C7"/>
    <w:rsid w:val="0042293E"/>
    <w:rsid w:val="00422B78"/>
    <w:rsid w:val="00422CB9"/>
    <w:rsid w:val="00422E1C"/>
    <w:rsid w:val="004230EB"/>
    <w:rsid w:val="004237D5"/>
    <w:rsid w:val="00423846"/>
    <w:rsid w:val="00423DC2"/>
    <w:rsid w:val="00423E9B"/>
    <w:rsid w:val="004241FA"/>
    <w:rsid w:val="004241FC"/>
    <w:rsid w:val="004243FA"/>
    <w:rsid w:val="00424559"/>
    <w:rsid w:val="004246AC"/>
    <w:rsid w:val="00424725"/>
    <w:rsid w:val="00424A6A"/>
    <w:rsid w:val="00424BF3"/>
    <w:rsid w:val="00424DDC"/>
    <w:rsid w:val="00424EE9"/>
    <w:rsid w:val="00425252"/>
    <w:rsid w:val="0042533F"/>
    <w:rsid w:val="0042566E"/>
    <w:rsid w:val="00425A25"/>
    <w:rsid w:val="00425A49"/>
    <w:rsid w:val="00425F1A"/>
    <w:rsid w:val="00425F41"/>
    <w:rsid w:val="004261C6"/>
    <w:rsid w:val="004268F6"/>
    <w:rsid w:val="00426991"/>
    <w:rsid w:val="00426A16"/>
    <w:rsid w:val="00426A67"/>
    <w:rsid w:val="00427195"/>
    <w:rsid w:val="00427310"/>
    <w:rsid w:val="0042742F"/>
    <w:rsid w:val="0042756B"/>
    <w:rsid w:val="00427687"/>
    <w:rsid w:val="004279C8"/>
    <w:rsid w:val="004279FC"/>
    <w:rsid w:val="00427C3B"/>
    <w:rsid w:val="00427DED"/>
    <w:rsid w:val="00427E1F"/>
    <w:rsid w:val="00427EDA"/>
    <w:rsid w:val="00427FB9"/>
    <w:rsid w:val="0043008E"/>
    <w:rsid w:val="004300B5"/>
    <w:rsid w:val="00430BA9"/>
    <w:rsid w:val="00430D75"/>
    <w:rsid w:val="00430E69"/>
    <w:rsid w:val="0043108B"/>
    <w:rsid w:val="0043131B"/>
    <w:rsid w:val="0043181E"/>
    <w:rsid w:val="004318AB"/>
    <w:rsid w:val="00431F51"/>
    <w:rsid w:val="00432058"/>
    <w:rsid w:val="00432140"/>
    <w:rsid w:val="004322A1"/>
    <w:rsid w:val="0043263E"/>
    <w:rsid w:val="004326B4"/>
    <w:rsid w:val="004328F0"/>
    <w:rsid w:val="00432A2E"/>
    <w:rsid w:val="00432C6E"/>
    <w:rsid w:val="00432D6A"/>
    <w:rsid w:val="00432F54"/>
    <w:rsid w:val="004332B1"/>
    <w:rsid w:val="00433449"/>
    <w:rsid w:val="0043384F"/>
    <w:rsid w:val="00433A66"/>
    <w:rsid w:val="00433CF0"/>
    <w:rsid w:val="00433D56"/>
    <w:rsid w:val="00433DA5"/>
    <w:rsid w:val="00433FCF"/>
    <w:rsid w:val="00433FF9"/>
    <w:rsid w:val="004341A8"/>
    <w:rsid w:val="00434382"/>
    <w:rsid w:val="00434580"/>
    <w:rsid w:val="004345E6"/>
    <w:rsid w:val="0043467B"/>
    <w:rsid w:val="004346A3"/>
    <w:rsid w:val="004349D1"/>
    <w:rsid w:val="00434B8F"/>
    <w:rsid w:val="00434CE8"/>
    <w:rsid w:val="00434D47"/>
    <w:rsid w:val="00434DD2"/>
    <w:rsid w:val="00434E9B"/>
    <w:rsid w:val="00434ED1"/>
    <w:rsid w:val="004350D4"/>
    <w:rsid w:val="004351D5"/>
    <w:rsid w:val="004353B9"/>
    <w:rsid w:val="004353CE"/>
    <w:rsid w:val="004358B9"/>
    <w:rsid w:val="00435F63"/>
    <w:rsid w:val="00436428"/>
    <w:rsid w:val="00436619"/>
    <w:rsid w:val="00436940"/>
    <w:rsid w:val="00436CC5"/>
    <w:rsid w:val="00436F40"/>
    <w:rsid w:val="004370B5"/>
    <w:rsid w:val="004371D5"/>
    <w:rsid w:val="00437241"/>
    <w:rsid w:val="004373CC"/>
    <w:rsid w:val="0043764D"/>
    <w:rsid w:val="0043771A"/>
    <w:rsid w:val="004377CF"/>
    <w:rsid w:val="00437A5D"/>
    <w:rsid w:val="00437D23"/>
    <w:rsid w:val="00437D3B"/>
    <w:rsid w:val="00437E8B"/>
    <w:rsid w:val="00440156"/>
    <w:rsid w:val="0044016C"/>
    <w:rsid w:val="004401DB"/>
    <w:rsid w:val="00440267"/>
    <w:rsid w:val="0044070A"/>
    <w:rsid w:val="004408DC"/>
    <w:rsid w:val="00440DCA"/>
    <w:rsid w:val="004410B2"/>
    <w:rsid w:val="00441305"/>
    <w:rsid w:val="0044142B"/>
    <w:rsid w:val="00441684"/>
    <w:rsid w:val="004417D1"/>
    <w:rsid w:val="00441B70"/>
    <w:rsid w:val="00441BDE"/>
    <w:rsid w:val="00441D5A"/>
    <w:rsid w:val="00441E75"/>
    <w:rsid w:val="00441ECE"/>
    <w:rsid w:val="004420B2"/>
    <w:rsid w:val="004424CD"/>
    <w:rsid w:val="00442679"/>
    <w:rsid w:val="0044270E"/>
    <w:rsid w:val="00442816"/>
    <w:rsid w:val="00442ABA"/>
    <w:rsid w:val="00442B51"/>
    <w:rsid w:val="00442BF7"/>
    <w:rsid w:val="0044392A"/>
    <w:rsid w:val="00443942"/>
    <w:rsid w:val="00443A62"/>
    <w:rsid w:val="00443A80"/>
    <w:rsid w:val="00443BBE"/>
    <w:rsid w:val="00443CAE"/>
    <w:rsid w:val="00444104"/>
    <w:rsid w:val="004444FA"/>
    <w:rsid w:val="0044462C"/>
    <w:rsid w:val="00444675"/>
    <w:rsid w:val="00444694"/>
    <w:rsid w:val="00444917"/>
    <w:rsid w:val="00444C65"/>
    <w:rsid w:val="00444CB4"/>
    <w:rsid w:val="00444D2B"/>
    <w:rsid w:val="00444FC7"/>
    <w:rsid w:val="00444FF5"/>
    <w:rsid w:val="00444FFB"/>
    <w:rsid w:val="00445223"/>
    <w:rsid w:val="004453BD"/>
    <w:rsid w:val="0044542C"/>
    <w:rsid w:val="004456F3"/>
    <w:rsid w:val="004459E7"/>
    <w:rsid w:val="00445C34"/>
    <w:rsid w:val="00445D7A"/>
    <w:rsid w:val="0044609F"/>
    <w:rsid w:val="00446176"/>
    <w:rsid w:val="004462AF"/>
    <w:rsid w:val="004465E8"/>
    <w:rsid w:val="0044682A"/>
    <w:rsid w:val="00446B22"/>
    <w:rsid w:val="00446B38"/>
    <w:rsid w:val="0044717E"/>
    <w:rsid w:val="00447260"/>
    <w:rsid w:val="00447398"/>
    <w:rsid w:val="00447698"/>
    <w:rsid w:val="00447724"/>
    <w:rsid w:val="00447866"/>
    <w:rsid w:val="004479BB"/>
    <w:rsid w:val="00447B6F"/>
    <w:rsid w:val="0045000F"/>
    <w:rsid w:val="004501B6"/>
    <w:rsid w:val="00450365"/>
    <w:rsid w:val="004503BE"/>
    <w:rsid w:val="00450694"/>
    <w:rsid w:val="00451031"/>
    <w:rsid w:val="004512AF"/>
    <w:rsid w:val="00451333"/>
    <w:rsid w:val="00451581"/>
    <w:rsid w:val="00451701"/>
    <w:rsid w:val="004519FE"/>
    <w:rsid w:val="00451C00"/>
    <w:rsid w:val="00451D54"/>
    <w:rsid w:val="00451E82"/>
    <w:rsid w:val="00451E9A"/>
    <w:rsid w:val="00452024"/>
    <w:rsid w:val="004522E3"/>
    <w:rsid w:val="00452512"/>
    <w:rsid w:val="00452B75"/>
    <w:rsid w:val="00452C54"/>
    <w:rsid w:val="00452C9A"/>
    <w:rsid w:val="00452CD1"/>
    <w:rsid w:val="00452D64"/>
    <w:rsid w:val="00452DC6"/>
    <w:rsid w:val="00452E06"/>
    <w:rsid w:val="00452E63"/>
    <w:rsid w:val="00452E82"/>
    <w:rsid w:val="00453018"/>
    <w:rsid w:val="00453068"/>
    <w:rsid w:val="004530B2"/>
    <w:rsid w:val="004531C5"/>
    <w:rsid w:val="00453323"/>
    <w:rsid w:val="00453575"/>
    <w:rsid w:val="00453595"/>
    <w:rsid w:val="00453652"/>
    <w:rsid w:val="00453854"/>
    <w:rsid w:val="00453A5C"/>
    <w:rsid w:val="00453DEC"/>
    <w:rsid w:val="0045442D"/>
    <w:rsid w:val="00454683"/>
    <w:rsid w:val="0045480C"/>
    <w:rsid w:val="00454D25"/>
    <w:rsid w:val="00454EFE"/>
    <w:rsid w:val="004557D8"/>
    <w:rsid w:val="00455825"/>
    <w:rsid w:val="00455880"/>
    <w:rsid w:val="00455BC3"/>
    <w:rsid w:val="004560A0"/>
    <w:rsid w:val="00456172"/>
    <w:rsid w:val="00456571"/>
    <w:rsid w:val="004565C1"/>
    <w:rsid w:val="004565F8"/>
    <w:rsid w:val="0045677A"/>
    <w:rsid w:val="0045686C"/>
    <w:rsid w:val="00456B40"/>
    <w:rsid w:val="00456C2B"/>
    <w:rsid w:val="00456EAB"/>
    <w:rsid w:val="00456EB8"/>
    <w:rsid w:val="0045703F"/>
    <w:rsid w:val="00457410"/>
    <w:rsid w:val="004575B2"/>
    <w:rsid w:val="0045765B"/>
    <w:rsid w:val="00457801"/>
    <w:rsid w:val="0045790A"/>
    <w:rsid w:val="00457D55"/>
    <w:rsid w:val="00457D5C"/>
    <w:rsid w:val="00457DC6"/>
    <w:rsid w:val="00460047"/>
    <w:rsid w:val="004601EC"/>
    <w:rsid w:val="00460684"/>
    <w:rsid w:val="00460A64"/>
    <w:rsid w:val="00460A7B"/>
    <w:rsid w:val="00460A8C"/>
    <w:rsid w:val="00460BBB"/>
    <w:rsid w:val="00460C1A"/>
    <w:rsid w:val="00460C3D"/>
    <w:rsid w:val="00460E9A"/>
    <w:rsid w:val="00461080"/>
    <w:rsid w:val="0046113C"/>
    <w:rsid w:val="004611F7"/>
    <w:rsid w:val="0046153C"/>
    <w:rsid w:val="00461591"/>
    <w:rsid w:val="004616E0"/>
    <w:rsid w:val="004617A7"/>
    <w:rsid w:val="004617D5"/>
    <w:rsid w:val="00461A4F"/>
    <w:rsid w:val="00461ABA"/>
    <w:rsid w:val="00461B5E"/>
    <w:rsid w:val="00461C43"/>
    <w:rsid w:val="00461D26"/>
    <w:rsid w:val="00461D34"/>
    <w:rsid w:val="00461DB8"/>
    <w:rsid w:val="00461DDA"/>
    <w:rsid w:val="00461F3A"/>
    <w:rsid w:val="00461FE3"/>
    <w:rsid w:val="0046217C"/>
    <w:rsid w:val="00462545"/>
    <w:rsid w:val="00462588"/>
    <w:rsid w:val="004628A5"/>
    <w:rsid w:val="004629DB"/>
    <w:rsid w:val="00462BA8"/>
    <w:rsid w:val="00462E17"/>
    <w:rsid w:val="0046308C"/>
    <w:rsid w:val="004630BE"/>
    <w:rsid w:val="0046310E"/>
    <w:rsid w:val="00463325"/>
    <w:rsid w:val="004635FE"/>
    <w:rsid w:val="0046383A"/>
    <w:rsid w:val="004638E0"/>
    <w:rsid w:val="0046390C"/>
    <w:rsid w:val="0046391C"/>
    <w:rsid w:val="00463A0D"/>
    <w:rsid w:val="00463A51"/>
    <w:rsid w:val="00463AC9"/>
    <w:rsid w:val="00463EBF"/>
    <w:rsid w:val="00463FBC"/>
    <w:rsid w:val="004642A9"/>
    <w:rsid w:val="00464346"/>
    <w:rsid w:val="0046447F"/>
    <w:rsid w:val="00464585"/>
    <w:rsid w:val="004645AF"/>
    <w:rsid w:val="00464714"/>
    <w:rsid w:val="004647A7"/>
    <w:rsid w:val="004648C7"/>
    <w:rsid w:val="00464A96"/>
    <w:rsid w:val="00464CE9"/>
    <w:rsid w:val="00464DF2"/>
    <w:rsid w:val="00464F55"/>
    <w:rsid w:val="00465043"/>
    <w:rsid w:val="0046522C"/>
    <w:rsid w:val="0046540B"/>
    <w:rsid w:val="0046572F"/>
    <w:rsid w:val="004659F6"/>
    <w:rsid w:val="00465AB5"/>
    <w:rsid w:val="00465C03"/>
    <w:rsid w:val="00465D32"/>
    <w:rsid w:val="00465DA0"/>
    <w:rsid w:val="00466022"/>
    <w:rsid w:val="00466236"/>
    <w:rsid w:val="004663AF"/>
    <w:rsid w:val="004664B0"/>
    <w:rsid w:val="00466569"/>
    <w:rsid w:val="004665B1"/>
    <w:rsid w:val="004666BD"/>
    <w:rsid w:val="00466787"/>
    <w:rsid w:val="004668EC"/>
    <w:rsid w:val="00466D5E"/>
    <w:rsid w:val="00466EA3"/>
    <w:rsid w:val="0046763C"/>
    <w:rsid w:val="00467674"/>
    <w:rsid w:val="0046787E"/>
    <w:rsid w:val="004678B8"/>
    <w:rsid w:val="004679C5"/>
    <w:rsid w:val="00467B5C"/>
    <w:rsid w:val="00467B8B"/>
    <w:rsid w:val="004706D8"/>
    <w:rsid w:val="00470851"/>
    <w:rsid w:val="004708A5"/>
    <w:rsid w:val="004708F9"/>
    <w:rsid w:val="00470948"/>
    <w:rsid w:val="00470BC5"/>
    <w:rsid w:val="00470CC2"/>
    <w:rsid w:val="00470CDB"/>
    <w:rsid w:val="00471016"/>
    <w:rsid w:val="004712AA"/>
    <w:rsid w:val="004713C6"/>
    <w:rsid w:val="0047155C"/>
    <w:rsid w:val="004717A7"/>
    <w:rsid w:val="0047180B"/>
    <w:rsid w:val="0047182D"/>
    <w:rsid w:val="004718DC"/>
    <w:rsid w:val="00471CAF"/>
    <w:rsid w:val="00471FA9"/>
    <w:rsid w:val="00471FDB"/>
    <w:rsid w:val="0047239A"/>
    <w:rsid w:val="0047241D"/>
    <w:rsid w:val="004724C7"/>
    <w:rsid w:val="004725BF"/>
    <w:rsid w:val="004726BE"/>
    <w:rsid w:val="00472847"/>
    <w:rsid w:val="004728FF"/>
    <w:rsid w:val="00472999"/>
    <w:rsid w:val="004729E2"/>
    <w:rsid w:val="00472A0F"/>
    <w:rsid w:val="00472BBA"/>
    <w:rsid w:val="00472F46"/>
    <w:rsid w:val="00472FF6"/>
    <w:rsid w:val="00473299"/>
    <w:rsid w:val="00473400"/>
    <w:rsid w:val="004735DA"/>
    <w:rsid w:val="004737A0"/>
    <w:rsid w:val="0047396B"/>
    <w:rsid w:val="00473999"/>
    <w:rsid w:val="00473B5D"/>
    <w:rsid w:val="00473BBC"/>
    <w:rsid w:val="00473C2B"/>
    <w:rsid w:val="00473D14"/>
    <w:rsid w:val="00473E07"/>
    <w:rsid w:val="0047406E"/>
    <w:rsid w:val="00474074"/>
    <w:rsid w:val="00474106"/>
    <w:rsid w:val="004743F2"/>
    <w:rsid w:val="0047440F"/>
    <w:rsid w:val="00474912"/>
    <w:rsid w:val="00474920"/>
    <w:rsid w:val="00474A94"/>
    <w:rsid w:val="00475137"/>
    <w:rsid w:val="00475443"/>
    <w:rsid w:val="004755A2"/>
    <w:rsid w:val="004755F5"/>
    <w:rsid w:val="00475842"/>
    <w:rsid w:val="00475ABE"/>
    <w:rsid w:val="00475E2C"/>
    <w:rsid w:val="004760E8"/>
    <w:rsid w:val="00476217"/>
    <w:rsid w:val="004767B5"/>
    <w:rsid w:val="00476A11"/>
    <w:rsid w:val="00476FB5"/>
    <w:rsid w:val="00477720"/>
    <w:rsid w:val="0047791D"/>
    <w:rsid w:val="00477CB6"/>
    <w:rsid w:val="00477ED5"/>
    <w:rsid w:val="00477EE1"/>
    <w:rsid w:val="004802E8"/>
    <w:rsid w:val="00480302"/>
    <w:rsid w:val="0048033E"/>
    <w:rsid w:val="004804A1"/>
    <w:rsid w:val="0048060A"/>
    <w:rsid w:val="0048061F"/>
    <w:rsid w:val="0048066C"/>
    <w:rsid w:val="004806AE"/>
    <w:rsid w:val="004806EA"/>
    <w:rsid w:val="004807C1"/>
    <w:rsid w:val="00480861"/>
    <w:rsid w:val="00480BAC"/>
    <w:rsid w:val="00480CA7"/>
    <w:rsid w:val="00480F5E"/>
    <w:rsid w:val="00481180"/>
    <w:rsid w:val="00481221"/>
    <w:rsid w:val="00481642"/>
    <w:rsid w:val="004816A1"/>
    <w:rsid w:val="004816B7"/>
    <w:rsid w:val="004818C0"/>
    <w:rsid w:val="0048199B"/>
    <w:rsid w:val="00481E51"/>
    <w:rsid w:val="00481EC1"/>
    <w:rsid w:val="00481F45"/>
    <w:rsid w:val="004820A3"/>
    <w:rsid w:val="00482169"/>
    <w:rsid w:val="004826AE"/>
    <w:rsid w:val="00482AE3"/>
    <w:rsid w:val="00482EFA"/>
    <w:rsid w:val="00482FB3"/>
    <w:rsid w:val="00483167"/>
    <w:rsid w:val="004832EC"/>
    <w:rsid w:val="004833F6"/>
    <w:rsid w:val="0048347C"/>
    <w:rsid w:val="00483773"/>
    <w:rsid w:val="004837F5"/>
    <w:rsid w:val="00483854"/>
    <w:rsid w:val="00483D69"/>
    <w:rsid w:val="00483E12"/>
    <w:rsid w:val="004840C4"/>
    <w:rsid w:val="004840D3"/>
    <w:rsid w:val="00484452"/>
    <w:rsid w:val="00484479"/>
    <w:rsid w:val="00484B2E"/>
    <w:rsid w:val="00484E6D"/>
    <w:rsid w:val="00484E8F"/>
    <w:rsid w:val="00484F88"/>
    <w:rsid w:val="0048530D"/>
    <w:rsid w:val="0048535F"/>
    <w:rsid w:val="00485391"/>
    <w:rsid w:val="004853AA"/>
    <w:rsid w:val="00485CBD"/>
    <w:rsid w:val="00485ECD"/>
    <w:rsid w:val="00486223"/>
    <w:rsid w:val="0048646B"/>
    <w:rsid w:val="004868AF"/>
    <w:rsid w:val="00486973"/>
    <w:rsid w:val="00486C54"/>
    <w:rsid w:val="00487138"/>
    <w:rsid w:val="00487575"/>
    <w:rsid w:val="004879A7"/>
    <w:rsid w:val="00487B07"/>
    <w:rsid w:val="00487B99"/>
    <w:rsid w:val="00487F9F"/>
    <w:rsid w:val="004900CE"/>
    <w:rsid w:val="00490221"/>
    <w:rsid w:val="00490417"/>
    <w:rsid w:val="00490550"/>
    <w:rsid w:val="00490715"/>
    <w:rsid w:val="004907F2"/>
    <w:rsid w:val="00490915"/>
    <w:rsid w:val="0049096A"/>
    <w:rsid w:val="004909BB"/>
    <w:rsid w:val="004909DC"/>
    <w:rsid w:val="00490A39"/>
    <w:rsid w:val="00490CE6"/>
    <w:rsid w:val="00490F46"/>
    <w:rsid w:val="00490FBB"/>
    <w:rsid w:val="0049122E"/>
    <w:rsid w:val="0049128B"/>
    <w:rsid w:val="00491432"/>
    <w:rsid w:val="004914D3"/>
    <w:rsid w:val="004917D9"/>
    <w:rsid w:val="00491879"/>
    <w:rsid w:val="004918B1"/>
    <w:rsid w:val="00491995"/>
    <w:rsid w:val="00491AB8"/>
    <w:rsid w:val="00491B1C"/>
    <w:rsid w:val="00491D2D"/>
    <w:rsid w:val="00491E14"/>
    <w:rsid w:val="00491E90"/>
    <w:rsid w:val="00491EED"/>
    <w:rsid w:val="00491FDD"/>
    <w:rsid w:val="00492167"/>
    <w:rsid w:val="0049240F"/>
    <w:rsid w:val="004924CD"/>
    <w:rsid w:val="00492567"/>
    <w:rsid w:val="00492879"/>
    <w:rsid w:val="00492895"/>
    <w:rsid w:val="00492A6C"/>
    <w:rsid w:val="00492AEC"/>
    <w:rsid w:val="00492B95"/>
    <w:rsid w:val="00492D9B"/>
    <w:rsid w:val="00492DB8"/>
    <w:rsid w:val="00492E9C"/>
    <w:rsid w:val="004930C6"/>
    <w:rsid w:val="00493255"/>
    <w:rsid w:val="004932B0"/>
    <w:rsid w:val="00493375"/>
    <w:rsid w:val="004933B9"/>
    <w:rsid w:val="00493850"/>
    <w:rsid w:val="004938C9"/>
    <w:rsid w:val="00493B64"/>
    <w:rsid w:val="00493BDD"/>
    <w:rsid w:val="00493C90"/>
    <w:rsid w:val="00493D14"/>
    <w:rsid w:val="00493DF1"/>
    <w:rsid w:val="004943B1"/>
    <w:rsid w:val="0049453A"/>
    <w:rsid w:val="00494677"/>
    <w:rsid w:val="00494883"/>
    <w:rsid w:val="004948D4"/>
    <w:rsid w:val="004949E1"/>
    <w:rsid w:val="00494A15"/>
    <w:rsid w:val="00494BB5"/>
    <w:rsid w:val="00494D91"/>
    <w:rsid w:val="00494DFF"/>
    <w:rsid w:val="0049500B"/>
    <w:rsid w:val="00495052"/>
    <w:rsid w:val="00495236"/>
    <w:rsid w:val="004952B5"/>
    <w:rsid w:val="00495373"/>
    <w:rsid w:val="00495460"/>
    <w:rsid w:val="004955EC"/>
    <w:rsid w:val="00495896"/>
    <w:rsid w:val="00495FA2"/>
    <w:rsid w:val="00496044"/>
    <w:rsid w:val="00496317"/>
    <w:rsid w:val="0049636A"/>
    <w:rsid w:val="0049655B"/>
    <w:rsid w:val="004965B9"/>
    <w:rsid w:val="00496664"/>
    <w:rsid w:val="004967BC"/>
    <w:rsid w:val="00496A7D"/>
    <w:rsid w:val="00496D1D"/>
    <w:rsid w:val="00496D6D"/>
    <w:rsid w:val="00496D93"/>
    <w:rsid w:val="0049719C"/>
    <w:rsid w:val="004971AD"/>
    <w:rsid w:val="004971BD"/>
    <w:rsid w:val="0049758C"/>
    <w:rsid w:val="004975E2"/>
    <w:rsid w:val="0049761F"/>
    <w:rsid w:val="004976CD"/>
    <w:rsid w:val="00497721"/>
    <w:rsid w:val="00497757"/>
    <w:rsid w:val="00497F5A"/>
    <w:rsid w:val="00497F96"/>
    <w:rsid w:val="004A025F"/>
    <w:rsid w:val="004A037F"/>
    <w:rsid w:val="004A04D4"/>
    <w:rsid w:val="004A05BC"/>
    <w:rsid w:val="004A0735"/>
    <w:rsid w:val="004A09F7"/>
    <w:rsid w:val="004A0B38"/>
    <w:rsid w:val="004A0D73"/>
    <w:rsid w:val="004A0DAA"/>
    <w:rsid w:val="004A0E0C"/>
    <w:rsid w:val="004A0EBD"/>
    <w:rsid w:val="004A10A6"/>
    <w:rsid w:val="004A1187"/>
    <w:rsid w:val="004A118C"/>
    <w:rsid w:val="004A1453"/>
    <w:rsid w:val="004A14E8"/>
    <w:rsid w:val="004A1777"/>
    <w:rsid w:val="004A1A31"/>
    <w:rsid w:val="004A1AA9"/>
    <w:rsid w:val="004A1AAD"/>
    <w:rsid w:val="004A1F8F"/>
    <w:rsid w:val="004A200A"/>
    <w:rsid w:val="004A214E"/>
    <w:rsid w:val="004A2164"/>
    <w:rsid w:val="004A250E"/>
    <w:rsid w:val="004A26C2"/>
    <w:rsid w:val="004A26CF"/>
    <w:rsid w:val="004A28A5"/>
    <w:rsid w:val="004A2C23"/>
    <w:rsid w:val="004A2E75"/>
    <w:rsid w:val="004A2E8E"/>
    <w:rsid w:val="004A2EA5"/>
    <w:rsid w:val="004A3512"/>
    <w:rsid w:val="004A360A"/>
    <w:rsid w:val="004A36A4"/>
    <w:rsid w:val="004A3A92"/>
    <w:rsid w:val="004A3CD1"/>
    <w:rsid w:val="004A3D55"/>
    <w:rsid w:val="004A4763"/>
    <w:rsid w:val="004A492D"/>
    <w:rsid w:val="004A4AAB"/>
    <w:rsid w:val="004A4B26"/>
    <w:rsid w:val="004A4B3D"/>
    <w:rsid w:val="004A4B74"/>
    <w:rsid w:val="004A4C44"/>
    <w:rsid w:val="004A4C9F"/>
    <w:rsid w:val="004A4CD5"/>
    <w:rsid w:val="004A4EAF"/>
    <w:rsid w:val="004A5652"/>
    <w:rsid w:val="004A57D2"/>
    <w:rsid w:val="004A5BDE"/>
    <w:rsid w:val="004A5CD0"/>
    <w:rsid w:val="004A5E9C"/>
    <w:rsid w:val="004A5FCD"/>
    <w:rsid w:val="004A5FF9"/>
    <w:rsid w:val="004A6099"/>
    <w:rsid w:val="004A635F"/>
    <w:rsid w:val="004A6473"/>
    <w:rsid w:val="004A6704"/>
    <w:rsid w:val="004A6D18"/>
    <w:rsid w:val="004A6D60"/>
    <w:rsid w:val="004A6DD9"/>
    <w:rsid w:val="004A6FF1"/>
    <w:rsid w:val="004A7332"/>
    <w:rsid w:val="004A7514"/>
    <w:rsid w:val="004A78B7"/>
    <w:rsid w:val="004A794E"/>
    <w:rsid w:val="004A7E16"/>
    <w:rsid w:val="004A7FCD"/>
    <w:rsid w:val="004B00B4"/>
    <w:rsid w:val="004B00D3"/>
    <w:rsid w:val="004B0277"/>
    <w:rsid w:val="004B0365"/>
    <w:rsid w:val="004B03BE"/>
    <w:rsid w:val="004B06E4"/>
    <w:rsid w:val="004B0856"/>
    <w:rsid w:val="004B08D8"/>
    <w:rsid w:val="004B0C14"/>
    <w:rsid w:val="004B11FD"/>
    <w:rsid w:val="004B12EC"/>
    <w:rsid w:val="004B13F4"/>
    <w:rsid w:val="004B168F"/>
    <w:rsid w:val="004B1725"/>
    <w:rsid w:val="004B1969"/>
    <w:rsid w:val="004B1D3F"/>
    <w:rsid w:val="004B214C"/>
    <w:rsid w:val="004B2294"/>
    <w:rsid w:val="004B22FE"/>
    <w:rsid w:val="004B26B0"/>
    <w:rsid w:val="004B2F4D"/>
    <w:rsid w:val="004B3046"/>
    <w:rsid w:val="004B306F"/>
    <w:rsid w:val="004B30EF"/>
    <w:rsid w:val="004B3138"/>
    <w:rsid w:val="004B35AC"/>
    <w:rsid w:val="004B3742"/>
    <w:rsid w:val="004B3757"/>
    <w:rsid w:val="004B3A46"/>
    <w:rsid w:val="004B3AAD"/>
    <w:rsid w:val="004B3C29"/>
    <w:rsid w:val="004B3E8F"/>
    <w:rsid w:val="004B3F26"/>
    <w:rsid w:val="004B3F99"/>
    <w:rsid w:val="004B41D1"/>
    <w:rsid w:val="004B4689"/>
    <w:rsid w:val="004B4AA0"/>
    <w:rsid w:val="004B4C92"/>
    <w:rsid w:val="004B4DA8"/>
    <w:rsid w:val="004B4F88"/>
    <w:rsid w:val="004B4FA5"/>
    <w:rsid w:val="004B5359"/>
    <w:rsid w:val="004B53BC"/>
    <w:rsid w:val="004B540C"/>
    <w:rsid w:val="004B54A2"/>
    <w:rsid w:val="004B557F"/>
    <w:rsid w:val="004B55CC"/>
    <w:rsid w:val="004B58F5"/>
    <w:rsid w:val="004B59BA"/>
    <w:rsid w:val="004B5AA0"/>
    <w:rsid w:val="004B5ACD"/>
    <w:rsid w:val="004B5BD7"/>
    <w:rsid w:val="004B5F87"/>
    <w:rsid w:val="004B60DF"/>
    <w:rsid w:val="004B613F"/>
    <w:rsid w:val="004B6149"/>
    <w:rsid w:val="004B63F1"/>
    <w:rsid w:val="004B6608"/>
    <w:rsid w:val="004B664E"/>
    <w:rsid w:val="004B6B16"/>
    <w:rsid w:val="004B6CCB"/>
    <w:rsid w:val="004B6EA4"/>
    <w:rsid w:val="004B6F70"/>
    <w:rsid w:val="004B6FA9"/>
    <w:rsid w:val="004B711E"/>
    <w:rsid w:val="004B71D3"/>
    <w:rsid w:val="004B74D2"/>
    <w:rsid w:val="004B77A3"/>
    <w:rsid w:val="004B7A81"/>
    <w:rsid w:val="004B7BEC"/>
    <w:rsid w:val="004B7BF9"/>
    <w:rsid w:val="004B7E4D"/>
    <w:rsid w:val="004B7E65"/>
    <w:rsid w:val="004B7E98"/>
    <w:rsid w:val="004B7F09"/>
    <w:rsid w:val="004C0029"/>
    <w:rsid w:val="004C0161"/>
    <w:rsid w:val="004C03E5"/>
    <w:rsid w:val="004C06E0"/>
    <w:rsid w:val="004C0875"/>
    <w:rsid w:val="004C0986"/>
    <w:rsid w:val="004C0993"/>
    <w:rsid w:val="004C0A23"/>
    <w:rsid w:val="004C0AED"/>
    <w:rsid w:val="004C0D16"/>
    <w:rsid w:val="004C0D35"/>
    <w:rsid w:val="004C0E65"/>
    <w:rsid w:val="004C110E"/>
    <w:rsid w:val="004C122F"/>
    <w:rsid w:val="004C127E"/>
    <w:rsid w:val="004C13DA"/>
    <w:rsid w:val="004C152B"/>
    <w:rsid w:val="004C1568"/>
    <w:rsid w:val="004C1594"/>
    <w:rsid w:val="004C16BB"/>
    <w:rsid w:val="004C185D"/>
    <w:rsid w:val="004C1BB4"/>
    <w:rsid w:val="004C1C80"/>
    <w:rsid w:val="004C1D3C"/>
    <w:rsid w:val="004C1D9A"/>
    <w:rsid w:val="004C20D8"/>
    <w:rsid w:val="004C22E1"/>
    <w:rsid w:val="004C24B8"/>
    <w:rsid w:val="004C253C"/>
    <w:rsid w:val="004C29F0"/>
    <w:rsid w:val="004C2C5E"/>
    <w:rsid w:val="004C2D11"/>
    <w:rsid w:val="004C2DF8"/>
    <w:rsid w:val="004C2EF3"/>
    <w:rsid w:val="004C2F20"/>
    <w:rsid w:val="004C2F96"/>
    <w:rsid w:val="004C3063"/>
    <w:rsid w:val="004C31EE"/>
    <w:rsid w:val="004C3256"/>
    <w:rsid w:val="004C36A1"/>
    <w:rsid w:val="004C3732"/>
    <w:rsid w:val="004C392D"/>
    <w:rsid w:val="004C3DD7"/>
    <w:rsid w:val="004C409F"/>
    <w:rsid w:val="004C4113"/>
    <w:rsid w:val="004C4736"/>
    <w:rsid w:val="004C486E"/>
    <w:rsid w:val="004C4BB0"/>
    <w:rsid w:val="004C5320"/>
    <w:rsid w:val="004C53EA"/>
    <w:rsid w:val="004C5595"/>
    <w:rsid w:val="004C5720"/>
    <w:rsid w:val="004C5783"/>
    <w:rsid w:val="004C5929"/>
    <w:rsid w:val="004C5D37"/>
    <w:rsid w:val="004C5E37"/>
    <w:rsid w:val="004C61AB"/>
    <w:rsid w:val="004C6308"/>
    <w:rsid w:val="004C64CC"/>
    <w:rsid w:val="004C6542"/>
    <w:rsid w:val="004C662C"/>
    <w:rsid w:val="004C6630"/>
    <w:rsid w:val="004C6743"/>
    <w:rsid w:val="004C678C"/>
    <w:rsid w:val="004C68CC"/>
    <w:rsid w:val="004C696F"/>
    <w:rsid w:val="004C6FEC"/>
    <w:rsid w:val="004C7200"/>
    <w:rsid w:val="004C72C0"/>
    <w:rsid w:val="004C7312"/>
    <w:rsid w:val="004C7326"/>
    <w:rsid w:val="004C741F"/>
    <w:rsid w:val="004C7458"/>
    <w:rsid w:val="004C748F"/>
    <w:rsid w:val="004C7B13"/>
    <w:rsid w:val="004D0030"/>
    <w:rsid w:val="004D0453"/>
    <w:rsid w:val="004D0736"/>
    <w:rsid w:val="004D0844"/>
    <w:rsid w:val="004D0C81"/>
    <w:rsid w:val="004D0D4C"/>
    <w:rsid w:val="004D0F0E"/>
    <w:rsid w:val="004D0FDA"/>
    <w:rsid w:val="004D1031"/>
    <w:rsid w:val="004D145C"/>
    <w:rsid w:val="004D14F7"/>
    <w:rsid w:val="004D1587"/>
    <w:rsid w:val="004D15E4"/>
    <w:rsid w:val="004D1624"/>
    <w:rsid w:val="004D18B2"/>
    <w:rsid w:val="004D203C"/>
    <w:rsid w:val="004D23F0"/>
    <w:rsid w:val="004D2403"/>
    <w:rsid w:val="004D27ED"/>
    <w:rsid w:val="004D2916"/>
    <w:rsid w:val="004D2B85"/>
    <w:rsid w:val="004D2B99"/>
    <w:rsid w:val="004D2D93"/>
    <w:rsid w:val="004D2E47"/>
    <w:rsid w:val="004D2F39"/>
    <w:rsid w:val="004D2FDE"/>
    <w:rsid w:val="004D2FF0"/>
    <w:rsid w:val="004D308F"/>
    <w:rsid w:val="004D311D"/>
    <w:rsid w:val="004D31D3"/>
    <w:rsid w:val="004D327D"/>
    <w:rsid w:val="004D32E2"/>
    <w:rsid w:val="004D3564"/>
    <w:rsid w:val="004D3754"/>
    <w:rsid w:val="004D382C"/>
    <w:rsid w:val="004D394C"/>
    <w:rsid w:val="004D3C67"/>
    <w:rsid w:val="004D401A"/>
    <w:rsid w:val="004D408F"/>
    <w:rsid w:val="004D440D"/>
    <w:rsid w:val="004D44B9"/>
    <w:rsid w:val="004D45C1"/>
    <w:rsid w:val="004D471C"/>
    <w:rsid w:val="004D49A7"/>
    <w:rsid w:val="004D49E4"/>
    <w:rsid w:val="004D4A40"/>
    <w:rsid w:val="004D4C02"/>
    <w:rsid w:val="004D4E0E"/>
    <w:rsid w:val="004D4EA9"/>
    <w:rsid w:val="004D4F71"/>
    <w:rsid w:val="004D530E"/>
    <w:rsid w:val="004D5819"/>
    <w:rsid w:val="004D59CA"/>
    <w:rsid w:val="004D5D74"/>
    <w:rsid w:val="004D5F67"/>
    <w:rsid w:val="004D6066"/>
    <w:rsid w:val="004D62A8"/>
    <w:rsid w:val="004D6430"/>
    <w:rsid w:val="004D67D4"/>
    <w:rsid w:val="004D688E"/>
    <w:rsid w:val="004D6918"/>
    <w:rsid w:val="004D691D"/>
    <w:rsid w:val="004D6C95"/>
    <w:rsid w:val="004D6F2B"/>
    <w:rsid w:val="004D7150"/>
    <w:rsid w:val="004D79C3"/>
    <w:rsid w:val="004D7CAA"/>
    <w:rsid w:val="004D7DE9"/>
    <w:rsid w:val="004D7E6F"/>
    <w:rsid w:val="004E02A2"/>
    <w:rsid w:val="004E039F"/>
    <w:rsid w:val="004E04A8"/>
    <w:rsid w:val="004E04AE"/>
    <w:rsid w:val="004E0867"/>
    <w:rsid w:val="004E0A3D"/>
    <w:rsid w:val="004E0A5D"/>
    <w:rsid w:val="004E0EF6"/>
    <w:rsid w:val="004E11DB"/>
    <w:rsid w:val="004E14F1"/>
    <w:rsid w:val="004E1F96"/>
    <w:rsid w:val="004E2035"/>
    <w:rsid w:val="004E2235"/>
    <w:rsid w:val="004E223F"/>
    <w:rsid w:val="004E2375"/>
    <w:rsid w:val="004E24A3"/>
    <w:rsid w:val="004E258E"/>
    <w:rsid w:val="004E264D"/>
    <w:rsid w:val="004E26F9"/>
    <w:rsid w:val="004E27FE"/>
    <w:rsid w:val="004E29CB"/>
    <w:rsid w:val="004E2C5C"/>
    <w:rsid w:val="004E2EE8"/>
    <w:rsid w:val="004E2F40"/>
    <w:rsid w:val="004E2F56"/>
    <w:rsid w:val="004E3121"/>
    <w:rsid w:val="004E3478"/>
    <w:rsid w:val="004E3ABF"/>
    <w:rsid w:val="004E3B78"/>
    <w:rsid w:val="004E3CBC"/>
    <w:rsid w:val="004E4028"/>
    <w:rsid w:val="004E4350"/>
    <w:rsid w:val="004E4352"/>
    <w:rsid w:val="004E435D"/>
    <w:rsid w:val="004E4487"/>
    <w:rsid w:val="004E45EC"/>
    <w:rsid w:val="004E49D6"/>
    <w:rsid w:val="004E4C02"/>
    <w:rsid w:val="004E4C0A"/>
    <w:rsid w:val="004E4C25"/>
    <w:rsid w:val="004E4D01"/>
    <w:rsid w:val="004E4FC2"/>
    <w:rsid w:val="004E5081"/>
    <w:rsid w:val="004E5145"/>
    <w:rsid w:val="004E5326"/>
    <w:rsid w:val="004E532A"/>
    <w:rsid w:val="004E5396"/>
    <w:rsid w:val="004E5436"/>
    <w:rsid w:val="004E56B1"/>
    <w:rsid w:val="004E56EA"/>
    <w:rsid w:val="004E58CD"/>
    <w:rsid w:val="004E5B40"/>
    <w:rsid w:val="004E5DB0"/>
    <w:rsid w:val="004E6021"/>
    <w:rsid w:val="004E6385"/>
    <w:rsid w:val="004E6491"/>
    <w:rsid w:val="004E64CE"/>
    <w:rsid w:val="004E64D7"/>
    <w:rsid w:val="004E66FF"/>
    <w:rsid w:val="004E6B22"/>
    <w:rsid w:val="004E7131"/>
    <w:rsid w:val="004E7159"/>
    <w:rsid w:val="004E738C"/>
    <w:rsid w:val="004E764D"/>
    <w:rsid w:val="004E765E"/>
    <w:rsid w:val="004E76F0"/>
    <w:rsid w:val="004E7CA1"/>
    <w:rsid w:val="004E7D2A"/>
    <w:rsid w:val="004E7DDA"/>
    <w:rsid w:val="004E7E1A"/>
    <w:rsid w:val="004E7F2C"/>
    <w:rsid w:val="004F02EE"/>
    <w:rsid w:val="004F0325"/>
    <w:rsid w:val="004F0405"/>
    <w:rsid w:val="004F0A92"/>
    <w:rsid w:val="004F0C71"/>
    <w:rsid w:val="004F0CA2"/>
    <w:rsid w:val="004F109F"/>
    <w:rsid w:val="004F10CA"/>
    <w:rsid w:val="004F1126"/>
    <w:rsid w:val="004F1309"/>
    <w:rsid w:val="004F1378"/>
    <w:rsid w:val="004F1584"/>
    <w:rsid w:val="004F1734"/>
    <w:rsid w:val="004F18D2"/>
    <w:rsid w:val="004F1DF8"/>
    <w:rsid w:val="004F2225"/>
    <w:rsid w:val="004F25A8"/>
    <w:rsid w:val="004F2B05"/>
    <w:rsid w:val="004F2C78"/>
    <w:rsid w:val="004F2CA1"/>
    <w:rsid w:val="004F2CB0"/>
    <w:rsid w:val="004F2D36"/>
    <w:rsid w:val="004F2ECE"/>
    <w:rsid w:val="004F2F5E"/>
    <w:rsid w:val="004F325E"/>
    <w:rsid w:val="004F34DE"/>
    <w:rsid w:val="004F34F8"/>
    <w:rsid w:val="004F352E"/>
    <w:rsid w:val="004F3530"/>
    <w:rsid w:val="004F36F1"/>
    <w:rsid w:val="004F3802"/>
    <w:rsid w:val="004F3D6A"/>
    <w:rsid w:val="004F3FD3"/>
    <w:rsid w:val="004F40D6"/>
    <w:rsid w:val="004F4171"/>
    <w:rsid w:val="004F4189"/>
    <w:rsid w:val="004F43BB"/>
    <w:rsid w:val="004F43DE"/>
    <w:rsid w:val="004F4481"/>
    <w:rsid w:val="004F45B1"/>
    <w:rsid w:val="004F4655"/>
    <w:rsid w:val="004F473E"/>
    <w:rsid w:val="004F4BFD"/>
    <w:rsid w:val="004F4F59"/>
    <w:rsid w:val="004F4FF5"/>
    <w:rsid w:val="004F4FF7"/>
    <w:rsid w:val="004F50EE"/>
    <w:rsid w:val="004F50F8"/>
    <w:rsid w:val="004F50FA"/>
    <w:rsid w:val="004F51AF"/>
    <w:rsid w:val="004F53F9"/>
    <w:rsid w:val="004F5735"/>
    <w:rsid w:val="004F589D"/>
    <w:rsid w:val="004F59A1"/>
    <w:rsid w:val="004F5A5E"/>
    <w:rsid w:val="004F5BAB"/>
    <w:rsid w:val="004F60D0"/>
    <w:rsid w:val="004F652C"/>
    <w:rsid w:val="004F6823"/>
    <w:rsid w:val="004F6B91"/>
    <w:rsid w:val="004F6BF0"/>
    <w:rsid w:val="004F723B"/>
    <w:rsid w:val="004F7249"/>
    <w:rsid w:val="004F739C"/>
    <w:rsid w:val="004F7400"/>
    <w:rsid w:val="004F7729"/>
    <w:rsid w:val="004F773C"/>
    <w:rsid w:val="004F7896"/>
    <w:rsid w:val="004F7A30"/>
    <w:rsid w:val="004F7AB9"/>
    <w:rsid w:val="004F7B66"/>
    <w:rsid w:val="004F7C94"/>
    <w:rsid w:val="004F7DEA"/>
    <w:rsid w:val="004F7EE8"/>
    <w:rsid w:val="00500013"/>
    <w:rsid w:val="0050017A"/>
    <w:rsid w:val="0050030B"/>
    <w:rsid w:val="0050030E"/>
    <w:rsid w:val="0050032B"/>
    <w:rsid w:val="00500894"/>
    <w:rsid w:val="005009D1"/>
    <w:rsid w:val="00500D00"/>
    <w:rsid w:val="00500EB0"/>
    <w:rsid w:val="00500F85"/>
    <w:rsid w:val="005011C6"/>
    <w:rsid w:val="00501394"/>
    <w:rsid w:val="005013E5"/>
    <w:rsid w:val="005015A4"/>
    <w:rsid w:val="005016AD"/>
    <w:rsid w:val="0050171B"/>
    <w:rsid w:val="005017AC"/>
    <w:rsid w:val="005019B1"/>
    <w:rsid w:val="00501A16"/>
    <w:rsid w:val="00501BF3"/>
    <w:rsid w:val="00501CAB"/>
    <w:rsid w:val="00501E22"/>
    <w:rsid w:val="00501E6F"/>
    <w:rsid w:val="00501F2F"/>
    <w:rsid w:val="00501FAE"/>
    <w:rsid w:val="00502170"/>
    <w:rsid w:val="00502293"/>
    <w:rsid w:val="00502306"/>
    <w:rsid w:val="0050270A"/>
    <w:rsid w:val="005027BE"/>
    <w:rsid w:val="00502B17"/>
    <w:rsid w:val="00502BAF"/>
    <w:rsid w:val="00502C2F"/>
    <w:rsid w:val="00502E43"/>
    <w:rsid w:val="00503085"/>
    <w:rsid w:val="005032FE"/>
    <w:rsid w:val="005034EE"/>
    <w:rsid w:val="005035AD"/>
    <w:rsid w:val="005037E3"/>
    <w:rsid w:val="00503934"/>
    <w:rsid w:val="00503A9B"/>
    <w:rsid w:val="00503D4D"/>
    <w:rsid w:val="00503EBC"/>
    <w:rsid w:val="00503F22"/>
    <w:rsid w:val="00503F2F"/>
    <w:rsid w:val="0050433E"/>
    <w:rsid w:val="00504954"/>
    <w:rsid w:val="00504CCC"/>
    <w:rsid w:val="00504D3B"/>
    <w:rsid w:val="00505767"/>
    <w:rsid w:val="00505860"/>
    <w:rsid w:val="00505916"/>
    <w:rsid w:val="00505919"/>
    <w:rsid w:val="00505E78"/>
    <w:rsid w:val="00506154"/>
    <w:rsid w:val="00506162"/>
    <w:rsid w:val="0050654C"/>
    <w:rsid w:val="00506598"/>
    <w:rsid w:val="005065F6"/>
    <w:rsid w:val="005066AF"/>
    <w:rsid w:val="005067B0"/>
    <w:rsid w:val="00506809"/>
    <w:rsid w:val="00506855"/>
    <w:rsid w:val="00506A30"/>
    <w:rsid w:val="00506B72"/>
    <w:rsid w:val="00506EE1"/>
    <w:rsid w:val="00506F63"/>
    <w:rsid w:val="005072E7"/>
    <w:rsid w:val="00507311"/>
    <w:rsid w:val="00507598"/>
    <w:rsid w:val="00507746"/>
    <w:rsid w:val="0050797D"/>
    <w:rsid w:val="00507BD6"/>
    <w:rsid w:val="00507E80"/>
    <w:rsid w:val="0051029C"/>
    <w:rsid w:val="005103D9"/>
    <w:rsid w:val="0051081C"/>
    <w:rsid w:val="00510AE1"/>
    <w:rsid w:val="00510B01"/>
    <w:rsid w:val="00510F50"/>
    <w:rsid w:val="0051100D"/>
    <w:rsid w:val="005111D2"/>
    <w:rsid w:val="0051125D"/>
    <w:rsid w:val="0051135E"/>
    <w:rsid w:val="0051142E"/>
    <w:rsid w:val="005119CB"/>
    <w:rsid w:val="00511A0B"/>
    <w:rsid w:val="00511A81"/>
    <w:rsid w:val="00511CD9"/>
    <w:rsid w:val="00511ED1"/>
    <w:rsid w:val="005121FA"/>
    <w:rsid w:val="00512220"/>
    <w:rsid w:val="00512467"/>
    <w:rsid w:val="00512621"/>
    <w:rsid w:val="00512693"/>
    <w:rsid w:val="005127BE"/>
    <w:rsid w:val="00512A41"/>
    <w:rsid w:val="00512B60"/>
    <w:rsid w:val="00512CA1"/>
    <w:rsid w:val="00512CC6"/>
    <w:rsid w:val="00512CF6"/>
    <w:rsid w:val="00512EEF"/>
    <w:rsid w:val="00513285"/>
    <w:rsid w:val="00513296"/>
    <w:rsid w:val="00513559"/>
    <w:rsid w:val="00513691"/>
    <w:rsid w:val="005136A5"/>
    <w:rsid w:val="005136BD"/>
    <w:rsid w:val="00513DBB"/>
    <w:rsid w:val="00513E1F"/>
    <w:rsid w:val="005141B6"/>
    <w:rsid w:val="005141DB"/>
    <w:rsid w:val="0051438C"/>
    <w:rsid w:val="005143B8"/>
    <w:rsid w:val="005144A2"/>
    <w:rsid w:val="00514669"/>
    <w:rsid w:val="00514D97"/>
    <w:rsid w:val="0051501A"/>
    <w:rsid w:val="005151EE"/>
    <w:rsid w:val="005154CA"/>
    <w:rsid w:val="00515554"/>
    <w:rsid w:val="00515730"/>
    <w:rsid w:val="00515B0B"/>
    <w:rsid w:val="00515F31"/>
    <w:rsid w:val="00516090"/>
    <w:rsid w:val="00516578"/>
    <w:rsid w:val="005165D2"/>
    <w:rsid w:val="00516859"/>
    <w:rsid w:val="005168C5"/>
    <w:rsid w:val="00516DF5"/>
    <w:rsid w:val="00517163"/>
    <w:rsid w:val="005171C0"/>
    <w:rsid w:val="005172B3"/>
    <w:rsid w:val="005174A8"/>
    <w:rsid w:val="0051755D"/>
    <w:rsid w:val="0051778B"/>
    <w:rsid w:val="00517A81"/>
    <w:rsid w:val="00517B6D"/>
    <w:rsid w:val="00520105"/>
    <w:rsid w:val="00520162"/>
    <w:rsid w:val="00520216"/>
    <w:rsid w:val="0052026E"/>
    <w:rsid w:val="005202B8"/>
    <w:rsid w:val="005203A8"/>
    <w:rsid w:val="005205EA"/>
    <w:rsid w:val="00520819"/>
    <w:rsid w:val="00520A12"/>
    <w:rsid w:val="00520A4B"/>
    <w:rsid w:val="00520AAA"/>
    <w:rsid w:val="00520CB4"/>
    <w:rsid w:val="00520F43"/>
    <w:rsid w:val="005212B6"/>
    <w:rsid w:val="005213F9"/>
    <w:rsid w:val="00521600"/>
    <w:rsid w:val="00521755"/>
    <w:rsid w:val="00521BB0"/>
    <w:rsid w:val="00522167"/>
    <w:rsid w:val="00522433"/>
    <w:rsid w:val="00522685"/>
    <w:rsid w:val="005228B1"/>
    <w:rsid w:val="00522AC3"/>
    <w:rsid w:val="00522C7D"/>
    <w:rsid w:val="00522DA4"/>
    <w:rsid w:val="0052307E"/>
    <w:rsid w:val="005230E9"/>
    <w:rsid w:val="0052310D"/>
    <w:rsid w:val="00523189"/>
    <w:rsid w:val="00523250"/>
    <w:rsid w:val="005232B9"/>
    <w:rsid w:val="0052341D"/>
    <w:rsid w:val="00523761"/>
    <w:rsid w:val="005238FC"/>
    <w:rsid w:val="0052392C"/>
    <w:rsid w:val="00523A89"/>
    <w:rsid w:val="00523D4F"/>
    <w:rsid w:val="00523DDD"/>
    <w:rsid w:val="00523DF2"/>
    <w:rsid w:val="00524318"/>
    <w:rsid w:val="0052443F"/>
    <w:rsid w:val="00524612"/>
    <w:rsid w:val="00524C86"/>
    <w:rsid w:val="00524E52"/>
    <w:rsid w:val="00524E6A"/>
    <w:rsid w:val="005250DB"/>
    <w:rsid w:val="0052533D"/>
    <w:rsid w:val="005253FB"/>
    <w:rsid w:val="0052598B"/>
    <w:rsid w:val="0052599A"/>
    <w:rsid w:val="00525C79"/>
    <w:rsid w:val="00525C98"/>
    <w:rsid w:val="00525CEB"/>
    <w:rsid w:val="00525D07"/>
    <w:rsid w:val="00525D2E"/>
    <w:rsid w:val="00525E1C"/>
    <w:rsid w:val="00525E72"/>
    <w:rsid w:val="005260C8"/>
    <w:rsid w:val="005264DC"/>
    <w:rsid w:val="00526616"/>
    <w:rsid w:val="00526631"/>
    <w:rsid w:val="00526845"/>
    <w:rsid w:val="00526905"/>
    <w:rsid w:val="00526BC2"/>
    <w:rsid w:val="00526D8E"/>
    <w:rsid w:val="00526EFB"/>
    <w:rsid w:val="00526F8D"/>
    <w:rsid w:val="005271E0"/>
    <w:rsid w:val="005272D7"/>
    <w:rsid w:val="00527455"/>
    <w:rsid w:val="0052768B"/>
    <w:rsid w:val="005276E9"/>
    <w:rsid w:val="0052777D"/>
    <w:rsid w:val="005277BE"/>
    <w:rsid w:val="0052784A"/>
    <w:rsid w:val="005279DA"/>
    <w:rsid w:val="00527B0B"/>
    <w:rsid w:val="00527B36"/>
    <w:rsid w:val="00527B88"/>
    <w:rsid w:val="00527C27"/>
    <w:rsid w:val="00530233"/>
    <w:rsid w:val="0053030B"/>
    <w:rsid w:val="005303CD"/>
    <w:rsid w:val="00530679"/>
    <w:rsid w:val="00530BEA"/>
    <w:rsid w:val="00530C9D"/>
    <w:rsid w:val="00530CC6"/>
    <w:rsid w:val="00530F8C"/>
    <w:rsid w:val="00531015"/>
    <w:rsid w:val="00531155"/>
    <w:rsid w:val="005318D3"/>
    <w:rsid w:val="00531DAB"/>
    <w:rsid w:val="00531FC1"/>
    <w:rsid w:val="0053212D"/>
    <w:rsid w:val="00532152"/>
    <w:rsid w:val="005321C7"/>
    <w:rsid w:val="005323FF"/>
    <w:rsid w:val="00532661"/>
    <w:rsid w:val="005326EF"/>
    <w:rsid w:val="005327FF"/>
    <w:rsid w:val="00532987"/>
    <w:rsid w:val="00532C04"/>
    <w:rsid w:val="00532CEC"/>
    <w:rsid w:val="00533134"/>
    <w:rsid w:val="00533184"/>
    <w:rsid w:val="00533238"/>
    <w:rsid w:val="00533387"/>
    <w:rsid w:val="005336D0"/>
    <w:rsid w:val="00533B68"/>
    <w:rsid w:val="00533CB7"/>
    <w:rsid w:val="00533D3A"/>
    <w:rsid w:val="00534252"/>
    <w:rsid w:val="005344D9"/>
    <w:rsid w:val="0053455B"/>
    <w:rsid w:val="0053457A"/>
    <w:rsid w:val="00534787"/>
    <w:rsid w:val="005348A3"/>
    <w:rsid w:val="005348FA"/>
    <w:rsid w:val="0053491B"/>
    <w:rsid w:val="00534963"/>
    <w:rsid w:val="00534AEC"/>
    <w:rsid w:val="00534CC4"/>
    <w:rsid w:val="00534DDC"/>
    <w:rsid w:val="005350CF"/>
    <w:rsid w:val="005350F4"/>
    <w:rsid w:val="00535AF9"/>
    <w:rsid w:val="00535EBA"/>
    <w:rsid w:val="00535F58"/>
    <w:rsid w:val="00535FDE"/>
    <w:rsid w:val="005361B4"/>
    <w:rsid w:val="005364C2"/>
    <w:rsid w:val="00536625"/>
    <w:rsid w:val="0053665D"/>
    <w:rsid w:val="00536754"/>
    <w:rsid w:val="0053693A"/>
    <w:rsid w:val="005369B3"/>
    <w:rsid w:val="005369CE"/>
    <w:rsid w:val="00536BDC"/>
    <w:rsid w:val="00536CF1"/>
    <w:rsid w:val="00536DB9"/>
    <w:rsid w:val="0053711B"/>
    <w:rsid w:val="00537212"/>
    <w:rsid w:val="00537292"/>
    <w:rsid w:val="005372A6"/>
    <w:rsid w:val="00537310"/>
    <w:rsid w:val="005378DE"/>
    <w:rsid w:val="00537B47"/>
    <w:rsid w:val="00537BA6"/>
    <w:rsid w:val="00540027"/>
    <w:rsid w:val="0054002D"/>
    <w:rsid w:val="0054007F"/>
    <w:rsid w:val="005400CC"/>
    <w:rsid w:val="00540222"/>
    <w:rsid w:val="0054072C"/>
    <w:rsid w:val="00540775"/>
    <w:rsid w:val="005408A3"/>
    <w:rsid w:val="00540957"/>
    <w:rsid w:val="005409CF"/>
    <w:rsid w:val="005414DE"/>
    <w:rsid w:val="005416E3"/>
    <w:rsid w:val="0054183B"/>
    <w:rsid w:val="00541AC8"/>
    <w:rsid w:val="00541E76"/>
    <w:rsid w:val="00541E9C"/>
    <w:rsid w:val="00541FE3"/>
    <w:rsid w:val="005424C1"/>
    <w:rsid w:val="005425E3"/>
    <w:rsid w:val="005426AB"/>
    <w:rsid w:val="0054287D"/>
    <w:rsid w:val="00542996"/>
    <w:rsid w:val="00542A2B"/>
    <w:rsid w:val="00542A70"/>
    <w:rsid w:val="00542C2E"/>
    <w:rsid w:val="00542ECB"/>
    <w:rsid w:val="00542FC9"/>
    <w:rsid w:val="00543028"/>
    <w:rsid w:val="005438B0"/>
    <w:rsid w:val="00543AB9"/>
    <w:rsid w:val="00543C0C"/>
    <w:rsid w:val="00543D41"/>
    <w:rsid w:val="005440D9"/>
    <w:rsid w:val="00544961"/>
    <w:rsid w:val="00544A4D"/>
    <w:rsid w:val="00544DDA"/>
    <w:rsid w:val="00544FD3"/>
    <w:rsid w:val="00545023"/>
    <w:rsid w:val="005453C1"/>
    <w:rsid w:val="005455CA"/>
    <w:rsid w:val="005459D3"/>
    <w:rsid w:val="00545A71"/>
    <w:rsid w:val="00545B46"/>
    <w:rsid w:val="00545D83"/>
    <w:rsid w:val="00546107"/>
    <w:rsid w:val="00546128"/>
    <w:rsid w:val="0054619C"/>
    <w:rsid w:val="0054625D"/>
    <w:rsid w:val="0054631C"/>
    <w:rsid w:val="00546BB6"/>
    <w:rsid w:val="00546FEC"/>
    <w:rsid w:val="005473EC"/>
    <w:rsid w:val="00547608"/>
    <w:rsid w:val="00547AB7"/>
    <w:rsid w:val="00547AD7"/>
    <w:rsid w:val="00547B32"/>
    <w:rsid w:val="00547CBC"/>
    <w:rsid w:val="00547FC3"/>
    <w:rsid w:val="0055004E"/>
    <w:rsid w:val="00550497"/>
    <w:rsid w:val="0055079A"/>
    <w:rsid w:val="00550FA2"/>
    <w:rsid w:val="00550FDF"/>
    <w:rsid w:val="00551282"/>
    <w:rsid w:val="005512B9"/>
    <w:rsid w:val="005514E2"/>
    <w:rsid w:val="005515DD"/>
    <w:rsid w:val="00551616"/>
    <w:rsid w:val="0055184B"/>
    <w:rsid w:val="00551AAA"/>
    <w:rsid w:val="00551B13"/>
    <w:rsid w:val="00551DA9"/>
    <w:rsid w:val="00551E93"/>
    <w:rsid w:val="00551F7A"/>
    <w:rsid w:val="00552047"/>
    <w:rsid w:val="00552767"/>
    <w:rsid w:val="00552777"/>
    <w:rsid w:val="00552813"/>
    <w:rsid w:val="005529C5"/>
    <w:rsid w:val="00552B65"/>
    <w:rsid w:val="00552BF3"/>
    <w:rsid w:val="00552C97"/>
    <w:rsid w:val="00552E98"/>
    <w:rsid w:val="00553008"/>
    <w:rsid w:val="00553246"/>
    <w:rsid w:val="005538A8"/>
    <w:rsid w:val="00553C5C"/>
    <w:rsid w:val="00553E24"/>
    <w:rsid w:val="00554094"/>
    <w:rsid w:val="005540FF"/>
    <w:rsid w:val="00554177"/>
    <w:rsid w:val="005541B8"/>
    <w:rsid w:val="005541F7"/>
    <w:rsid w:val="0055427D"/>
    <w:rsid w:val="005542BB"/>
    <w:rsid w:val="00554399"/>
    <w:rsid w:val="005543AC"/>
    <w:rsid w:val="005543D8"/>
    <w:rsid w:val="005544E9"/>
    <w:rsid w:val="005546A4"/>
    <w:rsid w:val="0055479D"/>
    <w:rsid w:val="00554ADB"/>
    <w:rsid w:val="00554AE9"/>
    <w:rsid w:val="00554C84"/>
    <w:rsid w:val="00554D2D"/>
    <w:rsid w:val="00554DAE"/>
    <w:rsid w:val="00554E0E"/>
    <w:rsid w:val="00554E69"/>
    <w:rsid w:val="00554ECA"/>
    <w:rsid w:val="00554F73"/>
    <w:rsid w:val="00555744"/>
    <w:rsid w:val="005558F8"/>
    <w:rsid w:val="005559DB"/>
    <w:rsid w:val="00555C70"/>
    <w:rsid w:val="00556193"/>
    <w:rsid w:val="00556474"/>
    <w:rsid w:val="00556967"/>
    <w:rsid w:val="005569FB"/>
    <w:rsid w:val="00556A0F"/>
    <w:rsid w:val="00556C4C"/>
    <w:rsid w:val="00556CAC"/>
    <w:rsid w:val="00556E49"/>
    <w:rsid w:val="00557081"/>
    <w:rsid w:val="00557486"/>
    <w:rsid w:val="00557735"/>
    <w:rsid w:val="0055781B"/>
    <w:rsid w:val="0055792A"/>
    <w:rsid w:val="005579F6"/>
    <w:rsid w:val="00557A66"/>
    <w:rsid w:val="00557CBB"/>
    <w:rsid w:val="00557CDF"/>
    <w:rsid w:val="005603B7"/>
    <w:rsid w:val="005604BD"/>
    <w:rsid w:val="00560679"/>
    <w:rsid w:val="00560A10"/>
    <w:rsid w:val="00560B9A"/>
    <w:rsid w:val="00560C0D"/>
    <w:rsid w:val="00560CD3"/>
    <w:rsid w:val="00560D03"/>
    <w:rsid w:val="00560DF3"/>
    <w:rsid w:val="00561040"/>
    <w:rsid w:val="0056106A"/>
    <w:rsid w:val="005610F8"/>
    <w:rsid w:val="00561136"/>
    <w:rsid w:val="00561336"/>
    <w:rsid w:val="0056142D"/>
    <w:rsid w:val="005614CF"/>
    <w:rsid w:val="0056155A"/>
    <w:rsid w:val="005615C9"/>
    <w:rsid w:val="00561721"/>
    <w:rsid w:val="0056173E"/>
    <w:rsid w:val="0056188D"/>
    <w:rsid w:val="005618B9"/>
    <w:rsid w:val="005619B8"/>
    <w:rsid w:val="00561A23"/>
    <w:rsid w:val="00561C86"/>
    <w:rsid w:val="00561F63"/>
    <w:rsid w:val="005620F4"/>
    <w:rsid w:val="00562463"/>
    <w:rsid w:val="0056268B"/>
    <w:rsid w:val="005627F6"/>
    <w:rsid w:val="0056286D"/>
    <w:rsid w:val="005628FB"/>
    <w:rsid w:val="00562B3A"/>
    <w:rsid w:val="00562C00"/>
    <w:rsid w:val="00562F04"/>
    <w:rsid w:val="005630E5"/>
    <w:rsid w:val="0056311A"/>
    <w:rsid w:val="0056355A"/>
    <w:rsid w:val="00563785"/>
    <w:rsid w:val="00563CBF"/>
    <w:rsid w:val="00563E93"/>
    <w:rsid w:val="005640B6"/>
    <w:rsid w:val="00564190"/>
    <w:rsid w:val="005644FE"/>
    <w:rsid w:val="00564503"/>
    <w:rsid w:val="00564590"/>
    <w:rsid w:val="00564804"/>
    <w:rsid w:val="00564931"/>
    <w:rsid w:val="00564ACF"/>
    <w:rsid w:val="00564B0D"/>
    <w:rsid w:val="00564E2A"/>
    <w:rsid w:val="005650E8"/>
    <w:rsid w:val="00565278"/>
    <w:rsid w:val="005654FE"/>
    <w:rsid w:val="005655B5"/>
    <w:rsid w:val="005655E5"/>
    <w:rsid w:val="00565841"/>
    <w:rsid w:val="005658B9"/>
    <w:rsid w:val="00565B8B"/>
    <w:rsid w:val="00565DD3"/>
    <w:rsid w:val="00566107"/>
    <w:rsid w:val="00566457"/>
    <w:rsid w:val="0056649E"/>
    <w:rsid w:val="0056668A"/>
    <w:rsid w:val="005668E5"/>
    <w:rsid w:val="005670A9"/>
    <w:rsid w:val="00567256"/>
    <w:rsid w:val="005672AE"/>
    <w:rsid w:val="0056734C"/>
    <w:rsid w:val="005673E6"/>
    <w:rsid w:val="005674D6"/>
    <w:rsid w:val="005675EB"/>
    <w:rsid w:val="00567720"/>
    <w:rsid w:val="0057011E"/>
    <w:rsid w:val="005701F6"/>
    <w:rsid w:val="0057064F"/>
    <w:rsid w:val="0057091D"/>
    <w:rsid w:val="00570C76"/>
    <w:rsid w:val="00570DC1"/>
    <w:rsid w:val="00570F7E"/>
    <w:rsid w:val="005710D4"/>
    <w:rsid w:val="00571132"/>
    <w:rsid w:val="00571230"/>
    <w:rsid w:val="0057135D"/>
    <w:rsid w:val="005716BD"/>
    <w:rsid w:val="0057171F"/>
    <w:rsid w:val="0057186C"/>
    <w:rsid w:val="00571B88"/>
    <w:rsid w:val="00572643"/>
    <w:rsid w:val="0057274D"/>
    <w:rsid w:val="00572981"/>
    <w:rsid w:val="00572C62"/>
    <w:rsid w:val="00572CA1"/>
    <w:rsid w:val="00572CCB"/>
    <w:rsid w:val="00572DEF"/>
    <w:rsid w:val="00572EA2"/>
    <w:rsid w:val="00572FF2"/>
    <w:rsid w:val="00573263"/>
    <w:rsid w:val="005734E3"/>
    <w:rsid w:val="00573966"/>
    <w:rsid w:val="00574124"/>
    <w:rsid w:val="00574223"/>
    <w:rsid w:val="00574286"/>
    <w:rsid w:val="00574847"/>
    <w:rsid w:val="00574969"/>
    <w:rsid w:val="005749F2"/>
    <w:rsid w:val="00574BC2"/>
    <w:rsid w:val="00574D94"/>
    <w:rsid w:val="00575143"/>
    <w:rsid w:val="005752C7"/>
    <w:rsid w:val="005754F3"/>
    <w:rsid w:val="0057563F"/>
    <w:rsid w:val="005758A5"/>
    <w:rsid w:val="00575F05"/>
    <w:rsid w:val="00575F90"/>
    <w:rsid w:val="00576285"/>
    <w:rsid w:val="005762D6"/>
    <w:rsid w:val="00576320"/>
    <w:rsid w:val="0057632C"/>
    <w:rsid w:val="0057639A"/>
    <w:rsid w:val="005764DC"/>
    <w:rsid w:val="005767AD"/>
    <w:rsid w:val="005769BF"/>
    <w:rsid w:val="00576C2E"/>
    <w:rsid w:val="00576E6A"/>
    <w:rsid w:val="00576F7E"/>
    <w:rsid w:val="00576F93"/>
    <w:rsid w:val="00576F96"/>
    <w:rsid w:val="00577044"/>
    <w:rsid w:val="00577129"/>
    <w:rsid w:val="005771DC"/>
    <w:rsid w:val="00577209"/>
    <w:rsid w:val="00577B15"/>
    <w:rsid w:val="00577DD5"/>
    <w:rsid w:val="00580022"/>
    <w:rsid w:val="005800E4"/>
    <w:rsid w:val="00580159"/>
    <w:rsid w:val="00580312"/>
    <w:rsid w:val="00580375"/>
    <w:rsid w:val="005805A3"/>
    <w:rsid w:val="00580861"/>
    <w:rsid w:val="00580A14"/>
    <w:rsid w:val="00580E7F"/>
    <w:rsid w:val="00580F13"/>
    <w:rsid w:val="005811C2"/>
    <w:rsid w:val="005811F0"/>
    <w:rsid w:val="0058135F"/>
    <w:rsid w:val="00581413"/>
    <w:rsid w:val="00581741"/>
    <w:rsid w:val="005817D6"/>
    <w:rsid w:val="0058185C"/>
    <w:rsid w:val="00581AEE"/>
    <w:rsid w:val="00581D9C"/>
    <w:rsid w:val="005820C8"/>
    <w:rsid w:val="00582132"/>
    <w:rsid w:val="00582139"/>
    <w:rsid w:val="00582151"/>
    <w:rsid w:val="0058255D"/>
    <w:rsid w:val="00582604"/>
    <w:rsid w:val="005827D9"/>
    <w:rsid w:val="00582F9E"/>
    <w:rsid w:val="00582FB8"/>
    <w:rsid w:val="005833C1"/>
    <w:rsid w:val="0058345D"/>
    <w:rsid w:val="00583594"/>
    <w:rsid w:val="005835A5"/>
    <w:rsid w:val="00583663"/>
    <w:rsid w:val="00583B62"/>
    <w:rsid w:val="00583BFA"/>
    <w:rsid w:val="00583CB6"/>
    <w:rsid w:val="00583D39"/>
    <w:rsid w:val="00583D5E"/>
    <w:rsid w:val="00584032"/>
    <w:rsid w:val="005841C3"/>
    <w:rsid w:val="00584562"/>
    <w:rsid w:val="005847AC"/>
    <w:rsid w:val="00584824"/>
    <w:rsid w:val="0058482B"/>
    <w:rsid w:val="00584869"/>
    <w:rsid w:val="0058486D"/>
    <w:rsid w:val="00584ACF"/>
    <w:rsid w:val="00584AD7"/>
    <w:rsid w:val="00584CE7"/>
    <w:rsid w:val="00584EA7"/>
    <w:rsid w:val="00584F57"/>
    <w:rsid w:val="005852E9"/>
    <w:rsid w:val="005854B3"/>
    <w:rsid w:val="005859C6"/>
    <w:rsid w:val="00585EF8"/>
    <w:rsid w:val="005861E5"/>
    <w:rsid w:val="00586698"/>
    <w:rsid w:val="005866B8"/>
    <w:rsid w:val="00586B3C"/>
    <w:rsid w:val="00586D97"/>
    <w:rsid w:val="00586F52"/>
    <w:rsid w:val="005872EE"/>
    <w:rsid w:val="005873C1"/>
    <w:rsid w:val="005877FC"/>
    <w:rsid w:val="00587962"/>
    <w:rsid w:val="00587A62"/>
    <w:rsid w:val="0059006C"/>
    <w:rsid w:val="005900ED"/>
    <w:rsid w:val="0059036F"/>
    <w:rsid w:val="00590494"/>
    <w:rsid w:val="005904D5"/>
    <w:rsid w:val="00590784"/>
    <w:rsid w:val="005907D9"/>
    <w:rsid w:val="0059091E"/>
    <w:rsid w:val="00590B5B"/>
    <w:rsid w:val="00590F42"/>
    <w:rsid w:val="00591094"/>
    <w:rsid w:val="005910D7"/>
    <w:rsid w:val="0059143E"/>
    <w:rsid w:val="005916B5"/>
    <w:rsid w:val="00591906"/>
    <w:rsid w:val="00591986"/>
    <w:rsid w:val="00591C95"/>
    <w:rsid w:val="00591DCA"/>
    <w:rsid w:val="00591F31"/>
    <w:rsid w:val="00591FB3"/>
    <w:rsid w:val="00592000"/>
    <w:rsid w:val="005920E5"/>
    <w:rsid w:val="00592122"/>
    <w:rsid w:val="00592278"/>
    <w:rsid w:val="005922F8"/>
    <w:rsid w:val="0059233B"/>
    <w:rsid w:val="005925C5"/>
    <w:rsid w:val="00592624"/>
    <w:rsid w:val="00592719"/>
    <w:rsid w:val="00592ACA"/>
    <w:rsid w:val="00592AD5"/>
    <w:rsid w:val="00592BA4"/>
    <w:rsid w:val="00592CC1"/>
    <w:rsid w:val="00592EF0"/>
    <w:rsid w:val="00592FF7"/>
    <w:rsid w:val="00593175"/>
    <w:rsid w:val="005931CC"/>
    <w:rsid w:val="00593510"/>
    <w:rsid w:val="00593558"/>
    <w:rsid w:val="00593696"/>
    <w:rsid w:val="00593EA9"/>
    <w:rsid w:val="00594083"/>
    <w:rsid w:val="0059414F"/>
    <w:rsid w:val="005944A3"/>
    <w:rsid w:val="005946F6"/>
    <w:rsid w:val="00594759"/>
    <w:rsid w:val="005947A2"/>
    <w:rsid w:val="005947A6"/>
    <w:rsid w:val="0059480F"/>
    <w:rsid w:val="0059499A"/>
    <w:rsid w:val="00594C1A"/>
    <w:rsid w:val="00595003"/>
    <w:rsid w:val="005951DF"/>
    <w:rsid w:val="0059524E"/>
    <w:rsid w:val="005959FB"/>
    <w:rsid w:val="00595E2A"/>
    <w:rsid w:val="00595F13"/>
    <w:rsid w:val="00595F31"/>
    <w:rsid w:val="0059609F"/>
    <w:rsid w:val="00596D29"/>
    <w:rsid w:val="00596F51"/>
    <w:rsid w:val="00597020"/>
    <w:rsid w:val="0059724A"/>
    <w:rsid w:val="005972C1"/>
    <w:rsid w:val="0059732B"/>
    <w:rsid w:val="005978A8"/>
    <w:rsid w:val="00597AEC"/>
    <w:rsid w:val="00597BAC"/>
    <w:rsid w:val="00597CEA"/>
    <w:rsid w:val="00597DA2"/>
    <w:rsid w:val="00597DB1"/>
    <w:rsid w:val="00597F5E"/>
    <w:rsid w:val="00597FF2"/>
    <w:rsid w:val="005A0116"/>
    <w:rsid w:val="005A019F"/>
    <w:rsid w:val="005A0265"/>
    <w:rsid w:val="005A05A9"/>
    <w:rsid w:val="005A0609"/>
    <w:rsid w:val="005A06FE"/>
    <w:rsid w:val="005A0814"/>
    <w:rsid w:val="005A084F"/>
    <w:rsid w:val="005A0882"/>
    <w:rsid w:val="005A09B1"/>
    <w:rsid w:val="005A0AAA"/>
    <w:rsid w:val="005A0C40"/>
    <w:rsid w:val="005A0DD6"/>
    <w:rsid w:val="005A0FA0"/>
    <w:rsid w:val="005A1112"/>
    <w:rsid w:val="005A1122"/>
    <w:rsid w:val="005A121F"/>
    <w:rsid w:val="005A1265"/>
    <w:rsid w:val="005A17D4"/>
    <w:rsid w:val="005A1862"/>
    <w:rsid w:val="005A1930"/>
    <w:rsid w:val="005A19C2"/>
    <w:rsid w:val="005A1C10"/>
    <w:rsid w:val="005A1FBE"/>
    <w:rsid w:val="005A228E"/>
    <w:rsid w:val="005A23F4"/>
    <w:rsid w:val="005A26E3"/>
    <w:rsid w:val="005A27E0"/>
    <w:rsid w:val="005A283D"/>
    <w:rsid w:val="005A28F1"/>
    <w:rsid w:val="005A29B9"/>
    <w:rsid w:val="005A2E39"/>
    <w:rsid w:val="005A2FCF"/>
    <w:rsid w:val="005A3004"/>
    <w:rsid w:val="005A316A"/>
    <w:rsid w:val="005A323C"/>
    <w:rsid w:val="005A333C"/>
    <w:rsid w:val="005A33BC"/>
    <w:rsid w:val="005A3401"/>
    <w:rsid w:val="005A3798"/>
    <w:rsid w:val="005A37F1"/>
    <w:rsid w:val="005A3D97"/>
    <w:rsid w:val="005A3E3E"/>
    <w:rsid w:val="005A3FAE"/>
    <w:rsid w:val="005A4077"/>
    <w:rsid w:val="005A4087"/>
    <w:rsid w:val="005A40F8"/>
    <w:rsid w:val="005A41CE"/>
    <w:rsid w:val="005A4297"/>
    <w:rsid w:val="005A458C"/>
    <w:rsid w:val="005A4938"/>
    <w:rsid w:val="005A4A7B"/>
    <w:rsid w:val="005A4AA1"/>
    <w:rsid w:val="005A4F2B"/>
    <w:rsid w:val="005A537B"/>
    <w:rsid w:val="005A5403"/>
    <w:rsid w:val="005A544B"/>
    <w:rsid w:val="005A5DFA"/>
    <w:rsid w:val="005A5F73"/>
    <w:rsid w:val="005A6093"/>
    <w:rsid w:val="005A60D3"/>
    <w:rsid w:val="005A678D"/>
    <w:rsid w:val="005A69A3"/>
    <w:rsid w:val="005A6E6C"/>
    <w:rsid w:val="005A6E81"/>
    <w:rsid w:val="005A739C"/>
    <w:rsid w:val="005A7570"/>
    <w:rsid w:val="005A76E3"/>
    <w:rsid w:val="005A7868"/>
    <w:rsid w:val="005A7C0F"/>
    <w:rsid w:val="005A7CDA"/>
    <w:rsid w:val="005A7DCF"/>
    <w:rsid w:val="005B0068"/>
    <w:rsid w:val="005B0211"/>
    <w:rsid w:val="005B06D2"/>
    <w:rsid w:val="005B0C78"/>
    <w:rsid w:val="005B0FCC"/>
    <w:rsid w:val="005B1036"/>
    <w:rsid w:val="005B10CC"/>
    <w:rsid w:val="005B11B9"/>
    <w:rsid w:val="005B1300"/>
    <w:rsid w:val="005B1401"/>
    <w:rsid w:val="005B1BF2"/>
    <w:rsid w:val="005B1D14"/>
    <w:rsid w:val="005B1F28"/>
    <w:rsid w:val="005B1FE8"/>
    <w:rsid w:val="005B21FF"/>
    <w:rsid w:val="005B232F"/>
    <w:rsid w:val="005B243D"/>
    <w:rsid w:val="005B2456"/>
    <w:rsid w:val="005B2541"/>
    <w:rsid w:val="005B256F"/>
    <w:rsid w:val="005B264B"/>
    <w:rsid w:val="005B2652"/>
    <w:rsid w:val="005B2AB4"/>
    <w:rsid w:val="005B2C2D"/>
    <w:rsid w:val="005B2DF0"/>
    <w:rsid w:val="005B2EC1"/>
    <w:rsid w:val="005B2FD9"/>
    <w:rsid w:val="005B32F7"/>
    <w:rsid w:val="005B3490"/>
    <w:rsid w:val="005B35CE"/>
    <w:rsid w:val="005B3796"/>
    <w:rsid w:val="005B3A8A"/>
    <w:rsid w:val="005B3AA1"/>
    <w:rsid w:val="005B3D3C"/>
    <w:rsid w:val="005B3E20"/>
    <w:rsid w:val="005B3F72"/>
    <w:rsid w:val="005B4922"/>
    <w:rsid w:val="005B4BC6"/>
    <w:rsid w:val="005B4BDF"/>
    <w:rsid w:val="005B4C09"/>
    <w:rsid w:val="005B4C8F"/>
    <w:rsid w:val="005B4F73"/>
    <w:rsid w:val="005B52F4"/>
    <w:rsid w:val="005B54C6"/>
    <w:rsid w:val="005B552A"/>
    <w:rsid w:val="005B57D1"/>
    <w:rsid w:val="005B5A8C"/>
    <w:rsid w:val="005B5BA6"/>
    <w:rsid w:val="005B5DE6"/>
    <w:rsid w:val="005B5EB9"/>
    <w:rsid w:val="005B625E"/>
    <w:rsid w:val="005B62CB"/>
    <w:rsid w:val="005B6C64"/>
    <w:rsid w:val="005B6D1E"/>
    <w:rsid w:val="005B7181"/>
    <w:rsid w:val="005B7262"/>
    <w:rsid w:val="005B7360"/>
    <w:rsid w:val="005B7375"/>
    <w:rsid w:val="005B79E7"/>
    <w:rsid w:val="005B7CE8"/>
    <w:rsid w:val="005B7D16"/>
    <w:rsid w:val="005B7DD4"/>
    <w:rsid w:val="005B7FE5"/>
    <w:rsid w:val="005C0537"/>
    <w:rsid w:val="005C06FC"/>
    <w:rsid w:val="005C0A39"/>
    <w:rsid w:val="005C0AC0"/>
    <w:rsid w:val="005C0BD0"/>
    <w:rsid w:val="005C0F4F"/>
    <w:rsid w:val="005C1027"/>
    <w:rsid w:val="005C10D9"/>
    <w:rsid w:val="005C13B6"/>
    <w:rsid w:val="005C1418"/>
    <w:rsid w:val="005C15C4"/>
    <w:rsid w:val="005C168F"/>
    <w:rsid w:val="005C17C7"/>
    <w:rsid w:val="005C18B9"/>
    <w:rsid w:val="005C19FC"/>
    <w:rsid w:val="005C1A9C"/>
    <w:rsid w:val="005C1C69"/>
    <w:rsid w:val="005C1CCF"/>
    <w:rsid w:val="005C1DBF"/>
    <w:rsid w:val="005C1E1F"/>
    <w:rsid w:val="005C21D2"/>
    <w:rsid w:val="005C2301"/>
    <w:rsid w:val="005C264E"/>
    <w:rsid w:val="005C27FB"/>
    <w:rsid w:val="005C2931"/>
    <w:rsid w:val="005C2A13"/>
    <w:rsid w:val="005C2AEE"/>
    <w:rsid w:val="005C2C59"/>
    <w:rsid w:val="005C2DD0"/>
    <w:rsid w:val="005C30B1"/>
    <w:rsid w:val="005C336E"/>
    <w:rsid w:val="005C3968"/>
    <w:rsid w:val="005C39C7"/>
    <w:rsid w:val="005C401C"/>
    <w:rsid w:val="005C418D"/>
    <w:rsid w:val="005C42D8"/>
    <w:rsid w:val="005C43EF"/>
    <w:rsid w:val="005C44E0"/>
    <w:rsid w:val="005C454F"/>
    <w:rsid w:val="005C45D4"/>
    <w:rsid w:val="005C46ED"/>
    <w:rsid w:val="005C4830"/>
    <w:rsid w:val="005C4A33"/>
    <w:rsid w:val="005C4C5E"/>
    <w:rsid w:val="005C4E7C"/>
    <w:rsid w:val="005C51E2"/>
    <w:rsid w:val="005C5433"/>
    <w:rsid w:val="005C5557"/>
    <w:rsid w:val="005C5639"/>
    <w:rsid w:val="005C58E2"/>
    <w:rsid w:val="005C5E38"/>
    <w:rsid w:val="005C5E89"/>
    <w:rsid w:val="005C6011"/>
    <w:rsid w:val="005C60E9"/>
    <w:rsid w:val="005C618B"/>
    <w:rsid w:val="005C65E5"/>
    <w:rsid w:val="005C6810"/>
    <w:rsid w:val="005C6C26"/>
    <w:rsid w:val="005C6F76"/>
    <w:rsid w:val="005C730C"/>
    <w:rsid w:val="005C751C"/>
    <w:rsid w:val="005C7557"/>
    <w:rsid w:val="005C7A55"/>
    <w:rsid w:val="005C7BBF"/>
    <w:rsid w:val="005C7F33"/>
    <w:rsid w:val="005D00C0"/>
    <w:rsid w:val="005D0289"/>
    <w:rsid w:val="005D053B"/>
    <w:rsid w:val="005D0AF7"/>
    <w:rsid w:val="005D0C7E"/>
    <w:rsid w:val="005D0D5D"/>
    <w:rsid w:val="005D1185"/>
    <w:rsid w:val="005D12F8"/>
    <w:rsid w:val="005D135A"/>
    <w:rsid w:val="005D13E4"/>
    <w:rsid w:val="005D15C5"/>
    <w:rsid w:val="005D168A"/>
    <w:rsid w:val="005D193A"/>
    <w:rsid w:val="005D1E62"/>
    <w:rsid w:val="005D1FF2"/>
    <w:rsid w:val="005D2094"/>
    <w:rsid w:val="005D20D5"/>
    <w:rsid w:val="005D215F"/>
    <w:rsid w:val="005D21D3"/>
    <w:rsid w:val="005D2369"/>
    <w:rsid w:val="005D2467"/>
    <w:rsid w:val="005D2525"/>
    <w:rsid w:val="005D2529"/>
    <w:rsid w:val="005D25A5"/>
    <w:rsid w:val="005D25B8"/>
    <w:rsid w:val="005D2978"/>
    <w:rsid w:val="005D2C32"/>
    <w:rsid w:val="005D316F"/>
    <w:rsid w:val="005D339F"/>
    <w:rsid w:val="005D34C5"/>
    <w:rsid w:val="005D358D"/>
    <w:rsid w:val="005D37C6"/>
    <w:rsid w:val="005D39F4"/>
    <w:rsid w:val="005D3A36"/>
    <w:rsid w:val="005D3BA4"/>
    <w:rsid w:val="005D3C14"/>
    <w:rsid w:val="005D41DE"/>
    <w:rsid w:val="005D41F5"/>
    <w:rsid w:val="005D422F"/>
    <w:rsid w:val="005D49F4"/>
    <w:rsid w:val="005D4B3F"/>
    <w:rsid w:val="005D4C5D"/>
    <w:rsid w:val="005D4C96"/>
    <w:rsid w:val="005D4EB2"/>
    <w:rsid w:val="005D4FD5"/>
    <w:rsid w:val="005D5226"/>
    <w:rsid w:val="005D55A2"/>
    <w:rsid w:val="005D5631"/>
    <w:rsid w:val="005D56EF"/>
    <w:rsid w:val="005D5934"/>
    <w:rsid w:val="005D5A7F"/>
    <w:rsid w:val="005D5BB5"/>
    <w:rsid w:val="005D5BD6"/>
    <w:rsid w:val="005D5D4B"/>
    <w:rsid w:val="005D5EB6"/>
    <w:rsid w:val="005D63F3"/>
    <w:rsid w:val="005D6530"/>
    <w:rsid w:val="005D6587"/>
    <w:rsid w:val="005D65EA"/>
    <w:rsid w:val="005D664D"/>
    <w:rsid w:val="005D6651"/>
    <w:rsid w:val="005D66A6"/>
    <w:rsid w:val="005D66D8"/>
    <w:rsid w:val="005D6830"/>
    <w:rsid w:val="005D692F"/>
    <w:rsid w:val="005D6F0A"/>
    <w:rsid w:val="005D6FC6"/>
    <w:rsid w:val="005D7040"/>
    <w:rsid w:val="005D71AB"/>
    <w:rsid w:val="005D71CB"/>
    <w:rsid w:val="005D71D2"/>
    <w:rsid w:val="005D73A2"/>
    <w:rsid w:val="005D73E3"/>
    <w:rsid w:val="005D74F6"/>
    <w:rsid w:val="005D7724"/>
    <w:rsid w:val="005D7726"/>
    <w:rsid w:val="005D785A"/>
    <w:rsid w:val="005D7BA9"/>
    <w:rsid w:val="005D7CAF"/>
    <w:rsid w:val="005D7E18"/>
    <w:rsid w:val="005D7EF7"/>
    <w:rsid w:val="005E0048"/>
    <w:rsid w:val="005E017B"/>
    <w:rsid w:val="005E0202"/>
    <w:rsid w:val="005E0592"/>
    <w:rsid w:val="005E0667"/>
    <w:rsid w:val="005E0AE1"/>
    <w:rsid w:val="005E0BDC"/>
    <w:rsid w:val="005E0D43"/>
    <w:rsid w:val="005E0E1A"/>
    <w:rsid w:val="005E0E20"/>
    <w:rsid w:val="005E0E86"/>
    <w:rsid w:val="005E1109"/>
    <w:rsid w:val="005E11DE"/>
    <w:rsid w:val="005E140D"/>
    <w:rsid w:val="005E1476"/>
    <w:rsid w:val="005E1601"/>
    <w:rsid w:val="005E169D"/>
    <w:rsid w:val="005E19E9"/>
    <w:rsid w:val="005E1A16"/>
    <w:rsid w:val="005E1A70"/>
    <w:rsid w:val="005E1AC4"/>
    <w:rsid w:val="005E1BD9"/>
    <w:rsid w:val="005E1F04"/>
    <w:rsid w:val="005E21C5"/>
    <w:rsid w:val="005E2304"/>
    <w:rsid w:val="005E247D"/>
    <w:rsid w:val="005E2484"/>
    <w:rsid w:val="005E279E"/>
    <w:rsid w:val="005E2E71"/>
    <w:rsid w:val="005E2FE8"/>
    <w:rsid w:val="005E321D"/>
    <w:rsid w:val="005E3286"/>
    <w:rsid w:val="005E34F7"/>
    <w:rsid w:val="005E3838"/>
    <w:rsid w:val="005E3904"/>
    <w:rsid w:val="005E393A"/>
    <w:rsid w:val="005E3947"/>
    <w:rsid w:val="005E3972"/>
    <w:rsid w:val="005E3BF7"/>
    <w:rsid w:val="005E3CF7"/>
    <w:rsid w:val="005E3FFD"/>
    <w:rsid w:val="005E401D"/>
    <w:rsid w:val="005E4102"/>
    <w:rsid w:val="005E4339"/>
    <w:rsid w:val="005E4449"/>
    <w:rsid w:val="005E4775"/>
    <w:rsid w:val="005E4804"/>
    <w:rsid w:val="005E480D"/>
    <w:rsid w:val="005E483D"/>
    <w:rsid w:val="005E4B6E"/>
    <w:rsid w:val="005E4E5B"/>
    <w:rsid w:val="005E4EB6"/>
    <w:rsid w:val="005E4FCA"/>
    <w:rsid w:val="005E524B"/>
    <w:rsid w:val="005E5543"/>
    <w:rsid w:val="005E5854"/>
    <w:rsid w:val="005E5A21"/>
    <w:rsid w:val="005E5C35"/>
    <w:rsid w:val="005E5DC0"/>
    <w:rsid w:val="005E5EBB"/>
    <w:rsid w:val="005E5ED2"/>
    <w:rsid w:val="005E5FA6"/>
    <w:rsid w:val="005E6035"/>
    <w:rsid w:val="005E62F8"/>
    <w:rsid w:val="005E63CE"/>
    <w:rsid w:val="005E6514"/>
    <w:rsid w:val="005E6522"/>
    <w:rsid w:val="005E66BB"/>
    <w:rsid w:val="005E6B3F"/>
    <w:rsid w:val="005E7793"/>
    <w:rsid w:val="005E7A05"/>
    <w:rsid w:val="005E7ACA"/>
    <w:rsid w:val="005E7D8B"/>
    <w:rsid w:val="005F002F"/>
    <w:rsid w:val="005F0204"/>
    <w:rsid w:val="005F03E7"/>
    <w:rsid w:val="005F0620"/>
    <w:rsid w:val="005F0702"/>
    <w:rsid w:val="005F0AAE"/>
    <w:rsid w:val="005F0BDC"/>
    <w:rsid w:val="005F0E68"/>
    <w:rsid w:val="005F10D0"/>
    <w:rsid w:val="005F193D"/>
    <w:rsid w:val="005F1A94"/>
    <w:rsid w:val="005F1F59"/>
    <w:rsid w:val="005F2100"/>
    <w:rsid w:val="005F255D"/>
    <w:rsid w:val="005F2583"/>
    <w:rsid w:val="005F26D3"/>
    <w:rsid w:val="005F2997"/>
    <w:rsid w:val="005F2B1D"/>
    <w:rsid w:val="005F2BA9"/>
    <w:rsid w:val="005F2F96"/>
    <w:rsid w:val="005F319C"/>
    <w:rsid w:val="005F31A3"/>
    <w:rsid w:val="005F3204"/>
    <w:rsid w:val="005F34C6"/>
    <w:rsid w:val="005F37A4"/>
    <w:rsid w:val="005F3875"/>
    <w:rsid w:val="005F3988"/>
    <w:rsid w:val="005F3A40"/>
    <w:rsid w:val="005F3B12"/>
    <w:rsid w:val="005F3C05"/>
    <w:rsid w:val="005F3D01"/>
    <w:rsid w:val="005F3D38"/>
    <w:rsid w:val="005F3EC6"/>
    <w:rsid w:val="005F3F74"/>
    <w:rsid w:val="005F3F92"/>
    <w:rsid w:val="005F40A1"/>
    <w:rsid w:val="005F4115"/>
    <w:rsid w:val="005F4192"/>
    <w:rsid w:val="005F438C"/>
    <w:rsid w:val="005F470F"/>
    <w:rsid w:val="005F48CA"/>
    <w:rsid w:val="005F4B09"/>
    <w:rsid w:val="005F52B8"/>
    <w:rsid w:val="005F54B8"/>
    <w:rsid w:val="005F567E"/>
    <w:rsid w:val="005F5857"/>
    <w:rsid w:val="005F596A"/>
    <w:rsid w:val="005F5A25"/>
    <w:rsid w:val="005F5A9F"/>
    <w:rsid w:val="005F5BE5"/>
    <w:rsid w:val="005F5CD5"/>
    <w:rsid w:val="005F5D1E"/>
    <w:rsid w:val="005F5E76"/>
    <w:rsid w:val="005F60A2"/>
    <w:rsid w:val="005F60E5"/>
    <w:rsid w:val="005F6178"/>
    <w:rsid w:val="005F6210"/>
    <w:rsid w:val="005F6370"/>
    <w:rsid w:val="005F64B6"/>
    <w:rsid w:val="005F64D7"/>
    <w:rsid w:val="005F6511"/>
    <w:rsid w:val="005F676B"/>
    <w:rsid w:val="005F6B15"/>
    <w:rsid w:val="005F6C29"/>
    <w:rsid w:val="005F6D7A"/>
    <w:rsid w:val="005F6E5D"/>
    <w:rsid w:val="005F6EBC"/>
    <w:rsid w:val="005F7185"/>
    <w:rsid w:val="005F72FA"/>
    <w:rsid w:val="005F7629"/>
    <w:rsid w:val="005F78E3"/>
    <w:rsid w:val="005F7970"/>
    <w:rsid w:val="005F7C35"/>
    <w:rsid w:val="005F7C6C"/>
    <w:rsid w:val="005F7E40"/>
    <w:rsid w:val="0060013F"/>
    <w:rsid w:val="0060029C"/>
    <w:rsid w:val="00600580"/>
    <w:rsid w:val="00600777"/>
    <w:rsid w:val="006008CC"/>
    <w:rsid w:val="0060098D"/>
    <w:rsid w:val="00600AEB"/>
    <w:rsid w:val="00600C23"/>
    <w:rsid w:val="00600C47"/>
    <w:rsid w:val="00600C53"/>
    <w:rsid w:val="00600D24"/>
    <w:rsid w:val="0060123F"/>
    <w:rsid w:val="00601319"/>
    <w:rsid w:val="00601496"/>
    <w:rsid w:val="0060186D"/>
    <w:rsid w:val="00601946"/>
    <w:rsid w:val="00601B7D"/>
    <w:rsid w:val="00601D6A"/>
    <w:rsid w:val="00601DAC"/>
    <w:rsid w:val="00601E68"/>
    <w:rsid w:val="00602282"/>
    <w:rsid w:val="00602452"/>
    <w:rsid w:val="006025D5"/>
    <w:rsid w:val="006026CE"/>
    <w:rsid w:val="00602924"/>
    <w:rsid w:val="0060295C"/>
    <w:rsid w:val="0060297A"/>
    <w:rsid w:val="006029C8"/>
    <w:rsid w:val="00602BE7"/>
    <w:rsid w:val="00602C7C"/>
    <w:rsid w:val="00602DF9"/>
    <w:rsid w:val="00602E16"/>
    <w:rsid w:val="00602FFB"/>
    <w:rsid w:val="0060311D"/>
    <w:rsid w:val="006033DF"/>
    <w:rsid w:val="00603498"/>
    <w:rsid w:val="0060367B"/>
    <w:rsid w:val="006039D7"/>
    <w:rsid w:val="00603FC7"/>
    <w:rsid w:val="00604049"/>
    <w:rsid w:val="00604118"/>
    <w:rsid w:val="00604148"/>
    <w:rsid w:val="006045C3"/>
    <w:rsid w:val="00604674"/>
    <w:rsid w:val="006051C4"/>
    <w:rsid w:val="006054EA"/>
    <w:rsid w:val="00605ABF"/>
    <w:rsid w:val="00605AC4"/>
    <w:rsid w:val="00605B9C"/>
    <w:rsid w:val="00605C56"/>
    <w:rsid w:val="00605D30"/>
    <w:rsid w:val="00605F05"/>
    <w:rsid w:val="006062B0"/>
    <w:rsid w:val="006064AF"/>
    <w:rsid w:val="006064C0"/>
    <w:rsid w:val="00606816"/>
    <w:rsid w:val="00606817"/>
    <w:rsid w:val="00606962"/>
    <w:rsid w:val="00606C1D"/>
    <w:rsid w:val="00606C7A"/>
    <w:rsid w:val="0060705B"/>
    <w:rsid w:val="006073C9"/>
    <w:rsid w:val="00607432"/>
    <w:rsid w:val="00607554"/>
    <w:rsid w:val="0060760A"/>
    <w:rsid w:val="00607645"/>
    <w:rsid w:val="0060767F"/>
    <w:rsid w:val="006076C5"/>
    <w:rsid w:val="00607B64"/>
    <w:rsid w:val="00607CDC"/>
    <w:rsid w:val="00610543"/>
    <w:rsid w:val="0061056F"/>
    <w:rsid w:val="006105CB"/>
    <w:rsid w:val="006107FF"/>
    <w:rsid w:val="006108BF"/>
    <w:rsid w:val="00610914"/>
    <w:rsid w:val="0061092A"/>
    <w:rsid w:val="00610B89"/>
    <w:rsid w:val="00610BFA"/>
    <w:rsid w:val="00610CD3"/>
    <w:rsid w:val="00610D5C"/>
    <w:rsid w:val="00610F16"/>
    <w:rsid w:val="006112A4"/>
    <w:rsid w:val="00611554"/>
    <w:rsid w:val="006115CB"/>
    <w:rsid w:val="00611777"/>
    <w:rsid w:val="0061180A"/>
    <w:rsid w:val="00611938"/>
    <w:rsid w:val="00611A58"/>
    <w:rsid w:val="00611CB0"/>
    <w:rsid w:val="006123BB"/>
    <w:rsid w:val="00613005"/>
    <w:rsid w:val="00613208"/>
    <w:rsid w:val="0061321B"/>
    <w:rsid w:val="00613237"/>
    <w:rsid w:val="006133A6"/>
    <w:rsid w:val="00613404"/>
    <w:rsid w:val="006134BB"/>
    <w:rsid w:val="006135C8"/>
    <w:rsid w:val="00613711"/>
    <w:rsid w:val="0061371E"/>
    <w:rsid w:val="00613768"/>
    <w:rsid w:val="006137BE"/>
    <w:rsid w:val="006139D6"/>
    <w:rsid w:val="00613F76"/>
    <w:rsid w:val="00614434"/>
    <w:rsid w:val="0061453D"/>
    <w:rsid w:val="00614604"/>
    <w:rsid w:val="00614656"/>
    <w:rsid w:val="006148B0"/>
    <w:rsid w:val="00614D5D"/>
    <w:rsid w:val="00614E3B"/>
    <w:rsid w:val="00614E60"/>
    <w:rsid w:val="00615181"/>
    <w:rsid w:val="00615318"/>
    <w:rsid w:val="00615366"/>
    <w:rsid w:val="0061557D"/>
    <w:rsid w:val="00615671"/>
    <w:rsid w:val="00615D6F"/>
    <w:rsid w:val="00615EC9"/>
    <w:rsid w:val="00615F29"/>
    <w:rsid w:val="00615F65"/>
    <w:rsid w:val="00616168"/>
    <w:rsid w:val="0061635B"/>
    <w:rsid w:val="00616499"/>
    <w:rsid w:val="006164AC"/>
    <w:rsid w:val="00616582"/>
    <w:rsid w:val="0061684F"/>
    <w:rsid w:val="00616ADD"/>
    <w:rsid w:val="00616BBA"/>
    <w:rsid w:val="00616BF4"/>
    <w:rsid w:val="00616F1E"/>
    <w:rsid w:val="00616F4C"/>
    <w:rsid w:val="0061730D"/>
    <w:rsid w:val="0061792C"/>
    <w:rsid w:val="00617A60"/>
    <w:rsid w:val="00617CDD"/>
    <w:rsid w:val="00617DBD"/>
    <w:rsid w:val="00617E2D"/>
    <w:rsid w:val="006200A3"/>
    <w:rsid w:val="00620113"/>
    <w:rsid w:val="006201B2"/>
    <w:rsid w:val="0062090A"/>
    <w:rsid w:val="00620914"/>
    <w:rsid w:val="006209F1"/>
    <w:rsid w:val="00620B35"/>
    <w:rsid w:val="00620E61"/>
    <w:rsid w:val="00620EE1"/>
    <w:rsid w:val="0062154E"/>
    <w:rsid w:val="00621787"/>
    <w:rsid w:val="006219D4"/>
    <w:rsid w:val="0062246F"/>
    <w:rsid w:val="00622973"/>
    <w:rsid w:val="00622B73"/>
    <w:rsid w:val="00622DB8"/>
    <w:rsid w:val="00622EB2"/>
    <w:rsid w:val="00623301"/>
    <w:rsid w:val="006235AA"/>
    <w:rsid w:val="006237A2"/>
    <w:rsid w:val="006239DE"/>
    <w:rsid w:val="00623C85"/>
    <w:rsid w:val="00623D89"/>
    <w:rsid w:val="00623DA3"/>
    <w:rsid w:val="00623E2F"/>
    <w:rsid w:val="00623ED1"/>
    <w:rsid w:val="006240BB"/>
    <w:rsid w:val="00624212"/>
    <w:rsid w:val="0062425D"/>
    <w:rsid w:val="00624298"/>
    <w:rsid w:val="006242CE"/>
    <w:rsid w:val="006244A1"/>
    <w:rsid w:val="006244EC"/>
    <w:rsid w:val="00624728"/>
    <w:rsid w:val="00624865"/>
    <w:rsid w:val="00624A4F"/>
    <w:rsid w:val="006250F3"/>
    <w:rsid w:val="0062529A"/>
    <w:rsid w:val="006253B6"/>
    <w:rsid w:val="006258C6"/>
    <w:rsid w:val="0062592A"/>
    <w:rsid w:val="00625966"/>
    <w:rsid w:val="006259C1"/>
    <w:rsid w:val="00625A3B"/>
    <w:rsid w:val="00625C6A"/>
    <w:rsid w:val="00625D59"/>
    <w:rsid w:val="00625DF3"/>
    <w:rsid w:val="00626664"/>
    <w:rsid w:val="00626BE2"/>
    <w:rsid w:val="00626C6C"/>
    <w:rsid w:val="00626D0C"/>
    <w:rsid w:val="00626E00"/>
    <w:rsid w:val="00626E2C"/>
    <w:rsid w:val="00626F3E"/>
    <w:rsid w:val="0062707C"/>
    <w:rsid w:val="0062713B"/>
    <w:rsid w:val="00627147"/>
    <w:rsid w:val="00627291"/>
    <w:rsid w:val="00627396"/>
    <w:rsid w:val="00627481"/>
    <w:rsid w:val="00627578"/>
    <w:rsid w:val="00627869"/>
    <w:rsid w:val="00627942"/>
    <w:rsid w:val="00627A65"/>
    <w:rsid w:val="00627A88"/>
    <w:rsid w:val="00627AAD"/>
    <w:rsid w:val="00627B07"/>
    <w:rsid w:val="00627BCA"/>
    <w:rsid w:val="00627C30"/>
    <w:rsid w:val="00630021"/>
    <w:rsid w:val="00630056"/>
    <w:rsid w:val="00630097"/>
    <w:rsid w:val="0063018B"/>
    <w:rsid w:val="006301D5"/>
    <w:rsid w:val="00630410"/>
    <w:rsid w:val="00630843"/>
    <w:rsid w:val="00630A93"/>
    <w:rsid w:val="00630E26"/>
    <w:rsid w:val="006314FA"/>
    <w:rsid w:val="0063199C"/>
    <w:rsid w:val="00631A14"/>
    <w:rsid w:val="00631A87"/>
    <w:rsid w:val="00631A8A"/>
    <w:rsid w:val="00631CA2"/>
    <w:rsid w:val="00631DFD"/>
    <w:rsid w:val="00631F53"/>
    <w:rsid w:val="00632118"/>
    <w:rsid w:val="006322DD"/>
    <w:rsid w:val="006322EB"/>
    <w:rsid w:val="00632420"/>
    <w:rsid w:val="0063247E"/>
    <w:rsid w:val="006328B1"/>
    <w:rsid w:val="00632924"/>
    <w:rsid w:val="00632B45"/>
    <w:rsid w:val="00632C8D"/>
    <w:rsid w:val="00632CCC"/>
    <w:rsid w:val="00632CCF"/>
    <w:rsid w:val="00632D3C"/>
    <w:rsid w:val="00632D5C"/>
    <w:rsid w:val="00632DA3"/>
    <w:rsid w:val="00632ED7"/>
    <w:rsid w:val="00633301"/>
    <w:rsid w:val="0063330F"/>
    <w:rsid w:val="006334A0"/>
    <w:rsid w:val="0063356C"/>
    <w:rsid w:val="006335FC"/>
    <w:rsid w:val="00633ACF"/>
    <w:rsid w:val="00633D71"/>
    <w:rsid w:val="00633DAC"/>
    <w:rsid w:val="00633F80"/>
    <w:rsid w:val="00633FA1"/>
    <w:rsid w:val="006340B5"/>
    <w:rsid w:val="006341E1"/>
    <w:rsid w:val="006342A1"/>
    <w:rsid w:val="006343C6"/>
    <w:rsid w:val="0063448F"/>
    <w:rsid w:val="00634571"/>
    <w:rsid w:val="006345B8"/>
    <w:rsid w:val="006345F2"/>
    <w:rsid w:val="006349C6"/>
    <w:rsid w:val="00634F45"/>
    <w:rsid w:val="0063559F"/>
    <w:rsid w:val="0063570F"/>
    <w:rsid w:val="006359DE"/>
    <w:rsid w:val="00635F3A"/>
    <w:rsid w:val="00636081"/>
    <w:rsid w:val="0063631C"/>
    <w:rsid w:val="00636575"/>
    <w:rsid w:val="0063673C"/>
    <w:rsid w:val="006367F0"/>
    <w:rsid w:val="00636856"/>
    <w:rsid w:val="00636993"/>
    <w:rsid w:val="00636AFD"/>
    <w:rsid w:val="00636B01"/>
    <w:rsid w:val="00636C15"/>
    <w:rsid w:val="00636CCF"/>
    <w:rsid w:val="00636D79"/>
    <w:rsid w:val="00636DB1"/>
    <w:rsid w:val="006370F4"/>
    <w:rsid w:val="00637321"/>
    <w:rsid w:val="006373D4"/>
    <w:rsid w:val="006373F6"/>
    <w:rsid w:val="006378C8"/>
    <w:rsid w:val="006378EA"/>
    <w:rsid w:val="00637B50"/>
    <w:rsid w:val="00637BBB"/>
    <w:rsid w:val="00637C05"/>
    <w:rsid w:val="00637D6C"/>
    <w:rsid w:val="00637F93"/>
    <w:rsid w:val="00637FA1"/>
    <w:rsid w:val="00640061"/>
    <w:rsid w:val="006401A1"/>
    <w:rsid w:val="006401FE"/>
    <w:rsid w:val="006402E8"/>
    <w:rsid w:val="006403DE"/>
    <w:rsid w:val="006405E5"/>
    <w:rsid w:val="006408CA"/>
    <w:rsid w:val="00640BEF"/>
    <w:rsid w:val="00640C97"/>
    <w:rsid w:val="00640D3F"/>
    <w:rsid w:val="00640F4C"/>
    <w:rsid w:val="00640F8B"/>
    <w:rsid w:val="00641076"/>
    <w:rsid w:val="006413A2"/>
    <w:rsid w:val="00641432"/>
    <w:rsid w:val="00641606"/>
    <w:rsid w:val="00641724"/>
    <w:rsid w:val="00641955"/>
    <w:rsid w:val="00641B1D"/>
    <w:rsid w:val="00641B6E"/>
    <w:rsid w:val="00641CAC"/>
    <w:rsid w:val="00641DAD"/>
    <w:rsid w:val="0064209C"/>
    <w:rsid w:val="00642101"/>
    <w:rsid w:val="00642337"/>
    <w:rsid w:val="00642378"/>
    <w:rsid w:val="00642555"/>
    <w:rsid w:val="0064261F"/>
    <w:rsid w:val="0064266C"/>
    <w:rsid w:val="006428B8"/>
    <w:rsid w:val="00642903"/>
    <w:rsid w:val="00642A8B"/>
    <w:rsid w:val="00642B5B"/>
    <w:rsid w:val="00642D72"/>
    <w:rsid w:val="00642DD6"/>
    <w:rsid w:val="00642F6C"/>
    <w:rsid w:val="00642FB4"/>
    <w:rsid w:val="00643074"/>
    <w:rsid w:val="00643160"/>
    <w:rsid w:val="006432A9"/>
    <w:rsid w:val="00643483"/>
    <w:rsid w:val="006437FF"/>
    <w:rsid w:val="00643AFB"/>
    <w:rsid w:val="00643B88"/>
    <w:rsid w:val="00643D6A"/>
    <w:rsid w:val="00643FDF"/>
    <w:rsid w:val="006441D2"/>
    <w:rsid w:val="00644389"/>
    <w:rsid w:val="0064444F"/>
    <w:rsid w:val="006445A4"/>
    <w:rsid w:val="006446C8"/>
    <w:rsid w:val="0064471E"/>
    <w:rsid w:val="0064489E"/>
    <w:rsid w:val="00644C78"/>
    <w:rsid w:val="00644D1C"/>
    <w:rsid w:val="00645774"/>
    <w:rsid w:val="0064583B"/>
    <w:rsid w:val="0064585A"/>
    <w:rsid w:val="00645934"/>
    <w:rsid w:val="00645A97"/>
    <w:rsid w:val="00645BBD"/>
    <w:rsid w:val="00645DDD"/>
    <w:rsid w:val="00645FC6"/>
    <w:rsid w:val="0064607D"/>
    <w:rsid w:val="0064650B"/>
    <w:rsid w:val="00646623"/>
    <w:rsid w:val="0064668E"/>
    <w:rsid w:val="006466F6"/>
    <w:rsid w:val="00646712"/>
    <w:rsid w:val="00646715"/>
    <w:rsid w:val="0064676F"/>
    <w:rsid w:val="0064696C"/>
    <w:rsid w:val="00646972"/>
    <w:rsid w:val="00646AC8"/>
    <w:rsid w:val="00646BC2"/>
    <w:rsid w:val="00646DFF"/>
    <w:rsid w:val="00646EA3"/>
    <w:rsid w:val="00647127"/>
    <w:rsid w:val="006471A7"/>
    <w:rsid w:val="00647271"/>
    <w:rsid w:val="0064734A"/>
    <w:rsid w:val="00647473"/>
    <w:rsid w:val="006478E7"/>
    <w:rsid w:val="00647A23"/>
    <w:rsid w:val="00647AD8"/>
    <w:rsid w:val="00647C48"/>
    <w:rsid w:val="00647E08"/>
    <w:rsid w:val="00647EC1"/>
    <w:rsid w:val="006502A7"/>
    <w:rsid w:val="0065080C"/>
    <w:rsid w:val="00650A24"/>
    <w:rsid w:val="00650BFB"/>
    <w:rsid w:val="00650C3B"/>
    <w:rsid w:val="00650FC3"/>
    <w:rsid w:val="0065120F"/>
    <w:rsid w:val="00651386"/>
    <w:rsid w:val="006513BE"/>
    <w:rsid w:val="00651483"/>
    <w:rsid w:val="006514CC"/>
    <w:rsid w:val="00651570"/>
    <w:rsid w:val="00651595"/>
    <w:rsid w:val="00651670"/>
    <w:rsid w:val="0065198C"/>
    <w:rsid w:val="006519BA"/>
    <w:rsid w:val="006519E7"/>
    <w:rsid w:val="00651B3E"/>
    <w:rsid w:val="00651BDC"/>
    <w:rsid w:val="00651D87"/>
    <w:rsid w:val="00651DA9"/>
    <w:rsid w:val="00651EE2"/>
    <w:rsid w:val="00651EF1"/>
    <w:rsid w:val="00651F84"/>
    <w:rsid w:val="00651FB2"/>
    <w:rsid w:val="00651FFC"/>
    <w:rsid w:val="0065205D"/>
    <w:rsid w:val="006522C4"/>
    <w:rsid w:val="006522D2"/>
    <w:rsid w:val="006523C1"/>
    <w:rsid w:val="0065242C"/>
    <w:rsid w:val="00652726"/>
    <w:rsid w:val="006528CD"/>
    <w:rsid w:val="00652A7D"/>
    <w:rsid w:val="00652AAE"/>
    <w:rsid w:val="00652E49"/>
    <w:rsid w:val="00652FE4"/>
    <w:rsid w:val="006530D3"/>
    <w:rsid w:val="00653504"/>
    <w:rsid w:val="006536FB"/>
    <w:rsid w:val="00653908"/>
    <w:rsid w:val="00653982"/>
    <w:rsid w:val="00654002"/>
    <w:rsid w:val="00654396"/>
    <w:rsid w:val="00654546"/>
    <w:rsid w:val="00654577"/>
    <w:rsid w:val="006545C4"/>
    <w:rsid w:val="006545F3"/>
    <w:rsid w:val="00654816"/>
    <w:rsid w:val="00654821"/>
    <w:rsid w:val="006549B7"/>
    <w:rsid w:val="00654CCC"/>
    <w:rsid w:val="00654D40"/>
    <w:rsid w:val="006555BF"/>
    <w:rsid w:val="00655771"/>
    <w:rsid w:val="00655A6A"/>
    <w:rsid w:val="00655C59"/>
    <w:rsid w:val="00655D3F"/>
    <w:rsid w:val="00655E54"/>
    <w:rsid w:val="00655E60"/>
    <w:rsid w:val="0065605E"/>
    <w:rsid w:val="0065622E"/>
    <w:rsid w:val="0065639F"/>
    <w:rsid w:val="006565A7"/>
    <w:rsid w:val="006565CB"/>
    <w:rsid w:val="006567DB"/>
    <w:rsid w:val="0065695D"/>
    <w:rsid w:val="00656A3B"/>
    <w:rsid w:val="00656E2B"/>
    <w:rsid w:val="00656EA9"/>
    <w:rsid w:val="0065770A"/>
    <w:rsid w:val="006579DB"/>
    <w:rsid w:val="00657CDD"/>
    <w:rsid w:val="00657D08"/>
    <w:rsid w:val="0066000B"/>
    <w:rsid w:val="00660027"/>
    <w:rsid w:val="00660713"/>
    <w:rsid w:val="0066073F"/>
    <w:rsid w:val="00660937"/>
    <w:rsid w:val="00660C38"/>
    <w:rsid w:val="00660E36"/>
    <w:rsid w:val="006614E5"/>
    <w:rsid w:val="006616A8"/>
    <w:rsid w:val="0066180C"/>
    <w:rsid w:val="00661BEF"/>
    <w:rsid w:val="00661EC4"/>
    <w:rsid w:val="006620D8"/>
    <w:rsid w:val="0066212D"/>
    <w:rsid w:val="006622BC"/>
    <w:rsid w:val="00662534"/>
    <w:rsid w:val="006625CF"/>
    <w:rsid w:val="00662630"/>
    <w:rsid w:val="006628E7"/>
    <w:rsid w:val="00662C5F"/>
    <w:rsid w:val="006632EB"/>
    <w:rsid w:val="006633E1"/>
    <w:rsid w:val="006634B6"/>
    <w:rsid w:val="006634FD"/>
    <w:rsid w:val="006637C8"/>
    <w:rsid w:val="006637EC"/>
    <w:rsid w:val="00663E3B"/>
    <w:rsid w:val="00664233"/>
    <w:rsid w:val="006644F3"/>
    <w:rsid w:val="00664741"/>
    <w:rsid w:val="006647D4"/>
    <w:rsid w:val="006648C4"/>
    <w:rsid w:val="00664982"/>
    <w:rsid w:val="00664F2D"/>
    <w:rsid w:val="00664F62"/>
    <w:rsid w:val="0066538A"/>
    <w:rsid w:val="00665491"/>
    <w:rsid w:val="00665520"/>
    <w:rsid w:val="0066560A"/>
    <w:rsid w:val="00665740"/>
    <w:rsid w:val="006657F7"/>
    <w:rsid w:val="006658AF"/>
    <w:rsid w:val="006658FC"/>
    <w:rsid w:val="00665994"/>
    <w:rsid w:val="006659C3"/>
    <w:rsid w:val="00665A1B"/>
    <w:rsid w:val="00665E4B"/>
    <w:rsid w:val="00666010"/>
    <w:rsid w:val="006662FB"/>
    <w:rsid w:val="006665B2"/>
    <w:rsid w:val="00666608"/>
    <w:rsid w:val="00666723"/>
    <w:rsid w:val="00666873"/>
    <w:rsid w:val="006669A1"/>
    <w:rsid w:val="00666B3A"/>
    <w:rsid w:val="00666C21"/>
    <w:rsid w:val="00666D31"/>
    <w:rsid w:val="00666E60"/>
    <w:rsid w:val="00666F0F"/>
    <w:rsid w:val="006670DE"/>
    <w:rsid w:val="006672B1"/>
    <w:rsid w:val="006673AF"/>
    <w:rsid w:val="006674A0"/>
    <w:rsid w:val="00667508"/>
    <w:rsid w:val="0066768A"/>
    <w:rsid w:val="006677EC"/>
    <w:rsid w:val="00667A9A"/>
    <w:rsid w:val="00667D9E"/>
    <w:rsid w:val="00667DC6"/>
    <w:rsid w:val="00667DEE"/>
    <w:rsid w:val="00670018"/>
    <w:rsid w:val="006700E2"/>
    <w:rsid w:val="00670420"/>
    <w:rsid w:val="0067050B"/>
    <w:rsid w:val="00670651"/>
    <w:rsid w:val="00670668"/>
    <w:rsid w:val="006708D1"/>
    <w:rsid w:val="00670917"/>
    <w:rsid w:val="00670BEF"/>
    <w:rsid w:val="00670FFB"/>
    <w:rsid w:val="006713C8"/>
    <w:rsid w:val="00671489"/>
    <w:rsid w:val="00671594"/>
    <w:rsid w:val="006715F6"/>
    <w:rsid w:val="006719A5"/>
    <w:rsid w:val="00671A0D"/>
    <w:rsid w:val="00671CC5"/>
    <w:rsid w:val="00671DD7"/>
    <w:rsid w:val="00671E01"/>
    <w:rsid w:val="006720F4"/>
    <w:rsid w:val="006725C1"/>
    <w:rsid w:val="006728B0"/>
    <w:rsid w:val="00672A9F"/>
    <w:rsid w:val="00672BFE"/>
    <w:rsid w:val="00672C99"/>
    <w:rsid w:val="00672E2A"/>
    <w:rsid w:val="00672E90"/>
    <w:rsid w:val="006730A0"/>
    <w:rsid w:val="006730D1"/>
    <w:rsid w:val="00673426"/>
    <w:rsid w:val="00673504"/>
    <w:rsid w:val="006735BB"/>
    <w:rsid w:val="006735E4"/>
    <w:rsid w:val="00673886"/>
    <w:rsid w:val="00673F36"/>
    <w:rsid w:val="00674171"/>
    <w:rsid w:val="00674238"/>
    <w:rsid w:val="00674376"/>
    <w:rsid w:val="00674472"/>
    <w:rsid w:val="006745DC"/>
    <w:rsid w:val="00674835"/>
    <w:rsid w:val="0067489F"/>
    <w:rsid w:val="00674A8B"/>
    <w:rsid w:val="00674BAC"/>
    <w:rsid w:val="00674D98"/>
    <w:rsid w:val="00674E71"/>
    <w:rsid w:val="00674E99"/>
    <w:rsid w:val="006753AF"/>
    <w:rsid w:val="006759C9"/>
    <w:rsid w:val="00675CDF"/>
    <w:rsid w:val="00675DCC"/>
    <w:rsid w:val="00675DFF"/>
    <w:rsid w:val="00675E6D"/>
    <w:rsid w:val="006761B7"/>
    <w:rsid w:val="00676310"/>
    <w:rsid w:val="006764CF"/>
    <w:rsid w:val="00676504"/>
    <w:rsid w:val="0067657B"/>
    <w:rsid w:val="00676AF4"/>
    <w:rsid w:val="00676D8C"/>
    <w:rsid w:val="00677078"/>
    <w:rsid w:val="006773B1"/>
    <w:rsid w:val="0067744A"/>
    <w:rsid w:val="0067745B"/>
    <w:rsid w:val="006776DD"/>
    <w:rsid w:val="006777C1"/>
    <w:rsid w:val="006778A1"/>
    <w:rsid w:val="006778FE"/>
    <w:rsid w:val="00677AE3"/>
    <w:rsid w:val="00677CE5"/>
    <w:rsid w:val="00677F7C"/>
    <w:rsid w:val="00677F98"/>
    <w:rsid w:val="006803D5"/>
    <w:rsid w:val="00680407"/>
    <w:rsid w:val="006804ED"/>
    <w:rsid w:val="00680638"/>
    <w:rsid w:val="00680868"/>
    <w:rsid w:val="0068092A"/>
    <w:rsid w:val="00680B03"/>
    <w:rsid w:val="00680DB2"/>
    <w:rsid w:val="00680FFF"/>
    <w:rsid w:val="006813E0"/>
    <w:rsid w:val="00681505"/>
    <w:rsid w:val="006815EE"/>
    <w:rsid w:val="00681B3A"/>
    <w:rsid w:val="00681E20"/>
    <w:rsid w:val="00681E2D"/>
    <w:rsid w:val="006824C5"/>
    <w:rsid w:val="0068290B"/>
    <w:rsid w:val="0068293A"/>
    <w:rsid w:val="00682975"/>
    <w:rsid w:val="0068299D"/>
    <w:rsid w:val="00682A18"/>
    <w:rsid w:val="00682BBE"/>
    <w:rsid w:val="00682BC5"/>
    <w:rsid w:val="006831F4"/>
    <w:rsid w:val="00683202"/>
    <w:rsid w:val="006832E5"/>
    <w:rsid w:val="0068334F"/>
    <w:rsid w:val="00683771"/>
    <w:rsid w:val="0068384C"/>
    <w:rsid w:val="0068385B"/>
    <w:rsid w:val="00683993"/>
    <w:rsid w:val="0068399A"/>
    <w:rsid w:val="00683A06"/>
    <w:rsid w:val="00683B40"/>
    <w:rsid w:val="00683B64"/>
    <w:rsid w:val="00683CB2"/>
    <w:rsid w:val="00683DBB"/>
    <w:rsid w:val="00683E8C"/>
    <w:rsid w:val="006841C3"/>
    <w:rsid w:val="0068440E"/>
    <w:rsid w:val="006844D3"/>
    <w:rsid w:val="0068454A"/>
    <w:rsid w:val="006845A6"/>
    <w:rsid w:val="00684A38"/>
    <w:rsid w:val="00684CD4"/>
    <w:rsid w:val="00684DA3"/>
    <w:rsid w:val="00684F3B"/>
    <w:rsid w:val="00684F7B"/>
    <w:rsid w:val="0068505B"/>
    <w:rsid w:val="00685066"/>
    <w:rsid w:val="00685159"/>
    <w:rsid w:val="0068522E"/>
    <w:rsid w:val="00685355"/>
    <w:rsid w:val="0068545D"/>
    <w:rsid w:val="00685547"/>
    <w:rsid w:val="006857C3"/>
    <w:rsid w:val="00685A4E"/>
    <w:rsid w:val="00685A8F"/>
    <w:rsid w:val="00685AED"/>
    <w:rsid w:val="00685DEF"/>
    <w:rsid w:val="0068623D"/>
    <w:rsid w:val="006862C6"/>
    <w:rsid w:val="006862CD"/>
    <w:rsid w:val="006864DC"/>
    <w:rsid w:val="006865A5"/>
    <w:rsid w:val="0068669C"/>
    <w:rsid w:val="00686B2E"/>
    <w:rsid w:val="00686BE0"/>
    <w:rsid w:val="00686DE4"/>
    <w:rsid w:val="00686E6B"/>
    <w:rsid w:val="00686EED"/>
    <w:rsid w:val="00686F09"/>
    <w:rsid w:val="00686F15"/>
    <w:rsid w:val="00686FEE"/>
    <w:rsid w:val="0068710C"/>
    <w:rsid w:val="00687291"/>
    <w:rsid w:val="006872D8"/>
    <w:rsid w:val="00687505"/>
    <w:rsid w:val="00687586"/>
    <w:rsid w:val="0068759B"/>
    <w:rsid w:val="006875C2"/>
    <w:rsid w:val="00687698"/>
    <w:rsid w:val="006879C7"/>
    <w:rsid w:val="00687BE4"/>
    <w:rsid w:val="00687F84"/>
    <w:rsid w:val="006902FA"/>
    <w:rsid w:val="0069050B"/>
    <w:rsid w:val="00690C66"/>
    <w:rsid w:val="00690EFA"/>
    <w:rsid w:val="006914A8"/>
    <w:rsid w:val="00691502"/>
    <w:rsid w:val="00691689"/>
    <w:rsid w:val="00691A76"/>
    <w:rsid w:val="00691B3A"/>
    <w:rsid w:val="00691B7C"/>
    <w:rsid w:val="00692213"/>
    <w:rsid w:val="006922F1"/>
    <w:rsid w:val="006928E2"/>
    <w:rsid w:val="0069296D"/>
    <w:rsid w:val="00692A0F"/>
    <w:rsid w:val="00692AD9"/>
    <w:rsid w:val="00692B2E"/>
    <w:rsid w:val="00692C93"/>
    <w:rsid w:val="00692D11"/>
    <w:rsid w:val="00692D2B"/>
    <w:rsid w:val="00692F75"/>
    <w:rsid w:val="00692FF5"/>
    <w:rsid w:val="00693105"/>
    <w:rsid w:val="00693151"/>
    <w:rsid w:val="00693518"/>
    <w:rsid w:val="0069357A"/>
    <w:rsid w:val="006935A2"/>
    <w:rsid w:val="006935E4"/>
    <w:rsid w:val="006936E5"/>
    <w:rsid w:val="00693B70"/>
    <w:rsid w:val="00693CD7"/>
    <w:rsid w:val="00693D07"/>
    <w:rsid w:val="00694005"/>
    <w:rsid w:val="00694163"/>
    <w:rsid w:val="006941B8"/>
    <w:rsid w:val="00694313"/>
    <w:rsid w:val="0069442E"/>
    <w:rsid w:val="00694583"/>
    <w:rsid w:val="006945AC"/>
    <w:rsid w:val="0069466B"/>
    <w:rsid w:val="006947D9"/>
    <w:rsid w:val="006949ED"/>
    <w:rsid w:val="00694AE2"/>
    <w:rsid w:val="00694C79"/>
    <w:rsid w:val="00694C9E"/>
    <w:rsid w:val="00694CBF"/>
    <w:rsid w:val="00694EAD"/>
    <w:rsid w:val="00694F05"/>
    <w:rsid w:val="00695172"/>
    <w:rsid w:val="00695282"/>
    <w:rsid w:val="006952B7"/>
    <w:rsid w:val="0069559E"/>
    <w:rsid w:val="00695700"/>
    <w:rsid w:val="006957FC"/>
    <w:rsid w:val="00695931"/>
    <w:rsid w:val="00695C0A"/>
    <w:rsid w:val="00695C3A"/>
    <w:rsid w:val="00695CA3"/>
    <w:rsid w:val="00695FF2"/>
    <w:rsid w:val="00696067"/>
    <w:rsid w:val="0069618C"/>
    <w:rsid w:val="0069619D"/>
    <w:rsid w:val="006964B4"/>
    <w:rsid w:val="00696800"/>
    <w:rsid w:val="006968FB"/>
    <w:rsid w:val="006969EE"/>
    <w:rsid w:val="00696CE1"/>
    <w:rsid w:val="006970AD"/>
    <w:rsid w:val="006973EB"/>
    <w:rsid w:val="006976DB"/>
    <w:rsid w:val="006978D3"/>
    <w:rsid w:val="00697BA4"/>
    <w:rsid w:val="00697EC5"/>
    <w:rsid w:val="00697F0D"/>
    <w:rsid w:val="006A01C2"/>
    <w:rsid w:val="006A01F9"/>
    <w:rsid w:val="006A02CE"/>
    <w:rsid w:val="006A06E6"/>
    <w:rsid w:val="006A0896"/>
    <w:rsid w:val="006A0B48"/>
    <w:rsid w:val="006A0BD1"/>
    <w:rsid w:val="006A1331"/>
    <w:rsid w:val="006A1637"/>
    <w:rsid w:val="006A178E"/>
    <w:rsid w:val="006A17E4"/>
    <w:rsid w:val="006A181F"/>
    <w:rsid w:val="006A195F"/>
    <w:rsid w:val="006A1C1B"/>
    <w:rsid w:val="006A2261"/>
    <w:rsid w:val="006A2292"/>
    <w:rsid w:val="006A25DB"/>
    <w:rsid w:val="006A26B5"/>
    <w:rsid w:val="006A2A4F"/>
    <w:rsid w:val="006A2AA7"/>
    <w:rsid w:val="006A2B7C"/>
    <w:rsid w:val="006A317F"/>
    <w:rsid w:val="006A3247"/>
    <w:rsid w:val="006A33F1"/>
    <w:rsid w:val="006A3531"/>
    <w:rsid w:val="006A3568"/>
    <w:rsid w:val="006A36A5"/>
    <w:rsid w:val="006A37AE"/>
    <w:rsid w:val="006A38AA"/>
    <w:rsid w:val="006A3C90"/>
    <w:rsid w:val="006A3D1A"/>
    <w:rsid w:val="006A3D67"/>
    <w:rsid w:val="006A3D6E"/>
    <w:rsid w:val="006A3E98"/>
    <w:rsid w:val="006A431A"/>
    <w:rsid w:val="006A43F6"/>
    <w:rsid w:val="006A442A"/>
    <w:rsid w:val="006A452C"/>
    <w:rsid w:val="006A4559"/>
    <w:rsid w:val="006A458E"/>
    <w:rsid w:val="006A467F"/>
    <w:rsid w:val="006A469B"/>
    <w:rsid w:val="006A4C62"/>
    <w:rsid w:val="006A4C71"/>
    <w:rsid w:val="006A4CAA"/>
    <w:rsid w:val="006A512A"/>
    <w:rsid w:val="006A513C"/>
    <w:rsid w:val="006A534B"/>
    <w:rsid w:val="006A534F"/>
    <w:rsid w:val="006A548E"/>
    <w:rsid w:val="006A5579"/>
    <w:rsid w:val="006A563E"/>
    <w:rsid w:val="006A575B"/>
    <w:rsid w:val="006A5959"/>
    <w:rsid w:val="006A59F5"/>
    <w:rsid w:val="006A5B44"/>
    <w:rsid w:val="006A5D6D"/>
    <w:rsid w:val="006A5DE8"/>
    <w:rsid w:val="006A5E89"/>
    <w:rsid w:val="006A5F32"/>
    <w:rsid w:val="006A5FB8"/>
    <w:rsid w:val="006A60A6"/>
    <w:rsid w:val="006A62BD"/>
    <w:rsid w:val="006A6401"/>
    <w:rsid w:val="006A65BF"/>
    <w:rsid w:val="006A69EC"/>
    <w:rsid w:val="006A6B1B"/>
    <w:rsid w:val="006A6BDB"/>
    <w:rsid w:val="006A6CCE"/>
    <w:rsid w:val="006A6D00"/>
    <w:rsid w:val="006A6DAD"/>
    <w:rsid w:val="006A70A7"/>
    <w:rsid w:val="006A70D6"/>
    <w:rsid w:val="006A718F"/>
    <w:rsid w:val="006A73E5"/>
    <w:rsid w:val="006A77C4"/>
    <w:rsid w:val="006A7823"/>
    <w:rsid w:val="006A793A"/>
    <w:rsid w:val="006A7AB9"/>
    <w:rsid w:val="006A7B19"/>
    <w:rsid w:val="006B0041"/>
    <w:rsid w:val="006B02FF"/>
    <w:rsid w:val="006B08B4"/>
    <w:rsid w:val="006B0926"/>
    <w:rsid w:val="006B0E21"/>
    <w:rsid w:val="006B0F78"/>
    <w:rsid w:val="006B1616"/>
    <w:rsid w:val="006B168F"/>
    <w:rsid w:val="006B1AEF"/>
    <w:rsid w:val="006B1ECA"/>
    <w:rsid w:val="006B2018"/>
    <w:rsid w:val="006B20C1"/>
    <w:rsid w:val="006B21EE"/>
    <w:rsid w:val="006B23DE"/>
    <w:rsid w:val="006B281D"/>
    <w:rsid w:val="006B28FA"/>
    <w:rsid w:val="006B2993"/>
    <w:rsid w:val="006B2BE0"/>
    <w:rsid w:val="006B2D40"/>
    <w:rsid w:val="006B2E95"/>
    <w:rsid w:val="006B2F0F"/>
    <w:rsid w:val="006B2F5F"/>
    <w:rsid w:val="006B3135"/>
    <w:rsid w:val="006B33B8"/>
    <w:rsid w:val="006B3631"/>
    <w:rsid w:val="006B396A"/>
    <w:rsid w:val="006B3A6E"/>
    <w:rsid w:val="006B3E1C"/>
    <w:rsid w:val="006B3EF3"/>
    <w:rsid w:val="006B4046"/>
    <w:rsid w:val="006B415B"/>
    <w:rsid w:val="006B4455"/>
    <w:rsid w:val="006B4680"/>
    <w:rsid w:val="006B4893"/>
    <w:rsid w:val="006B4FD7"/>
    <w:rsid w:val="006B50A9"/>
    <w:rsid w:val="006B50CA"/>
    <w:rsid w:val="006B5111"/>
    <w:rsid w:val="006B5311"/>
    <w:rsid w:val="006B5427"/>
    <w:rsid w:val="006B5A66"/>
    <w:rsid w:val="006B5C10"/>
    <w:rsid w:val="006B5EA9"/>
    <w:rsid w:val="006B620D"/>
    <w:rsid w:val="006B6265"/>
    <w:rsid w:val="006B64FB"/>
    <w:rsid w:val="006B665E"/>
    <w:rsid w:val="006B678B"/>
    <w:rsid w:val="006B6C3D"/>
    <w:rsid w:val="006B6CBC"/>
    <w:rsid w:val="006B6DC0"/>
    <w:rsid w:val="006B6E47"/>
    <w:rsid w:val="006B70A5"/>
    <w:rsid w:val="006B70F6"/>
    <w:rsid w:val="006B7433"/>
    <w:rsid w:val="006B79D0"/>
    <w:rsid w:val="006B7A67"/>
    <w:rsid w:val="006B7AA2"/>
    <w:rsid w:val="006B7E56"/>
    <w:rsid w:val="006B7E96"/>
    <w:rsid w:val="006B7F46"/>
    <w:rsid w:val="006B7FC9"/>
    <w:rsid w:val="006C0097"/>
    <w:rsid w:val="006C0594"/>
    <w:rsid w:val="006C0795"/>
    <w:rsid w:val="006C07CC"/>
    <w:rsid w:val="006C0828"/>
    <w:rsid w:val="006C0941"/>
    <w:rsid w:val="006C0B6D"/>
    <w:rsid w:val="006C0D9F"/>
    <w:rsid w:val="006C0FED"/>
    <w:rsid w:val="006C136C"/>
    <w:rsid w:val="006C143B"/>
    <w:rsid w:val="006C159E"/>
    <w:rsid w:val="006C1C59"/>
    <w:rsid w:val="006C1DA6"/>
    <w:rsid w:val="006C1FC5"/>
    <w:rsid w:val="006C2384"/>
    <w:rsid w:val="006C2580"/>
    <w:rsid w:val="006C29D0"/>
    <w:rsid w:val="006C2ADB"/>
    <w:rsid w:val="006C2B3F"/>
    <w:rsid w:val="006C2C7B"/>
    <w:rsid w:val="006C2E0B"/>
    <w:rsid w:val="006C2E42"/>
    <w:rsid w:val="006C301B"/>
    <w:rsid w:val="006C34CA"/>
    <w:rsid w:val="006C36F2"/>
    <w:rsid w:val="006C424F"/>
    <w:rsid w:val="006C45DA"/>
    <w:rsid w:val="006C46B4"/>
    <w:rsid w:val="006C4871"/>
    <w:rsid w:val="006C4944"/>
    <w:rsid w:val="006C4E3F"/>
    <w:rsid w:val="006C4F0E"/>
    <w:rsid w:val="006C4F64"/>
    <w:rsid w:val="006C53C6"/>
    <w:rsid w:val="006C54A2"/>
    <w:rsid w:val="006C54D4"/>
    <w:rsid w:val="006C571D"/>
    <w:rsid w:val="006C5C25"/>
    <w:rsid w:val="006C5C43"/>
    <w:rsid w:val="006C5DB5"/>
    <w:rsid w:val="006C63F9"/>
    <w:rsid w:val="006C63FE"/>
    <w:rsid w:val="006C68E6"/>
    <w:rsid w:val="006C6A79"/>
    <w:rsid w:val="006C6C2E"/>
    <w:rsid w:val="006C6C9D"/>
    <w:rsid w:val="006C6D25"/>
    <w:rsid w:val="006C6DB5"/>
    <w:rsid w:val="006C737D"/>
    <w:rsid w:val="006C7418"/>
    <w:rsid w:val="006C74AA"/>
    <w:rsid w:val="006C762D"/>
    <w:rsid w:val="006C76CD"/>
    <w:rsid w:val="006C7A0D"/>
    <w:rsid w:val="006C7C5C"/>
    <w:rsid w:val="006C7C7B"/>
    <w:rsid w:val="006C7EB4"/>
    <w:rsid w:val="006D00C6"/>
    <w:rsid w:val="006D0214"/>
    <w:rsid w:val="006D0414"/>
    <w:rsid w:val="006D06ED"/>
    <w:rsid w:val="006D0722"/>
    <w:rsid w:val="006D087A"/>
    <w:rsid w:val="006D0CCE"/>
    <w:rsid w:val="006D0CF9"/>
    <w:rsid w:val="006D10AF"/>
    <w:rsid w:val="006D1292"/>
    <w:rsid w:val="006D12FC"/>
    <w:rsid w:val="006D1301"/>
    <w:rsid w:val="006D1357"/>
    <w:rsid w:val="006D177B"/>
    <w:rsid w:val="006D1799"/>
    <w:rsid w:val="006D17A0"/>
    <w:rsid w:val="006D17A8"/>
    <w:rsid w:val="006D19D5"/>
    <w:rsid w:val="006D1A7B"/>
    <w:rsid w:val="006D1C8B"/>
    <w:rsid w:val="006D1D72"/>
    <w:rsid w:val="006D1EBF"/>
    <w:rsid w:val="006D20AC"/>
    <w:rsid w:val="006D221D"/>
    <w:rsid w:val="006D2225"/>
    <w:rsid w:val="006D227F"/>
    <w:rsid w:val="006D2366"/>
    <w:rsid w:val="006D2522"/>
    <w:rsid w:val="006D2846"/>
    <w:rsid w:val="006D2BA9"/>
    <w:rsid w:val="006D2BEB"/>
    <w:rsid w:val="006D2CA1"/>
    <w:rsid w:val="006D2FF1"/>
    <w:rsid w:val="006D3270"/>
    <w:rsid w:val="006D3600"/>
    <w:rsid w:val="006D3A84"/>
    <w:rsid w:val="006D3AED"/>
    <w:rsid w:val="006D3B6D"/>
    <w:rsid w:val="006D3C92"/>
    <w:rsid w:val="006D3F02"/>
    <w:rsid w:val="006D3FE7"/>
    <w:rsid w:val="006D4006"/>
    <w:rsid w:val="006D405A"/>
    <w:rsid w:val="006D41B5"/>
    <w:rsid w:val="006D427C"/>
    <w:rsid w:val="006D47C2"/>
    <w:rsid w:val="006D504E"/>
    <w:rsid w:val="006D505B"/>
    <w:rsid w:val="006D55A6"/>
    <w:rsid w:val="006D58A5"/>
    <w:rsid w:val="006D59B4"/>
    <w:rsid w:val="006D5A0E"/>
    <w:rsid w:val="006D5E23"/>
    <w:rsid w:val="006D5E6D"/>
    <w:rsid w:val="006D63F1"/>
    <w:rsid w:val="006D6ADC"/>
    <w:rsid w:val="006D6B4C"/>
    <w:rsid w:val="006D6B7F"/>
    <w:rsid w:val="006D6ECA"/>
    <w:rsid w:val="006D73FD"/>
    <w:rsid w:val="006D7602"/>
    <w:rsid w:val="006D781B"/>
    <w:rsid w:val="006D79CF"/>
    <w:rsid w:val="006D7DFB"/>
    <w:rsid w:val="006D7E58"/>
    <w:rsid w:val="006D7F8B"/>
    <w:rsid w:val="006E01DD"/>
    <w:rsid w:val="006E0396"/>
    <w:rsid w:val="006E0441"/>
    <w:rsid w:val="006E0531"/>
    <w:rsid w:val="006E061B"/>
    <w:rsid w:val="006E0771"/>
    <w:rsid w:val="006E0E30"/>
    <w:rsid w:val="006E0EF3"/>
    <w:rsid w:val="006E0F05"/>
    <w:rsid w:val="006E113F"/>
    <w:rsid w:val="006E13D6"/>
    <w:rsid w:val="006E13FF"/>
    <w:rsid w:val="006E1519"/>
    <w:rsid w:val="006E16D8"/>
    <w:rsid w:val="006E181E"/>
    <w:rsid w:val="006E1A0C"/>
    <w:rsid w:val="006E1BF1"/>
    <w:rsid w:val="006E202D"/>
    <w:rsid w:val="006E2098"/>
    <w:rsid w:val="006E21E2"/>
    <w:rsid w:val="006E2222"/>
    <w:rsid w:val="006E271D"/>
    <w:rsid w:val="006E29C5"/>
    <w:rsid w:val="006E2B7A"/>
    <w:rsid w:val="006E2BD8"/>
    <w:rsid w:val="006E2D09"/>
    <w:rsid w:val="006E2DBB"/>
    <w:rsid w:val="006E2FEE"/>
    <w:rsid w:val="006E32A0"/>
    <w:rsid w:val="006E32BC"/>
    <w:rsid w:val="006E391F"/>
    <w:rsid w:val="006E3955"/>
    <w:rsid w:val="006E3991"/>
    <w:rsid w:val="006E3B23"/>
    <w:rsid w:val="006E3D60"/>
    <w:rsid w:val="006E3F39"/>
    <w:rsid w:val="006E4101"/>
    <w:rsid w:val="006E416E"/>
    <w:rsid w:val="006E41F5"/>
    <w:rsid w:val="006E4354"/>
    <w:rsid w:val="006E48FE"/>
    <w:rsid w:val="006E4E74"/>
    <w:rsid w:val="006E53D5"/>
    <w:rsid w:val="006E55C3"/>
    <w:rsid w:val="006E56AB"/>
    <w:rsid w:val="006E5768"/>
    <w:rsid w:val="006E57FE"/>
    <w:rsid w:val="006E5836"/>
    <w:rsid w:val="006E5F31"/>
    <w:rsid w:val="006E5F42"/>
    <w:rsid w:val="006E6055"/>
    <w:rsid w:val="006E626E"/>
    <w:rsid w:val="006E62EC"/>
    <w:rsid w:val="006E65E9"/>
    <w:rsid w:val="006E66AC"/>
    <w:rsid w:val="006E6872"/>
    <w:rsid w:val="006E68BF"/>
    <w:rsid w:val="006E6E05"/>
    <w:rsid w:val="006E70F4"/>
    <w:rsid w:val="006E7326"/>
    <w:rsid w:val="006E7351"/>
    <w:rsid w:val="006E73AC"/>
    <w:rsid w:val="006E74E5"/>
    <w:rsid w:val="006E7566"/>
    <w:rsid w:val="006E75F7"/>
    <w:rsid w:val="006E7640"/>
    <w:rsid w:val="006E7660"/>
    <w:rsid w:val="006E77EB"/>
    <w:rsid w:val="006E7CD1"/>
    <w:rsid w:val="006E7EC4"/>
    <w:rsid w:val="006F014A"/>
    <w:rsid w:val="006F01C4"/>
    <w:rsid w:val="006F0594"/>
    <w:rsid w:val="006F06B7"/>
    <w:rsid w:val="006F0BFD"/>
    <w:rsid w:val="006F1056"/>
    <w:rsid w:val="006F1458"/>
    <w:rsid w:val="006F1526"/>
    <w:rsid w:val="006F1642"/>
    <w:rsid w:val="006F18CF"/>
    <w:rsid w:val="006F1B29"/>
    <w:rsid w:val="006F1C48"/>
    <w:rsid w:val="006F1D26"/>
    <w:rsid w:val="006F1DF5"/>
    <w:rsid w:val="006F1E48"/>
    <w:rsid w:val="006F201A"/>
    <w:rsid w:val="006F2058"/>
    <w:rsid w:val="006F226B"/>
    <w:rsid w:val="006F2368"/>
    <w:rsid w:val="006F2369"/>
    <w:rsid w:val="006F2600"/>
    <w:rsid w:val="006F27E3"/>
    <w:rsid w:val="006F2A74"/>
    <w:rsid w:val="006F2BB1"/>
    <w:rsid w:val="006F2D2D"/>
    <w:rsid w:val="006F2DDB"/>
    <w:rsid w:val="006F2FFB"/>
    <w:rsid w:val="006F3205"/>
    <w:rsid w:val="006F3216"/>
    <w:rsid w:val="006F3679"/>
    <w:rsid w:val="006F3842"/>
    <w:rsid w:val="006F3EED"/>
    <w:rsid w:val="006F4000"/>
    <w:rsid w:val="006F415D"/>
    <w:rsid w:val="006F41B0"/>
    <w:rsid w:val="006F41E5"/>
    <w:rsid w:val="006F43B6"/>
    <w:rsid w:val="006F4523"/>
    <w:rsid w:val="006F45E0"/>
    <w:rsid w:val="006F4827"/>
    <w:rsid w:val="006F4A14"/>
    <w:rsid w:val="006F4A40"/>
    <w:rsid w:val="006F4A99"/>
    <w:rsid w:val="006F4CE7"/>
    <w:rsid w:val="006F4EA5"/>
    <w:rsid w:val="006F5052"/>
    <w:rsid w:val="006F5068"/>
    <w:rsid w:val="006F5149"/>
    <w:rsid w:val="006F514B"/>
    <w:rsid w:val="006F5417"/>
    <w:rsid w:val="006F54F2"/>
    <w:rsid w:val="006F55D9"/>
    <w:rsid w:val="006F5A4C"/>
    <w:rsid w:val="006F5BF0"/>
    <w:rsid w:val="006F5C41"/>
    <w:rsid w:val="006F5CED"/>
    <w:rsid w:val="006F5D63"/>
    <w:rsid w:val="006F5DCE"/>
    <w:rsid w:val="006F5E81"/>
    <w:rsid w:val="006F5F5D"/>
    <w:rsid w:val="006F60A6"/>
    <w:rsid w:val="006F614D"/>
    <w:rsid w:val="006F644D"/>
    <w:rsid w:val="006F6696"/>
    <w:rsid w:val="006F6E55"/>
    <w:rsid w:val="006F6FB6"/>
    <w:rsid w:val="006F7069"/>
    <w:rsid w:val="006F713E"/>
    <w:rsid w:val="006F730F"/>
    <w:rsid w:val="006F78AB"/>
    <w:rsid w:val="006F78E0"/>
    <w:rsid w:val="006F7917"/>
    <w:rsid w:val="006F7AE9"/>
    <w:rsid w:val="006F7C99"/>
    <w:rsid w:val="006F7EC6"/>
    <w:rsid w:val="007001DA"/>
    <w:rsid w:val="007003D0"/>
    <w:rsid w:val="007005C9"/>
    <w:rsid w:val="00700680"/>
    <w:rsid w:val="007006B5"/>
    <w:rsid w:val="00700910"/>
    <w:rsid w:val="00700C22"/>
    <w:rsid w:val="00700C75"/>
    <w:rsid w:val="00700D4F"/>
    <w:rsid w:val="00700D6C"/>
    <w:rsid w:val="00700F6D"/>
    <w:rsid w:val="00700F8A"/>
    <w:rsid w:val="00701042"/>
    <w:rsid w:val="007012A7"/>
    <w:rsid w:val="007012CC"/>
    <w:rsid w:val="007014B2"/>
    <w:rsid w:val="007019AD"/>
    <w:rsid w:val="00701A0D"/>
    <w:rsid w:val="00701A6A"/>
    <w:rsid w:val="00701C3D"/>
    <w:rsid w:val="00701D2C"/>
    <w:rsid w:val="00701EEF"/>
    <w:rsid w:val="00702099"/>
    <w:rsid w:val="0070210E"/>
    <w:rsid w:val="0070221C"/>
    <w:rsid w:val="00702253"/>
    <w:rsid w:val="007022E1"/>
    <w:rsid w:val="00702C95"/>
    <w:rsid w:val="00702DC5"/>
    <w:rsid w:val="00702EDA"/>
    <w:rsid w:val="00702FB9"/>
    <w:rsid w:val="007036CB"/>
    <w:rsid w:val="00703872"/>
    <w:rsid w:val="00703BA5"/>
    <w:rsid w:val="00703CC0"/>
    <w:rsid w:val="00703DA4"/>
    <w:rsid w:val="00703DD6"/>
    <w:rsid w:val="00703E58"/>
    <w:rsid w:val="00704281"/>
    <w:rsid w:val="00704B40"/>
    <w:rsid w:val="00704BF5"/>
    <w:rsid w:val="00704C6E"/>
    <w:rsid w:val="00704C91"/>
    <w:rsid w:val="00704E7B"/>
    <w:rsid w:val="00704F6D"/>
    <w:rsid w:val="00704FDD"/>
    <w:rsid w:val="007053B5"/>
    <w:rsid w:val="007053DF"/>
    <w:rsid w:val="007058DE"/>
    <w:rsid w:val="00705B09"/>
    <w:rsid w:val="00705C80"/>
    <w:rsid w:val="00705CA1"/>
    <w:rsid w:val="00705D2C"/>
    <w:rsid w:val="00705ED3"/>
    <w:rsid w:val="007061AF"/>
    <w:rsid w:val="00706202"/>
    <w:rsid w:val="0070630B"/>
    <w:rsid w:val="00706436"/>
    <w:rsid w:val="00706544"/>
    <w:rsid w:val="007066F0"/>
    <w:rsid w:val="00706719"/>
    <w:rsid w:val="00706855"/>
    <w:rsid w:val="00706B24"/>
    <w:rsid w:val="00706D74"/>
    <w:rsid w:val="00707AF7"/>
    <w:rsid w:val="00707B39"/>
    <w:rsid w:val="00707C66"/>
    <w:rsid w:val="00707C98"/>
    <w:rsid w:val="00707CE4"/>
    <w:rsid w:val="00707D1E"/>
    <w:rsid w:val="00707D50"/>
    <w:rsid w:val="00707F38"/>
    <w:rsid w:val="00710211"/>
    <w:rsid w:val="00710239"/>
    <w:rsid w:val="007103DD"/>
    <w:rsid w:val="00710444"/>
    <w:rsid w:val="00710675"/>
    <w:rsid w:val="0071081C"/>
    <w:rsid w:val="00710859"/>
    <w:rsid w:val="007110C1"/>
    <w:rsid w:val="007111DD"/>
    <w:rsid w:val="0071123E"/>
    <w:rsid w:val="007112AE"/>
    <w:rsid w:val="00711412"/>
    <w:rsid w:val="00711614"/>
    <w:rsid w:val="00711A2D"/>
    <w:rsid w:val="00711B2C"/>
    <w:rsid w:val="00711E4C"/>
    <w:rsid w:val="00712038"/>
    <w:rsid w:val="00712376"/>
    <w:rsid w:val="00712837"/>
    <w:rsid w:val="007128C7"/>
    <w:rsid w:val="00712A93"/>
    <w:rsid w:val="00712BE8"/>
    <w:rsid w:val="00712EA1"/>
    <w:rsid w:val="00712F63"/>
    <w:rsid w:val="007130FA"/>
    <w:rsid w:val="007131D6"/>
    <w:rsid w:val="007132DB"/>
    <w:rsid w:val="00713301"/>
    <w:rsid w:val="00713728"/>
    <w:rsid w:val="00713A73"/>
    <w:rsid w:val="00713AF1"/>
    <w:rsid w:val="00713BEC"/>
    <w:rsid w:val="00713EF2"/>
    <w:rsid w:val="00714619"/>
    <w:rsid w:val="0071462B"/>
    <w:rsid w:val="007146D4"/>
    <w:rsid w:val="00714745"/>
    <w:rsid w:val="007147A2"/>
    <w:rsid w:val="00714837"/>
    <w:rsid w:val="00714848"/>
    <w:rsid w:val="007148AB"/>
    <w:rsid w:val="00714A7C"/>
    <w:rsid w:val="00714B0D"/>
    <w:rsid w:val="00714D36"/>
    <w:rsid w:val="00714E55"/>
    <w:rsid w:val="00714EFA"/>
    <w:rsid w:val="00715150"/>
    <w:rsid w:val="00715275"/>
    <w:rsid w:val="00715353"/>
    <w:rsid w:val="0071562D"/>
    <w:rsid w:val="007157C2"/>
    <w:rsid w:val="00715859"/>
    <w:rsid w:val="00715F67"/>
    <w:rsid w:val="00715FD0"/>
    <w:rsid w:val="0071603F"/>
    <w:rsid w:val="0071629D"/>
    <w:rsid w:val="007163F9"/>
    <w:rsid w:val="007168B4"/>
    <w:rsid w:val="00716B11"/>
    <w:rsid w:val="00716C21"/>
    <w:rsid w:val="00717018"/>
    <w:rsid w:val="00717098"/>
    <w:rsid w:val="007171C9"/>
    <w:rsid w:val="007173EB"/>
    <w:rsid w:val="00717443"/>
    <w:rsid w:val="007175DB"/>
    <w:rsid w:val="0071768F"/>
    <w:rsid w:val="00717817"/>
    <w:rsid w:val="00717A20"/>
    <w:rsid w:val="00717C24"/>
    <w:rsid w:val="00717CF1"/>
    <w:rsid w:val="00717FF5"/>
    <w:rsid w:val="00720433"/>
    <w:rsid w:val="00720448"/>
    <w:rsid w:val="007204DF"/>
    <w:rsid w:val="00720697"/>
    <w:rsid w:val="007206B6"/>
    <w:rsid w:val="00720748"/>
    <w:rsid w:val="00720790"/>
    <w:rsid w:val="007209B6"/>
    <w:rsid w:val="007209DE"/>
    <w:rsid w:val="00720CBB"/>
    <w:rsid w:val="00720DEE"/>
    <w:rsid w:val="00720FC0"/>
    <w:rsid w:val="00721167"/>
    <w:rsid w:val="0072132A"/>
    <w:rsid w:val="007214AF"/>
    <w:rsid w:val="0072161A"/>
    <w:rsid w:val="0072175D"/>
    <w:rsid w:val="00721777"/>
    <w:rsid w:val="007217E9"/>
    <w:rsid w:val="0072186A"/>
    <w:rsid w:val="00721C50"/>
    <w:rsid w:val="00721CF4"/>
    <w:rsid w:val="00722049"/>
    <w:rsid w:val="0072205C"/>
    <w:rsid w:val="007224D7"/>
    <w:rsid w:val="0072250B"/>
    <w:rsid w:val="007225D2"/>
    <w:rsid w:val="0072280F"/>
    <w:rsid w:val="00722818"/>
    <w:rsid w:val="00722B66"/>
    <w:rsid w:val="00722B6C"/>
    <w:rsid w:val="00722D64"/>
    <w:rsid w:val="007231B8"/>
    <w:rsid w:val="007231C3"/>
    <w:rsid w:val="007236BD"/>
    <w:rsid w:val="007238AC"/>
    <w:rsid w:val="007238D6"/>
    <w:rsid w:val="00723ADD"/>
    <w:rsid w:val="00723CD5"/>
    <w:rsid w:val="00723EA9"/>
    <w:rsid w:val="00724114"/>
    <w:rsid w:val="007246A9"/>
    <w:rsid w:val="0072471C"/>
    <w:rsid w:val="0072477F"/>
    <w:rsid w:val="0072479A"/>
    <w:rsid w:val="007247B4"/>
    <w:rsid w:val="00724B76"/>
    <w:rsid w:val="00724BE3"/>
    <w:rsid w:val="00724C0C"/>
    <w:rsid w:val="00724C3C"/>
    <w:rsid w:val="0072515E"/>
    <w:rsid w:val="007251E6"/>
    <w:rsid w:val="007253B1"/>
    <w:rsid w:val="007253C5"/>
    <w:rsid w:val="007258B8"/>
    <w:rsid w:val="00725968"/>
    <w:rsid w:val="0072598F"/>
    <w:rsid w:val="00725BC4"/>
    <w:rsid w:val="00725D57"/>
    <w:rsid w:val="00725E5E"/>
    <w:rsid w:val="00725E65"/>
    <w:rsid w:val="00726240"/>
    <w:rsid w:val="00726274"/>
    <w:rsid w:val="0072650D"/>
    <w:rsid w:val="00726521"/>
    <w:rsid w:val="00726675"/>
    <w:rsid w:val="0072688C"/>
    <w:rsid w:val="00726B08"/>
    <w:rsid w:val="00726B67"/>
    <w:rsid w:val="00726C1A"/>
    <w:rsid w:val="00727074"/>
    <w:rsid w:val="007271E7"/>
    <w:rsid w:val="007272EE"/>
    <w:rsid w:val="00727342"/>
    <w:rsid w:val="007273BF"/>
    <w:rsid w:val="007273DA"/>
    <w:rsid w:val="0072742E"/>
    <w:rsid w:val="007274C9"/>
    <w:rsid w:val="0072776B"/>
    <w:rsid w:val="007279F4"/>
    <w:rsid w:val="00727BA5"/>
    <w:rsid w:val="00727C9C"/>
    <w:rsid w:val="00727EBF"/>
    <w:rsid w:val="00727F83"/>
    <w:rsid w:val="00730018"/>
    <w:rsid w:val="00730200"/>
    <w:rsid w:val="00730207"/>
    <w:rsid w:val="00730313"/>
    <w:rsid w:val="00730651"/>
    <w:rsid w:val="0073071C"/>
    <w:rsid w:val="00730738"/>
    <w:rsid w:val="00730980"/>
    <w:rsid w:val="007310C6"/>
    <w:rsid w:val="007310FA"/>
    <w:rsid w:val="0073117C"/>
    <w:rsid w:val="00731326"/>
    <w:rsid w:val="00731580"/>
    <w:rsid w:val="00731588"/>
    <w:rsid w:val="007315A5"/>
    <w:rsid w:val="007315AD"/>
    <w:rsid w:val="0073164C"/>
    <w:rsid w:val="007316CA"/>
    <w:rsid w:val="00731DFE"/>
    <w:rsid w:val="00731E5A"/>
    <w:rsid w:val="00731EF2"/>
    <w:rsid w:val="00731FD5"/>
    <w:rsid w:val="0073200E"/>
    <w:rsid w:val="007321AC"/>
    <w:rsid w:val="007326AD"/>
    <w:rsid w:val="0073270B"/>
    <w:rsid w:val="007328CB"/>
    <w:rsid w:val="00732B57"/>
    <w:rsid w:val="00732E78"/>
    <w:rsid w:val="0073389B"/>
    <w:rsid w:val="0073394C"/>
    <w:rsid w:val="00733A8F"/>
    <w:rsid w:val="00733B25"/>
    <w:rsid w:val="00733CCA"/>
    <w:rsid w:val="00733F41"/>
    <w:rsid w:val="00733FD7"/>
    <w:rsid w:val="0073404B"/>
    <w:rsid w:val="0073444E"/>
    <w:rsid w:val="007344C9"/>
    <w:rsid w:val="007344E7"/>
    <w:rsid w:val="007345D4"/>
    <w:rsid w:val="00734873"/>
    <w:rsid w:val="007349BE"/>
    <w:rsid w:val="00734A8F"/>
    <w:rsid w:val="00734C61"/>
    <w:rsid w:val="00734D9B"/>
    <w:rsid w:val="00734F37"/>
    <w:rsid w:val="00735204"/>
    <w:rsid w:val="0073538F"/>
    <w:rsid w:val="0073548E"/>
    <w:rsid w:val="00735736"/>
    <w:rsid w:val="0073594F"/>
    <w:rsid w:val="00735B7F"/>
    <w:rsid w:val="00735C40"/>
    <w:rsid w:val="00735CB6"/>
    <w:rsid w:val="00735E21"/>
    <w:rsid w:val="00735FDE"/>
    <w:rsid w:val="0073613F"/>
    <w:rsid w:val="00736519"/>
    <w:rsid w:val="00736668"/>
    <w:rsid w:val="00736975"/>
    <w:rsid w:val="00736BB5"/>
    <w:rsid w:val="00736C3F"/>
    <w:rsid w:val="00736D3A"/>
    <w:rsid w:val="00736DE6"/>
    <w:rsid w:val="00736EF6"/>
    <w:rsid w:val="00737156"/>
    <w:rsid w:val="00737283"/>
    <w:rsid w:val="0073770B"/>
    <w:rsid w:val="00737B2D"/>
    <w:rsid w:val="00737DE5"/>
    <w:rsid w:val="007407A2"/>
    <w:rsid w:val="007407BB"/>
    <w:rsid w:val="00740964"/>
    <w:rsid w:val="00740AA0"/>
    <w:rsid w:val="00740C12"/>
    <w:rsid w:val="00740D27"/>
    <w:rsid w:val="00740F97"/>
    <w:rsid w:val="00740FA7"/>
    <w:rsid w:val="00741513"/>
    <w:rsid w:val="007416D6"/>
    <w:rsid w:val="00741AEC"/>
    <w:rsid w:val="00741BBC"/>
    <w:rsid w:val="00741CFC"/>
    <w:rsid w:val="00742018"/>
    <w:rsid w:val="00742188"/>
    <w:rsid w:val="007422AD"/>
    <w:rsid w:val="00742691"/>
    <w:rsid w:val="0074274D"/>
    <w:rsid w:val="007428AF"/>
    <w:rsid w:val="00742990"/>
    <w:rsid w:val="00742C6D"/>
    <w:rsid w:val="007430FA"/>
    <w:rsid w:val="0074316A"/>
    <w:rsid w:val="007436B7"/>
    <w:rsid w:val="007436C1"/>
    <w:rsid w:val="007436C8"/>
    <w:rsid w:val="0074384F"/>
    <w:rsid w:val="00743A9C"/>
    <w:rsid w:val="00743BFB"/>
    <w:rsid w:val="00743D87"/>
    <w:rsid w:val="00743E3D"/>
    <w:rsid w:val="00744091"/>
    <w:rsid w:val="007441DF"/>
    <w:rsid w:val="007443F2"/>
    <w:rsid w:val="007444BE"/>
    <w:rsid w:val="0074487F"/>
    <w:rsid w:val="0074491C"/>
    <w:rsid w:val="0074493E"/>
    <w:rsid w:val="00744EB8"/>
    <w:rsid w:val="00744F56"/>
    <w:rsid w:val="0074520C"/>
    <w:rsid w:val="0074525E"/>
    <w:rsid w:val="0074561C"/>
    <w:rsid w:val="00745635"/>
    <w:rsid w:val="00745B2C"/>
    <w:rsid w:val="00745B43"/>
    <w:rsid w:val="00745CF8"/>
    <w:rsid w:val="00745DB6"/>
    <w:rsid w:val="00745EEE"/>
    <w:rsid w:val="00745F81"/>
    <w:rsid w:val="00746197"/>
    <w:rsid w:val="00746307"/>
    <w:rsid w:val="00746357"/>
    <w:rsid w:val="007463F1"/>
    <w:rsid w:val="0074643F"/>
    <w:rsid w:val="00746678"/>
    <w:rsid w:val="00746B36"/>
    <w:rsid w:val="00746F67"/>
    <w:rsid w:val="007470D9"/>
    <w:rsid w:val="007473E2"/>
    <w:rsid w:val="0074754B"/>
    <w:rsid w:val="00747666"/>
    <w:rsid w:val="0074784C"/>
    <w:rsid w:val="0074799E"/>
    <w:rsid w:val="00747A4B"/>
    <w:rsid w:val="00747D10"/>
    <w:rsid w:val="00747F42"/>
    <w:rsid w:val="00747F8F"/>
    <w:rsid w:val="007502C2"/>
    <w:rsid w:val="007503AF"/>
    <w:rsid w:val="00750451"/>
    <w:rsid w:val="007505FD"/>
    <w:rsid w:val="0075075B"/>
    <w:rsid w:val="007507A9"/>
    <w:rsid w:val="007508A3"/>
    <w:rsid w:val="00750AC4"/>
    <w:rsid w:val="00750F7E"/>
    <w:rsid w:val="0075100C"/>
    <w:rsid w:val="0075103D"/>
    <w:rsid w:val="00751355"/>
    <w:rsid w:val="007514A6"/>
    <w:rsid w:val="0075161E"/>
    <w:rsid w:val="007518BE"/>
    <w:rsid w:val="00751A10"/>
    <w:rsid w:val="00751B09"/>
    <w:rsid w:val="00751D17"/>
    <w:rsid w:val="007522EE"/>
    <w:rsid w:val="007523B0"/>
    <w:rsid w:val="00752475"/>
    <w:rsid w:val="00752504"/>
    <w:rsid w:val="007525C1"/>
    <w:rsid w:val="00752702"/>
    <w:rsid w:val="00752AF6"/>
    <w:rsid w:val="00752CC5"/>
    <w:rsid w:val="00752D9B"/>
    <w:rsid w:val="00752DEE"/>
    <w:rsid w:val="00753051"/>
    <w:rsid w:val="0075318F"/>
    <w:rsid w:val="0075324B"/>
    <w:rsid w:val="007532E6"/>
    <w:rsid w:val="0075338E"/>
    <w:rsid w:val="007537C9"/>
    <w:rsid w:val="007537CA"/>
    <w:rsid w:val="007538DE"/>
    <w:rsid w:val="00753D2A"/>
    <w:rsid w:val="00753DA8"/>
    <w:rsid w:val="00754001"/>
    <w:rsid w:val="0075486D"/>
    <w:rsid w:val="007548B6"/>
    <w:rsid w:val="007549B9"/>
    <w:rsid w:val="00754D18"/>
    <w:rsid w:val="00754DF1"/>
    <w:rsid w:val="00755053"/>
    <w:rsid w:val="007552C1"/>
    <w:rsid w:val="0075559C"/>
    <w:rsid w:val="00755784"/>
    <w:rsid w:val="00755900"/>
    <w:rsid w:val="007559A6"/>
    <w:rsid w:val="00755B3A"/>
    <w:rsid w:val="00755CDD"/>
    <w:rsid w:val="00755D63"/>
    <w:rsid w:val="00755D97"/>
    <w:rsid w:val="00755FA2"/>
    <w:rsid w:val="00756188"/>
    <w:rsid w:val="00756372"/>
    <w:rsid w:val="00756560"/>
    <w:rsid w:val="007565BA"/>
    <w:rsid w:val="00756976"/>
    <w:rsid w:val="00756981"/>
    <w:rsid w:val="007569D9"/>
    <w:rsid w:val="00756AAA"/>
    <w:rsid w:val="00756CAC"/>
    <w:rsid w:val="00757280"/>
    <w:rsid w:val="007573E1"/>
    <w:rsid w:val="0075744D"/>
    <w:rsid w:val="007574C6"/>
    <w:rsid w:val="007574FD"/>
    <w:rsid w:val="0075750E"/>
    <w:rsid w:val="0075754A"/>
    <w:rsid w:val="00757829"/>
    <w:rsid w:val="00757994"/>
    <w:rsid w:val="00757C1C"/>
    <w:rsid w:val="00757CBC"/>
    <w:rsid w:val="00757FF7"/>
    <w:rsid w:val="00760046"/>
    <w:rsid w:val="00760748"/>
    <w:rsid w:val="00760973"/>
    <w:rsid w:val="00760A06"/>
    <w:rsid w:val="00760A2B"/>
    <w:rsid w:val="00760AB5"/>
    <w:rsid w:val="00760B96"/>
    <w:rsid w:val="00760BB2"/>
    <w:rsid w:val="00760F86"/>
    <w:rsid w:val="007612EF"/>
    <w:rsid w:val="0076179F"/>
    <w:rsid w:val="007619C2"/>
    <w:rsid w:val="00761C18"/>
    <w:rsid w:val="00761C2C"/>
    <w:rsid w:val="00761CD6"/>
    <w:rsid w:val="00762145"/>
    <w:rsid w:val="0076257B"/>
    <w:rsid w:val="0076267E"/>
    <w:rsid w:val="00762BF6"/>
    <w:rsid w:val="00762C53"/>
    <w:rsid w:val="00762C9A"/>
    <w:rsid w:val="00762CB9"/>
    <w:rsid w:val="00762DEF"/>
    <w:rsid w:val="00763177"/>
    <w:rsid w:val="00763256"/>
    <w:rsid w:val="0076344A"/>
    <w:rsid w:val="00763599"/>
    <w:rsid w:val="00763602"/>
    <w:rsid w:val="00763614"/>
    <w:rsid w:val="007636CB"/>
    <w:rsid w:val="00763870"/>
    <w:rsid w:val="00763AD8"/>
    <w:rsid w:val="00763D22"/>
    <w:rsid w:val="00763D8A"/>
    <w:rsid w:val="00763DE6"/>
    <w:rsid w:val="00764389"/>
    <w:rsid w:val="00764516"/>
    <w:rsid w:val="00764533"/>
    <w:rsid w:val="007645BC"/>
    <w:rsid w:val="0076462D"/>
    <w:rsid w:val="0076489F"/>
    <w:rsid w:val="0076490F"/>
    <w:rsid w:val="00764BE9"/>
    <w:rsid w:val="00764D3E"/>
    <w:rsid w:val="00764DBC"/>
    <w:rsid w:val="00764F78"/>
    <w:rsid w:val="00764FC3"/>
    <w:rsid w:val="007652C1"/>
    <w:rsid w:val="007652EE"/>
    <w:rsid w:val="00765314"/>
    <w:rsid w:val="00765410"/>
    <w:rsid w:val="00765571"/>
    <w:rsid w:val="00765588"/>
    <w:rsid w:val="007656D4"/>
    <w:rsid w:val="007656F6"/>
    <w:rsid w:val="00765997"/>
    <w:rsid w:val="00765C2C"/>
    <w:rsid w:val="00765EC9"/>
    <w:rsid w:val="00766027"/>
    <w:rsid w:val="0076632F"/>
    <w:rsid w:val="0076648D"/>
    <w:rsid w:val="0076659A"/>
    <w:rsid w:val="00766792"/>
    <w:rsid w:val="00766903"/>
    <w:rsid w:val="00766954"/>
    <w:rsid w:val="007669C9"/>
    <w:rsid w:val="00766BAE"/>
    <w:rsid w:val="00766CB8"/>
    <w:rsid w:val="00766FA5"/>
    <w:rsid w:val="00766FE3"/>
    <w:rsid w:val="00767336"/>
    <w:rsid w:val="00767392"/>
    <w:rsid w:val="00767393"/>
    <w:rsid w:val="0076740E"/>
    <w:rsid w:val="00767428"/>
    <w:rsid w:val="0076760F"/>
    <w:rsid w:val="00767B87"/>
    <w:rsid w:val="00767BAF"/>
    <w:rsid w:val="00767D13"/>
    <w:rsid w:val="00770080"/>
    <w:rsid w:val="007700D7"/>
    <w:rsid w:val="007701DA"/>
    <w:rsid w:val="0077024F"/>
    <w:rsid w:val="007704B2"/>
    <w:rsid w:val="00770527"/>
    <w:rsid w:val="007705D6"/>
    <w:rsid w:val="00770C67"/>
    <w:rsid w:val="00770FEA"/>
    <w:rsid w:val="00771341"/>
    <w:rsid w:val="0077135A"/>
    <w:rsid w:val="007715CC"/>
    <w:rsid w:val="007717B6"/>
    <w:rsid w:val="00771859"/>
    <w:rsid w:val="00771E7D"/>
    <w:rsid w:val="00771FE6"/>
    <w:rsid w:val="00772021"/>
    <w:rsid w:val="007722AD"/>
    <w:rsid w:val="007722BE"/>
    <w:rsid w:val="007726FC"/>
    <w:rsid w:val="00772AE4"/>
    <w:rsid w:val="00772D74"/>
    <w:rsid w:val="00772EAE"/>
    <w:rsid w:val="00772EFF"/>
    <w:rsid w:val="00772F08"/>
    <w:rsid w:val="0077307C"/>
    <w:rsid w:val="00773190"/>
    <w:rsid w:val="0077341D"/>
    <w:rsid w:val="00773A48"/>
    <w:rsid w:val="00773B8B"/>
    <w:rsid w:val="00773C4D"/>
    <w:rsid w:val="00773DB4"/>
    <w:rsid w:val="00773E50"/>
    <w:rsid w:val="00773E6E"/>
    <w:rsid w:val="00773EA1"/>
    <w:rsid w:val="007742A5"/>
    <w:rsid w:val="0077445D"/>
    <w:rsid w:val="00774699"/>
    <w:rsid w:val="00774882"/>
    <w:rsid w:val="00774A92"/>
    <w:rsid w:val="00774B22"/>
    <w:rsid w:val="00774B31"/>
    <w:rsid w:val="00774B93"/>
    <w:rsid w:val="00774DA5"/>
    <w:rsid w:val="00774DDC"/>
    <w:rsid w:val="00774EFC"/>
    <w:rsid w:val="007753F6"/>
    <w:rsid w:val="00775429"/>
    <w:rsid w:val="00775524"/>
    <w:rsid w:val="007756B5"/>
    <w:rsid w:val="0077577A"/>
    <w:rsid w:val="0077598B"/>
    <w:rsid w:val="00775DB4"/>
    <w:rsid w:val="00775E0E"/>
    <w:rsid w:val="00775E0F"/>
    <w:rsid w:val="00775E83"/>
    <w:rsid w:val="00775EBE"/>
    <w:rsid w:val="00775F1A"/>
    <w:rsid w:val="00776014"/>
    <w:rsid w:val="00776108"/>
    <w:rsid w:val="0077623D"/>
    <w:rsid w:val="0077635B"/>
    <w:rsid w:val="007765F2"/>
    <w:rsid w:val="007765FE"/>
    <w:rsid w:val="007766A1"/>
    <w:rsid w:val="007766FB"/>
    <w:rsid w:val="007767AC"/>
    <w:rsid w:val="00776999"/>
    <w:rsid w:val="00776BEF"/>
    <w:rsid w:val="00776D0B"/>
    <w:rsid w:val="00776F8B"/>
    <w:rsid w:val="0077725D"/>
    <w:rsid w:val="007772F9"/>
    <w:rsid w:val="0077734B"/>
    <w:rsid w:val="00777398"/>
    <w:rsid w:val="00777405"/>
    <w:rsid w:val="00777603"/>
    <w:rsid w:val="00777747"/>
    <w:rsid w:val="007778D0"/>
    <w:rsid w:val="00777945"/>
    <w:rsid w:val="00777BD5"/>
    <w:rsid w:val="00777C1F"/>
    <w:rsid w:val="00780136"/>
    <w:rsid w:val="0078052B"/>
    <w:rsid w:val="0078055F"/>
    <w:rsid w:val="0078056B"/>
    <w:rsid w:val="00780A60"/>
    <w:rsid w:val="00780BBE"/>
    <w:rsid w:val="00780C9F"/>
    <w:rsid w:val="00780FB8"/>
    <w:rsid w:val="00781194"/>
    <w:rsid w:val="00781284"/>
    <w:rsid w:val="0078130F"/>
    <w:rsid w:val="00781476"/>
    <w:rsid w:val="007814CC"/>
    <w:rsid w:val="00781526"/>
    <w:rsid w:val="00781572"/>
    <w:rsid w:val="00781715"/>
    <w:rsid w:val="007817D9"/>
    <w:rsid w:val="007819D6"/>
    <w:rsid w:val="00781C3C"/>
    <w:rsid w:val="00781CCE"/>
    <w:rsid w:val="00781CE4"/>
    <w:rsid w:val="00781E68"/>
    <w:rsid w:val="00781E80"/>
    <w:rsid w:val="00781EBD"/>
    <w:rsid w:val="007820D1"/>
    <w:rsid w:val="00782139"/>
    <w:rsid w:val="007822CA"/>
    <w:rsid w:val="00782369"/>
    <w:rsid w:val="00782378"/>
    <w:rsid w:val="0078241C"/>
    <w:rsid w:val="00782F2A"/>
    <w:rsid w:val="0078312D"/>
    <w:rsid w:val="0078331B"/>
    <w:rsid w:val="0078354F"/>
    <w:rsid w:val="0078362A"/>
    <w:rsid w:val="0078375E"/>
    <w:rsid w:val="00783851"/>
    <w:rsid w:val="007838FE"/>
    <w:rsid w:val="00783C24"/>
    <w:rsid w:val="00783D42"/>
    <w:rsid w:val="007840D1"/>
    <w:rsid w:val="007843B3"/>
    <w:rsid w:val="007849EC"/>
    <w:rsid w:val="00784A7D"/>
    <w:rsid w:val="00784BFF"/>
    <w:rsid w:val="00784D84"/>
    <w:rsid w:val="007850C7"/>
    <w:rsid w:val="0078511B"/>
    <w:rsid w:val="007851D9"/>
    <w:rsid w:val="00785301"/>
    <w:rsid w:val="00785532"/>
    <w:rsid w:val="007856B3"/>
    <w:rsid w:val="00785707"/>
    <w:rsid w:val="00785737"/>
    <w:rsid w:val="0078588C"/>
    <w:rsid w:val="00785976"/>
    <w:rsid w:val="00785C28"/>
    <w:rsid w:val="00785D10"/>
    <w:rsid w:val="00785D48"/>
    <w:rsid w:val="00785E78"/>
    <w:rsid w:val="00785F8F"/>
    <w:rsid w:val="00786129"/>
    <w:rsid w:val="0078613D"/>
    <w:rsid w:val="007863D4"/>
    <w:rsid w:val="007865A2"/>
    <w:rsid w:val="007865A8"/>
    <w:rsid w:val="00786968"/>
    <w:rsid w:val="00786B8D"/>
    <w:rsid w:val="00786BA6"/>
    <w:rsid w:val="00786D9F"/>
    <w:rsid w:val="00786F64"/>
    <w:rsid w:val="00786F7E"/>
    <w:rsid w:val="00787068"/>
    <w:rsid w:val="007872DB"/>
    <w:rsid w:val="0078781D"/>
    <w:rsid w:val="0078785B"/>
    <w:rsid w:val="00787BDA"/>
    <w:rsid w:val="00787D0F"/>
    <w:rsid w:val="00787D3A"/>
    <w:rsid w:val="00787DE1"/>
    <w:rsid w:val="00787F69"/>
    <w:rsid w:val="007900A2"/>
    <w:rsid w:val="007900D6"/>
    <w:rsid w:val="00790370"/>
    <w:rsid w:val="0079062B"/>
    <w:rsid w:val="0079075E"/>
    <w:rsid w:val="007908F5"/>
    <w:rsid w:val="007909B9"/>
    <w:rsid w:val="007909CB"/>
    <w:rsid w:val="00790B05"/>
    <w:rsid w:val="00790C37"/>
    <w:rsid w:val="00790D85"/>
    <w:rsid w:val="0079104D"/>
    <w:rsid w:val="007910F1"/>
    <w:rsid w:val="00791183"/>
    <w:rsid w:val="0079130B"/>
    <w:rsid w:val="00791361"/>
    <w:rsid w:val="00791445"/>
    <w:rsid w:val="00791572"/>
    <w:rsid w:val="00791600"/>
    <w:rsid w:val="0079184F"/>
    <w:rsid w:val="00791939"/>
    <w:rsid w:val="007919D1"/>
    <w:rsid w:val="00791C61"/>
    <w:rsid w:val="00791CCC"/>
    <w:rsid w:val="00791E95"/>
    <w:rsid w:val="007920FE"/>
    <w:rsid w:val="00792270"/>
    <w:rsid w:val="00792297"/>
    <w:rsid w:val="007922F5"/>
    <w:rsid w:val="00792453"/>
    <w:rsid w:val="00792626"/>
    <w:rsid w:val="00792795"/>
    <w:rsid w:val="007928BB"/>
    <w:rsid w:val="00792910"/>
    <w:rsid w:val="00792927"/>
    <w:rsid w:val="00792F1D"/>
    <w:rsid w:val="007933DA"/>
    <w:rsid w:val="00793528"/>
    <w:rsid w:val="007936FB"/>
    <w:rsid w:val="00793AAA"/>
    <w:rsid w:val="00793AB1"/>
    <w:rsid w:val="00793BF7"/>
    <w:rsid w:val="00793C43"/>
    <w:rsid w:val="00793E21"/>
    <w:rsid w:val="007941D6"/>
    <w:rsid w:val="0079438B"/>
    <w:rsid w:val="007943EF"/>
    <w:rsid w:val="00794568"/>
    <w:rsid w:val="007946A7"/>
    <w:rsid w:val="0079481E"/>
    <w:rsid w:val="00794A79"/>
    <w:rsid w:val="00794AB1"/>
    <w:rsid w:val="00794B8A"/>
    <w:rsid w:val="00794C05"/>
    <w:rsid w:val="00794DF9"/>
    <w:rsid w:val="00794F61"/>
    <w:rsid w:val="007951EF"/>
    <w:rsid w:val="007952FA"/>
    <w:rsid w:val="007953A2"/>
    <w:rsid w:val="007955E5"/>
    <w:rsid w:val="007957AE"/>
    <w:rsid w:val="00795835"/>
    <w:rsid w:val="00795848"/>
    <w:rsid w:val="00795AD0"/>
    <w:rsid w:val="00795C3C"/>
    <w:rsid w:val="00795F2B"/>
    <w:rsid w:val="00796090"/>
    <w:rsid w:val="00796394"/>
    <w:rsid w:val="007966A2"/>
    <w:rsid w:val="00796793"/>
    <w:rsid w:val="00796801"/>
    <w:rsid w:val="007968EB"/>
    <w:rsid w:val="007969DF"/>
    <w:rsid w:val="00796A62"/>
    <w:rsid w:val="00796B52"/>
    <w:rsid w:val="00796B88"/>
    <w:rsid w:val="00796C30"/>
    <w:rsid w:val="00796D5E"/>
    <w:rsid w:val="00796E41"/>
    <w:rsid w:val="007970C6"/>
    <w:rsid w:val="007973A6"/>
    <w:rsid w:val="007974BD"/>
    <w:rsid w:val="0079751B"/>
    <w:rsid w:val="00797525"/>
    <w:rsid w:val="0079754B"/>
    <w:rsid w:val="007975DA"/>
    <w:rsid w:val="007976AB"/>
    <w:rsid w:val="00797834"/>
    <w:rsid w:val="007978C4"/>
    <w:rsid w:val="0079796F"/>
    <w:rsid w:val="0079798F"/>
    <w:rsid w:val="00797C33"/>
    <w:rsid w:val="00797C59"/>
    <w:rsid w:val="00797D8D"/>
    <w:rsid w:val="00797E3A"/>
    <w:rsid w:val="007A00EA"/>
    <w:rsid w:val="007A01F9"/>
    <w:rsid w:val="007A061B"/>
    <w:rsid w:val="007A0907"/>
    <w:rsid w:val="007A0AB8"/>
    <w:rsid w:val="007A0B99"/>
    <w:rsid w:val="007A0BE0"/>
    <w:rsid w:val="007A0FC8"/>
    <w:rsid w:val="007A1037"/>
    <w:rsid w:val="007A1066"/>
    <w:rsid w:val="007A10BD"/>
    <w:rsid w:val="007A1201"/>
    <w:rsid w:val="007A1308"/>
    <w:rsid w:val="007A1351"/>
    <w:rsid w:val="007A1445"/>
    <w:rsid w:val="007A15DF"/>
    <w:rsid w:val="007A1643"/>
    <w:rsid w:val="007A1691"/>
    <w:rsid w:val="007A1906"/>
    <w:rsid w:val="007A1BBF"/>
    <w:rsid w:val="007A1C13"/>
    <w:rsid w:val="007A1CAD"/>
    <w:rsid w:val="007A1DCC"/>
    <w:rsid w:val="007A225F"/>
    <w:rsid w:val="007A2736"/>
    <w:rsid w:val="007A298A"/>
    <w:rsid w:val="007A2CC9"/>
    <w:rsid w:val="007A2D69"/>
    <w:rsid w:val="007A2DC6"/>
    <w:rsid w:val="007A2EA0"/>
    <w:rsid w:val="007A3088"/>
    <w:rsid w:val="007A30C9"/>
    <w:rsid w:val="007A327E"/>
    <w:rsid w:val="007A34AA"/>
    <w:rsid w:val="007A3828"/>
    <w:rsid w:val="007A3D39"/>
    <w:rsid w:val="007A3DCE"/>
    <w:rsid w:val="007A3F22"/>
    <w:rsid w:val="007A3FD8"/>
    <w:rsid w:val="007A4006"/>
    <w:rsid w:val="007A4730"/>
    <w:rsid w:val="007A5185"/>
    <w:rsid w:val="007A56D2"/>
    <w:rsid w:val="007A5746"/>
    <w:rsid w:val="007A5954"/>
    <w:rsid w:val="007A5A13"/>
    <w:rsid w:val="007A5A7C"/>
    <w:rsid w:val="007A5BBE"/>
    <w:rsid w:val="007A5BF1"/>
    <w:rsid w:val="007A5D33"/>
    <w:rsid w:val="007A5DF8"/>
    <w:rsid w:val="007A5F4F"/>
    <w:rsid w:val="007A6031"/>
    <w:rsid w:val="007A634B"/>
    <w:rsid w:val="007A6398"/>
    <w:rsid w:val="007A6462"/>
    <w:rsid w:val="007A64B0"/>
    <w:rsid w:val="007A6540"/>
    <w:rsid w:val="007A66C8"/>
    <w:rsid w:val="007A6711"/>
    <w:rsid w:val="007A6B1D"/>
    <w:rsid w:val="007A6BF6"/>
    <w:rsid w:val="007A6F71"/>
    <w:rsid w:val="007A722B"/>
    <w:rsid w:val="007A72B6"/>
    <w:rsid w:val="007A72F2"/>
    <w:rsid w:val="007A73E0"/>
    <w:rsid w:val="007A743C"/>
    <w:rsid w:val="007A7498"/>
    <w:rsid w:val="007A75D4"/>
    <w:rsid w:val="007A7808"/>
    <w:rsid w:val="007A7994"/>
    <w:rsid w:val="007A7AF2"/>
    <w:rsid w:val="007A7AFF"/>
    <w:rsid w:val="007A7CCD"/>
    <w:rsid w:val="007A7E81"/>
    <w:rsid w:val="007A7FB5"/>
    <w:rsid w:val="007B00C7"/>
    <w:rsid w:val="007B032C"/>
    <w:rsid w:val="007B0396"/>
    <w:rsid w:val="007B04E8"/>
    <w:rsid w:val="007B0596"/>
    <w:rsid w:val="007B079C"/>
    <w:rsid w:val="007B07D6"/>
    <w:rsid w:val="007B086B"/>
    <w:rsid w:val="007B0891"/>
    <w:rsid w:val="007B0915"/>
    <w:rsid w:val="007B0A71"/>
    <w:rsid w:val="007B0C02"/>
    <w:rsid w:val="007B0C0C"/>
    <w:rsid w:val="007B0CFE"/>
    <w:rsid w:val="007B0EFC"/>
    <w:rsid w:val="007B1221"/>
    <w:rsid w:val="007B12A0"/>
    <w:rsid w:val="007B153A"/>
    <w:rsid w:val="007B15BE"/>
    <w:rsid w:val="007B1712"/>
    <w:rsid w:val="007B1901"/>
    <w:rsid w:val="007B19D0"/>
    <w:rsid w:val="007B19E2"/>
    <w:rsid w:val="007B1F53"/>
    <w:rsid w:val="007B1FB5"/>
    <w:rsid w:val="007B223C"/>
    <w:rsid w:val="007B23BC"/>
    <w:rsid w:val="007B254B"/>
    <w:rsid w:val="007B2610"/>
    <w:rsid w:val="007B2685"/>
    <w:rsid w:val="007B281A"/>
    <w:rsid w:val="007B295C"/>
    <w:rsid w:val="007B29C2"/>
    <w:rsid w:val="007B2B54"/>
    <w:rsid w:val="007B2D20"/>
    <w:rsid w:val="007B2D28"/>
    <w:rsid w:val="007B2F31"/>
    <w:rsid w:val="007B302C"/>
    <w:rsid w:val="007B311D"/>
    <w:rsid w:val="007B332E"/>
    <w:rsid w:val="007B33F7"/>
    <w:rsid w:val="007B3550"/>
    <w:rsid w:val="007B36B3"/>
    <w:rsid w:val="007B36F8"/>
    <w:rsid w:val="007B387C"/>
    <w:rsid w:val="007B39C3"/>
    <w:rsid w:val="007B3ADF"/>
    <w:rsid w:val="007B3BE1"/>
    <w:rsid w:val="007B3CA3"/>
    <w:rsid w:val="007B3D2C"/>
    <w:rsid w:val="007B4578"/>
    <w:rsid w:val="007B46FE"/>
    <w:rsid w:val="007B4AA4"/>
    <w:rsid w:val="007B50B6"/>
    <w:rsid w:val="007B545F"/>
    <w:rsid w:val="007B55A1"/>
    <w:rsid w:val="007B55A6"/>
    <w:rsid w:val="007B563D"/>
    <w:rsid w:val="007B5860"/>
    <w:rsid w:val="007B59B8"/>
    <w:rsid w:val="007B5A4C"/>
    <w:rsid w:val="007B5C09"/>
    <w:rsid w:val="007B5D14"/>
    <w:rsid w:val="007B5E3F"/>
    <w:rsid w:val="007B6009"/>
    <w:rsid w:val="007B60B4"/>
    <w:rsid w:val="007B61E0"/>
    <w:rsid w:val="007B633E"/>
    <w:rsid w:val="007B6440"/>
    <w:rsid w:val="007B6545"/>
    <w:rsid w:val="007B665E"/>
    <w:rsid w:val="007B6732"/>
    <w:rsid w:val="007B68F5"/>
    <w:rsid w:val="007B6A6E"/>
    <w:rsid w:val="007B6ACB"/>
    <w:rsid w:val="007B71D9"/>
    <w:rsid w:val="007B71EB"/>
    <w:rsid w:val="007B728F"/>
    <w:rsid w:val="007B74C8"/>
    <w:rsid w:val="007B759E"/>
    <w:rsid w:val="007B782E"/>
    <w:rsid w:val="007B7E94"/>
    <w:rsid w:val="007B7F24"/>
    <w:rsid w:val="007B7F25"/>
    <w:rsid w:val="007C0241"/>
    <w:rsid w:val="007C0346"/>
    <w:rsid w:val="007C04F8"/>
    <w:rsid w:val="007C0A1C"/>
    <w:rsid w:val="007C0A6C"/>
    <w:rsid w:val="007C0D4C"/>
    <w:rsid w:val="007C0E1F"/>
    <w:rsid w:val="007C0EC3"/>
    <w:rsid w:val="007C0ECC"/>
    <w:rsid w:val="007C0FDB"/>
    <w:rsid w:val="007C1241"/>
    <w:rsid w:val="007C14C5"/>
    <w:rsid w:val="007C1658"/>
    <w:rsid w:val="007C1803"/>
    <w:rsid w:val="007C188C"/>
    <w:rsid w:val="007C18F1"/>
    <w:rsid w:val="007C19B6"/>
    <w:rsid w:val="007C1B1A"/>
    <w:rsid w:val="007C1C86"/>
    <w:rsid w:val="007C1D6C"/>
    <w:rsid w:val="007C1F12"/>
    <w:rsid w:val="007C27B2"/>
    <w:rsid w:val="007C289E"/>
    <w:rsid w:val="007C2996"/>
    <w:rsid w:val="007C2D56"/>
    <w:rsid w:val="007C2EBB"/>
    <w:rsid w:val="007C31FC"/>
    <w:rsid w:val="007C3299"/>
    <w:rsid w:val="007C32F4"/>
    <w:rsid w:val="007C33DB"/>
    <w:rsid w:val="007C34E2"/>
    <w:rsid w:val="007C3A40"/>
    <w:rsid w:val="007C3AE5"/>
    <w:rsid w:val="007C3B1D"/>
    <w:rsid w:val="007C3D69"/>
    <w:rsid w:val="007C3F60"/>
    <w:rsid w:val="007C3FDA"/>
    <w:rsid w:val="007C4341"/>
    <w:rsid w:val="007C4410"/>
    <w:rsid w:val="007C4473"/>
    <w:rsid w:val="007C447E"/>
    <w:rsid w:val="007C4584"/>
    <w:rsid w:val="007C4733"/>
    <w:rsid w:val="007C4999"/>
    <w:rsid w:val="007C49CE"/>
    <w:rsid w:val="007C4A14"/>
    <w:rsid w:val="007C4B5D"/>
    <w:rsid w:val="007C4BC4"/>
    <w:rsid w:val="007C4C74"/>
    <w:rsid w:val="007C5780"/>
    <w:rsid w:val="007C57F9"/>
    <w:rsid w:val="007C5B0E"/>
    <w:rsid w:val="007C5B7A"/>
    <w:rsid w:val="007C5F09"/>
    <w:rsid w:val="007C5F6B"/>
    <w:rsid w:val="007C610A"/>
    <w:rsid w:val="007C63E1"/>
    <w:rsid w:val="007C67B0"/>
    <w:rsid w:val="007C6847"/>
    <w:rsid w:val="007C68FD"/>
    <w:rsid w:val="007C6A99"/>
    <w:rsid w:val="007C6AAA"/>
    <w:rsid w:val="007C709C"/>
    <w:rsid w:val="007C7145"/>
    <w:rsid w:val="007C748C"/>
    <w:rsid w:val="007C785C"/>
    <w:rsid w:val="007C7AA1"/>
    <w:rsid w:val="007C7F76"/>
    <w:rsid w:val="007D00DD"/>
    <w:rsid w:val="007D01B0"/>
    <w:rsid w:val="007D0309"/>
    <w:rsid w:val="007D046A"/>
    <w:rsid w:val="007D082C"/>
    <w:rsid w:val="007D0E8D"/>
    <w:rsid w:val="007D139F"/>
    <w:rsid w:val="007D13C9"/>
    <w:rsid w:val="007D1B8A"/>
    <w:rsid w:val="007D1E71"/>
    <w:rsid w:val="007D1ECD"/>
    <w:rsid w:val="007D1F38"/>
    <w:rsid w:val="007D2131"/>
    <w:rsid w:val="007D2449"/>
    <w:rsid w:val="007D2464"/>
    <w:rsid w:val="007D24A8"/>
    <w:rsid w:val="007D269E"/>
    <w:rsid w:val="007D26A1"/>
    <w:rsid w:val="007D278D"/>
    <w:rsid w:val="007D27A0"/>
    <w:rsid w:val="007D28BF"/>
    <w:rsid w:val="007D292A"/>
    <w:rsid w:val="007D2ABC"/>
    <w:rsid w:val="007D2B45"/>
    <w:rsid w:val="007D2BDF"/>
    <w:rsid w:val="007D2CC2"/>
    <w:rsid w:val="007D2EE0"/>
    <w:rsid w:val="007D2F41"/>
    <w:rsid w:val="007D3509"/>
    <w:rsid w:val="007D392C"/>
    <w:rsid w:val="007D39EE"/>
    <w:rsid w:val="007D40EC"/>
    <w:rsid w:val="007D423E"/>
    <w:rsid w:val="007D426E"/>
    <w:rsid w:val="007D430F"/>
    <w:rsid w:val="007D443A"/>
    <w:rsid w:val="007D450C"/>
    <w:rsid w:val="007D455C"/>
    <w:rsid w:val="007D46B4"/>
    <w:rsid w:val="007D47B1"/>
    <w:rsid w:val="007D49C7"/>
    <w:rsid w:val="007D4D47"/>
    <w:rsid w:val="007D4D59"/>
    <w:rsid w:val="007D4DDC"/>
    <w:rsid w:val="007D537D"/>
    <w:rsid w:val="007D58A3"/>
    <w:rsid w:val="007D5A2C"/>
    <w:rsid w:val="007D5B6D"/>
    <w:rsid w:val="007D5C52"/>
    <w:rsid w:val="007D6268"/>
    <w:rsid w:val="007D630E"/>
    <w:rsid w:val="007D63D0"/>
    <w:rsid w:val="007D64FB"/>
    <w:rsid w:val="007D66F7"/>
    <w:rsid w:val="007D684A"/>
    <w:rsid w:val="007D6B83"/>
    <w:rsid w:val="007D6C53"/>
    <w:rsid w:val="007D6DAF"/>
    <w:rsid w:val="007D6F52"/>
    <w:rsid w:val="007D6F7C"/>
    <w:rsid w:val="007D7129"/>
    <w:rsid w:val="007D73CD"/>
    <w:rsid w:val="007D7415"/>
    <w:rsid w:val="007D785F"/>
    <w:rsid w:val="007D7F55"/>
    <w:rsid w:val="007D7FA4"/>
    <w:rsid w:val="007E01C7"/>
    <w:rsid w:val="007E08E5"/>
    <w:rsid w:val="007E09C3"/>
    <w:rsid w:val="007E0B26"/>
    <w:rsid w:val="007E0CEC"/>
    <w:rsid w:val="007E0D68"/>
    <w:rsid w:val="007E0F9A"/>
    <w:rsid w:val="007E1028"/>
    <w:rsid w:val="007E11AC"/>
    <w:rsid w:val="007E12DA"/>
    <w:rsid w:val="007E1374"/>
    <w:rsid w:val="007E15A7"/>
    <w:rsid w:val="007E1725"/>
    <w:rsid w:val="007E179B"/>
    <w:rsid w:val="007E18E7"/>
    <w:rsid w:val="007E1AEB"/>
    <w:rsid w:val="007E1EB5"/>
    <w:rsid w:val="007E1EC3"/>
    <w:rsid w:val="007E2962"/>
    <w:rsid w:val="007E2FCC"/>
    <w:rsid w:val="007E3009"/>
    <w:rsid w:val="007E302A"/>
    <w:rsid w:val="007E3667"/>
    <w:rsid w:val="007E3675"/>
    <w:rsid w:val="007E36C4"/>
    <w:rsid w:val="007E376A"/>
    <w:rsid w:val="007E39B6"/>
    <w:rsid w:val="007E3B59"/>
    <w:rsid w:val="007E3C1B"/>
    <w:rsid w:val="007E3CCA"/>
    <w:rsid w:val="007E3EE7"/>
    <w:rsid w:val="007E4063"/>
    <w:rsid w:val="007E4298"/>
    <w:rsid w:val="007E433B"/>
    <w:rsid w:val="007E434D"/>
    <w:rsid w:val="007E4A3E"/>
    <w:rsid w:val="007E4FFE"/>
    <w:rsid w:val="007E500A"/>
    <w:rsid w:val="007E5024"/>
    <w:rsid w:val="007E52C8"/>
    <w:rsid w:val="007E5434"/>
    <w:rsid w:val="007E5A28"/>
    <w:rsid w:val="007E5AEE"/>
    <w:rsid w:val="007E5D3C"/>
    <w:rsid w:val="007E5DC3"/>
    <w:rsid w:val="007E5F6D"/>
    <w:rsid w:val="007E645C"/>
    <w:rsid w:val="007E669E"/>
    <w:rsid w:val="007E6790"/>
    <w:rsid w:val="007E69CA"/>
    <w:rsid w:val="007E69FD"/>
    <w:rsid w:val="007E6D96"/>
    <w:rsid w:val="007E6DFF"/>
    <w:rsid w:val="007E6FA1"/>
    <w:rsid w:val="007E747B"/>
    <w:rsid w:val="007E75B1"/>
    <w:rsid w:val="007E79D1"/>
    <w:rsid w:val="007E7A10"/>
    <w:rsid w:val="007E7BB6"/>
    <w:rsid w:val="007E7DE2"/>
    <w:rsid w:val="007E7E02"/>
    <w:rsid w:val="007F00EB"/>
    <w:rsid w:val="007F028A"/>
    <w:rsid w:val="007F03B1"/>
    <w:rsid w:val="007F03CE"/>
    <w:rsid w:val="007F074C"/>
    <w:rsid w:val="007F076C"/>
    <w:rsid w:val="007F07BF"/>
    <w:rsid w:val="007F0887"/>
    <w:rsid w:val="007F09BA"/>
    <w:rsid w:val="007F0C6D"/>
    <w:rsid w:val="007F0CEE"/>
    <w:rsid w:val="007F0F9F"/>
    <w:rsid w:val="007F0FAC"/>
    <w:rsid w:val="007F1004"/>
    <w:rsid w:val="007F1668"/>
    <w:rsid w:val="007F17AF"/>
    <w:rsid w:val="007F17C2"/>
    <w:rsid w:val="007F17F3"/>
    <w:rsid w:val="007F194F"/>
    <w:rsid w:val="007F1A44"/>
    <w:rsid w:val="007F1D33"/>
    <w:rsid w:val="007F1DB1"/>
    <w:rsid w:val="007F1E3F"/>
    <w:rsid w:val="007F1EE0"/>
    <w:rsid w:val="007F2357"/>
    <w:rsid w:val="007F2395"/>
    <w:rsid w:val="007F273F"/>
    <w:rsid w:val="007F2D36"/>
    <w:rsid w:val="007F2FB7"/>
    <w:rsid w:val="007F3106"/>
    <w:rsid w:val="007F337C"/>
    <w:rsid w:val="007F351B"/>
    <w:rsid w:val="007F352D"/>
    <w:rsid w:val="007F3963"/>
    <w:rsid w:val="007F39A2"/>
    <w:rsid w:val="007F3A63"/>
    <w:rsid w:val="007F3AA0"/>
    <w:rsid w:val="007F3E84"/>
    <w:rsid w:val="007F3FA9"/>
    <w:rsid w:val="007F400C"/>
    <w:rsid w:val="007F43D2"/>
    <w:rsid w:val="007F45F5"/>
    <w:rsid w:val="007F478C"/>
    <w:rsid w:val="007F4965"/>
    <w:rsid w:val="007F4A1A"/>
    <w:rsid w:val="007F4B44"/>
    <w:rsid w:val="007F4B99"/>
    <w:rsid w:val="007F4CF2"/>
    <w:rsid w:val="007F4EAF"/>
    <w:rsid w:val="007F4F5A"/>
    <w:rsid w:val="007F503A"/>
    <w:rsid w:val="007F50CF"/>
    <w:rsid w:val="007F5373"/>
    <w:rsid w:val="007F538F"/>
    <w:rsid w:val="007F53AF"/>
    <w:rsid w:val="007F556D"/>
    <w:rsid w:val="007F590E"/>
    <w:rsid w:val="007F5930"/>
    <w:rsid w:val="007F5A53"/>
    <w:rsid w:val="007F5A83"/>
    <w:rsid w:val="007F5CD8"/>
    <w:rsid w:val="007F5CDF"/>
    <w:rsid w:val="007F5D7C"/>
    <w:rsid w:val="007F5ED1"/>
    <w:rsid w:val="007F603D"/>
    <w:rsid w:val="007F60D9"/>
    <w:rsid w:val="007F62C0"/>
    <w:rsid w:val="007F62FF"/>
    <w:rsid w:val="007F6359"/>
    <w:rsid w:val="007F6520"/>
    <w:rsid w:val="007F65C9"/>
    <w:rsid w:val="007F69F1"/>
    <w:rsid w:val="007F6B5B"/>
    <w:rsid w:val="007F6CCE"/>
    <w:rsid w:val="007F6D44"/>
    <w:rsid w:val="007F6E1B"/>
    <w:rsid w:val="007F70CA"/>
    <w:rsid w:val="007F70D1"/>
    <w:rsid w:val="007F7156"/>
    <w:rsid w:val="007F7A6B"/>
    <w:rsid w:val="007F7AF5"/>
    <w:rsid w:val="007F7C21"/>
    <w:rsid w:val="007F7C39"/>
    <w:rsid w:val="007F7CD0"/>
    <w:rsid w:val="00800065"/>
    <w:rsid w:val="0080012F"/>
    <w:rsid w:val="00800207"/>
    <w:rsid w:val="00800314"/>
    <w:rsid w:val="008008A8"/>
    <w:rsid w:val="00800B2B"/>
    <w:rsid w:val="00800F71"/>
    <w:rsid w:val="00800FCF"/>
    <w:rsid w:val="00801081"/>
    <w:rsid w:val="008010E1"/>
    <w:rsid w:val="008012C0"/>
    <w:rsid w:val="008013D5"/>
    <w:rsid w:val="008013FD"/>
    <w:rsid w:val="008016CE"/>
    <w:rsid w:val="008016E5"/>
    <w:rsid w:val="0080190E"/>
    <w:rsid w:val="00801AD1"/>
    <w:rsid w:val="00801BBD"/>
    <w:rsid w:val="00801EA7"/>
    <w:rsid w:val="00801FC5"/>
    <w:rsid w:val="008021D5"/>
    <w:rsid w:val="008021DD"/>
    <w:rsid w:val="00802392"/>
    <w:rsid w:val="00802422"/>
    <w:rsid w:val="00802567"/>
    <w:rsid w:val="008025DB"/>
    <w:rsid w:val="008027D8"/>
    <w:rsid w:val="008028CB"/>
    <w:rsid w:val="008029CD"/>
    <w:rsid w:val="00802A9D"/>
    <w:rsid w:val="00802BAE"/>
    <w:rsid w:val="00802C01"/>
    <w:rsid w:val="00802C58"/>
    <w:rsid w:val="00802E7B"/>
    <w:rsid w:val="00802EF1"/>
    <w:rsid w:val="00802F4F"/>
    <w:rsid w:val="00803969"/>
    <w:rsid w:val="00803C1B"/>
    <w:rsid w:val="00803C46"/>
    <w:rsid w:val="00803DFD"/>
    <w:rsid w:val="00804044"/>
    <w:rsid w:val="0080408E"/>
    <w:rsid w:val="00804193"/>
    <w:rsid w:val="008041F1"/>
    <w:rsid w:val="00804311"/>
    <w:rsid w:val="0080438A"/>
    <w:rsid w:val="00804504"/>
    <w:rsid w:val="0080479E"/>
    <w:rsid w:val="0080491F"/>
    <w:rsid w:val="00804C0A"/>
    <w:rsid w:val="00804C41"/>
    <w:rsid w:val="00804CA6"/>
    <w:rsid w:val="00804E66"/>
    <w:rsid w:val="00804EB3"/>
    <w:rsid w:val="00804F94"/>
    <w:rsid w:val="00805061"/>
    <w:rsid w:val="0080521C"/>
    <w:rsid w:val="00805436"/>
    <w:rsid w:val="008055BE"/>
    <w:rsid w:val="008056B4"/>
    <w:rsid w:val="0080585D"/>
    <w:rsid w:val="00805882"/>
    <w:rsid w:val="00805B3D"/>
    <w:rsid w:val="00805D68"/>
    <w:rsid w:val="00805F8F"/>
    <w:rsid w:val="00806080"/>
    <w:rsid w:val="00806524"/>
    <w:rsid w:val="0080674F"/>
    <w:rsid w:val="008067AC"/>
    <w:rsid w:val="00806A63"/>
    <w:rsid w:val="00806F3E"/>
    <w:rsid w:val="00806F72"/>
    <w:rsid w:val="00807216"/>
    <w:rsid w:val="00807240"/>
    <w:rsid w:val="008073E3"/>
    <w:rsid w:val="008074CB"/>
    <w:rsid w:val="00807730"/>
    <w:rsid w:val="008077EC"/>
    <w:rsid w:val="00807985"/>
    <w:rsid w:val="00807D36"/>
    <w:rsid w:val="00807DAF"/>
    <w:rsid w:val="00807FDE"/>
    <w:rsid w:val="00810011"/>
    <w:rsid w:val="008101A8"/>
    <w:rsid w:val="0081023B"/>
    <w:rsid w:val="0081041E"/>
    <w:rsid w:val="008105D7"/>
    <w:rsid w:val="008109EC"/>
    <w:rsid w:val="00810E4C"/>
    <w:rsid w:val="00811094"/>
    <w:rsid w:val="00811117"/>
    <w:rsid w:val="00811656"/>
    <w:rsid w:val="0081193F"/>
    <w:rsid w:val="008119AA"/>
    <w:rsid w:val="00811A51"/>
    <w:rsid w:val="00811AB4"/>
    <w:rsid w:val="00811C41"/>
    <w:rsid w:val="00811FCE"/>
    <w:rsid w:val="00812018"/>
    <w:rsid w:val="00812214"/>
    <w:rsid w:val="00812247"/>
    <w:rsid w:val="0081231C"/>
    <w:rsid w:val="00812346"/>
    <w:rsid w:val="00812457"/>
    <w:rsid w:val="00812654"/>
    <w:rsid w:val="008128E8"/>
    <w:rsid w:val="00812B51"/>
    <w:rsid w:val="00812DCC"/>
    <w:rsid w:val="00813156"/>
    <w:rsid w:val="00813519"/>
    <w:rsid w:val="0081382A"/>
    <w:rsid w:val="0081399B"/>
    <w:rsid w:val="008139DA"/>
    <w:rsid w:val="00813DD2"/>
    <w:rsid w:val="00814017"/>
    <w:rsid w:val="008141FC"/>
    <w:rsid w:val="0081440E"/>
    <w:rsid w:val="00814601"/>
    <w:rsid w:val="00814610"/>
    <w:rsid w:val="00814728"/>
    <w:rsid w:val="0081477C"/>
    <w:rsid w:val="00814965"/>
    <w:rsid w:val="00814AE2"/>
    <w:rsid w:val="00814C06"/>
    <w:rsid w:val="0081527C"/>
    <w:rsid w:val="008152F5"/>
    <w:rsid w:val="008154E6"/>
    <w:rsid w:val="0081572F"/>
    <w:rsid w:val="0081580F"/>
    <w:rsid w:val="00815C66"/>
    <w:rsid w:val="00815C84"/>
    <w:rsid w:val="00815D5C"/>
    <w:rsid w:val="00815EB7"/>
    <w:rsid w:val="00815FD7"/>
    <w:rsid w:val="00816537"/>
    <w:rsid w:val="0081660A"/>
    <w:rsid w:val="0081673E"/>
    <w:rsid w:val="008167F1"/>
    <w:rsid w:val="00816BB7"/>
    <w:rsid w:val="00816E35"/>
    <w:rsid w:val="008170E0"/>
    <w:rsid w:val="00817B4E"/>
    <w:rsid w:val="00817F2D"/>
    <w:rsid w:val="00820130"/>
    <w:rsid w:val="008202AA"/>
    <w:rsid w:val="00820303"/>
    <w:rsid w:val="00820D5D"/>
    <w:rsid w:val="00820EC5"/>
    <w:rsid w:val="00821021"/>
    <w:rsid w:val="0082109B"/>
    <w:rsid w:val="008212D8"/>
    <w:rsid w:val="008214BC"/>
    <w:rsid w:val="008216EA"/>
    <w:rsid w:val="008217D9"/>
    <w:rsid w:val="008218DE"/>
    <w:rsid w:val="008219A3"/>
    <w:rsid w:val="00821C00"/>
    <w:rsid w:val="00821C71"/>
    <w:rsid w:val="00821CA5"/>
    <w:rsid w:val="00821D00"/>
    <w:rsid w:val="00821F1A"/>
    <w:rsid w:val="00821F5A"/>
    <w:rsid w:val="00822228"/>
    <w:rsid w:val="0082231F"/>
    <w:rsid w:val="00822399"/>
    <w:rsid w:val="0082250E"/>
    <w:rsid w:val="00822531"/>
    <w:rsid w:val="00822662"/>
    <w:rsid w:val="0082276A"/>
    <w:rsid w:val="00822891"/>
    <w:rsid w:val="008228FA"/>
    <w:rsid w:val="00822D89"/>
    <w:rsid w:val="00822E68"/>
    <w:rsid w:val="00822EDC"/>
    <w:rsid w:val="00822FD0"/>
    <w:rsid w:val="0082312F"/>
    <w:rsid w:val="00823190"/>
    <w:rsid w:val="008231A8"/>
    <w:rsid w:val="008231F1"/>
    <w:rsid w:val="00823207"/>
    <w:rsid w:val="0082322D"/>
    <w:rsid w:val="008232AB"/>
    <w:rsid w:val="00823686"/>
    <w:rsid w:val="00823837"/>
    <w:rsid w:val="0082395F"/>
    <w:rsid w:val="00823C91"/>
    <w:rsid w:val="00823EA1"/>
    <w:rsid w:val="00824188"/>
    <w:rsid w:val="00824321"/>
    <w:rsid w:val="0082450E"/>
    <w:rsid w:val="00824607"/>
    <w:rsid w:val="008247D1"/>
    <w:rsid w:val="00824905"/>
    <w:rsid w:val="00824A85"/>
    <w:rsid w:val="00824CFD"/>
    <w:rsid w:val="00824DF0"/>
    <w:rsid w:val="00824F66"/>
    <w:rsid w:val="00825224"/>
    <w:rsid w:val="00825359"/>
    <w:rsid w:val="0082537D"/>
    <w:rsid w:val="0082565F"/>
    <w:rsid w:val="008256A4"/>
    <w:rsid w:val="008256C8"/>
    <w:rsid w:val="0082585A"/>
    <w:rsid w:val="008258C4"/>
    <w:rsid w:val="00825B37"/>
    <w:rsid w:val="00825E02"/>
    <w:rsid w:val="00825E1D"/>
    <w:rsid w:val="00825E2D"/>
    <w:rsid w:val="00825EA6"/>
    <w:rsid w:val="00826160"/>
    <w:rsid w:val="008263F6"/>
    <w:rsid w:val="0082645E"/>
    <w:rsid w:val="0082663A"/>
    <w:rsid w:val="00826D66"/>
    <w:rsid w:val="00826E7D"/>
    <w:rsid w:val="00827018"/>
    <w:rsid w:val="00827201"/>
    <w:rsid w:val="0082729C"/>
    <w:rsid w:val="00827351"/>
    <w:rsid w:val="008277F7"/>
    <w:rsid w:val="008278BF"/>
    <w:rsid w:val="0082791E"/>
    <w:rsid w:val="00827C64"/>
    <w:rsid w:val="00827D36"/>
    <w:rsid w:val="00827EA3"/>
    <w:rsid w:val="00827F84"/>
    <w:rsid w:val="00827FBF"/>
    <w:rsid w:val="008301AA"/>
    <w:rsid w:val="008303ED"/>
    <w:rsid w:val="00830421"/>
    <w:rsid w:val="008304B8"/>
    <w:rsid w:val="008309CD"/>
    <w:rsid w:val="00830A65"/>
    <w:rsid w:val="00830B6C"/>
    <w:rsid w:val="00830B85"/>
    <w:rsid w:val="00830FCF"/>
    <w:rsid w:val="00831420"/>
    <w:rsid w:val="00831526"/>
    <w:rsid w:val="00831860"/>
    <w:rsid w:val="008318DC"/>
    <w:rsid w:val="00831C32"/>
    <w:rsid w:val="00831FB6"/>
    <w:rsid w:val="00831FBC"/>
    <w:rsid w:val="008321A3"/>
    <w:rsid w:val="00832273"/>
    <w:rsid w:val="00832425"/>
    <w:rsid w:val="00832765"/>
    <w:rsid w:val="00832A1D"/>
    <w:rsid w:val="00832CBD"/>
    <w:rsid w:val="00832E9E"/>
    <w:rsid w:val="0083300A"/>
    <w:rsid w:val="00833130"/>
    <w:rsid w:val="0083331C"/>
    <w:rsid w:val="00833505"/>
    <w:rsid w:val="0083385D"/>
    <w:rsid w:val="00833BB7"/>
    <w:rsid w:val="00833C03"/>
    <w:rsid w:val="00833CB6"/>
    <w:rsid w:val="00833CF0"/>
    <w:rsid w:val="00833ED7"/>
    <w:rsid w:val="00834069"/>
    <w:rsid w:val="008342C4"/>
    <w:rsid w:val="008342EB"/>
    <w:rsid w:val="00834333"/>
    <w:rsid w:val="008344A0"/>
    <w:rsid w:val="008344D0"/>
    <w:rsid w:val="008345BD"/>
    <w:rsid w:val="008345E8"/>
    <w:rsid w:val="00834721"/>
    <w:rsid w:val="008348E3"/>
    <w:rsid w:val="008349F3"/>
    <w:rsid w:val="00834DA6"/>
    <w:rsid w:val="00834F4F"/>
    <w:rsid w:val="00835016"/>
    <w:rsid w:val="0083515D"/>
    <w:rsid w:val="00835313"/>
    <w:rsid w:val="0083531F"/>
    <w:rsid w:val="008358B9"/>
    <w:rsid w:val="00835A5A"/>
    <w:rsid w:val="00835F40"/>
    <w:rsid w:val="00835FDF"/>
    <w:rsid w:val="0083604C"/>
    <w:rsid w:val="00836239"/>
    <w:rsid w:val="008364A1"/>
    <w:rsid w:val="008364C6"/>
    <w:rsid w:val="00836A05"/>
    <w:rsid w:val="00836A1F"/>
    <w:rsid w:val="00837099"/>
    <w:rsid w:val="008370CA"/>
    <w:rsid w:val="008372D3"/>
    <w:rsid w:val="008372E3"/>
    <w:rsid w:val="008374CE"/>
    <w:rsid w:val="00837690"/>
    <w:rsid w:val="008379C6"/>
    <w:rsid w:val="00837A31"/>
    <w:rsid w:val="00837AF2"/>
    <w:rsid w:val="00837BA4"/>
    <w:rsid w:val="00837DED"/>
    <w:rsid w:val="00840211"/>
    <w:rsid w:val="008402B7"/>
    <w:rsid w:val="008402D6"/>
    <w:rsid w:val="00840405"/>
    <w:rsid w:val="008406CB"/>
    <w:rsid w:val="008407BD"/>
    <w:rsid w:val="00840927"/>
    <w:rsid w:val="008409CA"/>
    <w:rsid w:val="008409E6"/>
    <w:rsid w:val="00840C75"/>
    <w:rsid w:val="00840F21"/>
    <w:rsid w:val="00841015"/>
    <w:rsid w:val="00841587"/>
    <w:rsid w:val="008416AB"/>
    <w:rsid w:val="008418AB"/>
    <w:rsid w:val="00841AD3"/>
    <w:rsid w:val="00841E04"/>
    <w:rsid w:val="008420A2"/>
    <w:rsid w:val="008420F9"/>
    <w:rsid w:val="00842265"/>
    <w:rsid w:val="008425B5"/>
    <w:rsid w:val="008425CD"/>
    <w:rsid w:val="00842826"/>
    <w:rsid w:val="00842966"/>
    <w:rsid w:val="00842A7E"/>
    <w:rsid w:val="00842BE6"/>
    <w:rsid w:val="00842D6B"/>
    <w:rsid w:val="00842E43"/>
    <w:rsid w:val="008431E4"/>
    <w:rsid w:val="0084330A"/>
    <w:rsid w:val="00843363"/>
    <w:rsid w:val="00843476"/>
    <w:rsid w:val="008435EE"/>
    <w:rsid w:val="008436A8"/>
    <w:rsid w:val="00843C25"/>
    <w:rsid w:val="00843DB7"/>
    <w:rsid w:val="00843EA1"/>
    <w:rsid w:val="008441C5"/>
    <w:rsid w:val="00844477"/>
    <w:rsid w:val="0084465C"/>
    <w:rsid w:val="00844875"/>
    <w:rsid w:val="00844B38"/>
    <w:rsid w:val="00844BB7"/>
    <w:rsid w:val="00844EA8"/>
    <w:rsid w:val="00844F21"/>
    <w:rsid w:val="008450CB"/>
    <w:rsid w:val="00845367"/>
    <w:rsid w:val="0084596C"/>
    <w:rsid w:val="00845A7C"/>
    <w:rsid w:val="00845B1B"/>
    <w:rsid w:val="00845DA0"/>
    <w:rsid w:val="00845DAA"/>
    <w:rsid w:val="00845E69"/>
    <w:rsid w:val="00846067"/>
    <w:rsid w:val="008462D3"/>
    <w:rsid w:val="00846354"/>
    <w:rsid w:val="0084647E"/>
    <w:rsid w:val="008464EC"/>
    <w:rsid w:val="008466C5"/>
    <w:rsid w:val="008466CD"/>
    <w:rsid w:val="00846B0D"/>
    <w:rsid w:val="00846B6E"/>
    <w:rsid w:val="00846D6B"/>
    <w:rsid w:val="00846DC8"/>
    <w:rsid w:val="00847230"/>
    <w:rsid w:val="008472A2"/>
    <w:rsid w:val="008472AD"/>
    <w:rsid w:val="0084735D"/>
    <w:rsid w:val="0084765B"/>
    <w:rsid w:val="00847DC7"/>
    <w:rsid w:val="00847DFE"/>
    <w:rsid w:val="00847EB1"/>
    <w:rsid w:val="00847FAB"/>
    <w:rsid w:val="0085002D"/>
    <w:rsid w:val="00850102"/>
    <w:rsid w:val="0085027E"/>
    <w:rsid w:val="00850294"/>
    <w:rsid w:val="008503E7"/>
    <w:rsid w:val="0085044E"/>
    <w:rsid w:val="008504D0"/>
    <w:rsid w:val="008508B0"/>
    <w:rsid w:val="00850D05"/>
    <w:rsid w:val="00850F6F"/>
    <w:rsid w:val="00850FA5"/>
    <w:rsid w:val="00851042"/>
    <w:rsid w:val="008510B9"/>
    <w:rsid w:val="0085112F"/>
    <w:rsid w:val="00851143"/>
    <w:rsid w:val="0085133F"/>
    <w:rsid w:val="00851392"/>
    <w:rsid w:val="00851453"/>
    <w:rsid w:val="008514C8"/>
    <w:rsid w:val="0085165C"/>
    <w:rsid w:val="00851738"/>
    <w:rsid w:val="0085175D"/>
    <w:rsid w:val="008519A5"/>
    <w:rsid w:val="00851E3F"/>
    <w:rsid w:val="00851F30"/>
    <w:rsid w:val="0085204F"/>
    <w:rsid w:val="008521CF"/>
    <w:rsid w:val="008524CF"/>
    <w:rsid w:val="00852531"/>
    <w:rsid w:val="008525DF"/>
    <w:rsid w:val="00852648"/>
    <w:rsid w:val="00852793"/>
    <w:rsid w:val="008527FE"/>
    <w:rsid w:val="00852A32"/>
    <w:rsid w:val="00852B36"/>
    <w:rsid w:val="00852E72"/>
    <w:rsid w:val="00852EA8"/>
    <w:rsid w:val="00852F1F"/>
    <w:rsid w:val="00853238"/>
    <w:rsid w:val="008533CC"/>
    <w:rsid w:val="0085353A"/>
    <w:rsid w:val="00853545"/>
    <w:rsid w:val="0085358E"/>
    <w:rsid w:val="00853801"/>
    <w:rsid w:val="00853861"/>
    <w:rsid w:val="008538CD"/>
    <w:rsid w:val="008538FD"/>
    <w:rsid w:val="0085394B"/>
    <w:rsid w:val="00853990"/>
    <w:rsid w:val="008539BC"/>
    <w:rsid w:val="00853A24"/>
    <w:rsid w:val="00853C5E"/>
    <w:rsid w:val="0085434D"/>
    <w:rsid w:val="00854531"/>
    <w:rsid w:val="008545AC"/>
    <w:rsid w:val="008547B7"/>
    <w:rsid w:val="008549AC"/>
    <w:rsid w:val="00854AB8"/>
    <w:rsid w:val="00854B4C"/>
    <w:rsid w:val="00855344"/>
    <w:rsid w:val="008555F0"/>
    <w:rsid w:val="008556A8"/>
    <w:rsid w:val="00855787"/>
    <w:rsid w:val="008557E4"/>
    <w:rsid w:val="00855AC5"/>
    <w:rsid w:val="00855B19"/>
    <w:rsid w:val="00855BFA"/>
    <w:rsid w:val="00855D95"/>
    <w:rsid w:val="00855EB7"/>
    <w:rsid w:val="00856091"/>
    <w:rsid w:val="008561AE"/>
    <w:rsid w:val="00856311"/>
    <w:rsid w:val="008567E1"/>
    <w:rsid w:val="00856A16"/>
    <w:rsid w:val="00856C2E"/>
    <w:rsid w:val="00856D6F"/>
    <w:rsid w:val="00856E3F"/>
    <w:rsid w:val="00856F8E"/>
    <w:rsid w:val="0085744F"/>
    <w:rsid w:val="00857581"/>
    <w:rsid w:val="008576FB"/>
    <w:rsid w:val="0085772D"/>
    <w:rsid w:val="00857BFF"/>
    <w:rsid w:val="00857D76"/>
    <w:rsid w:val="00857E6D"/>
    <w:rsid w:val="00857FED"/>
    <w:rsid w:val="00860036"/>
    <w:rsid w:val="008604A9"/>
    <w:rsid w:val="00860560"/>
    <w:rsid w:val="008606F9"/>
    <w:rsid w:val="008607D7"/>
    <w:rsid w:val="0086083B"/>
    <w:rsid w:val="00860A1C"/>
    <w:rsid w:val="00861099"/>
    <w:rsid w:val="008611BD"/>
    <w:rsid w:val="0086129A"/>
    <w:rsid w:val="0086137F"/>
    <w:rsid w:val="00861572"/>
    <w:rsid w:val="008617AA"/>
    <w:rsid w:val="00861942"/>
    <w:rsid w:val="00861FA3"/>
    <w:rsid w:val="00862169"/>
    <w:rsid w:val="0086235E"/>
    <w:rsid w:val="00862435"/>
    <w:rsid w:val="00862871"/>
    <w:rsid w:val="00862F95"/>
    <w:rsid w:val="00862FC7"/>
    <w:rsid w:val="0086307D"/>
    <w:rsid w:val="008635A7"/>
    <w:rsid w:val="0086369F"/>
    <w:rsid w:val="0086379B"/>
    <w:rsid w:val="00863823"/>
    <w:rsid w:val="0086382C"/>
    <w:rsid w:val="008638BB"/>
    <w:rsid w:val="00863B0F"/>
    <w:rsid w:val="00863C47"/>
    <w:rsid w:val="00863D94"/>
    <w:rsid w:val="00863F98"/>
    <w:rsid w:val="008643CC"/>
    <w:rsid w:val="00864542"/>
    <w:rsid w:val="0086457C"/>
    <w:rsid w:val="008648D4"/>
    <w:rsid w:val="00864AFC"/>
    <w:rsid w:val="00864BA3"/>
    <w:rsid w:val="00864C30"/>
    <w:rsid w:val="00864C89"/>
    <w:rsid w:val="00864C92"/>
    <w:rsid w:val="00864CA1"/>
    <w:rsid w:val="00864E51"/>
    <w:rsid w:val="00864F8C"/>
    <w:rsid w:val="00864FAC"/>
    <w:rsid w:val="00865205"/>
    <w:rsid w:val="008652B4"/>
    <w:rsid w:val="00865402"/>
    <w:rsid w:val="00865495"/>
    <w:rsid w:val="008657DC"/>
    <w:rsid w:val="008659AB"/>
    <w:rsid w:val="008659E0"/>
    <w:rsid w:val="00865C69"/>
    <w:rsid w:val="00865D40"/>
    <w:rsid w:val="00865D96"/>
    <w:rsid w:val="00865D98"/>
    <w:rsid w:val="0086624E"/>
    <w:rsid w:val="0086637A"/>
    <w:rsid w:val="0086648F"/>
    <w:rsid w:val="008664FD"/>
    <w:rsid w:val="00866A1B"/>
    <w:rsid w:val="00866B65"/>
    <w:rsid w:val="008671B1"/>
    <w:rsid w:val="008675F6"/>
    <w:rsid w:val="00867699"/>
    <w:rsid w:val="008676A7"/>
    <w:rsid w:val="00867C47"/>
    <w:rsid w:val="00867D7F"/>
    <w:rsid w:val="00867D96"/>
    <w:rsid w:val="00867F18"/>
    <w:rsid w:val="00867F3C"/>
    <w:rsid w:val="0087001B"/>
    <w:rsid w:val="0087011F"/>
    <w:rsid w:val="0087044E"/>
    <w:rsid w:val="008704CD"/>
    <w:rsid w:val="008704DB"/>
    <w:rsid w:val="0087061B"/>
    <w:rsid w:val="008706FD"/>
    <w:rsid w:val="008708FD"/>
    <w:rsid w:val="00870A86"/>
    <w:rsid w:val="00870AF6"/>
    <w:rsid w:val="00870C31"/>
    <w:rsid w:val="00870CF3"/>
    <w:rsid w:val="00870F2B"/>
    <w:rsid w:val="008712B0"/>
    <w:rsid w:val="00871419"/>
    <w:rsid w:val="00871819"/>
    <w:rsid w:val="00871ABA"/>
    <w:rsid w:val="00871D14"/>
    <w:rsid w:val="00871EF6"/>
    <w:rsid w:val="00871F24"/>
    <w:rsid w:val="00871F34"/>
    <w:rsid w:val="00871F8E"/>
    <w:rsid w:val="008720F7"/>
    <w:rsid w:val="00872149"/>
    <w:rsid w:val="00872340"/>
    <w:rsid w:val="0087265B"/>
    <w:rsid w:val="00872884"/>
    <w:rsid w:val="008728CA"/>
    <w:rsid w:val="00872B26"/>
    <w:rsid w:val="00872DD9"/>
    <w:rsid w:val="0087304F"/>
    <w:rsid w:val="00873096"/>
    <w:rsid w:val="008730E7"/>
    <w:rsid w:val="008732B9"/>
    <w:rsid w:val="0087331B"/>
    <w:rsid w:val="0087352D"/>
    <w:rsid w:val="0087357C"/>
    <w:rsid w:val="00873A6D"/>
    <w:rsid w:val="00873A8E"/>
    <w:rsid w:val="00873AC3"/>
    <w:rsid w:val="00873AE1"/>
    <w:rsid w:val="00873B02"/>
    <w:rsid w:val="00873B03"/>
    <w:rsid w:val="00873FB7"/>
    <w:rsid w:val="00874317"/>
    <w:rsid w:val="0087448F"/>
    <w:rsid w:val="008747F2"/>
    <w:rsid w:val="0087483C"/>
    <w:rsid w:val="008748DC"/>
    <w:rsid w:val="00874A21"/>
    <w:rsid w:val="00874C21"/>
    <w:rsid w:val="00874C56"/>
    <w:rsid w:val="00874EF6"/>
    <w:rsid w:val="0087548F"/>
    <w:rsid w:val="00875661"/>
    <w:rsid w:val="00875692"/>
    <w:rsid w:val="008756BF"/>
    <w:rsid w:val="00875873"/>
    <w:rsid w:val="008758EB"/>
    <w:rsid w:val="00875C38"/>
    <w:rsid w:val="00875CE0"/>
    <w:rsid w:val="00875DD6"/>
    <w:rsid w:val="00875F20"/>
    <w:rsid w:val="00876045"/>
    <w:rsid w:val="00876048"/>
    <w:rsid w:val="008762C5"/>
    <w:rsid w:val="00876335"/>
    <w:rsid w:val="008768AD"/>
    <w:rsid w:val="00876B64"/>
    <w:rsid w:val="00876C82"/>
    <w:rsid w:val="00876C85"/>
    <w:rsid w:val="008773E8"/>
    <w:rsid w:val="0087747D"/>
    <w:rsid w:val="00877481"/>
    <w:rsid w:val="008775C5"/>
    <w:rsid w:val="0087763B"/>
    <w:rsid w:val="008776CA"/>
    <w:rsid w:val="008776F9"/>
    <w:rsid w:val="00877B51"/>
    <w:rsid w:val="00877B52"/>
    <w:rsid w:val="00877BCC"/>
    <w:rsid w:val="00877DB2"/>
    <w:rsid w:val="00877E3D"/>
    <w:rsid w:val="00877F40"/>
    <w:rsid w:val="0088007A"/>
    <w:rsid w:val="008800DE"/>
    <w:rsid w:val="00880392"/>
    <w:rsid w:val="008803CF"/>
    <w:rsid w:val="00880447"/>
    <w:rsid w:val="0088045A"/>
    <w:rsid w:val="008804F3"/>
    <w:rsid w:val="00880606"/>
    <w:rsid w:val="00880698"/>
    <w:rsid w:val="00880733"/>
    <w:rsid w:val="00880AB6"/>
    <w:rsid w:val="00880B57"/>
    <w:rsid w:val="00880C98"/>
    <w:rsid w:val="0088107D"/>
    <w:rsid w:val="00881488"/>
    <w:rsid w:val="0088158E"/>
    <w:rsid w:val="00881942"/>
    <w:rsid w:val="00881C22"/>
    <w:rsid w:val="00881D3B"/>
    <w:rsid w:val="00881D80"/>
    <w:rsid w:val="00882307"/>
    <w:rsid w:val="00882344"/>
    <w:rsid w:val="008823C1"/>
    <w:rsid w:val="0088249B"/>
    <w:rsid w:val="008824D8"/>
    <w:rsid w:val="008825A1"/>
    <w:rsid w:val="00882791"/>
    <w:rsid w:val="00882969"/>
    <w:rsid w:val="00882A46"/>
    <w:rsid w:val="00882C59"/>
    <w:rsid w:val="00882F08"/>
    <w:rsid w:val="00882F5D"/>
    <w:rsid w:val="00882F98"/>
    <w:rsid w:val="0088317A"/>
    <w:rsid w:val="008831C6"/>
    <w:rsid w:val="00883483"/>
    <w:rsid w:val="008834FC"/>
    <w:rsid w:val="0088372D"/>
    <w:rsid w:val="00883733"/>
    <w:rsid w:val="00883802"/>
    <w:rsid w:val="0088390A"/>
    <w:rsid w:val="00883E08"/>
    <w:rsid w:val="00883EC2"/>
    <w:rsid w:val="00883F2E"/>
    <w:rsid w:val="00883F3B"/>
    <w:rsid w:val="00884079"/>
    <w:rsid w:val="008840D3"/>
    <w:rsid w:val="00884226"/>
    <w:rsid w:val="0088423D"/>
    <w:rsid w:val="00884720"/>
    <w:rsid w:val="00884A5C"/>
    <w:rsid w:val="00884B3B"/>
    <w:rsid w:val="00884D81"/>
    <w:rsid w:val="00884F9C"/>
    <w:rsid w:val="0088516E"/>
    <w:rsid w:val="008853DB"/>
    <w:rsid w:val="00885693"/>
    <w:rsid w:val="00885FCD"/>
    <w:rsid w:val="0088653E"/>
    <w:rsid w:val="008865B4"/>
    <w:rsid w:val="0088662D"/>
    <w:rsid w:val="0088672B"/>
    <w:rsid w:val="00886A0E"/>
    <w:rsid w:val="00886A28"/>
    <w:rsid w:val="00886BA6"/>
    <w:rsid w:val="00886BD2"/>
    <w:rsid w:val="00886C2E"/>
    <w:rsid w:val="00886DDB"/>
    <w:rsid w:val="00887007"/>
    <w:rsid w:val="0088731D"/>
    <w:rsid w:val="0088734B"/>
    <w:rsid w:val="008877C6"/>
    <w:rsid w:val="0088791E"/>
    <w:rsid w:val="00887980"/>
    <w:rsid w:val="00887F7F"/>
    <w:rsid w:val="0089004E"/>
    <w:rsid w:val="00890324"/>
    <w:rsid w:val="0089047B"/>
    <w:rsid w:val="00890541"/>
    <w:rsid w:val="008905BC"/>
    <w:rsid w:val="00890612"/>
    <w:rsid w:val="008908F0"/>
    <w:rsid w:val="00890B72"/>
    <w:rsid w:val="00890D9B"/>
    <w:rsid w:val="00890DD7"/>
    <w:rsid w:val="00890F17"/>
    <w:rsid w:val="00891160"/>
    <w:rsid w:val="00891488"/>
    <w:rsid w:val="0089161C"/>
    <w:rsid w:val="00891837"/>
    <w:rsid w:val="008919E4"/>
    <w:rsid w:val="00891A3C"/>
    <w:rsid w:val="00891AF0"/>
    <w:rsid w:val="00891BC9"/>
    <w:rsid w:val="00891CBE"/>
    <w:rsid w:val="00891CD2"/>
    <w:rsid w:val="00891F5E"/>
    <w:rsid w:val="0089213C"/>
    <w:rsid w:val="00892159"/>
    <w:rsid w:val="008921E5"/>
    <w:rsid w:val="00892239"/>
    <w:rsid w:val="00892380"/>
    <w:rsid w:val="00892401"/>
    <w:rsid w:val="00892471"/>
    <w:rsid w:val="008926FB"/>
    <w:rsid w:val="0089281E"/>
    <w:rsid w:val="008928BD"/>
    <w:rsid w:val="00892A43"/>
    <w:rsid w:val="00892B84"/>
    <w:rsid w:val="00892BC9"/>
    <w:rsid w:val="00892CB4"/>
    <w:rsid w:val="00892D37"/>
    <w:rsid w:val="00892D44"/>
    <w:rsid w:val="00892D7B"/>
    <w:rsid w:val="00892DDB"/>
    <w:rsid w:val="00892F5E"/>
    <w:rsid w:val="0089312B"/>
    <w:rsid w:val="008935D9"/>
    <w:rsid w:val="0089378B"/>
    <w:rsid w:val="008939F0"/>
    <w:rsid w:val="00893CB5"/>
    <w:rsid w:val="00894827"/>
    <w:rsid w:val="00894A72"/>
    <w:rsid w:val="00894B71"/>
    <w:rsid w:val="00894C3D"/>
    <w:rsid w:val="00894E04"/>
    <w:rsid w:val="008950FB"/>
    <w:rsid w:val="00895333"/>
    <w:rsid w:val="00895883"/>
    <w:rsid w:val="008958D5"/>
    <w:rsid w:val="00895928"/>
    <w:rsid w:val="00895AF1"/>
    <w:rsid w:val="00895B98"/>
    <w:rsid w:val="0089600B"/>
    <w:rsid w:val="00896059"/>
    <w:rsid w:val="00896118"/>
    <w:rsid w:val="008961A8"/>
    <w:rsid w:val="008961ED"/>
    <w:rsid w:val="0089626D"/>
    <w:rsid w:val="00896274"/>
    <w:rsid w:val="00896549"/>
    <w:rsid w:val="0089666F"/>
    <w:rsid w:val="00896CAE"/>
    <w:rsid w:val="00896D0D"/>
    <w:rsid w:val="00897194"/>
    <w:rsid w:val="008971A4"/>
    <w:rsid w:val="00897443"/>
    <w:rsid w:val="00897563"/>
    <w:rsid w:val="00897912"/>
    <w:rsid w:val="008979F1"/>
    <w:rsid w:val="00897B0A"/>
    <w:rsid w:val="00897CF4"/>
    <w:rsid w:val="00897E37"/>
    <w:rsid w:val="00897FC1"/>
    <w:rsid w:val="008A0612"/>
    <w:rsid w:val="008A06BD"/>
    <w:rsid w:val="008A06BF"/>
    <w:rsid w:val="008A06E0"/>
    <w:rsid w:val="008A07E6"/>
    <w:rsid w:val="008A08D2"/>
    <w:rsid w:val="008A0ADE"/>
    <w:rsid w:val="008A0CC7"/>
    <w:rsid w:val="008A0FCD"/>
    <w:rsid w:val="008A0FD8"/>
    <w:rsid w:val="008A1214"/>
    <w:rsid w:val="008A127D"/>
    <w:rsid w:val="008A1601"/>
    <w:rsid w:val="008A16AC"/>
    <w:rsid w:val="008A1815"/>
    <w:rsid w:val="008A1B26"/>
    <w:rsid w:val="008A1B9A"/>
    <w:rsid w:val="008A1C6D"/>
    <w:rsid w:val="008A1F68"/>
    <w:rsid w:val="008A1FDB"/>
    <w:rsid w:val="008A2043"/>
    <w:rsid w:val="008A2141"/>
    <w:rsid w:val="008A217B"/>
    <w:rsid w:val="008A239C"/>
    <w:rsid w:val="008A244F"/>
    <w:rsid w:val="008A2544"/>
    <w:rsid w:val="008A25DE"/>
    <w:rsid w:val="008A2928"/>
    <w:rsid w:val="008A29A9"/>
    <w:rsid w:val="008A2E6C"/>
    <w:rsid w:val="008A326C"/>
    <w:rsid w:val="008A3396"/>
    <w:rsid w:val="008A34F0"/>
    <w:rsid w:val="008A3622"/>
    <w:rsid w:val="008A3756"/>
    <w:rsid w:val="008A3850"/>
    <w:rsid w:val="008A3A4E"/>
    <w:rsid w:val="008A3AA2"/>
    <w:rsid w:val="008A3AF0"/>
    <w:rsid w:val="008A3BA9"/>
    <w:rsid w:val="008A3CA1"/>
    <w:rsid w:val="008A3CB3"/>
    <w:rsid w:val="008A3DAA"/>
    <w:rsid w:val="008A3FBB"/>
    <w:rsid w:val="008A4117"/>
    <w:rsid w:val="008A4309"/>
    <w:rsid w:val="008A453F"/>
    <w:rsid w:val="008A461E"/>
    <w:rsid w:val="008A47A0"/>
    <w:rsid w:val="008A4912"/>
    <w:rsid w:val="008A4955"/>
    <w:rsid w:val="008A4A82"/>
    <w:rsid w:val="008A4D3A"/>
    <w:rsid w:val="008A4DCA"/>
    <w:rsid w:val="008A536E"/>
    <w:rsid w:val="008A537D"/>
    <w:rsid w:val="008A5544"/>
    <w:rsid w:val="008A595B"/>
    <w:rsid w:val="008A5BCE"/>
    <w:rsid w:val="008A5CA3"/>
    <w:rsid w:val="008A5D03"/>
    <w:rsid w:val="008A5DAD"/>
    <w:rsid w:val="008A5DFD"/>
    <w:rsid w:val="008A5FA2"/>
    <w:rsid w:val="008A60FB"/>
    <w:rsid w:val="008A6371"/>
    <w:rsid w:val="008A681F"/>
    <w:rsid w:val="008A6C3F"/>
    <w:rsid w:val="008A6E89"/>
    <w:rsid w:val="008A6F52"/>
    <w:rsid w:val="008A70B2"/>
    <w:rsid w:val="008A734C"/>
    <w:rsid w:val="008A7871"/>
    <w:rsid w:val="008A79CE"/>
    <w:rsid w:val="008B01F2"/>
    <w:rsid w:val="008B0256"/>
    <w:rsid w:val="008B040C"/>
    <w:rsid w:val="008B08AD"/>
    <w:rsid w:val="008B0A37"/>
    <w:rsid w:val="008B0A8B"/>
    <w:rsid w:val="008B0BFA"/>
    <w:rsid w:val="008B0FB1"/>
    <w:rsid w:val="008B155A"/>
    <w:rsid w:val="008B197D"/>
    <w:rsid w:val="008B1986"/>
    <w:rsid w:val="008B1DBE"/>
    <w:rsid w:val="008B1E2F"/>
    <w:rsid w:val="008B2247"/>
    <w:rsid w:val="008B2868"/>
    <w:rsid w:val="008B2922"/>
    <w:rsid w:val="008B2D3C"/>
    <w:rsid w:val="008B2E55"/>
    <w:rsid w:val="008B317F"/>
    <w:rsid w:val="008B31F5"/>
    <w:rsid w:val="008B32DD"/>
    <w:rsid w:val="008B339C"/>
    <w:rsid w:val="008B344D"/>
    <w:rsid w:val="008B3767"/>
    <w:rsid w:val="008B377D"/>
    <w:rsid w:val="008B37EA"/>
    <w:rsid w:val="008B3B8B"/>
    <w:rsid w:val="008B3B95"/>
    <w:rsid w:val="008B3C89"/>
    <w:rsid w:val="008B3EB8"/>
    <w:rsid w:val="008B41A4"/>
    <w:rsid w:val="008B4207"/>
    <w:rsid w:val="008B426A"/>
    <w:rsid w:val="008B44E4"/>
    <w:rsid w:val="008B496E"/>
    <w:rsid w:val="008B4B9C"/>
    <w:rsid w:val="008B4E28"/>
    <w:rsid w:val="008B4FD2"/>
    <w:rsid w:val="008B5215"/>
    <w:rsid w:val="008B5279"/>
    <w:rsid w:val="008B544C"/>
    <w:rsid w:val="008B55C8"/>
    <w:rsid w:val="008B57DD"/>
    <w:rsid w:val="008B59C2"/>
    <w:rsid w:val="008B5CBF"/>
    <w:rsid w:val="008B63B6"/>
    <w:rsid w:val="008B6411"/>
    <w:rsid w:val="008B6518"/>
    <w:rsid w:val="008B6731"/>
    <w:rsid w:val="008B69F3"/>
    <w:rsid w:val="008B6E72"/>
    <w:rsid w:val="008B70F7"/>
    <w:rsid w:val="008B7163"/>
    <w:rsid w:val="008B7302"/>
    <w:rsid w:val="008B73E6"/>
    <w:rsid w:val="008B741B"/>
    <w:rsid w:val="008B745D"/>
    <w:rsid w:val="008B76A6"/>
    <w:rsid w:val="008B7711"/>
    <w:rsid w:val="008B7718"/>
    <w:rsid w:val="008B784F"/>
    <w:rsid w:val="008B7C13"/>
    <w:rsid w:val="008B7C9C"/>
    <w:rsid w:val="008B7E97"/>
    <w:rsid w:val="008C0488"/>
    <w:rsid w:val="008C07A4"/>
    <w:rsid w:val="008C08FF"/>
    <w:rsid w:val="008C0B71"/>
    <w:rsid w:val="008C0CBC"/>
    <w:rsid w:val="008C0CEE"/>
    <w:rsid w:val="008C0F1C"/>
    <w:rsid w:val="008C103E"/>
    <w:rsid w:val="008C119C"/>
    <w:rsid w:val="008C13BD"/>
    <w:rsid w:val="008C16BD"/>
    <w:rsid w:val="008C18B4"/>
    <w:rsid w:val="008C1AEF"/>
    <w:rsid w:val="008C1BCC"/>
    <w:rsid w:val="008C1E28"/>
    <w:rsid w:val="008C1F25"/>
    <w:rsid w:val="008C1F3C"/>
    <w:rsid w:val="008C1F45"/>
    <w:rsid w:val="008C2058"/>
    <w:rsid w:val="008C20B0"/>
    <w:rsid w:val="008C21EC"/>
    <w:rsid w:val="008C236B"/>
    <w:rsid w:val="008C28CD"/>
    <w:rsid w:val="008C2B77"/>
    <w:rsid w:val="008C2C58"/>
    <w:rsid w:val="008C2C94"/>
    <w:rsid w:val="008C2D8B"/>
    <w:rsid w:val="008C2D97"/>
    <w:rsid w:val="008C3261"/>
    <w:rsid w:val="008C33BE"/>
    <w:rsid w:val="008C3759"/>
    <w:rsid w:val="008C3772"/>
    <w:rsid w:val="008C37B3"/>
    <w:rsid w:val="008C37C0"/>
    <w:rsid w:val="008C3F5B"/>
    <w:rsid w:val="008C4165"/>
    <w:rsid w:val="008C4183"/>
    <w:rsid w:val="008C41A7"/>
    <w:rsid w:val="008C429F"/>
    <w:rsid w:val="008C470C"/>
    <w:rsid w:val="008C4B3C"/>
    <w:rsid w:val="008C4C5E"/>
    <w:rsid w:val="008C4D15"/>
    <w:rsid w:val="008C4D29"/>
    <w:rsid w:val="008C4DC8"/>
    <w:rsid w:val="008C4DC9"/>
    <w:rsid w:val="008C4E73"/>
    <w:rsid w:val="008C514C"/>
    <w:rsid w:val="008C51C2"/>
    <w:rsid w:val="008C534E"/>
    <w:rsid w:val="008C56B7"/>
    <w:rsid w:val="008C5707"/>
    <w:rsid w:val="008C5A18"/>
    <w:rsid w:val="008C5CDA"/>
    <w:rsid w:val="008C5CF5"/>
    <w:rsid w:val="008C627A"/>
    <w:rsid w:val="008C66A5"/>
    <w:rsid w:val="008C68C6"/>
    <w:rsid w:val="008C6CB0"/>
    <w:rsid w:val="008C6DCB"/>
    <w:rsid w:val="008C6DE0"/>
    <w:rsid w:val="008C6F7C"/>
    <w:rsid w:val="008C70D4"/>
    <w:rsid w:val="008C71B2"/>
    <w:rsid w:val="008C743F"/>
    <w:rsid w:val="008C7629"/>
    <w:rsid w:val="008C767E"/>
    <w:rsid w:val="008C76B3"/>
    <w:rsid w:val="008C798E"/>
    <w:rsid w:val="008C7AC1"/>
    <w:rsid w:val="008C7DC9"/>
    <w:rsid w:val="008C7EF7"/>
    <w:rsid w:val="008D010C"/>
    <w:rsid w:val="008D01DE"/>
    <w:rsid w:val="008D036D"/>
    <w:rsid w:val="008D06D0"/>
    <w:rsid w:val="008D0789"/>
    <w:rsid w:val="008D0A91"/>
    <w:rsid w:val="008D0AE9"/>
    <w:rsid w:val="008D0D15"/>
    <w:rsid w:val="008D1184"/>
    <w:rsid w:val="008D1361"/>
    <w:rsid w:val="008D13D3"/>
    <w:rsid w:val="008D1452"/>
    <w:rsid w:val="008D16BF"/>
    <w:rsid w:val="008D1876"/>
    <w:rsid w:val="008D1A81"/>
    <w:rsid w:val="008D1CFD"/>
    <w:rsid w:val="008D1D8B"/>
    <w:rsid w:val="008D1DD7"/>
    <w:rsid w:val="008D1E1F"/>
    <w:rsid w:val="008D1EDD"/>
    <w:rsid w:val="008D208B"/>
    <w:rsid w:val="008D22D7"/>
    <w:rsid w:val="008D22F8"/>
    <w:rsid w:val="008D23C2"/>
    <w:rsid w:val="008D23CA"/>
    <w:rsid w:val="008D2954"/>
    <w:rsid w:val="008D29B9"/>
    <w:rsid w:val="008D2AC8"/>
    <w:rsid w:val="008D2DA2"/>
    <w:rsid w:val="008D3072"/>
    <w:rsid w:val="008D3347"/>
    <w:rsid w:val="008D348E"/>
    <w:rsid w:val="008D35DB"/>
    <w:rsid w:val="008D3754"/>
    <w:rsid w:val="008D380C"/>
    <w:rsid w:val="008D390F"/>
    <w:rsid w:val="008D3BCE"/>
    <w:rsid w:val="008D3C9E"/>
    <w:rsid w:val="008D3D14"/>
    <w:rsid w:val="008D3D94"/>
    <w:rsid w:val="008D3DB6"/>
    <w:rsid w:val="008D3EB3"/>
    <w:rsid w:val="008D44BB"/>
    <w:rsid w:val="008D4911"/>
    <w:rsid w:val="008D4A60"/>
    <w:rsid w:val="008D4C28"/>
    <w:rsid w:val="008D4DBC"/>
    <w:rsid w:val="008D507C"/>
    <w:rsid w:val="008D5131"/>
    <w:rsid w:val="008D5173"/>
    <w:rsid w:val="008D5331"/>
    <w:rsid w:val="008D5349"/>
    <w:rsid w:val="008D57A4"/>
    <w:rsid w:val="008D5AE7"/>
    <w:rsid w:val="008D5C78"/>
    <w:rsid w:val="008D5CBB"/>
    <w:rsid w:val="008D5DC7"/>
    <w:rsid w:val="008D60A7"/>
    <w:rsid w:val="008D612D"/>
    <w:rsid w:val="008D614C"/>
    <w:rsid w:val="008D62B4"/>
    <w:rsid w:val="008D63E1"/>
    <w:rsid w:val="008D694F"/>
    <w:rsid w:val="008D69D5"/>
    <w:rsid w:val="008D6B93"/>
    <w:rsid w:val="008D6E1B"/>
    <w:rsid w:val="008D6F9F"/>
    <w:rsid w:val="008D73B7"/>
    <w:rsid w:val="008D7558"/>
    <w:rsid w:val="008D780B"/>
    <w:rsid w:val="008D7BD6"/>
    <w:rsid w:val="008D7CE7"/>
    <w:rsid w:val="008D7F4C"/>
    <w:rsid w:val="008E0094"/>
    <w:rsid w:val="008E01D6"/>
    <w:rsid w:val="008E0271"/>
    <w:rsid w:val="008E02E1"/>
    <w:rsid w:val="008E033C"/>
    <w:rsid w:val="008E03CF"/>
    <w:rsid w:val="008E07A7"/>
    <w:rsid w:val="008E1180"/>
    <w:rsid w:val="008E151F"/>
    <w:rsid w:val="008E1848"/>
    <w:rsid w:val="008E190D"/>
    <w:rsid w:val="008E19AF"/>
    <w:rsid w:val="008E1AAE"/>
    <w:rsid w:val="008E1C00"/>
    <w:rsid w:val="008E1D5F"/>
    <w:rsid w:val="008E1F00"/>
    <w:rsid w:val="008E1F89"/>
    <w:rsid w:val="008E20AB"/>
    <w:rsid w:val="008E20CA"/>
    <w:rsid w:val="008E2168"/>
    <w:rsid w:val="008E234B"/>
    <w:rsid w:val="008E2520"/>
    <w:rsid w:val="008E2591"/>
    <w:rsid w:val="008E2B5A"/>
    <w:rsid w:val="008E2B68"/>
    <w:rsid w:val="008E2E2D"/>
    <w:rsid w:val="008E2EDF"/>
    <w:rsid w:val="008E2EF9"/>
    <w:rsid w:val="008E3383"/>
    <w:rsid w:val="008E38AD"/>
    <w:rsid w:val="008E39AC"/>
    <w:rsid w:val="008E3A7C"/>
    <w:rsid w:val="008E3CDD"/>
    <w:rsid w:val="008E3D2D"/>
    <w:rsid w:val="008E3F05"/>
    <w:rsid w:val="008E4267"/>
    <w:rsid w:val="008E434C"/>
    <w:rsid w:val="008E4A9B"/>
    <w:rsid w:val="008E4AA9"/>
    <w:rsid w:val="008E4AB8"/>
    <w:rsid w:val="008E4C55"/>
    <w:rsid w:val="008E4D44"/>
    <w:rsid w:val="008E4D9E"/>
    <w:rsid w:val="008E4DCD"/>
    <w:rsid w:val="008E4E39"/>
    <w:rsid w:val="008E4F0A"/>
    <w:rsid w:val="008E4F6F"/>
    <w:rsid w:val="008E4F9E"/>
    <w:rsid w:val="008E5032"/>
    <w:rsid w:val="008E5149"/>
    <w:rsid w:val="008E5381"/>
    <w:rsid w:val="008E5475"/>
    <w:rsid w:val="008E56A6"/>
    <w:rsid w:val="008E59A1"/>
    <w:rsid w:val="008E59F2"/>
    <w:rsid w:val="008E5B3B"/>
    <w:rsid w:val="008E5C6A"/>
    <w:rsid w:val="008E60C7"/>
    <w:rsid w:val="008E60CC"/>
    <w:rsid w:val="008E657F"/>
    <w:rsid w:val="008E6594"/>
    <w:rsid w:val="008E6599"/>
    <w:rsid w:val="008E67B8"/>
    <w:rsid w:val="008E6814"/>
    <w:rsid w:val="008E69B6"/>
    <w:rsid w:val="008E6B55"/>
    <w:rsid w:val="008E723A"/>
    <w:rsid w:val="008E74D5"/>
    <w:rsid w:val="008E75DA"/>
    <w:rsid w:val="008E764B"/>
    <w:rsid w:val="008E7700"/>
    <w:rsid w:val="008E785F"/>
    <w:rsid w:val="008E7A2B"/>
    <w:rsid w:val="008E7EEF"/>
    <w:rsid w:val="008E7FB8"/>
    <w:rsid w:val="008E7FF2"/>
    <w:rsid w:val="008F0205"/>
    <w:rsid w:val="008F021B"/>
    <w:rsid w:val="008F0312"/>
    <w:rsid w:val="008F0321"/>
    <w:rsid w:val="008F0377"/>
    <w:rsid w:val="008F0529"/>
    <w:rsid w:val="008F0596"/>
    <w:rsid w:val="008F0644"/>
    <w:rsid w:val="008F0740"/>
    <w:rsid w:val="008F079D"/>
    <w:rsid w:val="008F0A9F"/>
    <w:rsid w:val="008F0ACB"/>
    <w:rsid w:val="008F0F3F"/>
    <w:rsid w:val="008F1129"/>
    <w:rsid w:val="008F11FF"/>
    <w:rsid w:val="008F1302"/>
    <w:rsid w:val="008F1532"/>
    <w:rsid w:val="008F16D1"/>
    <w:rsid w:val="008F16D3"/>
    <w:rsid w:val="008F1715"/>
    <w:rsid w:val="008F18BF"/>
    <w:rsid w:val="008F18E6"/>
    <w:rsid w:val="008F1A11"/>
    <w:rsid w:val="008F206F"/>
    <w:rsid w:val="008F21F5"/>
    <w:rsid w:val="008F223C"/>
    <w:rsid w:val="008F2425"/>
    <w:rsid w:val="008F24B0"/>
    <w:rsid w:val="008F2708"/>
    <w:rsid w:val="008F27BC"/>
    <w:rsid w:val="008F28D9"/>
    <w:rsid w:val="008F2C8B"/>
    <w:rsid w:val="008F2E42"/>
    <w:rsid w:val="008F2E6E"/>
    <w:rsid w:val="008F3117"/>
    <w:rsid w:val="008F3410"/>
    <w:rsid w:val="008F342B"/>
    <w:rsid w:val="008F34EF"/>
    <w:rsid w:val="008F355B"/>
    <w:rsid w:val="008F3602"/>
    <w:rsid w:val="008F3757"/>
    <w:rsid w:val="008F39E6"/>
    <w:rsid w:val="008F3D08"/>
    <w:rsid w:val="008F3E7B"/>
    <w:rsid w:val="008F4360"/>
    <w:rsid w:val="008F4415"/>
    <w:rsid w:val="008F4515"/>
    <w:rsid w:val="008F4581"/>
    <w:rsid w:val="008F4903"/>
    <w:rsid w:val="008F4BD0"/>
    <w:rsid w:val="008F4BDF"/>
    <w:rsid w:val="008F4E60"/>
    <w:rsid w:val="008F4F5E"/>
    <w:rsid w:val="008F5026"/>
    <w:rsid w:val="008F5060"/>
    <w:rsid w:val="008F50B7"/>
    <w:rsid w:val="008F50DA"/>
    <w:rsid w:val="008F51A1"/>
    <w:rsid w:val="008F52A7"/>
    <w:rsid w:val="008F52B1"/>
    <w:rsid w:val="008F532F"/>
    <w:rsid w:val="008F5384"/>
    <w:rsid w:val="008F54E9"/>
    <w:rsid w:val="008F568D"/>
    <w:rsid w:val="008F59B7"/>
    <w:rsid w:val="008F5D36"/>
    <w:rsid w:val="008F5E7D"/>
    <w:rsid w:val="008F5F1A"/>
    <w:rsid w:val="008F64B7"/>
    <w:rsid w:val="008F677D"/>
    <w:rsid w:val="008F6879"/>
    <w:rsid w:val="008F6A69"/>
    <w:rsid w:val="008F6FD2"/>
    <w:rsid w:val="008F7017"/>
    <w:rsid w:val="008F71F2"/>
    <w:rsid w:val="008F7285"/>
    <w:rsid w:val="008F736C"/>
    <w:rsid w:val="008F7791"/>
    <w:rsid w:val="008F797C"/>
    <w:rsid w:val="008F7C39"/>
    <w:rsid w:val="008F7DBB"/>
    <w:rsid w:val="008F7E0D"/>
    <w:rsid w:val="008F7F57"/>
    <w:rsid w:val="00900214"/>
    <w:rsid w:val="009004E9"/>
    <w:rsid w:val="00900504"/>
    <w:rsid w:val="00900644"/>
    <w:rsid w:val="009006BD"/>
    <w:rsid w:val="0090090E"/>
    <w:rsid w:val="00900A0B"/>
    <w:rsid w:val="00900A3C"/>
    <w:rsid w:val="00900EC4"/>
    <w:rsid w:val="00900FB4"/>
    <w:rsid w:val="00901286"/>
    <w:rsid w:val="009014AF"/>
    <w:rsid w:val="009016F4"/>
    <w:rsid w:val="00901706"/>
    <w:rsid w:val="00901B53"/>
    <w:rsid w:val="00901BE4"/>
    <w:rsid w:val="00901CFB"/>
    <w:rsid w:val="00902087"/>
    <w:rsid w:val="009020A9"/>
    <w:rsid w:val="009020F6"/>
    <w:rsid w:val="0090232C"/>
    <w:rsid w:val="0090253A"/>
    <w:rsid w:val="0090261D"/>
    <w:rsid w:val="009026A4"/>
    <w:rsid w:val="0090271B"/>
    <w:rsid w:val="0090288E"/>
    <w:rsid w:val="00902B1C"/>
    <w:rsid w:val="00902BDC"/>
    <w:rsid w:val="00902C42"/>
    <w:rsid w:val="00902F21"/>
    <w:rsid w:val="00902FED"/>
    <w:rsid w:val="0090314B"/>
    <w:rsid w:val="009034F9"/>
    <w:rsid w:val="009037C7"/>
    <w:rsid w:val="00903A36"/>
    <w:rsid w:val="00903F2D"/>
    <w:rsid w:val="00904167"/>
    <w:rsid w:val="00904B64"/>
    <w:rsid w:val="00904BD1"/>
    <w:rsid w:val="00904DF1"/>
    <w:rsid w:val="00904F00"/>
    <w:rsid w:val="00905396"/>
    <w:rsid w:val="0090571E"/>
    <w:rsid w:val="0090582F"/>
    <w:rsid w:val="009058D7"/>
    <w:rsid w:val="00905AFE"/>
    <w:rsid w:val="00905BD3"/>
    <w:rsid w:val="009060F6"/>
    <w:rsid w:val="00906168"/>
    <w:rsid w:val="00906695"/>
    <w:rsid w:val="0090674A"/>
    <w:rsid w:val="00906807"/>
    <w:rsid w:val="00906872"/>
    <w:rsid w:val="009069EA"/>
    <w:rsid w:val="00906ABE"/>
    <w:rsid w:val="00906B2C"/>
    <w:rsid w:val="00906CE8"/>
    <w:rsid w:val="00906D6E"/>
    <w:rsid w:val="00906D97"/>
    <w:rsid w:val="00906F13"/>
    <w:rsid w:val="00906F43"/>
    <w:rsid w:val="00906FCF"/>
    <w:rsid w:val="00907173"/>
    <w:rsid w:val="0090717C"/>
    <w:rsid w:val="009073E8"/>
    <w:rsid w:val="00907535"/>
    <w:rsid w:val="00907705"/>
    <w:rsid w:val="00907801"/>
    <w:rsid w:val="00907A0A"/>
    <w:rsid w:val="00907A38"/>
    <w:rsid w:val="00907B6D"/>
    <w:rsid w:val="00907E49"/>
    <w:rsid w:val="0091006B"/>
    <w:rsid w:val="00910109"/>
    <w:rsid w:val="009101BA"/>
    <w:rsid w:val="009101C0"/>
    <w:rsid w:val="009104B3"/>
    <w:rsid w:val="00910826"/>
    <w:rsid w:val="00910875"/>
    <w:rsid w:val="00910FB0"/>
    <w:rsid w:val="009110C4"/>
    <w:rsid w:val="00911270"/>
    <w:rsid w:val="00911923"/>
    <w:rsid w:val="00911BCE"/>
    <w:rsid w:val="00911DF1"/>
    <w:rsid w:val="00911EE8"/>
    <w:rsid w:val="00911F6F"/>
    <w:rsid w:val="00912086"/>
    <w:rsid w:val="00912180"/>
    <w:rsid w:val="009121BF"/>
    <w:rsid w:val="009121D7"/>
    <w:rsid w:val="00912257"/>
    <w:rsid w:val="0091238A"/>
    <w:rsid w:val="009123A8"/>
    <w:rsid w:val="009124B7"/>
    <w:rsid w:val="00912591"/>
    <w:rsid w:val="00912660"/>
    <w:rsid w:val="00912783"/>
    <w:rsid w:val="009127B8"/>
    <w:rsid w:val="0091289E"/>
    <w:rsid w:val="00912BEF"/>
    <w:rsid w:val="00912C59"/>
    <w:rsid w:val="00912CF8"/>
    <w:rsid w:val="00912D66"/>
    <w:rsid w:val="00912F78"/>
    <w:rsid w:val="009134B9"/>
    <w:rsid w:val="0091352C"/>
    <w:rsid w:val="009136CB"/>
    <w:rsid w:val="0091370B"/>
    <w:rsid w:val="00913ECA"/>
    <w:rsid w:val="00913EEB"/>
    <w:rsid w:val="00914093"/>
    <w:rsid w:val="009147C5"/>
    <w:rsid w:val="00914CD4"/>
    <w:rsid w:val="00914F03"/>
    <w:rsid w:val="00914F99"/>
    <w:rsid w:val="00915B28"/>
    <w:rsid w:val="00915B32"/>
    <w:rsid w:val="00915EFF"/>
    <w:rsid w:val="00916539"/>
    <w:rsid w:val="009166CD"/>
    <w:rsid w:val="009168B3"/>
    <w:rsid w:val="009168ED"/>
    <w:rsid w:val="00916926"/>
    <w:rsid w:val="00916A4F"/>
    <w:rsid w:val="0091703B"/>
    <w:rsid w:val="009170C6"/>
    <w:rsid w:val="0091721E"/>
    <w:rsid w:val="009172A3"/>
    <w:rsid w:val="0091739B"/>
    <w:rsid w:val="009176CA"/>
    <w:rsid w:val="00917C0A"/>
    <w:rsid w:val="00917C2C"/>
    <w:rsid w:val="0092017C"/>
    <w:rsid w:val="009201A4"/>
    <w:rsid w:val="00920638"/>
    <w:rsid w:val="009206D1"/>
    <w:rsid w:val="00920774"/>
    <w:rsid w:val="00920782"/>
    <w:rsid w:val="00920861"/>
    <w:rsid w:val="009208ED"/>
    <w:rsid w:val="00920D7D"/>
    <w:rsid w:val="00920DC1"/>
    <w:rsid w:val="0092104C"/>
    <w:rsid w:val="0092127C"/>
    <w:rsid w:val="009214DF"/>
    <w:rsid w:val="0092152F"/>
    <w:rsid w:val="009218D5"/>
    <w:rsid w:val="00921A74"/>
    <w:rsid w:val="00921BFB"/>
    <w:rsid w:val="00921DFF"/>
    <w:rsid w:val="00921F32"/>
    <w:rsid w:val="00921FA8"/>
    <w:rsid w:val="00921FF2"/>
    <w:rsid w:val="009220E8"/>
    <w:rsid w:val="009221B8"/>
    <w:rsid w:val="009225C2"/>
    <w:rsid w:val="00922850"/>
    <w:rsid w:val="00922ED5"/>
    <w:rsid w:val="00922F4D"/>
    <w:rsid w:val="00923191"/>
    <w:rsid w:val="0092322A"/>
    <w:rsid w:val="0092327F"/>
    <w:rsid w:val="0092345E"/>
    <w:rsid w:val="009234FE"/>
    <w:rsid w:val="009238A9"/>
    <w:rsid w:val="00923926"/>
    <w:rsid w:val="00923A22"/>
    <w:rsid w:val="00923D56"/>
    <w:rsid w:val="00923D63"/>
    <w:rsid w:val="00923E68"/>
    <w:rsid w:val="00923F8C"/>
    <w:rsid w:val="00923FEE"/>
    <w:rsid w:val="00924265"/>
    <w:rsid w:val="0092458E"/>
    <w:rsid w:val="009245F1"/>
    <w:rsid w:val="009246E9"/>
    <w:rsid w:val="0092491A"/>
    <w:rsid w:val="00924B57"/>
    <w:rsid w:val="00924CC6"/>
    <w:rsid w:val="00924CFE"/>
    <w:rsid w:val="00924D90"/>
    <w:rsid w:val="00924DF6"/>
    <w:rsid w:val="00924EB1"/>
    <w:rsid w:val="00924FA1"/>
    <w:rsid w:val="00925077"/>
    <w:rsid w:val="0092517F"/>
    <w:rsid w:val="0092531F"/>
    <w:rsid w:val="00925320"/>
    <w:rsid w:val="00925835"/>
    <w:rsid w:val="0092597D"/>
    <w:rsid w:val="009259A9"/>
    <w:rsid w:val="00925AD0"/>
    <w:rsid w:val="00925B94"/>
    <w:rsid w:val="00925BC9"/>
    <w:rsid w:val="00925BE4"/>
    <w:rsid w:val="00925EB2"/>
    <w:rsid w:val="00925F4D"/>
    <w:rsid w:val="00926020"/>
    <w:rsid w:val="0092607F"/>
    <w:rsid w:val="0092611A"/>
    <w:rsid w:val="00926435"/>
    <w:rsid w:val="00926810"/>
    <w:rsid w:val="00926853"/>
    <w:rsid w:val="00926B4B"/>
    <w:rsid w:val="00926EF4"/>
    <w:rsid w:val="009270C4"/>
    <w:rsid w:val="00927117"/>
    <w:rsid w:val="009271A7"/>
    <w:rsid w:val="009271C6"/>
    <w:rsid w:val="0092725E"/>
    <w:rsid w:val="00927492"/>
    <w:rsid w:val="0092760D"/>
    <w:rsid w:val="009276D8"/>
    <w:rsid w:val="0092776E"/>
    <w:rsid w:val="0092780E"/>
    <w:rsid w:val="00927D72"/>
    <w:rsid w:val="00927E95"/>
    <w:rsid w:val="00927F42"/>
    <w:rsid w:val="0093007F"/>
    <w:rsid w:val="00930372"/>
    <w:rsid w:val="00930511"/>
    <w:rsid w:val="009306DC"/>
    <w:rsid w:val="00930C58"/>
    <w:rsid w:val="00930E44"/>
    <w:rsid w:val="00930E63"/>
    <w:rsid w:val="00930FAA"/>
    <w:rsid w:val="00930FED"/>
    <w:rsid w:val="00931169"/>
    <w:rsid w:val="0093149C"/>
    <w:rsid w:val="00931703"/>
    <w:rsid w:val="00931B6B"/>
    <w:rsid w:val="00931C04"/>
    <w:rsid w:val="00931F4B"/>
    <w:rsid w:val="0093206A"/>
    <w:rsid w:val="0093259D"/>
    <w:rsid w:val="00932725"/>
    <w:rsid w:val="009327E4"/>
    <w:rsid w:val="00932911"/>
    <w:rsid w:val="00932AD4"/>
    <w:rsid w:val="00932CB4"/>
    <w:rsid w:val="00932DF8"/>
    <w:rsid w:val="00932FD6"/>
    <w:rsid w:val="00933054"/>
    <w:rsid w:val="00933068"/>
    <w:rsid w:val="00933223"/>
    <w:rsid w:val="009333B9"/>
    <w:rsid w:val="009333C4"/>
    <w:rsid w:val="00933477"/>
    <w:rsid w:val="009335E4"/>
    <w:rsid w:val="009336A9"/>
    <w:rsid w:val="00933851"/>
    <w:rsid w:val="00933860"/>
    <w:rsid w:val="00933B8C"/>
    <w:rsid w:val="00933EBE"/>
    <w:rsid w:val="009340CC"/>
    <w:rsid w:val="009342A5"/>
    <w:rsid w:val="009343A4"/>
    <w:rsid w:val="00934582"/>
    <w:rsid w:val="009346AA"/>
    <w:rsid w:val="009347FB"/>
    <w:rsid w:val="00934B55"/>
    <w:rsid w:val="00934B6E"/>
    <w:rsid w:val="00934CF4"/>
    <w:rsid w:val="00935213"/>
    <w:rsid w:val="009353ED"/>
    <w:rsid w:val="00935455"/>
    <w:rsid w:val="0093558F"/>
    <w:rsid w:val="009355E1"/>
    <w:rsid w:val="00935843"/>
    <w:rsid w:val="00935C36"/>
    <w:rsid w:val="00935EEB"/>
    <w:rsid w:val="00935F1C"/>
    <w:rsid w:val="009360AC"/>
    <w:rsid w:val="0093633E"/>
    <w:rsid w:val="00936354"/>
    <w:rsid w:val="00936742"/>
    <w:rsid w:val="009368EA"/>
    <w:rsid w:val="00936989"/>
    <w:rsid w:val="00936A4D"/>
    <w:rsid w:val="00936B88"/>
    <w:rsid w:val="00936EA1"/>
    <w:rsid w:val="00936FF1"/>
    <w:rsid w:val="00936FF4"/>
    <w:rsid w:val="009371BE"/>
    <w:rsid w:val="009371CA"/>
    <w:rsid w:val="0093724C"/>
    <w:rsid w:val="009374AD"/>
    <w:rsid w:val="00937501"/>
    <w:rsid w:val="00937619"/>
    <w:rsid w:val="00937767"/>
    <w:rsid w:val="00937987"/>
    <w:rsid w:val="00937A50"/>
    <w:rsid w:val="00937CF4"/>
    <w:rsid w:val="00937D72"/>
    <w:rsid w:val="00940145"/>
    <w:rsid w:val="009404B8"/>
    <w:rsid w:val="00940A82"/>
    <w:rsid w:val="00940A8F"/>
    <w:rsid w:val="00940C6D"/>
    <w:rsid w:val="00940CF7"/>
    <w:rsid w:val="00940D1B"/>
    <w:rsid w:val="00940DFF"/>
    <w:rsid w:val="00940F4B"/>
    <w:rsid w:val="0094107D"/>
    <w:rsid w:val="009413BF"/>
    <w:rsid w:val="009413DC"/>
    <w:rsid w:val="0094193B"/>
    <w:rsid w:val="00941BA7"/>
    <w:rsid w:val="00941C77"/>
    <w:rsid w:val="00942029"/>
    <w:rsid w:val="009420D6"/>
    <w:rsid w:val="009421AD"/>
    <w:rsid w:val="009424E8"/>
    <w:rsid w:val="0094257B"/>
    <w:rsid w:val="009426DF"/>
    <w:rsid w:val="009426F2"/>
    <w:rsid w:val="00942730"/>
    <w:rsid w:val="009429D2"/>
    <w:rsid w:val="00942B7C"/>
    <w:rsid w:val="00942D19"/>
    <w:rsid w:val="00942EDC"/>
    <w:rsid w:val="00943021"/>
    <w:rsid w:val="009430AE"/>
    <w:rsid w:val="009430D1"/>
    <w:rsid w:val="00943204"/>
    <w:rsid w:val="009433F8"/>
    <w:rsid w:val="009434C7"/>
    <w:rsid w:val="009438A4"/>
    <w:rsid w:val="0094392C"/>
    <w:rsid w:val="00943977"/>
    <w:rsid w:val="00943FD1"/>
    <w:rsid w:val="009446B2"/>
    <w:rsid w:val="00944723"/>
    <w:rsid w:val="009447B0"/>
    <w:rsid w:val="009447D1"/>
    <w:rsid w:val="00944810"/>
    <w:rsid w:val="00944AE1"/>
    <w:rsid w:val="00944B6F"/>
    <w:rsid w:val="00944C51"/>
    <w:rsid w:val="00944D38"/>
    <w:rsid w:val="00944D52"/>
    <w:rsid w:val="00944FAE"/>
    <w:rsid w:val="009454DA"/>
    <w:rsid w:val="009456D9"/>
    <w:rsid w:val="00945802"/>
    <w:rsid w:val="00945982"/>
    <w:rsid w:val="009459B8"/>
    <w:rsid w:val="00945A27"/>
    <w:rsid w:val="00945CC8"/>
    <w:rsid w:val="0094666F"/>
    <w:rsid w:val="00946829"/>
    <w:rsid w:val="00946CF2"/>
    <w:rsid w:val="00947072"/>
    <w:rsid w:val="0094709A"/>
    <w:rsid w:val="0094737C"/>
    <w:rsid w:val="009473AB"/>
    <w:rsid w:val="00947568"/>
    <w:rsid w:val="009476BE"/>
    <w:rsid w:val="0094788B"/>
    <w:rsid w:val="00947965"/>
    <w:rsid w:val="009479CB"/>
    <w:rsid w:val="00947A15"/>
    <w:rsid w:val="00947D20"/>
    <w:rsid w:val="00947E2F"/>
    <w:rsid w:val="00947E48"/>
    <w:rsid w:val="00947F99"/>
    <w:rsid w:val="0095029E"/>
    <w:rsid w:val="00950429"/>
    <w:rsid w:val="00950474"/>
    <w:rsid w:val="00950545"/>
    <w:rsid w:val="00950715"/>
    <w:rsid w:val="0095095E"/>
    <w:rsid w:val="009509C2"/>
    <w:rsid w:val="00950A24"/>
    <w:rsid w:val="00950C05"/>
    <w:rsid w:val="00950D8E"/>
    <w:rsid w:val="009510F6"/>
    <w:rsid w:val="00951230"/>
    <w:rsid w:val="00951366"/>
    <w:rsid w:val="009514F0"/>
    <w:rsid w:val="0095172B"/>
    <w:rsid w:val="0095176F"/>
    <w:rsid w:val="00951781"/>
    <w:rsid w:val="0095191B"/>
    <w:rsid w:val="00951CE7"/>
    <w:rsid w:val="00951FB5"/>
    <w:rsid w:val="00952036"/>
    <w:rsid w:val="00952157"/>
    <w:rsid w:val="00952550"/>
    <w:rsid w:val="009527FD"/>
    <w:rsid w:val="009528C7"/>
    <w:rsid w:val="00952946"/>
    <w:rsid w:val="00952B8B"/>
    <w:rsid w:val="00952BD7"/>
    <w:rsid w:val="00952E18"/>
    <w:rsid w:val="00953433"/>
    <w:rsid w:val="009534BA"/>
    <w:rsid w:val="00953514"/>
    <w:rsid w:val="00953D72"/>
    <w:rsid w:val="00954115"/>
    <w:rsid w:val="00954176"/>
    <w:rsid w:val="0095423A"/>
    <w:rsid w:val="009543E1"/>
    <w:rsid w:val="009544DD"/>
    <w:rsid w:val="00954626"/>
    <w:rsid w:val="009547CA"/>
    <w:rsid w:val="0095488E"/>
    <w:rsid w:val="009548B4"/>
    <w:rsid w:val="00954A40"/>
    <w:rsid w:val="00954BBD"/>
    <w:rsid w:val="00954C61"/>
    <w:rsid w:val="009553DC"/>
    <w:rsid w:val="00955489"/>
    <w:rsid w:val="00955529"/>
    <w:rsid w:val="00955555"/>
    <w:rsid w:val="00955565"/>
    <w:rsid w:val="009555BF"/>
    <w:rsid w:val="0095575E"/>
    <w:rsid w:val="00955803"/>
    <w:rsid w:val="00955F69"/>
    <w:rsid w:val="00955FAE"/>
    <w:rsid w:val="00956082"/>
    <w:rsid w:val="009560E7"/>
    <w:rsid w:val="0095641A"/>
    <w:rsid w:val="00956429"/>
    <w:rsid w:val="00956521"/>
    <w:rsid w:val="009567B9"/>
    <w:rsid w:val="00956E41"/>
    <w:rsid w:val="00956ED2"/>
    <w:rsid w:val="009570CC"/>
    <w:rsid w:val="00957186"/>
    <w:rsid w:val="009572F2"/>
    <w:rsid w:val="00957583"/>
    <w:rsid w:val="00957869"/>
    <w:rsid w:val="00957873"/>
    <w:rsid w:val="009578B5"/>
    <w:rsid w:val="0095796A"/>
    <w:rsid w:val="00957BC7"/>
    <w:rsid w:val="00957CD6"/>
    <w:rsid w:val="00957CF4"/>
    <w:rsid w:val="00957F7F"/>
    <w:rsid w:val="0096008F"/>
    <w:rsid w:val="009600A9"/>
    <w:rsid w:val="009605D6"/>
    <w:rsid w:val="009605F0"/>
    <w:rsid w:val="00960AF0"/>
    <w:rsid w:val="00960C54"/>
    <w:rsid w:val="00960D0F"/>
    <w:rsid w:val="009610EA"/>
    <w:rsid w:val="00961462"/>
    <w:rsid w:val="009614E2"/>
    <w:rsid w:val="0096151B"/>
    <w:rsid w:val="00961943"/>
    <w:rsid w:val="00961EB2"/>
    <w:rsid w:val="00961EFE"/>
    <w:rsid w:val="00961F02"/>
    <w:rsid w:val="00961FE3"/>
    <w:rsid w:val="00962494"/>
    <w:rsid w:val="009628CD"/>
    <w:rsid w:val="009628EF"/>
    <w:rsid w:val="00962AE3"/>
    <w:rsid w:val="00962EA3"/>
    <w:rsid w:val="0096314E"/>
    <w:rsid w:val="0096315C"/>
    <w:rsid w:val="00963490"/>
    <w:rsid w:val="0096384A"/>
    <w:rsid w:val="009638E6"/>
    <w:rsid w:val="00963A15"/>
    <w:rsid w:val="00963C04"/>
    <w:rsid w:val="00963D8E"/>
    <w:rsid w:val="00963EC1"/>
    <w:rsid w:val="00964217"/>
    <w:rsid w:val="00964589"/>
    <w:rsid w:val="00964914"/>
    <w:rsid w:val="0096491B"/>
    <w:rsid w:val="00964B73"/>
    <w:rsid w:val="00964B9E"/>
    <w:rsid w:val="00964D2E"/>
    <w:rsid w:val="00965016"/>
    <w:rsid w:val="0096549D"/>
    <w:rsid w:val="009655AE"/>
    <w:rsid w:val="0096562E"/>
    <w:rsid w:val="0096595F"/>
    <w:rsid w:val="00965A4C"/>
    <w:rsid w:val="00965A5C"/>
    <w:rsid w:val="00965C4B"/>
    <w:rsid w:val="00965CDF"/>
    <w:rsid w:val="00965D1F"/>
    <w:rsid w:val="00965D95"/>
    <w:rsid w:val="00965E1E"/>
    <w:rsid w:val="0096610C"/>
    <w:rsid w:val="0096617A"/>
    <w:rsid w:val="00966365"/>
    <w:rsid w:val="00966669"/>
    <w:rsid w:val="00966782"/>
    <w:rsid w:val="009668F3"/>
    <w:rsid w:val="00966A30"/>
    <w:rsid w:val="00966B85"/>
    <w:rsid w:val="00966BB7"/>
    <w:rsid w:val="00966F46"/>
    <w:rsid w:val="00967301"/>
    <w:rsid w:val="009673AF"/>
    <w:rsid w:val="00967498"/>
    <w:rsid w:val="009675EF"/>
    <w:rsid w:val="0096773F"/>
    <w:rsid w:val="0096793B"/>
    <w:rsid w:val="00967BD3"/>
    <w:rsid w:val="00967BDC"/>
    <w:rsid w:val="00967E5F"/>
    <w:rsid w:val="00970371"/>
    <w:rsid w:val="00970448"/>
    <w:rsid w:val="0097049F"/>
    <w:rsid w:val="00970671"/>
    <w:rsid w:val="009706FE"/>
    <w:rsid w:val="0097073A"/>
    <w:rsid w:val="00970764"/>
    <w:rsid w:val="00970972"/>
    <w:rsid w:val="00970AA5"/>
    <w:rsid w:val="00970BDB"/>
    <w:rsid w:val="00970E15"/>
    <w:rsid w:val="00970E33"/>
    <w:rsid w:val="00971211"/>
    <w:rsid w:val="0097177A"/>
    <w:rsid w:val="00971B11"/>
    <w:rsid w:val="00971C17"/>
    <w:rsid w:val="00971EB1"/>
    <w:rsid w:val="009720C3"/>
    <w:rsid w:val="0097229C"/>
    <w:rsid w:val="009722CE"/>
    <w:rsid w:val="009726A6"/>
    <w:rsid w:val="00972A86"/>
    <w:rsid w:val="00972C42"/>
    <w:rsid w:val="00973020"/>
    <w:rsid w:val="00973258"/>
    <w:rsid w:val="009735AD"/>
    <w:rsid w:val="009736F9"/>
    <w:rsid w:val="00973728"/>
    <w:rsid w:val="009737D1"/>
    <w:rsid w:val="00973931"/>
    <w:rsid w:val="00973A1F"/>
    <w:rsid w:val="00973B9D"/>
    <w:rsid w:val="00973D77"/>
    <w:rsid w:val="00973D7F"/>
    <w:rsid w:val="00973E03"/>
    <w:rsid w:val="00973F82"/>
    <w:rsid w:val="00973FB1"/>
    <w:rsid w:val="00974175"/>
    <w:rsid w:val="00974467"/>
    <w:rsid w:val="00974487"/>
    <w:rsid w:val="009744F2"/>
    <w:rsid w:val="00974690"/>
    <w:rsid w:val="009748B5"/>
    <w:rsid w:val="009749EA"/>
    <w:rsid w:val="00974BEF"/>
    <w:rsid w:val="00974C58"/>
    <w:rsid w:val="00974C95"/>
    <w:rsid w:val="00974EB3"/>
    <w:rsid w:val="00974F93"/>
    <w:rsid w:val="00974FA0"/>
    <w:rsid w:val="00975597"/>
    <w:rsid w:val="00975702"/>
    <w:rsid w:val="00975B12"/>
    <w:rsid w:val="00975D41"/>
    <w:rsid w:val="00975ED5"/>
    <w:rsid w:val="009761AC"/>
    <w:rsid w:val="00976201"/>
    <w:rsid w:val="00976453"/>
    <w:rsid w:val="0097654D"/>
    <w:rsid w:val="00976FE7"/>
    <w:rsid w:val="00976FF7"/>
    <w:rsid w:val="00977078"/>
    <w:rsid w:val="00977318"/>
    <w:rsid w:val="00977397"/>
    <w:rsid w:val="0097748D"/>
    <w:rsid w:val="009774E8"/>
    <w:rsid w:val="009775DE"/>
    <w:rsid w:val="00977622"/>
    <w:rsid w:val="009777A6"/>
    <w:rsid w:val="009777D2"/>
    <w:rsid w:val="009777F0"/>
    <w:rsid w:val="009778C2"/>
    <w:rsid w:val="00980147"/>
    <w:rsid w:val="0098066F"/>
    <w:rsid w:val="0098071B"/>
    <w:rsid w:val="00980B7C"/>
    <w:rsid w:val="00980BE0"/>
    <w:rsid w:val="00980CCA"/>
    <w:rsid w:val="00980E04"/>
    <w:rsid w:val="00980EE3"/>
    <w:rsid w:val="00980F03"/>
    <w:rsid w:val="00980FB5"/>
    <w:rsid w:val="009811B8"/>
    <w:rsid w:val="00981286"/>
    <w:rsid w:val="00981463"/>
    <w:rsid w:val="00981599"/>
    <w:rsid w:val="009815F0"/>
    <w:rsid w:val="0098197D"/>
    <w:rsid w:val="00981B57"/>
    <w:rsid w:val="00981BA5"/>
    <w:rsid w:val="00981F7F"/>
    <w:rsid w:val="00981FCC"/>
    <w:rsid w:val="0098201F"/>
    <w:rsid w:val="00982308"/>
    <w:rsid w:val="00982729"/>
    <w:rsid w:val="00982992"/>
    <w:rsid w:val="009829A2"/>
    <w:rsid w:val="00982C9E"/>
    <w:rsid w:val="00982E06"/>
    <w:rsid w:val="0098324E"/>
    <w:rsid w:val="009834CA"/>
    <w:rsid w:val="00983709"/>
    <w:rsid w:val="009837F8"/>
    <w:rsid w:val="0098390D"/>
    <w:rsid w:val="00983B82"/>
    <w:rsid w:val="00983BD2"/>
    <w:rsid w:val="00983CBE"/>
    <w:rsid w:val="00984272"/>
    <w:rsid w:val="00984298"/>
    <w:rsid w:val="009848C0"/>
    <w:rsid w:val="00984DED"/>
    <w:rsid w:val="00985084"/>
    <w:rsid w:val="00985196"/>
    <w:rsid w:val="0098527F"/>
    <w:rsid w:val="009853F7"/>
    <w:rsid w:val="0098550F"/>
    <w:rsid w:val="0098578E"/>
    <w:rsid w:val="009857E0"/>
    <w:rsid w:val="009857E9"/>
    <w:rsid w:val="009857FA"/>
    <w:rsid w:val="009858A6"/>
    <w:rsid w:val="00985A77"/>
    <w:rsid w:val="00985AA5"/>
    <w:rsid w:val="00985D12"/>
    <w:rsid w:val="00985E58"/>
    <w:rsid w:val="00985FCF"/>
    <w:rsid w:val="009860B8"/>
    <w:rsid w:val="00986348"/>
    <w:rsid w:val="00986581"/>
    <w:rsid w:val="00986606"/>
    <w:rsid w:val="00986695"/>
    <w:rsid w:val="009866CC"/>
    <w:rsid w:val="00986790"/>
    <w:rsid w:val="00986867"/>
    <w:rsid w:val="00986916"/>
    <w:rsid w:val="0098691A"/>
    <w:rsid w:val="00986932"/>
    <w:rsid w:val="009869E8"/>
    <w:rsid w:val="00986A0D"/>
    <w:rsid w:val="00986DD4"/>
    <w:rsid w:val="00986E4D"/>
    <w:rsid w:val="00986E75"/>
    <w:rsid w:val="00986F47"/>
    <w:rsid w:val="00987264"/>
    <w:rsid w:val="00987633"/>
    <w:rsid w:val="009876DE"/>
    <w:rsid w:val="00987716"/>
    <w:rsid w:val="00987897"/>
    <w:rsid w:val="00987A6D"/>
    <w:rsid w:val="00987BE7"/>
    <w:rsid w:val="00987F4C"/>
    <w:rsid w:val="00990225"/>
    <w:rsid w:val="009905D7"/>
    <w:rsid w:val="00990779"/>
    <w:rsid w:val="00990805"/>
    <w:rsid w:val="009909B3"/>
    <w:rsid w:val="00990AEA"/>
    <w:rsid w:val="00990AF3"/>
    <w:rsid w:val="00990D45"/>
    <w:rsid w:val="0099101C"/>
    <w:rsid w:val="00991148"/>
    <w:rsid w:val="0099114D"/>
    <w:rsid w:val="00991193"/>
    <w:rsid w:val="009911E9"/>
    <w:rsid w:val="009913AB"/>
    <w:rsid w:val="0099144C"/>
    <w:rsid w:val="00991481"/>
    <w:rsid w:val="00991678"/>
    <w:rsid w:val="0099170B"/>
    <w:rsid w:val="00991CD0"/>
    <w:rsid w:val="00991D85"/>
    <w:rsid w:val="00991F19"/>
    <w:rsid w:val="00992088"/>
    <w:rsid w:val="00992557"/>
    <w:rsid w:val="009928C4"/>
    <w:rsid w:val="0099290C"/>
    <w:rsid w:val="00992A13"/>
    <w:rsid w:val="00992B53"/>
    <w:rsid w:val="00992F54"/>
    <w:rsid w:val="00993538"/>
    <w:rsid w:val="00993618"/>
    <w:rsid w:val="00993A42"/>
    <w:rsid w:val="00993A7D"/>
    <w:rsid w:val="00993A9C"/>
    <w:rsid w:val="009941D5"/>
    <w:rsid w:val="009943EA"/>
    <w:rsid w:val="00994765"/>
    <w:rsid w:val="00994806"/>
    <w:rsid w:val="00994E16"/>
    <w:rsid w:val="00995111"/>
    <w:rsid w:val="009951B8"/>
    <w:rsid w:val="00995467"/>
    <w:rsid w:val="009954C3"/>
    <w:rsid w:val="00995718"/>
    <w:rsid w:val="00995924"/>
    <w:rsid w:val="00995B87"/>
    <w:rsid w:val="00995CA2"/>
    <w:rsid w:val="00995D55"/>
    <w:rsid w:val="009960F7"/>
    <w:rsid w:val="00996132"/>
    <w:rsid w:val="0099621C"/>
    <w:rsid w:val="009964E8"/>
    <w:rsid w:val="009965C4"/>
    <w:rsid w:val="00996700"/>
    <w:rsid w:val="0099681B"/>
    <w:rsid w:val="009968F4"/>
    <w:rsid w:val="00996980"/>
    <w:rsid w:val="009969AC"/>
    <w:rsid w:val="00996A97"/>
    <w:rsid w:val="00996BD9"/>
    <w:rsid w:val="00996BED"/>
    <w:rsid w:val="00996C3F"/>
    <w:rsid w:val="00996D9E"/>
    <w:rsid w:val="00997273"/>
    <w:rsid w:val="009972B2"/>
    <w:rsid w:val="0099735C"/>
    <w:rsid w:val="00997559"/>
    <w:rsid w:val="0099779C"/>
    <w:rsid w:val="0099798D"/>
    <w:rsid w:val="00997A64"/>
    <w:rsid w:val="00997B21"/>
    <w:rsid w:val="00997C46"/>
    <w:rsid w:val="00997D71"/>
    <w:rsid w:val="00997F76"/>
    <w:rsid w:val="009A01C3"/>
    <w:rsid w:val="009A0281"/>
    <w:rsid w:val="009A0A33"/>
    <w:rsid w:val="009A0B2F"/>
    <w:rsid w:val="009A0C01"/>
    <w:rsid w:val="009A0EEC"/>
    <w:rsid w:val="009A0F0E"/>
    <w:rsid w:val="009A1092"/>
    <w:rsid w:val="009A10C8"/>
    <w:rsid w:val="009A12F3"/>
    <w:rsid w:val="009A136C"/>
    <w:rsid w:val="009A16FD"/>
    <w:rsid w:val="009A173A"/>
    <w:rsid w:val="009A180D"/>
    <w:rsid w:val="009A192A"/>
    <w:rsid w:val="009A19AB"/>
    <w:rsid w:val="009A1D85"/>
    <w:rsid w:val="009A1EA1"/>
    <w:rsid w:val="009A2065"/>
    <w:rsid w:val="009A211F"/>
    <w:rsid w:val="009A23FC"/>
    <w:rsid w:val="009A2435"/>
    <w:rsid w:val="009A24ED"/>
    <w:rsid w:val="009A252D"/>
    <w:rsid w:val="009A2554"/>
    <w:rsid w:val="009A25E8"/>
    <w:rsid w:val="009A27DB"/>
    <w:rsid w:val="009A28A5"/>
    <w:rsid w:val="009A28CD"/>
    <w:rsid w:val="009A2F9A"/>
    <w:rsid w:val="009A3074"/>
    <w:rsid w:val="009A3203"/>
    <w:rsid w:val="009A324D"/>
    <w:rsid w:val="009A32BA"/>
    <w:rsid w:val="009A390B"/>
    <w:rsid w:val="009A3F7E"/>
    <w:rsid w:val="009A3FA3"/>
    <w:rsid w:val="009A3FB5"/>
    <w:rsid w:val="009A4325"/>
    <w:rsid w:val="009A45BB"/>
    <w:rsid w:val="009A489F"/>
    <w:rsid w:val="009A4A7B"/>
    <w:rsid w:val="009A4AA8"/>
    <w:rsid w:val="009A4BE4"/>
    <w:rsid w:val="009A4CE8"/>
    <w:rsid w:val="009A4FFB"/>
    <w:rsid w:val="009A500B"/>
    <w:rsid w:val="009A5071"/>
    <w:rsid w:val="009A507A"/>
    <w:rsid w:val="009A50ED"/>
    <w:rsid w:val="009A5BDC"/>
    <w:rsid w:val="009A5C3D"/>
    <w:rsid w:val="009A5C5E"/>
    <w:rsid w:val="009A5F2D"/>
    <w:rsid w:val="009A6064"/>
    <w:rsid w:val="009A60DF"/>
    <w:rsid w:val="009A6121"/>
    <w:rsid w:val="009A65D2"/>
    <w:rsid w:val="009A6602"/>
    <w:rsid w:val="009A675B"/>
    <w:rsid w:val="009A6B9F"/>
    <w:rsid w:val="009A6C4F"/>
    <w:rsid w:val="009A6D90"/>
    <w:rsid w:val="009A6DB5"/>
    <w:rsid w:val="009A71FC"/>
    <w:rsid w:val="009A7413"/>
    <w:rsid w:val="009A76BD"/>
    <w:rsid w:val="009A76C5"/>
    <w:rsid w:val="009A77EE"/>
    <w:rsid w:val="009A7C0E"/>
    <w:rsid w:val="009B0093"/>
    <w:rsid w:val="009B0126"/>
    <w:rsid w:val="009B0156"/>
    <w:rsid w:val="009B0491"/>
    <w:rsid w:val="009B0706"/>
    <w:rsid w:val="009B08C6"/>
    <w:rsid w:val="009B0BEA"/>
    <w:rsid w:val="009B0CCA"/>
    <w:rsid w:val="009B0DF8"/>
    <w:rsid w:val="009B1045"/>
    <w:rsid w:val="009B1119"/>
    <w:rsid w:val="009B11EE"/>
    <w:rsid w:val="009B121E"/>
    <w:rsid w:val="009B1324"/>
    <w:rsid w:val="009B1338"/>
    <w:rsid w:val="009B1409"/>
    <w:rsid w:val="009B14E3"/>
    <w:rsid w:val="009B1528"/>
    <w:rsid w:val="009B1604"/>
    <w:rsid w:val="009B175C"/>
    <w:rsid w:val="009B1945"/>
    <w:rsid w:val="009B19A8"/>
    <w:rsid w:val="009B1C98"/>
    <w:rsid w:val="009B1D91"/>
    <w:rsid w:val="009B1EA4"/>
    <w:rsid w:val="009B20F7"/>
    <w:rsid w:val="009B2110"/>
    <w:rsid w:val="009B2131"/>
    <w:rsid w:val="009B2246"/>
    <w:rsid w:val="009B2315"/>
    <w:rsid w:val="009B286F"/>
    <w:rsid w:val="009B2944"/>
    <w:rsid w:val="009B29B9"/>
    <w:rsid w:val="009B2BA0"/>
    <w:rsid w:val="009B2D8B"/>
    <w:rsid w:val="009B2E68"/>
    <w:rsid w:val="009B30A4"/>
    <w:rsid w:val="009B31CC"/>
    <w:rsid w:val="009B3207"/>
    <w:rsid w:val="009B3423"/>
    <w:rsid w:val="009B34A6"/>
    <w:rsid w:val="009B37E3"/>
    <w:rsid w:val="009B3847"/>
    <w:rsid w:val="009B3DC5"/>
    <w:rsid w:val="009B3EAC"/>
    <w:rsid w:val="009B3F07"/>
    <w:rsid w:val="009B3F4A"/>
    <w:rsid w:val="009B3FBE"/>
    <w:rsid w:val="009B43DC"/>
    <w:rsid w:val="009B44C6"/>
    <w:rsid w:val="009B44E3"/>
    <w:rsid w:val="009B4564"/>
    <w:rsid w:val="009B4AFA"/>
    <w:rsid w:val="009B4C79"/>
    <w:rsid w:val="009B4D24"/>
    <w:rsid w:val="009B5092"/>
    <w:rsid w:val="009B5898"/>
    <w:rsid w:val="009B5A3E"/>
    <w:rsid w:val="009B5B3E"/>
    <w:rsid w:val="009B5C08"/>
    <w:rsid w:val="009B60AA"/>
    <w:rsid w:val="009B651A"/>
    <w:rsid w:val="009B664A"/>
    <w:rsid w:val="009B66E5"/>
    <w:rsid w:val="009B67F9"/>
    <w:rsid w:val="009B6A27"/>
    <w:rsid w:val="009B6E09"/>
    <w:rsid w:val="009B6E7B"/>
    <w:rsid w:val="009B6FD6"/>
    <w:rsid w:val="009B713A"/>
    <w:rsid w:val="009B7330"/>
    <w:rsid w:val="009B75D1"/>
    <w:rsid w:val="009B7835"/>
    <w:rsid w:val="009B7BAB"/>
    <w:rsid w:val="009B7DBB"/>
    <w:rsid w:val="009B7E18"/>
    <w:rsid w:val="009C01BD"/>
    <w:rsid w:val="009C0253"/>
    <w:rsid w:val="009C03D5"/>
    <w:rsid w:val="009C0517"/>
    <w:rsid w:val="009C0792"/>
    <w:rsid w:val="009C09DD"/>
    <w:rsid w:val="009C0A2B"/>
    <w:rsid w:val="009C0A7C"/>
    <w:rsid w:val="009C0C2B"/>
    <w:rsid w:val="009C0C69"/>
    <w:rsid w:val="009C0D44"/>
    <w:rsid w:val="009C0D72"/>
    <w:rsid w:val="009C0E4D"/>
    <w:rsid w:val="009C0E6D"/>
    <w:rsid w:val="009C0E9C"/>
    <w:rsid w:val="009C0F50"/>
    <w:rsid w:val="009C1144"/>
    <w:rsid w:val="009C14EB"/>
    <w:rsid w:val="009C1545"/>
    <w:rsid w:val="009C1548"/>
    <w:rsid w:val="009C1697"/>
    <w:rsid w:val="009C17E7"/>
    <w:rsid w:val="009C18E3"/>
    <w:rsid w:val="009C19AB"/>
    <w:rsid w:val="009C1FE8"/>
    <w:rsid w:val="009C2045"/>
    <w:rsid w:val="009C2490"/>
    <w:rsid w:val="009C24CB"/>
    <w:rsid w:val="009C25A0"/>
    <w:rsid w:val="009C2763"/>
    <w:rsid w:val="009C28C7"/>
    <w:rsid w:val="009C2976"/>
    <w:rsid w:val="009C2C12"/>
    <w:rsid w:val="009C2E27"/>
    <w:rsid w:val="009C2EED"/>
    <w:rsid w:val="009C35BB"/>
    <w:rsid w:val="009C36C9"/>
    <w:rsid w:val="009C3991"/>
    <w:rsid w:val="009C3C65"/>
    <w:rsid w:val="009C3D02"/>
    <w:rsid w:val="009C3E1E"/>
    <w:rsid w:val="009C3E86"/>
    <w:rsid w:val="009C41F5"/>
    <w:rsid w:val="009C444A"/>
    <w:rsid w:val="009C4551"/>
    <w:rsid w:val="009C45E8"/>
    <w:rsid w:val="009C4615"/>
    <w:rsid w:val="009C46BE"/>
    <w:rsid w:val="009C46E0"/>
    <w:rsid w:val="009C474F"/>
    <w:rsid w:val="009C489D"/>
    <w:rsid w:val="009C4A69"/>
    <w:rsid w:val="009C4AF2"/>
    <w:rsid w:val="009C4C18"/>
    <w:rsid w:val="009C4D95"/>
    <w:rsid w:val="009C4DA3"/>
    <w:rsid w:val="009C4FAD"/>
    <w:rsid w:val="009C52B6"/>
    <w:rsid w:val="009C5329"/>
    <w:rsid w:val="009C5342"/>
    <w:rsid w:val="009C539C"/>
    <w:rsid w:val="009C54C0"/>
    <w:rsid w:val="009C551D"/>
    <w:rsid w:val="009C552D"/>
    <w:rsid w:val="009C552E"/>
    <w:rsid w:val="009C5BC2"/>
    <w:rsid w:val="009C5C99"/>
    <w:rsid w:val="009C5F04"/>
    <w:rsid w:val="009C6003"/>
    <w:rsid w:val="009C6088"/>
    <w:rsid w:val="009C6266"/>
    <w:rsid w:val="009C645A"/>
    <w:rsid w:val="009C6496"/>
    <w:rsid w:val="009C6AFA"/>
    <w:rsid w:val="009C6CFE"/>
    <w:rsid w:val="009C6E7D"/>
    <w:rsid w:val="009C7034"/>
    <w:rsid w:val="009C71E0"/>
    <w:rsid w:val="009C7220"/>
    <w:rsid w:val="009C72E5"/>
    <w:rsid w:val="009C7382"/>
    <w:rsid w:val="009C7423"/>
    <w:rsid w:val="009C7584"/>
    <w:rsid w:val="009C7A2E"/>
    <w:rsid w:val="009C7AD4"/>
    <w:rsid w:val="009C7BC0"/>
    <w:rsid w:val="009D01B1"/>
    <w:rsid w:val="009D02AB"/>
    <w:rsid w:val="009D03F1"/>
    <w:rsid w:val="009D0632"/>
    <w:rsid w:val="009D0665"/>
    <w:rsid w:val="009D071F"/>
    <w:rsid w:val="009D0722"/>
    <w:rsid w:val="009D094A"/>
    <w:rsid w:val="009D09C5"/>
    <w:rsid w:val="009D0A0B"/>
    <w:rsid w:val="009D0F47"/>
    <w:rsid w:val="009D13B5"/>
    <w:rsid w:val="009D1816"/>
    <w:rsid w:val="009D1B72"/>
    <w:rsid w:val="009D1C83"/>
    <w:rsid w:val="009D1E6B"/>
    <w:rsid w:val="009D2191"/>
    <w:rsid w:val="009D21B7"/>
    <w:rsid w:val="009D22CD"/>
    <w:rsid w:val="009D249A"/>
    <w:rsid w:val="009D2603"/>
    <w:rsid w:val="009D26AC"/>
    <w:rsid w:val="009D2860"/>
    <w:rsid w:val="009D2A79"/>
    <w:rsid w:val="009D2BAE"/>
    <w:rsid w:val="009D2F03"/>
    <w:rsid w:val="009D317A"/>
    <w:rsid w:val="009D3313"/>
    <w:rsid w:val="009D34DE"/>
    <w:rsid w:val="009D35E9"/>
    <w:rsid w:val="009D39D3"/>
    <w:rsid w:val="009D3D46"/>
    <w:rsid w:val="009D3EE2"/>
    <w:rsid w:val="009D4531"/>
    <w:rsid w:val="009D4746"/>
    <w:rsid w:val="009D48C4"/>
    <w:rsid w:val="009D48C7"/>
    <w:rsid w:val="009D4B0F"/>
    <w:rsid w:val="009D4B85"/>
    <w:rsid w:val="009D4C72"/>
    <w:rsid w:val="009D4EAF"/>
    <w:rsid w:val="009D506A"/>
    <w:rsid w:val="009D52D2"/>
    <w:rsid w:val="009D53F6"/>
    <w:rsid w:val="009D54CA"/>
    <w:rsid w:val="009D565A"/>
    <w:rsid w:val="009D57E4"/>
    <w:rsid w:val="009D5932"/>
    <w:rsid w:val="009D5966"/>
    <w:rsid w:val="009D5A26"/>
    <w:rsid w:val="009D5C3B"/>
    <w:rsid w:val="009D5DC2"/>
    <w:rsid w:val="009D5E81"/>
    <w:rsid w:val="009D6337"/>
    <w:rsid w:val="009D63B2"/>
    <w:rsid w:val="009D6725"/>
    <w:rsid w:val="009D6A07"/>
    <w:rsid w:val="009D6B15"/>
    <w:rsid w:val="009D6C2E"/>
    <w:rsid w:val="009D6CD6"/>
    <w:rsid w:val="009D6D7A"/>
    <w:rsid w:val="009D6ED1"/>
    <w:rsid w:val="009D6EE0"/>
    <w:rsid w:val="009D72E2"/>
    <w:rsid w:val="009D7358"/>
    <w:rsid w:val="009D7611"/>
    <w:rsid w:val="009D7680"/>
    <w:rsid w:val="009D774A"/>
    <w:rsid w:val="009D77DE"/>
    <w:rsid w:val="009D7C17"/>
    <w:rsid w:val="009D7C38"/>
    <w:rsid w:val="009E01AF"/>
    <w:rsid w:val="009E01DD"/>
    <w:rsid w:val="009E02F9"/>
    <w:rsid w:val="009E0789"/>
    <w:rsid w:val="009E092E"/>
    <w:rsid w:val="009E0E0D"/>
    <w:rsid w:val="009E0F4B"/>
    <w:rsid w:val="009E12D6"/>
    <w:rsid w:val="009E134C"/>
    <w:rsid w:val="009E1405"/>
    <w:rsid w:val="009E18D7"/>
    <w:rsid w:val="009E1BB9"/>
    <w:rsid w:val="009E1BFA"/>
    <w:rsid w:val="009E1C1C"/>
    <w:rsid w:val="009E1C3D"/>
    <w:rsid w:val="009E1C88"/>
    <w:rsid w:val="009E1F6A"/>
    <w:rsid w:val="009E200D"/>
    <w:rsid w:val="009E2451"/>
    <w:rsid w:val="009E2803"/>
    <w:rsid w:val="009E2F35"/>
    <w:rsid w:val="009E2FBA"/>
    <w:rsid w:val="009E3399"/>
    <w:rsid w:val="009E35D9"/>
    <w:rsid w:val="009E35FD"/>
    <w:rsid w:val="009E36B5"/>
    <w:rsid w:val="009E3763"/>
    <w:rsid w:val="009E383F"/>
    <w:rsid w:val="009E3969"/>
    <w:rsid w:val="009E3973"/>
    <w:rsid w:val="009E3978"/>
    <w:rsid w:val="009E39D2"/>
    <w:rsid w:val="009E3BF9"/>
    <w:rsid w:val="009E3C5E"/>
    <w:rsid w:val="009E3ED5"/>
    <w:rsid w:val="009E3F60"/>
    <w:rsid w:val="009E4099"/>
    <w:rsid w:val="009E45B0"/>
    <w:rsid w:val="009E45D5"/>
    <w:rsid w:val="009E463F"/>
    <w:rsid w:val="009E4898"/>
    <w:rsid w:val="009E48CE"/>
    <w:rsid w:val="009E4933"/>
    <w:rsid w:val="009E5613"/>
    <w:rsid w:val="009E56BE"/>
    <w:rsid w:val="009E581E"/>
    <w:rsid w:val="009E5C44"/>
    <w:rsid w:val="009E5E76"/>
    <w:rsid w:val="009E6944"/>
    <w:rsid w:val="009E6BE6"/>
    <w:rsid w:val="009E6E24"/>
    <w:rsid w:val="009E708B"/>
    <w:rsid w:val="009E7125"/>
    <w:rsid w:val="009E75A2"/>
    <w:rsid w:val="009E773D"/>
    <w:rsid w:val="009E785C"/>
    <w:rsid w:val="009E7A74"/>
    <w:rsid w:val="009E7B18"/>
    <w:rsid w:val="009E7C0B"/>
    <w:rsid w:val="009F01E8"/>
    <w:rsid w:val="009F0219"/>
    <w:rsid w:val="009F0225"/>
    <w:rsid w:val="009F03F6"/>
    <w:rsid w:val="009F0ABB"/>
    <w:rsid w:val="009F0D24"/>
    <w:rsid w:val="009F0E4C"/>
    <w:rsid w:val="009F10F7"/>
    <w:rsid w:val="009F112C"/>
    <w:rsid w:val="009F1211"/>
    <w:rsid w:val="009F139E"/>
    <w:rsid w:val="009F140A"/>
    <w:rsid w:val="009F15F8"/>
    <w:rsid w:val="009F17B1"/>
    <w:rsid w:val="009F19A4"/>
    <w:rsid w:val="009F1C99"/>
    <w:rsid w:val="009F1F4E"/>
    <w:rsid w:val="009F2183"/>
    <w:rsid w:val="009F2472"/>
    <w:rsid w:val="009F2520"/>
    <w:rsid w:val="009F26DC"/>
    <w:rsid w:val="009F2864"/>
    <w:rsid w:val="009F2973"/>
    <w:rsid w:val="009F2A43"/>
    <w:rsid w:val="009F2C4C"/>
    <w:rsid w:val="009F2CFB"/>
    <w:rsid w:val="009F303C"/>
    <w:rsid w:val="009F3228"/>
    <w:rsid w:val="009F3310"/>
    <w:rsid w:val="009F33B2"/>
    <w:rsid w:val="009F3550"/>
    <w:rsid w:val="009F37E1"/>
    <w:rsid w:val="009F389E"/>
    <w:rsid w:val="009F3928"/>
    <w:rsid w:val="009F3CB7"/>
    <w:rsid w:val="009F3D96"/>
    <w:rsid w:val="009F3E14"/>
    <w:rsid w:val="009F3ECB"/>
    <w:rsid w:val="009F40C5"/>
    <w:rsid w:val="009F44A6"/>
    <w:rsid w:val="009F47D1"/>
    <w:rsid w:val="009F4C98"/>
    <w:rsid w:val="009F4CB0"/>
    <w:rsid w:val="009F4DFC"/>
    <w:rsid w:val="009F4E8B"/>
    <w:rsid w:val="009F4EEB"/>
    <w:rsid w:val="009F52B0"/>
    <w:rsid w:val="009F53C8"/>
    <w:rsid w:val="009F541D"/>
    <w:rsid w:val="009F57DF"/>
    <w:rsid w:val="009F57F0"/>
    <w:rsid w:val="009F5860"/>
    <w:rsid w:val="009F5CF9"/>
    <w:rsid w:val="009F5D24"/>
    <w:rsid w:val="009F6352"/>
    <w:rsid w:val="009F637E"/>
    <w:rsid w:val="009F64F3"/>
    <w:rsid w:val="009F6538"/>
    <w:rsid w:val="009F65F3"/>
    <w:rsid w:val="009F6663"/>
    <w:rsid w:val="009F67CD"/>
    <w:rsid w:val="009F691E"/>
    <w:rsid w:val="009F6DF7"/>
    <w:rsid w:val="009F70EA"/>
    <w:rsid w:val="009F73D3"/>
    <w:rsid w:val="009F776C"/>
    <w:rsid w:val="009F7C3D"/>
    <w:rsid w:val="009F7D40"/>
    <w:rsid w:val="009F7D73"/>
    <w:rsid w:val="009F7F7D"/>
    <w:rsid w:val="00A0007C"/>
    <w:rsid w:val="00A001F7"/>
    <w:rsid w:val="00A002DF"/>
    <w:rsid w:val="00A00309"/>
    <w:rsid w:val="00A00345"/>
    <w:rsid w:val="00A0080F"/>
    <w:rsid w:val="00A00A51"/>
    <w:rsid w:val="00A00B30"/>
    <w:rsid w:val="00A00F4B"/>
    <w:rsid w:val="00A0100F"/>
    <w:rsid w:val="00A01251"/>
    <w:rsid w:val="00A01540"/>
    <w:rsid w:val="00A01583"/>
    <w:rsid w:val="00A016F0"/>
    <w:rsid w:val="00A01C79"/>
    <w:rsid w:val="00A0212F"/>
    <w:rsid w:val="00A021EE"/>
    <w:rsid w:val="00A0232A"/>
    <w:rsid w:val="00A02677"/>
    <w:rsid w:val="00A026BF"/>
    <w:rsid w:val="00A028F8"/>
    <w:rsid w:val="00A02A9A"/>
    <w:rsid w:val="00A02CEB"/>
    <w:rsid w:val="00A02F06"/>
    <w:rsid w:val="00A030A7"/>
    <w:rsid w:val="00A031B8"/>
    <w:rsid w:val="00A03343"/>
    <w:rsid w:val="00A0342A"/>
    <w:rsid w:val="00A03614"/>
    <w:rsid w:val="00A0388A"/>
    <w:rsid w:val="00A0399A"/>
    <w:rsid w:val="00A03C99"/>
    <w:rsid w:val="00A03D49"/>
    <w:rsid w:val="00A0440C"/>
    <w:rsid w:val="00A044B5"/>
    <w:rsid w:val="00A04556"/>
    <w:rsid w:val="00A045E0"/>
    <w:rsid w:val="00A046D4"/>
    <w:rsid w:val="00A04EE0"/>
    <w:rsid w:val="00A0528A"/>
    <w:rsid w:val="00A052D2"/>
    <w:rsid w:val="00A052E6"/>
    <w:rsid w:val="00A05540"/>
    <w:rsid w:val="00A0582B"/>
    <w:rsid w:val="00A059A6"/>
    <w:rsid w:val="00A05A3B"/>
    <w:rsid w:val="00A05A4E"/>
    <w:rsid w:val="00A05D4F"/>
    <w:rsid w:val="00A05E18"/>
    <w:rsid w:val="00A05ECE"/>
    <w:rsid w:val="00A05F1C"/>
    <w:rsid w:val="00A05FED"/>
    <w:rsid w:val="00A065DB"/>
    <w:rsid w:val="00A06833"/>
    <w:rsid w:val="00A069AB"/>
    <w:rsid w:val="00A06BB4"/>
    <w:rsid w:val="00A06C5D"/>
    <w:rsid w:val="00A06DED"/>
    <w:rsid w:val="00A06E48"/>
    <w:rsid w:val="00A06EDF"/>
    <w:rsid w:val="00A07248"/>
    <w:rsid w:val="00A07465"/>
    <w:rsid w:val="00A0753C"/>
    <w:rsid w:val="00A07841"/>
    <w:rsid w:val="00A079DB"/>
    <w:rsid w:val="00A07CBE"/>
    <w:rsid w:val="00A07D34"/>
    <w:rsid w:val="00A07F11"/>
    <w:rsid w:val="00A102FF"/>
    <w:rsid w:val="00A10488"/>
    <w:rsid w:val="00A1071F"/>
    <w:rsid w:val="00A108BF"/>
    <w:rsid w:val="00A1098C"/>
    <w:rsid w:val="00A10A96"/>
    <w:rsid w:val="00A10E0B"/>
    <w:rsid w:val="00A11162"/>
    <w:rsid w:val="00A112D7"/>
    <w:rsid w:val="00A11315"/>
    <w:rsid w:val="00A113C4"/>
    <w:rsid w:val="00A114DC"/>
    <w:rsid w:val="00A11916"/>
    <w:rsid w:val="00A11CA0"/>
    <w:rsid w:val="00A11ED9"/>
    <w:rsid w:val="00A11F99"/>
    <w:rsid w:val="00A1212C"/>
    <w:rsid w:val="00A1227C"/>
    <w:rsid w:val="00A1244E"/>
    <w:rsid w:val="00A124C9"/>
    <w:rsid w:val="00A1252F"/>
    <w:rsid w:val="00A125C8"/>
    <w:rsid w:val="00A12716"/>
    <w:rsid w:val="00A1272D"/>
    <w:rsid w:val="00A12789"/>
    <w:rsid w:val="00A1285E"/>
    <w:rsid w:val="00A12B69"/>
    <w:rsid w:val="00A12BC2"/>
    <w:rsid w:val="00A1319A"/>
    <w:rsid w:val="00A1333F"/>
    <w:rsid w:val="00A133F3"/>
    <w:rsid w:val="00A1343A"/>
    <w:rsid w:val="00A1357B"/>
    <w:rsid w:val="00A137E3"/>
    <w:rsid w:val="00A1406A"/>
    <w:rsid w:val="00A1413F"/>
    <w:rsid w:val="00A14283"/>
    <w:rsid w:val="00A1451E"/>
    <w:rsid w:val="00A1453A"/>
    <w:rsid w:val="00A14551"/>
    <w:rsid w:val="00A14650"/>
    <w:rsid w:val="00A14868"/>
    <w:rsid w:val="00A14C3F"/>
    <w:rsid w:val="00A14DB3"/>
    <w:rsid w:val="00A1505B"/>
    <w:rsid w:val="00A152DB"/>
    <w:rsid w:val="00A152FA"/>
    <w:rsid w:val="00A154CC"/>
    <w:rsid w:val="00A1560C"/>
    <w:rsid w:val="00A15826"/>
    <w:rsid w:val="00A15847"/>
    <w:rsid w:val="00A1588F"/>
    <w:rsid w:val="00A159F1"/>
    <w:rsid w:val="00A15BEB"/>
    <w:rsid w:val="00A15E70"/>
    <w:rsid w:val="00A16108"/>
    <w:rsid w:val="00A163F2"/>
    <w:rsid w:val="00A1672A"/>
    <w:rsid w:val="00A16F6F"/>
    <w:rsid w:val="00A1701E"/>
    <w:rsid w:val="00A17148"/>
    <w:rsid w:val="00A1749C"/>
    <w:rsid w:val="00A174D7"/>
    <w:rsid w:val="00A17518"/>
    <w:rsid w:val="00A175E7"/>
    <w:rsid w:val="00A17998"/>
    <w:rsid w:val="00A17C2A"/>
    <w:rsid w:val="00A206D3"/>
    <w:rsid w:val="00A206F5"/>
    <w:rsid w:val="00A207B7"/>
    <w:rsid w:val="00A20CF9"/>
    <w:rsid w:val="00A20D7F"/>
    <w:rsid w:val="00A20F21"/>
    <w:rsid w:val="00A21195"/>
    <w:rsid w:val="00A2129E"/>
    <w:rsid w:val="00A2144E"/>
    <w:rsid w:val="00A2149A"/>
    <w:rsid w:val="00A21687"/>
    <w:rsid w:val="00A217C9"/>
    <w:rsid w:val="00A217DD"/>
    <w:rsid w:val="00A218BC"/>
    <w:rsid w:val="00A21AA7"/>
    <w:rsid w:val="00A21BC0"/>
    <w:rsid w:val="00A21E0F"/>
    <w:rsid w:val="00A21F11"/>
    <w:rsid w:val="00A21F8C"/>
    <w:rsid w:val="00A220AF"/>
    <w:rsid w:val="00A2229C"/>
    <w:rsid w:val="00A22574"/>
    <w:rsid w:val="00A22682"/>
    <w:rsid w:val="00A22F44"/>
    <w:rsid w:val="00A231E0"/>
    <w:rsid w:val="00A23296"/>
    <w:rsid w:val="00A233F3"/>
    <w:rsid w:val="00A23402"/>
    <w:rsid w:val="00A235BB"/>
    <w:rsid w:val="00A23767"/>
    <w:rsid w:val="00A23852"/>
    <w:rsid w:val="00A2390D"/>
    <w:rsid w:val="00A23B6E"/>
    <w:rsid w:val="00A23BA0"/>
    <w:rsid w:val="00A23BD3"/>
    <w:rsid w:val="00A23D1B"/>
    <w:rsid w:val="00A23E06"/>
    <w:rsid w:val="00A2412F"/>
    <w:rsid w:val="00A24210"/>
    <w:rsid w:val="00A2448F"/>
    <w:rsid w:val="00A2456B"/>
    <w:rsid w:val="00A24749"/>
    <w:rsid w:val="00A247F4"/>
    <w:rsid w:val="00A24869"/>
    <w:rsid w:val="00A24A51"/>
    <w:rsid w:val="00A24CB8"/>
    <w:rsid w:val="00A24F14"/>
    <w:rsid w:val="00A24FFC"/>
    <w:rsid w:val="00A2502D"/>
    <w:rsid w:val="00A252F0"/>
    <w:rsid w:val="00A25401"/>
    <w:rsid w:val="00A25609"/>
    <w:rsid w:val="00A2560A"/>
    <w:rsid w:val="00A2598F"/>
    <w:rsid w:val="00A25C06"/>
    <w:rsid w:val="00A25C1E"/>
    <w:rsid w:val="00A25DA6"/>
    <w:rsid w:val="00A25DF2"/>
    <w:rsid w:val="00A25E58"/>
    <w:rsid w:val="00A2640E"/>
    <w:rsid w:val="00A26834"/>
    <w:rsid w:val="00A26AB3"/>
    <w:rsid w:val="00A26C4E"/>
    <w:rsid w:val="00A26E3C"/>
    <w:rsid w:val="00A2758E"/>
    <w:rsid w:val="00A275E3"/>
    <w:rsid w:val="00A277C1"/>
    <w:rsid w:val="00A2781F"/>
    <w:rsid w:val="00A27890"/>
    <w:rsid w:val="00A27BF0"/>
    <w:rsid w:val="00A27CC0"/>
    <w:rsid w:val="00A27D2C"/>
    <w:rsid w:val="00A27E3B"/>
    <w:rsid w:val="00A27F54"/>
    <w:rsid w:val="00A27F75"/>
    <w:rsid w:val="00A30107"/>
    <w:rsid w:val="00A30189"/>
    <w:rsid w:val="00A30312"/>
    <w:rsid w:val="00A30333"/>
    <w:rsid w:val="00A3061C"/>
    <w:rsid w:val="00A3064E"/>
    <w:rsid w:val="00A30693"/>
    <w:rsid w:val="00A308D0"/>
    <w:rsid w:val="00A30904"/>
    <w:rsid w:val="00A3099F"/>
    <w:rsid w:val="00A30B23"/>
    <w:rsid w:val="00A30B2B"/>
    <w:rsid w:val="00A30BB8"/>
    <w:rsid w:val="00A30C04"/>
    <w:rsid w:val="00A30C3F"/>
    <w:rsid w:val="00A30CAB"/>
    <w:rsid w:val="00A30E82"/>
    <w:rsid w:val="00A3108C"/>
    <w:rsid w:val="00A31243"/>
    <w:rsid w:val="00A3152E"/>
    <w:rsid w:val="00A31584"/>
    <w:rsid w:val="00A31660"/>
    <w:rsid w:val="00A316D1"/>
    <w:rsid w:val="00A3171F"/>
    <w:rsid w:val="00A31ABF"/>
    <w:rsid w:val="00A31F5C"/>
    <w:rsid w:val="00A3217A"/>
    <w:rsid w:val="00A3233A"/>
    <w:rsid w:val="00A323ED"/>
    <w:rsid w:val="00A326A4"/>
    <w:rsid w:val="00A32A30"/>
    <w:rsid w:val="00A32BDD"/>
    <w:rsid w:val="00A32E3D"/>
    <w:rsid w:val="00A33126"/>
    <w:rsid w:val="00A33154"/>
    <w:rsid w:val="00A3330E"/>
    <w:rsid w:val="00A3342F"/>
    <w:rsid w:val="00A33534"/>
    <w:rsid w:val="00A33669"/>
    <w:rsid w:val="00A337C8"/>
    <w:rsid w:val="00A338C8"/>
    <w:rsid w:val="00A33B79"/>
    <w:rsid w:val="00A33B82"/>
    <w:rsid w:val="00A33E2F"/>
    <w:rsid w:val="00A34185"/>
    <w:rsid w:val="00A34218"/>
    <w:rsid w:val="00A34678"/>
    <w:rsid w:val="00A34AC4"/>
    <w:rsid w:val="00A350E2"/>
    <w:rsid w:val="00A351CA"/>
    <w:rsid w:val="00A353B5"/>
    <w:rsid w:val="00A354A1"/>
    <w:rsid w:val="00A3593D"/>
    <w:rsid w:val="00A35CE9"/>
    <w:rsid w:val="00A36018"/>
    <w:rsid w:val="00A36039"/>
    <w:rsid w:val="00A3603C"/>
    <w:rsid w:val="00A363C8"/>
    <w:rsid w:val="00A36484"/>
    <w:rsid w:val="00A365E8"/>
    <w:rsid w:val="00A3661A"/>
    <w:rsid w:val="00A3668A"/>
    <w:rsid w:val="00A36843"/>
    <w:rsid w:val="00A369D6"/>
    <w:rsid w:val="00A36AAB"/>
    <w:rsid w:val="00A36B92"/>
    <w:rsid w:val="00A36EE8"/>
    <w:rsid w:val="00A36FD7"/>
    <w:rsid w:val="00A37071"/>
    <w:rsid w:val="00A37285"/>
    <w:rsid w:val="00A37358"/>
    <w:rsid w:val="00A37361"/>
    <w:rsid w:val="00A376A5"/>
    <w:rsid w:val="00A37B27"/>
    <w:rsid w:val="00A37BBD"/>
    <w:rsid w:val="00A37E32"/>
    <w:rsid w:val="00A37F0F"/>
    <w:rsid w:val="00A37F64"/>
    <w:rsid w:val="00A4001B"/>
    <w:rsid w:val="00A4011A"/>
    <w:rsid w:val="00A40164"/>
    <w:rsid w:val="00A40261"/>
    <w:rsid w:val="00A40615"/>
    <w:rsid w:val="00A4080E"/>
    <w:rsid w:val="00A40884"/>
    <w:rsid w:val="00A409C7"/>
    <w:rsid w:val="00A40B28"/>
    <w:rsid w:val="00A40EF2"/>
    <w:rsid w:val="00A40F9B"/>
    <w:rsid w:val="00A40FC1"/>
    <w:rsid w:val="00A41140"/>
    <w:rsid w:val="00A411F1"/>
    <w:rsid w:val="00A41338"/>
    <w:rsid w:val="00A413D4"/>
    <w:rsid w:val="00A41419"/>
    <w:rsid w:val="00A4161D"/>
    <w:rsid w:val="00A41659"/>
    <w:rsid w:val="00A41807"/>
    <w:rsid w:val="00A418C2"/>
    <w:rsid w:val="00A419C9"/>
    <w:rsid w:val="00A41A0F"/>
    <w:rsid w:val="00A41A60"/>
    <w:rsid w:val="00A41B09"/>
    <w:rsid w:val="00A41C59"/>
    <w:rsid w:val="00A41D40"/>
    <w:rsid w:val="00A4206A"/>
    <w:rsid w:val="00A4206C"/>
    <w:rsid w:val="00A423B3"/>
    <w:rsid w:val="00A423E1"/>
    <w:rsid w:val="00A42405"/>
    <w:rsid w:val="00A42515"/>
    <w:rsid w:val="00A426E6"/>
    <w:rsid w:val="00A426FD"/>
    <w:rsid w:val="00A42970"/>
    <w:rsid w:val="00A42BBC"/>
    <w:rsid w:val="00A42DFF"/>
    <w:rsid w:val="00A42E06"/>
    <w:rsid w:val="00A42E5F"/>
    <w:rsid w:val="00A42F69"/>
    <w:rsid w:val="00A42FF5"/>
    <w:rsid w:val="00A430BF"/>
    <w:rsid w:val="00A431B2"/>
    <w:rsid w:val="00A43641"/>
    <w:rsid w:val="00A43647"/>
    <w:rsid w:val="00A43727"/>
    <w:rsid w:val="00A4388D"/>
    <w:rsid w:val="00A43B6D"/>
    <w:rsid w:val="00A43C0D"/>
    <w:rsid w:val="00A43CA5"/>
    <w:rsid w:val="00A43CC8"/>
    <w:rsid w:val="00A43F01"/>
    <w:rsid w:val="00A44049"/>
    <w:rsid w:val="00A442A6"/>
    <w:rsid w:val="00A443BE"/>
    <w:rsid w:val="00A445CB"/>
    <w:rsid w:val="00A44645"/>
    <w:rsid w:val="00A447F1"/>
    <w:rsid w:val="00A44893"/>
    <w:rsid w:val="00A449A0"/>
    <w:rsid w:val="00A44C16"/>
    <w:rsid w:val="00A44DFA"/>
    <w:rsid w:val="00A4513C"/>
    <w:rsid w:val="00A4523B"/>
    <w:rsid w:val="00A455B3"/>
    <w:rsid w:val="00A455EC"/>
    <w:rsid w:val="00A45637"/>
    <w:rsid w:val="00A45A05"/>
    <w:rsid w:val="00A45A2C"/>
    <w:rsid w:val="00A45ACA"/>
    <w:rsid w:val="00A45B77"/>
    <w:rsid w:val="00A45FC1"/>
    <w:rsid w:val="00A46155"/>
    <w:rsid w:val="00A4622C"/>
    <w:rsid w:val="00A4634C"/>
    <w:rsid w:val="00A46584"/>
    <w:rsid w:val="00A46701"/>
    <w:rsid w:val="00A4676E"/>
    <w:rsid w:val="00A46A23"/>
    <w:rsid w:val="00A46B6F"/>
    <w:rsid w:val="00A46D03"/>
    <w:rsid w:val="00A46E7B"/>
    <w:rsid w:val="00A4708B"/>
    <w:rsid w:val="00A4734B"/>
    <w:rsid w:val="00A47390"/>
    <w:rsid w:val="00A474E8"/>
    <w:rsid w:val="00A47875"/>
    <w:rsid w:val="00A47A17"/>
    <w:rsid w:val="00A47B38"/>
    <w:rsid w:val="00A47C14"/>
    <w:rsid w:val="00A500AA"/>
    <w:rsid w:val="00A5054B"/>
    <w:rsid w:val="00A5057A"/>
    <w:rsid w:val="00A506C1"/>
    <w:rsid w:val="00A50E76"/>
    <w:rsid w:val="00A5100E"/>
    <w:rsid w:val="00A51233"/>
    <w:rsid w:val="00A516BF"/>
    <w:rsid w:val="00A516C2"/>
    <w:rsid w:val="00A51825"/>
    <w:rsid w:val="00A5194E"/>
    <w:rsid w:val="00A51D3A"/>
    <w:rsid w:val="00A51F34"/>
    <w:rsid w:val="00A52221"/>
    <w:rsid w:val="00A5238B"/>
    <w:rsid w:val="00A524B6"/>
    <w:rsid w:val="00A5286B"/>
    <w:rsid w:val="00A528FB"/>
    <w:rsid w:val="00A52987"/>
    <w:rsid w:val="00A5299A"/>
    <w:rsid w:val="00A5317B"/>
    <w:rsid w:val="00A53D70"/>
    <w:rsid w:val="00A5401C"/>
    <w:rsid w:val="00A540BA"/>
    <w:rsid w:val="00A545D4"/>
    <w:rsid w:val="00A54909"/>
    <w:rsid w:val="00A54F3F"/>
    <w:rsid w:val="00A54F61"/>
    <w:rsid w:val="00A55186"/>
    <w:rsid w:val="00A551EB"/>
    <w:rsid w:val="00A557CC"/>
    <w:rsid w:val="00A557D9"/>
    <w:rsid w:val="00A55816"/>
    <w:rsid w:val="00A55949"/>
    <w:rsid w:val="00A55CC3"/>
    <w:rsid w:val="00A5617F"/>
    <w:rsid w:val="00A56570"/>
    <w:rsid w:val="00A5677C"/>
    <w:rsid w:val="00A5678A"/>
    <w:rsid w:val="00A567D9"/>
    <w:rsid w:val="00A568A8"/>
    <w:rsid w:val="00A5698A"/>
    <w:rsid w:val="00A56B24"/>
    <w:rsid w:val="00A56B3C"/>
    <w:rsid w:val="00A56B41"/>
    <w:rsid w:val="00A56D5F"/>
    <w:rsid w:val="00A56DC1"/>
    <w:rsid w:val="00A56E1A"/>
    <w:rsid w:val="00A56E65"/>
    <w:rsid w:val="00A57035"/>
    <w:rsid w:val="00A577B6"/>
    <w:rsid w:val="00A579B3"/>
    <w:rsid w:val="00A57D20"/>
    <w:rsid w:val="00A57D91"/>
    <w:rsid w:val="00A57ED6"/>
    <w:rsid w:val="00A6035D"/>
    <w:rsid w:val="00A603F3"/>
    <w:rsid w:val="00A6042F"/>
    <w:rsid w:val="00A6057B"/>
    <w:rsid w:val="00A605C6"/>
    <w:rsid w:val="00A60713"/>
    <w:rsid w:val="00A6088C"/>
    <w:rsid w:val="00A60BD8"/>
    <w:rsid w:val="00A60C16"/>
    <w:rsid w:val="00A60C1E"/>
    <w:rsid w:val="00A610AE"/>
    <w:rsid w:val="00A6113E"/>
    <w:rsid w:val="00A61248"/>
    <w:rsid w:val="00A61A1A"/>
    <w:rsid w:val="00A61A46"/>
    <w:rsid w:val="00A61DF2"/>
    <w:rsid w:val="00A62008"/>
    <w:rsid w:val="00A62163"/>
    <w:rsid w:val="00A62390"/>
    <w:rsid w:val="00A6251C"/>
    <w:rsid w:val="00A627AA"/>
    <w:rsid w:val="00A62966"/>
    <w:rsid w:val="00A629C5"/>
    <w:rsid w:val="00A62A9D"/>
    <w:rsid w:val="00A62D20"/>
    <w:rsid w:val="00A62D35"/>
    <w:rsid w:val="00A63208"/>
    <w:rsid w:val="00A6332B"/>
    <w:rsid w:val="00A63582"/>
    <w:rsid w:val="00A63A04"/>
    <w:rsid w:val="00A63A1B"/>
    <w:rsid w:val="00A63AAB"/>
    <w:rsid w:val="00A63D57"/>
    <w:rsid w:val="00A63DE6"/>
    <w:rsid w:val="00A63F8B"/>
    <w:rsid w:val="00A641A2"/>
    <w:rsid w:val="00A6435F"/>
    <w:rsid w:val="00A64407"/>
    <w:rsid w:val="00A644D9"/>
    <w:rsid w:val="00A64B5D"/>
    <w:rsid w:val="00A64D9D"/>
    <w:rsid w:val="00A64E26"/>
    <w:rsid w:val="00A65793"/>
    <w:rsid w:val="00A659BE"/>
    <w:rsid w:val="00A65B04"/>
    <w:rsid w:val="00A65B77"/>
    <w:rsid w:val="00A65B96"/>
    <w:rsid w:val="00A65CCA"/>
    <w:rsid w:val="00A65DDA"/>
    <w:rsid w:val="00A6606B"/>
    <w:rsid w:val="00A66892"/>
    <w:rsid w:val="00A66BB2"/>
    <w:rsid w:val="00A66FF4"/>
    <w:rsid w:val="00A670E8"/>
    <w:rsid w:val="00A67296"/>
    <w:rsid w:val="00A672D3"/>
    <w:rsid w:val="00A676BD"/>
    <w:rsid w:val="00A678AE"/>
    <w:rsid w:val="00A67906"/>
    <w:rsid w:val="00A67E9D"/>
    <w:rsid w:val="00A70296"/>
    <w:rsid w:val="00A702DD"/>
    <w:rsid w:val="00A70542"/>
    <w:rsid w:val="00A705BB"/>
    <w:rsid w:val="00A70663"/>
    <w:rsid w:val="00A706D3"/>
    <w:rsid w:val="00A70998"/>
    <w:rsid w:val="00A70B90"/>
    <w:rsid w:val="00A70D6E"/>
    <w:rsid w:val="00A70D94"/>
    <w:rsid w:val="00A71081"/>
    <w:rsid w:val="00A713DE"/>
    <w:rsid w:val="00A717E8"/>
    <w:rsid w:val="00A71B73"/>
    <w:rsid w:val="00A71C1A"/>
    <w:rsid w:val="00A72191"/>
    <w:rsid w:val="00A721D6"/>
    <w:rsid w:val="00A72289"/>
    <w:rsid w:val="00A72380"/>
    <w:rsid w:val="00A7251D"/>
    <w:rsid w:val="00A726E4"/>
    <w:rsid w:val="00A7277D"/>
    <w:rsid w:val="00A729A6"/>
    <w:rsid w:val="00A72BA0"/>
    <w:rsid w:val="00A72BE9"/>
    <w:rsid w:val="00A72F49"/>
    <w:rsid w:val="00A7317E"/>
    <w:rsid w:val="00A732DD"/>
    <w:rsid w:val="00A73431"/>
    <w:rsid w:val="00A73452"/>
    <w:rsid w:val="00A734FD"/>
    <w:rsid w:val="00A739AD"/>
    <w:rsid w:val="00A73E68"/>
    <w:rsid w:val="00A7403F"/>
    <w:rsid w:val="00A74266"/>
    <w:rsid w:val="00A74276"/>
    <w:rsid w:val="00A7439D"/>
    <w:rsid w:val="00A74502"/>
    <w:rsid w:val="00A7453A"/>
    <w:rsid w:val="00A7476E"/>
    <w:rsid w:val="00A74891"/>
    <w:rsid w:val="00A7495C"/>
    <w:rsid w:val="00A7496C"/>
    <w:rsid w:val="00A74D88"/>
    <w:rsid w:val="00A751B0"/>
    <w:rsid w:val="00A752F6"/>
    <w:rsid w:val="00A75387"/>
    <w:rsid w:val="00A7541D"/>
    <w:rsid w:val="00A75704"/>
    <w:rsid w:val="00A75819"/>
    <w:rsid w:val="00A7585E"/>
    <w:rsid w:val="00A758B9"/>
    <w:rsid w:val="00A75A52"/>
    <w:rsid w:val="00A75A76"/>
    <w:rsid w:val="00A75E21"/>
    <w:rsid w:val="00A75E7A"/>
    <w:rsid w:val="00A75EC5"/>
    <w:rsid w:val="00A766E3"/>
    <w:rsid w:val="00A768A6"/>
    <w:rsid w:val="00A76DB0"/>
    <w:rsid w:val="00A76EE6"/>
    <w:rsid w:val="00A76F80"/>
    <w:rsid w:val="00A7703C"/>
    <w:rsid w:val="00A77068"/>
    <w:rsid w:val="00A77072"/>
    <w:rsid w:val="00A770AB"/>
    <w:rsid w:val="00A770EF"/>
    <w:rsid w:val="00A7712A"/>
    <w:rsid w:val="00A77427"/>
    <w:rsid w:val="00A774FB"/>
    <w:rsid w:val="00A776A9"/>
    <w:rsid w:val="00A7776E"/>
    <w:rsid w:val="00A777F1"/>
    <w:rsid w:val="00A778C0"/>
    <w:rsid w:val="00A7790C"/>
    <w:rsid w:val="00A77946"/>
    <w:rsid w:val="00A77ABC"/>
    <w:rsid w:val="00A8008C"/>
    <w:rsid w:val="00A80110"/>
    <w:rsid w:val="00A801E5"/>
    <w:rsid w:val="00A80267"/>
    <w:rsid w:val="00A80268"/>
    <w:rsid w:val="00A8030D"/>
    <w:rsid w:val="00A805B4"/>
    <w:rsid w:val="00A8076A"/>
    <w:rsid w:val="00A8082F"/>
    <w:rsid w:val="00A8089A"/>
    <w:rsid w:val="00A808D2"/>
    <w:rsid w:val="00A80952"/>
    <w:rsid w:val="00A8098D"/>
    <w:rsid w:val="00A80AAD"/>
    <w:rsid w:val="00A80AE8"/>
    <w:rsid w:val="00A80C6D"/>
    <w:rsid w:val="00A8105C"/>
    <w:rsid w:val="00A81219"/>
    <w:rsid w:val="00A814D0"/>
    <w:rsid w:val="00A81664"/>
    <w:rsid w:val="00A818DB"/>
    <w:rsid w:val="00A81BF8"/>
    <w:rsid w:val="00A81CD2"/>
    <w:rsid w:val="00A81EEA"/>
    <w:rsid w:val="00A822D6"/>
    <w:rsid w:val="00A82499"/>
    <w:rsid w:val="00A824EA"/>
    <w:rsid w:val="00A825BD"/>
    <w:rsid w:val="00A826C9"/>
    <w:rsid w:val="00A82824"/>
    <w:rsid w:val="00A8291D"/>
    <w:rsid w:val="00A82A36"/>
    <w:rsid w:val="00A82B63"/>
    <w:rsid w:val="00A82BA1"/>
    <w:rsid w:val="00A82C0A"/>
    <w:rsid w:val="00A82E0A"/>
    <w:rsid w:val="00A82F77"/>
    <w:rsid w:val="00A8329C"/>
    <w:rsid w:val="00A83688"/>
    <w:rsid w:val="00A842D6"/>
    <w:rsid w:val="00A843FC"/>
    <w:rsid w:val="00A8444A"/>
    <w:rsid w:val="00A84629"/>
    <w:rsid w:val="00A8495E"/>
    <w:rsid w:val="00A84A59"/>
    <w:rsid w:val="00A84A66"/>
    <w:rsid w:val="00A84BD0"/>
    <w:rsid w:val="00A84C95"/>
    <w:rsid w:val="00A84EEB"/>
    <w:rsid w:val="00A85043"/>
    <w:rsid w:val="00A857B5"/>
    <w:rsid w:val="00A8598A"/>
    <w:rsid w:val="00A85A06"/>
    <w:rsid w:val="00A85D37"/>
    <w:rsid w:val="00A860DB"/>
    <w:rsid w:val="00A8622D"/>
    <w:rsid w:val="00A86267"/>
    <w:rsid w:val="00A86282"/>
    <w:rsid w:val="00A863E2"/>
    <w:rsid w:val="00A8655C"/>
    <w:rsid w:val="00A865DA"/>
    <w:rsid w:val="00A8663B"/>
    <w:rsid w:val="00A866B4"/>
    <w:rsid w:val="00A866BD"/>
    <w:rsid w:val="00A86BF6"/>
    <w:rsid w:val="00A86D85"/>
    <w:rsid w:val="00A86E97"/>
    <w:rsid w:val="00A8731B"/>
    <w:rsid w:val="00A873FA"/>
    <w:rsid w:val="00A8765E"/>
    <w:rsid w:val="00A87803"/>
    <w:rsid w:val="00A87943"/>
    <w:rsid w:val="00A87956"/>
    <w:rsid w:val="00A87962"/>
    <w:rsid w:val="00A879A2"/>
    <w:rsid w:val="00A87A33"/>
    <w:rsid w:val="00A87A5B"/>
    <w:rsid w:val="00A87AF3"/>
    <w:rsid w:val="00A87B16"/>
    <w:rsid w:val="00A87B17"/>
    <w:rsid w:val="00A87E16"/>
    <w:rsid w:val="00A90071"/>
    <w:rsid w:val="00A906AB"/>
    <w:rsid w:val="00A906D3"/>
    <w:rsid w:val="00A907FA"/>
    <w:rsid w:val="00A90969"/>
    <w:rsid w:val="00A909D2"/>
    <w:rsid w:val="00A90A98"/>
    <w:rsid w:val="00A90B91"/>
    <w:rsid w:val="00A90E90"/>
    <w:rsid w:val="00A90EF1"/>
    <w:rsid w:val="00A91181"/>
    <w:rsid w:val="00A91241"/>
    <w:rsid w:val="00A91297"/>
    <w:rsid w:val="00A915E4"/>
    <w:rsid w:val="00A915FA"/>
    <w:rsid w:val="00A9160C"/>
    <w:rsid w:val="00A92022"/>
    <w:rsid w:val="00A92360"/>
    <w:rsid w:val="00A924E1"/>
    <w:rsid w:val="00A925A9"/>
    <w:rsid w:val="00A928E6"/>
    <w:rsid w:val="00A92967"/>
    <w:rsid w:val="00A9298C"/>
    <w:rsid w:val="00A92A2C"/>
    <w:rsid w:val="00A92B78"/>
    <w:rsid w:val="00A92D8F"/>
    <w:rsid w:val="00A92F94"/>
    <w:rsid w:val="00A92FA2"/>
    <w:rsid w:val="00A93071"/>
    <w:rsid w:val="00A93082"/>
    <w:rsid w:val="00A932B1"/>
    <w:rsid w:val="00A933CE"/>
    <w:rsid w:val="00A93510"/>
    <w:rsid w:val="00A93651"/>
    <w:rsid w:val="00A9369C"/>
    <w:rsid w:val="00A936A2"/>
    <w:rsid w:val="00A936AD"/>
    <w:rsid w:val="00A9380F"/>
    <w:rsid w:val="00A93B5D"/>
    <w:rsid w:val="00A93B80"/>
    <w:rsid w:val="00A93C1B"/>
    <w:rsid w:val="00A93CC1"/>
    <w:rsid w:val="00A943BE"/>
    <w:rsid w:val="00A94522"/>
    <w:rsid w:val="00A946F1"/>
    <w:rsid w:val="00A949E0"/>
    <w:rsid w:val="00A94AEF"/>
    <w:rsid w:val="00A94E84"/>
    <w:rsid w:val="00A94F9B"/>
    <w:rsid w:val="00A94F9C"/>
    <w:rsid w:val="00A94FEF"/>
    <w:rsid w:val="00A9506B"/>
    <w:rsid w:val="00A95082"/>
    <w:rsid w:val="00A952F0"/>
    <w:rsid w:val="00A953C6"/>
    <w:rsid w:val="00A953D3"/>
    <w:rsid w:val="00A9569C"/>
    <w:rsid w:val="00A95840"/>
    <w:rsid w:val="00A9592C"/>
    <w:rsid w:val="00A95A92"/>
    <w:rsid w:val="00A95CE7"/>
    <w:rsid w:val="00A96306"/>
    <w:rsid w:val="00A96421"/>
    <w:rsid w:val="00A96731"/>
    <w:rsid w:val="00A9688A"/>
    <w:rsid w:val="00A96FE2"/>
    <w:rsid w:val="00A972C8"/>
    <w:rsid w:val="00A972CF"/>
    <w:rsid w:val="00A974A5"/>
    <w:rsid w:val="00A97539"/>
    <w:rsid w:val="00A975A1"/>
    <w:rsid w:val="00A9775B"/>
    <w:rsid w:val="00A97AA8"/>
    <w:rsid w:val="00A97ED4"/>
    <w:rsid w:val="00A97FDA"/>
    <w:rsid w:val="00AA0071"/>
    <w:rsid w:val="00AA00D6"/>
    <w:rsid w:val="00AA0153"/>
    <w:rsid w:val="00AA052C"/>
    <w:rsid w:val="00AA0837"/>
    <w:rsid w:val="00AA0A79"/>
    <w:rsid w:val="00AA1191"/>
    <w:rsid w:val="00AA1230"/>
    <w:rsid w:val="00AA125D"/>
    <w:rsid w:val="00AA12CB"/>
    <w:rsid w:val="00AA162E"/>
    <w:rsid w:val="00AA18C2"/>
    <w:rsid w:val="00AA1F1C"/>
    <w:rsid w:val="00AA212E"/>
    <w:rsid w:val="00AA217D"/>
    <w:rsid w:val="00AA23AC"/>
    <w:rsid w:val="00AA23F8"/>
    <w:rsid w:val="00AA261B"/>
    <w:rsid w:val="00AA2997"/>
    <w:rsid w:val="00AA2AB9"/>
    <w:rsid w:val="00AA2E16"/>
    <w:rsid w:val="00AA3037"/>
    <w:rsid w:val="00AA30DB"/>
    <w:rsid w:val="00AA33CD"/>
    <w:rsid w:val="00AA33D2"/>
    <w:rsid w:val="00AA34D4"/>
    <w:rsid w:val="00AA34F4"/>
    <w:rsid w:val="00AA3973"/>
    <w:rsid w:val="00AA3D10"/>
    <w:rsid w:val="00AA3EFF"/>
    <w:rsid w:val="00AA3FE9"/>
    <w:rsid w:val="00AA40B7"/>
    <w:rsid w:val="00AA40D4"/>
    <w:rsid w:val="00AA42A9"/>
    <w:rsid w:val="00AA4726"/>
    <w:rsid w:val="00AA4892"/>
    <w:rsid w:val="00AA4A1C"/>
    <w:rsid w:val="00AA4A61"/>
    <w:rsid w:val="00AA4A6B"/>
    <w:rsid w:val="00AA4BC2"/>
    <w:rsid w:val="00AA4E60"/>
    <w:rsid w:val="00AA5218"/>
    <w:rsid w:val="00AA5309"/>
    <w:rsid w:val="00AA5401"/>
    <w:rsid w:val="00AA5416"/>
    <w:rsid w:val="00AA543D"/>
    <w:rsid w:val="00AA5598"/>
    <w:rsid w:val="00AA55A1"/>
    <w:rsid w:val="00AA5A48"/>
    <w:rsid w:val="00AA5C8B"/>
    <w:rsid w:val="00AA5CED"/>
    <w:rsid w:val="00AA5FD3"/>
    <w:rsid w:val="00AA5FD7"/>
    <w:rsid w:val="00AA6072"/>
    <w:rsid w:val="00AA61C8"/>
    <w:rsid w:val="00AA6228"/>
    <w:rsid w:val="00AA6557"/>
    <w:rsid w:val="00AA65F8"/>
    <w:rsid w:val="00AA6644"/>
    <w:rsid w:val="00AA669F"/>
    <w:rsid w:val="00AA66FC"/>
    <w:rsid w:val="00AA6881"/>
    <w:rsid w:val="00AA6C3A"/>
    <w:rsid w:val="00AA6DBD"/>
    <w:rsid w:val="00AA6E63"/>
    <w:rsid w:val="00AA6F62"/>
    <w:rsid w:val="00AA7059"/>
    <w:rsid w:val="00AA7488"/>
    <w:rsid w:val="00AA78A3"/>
    <w:rsid w:val="00AA78E3"/>
    <w:rsid w:val="00AA7AD5"/>
    <w:rsid w:val="00AA7CBA"/>
    <w:rsid w:val="00AA7CCC"/>
    <w:rsid w:val="00AA7DBB"/>
    <w:rsid w:val="00AA7F0D"/>
    <w:rsid w:val="00AA7FC5"/>
    <w:rsid w:val="00AB05AA"/>
    <w:rsid w:val="00AB0669"/>
    <w:rsid w:val="00AB078B"/>
    <w:rsid w:val="00AB08EA"/>
    <w:rsid w:val="00AB08ED"/>
    <w:rsid w:val="00AB0D22"/>
    <w:rsid w:val="00AB113F"/>
    <w:rsid w:val="00AB1664"/>
    <w:rsid w:val="00AB1CD6"/>
    <w:rsid w:val="00AB2055"/>
    <w:rsid w:val="00AB2103"/>
    <w:rsid w:val="00AB2585"/>
    <w:rsid w:val="00AB26C6"/>
    <w:rsid w:val="00AB2817"/>
    <w:rsid w:val="00AB28AB"/>
    <w:rsid w:val="00AB2952"/>
    <w:rsid w:val="00AB2B2B"/>
    <w:rsid w:val="00AB2E12"/>
    <w:rsid w:val="00AB2F1F"/>
    <w:rsid w:val="00AB2FA5"/>
    <w:rsid w:val="00AB313F"/>
    <w:rsid w:val="00AB335A"/>
    <w:rsid w:val="00AB3367"/>
    <w:rsid w:val="00AB342F"/>
    <w:rsid w:val="00AB372F"/>
    <w:rsid w:val="00AB3893"/>
    <w:rsid w:val="00AB3991"/>
    <w:rsid w:val="00AB39D5"/>
    <w:rsid w:val="00AB3A5A"/>
    <w:rsid w:val="00AB3CDE"/>
    <w:rsid w:val="00AB3D33"/>
    <w:rsid w:val="00AB40BE"/>
    <w:rsid w:val="00AB411B"/>
    <w:rsid w:val="00AB42B2"/>
    <w:rsid w:val="00AB433A"/>
    <w:rsid w:val="00AB4547"/>
    <w:rsid w:val="00AB4B78"/>
    <w:rsid w:val="00AB4C31"/>
    <w:rsid w:val="00AB4CBD"/>
    <w:rsid w:val="00AB4D54"/>
    <w:rsid w:val="00AB537C"/>
    <w:rsid w:val="00AB5482"/>
    <w:rsid w:val="00AB56A3"/>
    <w:rsid w:val="00AB5B4F"/>
    <w:rsid w:val="00AB5BE8"/>
    <w:rsid w:val="00AB5CE4"/>
    <w:rsid w:val="00AB5D62"/>
    <w:rsid w:val="00AB5DB4"/>
    <w:rsid w:val="00AB6170"/>
    <w:rsid w:val="00AB6228"/>
    <w:rsid w:val="00AB63A6"/>
    <w:rsid w:val="00AB65EC"/>
    <w:rsid w:val="00AB6ACF"/>
    <w:rsid w:val="00AB6B5F"/>
    <w:rsid w:val="00AB6C9D"/>
    <w:rsid w:val="00AB6E10"/>
    <w:rsid w:val="00AB6E23"/>
    <w:rsid w:val="00AB6EC4"/>
    <w:rsid w:val="00AB6FBF"/>
    <w:rsid w:val="00AB7014"/>
    <w:rsid w:val="00AB79D6"/>
    <w:rsid w:val="00AB79FE"/>
    <w:rsid w:val="00AB7C4C"/>
    <w:rsid w:val="00AB7D78"/>
    <w:rsid w:val="00AB7FDB"/>
    <w:rsid w:val="00AB7FE6"/>
    <w:rsid w:val="00AC0047"/>
    <w:rsid w:val="00AC0379"/>
    <w:rsid w:val="00AC0425"/>
    <w:rsid w:val="00AC0488"/>
    <w:rsid w:val="00AC0621"/>
    <w:rsid w:val="00AC088B"/>
    <w:rsid w:val="00AC096C"/>
    <w:rsid w:val="00AC0BE5"/>
    <w:rsid w:val="00AC0CD4"/>
    <w:rsid w:val="00AC1053"/>
    <w:rsid w:val="00AC150B"/>
    <w:rsid w:val="00AC17A5"/>
    <w:rsid w:val="00AC20AD"/>
    <w:rsid w:val="00AC2178"/>
    <w:rsid w:val="00AC21BD"/>
    <w:rsid w:val="00AC2351"/>
    <w:rsid w:val="00AC245A"/>
    <w:rsid w:val="00AC267D"/>
    <w:rsid w:val="00AC26DC"/>
    <w:rsid w:val="00AC285F"/>
    <w:rsid w:val="00AC29F5"/>
    <w:rsid w:val="00AC2A93"/>
    <w:rsid w:val="00AC2AB1"/>
    <w:rsid w:val="00AC2AB2"/>
    <w:rsid w:val="00AC2AF5"/>
    <w:rsid w:val="00AC2B50"/>
    <w:rsid w:val="00AC2E72"/>
    <w:rsid w:val="00AC327D"/>
    <w:rsid w:val="00AC32A7"/>
    <w:rsid w:val="00AC32AE"/>
    <w:rsid w:val="00AC3349"/>
    <w:rsid w:val="00AC3384"/>
    <w:rsid w:val="00AC3455"/>
    <w:rsid w:val="00AC360B"/>
    <w:rsid w:val="00AC392D"/>
    <w:rsid w:val="00AC3989"/>
    <w:rsid w:val="00AC3DAE"/>
    <w:rsid w:val="00AC3E86"/>
    <w:rsid w:val="00AC3EDB"/>
    <w:rsid w:val="00AC3F73"/>
    <w:rsid w:val="00AC41A1"/>
    <w:rsid w:val="00AC41B0"/>
    <w:rsid w:val="00AC41E5"/>
    <w:rsid w:val="00AC41EB"/>
    <w:rsid w:val="00AC43D3"/>
    <w:rsid w:val="00AC4535"/>
    <w:rsid w:val="00AC4608"/>
    <w:rsid w:val="00AC46E0"/>
    <w:rsid w:val="00AC4741"/>
    <w:rsid w:val="00AC4AC6"/>
    <w:rsid w:val="00AC52E0"/>
    <w:rsid w:val="00AC542D"/>
    <w:rsid w:val="00AC5660"/>
    <w:rsid w:val="00AC578E"/>
    <w:rsid w:val="00AC5796"/>
    <w:rsid w:val="00AC59F5"/>
    <w:rsid w:val="00AC5AB0"/>
    <w:rsid w:val="00AC5B4B"/>
    <w:rsid w:val="00AC5BC1"/>
    <w:rsid w:val="00AC5DDC"/>
    <w:rsid w:val="00AC5F73"/>
    <w:rsid w:val="00AC63F4"/>
    <w:rsid w:val="00AC64F4"/>
    <w:rsid w:val="00AC67F1"/>
    <w:rsid w:val="00AC6A70"/>
    <w:rsid w:val="00AC6BB4"/>
    <w:rsid w:val="00AC6BFF"/>
    <w:rsid w:val="00AC6C51"/>
    <w:rsid w:val="00AC6CE1"/>
    <w:rsid w:val="00AC6E6D"/>
    <w:rsid w:val="00AC6F00"/>
    <w:rsid w:val="00AC7133"/>
    <w:rsid w:val="00AC766E"/>
    <w:rsid w:val="00AC76A7"/>
    <w:rsid w:val="00AC7B32"/>
    <w:rsid w:val="00AC7D8B"/>
    <w:rsid w:val="00AD01DD"/>
    <w:rsid w:val="00AD04A9"/>
    <w:rsid w:val="00AD05B7"/>
    <w:rsid w:val="00AD0648"/>
    <w:rsid w:val="00AD0917"/>
    <w:rsid w:val="00AD0A65"/>
    <w:rsid w:val="00AD0AE5"/>
    <w:rsid w:val="00AD0E3E"/>
    <w:rsid w:val="00AD10A7"/>
    <w:rsid w:val="00AD1129"/>
    <w:rsid w:val="00AD1437"/>
    <w:rsid w:val="00AD14E9"/>
    <w:rsid w:val="00AD16C3"/>
    <w:rsid w:val="00AD1E50"/>
    <w:rsid w:val="00AD2132"/>
    <w:rsid w:val="00AD21FC"/>
    <w:rsid w:val="00AD241F"/>
    <w:rsid w:val="00AD251E"/>
    <w:rsid w:val="00AD2650"/>
    <w:rsid w:val="00AD28FD"/>
    <w:rsid w:val="00AD29D8"/>
    <w:rsid w:val="00AD2A26"/>
    <w:rsid w:val="00AD2BBD"/>
    <w:rsid w:val="00AD2C98"/>
    <w:rsid w:val="00AD30D2"/>
    <w:rsid w:val="00AD3195"/>
    <w:rsid w:val="00AD3312"/>
    <w:rsid w:val="00AD33AA"/>
    <w:rsid w:val="00AD3492"/>
    <w:rsid w:val="00AD34F2"/>
    <w:rsid w:val="00AD36DB"/>
    <w:rsid w:val="00AD395B"/>
    <w:rsid w:val="00AD39BF"/>
    <w:rsid w:val="00AD3CC1"/>
    <w:rsid w:val="00AD3E9A"/>
    <w:rsid w:val="00AD3EA4"/>
    <w:rsid w:val="00AD41B7"/>
    <w:rsid w:val="00AD4AD1"/>
    <w:rsid w:val="00AD4EAA"/>
    <w:rsid w:val="00AD5075"/>
    <w:rsid w:val="00AD5390"/>
    <w:rsid w:val="00AD55CC"/>
    <w:rsid w:val="00AD5C00"/>
    <w:rsid w:val="00AD5EAF"/>
    <w:rsid w:val="00AD6201"/>
    <w:rsid w:val="00AD62BE"/>
    <w:rsid w:val="00AD674F"/>
    <w:rsid w:val="00AD6883"/>
    <w:rsid w:val="00AD69A1"/>
    <w:rsid w:val="00AD6BFE"/>
    <w:rsid w:val="00AD6CEC"/>
    <w:rsid w:val="00AD6F3C"/>
    <w:rsid w:val="00AD7205"/>
    <w:rsid w:val="00AD7296"/>
    <w:rsid w:val="00AD7554"/>
    <w:rsid w:val="00AD7657"/>
    <w:rsid w:val="00AD7665"/>
    <w:rsid w:val="00AD7832"/>
    <w:rsid w:val="00AD7833"/>
    <w:rsid w:val="00AD79FA"/>
    <w:rsid w:val="00AD7A0D"/>
    <w:rsid w:val="00AD7C70"/>
    <w:rsid w:val="00AD7DF7"/>
    <w:rsid w:val="00AE01BF"/>
    <w:rsid w:val="00AE02CE"/>
    <w:rsid w:val="00AE0405"/>
    <w:rsid w:val="00AE086C"/>
    <w:rsid w:val="00AE0A14"/>
    <w:rsid w:val="00AE0C82"/>
    <w:rsid w:val="00AE0C8B"/>
    <w:rsid w:val="00AE0CE7"/>
    <w:rsid w:val="00AE0F96"/>
    <w:rsid w:val="00AE144A"/>
    <w:rsid w:val="00AE146F"/>
    <w:rsid w:val="00AE158D"/>
    <w:rsid w:val="00AE16A8"/>
    <w:rsid w:val="00AE17A3"/>
    <w:rsid w:val="00AE1D44"/>
    <w:rsid w:val="00AE2034"/>
    <w:rsid w:val="00AE20EE"/>
    <w:rsid w:val="00AE2155"/>
    <w:rsid w:val="00AE2322"/>
    <w:rsid w:val="00AE2363"/>
    <w:rsid w:val="00AE2550"/>
    <w:rsid w:val="00AE260A"/>
    <w:rsid w:val="00AE26CA"/>
    <w:rsid w:val="00AE29B4"/>
    <w:rsid w:val="00AE2B4D"/>
    <w:rsid w:val="00AE2D32"/>
    <w:rsid w:val="00AE2ED3"/>
    <w:rsid w:val="00AE2F9D"/>
    <w:rsid w:val="00AE327F"/>
    <w:rsid w:val="00AE32E7"/>
    <w:rsid w:val="00AE33A0"/>
    <w:rsid w:val="00AE35B2"/>
    <w:rsid w:val="00AE394E"/>
    <w:rsid w:val="00AE3B37"/>
    <w:rsid w:val="00AE3C25"/>
    <w:rsid w:val="00AE3E90"/>
    <w:rsid w:val="00AE3F09"/>
    <w:rsid w:val="00AE3F9A"/>
    <w:rsid w:val="00AE416A"/>
    <w:rsid w:val="00AE4364"/>
    <w:rsid w:val="00AE44FC"/>
    <w:rsid w:val="00AE45B1"/>
    <w:rsid w:val="00AE4638"/>
    <w:rsid w:val="00AE4855"/>
    <w:rsid w:val="00AE4A96"/>
    <w:rsid w:val="00AE4B22"/>
    <w:rsid w:val="00AE4D5F"/>
    <w:rsid w:val="00AE4E36"/>
    <w:rsid w:val="00AE4F82"/>
    <w:rsid w:val="00AE4FDB"/>
    <w:rsid w:val="00AE5315"/>
    <w:rsid w:val="00AE54C6"/>
    <w:rsid w:val="00AE5D54"/>
    <w:rsid w:val="00AE619C"/>
    <w:rsid w:val="00AE6211"/>
    <w:rsid w:val="00AE62A4"/>
    <w:rsid w:val="00AE6336"/>
    <w:rsid w:val="00AE6359"/>
    <w:rsid w:val="00AE6710"/>
    <w:rsid w:val="00AE683A"/>
    <w:rsid w:val="00AE6A7F"/>
    <w:rsid w:val="00AE6B07"/>
    <w:rsid w:val="00AE6E3F"/>
    <w:rsid w:val="00AE6FE0"/>
    <w:rsid w:val="00AE714C"/>
    <w:rsid w:val="00AE7204"/>
    <w:rsid w:val="00AE748B"/>
    <w:rsid w:val="00AE749D"/>
    <w:rsid w:val="00AE76F6"/>
    <w:rsid w:val="00AE77FC"/>
    <w:rsid w:val="00AE7960"/>
    <w:rsid w:val="00AF01B2"/>
    <w:rsid w:val="00AF041E"/>
    <w:rsid w:val="00AF0422"/>
    <w:rsid w:val="00AF07CB"/>
    <w:rsid w:val="00AF10B6"/>
    <w:rsid w:val="00AF1380"/>
    <w:rsid w:val="00AF13B0"/>
    <w:rsid w:val="00AF1520"/>
    <w:rsid w:val="00AF17FE"/>
    <w:rsid w:val="00AF1950"/>
    <w:rsid w:val="00AF1D24"/>
    <w:rsid w:val="00AF2065"/>
    <w:rsid w:val="00AF2087"/>
    <w:rsid w:val="00AF20FB"/>
    <w:rsid w:val="00AF2440"/>
    <w:rsid w:val="00AF25BE"/>
    <w:rsid w:val="00AF2925"/>
    <w:rsid w:val="00AF2D6F"/>
    <w:rsid w:val="00AF2EB3"/>
    <w:rsid w:val="00AF2F9B"/>
    <w:rsid w:val="00AF2FD8"/>
    <w:rsid w:val="00AF3066"/>
    <w:rsid w:val="00AF30AE"/>
    <w:rsid w:val="00AF3116"/>
    <w:rsid w:val="00AF312C"/>
    <w:rsid w:val="00AF3205"/>
    <w:rsid w:val="00AF322B"/>
    <w:rsid w:val="00AF326E"/>
    <w:rsid w:val="00AF3290"/>
    <w:rsid w:val="00AF374F"/>
    <w:rsid w:val="00AF384C"/>
    <w:rsid w:val="00AF3D71"/>
    <w:rsid w:val="00AF42C3"/>
    <w:rsid w:val="00AF43C3"/>
    <w:rsid w:val="00AF43F2"/>
    <w:rsid w:val="00AF4449"/>
    <w:rsid w:val="00AF4457"/>
    <w:rsid w:val="00AF45E5"/>
    <w:rsid w:val="00AF467A"/>
    <w:rsid w:val="00AF4805"/>
    <w:rsid w:val="00AF48F2"/>
    <w:rsid w:val="00AF4C8A"/>
    <w:rsid w:val="00AF4D6C"/>
    <w:rsid w:val="00AF4D7B"/>
    <w:rsid w:val="00AF4E52"/>
    <w:rsid w:val="00AF4E72"/>
    <w:rsid w:val="00AF4F1F"/>
    <w:rsid w:val="00AF520B"/>
    <w:rsid w:val="00AF5254"/>
    <w:rsid w:val="00AF5296"/>
    <w:rsid w:val="00AF5381"/>
    <w:rsid w:val="00AF5513"/>
    <w:rsid w:val="00AF5543"/>
    <w:rsid w:val="00AF5A36"/>
    <w:rsid w:val="00AF5ADD"/>
    <w:rsid w:val="00AF5B39"/>
    <w:rsid w:val="00AF5EB0"/>
    <w:rsid w:val="00AF5F1D"/>
    <w:rsid w:val="00AF5F9C"/>
    <w:rsid w:val="00AF6052"/>
    <w:rsid w:val="00AF6211"/>
    <w:rsid w:val="00AF62BF"/>
    <w:rsid w:val="00AF6376"/>
    <w:rsid w:val="00AF65C6"/>
    <w:rsid w:val="00AF6674"/>
    <w:rsid w:val="00AF667E"/>
    <w:rsid w:val="00AF676F"/>
    <w:rsid w:val="00AF67D3"/>
    <w:rsid w:val="00AF6803"/>
    <w:rsid w:val="00AF6833"/>
    <w:rsid w:val="00AF68FB"/>
    <w:rsid w:val="00AF693D"/>
    <w:rsid w:val="00AF6A6C"/>
    <w:rsid w:val="00AF6AB5"/>
    <w:rsid w:val="00AF6BA5"/>
    <w:rsid w:val="00AF6D45"/>
    <w:rsid w:val="00AF7030"/>
    <w:rsid w:val="00AF712E"/>
    <w:rsid w:val="00AF72C2"/>
    <w:rsid w:val="00AF75C0"/>
    <w:rsid w:val="00AF75E3"/>
    <w:rsid w:val="00AF767B"/>
    <w:rsid w:val="00AF7685"/>
    <w:rsid w:val="00AF77C9"/>
    <w:rsid w:val="00AF7865"/>
    <w:rsid w:val="00AF7A77"/>
    <w:rsid w:val="00AF7E40"/>
    <w:rsid w:val="00AF7E66"/>
    <w:rsid w:val="00AF7E95"/>
    <w:rsid w:val="00B0004D"/>
    <w:rsid w:val="00B0024F"/>
    <w:rsid w:val="00B002CB"/>
    <w:rsid w:val="00B0032B"/>
    <w:rsid w:val="00B00484"/>
    <w:rsid w:val="00B00497"/>
    <w:rsid w:val="00B004E2"/>
    <w:rsid w:val="00B006DB"/>
    <w:rsid w:val="00B0092F"/>
    <w:rsid w:val="00B009A4"/>
    <w:rsid w:val="00B009D1"/>
    <w:rsid w:val="00B00B98"/>
    <w:rsid w:val="00B0125A"/>
    <w:rsid w:val="00B0139F"/>
    <w:rsid w:val="00B013B7"/>
    <w:rsid w:val="00B01476"/>
    <w:rsid w:val="00B014E9"/>
    <w:rsid w:val="00B01539"/>
    <w:rsid w:val="00B01669"/>
    <w:rsid w:val="00B01719"/>
    <w:rsid w:val="00B0173D"/>
    <w:rsid w:val="00B01E28"/>
    <w:rsid w:val="00B02022"/>
    <w:rsid w:val="00B020C8"/>
    <w:rsid w:val="00B02148"/>
    <w:rsid w:val="00B02409"/>
    <w:rsid w:val="00B024C5"/>
    <w:rsid w:val="00B024D4"/>
    <w:rsid w:val="00B02780"/>
    <w:rsid w:val="00B028F0"/>
    <w:rsid w:val="00B0295B"/>
    <w:rsid w:val="00B02B70"/>
    <w:rsid w:val="00B02C21"/>
    <w:rsid w:val="00B02C47"/>
    <w:rsid w:val="00B02C97"/>
    <w:rsid w:val="00B031CB"/>
    <w:rsid w:val="00B031D5"/>
    <w:rsid w:val="00B0320B"/>
    <w:rsid w:val="00B03304"/>
    <w:rsid w:val="00B0343F"/>
    <w:rsid w:val="00B0378C"/>
    <w:rsid w:val="00B0385E"/>
    <w:rsid w:val="00B03909"/>
    <w:rsid w:val="00B03D61"/>
    <w:rsid w:val="00B03D63"/>
    <w:rsid w:val="00B043FF"/>
    <w:rsid w:val="00B04402"/>
    <w:rsid w:val="00B0470B"/>
    <w:rsid w:val="00B04750"/>
    <w:rsid w:val="00B047AE"/>
    <w:rsid w:val="00B04904"/>
    <w:rsid w:val="00B04A62"/>
    <w:rsid w:val="00B04C87"/>
    <w:rsid w:val="00B04D08"/>
    <w:rsid w:val="00B04E16"/>
    <w:rsid w:val="00B050C7"/>
    <w:rsid w:val="00B05149"/>
    <w:rsid w:val="00B055E7"/>
    <w:rsid w:val="00B0582B"/>
    <w:rsid w:val="00B05B1D"/>
    <w:rsid w:val="00B05D33"/>
    <w:rsid w:val="00B05DDD"/>
    <w:rsid w:val="00B05E59"/>
    <w:rsid w:val="00B0600D"/>
    <w:rsid w:val="00B060BE"/>
    <w:rsid w:val="00B061EF"/>
    <w:rsid w:val="00B062A5"/>
    <w:rsid w:val="00B066C4"/>
    <w:rsid w:val="00B06848"/>
    <w:rsid w:val="00B06878"/>
    <w:rsid w:val="00B06A53"/>
    <w:rsid w:val="00B06AC2"/>
    <w:rsid w:val="00B06B82"/>
    <w:rsid w:val="00B06B98"/>
    <w:rsid w:val="00B06C54"/>
    <w:rsid w:val="00B06EAD"/>
    <w:rsid w:val="00B06EF6"/>
    <w:rsid w:val="00B074B5"/>
    <w:rsid w:val="00B076C8"/>
    <w:rsid w:val="00B07757"/>
    <w:rsid w:val="00B077A9"/>
    <w:rsid w:val="00B07B79"/>
    <w:rsid w:val="00B07CC3"/>
    <w:rsid w:val="00B07FAF"/>
    <w:rsid w:val="00B10170"/>
    <w:rsid w:val="00B102AF"/>
    <w:rsid w:val="00B1030A"/>
    <w:rsid w:val="00B10406"/>
    <w:rsid w:val="00B1058D"/>
    <w:rsid w:val="00B105BA"/>
    <w:rsid w:val="00B107F4"/>
    <w:rsid w:val="00B10827"/>
    <w:rsid w:val="00B1085E"/>
    <w:rsid w:val="00B10AA5"/>
    <w:rsid w:val="00B10B1B"/>
    <w:rsid w:val="00B10BDE"/>
    <w:rsid w:val="00B10C1F"/>
    <w:rsid w:val="00B10C29"/>
    <w:rsid w:val="00B10EB9"/>
    <w:rsid w:val="00B10FB2"/>
    <w:rsid w:val="00B112D2"/>
    <w:rsid w:val="00B11453"/>
    <w:rsid w:val="00B116E5"/>
    <w:rsid w:val="00B1177D"/>
    <w:rsid w:val="00B11BB9"/>
    <w:rsid w:val="00B11C05"/>
    <w:rsid w:val="00B11C07"/>
    <w:rsid w:val="00B11FB4"/>
    <w:rsid w:val="00B120B6"/>
    <w:rsid w:val="00B1211A"/>
    <w:rsid w:val="00B12675"/>
    <w:rsid w:val="00B12686"/>
    <w:rsid w:val="00B126D4"/>
    <w:rsid w:val="00B12865"/>
    <w:rsid w:val="00B1289C"/>
    <w:rsid w:val="00B12950"/>
    <w:rsid w:val="00B12A76"/>
    <w:rsid w:val="00B12CDE"/>
    <w:rsid w:val="00B12DF4"/>
    <w:rsid w:val="00B12E09"/>
    <w:rsid w:val="00B13404"/>
    <w:rsid w:val="00B13563"/>
    <w:rsid w:val="00B13F9A"/>
    <w:rsid w:val="00B13FA6"/>
    <w:rsid w:val="00B14114"/>
    <w:rsid w:val="00B144E5"/>
    <w:rsid w:val="00B144EE"/>
    <w:rsid w:val="00B14653"/>
    <w:rsid w:val="00B146D3"/>
    <w:rsid w:val="00B14DB7"/>
    <w:rsid w:val="00B14DEC"/>
    <w:rsid w:val="00B152AA"/>
    <w:rsid w:val="00B156DA"/>
    <w:rsid w:val="00B158D5"/>
    <w:rsid w:val="00B1592B"/>
    <w:rsid w:val="00B15985"/>
    <w:rsid w:val="00B15AB0"/>
    <w:rsid w:val="00B15BDA"/>
    <w:rsid w:val="00B15E33"/>
    <w:rsid w:val="00B15FF9"/>
    <w:rsid w:val="00B1611E"/>
    <w:rsid w:val="00B16206"/>
    <w:rsid w:val="00B16245"/>
    <w:rsid w:val="00B16360"/>
    <w:rsid w:val="00B165D8"/>
    <w:rsid w:val="00B1678A"/>
    <w:rsid w:val="00B168A7"/>
    <w:rsid w:val="00B16DB5"/>
    <w:rsid w:val="00B16F05"/>
    <w:rsid w:val="00B171DB"/>
    <w:rsid w:val="00B178D9"/>
    <w:rsid w:val="00B179E5"/>
    <w:rsid w:val="00B17A4B"/>
    <w:rsid w:val="00B17B75"/>
    <w:rsid w:val="00B17CF1"/>
    <w:rsid w:val="00B17D59"/>
    <w:rsid w:val="00B17E98"/>
    <w:rsid w:val="00B2011E"/>
    <w:rsid w:val="00B2019C"/>
    <w:rsid w:val="00B203D1"/>
    <w:rsid w:val="00B203FD"/>
    <w:rsid w:val="00B20816"/>
    <w:rsid w:val="00B20959"/>
    <w:rsid w:val="00B209D2"/>
    <w:rsid w:val="00B20C39"/>
    <w:rsid w:val="00B20D91"/>
    <w:rsid w:val="00B20DAA"/>
    <w:rsid w:val="00B20E1B"/>
    <w:rsid w:val="00B20E63"/>
    <w:rsid w:val="00B2176B"/>
    <w:rsid w:val="00B2190D"/>
    <w:rsid w:val="00B21911"/>
    <w:rsid w:val="00B21A01"/>
    <w:rsid w:val="00B21A45"/>
    <w:rsid w:val="00B21B25"/>
    <w:rsid w:val="00B21B88"/>
    <w:rsid w:val="00B21BE9"/>
    <w:rsid w:val="00B21C02"/>
    <w:rsid w:val="00B21E1C"/>
    <w:rsid w:val="00B21EBE"/>
    <w:rsid w:val="00B21EF2"/>
    <w:rsid w:val="00B21F15"/>
    <w:rsid w:val="00B21F53"/>
    <w:rsid w:val="00B22452"/>
    <w:rsid w:val="00B2249B"/>
    <w:rsid w:val="00B22A5A"/>
    <w:rsid w:val="00B22B6D"/>
    <w:rsid w:val="00B22B9A"/>
    <w:rsid w:val="00B23003"/>
    <w:rsid w:val="00B23086"/>
    <w:rsid w:val="00B2328D"/>
    <w:rsid w:val="00B234B6"/>
    <w:rsid w:val="00B23789"/>
    <w:rsid w:val="00B23821"/>
    <w:rsid w:val="00B23827"/>
    <w:rsid w:val="00B23A28"/>
    <w:rsid w:val="00B23AFC"/>
    <w:rsid w:val="00B23D96"/>
    <w:rsid w:val="00B23E06"/>
    <w:rsid w:val="00B23EF9"/>
    <w:rsid w:val="00B23F5C"/>
    <w:rsid w:val="00B2443A"/>
    <w:rsid w:val="00B24533"/>
    <w:rsid w:val="00B24817"/>
    <w:rsid w:val="00B248CD"/>
    <w:rsid w:val="00B24A02"/>
    <w:rsid w:val="00B24E27"/>
    <w:rsid w:val="00B251D1"/>
    <w:rsid w:val="00B2522D"/>
    <w:rsid w:val="00B25534"/>
    <w:rsid w:val="00B25751"/>
    <w:rsid w:val="00B25769"/>
    <w:rsid w:val="00B25AE4"/>
    <w:rsid w:val="00B25CA3"/>
    <w:rsid w:val="00B25E10"/>
    <w:rsid w:val="00B25E57"/>
    <w:rsid w:val="00B25EB1"/>
    <w:rsid w:val="00B2611C"/>
    <w:rsid w:val="00B26135"/>
    <w:rsid w:val="00B26453"/>
    <w:rsid w:val="00B26569"/>
    <w:rsid w:val="00B265A0"/>
    <w:rsid w:val="00B2667A"/>
    <w:rsid w:val="00B26786"/>
    <w:rsid w:val="00B267E9"/>
    <w:rsid w:val="00B26845"/>
    <w:rsid w:val="00B26B4D"/>
    <w:rsid w:val="00B26F43"/>
    <w:rsid w:val="00B26FDB"/>
    <w:rsid w:val="00B2700F"/>
    <w:rsid w:val="00B2710C"/>
    <w:rsid w:val="00B27260"/>
    <w:rsid w:val="00B27313"/>
    <w:rsid w:val="00B2733E"/>
    <w:rsid w:val="00B275D9"/>
    <w:rsid w:val="00B27B25"/>
    <w:rsid w:val="00B30045"/>
    <w:rsid w:val="00B302A2"/>
    <w:rsid w:val="00B30713"/>
    <w:rsid w:val="00B30802"/>
    <w:rsid w:val="00B309A2"/>
    <w:rsid w:val="00B30A17"/>
    <w:rsid w:val="00B30A7D"/>
    <w:rsid w:val="00B30ABD"/>
    <w:rsid w:val="00B30CEC"/>
    <w:rsid w:val="00B31877"/>
    <w:rsid w:val="00B31888"/>
    <w:rsid w:val="00B3213D"/>
    <w:rsid w:val="00B321EE"/>
    <w:rsid w:val="00B324F9"/>
    <w:rsid w:val="00B32786"/>
    <w:rsid w:val="00B32920"/>
    <w:rsid w:val="00B32B6D"/>
    <w:rsid w:val="00B32C82"/>
    <w:rsid w:val="00B32C98"/>
    <w:rsid w:val="00B33081"/>
    <w:rsid w:val="00B33211"/>
    <w:rsid w:val="00B33C28"/>
    <w:rsid w:val="00B33F1C"/>
    <w:rsid w:val="00B33FC6"/>
    <w:rsid w:val="00B3414E"/>
    <w:rsid w:val="00B341A2"/>
    <w:rsid w:val="00B342CE"/>
    <w:rsid w:val="00B34362"/>
    <w:rsid w:val="00B34434"/>
    <w:rsid w:val="00B34554"/>
    <w:rsid w:val="00B345EE"/>
    <w:rsid w:val="00B346F8"/>
    <w:rsid w:val="00B3485E"/>
    <w:rsid w:val="00B3492D"/>
    <w:rsid w:val="00B34A47"/>
    <w:rsid w:val="00B34B82"/>
    <w:rsid w:val="00B34F90"/>
    <w:rsid w:val="00B350FC"/>
    <w:rsid w:val="00B3510F"/>
    <w:rsid w:val="00B35136"/>
    <w:rsid w:val="00B35419"/>
    <w:rsid w:val="00B3587E"/>
    <w:rsid w:val="00B359C9"/>
    <w:rsid w:val="00B35C13"/>
    <w:rsid w:val="00B35C23"/>
    <w:rsid w:val="00B35D8A"/>
    <w:rsid w:val="00B35EB2"/>
    <w:rsid w:val="00B35F5D"/>
    <w:rsid w:val="00B3606C"/>
    <w:rsid w:val="00B362BD"/>
    <w:rsid w:val="00B36664"/>
    <w:rsid w:val="00B3668B"/>
    <w:rsid w:val="00B36A36"/>
    <w:rsid w:val="00B36A41"/>
    <w:rsid w:val="00B36E57"/>
    <w:rsid w:val="00B3703A"/>
    <w:rsid w:val="00B3716C"/>
    <w:rsid w:val="00B37198"/>
    <w:rsid w:val="00B37258"/>
    <w:rsid w:val="00B37364"/>
    <w:rsid w:val="00B37497"/>
    <w:rsid w:val="00B37528"/>
    <w:rsid w:val="00B377E7"/>
    <w:rsid w:val="00B3796A"/>
    <w:rsid w:val="00B37C64"/>
    <w:rsid w:val="00B37DCE"/>
    <w:rsid w:val="00B403F0"/>
    <w:rsid w:val="00B40449"/>
    <w:rsid w:val="00B40689"/>
    <w:rsid w:val="00B4098E"/>
    <w:rsid w:val="00B4170D"/>
    <w:rsid w:val="00B417AF"/>
    <w:rsid w:val="00B4182E"/>
    <w:rsid w:val="00B41A18"/>
    <w:rsid w:val="00B41D1A"/>
    <w:rsid w:val="00B41E49"/>
    <w:rsid w:val="00B423C4"/>
    <w:rsid w:val="00B42565"/>
    <w:rsid w:val="00B4262C"/>
    <w:rsid w:val="00B426BF"/>
    <w:rsid w:val="00B42C6A"/>
    <w:rsid w:val="00B42F67"/>
    <w:rsid w:val="00B43263"/>
    <w:rsid w:val="00B433CB"/>
    <w:rsid w:val="00B4346F"/>
    <w:rsid w:val="00B43644"/>
    <w:rsid w:val="00B437B4"/>
    <w:rsid w:val="00B437E6"/>
    <w:rsid w:val="00B43E27"/>
    <w:rsid w:val="00B44040"/>
    <w:rsid w:val="00B4435B"/>
    <w:rsid w:val="00B443C7"/>
    <w:rsid w:val="00B4449E"/>
    <w:rsid w:val="00B4479B"/>
    <w:rsid w:val="00B447E4"/>
    <w:rsid w:val="00B44CA2"/>
    <w:rsid w:val="00B44D2B"/>
    <w:rsid w:val="00B4514A"/>
    <w:rsid w:val="00B4521F"/>
    <w:rsid w:val="00B452C7"/>
    <w:rsid w:val="00B4542F"/>
    <w:rsid w:val="00B45469"/>
    <w:rsid w:val="00B455B0"/>
    <w:rsid w:val="00B45FA5"/>
    <w:rsid w:val="00B46542"/>
    <w:rsid w:val="00B46643"/>
    <w:rsid w:val="00B4666D"/>
    <w:rsid w:val="00B466D7"/>
    <w:rsid w:val="00B469D6"/>
    <w:rsid w:val="00B46B41"/>
    <w:rsid w:val="00B46B88"/>
    <w:rsid w:val="00B46DFA"/>
    <w:rsid w:val="00B46E81"/>
    <w:rsid w:val="00B47230"/>
    <w:rsid w:val="00B4724F"/>
    <w:rsid w:val="00B47446"/>
    <w:rsid w:val="00B47720"/>
    <w:rsid w:val="00B477A9"/>
    <w:rsid w:val="00B47C62"/>
    <w:rsid w:val="00B47EB3"/>
    <w:rsid w:val="00B500B5"/>
    <w:rsid w:val="00B501E9"/>
    <w:rsid w:val="00B50306"/>
    <w:rsid w:val="00B5040E"/>
    <w:rsid w:val="00B507C9"/>
    <w:rsid w:val="00B508B3"/>
    <w:rsid w:val="00B50B0B"/>
    <w:rsid w:val="00B50CF3"/>
    <w:rsid w:val="00B50DCB"/>
    <w:rsid w:val="00B51088"/>
    <w:rsid w:val="00B51291"/>
    <w:rsid w:val="00B51529"/>
    <w:rsid w:val="00B515BB"/>
    <w:rsid w:val="00B51774"/>
    <w:rsid w:val="00B51B52"/>
    <w:rsid w:val="00B51B9D"/>
    <w:rsid w:val="00B51C22"/>
    <w:rsid w:val="00B51CF0"/>
    <w:rsid w:val="00B51D6B"/>
    <w:rsid w:val="00B51F76"/>
    <w:rsid w:val="00B520B2"/>
    <w:rsid w:val="00B521A2"/>
    <w:rsid w:val="00B527F5"/>
    <w:rsid w:val="00B5286E"/>
    <w:rsid w:val="00B52979"/>
    <w:rsid w:val="00B52B67"/>
    <w:rsid w:val="00B52BDF"/>
    <w:rsid w:val="00B53498"/>
    <w:rsid w:val="00B539BA"/>
    <w:rsid w:val="00B53ABF"/>
    <w:rsid w:val="00B53E85"/>
    <w:rsid w:val="00B53EBD"/>
    <w:rsid w:val="00B53EDC"/>
    <w:rsid w:val="00B53F7A"/>
    <w:rsid w:val="00B53FC1"/>
    <w:rsid w:val="00B5404D"/>
    <w:rsid w:val="00B5404E"/>
    <w:rsid w:val="00B54407"/>
    <w:rsid w:val="00B545F0"/>
    <w:rsid w:val="00B54656"/>
    <w:rsid w:val="00B546CE"/>
    <w:rsid w:val="00B54740"/>
    <w:rsid w:val="00B54AF9"/>
    <w:rsid w:val="00B54FCC"/>
    <w:rsid w:val="00B5515D"/>
    <w:rsid w:val="00B551AD"/>
    <w:rsid w:val="00B5524B"/>
    <w:rsid w:val="00B553C0"/>
    <w:rsid w:val="00B5552E"/>
    <w:rsid w:val="00B55678"/>
    <w:rsid w:val="00B55806"/>
    <w:rsid w:val="00B55931"/>
    <w:rsid w:val="00B55CA9"/>
    <w:rsid w:val="00B55CD6"/>
    <w:rsid w:val="00B55D03"/>
    <w:rsid w:val="00B55DF9"/>
    <w:rsid w:val="00B55F40"/>
    <w:rsid w:val="00B561A6"/>
    <w:rsid w:val="00B563ED"/>
    <w:rsid w:val="00B5658F"/>
    <w:rsid w:val="00B56649"/>
    <w:rsid w:val="00B56791"/>
    <w:rsid w:val="00B567A8"/>
    <w:rsid w:val="00B567D6"/>
    <w:rsid w:val="00B56913"/>
    <w:rsid w:val="00B56D26"/>
    <w:rsid w:val="00B56E4B"/>
    <w:rsid w:val="00B56E90"/>
    <w:rsid w:val="00B57130"/>
    <w:rsid w:val="00B57274"/>
    <w:rsid w:val="00B572DC"/>
    <w:rsid w:val="00B5732D"/>
    <w:rsid w:val="00B5795D"/>
    <w:rsid w:val="00B57AA5"/>
    <w:rsid w:val="00B57B04"/>
    <w:rsid w:val="00B57B2D"/>
    <w:rsid w:val="00B57DDC"/>
    <w:rsid w:val="00B57E26"/>
    <w:rsid w:val="00B57F43"/>
    <w:rsid w:val="00B57F52"/>
    <w:rsid w:val="00B57F53"/>
    <w:rsid w:val="00B60149"/>
    <w:rsid w:val="00B601C7"/>
    <w:rsid w:val="00B601DD"/>
    <w:rsid w:val="00B604A2"/>
    <w:rsid w:val="00B60592"/>
    <w:rsid w:val="00B605CC"/>
    <w:rsid w:val="00B60967"/>
    <w:rsid w:val="00B61041"/>
    <w:rsid w:val="00B610FC"/>
    <w:rsid w:val="00B61138"/>
    <w:rsid w:val="00B61227"/>
    <w:rsid w:val="00B6142C"/>
    <w:rsid w:val="00B615C0"/>
    <w:rsid w:val="00B61841"/>
    <w:rsid w:val="00B61940"/>
    <w:rsid w:val="00B61BED"/>
    <w:rsid w:val="00B62147"/>
    <w:rsid w:val="00B62283"/>
    <w:rsid w:val="00B62662"/>
    <w:rsid w:val="00B62921"/>
    <w:rsid w:val="00B62A56"/>
    <w:rsid w:val="00B62F08"/>
    <w:rsid w:val="00B62F6F"/>
    <w:rsid w:val="00B631CD"/>
    <w:rsid w:val="00B632E6"/>
    <w:rsid w:val="00B63445"/>
    <w:rsid w:val="00B6349E"/>
    <w:rsid w:val="00B634CF"/>
    <w:rsid w:val="00B63772"/>
    <w:rsid w:val="00B63C5C"/>
    <w:rsid w:val="00B63DAD"/>
    <w:rsid w:val="00B63DFA"/>
    <w:rsid w:val="00B63E3D"/>
    <w:rsid w:val="00B63F2F"/>
    <w:rsid w:val="00B63F50"/>
    <w:rsid w:val="00B6441B"/>
    <w:rsid w:val="00B644B6"/>
    <w:rsid w:val="00B6451D"/>
    <w:rsid w:val="00B64E71"/>
    <w:rsid w:val="00B64E86"/>
    <w:rsid w:val="00B65114"/>
    <w:rsid w:val="00B65233"/>
    <w:rsid w:val="00B65426"/>
    <w:rsid w:val="00B65486"/>
    <w:rsid w:val="00B654A5"/>
    <w:rsid w:val="00B656D5"/>
    <w:rsid w:val="00B65B96"/>
    <w:rsid w:val="00B66378"/>
    <w:rsid w:val="00B6646E"/>
    <w:rsid w:val="00B669F7"/>
    <w:rsid w:val="00B66C91"/>
    <w:rsid w:val="00B66D2B"/>
    <w:rsid w:val="00B67141"/>
    <w:rsid w:val="00B67177"/>
    <w:rsid w:val="00B67618"/>
    <w:rsid w:val="00B67768"/>
    <w:rsid w:val="00B6781E"/>
    <w:rsid w:val="00B67B97"/>
    <w:rsid w:val="00B67C31"/>
    <w:rsid w:val="00B67D2A"/>
    <w:rsid w:val="00B701CE"/>
    <w:rsid w:val="00B703C5"/>
    <w:rsid w:val="00B706F8"/>
    <w:rsid w:val="00B707A0"/>
    <w:rsid w:val="00B70818"/>
    <w:rsid w:val="00B70ACA"/>
    <w:rsid w:val="00B70AD0"/>
    <w:rsid w:val="00B70AE7"/>
    <w:rsid w:val="00B70B4E"/>
    <w:rsid w:val="00B70B9E"/>
    <w:rsid w:val="00B70BE1"/>
    <w:rsid w:val="00B70BF0"/>
    <w:rsid w:val="00B70E7D"/>
    <w:rsid w:val="00B71226"/>
    <w:rsid w:val="00B7132C"/>
    <w:rsid w:val="00B713EC"/>
    <w:rsid w:val="00B7190B"/>
    <w:rsid w:val="00B71B92"/>
    <w:rsid w:val="00B71CF3"/>
    <w:rsid w:val="00B71E8A"/>
    <w:rsid w:val="00B71E9A"/>
    <w:rsid w:val="00B723DE"/>
    <w:rsid w:val="00B7269B"/>
    <w:rsid w:val="00B7272C"/>
    <w:rsid w:val="00B727DA"/>
    <w:rsid w:val="00B72961"/>
    <w:rsid w:val="00B72AE2"/>
    <w:rsid w:val="00B72B1A"/>
    <w:rsid w:val="00B72D48"/>
    <w:rsid w:val="00B72F1B"/>
    <w:rsid w:val="00B731CF"/>
    <w:rsid w:val="00B733F9"/>
    <w:rsid w:val="00B7362A"/>
    <w:rsid w:val="00B7385F"/>
    <w:rsid w:val="00B7393B"/>
    <w:rsid w:val="00B739EE"/>
    <w:rsid w:val="00B739F1"/>
    <w:rsid w:val="00B73A2F"/>
    <w:rsid w:val="00B73D77"/>
    <w:rsid w:val="00B73D7F"/>
    <w:rsid w:val="00B74085"/>
    <w:rsid w:val="00B74390"/>
    <w:rsid w:val="00B7449F"/>
    <w:rsid w:val="00B748A3"/>
    <w:rsid w:val="00B7495E"/>
    <w:rsid w:val="00B74CF8"/>
    <w:rsid w:val="00B75346"/>
    <w:rsid w:val="00B75353"/>
    <w:rsid w:val="00B755C3"/>
    <w:rsid w:val="00B759D2"/>
    <w:rsid w:val="00B75C6A"/>
    <w:rsid w:val="00B75CF2"/>
    <w:rsid w:val="00B75E26"/>
    <w:rsid w:val="00B75E86"/>
    <w:rsid w:val="00B75F28"/>
    <w:rsid w:val="00B76201"/>
    <w:rsid w:val="00B7651F"/>
    <w:rsid w:val="00B7662F"/>
    <w:rsid w:val="00B766B9"/>
    <w:rsid w:val="00B7670A"/>
    <w:rsid w:val="00B76801"/>
    <w:rsid w:val="00B76BF4"/>
    <w:rsid w:val="00B76E1C"/>
    <w:rsid w:val="00B76E5D"/>
    <w:rsid w:val="00B76F0F"/>
    <w:rsid w:val="00B76FCA"/>
    <w:rsid w:val="00B770CB"/>
    <w:rsid w:val="00B77629"/>
    <w:rsid w:val="00B777A3"/>
    <w:rsid w:val="00B7793C"/>
    <w:rsid w:val="00B77A4A"/>
    <w:rsid w:val="00B77C11"/>
    <w:rsid w:val="00B77C57"/>
    <w:rsid w:val="00B800B2"/>
    <w:rsid w:val="00B8012C"/>
    <w:rsid w:val="00B80617"/>
    <w:rsid w:val="00B80699"/>
    <w:rsid w:val="00B8086C"/>
    <w:rsid w:val="00B80963"/>
    <w:rsid w:val="00B80CA7"/>
    <w:rsid w:val="00B80D5F"/>
    <w:rsid w:val="00B80E3A"/>
    <w:rsid w:val="00B81013"/>
    <w:rsid w:val="00B810DF"/>
    <w:rsid w:val="00B811D0"/>
    <w:rsid w:val="00B81270"/>
    <w:rsid w:val="00B816D3"/>
    <w:rsid w:val="00B81943"/>
    <w:rsid w:val="00B81C7C"/>
    <w:rsid w:val="00B81D23"/>
    <w:rsid w:val="00B82015"/>
    <w:rsid w:val="00B8211C"/>
    <w:rsid w:val="00B82150"/>
    <w:rsid w:val="00B82467"/>
    <w:rsid w:val="00B824A2"/>
    <w:rsid w:val="00B8251D"/>
    <w:rsid w:val="00B825D7"/>
    <w:rsid w:val="00B82664"/>
    <w:rsid w:val="00B8286B"/>
    <w:rsid w:val="00B82A03"/>
    <w:rsid w:val="00B82CDB"/>
    <w:rsid w:val="00B8307E"/>
    <w:rsid w:val="00B83080"/>
    <w:rsid w:val="00B831F1"/>
    <w:rsid w:val="00B835A0"/>
    <w:rsid w:val="00B83728"/>
    <w:rsid w:val="00B839A4"/>
    <w:rsid w:val="00B839E8"/>
    <w:rsid w:val="00B83A47"/>
    <w:rsid w:val="00B83E62"/>
    <w:rsid w:val="00B83FA1"/>
    <w:rsid w:val="00B841C2"/>
    <w:rsid w:val="00B84A7A"/>
    <w:rsid w:val="00B84B06"/>
    <w:rsid w:val="00B84C5E"/>
    <w:rsid w:val="00B84D21"/>
    <w:rsid w:val="00B85302"/>
    <w:rsid w:val="00B85551"/>
    <w:rsid w:val="00B85747"/>
    <w:rsid w:val="00B85A46"/>
    <w:rsid w:val="00B85AA2"/>
    <w:rsid w:val="00B85E78"/>
    <w:rsid w:val="00B85E81"/>
    <w:rsid w:val="00B86144"/>
    <w:rsid w:val="00B863A9"/>
    <w:rsid w:val="00B863E7"/>
    <w:rsid w:val="00B86443"/>
    <w:rsid w:val="00B864C6"/>
    <w:rsid w:val="00B869CF"/>
    <w:rsid w:val="00B869DF"/>
    <w:rsid w:val="00B86E1B"/>
    <w:rsid w:val="00B86F63"/>
    <w:rsid w:val="00B87093"/>
    <w:rsid w:val="00B87244"/>
    <w:rsid w:val="00B872C8"/>
    <w:rsid w:val="00B87347"/>
    <w:rsid w:val="00B873B4"/>
    <w:rsid w:val="00B8773C"/>
    <w:rsid w:val="00B87AB6"/>
    <w:rsid w:val="00B87AC1"/>
    <w:rsid w:val="00B87BAA"/>
    <w:rsid w:val="00B87CD3"/>
    <w:rsid w:val="00B90146"/>
    <w:rsid w:val="00B901EA"/>
    <w:rsid w:val="00B901F3"/>
    <w:rsid w:val="00B90438"/>
    <w:rsid w:val="00B9073A"/>
    <w:rsid w:val="00B9080B"/>
    <w:rsid w:val="00B909FA"/>
    <w:rsid w:val="00B90C55"/>
    <w:rsid w:val="00B90CA7"/>
    <w:rsid w:val="00B91321"/>
    <w:rsid w:val="00B91561"/>
    <w:rsid w:val="00B916D9"/>
    <w:rsid w:val="00B91851"/>
    <w:rsid w:val="00B91913"/>
    <w:rsid w:val="00B9199C"/>
    <w:rsid w:val="00B91C6F"/>
    <w:rsid w:val="00B91C70"/>
    <w:rsid w:val="00B91FE2"/>
    <w:rsid w:val="00B9252B"/>
    <w:rsid w:val="00B92542"/>
    <w:rsid w:val="00B925A8"/>
    <w:rsid w:val="00B92731"/>
    <w:rsid w:val="00B929CA"/>
    <w:rsid w:val="00B92B46"/>
    <w:rsid w:val="00B92DCF"/>
    <w:rsid w:val="00B92E8F"/>
    <w:rsid w:val="00B93471"/>
    <w:rsid w:val="00B938EF"/>
    <w:rsid w:val="00B93A36"/>
    <w:rsid w:val="00B93AB3"/>
    <w:rsid w:val="00B93B41"/>
    <w:rsid w:val="00B93BE5"/>
    <w:rsid w:val="00B93D58"/>
    <w:rsid w:val="00B93F07"/>
    <w:rsid w:val="00B940BC"/>
    <w:rsid w:val="00B94142"/>
    <w:rsid w:val="00B9417A"/>
    <w:rsid w:val="00B941B4"/>
    <w:rsid w:val="00B944BD"/>
    <w:rsid w:val="00B9461F"/>
    <w:rsid w:val="00B9464D"/>
    <w:rsid w:val="00B94DF9"/>
    <w:rsid w:val="00B94E86"/>
    <w:rsid w:val="00B94F47"/>
    <w:rsid w:val="00B94F69"/>
    <w:rsid w:val="00B95071"/>
    <w:rsid w:val="00B951AE"/>
    <w:rsid w:val="00B952C0"/>
    <w:rsid w:val="00B9565B"/>
    <w:rsid w:val="00B957BF"/>
    <w:rsid w:val="00B957D2"/>
    <w:rsid w:val="00B95FE4"/>
    <w:rsid w:val="00B96287"/>
    <w:rsid w:val="00B96291"/>
    <w:rsid w:val="00B964D7"/>
    <w:rsid w:val="00B96533"/>
    <w:rsid w:val="00B969C6"/>
    <w:rsid w:val="00B96AF5"/>
    <w:rsid w:val="00B96BA9"/>
    <w:rsid w:val="00B96DF2"/>
    <w:rsid w:val="00B97187"/>
    <w:rsid w:val="00B97198"/>
    <w:rsid w:val="00B972D2"/>
    <w:rsid w:val="00B97ACA"/>
    <w:rsid w:val="00B97C5E"/>
    <w:rsid w:val="00B97D9B"/>
    <w:rsid w:val="00BA028E"/>
    <w:rsid w:val="00BA0303"/>
    <w:rsid w:val="00BA06DE"/>
    <w:rsid w:val="00BA07DE"/>
    <w:rsid w:val="00BA07E5"/>
    <w:rsid w:val="00BA0809"/>
    <w:rsid w:val="00BA0967"/>
    <w:rsid w:val="00BA0BCF"/>
    <w:rsid w:val="00BA0BE0"/>
    <w:rsid w:val="00BA0C92"/>
    <w:rsid w:val="00BA0E28"/>
    <w:rsid w:val="00BA1093"/>
    <w:rsid w:val="00BA10D5"/>
    <w:rsid w:val="00BA113D"/>
    <w:rsid w:val="00BA11F6"/>
    <w:rsid w:val="00BA1277"/>
    <w:rsid w:val="00BA1355"/>
    <w:rsid w:val="00BA13EE"/>
    <w:rsid w:val="00BA1581"/>
    <w:rsid w:val="00BA1582"/>
    <w:rsid w:val="00BA16A7"/>
    <w:rsid w:val="00BA16F9"/>
    <w:rsid w:val="00BA19A6"/>
    <w:rsid w:val="00BA1CEF"/>
    <w:rsid w:val="00BA2055"/>
    <w:rsid w:val="00BA2251"/>
    <w:rsid w:val="00BA257B"/>
    <w:rsid w:val="00BA270F"/>
    <w:rsid w:val="00BA2760"/>
    <w:rsid w:val="00BA2C41"/>
    <w:rsid w:val="00BA335F"/>
    <w:rsid w:val="00BA3BA8"/>
    <w:rsid w:val="00BA3C14"/>
    <w:rsid w:val="00BA3EAE"/>
    <w:rsid w:val="00BA4434"/>
    <w:rsid w:val="00BA46AC"/>
    <w:rsid w:val="00BA4736"/>
    <w:rsid w:val="00BA479F"/>
    <w:rsid w:val="00BA4A4B"/>
    <w:rsid w:val="00BA4A79"/>
    <w:rsid w:val="00BA4AD0"/>
    <w:rsid w:val="00BA4C40"/>
    <w:rsid w:val="00BA4CE5"/>
    <w:rsid w:val="00BA4D05"/>
    <w:rsid w:val="00BA520C"/>
    <w:rsid w:val="00BA5514"/>
    <w:rsid w:val="00BA5856"/>
    <w:rsid w:val="00BA664F"/>
    <w:rsid w:val="00BA68D3"/>
    <w:rsid w:val="00BA698A"/>
    <w:rsid w:val="00BA6C82"/>
    <w:rsid w:val="00BA6E9C"/>
    <w:rsid w:val="00BA6EAF"/>
    <w:rsid w:val="00BA7042"/>
    <w:rsid w:val="00BA7386"/>
    <w:rsid w:val="00BA74AD"/>
    <w:rsid w:val="00BA7702"/>
    <w:rsid w:val="00BA78EB"/>
    <w:rsid w:val="00BA799F"/>
    <w:rsid w:val="00BA7A0F"/>
    <w:rsid w:val="00BA7C43"/>
    <w:rsid w:val="00BA7D2F"/>
    <w:rsid w:val="00BB004E"/>
    <w:rsid w:val="00BB00C6"/>
    <w:rsid w:val="00BB010E"/>
    <w:rsid w:val="00BB0211"/>
    <w:rsid w:val="00BB04F8"/>
    <w:rsid w:val="00BB09E8"/>
    <w:rsid w:val="00BB0BA8"/>
    <w:rsid w:val="00BB0CDA"/>
    <w:rsid w:val="00BB0D56"/>
    <w:rsid w:val="00BB0DD2"/>
    <w:rsid w:val="00BB0E6E"/>
    <w:rsid w:val="00BB0FFB"/>
    <w:rsid w:val="00BB105E"/>
    <w:rsid w:val="00BB1698"/>
    <w:rsid w:val="00BB19F1"/>
    <w:rsid w:val="00BB1A07"/>
    <w:rsid w:val="00BB1C1F"/>
    <w:rsid w:val="00BB1D60"/>
    <w:rsid w:val="00BB2085"/>
    <w:rsid w:val="00BB20EC"/>
    <w:rsid w:val="00BB2117"/>
    <w:rsid w:val="00BB232B"/>
    <w:rsid w:val="00BB2468"/>
    <w:rsid w:val="00BB24F0"/>
    <w:rsid w:val="00BB2679"/>
    <w:rsid w:val="00BB2780"/>
    <w:rsid w:val="00BB2C2E"/>
    <w:rsid w:val="00BB2D5A"/>
    <w:rsid w:val="00BB2E76"/>
    <w:rsid w:val="00BB3207"/>
    <w:rsid w:val="00BB3418"/>
    <w:rsid w:val="00BB34FC"/>
    <w:rsid w:val="00BB381A"/>
    <w:rsid w:val="00BB3844"/>
    <w:rsid w:val="00BB3A5F"/>
    <w:rsid w:val="00BB3B1F"/>
    <w:rsid w:val="00BB4088"/>
    <w:rsid w:val="00BB4392"/>
    <w:rsid w:val="00BB43A1"/>
    <w:rsid w:val="00BB48E0"/>
    <w:rsid w:val="00BB4CD4"/>
    <w:rsid w:val="00BB4D9A"/>
    <w:rsid w:val="00BB4DD6"/>
    <w:rsid w:val="00BB55D1"/>
    <w:rsid w:val="00BB56CE"/>
    <w:rsid w:val="00BB5B13"/>
    <w:rsid w:val="00BB5B62"/>
    <w:rsid w:val="00BB5C1A"/>
    <w:rsid w:val="00BB5F18"/>
    <w:rsid w:val="00BB60F1"/>
    <w:rsid w:val="00BB610A"/>
    <w:rsid w:val="00BB6196"/>
    <w:rsid w:val="00BB62AB"/>
    <w:rsid w:val="00BB65F4"/>
    <w:rsid w:val="00BB67EC"/>
    <w:rsid w:val="00BB6874"/>
    <w:rsid w:val="00BB68DB"/>
    <w:rsid w:val="00BB6A42"/>
    <w:rsid w:val="00BB6B85"/>
    <w:rsid w:val="00BB6BFE"/>
    <w:rsid w:val="00BB6D95"/>
    <w:rsid w:val="00BB6F3D"/>
    <w:rsid w:val="00BB6F40"/>
    <w:rsid w:val="00BB7333"/>
    <w:rsid w:val="00BB7364"/>
    <w:rsid w:val="00BB7523"/>
    <w:rsid w:val="00BB7833"/>
    <w:rsid w:val="00BB7867"/>
    <w:rsid w:val="00BB78E2"/>
    <w:rsid w:val="00BB7AC2"/>
    <w:rsid w:val="00BB7B5C"/>
    <w:rsid w:val="00BB7D71"/>
    <w:rsid w:val="00BB7F32"/>
    <w:rsid w:val="00BC00D4"/>
    <w:rsid w:val="00BC02CD"/>
    <w:rsid w:val="00BC0342"/>
    <w:rsid w:val="00BC045D"/>
    <w:rsid w:val="00BC05BE"/>
    <w:rsid w:val="00BC0CA8"/>
    <w:rsid w:val="00BC0CB2"/>
    <w:rsid w:val="00BC0DE1"/>
    <w:rsid w:val="00BC0EA1"/>
    <w:rsid w:val="00BC1097"/>
    <w:rsid w:val="00BC1109"/>
    <w:rsid w:val="00BC11D2"/>
    <w:rsid w:val="00BC11E3"/>
    <w:rsid w:val="00BC1380"/>
    <w:rsid w:val="00BC1797"/>
    <w:rsid w:val="00BC19E4"/>
    <w:rsid w:val="00BC1A20"/>
    <w:rsid w:val="00BC2390"/>
    <w:rsid w:val="00BC2471"/>
    <w:rsid w:val="00BC2537"/>
    <w:rsid w:val="00BC25B8"/>
    <w:rsid w:val="00BC2C08"/>
    <w:rsid w:val="00BC2C9F"/>
    <w:rsid w:val="00BC2D22"/>
    <w:rsid w:val="00BC2DD9"/>
    <w:rsid w:val="00BC3034"/>
    <w:rsid w:val="00BC34D0"/>
    <w:rsid w:val="00BC3520"/>
    <w:rsid w:val="00BC35F7"/>
    <w:rsid w:val="00BC3657"/>
    <w:rsid w:val="00BC3849"/>
    <w:rsid w:val="00BC385E"/>
    <w:rsid w:val="00BC3878"/>
    <w:rsid w:val="00BC3A46"/>
    <w:rsid w:val="00BC3B47"/>
    <w:rsid w:val="00BC3BDB"/>
    <w:rsid w:val="00BC3C73"/>
    <w:rsid w:val="00BC40A0"/>
    <w:rsid w:val="00BC41C5"/>
    <w:rsid w:val="00BC41F3"/>
    <w:rsid w:val="00BC4289"/>
    <w:rsid w:val="00BC4440"/>
    <w:rsid w:val="00BC456F"/>
    <w:rsid w:val="00BC4777"/>
    <w:rsid w:val="00BC4788"/>
    <w:rsid w:val="00BC47CB"/>
    <w:rsid w:val="00BC4AC8"/>
    <w:rsid w:val="00BC4CC3"/>
    <w:rsid w:val="00BC4DB6"/>
    <w:rsid w:val="00BC4F6D"/>
    <w:rsid w:val="00BC5297"/>
    <w:rsid w:val="00BC52C0"/>
    <w:rsid w:val="00BC539A"/>
    <w:rsid w:val="00BC5583"/>
    <w:rsid w:val="00BC5773"/>
    <w:rsid w:val="00BC5D62"/>
    <w:rsid w:val="00BC5D8C"/>
    <w:rsid w:val="00BC5ED2"/>
    <w:rsid w:val="00BC5F43"/>
    <w:rsid w:val="00BC6002"/>
    <w:rsid w:val="00BC61FA"/>
    <w:rsid w:val="00BC6325"/>
    <w:rsid w:val="00BC63CC"/>
    <w:rsid w:val="00BC651D"/>
    <w:rsid w:val="00BC682B"/>
    <w:rsid w:val="00BC6D28"/>
    <w:rsid w:val="00BC6ECC"/>
    <w:rsid w:val="00BC7267"/>
    <w:rsid w:val="00BC726A"/>
    <w:rsid w:val="00BC72CF"/>
    <w:rsid w:val="00BC7311"/>
    <w:rsid w:val="00BC7337"/>
    <w:rsid w:val="00BC739D"/>
    <w:rsid w:val="00BC73C6"/>
    <w:rsid w:val="00BC76F9"/>
    <w:rsid w:val="00BC789C"/>
    <w:rsid w:val="00BC7927"/>
    <w:rsid w:val="00BC7C42"/>
    <w:rsid w:val="00BC7DD4"/>
    <w:rsid w:val="00BC7E2A"/>
    <w:rsid w:val="00BC7EA4"/>
    <w:rsid w:val="00BC7EA9"/>
    <w:rsid w:val="00BD00C4"/>
    <w:rsid w:val="00BD00FF"/>
    <w:rsid w:val="00BD0344"/>
    <w:rsid w:val="00BD0675"/>
    <w:rsid w:val="00BD06EB"/>
    <w:rsid w:val="00BD08F2"/>
    <w:rsid w:val="00BD0B47"/>
    <w:rsid w:val="00BD0C00"/>
    <w:rsid w:val="00BD0CF8"/>
    <w:rsid w:val="00BD0DF7"/>
    <w:rsid w:val="00BD0F0E"/>
    <w:rsid w:val="00BD0F40"/>
    <w:rsid w:val="00BD1046"/>
    <w:rsid w:val="00BD118B"/>
    <w:rsid w:val="00BD1313"/>
    <w:rsid w:val="00BD14DF"/>
    <w:rsid w:val="00BD1505"/>
    <w:rsid w:val="00BD173C"/>
    <w:rsid w:val="00BD1AF6"/>
    <w:rsid w:val="00BD207D"/>
    <w:rsid w:val="00BD2298"/>
    <w:rsid w:val="00BD23BE"/>
    <w:rsid w:val="00BD24DD"/>
    <w:rsid w:val="00BD2523"/>
    <w:rsid w:val="00BD26C8"/>
    <w:rsid w:val="00BD293A"/>
    <w:rsid w:val="00BD2AE6"/>
    <w:rsid w:val="00BD2BC9"/>
    <w:rsid w:val="00BD2D15"/>
    <w:rsid w:val="00BD2DD8"/>
    <w:rsid w:val="00BD32AA"/>
    <w:rsid w:val="00BD3665"/>
    <w:rsid w:val="00BD3687"/>
    <w:rsid w:val="00BD3B74"/>
    <w:rsid w:val="00BD3F20"/>
    <w:rsid w:val="00BD3F96"/>
    <w:rsid w:val="00BD414C"/>
    <w:rsid w:val="00BD418C"/>
    <w:rsid w:val="00BD438A"/>
    <w:rsid w:val="00BD4624"/>
    <w:rsid w:val="00BD4A42"/>
    <w:rsid w:val="00BD4B21"/>
    <w:rsid w:val="00BD4C7A"/>
    <w:rsid w:val="00BD4D8E"/>
    <w:rsid w:val="00BD4E15"/>
    <w:rsid w:val="00BD4FAE"/>
    <w:rsid w:val="00BD5525"/>
    <w:rsid w:val="00BD5759"/>
    <w:rsid w:val="00BD583A"/>
    <w:rsid w:val="00BD5A2F"/>
    <w:rsid w:val="00BD5ACE"/>
    <w:rsid w:val="00BD5D30"/>
    <w:rsid w:val="00BD5D66"/>
    <w:rsid w:val="00BD5DB1"/>
    <w:rsid w:val="00BD64A4"/>
    <w:rsid w:val="00BD64F9"/>
    <w:rsid w:val="00BD64FE"/>
    <w:rsid w:val="00BD6882"/>
    <w:rsid w:val="00BD694D"/>
    <w:rsid w:val="00BD6A9E"/>
    <w:rsid w:val="00BD6B73"/>
    <w:rsid w:val="00BD6F51"/>
    <w:rsid w:val="00BD7044"/>
    <w:rsid w:val="00BD70B5"/>
    <w:rsid w:val="00BD7254"/>
    <w:rsid w:val="00BD7393"/>
    <w:rsid w:val="00BD7454"/>
    <w:rsid w:val="00BD774B"/>
    <w:rsid w:val="00BD7900"/>
    <w:rsid w:val="00BD7EC7"/>
    <w:rsid w:val="00BE0070"/>
    <w:rsid w:val="00BE0130"/>
    <w:rsid w:val="00BE0280"/>
    <w:rsid w:val="00BE0309"/>
    <w:rsid w:val="00BE0442"/>
    <w:rsid w:val="00BE078E"/>
    <w:rsid w:val="00BE0C8F"/>
    <w:rsid w:val="00BE1124"/>
    <w:rsid w:val="00BE1B2C"/>
    <w:rsid w:val="00BE2441"/>
    <w:rsid w:val="00BE2C2F"/>
    <w:rsid w:val="00BE2D7C"/>
    <w:rsid w:val="00BE2DA4"/>
    <w:rsid w:val="00BE3123"/>
    <w:rsid w:val="00BE31D8"/>
    <w:rsid w:val="00BE3340"/>
    <w:rsid w:val="00BE339C"/>
    <w:rsid w:val="00BE34F1"/>
    <w:rsid w:val="00BE383E"/>
    <w:rsid w:val="00BE39AB"/>
    <w:rsid w:val="00BE3BFB"/>
    <w:rsid w:val="00BE3C4A"/>
    <w:rsid w:val="00BE45EE"/>
    <w:rsid w:val="00BE4A50"/>
    <w:rsid w:val="00BE4B76"/>
    <w:rsid w:val="00BE4DF4"/>
    <w:rsid w:val="00BE4F86"/>
    <w:rsid w:val="00BE503B"/>
    <w:rsid w:val="00BE5118"/>
    <w:rsid w:val="00BE5308"/>
    <w:rsid w:val="00BE5431"/>
    <w:rsid w:val="00BE5491"/>
    <w:rsid w:val="00BE5577"/>
    <w:rsid w:val="00BE5601"/>
    <w:rsid w:val="00BE5894"/>
    <w:rsid w:val="00BE5ADE"/>
    <w:rsid w:val="00BE6151"/>
    <w:rsid w:val="00BE64F3"/>
    <w:rsid w:val="00BE664A"/>
    <w:rsid w:val="00BE680A"/>
    <w:rsid w:val="00BE6A80"/>
    <w:rsid w:val="00BE6ABC"/>
    <w:rsid w:val="00BE6CEC"/>
    <w:rsid w:val="00BE6ED6"/>
    <w:rsid w:val="00BE70F0"/>
    <w:rsid w:val="00BE7105"/>
    <w:rsid w:val="00BE72B6"/>
    <w:rsid w:val="00BE7313"/>
    <w:rsid w:val="00BE7598"/>
    <w:rsid w:val="00BE75DF"/>
    <w:rsid w:val="00BE75F2"/>
    <w:rsid w:val="00BE77BC"/>
    <w:rsid w:val="00BE7FE8"/>
    <w:rsid w:val="00BF01D0"/>
    <w:rsid w:val="00BF020A"/>
    <w:rsid w:val="00BF062B"/>
    <w:rsid w:val="00BF0642"/>
    <w:rsid w:val="00BF081B"/>
    <w:rsid w:val="00BF0D8B"/>
    <w:rsid w:val="00BF10C3"/>
    <w:rsid w:val="00BF1104"/>
    <w:rsid w:val="00BF112C"/>
    <w:rsid w:val="00BF13EC"/>
    <w:rsid w:val="00BF1683"/>
    <w:rsid w:val="00BF190D"/>
    <w:rsid w:val="00BF1D49"/>
    <w:rsid w:val="00BF2021"/>
    <w:rsid w:val="00BF2118"/>
    <w:rsid w:val="00BF2163"/>
    <w:rsid w:val="00BF21D6"/>
    <w:rsid w:val="00BF22D9"/>
    <w:rsid w:val="00BF25D3"/>
    <w:rsid w:val="00BF25FB"/>
    <w:rsid w:val="00BF2B96"/>
    <w:rsid w:val="00BF2E69"/>
    <w:rsid w:val="00BF3005"/>
    <w:rsid w:val="00BF32B2"/>
    <w:rsid w:val="00BF3357"/>
    <w:rsid w:val="00BF34FE"/>
    <w:rsid w:val="00BF3579"/>
    <w:rsid w:val="00BF387E"/>
    <w:rsid w:val="00BF38B2"/>
    <w:rsid w:val="00BF3935"/>
    <w:rsid w:val="00BF3B27"/>
    <w:rsid w:val="00BF3BC5"/>
    <w:rsid w:val="00BF3C63"/>
    <w:rsid w:val="00BF3DEF"/>
    <w:rsid w:val="00BF40A4"/>
    <w:rsid w:val="00BF42CA"/>
    <w:rsid w:val="00BF442B"/>
    <w:rsid w:val="00BF44E8"/>
    <w:rsid w:val="00BF460E"/>
    <w:rsid w:val="00BF479F"/>
    <w:rsid w:val="00BF4802"/>
    <w:rsid w:val="00BF4806"/>
    <w:rsid w:val="00BF4CBD"/>
    <w:rsid w:val="00BF4D12"/>
    <w:rsid w:val="00BF4DBF"/>
    <w:rsid w:val="00BF5411"/>
    <w:rsid w:val="00BF57A7"/>
    <w:rsid w:val="00BF58DC"/>
    <w:rsid w:val="00BF5B5B"/>
    <w:rsid w:val="00BF5C9A"/>
    <w:rsid w:val="00BF5F73"/>
    <w:rsid w:val="00BF6193"/>
    <w:rsid w:val="00BF61CF"/>
    <w:rsid w:val="00BF62F3"/>
    <w:rsid w:val="00BF673A"/>
    <w:rsid w:val="00BF67D3"/>
    <w:rsid w:val="00BF708F"/>
    <w:rsid w:val="00BF72AE"/>
    <w:rsid w:val="00BF77BD"/>
    <w:rsid w:val="00BF7AA6"/>
    <w:rsid w:val="00BF7B07"/>
    <w:rsid w:val="00BF7BCD"/>
    <w:rsid w:val="00BF7CCC"/>
    <w:rsid w:val="00BF7EE2"/>
    <w:rsid w:val="00C000E3"/>
    <w:rsid w:val="00C0026B"/>
    <w:rsid w:val="00C0030D"/>
    <w:rsid w:val="00C0046A"/>
    <w:rsid w:val="00C00522"/>
    <w:rsid w:val="00C00B3D"/>
    <w:rsid w:val="00C00C4B"/>
    <w:rsid w:val="00C00D8C"/>
    <w:rsid w:val="00C00F33"/>
    <w:rsid w:val="00C012AF"/>
    <w:rsid w:val="00C0157A"/>
    <w:rsid w:val="00C018D2"/>
    <w:rsid w:val="00C01B87"/>
    <w:rsid w:val="00C01C26"/>
    <w:rsid w:val="00C01F6A"/>
    <w:rsid w:val="00C02051"/>
    <w:rsid w:val="00C020E7"/>
    <w:rsid w:val="00C020FB"/>
    <w:rsid w:val="00C02145"/>
    <w:rsid w:val="00C023B2"/>
    <w:rsid w:val="00C02593"/>
    <w:rsid w:val="00C0292B"/>
    <w:rsid w:val="00C029F7"/>
    <w:rsid w:val="00C02C99"/>
    <w:rsid w:val="00C03581"/>
    <w:rsid w:val="00C03A32"/>
    <w:rsid w:val="00C03C49"/>
    <w:rsid w:val="00C03DBA"/>
    <w:rsid w:val="00C04077"/>
    <w:rsid w:val="00C040C5"/>
    <w:rsid w:val="00C04244"/>
    <w:rsid w:val="00C045B3"/>
    <w:rsid w:val="00C045B9"/>
    <w:rsid w:val="00C04765"/>
    <w:rsid w:val="00C04BF7"/>
    <w:rsid w:val="00C04CC1"/>
    <w:rsid w:val="00C05242"/>
    <w:rsid w:val="00C053EF"/>
    <w:rsid w:val="00C05554"/>
    <w:rsid w:val="00C0564B"/>
    <w:rsid w:val="00C05AAE"/>
    <w:rsid w:val="00C05ABD"/>
    <w:rsid w:val="00C05CD4"/>
    <w:rsid w:val="00C06199"/>
    <w:rsid w:val="00C061A6"/>
    <w:rsid w:val="00C06329"/>
    <w:rsid w:val="00C06331"/>
    <w:rsid w:val="00C06395"/>
    <w:rsid w:val="00C065BF"/>
    <w:rsid w:val="00C06739"/>
    <w:rsid w:val="00C06B51"/>
    <w:rsid w:val="00C06B57"/>
    <w:rsid w:val="00C06DD8"/>
    <w:rsid w:val="00C06E3D"/>
    <w:rsid w:val="00C06FC7"/>
    <w:rsid w:val="00C06FDB"/>
    <w:rsid w:val="00C073C8"/>
    <w:rsid w:val="00C07694"/>
    <w:rsid w:val="00C0770E"/>
    <w:rsid w:val="00C07825"/>
    <w:rsid w:val="00C078BC"/>
    <w:rsid w:val="00C0791B"/>
    <w:rsid w:val="00C079E1"/>
    <w:rsid w:val="00C07C05"/>
    <w:rsid w:val="00C07CB4"/>
    <w:rsid w:val="00C07D63"/>
    <w:rsid w:val="00C100C1"/>
    <w:rsid w:val="00C100CE"/>
    <w:rsid w:val="00C102D3"/>
    <w:rsid w:val="00C1079B"/>
    <w:rsid w:val="00C10DFA"/>
    <w:rsid w:val="00C11834"/>
    <w:rsid w:val="00C1185C"/>
    <w:rsid w:val="00C118A5"/>
    <w:rsid w:val="00C11A56"/>
    <w:rsid w:val="00C11B0E"/>
    <w:rsid w:val="00C11D66"/>
    <w:rsid w:val="00C120AD"/>
    <w:rsid w:val="00C122FC"/>
    <w:rsid w:val="00C12EE8"/>
    <w:rsid w:val="00C12F58"/>
    <w:rsid w:val="00C13065"/>
    <w:rsid w:val="00C13150"/>
    <w:rsid w:val="00C136D8"/>
    <w:rsid w:val="00C13D50"/>
    <w:rsid w:val="00C13EE1"/>
    <w:rsid w:val="00C13F4B"/>
    <w:rsid w:val="00C140D5"/>
    <w:rsid w:val="00C1434C"/>
    <w:rsid w:val="00C144C2"/>
    <w:rsid w:val="00C14620"/>
    <w:rsid w:val="00C147EE"/>
    <w:rsid w:val="00C1483D"/>
    <w:rsid w:val="00C14840"/>
    <w:rsid w:val="00C14867"/>
    <w:rsid w:val="00C14C57"/>
    <w:rsid w:val="00C14D24"/>
    <w:rsid w:val="00C15248"/>
    <w:rsid w:val="00C15370"/>
    <w:rsid w:val="00C15525"/>
    <w:rsid w:val="00C15668"/>
    <w:rsid w:val="00C15A05"/>
    <w:rsid w:val="00C15B15"/>
    <w:rsid w:val="00C15C87"/>
    <w:rsid w:val="00C15F70"/>
    <w:rsid w:val="00C16171"/>
    <w:rsid w:val="00C16495"/>
    <w:rsid w:val="00C164B4"/>
    <w:rsid w:val="00C167C0"/>
    <w:rsid w:val="00C168CE"/>
    <w:rsid w:val="00C1692F"/>
    <w:rsid w:val="00C16BD2"/>
    <w:rsid w:val="00C16BE3"/>
    <w:rsid w:val="00C16CA3"/>
    <w:rsid w:val="00C16E66"/>
    <w:rsid w:val="00C16F90"/>
    <w:rsid w:val="00C1705D"/>
    <w:rsid w:val="00C170B6"/>
    <w:rsid w:val="00C172C2"/>
    <w:rsid w:val="00C17536"/>
    <w:rsid w:val="00C1763E"/>
    <w:rsid w:val="00C1767D"/>
    <w:rsid w:val="00C17917"/>
    <w:rsid w:val="00C179B0"/>
    <w:rsid w:val="00C179CC"/>
    <w:rsid w:val="00C17B64"/>
    <w:rsid w:val="00C17C80"/>
    <w:rsid w:val="00C17DC0"/>
    <w:rsid w:val="00C17E0D"/>
    <w:rsid w:val="00C17E55"/>
    <w:rsid w:val="00C17FA0"/>
    <w:rsid w:val="00C2008A"/>
    <w:rsid w:val="00C20223"/>
    <w:rsid w:val="00C20257"/>
    <w:rsid w:val="00C205B1"/>
    <w:rsid w:val="00C2077F"/>
    <w:rsid w:val="00C2078E"/>
    <w:rsid w:val="00C20C67"/>
    <w:rsid w:val="00C20D33"/>
    <w:rsid w:val="00C20D9F"/>
    <w:rsid w:val="00C20DF6"/>
    <w:rsid w:val="00C20E94"/>
    <w:rsid w:val="00C20F84"/>
    <w:rsid w:val="00C2134B"/>
    <w:rsid w:val="00C2136D"/>
    <w:rsid w:val="00C21606"/>
    <w:rsid w:val="00C21689"/>
    <w:rsid w:val="00C21753"/>
    <w:rsid w:val="00C21800"/>
    <w:rsid w:val="00C21CBB"/>
    <w:rsid w:val="00C21FEA"/>
    <w:rsid w:val="00C221D5"/>
    <w:rsid w:val="00C22265"/>
    <w:rsid w:val="00C222DB"/>
    <w:rsid w:val="00C22412"/>
    <w:rsid w:val="00C22414"/>
    <w:rsid w:val="00C22440"/>
    <w:rsid w:val="00C228C3"/>
    <w:rsid w:val="00C229A4"/>
    <w:rsid w:val="00C229B7"/>
    <w:rsid w:val="00C22EAE"/>
    <w:rsid w:val="00C23B3F"/>
    <w:rsid w:val="00C23C6E"/>
    <w:rsid w:val="00C23C90"/>
    <w:rsid w:val="00C24671"/>
    <w:rsid w:val="00C247E8"/>
    <w:rsid w:val="00C249C6"/>
    <w:rsid w:val="00C24B27"/>
    <w:rsid w:val="00C24BF1"/>
    <w:rsid w:val="00C24BFE"/>
    <w:rsid w:val="00C24D52"/>
    <w:rsid w:val="00C24DA0"/>
    <w:rsid w:val="00C24DCD"/>
    <w:rsid w:val="00C24DEF"/>
    <w:rsid w:val="00C24F5B"/>
    <w:rsid w:val="00C24F6D"/>
    <w:rsid w:val="00C25049"/>
    <w:rsid w:val="00C2556A"/>
    <w:rsid w:val="00C25830"/>
    <w:rsid w:val="00C25899"/>
    <w:rsid w:val="00C25928"/>
    <w:rsid w:val="00C25B16"/>
    <w:rsid w:val="00C25B7B"/>
    <w:rsid w:val="00C2692E"/>
    <w:rsid w:val="00C2697C"/>
    <w:rsid w:val="00C26D17"/>
    <w:rsid w:val="00C27022"/>
    <w:rsid w:val="00C27123"/>
    <w:rsid w:val="00C27411"/>
    <w:rsid w:val="00C27466"/>
    <w:rsid w:val="00C274F2"/>
    <w:rsid w:val="00C2763A"/>
    <w:rsid w:val="00C277F2"/>
    <w:rsid w:val="00C277F7"/>
    <w:rsid w:val="00C27857"/>
    <w:rsid w:val="00C27871"/>
    <w:rsid w:val="00C27A47"/>
    <w:rsid w:val="00C27AC8"/>
    <w:rsid w:val="00C27B8A"/>
    <w:rsid w:val="00C27D15"/>
    <w:rsid w:val="00C27E78"/>
    <w:rsid w:val="00C27F07"/>
    <w:rsid w:val="00C300D2"/>
    <w:rsid w:val="00C300F5"/>
    <w:rsid w:val="00C307D7"/>
    <w:rsid w:val="00C309BE"/>
    <w:rsid w:val="00C30B02"/>
    <w:rsid w:val="00C30B88"/>
    <w:rsid w:val="00C30BB8"/>
    <w:rsid w:val="00C30CBB"/>
    <w:rsid w:val="00C313C0"/>
    <w:rsid w:val="00C31830"/>
    <w:rsid w:val="00C3184C"/>
    <w:rsid w:val="00C31D12"/>
    <w:rsid w:val="00C31D8F"/>
    <w:rsid w:val="00C321FE"/>
    <w:rsid w:val="00C32341"/>
    <w:rsid w:val="00C323DF"/>
    <w:rsid w:val="00C3251E"/>
    <w:rsid w:val="00C3257C"/>
    <w:rsid w:val="00C325A1"/>
    <w:rsid w:val="00C32735"/>
    <w:rsid w:val="00C32904"/>
    <w:rsid w:val="00C32A3A"/>
    <w:rsid w:val="00C32A51"/>
    <w:rsid w:val="00C32BE2"/>
    <w:rsid w:val="00C32C61"/>
    <w:rsid w:val="00C32C6A"/>
    <w:rsid w:val="00C32C9A"/>
    <w:rsid w:val="00C32D49"/>
    <w:rsid w:val="00C32F67"/>
    <w:rsid w:val="00C33058"/>
    <w:rsid w:val="00C33C4F"/>
    <w:rsid w:val="00C33CCA"/>
    <w:rsid w:val="00C33CEF"/>
    <w:rsid w:val="00C33F62"/>
    <w:rsid w:val="00C33F9A"/>
    <w:rsid w:val="00C34189"/>
    <w:rsid w:val="00C341C3"/>
    <w:rsid w:val="00C34278"/>
    <w:rsid w:val="00C3446D"/>
    <w:rsid w:val="00C3474C"/>
    <w:rsid w:val="00C347E9"/>
    <w:rsid w:val="00C3492D"/>
    <w:rsid w:val="00C34B3A"/>
    <w:rsid w:val="00C34B5E"/>
    <w:rsid w:val="00C34D0F"/>
    <w:rsid w:val="00C34DD0"/>
    <w:rsid w:val="00C34DF3"/>
    <w:rsid w:val="00C34EC0"/>
    <w:rsid w:val="00C34F29"/>
    <w:rsid w:val="00C35258"/>
    <w:rsid w:val="00C353B7"/>
    <w:rsid w:val="00C35630"/>
    <w:rsid w:val="00C357B4"/>
    <w:rsid w:val="00C35CEB"/>
    <w:rsid w:val="00C35F1C"/>
    <w:rsid w:val="00C360A1"/>
    <w:rsid w:val="00C360BF"/>
    <w:rsid w:val="00C361E0"/>
    <w:rsid w:val="00C361F9"/>
    <w:rsid w:val="00C362DE"/>
    <w:rsid w:val="00C3636D"/>
    <w:rsid w:val="00C3638C"/>
    <w:rsid w:val="00C363E2"/>
    <w:rsid w:val="00C36462"/>
    <w:rsid w:val="00C36639"/>
    <w:rsid w:val="00C3675A"/>
    <w:rsid w:val="00C36795"/>
    <w:rsid w:val="00C3679E"/>
    <w:rsid w:val="00C36877"/>
    <w:rsid w:val="00C3699B"/>
    <w:rsid w:val="00C36AC8"/>
    <w:rsid w:val="00C36C29"/>
    <w:rsid w:val="00C36DF5"/>
    <w:rsid w:val="00C36FF9"/>
    <w:rsid w:val="00C37065"/>
    <w:rsid w:val="00C3737D"/>
    <w:rsid w:val="00C373E4"/>
    <w:rsid w:val="00C37434"/>
    <w:rsid w:val="00C374B3"/>
    <w:rsid w:val="00C374F2"/>
    <w:rsid w:val="00C37567"/>
    <w:rsid w:val="00C376E1"/>
    <w:rsid w:val="00C376F2"/>
    <w:rsid w:val="00C377DB"/>
    <w:rsid w:val="00C377E9"/>
    <w:rsid w:val="00C37CDB"/>
    <w:rsid w:val="00C37E23"/>
    <w:rsid w:val="00C37FC6"/>
    <w:rsid w:val="00C40134"/>
    <w:rsid w:val="00C402D7"/>
    <w:rsid w:val="00C40556"/>
    <w:rsid w:val="00C408DC"/>
    <w:rsid w:val="00C40B48"/>
    <w:rsid w:val="00C40B7F"/>
    <w:rsid w:val="00C40B8D"/>
    <w:rsid w:val="00C40CC4"/>
    <w:rsid w:val="00C40CFE"/>
    <w:rsid w:val="00C41113"/>
    <w:rsid w:val="00C41568"/>
    <w:rsid w:val="00C415AB"/>
    <w:rsid w:val="00C416D0"/>
    <w:rsid w:val="00C419D9"/>
    <w:rsid w:val="00C41D01"/>
    <w:rsid w:val="00C41DDB"/>
    <w:rsid w:val="00C41E0C"/>
    <w:rsid w:val="00C41E22"/>
    <w:rsid w:val="00C420FE"/>
    <w:rsid w:val="00C421D1"/>
    <w:rsid w:val="00C421EC"/>
    <w:rsid w:val="00C42312"/>
    <w:rsid w:val="00C4239C"/>
    <w:rsid w:val="00C426DB"/>
    <w:rsid w:val="00C42A96"/>
    <w:rsid w:val="00C42B66"/>
    <w:rsid w:val="00C42C28"/>
    <w:rsid w:val="00C42DE1"/>
    <w:rsid w:val="00C42F49"/>
    <w:rsid w:val="00C43023"/>
    <w:rsid w:val="00C435E4"/>
    <w:rsid w:val="00C43C80"/>
    <w:rsid w:val="00C43CCC"/>
    <w:rsid w:val="00C43F16"/>
    <w:rsid w:val="00C43F3A"/>
    <w:rsid w:val="00C4436F"/>
    <w:rsid w:val="00C44373"/>
    <w:rsid w:val="00C4470A"/>
    <w:rsid w:val="00C44754"/>
    <w:rsid w:val="00C44BAB"/>
    <w:rsid w:val="00C44EF2"/>
    <w:rsid w:val="00C44F61"/>
    <w:rsid w:val="00C44FAE"/>
    <w:rsid w:val="00C45220"/>
    <w:rsid w:val="00C453F9"/>
    <w:rsid w:val="00C456D0"/>
    <w:rsid w:val="00C45856"/>
    <w:rsid w:val="00C45914"/>
    <w:rsid w:val="00C45B03"/>
    <w:rsid w:val="00C45F50"/>
    <w:rsid w:val="00C45FEC"/>
    <w:rsid w:val="00C46606"/>
    <w:rsid w:val="00C46892"/>
    <w:rsid w:val="00C46EF1"/>
    <w:rsid w:val="00C47192"/>
    <w:rsid w:val="00C4729C"/>
    <w:rsid w:val="00C47438"/>
    <w:rsid w:val="00C47572"/>
    <w:rsid w:val="00C4758B"/>
    <w:rsid w:val="00C478B0"/>
    <w:rsid w:val="00C479A6"/>
    <w:rsid w:val="00C47AAC"/>
    <w:rsid w:val="00C47E0F"/>
    <w:rsid w:val="00C5008B"/>
    <w:rsid w:val="00C503DD"/>
    <w:rsid w:val="00C5040C"/>
    <w:rsid w:val="00C50532"/>
    <w:rsid w:val="00C50673"/>
    <w:rsid w:val="00C50A31"/>
    <w:rsid w:val="00C50AF0"/>
    <w:rsid w:val="00C50B04"/>
    <w:rsid w:val="00C50D07"/>
    <w:rsid w:val="00C50D2E"/>
    <w:rsid w:val="00C50DA9"/>
    <w:rsid w:val="00C50DDC"/>
    <w:rsid w:val="00C5128C"/>
    <w:rsid w:val="00C5159C"/>
    <w:rsid w:val="00C51642"/>
    <w:rsid w:val="00C5178B"/>
    <w:rsid w:val="00C517A9"/>
    <w:rsid w:val="00C5189E"/>
    <w:rsid w:val="00C518BC"/>
    <w:rsid w:val="00C51902"/>
    <w:rsid w:val="00C51973"/>
    <w:rsid w:val="00C51A64"/>
    <w:rsid w:val="00C51B2E"/>
    <w:rsid w:val="00C51C01"/>
    <w:rsid w:val="00C51FAA"/>
    <w:rsid w:val="00C525C7"/>
    <w:rsid w:val="00C527FC"/>
    <w:rsid w:val="00C5297B"/>
    <w:rsid w:val="00C52B41"/>
    <w:rsid w:val="00C52E8B"/>
    <w:rsid w:val="00C52F20"/>
    <w:rsid w:val="00C53160"/>
    <w:rsid w:val="00C53331"/>
    <w:rsid w:val="00C5335B"/>
    <w:rsid w:val="00C535C6"/>
    <w:rsid w:val="00C53D8C"/>
    <w:rsid w:val="00C53E99"/>
    <w:rsid w:val="00C53FD0"/>
    <w:rsid w:val="00C54176"/>
    <w:rsid w:val="00C54349"/>
    <w:rsid w:val="00C543B5"/>
    <w:rsid w:val="00C547F0"/>
    <w:rsid w:val="00C54816"/>
    <w:rsid w:val="00C548DB"/>
    <w:rsid w:val="00C54AF8"/>
    <w:rsid w:val="00C54B04"/>
    <w:rsid w:val="00C54B34"/>
    <w:rsid w:val="00C54BB7"/>
    <w:rsid w:val="00C54F19"/>
    <w:rsid w:val="00C5521B"/>
    <w:rsid w:val="00C55284"/>
    <w:rsid w:val="00C5534F"/>
    <w:rsid w:val="00C55707"/>
    <w:rsid w:val="00C55716"/>
    <w:rsid w:val="00C558D4"/>
    <w:rsid w:val="00C55924"/>
    <w:rsid w:val="00C55998"/>
    <w:rsid w:val="00C55C1D"/>
    <w:rsid w:val="00C563DE"/>
    <w:rsid w:val="00C566D3"/>
    <w:rsid w:val="00C56845"/>
    <w:rsid w:val="00C56925"/>
    <w:rsid w:val="00C569F7"/>
    <w:rsid w:val="00C56ABF"/>
    <w:rsid w:val="00C56F87"/>
    <w:rsid w:val="00C56F8D"/>
    <w:rsid w:val="00C57176"/>
    <w:rsid w:val="00C57548"/>
    <w:rsid w:val="00C57591"/>
    <w:rsid w:val="00C577B9"/>
    <w:rsid w:val="00C578C3"/>
    <w:rsid w:val="00C5790E"/>
    <w:rsid w:val="00C57DB1"/>
    <w:rsid w:val="00C57F45"/>
    <w:rsid w:val="00C57F4C"/>
    <w:rsid w:val="00C600DB"/>
    <w:rsid w:val="00C60239"/>
    <w:rsid w:val="00C60495"/>
    <w:rsid w:val="00C60586"/>
    <w:rsid w:val="00C60801"/>
    <w:rsid w:val="00C60951"/>
    <w:rsid w:val="00C60BB8"/>
    <w:rsid w:val="00C60E59"/>
    <w:rsid w:val="00C61019"/>
    <w:rsid w:val="00C611ED"/>
    <w:rsid w:val="00C617FA"/>
    <w:rsid w:val="00C6186C"/>
    <w:rsid w:val="00C61A1D"/>
    <w:rsid w:val="00C61A55"/>
    <w:rsid w:val="00C61D8F"/>
    <w:rsid w:val="00C61F1B"/>
    <w:rsid w:val="00C61FCE"/>
    <w:rsid w:val="00C620AC"/>
    <w:rsid w:val="00C62351"/>
    <w:rsid w:val="00C62441"/>
    <w:rsid w:val="00C624DD"/>
    <w:rsid w:val="00C62C25"/>
    <w:rsid w:val="00C62C4B"/>
    <w:rsid w:val="00C62C7D"/>
    <w:rsid w:val="00C62CA6"/>
    <w:rsid w:val="00C63185"/>
    <w:rsid w:val="00C6353A"/>
    <w:rsid w:val="00C635E6"/>
    <w:rsid w:val="00C63744"/>
    <w:rsid w:val="00C63784"/>
    <w:rsid w:val="00C63AC4"/>
    <w:rsid w:val="00C63D6E"/>
    <w:rsid w:val="00C63D7D"/>
    <w:rsid w:val="00C63F30"/>
    <w:rsid w:val="00C64198"/>
    <w:rsid w:val="00C641C0"/>
    <w:rsid w:val="00C645B7"/>
    <w:rsid w:val="00C6467B"/>
    <w:rsid w:val="00C64732"/>
    <w:rsid w:val="00C64764"/>
    <w:rsid w:val="00C647AD"/>
    <w:rsid w:val="00C647F9"/>
    <w:rsid w:val="00C6496C"/>
    <w:rsid w:val="00C64FD4"/>
    <w:rsid w:val="00C654AE"/>
    <w:rsid w:val="00C66046"/>
    <w:rsid w:val="00C660EE"/>
    <w:rsid w:val="00C66154"/>
    <w:rsid w:val="00C6668D"/>
    <w:rsid w:val="00C6671B"/>
    <w:rsid w:val="00C6673E"/>
    <w:rsid w:val="00C66A8F"/>
    <w:rsid w:val="00C66B2D"/>
    <w:rsid w:val="00C66B4A"/>
    <w:rsid w:val="00C66B9B"/>
    <w:rsid w:val="00C66C22"/>
    <w:rsid w:val="00C66C4A"/>
    <w:rsid w:val="00C66D88"/>
    <w:rsid w:val="00C66DE9"/>
    <w:rsid w:val="00C66EE4"/>
    <w:rsid w:val="00C67173"/>
    <w:rsid w:val="00C67211"/>
    <w:rsid w:val="00C672FC"/>
    <w:rsid w:val="00C67919"/>
    <w:rsid w:val="00C67964"/>
    <w:rsid w:val="00C67A91"/>
    <w:rsid w:val="00C67B61"/>
    <w:rsid w:val="00C67D62"/>
    <w:rsid w:val="00C67E6F"/>
    <w:rsid w:val="00C67E93"/>
    <w:rsid w:val="00C7001F"/>
    <w:rsid w:val="00C70044"/>
    <w:rsid w:val="00C703D2"/>
    <w:rsid w:val="00C70490"/>
    <w:rsid w:val="00C70499"/>
    <w:rsid w:val="00C7070C"/>
    <w:rsid w:val="00C707E9"/>
    <w:rsid w:val="00C708BC"/>
    <w:rsid w:val="00C70AAE"/>
    <w:rsid w:val="00C70C2E"/>
    <w:rsid w:val="00C70C6F"/>
    <w:rsid w:val="00C70CFE"/>
    <w:rsid w:val="00C70D5C"/>
    <w:rsid w:val="00C70F32"/>
    <w:rsid w:val="00C70F57"/>
    <w:rsid w:val="00C70F8F"/>
    <w:rsid w:val="00C7117B"/>
    <w:rsid w:val="00C711EA"/>
    <w:rsid w:val="00C711FA"/>
    <w:rsid w:val="00C71241"/>
    <w:rsid w:val="00C71579"/>
    <w:rsid w:val="00C717DE"/>
    <w:rsid w:val="00C71871"/>
    <w:rsid w:val="00C71AD1"/>
    <w:rsid w:val="00C71C7C"/>
    <w:rsid w:val="00C726EB"/>
    <w:rsid w:val="00C728BC"/>
    <w:rsid w:val="00C72B51"/>
    <w:rsid w:val="00C72BB2"/>
    <w:rsid w:val="00C72BD2"/>
    <w:rsid w:val="00C72C8D"/>
    <w:rsid w:val="00C72D03"/>
    <w:rsid w:val="00C72FA6"/>
    <w:rsid w:val="00C73386"/>
    <w:rsid w:val="00C7350E"/>
    <w:rsid w:val="00C73982"/>
    <w:rsid w:val="00C73C62"/>
    <w:rsid w:val="00C73C7B"/>
    <w:rsid w:val="00C73C99"/>
    <w:rsid w:val="00C73CAA"/>
    <w:rsid w:val="00C73D5F"/>
    <w:rsid w:val="00C73D61"/>
    <w:rsid w:val="00C74658"/>
    <w:rsid w:val="00C7469D"/>
    <w:rsid w:val="00C74926"/>
    <w:rsid w:val="00C74ABC"/>
    <w:rsid w:val="00C74AEB"/>
    <w:rsid w:val="00C74D21"/>
    <w:rsid w:val="00C75BED"/>
    <w:rsid w:val="00C75E94"/>
    <w:rsid w:val="00C75FC3"/>
    <w:rsid w:val="00C75FDD"/>
    <w:rsid w:val="00C760DA"/>
    <w:rsid w:val="00C76734"/>
    <w:rsid w:val="00C76875"/>
    <w:rsid w:val="00C76B18"/>
    <w:rsid w:val="00C774D8"/>
    <w:rsid w:val="00C774FC"/>
    <w:rsid w:val="00C776DF"/>
    <w:rsid w:val="00C7778A"/>
    <w:rsid w:val="00C777B1"/>
    <w:rsid w:val="00C77944"/>
    <w:rsid w:val="00C77A2D"/>
    <w:rsid w:val="00C77AA5"/>
    <w:rsid w:val="00C77B04"/>
    <w:rsid w:val="00C80042"/>
    <w:rsid w:val="00C8013C"/>
    <w:rsid w:val="00C8021C"/>
    <w:rsid w:val="00C802AE"/>
    <w:rsid w:val="00C8043F"/>
    <w:rsid w:val="00C8057B"/>
    <w:rsid w:val="00C808A1"/>
    <w:rsid w:val="00C80A7C"/>
    <w:rsid w:val="00C80ADF"/>
    <w:rsid w:val="00C80D97"/>
    <w:rsid w:val="00C80E02"/>
    <w:rsid w:val="00C80E40"/>
    <w:rsid w:val="00C810E3"/>
    <w:rsid w:val="00C81173"/>
    <w:rsid w:val="00C811C7"/>
    <w:rsid w:val="00C81360"/>
    <w:rsid w:val="00C813E9"/>
    <w:rsid w:val="00C813F3"/>
    <w:rsid w:val="00C81424"/>
    <w:rsid w:val="00C81463"/>
    <w:rsid w:val="00C816F7"/>
    <w:rsid w:val="00C81745"/>
    <w:rsid w:val="00C81808"/>
    <w:rsid w:val="00C8184D"/>
    <w:rsid w:val="00C818D0"/>
    <w:rsid w:val="00C818DE"/>
    <w:rsid w:val="00C81911"/>
    <w:rsid w:val="00C81AB8"/>
    <w:rsid w:val="00C81FF5"/>
    <w:rsid w:val="00C82419"/>
    <w:rsid w:val="00C82598"/>
    <w:rsid w:val="00C8269E"/>
    <w:rsid w:val="00C826D9"/>
    <w:rsid w:val="00C827B4"/>
    <w:rsid w:val="00C82988"/>
    <w:rsid w:val="00C82E4E"/>
    <w:rsid w:val="00C82F5D"/>
    <w:rsid w:val="00C83018"/>
    <w:rsid w:val="00C83110"/>
    <w:rsid w:val="00C831B2"/>
    <w:rsid w:val="00C83221"/>
    <w:rsid w:val="00C832DE"/>
    <w:rsid w:val="00C83350"/>
    <w:rsid w:val="00C83373"/>
    <w:rsid w:val="00C833AF"/>
    <w:rsid w:val="00C833D0"/>
    <w:rsid w:val="00C833E0"/>
    <w:rsid w:val="00C8346E"/>
    <w:rsid w:val="00C83513"/>
    <w:rsid w:val="00C83535"/>
    <w:rsid w:val="00C83CE5"/>
    <w:rsid w:val="00C84123"/>
    <w:rsid w:val="00C84344"/>
    <w:rsid w:val="00C84413"/>
    <w:rsid w:val="00C844C9"/>
    <w:rsid w:val="00C8468B"/>
    <w:rsid w:val="00C846D9"/>
    <w:rsid w:val="00C84844"/>
    <w:rsid w:val="00C84993"/>
    <w:rsid w:val="00C84A99"/>
    <w:rsid w:val="00C84C66"/>
    <w:rsid w:val="00C84CEF"/>
    <w:rsid w:val="00C84DD2"/>
    <w:rsid w:val="00C84DE0"/>
    <w:rsid w:val="00C84E1A"/>
    <w:rsid w:val="00C85007"/>
    <w:rsid w:val="00C8505E"/>
    <w:rsid w:val="00C85102"/>
    <w:rsid w:val="00C851A8"/>
    <w:rsid w:val="00C85391"/>
    <w:rsid w:val="00C853F0"/>
    <w:rsid w:val="00C85570"/>
    <w:rsid w:val="00C8567B"/>
    <w:rsid w:val="00C856BB"/>
    <w:rsid w:val="00C85808"/>
    <w:rsid w:val="00C858AA"/>
    <w:rsid w:val="00C85C41"/>
    <w:rsid w:val="00C85FFE"/>
    <w:rsid w:val="00C86159"/>
    <w:rsid w:val="00C86223"/>
    <w:rsid w:val="00C862AD"/>
    <w:rsid w:val="00C862D8"/>
    <w:rsid w:val="00C863D1"/>
    <w:rsid w:val="00C86407"/>
    <w:rsid w:val="00C8657E"/>
    <w:rsid w:val="00C86594"/>
    <w:rsid w:val="00C868CC"/>
    <w:rsid w:val="00C8694C"/>
    <w:rsid w:val="00C86B1D"/>
    <w:rsid w:val="00C86B53"/>
    <w:rsid w:val="00C86BF1"/>
    <w:rsid w:val="00C86D69"/>
    <w:rsid w:val="00C86DB2"/>
    <w:rsid w:val="00C86F1E"/>
    <w:rsid w:val="00C8724F"/>
    <w:rsid w:val="00C873D0"/>
    <w:rsid w:val="00C875F0"/>
    <w:rsid w:val="00C877B6"/>
    <w:rsid w:val="00C87B5B"/>
    <w:rsid w:val="00C87C44"/>
    <w:rsid w:val="00C87F35"/>
    <w:rsid w:val="00C87F9D"/>
    <w:rsid w:val="00C87FE6"/>
    <w:rsid w:val="00C903C2"/>
    <w:rsid w:val="00C90628"/>
    <w:rsid w:val="00C909CF"/>
    <w:rsid w:val="00C90D4D"/>
    <w:rsid w:val="00C91144"/>
    <w:rsid w:val="00C9128A"/>
    <w:rsid w:val="00C9160B"/>
    <w:rsid w:val="00C9170A"/>
    <w:rsid w:val="00C91733"/>
    <w:rsid w:val="00C91827"/>
    <w:rsid w:val="00C9182F"/>
    <w:rsid w:val="00C918F3"/>
    <w:rsid w:val="00C91927"/>
    <w:rsid w:val="00C91D29"/>
    <w:rsid w:val="00C91DE1"/>
    <w:rsid w:val="00C91F00"/>
    <w:rsid w:val="00C91F14"/>
    <w:rsid w:val="00C91FC0"/>
    <w:rsid w:val="00C9204E"/>
    <w:rsid w:val="00C920FE"/>
    <w:rsid w:val="00C92173"/>
    <w:rsid w:val="00C92265"/>
    <w:rsid w:val="00C92578"/>
    <w:rsid w:val="00C92970"/>
    <w:rsid w:val="00C92B15"/>
    <w:rsid w:val="00C92BD8"/>
    <w:rsid w:val="00C92BFC"/>
    <w:rsid w:val="00C93019"/>
    <w:rsid w:val="00C93297"/>
    <w:rsid w:val="00C93298"/>
    <w:rsid w:val="00C933FA"/>
    <w:rsid w:val="00C93427"/>
    <w:rsid w:val="00C9343A"/>
    <w:rsid w:val="00C9346E"/>
    <w:rsid w:val="00C935FF"/>
    <w:rsid w:val="00C937AD"/>
    <w:rsid w:val="00C937CF"/>
    <w:rsid w:val="00C93809"/>
    <w:rsid w:val="00C939B7"/>
    <w:rsid w:val="00C93BBB"/>
    <w:rsid w:val="00C93D22"/>
    <w:rsid w:val="00C93DC4"/>
    <w:rsid w:val="00C93E28"/>
    <w:rsid w:val="00C93F85"/>
    <w:rsid w:val="00C941E6"/>
    <w:rsid w:val="00C9445C"/>
    <w:rsid w:val="00C94576"/>
    <w:rsid w:val="00C9467B"/>
    <w:rsid w:val="00C94728"/>
    <w:rsid w:val="00C9490D"/>
    <w:rsid w:val="00C94985"/>
    <w:rsid w:val="00C949C5"/>
    <w:rsid w:val="00C94A60"/>
    <w:rsid w:val="00C94A95"/>
    <w:rsid w:val="00C94B28"/>
    <w:rsid w:val="00C94C01"/>
    <w:rsid w:val="00C94C3C"/>
    <w:rsid w:val="00C94CC4"/>
    <w:rsid w:val="00C94EBE"/>
    <w:rsid w:val="00C94F84"/>
    <w:rsid w:val="00C94FF1"/>
    <w:rsid w:val="00C95248"/>
    <w:rsid w:val="00C955A1"/>
    <w:rsid w:val="00C955B5"/>
    <w:rsid w:val="00C956CD"/>
    <w:rsid w:val="00C9582B"/>
    <w:rsid w:val="00C9586B"/>
    <w:rsid w:val="00C958E6"/>
    <w:rsid w:val="00C959FC"/>
    <w:rsid w:val="00C95B38"/>
    <w:rsid w:val="00C95B86"/>
    <w:rsid w:val="00C95D22"/>
    <w:rsid w:val="00C95D64"/>
    <w:rsid w:val="00C95D96"/>
    <w:rsid w:val="00C95DDB"/>
    <w:rsid w:val="00C95DDC"/>
    <w:rsid w:val="00C95E45"/>
    <w:rsid w:val="00C95EE8"/>
    <w:rsid w:val="00C960EB"/>
    <w:rsid w:val="00C9621F"/>
    <w:rsid w:val="00C96346"/>
    <w:rsid w:val="00C9658B"/>
    <w:rsid w:val="00C96808"/>
    <w:rsid w:val="00C96AFA"/>
    <w:rsid w:val="00C96B9F"/>
    <w:rsid w:val="00C96C3F"/>
    <w:rsid w:val="00C96E7D"/>
    <w:rsid w:val="00C9726B"/>
    <w:rsid w:val="00C973DE"/>
    <w:rsid w:val="00C97505"/>
    <w:rsid w:val="00C97621"/>
    <w:rsid w:val="00C97A2F"/>
    <w:rsid w:val="00C97C95"/>
    <w:rsid w:val="00CA006E"/>
    <w:rsid w:val="00CA0090"/>
    <w:rsid w:val="00CA0123"/>
    <w:rsid w:val="00CA013A"/>
    <w:rsid w:val="00CA0206"/>
    <w:rsid w:val="00CA021B"/>
    <w:rsid w:val="00CA0458"/>
    <w:rsid w:val="00CA0531"/>
    <w:rsid w:val="00CA057A"/>
    <w:rsid w:val="00CA069A"/>
    <w:rsid w:val="00CA0856"/>
    <w:rsid w:val="00CA09E6"/>
    <w:rsid w:val="00CA0BA6"/>
    <w:rsid w:val="00CA0DD7"/>
    <w:rsid w:val="00CA0F23"/>
    <w:rsid w:val="00CA0F38"/>
    <w:rsid w:val="00CA14C3"/>
    <w:rsid w:val="00CA14C9"/>
    <w:rsid w:val="00CA15AC"/>
    <w:rsid w:val="00CA18A3"/>
    <w:rsid w:val="00CA1B46"/>
    <w:rsid w:val="00CA1D53"/>
    <w:rsid w:val="00CA1E42"/>
    <w:rsid w:val="00CA2023"/>
    <w:rsid w:val="00CA20AC"/>
    <w:rsid w:val="00CA24EA"/>
    <w:rsid w:val="00CA24F9"/>
    <w:rsid w:val="00CA2650"/>
    <w:rsid w:val="00CA2652"/>
    <w:rsid w:val="00CA278C"/>
    <w:rsid w:val="00CA291E"/>
    <w:rsid w:val="00CA2BB8"/>
    <w:rsid w:val="00CA2CF8"/>
    <w:rsid w:val="00CA2D98"/>
    <w:rsid w:val="00CA2E3B"/>
    <w:rsid w:val="00CA3043"/>
    <w:rsid w:val="00CA3060"/>
    <w:rsid w:val="00CA3501"/>
    <w:rsid w:val="00CA3516"/>
    <w:rsid w:val="00CA395A"/>
    <w:rsid w:val="00CA39E9"/>
    <w:rsid w:val="00CA4100"/>
    <w:rsid w:val="00CA41FA"/>
    <w:rsid w:val="00CA43D1"/>
    <w:rsid w:val="00CA46F9"/>
    <w:rsid w:val="00CA4AF2"/>
    <w:rsid w:val="00CA4B28"/>
    <w:rsid w:val="00CA5483"/>
    <w:rsid w:val="00CA5920"/>
    <w:rsid w:val="00CA596B"/>
    <w:rsid w:val="00CA59D6"/>
    <w:rsid w:val="00CA5DE1"/>
    <w:rsid w:val="00CA60BD"/>
    <w:rsid w:val="00CA60D3"/>
    <w:rsid w:val="00CA61F5"/>
    <w:rsid w:val="00CA622E"/>
    <w:rsid w:val="00CA6621"/>
    <w:rsid w:val="00CA666A"/>
    <w:rsid w:val="00CA67EC"/>
    <w:rsid w:val="00CA6867"/>
    <w:rsid w:val="00CA69B1"/>
    <w:rsid w:val="00CA69B3"/>
    <w:rsid w:val="00CA6CBA"/>
    <w:rsid w:val="00CA6E12"/>
    <w:rsid w:val="00CA70B2"/>
    <w:rsid w:val="00CA72B5"/>
    <w:rsid w:val="00CA73A3"/>
    <w:rsid w:val="00CA73CE"/>
    <w:rsid w:val="00CA7AB0"/>
    <w:rsid w:val="00CA7AEC"/>
    <w:rsid w:val="00CA7AED"/>
    <w:rsid w:val="00CA7B2B"/>
    <w:rsid w:val="00CA7E74"/>
    <w:rsid w:val="00CB0169"/>
    <w:rsid w:val="00CB0276"/>
    <w:rsid w:val="00CB03CC"/>
    <w:rsid w:val="00CB057A"/>
    <w:rsid w:val="00CB08A8"/>
    <w:rsid w:val="00CB0D3D"/>
    <w:rsid w:val="00CB0E8B"/>
    <w:rsid w:val="00CB1041"/>
    <w:rsid w:val="00CB1069"/>
    <w:rsid w:val="00CB13AB"/>
    <w:rsid w:val="00CB13E5"/>
    <w:rsid w:val="00CB1412"/>
    <w:rsid w:val="00CB1511"/>
    <w:rsid w:val="00CB1547"/>
    <w:rsid w:val="00CB18F7"/>
    <w:rsid w:val="00CB1AF1"/>
    <w:rsid w:val="00CB1EEB"/>
    <w:rsid w:val="00CB1FBB"/>
    <w:rsid w:val="00CB2001"/>
    <w:rsid w:val="00CB21D8"/>
    <w:rsid w:val="00CB22C4"/>
    <w:rsid w:val="00CB244D"/>
    <w:rsid w:val="00CB263D"/>
    <w:rsid w:val="00CB27E4"/>
    <w:rsid w:val="00CB2822"/>
    <w:rsid w:val="00CB287F"/>
    <w:rsid w:val="00CB2CDC"/>
    <w:rsid w:val="00CB31C8"/>
    <w:rsid w:val="00CB3C24"/>
    <w:rsid w:val="00CB3DA9"/>
    <w:rsid w:val="00CB3DB0"/>
    <w:rsid w:val="00CB47A5"/>
    <w:rsid w:val="00CB4A18"/>
    <w:rsid w:val="00CB4AF5"/>
    <w:rsid w:val="00CB4B62"/>
    <w:rsid w:val="00CB4C83"/>
    <w:rsid w:val="00CB4E58"/>
    <w:rsid w:val="00CB5081"/>
    <w:rsid w:val="00CB5168"/>
    <w:rsid w:val="00CB522A"/>
    <w:rsid w:val="00CB58CB"/>
    <w:rsid w:val="00CB5A81"/>
    <w:rsid w:val="00CB5EAC"/>
    <w:rsid w:val="00CB648B"/>
    <w:rsid w:val="00CB653F"/>
    <w:rsid w:val="00CB6551"/>
    <w:rsid w:val="00CB6653"/>
    <w:rsid w:val="00CB687C"/>
    <w:rsid w:val="00CB68F0"/>
    <w:rsid w:val="00CB693F"/>
    <w:rsid w:val="00CB6B30"/>
    <w:rsid w:val="00CB6B33"/>
    <w:rsid w:val="00CB7341"/>
    <w:rsid w:val="00CB750A"/>
    <w:rsid w:val="00CB7524"/>
    <w:rsid w:val="00CB7629"/>
    <w:rsid w:val="00CB769E"/>
    <w:rsid w:val="00CB76DA"/>
    <w:rsid w:val="00CB7721"/>
    <w:rsid w:val="00CB776F"/>
    <w:rsid w:val="00CB79BA"/>
    <w:rsid w:val="00CB79F4"/>
    <w:rsid w:val="00CB7B2B"/>
    <w:rsid w:val="00CB7EEB"/>
    <w:rsid w:val="00CB7EF9"/>
    <w:rsid w:val="00CB7FBC"/>
    <w:rsid w:val="00CC00C0"/>
    <w:rsid w:val="00CC0217"/>
    <w:rsid w:val="00CC0415"/>
    <w:rsid w:val="00CC045D"/>
    <w:rsid w:val="00CC04F2"/>
    <w:rsid w:val="00CC0594"/>
    <w:rsid w:val="00CC06A1"/>
    <w:rsid w:val="00CC07DA"/>
    <w:rsid w:val="00CC07F3"/>
    <w:rsid w:val="00CC0B12"/>
    <w:rsid w:val="00CC0BAC"/>
    <w:rsid w:val="00CC0F77"/>
    <w:rsid w:val="00CC126D"/>
    <w:rsid w:val="00CC1439"/>
    <w:rsid w:val="00CC1456"/>
    <w:rsid w:val="00CC17F0"/>
    <w:rsid w:val="00CC1E4F"/>
    <w:rsid w:val="00CC1F92"/>
    <w:rsid w:val="00CC2015"/>
    <w:rsid w:val="00CC20A3"/>
    <w:rsid w:val="00CC2119"/>
    <w:rsid w:val="00CC2143"/>
    <w:rsid w:val="00CC2520"/>
    <w:rsid w:val="00CC2645"/>
    <w:rsid w:val="00CC26B1"/>
    <w:rsid w:val="00CC270E"/>
    <w:rsid w:val="00CC271B"/>
    <w:rsid w:val="00CC2BED"/>
    <w:rsid w:val="00CC2EE5"/>
    <w:rsid w:val="00CC2F21"/>
    <w:rsid w:val="00CC301E"/>
    <w:rsid w:val="00CC35AE"/>
    <w:rsid w:val="00CC3621"/>
    <w:rsid w:val="00CC37EF"/>
    <w:rsid w:val="00CC3A46"/>
    <w:rsid w:val="00CC3AC4"/>
    <w:rsid w:val="00CC3CF3"/>
    <w:rsid w:val="00CC3D5F"/>
    <w:rsid w:val="00CC3E7A"/>
    <w:rsid w:val="00CC40C0"/>
    <w:rsid w:val="00CC4107"/>
    <w:rsid w:val="00CC4290"/>
    <w:rsid w:val="00CC4429"/>
    <w:rsid w:val="00CC4523"/>
    <w:rsid w:val="00CC4570"/>
    <w:rsid w:val="00CC4664"/>
    <w:rsid w:val="00CC47B5"/>
    <w:rsid w:val="00CC4A99"/>
    <w:rsid w:val="00CC4B15"/>
    <w:rsid w:val="00CC50F3"/>
    <w:rsid w:val="00CC51D3"/>
    <w:rsid w:val="00CC51DC"/>
    <w:rsid w:val="00CC56CF"/>
    <w:rsid w:val="00CC575E"/>
    <w:rsid w:val="00CC5869"/>
    <w:rsid w:val="00CC5906"/>
    <w:rsid w:val="00CC5A3B"/>
    <w:rsid w:val="00CC5D57"/>
    <w:rsid w:val="00CC5E5A"/>
    <w:rsid w:val="00CC5FED"/>
    <w:rsid w:val="00CC60BD"/>
    <w:rsid w:val="00CC6315"/>
    <w:rsid w:val="00CC67CD"/>
    <w:rsid w:val="00CC6A10"/>
    <w:rsid w:val="00CC6AEC"/>
    <w:rsid w:val="00CC6C14"/>
    <w:rsid w:val="00CC6E09"/>
    <w:rsid w:val="00CC6EBE"/>
    <w:rsid w:val="00CC70B1"/>
    <w:rsid w:val="00CC715D"/>
    <w:rsid w:val="00CC7333"/>
    <w:rsid w:val="00CC7631"/>
    <w:rsid w:val="00CC7EF0"/>
    <w:rsid w:val="00CD00DA"/>
    <w:rsid w:val="00CD0241"/>
    <w:rsid w:val="00CD0274"/>
    <w:rsid w:val="00CD02A9"/>
    <w:rsid w:val="00CD05A6"/>
    <w:rsid w:val="00CD05E4"/>
    <w:rsid w:val="00CD06F1"/>
    <w:rsid w:val="00CD0889"/>
    <w:rsid w:val="00CD0EB6"/>
    <w:rsid w:val="00CD1133"/>
    <w:rsid w:val="00CD1214"/>
    <w:rsid w:val="00CD1256"/>
    <w:rsid w:val="00CD12B5"/>
    <w:rsid w:val="00CD150C"/>
    <w:rsid w:val="00CD17D6"/>
    <w:rsid w:val="00CD1956"/>
    <w:rsid w:val="00CD1C73"/>
    <w:rsid w:val="00CD1D9C"/>
    <w:rsid w:val="00CD1FC2"/>
    <w:rsid w:val="00CD2056"/>
    <w:rsid w:val="00CD212D"/>
    <w:rsid w:val="00CD212E"/>
    <w:rsid w:val="00CD2866"/>
    <w:rsid w:val="00CD297F"/>
    <w:rsid w:val="00CD29B1"/>
    <w:rsid w:val="00CD2C0B"/>
    <w:rsid w:val="00CD2D36"/>
    <w:rsid w:val="00CD2D4B"/>
    <w:rsid w:val="00CD2D4C"/>
    <w:rsid w:val="00CD2D50"/>
    <w:rsid w:val="00CD2FC3"/>
    <w:rsid w:val="00CD3297"/>
    <w:rsid w:val="00CD3BFD"/>
    <w:rsid w:val="00CD3D6F"/>
    <w:rsid w:val="00CD4185"/>
    <w:rsid w:val="00CD4504"/>
    <w:rsid w:val="00CD4561"/>
    <w:rsid w:val="00CD4574"/>
    <w:rsid w:val="00CD4575"/>
    <w:rsid w:val="00CD47D6"/>
    <w:rsid w:val="00CD4AB1"/>
    <w:rsid w:val="00CD4B4A"/>
    <w:rsid w:val="00CD4FB8"/>
    <w:rsid w:val="00CD50EA"/>
    <w:rsid w:val="00CD55DF"/>
    <w:rsid w:val="00CD571B"/>
    <w:rsid w:val="00CD57C9"/>
    <w:rsid w:val="00CD58FF"/>
    <w:rsid w:val="00CD59A5"/>
    <w:rsid w:val="00CD5B0D"/>
    <w:rsid w:val="00CD5BFA"/>
    <w:rsid w:val="00CD5C47"/>
    <w:rsid w:val="00CD5D36"/>
    <w:rsid w:val="00CD5EBE"/>
    <w:rsid w:val="00CD5EF3"/>
    <w:rsid w:val="00CD5FF8"/>
    <w:rsid w:val="00CD6162"/>
    <w:rsid w:val="00CD61B2"/>
    <w:rsid w:val="00CD61DE"/>
    <w:rsid w:val="00CD62A7"/>
    <w:rsid w:val="00CD677A"/>
    <w:rsid w:val="00CD6797"/>
    <w:rsid w:val="00CD67DC"/>
    <w:rsid w:val="00CD6926"/>
    <w:rsid w:val="00CD6C8B"/>
    <w:rsid w:val="00CD6CCD"/>
    <w:rsid w:val="00CD6CE2"/>
    <w:rsid w:val="00CD6D0A"/>
    <w:rsid w:val="00CD6E6C"/>
    <w:rsid w:val="00CD6F5D"/>
    <w:rsid w:val="00CD7057"/>
    <w:rsid w:val="00CD7397"/>
    <w:rsid w:val="00CD76DA"/>
    <w:rsid w:val="00CD7789"/>
    <w:rsid w:val="00CD7834"/>
    <w:rsid w:val="00CD7861"/>
    <w:rsid w:val="00CD7B8C"/>
    <w:rsid w:val="00CD7C48"/>
    <w:rsid w:val="00CD7D36"/>
    <w:rsid w:val="00CD7DE0"/>
    <w:rsid w:val="00CD7EC8"/>
    <w:rsid w:val="00CD7EC9"/>
    <w:rsid w:val="00CD7F7D"/>
    <w:rsid w:val="00CE00A6"/>
    <w:rsid w:val="00CE066C"/>
    <w:rsid w:val="00CE0822"/>
    <w:rsid w:val="00CE0854"/>
    <w:rsid w:val="00CE08D1"/>
    <w:rsid w:val="00CE0DA4"/>
    <w:rsid w:val="00CE10B3"/>
    <w:rsid w:val="00CE12CA"/>
    <w:rsid w:val="00CE140B"/>
    <w:rsid w:val="00CE14AD"/>
    <w:rsid w:val="00CE18CB"/>
    <w:rsid w:val="00CE1B01"/>
    <w:rsid w:val="00CE1B13"/>
    <w:rsid w:val="00CE1D27"/>
    <w:rsid w:val="00CE1FDE"/>
    <w:rsid w:val="00CE202A"/>
    <w:rsid w:val="00CE22BD"/>
    <w:rsid w:val="00CE25DA"/>
    <w:rsid w:val="00CE2798"/>
    <w:rsid w:val="00CE29ED"/>
    <w:rsid w:val="00CE29F8"/>
    <w:rsid w:val="00CE2C8B"/>
    <w:rsid w:val="00CE2F6C"/>
    <w:rsid w:val="00CE3144"/>
    <w:rsid w:val="00CE3820"/>
    <w:rsid w:val="00CE3839"/>
    <w:rsid w:val="00CE3962"/>
    <w:rsid w:val="00CE3982"/>
    <w:rsid w:val="00CE3AAA"/>
    <w:rsid w:val="00CE3D36"/>
    <w:rsid w:val="00CE3DBA"/>
    <w:rsid w:val="00CE3E3F"/>
    <w:rsid w:val="00CE3F0C"/>
    <w:rsid w:val="00CE3F40"/>
    <w:rsid w:val="00CE403B"/>
    <w:rsid w:val="00CE40FC"/>
    <w:rsid w:val="00CE417B"/>
    <w:rsid w:val="00CE41FD"/>
    <w:rsid w:val="00CE4203"/>
    <w:rsid w:val="00CE425C"/>
    <w:rsid w:val="00CE4404"/>
    <w:rsid w:val="00CE446A"/>
    <w:rsid w:val="00CE4B97"/>
    <w:rsid w:val="00CE4C61"/>
    <w:rsid w:val="00CE4C75"/>
    <w:rsid w:val="00CE5110"/>
    <w:rsid w:val="00CE52DA"/>
    <w:rsid w:val="00CE5597"/>
    <w:rsid w:val="00CE5956"/>
    <w:rsid w:val="00CE597E"/>
    <w:rsid w:val="00CE5B66"/>
    <w:rsid w:val="00CE5BF0"/>
    <w:rsid w:val="00CE5F18"/>
    <w:rsid w:val="00CE609C"/>
    <w:rsid w:val="00CE6324"/>
    <w:rsid w:val="00CE639E"/>
    <w:rsid w:val="00CE65E9"/>
    <w:rsid w:val="00CE67AE"/>
    <w:rsid w:val="00CE6902"/>
    <w:rsid w:val="00CE691B"/>
    <w:rsid w:val="00CE6961"/>
    <w:rsid w:val="00CE6B8E"/>
    <w:rsid w:val="00CE6C06"/>
    <w:rsid w:val="00CE6CBE"/>
    <w:rsid w:val="00CE6D1C"/>
    <w:rsid w:val="00CE6DDC"/>
    <w:rsid w:val="00CE70DB"/>
    <w:rsid w:val="00CE73AA"/>
    <w:rsid w:val="00CE73F1"/>
    <w:rsid w:val="00CE7D03"/>
    <w:rsid w:val="00CE7D3F"/>
    <w:rsid w:val="00CE7E4B"/>
    <w:rsid w:val="00CE7E53"/>
    <w:rsid w:val="00CF0014"/>
    <w:rsid w:val="00CF0015"/>
    <w:rsid w:val="00CF014C"/>
    <w:rsid w:val="00CF024D"/>
    <w:rsid w:val="00CF035E"/>
    <w:rsid w:val="00CF0406"/>
    <w:rsid w:val="00CF0418"/>
    <w:rsid w:val="00CF04C8"/>
    <w:rsid w:val="00CF0524"/>
    <w:rsid w:val="00CF05EE"/>
    <w:rsid w:val="00CF066F"/>
    <w:rsid w:val="00CF0850"/>
    <w:rsid w:val="00CF0A0D"/>
    <w:rsid w:val="00CF0B8C"/>
    <w:rsid w:val="00CF101A"/>
    <w:rsid w:val="00CF13A3"/>
    <w:rsid w:val="00CF1558"/>
    <w:rsid w:val="00CF17C1"/>
    <w:rsid w:val="00CF1961"/>
    <w:rsid w:val="00CF1AA7"/>
    <w:rsid w:val="00CF1D99"/>
    <w:rsid w:val="00CF1DF4"/>
    <w:rsid w:val="00CF1F05"/>
    <w:rsid w:val="00CF23BB"/>
    <w:rsid w:val="00CF2456"/>
    <w:rsid w:val="00CF2600"/>
    <w:rsid w:val="00CF263A"/>
    <w:rsid w:val="00CF266D"/>
    <w:rsid w:val="00CF26D5"/>
    <w:rsid w:val="00CF2788"/>
    <w:rsid w:val="00CF287E"/>
    <w:rsid w:val="00CF2937"/>
    <w:rsid w:val="00CF29D5"/>
    <w:rsid w:val="00CF2B45"/>
    <w:rsid w:val="00CF2B6B"/>
    <w:rsid w:val="00CF2C21"/>
    <w:rsid w:val="00CF2F4C"/>
    <w:rsid w:val="00CF2F7A"/>
    <w:rsid w:val="00CF2FC7"/>
    <w:rsid w:val="00CF3571"/>
    <w:rsid w:val="00CF357D"/>
    <w:rsid w:val="00CF360D"/>
    <w:rsid w:val="00CF3B72"/>
    <w:rsid w:val="00CF3B8C"/>
    <w:rsid w:val="00CF3D35"/>
    <w:rsid w:val="00CF3E66"/>
    <w:rsid w:val="00CF3F50"/>
    <w:rsid w:val="00CF3FAD"/>
    <w:rsid w:val="00CF4179"/>
    <w:rsid w:val="00CF41FB"/>
    <w:rsid w:val="00CF424A"/>
    <w:rsid w:val="00CF443D"/>
    <w:rsid w:val="00CF4863"/>
    <w:rsid w:val="00CF4877"/>
    <w:rsid w:val="00CF4BE8"/>
    <w:rsid w:val="00CF4C64"/>
    <w:rsid w:val="00CF4D6D"/>
    <w:rsid w:val="00CF4EE0"/>
    <w:rsid w:val="00CF502C"/>
    <w:rsid w:val="00CF5196"/>
    <w:rsid w:val="00CF5412"/>
    <w:rsid w:val="00CF544D"/>
    <w:rsid w:val="00CF551B"/>
    <w:rsid w:val="00CF5597"/>
    <w:rsid w:val="00CF578A"/>
    <w:rsid w:val="00CF58F8"/>
    <w:rsid w:val="00CF590D"/>
    <w:rsid w:val="00CF5DA7"/>
    <w:rsid w:val="00CF5E75"/>
    <w:rsid w:val="00CF6134"/>
    <w:rsid w:val="00CF632C"/>
    <w:rsid w:val="00CF6449"/>
    <w:rsid w:val="00CF697B"/>
    <w:rsid w:val="00CF69DD"/>
    <w:rsid w:val="00CF6AE9"/>
    <w:rsid w:val="00CF6CFD"/>
    <w:rsid w:val="00CF6D74"/>
    <w:rsid w:val="00CF6F3E"/>
    <w:rsid w:val="00CF702E"/>
    <w:rsid w:val="00CF706F"/>
    <w:rsid w:val="00CF707B"/>
    <w:rsid w:val="00CF70BF"/>
    <w:rsid w:val="00CF71FF"/>
    <w:rsid w:val="00CF72FE"/>
    <w:rsid w:val="00CF790C"/>
    <w:rsid w:val="00CF7B1F"/>
    <w:rsid w:val="00CF7D7A"/>
    <w:rsid w:val="00CF7F3F"/>
    <w:rsid w:val="00D000D4"/>
    <w:rsid w:val="00D0026B"/>
    <w:rsid w:val="00D00459"/>
    <w:rsid w:val="00D004CE"/>
    <w:rsid w:val="00D00901"/>
    <w:rsid w:val="00D009F4"/>
    <w:rsid w:val="00D00B34"/>
    <w:rsid w:val="00D011A6"/>
    <w:rsid w:val="00D014FF"/>
    <w:rsid w:val="00D0178A"/>
    <w:rsid w:val="00D017DE"/>
    <w:rsid w:val="00D01A41"/>
    <w:rsid w:val="00D01BDE"/>
    <w:rsid w:val="00D01CB1"/>
    <w:rsid w:val="00D021DB"/>
    <w:rsid w:val="00D022E1"/>
    <w:rsid w:val="00D023AE"/>
    <w:rsid w:val="00D0266A"/>
    <w:rsid w:val="00D02BA7"/>
    <w:rsid w:val="00D02C35"/>
    <w:rsid w:val="00D02D0C"/>
    <w:rsid w:val="00D02F55"/>
    <w:rsid w:val="00D02F56"/>
    <w:rsid w:val="00D02F85"/>
    <w:rsid w:val="00D03232"/>
    <w:rsid w:val="00D033F0"/>
    <w:rsid w:val="00D034A9"/>
    <w:rsid w:val="00D03695"/>
    <w:rsid w:val="00D039CE"/>
    <w:rsid w:val="00D03A3D"/>
    <w:rsid w:val="00D03BF3"/>
    <w:rsid w:val="00D0404D"/>
    <w:rsid w:val="00D04221"/>
    <w:rsid w:val="00D04242"/>
    <w:rsid w:val="00D04267"/>
    <w:rsid w:val="00D0450E"/>
    <w:rsid w:val="00D04539"/>
    <w:rsid w:val="00D045AF"/>
    <w:rsid w:val="00D0481E"/>
    <w:rsid w:val="00D0486E"/>
    <w:rsid w:val="00D04881"/>
    <w:rsid w:val="00D050BB"/>
    <w:rsid w:val="00D05250"/>
    <w:rsid w:val="00D05337"/>
    <w:rsid w:val="00D0548B"/>
    <w:rsid w:val="00D05649"/>
    <w:rsid w:val="00D05972"/>
    <w:rsid w:val="00D059C1"/>
    <w:rsid w:val="00D05B17"/>
    <w:rsid w:val="00D05C79"/>
    <w:rsid w:val="00D05D19"/>
    <w:rsid w:val="00D05F22"/>
    <w:rsid w:val="00D05FF9"/>
    <w:rsid w:val="00D06004"/>
    <w:rsid w:val="00D060E4"/>
    <w:rsid w:val="00D062B3"/>
    <w:rsid w:val="00D064A5"/>
    <w:rsid w:val="00D06579"/>
    <w:rsid w:val="00D066C7"/>
    <w:rsid w:val="00D06C7F"/>
    <w:rsid w:val="00D06CC1"/>
    <w:rsid w:val="00D06FC2"/>
    <w:rsid w:val="00D0701B"/>
    <w:rsid w:val="00D071A3"/>
    <w:rsid w:val="00D071B2"/>
    <w:rsid w:val="00D071DB"/>
    <w:rsid w:val="00D07291"/>
    <w:rsid w:val="00D07664"/>
    <w:rsid w:val="00D07FCE"/>
    <w:rsid w:val="00D101C6"/>
    <w:rsid w:val="00D10339"/>
    <w:rsid w:val="00D10348"/>
    <w:rsid w:val="00D108C4"/>
    <w:rsid w:val="00D109CF"/>
    <w:rsid w:val="00D10AAE"/>
    <w:rsid w:val="00D10AD5"/>
    <w:rsid w:val="00D10C3D"/>
    <w:rsid w:val="00D10E55"/>
    <w:rsid w:val="00D114ED"/>
    <w:rsid w:val="00D115D3"/>
    <w:rsid w:val="00D11B71"/>
    <w:rsid w:val="00D11BBE"/>
    <w:rsid w:val="00D11BC3"/>
    <w:rsid w:val="00D11CDB"/>
    <w:rsid w:val="00D11E06"/>
    <w:rsid w:val="00D11E1B"/>
    <w:rsid w:val="00D11F33"/>
    <w:rsid w:val="00D12014"/>
    <w:rsid w:val="00D120D8"/>
    <w:rsid w:val="00D12241"/>
    <w:rsid w:val="00D122A9"/>
    <w:rsid w:val="00D12421"/>
    <w:rsid w:val="00D13117"/>
    <w:rsid w:val="00D13159"/>
    <w:rsid w:val="00D13614"/>
    <w:rsid w:val="00D1366F"/>
    <w:rsid w:val="00D137F5"/>
    <w:rsid w:val="00D13A3D"/>
    <w:rsid w:val="00D13C2E"/>
    <w:rsid w:val="00D13C7B"/>
    <w:rsid w:val="00D13FC3"/>
    <w:rsid w:val="00D140D2"/>
    <w:rsid w:val="00D141FE"/>
    <w:rsid w:val="00D14270"/>
    <w:rsid w:val="00D14414"/>
    <w:rsid w:val="00D1466E"/>
    <w:rsid w:val="00D1480F"/>
    <w:rsid w:val="00D14907"/>
    <w:rsid w:val="00D149B5"/>
    <w:rsid w:val="00D14C7C"/>
    <w:rsid w:val="00D14CA4"/>
    <w:rsid w:val="00D14D3A"/>
    <w:rsid w:val="00D14E2D"/>
    <w:rsid w:val="00D1511A"/>
    <w:rsid w:val="00D152F0"/>
    <w:rsid w:val="00D153B2"/>
    <w:rsid w:val="00D1547F"/>
    <w:rsid w:val="00D15915"/>
    <w:rsid w:val="00D159C9"/>
    <w:rsid w:val="00D15B47"/>
    <w:rsid w:val="00D15CCF"/>
    <w:rsid w:val="00D15CFC"/>
    <w:rsid w:val="00D15DB6"/>
    <w:rsid w:val="00D1617F"/>
    <w:rsid w:val="00D16289"/>
    <w:rsid w:val="00D166BF"/>
    <w:rsid w:val="00D16766"/>
    <w:rsid w:val="00D1697D"/>
    <w:rsid w:val="00D169E2"/>
    <w:rsid w:val="00D16D5E"/>
    <w:rsid w:val="00D16EF6"/>
    <w:rsid w:val="00D17185"/>
    <w:rsid w:val="00D173C9"/>
    <w:rsid w:val="00D17426"/>
    <w:rsid w:val="00D17591"/>
    <w:rsid w:val="00D17686"/>
    <w:rsid w:val="00D177B0"/>
    <w:rsid w:val="00D178FD"/>
    <w:rsid w:val="00D1790F"/>
    <w:rsid w:val="00D17968"/>
    <w:rsid w:val="00D17B3E"/>
    <w:rsid w:val="00D17D12"/>
    <w:rsid w:val="00D17E0B"/>
    <w:rsid w:val="00D2002D"/>
    <w:rsid w:val="00D200B5"/>
    <w:rsid w:val="00D200EA"/>
    <w:rsid w:val="00D201BA"/>
    <w:rsid w:val="00D201DB"/>
    <w:rsid w:val="00D20205"/>
    <w:rsid w:val="00D204B2"/>
    <w:rsid w:val="00D20636"/>
    <w:rsid w:val="00D20658"/>
    <w:rsid w:val="00D206C5"/>
    <w:rsid w:val="00D20879"/>
    <w:rsid w:val="00D20960"/>
    <w:rsid w:val="00D20A10"/>
    <w:rsid w:val="00D20E27"/>
    <w:rsid w:val="00D20FC4"/>
    <w:rsid w:val="00D20FC7"/>
    <w:rsid w:val="00D211F6"/>
    <w:rsid w:val="00D21384"/>
    <w:rsid w:val="00D214E0"/>
    <w:rsid w:val="00D214FE"/>
    <w:rsid w:val="00D217A9"/>
    <w:rsid w:val="00D2194B"/>
    <w:rsid w:val="00D21AA4"/>
    <w:rsid w:val="00D21AEC"/>
    <w:rsid w:val="00D21D1E"/>
    <w:rsid w:val="00D21D31"/>
    <w:rsid w:val="00D21D71"/>
    <w:rsid w:val="00D21E76"/>
    <w:rsid w:val="00D21FAE"/>
    <w:rsid w:val="00D21FD3"/>
    <w:rsid w:val="00D220AB"/>
    <w:rsid w:val="00D22465"/>
    <w:rsid w:val="00D22767"/>
    <w:rsid w:val="00D22837"/>
    <w:rsid w:val="00D229E1"/>
    <w:rsid w:val="00D233B5"/>
    <w:rsid w:val="00D2353F"/>
    <w:rsid w:val="00D23852"/>
    <w:rsid w:val="00D238D3"/>
    <w:rsid w:val="00D23B12"/>
    <w:rsid w:val="00D23C0C"/>
    <w:rsid w:val="00D23D9A"/>
    <w:rsid w:val="00D23FE3"/>
    <w:rsid w:val="00D240E7"/>
    <w:rsid w:val="00D241CF"/>
    <w:rsid w:val="00D241E2"/>
    <w:rsid w:val="00D2427F"/>
    <w:rsid w:val="00D242A0"/>
    <w:rsid w:val="00D24321"/>
    <w:rsid w:val="00D24485"/>
    <w:rsid w:val="00D24525"/>
    <w:rsid w:val="00D24C9F"/>
    <w:rsid w:val="00D24CEB"/>
    <w:rsid w:val="00D24EFB"/>
    <w:rsid w:val="00D251A4"/>
    <w:rsid w:val="00D254F7"/>
    <w:rsid w:val="00D25A45"/>
    <w:rsid w:val="00D25B01"/>
    <w:rsid w:val="00D25C8D"/>
    <w:rsid w:val="00D25FFC"/>
    <w:rsid w:val="00D26222"/>
    <w:rsid w:val="00D2654C"/>
    <w:rsid w:val="00D2670B"/>
    <w:rsid w:val="00D26746"/>
    <w:rsid w:val="00D26B37"/>
    <w:rsid w:val="00D26C27"/>
    <w:rsid w:val="00D26CEC"/>
    <w:rsid w:val="00D26D2B"/>
    <w:rsid w:val="00D26D6E"/>
    <w:rsid w:val="00D26D91"/>
    <w:rsid w:val="00D26E00"/>
    <w:rsid w:val="00D26E71"/>
    <w:rsid w:val="00D27119"/>
    <w:rsid w:val="00D27208"/>
    <w:rsid w:val="00D27327"/>
    <w:rsid w:val="00D27370"/>
    <w:rsid w:val="00D2740F"/>
    <w:rsid w:val="00D27607"/>
    <w:rsid w:val="00D27765"/>
    <w:rsid w:val="00D27883"/>
    <w:rsid w:val="00D278AF"/>
    <w:rsid w:val="00D27A6C"/>
    <w:rsid w:val="00D27AFC"/>
    <w:rsid w:val="00D27C9D"/>
    <w:rsid w:val="00D300B0"/>
    <w:rsid w:val="00D30172"/>
    <w:rsid w:val="00D3053E"/>
    <w:rsid w:val="00D305EC"/>
    <w:rsid w:val="00D306CD"/>
    <w:rsid w:val="00D30706"/>
    <w:rsid w:val="00D307DF"/>
    <w:rsid w:val="00D30A4C"/>
    <w:rsid w:val="00D30A66"/>
    <w:rsid w:val="00D30D9E"/>
    <w:rsid w:val="00D30F0B"/>
    <w:rsid w:val="00D30FDA"/>
    <w:rsid w:val="00D31186"/>
    <w:rsid w:val="00D31217"/>
    <w:rsid w:val="00D312F2"/>
    <w:rsid w:val="00D312F9"/>
    <w:rsid w:val="00D3190A"/>
    <w:rsid w:val="00D31962"/>
    <w:rsid w:val="00D31CFE"/>
    <w:rsid w:val="00D31EEF"/>
    <w:rsid w:val="00D31F8A"/>
    <w:rsid w:val="00D322A0"/>
    <w:rsid w:val="00D322D1"/>
    <w:rsid w:val="00D322F2"/>
    <w:rsid w:val="00D32585"/>
    <w:rsid w:val="00D3270F"/>
    <w:rsid w:val="00D327B8"/>
    <w:rsid w:val="00D329BD"/>
    <w:rsid w:val="00D32C79"/>
    <w:rsid w:val="00D32F11"/>
    <w:rsid w:val="00D33358"/>
    <w:rsid w:val="00D333C2"/>
    <w:rsid w:val="00D33419"/>
    <w:rsid w:val="00D33725"/>
    <w:rsid w:val="00D33805"/>
    <w:rsid w:val="00D33AA7"/>
    <w:rsid w:val="00D33B91"/>
    <w:rsid w:val="00D348E6"/>
    <w:rsid w:val="00D34949"/>
    <w:rsid w:val="00D3497E"/>
    <w:rsid w:val="00D349FF"/>
    <w:rsid w:val="00D34B01"/>
    <w:rsid w:val="00D34BB1"/>
    <w:rsid w:val="00D34ED2"/>
    <w:rsid w:val="00D34F9D"/>
    <w:rsid w:val="00D350D2"/>
    <w:rsid w:val="00D35160"/>
    <w:rsid w:val="00D35232"/>
    <w:rsid w:val="00D352D0"/>
    <w:rsid w:val="00D356EF"/>
    <w:rsid w:val="00D35864"/>
    <w:rsid w:val="00D35A9A"/>
    <w:rsid w:val="00D35B85"/>
    <w:rsid w:val="00D35BAF"/>
    <w:rsid w:val="00D35E1F"/>
    <w:rsid w:val="00D36004"/>
    <w:rsid w:val="00D3604D"/>
    <w:rsid w:val="00D36292"/>
    <w:rsid w:val="00D3650B"/>
    <w:rsid w:val="00D36580"/>
    <w:rsid w:val="00D368E5"/>
    <w:rsid w:val="00D36D51"/>
    <w:rsid w:val="00D371B0"/>
    <w:rsid w:val="00D37747"/>
    <w:rsid w:val="00D37781"/>
    <w:rsid w:val="00D37A3F"/>
    <w:rsid w:val="00D37B9C"/>
    <w:rsid w:val="00D37BF6"/>
    <w:rsid w:val="00D37D87"/>
    <w:rsid w:val="00D37EBB"/>
    <w:rsid w:val="00D400DF"/>
    <w:rsid w:val="00D40362"/>
    <w:rsid w:val="00D40404"/>
    <w:rsid w:val="00D40B82"/>
    <w:rsid w:val="00D40D88"/>
    <w:rsid w:val="00D40E67"/>
    <w:rsid w:val="00D40FEF"/>
    <w:rsid w:val="00D4100D"/>
    <w:rsid w:val="00D411F8"/>
    <w:rsid w:val="00D4126F"/>
    <w:rsid w:val="00D41282"/>
    <w:rsid w:val="00D412C2"/>
    <w:rsid w:val="00D41696"/>
    <w:rsid w:val="00D41899"/>
    <w:rsid w:val="00D418D6"/>
    <w:rsid w:val="00D41B52"/>
    <w:rsid w:val="00D41BA1"/>
    <w:rsid w:val="00D41E92"/>
    <w:rsid w:val="00D41F25"/>
    <w:rsid w:val="00D4209F"/>
    <w:rsid w:val="00D42292"/>
    <w:rsid w:val="00D423C8"/>
    <w:rsid w:val="00D425E9"/>
    <w:rsid w:val="00D4273E"/>
    <w:rsid w:val="00D427EC"/>
    <w:rsid w:val="00D4287E"/>
    <w:rsid w:val="00D4291F"/>
    <w:rsid w:val="00D42AA9"/>
    <w:rsid w:val="00D42C86"/>
    <w:rsid w:val="00D42CEC"/>
    <w:rsid w:val="00D42F83"/>
    <w:rsid w:val="00D43242"/>
    <w:rsid w:val="00D43407"/>
    <w:rsid w:val="00D43641"/>
    <w:rsid w:val="00D4381E"/>
    <w:rsid w:val="00D4387F"/>
    <w:rsid w:val="00D43B08"/>
    <w:rsid w:val="00D43EAF"/>
    <w:rsid w:val="00D441CC"/>
    <w:rsid w:val="00D44215"/>
    <w:rsid w:val="00D44422"/>
    <w:rsid w:val="00D444E8"/>
    <w:rsid w:val="00D44744"/>
    <w:rsid w:val="00D447E1"/>
    <w:rsid w:val="00D44861"/>
    <w:rsid w:val="00D44995"/>
    <w:rsid w:val="00D44BB8"/>
    <w:rsid w:val="00D44C50"/>
    <w:rsid w:val="00D44C54"/>
    <w:rsid w:val="00D44D7A"/>
    <w:rsid w:val="00D44F7C"/>
    <w:rsid w:val="00D4560D"/>
    <w:rsid w:val="00D456C3"/>
    <w:rsid w:val="00D45953"/>
    <w:rsid w:val="00D45C9C"/>
    <w:rsid w:val="00D45FA2"/>
    <w:rsid w:val="00D46598"/>
    <w:rsid w:val="00D469D0"/>
    <w:rsid w:val="00D46D61"/>
    <w:rsid w:val="00D47052"/>
    <w:rsid w:val="00D470E1"/>
    <w:rsid w:val="00D47388"/>
    <w:rsid w:val="00D4770C"/>
    <w:rsid w:val="00D47753"/>
    <w:rsid w:val="00D4792B"/>
    <w:rsid w:val="00D47AD5"/>
    <w:rsid w:val="00D47BB8"/>
    <w:rsid w:val="00D47D20"/>
    <w:rsid w:val="00D47F16"/>
    <w:rsid w:val="00D50146"/>
    <w:rsid w:val="00D50314"/>
    <w:rsid w:val="00D50364"/>
    <w:rsid w:val="00D50492"/>
    <w:rsid w:val="00D507B0"/>
    <w:rsid w:val="00D509D0"/>
    <w:rsid w:val="00D50C2A"/>
    <w:rsid w:val="00D50E39"/>
    <w:rsid w:val="00D51107"/>
    <w:rsid w:val="00D51346"/>
    <w:rsid w:val="00D51430"/>
    <w:rsid w:val="00D5143B"/>
    <w:rsid w:val="00D51464"/>
    <w:rsid w:val="00D51471"/>
    <w:rsid w:val="00D514A4"/>
    <w:rsid w:val="00D5152B"/>
    <w:rsid w:val="00D5158A"/>
    <w:rsid w:val="00D516C5"/>
    <w:rsid w:val="00D51A00"/>
    <w:rsid w:val="00D51C77"/>
    <w:rsid w:val="00D51CBF"/>
    <w:rsid w:val="00D51D54"/>
    <w:rsid w:val="00D51DF2"/>
    <w:rsid w:val="00D51E36"/>
    <w:rsid w:val="00D52107"/>
    <w:rsid w:val="00D52256"/>
    <w:rsid w:val="00D52360"/>
    <w:rsid w:val="00D52470"/>
    <w:rsid w:val="00D5257E"/>
    <w:rsid w:val="00D5292C"/>
    <w:rsid w:val="00D52956"/>
    <w:rsid w:val="00D52A42"/>
    <w:rsid w:val="00D52B6E"/>
    <w:rsid w:val="00D52F0D"/>
    <w:rsid w:val="00D5340F"/>
    <w:rsid w:val="00D534DC"/>
    <w:rsid w:val="00D53610"/>
    <w:rsid w:val="00D53666"/>
    <w:rsid w:val="00D5383A"/>
    <w:rsid w:val="00D5389C"/>
    <w:rsid w:val="00D53906"/>
    <w:rsid w:val="00D53AFE"/>
    <w:rsid w:val="00D53B8E"/>
    <w:rsid w:val="00D53F72"/>
    <w:rsid w:val="00D53F9B"/>
    <w:rsid w:val="00D53FA9"/>
    <w:rsid w:val="00D54119"/>
    <w:rsid w:val="00D54300"/>
    <w:rsid w:val="00D543CB"/>
    <w:rsid w:val="00D5445E"/>
    <w:rsid w:val="00D545D3"/>
    <w:rsid w:val="00D5464F"/>
    <w:rsid w:val="00D54686"/>
    <w:rsid w:val="00D54806"/>
    <w:rsid w:val="00D54C59"/>
    <w:rsid w:val="00D54CF7"/>
    <w:rsid w:val="00D54FE7"/>
    <w:rsid w:val="00D5503A"/>
    <w:rsid w:val="00D551D5"/>
    <w:rsid w:val="00D55368"/>
    <w:rsid w:val="00D55668"/>
    <w:rsid w:val="00D556A5"/>
    <w:rsid w:val="00D5579E"/>
    <w:rsid w:val="00D5581B"/>
    <w:rsid w:val="00D55AC6"/>
    <w:rsid w:val="00D55B56"/>
    <w:rsid w:val="00D55DE1"/>
    <w:rsid w:val="00D5601D"/>
    <w:rsid w:val="00D562CD"/>
    <w:rsid w:val="00D562E9"/>
    <w:rsid w:val="00D569C2"/>
    <w:rsid w:val="00D569D4"/>
    <w:rsid w:val="00D56E48"/>
    <w:rsid w:val="00D570FA"/>
    <w:rsid w:val="00D57162"/>
    <w:rsid w:val="00D571D7"/>
    <w:rsid w:val="00D57311"/>
    <w:rsid w:val="00D5746F"/>
    <w:rsid w:val="00D574E5"/>
    <w:rsid w:val="00D576A4"/>
    <w:rsid w:val="00D57768"/>
    <w:rsid w:val="00D577A4"/>
    <w:rsid w:val="00D57918"/>
    <w:rsid w:val="00D57B61"/>
    <w:rsid w:val="00D57DD4"/>
    <w:rsid w:val="00D600B3"/>
    <w:rsid w:val="00D60101"/>
    <w:rsid w:val="00D6022E"/>
    <w:rsid w:val="00D604F2"/>
    <w:rsid w:val="00D604FF"/>
    <w:rsid w:val="00D6064B"/>
    <w:rsid w:val="00D606BF"/>
    <w:rsid w:val="00D60C5A"/>
    <w:rsid w:val="00D60ED3"/>
    <w:rsid w:val="00D61292"/>
    <w:rsid w:val="00D612DA"/>
    <w:rsid w:val="00D6135B"/>
    <w:rsid w:val="00D61459"/>
    <w:rsid w:val="00D61BEC"/>
    <w:rsid w:val="00D61C2D"/>
    <w:rsid w:val="00D61D1A"/>
    <w:rsid w:val="00D620D3"/>
    <w:rsid w:val="00D620FD"/>
    <w:rsid w:val="00D623F2"/>
    <w:rsid w:val="00D625A1"/>
    <w:rsid w:val="00D62778"/>
    <w:rsid w:val="00D6292D"/>
    <w:rsid w:val="00D6294A"/>
    <w:rsid w:val="00D629EB"/>
    <w:rsid w:val="00D62BB4"/>
    <w:rsid w:val="00D62CCF"/>
    <w:rsid w:val="00D62DE4"/>
    <w:rsid w:val="00D62ECA"/>
    <w:rsid w:val="00D63013"/>
    <w:rsid w:val="00D63216"/>
    <w:rsid w:val="00D636E4"/>
    <w:rsid w:val="00D6385A"/>
    <w:rsid w:val="00D63A57"/>
    <w:rsid w:val="00D63A85"/>
    <w:rsid w:val="00D63AB4"/>
    <w:rsid w:val="00D63D3A"/>
    <w:rsid w:val="00D63DA0"/>
    <w:rsid w:val="00D63DC9"/>
    <w:rsid w:val="00D63F5E"/>
    <w:rsid w:val="00D63F92"/>
    <w:rsid w:val="00D64332"/>
    <w:rsid w:val="00D6440F"/>
    <w:rsid w:val="00D644E0"/>
    <w:rsid w:val="00D646DC"/>
    <w:rsid w:val="00D64A2D"/>
    <w:rsid w:val="00D64B03"/>
    <w:rsid w:val="00D64B58"/>
    <w:rsid w:val="00D64C1A"/>
    <w:rsid w:val="00D64D9D"/>
    <w:rsid w:val="00D64DED"/>
    <w:rsid w:val="00D64E3A"/>
    <w:rsid w:val="00D650EE"/>
    <w:rsid w:val="00D652CF"/>
    <w:rsid w:val="00D654DD"/>
    <w:rsid w:val="00D65689"/>
    <w:rsid w:val="00D6574B"/>
    <w:rsid w:val="00D65850"/>
    <w:rsid w:val="00D658A3"/>
    <w:rsid w:val="00D65969"/>
    <w:rsid w:val="00D65AA2"/>
    <w:rsid w:val="00D65BA1"/>
    <w:rsid w:val="00D65C0C"/>
    <w:rsid w:val="00D65FE8"/>
    <w:rsid w:val="00D6663F"/>
    <w:rsid w:val="00D66737"/>
    <w:rsid w:val="00D668D4"/>
    <w:rsid w:val="00D6691C"/>
    <w:rsid w:val="00D66B31"/>
    <w:rsid w:val="00D66CE1"/>
    <w:rsid w:val="00D66DD5"/>
    <w:rsid w:val="00D66F36"/>
    <w:rsid w:val="00D67385"/>
    <w:rsid w:val="00D67439"/>
    <w:rsid w:val="00D675DF"/>
    <w:rsid w:val="00D67665"/>
    <w:rsid w:val="00D676F5"/>
    <w:rsid w:val="00D67772"/>
    <w:rsid w:val="00D6791B"/>
    <w:rsid w:val="00D67B9C"/>
    <w:rsid w:val="00D67BCB"/>
    <w:rsid w:val="00D67D0C"/>
    <w:rsid w:val="00D67D5E"/>
    <w:rsid w:val="00D67EA5"/>
    <w:rsid w:val="00D67ED5"/>
    <w:rsid w:val="00D70208"/>
    <w:rsid w:val="00D70464"/>
    <w:rsid w:val="00D7057A"/>
    <w:rsid w:val="00D7080E"/>
    <w:rsid w:val="00D7088F"/>
    <w:rsid w:val="00D70904"/>
    <w:rsid w:val="00D70BBA"/>
    <w:rsid w:val="00D70FAC"/>
    <w:rsid w:val="00D70FC7"/>
    <w:rsid w:val="00D71137"/>
    <w:rsid w:val="00D712F4"/>
    <w:rsid w:val="00D714BB"/>
    <w:rsid w:val="00D71608"/>
    <w:rsid w:val="00D71646"/>
    <w:rsid w:val="00D71647"/>
    <w:rsid w:val="00D71771"/>
    <w:rsid w:val="00D71817"/>
    <w:rsid w:val="00D71B36"/>
    <w:rsid w:val="00D71CCE"/>
    <w:rsid w:val="00D71E4F"/>
    <w:rsid w:val="00D71FBA"/>
    <w:rsid w:val="00D72052"/>
    <w:rsid w:val="00D720A6"/>
    <w:rsid w:val="00D720B2"/>
    <w:rsid w:val="00D7223C"/>
    <w:rsid w:val="00D7223D"/>
    <w:rsid w:val="00D72382"/>
    <w:rsid w:val="00D72383"/>
    <w:rsid w:val="00D72507"/>
    <w:rsid w:val="00D7252A"/>
    <w:rsid w:val="00D7253F"/>
    <w:rsid w:val="00D727BC"/>
    <w:rsid w:val="00D72816"/>
    <w:rsid w:val="00D72AEA"/>
    <w:rsid w:val="00D72B3B"/>
    <w:rsid w:val="00D72C1E"/>
    <w:rsid w:val="00D7330C"/>
    <w:rsid w:val="00D73332"/>
    <w:rsid w:val="00D73889"/>
    <w:rsid w:val="00D7389B"/>
    <w:rsid w:val="00D73928"/>
    <w:rsid w:val="00D73B4E"/>
    <w:rsid w:val="00D73CB4"/>
    <w:rsid w:val="00D73FD6"/>
    <w:rsid w:val="00D74021"/>
    <w:rsid w:val="00D74238"/>
    <w:rsid w:val="00D74477"/>
    <w:rsid w:val="00D7453E"/>
    <w:rsid w:val="00D74555"/>
    <w:rsid w:val="00D745C5"/>
    <w:rsid w:val="00D74996"/>
    <w:rsid w:val="00D74A91"/>
    <w:rsid w:val="00D74AAB"/>
    <w:rsid w:val="00D74F32"/>
    <w:rsid w:val="00D74F9A"/>
    <w:rsid w:val="00D75289"/>
    <w:rsid w:val="00D755F9"/>
    <w:rsid w:val="00D7578B"/>
    <w:rsid w:val="00D75A6F"/>
    <w:rsid w:val="00D75C69"/>
    <w:rsid w:val="00D75D49"/>
    <w:rsid w:val="00D75E26"/>
    <w:rsid w:val="00D75EC3"/>
    <w:rsid w:val="00D76015"/>
    <w:rsid w:val="00D7617F"/>
    <w:rsid w:val="00D76363"/>
    <w:rsid w:val="00D7694A"/>
    <w:rsid w:val="00D76D1C"/>
    <w:rsid w:val="00D77239"/>
    <w:rsid w:val="00D772CB"/>
    <w:rsid w:val="00D774D1"/>
    <w:rsid w:val="00D77A08"/>
    <w:rsid w:val="00D77E6A"/>
    <w:rsid w:val="00D80165"/>
    <w:rsid w:val="00D8026C"/>
    <w:rsid w:val="00D8031C"/>
    <w:rsid w:val="00D80431"/>
    <w:rsid w:val="00D805AA"/>
    <w:rsid w:val="00D805B0"/>
    <w:rsid w:val="00D80715"/>
    <w:rsid w:val="00D8089D"/>
    <w:rsid w:val="00D808A9"/>
    <w:rsid w:val="00D80969"/>
    <w:rsid w:val="00D80B51"/>
    <w:rsid w:val="00D80D3B"/>
    <w:rsid w:val="00D81158"/>
    <w:rsid w:val="00D8149E"/>
    <w:rsid w:val="00D8197A"/>
    <w:rsid w:val="00D81C3F"/>
    <w:rsid w:val="00D81C89"/>
    <w:rsid w:val="00D81D3B"/>
    <w:rsid w:val="00D81F4D"/>
    <w:rsid w:val="00D820DD"/>
    <w:rsid w:val="00D82474"/>
    <w:rsid w:val="00D82716"/>
    <w:rsid w:val="00D82813"/>
    <w:rsid w:val="00D829A0"/>
    <w:rsid w:val="00D829E7"/>
    <w:rsid w:val="00D82C72"/>
    <w:rsid w:val="00D82EC1"/>
    <w:rsid w:val="00D83062"/>
    <w:rsid w:val="00D83313"/>
    <w:rsid w:val="00D83375"/>
    <w:rsid w:val="00D833B0"/>
    <w:rsid w:val="00D83517"/>
    <w:rsid w:val="00D837E4"/>
    <w:rsid w:val="00D8385B"/>
    <w:rsid w:val="00D83BA7"/>
    <w:rsid w:val="00D83C54"/>
    <w:rsid w:val="00D83DA2"/>
    <w:rsid w:val="00D83ECD"/>
    <w:rsid w:val="00D83ED4"/>
    <w:rsid w:val="00D83EE4"/>
    <w:rsid w:val="00D83F90"/>
    <w:rsid w:val="00D84126"/>
    <w:rsid w:val="00D8434D"/>
    <w:rsid w:val="00D8449E"/>
    <w:rsid w:val="00D848F8"/>
    <w:rsid w:val="00D84929"/>
    <w:rsid w:val="00D84B66"/>
    <w:rsid w:val="00D84CC1"/>
    <w:rsid w:val="00D84DD7"/>
    <w:rsid w:val="00D84E12"/>
    <w:rsid w:val="00D84EEE"/>
    <w:rsid w:val="00D84F8E"/>
    <w:rsid w:val="00D85150"/>
    <w:rsid w:val="00D852DA"/>
    <w:rsid w:val="00D85381"/>
    <w:rsid w:val="00D85599"/>
    <w:rsid w:val="00D8559C"/>
    <w:rsid w:val="00D856F3"/>
    <w:rsid w:val="00D85772"/>
    <w:rsid w:val="00D85906"/>
    <w:rsid w:val="00D85BB0"/>
    <w:rsid w:val="00D85E6F"/>
    <w:rsid w:val="00D85F3E"/>
    <w:rsid w:val="00D85F93"/>
    <w:rsid w:val="00D85FBA"/>
    <w:rsid w:val="00D860E9"/>
    <w:rsid w:val="00D861C0"/>
    <w:rsid w:val="00D863EA"/>
    <w:rsid w:val="00D86409"/>
    <w:rsid w:val="00D864A4"/>
    <w:rsid w:val="00D8653E"/>
    <w:rsid w:val="00D8664A"/>
    <w:rsid w:val="00D867D5"/>
    <w:rsid w:val="00D86AD0"/>
    <w:rsid w:val="00D86D67"/>
    <w:rsid w:val="00D86E5A"/>
    <w:rsid w:val="00D86F92"/>
    <w:rsid w:val="00D87095"/>
    <w:rsid w:val="00D871E1"/>
    <w:rsid w:val="00D87305"/>
    <w:rsid w:val="00D876A6"/>
    <w:rsid w:val="00D876D1"/>
    <w:rsid w:val="00D87778"/>
    <w:rsid w:val="00D878E5"/>
    <w:rsid w:val="00D8794B"/>
    <w:rsid w:val="00D87A90"/>
    <w:rsid w:val="00D87BCE"/>
    <w:rsid w:val="00D87F0E"/>
    <w:rsid w:val="00D9008F"/>
    <w:rsid w:val="00D900E1"/>
    <w:rsid w:val="00D902ED"/>
    <w:rsid w:val="00D90748"/>
    <w:rsid w:val="00D908A7"/>
    <w:rsid w:val="00D9092A"/>
    <w:rsid w:val="00D90A20"/>
    <w:rsid w:val="00D90BCF"/>
    <w:rsid w:val="00D90C00"/>
    <w:rsid w:val="00D90CE6"/>
    <w:rsid w:val="00D90ED9"/>
    <w:rsid w:val="00D90F7C"/>
    <w:rsid w:val="00D90FBC"/>
    <w:rsid w:val="00D91135"/>
    <w:rsid w:val="00D911CA"/>
    <w:rsid w:val="00D91367"/>
    <w:rsid w:val="00D91723"/>
    <w:rsid w:val="00D91727"/>
    <w:rsid w:val="00D9173C"/>
    <w:rsid w:val="00D917B7"/>
    <w:rsid w:val="00D919F6"/>
    <w:rsid w:val="00D91A03"/>
    <w:rsid w:val="00D91C8A"/>
    <w:rsid w:val="00D91D16"/>
    <w:rsid w:val="00D920A3"/>
    <w:rsid w:val="00D921DD"/>
    <w:rsid w:val="00D92614"/>
    <w:rsid w:val="00D926A6"/>
    <w:rsid w:val="00D9273B"/>
    <w:rsid w:val="00D92741"/>
    <w:rsid w:val="00D928A4"/>
    <w:rsid w:val="00D92913"/>
    <w:rsid w:val="00D92AFF"/>
    <w:rsid w:val="00D92C98"/>
    <w:rsid w:val="00D92ECC"/>
    <w:rsid w:val="00D92F03"/>
    <w:rsid w:val="00D93099"/>
    <w:rsid w:val="00D9325E"/>
    <w:rsid w:val="00D93345"/>
    <w:rsid w:val="00D9341C"/>
    <w:rsid w:val="00D934EE"/>
    <w:rsid w:val="00D935DA"/>
    <w:rsid w:val="00D93647"/>
    <w:rsid w:val="00D93894"/>
    <w:rsid w:val="00D93940"/>
    <w:rsid w:val="00D93A99"/>
    <w:rsid w:val="00D93C5C"/>
    <w:rsid w:val="00D93D96"/>
    <w:rsid w:val="00D943AA"/>
    <w:rsid w:val="00D94400"/>
    <w:rsid w:val="00D94402"/>
    <w:rsid w:val="00D946B2"/>
    <w:rsid w:val="00D94702"/>
    <w:rsid w:val="00D9484A"/>
    <w:rsid w:val="00D949AC"/>
    <w:rsid w:val="00D94B2A"/>
    <w:rsid w:val="00D94B88"/>
    <w:rsid w:val="00D94E49"/>
    <w:rsid w:val="00D95181"/>
    <w:rsid w:val="00D95370"/>
    <w:rsid w:val="00D95BC2"/>
    <w:rsid w:val="00D960E3"/>
    <w:rsid w:val="00D9632B"/>
    <w:rsid w:val="00D963FD"/>
    <w:rsid w:val="00D9649D"/>
    <w:rsid w:val="00D96508"/>
    <w:rsid w:val="00D965F7"/>
    <w:rsid w:val="00D967AB"/>
    <w:rsid w:val="00D968D9"/>
    <w:rsid w:val="00D96999"/>
    <w:rsid w:val="00D969DB"/>
    <w:rsid w:val="00D969F7"/>
    <w:rsid w:val="00D96E81"/>
    <w:rsid w:val="00D96E92"/>
    <w:rsid w:val="00D975C1"/>
    <w:rsid w:val="00D97628"/>
    <w:rsid w:val="00D978B0"/>
    <w:rsid w:val="00D978FC"/>
    <w:rsid w:val="00D97920"/>
    <w:rsid w:val="00D9793E"/>
    <w:rsid w:val="00D9799A"/>
    <w:rsid w:val="00D97A01"/>
    <w:rsid w:val="00D97C15"/>
    <w:rsid w:val="00D97C1E"/>
    <w:rsid w:val="00D97D32"/>
    <w:rsid w:val="00D97F38"/>
    <w:rsid w:val="00DA0023"/>
    <w:rsid w:val="00DA03A8"/>
    <w:rsid w:val="00DA0405"/>
    <w:rsid w:val="00DA0511"/>
    <w:rsid w:val="00DA052E"/>
    <w:rsid w:val="00DA09EF"/>
    <w:rsid w:val="00DA0B0C"/>
    <w:rsid w:val="00DA0BF1"/>
    <w:rsid w:val="00DA0CB2"/>
    <w:rsid w:val="00DA0CEE"/>
    <w:rsid w:val="00DA0FEF"/>
    <w:rsid w:val="00DA10BB"/>
    <w:rsid w:val="00DA1315"/>
    <w:rsid w:val="00DA135E"/>
    <w:rsid w:val="00DA1561"/>
    <w:rsid w:val="00DA1A25"/>
    <w:rsid w:val="00DA1BC6"/>
    <w:rsid w:val="00DA1C5E"/>
    <w:rsid w:val="00DA1CDF"/>
    <w:rsid w:val="00DA1DEB"/>
    <w:rsid w:val="00DA1E0A"/>
    <w:rsid w:val="00DA1F8F"/>
    <w:rsid w:val="00DA2059"/>
    <w:rsid w:val="00DA2390"/>
    <w:rsid w:val="00DA23B5"/>
    <w:rsid w:val="00DA2532"/>
    <w:rsid w:val="00DA26CA"/>
    <w:rsid w:val="00DA27CD"/>
    <w:rsid w:val="00DA284A"/>
    <w:rsid w:val="00DA2891"/>
    <w:rsid w:val="00DA2B6B"/>
    <w:rsid w:val="00DA2CF5"/>
    <w:rsid w:val="00DA32E0"/>
    <w:rsid w:val="00DA3363"/>
    <w:rsid w:val="00DA347E"/>
    <w:rsid w:val="00DA376C"/>
    <w:rsid w:val="00DA38EB"/>
    <w:rsid w:val="00DA3A72"/>
    <w:rsid w:val="00DA3AC5"/>
    <w:rsid w:val="00DA3F5B"/>
    <w:rsid w:val="00DA40A4"/>
    <w:rsid w:val="00DA42FE"/>
    <w:rsid w:val="00DA465B"/>
    <w:rsid w:val="00DA4683"/>
    <w:rsid w:val="00DA46ED"/>
    <w:rsid w:val="00DA4791"/>
    <w:rsid w:val="00DA485F"/>
    <w:rsid w:val="00DA48AC"/>
    <w:rsid w:val="00DA493E"/>
    <w:rsid w:val="00DA4D91"/>
    <w:rsid w:val="00DA4E0D"/>
    <w:rsid w:val="00DA4F28"/>
    <w:rsid w:val="00DA5071"/>
    <w:rsid w:val="00DA598D"/>
    <w:rsid w:val="00DA5B9C"/>
    <w:rsid w:val="00DA6016"/>
    <w:rsid w:val="00DA6024"/>
    <w:rsid w:val="00DA614C"/>
    <w:rsid w:val="00DA68FB"/>
    <w:rsid w:val="00DA69CC"/>
    <w:rsid w:val="00DA6CF4"/>
    <w:rsid w:val="00DA6EDF"/>
    <w:rsid w:val="00DA6F42"/>
    <w:rsid w:val="00DA75A0"/>
    <w:rsid w:val="00DA7675"/>
    <w:rsid w:val="00DA7903"/>
    <w:rsid w:val="00DA7925"/>
    <w:rsid w:val="00DA7C80"/>
    <w:rsid w:val="00DA7D5F"/>
    <w:rsid w:val="00DA7DD6"/>
    <w:rsid w:val="00DA7F80"/>
    <w:rsid w:val="00DB0158"/>
    <w:rsid w:val="00DB01CB"/>
    <w:rsid w:val="00DB06F0"/>
    <w:rsid w:val="00DB0A5A"/>
    <w:rsid w:val="00DB0B2D"/>
    <w:rsid w:val="00DB0C31"/>
    <w:rsid w:val="00DB0D25"/>
    <w:rsid w:val="00DB0FBC"/>
    <w:rsid w:val="00DB1009"/>
    <w:rsid w:val="00DB1603"/>
    <w:rsid w:val="00DB1752"/>
    <w:rsid w:val="00DB175B"/>
    <w:rsid w:val="00DB17F4"/>
    <w:rsid w:val="00DB1A7D"/>
    <w:rsid w:val="00DB1EC2"/>
    <w:rsid w:val="00DB21A0"/>
    <w:rsid w:val="00DB21C8"/>
    <w:rsid w:val="00DB254E"/>
    <w:rsid w:val="00DB25B4"/>
    <w:rsid w:val="00DB2689"/>
    <w:rsid w:val="00DB2A30"/>
    <w:rsid w:val="00DB2D00"/>
    <w:rsid w:val="00DB2D37"/>
    <w:rsid w:val="00DB2FEA"/>
    <w:rsid w:val="00DB30F1"/>
    <w:rsid w:val="00DB31D3"/>
    <w:rsid w:val="00DB34C2"/>
    <w:rsid w:val="00DB34C5"/>
    <w:rsid w:val="00DB35B5"/>
    <w:rsid w:val="00DB35B9"/>
    <w:rsid w:val="00DB35E7"/>
    <w:rsid w:val="00DB3643"/>
    <w:rsid w:val="00DB3920"/>
    <w:rsid w:val="00DB3C83"/>
    <w:rsid w:val="00DB4357"/>
    <w:rsid w:val="00DB4485"/>
    <w:rsid w:val="00DB44E3"/>
    <w:rsid w:val="00DB455B"/>
    <w:rsid w:val="00DB4C65"/>
    <w:rsid w:val="00DB4CA6"/>
    <w:rsid w:val="00DB4E98"/>
    <w:rsid w:val="00DB4EAD"/>
    <w:rsid w:val="00DB5054"/>
    <w:rsid w:val="00DB5087"/>
    <w:rsid w:val="00DB5135"/>
    <w:rsid w:val="00DB527B"/>
    <w:rsid w:val="00DB52C4"/>
    <w:rsid w:val="00DB5319"/>
    <w:rsid w:val="00DB5833"/>
    <w:rsid w:val="00DB5C65"/>
    <w:rsid w:val="00DB61D0"/>
    <w:rsid w:val="00DB65EB"/>
    <w:rsid w:val="00DB675F"/>
    <w:rsid w:val="00DB6842"/>
    <w:rsid w:val="00DB6895"/>
    <w:rsid w:val="00DB69FC"/>
    <w:rsid w:val="00DB6AAD"/>
    <w:rsid w:val="00DB6D2C"/>
    <w:rsid w:val="00DB6F0B"/>
    <w:rsid w:val="00DB70D0"/>
    <w:rsid w:val="00DB71F6"/>
    <w:rsid w:val="00DB72AA"/>
    <w:rsid w:val="00DB742E"/>
    <w:rsid w:val="00DB7473"/>
    <w:rsid w:val="00DB75CB"/>
    <w:rsid w:val="00DB7738"/>
    <w:rsid w:val="00DB7925"/>
    <w:rsid w:val="00DB7AB7"/>
    <w:rsid w:val="00DB7CBA"/>
    <w:rsid w:val="00DB7DEF"/>
    <w:rsid w:val="00DC0380"/>
    <w:rsid w:val="00DC06AB"/>
    <w:rsid w:val="00DC06EE"/>
    <w:rsid w:val="00DC06F4"/>
    <w:rsid w:val="00DC0794"/>
    <w:rsid w:val="00DC0899"/>
    <w:rsid w:val="00DC0D52"/>
    <w:rsid w:val="00DC0F3C"/>
    <w:rsid w:val="00DC1196"/>
    <w:rsid w:val="00DC12E9"/>
    <w:rsid w:val="00DC19DB"/>
    <w:rsid w:val="00DC1A2C"/>
    <w:rsid w:val="00DC1AC3"/>
    <w:rsid w:val="00DC1AD4"/>
    <w:rsid w:val="00DC1BEC"/>
    <w:rsid w:val="00DC1D62"/>
    <w:rsid w:val="00DC1D8A"/>
    <w:rsid w:val="00DC1DAE"/>
    <w:rsid w:val="00DC1DF8"/>
    <w:rsid w:val="00DC2174"/>
    <w:rsid w:val="00DC236D"/>
    <w:rsid w:val="00DC24F9"/>
    <w:rsid w:val="00DC2550"/>
    <w:rsid w:val="00DC28CF"/>
    <w:rsid w:val="00DC28FF"/>
    <w:rsid w:val="00DC2A93"/>
    <w:rsid w:val="00DC2ECC"/>
    <w:rsid w:val="00DC2ED5"/>
    <w:rsid w:val="00DC2FD8"/>
    <w:rsid w:val="00DC31F5"/>
    <w:rsid w:val="00DC3202"/>
    <w:rsid w:val="00DC3582"/>
    <w:rsid w:val="00DC36AC"/>
    <w:rsid w:val="00DC3735"/>
    <w:rsid w:val="00DC37ED"/>
    <w:rsid w:val="00DC388B"/>
    <w:rsid w:val="00DC3D03"/>
    <w:rsid w:val="00DC3D51"/>
    <w:rsid w:val="00DC3D85"/>
    <w:rsid w:val="00DC3FC8"/>
    <w:rsid w:val="00DC40D6"/>
    <w:rsid w:val="00DC4250"/>
    <w:rsid w:val="00DC43EE"/>
    <w:rsid w:val="00DC45C0"/>
    <w:rsid w:val="00DC4C71"/>
    <w:rsid w:val="00DC4CE3"/>
    <w:rsid w:val="00DC4E41"/>
    <w:rsid w:val="00DC4ED1"/>
    <w:rsid w:val="00DC4ED9"/>
    <w:rsid w:val="00DC4FBE"/>
    <w:rsid w:val="00DC5116"/>
    <w:rsid w:val="00DC5386"/>
    <w:rsid w:val="00DC584A"/>
    <w:rsid w:val="00DC5A30"/>
    <w:rsid w:val="00DC5B53"/>
    <w:rsid w:val="00DC5F13"/>
    <w:rsid w:val="00DC616A"/>
    <w:rsid w:val="00DC6200"/>
    <w:rsid w:val="00DC6341"/>
    <w:rsid w:val="00DC6434"/>
    <w:rsid w:val="00DC64DD"/>
    <w:rsid w:val="00DC66E0"/>
    <w:rsid w:val="00DC6817"/>
    <w:rsid w:val="00DC6A42"/>
    <w:rsid w:val="00DC6C5D"/>
    <w:rsid w:val="00DC6D4C"/>
    <w:rsid w:val="00DC6E24"/>
    <w:rsid w:val="00DC6EFB"/>
    <w:rsid w:val="00DC700F"/>
    <w:rsid w:val="00DC7195"/>
    <w:rsid w:val="00DC7497"/>
    <w:rsid w:val="00DC74E2"/>
    <w:rsid w:val="00DC78E9"/>
    <w:rsid w:val="00DC7B23"/>
    <w:rsid w:val="00DD03C0"/>
    <w:rsid w:val="00DD056F"/>
    <w:rsid w:val="00DD05F9"/>
    <w:rsid w:val="00DD082C"/>
    <w:rsid w:val="00DD0856"/>
    <w:rsid w:val="00DD09AD"/>
    <w:rsid w:val="00DD0B6D"/>
    <w:rsid w:val="00DD0D82"/>
    <w:rsid w:val="00DD0FC1"/>
    <w:rsid w:val="00DD1195"/>
    <w:rsid w:val="00DD11BA"/>
    <w:rsid w:val="00DD171A"/>
    <w:rsid w:val="00DD181E"/>
    <w:rsid w:val="00DD1E67"/>
    <w:rsid w:val="00DD203E"/>
    <w:rsid w:val="00DD23C8"/>
    <w:rsid w:val="00DD255D"/>
    <w:rsid w:val="00DD27FE"/>
    <w:rsid w:val="00DD28C2"/>
    <w:rsid w:val="00DD2B5E"/>
    <w:rsid w:val="00DD2ED9"/>
    <w:rsid w:val="00DD3306"/>
    <w:rsid w:val="00DD34FA"/>
    <w:rsid w:val="00DD35B2"/>
    <w:rsid w:val="00DD36AB"/>
    <w:rsid w:val="00DD38F9"/>
    <w:rsid w:val="00DD3944"/>
    <w:rsid w:val="00DD3B47"/>
    <w:rsid w:val="00DD3C6A"/>
    <w:rsid w:val="00DD4050"/>
    <w:rsid w:val="00DD433F"/>
    <w:rsid w:val="00DD466D"/>
    <w:rsid w:val="00DD4677"/>
    <w:rsid w:val="00DD488C"/>
    <w:rsid w:val="00DD4DFB"/>
    <w:rsid w:val="00DD4EF0"/>
    <w:rsid w:val="00DD50CA"/>
    <w:rsid w:val="00DD525A"/>
    <w:rsid w:val="00DD5430"/>
    <w:rsid w:val="00DD544A"/>
    <w:rsid w:val="00DD5736"/>
    <w:rsid w:val="00DD573D"/>
    <w:rsid w:val="00DD573E"/>
    <w:rsid w:val="00DD5740"/>
    <w:rsid w:val="00DD5778"/>
    <w:rsid w:val="00DD57E9"/>
    <w:rsid w:val="00DD580F"/>
    <w:rsid w:val="00DD5AD5"/>
    <w:rsid w:val="00DD5E37"/>
    <w:rsid w:val="00DD6164"/>
    <w:rsid w:val="00DD62A1"/>
    <w:rsid w:val="00DD62AB"/>
    <w:rsid w:val="00DD6327"/>
    <w:rsid w:val="00DD6452"/>
    <w:rsid w:val="00DD668A"/>
    <w:rsid w:val="00DD681A"/>
    <w:rsid w:val="00DD693B"/>
    <w:rsid w:val="00DD698C"/>
    <w:rsid w:val="00DD6A2D"/>
    <w:rsid w:val="00DD6B5A"/>
    <w:rsid w:val="00DD6FA1"/>
    <w:rsid w:val="00DD7003"/>
    <w:rsid w:val="00DD718B"/>
    <w:rsid w:val="00DD7295"/>
    <w:rsid w:val="00DD7309"/>
    <w:rsid w:val="00DD7570"/>
    <w:rsid w:val="00DD7B0D"/>
    <w:rsid w:val="00DE05D0"/>
    <w:rsid w:val="00DE065B"/>
    <w:rsid w:val="00DE073D"/>
    <w:rsid w:val="00DE099B"/>
    <w:rsid w:val="00DE0A19"/>
    <w:rsid w:val="00DE0B5D"/>
    <w:rsid w:val="00DE0D98"/>
    <w:rsid w:val="00DE0E09"/>
    <w:rsid w:val="00DE136C"/>
    <w:rsid w:val="00DE1463"/>
    <w:rsid w:val="00DE1630"/>
    <w:rsid w:val="00DE168E"/>
    <w:rsid w:val="00DE19B4"/>
    <w:rsid w:val="00DE1AB1"/>
    <w:rsid w:val="00DE1DE7"/>
    <w:rsid w:val="00DE1F08"/>
    <w:rsid w:val="00DE2270"/>
    <w:rsid w:val="00DE240A"/>
    <w:rsid w:val="00DE24AD"/>
    <w:rsid w:val="00DE2587"/>
    <w:rsid w:val="00DE25F0"/>
    <w:rsid w:val="00DE265C"/>
    <w:rsid w:val="00DE285C"/>
    <w:rsid w:val="00DE292D"/>
    <w:rsid w:val="00DE2AB3"/>
    <w:rsid w:val="00DE2E5F"/>
    <w:rsid w:val="00DE2EDF"/>
    <w:rsid w:val="00DE304B"/>
    <w:rsid w:val="00DE34E1"/>
    <w:rsid w:val="00DE35C8"/>
    <w:rsid w:val="00DE3AEC"/>
    <w:rsid w:val="00DE3CB6"/>
    <w:rsid w:val="00DE3FC6"/>
    <w:rsid w:val="00DE4094"/>
    <w:rsid w:val="00DE40A1"/>
    <w:rsid w:val="00DE40E2"/>
    <w:rsid w:val="00DE40EE"/>
    <w:rsid w:val="00DE41A7"/>
    <w:rsid w:val="00DE4327"/>
    <w:rsid w:val="00DE44B2"/>
    <w:rsid w:val="00DE4550"/>
    <w:rsid w:val="00DE4561"/>
    <w:rsid w:val="00DE462C"/>
    <w:rsid w:val="00DE4D33"/>
    <w:rsid w:val="00DE4DD2"/>
    <w:rsid w:val="00DE4DD8"/>
    <w:rsid w:val="00DE5320"/>
    <w:rsid w:val="00DE53C9"/>
    <w:rsid w:val="00DE550C"/>
    <w:rsid w:val="00DE5522"/>
    <w:rsid w:val="00DE559D"/>
    <w:rsid w:val="00DE5965"/>
    <w:rsid w:val="00DE5B5A"/>
    <w:rsid w:val="00DE5BF6"/>
    <w:rsid w:val="00DE5E2B"/>
    <w:rsid w:val="00DE6323"/>
    <w:rsid w:val="00DE6326"/>
    <w:rsid w:val="00DE6498"/>
    <w:rsid w:val="00DE64DF"/>
    <w:rsid w:val="00DE682D"/>
    <w:rsid w:val="00DE6B41"/>
    <w:rsid w:val="00DE6BB8"/>
    <w:rsid w:val="00DE6DEC"/>
    <w:rsid w:val="00DE6DED"/>
    <w:rsid w:val="00DE6F30"/>
    <w:rsid w:val="00DE71A9"/>
    <w:rsid w:val="00DE7204"/>
    <w:rsid w:val="00DE75E3"/>
    <w:rsid w:val="00DE762F"/>
    <w:rsid w:val="00DE7B6C"/>
    <w:rsid w:val="00DE7C69"/>
    <w:rsid w:val="00DE7DE6"/>
    <w:rsid w:val="00DE7E2A"/>
    <w:rsid w:val="00DF021E"/>
    <w:rsid w:val="00DF05A1"/>
    <w:rsid w:val="00DF0677"/>
    <w:rsid w:val="00DF0A6F"/>
    <w:rsid w:val="00DF0C53"/>
    <w:rsid w:val="00DF0C77"/>
    <w:rsid w:val="00DF0E13"/>
    <w:rsid w:val="00DF0F97"/>
    <w:rsid w:val="00DF113C"/>
    <w:rsid w:val="00DF18DA"/>
    <w:rsid w:val="00DF192F"/>
    <w:rsid w:val="00DF1BEC"/>
    <w:rsid w:val="00DF1C0A"/>
    <w:rsid w:val="00DF1C44"/>
    <w:rsid w:val="00DF1C91"/>
    <w:rsid w:val="00DF1E0B"/>
    <w:rsid w:val="00DF1E2B"/>
    <w:rsid w:val="00DF21BF"/>
    <w:rsid w:val="00DF22B4"/>
    <w:rsid w:val="00DF2505"/>
    <w:rsid w:val="00DF26AB"/>
    <w:rsid w:val="00DF26FB"/>
    <w:rsid w:val="00DF2800"/>
    <w:rsid w:val="00DF2E2B"/>
    <w:rsid w:val="00DF3531"/>
    <w:rsid w:val="00DF36B3"/>
    <w:rsid w:val="00DF38AB"/>
    <w:rsid w:val="00DF3A66"/>
    <w:rsid w:val="00DF3D70"/>
    <w:rsid w:val="00DF3DC7"/>
    <w:rsid w:val="00DF3E38"/>
    <w:rsid w:val="00DF3F69"/>
    <w:rsid w:val="00DF421A"/>
    <w:rsid w:val="00DF43CD"/>
    <w:rsid w:val="00DF4471"/>
    <w:rsid w:val="00DF47FE"/>
    <w:rsid w:val="00DF4A5A"/>
    <w:rsid w:val="00DF4B98"/>
    <w:rsid w:val="00DF4BE2"/>
    <w:rsid w:val="00DF4E0F"/>
    <w:rsid w:val="00DF4EA9"/>
    <w:rsid w:val="00DF5004"/>
    <w:rsid w:val="00DF53DD"/>
    <w:rsid w:val="00DF554F"/>
    <w:rsid w:val="00DF55DB"/>
    <w:rsid w:val="00DF5639"/>
    <w:rsid w:val="00DF59CF"/>
    <w:rsid w:val="00DF5CA9"/>
    <w:rsid w:val="00DF5F8D"/>
    <w:rsid w:val="00DF60B6"/>
    <w:rsid w:val="00DF60D8"/>
    <w:rsid w:val="00DF6389"/>
    <w:rsid w:val="00DF6512"/>
    <w:rsid w:val="00DF66AE"/>
    <w:rsid w:val="00DF6838"/>
    <w:rsid w:val="00DF6BC2"/>
    <w:rsid w:val="00DF6CE9"/>
    <w:rsid w:val="00DF6EFA"/>
    <w:rsid w:val="00DF6F62"/>
    <w:rsid w:val="00DF6F93"/>
    <w:rsid w:val="00DF7211"/>
    <w:rsid w:val="00DF738A"/>
    <w:rsid w:val="00DF74DE"/>
    <w:rsid w:val="00DF7601"/>
    <w:rsid w:val="00DF760E"/>
    <w:rsid w:val="00DF7856"/>
    <w:rsid w:val="00DF7930"/>
    <w:rsid w:val="00DF7952"/>
    <w:rsid w:val="00DF79EE"/>
    <w:rsid w:val="00DF7A8A"/>
    <w:rsid w:val="00DF7ABF"/>
    <w:rsid w:val="00DF7B0C"/>
    <w:rsid w:val="00DF7C9E"/>
    <w:rsid w:val="00DF7DC5"/>
    <w:rsid w:val="00E00157"/>
    <w:rsid w:val="00E0037E"/>
    <w:rsid w:val="00E003DB"/>
    <w:rsid w:val="00E007CD"/>
    <w:rsid w:val="00E00E83"/>
    <w:rsid w:val="00E00EA4"/>
    <w:rsid w:val="00E00F49"/>
    <w:rsid w:val="00E010AD"/>
    <w:rsid w:val="00E0126F"/>
    <w:rsid w:val="00E012EF"/>
    <w:rsid w:val="00E01349"/>
    <w:rsid w:val="00E013BC"/>
    <w:rsid w:val="00E013F0"/>
    <w:rsid w:val="00E01581"/>
    <w:rsid w:val="00E019D7"/>
    <w:rsid w:val="00E01B52"/>
    <w:rsid w:val="00E020F6"/>
    <w:rsid w:val="00E021AF"/>
    <w:rsid w:val="00E0223F"/>
    <w:rsid w:val="00E02487"/>
    <w:rsid w:val="00E024E9"/>
    <w:rsid w:val="00E024F7"/>
    <w:rsid w:val="00E02501"/>
    <w:rsid w:val="00E027CC"/>
    <w:rsid w:val="00E027F3"/>
    <w:rsid w:val="00E0292E"/>
    <w:rsid w:val="00E02F16"/>
    <w:rsid w:val="00E03032"/>
    <w:rsid w:val="00E03083"/>
    <w:rsid w:val="00E03453"/>
    <w:rsid w:val="00E038FE"/>
    <w:rsid w:val="00E03982"/>
    <w:rsid w:val="00E03A6C"/>
    <w:rsid w:val="00E03B93"/>
    <w:rsid w:val="00E03BEA"/>
    <w:rsid w:val="00E03CF5"/>
    <w:rsid w:val="00E03D2B"/>
    <w:rsid w:val="00E03EBD"/>
    <w:rsid w:val="00E0411E"/>
    <w:rsid w:val="00E04178"/>
    <w:rsid w:val="00E044E6"/>
    <w:rsid w:val="00E0450D"/>
    <w:rsid w:val="00E046E8"/>
    <w:rsid w:val="00E04772"/>
    <w:rsid w:val="00E047F1"/>
    <w:rsid w:val="00E04873"/>
    <w:rsid w:val="00E04A6D"/>
    <w:rsid w:val="00E04C0E"/>
    <w:rsid w:val="00E04C40"/>
    <w:rsid w:val="00E04E03"/>
    <w:rsid w:val="00E04FCE"/>
    <w:rsid w:val="00E05301"/>
    <w:rsid w:val="00E0552E"/>
    <w:rsid w:val="00E05877"/>
    <w:rsid w:val="00E05898"/>
    <w:rsid w:val="00E058AC"/>
    <w:rsid w:val="00E05C68"/>
    <w:rsid w:val="00E05C9A"/>
    <w:rsid w:val="00E05CBA"/>
    <w:rsid w:val="00E05EDD"/>
    <w:rsid w:val="00E06147"/>
    <w:rsid w:val="00E065EE"/>
    <w:rsid w:val="00E06964"/>
    <w:rsid w:val="00E06AC3"/>
    <w:rsid w:val="00E06DFE"/>
    <w:rsid w:val="00E07014"/>
    <w:rsid w:val="00E0717B"/>
    <w:rsid w:val="00E071E6"/>
    <w:rsid w:val="00E07253"/>
    <w:rsid w:val="00E0755F"/>
    <w:rsid w:val="00E075C3"/>
    <w:rsid w:val="00E075D3"/>
    <w:rsid w:val="00E0761F"/>
    <w:rsid w:val="00E07A69"/>
    <w:rsid w:val="00E07CC8"/>
    <w:rsid w:val="00E07DEB"/>
    <w:rsid w:val="00E10003"/>
    <w:rsid w:val="00E10072"/>
    <w:rsid w:val="00E1022F"/>
    <w:rsid w:val="00E1096F"/>
    <w:rsid w:val="00E109ED"/>
    <w:rsid w:val="00E10D27"/>
    <w:rsid w:val="00E10EE6"/>
    <w:rsid w:val="00E10F1F"/>
    <w:rsid w:val="00E11122"/>
    <w:rsid w:val="00E111C7"/>
    <w:rsid w:val="00E11400"/>
    <w:rsid w:val="00E114AD"/>
    <w:rsid w:val="00E1179C"/>
    <w:rsid w:val="00E11C32"/>
    <w:rsid w:val="00E11DF3"/>
    <w:rsid w:val="00E11E4E"/>
    <w:rsid w:val="00E11FA0"/>
    <w:rsid w:val="00E120B1"/>
    <w:rsid w:val="00E122F3"/>
    <w:rsid w:val="00E12468"/>
    <w:rsid w:val="00E12696"/>
    <w:rsid w:val="00E12874"/>
    <w:rsid w:val="00E12953"/>
    <w:rsid w:val="00E12A57"/>
    <w:rsid w:val="00E12AEC"/>
    <w:rsid w:val="00E12BA2"/>
    <w:rsid w:val="00E130F9"/>
    <w:rsid w:val="00E133B9"/>
    <w:rsid w:val="00E13477"/>
    <w:rsid w:val="00E135B6"/>
    <w:rsid w:val="00E136BD"/>
    <w:rsid w:val="00E1395F"/>
    <w:rsid w:val="00E13CA3"/>
    <w:rsid w:val="00E13D50"/>
    <w:rsid w:val="00E13DAA"/>
    <w:rsid w:val="00E13DFC"/>
    <w:rsid w:val="00E1411D"/>
    <w:rsid w:val="00E14344"/>
    <w:rsid w:val="00E14656"/>
    <w:rsid w:val="00E14ADB"/>
    <w:rsid w:val="00E14BC1"/>
    <w:rsid w:val="00E14C10"/>
    <w:rsid w:val="00E14C8D"/>
    <w:rsid w:val="00E15034"/>
    <w:rsid w:val="00E15220"/>
    <w:rsid w:val="00E1562C"/>
    <w:rsid w:val="00E156F6"/>
    <w:rsid w:val="00E15BB1"/>
    <w:rsid w:val="00E15D24"/>
    <w:rsid w:val="00E160BA"/>
    <w:rsid w:val="00E16350"/>
    <w:rsid w:val="00E1658C"/>
    <w:rsid w:val="00E169BB"/>
    <w:rsid w:val="00E16F3A"/>
    <w:rsid w:val="00E172EB"/>
    <w:rsid w:val="00E1736B"/>
    <w:rsid w:val="00E174CB"/>
    <w:rsid w:val="00E1767A"/>
    <w:rsid w:val="00E176AE"/>
    <w:rsid w:val="00E176F0"/>
    <w:rsid w:val="00E178E2"/>
    <w:rsid w:val="00E178F3"/>
    <w:rsid w:val="00E1793F"/>
    <w:rsid w:val="00E17C26"/>
    <w:rsid w:val="00E200CF"/>
    <w:rsid w:val="00E20293"/>
    <w:rsid w:val="00E202C2"/>
    <w:rsid w:val="00E20306"/>
    <w:rsid w:val="00E2049D"/>
    <w:rsid w:val="00E2069A"/>
    <w:rsid w:val="00E207A9"/>
    <w:rsid w:val="00E2089C"/>
    <w:rsid w:val="00E20BC2"/>
    <w:rsid w:val="00E20C1F"/>
    <w:rsid w:val="00E20CD2"/>
    <w:rsid w:val="00E20D4F"/>
    <w:rsid w:val="00E20E22"/>
    <w:rsid w:val="00E20F53"/>
    <w:rsid w:val="00E2116C"/>
    <w:rsid w:val="00E21173"/>
    <w:rsid w:val="00E211BD"/>
    <w:rsid w:val="00E213BF"/>
    <w:rsid w:val="00E2153C"/>
    <w:rsid w:val="00E21613"/>
    <w:rsid w:val="00E2170D"/>
    <w:rsid w:val="00E217FE"/>
    <w:rsid w:val="00E2197E"/>
    <w:rsid w:val="00E21E07"/>
    <w:rsid w:val="00E22123"/>
    <w:rsid w:val="00E2212B"/>
    <w:rsid w:val="00E22255"/>
    <w:rsid w:val="00E222A4"/>
    <w:rsid w:val="00E2231A"/>
    <w:rsid w:val="00E2232F"/>
    <w:rsid w:val="00E223C6"/>
    <w:rsid w:val="00E2263D"/>
    <w:rsid w:val="00E22641"/>
    <w:rsid w:val="00E226CA"/>
    <w:rsid w:val="00E2296E"/>
    <w:rsid w:val="00E22DED"/>
    <w:rsid w:val="00E23228"/>
    <w:rsid w:val="00E23391"/>
    <w:rsid w:val="00E235E5"/>
    <w:rsid w:val="00E2381E"/>
    <w:rsid w:val="00E23844"/>
    <w:rsid w:val="00E23885"/>
    <w:rsid w:val="00E2397D"/>
    <w:rsid w:val="00E23A03"/>
    <w:rsid w:val="00E23AB5"/>
    <w:rsid w:val="00E23B20"/>
    <w:rsid w:val="00E23CF6"/>
    <w:rsid w:val="00E240F2"/>
    <w:rsid w:val="00E24110"/>
    <w:rsid w:val="00E241F9"/>
    <w:rsid w:val="00E24312"/>
    <w:rsid w:val="00E243B7"/>
    <w:rsid w:val="00E243DC"/>
    <w:rsid w:val="00E243F4"/>
    <w:rsid w:val="00E24726"/>
    <w:rsid w:val="00E247D9"/>
    <w:rsid w:val="00E2482E"/>
    <w:rsid w:val="00E2484C"/>
    <w:rsid w:val="00E24D41"/>
    <w:rsid w:val="00E24DFD"/>
    <w:rsid w:val="00E24E5B"/>
    <w:rsid w:val="00E24FE2"/>
    <w:rsid w:val="00E25005"/>
    <w:rsid w:val="00E2522C"/>
    <w:rsid w:val="00E2524E"/>
    <w:rsid w:val="00E2537E"/>
    <w:rsid w:val="00E25706"/>
    <w:rsid w:val="00E2571E"/>
    <w:rsid w:val="00E25A3F"/>
    <w:rsid w:val="00E25D2C"/>
    <w:rsid w:val="00E25E41"/>
    <w:rsid w:val="00E26004"/>
    <w:rsid w:val="00E2608D"/>
    <w:rsid w:val="00E2625A"/>
    <w:rsid w:val="00E26843"/>
    <w:rsid w:val="00E2688F"/>
    <w:rsid w:val="00E268F1"/>
    <w:rsid w:val="00E26A12"/>
    <w:rsid w:val="00E26ABE"/>
    <w:rsid w:val="00E26D37"/>
    <w:rsid w:val="00E2711A"/>
    <w:rsid w:val="00E272E0"/>
    <w:rsid w:val="00E2771F"/>
    <w:rsid w:val="00E278DA"/>
    <w:rsid w:val="00E27BDA"/>
    <w:rsid w:val="00E27D61"/>
    <w:rsid w:val="00E27EA3"/>
    <w:rsid w:val="00E27FF6"/>
    <w:rsid w:val="00E3013E"/>
    <w:rsid w:val="00E30232"/>
    <w:rsid w:val="00E302DB"/>
    <w:rsid w:val="00E30338"/>
    <w:rsid w:val="00E3067F"/>
    <w:rsid w:val="00E30867"/>
    <w:rsid w:val="00E30890"/>
    <w:rsid w:val="00E30D99"/>
    <w:rsid w:val="00E30FC3"/>
    <w:rsid w:val="00E312AF"/>
    <w:rsid w:val="00E31407"/>
    <w:rsid w:val="00E3159E"/>
    <w:rsid w:val="00E3189E"/>
    <w:rsid w:val="00E31993"/>
    <w:rsid w:val="00E31A08"/>
    <w:rsid w:val="00E31AE5"/>
    <w:rsid w:val="00E31B90"/>
    <w:rsid w:val="00E31BBB"/>
    <w:rsid w:val="00E32128"/>
    <w:rsid w:val="00E3218D"/>
    <w:rsid w:val="00E328AD"/>
    <w:rsid w:val="00E32AC0"/>
    <w:rsid w:val="00E32AF5"/>
    <w:rsid w:val="00E32BDE"/>
    <w:rsid w:val="00E32D92"/>
    <w:rsid w:val="00E32E36"/>
    <w:rsid w:val="00E32E71"/>
    <w:rsid w:val="00E32FA1"/>
    <w:rsid w:val="00E32FCA"/>
    <w:rsid w:val="00E32FDC"/>
    <w:rsid w:val="00E331E1"/>
    <w:rsid w:val="00E33383"/>
    <w:rsid w:val="00E333DF"/>
    <w:rsid w:val="00E3344D"/>
    <w:rsid w:val="00E334BA"/>
    <w:rsid w:val="00E334C3"/>
    <w:rsid w:val="00E33563"/>
    <w:rsid w:val="00E3367D"/>
    <w:rsid w:val="00E33861"/>
    <w:rsid w:val="00E3389F"/>
    <w:rsid w:val="00E3391A"/>
    <w:rsid w:val="00E33AFD"/>
    <w:rsid w:val="00E33CEB"/>
    <w:rsid w:val="00E33E99"/>
    <w:rsid w:val="00E341AF"/>
    <w:rsid w:val="00E34326"/>
    <w:rsid w:val="00E34496"/>
    <w:rsid w:val="00E34502"/>
    <w:rsid w:val="00E34783"/>
    <w:rsid w:val="00E3499C"/>
    <w:rsid w:val="00E349BB"/>
    <w:rsid w:val="00E34BA5"/>
    <w:rsid w:val="00E34D1F"/>
    <w:rsid w:val="00E34EDE"/>
    <w:rsid w:val="00E34FC8"/>
    <w:rsid w:val="00E35081"/>
    <w:rsid w:val="00E351A0"/>
    <w:rsid w:val="00E35543"/>
    <w:rsid w:val="00E35863"/>
    <w:rsid w:val="00E35A21"/>
    <w:rsid w:val="00E35ADD"/>
    <w:rsid w:val="00E35D8B"/>
    <w:rsid w:val="00E35E87"/>
    <w:rsid w:val="00E36236"/>
    <w:rsid w:val="00E3628D"/>
    <w:rsid w:val="00E36450"/>
    <w:rsid w:val="00E36977"/>
    <w:rsid w:val="00E36985"/>
    <w:rsid w:val="00E36B64"/>
    <w:rsid w:val="00E36C30"/>
    <w:rsid w:val="00E36D46"/>
    <w:rsid w:val="00E37433"/>
    <w:rsid w:val="00E3775D"/>
    <w:rsid w:val="00E37875"/>
    <w:rsid w:val="00E37ACC"/>
    <w:rsid w:val="00E37C5E"/>
    <w:rsid w:val="00E37CF4"/>
    <w:rsid w:val="00E37F8E"/>
    <w:rsid w:val="00E40096"/>
    <w:rsid w:val="00E400C0"/>
    <w:rsid w:val="00E40210"/>
    <w:rsid w:val="00E402AE"/>
    <w:rsid w:val="00E402F4"/>
    <w:rsid w:val="00E4036E"/>
    <w:rsid w:val="00E403DC"/>
    <w:rsid w:val="00E403F4"/>
    <w:rsid w:val="00E407FE"/>
    <w:rsid w:val="00E408B4"/>
    <w:rsid w:val="00E40BD9"/>
    <w:rsid w:val="00E40BE1"/>
    <w:rsid w:val="00E40DE1"/>
    <w:rsid w:val="00E41059"/>
    <w:rsid w:val="00E410CD"/>
    <w:rsid w:val="00E41134"/>
    <w:rsid w:val="00E4115D"/>
    <w:rsid w:val="00E41163"/>
    <w:rsid w:val="00E413C9"/>
    <w:rsid w:val="00E41679"/>
    <w:rsid w:val="00E41A27"/>
    <w:rsid w:val="00E41C42"/>
    <w:rsid w:val="00E42066"/>
    <w:rsid w:val="00E421F6"/>
    <w:rsid w:val="00E4225A"/>
    <w:rsid w:val="00E42302"/>
    <w:rsid w:val="00E42317"/>
    <w:rsid w:val="00E424FB"/>
    <w:rsid w:val="00E42520"/>
    <w:rsid w:val="00E426F2"/>
    <w:rsid w:val="00E42853"/>
    <w:rsid w:val="00E429B8"/>
    <w:rsid w:val="00E42DE6"/>
    <w:rsid w:val="00E4313F"/>
    <w:rsid w:val="00E433F7"/>
    <w:rsid w:val="00E43548"/>
    <w:rsid w:val="00E437B3"/>
    <w:rsid w:val="00E44016"/>
    <w:rsid w:val="00E44042"/>
    <w:rsid w:val="00E440B8"/>
    <w:rsid w:val="00E442CD"/>
    <w:rsid w:val="00E44467"/>
    <w:rsid w:val="00E44536"/>
    <w:rsid w:val="00E448BF"/>
    <w:rsid w:val="00E44903"/>
    <w:rsid w:val="00E44B98"/>
    <w:rsid w:val="00E44F32"/>
    <w:rsid w:val="00E44FEC"/>
    <w:rsid w:val="00E45037"/>
    <w:rsid w:val="00E45421"/>
    <w:rsid w:val="00E45615"/>
    <w:rsid w:val="00E456C7"/>
    <w:rsid w:val="00E45A98"/>
    <w:rsid w:val="00E45C6E"/>
    <w:rsid w:val="00E45D74"/>
    <w:rsid w:val="00E46028"/>
    <w:rsid w:val="00E46064"/>
    <w:rsid w:val="00E460F5"/>
    <w:rsid w:val="00E4614B"/>
    <w:rsid w:val="00E46243"/>
    <w:rsid w:val="00E46249"/>
    <w:rsid w:val="00E46317"/>
    <w:rsid w:val="00E46709"/>
    <w:rsid w:val="00E4675B"/>
    <w:rsid w:val="00E4686D"/>
    <w:rsid w:val="00E46AB7"/>
    <w:rsid w:val="00E46B16"/>
    <w:rsid w:val="00E46D7E"/>
    <w:rsid w:val="00E46D99"/>
    <w:rsid w:val="00E46DB4"/>
    <w:rsid w:val="00E470B0"/>
    <w:rsid w:val="00E47181"/>
    <w:rsid w:val="00E4724D"/>
    <w:rsid w:val="00E473E6"/>
    <w:rsid w:val="00E477F7"/>
    <w:rsid w:val="00E47988"/>
    <w:rsid w:val="00E47A84"/>
    <w:rsid w:val="00E47CB1"/>
    <w:rsid w:val="00E47D3D"/>
    <w:rsid w:val="00E503EA"/>
    <w:rsid w:val="00E507FE"/>
    <w:rsid w:val="00E5084A"/>
    <w:rsid w:val="00E50876"/>
    <w:rsid w:val="00E50DD7"/>
    <w:rsid w:val="00E510FF"/>
    <w:rsid w:val="00E511B1"/>
    <w:rsid w:val="00E512CA"/>
    <w:rsid w:val="00E512E1"/>
    <w:rsid w:val="00E51301"/>
    <w:rsid w:val="00E51853"/>
    <w:rsid w:val="00E51C25"/>
    <w:rsid w:val="00E51D28"/>
    <w:rsid w:val="00E51EC4"/>
    <w:rsid w:val="00E5216B"/>
    <w:rsid w:val="00E522B6"/>
    <w:rsid w:val="00E52431"/>
    <w:rsid w:val="00E525CA"/>
    <w:rsid w:val="00E52714"/>
    <w:rsid w:val="00E52772"/>
    <w:rsid w:val="00E5294C"/>
    <w:rsid w:val="00E52AAE"/>
    <w:rsid w:val="00E52C22"/>
    <w:rsid w:val="00E52FBC"/>
    <w:rsid w:val="00E5302F"/>
    <w:rsid w:val="00E5333A"/>
    <w:rsid w:val="00E53390"/>
    <w:rsid w:val="00E535E4"/>
    <w:rsid w:val="00E53820"/>
    <w:rsid w:val="00E5403F"/>
    <w:rsid w:val="00E5407A"/>
    <w:rsid w:val="00E542A9"/>
    <w:rsid w:val="00E5449E"/>
    <w:rsid w:val="00E54781"/>
    <w:rsid w:val="00E5480D"/>
    <w:rsid w:val="00E54945"/>
    <w:rsid w:val="00E549EE"/>
    <w:rsid w:val="00E54C4B"/>
    <w:rsid w:val="00E54DDA"/>
    <w:rsid w:val="00E55421"/>
    <w:rsid w:val="00E5567F"/>
    <w:rsid w:val="00E55759"/>
    <w:rsid w:val="00E557E3"/>
    <w:rsid w:val="00E559C5"/>
    <w:rsid w:val="00E55B1B"/>
    <w:rsid w:val="00E55DE2"/>
    <w:rsid w:val="00E55E44"/>
    <w:rsid w:val="00E55EAB"/>
    <w:rsid w:val="00E5635E"/>
    <w:rsid w:val="00E56483"/>
    <w:rsid w:val="00E565CB"/>
    <w:rsid w:val="00E56705"/>
    <w:rsid w:val="00E5677C"/>
    <w:rsid w:val="00E56CF3"/>
    <w:rsid w:val="00E570FE"/>
    <w:rsid w:val="00E57261"/>
    <w:rsid w:val="00E573AE"/>
    <w:rsid w:val="00E574A4"/>
    <w:rsid w:val="00E57609"/>
    <w:rsid w:val="00E57629"/>
    <w:rsid w:val="00E57724"/>
    <w:rsid w:val="00E5783A"/>
    <w:rsid w:val="00E57B7F"/>
    <w:rsid w:val="00E57EDD"/>
    <w:rsid w:val="00E6001E"/>
    <w:rsid w:val="00E6012F"/>
    <w:rsid w:val="00E6023B"/>
    <w:rsid w:val="00E60391"/>
    <w:rsid w:val="00E604C5"/>
    <w:rsid w:val="00E607F3"/>
    <w:rsid w:val="00E60916"/>
    <w:rsid w:val="00E60966"/>
    <w:rsid w:val="00E60EBC"/>
    <w:rsid w:val="00E60F46"/>
    <w:rsid w:val="00E61016"/>
    <w:rsid w:val="00E6106F"/>
    <w:rsid w:val="00E610E0"/>
    <w:rsid w:val="00E6142B"/>
    <w:rsid w:val="00E61554"/>
    <w:rsid w:val="00E61600"/>
    <w:rsid w:val="00E617F4"/>
    <w:rsid w:val="00E61820"/>
    <w:rsid w:val="00E61A03"/>
    <w:rsid w:val="00E61CCF"/>
    <w:rsid w:val="00E61D6C"/>
    <w:rsid w:val="00E61E46"/>
    <w:rsid w:val="00E61E94"/>
    <w:rsid w:val="00E61F12"/>
    <w:rsid w:val="00E620F9"/>
    <w:rsid w:val="00E62165"/>
    <w:rsid w:val="00E624CC"/>
    <w:rsid w:val="00E62539"/>
    <w:rsid w:val="00E62A29"/>
    <w:rsid w:val="00E62AA6"/>
    <w:rsid w:val="00E62B3A"/>
    <w:rsid w:val="00E62D4E"/>
    <w:rsid w:val="00E6325A"/>
    <w:rsid w:val="00E632E7"/>
    <w:rsid w:val="00E635E4"/>
    <w:rsid w:val="00E63D52"/>
    <w:rsid w:val="00E63EC8"/>
    <w:rsid w:val="00E63EDD"/>
    <w:rsid w:val="00E641D4"/>
    <w:rsid w:val="00E6445B"/>
    <w:rsid w:val="00E645C1"/>
    <w:rsid w:val="00E64966"/>
    <w:rsid w:val="00E64C42"/>
    <w:rsid w:val="00E64E20"/>
    <w:rsid w:val="00E64E3F"/>
    <w:rsid w:val="00E64ECE"/>
    <w:rsid w:val="00E64F98"/>
    <w:rsid w:val="00E65010"/>
    <w:rsid w:val="00E650F8"/>
    <w:rsid w:val="00E6518A"/>
    <w:rsid w:val="00E65236"/>
    <w:rsid w:val="00E65377"/>
    <w:rsid w:val="00E655D2"/>
    <w:rsid w:val="00E6579A"/>
    <w:rsid w:val="00E657E7"/>
    <w:rsid w:val="00E65830"/>
    <w:rsid w:val="00E658DA"/>
    <w:rsid w:val="00E65C35"/>
    <w:rsid w:val="00E65E29"/>
    <w:rsid w:val="00E66332"/>
    <w:rsid w:val="00E66806"/>
    <w:rsid w:val="00E6695B"/>
    <w:rsid w:val="00E66B89"/>
    <w:rsid w:val="00E66CC9"/>
    <w:rsid w:val="00E66F9B"/>
    <w:rsid w:val="00E66FEA"/>
    <w:rsid w:val="00E670AE"/>
    <w:rsid w:val="00E671A6"/>
    <w:rsid w:val="00E673DD"/>
    <w:rsid w:val="00E6752A"/>
    <w:rsid w:val="00E67697"/>
    <w:rsid w:val="00E67739"/>
    <w:rsid w:val="00E67A85"/>
    <w:rsid w:val="00E67C52"/>
    <w:rsid w:val="00E67CB4"/>
    <w:rsid w:val="00E67D13"/>
    <w:rsid w:val="00E67FF1"/>
    <w:rsid w:val="00E704C6"/>
    <w:rsid w:val="00E7076B"/>
    <w:rsid w:val="00E707ED"/>
    <w:rsid w:val="00E708F8"/>
    <w:rsid w:val="00E70A95"/>
    <w:rsid w:val="00E70BF5"/>
    <w:rsid w:val="00E70C38"/>
    <w:rsid w:val="00E70D0B"/>
    <w:rsid w:val="00E70D60"/>
    <w:rsid w:val="00E70E59"/>
    <w:rsid w:val="00E711F3"/>
    <w:rsid w:val="00E714F8"/>
    <w:rsid w:val="00E718A3"/>
    <w:rsid w:val="00E71A29"/>
    <w:rsid w:val="00E71A48"/>
    <w:rsid w:val="00E71AE5"/>
    <w:rsid w:val="00E71B17"/>
    <w:rsid w:val="00E71BC6"/>
    <w:rsid w:val="00E71C3D"/>
    <w:rsid w:val="00E71C40"/>
    <w:rsid w:val="00E71EFD"/>
    <w:rsid w:val="00E71FDC"/>
    <w:rsid w:val="00E72071"/>
    <w:rsid w:val="00E722BE"/>
    <w:rsid w:val="00E72533"/>
    <w:rsid w:val="00E7266E"/>
    <w:rsid w:val="00E7269A"/>
    <w:rsid w:val="00E728EA"/>
    <w:rsid w:val="00E729F6"/>
    <w:rsid w:val="00E72D3E"/>
    <w:rsid w:val="00E72E6E"/>
    <w:rsid w:val="00E73133"/>
    <w:rsid w:val="00E73192"/>
    <w:rsid w:val="00E73246"/>
    <w:rsid w:val="00E73401"/>
    <w:rsid w:val="00E7366C"/>
    <w:rsid w:val="00E737EF"/>
    <w:rsid w:val="00E73C78"/>
    <w:rsid w:val="00E73D01"/>
    <w:rsid w:val="00E73FA4"/>
    <w:rsid w:val="00E74348"/>
    <w:rsid w:val="00E747EE"/>
    <w:rsid w:val="00E747FD"/>
    <w:rsid w:val="00E74865"/>
    <w:rsid w:val="00E74897"/>
    <w:rsid w:val="00E74B32"/>
    <w:rsid w:val="00E74BE2"/>
    <w:rsid w:val="00E74F74"/>
    <w:rsid w:val="00E7546B"/>
    <w:rsid w:val="00E7557D"/>
    <w:rsid w:val="00E756A5"/>
    <w:rsid w:val="00E75A00"/>
    <w:rsid w:val="00E75ACC"/>
    <w:rsid w:val="00E75EBD"/>
    <w:rsid w:val="00E75F78"/>
    <w:rsid w:val="00E75FB2"/>
    <w:rsid w:val="00E7620B"/>
    <w:rsid w:val="00E7651D"/>
    <w:rsid w:val="00E76572"/>
    <w:rsid w:val="00E766CB"/>
    <w:rsid w:val="00E766EE"/>
    <w:rsid w:val="00E76AEF"/>
    <w:rsid w:val="00E76B5B"/>
    <w:rsid w:val="00E76BE5"/>
    <w:rsid w:val="00E76CF4"/>
    <w:rsid w:val="00E76DF7"/>
    <w:rsid w:val="00E76E27"/>
    <w:rsid w:val="00E76ECE"/>
    <w:rsid w:val="00E76F8E"/>
    <w:rsid w:val="00E77185"/>
    <w:rsid w:val="00E7740E"/>
    <w:rsid w:val="00E775B3"/>
    <w:rsid w:val="00E777F5"/>
    <w:rsid w:val="00E77810"/>
    <w:rsid w:val="00E77892"/>
    <w:rsid w:val="00E77B5C"/>
    <w:rsid w:val="00E77B63"/>
    <w:rsid w:val="00E77CDC"/>
    <w:rsid w:val="00E77D28"/>
    <w:rsid w:val="00E77EE4"/>
    <w:rsid w:val="00E77F38"/>
    <w:rsid w:val="00E80203"/>
    <w:rsid w:val="00E8024E"/>
    <w:rsid w:val="00E80256"/>
    <w:rsid w:val="00E802A8"/>
    <w:rsid w:val="00E80320"/>
    <w:rsid w:val="00E80384"/>
    <w:rsid w:val="00E806BF"/>
    <w:rsid w:val="00E80A96"/>
    <w:rsid w:val="00E80DEB"/>
    <w:rsid w:val="00E80EB3"/>
    <w:rsid w:val="00E810FE"/>
    <w:rsid w:val="00E811F8"/>
    <w:rsid w:val="00E813EC"/>
    <w:rsid w:val="00E8155C"/>
    <w:rsid w:val="00E81615"/>
    <w:rsid w:val="00E81754"/>
    <w:rsid w:val="00E81A5E"/>
    <w:rsid w:val="00E81C02"/>
    <w:rsid w:val="00E81EC7"/>
    <w:rsid w:val="00E81FAC"/>
    <w:rsid w:val="00E824F4"/>
    <w:rsid w:val="00E824FC"/>
    <w:rsid w:val="00E82738"/>
    <w:rsid w:val="00E82750"/>
    <w:rsid w:val="00E82B12"/>
    <w:rsid w:val="00E82D9C"/>
    <w:rsid w:val="00E83175"/>
    <w:rsid w:val="00E8334F"/>
    <w:rsid w:val="00E83396"/>
    <w:rsid w:val="00E834F1"/>
    <w:rsid w:val="00E83631"/>
    <w:rsid w:val="00E83728"/>
    <w:rsid w:val="00E839DA"/>
    <w:rsid w:val="00E83CE0"/>
    <w:rsid w:val="00E83E5B"/>
    <w:rsid w:val="00E83F4D"/>
    <w:rsid w:val="00E8409B"/>
    <w:rsid w:val="00E84386"/>
    <w:rsid w:val="00E84453"/>
    <w:rsid w:val="00E84496"/>
    <w:rsid w:val="00E84581"/>
    <w:rsid w:val="00E846D0"/>
    <w:rsid w:val="00E8482D"/>
    <w:rsid w:val="00E84975"/>
    <w:rsid w:val="00E84CFD"/>
    <w:rsid w:val="00E84D0A"/>
    <w:rsid w:val="00E84EA8"/>
    <w:rsid w:val="00E84FE7"/>
    <w:rsid w:val="00E85096"/>
    <w:rsid w:val="00E8531E"/>
    <w:rsid w:val="00E8558D"/>
    <w:rsid w:val="00E855A9"/>
    <w:rsid w:val="00E8567D"/>
    <w:rsid w:val="00E857A9"/>
    <w:rsid w:val="00E857C7"/>
    <w:rsid w:val="00E85869"/>
    <w:rsid w:val="00E8586B"/>
    <w:rsid w:val="00E85981"/>
    <w:rsid w:val="00E85B64"/>
    <w:rsid w:val="00E85BED"/>
    <w:rsid w:val="00E85DA6"/>
    <w:rsid w:val="00E85F00"/>
    <w:rsid w:val="00E85FA3"/>
    <w:rsid w:val="00E85FCC"/>
    <w:rsid w:val="00E86481"/>
    <w:rsid w:val="00E864D6"/>
    <w:rsid w:val="00E86502"/>
    <w:rsid w:val="00E86601"/>
    <w:rsid w:val="00E86628"/>
    <w:rsid w:val="00E8666B"/>
    <w:rsid w:val="00E866A7"/>
    <w:rsid w:val="00E86A65"/>
    <w:rsid w:val="00E86B5B"/>
    <w:rsid w:val="00E86B75"/>
    <w:rsid w:val="00E86FD9"/>
    <w:rsid w:val="00E8701E"/>
    <w:rsid w:val="00E87075"/>
    <w:rsid w:val="00E870FD"/>
    <w:rsid w:val="00E8725E"/>
    <w:rsid w:val="00E87324"/>
    <w:rsid w:val="00E87525"/>
    <w:rsid w:val="00E8769B"/>
    <w:rsid w:val="00E877BD"/>
    <w:rsid w:val="00E87A91"/>
    <w:rsid w:val="00E87AFD"/>
    <w:rsid w:val="00E87BC2"/>
    <w:rsid w:val="00E87D8D"/>
    <w:rsid w:val="00E87EFF"/>
    <w:rsid w:val="00E90140"/>
    <w:rsid w:val="00E9014D"/>
    <w:rsid w:val="00E90212"/>
    <w:rsid w:val="00E90265"/>
    <w:rsid w:val="00E90358"/>
    <w:rsid w:val="00E90738"/>
    <w:rsid w:val="00E9094B"/>
    <w:rsid w:val="00E90F77"/>
    <w:rsid w:val="00E90FB5"/>
    <w:rsid w:val="00E914A2"/>
    <w:rsid w:val="00E9156B"/>
    <w:rsid w:val="00E9161E"/>
    <w:rsid w:val="00E91754"/>
    <w:rsid w:val="00E917D2"/>
    <w:rsid w:val="00E91989"/>
    <w:rsid w:val="00E91999"/>
    <w:rsid w:val="00E919FB"/>
    <w:rsid w:val="00E91A50"/>
    <w:rsid w:val="00E91EAB"/>
    <w:rsid w:val="00E91F8D"/>
    <w:rsid w:val="00E920AC"/>
    <w:rsid w:val="00E921DD"/>
    <w:rsid w:val="00E921F2"/>
    <w:rsid w:val="00E925D3"/>
    <w:rsid w:val="00E9273C"/>
    <w:rsid w:val="00E92773"/>
    <w:rsid w:val="00E92790"/>
    <w:rsid w:val="00E92798"/>
    <w:rsid w:val="00E92928"/>
    <w:rsid w:val="00E92BCB"/>
    <w:rsid w:val="00E92BD2"/>
    <w:rsid w:val="00E92C6B"/>
    <w:rsid w:val="00E930D4"/>
    <w:rsid w:val="00E9337A"/>
    <w:rsid w:val="00E93560"/>
    <w:rsid w:val="00E9393C"/>
    <w:rsid w:val="00E93969"/>
    <w:rsid w:val="00E93A72"/>
    <w:rsid w:val="00E93D50"/>
    <w:rsid w:val="00E93FE5"/>
    <w:rsid w:val="00E9412F"/>
    <w:rsid w:val="00E941C3"/>
    <w:rsid w:val="00E9431D"/>
    <w:rsid w:val="00E949A1"/>
    <w:rsid w:val="00E94A62"/>
    <w:rsid w:val="00E94A97"/>
    <w:rsid w:val="00E94BCF"/>
    <w:rsid w:val="00E94C9C"/>
    <w:rsid w:val="00E94EFA"/>
    <w:rsid w:val="00E952D2"/>
    <w:rsid w:val="00E95380"/>
    <w:rsid w:val="00E954DF"/>
    <w:rsid w:val="00E9563D"/>
    <w:rsid w:val="00E957AD"/>
    <w:rsid w:val="00E957CC"/>
    <w:rsid w:val="00E9597C"/>
    <w:rsid w:val="00E95BFF"/>
    <w:rsid w:val="00E95C60"/>
    <w:rsid w:val="00E95DD2"/>
    <w:rsid w:val="00E96460"/>
    <w:rsid w:val="00E967AD"/>
    <w:rsid w:val="00E969B8"/>
    <w:rsid w:val="00E96D18"/>
    <w:rsid w:val="00E96D54"/>
    <w:rsid w:val="00E96F0E"/>
    <w:rsid w:val="00E96F49"/>
    <w:rsid w:val="00E970A7"/>
    <w:rsid w:val="00E973B0"/>
    <w:rsid w:val="00E97B96"/>
    <w:rsid w:val="00E97CE3"/>
    <w:rsid w:val="00E97D7F"/>
    <w:rsid w:val="00E97F48"/>
    <w:rsid w:val="00EA02C5"/>
    <w:rsid w:val="00EA0637"/>
    <w:rsid w:val="00EA06D9"/>
    <w:rsid w:val="00EA0814"/>
    <w:rsid w:val="00EA0882"/>
    <w:rsid w:val="00EA0B02"/>
    <w:rsid w:val="00EA0BC6"/>
    <w:rsid w:val="00EA0CD2"/>
    <w:rsid w:val="00EA0D22"/>
    <w:rsid w:val="00EA1037"/>
    <w:rsid w:val="00EA13BF"/>
    <w:rsid w:val="00EA13F7"/>
    <w:rsid w:val="00EA1482"/>
    <w:rsid w:val="00EA1772"/>
    <w:rsid w:val="00EA1783"/>
    <w:rsid w:val="00EA1869"/>
    <w:rsid w:val="00EA1A0C"/>
    <w:rsid w:val="00EA1A8E"/>
    <w:rsid w:val="00EA1D7C"/>
    <w:rsid w:val="00EA1E9D"/>
    <w:rsid w:val="00EA24C0"/>
    <w:rsid w:val="00EA2512"/>
    <w:rsid w:val="00EA2514"/>
    <w:rsid w:val="00EA263B"/>
    <w:rsid w:val="00EA2786"/>
    <w:rsid w:val="00EA2B88"/>
    <w:rsid w:val="00EA2D9A"/>
    <w:rsid w:val="00EA309D"/>
    <w:rsid w:val="00EA3349"/>
    <w:rsid w:val="00EA36B8"/>
    <w:rsid w:val="00EA36BF"/>
    <w:rsid w:val="00EA38D6"/>
    <w:rsid w:val="00EA3981"/>
    <w:rsid w:val="00EA3DDA"/>
    <w:rsid w:val="00EA3E93"/>
    <w:rsid w:val="00EA3F12"/>
    <w:rsid w:val="00EA40DA"/>
    <w:rsid w:val="00EA4383"/>
    <w:rsid w:val="00EA441B"/>
    <w:rsid w:val="00EA457D"/>
    <w:rsid w:val="00EA45F4"/>
    <w:rsid w:val="00EA494A"/>
    <w:rsid w:val="00EA4B11"/>
    <w:rsid w:val="00EA4D8C"/>
    <w:rsid w:val="00EA4E1B"/>
    <w:rsid w:val="00EA4F5D"/>
    <w:rsid w:val="00EA50F5"/>
    <w:rsid w:val="00EA5213"/>
    <w:rsid w:val="00EA5282"/>
    <w:rsid w:val="00EA5736"/>
    <w:rsid w:val="00EA591B"/>
    <w:rsid w:val="00EA611B"/>
    <w:rsid w:val="00EA6167"/>
    <w:rsid w:val="00EA618A"/>
    <w:rsid w:val="00EA6329"/>
    <w:rsid w:val="00EA69AB"/>
    <w:rsid w:val="00EA6C4C"/>
    <w:rsid w:val="00EA6CFC"/>
    <w:rsid w:val="00EA7427"/>
    <w:rsid w:val="00EA7AF1"/>
    <w:rsid w:val="00EB036F"/>
    <w:rsid w:val="00EB0434"/>
    <w:rsid w:val="00EB068C"/>
    <w:rsid w:val="00EB0A02"/>
    <w:rsid w:val="00EB0A0C"/>
    <w:rsid w:val="00EB0EFE"/>
    <w:rsid w:val="00EB119D"/>
    <w:rsid w:val="00EB123B"/>
    <w:rsid w:val="00EB1291"/>
    <w:rsid w:val="00EB12C1"/>
    <w:rsid w:val="00EB14D7"/>
    <w:rsid w:val="00EB14F9"/>
    <w:rsid w:val="00EB15B4"/>
    <w:rsid w:val="00EB1619"/>
    <w:rsid w:val="00EB165B"/>
    <w:rsid w:val="00EB19F6"/>
    <w:rsid w:val="00EB1A4E"/>
    <w:rsid w:val="00EB1A92"/>
    <w:rsid w:val="00EB1F9A"/>
    <w:rsid w:val="00EB20D1"/>
    <w:rsid w:val="00EB217F"/>
    <w:rsid w:val="00EB2190"/>
    <w:rsid w:val="00EB21EB"/>
    <w:rsid w:val="00EB2579"/>
    <w:rsid w:val="00EB265C"/>
    <w:rsid w:val="00EB2739"/>
    <w:rsid w:val="00EB2747"/>
    <w:rsid w:val="00EB277C"/>
    <w:rsid w:val="00EB28DA"/>
    <w:rsid w:val="00EB295A"/>
    <w:rsid w:val="00EB2A6C"/>
    <w:rsid w:val="00EB2AE2"/>
    <w:rsid w:val="00EB2E4D"/>
    <w:rsid w:val="00EB30C1"/>
    <w:rsid w:val="00EB337F"/>
    <w:rsid w:val="00EB3479"/>
    <w:rsid w:val="00EB3AA7"/>
    <w:rsid w:val="00EB3F73"/>
    <w:rsid w:val="00EB4005"/>
    <w:rsid w:val="00EB4236"/>
    <w:rsid w:val="00EB4403"/>
    <w:rsid w:val="00EB48BC"/>
    <w:rsid w:val="00EB4BA5"/>
    <w:rsid w:val="00EB4C3E"/>
    <w:rsid w:val="00EB4D99"/>
    <w:rsid w:val="00EB4E61"/>
    <w:rsid w:val="00EB5266"/>
    <w:rsid w:val="00EB52B8"/>
    <w:rsid w:val="00EB5603"/>
    <w:rsid w:val="00EB5C13"/>
    <w:rsid w:val="00EB5C97"/>
    <w:rsid w:val="00EB5F8D"/>
    <w:rsid w:val="00EB61D9"/>
    <w:rsid w:val="00EB62BF"/>
    <w:rsid w:val="00EB6686"/>
    <w:rsid w:val="00EB66CA"/>
    <w:rsid w:val="00EB6799"/>
    <w:rsid w:val="00EB67AE"/>
    <w:rsid w:val="00EB6A47"/>
    <w:rsid w:val="00EB6A53"/>
    <w:rsid w:val="00EB6AFA"/>
    <w:rsid w:val="00EB6B7D"/>
    <w:rsid w:val="00EB7123"/>
    <w:rsid w:val="00EB75BC"/>
    <w:rsid w:val="00EB76EA"/>
    <w:rsid w:val="00EB7A28"/>
    <w:rsid w:val="00EB7A48"/>
    <w:rsid w:val="00EB7DC8"/>
    <w:rsid w:val="00EC00DD"/>
    <w:rsid w:val="00EC0237"/>
    <w:rsid w:val="00EC031F"/>
    <w:rsid w:val="00EC038A"/>
    <w:rsid w:val="00EC04ED"/>
    <w:rsid w:val="00EC06AC"/>
    <w:rsid w:val="00EC074A"/>
    <w:rsid w:val="00EC0833"/>
    <w:rsid w:val="00EC09B0"/>
    <w:rsid w:val="00EC0B46"/>
    <w:rsid w:val="00EC0EC4"/>
    <w:rsid w:val="00EC0FFA"/>
    <w:rsid w:val="00EC13AD"/>
    <w:rsid w:val="00EC1595"/>
    <w:rsid w:val="00EC192A"/>
    <w:rsid w:val="00EC1936"/>
    <w:rsid w:val="00EC19DB"/>
    <w:rsid w:val="00EC1B63"/>
    <w:rsid w:val="00EC1B67"/>
    <w:rsid w:val="00EC217A"/>
    <w:rsid w:val="00EC23C5"/>
    <w:rsid w:val="00EC2781"/>
    <w:rsid w:val="00EC2987"/>
    <w:rsid w:val="00EC2A10"/>
    <w:rsid w:val="00EC2CC8"/>
    <w:rsid w:val="00EC2D40"/>
    <w:rsid w:val="00EC2F24"/>
    <w:rsid w:val="00EC31AB"/>
    <w:rsid w:val="00EC31D6"/>
    <w:rsid w:val="00EC321A"/>
    <w:rsid w:val="00EC3253"/>
    <w:rsid w:val="00EC33EF"/>
    <w:rsid w:val="00EC3699"/>
    <w:rsid w:val="00EC38DC"/>
    <w:rsid w:val="00EC39C8"/>
    <w:rsid w:val="00EC3E6F"/>
    <w:rsid w:val="00EC436D"/>
    <w:rsid w:val="00EC4407"/>
    <w:rsid w:val="00EC4504"/>
    <w:rsid w:val="00EC45BC"/>
    <w:rsid w:val="00EC4CD9"/>
    <w:rsid w:val="00EC50C5"/>
    <w:rsid w:val="00EC5175"/>
    <w:rsid w:val="00EC51FE"/>
    <w:rsid w:val="00EC528C"/>
    <w:rsid w:val="00EC5308"/>
    <w:rsid w:val="00EC5579"/>
    <w:rsid w:val="00EC55B8"/>
    <w:rsid w:val="00EC5965"/>
    <w:rsid w:val="00EC59B6"/>
    <w:rsid w:val="00EC5A4A"/>
    <w:rsid w:val="00EC5AD4"/>
    <w:rsid w:val="00EC5D92"/>
    <w:rsid w:val="00EC5DF5"/>
    <w:rsid w:val="00EC5E24"/>
    <w:rsid w:val="00EC642A"/>
    <w:rsid w:val="00EC66E4"/>
    <w:rsid w:val="00EC691A"/>
    <w:rsid w:val="00EC697B"/>
    <w:rsid w:val="00EC6C41"/>
    <w:rsid w:val="00EC6C71"/>
    <w:rsid w:val="00EC70B0"/>
    <w:rsid w:val="00EC718D"/>
    <w:rsid w:val="00EC724F"/>
    <w:rsid w:val="00EC7253"/>
    <w:rsid w:val="00EC7290"/>
    <w:rsid w:val="00EC74CB"/>
    <w:rsid w:val="00EC7A20"/>
    <w:rsid w:val="00EC7B57"/>
    <w:rsid w:val="00EC7BFF"/>
    <w:rsid w:val="00EC7DE9"/>
    <w:rsid w:val="00EC7F9F"/>
    <w:rsid w:val="00EC7FFB"/>
    <w:rsid w:val="00ED004B"/>
    <w:rsid w:val="00ED033E"/>
    <w:rsid w:val="00ED0395"/>
    <w:rsid w:val="00ED06AA"/>
    <w:rsid w:val="00ED0956"/>
    <w:rsid w:val="00ED09E9"/>
    <w:rsid w:val="00ED0A13"/>
    <w:rsid w:val="00ED0B2E"/>
    <w:rsid w:val="00ED0CC5"/>
    <w:rsid w:val="00ED0D1E"/>
    <w:rsid w:val="00ED0D4C"/>
    <w:rsid w:val="00ED0EBD"/>
    <w:rsid w:val="00ED108E"/>
    <w:rsid w:val="00ED1145"/>
    <w:rsid w:val="00ED138F"/>
    <w:rsid w:val="00ED148D"/>
    <w:rsid w:val="00ED1636"/>
    <w:rsid w:val="00ED1682"/>
    <w:rsid w:val="00ED17CA"/>
    <w:rsid w:val="00ED19A4"/>
    <w:rsid w:val="00ED19DD"/>
    <w:rsid w:val="00ED1A43"/>
    <w:rsid w:val="00ED1C3D"/>
    <w:rsid w:val="00ED21FE"/>
    <w:rsid w:val="00ED2546"/>
    <w:rsid w:val="00ED25EE"/>
    <w:rsid w:val="00ED272B"/>
    <w:rsid w:val="00ED294C"/>
    <w:rsid w:val="00ED2997"/>
    <w:rsid w:val="00ED2BA1"/>
    <w:rsid w:val="00ED2BC3"/>
    <w:rsid w:val="00ED2C7A"/>
    <w:rsid w:val="00ED2D35"/>
    <w:rsid w:val="00ED328A"/>
    <w:rsid w:val="00ED360F"/>
    <w:rsid w:val="00ED39F6"/>
    <w:rsid w:val="00ED3EBF"/>
    <w:rsid w:val="00ED3EFD"/>
    <w:rsid w:val="00ED4497"/>
    <w:rsid w:val="00ED460D"/>
    <w:rsid w:val="00ED4646"/>
    <w:rsid w:val="00ED47BE"/>
    <w:rsid w:val="00ED48BD"/>
    <w:rsid w:val="00ED4965"/>
    <w:rsid w:val="00ED4CA8"/>
    <w:rsid w:val="00ED4EBB"/>
    <w:rsid w:val="00ED5044"/>
    <w:rsid w:val="00ED5B9C"/>
    <w:rsid w:val="00ED5C77"/>
    <w:rsid w:val="00ED5ED1"/>
    <w:rsid w:val="00ED6161"/>
    <w:rsid w:val="00ED619E"/>
    <w:rsid w:val="00ED63D5"/>
    <w:rsid w:val="00ED64F6"/>
    <w:rsid w:val="00ED6913"/>
    <w:rsid w:val="00ED6933"/>
    <w:rsid w:val="00ED69FE"/>
    <w:rsid w:val="00ED6B9F"/>
    <w:rsid w:val="00ED6D3A"/>
    <w:rsid w:val="00ED7128"/>
    <w:rsid w:val="00ED73E3"/>
    <w:rsid w:val="00ED749D"/>
    <w:rsid w:val="00ED74B4"/>
    <w:rsid w:val="00ED7580"/>
    <w:rsid w:val="00ED77AC"/>
    <w:rsid w:val="00ED77C6"/>
    <w:rsid w:val="00ED7B5E"/>
    <w:rsid w:val="00ED7BAC"/>
    <w:rsid w:val="00ED7F4A"/>
    <w:rsid w:val="00EE03A8"/>
    <w:rsid w:val="00EE0477"/>
    <w:rsid w:val="00EE0558"/>
    <w:rsid w:val="00EE079B"/>
    <w:rsid w:val="00EE07D4"/>
    <w:rsid w:val="00EE0CBB"/>
    <w:rsid w:val="00EE0D7A"/>
    <w:rsid w:val="00EE10FB"/>
    <w:rsid w:val="00EE1263"/>
    <w:rsid w:val="00EE140D"/>
    <w:rsid w:val="00EE15E9"/>
    <w:rsid w:val="00EE1C86"/>
    <w:rsid w:val="00EE1E3A"/>
    <w:rsid w:val="00EE218F"/>
    <w:rsid w:val="00EE23C7"/>
    <w:rsid w:val="00EE272A"/>
    <w:rsid w:val="00EE2746"/>
    <w:rsid w:val="00EE27B7"/>
    <w:rsid w:val="00EE29B0"/>
    <w:rsid w:val="00EE29CB"/>
    <w:rsid w:val="00EE2B6E"/>
    <w:rsid w:val="00EE2DAC"/>
    <w:rsid w:val="00EE2DC8"/>
    <w:rsid w:val="00EE2E5F"/>
    <w:rsid w:val="00EE3127"/>
    <w:rsid w:val="00EE3172"/>
    <w:rsid w:val="00EE3397"/>
    <w:rsid w:val="00EE34AF"/>
    <w:rsid w:val="00EE382B"/>
    <w:rsid w:val="00EE3A84"/>
    <w:rsid w:val="00EE3BE1"/>
    <w:rsid w:val="00EE3F8F"/>
    <w:rsid w:val="00EE415A"/>
    <w:rsid w:val="00EE4181"/>
    <w:rsid w:val="00EE4219"/>
    <w:rsid w:val="00EE4545"/>
    <w:rsid w:val="00EE467F"/>
    <w:rsid w:val="00EE4BD2"/>
    <w:rsid w:val="00EE4C79"/>
    <w:rsid w:val="00EE4DA8"/>
    <w:rsid w:val="00EE5492"/>
    <w:rsid w:val="00EE56E1"/>
    <w:rsid w:val="00EE5791"/>
    <w:rsid w:val="00EE5908"/>
    <w:rsid w:val="00EE5C25"/>
    <w:rsid w:val="00EE5D6C"/>
    <w:rsid w:val="00EE5DF4"/>
    <w:rsid w:val="00EE5F1D"/>
    <w:rsid w:val="00EE61EC"/>
    <w:rsid w:val="00EE6389"/>
    <w:rsid w:val="00EE65D5"/>
    <w:rsid w:val="00EE65E1"/>
    <w:rsid w:val="00EE66B0"/>
    <w:rsid w:val="00EE683E"/>
    <w:rsid w:val="00EE698F"/>
    <w:rsid w:val="00EE6DE8"/>
    <w:rsid w:val="00EE701D"/>
    <w:rsid w:val="00EE716F"/>
    <w:rsid w:val="00EE7249"/>
    <w:rsid w:val="00EE745E"/>
    <w:rsid w:val="00EE7902"/>
    <w:rsid w:val="00EE7B43"/>
    <w:rsid w:val="00EE7E2A"/>
    <w:rsid w:val="00EE7E3B"/>
    <w:rsid w:val="00EF05F8"/>
    <w:rsid w:val="00EF07DB"/>
    <w:rsid w:val="00EF0BF3"/>
    <w:rsid w:val="00EF0D43"/>
    <w:rsid w:val="00EF0E9A"/>
    <w:rsid w:val="00EF0FA6"/>
    <w:rsid w:val="00EF1022"/>
    <w:rsid w:val="00EF154C"/>
    <w:rsid w:val="00EF1750"/>
    <w:rsid w:val="00EF17C4"/>
    <w:rsid w:val="00EF17D1"/>
    <w:rsid w:val="00EF1BC0"/>
    <w:rsid w:val="00EF1C32"/>
    <w:rsid w:val="00EF1E84"/>
    <w:rsid w:val="00EF1F8A"/>
    <w:rsid w:val="00EF1FCB"/>
    <w:rsid w:val="00EF23A1"/>
    <w:rsid w:val="00EF2578"/>
    <w:rsid w:val="00EF25C2"/>
    <w:rsid w:val="00EF260E"/>
    <w:rsid w:val="00EF2859"/>
    <w:rsid w:val="00EF29C8"/>
    <w:rsid w:val="00EF2B4B"/>
    <w:rsid w:val="00EF2C5C"/>
    <w:rsid w:val="00EF2DAA"/>
    <w:rsid w:val="00EF2E8D"/>
    <w:rsid w:val="00EF3563"/>
    <w:rsid w:val="00EF384F"/>
    <w:rsid w:val="00EF3885"/>
    <w:rsid w:val="00EF38F2"/>
    <w:rsid w:val="00EF3BAC"/>
    <w:rsid w:val="00EF3E0D"/>
    <w:rsid w:val="00EF3F48"/>
    <w:rsid w:val="00EF40EA"/>
    <w:rsid w:val="00EF4326"/>
    <w:rsid w:val="00EF444C"/>
    <w:rsid w:val="00EF4524"/>
    <w:rsid w:val="00EF46AD"/>
    <w:rsid w:val="00EF46D5"/>
    <w:rsid w:val="00EF4BC9"/>
    <w:rsid w:val="00EF4CAA"/>
    <w:rsid w:val="00EF4CAC"/>
    <w:rsid w:val="00EF4CB4"/>
    <w:rsid w:val="00EF4DD1"/>
    <w:rsid w:val="00EF4EC0"/>
    <w:rsid w:val="00EF4F64"/>
    <w:rsid w:val="00EF505B"/>
    <w:rsid w:val="00EF5481"/>
    <w:rsid w:val="00EF573E"/>
    <w:rsid w:val="00EF584D"/>
    <w:rsid w:val="00EF59AC"/>
    <w:rsid w:val="00EF5CEE"/>
    <w:rsid w:val="00EF5DD5"/>
    <w:rsid w:val="00EF5E1A"/>
    <w:rsid w:val="00EF6081"/>
    <w:rsid w:val="00EF62EE"/>
    <w:rsid w:val="00EF64ED"/>
    <w:rsid w:val="00EF66E2"/>
    <w:rsid w:val="00EF674B"/>
    <w:rsid w:val="00EF6D14"/>
    <w:rsid w:val="00EF6D7C"/>
    <w:rsid w:val="00EF6D8C"/>
    <w:rsid w:val="00EF6E99"/>
    <w:rsid w:val="00EF6F0E"/>
    <w:rsid w:val="00EF6F42"/>
    <w:rsid w:val="00EF6F92"/>
    <w:rsid w:val="00EF71C3"/>
    <w:rsid w:val="00EF71CA"/>
    <w:rsid w:val="00EF7613"/>
    <w:rsid w:val="00EF7620"/>
    <w:rsid w:val="00EF76A8"/>
    <w:rsid w:val="00EF7838"/>
    <w:rsid w:val="00EF7937"/>
    <w:rsid w:val="00EF79AC"/>
    <w:rsid w:val="00EF7AF0"/>
    <w:rsid w:val="00EF7BC0"/>
    <w:rsid w:val="00EF7C8C"/>
    <w:rsid w:val="00EF7E1F"/>
    <w:rsid w:val="00F0008E"/>
    <w:rsid w:val="00F00192"/>
    <w:rsid w:val="00F0023E"/>
    <w:rsid w:val="00F00289"/>
    <w:rsid w:val="00F00891"/>
    <w:rsid w:val="00F0091F"/>
    <w:rsid w:val="00F00CD3"/>
    <w:rsid w:val="00F00D39"/>
    <w:rsid w:val="00F00F1F"/>
    <w:rsid w:val="00F00FAD"/>
    <w:rsid w:val="00F014D6"/>
    <w:rsid w:val="00F018D0"/>
    <w:rsid w:val="00F01A22"/>
    <w:rsid w:val="00F01B7C"/>
    <w:rsid w:val="00F01CEA"/>
    <w:rsid w:val="00F01E4B"/>
    <w:rsid w:val="00F01F59"/>
    <w:rsid w:val="00F01F7C"/>
    <w:rsid w:val="00F02007"/>
    <w:rsid w:val="00F02238"/>
    <w:rsid w:val="00F024C5"/>
    <w:rsid w:val="00F02801"/>
    <w:rsid w:val="00F02B16"/>
    <w:rsid w:val="00F02C22"/>
    <w:rsid w:val="00F02E8E"/>
    <w:rsid w:val="00F030CE"/>
    <w:rsid w:val="00F032FF"/>
    <w:rsid w:val="00F0339C"/>
    <w:rsid w:val="00F03C5F"/>
    <w:rsid w:val="00F03E2F"/>
    <w:rsid w:val="00F03E80"/>
    <w:rsid w:val="00F03E93"/>
    <w:rsid w:val="00F03F5B"/>
    <w:rsid w:val="00F03FC4"/>
    <w:rsid w:val="00F04032"/>
    <w:rsid w:val="00F04162"/>
    <w:rsid w:val="00F046AA"/>
    <w:rsid w:val="00F04856"/>
    <w:rsid w:val="00F048F7"/>
    <w:rsid w:val="00F049DD"/>
    <w:rsid w:val="00F04B3C"/>
    <w:rsid w:val="00F04E80"/>
    <w:rsid w:val="00F050E0"/>
    <w:rsid w:val="00F057E3"/>
    <w:rsid w:val="00F05850"/>
    <w:rsid w:val="00F059E4"/>
    <w:rsid w:val="00F05F3C"/>
    <w:rsid w:val="00F05FCC"/>
    <w:rsid w:val="00F06074"/>
    <w:rsid w:val="00F06298"/>
    <w:rsid w:val="00F06349"/>
    <w:rsid w:val="00F063A5"/>
    <w:rsid w:val="00F0645F"/>
    <w:rsid w:val="00F06663"/>
    <w:rsid w:val="00F06A8A"/>
    <w:rsid w:val="00F06AFD"/>
    <w:rsid w:val="00F06CFE"/>
    <w:rsid w:val="00F06D5B"/>
    <w:rsid w:val="00F06E32"/>
    <w:rsid w:val="00F06E7A"/>
    <w:rsid w:val="00F06ECC"/>
    <w:rsid w:val="00F06ED5"/>
    <w:rsid w:val="00F06FB9"/>
    <w:rsid w:val="00F070B1"/>
    <w:rsid w:val="00F07130"/>
    <w:rsid w:val="00F07290"/>
    <w:rsid w:val="00F073BA"/>
    <w:rsid w:val="00F073F8"/>
    <w:rsid w:val="00F07402"/>
    <w:rsid w:val="00F07AA5"/>
    <w:rsid w:val="00F07BF3"/>
    <w:rsid w:val="00F07C41"/>
    <w:rsid w:val="00F07CA5"/>
    <w:rsid w:val="00F10255"/>
    <w:rsid w:val="00F102A4"/>
    <w:rsid w:val="00F102E5"/>
    <w:rsid w:val="00F10E5F"/>
    <w:rsid w:val="00F1109A"/>
    <w:rsid w:val="00F11123"/>
    <w:rsid w:val="00F11367"/>
    <w:rsid w:val="00F115DB"/>
    <w:rsid w:val="00F11811"/>
    <w:rsid w:val="00F11AF6"/>
    <w:rsid w:val="00F11C0A"/>
    <w:rsid w:val="00F11C6F"/>
    <w:rsid w:val="00F11F02"/>
    <w:rsid w:val="00F11FEC"/>
    <w:rsid w:val="00F121BF"/>
    <w:rsid w:val="00F121C9"/>
    <w:rsid w:val="00F121EF"/>
    <w:rsid w:val="00F12286"/>
    <w:rsid w:val="00F1232E"/>
    <w:rsid w:val="00F12394"/>
    <w:rsid w:val="00F12459"/>
    <w:rsid w:val="00F12505"/>
    <w:rsid w:val="00F12839"/>
    <w:rsid w:val="00F12BB6"/>
    <w:rsid w:val="00F12E9A"/>
    <w:rsid w:val="00F12ED7"/>
    <w:rsid w:val="00F13149"/>
    <w:rsid w:val="00F13298"/>
    <w:rsid w:val="00F133C2"/>
    <w:rsid w:val="00F133DF"/>
    <w:rsid w:val="00F13750"/>
    <w:rsid w:val="00F13784"/>
    <w:rsid w:val="00F139B2"/>
    <w:rsid w:val="00F13AAC"/>
    <w:rsid w:val="00F13ACF"/>
    <w:rsid w:val="00F13B96"/>
    <w:rsid w:val="00F140A4"/>
    <w:rsid w:val="00F14143"/>
    <w:rsid w:val="00F141B6"/>
    <w:rsid w:val="00F142CF"/>
    <w:rsid w:val="00F1439F"/>
    <w:rsid w:val="00F143C1"/>
    <w:rsid w:val="00F14411"/>
    <w:rsid w:val="00F145A0"/>
    <w:rsid w:val="00F14C76"/>
    <w:rsid w:val="00F14FAA"/>
    <w:rsid w:val="00F150F6"/>
    <w:rsid w:val="00F15306"/>
    <w:rsid w:val="00F15331"/>
    <w:rsid w:val="00F15537"/>
    <w:rsid w:val="00F15539"/>
    <w:rsid w:val="00F15804"/>
    <w:rsid w:val="00F15883"/>
    <w:rsid w:val="00F15924"/>
    <w:rsid w:val="00F15961"/>
    <w:rsid w:val="00F15B29"/>
    <w:rsid w:val="00F15B7C"/>
    <w:rsid w:val="00F15BF5"/>
    <w:rsid w:val="00F15D01"/>
    <w:rsid w:val="00F15E09"/>
    <w:rsid w:val="00F15EFB"/>
    <w:rsid w:val="00F15F4A"/>
    <w:rsid w:val="00F15F96"/>
    <w:rsid w:val="00F1619D"/>
    <w:rsid w:val="00F16301"/>
    <w:rsid w:val="00F16746"/>
    <w:rsid w:val="00F168BA"/>
    <w:rsid w:val="00F168E9"/>
    <w:rsid w:val="00F16A4C"/>
    <w:rsid w:val="00F16D4D"/>
    <w:rsid w:val="00F1704F"/>
    <w:rsid w:val="00F17150"/>
    <w:rsid w:val="00F1720E"/>
    <w:rsid w:val="00F1727C"/>
    <w:rsid w:val="00F1731B"/>
    <w:rsid w:val="00F17564"/>
    <w:rsid w:val="00F177E3"/>
    <w:rsid w:val="00F17C09"/>
    <w:rsid w:val="00F17C6B"/>
    <w:rsid w:val="00F17D23"/>
    <w:rsid w:val="00F17D37"/>
    <w:rsid w:val="00F17F7F"/>
    <w:rsid w:val="00F2019D"/>
    <w:rsid w:val="00F2028A"/>
    <w:rsid w:val="00F2042E"/>
    <w:rsid w:val="00F20596"/>
    <w:rsid w:val="00F2073A"/>
    <w:rsid w:val="00F20747"/>
    <w:rsid w:val="00F208CA"/>
    <w:rsid w:val="00F20AFF"/>
    <w:rsid w:val="00F20B17"/>
    <w:rsid w:val="00F20C42"/>
    <w:rsid w:val="00F20CD7"/>
    <w:rsid w:val="00F20D68"/>
    <w:rsid w:val="00F20E46"/>
    <w:rsid w:val="00F20E98"/>
    <w:rsid w:val="00F20EFE"/>
    <w:rsid w:val="00F214FD"/>
    <w:rsid w:val="00F2159C"/>
    <w:rsid w:val="00F21613"/>
    <w:rsid w:val="00F21658"/>
    <w:rsid w:val="00F21780"/>
    <w:rsid w:val="00F217CB"/>
    <w:rsid w:val="00F21856"/>
    <w:rsid w:val="00F2185E"/>
    <w:rsid w:val="00F21CC2"/>
    <w:rsid w:val="00F22043"/>
    <w:rsid w:val="00F220E1"/>
    <w:rsid w:val="00F22394"/>
    <w:rsid w:val="00F22496"/>
    <w:rsid w:val="00F22594"/>
    <w:rsid w:val="00F225E1"/>
    <w:rsid w:val="00F2268C"/>
    <w:rsid w:val="00F22758"/>
    <w:rsid w:val="00F22C69"/>
    <w:rsid w:val="00F22DF7"/>
    <w:rsid w:val="00F2349C"/>
    <w:rsid w:val="00F234FB"/>
    <w:rsid w:val="00F23543"/>
    <w:rsid w:val="00F23596"/>
    <w:rsid w:val="00F236C3"/>
    <w:rsid w:val="00F236E2"/>
    <w:rsid w:val="00F2370D"/>
    <w:rsid w:val="00F23722"/>
    <w:rsid w:val="00F238D4"/>
    <w:rsid w:val="00F23BEE"/>
    <w:rsid w:val="00F23D9B"/>
    <w:rsid w:val="00F24042"/>
    <w:rsid w:val="00F2412D"/>
    <w:rsid w:val="00F24353"/>
    <w:rsid w:val="00F24567"/>
    <w:rsid w:val="00F24A46"/>
    <w:rsid w:val="00F24A62"/>
    <w:rsid w:val="00F24BD8"/>
    <w:rsid w:val="00F24F83"/>
    <w:rsid w:val="00F25053"/>
    <w:rsid w:val="00F251CE"/>
    <w:rsid w:val="00F252E7"/>
    <w:rsid w:val="00F2554D"/>
    <w:rsid w:val="00F2573C"/>
    <w:rsid w:val="00F257AD"/>
    <w:rsid w:val="00F258EC"/>
    <w:rsid w:val="00F2591C"/>
    <w:rsid w:val="00F25D2B"/>
    <w:rsid w:val="00F25EF0"/>
    <w:rsid w:val="00F26460"/>
    <w:rsid w:val="00F264BC"/>
    <w:rsid w:val="00F26589"/>
    <w:rsid w:val="00F26674"/>
    <w:rsid w:val="00F2667A"/>
    <w:rsid w:val="00F267D8"/>
    <w:rsid w:val="00F26879"/>
    <w:rsid w:val="00F26953"/>
    <w:rsid w:val="00F26A80"/>
    <w:rsid w:val="00F26B3A"/>
    <w:rsid w:val="00F26B58"/>
    <w:rsid w:val="00F26F9F"/>
    <w:rsid w:val="00F2701E"/>
    <w:rsid w:val="00F2719E"/>
    <w:rsid w:val="00F27247"/>
    <w:rsid w:val="00F273F2"/>
    <w:rsid w:val="00F27411"/>
    <w:rsid w:val="00F27565"/>
    <w:rsid w:val="00F27707"/>
    <w:rsid w:val="00F27715"/>
    <w:rsid w:val="00F278F0"/>
    <w:rsid w:val="00F279A2"/>
    <w:rsid w:val="00F279B1"/>
    <w:rsid w:val="00F27B66"/>
    <w:rsid w:val="00F27F87"/>
    <w:rsid w:val="00F27FD1"/>
    <w:rsid w:val="00F2C603"/>
    <w:rsid w:val="00F30247"/>
    <w:rsid w:val="00F3077E"/>
    <w:rsid w:val="00F3089C"/>
    <w:rsid w:val="00F308FB"/>
    <w:rsid w:val="00F309AB"/>
    <w:rsid w:val="00F30BD9"/>
    <w:rsid w:val="00F30CED"/>
    <w:rsid w:val="00F30CFA"/>
    <w:rsid w:val="00F30F38"/>
    <w:rsid w:val="00F31115"/>
    <w:rsid w:val="00F313A4"/>
    <w:rsid w:val="00F315CF"/>
    <w:rsid w:val="00F3184D"/>
    <w:rsid w:val="00F31ADC"/>
    <w:rsid w:val="00F31B31"/>
    <w:rsid w:val="00F31BAF"/>
    <w:rsid w:val="00F31DC8"/>
    <w:rsid w:val="00F31E3D"/>
    <w:rsid w:val="00F31EB4"/>
    <w:rsid w:val="00F3202E"/>
    <w:rsid w:val="00F32076"/>
    <w:rsid w:val="00F323BE"/>
    <w:rsid w:val="00F3249F"/>
    <w:rsid w:val="00F325ED"/>
    <w:rsid w:val="00F327AC"/>
    <w:rsid w:val="00F327CD"/>
    <w:rsid w:val="00F32872"/>
    <w:rsid w:val="00F3296B"/>
    <w:rsid w:val="00F32975"/>
    <w:rsid w:val="00F32A0B"/>
    <w:rsid w:val="00F32B70"/>
    <w:rsid w:val="00F32BBA"/>
    <w:rsid w:val="00F32C55"/>
    <w:rsid w:val="00F33024"/>
    <w:rsid w:val="00F3334E"/>
    <w:rsid w:val="00F333EB"/>
    <w:rsid w:val="00F3359F"/>
    <w:rsid w:val="00F33A30"/>
    <w:rsid w:val="00F3409F"/>
    <w:rsid w:val="00F340AD"/>
    <w:rsid w:val="00F341D2"/>
    <w:rsid w:val="00F343DA"/>
    <w:rsid w:val="00F34563"/>
    <w:rsid w:val="00F346D5"/>
    <w:rsid w:val="00F3505D"/>
    <w:rsid w:val="00F35181"/>
    <w:rsid w:val="00F35406"/>
    <w:rsid w:val="00F3559A"/>
    <w:rsid w:val="00F35613"/>
    <w:rsid w:val="00F357D5"/>
    <w:rsid w:val="00F357F5"/>
    <w:rsid w:val="00F35879"/>
    <w:rsid w:val="00F35966"/>
    <w:rsid w:val="00F359DB"/>
    <w:rsid w:val="00F35AE3"/>
    <w:rsid w:val="00F35C96"/>
    <w:rsid w:val="00F35D1D"/>
    <w:rsid w:val="00F3619C"/>
    <w:rsid w:val="00F363EA"/>
    <w:rsid w:val="00F363ED"/>
    <w:rsid w:val="00F368B9"/>
    <w:rsid w:val="00F36D3E"/>
    <w:rsid w:val="00F36DCA"/>
    <w:rsid w:val="00F370B4"/>
    <w:rsid w:val="00F37106"/>
    <w:rsid w:val="00F37174"/>
    <w:rsid w:val="00F3719A"/>
    <w:rsid w:val="00F371F1"/>
    <w:rsid w:val="00F37341"/>
    <w:rsid w:val="00F3762A"/>
    <w:rsid w:val="00F37686"/>
    <w:rsid w:val="00F37D5D"/>
    <w:rsid w:val="00F37D93"/>
    <w:rsid w:val="00F37ED9"/>
    <w:rsid w:val="00F37FC5"/>
    <w:rsid w:val="00F40195"/>
    <w:rsid w:val="00F404E2"/>
    <w:rsid w:val="00F4068C"/>
    <w:rsid w:val="00F406CA"/>
    <w:rsid w:val="00F4077E"/>
    <w:rsid w:val="00F40821"/>
    <w:rsid w:val="00F40A50"/>
    <w:rsid w:val="00F40AE8"/>
    <w:rsid w:val="00F41006"/>
    <w:rsid w:val="00F4133B"/>
    <w:rsid w:val="00F413DC"/>
    <w:rsid w:val="00F41486"/>
    <w:rsid w:val="00F415BB"/>
    <w:rsid w:val="00F4182F"/>
    <w:rsid w:val="00F41A01"/>
    <w:rsid w:val="00F41A15"/>
    <w:rsid w:val="00F41A6F"/>
    <w:rsid w:val="00F41D91"/>
    <w:rsid w:val="00F41D93"/>
    <w:rsid w:val="00F41FE0"/>
    <w:rsid w:val="00F422F6"/>
    <w:rsid w:val="00F424A9"/>
    <w:rsid w:val="00F426FC"/>
    <w:rsid w:val="00F429BC"/>
    <w:rsid w:val="00F42ABF"/>
    <w:rsid w:val="00F42C2B"/>
    <w:rsid w:val="00F43121"/>
    <w:rsid w:val="00F43132"/>
    <w:rsid w:val="00F43187"/>
    <w:rsid w:val="00F431EC"/>
    <w:rsid w:val="00F4325F"/>
    <w:rsid w:val="00F43282"/>
    <w:rsid w:val="00F43521"/>
    <w:rsid w:val="00F4354D"/>
    <w:rsid w:val="00F43833"/>
    <w:rsid w:val="00F443D7"/>
    <w:rsid w:val="00F444E1"/>
    <w:rsid w:val="00F44737"/>
    <w:rsid w:val="00F447D9"/>
    <w:rsid w:val="00F44890"/>
    <w:rsid w:val="00F44988"/>
    <w:rsid w:val="00F44998"/>
    <w:rsid w:val="00F44A28"/>
    <w:rsid w:val="00F44BF4"/>
    <w:rsid w:val="00F44C12"/>
    <w:rsid w:val="00F44D8E"/>
    <w:rsid w:val="00F44F5D"/>
    <w:rsid w:val="00F451AC"/>
    <w:rsid w:val="00F451E8"/>
    <w:rsid w:val="00F4521D"/>
    <w:rsid w:val="00F4529A"/>
    <w:rsid w:val="00F4533E"/>
    <w:rsid w:val="00F454F4"/>
    <w:rsid w:val="00F4558D"/>
    <w:rsid w:val="00F45B5C"/>
    <w:rsid w:val="00F45F6B"/>
    <w:rsid w:val="00F4602B"/>
    <w:rsid w:val="00F46167"/>
    <w:rsid w:val="00F463AD"/>
    <w:rsid w:val="00F467CA"/>
    <w:rsid w:val="00F46A26"/>
    <w:rsid w:val="00F46ADD"/>
    <w:rsid w:val="00F46BDA"/>
    <w:rsid w:val="00F46C96"/>
    <w:rsid w:val="00F46E46"/>
    <w:rsid w:val="00F46F4B"/>
    <w:rsid w:val="00F470AC"/>
    <w:rsid w:val="00F471F7"/>
    <w:rsid w:val="00F4732B"/>
    <w:rsid w:val="00F473AE"/>
    <w:rsid w:val="00F47550"/>
    <w:rsid w:val="00F47604"/>
    <w:rsid w:val="00F47641"/>
    <w:rsid w:val="00F4797A"/>
    <w:rsid w:val="00F47DCD"/>
    <w:rsid w:val="00F47E0D"/>
    <w:rsid w:val="00F47F69"/>
    <w:rsid w:val="00F50067"/>
    <w:rsid w:val="00F5007D"/>
    <w:rsid w:val="00F5023A"/>
    <w:rsid w:val="00F5029A"/>
    <w:rsid w:val="00F5097D"/>
    <w:rsid w:val="00F50AE6"/>
    <w:rsid w:val="00F50BAB"/>
    <w:rsid w:val="00F50FE7"/>
    <w:rsid w:val="00F5107C"/>
    <w:rsid w:val="00F51197"/>
    <w:rsid w:val="00F5125B"/>
    <w:rsid w:val="00F5140E"/>
    <w:rsid w:val="00F51472"/>
    <w:rsid w:val="00F51490"/>
    <w:rsid w:val="00F51736"/>
    <w:rsid w:val="00F5177E"/>
    <w:rsid w:val="00F518C4"/>
    <w:rsid w:val="00F51A09"/>
    <w:rsid w:val="00F51A23"/>
    <w:rsid w:val="00F51A4E"/>
    <w:rsid w:val="00F51BCF"/>
    <w:rsid w:val="00F51BF4"/>
    <w:rsid w:val="00F51D22"/>
    <w:rsid w:val="00F51FA7"/>
    <w:rsid w:val="00F51FBD"/>
    <w:rsid w:val="00F5218E"/>
    <w:rsid w:val="00F52352"/>
    <w:rsid w:val="00F523D5"/>
    <w:rsid w:val="00F52474"/>
    <w:rsid w:val="00F526A2"/>
    <w:rsid w:val="00F52AA8"/>
    <w:rsid w:val="00F52B22"/>
    <w:rsid w:val="00F52B38"/>
    <w:rsid w:val="00F52B4D"/>
    <w:rsid w:val="00F52B8B"/>
    <w:rsid w:val="00F52E8B"/>
    <w:rsid w:val="00F52FA5"/>
    <w:rsid w:val="00F53342"/>
    <w:rsid w:val="00F5336B"/>
    <w:rsid w:val="00F533D4"/>
    <w:rsid w:val="00F533EE"/>
    <w:rsid w:val="00F53450"/>
    <w:rsid w:val="00F537BE"/>
    <w:rsid w:val="00F538BE"/>
    <w:rsid w:val="00F53936"/>
    <w:rsid w:val="00F53AB1"/>
    <w:rsid w:val="00F53BD5"/>
    <w:rsid w:val="00F53C4F"/>
    <w:rsid w:val="00F53F0B"/>
    <w:rsid w:val="00F53FB4"/>
    <w:rsid w:val="00F54132"/>
    <w:rsid w:val="00F543B6"/>
    <w:rsid w:val="00F54472"/>
    <w:rsid w:val="00F546F4"/>
    <w:rsid w:val="00F548E9"/>
    <w:rsid w:val="00F54A36"/>
    <w:rsid w:val="00F54AC6"/>
    <w:rsid w:val="00F54E39"/>
    <w:rsid w:val="00F55884"/>
    <w:rsid w:val="00F55D39"/>
    <w:rsid w:val="00F56304"/>
    <w:rsid w:val="00F56574"/>
    <w:rsid w:val="00F565E1"/>
    <w:rsid w:val="00F5662F"/>
    <w:rsid w:val="00F5674C"/>
    <w:rsid w:val="00F56766"/>
    <w:rsid w:val="00F5682B"/>
    <w:rsid w:val="00F568C7"/>
    <w:rsid w:val="00F56A30"/>
    <w:rsid w:val="00F56BD4"/>
    <w:rsid w:val="00F56C69"/>
    <w:rsid w:val="00F56D65"/>
    <w:rsid w:val="00F5704B"/>
    <w:rsid w:val="00F5707F"/>
    <w:rsid w:val="00F570BE"/>
    <w:rsid w:val="00F57190"/>
    <w:rsid w:val="00F571C6"/>
    <w:rsid w:val="00F57378"/>
    <w:rsid w:val="00F576F2"/>
    <w:rsid w:val="00F577C6"/>
    <w:rsid w:val="00F577FD"/>
    <w:rsid w:val="00F57975"/>
    <w:rsid w:val="00F57B5C"/>
    <w:rsid w:val="00F57B75"/>
    <w:rsid w:val="00F57BDD"/>
    <w:rsid w:val="00F57C11"/>
    <w:rsid w:val="00F57C85"/>
    <w:rsid w:val="00F57E5B"/>
    <w:rsid w:val="00F6027F"/>
    <w:rsid w:val="00F6066D"/>
    <w:rsid w:val="00F60670"/>
    <w:rsid w:val="00F606C9"/>
    <w:rsid w:val="00F60BAB"/>
    <w:rsid w:val="00F60C17"/>
    <w:rsid w:val="00F60C47"/>
    <w:rsid w:val="00F60F81"/>
    <w:rsid w:val="00F61003"/>
    <w:rsid w:val="00F6117D"/>
    <w:rsid w:val="00F6164F"/>
    <w:rsid w:val="00F616E8"/>
    <w:rsid w:val="00F61BA7"/>
    <w:rsid w:val="00F61BF9"/>
    <w:rsid w:val="00F61D27"/>
    <w:rsid w:val="00F61D36"/>
    <w:rsid w:val="00F61D3C"/>
    <w:rsid w:val="00F625D5"/>
    <w:rsid w:val="00F62816"/>
    <w:rsid w:val="00F6281F"/>
    <w:rsid w:val="00F6296B"/>
    <w:rsid w:val="00F629F9"/>
    <w:rsid w:val="00F62AA5"/>
    <w:rsid w:val="00F62C77"/>
    <w:rsid w:val="00F62CAF"/>
    <w:rsid w:val="00F62FED"/>
    <w:rsid w:val="00F62FEF"/>
    <w:rsid w:val="00F630EC"/>
    <w:rsid w:val="00F63194"/>
    <w:rsid w:val="00F631DE"/>
    <w:rsid w:val="00F63245"/>
    <w:rsid w:val="00F63302"/>
    <w:rsid w:val="00F6340D"/>
    <w:rsid w:val="00F634FC"/>
    <w:rsid w:val="00F63555"/>
    <w:rsid w:val="00F63619"/>
    <w:rsid w:val="00F63806"/>
    <w:rsid w:val="00F63D30"/>
    <w:rsid w:val="00F63D73"/>
    <w:rsid w:val="00F63DEB"/>
    <w:rsid w:val="00F63F32"/>
    <w:rsid w:val="00F64034"/>
    <w:rsid w:val="00F641E1"/>
    <w:rsid w:val="00F64224"/>
    <w:rsid w:val="00F643BA"/>
    <w:rsid w:val="00F64509"/>
    <w:rsid w:val="00F6457A"/>
    <w:rsid w:val="00F64693"/>
    <w:rsid w:val="00F64778"/>
    <w:rsid w:val="00F6498C"/>
    <w:rsid w:val="00F64B9C"/>
    <w:rsid w:val="00F64D43"/>
    <w:rsid w:val="00F64D49"/>
    <w:rsid w:val="00F64FFE"/>
    <w:rsid w:val="00F6508A"/>
    <w:rsid w:val="00F6525A"/>
    <w:rsid w:val="00F657EF"/>
    <w:rsid w:val="00F659FB"/>
    <w:rsid w:val="00F65A07"/>
    <w:rsid w:val="00F65B99"/>
    <w:rsid w:val="00F65D36"/>
    <w:rsid w:val="00F65F34"/>
    <w:rsid w:val="00F65FA7"/>
    <w:rsid w:val="00F660BC"/>
    <w:rsid w:val="00F660E8"/>
    <w:rsid w:val="00F6620C"/>
    <w:rsid w:val="00F662E5"/>
    <w:rsid w:val="00F66393"/>
    <w:rsid w:val="00F664ED"/>
    <w:rsid w:val="00F667C3"/>
    <w:rsid w:val="00F6691E"/>
    <w:rsid w:val="00F669B6"/>
    <w:rsid w:val="00F66B77"/>
    <w:rsid w:val="00F66EF1"/>
    <w:rsid w:val="00F66F3E"/>
    <w:rsid w:val="00F671CB"/>
    <w:rsid w:val="00F67201"/>
    <w:rsid w:val="00F6773F"/>
    <w:rsid w:val="00F678B2"/>
    <w:rsid w:val="00F67A0A"/>
    <w:rsid w:val="00F67C36"/>
    <w:rsid w:val="00F67E9F"/>
    <w:rsid w:val="00F67F1B"/>
    <w:rsid w:val="00F70120"/>
    <w:rsid w:val="00F7040E"/>
    <w:rsid w:val="00F705E9"/>
    <w:rsid w:val="00F705F6"/>
    <w:rsid w:val="00F70808"/>
    <w:rsid w:val="00F7153B"/>
    <w:rsid w:val="00F71545"/>
    <w:rsid w:val="00F71900"/>
    <w:rsid w:val="00F71C75"/>
    <w:rsid w:val="00F71C7D"/>
    <w:rsid w:val="00F720B1"/>
    <w:rsid w:val="00F72128"/>
    <w:rsid w:val="00F7224F"/>
    <w:rsid w:val="00F723D4"/>
    <w:rsid w:val="00F72523"/>
    <w:rsid w:val="00F729E1"/>
    <w:rsid w:val="00F72A63"/>
    <w:rsid w:val="00F72B78"/>
    <w:rsid w:val="00F72CA7"/>
    <w:rsid w:val="00F72D00"/>
    <w:rsid w:val="00F73084"/>
    <w:rsid w:val="00F7322A"/>
    <w:rsid w:val="00F7323B"/>
    <w:rsid w:val="00F7354C"/>
    <w:rsid w:val="00F735F7"/>
    <w:rsid w:val="00F73D9E"/>
    <w:rsid w:val="00F74142"/>
    <w:rsid w:val="00F7415F"/>
    <w:rsid w:val="00F742D3"/>
    <w:rsid w:val="00F742ED"/>
    <w:rsid w:val="00F747DC"/>
    <w:rsid w:val="00F74B55"/>
    <w:rsid w:val="00F74C07"/>
    <w:rsid w:val="00F74E35"/>
    <w:rsid w:val="00F74F4C"/>
    <w:rsid w:val="00F74FAC"/>
    <w:rsid w:val="00F7524B"/>
    <w:rsid w:val="00F75316"/>
    <w:rsid w:val="00F75395"/>
    <w:rsid w:val="00F75674"/>
    <w:rsid w:val="00F7581C"/>
    <w:rsid w:val="00F758C4"/>
    <w:rsid w:val="00F759BB"/>
    <w:rsid w:val="00F75AE7"/>
    <w:rsid w:val="00F75AEA"/>
    <w:rsid w:val="00F75E58"/>
    <w:rsid w:val="00F76105"/>
    <w:rsid w:val="00F764EF"/>
    <w:rsid w:val="00F765A5"/>
    <w:rsid w:val="00F7670B"/>
    <w:rsid w:val="00F76953"/>
    <w:rsid w:val="00F76A92"/>
    <w:rsid w:val="00F76AE3"/>
    <w:rsid w:val="00F76C8A"/>
    <w:rsid w:val="00F76CAD"/>
    <w:rsid w:val="00F76D5F"/>
    <w:rsid w:val="00F76D8C"/>
    <w:rsid w:val="00F77C83"/>
    <w:rsid w:val="00F77F7B"/>
    <w:rsid w:val="00F80146"/>
    <w:rsid w:val="00F8022A"/>
    <w:rsid w:val="00F80799"/>
    <w:rsid w:val="00F808D0"/>
    <w:rsid w:val="00F809E4"/>
    <w:rsid w:val="00F80BBD"/>
    <w:rsid w:val="00F80C1A"/>
    <w:rsid w:val="00F80CBC"/>
    <w:rsid w:val="00F80D35"/>
    <w:rsid w:val="00F80EEB"/>
    <w:rsid w:val="00F81025"/>
    <w:rsid w:val="00F81243"/>
    <w:rsid w:val="00F816D9"/>
    <w:rsid w:val="00F8179E"/>
    <w:rsid w:val="00F81912"/>
    <w:rsid w:val="00F81915"/>
    <w:rsid w:val="00F81BBA"/>
    <w:rsid w:val="00F81C47"/>
    <w:rsid w:val="00F82083"/>
    <w:rsid w:val="00F82144"/>
    <w:rsid w:val="00F821B7"/>
    <w:rsid w:val="00F821D7"/>
    <w:rsid w:val="00F82441"/>
    <w:rsid w:val="00F824DB"/>
    <w:rsid w:val="00F82832"/>
    <w:rsid w:val="00F829D8"/>
    <w:rsid w:val="00F82B06"/>
    <w:rsid w:val="00F82B43"/>
    <w:rsid w:val="00F82BF4"/>
    <w:rsid w:val="00F82D10"/>
    <w:rsid w:val="00F832B1"/>
    <w:rsid w:val="00F832D1"/>
    <w:rsid w:val="00F834DF"/>
    <w:rsid w:val="00F83540"/>
    <w:rsid w:val="00F8384A"/>
    <w:rsid w:val="00F8389E"/>
    <w:rsid w:val="00F838A7"/>
    <w:rsid w:val="00F8390A"/>
    <w:rsid w:val="00F839D8"/>
    <w:rsid w:val="00F83B1A"/>
    <w:rsid w:val="00F843F3"/>
    <w:rsid w:val="00F8441F"/>
    <w:rsid w:val="00F844CC"/>
    <w:rsid w:val="00F845EA"/>
    <w:rsid w:val="00F84623"/>
    <w:rsid w:val="00F84A86"/>
    <w:rsid w:val="00F84B56"/>
    <w:rsid w:val="00F84B9B"/>
    <w:rsid w:val="00F84F2B"/>
    <w:rsid w:val="00F851A6"/>
    <w:rsid w:val="00F8526A"/>
    <w:rsid w:val="00F85327"/>
    <w:rsid w:val="00F855EC"/>
    <w:rsid w:val="00F856E4"/>
    <w:rsid w:val="00F8574B"/>
    <w:rsid w:val="00F8578B"/>
    <w:rsid w:val="00F858C0"/>
    <w:rsid w:val="00F859A6"/>
    <w:rsid w:val="00F85CA1"/>
    <w:rsid w:val="00F85DD9"/>
    <w:rsid w:val="00F85E4E"/>
    <w:rsid w:val="00F85E7B"/>
    <w:rsid w:val="00F85ED9"/>
    <w:rsid w:val="00F86091"/>
    <w:rsid w:val="00F8618D"/>
    <w:rsid w:val="00F861AB"/>
    <w:rsid w:val="00F862A0"/>
    <w:rsid w:val="00F86619"/>
    <w:rsid w:val="00F866A1"/>
    <w:rsid w:val="00F866AA"/>
    <w:rsid w:val="00F86BAB"/>
    <w:rsid w:val="00F86C34"/>
    <w:rsid w:val="00F86F4E"/>
    <w:rsid w:val="00F87183"/>
    <w:rsid w:val="00F871A2"/>
    <w:rsid w:val="00F872A3"/>
    <w:rsid w:val="00F8734B"/>
    <w:rsid w:val="00F873CB"/>
    <w:rsid w:val="00F8768E"/>
    <w:rsid w:val="00F87900"/>
    <w:rsid w:val="00F87970"/>
    <w:rsid w:val="00F87AB3"/>
    <w:rsid w:val="00F87ABB"/>
    <w:rsid w:val="00F87B4A"/>
    <w:rsid w:val="00F87BC6"/>
    <w:rsid w:val="00F87BEB"/>
    <w:rsid w:val="00F87F76"/>
    <w:rsid w:val="00F90123"/>
    <w:rsid w:val="00F90251"/>
    <w:rsid w:val="00F9025F"/>
    <w:rsid w:val="00F90404"/>
    <w:rsid w:val="00F90538"/>
    <w:rsid w:val="00F905DD"/>
    <w:rsid w:val="00F906E4"/>
    <w:rsid w:val="00F9094F"/>
    <w:rsid w:val="00F90B54"/>
    <w:rsid w:val="00F90BD9"/>
    <w:rsid w:val="00F90C98"/>
    <w:rsid w:val="00F90DB2"/>
    <w:rsid w:val="00F91224"/>
    <w:rsid w:val="00F913E6"/>
    <w:rsid w:val="00F91425"/>
    <w:rsid w:val="00F91587"/>
    <w:rsid w:val="00F9172E"/>
    <w:rsid w:val="00F9188B"/>
    <w:rsid w:val="00F91A59"/>
    <w:rsid w:val="00F91CC3"/>
    <w:rsid w:val="00F91D13"/>
    <w:rsid w:val="00F91E1D"/>
    <w:rsid w:val="00F91E67"/>
    <w:rsid w:val="00F91EA6"/>
    <w:rsid w:val="00F91F1E"/>
    <w:rsid w:val="00F92120"/>
    <w:rsid w:val="00F9236B"/>
    <w:rsid w:val="00F92378"/>
    <w:rsid w:val="00F924BF"/>
    <w:rsid w:val="00F9258C"/>
    <w:rsid w:val="00F927FC"/>
    <w:rsid w:val="00F928E0"/>
    <w:rsid w:val="00F9290E"/>
    <w:rsid w:val="00F92943"/>
    <w:rsid w:val="00F929D0"/>
    <w:rsid w:val="00F92AB6"/>
    <w:rsid w:val="00F92B4A"/>
    <w:rsid w:val="00F930F5"/>
    <w:rsid w:val="00F9318A"/>
    <w:rsid w:val="00F93337"/>
    <w:rsid w:val="00F9338F"/>
    <w:rsid w:val="00F9348E"/>
    <w:rsid w:val="00F935D4"/>
    <w:rsid w:val="00F93741"/>
    <w:rsid w:val="00F93A04"/>
    <w:rsid w:val="00F93CDE"/>
    <w:rsid w:val="00F93F00"/>
    <w:rsid w:val="00F9410D"/>
    <w:rsid w:val="00F94499"/>
    <w:rsid w:val="00F9452F"/>
    <w:rsid w:val="00F94698"/>
    <w:rsid w:val="00F946A5"/>
    <w:rsid w:val="00F947BF"/>
    <w:rsid w:val="00F948A9"/>
    <w:rsid w:val="00F948DF"/>
    <w:rsid w:val="00F9499B"/>
    <w:rsid w:val="00F94AC0"/>
    <w:rsid w:val="00F94CC8"/>
    <w:rsid w:val="00F94DFF"/>
    <w:rsid w:val="00F94E3D"/>
    <w:rsid w:val="00F94E6C"/>
    <w:rsid w:val="00F94FFA"/>
    <w:rsid w:val="00F950FF"/>
    <w:rsid w:val="00F95540"/>
    <w:rsid w:val="00F95756"/>
    <w:rsid w:val="00F957E3"/>
    <w:rsid w:val="00F95A2A"/>
    <w:rsid w:val="00F95C29"/>
    <w:rsid w:val="00F95D94"/>
    <w:rsid w:val="00F95DB2"/>
    <w:rsid w:val="00F95F12"/>
    <w:rsid w:val="00F96343"/>
    <w:rsid w:val="00F964F6"/>
    <w:rsid w:val="00F9661C"/>
    <w:rsid w:val="00F966FF"/>
    <w:rsid w:val="00F96717"/>
    <w:rsid w:val="00F967BB"/>
    <w:rsid w:val="00F96E04"/>
    <w:rsid w:val="00F979F1"/>
    <w:rsid w:val="00F97A05"/>
    <w:rsid w:val="00F97CD5"/>
    <w:rsid w:val="00F97D33"/>
    <w:rsid w:val="00F97E26"/>
    <w:rsid w:val="00F97E7B"/>
    <w:rsid w:val="00F97E7F"/>
    <w:rsid w:val="00F97E94"/>
    <w:rsid w:val="00F97EE8"/>
    <w:rsid w:val="00F97F08"/>
    <w:rsid w:val="00FA03D2"/>
    <w:rsid w:val="00FA075A"/>
    <w:rsid w:val="00FA080B"/>
    <w:rsid w:val="00FA08A0"/>
    <w:rsid w:val="00FA0A10"/>
    <w:rsid w:val="00FA0EB5"/>
    <w:rsid w:val="00FA0F64"/>
    <w:rsid w:val="00FA0F6F"/>
    <w:rsid w:val="00FA1042"/>
    <w:rsid w:val="00FA116F"/>
    <w:rsid w:val="00FA130E"/>
    <w:rsid w:val="00FA143B"/>
    <w:rsid w:val="00FA15AF"/>
    <w:rsid w:val="00FA1802"/>
    <w:rsid w:val="00FA1AE1"/>
    <w:rsid w:val="00FA1F3C"/>
    <w:rsid w:val="00FA1F47"/>
    <w:rsid w:val="00FA2290"/>
    <w:rsid w:val="00FA276F"/>
    <w:rsid w:val="00FA28FB"/>
    <w:rsid w:val="00FA2B0C"/>
    <w:rsid w:val="00FA2DD8"/>
    <w:rsid w:val="00FA316B"/>
    <w:rsid w:val="00FA31CF"/>
    <w:rsid w:val="00FA36A1"/>
    <w:rsid w:val="00FA36EA"/>
    <w:rsid w:val="00FA375F"/>
    <w:rsid w:val="00FA3A95"/>
    <w:rsid w:val="00FA3C81"/>
    <w:rsid w:val="00FA3F35"/>
    <w:rsid w:val="00FA4388"/>
    <w:rsid w:val="00FA449A"/>
    <w:rsid w:val="00FA466A"/>
    <w:rsid w:val="00FA48DB"/>
    <w:rsid w:val="00FA4E41"/>
    <w:rsid w:val="00FA4F9C"/>
    <w:rsid w:val="00FA4FD2"/>
    <w:rsid w:val="00FA5023"/>
    <w:rsid w:val="00FA50E8"/>
    <w:rsid w:val="00FA5140"/>
    <w:rsid w:val="00FA5417"/>
    <w:rsid w:val="00FA5586"/>
    <w:rsid w:val="00FA58FF"/>
    <w:rsid w:val="00FA5957"/>
    <w:rsid w:val="00FA5F41"/>
    <w:rsid w:val="00FA6139"/>
    <w:rsid w:val="00FA656C"/>
    <w:rsid w:val="00FA6651"/>
    <w:rsid w:val="00FA66D0"/>
    <w:rsid w:val="00FA684D"/>
    <w:rsid w:val="00FA6BB0"/>
    <w:rsid w:val="00FA6E3A"/>
    <w:rsid w:val="00FA6F84"/>
    <w:rsid w:val="00FA700F"/>
    <w:rsid w:val="00FA738B"/>
    <w:rsid w:val="00FA74FA"/>
    <w:rsid w:val="00FA76D7"/>
    <w:rsid w:val="00FA7961"/>
    <w:rsid w:val="00FA79A8"/>
    <w:rsid w:val="00FA79F1"/>
    <w:rsid w:val="00FA7EFB"/>
    <w:rsid w:val="00FB0251"/>
    <w:rsid w:val="00FB044E"/>
    <w:rsid w:val="00FB0518"/>
    <w:rsid w:val="00FB06A8"/>
    <w:rsid w:val="00FB06F7"/>
    <w:rsid w:val="00FB07FA"/>
    <w:rsid w:val="00FB08E9"/>
    <w:rsid w:val="00FB0D3A"/>
    <w:rsid w:val="00FB0E9E"/>
    <w:rsid w:val="00FB0EEC"/>
    <w:rsid w:val="00FB0FD3"/>
    <w:rsid w:val="00FB10AB"/>
    <w:rsid w:val="00FB10F0"/>
    <w:rsid w:val="00FB112D"/>
    <w:rsid w:val="00FB121B"/>
    <w:rsid w:val="00FB12C7"/>
    <w:rsid w:val="00FB12D7"/>
    <w:rsid w:val="00FB13AE"/>
    <w:rsid w:val="00FB1592"/>
    <w:rsid w:val="00FB18C3"/>
    <w:rsid w:val="00FB1BF1"/>
    <w:rsid w:val="00FB1C9C"/>
    <w:rsid w:val="00FB1F5A"/>
    <w:rsid w:val="00FB1FB5"/>
    <w:rsid w:val="00FB213F"/>
    <w:rsid w:val="00FB2702"/>
    <w:rsid w:val="00FB2929"/>
    <w:rsid w:val="00FB2C6B"/>
    <w:rsid w:val="00FB2DEE"/>
    <w:rsid w:val="00FB3047"/>
    <w:rsid w:val="00FB32B1"/>
    <w:rsid w:val="00FB3813"/>
    <w:rsid w:val="00FB38C6"/>
    <w:rsid w:val="00FB3937"/>
    <w:rsid w:val="00FB3D6E"/>
    <w:rsid w:val="00FB3D86"/>
    <w:rsid w:val="00FB3E07"/>
    <w:rsid w:val="00FB3EA7"/>
    <w:rsid w:val="00FB405A"/>
    <w:rsid w:val="00FB4926"/>
    <w:rsid w:val="00FB4B9A"/>
    <w:rsid w:val="00FB4D00"/>
    <w:rsid w:val="00FB5370"/>
    <w:rsid w:val="00FB53F5"/>
    <w:rsid w:val="00FB549F"/>
    <w:rsid w:val="00FB5631"/>
    <w:rsid w:val="00FB579C"/>
    <w:rsid w:val="00FB58C9"/>
    <w:rsid w:val="00FB5A76"/>
    <w:rsid w:val="00FB5BDA"/>
    <w:rsid w:val="00FB5BE2"/>
    <w:rsid w:val="00FB5D02"/>
    <w:rsid w:val="00FB5EF1"/>
    <w:rsid w:val="00FB6284"/>
    <w:rsid w:val="00FB6550"/>
    <w:rsid w:val="00FB6714"/>
    <w:rsid w:val="00FB6B35"/>
    <w:rsid w:val="00FB6B8B"/>
    <w:rsid w:val="00FB75ED"/>
    <w:rsid w:val="00FB7EFA"/>
    <w:rsid w:val="00FB7FDB"/>
    <w:rsid w:val="00FC050F"/>
    <w:rsid w:val="00FC05CD"/>
    <w:rsid w:val="00FC0748"/>
    <w:rsid w:val="00FC0AB3"/>
    <w:rsid w:val="00FC0CC1"/>
    <w:rsid w:val="00FC0F8C"/>
    <w:rsid w:val="00FC10FD"/>
    <w:rsid w:val="00FC12E3"/>
    <w:rsid w:val="00FC134E"/>
    <w:rsid w:val="00FC142B"/>
    <w:rsid w:val="00FC153E"/>
    <w:rsid w:val="00FC1A7E"/>
    <w:rsid w:val="00FC1AE4"/>
    <w:rsid w:val="00FC1B50"/>
    <w:rsid w:val="00FC1DE9"/>
    <w:rsid w:val="00FC1E5D"/>
    <w:rsid w:val="00FC1FE9"/>
    <w:rsid w:val="00FC2039"/>
    <w:rsid w:val="00FC21E6"/>
    <w:rsid w:val="00FC22C9"/>
    <w:rsid w:val="00FC2423"/>
    <w:rsid w:val="00FC28EF"/>
    <w:rsid w:val="00FC2B12"/>
    <w:rsid w:val="00FC2B85"/>
    <w:rsid w:val="00FC2D03"/>
    <w:rsid w:val="00FC2E2A"/>
    <w:rsid w:val="00FC2EA5"/>
    <w:rsid w:val="00FC30D0"/>
    <w:rsid w:val="00FC317A"/>
    <w:rsid w:val="00FC31AA"/>
    <w:rsid w:val="00FC31BF"/>
    <w:rsid w:val="00FC3404"/>
    <w:rsid w:val="00FC342F"/>
    <w:rsid w:val="00FC357E"/>
    <w:rsid w:val="00FC3850"/>
    <w:rsid w:val="00FC39A8"/>
    <w:rsid w:val="00FC3B9C"/>
    <w:rsid w:val="00FC3F23"/>
    <w:rsid w:val="00FC3F77"/>
    <w:rsid w:val="00FC3FFF"/>
    <w:rsid w:val="00FC404F"/>
    <w:rsid w:val="00FC4210"/>
    <w:rsid w:val="00FC4374"/>
    <w:rsid w:val="00FC4429"/>
    <w:rsid w:val="00FC4522"/>
    <w:rsid w:val="00FC468A"/>
    <w:rsid w:val="00FC4800"/>
    <w:rsid w:val="00FC490C"/>
    <w:rsid w:val="00FC4B4B"/>
    <w:rsid w:val="00FC4CE2"/>
    <w:rsid w:val="00FC4D9E"/>
    <w:rsid w:val="00FC4EF5"/>
    <w:rsid w:val="00FC4F4B"/>
    <w:rsid w:val="00FC5149"/>
    <w:rsid w:val="00FC51F6"/>
    <w:rsid w:val="00FC52A5"/>
    <w:rsid w:val="00FC540F"/>
    <w:rsid w:val="00FC554C"/>
    <w:rsid w:val="00FC5566"/>
    <w:rsid w:val="00FC5588"/>
    <w:rsid w:val="00FC56BF"/>
    <w:rsid w:val="00FC578B"/>
    <w:rsid w:val="00FC5AA6"/>
    <w:rsid w:val="00FC5B11"/>
    <w:rsid w:val="00FC5B8B"/>
    <w:rsid w:val="00FC5BEC"/>
    <w:rsid w:val="00FC639F"/>
    <w:rsid w:val="00FC63D4"/>
    <w:rsid w:val="00FC642D"/>
    <w:rsid w:val="00FC646E"/>
    <w:rsid w:val="00FC6537"/>
    <w:rsid w:val="00FC682D"/>
    <w:rsid w:val="00FC6921"/>
    <w:rsid w:val="00FC6A6C"/>
    <w:rsid w:val="00FC6CF9"/>
    <w:rsid w:val="00FC6F26"/>
    <w:rsid w:val="00FC7127"/>
    <w:rsid w:val="00FC732E"/>
    <w:rsid w:val="00FC734A"/>
    <w:rsid w:val="00FC760A"/>
    <w:rsid w:val="00FC7726"/>
    <w:rsid w:val="00FC7853"/>
    <w:rsid w:val="00FC78AB"/>
    <w:rsid w:val="00FC7A06"/>
    <w:rsid w:val="00FC7A56"/>
    <w:rsid w:val="00FC7B10"/>
    <w:rsid w:val="00FC7B37"/>
    <w:rsid w:val="00FC7C45"/>
    <w:rsid w:val="00FC7C90"/>
    <w:rsid w:val="00FC7DCA"/>
    <w:rsid w:val="00FC7E5B"/>
    <w:rsid w:val="00FC7F20"/>
    <w:rsid w:val="00FD0072"/>
    <w:rsid w:val="00FD023D"/>
    <w:rsid w:val="00FD0801"/>
    <w:rsid w:val="00FD0855"/>
    <w:rsid w:val="00FD08E3"/>
    <w:rsid w:val="00FD0A73"/>
    <w:rsid w:val="00FD0D62"/>
    <w:rsid w:val="00FD0FCA"/>
    <w:rsid w:val="00FD1095"/>
    <w:rsid w:val="00FD1985"/>
    <w:rsid w:val="00FD1A8D"/>
    <w:rsid w:val="00FD1AE9"/>
    <w:rsid w:val="00FD1FEF"/>
    <w:rsid w:val="00FD212C"/>
    <w:rsid w:val="00FD2315"/>
    <w:rsid w:val="00FD2644"/>
    <w:rsid w:val="00FD269B"/>
    <w:rsid w:val="00FD276C"/>
    <w:rsid w:val="00FD2F2A"/>
    <w:rsid w:val="00FD2FC6"/>
    <w:rsid w:val="00FD31C5"/>
    <w:rsid w:val="00FD3346"/>
    <w:rsid w:val="00FD33BE"/>
    <w:rsid w:val="00FD37C3"/>
    <w:rsid w:val="00FD390B"/>
    <w:rsid w:val="00FD3C5A"/>
    <w:rsid w:val="00FD3C93"/>
    <w:rsid w:val="00FD3ECB"/>
    <w:rsid w:val="00FD427A"/>
    <w:rsid w:val="00FD435E"/>
    <w:rsid w:val="00FD4392"/>
    <w:rsid w:val="00FD456E"/>
    <w:rsid w:val="00FD461D"/>
    <w:rsid w:val="00FD4956"/>
    <w:rsid w:val="00FD4B74"/>
    <w:rsid w:val="00FD4C2E"/>
    <w:rsid w:val="00FD4C65"/>
    <w:rsid w:val="00FD4CB2"/>
    <w:rsid w:val="00FD4D6F"/>
    <w:rsid w:val="00FD4E33"/>
    <w:rsid w:val="00FD4ED1"/>
    <w:rsid w:val="00FD505A"/>
    <w:rsid w:val="00FD5188"/>
    <w:rsid w:val="00FD5414"/>
    <w:rsid w:val="00FD5766"/>
    <w:rsid w:val="00FD57A1"/>
    <w:rsid w:val="00FD5870"/>
    <w:rsid w:val="00FD593C"/>
    <w:rsid w:val="00FD5ABA"/>
    <w:rsid w:val="00FD5B6B"/>
    <w:rsid w:val="00FD5BC2"/>
    <w:rsid w:val="00FD5D72"/>
    <w:rsid w:val="00FD5D85"/>
    <w:rsid w:val="00FD5E08"/>
    <w:rsid w:val="00FD5EDF"/>
    <w:rsid w:val="00FD6038"/>
    <w:rsid w:val="00FD634E"/>
    <w:rsid w:val="00FD6406"/>
    <w:rsid w:val="00FD6630"/>
    <w:rsid w:val="00FD6930"/>
    <w:rsid w:val="00FD6EE3"/>
    <w:rsid w:val="00FD739F"/>
    <w:rsid w:val="00FD7558"/>
    <w:rsid w:val="00FD75B4"/>
    <w:rsid w:val="00FD7AA2"/>
    <w:rsid w:val="00FD7BBA"/>
    <w:rsid w:val="00FD7CB5"/>
    <w:rsid w:val="00FD7D2D"/>
    <w:rsid w:val="00FD7D4F"/>
    <w:rsid w:val="00FD7ECA"/>
    <w:rsid w:val="00FD7F44"/>
    <w:rsid w:val="00FE00DB"/>
    <w:rsid w:val="00FE011D"/>
    <w:rsid w:val="00FE015A"/>
    <w:rsid w:val="00FE0186"/>
    <w:rsid w:val="00FE0245"/>
    <w:rsid w:val="00FE0317"/>
    <w:rsid w:val="00FE0393"/>
    <w:rsid w:val="00FE03F2"/>
    <w:rsid w:val="00FE0507"/>
    <w:rsid w:val="00FE0742"/>
    <w:rsid w:val="00FE08E2"/>
    <w:rsid w:val="00FE09E9"/>
    <w:rsid w:val="00FE0A00"/>
    <w:rsid w:val="00FE0A36"/>
    <w:rsid w:val="00FE0A4D"/>
    <w:rsid w:val="00FE0D0E"/>
    <w:rsid w:val="00FE0D86"/>
    <w:rsid w:val="00FE0EC6"/>
    <w:rsid w:val="00FE109C"/>
    <w:rsid w:val="00FE10A0"/>
    <w:rsid w:val="00FE122B"/>
    <w:rsid w:val="00FE12FA"/>
    <w:rsid w:val="00FE1441"/>
    <w:rsid w:val="00FE14D2"/>
    <w:rsid w:val="00FE1988"/>
    <w:rsid w:val="00FE1DA0"/>
    <w:rsid w:val="00FE1EAA"/>
    <w:rsid w:val="00FE1EB8"/>
    <w:rsid w:val="00FE22AD"/>
    <w:rsid w:val="00FE2409"/>
    <w:rsid w:val="00FE278C"/>
    <w:rsid w:val="00FE28CF"/>
    <w:rsid w:val="00FE2CE6"/>
    <w:rsid w:val="00FE2F74"/>
    <w:rsid w:val="00FE3726"/>
    <w:rsid w:val="00FE3921"/>
    <w:rsid w:val="00FE3A26"/>
    <w:rsid w:val="00FE3CE0"/>
    <w:rsid w:val="00FE3D23"/>
    <w:rsid w:val="00FE3E4A"/>
    <w:rsid w:val="00FE3E8F"/>
    <w:rsid w:val="00FE3F84"/>
    <w:rsid w:val="00FE40A5"/>
    <w:rsid w:val="00FE4154"/>
    <w:rsid w:val="00FE4231"/>
    <w:rsid w:val="00FE4430"/>
    <w:rsid w:val="00FE49C0"/>
    <w:rsid w:val="00FE4C28"/>
    <w:rsid w:val="00FE4E06"/>
    <w:rsid w:val="00FE4E76"/>
    <w:rsid w:val="00FE4F8F"/>
    <w:rsid w:val="00FE5008"/>
    <w:rsid w:val="00FE5326"/>
    <w:rsid w:val="00FE5328"/>
    <w:rsid w:val="00FE5396"/>
    <w:rsid w:val="00FE5808"/>
    <w:rsid w:val="00FE58E3"/>
    <w:rsid w:val="00FE5A29"/>
    <w:rsid w:val="00FE5B26"/>
    <w:rsid w:val="00FE5C58"/>
    <w:rsid w:val="00FE5C94"/>
    <w:rsid w:val="00FE5D2E"/>
    <w:rsid w:val="00FE5ECD"/>
    <w:rsid w:val="00FE5EDF"/>
    <w:rsid w:val="00FE600D"/>
    <w:rsid w:val="00FE6369"/>
    <w:rsid w:val="00FE6473"/>
    <w:rsid w:val="00FE65DF"/>
    <w:rsid w:val="00FE661E"/>
    <w:rsid w:val="00FE69D3"/>
    <w:rsid w:val="00FE6C2B"/>
    <w:rsid w:val="00FE6CEA"/>
    <w:rsid w:val="00FE6CF8"/>
    <w:rsid w:val="00FE6D74"/>
    <w:rsid w:val="00FE7017"/>
    <w:rsid w:val="00FE715D"/>
    <w:rsid w:val="00FE722F"/>
    <w:rsid w:val="00FE72D2"/>
    <w:rsid w:val="00FE749F"/>
    <w:rsid w:val="00FE7710"/>
    <w:rsid w:val="00FE77F0"/>
    <w:rsid w:val="00FE79EB"/>
    <w:rsid w:val="00FF003E"/>
    <w:rsid w:val="00FF021D"/>
    <w:rsid w:val="00FF09BE"/>
    <w:rsid w:val="00FF0A5C"/>
    <w:rsid w:val="00FF0C3A"/>
    <w:rsid w:val="00FF0D23"/>
    <w:rsid w:val="00FF0F80"/>
    <w:rsid w:val="00FF0FB8"/>
    <w:rsid w:val="00FF111D"/>
    <w:rsid w:val="00FF15FD"/>
    <w:rsid w:val="00FF178C"/>
    <w:rsid w:val="00FF17D1"/>
    <w:rsid w:val="00FF1872"/>
    <w:rsid w:val="00FF1935"/>
    <w:rsid w:val="00FF1AF5"/>
    <w:rsid w:val="00FF1B2F"/>
    <w:rsid w:val="00FF1CEE"/>
    <w:rsid w:val="00FF1D60"/>
    <w:rsid w:val="00FF1E09"/>
    <w:rsid w:val="00FF1F0B"/>
    <w:rsid w:val="00FF239A"/>
    <w:rsid w:val="00FF2404"/>
    <w:rsid w:val="00FF24BE"/>
    <w:rsid w:val="00FF258E"/>
    <w:rsid w:val="00FF2F86"/>
    <w:rsid w:val="00FF308A"/>
    <w:rsid w:val="00FF319E"/>
    <w:rsid w:val="00FF3470"/>
    <w:rsid w:val="00FF349C"/>
    <w:rsid w:val="00FF3733"/>
    <w:rsid w:val="00FF3875"/>
    <w:rsid w:val="00FF3ADB"/>
    <w:rsid w:val="00FF3EC8"/>
    <w:rsid w:val="00FF4082"/>
    <w:rsid w:val="00FF4196"/>
    <w:rsid w:val="00FF4217"/>
    <w:rsid w:val="00FF42EA"/>
    <w:rsid w:val="00FF4333"/>
    <w:rsid w:val="00FF44C2"/>
    <w:rsid w:val="00FF4911"/>
    <w:rsid w:val="00FF4A96"/>
    <w:rsid w:val="00FF4EA8"/>
    <w:rsid w:val="00FF4EB8"/>
    <w:rsid w:val="00FF4EE6"/>
    <w:rsid w:val="00FF526A"/>
    <w:rsid w:val="00FF52AE"/>
    <w:rsid w:val="00FF54D4"/>
    <w:rsid w:val="00FF55AA"/>
    <w:rsid w:val="00FF575C"/>
    <w:rsid w:val="00FF5780"/>
    <w:rsid w:val="00FF58A3"/>
    <w:rsid w:val="00FF58FD"/>
    <w:rsid w:val="00FF5A01"/>
    <w:rsid w:val="00FF5A2B"/>
    <w:rsid w:val="00FF5B20"/>
    <w:rsid w:val="00FF6100"/>
    <w:rsid w:val="00FF615B"/>
    <w:rsid w:val="00FF6246"/>
    <w:rsid w:val="00FF64D2"/>
    <w:rsid w:val="00FF6823"/>
    <w:rsid w:val="00FF6AE1"/>
    <w:rsid w:val="00FF6F59"/>
    <w:rsid w:val="00FF70BA"/>
    <w:rsid w:val="00FF71A7"/>
    <w:rsid w:val="00FF71EF"/>
    <w:rsid w:val="00FF7217"/>
    <w:rsid w:val="00FF73AA"/>
    <w:rsid w:val="00FF73C1"/>
    <w:rsid w:val="00FF765D"/>
    <w:rsid w:val="00FF775E"/>
    <w:rsid w:val="00FF7796"/>
    <w:rsid w:val="00FF7971"/>
    <w:rsid w:val="00FF797F"/>
    <w:rsid w:val="00FF7C80"/>
    <w:rsid w:val="00FF7CAD"/>
    <w:rsid w:val="00FF7EB1"/>
    <w:rsid w:val="00FF7EDF"/>
    <w:rsid w:val="00FF7F84"/>
    <w:rsid w:val="0107C988"/>
    <w:rsid w:val="010EDF35"/>
    <w:rsid w:val="013814EE"/>
    <w:rsid w:val="013D6F1C"/>
    <w:rsid w:val="016333B1"/>
    <w:rsid w:val="016E2F0F"/>
    <w:rsid w:val="017A0279"/>
    <w:rsid w:val="019986D5"/>
    <w:rsid w:val="019B460C"/>
    <w:rsid w:val="019B66CC"/>
    <w:rsid w:val="019FD026"/>
    <w:rsid w:val="01AE5681"/>
    <w:rsid w:val="01D7C561"/>
    <w:rsid w:val="02021C0E"/>
    <w:rsid w:val="020AD83A"/>
    <w:rsid w:val="02126A7E"/>
    <w:rsid w:val="0212CC63"/>
    <w:rsid w:val="0212E73A"/>
    <w:rsid w:val="0214199D"/>
    <w:rsid w:val="0273BB16"/>
    <w:rsid w:val="02950A92"/>
    <w:rsid w:val="02EBC8E8"/>
    <w:rsid w:val="02F35E26"/>
    <w:rsid w:val="030D3565"/>
    <w:rsid w:val="03128CE3"/>
    <w:rsid w:val="031A835E"/>
    <w:rsid w:val="032F25BB"/>
    <w:rsid w:val="034E1806"/>
    <w:rsid w:val="036EE2BA"/>
    <w:rsid w:val="037FD135"/>
    <w:rsid w:val="038EA2D8"/>
    <w:rsid w:val="03910908"/>
    <w:rsid w:val="039DB2CD"/>
    <w:rsid w:val="03A20215"/>
    <w:rsid w:val="03AACDE8"/>
    <w:rsid w:val="03AD5EA3"/>
    <w:rsid w:val="03DADD57"/>
    <w:rsid w:val="03E9AF3A"/>
    <w:rsid w:val="041A4778"/>
    <w:rsid w:val="044DDE9E"/>
    <w:rsid w:val="04578D18"/>
    <w:rsid w:val="04906C80"/>
    <w:rsid w:val="04C57184"/>
    <w:rsid w:val="04CD0D08"/>
    <w:rsid w:val="04D0985C"/>
    <w:rsid w:val="04FF9E63"/>
    <w:rsid w:val="05522365"/>
    <w:rsid w:val="055A2C9E"/>
    <w:rsid w:val="0568E2C8"/>
    <w:rsid w:val="0582F202"/>
    <w:rsid w:val="05869675"/>
    <w:rsid w:val="05B07335"/>
    <w:rsid w:val="05C0930D"/>
    <w:rsid w:val="05C77A27"/>
    <w:rsid w:val="05E01886"/>
    <w:rsid w:val="05E31E9F"/>
    <w:rsid w:val="05E87A6D"/>
    <w:rsid w:val="060680C6"/>
    <w:rsid w:val="0620F034"/>
    <w:rsid w:val="0622754C"/>
    <w:rsid w:val="0638BA82"/>
    <w:rsid w:val="06474938"/>
    <w:rsid w:val="065C277B"/>
    <w:rsid w:val="065CD8D8"/>
    <w:rsid w:val="065F5DF1"/>
    <w:rsid w:val="066F14F7"/>
    <w:rsid w:val="0682962A"/>
    <w:rsid w:val="06834C05"/>
    <w:rsid w:val="0696336E"/>
    <w:rsid w:val="06BAECE5"/>
    <w:rsid w:val="06BB0141"/>
    <w:rsid w:val="06EF1896"/>
    <w:rsid w:val="073BF102"/>
    <w:rsid w:val="07450176"/>
    <w:rsid w:val="07816C17"/>
    <w:rsid w:val="07941189"/>
    <w:rsid w:val="07C664F7"/>
    <w:rsid w:val="080B864A"/>
    <w:rsid w:val="0811D206"/>
    <w:rsid w:val="082182D5"/>
    <w:rsid w:val="0869A846"/>
    <w:rsid w:val="08900683"/>
    <w:rsid w:val="08947CDD"/>
    <w:rsid w:val="08AABF03"/>
    <w:rsid w:val="08ADEDF4"/>
    <w:rsid w:val="08EABC11"/>
    <w:rsid w:val="08FACB9B"/>
    <w:rsid w:val="09093BBB"/>
    <w:rsid w:val="090D4C14"/>
    <w:rsid w:val="092C8900"/>
    <w:rsid w:val="095B755B"/>
    <w:rsid w:val="095C4E99"/>
    <w:rsid w:val="0965A408"/>
    <w:rsid w:val="0965DD31"/>
    <w:rsid w:val="0970B293"/>
    <w:rsid w:val="0971F39E"/>
    <w:rsid w:val="099731BD"/>
    <w:rsid w:val="099C568F"/>
    <w:rsid w:val="09AE3302"/>
    <w:rsid w:val="09B57392"/>
    <w:rsid w:val="09B670E2"/>
    <w:rsid w:val="09CF88EB"/>
    <w:rsid w:val="09E2DA85"/>
    <w:rsid w:val="09F86F9A"/>
    <w:rsid w:val="0A0D2DF3"/>
    <w:rsid w:val="0A26EC5C"/>
    <w:rsid w:val="0A335FB0"/>
    <w:rsid w:val="0A43A630"/>
    <w:rsid w:val="0A4C283A"/>
    <w:rsid w:val="0A627951"/>
    <w:rsid w:val="0A65DD5F"/>
    <w:rsid w:val="0A7103AD"/>
    <w:rsid w:val="0A7EAD92"/>
    <w:rsid w:val="0A9243DE"/>
    <w:rsid w:val="0AB8DDAC"/>
    <w:rsid w:val="0AD20391"/>
    <w:rsid w:val="0ADD6B86"/>
    <w:rsid w:val="0AE31C2C"/>
    <w:rsid w:val="0AEF2327"/>
    <w:rsid w:val="0AFE8B3C"/>
    <w:rsid w:val="0B084A8F"/>
    <w:rsid w:val="0B0F967B"/>
    <w:rsid w:val="0B2E1ADF"/>
    <w:rsid w:val="0B36E28D"/>
    <w:rsid w:val="0B4CB6C9"/>
    <w:rsid w:val="0B761C7F"/>
    <w:rsid w:val="0B8A7C53"/>
    <w:rsid w:val="0B8BA1A1"/>
    <w:rsid w:val="0B900036"/>
    <w:rsid w:val="0B915E34"/>
    <w:rsid w:val="0BA2A233"/>
    <w:rsid w:val="0BA4DD04"/>
    <w:rsid w:val="0BBD9D23"/>
    <w:rsid w:val="0C164447"/>
    <w:rsid w:val="0C520883"/>
    <w:rsid w:val="0C625912"/>
    <w:rsid w:val="0CCBF595"/>
    <w:rsid w:val="0CD6E71C"/>
    <w:rsid w:val="0CE0F3B6"/>
    <w:rsid w:val="0D01B4D0"/>
    <w:rsid w:val="0D05ED48"/>
    <w:rsid w:val="0D1CE846"/>
    <w:rsid w:val="0D2EA3D9"/>
    <w:rsid w:val="0D3DCFEE"/>
    <w:rsid w:val="0D4CBC3B"/>
    <w:rsid w:val="0D58236C"/>
    <w:rsid w:val="0D7304D9"/>
    <w:rsid w:val="0D751E6D"/>
    <w:rsid w:val="0DA161EF"/>
    <w:rsid w:val="0DA9A114"/>
    <w:rsid w:val="0DB581EA"/>
    <w:rsid w:val="0DD17A9B"/>
    <w:rsid w:val="0DE90AC5"/>
    <w:rsid w:val="0E3891A8"/>
    <w:rsid w:val="0E62CF24"/>
    <w:rsid w:val="0E6D71FE"/>
    <w:rsid w:val="0E7BB924"/>
    <w:rsid w:val="0E7E1B1A"/>
    <w:rsid w:val="0E8D4474"/>
    <w:rsid w:val="0EA8F871"/>
    <w:rsid w:val="0EE09F16"/>
    <w:rsid w:val="0EEAF24A"/>
    <w:rsid w:val="0F076E1A"/>
    <w:rsid w:val="0F0C9231"/>
    <w:rsid w:val="0F28128A"/>
    <w:rsid w:val="0F4DB1F7"/>
    <w:rsid w:val="0F50474A"/>
    <w:rsid w:val="0F886A14"/>
    <w:rsid w:val="0FA5ED6B"/>
    <w:rsid w:val="0FA6A88D"/>
    <w:rsid w:val="0FD1C453"/>
    <w:rsid w:val="0FD68A67"/>
    <w:rsid w:val="0FDA7F92"/>
    <w:rsid w:val="102E8DB6"/>
    <w:rsid w:val="1037DF34"/>
    <w:rsid w:val="1050FF6D"/>
    <w:rsid w:val="1084F20B"/>
    <w:rsid w:val="10914790"/>
    <w:rsid w:val="109356F3"/>
    <w:rsid w:val="10A1C039"/>
    <w:rsid w:val="10A6EBCD"/>
    <w:rsid w:val="10B281BE"/>
    <w:rsid w:val="10BC4B77"/>
    <w:rsid w:val="110B4F36"/>
    <w:rsid w:val="1113639B"/>
    <w:rsid w:val="11537F8D"/>
    <w:rsid w:val="115A7871"/>
    <w:rsid w:val="1193A656"/>
    <w:rsid w:val="11AD1171"/>
    <w:rsid w:val="11BD4B19"/>
    <w:rsid w:val="11E9CAE6"/>
    <w:rsid w:val="11F9BD08"/>
    <w:rsid w:val="120BB824"/>
    <w:rsid w:val="1216D9E2"/>
    <w:rsid w:val="12190569"/>
    <w:rsid w:val="1226D50D"/>
    <w:rsid w:val="12361608"/>
    <w:rsid w:val="12411DED"/>
    <w:rsid w:val="1247F5D6"/>
    <w:rsid w:val="124DAFA0"/>
    <w:rsid w:val="129F01C4"/>
    <w:rsid w:val="12D6F355"/>
    <w:rsid w:val="12E8A49E"/>
    <w:rsid w:val="12ED53EB"/>
    <w:rsid w:val="12FB8EB1"/>
    <w:rsid w:val="1312E460"/>
    <w:rsid w:val="1356AE53"/>
    <w:rsid w:val="135AD96E"/>
    <w:rsid w:val="136EBBCE"/>
    <w:rsid w:val="1389E299"/>
    <w:rsid w:val="13CA91BB"/>
    <w:rsid w:val="13D9D00B"/>
    <w:rsid w:val="13DCA154"/>
    <w:rsid w:val="13DF8246"/>
    <w:rsid w:val="13EA1C07"/>
    <w:rsid w:val="142DCC2B"/>
    <w:rsid w:val="1445CA99"/>
    <w:rsid w:val="14745348"/>
    <w:rsid w:val="149DB2CF"/>
    <w:rsid w:val="14A58E4B"/>
    <w:rsid w:val="14C6B26D"/>
    <w:rsid w:val="14FC0024"/>
    <w:rsid w:val="14FEC86D"/>
    <w:rsid w:val="15153F25"/>
    <w:rsid w:val="155093F5"/>
    <w:rsid w:val="1598D866"/>
    <w:rsid w:val="15D03EC3"/>
    <w:rsid w:val="15E36076"/>
    <w:rsid w:val="15F84ADA"/>
    <w:rsid w:val="162655B2"/>
    <w:rsid w:val="16364B20"/>
    <w:rsid w:val="163715B1"/>
    <w:rsid w:val="163A3F0C"/>
    <w:rsid w:val="165541D6"/>
    <w:rsid w:val="16571E73"/>
    <w:rsid w:val="1687D576"/>
    <w:rsid w:val="169C2661"/>
    <w:rsid w:val="169EEFE6"/>
    <w:rsid w:val="16A595A2"/>
    <w:rsid w:val="16AA62F6"/>
    <w:rsid w:val="16B8CA3D"/>
    <w:rsid w:val="16BFB4FE"/>
    <w:rsid w:val="170553A7"/>
    <w:rsid w:val="170B5D5B"/>
    <w:rsid w:val="171A5995"/>
    <w:rsid w:val="171A93E2"/>
    <w:rsid w:val="175D3928"/>
    <w:rsid w:val="1789AD38"/>
    <w:rsid w:val="17FD35AE"/>
    <w:rsid w:val="180E877C"/>
    <w:rsid w:val="18267C05"/>
    <w:rsid w:val="18A54205"/>
    <w:rsid w:val="18FFD469"/>
    <w:rsid w:val="1901FCE3"/>
    <w:rsid w:val="1912B34B"/>
    <w:rsid w:val="19221DCE"/>
    <w:rsid w:val="1924BC8B"/>
    <w:rsid w:val="1926A2A0"/>
    <w:rsid w:val="195D7337"/>
    <w:rsid w:val="1960B8B1"/>
    <w:rsid w:val="196A0F33"/>
    <w:rsid w:val="1970B81E"/>
    <w:rsid w:val="1995D1CA"/>
    <w:rsid w:val="19A9AC4B"/>
    <w:rsid w:val="19AFA272"/>
    <w:rsid w:val="19B81FE7"/>
    <w:rsid w:val="19BB89F9"/>
    <w:rsid w:val="19DAF763"/>
    <w:rsid w:val="19F03B67"/>
    <w:rsid w:val="1A132BCC"/>
    <w:rsid w:val="1A233BB0"/>
    <w:rsid w:val="1A236791"/>
    <w:rsid w:val="1A2B3F43"/>
    <w:rsid w:val="1A34DBE6"/>
    <w:rsid w:val="1A461EC1"/>
    <w:rsid w:val="1A6EADF8"/>
    <w:rsid w:val="1A7B1737"/>
    <w:rsid w:val="1A89B70A"/>
    <w:rsid w:val="1A8BFA9A"/>
    <w:rsid w:val="1A9EC01A"/>
    <w:rsid w:val="1AB8ED25"/>
    <w:rsid w:val="1AC025AC"/>
    <w:rsid w:val="1AC17280"/>
    <w:rsid w:val="1AC2BC4A"/>
    <w:rsid w:val="1AF108EC"/>
    <w:rsid w:val="1AF20B94"/>
    <w:rsid w:val="1AFCB4A6"/>
    <w:rsid w:val="1B4BCB33"/>
    <w:rsid w:val="1B679383"/>
    <w:rsid w:val="1B78150D"/>
    <w:rsid w:val="1B99D5CD"/>
    <w:rsid w:val="1B9FBFFA"/>
    <w:rsid w:val="1BA9512A"/>
    <w:rsid w:val="1BD74554"/>
    <w:rsid w:val="1BDA41DF"/>
    <w:rsid w:val="1BDFDEA2"/>
    <w:rsid w:val="1BEF898D"/>
    <w:rsid w:val="1C166D92"/>
    <w:rsid w:val="1C1A657D"/>
    <w:rsid w:val="1C280431"/>
    <w:rsid w:val="1C6B221C"/>
    <w:rsid w:val="1C8897CB"/>
    <w:rsid w:val="1C8B73AA"/>
    <w:rsid w:val="1C8D307A"/>
    <w:rsid w:val="1D170725"/>
    <w:rsid w:val="1D5A368E"/>
    <w:rsid w:val="1D62E005"/>
    <w:rsid w:val="1D64AF9E"/>
    <w:rsid w:val="1DA07E66"/>
    <w:rsid w:val="1DB87505"/>
    <w:rsid w:val="1DE5D3BF"/>
    <w:rsid w:val="1E3A45FF"/>
    <w:rsid w:val="1E41E312"/>
    <w:rsid w:val="1E6F6829"/>
    <w:rsid w:val="1E7B0A20"/>
    <w:rsid w:val="1E7B7A10"/>
    <w:rsid w:val="1E893DB3"/>
    <w:rsid w:val="1E9E0672"/>
    <w:rsid w:val="1EA386ED"/>
    <w:rsid w:val="1ED833AD"/>
    <w:rsid w:val="1EEE4C1B"/>
    <w:rsid w:val="1F0261D0"/>
    <w:rsid w:val="1F150834"/>
    <w:rsid w:val="1F155D6C"/>
    <w:rsid w:val="1F1AC953"/>
    <w:rsid w:val="1F1DFFCF"/>
    <w:rsid w:val="1F34E437"/>
    <w:rsid w:val="1F564335"/>
    <w:rsid w:val="1F5C76B1"/>
    <w:rsid w:val="1F670DF7"/>
    <w:rsid w:val="1F86F619"/>
    <w:rsid w:val="1F9496C1"/>
    <w:rsid w:val="1FBA60CA"/>
    <w:rsid w:val="1FCC9A17"/>
    <w:rsid w:val="1FD82C04"/>
    <w:rsid w:val="1FF08811"/>
    <w:rsid w:val="203DED10"/>
    <w:rsid w:val="2046406E"/>
    <w:rsid w:val="20592AC2"/>
    <w:rsid w:val="2067EF01"/>
    <w:rsid w:val="208708DB"/>
    <w:rsid w:val="209A80C7"/>
    <w:rsid w:val="20B06A8F"/>
    <w:rsid w:val="20BE6467"/>
    <w:rsid w:val="20CA4984"/>
    <w:rsid w:val="20CDE64B"/>
    <w:rsid w:val="20DAA380"/>
    <w:rsid w:val="20EDB9B1"/>
    <w:rsid w:val="210F803A"/>
    <w:rsid w:val="21148D76"/>
    <w:rsid w:val="2121699C"/>
    <w:rsid w:val="21255DE2"/>
    <w:rsid w:val="212CF323"/>
    <w:rsid w:val="213C0F69"/>
    <w:rsid w:val="213ED7C4"/>
    <w:rsid w:val="215049FF"/>
    <w:rsid w:val="215DF582"/>
    <w:rsid w:val="2167AC36"/>
    <w:rsid w:val="216DE2E3"/>
    <w:rsid w:val="217EFCE8"/>
    <w:rsid w:val="2182BFA4"/>
    <w:rsid w:val="21BE9E19"/>
    <w:rsid w:val="2229F393"/>
    <w:rsid w:val="223304D5"/>
    <w:rsid w:val="224A58C0"/>
    <w:rsid w:val="225B0DBA"/>
    <w:rsid w:val="226F0484"/>
    <w:rsid w:val="229B153E"/>
    <w:rsid w:val="22A1DA71"/>
    <w:rsid w:val="22BC7D44"/>
    <w:rsid w:val="22F0CADB"/>
    <w:rsid w:val="2320B210"/>
    <w:rsid w:val="2339246B"/>
    <w:rsid w:val="23574824"/>
    <w:rsid w:val="2367BCDC"/>
    <w:rsid w:val="237853B7"/>
    <w:rsid w:val="23A9D8E5"/>
    <w:rsid w:val="23B45629"/>
    <w:rsid w:val="23E07B9D"/>
    <w:rsid w:val="24089860"/>
    <w:rsid w:val="240B71AC"/>
    <w:rsid w:val="24772B33"/>
    <w:rsid w:val="248A9A6F"/>
    <w:rsid w:val="24A35C3B"/>
    <w:rsid w:val="24C1F4CB"/>
    <w:rsid w:val="24CDC327"/>
    <w:rsid w:val="25144F79"/>
    <w:rsid w:val="2527EC33"/>
    <w:rsid w:val="25297418"/>
    <w:rsid w:val="252B99F9"/>
    <w:rsid w:val="252E81C3"/>
    <w:rsid w:val="253802D0"/>
    <w:rsid w:val="25395A80"/>
    <w:rsid w:val="2539F236"/>
    <w:rsid w:val="25453D42"/>
    <w:rsid w:val="254A5B48"/>
    <w:rsid w:val="255FBD10"/>
    <w:rsid w:val="257E38C7"/>
    <w:rsid w:val="259A30AD"/>
    <w:rsid w:val="25CEEDC5"/>
    <w:rsid w:val="262D7A3A"/>
    <w:rsid w:val="263364ED"/>
    <w:rsid w:val="2656F666"/>
    <w:rsid w:val="26AC05A1"/>
    <w:rsid w:val="26C0D4E0"/>
    <w:rsid w:val="26D74352"/>
    <w:rsid w:val="26DCEC1A"/>
    <w:rsid w:val="26EB0899"/>
    <w:rsid w:val="26F667B1"/>
    <w:rsid w:val="2751055B"/>
    <w:rsid w:val="275EC2DE"/>
    <w:rsid w:val="275F6859"/>
    <w:rsid w:val="2766F0EB"/>
    <w:rsid w:val="2766FFC7"/>
    <w:rsid w:val="27B94138"/>
    <w:rsid w:val="27E445AC"/>
    <w:rsid w:val="27E5F4CA"/>
    <w:rsid w:val="27F64568"/>
    <w:rsid w:val="2800E72A"/>
    <w:rsid w:val="28014A16"/>
    <w:rsid w:val="281879C0"/>
    <w:rsid w:val="2846CAC1"/>
    <w:rsid w:val="28516E6A"/>
    <w:rsid w:val="285E12C1"/>
    <w:rsid w:val="2863C77A"/>
    <w:rsid w:val="28784B82"/>
    <w:rsid w:val="28799B38"/>
    <w:rsid w:val="28C4BF17"/>
    <w:rsid w:val="28E95AAB"/>
    <w:rsid w:val="28FE32F0"/>
    <w:rsid w:val="2904EB39"/>
    <w:rsid w:val="290CDD88"/>
    <w:rsid w:val="2942C538"/>
    <w:rsid w:val="298E99A6"/>
    <w:rsid w:val="29A13E36"/>
    <w:rsid w:val="29BFD764"/>
    <w:rsid w:val="29EB9EBD"/>
    <w:rsid w:val="29F3B034"/>
    <w:rsid w:val="29F70C86"/>
    <w:rsid w:val="2A073262"/>
    <w:rsid w:val="2A0CF7B4"/>
    <w:rsid w:val="2A0E2BC0"/>
    <w:rsid w:val="2A574017"/>
    <w:rsid w:val="2A770B73"/>
    <w:rsid w:val="2A7CC6AB"/>
    <w:rsid w:val="2AA997D9"/>
    <w:rsid w:val="2AE0F5E5"/>
    <w:rsid w:val="2AFEFC39"/>
    <w:rsid w:val="2B013F36"/>
    <w:rsid w:val="2B08DAA4"/>
    <w:rsid w:val="2B101570"/>
    <w:rsid w:val="2B1BFDA3"/>
    <w:rsid w:val="2B2CE17C"/>
    <w:rsid w:val="2B2DA04E"/>
    <w:rsid w:val="2B462713"/>
    <w:rsid w:val="2B49E65B"/>
    <w:rsid w:val="2B5B507D"/>
    <w:rsid w:val="2B867566"/>
    <w:rsid w:val="2B98ED76"/>
    <w:rsid w:val="2BB16679"/>
    <w:rsid w:val="2BD3B97F"/>
    <w:rsid w:val="2BD64489"/>
    <w:rsid w:val="2BF0658A"/>
    <w:rsid w:val="2C5C0BAF"/>
    <w:rsid w:val="2C69D732"/>
    <w:rsid w:val="2C99B994"/>
    <w:rsid w:val="2CCCDADF"/>
    <w:rsid w:val="2D0C56FC"/>
    <w:rsid w:val="2D155363"/>
    <w:rsid w:val="2DC11B1F"/>
    <w:rsid w:val="2DD537B9"/>
    <w:rsid w:val="2DD6DE3E"/>
    <w:rsid w:val="2DDD06E9"/>
    <w:rsid w:val="2DF180B8"/>
    <w:rsid w:val="2DFB4CA5"/>
    <w:rsid w:val="2E0859ED"/>
    <w:rsid w:val="2E196A3B"/>
    <w:rsid w:val="2E2260E6"/>
    <w:rsid w:val="2E4B6C80"/>
    <w:rsid w:val="2E648F1E"/>
    <w:rsid w:val="2E6B41CB"/>
    <w:rsid w:val="2E732C44"/>
    <w:rsid w:val="2E9619C0"/>
    <w:rsid w:val="2EA340CA"/>
    <w:rsid w:val="2EA9D28A"/>
    <w:rsid w:val="2EAE195D"/>
    <w:rsid w:val="2EBCF31D"/>
    <w:rsid w:val="2EE46E32"/>
    <w:rsid w:val="2F0DA970"/>
    <w:rsid w:val="2F265BE0"/>
    <w:rsid w:val="2F6AD23B"/>
    <w:rsid w:val="2F800822"/>
    <w:rsid w:val="2F880DC1"/>
    <w:rsid w:val="2F90041F"/>
    <w:rsid w:val="2FB8A594"/>
    <w:rsid w:val="2FC0909C"/>
    <w:rsid w:val="2FE4129F"/>
    <w:rsid w:val="2FFA9503"/>
    <w:rsid w:val="300D71A3"/>
    <w:rsid w:val="30152296"/>
    <w:rsid w:val="305B7592"/>
    <w:rsid w:val="30762E95"/>
    <w:rsid w:val="307F89C0"/>
    <w:rsid w:val="3097447E"/>
    <w:rsid w:val="30B56426"/>
    <w:rsid w:val="30BDEA63"/>
    <w:rsid w:val="30BE52D2"/>
    <w:rsid w:val="30C1CB06"/>
    <w:rsid w:val="30CB3C3B"/>
    <w:rsid w:val="30EB4371"/>
    <w:rsid w:val="30F2F1EB"/>
    <w:rsid w:val="314CC2B7"/>
    <w:rsid w:val="31644826"/>
    <w:rsid w:val="3164931A"/>
    <w:rsid w:val="317007A9"/>
    <w:rsid w:val="318B3F27"/>
    <w:rsid w:val="318D2275"/>
    <w:rsid w:val="31978522"/>
    <w:rsid w:val="31C497E1"/>
    <w:rsid w:val="31EFED89"/>
    <w:rsid w:val="31F2D404"/>
    <w:rsid w:val="31FB3716"/>
    <w:rsid w:val="32069F30"/>
    <w:rsid w:val="321EDD38"/>
    <w:rsid w:val="3268375D"/>
    <w:rsid w:val="328036DE"/>
    <w:rsid w:val="328F82D1"/>
    <w:rsid w:val="329877E2"/>
    <w:rsid w:val="32A22105"/>
    <w:rsid w:val="32D936B3"/>
    <w:rsid w:val="3302AC91"/>
    <w:rsid w:val="330625E7"/>
    <w:rsid w:val="330DE72B"/>
    <w:rsid w:val="331F50F0"/>
    <w:rsid w:val="335B3A7E"/>
    <w:rsid w:val="3384AF06"/>
    <w:rsid w:val="338C87DD"/>
    <w:rsid w:val="33AB4F58"/>
    <w:rsid w:val="33B2C353"/>
    <w:rsid w:val="33C6B5E2"/>
    <w:rsid w:val="33E93E8D"/>
    <w:rsid w:val="33F01B0C"/>
    <w:rsid w:val="3408DC5D"/>
    <w:rsid w:val="34092AE8"/>
    <w:rsid w:val="3411EF9E"/>
    <w:rsid w:val="3417900C"/>
    <w:rsid w:val="341A510D"/>
    <w:rsid w:val="341F87F9"/>
    <w:rsid w:val="3468A45A"/>
    <w:rsid w:val="3483206D"/>
    <w:rsid w:val="34B0AF0A"/>
    <w:rsid w:val="34C2DFE9"/>
    <w:rsid w:val="34C7CBD3"/>
    <w:rsid w:val="34D8F2A3"/>
    <w:rsid w:val="3501E820"/>
    <w:rsid w:val="353822EC"/>
    <w:rsid w:val="353E6891"/>
    <w:rsid w:val="354F444B"/>
    <w:rsid w:val="3550A25C"/>
    <w:rsid w:val="355D9040"/>
    <w:rsid w:val="35603BA9"/>
    <w:rsid w:val="3566E200"/>
    <w:rsid w:val="35927908"/>
    <w:rsid w:val="35A22E70"/>
    <w:rsid w:val="35AB2DDD"/>
    <w:rsid w:val="35B843B4"/>
    <w:rsid w:val="35B9895E"/>
    <w:rsid w:val="35E0709C"/>
    <w:rsid w:val="35E8AC93"/>
    <w:rsid w:val="36130BF3"/>
    <w:rsid w:val="366911FF"/>
    <w:rsid w:val="36A5785D"/>
    <w:rsid w:val="36B6FBCE"/>
    <w:rsid w:val="36D431A4"/>
    <w:rsid w:val="36E9B309"/>
    <w:rsid w:val="3702C658"/>
    <w:rsid w:val="3708AC3F"/>
    <w:rsid w:val="37305F2B"/>
    <w:rsid w:val="373E7FC9"/>
    <w:rsid w:val="37441F48"/>
    <w:rsid w:val="37502EA3"/>
    <w:rsid w:val="37596F5E"/>
    <w:rsid w:val="37833CAD"/>
    <w:rsid w:val="378F6A5D"/>
    <w:rsid w:val="379AB429"/>
    <w:rsid w:val="37A42581"/>
    <w:rsid w:val="37C2FCBA"/>
    <w:rsid w:val="37CD9CB3"/>
    <w:rsid w:val="37E14648"/>
    <w:rsid w:val="37E5F4E5"/>
    <w:rsid w:val="37E7F295"/>
    <w:rsid w:val="37F607E9"/>
    <w:rsid w:val="381655AE"/>
    <w:rsid w:val="381F81B1"/>
    <w:rsid w:val="38434996"/>
    <w:rsid w:val="3844C5A1"/>
    <w:rsid w:val="38500DA3"/>
    <w:rsid w:val="3865B1B0"/>
    <w:rsid w:val="3875DA1F"/>
    <w:rsid w:val="38A81598"/>
    <w:rsid w:val="38C3850F"/>
    <w:rsid w:val="38EE44F2"/>
    <w:rsid w:val="38F19B83"/>
    <w:rsid w:val="38F1C6D5"/>
    <w:rsid w:val="39135E11"/>
    <w:rsid w:val="393D9316"/>
    <w:rsid w:val="395A3D76"/>
    <w:rsid w:val="3997DAB8"/>
    <w:rsid w:val="39BEF020"/>
    <w:rsid w:val="3A126466"/>
    <w:rsid w:val="3A3CE6CB"/>
    <w:rsid w:val="3A4D3130"/>
    <w:rsid w:val="3A7085E4"/>
    <w:rsid w:val="3A8896BA"/>
    <w:rsid w:val="3AA27E95"/>
    <w:rsid w:val="3ABBF61F"/>
    <w:rsid w:val="3ACDA713"/>
    <w:rsid w:val="3AE67901"/>
    <w:rsid w:val="3AFFD599"/>
    <w:rsid w:val="3B079A54"/>
    <w:rsid w:val="3B5D6E38"/>
    <w:rsid w:val="3B5E277F"/>
    <w:rsid w:val="3B7B24E8"/>
    <w:rsid w:val="3B83AF9E"/>
    <w:rsid w:val="3B86FAF4"/>
    <w:rsid w:val="3B88B011"/>
    <w:rsid w:val="3B96423E"/>
    <w:rsid w:val="3BB29642"/>
    <w:rsid w:val="3C36F64D"/>
    <w:rsid w:val="3C50A920"/>
    <w:rsid w:val="3C7A010E"/>
    <w:rsid w:val="3C99D2AD"/>
    <w:rsid w:val="3CB53825"/>
    <w:rsid w:val="3CC6506E"/>
    <w:rsid w:val="3CD4387E"/>
    <w:rsid w:val="3CE9B0AC"/>
    <w:rsid w:val="3D05ECBA"/>
    <w:rsid w:val="3D34BA04"/>
    <w:rsid w:val="3D42443D"/>
    <w:rsid w:val="3D61AD89"/>
    <w:rsid w:val="3D6CD016"/>
    <w:rsid w:val="3D7F7393"/>
    <w:rsid w:val="3D81ED30"/>
    <w:rsid w:val="3D82216C"/>
    <w:rsid w:val="3D8803A3"/>
    <w:rsid w:val="3D928B1E"/>
    <w:rsid w:val="3DA72AE5"/>
    <w:rsid w:val="3DBC0C95"/>
    <w:rsid w:val="3DC3A241"/>
    <w:rsid w:val="3E011DA5"/>
    <w:rsid w:val="3E0EBB3D"/>
    <w:rsid w:val="3E14A14F"/>
    <w:rsid w:val="3E32897B"/>
    <w:rsid w:val="3E3FFDC5"/>
    <w:rsid w:val="3E4E93C3"/>
    <w:rsid w:val="3E521824"/>
    <w:rsid w:val="3E63F3B5"/>
    <w:rsid w:val="3E6D90E2"/>
    <w:rsid w:val="3E80AF56"/>
    <w:rsid w:val="3ED55B79"/>
    <w:rsid w:val="3F45B9BC"/>
    <w:rsid w:val="3F57914B"/>
    <w:rsid w:val="3F67AF75"/>
    <w:rsid w:val="3F8A3F78"/>
    <w:rsid w:val="3F9AF81E"/>
    <w:rsid w:val="3FAC3B81"/>
    <w:rsid w:val="3FC4878C"/>
    <w:rsid w:val="3FDE38EE"/>
    <w:rsid w:val="3FEB4F60"/>
    <w:rsid w:val="400C3FF8"/>
    <w:rsid w:val="400E5995"/>
    <w:rsid w:val="4031A1FC"/>
    <w:rsid w:val="4060E747"/>
    <w:rsid w:val="409D23DC"/>
    <w:rsid w:val="40A51526"/>
    <w:rsid w:val="40A70B02"/>
    <w:rsid w:val="40C13CB7"/>
    <w:rsid w:val="40D18A6B"/>
    <w:rsid w:val="40D34694"/>
    <w:rsid w:val="410CF559"/>
    <w:rsid w:val="4155BCFF"/>
    <w:rsid w:val="417292BF"/>
    <w:rsid w:val="41855749"/>
    <w:rsid w:val="41934BC3"/>
    <w:rsid w:val="41A81EB7"/>
    <w:rsid w:val="41A8310B"/>
    <w:rsid w:val="41B05313"/>
    <w:rsid w:val="41D88CE1"/>
    <w:rsid w:val="41DA25A5"/>
    <w:rsid w:val="41DCEDDF"/>
    <w:rsid w:val="4207D56F"/>
    <w:rsid w:val="42087CB0"/>
    <w:rsid w:val="4211738D"/>
    <w:rsid w:val="423C455B"/>
    <w:rsid w:val="425A0139"/>
    <w:rsid w:val="4262DDE8"/>
    <w:rsid w:val="426C3EF1"/>
    <w:rsid w:val="427AAB6E"/>
    <w:rsid w:val="42AA5FD4"/>
    <w:rsid w:val="42B463F4"/>
    <w:rsid w:val="42CCE2C4"/>
    <w:rsid w:val="43131B15"/>
    <w:rsid w:val="43227ADC"/>
    <w:rsid w:val="433796F9"/>
    <w:rsid w:val="433C261D"/>
    <w:rsid w:val="4343B758"/>
    <w:rsid w:val="4358350A"/>
    <w:rsid w:val="436B4AC0"/>
    <w:rsid w:val="4385EE7C"/>
    <w:rsid w:val="4396AD60"/>
    <w:rsid w:val="43A17973"/>
    <w:rsid w:val="43AC06E6"/>
    <w:rsid w:val="43B0E5C2"/>
    <w:rsid w:val="43CF2DAD"/>
    <w:rsid w:val="43D216EA"/>
    <w:rsid w:val="43E1CE61"/>
    <w:rsid w:val="43E27E9F"/>
    <w:rsid w:val="4405E054"/>
    <w:rsid w:val="441C828A"/>
    <w:rsid w:val="442826F4"/>
    <w:rsid w:val="448A784D"/>
    <w:rsid w:val="448D210B"/>
    <w:rsid w:val="44B88E70"/>
    <w:rsid w:val="44CED93A"/>
    <w:rsid w:val="44F539B8"/>
    <w:rsid w:val="451B6380"/>
    <w:rsid w:val="454A9C4C"/>
    <w:rsid w:val="458FF190"/>
    <w:rsid w:val="459182DD"/>
    <w:rsid w:val="4596B97F"/>
    <w:rsid w:val="45AC9172"/>
    <w:rsid w:val="45C0B4B7"/>
    <w:rsid w:val="45E2171D"/>
    <w:rsid w:val="45F9C24C"/>
    <w:rsid w:val="46533B3A"/>
    <w:rsid w:val="467A01AC"/>
    <w:rsid w:val="467E722B"/>
    <w:rsid w:val="46BB950C"/>
    <w:rsid w:val="46FBF887"/>
    <w:rsid w:val="472ADD15"/>
    <w:rsid w:val="472B4F0A"/>
    <w:rsid w:val="473816CB"/>
    <w:rsid w:val="4738D68F"/>
    <w:rsid w:val="478BE75A"/>
    <w:rsid w:val="47A15F74"/>
    <w:rsid w:val="47CCE7E4"/>
    <w:rsid w:val="47D8990E"/>
    <w:rsid w:val="47DE4A02"/>
    <w:rsid w:val="47DEDCB6"/>
    <w:rsid w:val="47EC6372"/>
    <w:rsid w:val="47F2B9C8"/>
    <w:rsid w:val="47F744F5"/>
    <w:rsid w:val="483B4162"/>
    <w:rsid w:val="485EAD22"/>
    <w:rsid w:val="48707723"/>
    <w:rsid w:val="48B377CF"/>
    <w:rsid w:val="49010747"/>
    <w:rsid w:val="494925AA"/>
    <w:rsid w:val="49674A37"/>
    <w:rsid w:val="498C6528"/>
    <w:rsid w:val="4990BC88"/>
    <w:rsid w:val="49BE3D15"/>
    <w:rsid w:val="49BF8130"/>
    <w:rsid w:val="49C9F3B4"/>
    <w:rsid w:val="49E5A6C3"/>
    <w:rsid w:val="4A25A764"/>
    <w:rsid w:val="4A3557EF"/>
    <w:rsid w:val="4A4AB3D8"/>
    <w:rsid w:val="4A8E84AA"/>
    <w:rsid w:val="4A90A2D6"/>
    <w:rsid w:val="4ABF9D70"/>
    <w:rsid w:val="4AC54AB8"/>
    <w:rsid w:val="4AE65F5B"/>
    <w:rsid w:val="4AF81C00"/>
    <w:rsid w:val="4AFD7DD2"/>
    <w:rsid w:val="4B1D7DFB"/>
    <w:rsid w:val="4B22D429"/>
    <w:rsid w:val="4B26FAA7"/>
    <w:rsid w:val="4B28EFA2"/>
    <w:rsid w:val="4B3BAD8F"/>
    <w:rsid w:val="4B4A5475"/>
    <w:rsid w:val="4B54E651"/>
    <w:rsid w:val="4B616AA4"/>
    <w:rsid w:val="4B6C3EC5"/>
    <w:rsid w:val="4B8A7333"/>
    <w:rsid w:val="4B8B6608"/>
    <w:rsid w:val="4B9C4A0F"/>
    <w:rsid w:val="4BA1C5F2"/>
    <w:rsid w:val="4BBD9BAB"/>
    <w:rsid w:val="4BC1A040"/>
    <w:rsid w:val="4BE6D7E3"/>
    <w:rsid w:val="4C1E0EA4"/>
    <w:rsid w:val="4C2026C1"/>
    <w:rsid w:val="4C48DBE1"/>
    <w:rsid w:val="4C87E8C4"/>
    <w:rsid w:val="4C91B301"/>
    <w:rsid w:val="4CE50FDA"/>
    <w:rsid w:val="4CF18EC4"/>
    <w:rsid w:val="4D171845"/>
    <w:rsid w:val="4D27AB34"/>
    <w:rsid w:val="4D28EE57"/>
    <w:rsid w:val="4D2BB876"/>
    <w:rsid w:val="4D450BF1"/>
    <w:rsid w:val="4D79C3E5"/>
    <w:rsid w:val="4D812628"/>
    <w:rsid w:val="4D8AA9A2"/>
    <w:rsid w:val="4D940EE3"/>
    <w:rsid w:val="4DA8AE42"/>
    <w:rsid w:val="4DAF432D"/>
    <w:rsid w:val="4DD0B41A"/>
    <w:rsid w:val="4DF92ED8"/>
    <w:rsid w:val="4E0EFAC7"/>
    <w:rsid w:val="4E5D1170"/>
    <w:rsid w:val="4E78D06C"/>
    <w:rsid w:val="4E7DC2CF"/>
    <w:rsid w:val="4E891E87"/>
    <w:rsid w:val="4E97E0B7"/>
    <w:rsid w:val="4E98D3F1"/>
    <w:rsid w:val="4EB48976"/>
    <w:rsid w:val="4ED373C0"/>
    <w:rsid w:val="4F1A8461"/>
    <w:rsid w:val="4F215547"/>
    <w:rsid w:val="4F251FA0"/>
    <w:rsid w:val="4F265F33"/>
    <w:rsid w:val="4F30592D"/>
    <w:rsid w:val="4F38CC69"/>
    <w:rsid w:val="4F3A85A3"/>
    <w:rsid w:val="4F3F60D3"/>
    <w:rsid w:val="4F6D49C5"/>
    <w:rsid w:val="4F91032E"/>
    <w:rsid w:val="4F986B63"/>
    <w:rsid w:val="4FC2F4DD"/>
    <w:rsid w:val="4FE6DC32"/>
    <w:rsid w:val="50172131"/>
    <w:rsid w:val="501CCDC7"/>
    <w:rsid w:val="502817BB"/>
    <w:rsid w:val="505B58BE"/>
    <w:rsid w:val="50716007"/>
    <w:rsid w:val="5073DD2A"/>
    <w:rsid w:val="50A42F5C"/>
    <w:rsid w:val="50AC7F73"/>
    <w:rsid w:val="50DF3619"/>
    <w:rsid w:val="50E6BEB6"/>
    <w:rsid w:val="5100E10C"/>
    <w:rsid w:val="5104105E"/>
    <w:rsid w:val="511CF2EA"/>
    <w:rsid w:val="512F6835"/>
    <w:rsid w:val="5136A108"/>
    <w:rsid w:val="5148CC92"/>
    <w:rsid w:val="517AE8A5"/>
    <w:rsid w:val="517CBF34"/>
    <w:rsid w:val="51911022"/>
    <w:rsid w:val="51970ED3"/>
    <w:rsid w:val="5197EE95"/>
    <w:rsid w:val="5198D72D"/>
    <w:rsid w:val="519E8DFA"/>
    <w:rsid w:val="51B33032"/>
    <w:rsid w:val="51E6F53C"/>
    <w:rsid w:val="51F86108"/>
    <w:rsid w:val="528F9CC2"/>
    <w:rsid w:val="52976729"/>
    <w:rsid w:val="52CBFFE8"/>
    <w:rsid w:val="52CEA42C"/>
    <w:rsid w:val="530A49EF"/>
    <w:rsid w:val="531A7E63"/>
    <w:rsid w:val="533A61B0"/>
    <w:rsid w:val="53525740"/>
    <w:rsid w:val="536C36B5"/>
    <w:rsid w:val="539C43EE"/>
    <w:rsid w:val="53B5272F"/>
    <w:rsid w:val="53C8F5AE"/>
    <w:rsid w:val="53F8F221"/>
    <w:rsid w:val="54037911"/>
    <w:rsid w:val="540D980F"/>
    <w:rsid w:val="543545F1"/>
    <w:rsid w:val="54808071"/>
    <w:rsid w:val="54ACC592"/>
    <w:rsid w:val="54E93FBF"/>
    <w:rsid w:val="5537F6E1"/>
    <w:rsid w:val="5538B6D2"/>
    <w:rsid w:val="553C1715"/>
    <w:rsid w:val="5556A1C9"/>
    <w:rsid w:val="555FE89B"/>
    <w:rsid w:val="5565F411"/>
    <w:rsid w:val="55791F55"/>
    <w:rsid w:val="557F4C02"/>
    <w:rsid w:val="5589897E"/>
    <w:rsid w:val="55E695EA"/>
    <w:rsid w:val="55F059FB"/>
    <w:rsid w:val="5604EE27"/>
    <w:rsid w:val="560A4DF0"/>
    <w:rsid w:val="560C1E11"/>
    <w:rsid w:val="562FCFBC"/>
    <w:rsid w:val="5635F327"/>
    <w:rsid w:val="563D65F6"/>
    <w:rsid w:val="5699CB6C"/>
    <w:rsid w:val="56D28376"/>
    <w:rsid w:val="56ED27A1"/>
    <w:rsid w:val="56FC668D"/>
    <w:rsid w:val="57094D18"/>
    <w:rsid w:val="571A9B0D"/>
    <w:rsid w:val="5748CB22"/>
    <w:rsid w:val="5749888E"/>
    <w:rsid w:val="576C3BD5"/>
    <w:rsid w:val="576E2A1F"/>
    <w:rsid w:val="576F46A0"/>
    <w:rsid w:val="57814DBC"/>
    <w:rsid w:val="57873DC8"/>
    <w:rsid w:val="579F6D7C"/>
    <w:rsid w:val="57BED047"/>
    <w:rsid w:val="57F5B19E"/>
    <w:rsid w:val="57F6160B"/>
    <w:rsid w:val="580A725D"/>
    <w:rsid w:val="582A750E"/>
    <w:rsid w:val="5841F5F0"/>
    <w:rsid w:val="584206DD"/>
    <w:rsid w:val="58497396"/>
    <w:rsid w:val="584F6A70"/>
    <w:rsid w:val="58777C31"/>
    <w:rsid w:val="588208EA"/>
    <w:rsid w:val="58A71E7E"/>
    <w:rsid w:val="58A75F33"/>
    <w:rsid w:val="58AA3DF7"/>
    <w:rsid w:val="58D242FC"/>
    <w:rsid w:val="58FFAC9F"/>
    <w:rsid w:val="5902495A"/>
    <w:rsid w:val="592F38C8"/>
    <w:rsid w:val="59512421"/>
    <w:rsid w:val="59547C18"/>
    <w:rsid w:val="5965D0B4"/>
    <w:rsid w:val="596EF282"/>
    <w:rsid w:val="5981B07D"/>
    <w:rsid w:val="599B1405"/>
    <w:rsid w:val="59E5226F"/>
    <w:rsid w:val="59FC2F62"/>
    <w:rsid w:val="5A200C56"/>
    <w:rsid w:val="5A3B8098"/>
    <w:rsid w:val="5A68318D"/>
    <w:rsid w:val="5A693AD6"/>
    <w:rsid w:val="5A6A1829"/>
    <w:rsid w:val="5A718DC5"/>
    <w:rsid w:val="5A894EC3"/>
    <w:rsid w:val="5A8AA917"/>
    <w:rsid w:val="5AA318DE"/>
    <w:rsid w:val="5AB31E67"/>
    <w:rsid w:val="5B277E7F"/>
    <w:rsid w:val="5B3CB93E"/>
    <w:rsid w:val="5B485B11"/>
    <w:rsid w:val="5B62A067"/>
    <w:rsid w:val="5B63DB9F"/>
    <w:rsid w:val="5B78EAC9"/>
    <w:rsid w:val="5B7A87C7"/>
    <w:rsid w:val="5BD854C5"/>
    <w:rsid w:val="5C281C59"/>
    <w:rsid w:val="5C5CA7A8"/>
    <w:rsid w:val="5C70A4D6"/>
    <w:rsid w:val="5C88639F"/>
    <w:rsid w:val="5C93F514"/>
    <w:rsid w:val="5C9783A8"/>
    <w:rsid w:val="5CB362F0"/>
    <w:rsid w:val="5CB5F639"/>
    <w:rsid w:val="5CC791B3"/>
    <w:rsid w:val="5CEEC862"/>
    <w:rsid w:val="5D1E7D65"/>
    <w:rsid w:val="5D3DD37A"/>
    <w:rsid w:val="5D3FFBBA"/>
    <w:rsid w:val="5D5E81BE"/>
    <w:rsid w:val="5D5F0027"/>
    <w:rsid w:val="5D6D629B"/>
    <w:rsid w:val="5D88A61D"/>
    <w:rsid w:val="5D891F8D"/>
    <w:rsid w:val="5D9A1F5E"/>
    <w:rsid w:val="5DA59C75"/>
    <w:rsid w:val="5DABEBD4"/>
    <w:rsid w:val="5DBC4881"/>
    <w:rsid w:val="5DBF160C"/>
    <w:rsid w:val="5DC6320D"/>
    <w:rsid w:val="5DDDFDC5"/>
    <w:rsid w:val="5DE24EFB"/>
    <w:rsid w:val="5DFA033D"/>
    <w:rsid w:val="5DFB5EF0"/>
    <w:rsid w:val="5E0FF32C"/>
    <w:rsid w:val="5E281BED"/>
    <w:rsid w:val="5E2912AF"/>
    <w:rsid w:val="5E977668"/>
    <w:rsid w:val="5ECE674D"/>
    <w:rsid w:val="5EDC6967"/>
    <w:rsid w:val="5F0598C2"/>
    <w:rsid w:val="5F0AF7CB"/>
    <w:rsid w:val="5F502135"/>
    <w:rsid w:val="5F555303"/>
    <w:rsid w:val="5F74BB57"/>
    <w:rsid w:val="5FA03C0C"/>
    <w:rsid w:val="5FC8B7A5"/>
    <w:rsid w:val="5FD2CDC8"/>
    <w:rsid w:val="5FD45C80"/>
    <w:rsid w:val="5FD88CB0"/>
    <w:rsid w:val="60009B8A"/>
    <w:rsid w:val="6002311B"/>
    <w:rsid w:val="605B65A9"/>
    <w:rsid w:val="6081EAC6"/>
    <w:rsid w:val="60BD8D38"/>
    <w:rsid w:val="60C67349"/>
    <w:rsid w:val="60F21605"/>
    <w:rsid w:val="6151F4E7"/>
    <w:rsid w:val="616DFF17"/>
    <w:rsid w:val="61AEFF8D"/>
    <w:rsid w:val="61BBD73B"/>
    <w:rsid w:val="61D9529C"/>
    <w:rsid w:val="61DF58AB"/>
    <w:rsid w:val="61F4C6C8"/>
    <w:rsid w:val="62063F8D"/>
    <w:rsid w:val="62165510"/>
    <w:rsid w:val="622BE534"/>
    <w:rsid w:val="624DBD29"/>
    <w:rsid w:val="62750C78"/>
    <w:rsid w:val="62865AC7"/>
    <w:rsid w:val="628F6C62"/>
    <w:rsid w:val="6293D321"/>
    <w:rsid w:val="62970A44"/>
    <w:rsid w:val="62AB5524"/>
    <w:rsid w:val="62DEAC28"/>
    <w:rsid w:val="62F6F166"/>
    <w:rsid w:val="6307D700"/>
    <w:rsid w:val="6316EC38"/>
    <w:rsid w:val="6322FFF2"/>
    <w:rsid w:val="632787CC"/>
    <w:rsid w:val="632D407A"/>
    <w:rsid w:val="634AA9E4"/>
    <w:rsid w:val="635EB435"/>
    <w:rsid w:val="638905BF"/>
    <w:rsid w:val="638CEB24"/>
    <w:rsid w:val="639D2045"/>
    <w:rsid w:val="63AB4FF1"/>
    <w:rsid w:val="63AD39A9"/>
    <w:rsid w:val="63AE84F8"/>
    <w:rsid w:val="63B065D6"/>
    <w:rsid w:val="63EE8F5F"/>
    <w:rsid w:val="63F0A2F5"/>
    <w:rsid w:val="63F6F6AE"/>
    <w:rsid w:val="643A568D"/>
    <w:rsid w:val="64859DF0"/>
    <w:rsid w:val="64CFAE5F"/>
    <w:rsid w:val="64E40BFA"/>
    <w:rsid w:val="64E6A43C"/>
    <w:rsid w:val="64EC610F"/>
    <w:rsid w:val="651E704A"/>
    <w:rsid w:val="65485B10"/>
    <w:rsid w:val="6556277F"/>
    <w:rsid w:val="6559E877"/>
    <w:rsid w:val="65B31069"/>
    <w:rsid w:val="65B6F190"/>
    <w:rsid w:val="65EC646E"/>
    <w:rsid w:val="660E5853"/>
    <w:rsid w:val="66250631"/>
    <w:rsid w:val="662B3F05"/>
    <w:rsid w:val="666F069E"/>
    <w:rsid w:val="6680E015"/>
    <w:rsid w:val="6682B491"/>
    <w:rsid w:val="66B593FD"/>
    <w:rsid w:val="66E273DE"/>
    <w:rsid w:val="671A2F29"/>
    <w:rsid w:val="67338972"/>
    <w:rsid w:val="67376BFC"/>
    <w:rsid w:val="6784715D"/>
    <w:rsid w:val="67BE3869"/>
    <w:rsid w:val="67C39FE1"/>
    <w:rsid w:val="680C885A"/>
    <w:rsid w:val="681298E0"/>
    <w:rsid w:val="6831E8A7"/>
    <w:rsid w:val="68462367"/>
    <w:rsid w:val="68506749"/>
    <w:rsid w:val="6865033A"/>
    <w:rsid w:val="687646AC"/>
    <w:rsid w:val="68C9EFE6"/>
    <w:rsid w:val="68DA73B0"/>
    <w:rsid w:val="690CACBF"/>
    <w:rsid w:val="691F071F"/>
    <w:rsid w:val="6923CAD0"/>
    <w:rsid w:val="6924DE74"/>
    <w:rsid w:val="69400DD9"/>
    <w:rsid w:val="69514B65"/>
    <w:rsid w:val="698E512A"/>
    <w:rsid w:val="6992DF09"/>
    <w:rsid w:val="69985937"/>
    <w:rsid w:val="699DC25C"/>
    <w:rsid w:val="69A9E77D"/>
    <w:rsid w:val="69AD950E"/>
    <w:rsid w:val="69BDB334"/>
    <w:rsid w:val="69DA5B8B"/>
    <w:rsid w:val="69FE0B8D"/>
    <w:rsid w:val="6A12534A"/>
    <w:rsid w:val="6A12EFDD"/>
    <w:rsid w:val="6A16542C"/>
    <w:rsid w:val="6A38B495"/>
    <w:rsid w:val="6A479DAC"/>
    <w:rsid w:val="6A88E09C"/>
    <w:rsid w:val="6A9E6BB7"/>
    <w:rsid w:val="6AA592D4"/>
    <w:rsid w:val="6AAAB2FF"/>
    <w:rsid w:val="6AAE7100"/>
    <w:rsid w:val="6ADB2294"/>
    <w:rsid w:val="6AE75A55"/>
    <w:rsid w:val="6AEE734A"/>
    <w:rsid w:val="6B036BFB"/>
    <w:rsid w:val="6B0C06AA"/>
    <w:rsid w:val="6B108904"/>
    <w:rsid w:val="6B2E524C"/>
    <w:rsid w:val="6B701ADA"/>
    <w:rsid w:val="6B7BA838"/>
    <w:rsid w:val="6B9C162C"/>
    <w:rsid w:val="6BAE2D17"/>
    <w:rsid w:val="6BBCFBC9"/>
    <w:rsid w:val="6BE64ABA"/>
    <w:rsid w:val="6BECDFBD"/>
    <w:rsid w:val="6C0B6714"/>
    <w:rsid w:val="6C483F5E"/>
    <w:rsid w:val="6C696C78"/>
    <w:rsid w:val="6C81DF22"/>
    <w:rsid w:val="6C95DF85"/>
    <w:rsid w:val="6CA5C877"/>
    <w:rsid w:val="6CB016F8"/>
    <w:rsid w:val="6D041080"/>
    <w:rsid w:val="6D463C1E"/>
    <w:rsid w:val="6D5E181A"/>
    <w:rsid w:val="6D68345E"/>
    <w:rsid w:val="6DB12E65"/>
    <w:rsid w:val="6DC9DF34"/>
    <w:rsid w:val="6DCB7163"/>
    <w:rsid w:val="6DDC9762"/>
    <w:rsid w:val="6DEB6CB5"/>
    <w:rsid w:val="6E03D316"/>
    <w:rsid w:val="6E494151"/>
    <w:rsid w:val="6E49AE7C"/>
    <w:rsid w:val="6E4DC411"/>
    <w:rsid w:val="6E6133EB"/>
    <w:rsid w:val="6E61AA1D"/>
    <w:rsid w:val="6E645B63"/>
    <w:rsid w:val="6E715987"/>
    <w:rsid w:val="6E7328EB"/>
    <w:rsid w:val="6E937BD0"/>
    <w:rsid w:val="6EA81536"/>
    <w:rsid w:val="6EB803FD"/>
    <w:rsid w:val="6EF36742"/>
    <w:rsid w:val="6EFCC5B4"/>
    <w:rsid w:val="6EFE9373"/>
    <w:rsid w:val="6F05D409"/>
    <w:rsid w:val="6F14EA9B"/>
    <w:rsid w:val="6F2CBE6A"/>
    <w:rsid w:val="6F32D294"/>
    <w:rsid w:val="6F3D9AFE"/>
    <w:rsid w:val="6F4E9E0E"/>
    <w:rsid w:val="6F57AEB8"/>
    <w:rsid w:val="6F6A1D0E"/>
    <w:rsid w:val="6F752873"/>
    <w:rsid w:val="6FEB7BD8"/>
    <w:rsid w:val="702C6439"/>
    <w:rsid w:val="70333AB1"/>
    <w:rsid w:val="707BD930"/>
    <w:rsid w:val="709B109C"/>
    <w:rsid w:val="70EE0A09"/>
    <w:rsid w:val="7137914C"/>
    <w:rsid w:val="714304CE"/>
    <w:rsid w:val="71CF564D"/>
    <w:rsid w:val="71D33B69"/>
    <w:rsid w:val="71DBAEE0"/>
    <w:rsid w:val="71EC5661"/>
    <w:rsid w:val="720DB6D2"/>
    <w:rsid w:val="7246770D"/>
    <w:rsid w:val="726A9053"/>
    <w:rsid w:val="7299E98A"/>
    <w:rsid w:val="72AE3F42"/>
    <w:rsid w:val="72C0D30B"/>
    <w:rsid w:val="72C171D5"/>
    <w:rsid w:val="72D0B6B9"/>
    <w:rsid w:val="72EB016D"/>
    <w:rsid w:val="72FA0124"/>
    <w:rsid w:val="733070CF"/>
    <w:rsid w:val="7343A9EF"/>
    <w:rsid w:val="7353B199"/>
    <w:rsid w:val="735D9A49"/>
    <w:rsid w:val="735E635F"/>
    <w:rsid w:val="73619D8E"/>
    <w:rsid w:val="736ED624"/>
    <w:rsid w:val="73A0AF2E"/>
    <w:rsid w:val="73A0F101"/>
    <w:rsid w:val="73DD5E07"/>
    <w:rsid w:val="73E61097"/>
    <w:rsid w:val="7402E5EB"/>
    <w:rsid w:val="74077B73"/>
    <w:rsid w:val="7408FF43"/>
    <w:rsid w:val="740E4662"/>
    <w:rsid w:val="742E19AC"/>
    <w:rsid w:val="743E5C14"/>
    <w:rsid w:val="7441C0F3"/>
    <w:rsid w:val="74451116"/>
    <w:rsid w:val="744A5525"/>
    <w:rsid w:val="746C111D"/>
    <w:rsid w:val="747DAA5C"/>
    <w:rsid w:val="74915293"/>
    <w:rsid w:val="74B47EC8"/>
    <w:rsid w:val="74D93384"/>
    <w:rsid w:val="74DD27C4"/>
    <w:rsid w:val="74E01217"/>
    <w:rsid w:val="751FEB6C"/>
    <w:rsid w:val="7528DA8C"/>
    <w:rsid w:val="75420778"/>
    <w:rsid w:val="75553B44"/>
    <w:rsid w:val="755BCB60"/>
    <w:rsid w:val="757D99F2"/>
    <w:rsid w:val="75886BA9"/>
    <w:rsid w:val="75A07511"/>
    <w:rsid w:val="75A1A0D8"/>
    <w:rsid w:val="75B3A17F"/>
    <w:rsid w:val="75B415FD"/>
    <w:rsid w:val="75BA22E0"/>
    <w:rsid w:val="75D16E0F"/>
    <w:rsid w:val="75D32848"/>
    <w:rsid w:val="75E91373"/>
    <w:rsid w:val="7607EC13"/>
    <w:rsid w:val="7612E446"/>
    <w:rsid w:val="761D2EDB"/>
    <w:rsid w:val="762C5054"/>
    <w:rsid w:val="762C6001"/>
    <w:rsid w:val="764EE800"/>
    <w:rsid w:val="7666FFE3"/>
    <w:rsid w:val="766801C0"/>
    <w:rsid w:val="76BC71E1"/>
    <w:rsid w:val="76DDA264"/>
    <w:rsid w:val="76F66A0E"/>
    <w:rsid w:val="76FB8BBD"/>
    <w:rsid w:val="76FCF793"/>
    <w:rsid w:val="7713BD91"/>
    <w:rsid w:val="771D3BF5"/>
    <w:rsid w:val="773AB653"/>
    <w:rsid w:val="777CF613"/>
    <w:rsid w:val="7789277D"/>
    <w:rsid w:val="779CE990"/>
    <w:rsid w:val="77D9503A"/>
    <w:rsid w:val="7830AD3D"/>
    <w:rsid w:val="7852DC25"/>
    <w:rsid w:val="78542AFC"/>
    <w:rsid w:val="787E2B90"/>
    <w:rsid w:val="7883547B"/>
    <w:rsid w:val="78935EEE"/>
    <w:rsid w:val="789A8327"/>
    <w:rsid w:val="789B8E99"/>
    <w:rsid w:val="78A7035F"/>
    <w:rsid w:val="78AA3CDF"/>
    <w:rsid w:val="78C39DE2"/>
    <w:rsid w:val="78E0A54A"/>
    <w:rsid w:val="78EF5003"/>
    <w:rsid w:val="78F2DE2B"/>
    <w:rsid w:val="791175A5"/>
    <w:rsid w:val="79263B99"/>
    <w:rsid w:val="793243B5"/>
    <w:rsid w:val="795E6625"/>
    <w:rsid w:val="795F6206"/>
    <w:rsid w:val="7961FEED"/>
    <w:rsid w:val="799DB2EA"/>
    <w:rsid w:val="79C36C26"/>
    <w:rsid w:val="79E4A119"/>
    <w:rsid w:val="7A0804D1"/>
    <w:rsid w:val="7A0AC73B"/>
    <w:rsid w:val="7A37E005"/>
    <w:rsid w:val="7A50469A"/>
    <w:rsid w:val="7A7B491D"/>
    <w:rsid w:val="7AA3DD3B"/>
    <w:rsid w:val="7AB60CB7"/>
    <w:rsid w:val="7AB6A1D7"/>
    <w:rsid w:val="7AE97F5D"/>
    <w:rsid w:val="7AEA8D8D"/>
    <w:rsid w:val="7B09F1EB"/>
    <w:rsid w:val="7B116C1A"/>
    <w:rsid w:val="7B6BAD44"/>
    <w:rsid w:val="7B854047"/>
    <w:rsid w:val="7B996B91"/>
    <w:rsid w:val="7BAA7CAA"/>
    <w:rsid w:val="7BB3426C"/>
    <w:rsid w:val="7BB46887"/>
    <w:rsid w:val="7BC83EF9"/>
    <w:rsid w:val="7BCA4BD2"/>
    <w:rsid w:val="7BEA1A2F"/>
    <w:rsid w:val="7BF48814"/>
    <w:rsid w:val="7C246925"/>
    <w:rsid w:val="7C2D366F"/>
    <w:rsid w:val="7C37FE9A"/>
    <w:rsid w:val="7C4F896C"/>
    <w:rsid w:val="7C5413E1"/>
    <w:rsid w:val="7C6D05DB"/>
    <w:rsid w:val="7CB3DB59"/>
    <w:rsid w:val="7CFDF8A9"/>
    <w:rsid w:val="7D078B9D"/>
    <w:rsid w:val="7D092170"/>
    <w:rsid w:val="7D13988D"/>
    <w:rsid w:val="7D3991D4"/>
    <w:rsid w:val="7D3CB791"/>
    <w:rsid w:val="7D3D53D3"/>
    <w:rsid w:val="7D5D1DDF"/>
    <w:rsid w:val="7D69CA1D"/>
    <w:rsid w:val="7D7B9693"/>
    <w:rsid w:val="7D7F726D"/>
    <w:rsid w:val="7D901687"/>
    <w:rsid w:val="7D942023"/>
    <w:rsid w:val="7DA94DF2"/>
    <w:rsid w:val="7DC667B7"/>
    <w:rsid w:val="7DED8FD9"/>
    <w:rsid w:val="7E342742"/>
    <w:rsid w:val="7E7EE0BB"/>
    <w:rsid w:val="7EA67B5C"/>
    <w:rsid w:val="7F16A881"/>
    <w:rsid w:val="7F29D690"/>
    <w:rsid w:val="7F5CA902"/>
    <w:rsid w:val="7FBAB88D"/>
    <w:rsid w:val="7FBFFC6C"/>
    <w:rsid w:val="7FD0B37F"/>
    <w:rsid w:val="7FDC135E"/>
    <w:rsid w:val="7FF91146"/>
    <w:rsid w:val="7FFCA6D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33E"/>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A75EC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577B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E7"/>
    <w:pPr>
      <w:ind w:left="720"/>
      <w:contextualSpacing/>
    </w:pPr>
  </w:style>
  <w:style w:type="table" w:styleId="TableGrid">
    <w:name w:val="Table Grid"/>
    <w:aliases w:val="Summary box,Table Gridbeth,RTI AMCP Table,new style,ASD Table,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A045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A045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1"/>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styleId="UnresolvedMention">
    <w:name w:val="Unresolved Mention"/>
    <w:basedOn w:val="DefaultParagraphFont"/>
    <w:uiPriority w:val="99"/>
    <w:unhideWhenUsed/>
    <w:rsid w:val="00BB0FFB"/>
    <w:rPr>
      <w:color w:val="605E5C"/>
      <w:shd w:val="clear" w:color="auto" w:fill="E1DFDD"/>
    </w:rPr>
  </w:style>
  <w:style w:type="table" w:customStyle="1" w:styleId="TableGrid11">
    <w:name w:val="Table Grid11"/>
    <w:basedOn w:val="TableNormal"/>
    <w:uiPriority w:val="59"/>
    <w:rsid w:val="00E03083"/>
    <w:pPr>
      <w:spacing w:after="240" w:line="240" w:lineRule="auto"/>
      <w:ind w:left="720" w:hanging="3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07730"/>
    <w:rPr>
      <w:color w:val="2B579A"/>
      <w:shd w:val="clear" w:color="auto" w:fill="E1DFDD"/>
    </w:rPr>
  </w:style>
  <w:style w:type="character" w:customStyle="1" w:styleId="Heading4Char">
    <w:name w:val="Heading 4 Char"/>
    <w:basedOn w:val="DefaultParagraphFont"/>
    <w:link w:val="Heading4"/>
    <w:uiPriority w:val="9"/>
    <w:rsid w:val="00A75EC5"/>
    <w:rPr>
      <w:rFonts w:asciiTheme="majorHAnsi" w:eastAsiaTheme="majorEastAsia" w:hAnsiTheme="majorHAnsi" w:cstheme="majorBidi"/>
      <w:i/>
      <w:iCs/>
      <w:color w:val="2E74B5" w:themeColor="accent1" w:themeShade="BF"/>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A206D3"/>
    <w:rPr>
      <w:rFonts w:ascii="Arial Narrow" w:eastAsia="Times New Roman" w:hAnsi="Arial Narrow" w:cs="Tahoma"/>
      <w:b/>
      <w:sz w:val="20"/>
      <w:szCs w:val="20"/>
      <w:lang w:val="en-GB" w:eastAsia="ja-JP"/>
    </w:rPr>
  </w:style>
  <w:style w:type="paragraph" w:customStyle="1" w:styleId="TableFigureFooter">
    <w:name w:val="Table/Figure Footer"/>
    <w:basedOn w:val="Normal"/>
    <w:link w:val="TableFigureFooterChar"/>
    <w:qFormat/>
    <w:rsid w:val="00A206D3"/>
    <w:pPr>
      <w:tabs>
        <w:tab w:val="left" w:pos="284"/>
      </w:tabs>
      <w:spacing w:before="120"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A206D3"/>
    <w:rPr>
      <w:rFonts w:ascii="Arial Narrow" w:eastAsia="Times New Roman" w:hAnsi="Arial Narrow" w:cs="Arial"/>
      <w:snapToGrid w:val="0"/>
      <w:sz w:val="18"/>
      <w:lang w:eastAsia="en-AU"/>
    </w:rPr>
  </w:style>
  <w:style w:type="paragraph" w:styleId="FootnoteText">
    <w:name w:val="footnote text"/>
    <w:basedOn w:val="Normal"/>
    <w:link w:val="FootnoteTextChar"/>
    <w:uiPriority w:val="99"/>
    <w:unhideWhenUsed/>
    <w:rsid w:val="004346A3"/>
    <w:pPr>
      <w:spacing w:after="0" w:line="240" w:lineRule="auto"/>
    </w:pPr>
    <w:rPr>
      <w:sz w:val="20"/>
      <w:szCs w:val="20"/>
    </w:rPr>
  </w:style>
  <w:style w:type="character" w:customStyle="1" w:styleId="FootnoteTextChar">
    <w:name w:val="Footnote Text Char"/>
    <w:basedOn w:val="DefaultParagraphFont"/>
    <w:link w:val="FootnoteText"/>
    <w:uiPriority w:val="99"/>
    <w:rsid w:val="004346A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346A3"/>
    <w:rPr>
      <w:vertAlign w:val="superscript"/>
    </w:rPr>
  </w:style>
  <w:style w:type="table" w:customStyle="1" w:styleId="ASDTable1">
    <w:name w:val="ASD Table1"/>
    <w:basedOn w:val="TableNormal"/>
    <w:next w:val="TableGrid"/>
    <w:uiPriority w:val="59"/>
    <w:rsid w:val="001B6554"/>
    <w:pPr>
      <w:spacing w:after="0" w:line="240" w:lineRule="auto"/>
    </w:pPr>
    <w:rPr>
      <w:rFonts w:ascii="Times New Roman" w:eastAsia="Calibri" w:hAnsi="Times New Roman" w:cs="Arial"/>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A577B6"/>
    <w:rPr>
      <w:rFonts w:asciiTheme="majorHAnsi" w:eastAsiaTheme="majorEastAsia" w:hAnsiTheme="majorHAnsi" w:cstheme="majorBidi"/>
      <w:color w:val="2E74B5" w:themeColor="accent1" w:themeShade="BF"/>
    </w:rPr>
  </w:style>
  <w:style w:type="table" w:customStyle="1" w:styleId="HealthConsult1">
    <w:name w:val="HealthConsult1"/>
    <w:basedOn w:val="TableNormal"/>
    <w:next w:val="TableGrid"/>
    <w:uiPriority w:val="59"/>
    <w:rsid w:val="00747F4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2">
    <w:name w:val="HealthConsult2"/>
    <w:basedOn w:val="TableNormal"/>
    <w:next w:val="TableGrid"/>
    <w:uiPriority w:val="59"/>
    <w:rsid w:val="00966BB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7054">
      <w:bodyDiv w:val="1"/>
      <w:marLeft w:val="0"/>
      <w:marRight w:val="0"/>
      <w:marTop w:val="0"/>
      <w:marBottom w:val="0"/>
      <w:divBdr>
        <w:top w:val="none" w:sz="0" w:space="0" w:color="auto"/>
        <w:left w:val="none" w:sz="0" w:space="0" w:color="auto"/>
        <w:bottom w:val="none" w:sz="0" w:space="0" w:color="auto"/>
        <w:right w:val="none" w:sz="0" w:space="0" w:color="auto"/>
      </w:divBdr>
    </w:div>
    <w:div w:id="31618673">
      <w:bodyDiv w:val="1"/>
      <w:marLeft w:val="0"/>
      <w:marRight w:val="0"/>
      <w:marTop w:val="0"/>
      <w:marBottom w:val="0"/>
      <w:divBdr>
        <w:top w:val="none" w:sz="0" w:space="0" w:color="auto"/>
        <w:left w:val="none" w:sz="0" w:space="0" w:color="auto"/>
        <w:bottom w:val="none" w:sz="0" w:space="0" w:color="auto"/>
        <w:right w:val="none" w:sz="0" w:space="0" w:color="auto"/>
      </w:divBdr>
    </w:div>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91896152">
      <w:bodyDiv w:val="1"/>
      <w:marLeft w:val="0"/>
      <w:marRight w:val="0"/>
      <w:marTop w:val="0"/>
      <w:marBottom w:val="0"/>
      <w:divBdr>
        <w:top w:val="none" w:sz="0" w:space="0" w:color="auto"/>
        <w:left w:val="none" w:sz="0" w:space="0" w:color="auto"/>
        <w:bottom w:val="none" w:sz="0" w:space="0" w:color="auto"/>
        <w:right w:val="none" w:sz="0" w:space="0" w:color="auto"/>
      </w:divBdr>
      <w:divsChild>
        <w:div w:id="958947593">
          <w:marLeft w:val="0"/>
          <w:marRight w:val="0"/>
          <w:marTop w:val="0"/>
          <w:marBottom w:val="0"/>
          <w:divBdr>
            <w:top w:val="none" w:sz="0" w:space="0" w:color="auto"/>
            <w:left w:val="none" w:sz="0" w:space="0" w:color="auto"/>
            <w:bottom w:val="none" w:sz="0" w:space="0" w:color="auto"/>
            <w:right w:val="none" w:sz="0" w:space="0" w:color="auto"/>
          </w:divBdr>
        </w:div>
        <w:div w:id="993874498">
          <w:marLeft w:val="0"/>
          <w:marRight w:val="0"/>
          <w:marTop w:val="0"/>
          <w:marBottom w:val="0"/>
          <w:divBdr>
            <w:top w:val="none" w:sz="0" w:space="0" w:color="auto"/>
            <w:left w:val="none" w:sz="0" w:space="0" w:color="auto"/>
            <w:bottom w:val="none" w:sz="0" w:space="0" w:color="auto"/>
            <w:right w:val="none" w:sz="0" w:space="0" w:color="auto"/>
          </w:divBdr>
        </w:div>
        <w:div w:id="1266034761">
          <w:marLeft w:val="0"/>
          <w:marRight w:val="0"/>
          <w:marTop w:val="0"/>
          <w:marBottom w:val="0"/>
          <w:divBdr>
            <w:top w:val="none" w:sz="0" w:space="0" w:color="auto"/>
            <w:left w:val="none" w:sz="0" w:space="0" w:color="auto"/>
            <w:bottom w:val="none" w:sz="0" w:space="0" w:color="auto"/>
            <w:right w:val="none" w:sz="0" w:space="0" w:color="auto"/>
          </w:divBdr>
        </w:div>
        <w:div w:id="1346784266">
          <w:marLeft w:val="0"/>
          <w:marRight w:val="0"/>
          <w:marTop w:val="0"/>
          <w:marBottom w:val="0"/>
          <w:divBdr>
            <w:top w:val="none" w:sz="0" w:space="0" w:color="auto"/>
            <w:left w:val="none" w:sz="0" w:space="0" w:color="auto"/>
            <w:bottom w:val="none" w:sz="0" w:space="0" w:color="auto"/>
            <w:right w:val="none" w:sz="0" w:space="0" w:color="auto"/>
          </w:divBdr>
        </w:div>
        <w:div w:id="1392273033">
          <w:marLeft w:val="0"/>
          <w:marRight w:val="0"/>
          <w:marTop w:val="0"/>
          <w:marBottom w:val="0"/>
          <w:divBdr>
            <w:top w:val="none" w:sz="0" w:space="0" w:color="auto"/>
            <w:left w:val="none" w:sz="0" w:space="0" w:color="auto"/>
            <w:bottom w:val="none" w:sz="0" w:space="0" w:color="auto"/>
            <w:right w:val="none" w:sz="0" w:space="0" w:color="auto"/>
          </w:divBdr>
        </w:div>
        <w:div w:id="1869298744">
          <w:marLeft w:val="0"/>
          <w:marRight w:val="0"/>
          <w:marTop w:val="0"/>
          <w:marBottom w:val="0"/>
          <w:divBdr>
            <w:top w:val="none" w:sz="0" w:space="0" w:color="auto"/>
            <w:left w:val="none" w:sz="0" w:space="0" w:color="auto"/>
            <w:bottom w:val="none" w:sz="0" w:space="0" w:color="auto"/>
            <w:right w:val="none" w:sz="0" w:space="0" w:color="auto"/>
          </w:divBdr>
        </w:div>
        <w:div w:id="1870298230">
          <w:marLeft w:val="0"/>
          <w:marRight w:val="0"/>
          <w:marTop w:val="0"/>
          <w:marBottom w:val="0"/>
          <w:divBdr>
            <w:top w:val="none" w:sz="0" w:space="0" w:color="auto"/>
            <w:left w:val="none" w:sz="0" w:space="0" w:color="auto"/>
            <w:bottom w:val="none" w:sz="0" w:space="0" w:color="auto"/>
            <w:right w:val="none" w:sz="0" w:space="0" w:color="auto"/>
          </w:divBdr>
        </w:div>
      </w:divsChild>
    </w:div>
    <w:div w:id="104228024">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156580197">
      <w:bodyDiv w:val="1"/>
      <w:marLeft w:val="0"/>
      <w:marRight w:val="0"/>
      <w:marTop w:val="0"/>
      <w:marBottom w:val="0"/>
      <w:divBdr>
        <w:top w:val="none" w:sz="0" w:space="0" w:color="auto"/>
        <w:left w:val="none" w:sz="0" w:space="0" w:color="auto"/>
        <w:bottom w:val="none" w:sz="0" w:space="0" w:color="auto"/>
        <w:right w:val="none" w:sz="0" w:space="0" w:color="auto"/>
      </w:divBdr>
    </w:div>
    <w:div w:id="274216960">
      <w:bodyDiv w:val="1"/>
      <w:marLeft w:val="0"/>
      <w:marRight w:val="0"/>
      <w:marTop w:val="0"/>
      <w:marBottom w:val="0"/>
      <w:divBdr>
        <w:top w:val="none" w:sz="0" w:space="0" w:color="auto"/>
        <w:left w:val="none" w:sz="0" w:space="0" w:color="auto"/>
        <w:bottom w:val="none" w:sz="0" w:space="0" w:color="auto"/>
        <w:right w:val="none" w:sz="0" w:space="0" w:color="auto"/>
      </w:divBdr>
    </w:div>
    <w:div w:id="316764648">
      <w:bodyDiv w:val="1"/>
      <w:marLeft w:val="0"/>
      <w:marRight w:val="0"/>
      <w:marTop w:val="0"/>
      <w:marBottom w:val="0"/>
      <w:divBdr>
        <w:top w:val="none" w:sz="0" w:space="0" w:color="auto"/>
        <w:left w:val="none" w:sz="0" w:space="0" w:color="auto"/>
        <w:bottom w:val="none" w:sz="0" w:space="0" w:color="auto"/>
        <w:right w:val="none" w:sz="0" w:space="0" w:color="auto"/>
      </w:divBdr>
    </w:div>
    <w:div w:id="322053361">
      <w:bodyDiv w:val="1"/>
      <w:marLeft w:val="0"/>
      <w:marRight w:val="0"/>
      <w:marTop w:val="0"/>
      <w:marBottom w:val="0"/>
      <w:divBdr>
        <w:top w:val="none" w:sz="0" w:space="0" w:color="auto"/>
        <w:left w:val="none" w:sz="0" w:space="0" w:color="auto"/>
        <w:bottom w:val="none" w:sz="0" w:space="0" w:color="auto"/>
        <w:right w:val="none" w:sz="0" w:space="0" w:color="auto"/>
      </w:divBdr>
    </w:div>
    <w:div w:id="363408243">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390660645">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426735776">
      <w:bodyDiv w:val="1"/>
      <w:marLeft w:val="0"/>
      <w:marRight w:val="0"/>
      <w:marTop w:val="0"/>
      <w:marBottom w:val="0"/>
      <w:divBdr>
        <w:top w:val="none" w:sz="0" w:space="0" w:color="auto"/>
        <w:left w:val="none" w:sz="0" w:space="0" w:color="auto"/>
        <w:bottom w:val="none" w:sz="0" w:space="0" w:color="auto"/>
        <w:right w:val="none" w:sz="0" w:space="0" w:color="auto"/>
      </w:divBdr>
    </w:div>
    <w:div w:id="428621509">
      <w:bodyDiv w:val="1"/>
      <w:marLeft w:val="0"/>
      <w:marRight w:val="0"/>
      <w:marTop w:val="0"/>
      <w:marBottom w:val="0"/>
      <w:divBdr>
        <w:top w:val="none" w:sz="0" w:space="0" w:color="auto"/>
        <w:left w:val="none" w:sz="0" w:space="0" w:color="auto"/>
        <w:bottom w:val="none" w:sz="0" w:space="0" w:color="auto"/>
        <w:right w:val="none" w:sz="0" w:space="0" w:color="auto"/>
      </w:divBdr>
    </w:div>
    <w:div w:id="448474974">
      <w:bodyDiv w:val="1"/>
      <w:marLeft w:val="0"/>
      <w:marRight w:val="0"/>
      <w:marTop w:val="0"/>
      <w:marBottom w:val="0"/>
      <w:divBdr>
        <w:top w:val="none" w:sz="0" w:space="0" w:color="auto"/>
        <w:left w:val="none" w:sz="0" w:space="0" w:color="auto"/>
        <w:bottom w:val="none" w:sz="0" w:space="0" w:color="auto"/>
        <w:right w:val="none" w:sz="0" w:space="0" w:color="auto"/>
      </w:divBdr>
    </w:div>
    <w:div w:id="485243562">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691229129">
      <w:bodyDiv w:val="1"/>
      <w:marLeft w:val="0"/>
      <w:marRight w:val="0"/>
      <w:marTop w:val="0"/>
      <w:marBottom w:val="0"/>
      <w:divBdr>
        <w:top w:val="none" w:sz="0" w:space="0" w:color="auto"/>
        <w:left w:val="none" w:sz="0" w:space="0" w:color="auto"/>
        <w:bottom w:val="none" w:sz="0" w:space="0" w:color="auto"/>
        <w:right w:val="none" w:sz="0" w:space="0" w:color="auto"/>
      </w:divBdr>
    </w:div>
    <w:div w:id="826900342">
      <w:bodyDiv w:val="1"/>
      <w:marLeft w:val="0"/>
      <w:marRight w:val="0"/>
      <w:marTop w:val="0"/>
      <w:marBottom w:val="0"/>
      <w:divBdr>
        <w:top w:val="none" w:sz="0" w:space="0" w:color="auto"/>
        <w:left w:val="none" w:sz="0" w:space="0" w:color="auto"/>
        <w:bottom w:val="none" w:sz="0" w:space="0" w:color="auto"/>
        <w:right w:val="none" w:sz="0" w:space="0" w:color="auto"/>
      </w:divBdr>
    </w:div>
    <w:div w:id="848910578">
      <w:bodyDiv w:val="1"/>
      <w:marLeft w:val="0"/>
      <w:marRight w:val="0"/>
      <w:marTop w:val="0"/>
      <w:marBottom w:val="0"/>
      <w:divBdr>
        <w:top w:val="none" w:sz="0" w:space="0" w:color="auto"/>
        <w:left w:val="none" w:sz="0" w:space="0" w:color="auto"/>
        <w:bottom w:val="none" w:sz="0" w:space="0" w:color="auto"/>
        <w:right w:val="none" w:sz="0" w:space="0" w:color="auto"/>
      </w:divBdr>
    </w:div>
    <w:div w:id="855465963">
      <w:bodyDiv w:val="1"/>
      <w:marLeft w:val="0"/>
      <w:marRight w:val="0"/>
      <w:marTop w:val="0"/>
      <w:marBottom w:val="0"/>
      <w:divBdr>
        <w:top w:val="none" w:sz="0" w:space="0" w:color="auto"/>
        <w:left w:val="none" w:sz="0" w:space="0" w:color="auto"/>
        <w:bottom w:val="none" w:sz="0" w:space="0" w:color="auto"/>
        <w:right w:val="none" w:sz="0" w:space="0" w:color="auto"/>
      </w:divBdr>
    </w:div>
    <w:div w:id="1017929580">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036542722">
      <w:bodyDiv w:val="1"/>
      <w:marLeft w:val="0"/>
      <w:marRight w:val="0"/>
      <w:marTop w:val="0"/>
      <w:marBottom w:val="0"/>
      <w:divBdr>
        <w:top w:val="none" w:sz="0" w:space="0" w:color="auto"/>
        <w:left w:val="none" w:sz="0" w:space="0" w:color="auto"/>
        <w:bottom w:val="none" w:sz="0" w:space="0" w:color="auto"/>
        <w:right w:val="none" w:sz="0" w:space="0" w:color="auto"/>
      </w:divBdr>
    </w:div>
    <w:div w:id="1046640123">
      <w:bodyDiv w:val="1"/>
      <w:marLeft w:val="0"/>
      <w:marRight w:val="0"/>
      <w:marTop w:val="0"/>
      <w:marBottom w:val="0"/>
      <w:divBdr>
        <w:top w:val="none" w:sz="0" w:space="0" w:color="auto"/>
        <w:left w:val="none" w:sz="0" w:space="0" w:color="auto"/>
        <w:bottom w:val="none" w:sz="0" w:space="0" w:color="auto"/>
        <w:right w:val="none" w:sz="0" w:space="0" w:color="auto"/>
      </w:divBdr>
      <w:divsChild>
        <w:div w:id="324208513">
          <w:marLeft w:val="0"/>
          <w:marRight w:val="0"/>
          <w:marTop w:val="0"/>
          <w:marBottom w:val="0"/>
          <w:divBdr>
            <w:top w:val="none" w:sz="0" w:space="0" w:color="auto"/>
            <w:left w:val="none" w:sz="0" w:space="0" w:color="auto"/>
            <w:bottom w:val="none" w:sz="0" w:space="0" w:color="auto"/>
            <w:right w:val="none" w:sz="0" w:space="0" w:color="auto"/>
          </w:divBdr>
        </w:div>
        <w:div w:id="1098595706">
          <w:marLeft w:val="0"/>
          <w:marRight w:val="0"/>
          <w:marTop w:val="0"/>
          <w:marBottom w:val="0"/>
          <w:divBdr>
            <w:top w:val="none" w:sz="0" w:space="0" w:color="auto"/>
            <w:left w:val="none" w:sz="0" w:space="0" w:color="auto"/>
            <w:bottom w:val="none" w:sz="0" w:space="0" w:color="auto"/>
            <w:right w:val="none" w:sz="0" w:space="0" w:color="auto"/>
          </w:divBdr>
        </w:div>
        <w:div w:id="1304239341">
          <w:marLeft w:val="0"/>
          <w:marRight w:val="0"/>
          <w:marTop w:val="0"/>
          <w:marBottom w:val="0"/>
          <w:divBdr>
            <w:top w:val="none" w:sz="0" w:space="0" w:color="auto"/>
            <w:left w:val="none" w:sz="0" w:space="0" w:color="auto"/>
            <w:bottom w:val="none" w:sz="0" w:space="0" w:color="auto"/>
            <w:right w:val="none" w:sz="0" w:space="0" w:color="auto"/>
          </w:divBdr>
        </w:div>
        <w:div w:id="1530029892">
          <w:marLeft w:val="0"/>
          <w:marRight w:val="0"/>
          <w:marTop w:val="0"/>
          <w:marBottom w:val="0"/>
          <w:divBdr>
            <w:top w:val="none" w:sz="0" w:space="0" w:color="auto"/>
            <w:left w:val="none" w:sz="0" w:space="0" w:color="auto"/>
            <w:bottom w:val="none" w:sz="0" w:space="0" w:color="auto"/>
            <w:right w:val="none" w:sz="0" w:space="0" w:color="auto"/>
          </w:divBdr>
        </w:div>
        <w:div w:id="1697466186">
          <w:marLeft w:val="0"/>
          <w:marRight w:val="0"/>
          <w:marTop w:val="0"/>
          <w:marBottom w:val="0"/>
          <w:divBdr>
            <w:top w:val="none" w:sz="0" w:space="0" w:color="auto"/>
            <w:left w:val="none" w:sz="0" w:space="0" w:color="auto"/>
            <w:bottom w:val="none" w:sz="0" w:space="0" w:color="auto"/>
            <w:right w:val="none" w:sz="0" w:space="0" w:color="auto"/>
          </w:divBdr>
        </w:div>
        <w:div w:id="2067143448">
          <w:marLeft w:val="0"/>
          <w:marRight w:val="0"/>
          <w:marTop w:val="0"/>
          <w:marBottom w:val="0"/>
          <w:divBdr>
            <w:top w:val="none" w:sz="0" w:space="0" w:color="auto"/>
            <w:left w:val="none" w:sz="0" w:space="0" w:color="auto"/>
            <w:bottom w:val="none" w:sz="0" w:space="0" w:color="auto"/>
            <w:right w:val="none" w:sz="0" w:space="0" w:color="auto"/>
          </w:divBdr>
        </w:div>
        <w:div w:id="2104912022">
          <w:marLeft w:val="0"/>
          <w:marRight w:val="0"/>
          <w:marTop w:val="0"/>
          <w:marBottom w:val="0"/>
          <w:divBdr>
            <w:top w:val="none" w:sz="0" w:space="0" w:color="auto"/>
            <w:left w:val="none" w:sz="0" w:space="0" w:color="auto"/>
            <w:bottom w:val="none" w:sz="0" w:space="0" w:color="auto"/>
            <w:right w:val="none" w:sz="0" w:space="0" w:color="auto"/>
          </w:divBdr>
        </w:div>
      </w:divsChild>
    </w:div>
    <w:div w:id="1147629603">
      <w:bodyDiv w:val="1"/>
      <w:marLeft w:val="0"/>
      <w:marRight w:val="0"/>
      <w:marTop w:val="0"/>
      <w:marBottom w:val="0"/>
      <w:divBdr>
        <w:top w:val="none" w:sz="0" w:space="0" w:color="auto"/>
        <w:left w:val="none" w:sz="0" w:space="0" w:color="auto"/>
        <w:bottom w:val="none" w:sz="0" w:space="0" w:color="auto"/>
        <w:right w:val="none" w:sz="0" w:space="0" w:color="auto"/>
      </w:divBdr>
    </w:div>
    <w:div w:id="1160197797">
      <w:bodyDiv w:val="1"/>
      <w:marLeft w:val="0"/>
      <w:marRight w:val="0"/>
      <w:marTop w:val="0"/>
      <w:marBottom w:val="0"/>
      <w:divBdr>
        <w:top w:val="none" w:sz="0" w:space="0" w:color="auto"/>
        <w:left w:val="none" w:sz="0" w:space="0" w:color="auto"/>
        <w:bottom w:val="none" w:sz="0" w:space="0" w:color="auto"/>
        <w:right w:val="none" w:sz="0" w:space="0" w:color="auto"/>
      </w:divBdr>
    </w:div>
    <w:div w:id="1203329682">
      <w:bodyDiv w:val="1"/>
      <w:marLeft w:val="0"/>
      <w:marRight w:val="0"/>
      <w:marTop w:val="0"/>
      <w:marBottom w:val="0"/>
      <w:divBdr>
        <w:top w:val="none" w:sz="0" w:space="0" w:color="auto"/>
        <w:left w:val="none" w:sz="0" w:space="0" w:color="auto"/>
        <w:bottom w:val="none" w:sz="0" w:space="0" w:color="auto"/>
        <w:right w:val="none" w:sz="0" w:space="0" w:color="auto"/>
      </w:divBdr>
      <w:divsChild>
        <w:div w:id="1930577743">
          <w:marLeft w:val="0"/>
          <w:marRight w:val="0"/>
          <w:marTop w:val="0"/>
          <w:marBottom w:val="0"/>
          <w:divBdr>
            <w:top w:val="none" w:sz="0" w:space="0" w:color="auto"/>
            <w:left w:val="none" w:sz="0" w:space="0" w:color="auto"/>
            <w:bottom w:val="none" w:sz="0" w:space="0" w:color="auto"/>
            <w:right w:val="none" w:sz="0" w:space="0" w:color="auto"/>
          </w:divBdr>
        </w:div>
      </w:divsChild>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1788936866">
      <w:bodyDiv w:val="1"/>
      <w:marLeft w:val="0"/>
      <w:marRight w:val="0"/>
      <w:marTop w:val="0"/>
      <w:marBottom w:val="0"/>
      <w:divBdr>
        <w:top w:val="none" w:sz="0" w:space="0" w:color="auto"/>
        <w:left w:val="none" w:sz="0" w:space="0" w:color="auto"/>
        <w:bottom w:val="none" w:sz="0" w:space="0" w:color="auto"/>
        <w:right w:val="none" w:sz="0" w:space="0" w:color="auto"/>
      </w:divBdr>
    </w:div>
    <w:div w:id="1789735688">
      <w:bodyDiv w:val="1"/>
      <w:marLeft w:val="0"/>
      <w:marRight w:val="0"/>
      <w:marTop w:val="0"/>
      <w:marBottom w:val="0"/>
      <w:divBdr>
        <w:top w:val="none" w:sz="0" w:space="0" w:color="auto"/>
        <w:left w:val="none" w:sz="0" w:space="0" w:color="auto"/>
        <w:bottom w:val="none" w:sz="0" w:space="0" w:color="auto"/>
        <w:right w:val="none" w:sz="0" w:space="0" w:color="auto"/>
      </w:divBdr>
      <w:divsChild>
        <w:div w:id="2133551187">
          <w:marLeft w:val="0"/>
          <w:marRight w:val="0"/>
          <w:marTop w:val="0"/>
          <w:marBottom w:val="0"/>
          <w:divBdr>
            <w:top w:val="none" w:sz="0" w:space="0" w:color="auto"/>
            <w:left w:val="none" w:sz="0" w:space="0" w:color="auto"/>
            <w:bottom w:val="none" w:sz="0" w:space="0" w:color="auto"/>
            <w:right w:val="none" w:sz="0" w:space="0" w:color="auto"/>
          </w:divBdr>
        </w:div>
      </w:divsChild>
    </w:div>
    <w:div w:id="1807115426">
      <w:bodyDiv w:val="1"/>
      <w:marLeft w:val="0"/>
      <w:marRight w:val="0"/>
      <w:marTop w:val="0"/>
      <w:marBottom w:val="0"/>
      <w:divBdr>
        <w:top w:val="none" w:sz="0" w:space="0" w:color="auto"/>
        <w:left w:val="none" w:sz="0" w:space="0" w:color="auto"/>
        <w:bottom w:val="none" w:sz="0" w:space="0" w:color="auto"/>
        <w:right w:val="none" w:sz="0" w:space="0" w:color="auto"/>
      </w:divBdr>
    </w:div>
    <w:div w:id="1834640634">
      <w:bodyDiv w:val="1"/>
      <w:marLeft w:val="0"/>
      <w:marRight w:val="0"/>
      <w:marTop w:val="0"/>
      <w:marBottom w:val="0"/>
      <w:divBdr>
        <w:top w:val="none" w:sz="0" w:space="0" w:color="auto"/>
        <w:left w:val="none" w:sz="0" w:space="0" w:color="auto"/>
        <w:bottom w:val="none" w:sz="0" w:space="0" w:color="auto"/>
        <w:right w:val="none" w:sz="0" w:space="0" w:color="auto"/>
      </w:divBdr>
    </w:div>
    <w:div w:id="1839298455">
      <w:bodyDiv w:val="1"/>
      <w:marLeft w:val="0"/>
      <w:marRight w:val="0"/>
      <w:marTop w:val="0"/>
      <w:marBottom w:val="0"/>
      <w:divBdr>
        <w:top w:val="none" w:sz="0" w:space="0" w:color="auto"/>
        <w:left w:val="none" w:sz="0" w:space="0" w:color="auto"/>
        <w:bottom w:val="none" w:sz="0" w:space="0" w:color="auto"/>
        <w:right w:val="none" w:sz="0" w:space="0" w:color="auto"/>
      </w:divBdr>
    </w:div>
    <w:div w:id="1859464786">
      <w:bodyDiv w:val="1"/>
      <w:marLeft w:val="0"/>
      <w:marRight w:val="0"/>
      <w:marTop w:val="0"/>
      <w:marBottom w:val="0"/>
      <w:divBdr>
        <w:top w:val="none" w:sz="0" w:space="0" w:color="auto"/>
        <w:left w:val="none" w:sz="0" w:space="0" w:color="auto"/>
        <w:bottom w:val="none" w:sz="0" w:space="0" w:color="auto"/>
        <w:right w:val="none" w:sz="0" w:space="0" w:color="auto"/>
      </w:divBdr>
    </w:div>
    <w:div w:id="1901357561">
      <w:bodyDiv w:val="1"/>
      <w:marLeft w:val="0"/>
      <w:marRight w:val="0"/>
      <w:marTop w:val="0"/>
      <w:marBottom w:val="0"/>
      <w:divBdr>
        <w:top w:val="none" w:sz="0" w:space="0" w:color="auto"/>
        <w:left w:val="none" w:sz="0" w:space="0" w:color="auto"/>
        <w:bottom w:val="none" w:sz="0" w:space="0" w:color="auto"/>
        <w:right w:val="none" w:sz="0" w:space="0" w:color="auto"/>
      </w:divBdr>
    </w:div>
    <w:div w:id="1948150810">
      <w:bodyDiv w:val="1"/>
      <w:marLeft w:val="0"/>
      <w:marRight w:val="0"/>
      <w:marTop w:val="0"/>
      <w:marBottom w:val="0"/>
      <w:divBdr>
        <w:top w:val="none" w:sz="0" w:space="0" w:color="auto"/>
        <w:left w:val="none" w:sz="0" w:space="0" w:color="auto"/>
        <w:bottom w:val="none" w:sz="0" w:space="0" w:color="auto"/>
        <w:right w:val="none" w:sz="0" w:space="0" w:color="auto"/>
      </w:divBdr>
    </w:div>
    <w:div w:id="1957330869">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package" Target="embeddings/Microsoft_PowerPoint_Slide1.sldx"/><Relationship Id="rId18" Type="http://schemas.openxmlformats.org/officeDocument/2006/relationships/hyperlink" Target="http://www.bowelcanceraustralia.org/a-colonoscopy-wait-time-and-performance-guarantee" TargetMode="External"/><Relationship Id="rId26" Type="http://schemas.openxmlformats.org/officeDocument/2006/relationships/hyperlink" Target="http://www.swslhd.health.nsw.gov.au/medicalImaging/serv_xray_Gastrografin.html" TargetMode="Externa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s://radiopaedia.org/articles/ct-colonography-protocol"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www.aihw.gov.au/reports/cancer-screening/nbcsp-monitoring-2024/summary" TargetMode="External"/><Relationship Id="rId25" Type="http://schemas.openxmlformats.org/officeDocument/2006/relationships/hyperlink" Target="http://www.nps.org.au/medicine-finder/gastrografin-liquid"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cancer.org/cancer/types/colon-rectal-cancer.html" TargetMode="External"/><Relationship Id="rId20" Type="http://schemas.openxmlformats.org/officeDocument/2006/relationships/hyperlink" Target="http://www.cancer.org.au/clinical-guidelines/bowel-cancer/colorectal-cancer" TargetMode="External"/><Relationship Id="rId29" Type="http://schemas.openxmlformats.org/officeDocument/2006/relationships/footer" Target="foot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Slide.sldx"/><Relationship Id="rId24" Type="http://schemas.openxmlformats.org/officeDocument/2006/relationships/hyperlink" Target="http://www.msac.gov.au/internet/msac/publishing.nsf/Content/1269-public" TargetMode="External"/><Relationship Id="rId32" Type="http://schemas.openxmlformats.org/officeDocument/2006/relationships/footer" Target="footer3.xm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PowerPoint_Slide2.sldx"/><Relationship Id="rId23" Type="http://schemas.openxmlformats.org/officeDocument/2006/relationships/hyperlink" Target="http://www.insideradiology.com.au/ct-colonography/" TargetMode="External"/><Relationship Id="rId28" Type="http://schemas.openxmlformats.org/officeDocument/2006/relationships/header" Target="header2.xml"/><Relationship Id="rId36" Type="http://schemas.openxmlformats.org/officeDocument/2006/relationships/hyperlink" Target="http://www.bowelcanceraustralia.org/a-colonoscopy-wait-time-and-performance-guarantee" TargetMode="External"/><Relationship Id="rId10" Type="http://schemas.openxmlformats.org/officeDocument/2006/relationships/image" Target="media/image1.emf"/><Relationship Id="rId19" Type="http://schemas.openxmlformats.org/officeDocument/2006/relationships/hyperlink" Target="http://www.cancer.org.au/clinical-guidelines/bowel-cancer/surveillance-colonoscopy"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bsonline.gov.au/" TargetMode="External"/><Relationship Id="rId14" Type="http://schemas.openxmlformats.org/officeDocument/2006/relationships/image" Target="media/image3.emf"/><Relationship Id="rId22" Type="http://schemas.openxmlformats.org/officeDocument/2006/relationships/hyperlink" Target="http://www.iaea.org/resources/rpop/health-professionals/radiology/computed-tomography/computed-tomography-colonography"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www.bowelcanceraustralia.org/colonoscopy/colonoscopy-wait-times/" TargetMode="External"/><Relationship Id="rId2" Type="http://schemas.openxmlformats.org/officeDocument/2006/relationships/hyperlink" Target="https://info.health.nz/keeping-healthy/cancer-screening/bowel-screening/colonoscopy" TargetMode="External"/><Relationship Id="rId1" Type="http://schemas.openxmlformats.org/officeDocument/2006/relationships/hyperlink" Target="https://bowelcancernz.org.nz/about-bowel-cancer/early-detection-and-prevention/screening/" TargetMode="External"/><Relationship Id="rId5" Type="http://schemas.openxmlformats.org/officeDocument/2006/relationships/hyperlink" Target="http://www.cancer.org.au/about-us/policy-and-advocacy/early-detection/bowel-cancer/policy-context" TargetMode="External"/><Relationship Id="rId4" Type="http://schemas.openxmlformats.org/officeDocument/2006/relationships/hyperlink" Target="https://www.bowelcanceraustralia.org/colonoscopy/colonoscopy-wait-ti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C0ADB-7CCF-4BC9-8F3A-D8E39C8F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18320</Words>
  <Characters>104430</Characters>
  <Application>Microsoft Office Word</Application>
  <DocSecurity>4</DocSecurity>
  <Lines>870</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2025-05-06T02:18:00Z</dcterms:created>
  <dcterms:modified xsi:type="dcterms:W3CDTF">2025-05-06T02:18:00Z</dcterms:modified>
</cp:coreProperties>
</file>