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E8E48" w14:textId="5EACA802" w:rsidR="00EA0AA0" w:rsidRPr="00CC4BFC" w:rsidRDefault="00EA0AA0" w:rsidP="00FF1ECB">
      <w:pPr>
        <w:spacing w:before="2080" w:after="0"/>
        <w:jc w:val="center"/>
        <w:rPr>
          <w:b/>
          <w:bCs/>
          <w:sz w:val="52"/>
          <w:szCs w:val="52"/>
        </w:rPr>
      </w:pPr>
      <w:r w:rsidRPr="00CC4BFC">
        <w:rPr>
          <w:b/>
          <w:bCs/>
          <w:sz w:val="52"/>
          <w:szCs w:val="52"/>
        </w:rPr>
        <w:t>MSAC Application</w:t>
      </w:r>
      <w:r w:rsidR="001A54EB" w:rsidRPr="00CC4BFC">
        <w:rPr>
          <w:b/>
          <w:bCs/>
          <w:sz w:val="52"/>
          <w:szCs w:val="52"/>
        </w:rPr>
        <w:t xml:space="preserve"> 1803</w:t>
      </w:r>
    </w:p>
    <w:p w14:paraId="2CED87DE" w14:textId="38F71267" w:rsidR="00EA0AA0" w:rsidRPr="00CC4BFC" w:rsidRDefault="001768C3" w:rsidP="009139B7">
      <w:pPr>
        <w:spacing w:before="840"/>
        <w:jc w:val="center"/>
        <w:rPr>
          <w:rFonts w:eastAsia="Segoe UI"/>
          <w:bCs/>
          <w:i/>
          <w:iCs/>
          <w:color w:val="538135" w:themeColor="accent6" w:themeShade="BF"/>
          <w:sz w:val="48"/>
          <w:szCs w:val="48"/>
        </w:rPr>
      </w:pPr>
      <w:r w:rsidRPr="00CC4BFC">
        <w:rPr>
          <w:b/>
          <w:bCs/>
          <w:color w:val="0070C0"/>
          <w:sz w:val="48"/>
          <w:szCs w:val="48"/>
        </w:rPr>
        <w:t>Implantation of an active middle ear implant (</w:t>
      </w:r>
      <w:proofErr w:type="spellStart"/>
      <w:r w:rsidRPr="00CC4BFC">
        <w:rPr>
          <w:b/>
          <w:bCs/>
          <w:color w:val="0070C0"/>
          <w:sz w:val="48"/>
          <w:szCs w:val="48"/>
        </w:rPr>
        <w:t>Vibroplasty</w:t>
      </w:r>
      <w:proofErr w:type="spellEnd"/>
      <w:r w:rsidRPr="00CC4BFC">
        <w:rPr>
          <w:b/>
          <w:bCs/>
          <w:color w:val="0070C0"/>
          <w:sz w:val="48"/>
          <w:szCs w:val="48"/>
        </w:rPr>
        <w:t>) for treatment of mixed and conductive hearing loss</w:t>
      </w:r>
      <w:r w:rsidR="009139B7" w:rsidRPr="00CC4BFC">
        <w:rPr>
          <w:b/>
          <w:bCs/>
          <w:color w:val="0070C0"/>
          <w:sz w:val="48"/>
          <w:szCs w:val="48"/>
        </w:rPr>
        <w:br/>
      </w:r>
    </w:p>
    <w:p w14:paraId="41F4C9E1" w14:textId="42FA3041" w:rsidR="00EA0AA0" w:rsidRPr="00CC4BFC" w:rsidRDefault="00EA0AA0" w:rsidP="009139B7">
      <w:pPr>
        <w:spacing w:before="840" w:line="259" w:lineRule="auto"/>
        <w:jc w:val="center"/>
        <w:rPr>
          <w:b/>
          <w:bCs/>
          <w:color w:val="0070C0"/>
          <w:sz w:val="48"/>
          <w:szCs w:val="48"/>
        </w:rPr>
      </w:pPr>
      <w:r w:rsidRPr="00CC4BFC">
        <w:rPr>
          <w:b/>
          <w:bCs/>
          <w:sz w:val="48"/>
          <w:szCs w:val="48"/>
        </w:rPr>
        <w:t>PICO Set</w:t>
      </w:r>
      <w:r w:rsidR="00FF1ECB" w:rsidRPr="00CC4BFC">
        <w:rPr>
          <w:b/>
          <w:bCs/>
          <w:sz w:val="48"/>
          <w:szCs w:val="48"/>
        </w:rPr>
        <w:t xml:space="preserve"> </w:t>
      </w:r>
    </w:p>
    <w:p w14:paraId="71FB4A17" w14:textId="77777777" w:rsidR="00FF1ECB" w:rsidRDefault="00FF1ECB" w:rsidP="00CC4BFC">
      <w:pPr>
        <w:jc w:val="center"/>
      </w:pPr>
    </w:p>
    <w:p w14:paraId="193657E0" w14:textId="77777777" w:rsidR="00FF1ECB" w:rsidRPr="00582377" w:rsidRDefault="00FF1ECB" w:rsidP="00FF1ECB">
      <w:pPr>
        <w:rPr>
          <w:rFonts w:eastAsia="Segoe UI"/>
          <w:bCs/>
          <w:i/>
          <w:iCs/>
          <w:color w:val="538135" w:themeColor="accent6" w:themeShade="BF"/>
        </w:rPr>
      </w:pPr>
    </w:p>
    <w:p w14:paraId="5BE7D23F" w14:textId="10FB4A42" w:rsidR="008A7A5A" w:rsidRDefault="008A7A5A">
      <w:pPr>
        <w:spacing w:after="160" w:line="259" w:lineRule="auto"/>
        <w:rPr>
          <w:b/>
          <w:bCs/>
          <w:color w:val="0070C0"/>
          <w:sz w:val="32"/>
          <w:szCs w:val="32"/>
        </w:rPr>
      </w:pPr>
    </w:p>
    <w:p w14:paraId="36D3A1E8" w14:textId="77777777" w:rsidR="009139B7" w:rsidRDefault="009139B7">
      <w:pPr>
        <w:spacing w:after="160" w:line="259" w:lineRule="auto"/>
        <w:rPr>
          <w:b/>
          <w:bCs/>
          <w:color w:val="0070C0"/>
          <w:sz w:val="32"/>
          <w:szCs w:val="32"/>
        </w:rPr>
      </w:pPr>
      <w:r>
        <w:br w:type="page"/>
      </w:r>
    </w:p>
    <w:p w14:paraId="5BEAFFDE" w14:textId="63EDDA11" w:rsidR="00051843" w:rsidRPr="00EA0AA0" w:rsidRDefault="00051843" w:rsidP="00EA0AA0">
      <w:pPr>
        <w:pStyle w:val="Heading1"/>
      </w:pPr>
      <w:r w:rsidRPr="00EA0AA0">
        <w:lastRenderedPageBreak/>
        <w:t>Population</w:t>
      </w:r>
    </w:p>
    <w:p w14:paraId="403BD183" w14:textId="738A72BE" w:rsidR="00051843" w:rsidRPr="00BC0C43" w:rsidRDefault="00051843" w:rsidP="00BC0C43">
      <w:pPr>
        <w:pStyle w:val="Heading2"/>
      </w:pPr>
      <w:r w:rsidRPr="00BC0C43">
        <w:t>Describe the population in which the proposed health technology is intended to be used:</w:t>
      </w:r>
    </w:p>
    <w:p w14:paraId="4D033191" w14:textId="2383DDAF" w:rsidR="00051843" w:rsidRDefault="008F7D60" w:rsidP="00245092">
      <w:r>
        <w:t>P</w:t>
      </w:r>
      <w:r w:rsidR="0099227E">
        <w:t xml:space="preserve">atients </w:t>
      </w:r>
      <w:r w:rsidR="00031E05">
        <w:t xml:space="preserve">above </w:t>
      </w:r>
      <w:r w:rsidR="00117523">
        <w:t xml:space="preserve">the </w:t>
      </w:r>
      <w:r w:rsidR="00031E05">
        <w:t>age of 5 years</w:t>
      </w:r>
      <w:r w:rsidR="0099227E">
        <w:t xml:space="preserve"> with </w:t>
      </w:r>
      <w:r>
        <w:t xml:space="preserve">conductive (CHL) or mixed (MHL), </w:t>
      </w:r>
      <w:r w:rsidR="00245092">
        <w:t xml:space="preserve">mild to </w:t>
      </w:r>
      <w:r w:rsidR="00EA7E5B">
        <w:t xml:space="preserve">moderate </w:t>
      </w:r>
      <w:r w:rsidR="00245092">
        <w:t xml:space="preserve">hearing </w:t>
      </w:r>
      <w:r w:rsidR="00F83543">
        <w:t>loss</w:t>
      </w:r>
      <w:r w:rsidR="00245092">
        <w:t xml:space="preserve"> who</w:t>
      </w:r>
      <w:r w:rsidR="00245092">
        <w:rPr>
          <w:lang w:val="en-US"/>
        </w:rPr>
        <w:t xml:space="preserve"> </w:t>
      </w:r>
      <w:r w:rsidR="00245092" w:rsidRPr="00245092">
        <w:rPr>
          <w:lang w:val="en-US"/>
        </w:rPr>
        <w:t xml:space="preserve">cannot achieve success or adequate benefit from </w:t>
      </w:r>
      <w:r w:rsidR="009A2C9A">
        <w:rPr>
          <w:lang w:val="en-US"/>
        </w:rPr>
        <w:t xml:space="preserve">surgical therapy or bone-conduction </w:t>
      </w:r>
      <w:r w:rsidR="00B25407">
        <w:rPr>
          <w:lang w:val="en-US"/>
        </w:rPr>
        <w:t>devices or</w:t>
      </w:r>
      <w:r w:rsidR="00217BEC">
        <w:rPr>
          <w:lang w:val="en-US"/>
        </w:rPr>
        <w:t xml:space="preserve"> cannot wear traditional hearing aids</w:t>
      </w:r>
      <w:r w:rsidR="006117C9">
        <w:rPr>
          <w:lang w:val="en-US"/>
        </w:rPr>
        <w:t xml:space="preserve"> due to medical reasons</w:t>
      </w:r>
      <w:r w:rsidR="00245092" w:rsidRPr="00245092">
        <w:rPr>
          <w:lang w:val="en-US"/>
        </w:rPr>
        <w:t>.</w:t>
      </w:r>
    </w:p>
    <w:p w14:paraId="7B7089F3" w14:textId="098FFA25" w:rsidR="00051843" w:rsidRPr="00BC0C43" w:rsidRDefault="00051843" w:rsidP="00BC0C43">
      <w:pPr>
        <w:pStyle w:val="Heading2"/>
      </w:pPr>
      <w:r>
        <w:t>Specify any characteristics of patients with</w:t>
      </w:r>
      <w:r w:rsidR="00197915">
        <w:t>, or suspected of having,</w:t>
      </w:r>
      <w:r>
        <w:t xml:space="preserve"> the medical condition, who are proposed to be eligible for the proposed health technology, describing how a patient would be investigated, </w:t>
      </w:r>
      <w:r w:rsidR="006117C9">
        <w:t>managed,</w:t>
      </w:r>
      <w:r>
        <w:t xml:space="preserve"> and referred within the Australian healthcare system in the lead up to being considered eligible for the technology:</w:t>
      </w:r>
      <w:r w:rsidR="008E77FE">
        <w:t xml:space="preserve"> </w:t>
      </w:r>
    </w:p>
    <w:p w14:paraId="01198C24" w14:textId="47E84D2F" w:rsidR="00217BEC" w:rsidRDefault="00217BEC" w:rsidP="00BC0C43">
      <w:r>
        <w:t xml:space="preserve">In most cases, </w:t>
      </w:r>
      <w:r w:rsidR="006117C9">
        <w:t xml:space="preserve">the </w:t>
      </w:r>
      <w:r>
        <w:t xml:space="preserve">indication for </w:t>
      </w:r>
      <w:r w:rsidR="006117C9">
        <w:t xml:space="preserve">an </w:t>
      </w:r>
      <w:r w:rsidR="00591B95">
        <w:t>active middle ear imp</w:t>
      </w:r>
      <w:r w:rsidR="00C21FF8">
        <w:t>l</w:t>
      </w:r>
      <w:r w:rsidR="00591B95">
        <w:t>ant (</w:t>
      </w:r>
      <w:proofErr w:type="spellStart"/>
      <w:r>
        <w:t>aMEI</w:t>
      </w:r>
      <w:proofErr w:type="spellEnd"/>
      <w:r w:rsidR="00591B95">
        <w:t>)</w:t>
      </w:r>
      <w:r>
        <w:t xml:space="preserve"> arises from the presence and/or the management of an underlying pathology</w:t>
      </w:r>
      <w:r w:rsidR="007C6F6A">
        <w:t xml:space="preserve"> in the middle or outer ear</w:t>
      </w:r>
      <w:r>
        <w:t xml:space="preserve">. </w:t>
      </w:r>
      <w:r w:rsidR="009A2C9A">
        <w:t xml:space="preserve">Medical conditions </w:t>
      </w:r>
      <w:r>
        <w:t xml:space="preserve">in typical </w:t>
      </w:r>
      <w:proofErr w:type="spellStart"/>
      <w:r>
        <w:t>aMEI</w:t>
      </w:r>
      <w:proofErr w:type="spellEnd"/>
      <w:r>
        <w:t xml:space="preserve"> candidates include:</w:t>
      </w:r>
    </w:p>
    <w:p w14:paraId="7FB2493A" w14:textId="1BC473B4" w:rsidR="009A2C9A" w:rsidRDefault="009A2C9A" w:rsidP="009A2C9A">
      <w:pPr>
        <w:pStyle w:val="ListParagraph"/>
        <w:numPr>
          <w:ilvl w:val="0"/>
          <w:numId w:val="4"/>
        </w:numPr>
      </w:pPr>
      <w:r>
        <w:t>Chronic otitis media</w:t>
      </w:r>
      <w:r w:rsidR="001A2EBA">
        <w:t xml:space="preserve"> (COM)</w:t>
      </w:r>
      <w:r w:rsidR="00217BEC">
        <w:t>:</w:t>
      </w:r>
    </w:p>
    <w:p w14:paraId="47B7DA00" w14:textId="12B5212A" w:rsidR="00217BEC" w:rsidRDefault="001A2EBA" w:rsidP="003E4892">
      <w:pPr>
        <w:pStyle w:val="ListParagraph"/>
      </w:pPr>
      <w:r>
        <w:t>COM</w:t>
      </w:r>
      <w:r w:rsidRPr="001A2EBA">
        <w:t xml:space="preserve"> includes a range of suppurative</w:t>
      </w:r>
      <w:r w:rsidR="00B25407">
        <w:t xml:space="preserve"> or</w:t>
      </w:r>
      <w:r w:rsidRPr="001A2EBA">
        <w:t xml:space="preserve"> nonsuppurative ear conditions characterized by inflammation of the middle ear. </w:t>
      </w:r>
      <w:r>
        <w:t>It</w:t>
      </w:r>
      <w:r w:rsidRPr="001A2EBA">
        <w:t xml:space="preserve"> is commonly associated with mild to moderate CHL </w:t>
      </w:r>
      <w:r w:rsidR="002E6C3C" w:rsidRPr="001A2EBA">
        <w:t>cause</w:t>
      </w:r>
      <w:r w:rsidR="002E6C3C">
        <w:t xml:space="preserve">d by </w:t>
      </w:r>
      <w:r w:rsidRPr="001A2EBA">
        <w:t>accumulated fluid</w:t>
      </w:r>
      <w:r w:rsidR="002E6C3C">
        <w:t xml:space="preserve"> in the middle</w:t>
      </w:r>
      <w:r w:rsidR="00591B95">
        <w:t xml:space="preserve"> </w:t>
      </w:r>
      <w:r w:rsidR="002E6C3C">
        <w:t>ear</w:t>
      </w:r>
      <w:r w:rsidRPr="001A2EBA">
        <w:t xml:space="preserve">, ruptured ear drum or erosion of middle ear ossicles. </w:t>
      </w:r>
      <w:r w:rsidR="00B25407">
        <w:t>COM may</w:t>
      </w:r>
      <w:r w:rsidRPr="001A2EBA">
        <w:t xml:space="preserve"> lead </w:t>
      </w:r>
      <w:r w:rsidR="005E69BE">
        <w:t xml:space="preserve">to </w:t>
      </w:r>
      <w:r w:rsidRPr="001A2EBA">
        <w:t xml:space="preserve">more severe CHL or MHL (Bluestone, 1998; DeAntonio et al., 2016; Klein, 2000; </w:t>
      </w:r>
      <w:proofErr w:type="spellStart"/>
      <w:r w:rsidRPr="001A2EBA">
        <w:t>Monasta</w:t>
      </w:r>
      <w:proofErr w:type="spellEnd"/>
      <w:r w:rsidRPr="001A2EBA">
        <w:t xml:space="preserve"> et al., 2012; Schilder et al., 2016; World Health Organization, 2004).</w:t>
      </w:r>
      <w:r>
        <w:t xml:space="preserve"> Worldwide, a</w:t>
      </w:r>
      <w:r w:rsidRPr="001A2EBA">
        <w:t xml:space="preserve">n estimated 98.7 million people or more are affected by hearing loss (mild or greater) </w:t>
      </w:r>
      <w:r w:rsidR="006117C9" w:rsidRPr="001A2EBA">
        <w:t>because of</w:t>
      </w:r>
      <w:r w:rsidRPr="001A2EBA">
        <w:t xml:space="preserve"> acute and chronic suppurative otitis media (Institute for Health Metrics and Evaluation, 2015).</w:t>
      </w:r>
    </w:p>
    <w:p w14:paraId="4848A81F" w14:textId="77777777" w:rsidR="003E4892" w:rsidRDefault="003E4892" w:rsidP="003E4892">
      <w:pPr>
        <w:pStyle w:val="ListParagraph"/>
      </w:pPr>
    </w:p>
    <w:p w14:paraId="36974DCF" w14:textId="7150EAB2" w:rsidR="009A2C9A" w:rsidRDefault="009A2C9A" w:rsidP="009A2C9A">
      <w:pPr>
        <w:pStyle w:val="ListParagraph"/>
        <w:numPr>
          <w:ilvl w:val="0"/>
          <w:numId w:val="4"/>
        </w:numPr>
      </w:pPr>
      <w:r>
        <w:t>Cholesteatoma</w:t>
      </w:r>
      <w:r w:rsidR="001A2EBA">
        <w:t>:</w:t>
      </w:r>
    </w:p>
    <w:p w14:paraId="231AD284" w14:textId="48457E88" w:rsidR="001A2EBA" w:rsidRDefault="001A2EBA" w:rsidP="003E4892">
      <w:pPr>
        <w:pStyle w:val="ListParagraph"/>
      </w:pPr>
      <w:r w:rsidRPr="001A2EBA">
        <w:t>Cholesteatoma is a serious but less common ear disease. Acquired cholesteatoma has an annual incidence of approximately 9 to 12.6 cases per 100,000 adults and 3 to 15 cases per 100,000 in children (Kuo et al., 2015). It describes a destructive and expanding growth consisting of keratinizing squamous epithelium in the middle ear and/or mastoid process. Cholesteatoma</w:t>
      </w:r>
      <w:r w:rsidR="00B25407">
        <w:t xml:space="preserve"> is not </w:t>
      </w:r>
      <w:r w:rsidRPr="001A2EBA">
        <w:t xml:space="preserve">cancerous as the name may suggest but can cause significant problems because of </w:t>
      </w:r>
      <w:r w:rsidR="00B25407">
        <w:t>its</w:t>
      </w:r>
      <w:r w:rsidRPr="001A2EBA">
        <w:t xml:space="preserve"> erosive and expansile properties. This can result in the destruction of middle ear ossicles as well as growth through the base of the skull into the brain. Treatment almost always consists of surgical removal (</w:t>
      </w:r>
      <w:proofErr w:type="spellStart"/>
      <w:r w:rsidRPr="001A2EBA">
        <w:t>Sooriyamoorthy</w:t>
      </w:r>
      <w:proofErr w:type="spellEnd"/>
      <w:r w:rsidRPr="001A2EBA">
        <w:t xml:space="preserve"> &amp; Jesus, 2023) which often le</w:t>
      </w:r>
      <w:r>
        <w:t>a</w:t>
      </w:r>
      <w:r w:rsidRPr="001A2EBA">
        <w:t>d</w:t>
      </w:r>
      <w:r>
        <w:t>s</w:t>
      </w:r>
      <w:r w:rsidRPr="001A2EBA">
        <w:t xml:space="preserve"> to permanent CHL or MHL.</w:t>
      </w:r>
    </w:p>
    <w:p w14:paraId="48E364E4" w14:textId="77777777" w:rsidR="003E4892" w:rsidRDefault="003E4892" w:rsidP="003E4892">
      <w:pPr>
        <w:pStyle w:val="ListParagraph"/>
      </w:pPr>
    </w:p>
    <w:p w14:paraId="1371B244" w14:textId="26669809" w:rsidR="009A2C9A" w:rsidRDefault="009A2C9A" w:rsidP="009A2C9A">
      <w:pPr>
        <w:pStyle w:val="ListParagraph"/>
        <w:numPr>
          <w:ilvl w:val="0"/>
          <w:numId w:val="4"/>
        </w:numPr>
      </w:pPr>
      <w:r>
        <w:t>Otosclerosis</w:t>
      </w:r>
      <w:r w:rsidR="001A2EBA">
        <w:t>:</w:t>
      </w:r>
    </w:p>
    <w:p w14:paraId="1E2A5D19" w14:textId="70D1886D" w:rsidR="001A2EBA" w:rsidRDefault="001A2EBA" w:rsidP="003E4892">
      <w:pPr>
        <w:pStyle w:val="ListParagraph"/>
      </w:pPr>
      <w:r w:rsidRPr="001A2EBA">
        <w:t xml:space="preserve">Otosclerosis, is an abnormal bone growth inside the ear of unknown cause, with possible genetic and environmental influences and is a disease characterized by lesions of the endochondral bone of the </w:t>
      </w:r>
      <w:proofErr w:type="spellStart"/>
      <w:r w:rsidRPr="001A2EBA">
        <w:t>otic</w:t>
      </w:r>
      <w:proofErr w:type="spellEnd"/>
      <w:r w:rsidRPr="001A2EBA">
        <w:t xml:space="preserve"> capsule. The abnormal bone growth commonly affects the stapes ossicle, but in some cases also extends to the cochlea. It can therefore cause CHL, MHL </w:t>
      </w:r>
      <w:r>
        <w:t>or</w:t>
      </w:r>
      <w:r w:rsidRPr="001A2EBA">
        <w:t xml:space="preserve"> </w:t>
      </w:r>
      <w:r w:rsidR="00591B95">
        <w:t>sensorineural hearing loss (</w:t>
      </w:r>
      <w:r w:rsidRPr="001A2EBA">
        <w:t>SNHL</w:t>
      </w:r>
      <w:r w:rsidR="00591B95">
        <w:t>)</w:t>
      </w:r>
      <w:r w:rsidRPr="001A2EBA">
        <w:t xml:space="preserve"> (</w:t>
      </w:r>
      <w:proofErr w:type="spellStart"/>
      <w:r w:rsidRPr="001A2EBA">
        <w:t>Cureoglu</w:t>
      </w:r>
      <w:proofErr w:type="spellEnd"/>
      <w:r w:rsidRPr="001A2EBA">
        <w:t xml:space="preserve"> et al., 2010; </w:t>
      </w:r>
      <w:proofErr w:type="spellStart"/>
      <w:r w:rsidRPr="001A2EBA">
        <w:t>Rudic</w:t>
      </w:r>
      <w:proofErr w:type="spellEnd"/>
      <w:r w:rsidRPr="001A2EBA">
        <w:t xml:space="preserve"> et al., 2015).</w:t>
      </w:r>
    </w:p>
    <w:p w14:paraId="57B2F5E3" w14:textId="77777777" w:rsidR="003E4892" w:rsidRDefault="003E4892" w:rsidP="003E4892">
      <w:pPr>
        <w:pStyle w:val="ListParagraph"/>
      </w:pPr>
    </w:p>
    <w:p w14:paraId="63A28E2F" w14:textId="620E3FD0" w:rsidR="009A2C9A" w:rsidRDefault="009A2C9A" w:rsidP="009A2C9A">
      <w:pPr>
        <w:pStyle w:val="ListParagraph"/>
        <w:numPr>
          <w:ilvl w:val="0"/>
          <w:numId w:val="4"/>
        </w:numPr>
      </w:pPr>
      <w:r>
        <w:t xml:space="preserve">Congenital malformations in the </w:t>
      </w:r>
      <w:r w:rsidR="00983031">
        <w:t xml:space="preserve">outer and </w:t>
      </w:r>
      <w:r>
        <w:t>middle ear</w:t>
      </w:r>
      <w:r w:rsidR="0024309C">
        <w:t>:</w:t>
      </w:r>
    </w:p>
    <w:p w14:paraId="2B172949" w14:textId="4B6E2BEF" w:rsidR="0024309C" w:rsidRDefault="00983031" w:rsidP="003E4892">
      <w:pPr>
        <w:pStyle w:val="ListParagraph"/>
      </w:pPr>
      <w:r>
        <w:t>A</w:t>
      </w:r>
      <w:r w:rsidR="0024309C" w:rsidRPr="0024309C">
        <w:t>ural atresia</w:t>
      </w:r>
      <w:r>
        <w:t xml:space="preserve"> is a congenital condition in which</w:t>
      </w:r>
      <w:r w:rsidR="0024309C" w:rsidRPr="0024309C">
        <w:t xml:space="preserve"> the external auditory ear canal is absent or closed. When </w:t>
      </w:r>
      <w:r>
        <w:t xml:space="preserve">aural </w:t>
      </w:r>
      <w:r w:rsidR="0024309C" w:rsidRPr="0024309C">
        <w:t>atresia is diagnosed, the ossicles (incus, stapes, and malleus) may be malformed, thus narrowing the ear canal, which is also called canal stenosis (Attaway et al., 2015).</w:t>
      </w:r>
      <w:r w:rsidR="0024309C">
        <w:t xml:space="preserve"> </w:t>
      </w:r>
      <w:r w:rsidR="0024309C" w:rsidRPr="0024309C">
        <w:t xml:space="preserve">Pathologies </w:t>
      </w:r>
      <w:r>
        <w:t>like</w:t>
      </w:r>
      <w:r w:rsidR="0024309C" w:rsidRPr="0024309C">
        <w:t xml:space="preserve"> external auditory atresia, oval window atresia, ossicular anomalies (e.g., malleoincudal fixation, stapes fixation, and </w:t>
      </w:r>
      <w:proofErr w:type="spellStart"/>
      <w:r w:rsidR="0024309C" w:rsidRPr="0024309C">
        <w:t>incudo</w:t>
      </w:r>
      <w:proofErr w:type="spellEnd"/>
      <w:r>
        <w:t>-</w:t>
      </w:r>
      <w:r w:rsidR="0024309C" w:rsidRPr="0024309C">
        <w:t xml:space="preserve">stapedial dislocation), </w:t>
      </w:r>
      <w:r w:rsidR="0024309C" w:rsidRPr="0024309C">
        <w:lastRenderedPageBreak/>
        <w:t>congenital cholesteatoma (10</w:t>
      </w:r>
      <w:r w:rsidR="00591B95">
        <w:t> </w:t>
      </w:r>
      <w:r w:rsidR="0024309C" w:rsidRPr="0024309C">
        <w:t xml:space="preserve">% of the CHL cases), dysmorphic ossicular chain with fused or rotated ossicles, and </w:t>
      </w:r>
      <w:proofErr w:type="spellStart"/>
      <w:r w:rsidR="0024309C" w:rsidRPr="0024309C">
        <w:t>fenestral</w:t>
      </w:r>
      <w:proofErr w:type="spellEnd"/>
      <w:r w:rsidR="0024309C" w:rsidRPr="0024309C">
        <w:t xml:space="preserve"> otosclerosis are responsible for various degrees of CHL and sometimes MHL (Shah &amp; </w:t>
      </w:r>
      <w:r w:rsidR="006117C9">
        <w:t>Wiggins</w:t>
      </w:r>
      <w:r w:rsidR="0024309C" w:rsidRPr="0024309C">
        <w:t>, 2009).</w:t>
      </w:r>
    </w:p>
    <w:p w14:paraId="7844A86E" w14:textId="77777777" w:rsidR="00757649" w:rsidRDefault="00757649" w:rsidP="00757649">
      <w:pPr>
        <w:pStyle w:val="ListParagraph"/>
      </w:pPr>
    </w:p>
    <w:p w14:paraId="7B8449CF" w14:textId="294C7A42" w:rsidR="004D755F" w:rsidRDefault="007C6F6A" w:rsidP="00757649">
      <w:pPr>
        <w:pStyle w:val="ListParagraph"/>
        <w:numPr>
          <w:ilvl w:val="0"/>
          <w:numId w:val="4"/>
        </w:numPr>
      </w:pPr>
      <w:r>
        <w:t xml:space="preserve">In some cases, indication for </w:t>
      </w:r>
      <w:r w:rsidR="00591B95">
        <w:t xml:space="preserve">an </w:t>
      </w:r>
      <w:proofErr w:type="spellStart"/>
      <w:r>
        <w:t>aMEI</w:t>
      </w:r>
      <w:proofErr w:type="spellEnd"/>
      <w:r>
        <w:t xml:space="preserve"> may also arise secondary to cancer treatment, e.g. when anatomical structures of either outer or middle ear </w:t>
      </w:r>
      <w:r w:rsidR="008D2056">
        <w:t xml:space="preserve">have been damaged </w:t>
      </w:r>
      <w:r w:rsidR="003E4892">
        <w:t>because of</w:t>
      </w:r>
      <w:r>
        <w:t xml:space="preserve"> the cancer treatment.</w:t>
      </w:r>
    </w:p>
    <w:p w14:paraId="130ABB88" w14:textId="2C1E4361" w:rsidR="001768C3" w:rsidRDefault="00585C68" w:rsidP="00CC4BFC">
      <w:r>
        <w:t>Patients with these pathologies</w:t>
      </w:r>
      <w:r w:rsidR="006F25AF">
        <w:t xml:space="preserve"> often show both </w:t>
      </w:r>
      <w:r>
        <w:t xml:space="preserve">conductive </w:t>
      </w:r>
      <w:r w:rsidR="006F25AF">
        <w:t>and sensorineural hearing loss components (i.e., MHL), which</w:t>
      </w:r>
      <w:r>
        <w:t xml:space="preserve"> </w:t>
      </w:r>
      <w:r w:rsidR="006F25AF">
        <w:t>is</w:t>
      </w:r>
      <w:r>
        <w:t xml:space="preserve"> identified via audiometric standard tests. </w:t>
      </w:r>
      <w:r w:rsidR="006F25AF">
        <w:t xml:space="preserve">In all cases it is crucial to manage the pathology before </w:t>
      </w:r>
      <w:r w:rsidR="007C6F6A">
        <w:t xml:space="preserve">unilateral or bilateral </w:t>
      </w:r>
      <w:proofErr w:type="spellStart"/>
      <w:r w:rsidR="006F25AF">
        <w:t>a</w:t>
      </w:r>
      <w:r w:rsidR="00174428">
        <w:t>MEIs</w:t>
      </w:r>
      <w:proofErr w:type="spellEnd"/>
      <w:r w:rsidR="006F25AF">
        <w:t xml:space="preserve"> can be placed.</w:t>
      </w:r>
      <w:r>
        <w:t xml:space="preserve"> </w:t>
      </w:r>
      <w:r w:rsidR="006F25AF">
        <w:t xml:space="preserve">An interdisciplinary team of </w:t>
      </w:r>
      <w:r>
        <w:t>healthcare professional</w:t>
      </w:r>
      <w:r w:rsidR="006F25AF">
        <w:t>s</w:t>
      </w:r>
      <w:r>
        <w:t xml:space="preserve"> needs to determine </w:t>
      </w:r>
      <w:proofErr w:type="spellStart"/>
      <w:r w:rsidR="00E67CC1">
        <w:t>aMEI</w:t>
      </w:r>
      <w:proofErr w:type="spellEnd"/>
      <w:r w:rsidR="00E67CC1">
        <w:t xml:space="preserve"> </w:t>
      </w:r>
      <w:r w:rsidR="006F25AF">
        <w:t>candidacy and ideal timepoint for implantation based on the patient’s history, the management plan for the pathology, severity of hearing loss and potential expectations of the patient</w:t>
      </w:r>
      <w:r w:rsidR="00D9682B">
        <w:t>.</w:t>
      </w:r>
    </w:p>
    <w:p w14:paraId="0EB432EF" w14:textId="494FA1EC" w:rsidR="00051843" w:rsidRPr="00BC0C43" w:rsidRDefault="00051843" w:rsidP="00BC0C43">
      <w:pPr>
        <w:pStyle w:val="Heading2"/>
      </w:pPr>
      <w:r>
        <w:t>Provide a rationale for the specifics of the eligible population:</w:t>
      </w:r>
    </w:p>
    <w:p w14:paraId="14DAE151" w14:textId="2DD6DBBA" w:rsidR="00FB0C02" w:rsidRDefault="002718D8" w:rsidP="00BC0C43">
      <w:pPr>
        <w:pStyle w:val="Heading2"/>
        <w:rPr>
          <w:b w:val="0"/>
          <w:bCs w:val="0"/>
        </w:rPr>
      </w:pPr>
      <w:r>
        <w:rPr>
          <w:b w:val="0"/>
          <w:bCs w:val="0"/>
        </w:rPr>
        <w:t>In Australia, t</w:t>
      </w:r>
      <w:r w:rsidR="00F62993">
        <w:rPr>
          <w:b w:val="0"/>
          <w:bCs w:val="0"/>
        </w:rPr>
        <w:t xml:space="preserve">reatment with </w:t>
      </w:r>
      <w:r w:rsidR="00757649">
        <w:rPr>
          <w:b w:val="0"/>
          <w:bCs w:val="0"/>
        </w:rPr>
        <w:t xml:space="preserve">an </w:t>
      </w:r>
      <w:proofErr w:type="spellStart"/>
      <w:r w:rsidR="00F62993">
        <w:rPr>
          <w:b w:val="0"/>
          <w:bCs w:val="0"/>
        </w:rPr>
        <w:t>aMEI</w:t>
      </w:r>
      <w:proofErr w:type="spellEnd"/>
      <w:r w:rsidR="00F62993">
        <w:rPr>
          <w:b w:val="0"/>
          <w:bCs w:val="0"/>
        </w:rPr>
        <w:t xml:space="preserve"> is currently limited to patients with sensorineural hearing loss (SNHL</w:t>
      </w:r>
      <w:r w:rsidR="007944FE">
        <w:rPr>
          <w:b w:val="0"/>
          <w:bCs w:val="0"/>
        </w:rPr>
        <w:t>; MBS item 41618</w:t>
      </w:r>
      <w:r w:rsidR="00F62993">
        <w:rPr>
          <w:b w:val="0"/>
          <w:bCs w:val="0"/>
        </w:rPr>
        <w:t xml:space="preserve">). </w:t>
      </w:r>
      <w:r w:rsidR="00A74C8C" w:rsidRPr="00A74C8C">
        <w:rPr>
          <w:b w:val="0"/>
          <w:bCs w:val="0"/>
        </w:rPr>
        <w:t>The first</w:t>
      </w:r>
      <w:r w:rsidR="009028FE">
        <w:rPr>
          <w:b w:val="0"/>
          <w:bCs w:val="0"/>
        </w:rPr>
        <w:t>-</w:t>
      </w:r>
      <w:r w:rsidR="00A74C8C" w:rsidRPr="00A74C8C">
        <w:rPr>
          <w:b w:val="0"/>
          <w:bCs w:val="0"/>
        </w:rPr>
        <w:t xml:space="preserve">line treatment for </w:t>
      </w:r>
      <w:r w:rsidR="00117523">
        <w:rPr>
          <w:b w:val="0"/>
          <w:bCs w:val="0"/>
        </w:rPr>
        <w:t>the</w:t>
      </w:r>
      <w:r w:rsidR="00A74C8C" w:rsidRPr="00A74C8C">
        <w:rPr>
          <w:b w:val="0"/>
          <w:bCs w:val="0"/>
        </w:rPr>
        <w:t xml:space="preserve"> target population</w:t>
      </w:r>
      <w:r w:rsidR="00117523">
        <w:rPr>
          <w:b w:val="0"/>
          <w:bCs w:val="0"/>
        </w:rPr>
        <w:t xml:space="preserve"> subject of the current application</w:t>
      </w:r>
      <w:r w:rsidR="00A74C8C" w:rsidRPr="00A74C8C">
        <w:rPr>
          <w:b w:val="0"/>
          <w:bCs w:val="0"/>
        </w:rPr>
        <w:t xml:space="preserve"> is either </w:t>
      </w:r>
      <w:r w:rsidR="009028FE">
        <w:rPr>
          <w:b w:val="0"/>
          <w:bCs w:val="0"/>
        </w:rPr>
        <w:t xml:space="preserve">a </w:t>
      </w:r>
      <w:r w:rsidR="00A74C8C" w:rsidRPr="00A74C8C">
        <w:rPr>
          <w:b w:val="0"/>
          <w:bCs w:val="0"/>
        </w:rPr>
        <w:t xml:space="preserve">surgical intervention (MHL) or </w:t>
      </w:r>
      <w:r w:rsidR="009028FE">
        <w:rPr>
          <w:b w:val="0"/>
          <w:bCs w:val="0"/>
        </w:rPr>
        <w:t xml:space="preserve">a </w:t>
      </w:r>
      <w:r w:rsidR="00A74C8C" w:rsidRPr="00A74C8C">
        <w:rPr>
          <w:b w:val="0"/>
          <w:bCs w:val="0"/>
        </w:rPr>
        <w:t>bone-conduction hearing solution</w:t>
      </w:r>
      <w:r w:rsidR="003517EF">
        <w:rPr>
          <w:b w:val="0"/>
          <w:bCs w:val="0"/>
        </w:rPr>
        <w:t xml:space="preserve"> </w:t>
      </w:r>
      <w:r w:rsidR="00A74C8C" w:rsidRPr="00A74C8C">
        <w:rPr>
          <w:b w:val="0"/>
          <w:bCs w:val="0"/>
        </w:rPr>
        <w:t>(CHL). If first</w:t>
      </w:r>
      <w:r w:rsidR="009028FE">
        <w:rPr>
          <w:b w:val="0"/>
          <w:bCs w:val="0"/>
        </w:rPr>
        <w:t>-</w:t>
      </w:r>
      <w:r w:rsidR="00A74C8C" w:rsidRPr="00A74C8C">
        <w:rPr>
          <w:b w:val="0"/>
          <w:bCs w:val="0"/>
        </w:rPr>
        <w:t xml:space="preserve">line treatments are not feasible or cannot provide adequate hearing restoration, the new medical service emerges as </w:t>
      </w:r>
      <w:r w:rsidR="00117523">
        <w:rPr>
          <w:b w:val="0"/>
          <w:bCs w:val="0"/>
        </w:rPr>
        <w:t xml:space="preserve">a </w:t>
      </w:r>
      <w:r w:rsidR="00A74C8C" w:rsidRPr="00A74C8C">
        <w:rPr>
          <w:b w:val="0"/>
          <w:bCs w:val="0"/>
        </w:rPr>
        <w:t>second-line treatment.</w:t>
      </w:r>
    </w:p>
    <w:p w14:paraId="0D97CCDD" w14:textId="1AE1B2EB" w:rsidR="00031E05" w:rsidRPr="00031E05" w:rsidRDefault="00F62993" w:rsidP="00BC0C43">
      <w:pPr>
        <w:pStyle w:val="Heading2"/>
        <w:rPr>
          <w:b w:val="0"/>
          <w:bCs w:val="0"/>
        </w:rPr>
      </w:pPr>
      <w:r>
        <w:rPr>
          <w:b w:val="0"/>
          <w:bCs w:val="0"/>
        </w:rPr>
        <w:t>Because the actuator (</w:t>
      </w:r>
      <w:r w:rsidR="009028FE">
        <w:rPr>
          <w:b w:val="0"/>
          <w:bCs w:val="0"/>
        </w:rPr>
        <w:t>Floating Mass Transducer (</w:t>
      </w:r>
      <w:r>
        <w:rPr>
          <w:b w:val="0"/>
          <w:bCs w:val="0"/>
        </w:rPr>
        <w:t>FMT</w:t>
      </w:r>
      <w:r w:rsidR="009028FE">
        <w:rPr>
          <w:b w:val="0"/>
          <w:bCs w:val="0"/>
        </w:rPr>
        <w:t>)</w:t>
      </w:r>
      <w:r>
        <w:rPr>
          <w:b w:val="0"/>
          <w:bCs w:val="0"/>
        </w:rPr>
        <w:t>) of</w:t>
      </w:r>
      <w:r w:rsidR="00757649">
        <w:rPr>
          <w:b w:val="0"/>
          <w:bCs w:val="0"/>
        </w:rPr>
        <w:t xml:space="preserve"> an</w:t>
      </w:r>
      <w:r>
        <w:rPr>
          <w:b w:val="0"/>
          <w:bCs w:val="0"/>
        </w:rPr>
        <w:t xml:space="preserve"> </w:t>
      </w:r>
      <w:proofErr w:type="spellStart"/>
      <w:r>
        <w:rPr>
          <w:b w:val="0"/>
          <w:bCs w:val="0"/>
        </w:rPr>
        <w:t>aMEI</w:t>
      </w:r>
      <w:proofErr w:type="spellEnd"/>
      <w:r>
        <w:rPr>
          <w:b w:val="0"/>
          <w:bCs w:val="0"/>
        </w:rPr>
        <w:t xml:space="preserve"> is located closer to the cochlea compared to </w:t>
      </w:r>
      <w:r w:rsidR="00A37E8B">
        <w:rPr>
          <w:b w:val="0"/>
          <w:bCs w:val="0"/>
        </w:rPr>
        <w:t>bone conduction implants (</w:t>
      </w:r>
      <w:r w:rsidR="00E67CC1">
        <w:rPr>
          <w:b w:val="0"/>
          <w:bCs w:val="0"/>
        </w:rPr>
        <w:t>BCIs</w:t>
      </w:r>
      <w:r w:rsidR="00A37E8B">
        <w:rPr>
          <w:b w:val="0"/>
          <w:bCs w:val="0"/>
        </w:rPr>
        <w:t>)</w:t>
      </w:r>
      <w:r>
        <w:rPr>
          <w:b w:val="0"/>
          <w:bCs w:val="0"/>
        </w:rPr>
        <w:t xml:space="preserve">, </w:t>
      </w:r>
      <w:proofErr w:type="spellStart"/>
      <w:r>
        <w:rPr>
          <w:b w:val="0"/>
          <w:bCs w:val="0"/>
        </w:rPr>
        <w:t>aMEIs</w:t>
      </w:r>
      <w:proofErr w:type="spellEnd"/>
      <w:r>
        <w:rPr>
          <w:b w:val="0"/>
          <w:bCs w:val="0"/>
        </w:rPr>
        <w:t xml:space="preserve"> can provide amplification more effectively and specifically to only one cochlea</w:t>
      </w:r>
      <w:r w:rsidR="001253DB">
        <w:rPr>
          <w:b w:val="0"/>
          <w:bCs w:val="0"/>
        </w:rPr>
        <w:t xml:space="preserve"> (BCIs always stimulate the better cochlea, independent of side of implantation)</w:t>
      </w:r>
      <w:r w:rsidR="002718D8">
        <w:rPr>
          <w:b w:val="0"/>
          <w:bCs w:val="0"/>
        </w:rPr>
        <w:t xml:space="preserve">, resulting in </w:t>
      </w:r>
      <w:r w:rsidR="00E02534">
        <w:rPr>
          <w:b w:val="0"/>
          <w:bCs w:val="0"/>
        </w:rPr>
        <w:t>better</w:t>
      </w:r>
      <w:r w:rsidR="002718D8">
        <w:rPr>
          <w:b w:val="0"/>
          <w:bCs w:val="0"/>
        </w:rPr>
        <w:t xml:space="preserve"> audiological </w:t>
      </w:r>
      <w:r w:rsidR="00E02534">
        <w:rPr>
          <w:b w:val="0"/>
          <w:bCs w:val="0"/>
        </w:rPr>
        <w:t>rehabilitation</w:t>
      </w:r>
      <w:r w:rsidR="00237525">
        <w:rPr>
          <w:b w:val="0"/>
          <w:bCs w:val="0"/>
        </w:rPr>
        <w:t xml:space="preserve">. </w:t>
      </w:r>
      <w:r w:rsidR="00987D6F">
        <w:rPr>
          <w:b w:val="0"/>
          <w:bCs w:val="0"/>
        </w:rPr>
        <w:t>Also</w:t>
      </w:r>
      <w:r w:rsidR="001A1994">
        <w:rPr>
          <w:b w:val="0"/>
          <w:bCs w:val="0"/>
        </w:rPr>
        <w:t>,</w:t>
      </w:r>
      <w:r w:rsidR="00987D6F">
        <w:rPr>
          <w:b w:val="0"/>
          <w:bCs w:val="0"/>
        </w:rPr>
        <w:t xml:space="preserve"> treatment with </w:t>
      </w:r>
      <w:proofErr w:type="spellStart"/>
      <w:r w:rsidR="00987D6F">
        <w:rPr>
          <w:b w:val="0"/>
          <w:bCs w:val="0"/>
        </w:rPr>
        <w:t>aMEI</w:t>
      </w:r>
      <w:proofErr w:type="spellEnd"/>
      <w:r w:rsidR="00987D6F">
        <w:rPr>
          <w:b w:val="0"/>
          <w:bCs w:val="0"/>
        </w:rPr>
        <w:t xml:space="preserve"> can restore</w:t>
      </w:r>
      <w:r w:rsidR="002718D8">
        <w:rPr>
          <w:b w:val="0"/>
          <w:bCs w:val="0"/>
        </w:rPr>
        <w:t xml:space="preserve"> tru</w:t>
      </w:r>
      <w:r w:rsidR="001768C3">
        <w:rPr>
          <w:b w:val="0"/>
          <w:bCs w:val="0"/>
        </w:rPr>
        <w:t>e</w:t>
      </w:r>
      <w:r w:rsidR="002718D8">
        <w:rPr>
          <w:b w:val="0"/>
          <w:bCs w:val="0"/>
        </w:rPr>
        <w:t xml:space="preserve"> </w:t>
      </w:r>
      <w:r w:rsidR="00DD1AC2">
        <w:rPr>
          <w:b w:val="0"/>
          <w:bCs w:val="0"/>
        </w:rPr>
        <w:t xml:space="preserve">binaural </w:t>
      </w:r>
      <w:r w:rsidR="002718D8">
        <w:rPr>
          <w:b w:val="0"/>
          <w:bCs w:val="0"/>
        </w:rPr>
        <w:t xml:space="preserve">hearing, </w:t>
      </w:r>
      <w:r w:rsidR="00987D6F">
        <w:rPr>
          <w:b w:val="0"/>
          <w:bCs w:val="0"/>
        </w:rPr>
        <w:t>which cannot be achieved with BCIs</w:t>
      </w:r>
      <w:r w:rsidR="002718D8">
        <w:rPr>
          <w:b w:val="0"/>
          <w:bCs w:val="0"/>
        </w:rPr>
        <w:t xml:space="preserve">. </w:t>
      </w:r>
      <w:r>
        <w:rPr>
          <w:b w:val="0"/>
          <w:bCs w:val="0"/>
        </w:rPr>
        <w:t xml:space="preserve">Patients with CHL or MHL currently </w:t>
      </w:r>
      <w:r w:rsidR="00A90306">
        <w:rPr>
          <w:b w:val="0"/>
          <w:bCs w:val="0"/>
        </w:rPr>
        <w:t xml:space="preserve">do </w:t>
      </w:r>
      <w:r>
        <w:rPr>
          <w:b w:val="0"/>
          <w:bCs w:val="0"/>
        </w:rPr>
        <w:t>not have access to this technology</w:t>
      </w:r>
      <w:r w:rsidR="002718D8">
        <w:rPr>
          <w:b w:val="0"/>
          <w:bCs w:val="0"/>
        </w:rPr>
        <w:t xml:space="preserve"> in Australia</w:t>
      </w:r>
      <w:r>
        <w:rPr>
          <w:b w:val="0"/>
          <w:bCs w:val="0"/>
        </w:rPr>
        <w:t xml:space="preserve">. </w:t>
      </w:r>
    </w:p>
    <w:p w14:paraId="409AB389" w14:textId="3DC6C59C" w:rsidR="00051843" w:rsidRDefault="00051843" w:rsidP="00BC0C43">
      <w:pPr>
        <w:pStyle w:val="Heading2"/>
      </w:pPr>
      <w:r>
        <w:t xml:space="preserve">Are there any prerequisite tests? </w:t>
      </w:r>
    </w:p>
    <w:p w14:paraId="64EC5580" w14:textId="102E4F09" w:rsidR="00051843" w:rsidRDefault="00245092" w:rsidP="00BC0C43">
      <w:r>
        <w:t>Audiometry testing AC and BC thresholds</w:t>
      </w:r>
      <w:r w:rsidR="0089078B">
        <w:t xml:space="preserve"> and speech</w:t>
      </w:r>
      <w:r w:rsidR="00B030E9">
        <w:t xml:space="preserve"> recognition</w:t>
      </w:r>
    </w:p>
    <w:p w14:paraId="102BE830" w14:textId="78E8F6A8" w:rsidR="005543AD" w:rsidRDefault="0089078B" w:rsidP="00BC0C43">
      <w:r>
        <w:t>Compute</w:t>
      </w:r>
      <w:r w:rsidR="001B2391">
        <w:t>d</w:t>
      </w:r>
      <w:r>
        <w:t>-tomographic scan of the head</w:t>
      </w:r>
      <w:r w:rsidR="00B030E9">
        <w:t xml:space="preserve"> (recommended)</w:t>
      </w:r>
    </w:p>
    <w:p w14:paraId="5998FE51" w14:textId="7B048AA9" w:rsidR="00051843" w:rsidRDefault="00051843" w:rsidP="00BC0C43">
      <w:pPr>
        <w:pStyle w:val="Heading2"/>
      </w:pPr>
      <w:r>
        <w:t>Are the prerequisite tests MBS funded?</w:t>
      </w:r>
    </w:p>
    <w:p w14:paraId="7B15CE91" w14:textId="2708A97B" w:rsidR="00051843" w:rsidRDefault="00051843" w:rsidP="00BC0C43">
      <w:r w:rsidRPr="00757649">
        <w:t>Yes</w:t>
      </w:r>
      <w:r w:rsidR="00757649">
        <w:t>.</w:t>
      </w:r>
    </w:p>
    <w:p w14:paraId="230E182B" w14:textId="77777777" w:rsidR="00757649" w:rsidRDefault="00757649" w:rsidP="00BC0C43"/>
    <w:p w14:paraId="4AFBCB93" w14:textId="718DC82A" w:rsidR="00757649" w:rsidRDefault="00757649" w:rsidP="00BC0C43">
      <w:r>
        <w:t xml:space="preserve">MBS codes relevant </w:t>
      </w:r>
      <w:r w:rsidR="009B67EF">
        <w:t xml:space="preserve">to </w:t>
      </w:r>
      <w:r w:rsidR="0089078B">
        <w:t>Audiometric testing:</w:t>
      </w:r>
    </w:p>
    <w:p w14:paraId="47646441" w14:textId="77777777" w:rsidR="0089078B" w:rsidRDefault="0089078B" w:rsidP="00DD1AC2">
      <w:r>
        <w:rPr>
          <w:lang w:val="en-US"/>
        </w:rPr>
        <w:t xml:space="preserve">11306 </w:t>
      </w:r>
      <w:r w:rsidRPr="0089078B">
        <w:t>Non determinate audiometry, if a service to which item 82306 applies has not been performed on the patient on the same day.</w:t>
      </w:r>
    </w:p>
    <w:p w14:paraId="2F4DA768" w14:textId="77777777" w:rsidR="0089078B" w:rsidRDefault="0089078B" w:rsidP="00DD1AC2">
      <w:r>
        <w:t xml:space="preserve">11309 </w:t>
      </w:r>
      <w:r w:rsidRPr="0089078B">
        <w:t>Audiogram, air conduction, if a service to which item 82309 applies has not been performed on the patient on the same day.</w:t>
      </w:r>
    </w:p>
    <w:p w14:paraId="3C4CDC3D" w14:textId="4B71FC95" w:rsidR="0089078B" w:rsidRDefault="0089078B" w:rsidP="00DD1AC2">
      <w:r>
        <w:t xml:space="preserve">11312 </w:t>
      </w:r>
      <w:r w:rsidRPr="0089078B">
        <w:t>Audiogram, air and bone conduction or air conduction and speech discrimination, if a service to which item 82312 applies has not been performed on the patient on the same day.</w:t>
      </w:r>
    </w:p>
    <w:p w14:paraId="7CA1D31F" w14:textId="46A43473" w:rsidR="00DD1AC2" w:rsidRDefault="00DD1AC2" w:rsidP="00DD1AC2">
      <w:pPr>
        <w:rPr>
          <w:lang w:val="en-US"/>
        </w:rPr>
      </w:pPr>
      <w:r w:rsidRPr="00DD1AC2">
        <w:rPr>
          <w:lang w:val="en-US"/>
        </w:rPr>
        <w:t xml:space="preserve">11315 </w:t>
      </w:r>
      <w:r w:rsidR="0089078B" w:rsidRPr="0089078B">
        <w:t>Audiogram, air and bone conduction and speech, if a service to which item 82315 applies has not been performed on the patient on the same day</w:t>
      </w:r>
    </w:p>
    <w:p w14:paraId="542EF175" w14:textId="59017A30" w:rsidR="0089078B" w:rsidRPr="00DD1AC2" w:rsidRDefault="0089078B" w:rsidP="00DD1AC2">
      <w:pPr>
        <w:rPr>
          <w:lang w:val="en-US"/>
        </w:rPr>
      </w:pPr>
      <w:r>
        <w:rPr>
          <w:lang w:val="en-US"/>
        </w:rPr>
        <w:lastRenderedPageBreak/>
        <w:t xml:space="preserve">11318 </w:t>
      </w:r>
      <w:r w:rsidRPr="0089078B">
        <w:t>Audiogram, air and bone conduction and speech, with other cochlear tests, if a service to which item 82318 applies has not been performed on the patient on the same day</w:t>
      </w:r>
      <w:r>
        <w:t>.</w:t>
      </w:r>
    </w:p>
    <w:p w14:paraId="0E28B29A" w14:textId="37EA3E5E" w:rsidR="00757649" w:rsidRDefault="00DD1AC2" w:rsidP="00DD1AC2">
      <w:pPr>
        <w:rPr>
          <w:lang w:val="en-US"/>
        </w:rPr>
      </w:pPr>
      <w:r w:rsidRPr="00DD1AC2">
        <w:rPr>
          <w:lang w:val="en-US"/>
        </w:rPr>
        <w:t xml:space="preserve">11324 </w:t>
      </w:r>
      <w:r w:rsidR="0089078B" w:rsidRPr="0089078B">
        <w:t>Impedance audiogram involving tympanometry and measurement of static compliance and acoustic reflex performed by, or on behalf of, a medical practitioner, if a service to which item 82324 applies has not been performed on the patient on the same day</w:t>
      </w:r>
    </w:p>
    <w:p w14:paraId="785F233F" w14:textId="77777777" w:rsidR="0089078B" w:rsidRDefault="0089078B" w:rsidP="00757649">
      <w:pPr>
        <w:rPr>
          <w:lang w:val="en-US"/>
        </w:rPr>
      </w:pPr>
    </w:p>
    <w:p w14:paraId="08F8C302" w14:textId="2DC37730" w:rsidR="00757649" w:rsidRPr="00757649" w:rsidRDefault="00757649" w:rsidP="00757649">
      <w:pPr>
        <w:rPr>
          <w:lang w:val="en-US"/>
        </w:rPr>
      </w:pPr>
      <w:r w:rsidRPr="00757649">
        <w:rPr>
          <w:lang w:val="en-US"/>
        </w:rPr>
        <w:t xml:space="preserve">MBS codes relevant to </w:t>
      </w:r>
      <w:r w:rsidR="0089078B">
        <w:rPr>
          <w:lang w:val="en-US"/>
        </w:rPr>
        <w:t>computer tomography (CT)</w:t>
      </w:r>
      <w:r w:rsidRPr="00757649">
        <w:rPr>
          <w:lang w:val="en-US"/>
        </w:rPr>
        <w:t>:</w:t>
      </w:r>
    </w:p>
    <w:p w14:paraId="4A5DE4C4" w14:textId="77777777" w:rsidR="00757649" w:rsidRPr="00757649" w:rsidRDefault="00757649" w:rsidP="00757649">
      <w:pPr>
        <w:rPr>
          <w:lang w:val="en-US"/>
        </w:rPr>
      </w:pPr>
      <w:r w:rsidRPr="00757649">
        <w:rPr>
          <w:lang w:val="en-US"/>
        </w:rPr>
        <w:t xml:space="preserve">56001 - Computed tomography - scan of brain without intravenous contrast medium, not being a service to which item 57001 </w:t>
      </w:r>
      <w:proofErr w:type="gramStart"/>
      <w:r w:rsidRPr="00757649">
        <w:rPr>
          <w:lang w:val="en-US"/>
        </w:rPr>
        <w:t>applies;</w:t>
      </w:r>
      <w:proofErr w:type="gramEnd"/>
    </w:p>
    <w:p w14:paraId="0F1E0028" w14:textId="77777777" w:rsidR="00757649" w:rsidRDefault="00757649" w:rsidP="00757649">
      <w:pPr>
        <w:rPr>
          <w:lang w:val="en-US"/>
        </w:rPr>
      </w:pPr>
      <w:r w:rsidRPr="00757649">
        <w:rPr>
          <w:lang w:val="en-US"/>
        </w:rPr>
        <w:t xml:space="preserve">56007 - Computed tomography—scan of brain with intravenous contrast medium and with any scans of the brain before intravenous contrast injection, when performed, not being a service to which item 57007 </w:t>
      </w:r>
      <w:proofErr w:type="gramStart"/>
      <w:r w:rsidRPr="00757649">
        <w:rPr>
          <w:lang w:val="en-US"/>
        </w:rPr>
        <w:t>applies;</w:t>
      </w:r>
      <w:proofErr w:type="gramEnd"/>
    </w:p>
    <w:p w14:paraId="5FDE18D2" w14:textId="77777777" w:rsidR="00757649" w:rsidRDefault="00757649" w:rsidP="00757649">
      <w:pPr>
        <w:rPr>
          <w:lang w:val="en-US"/>
        </w:rPr>
      </w:pPr>
      <w:r w:rsidRPr="00757649">
        <w:rPr>
          <w:lang w:val="en-US"/>
        </w:rPr>
        <w:t xml:space="preserve">57001 - Computed tomography—scan of brain and chest with or without scans of upper abdomen without intravenous contrast medium, not including a study performed to exclude coronary artery calcification or image the coronary </w:t>
      </w:r>
      <w:proofErr w:type="gramStart"/>
      <w:r w:rsidRPr="00757649">
        <w:rPr>
          <w:lang w:val="en-US"/>
        </w:rPr>
        <w:t>arteries;</w:t>
      </w:r>
      <w:proofErr w:type="gramEnd"/>
      <w:r w:rsidRPr="00757649">
        <w:rPr>
          <w:lang w:val="en-US"/>
        </w:rPr>
        <w:t xml:space="preserve"> </w:t>
      </w:r>
    </w:p>
    <w:p w14:paraId="657D6B49" w14:textId="200B9956" w:rsidR="00757649" w:rsidRPr="003E4892" w:rsidRDefault="00757649" w:rsidP="00DD1AC2">
      <w:pPr>
        <w:rPr>
          <w:lang w:val="en-US"/>
        </w:rPr>
      </w:pPr>
      <w:r w:rsidRPr="00757649">
        <w:rPr>
          <w:lang w:val="en-US"/>
        </w:rPr>
        <w:t xml:space="preserve">57007 - Computed tomography—scan of brain and chest with or without scans of upper abdomen with intravenous contrast medium and with any scans of brain and chest and upper abdomen before intravenous contrast injection, when performed, not including a study performed to exclude coronary artery calcification or image the coronary arteries </w:t>
      </w:r>
    </w:p>
    <w:p w14:paraId="0A585F0C" w14:textId="1FA42264" w:rsidR="00051843" w:rsidRPr="00BC0C43" w:rsidRDefault="00EA0AA0" w:rsidP="00BC0C43">
      <w:pPr>
        <w:pStyle w:val="Heading2"/>
      </w:pPr>
      <w:r>
        <w:t>P</w:t>
      </w:r>
      <w:r w:rsidR="00051843">
        <w:t>rovide details to fund the prerequisite tests:</w:t>
      </w:r>
    </w:p>
    <w:p w14:paraId="58FB847B" w14:textId="40E33507" w:rsidR="00D32DD1" w:rsidRPr="00582377" w:rsidRDefault="00051843" w:rsidP="00BC0C43">
      <w:pPr>
        <w:rPr>
          <w:rFonts w:asciiTheme="minorHAnsi" w:eastAsia="Segoe UI" w:hAnsiTheme="minorHAnsi" w:cstheme="minorHAnsi"/>
          <w:color w:val="000000"/>
        </w:rPr>
      </w:pPr>
      <w:r>
        <w:fldChar w:fldCharType="begin">
          <w:ffData>
            <w:name w:val=""/>
            <w:enabled/>
            <w:calcOnExit w:val="0"/>
            <w:textInput>
              <w:default w:val="Provide a response if you answered 'No' to the question above"/>
            </w:textInput>
          </w:ffData>
        </w:fldChar>
      </w:r>
      <w:r>
        <w:instrText xml:space="preserve"> FORMTEXT </w:instrText>
      </w:r>
      <w:r>
        <w:fldChar w:fldCharType="separate"/>
      </w:r>
      <w:r w:rsidR="00010AAA">
        <w:rPr>
          <w:noProof/>
        </w:rPr>
        <w:t>Provide a response if you answered 'No' to the question above</w:t>
      </w:r>
      <w:r>
        <w:fldChar w:fldCharType="end"/>
      </w:r>
    </w:p>
    <w:p w14:paraId="730114B1" w14:textId="17224D17" w:rsidR="00280050" w:rsidRPr="00EA0AA0" w:rsidRDefault="00051843" w:rsidP="00EA0AA0">
      <w:pPr>
        <w:pStyle w:val="Heading1"/>
      </w:pPr>
      <w:r w:rsidRPr="00EA0AA0">
        <w:t>Intervention</w:t>
      </w:r>
    </w:p>
    <w:p w14:paraId="4EE4D8C5" w14:textId="72F78505" w:rsidR="00665487" w:rsidRPr="00BC0C43" w:rsidRDefault="00665487" w:rsidP="00BC0C43">
      <w:pPr>
        <w:pStyle w:val="Heading2"/>
      </w:pPr>
      <w:r w:rsidRPr="00BC0C43">
        <w:t>Name of the proposed health technology:</w:t>
      </w:r>
    </w:p>
    <w:p w14:paraId="661E51AD" w14:textId="2E035ED8" w:rsidR="00BE6B22" w:rsidRDefault="00B030E9" w:rsidP="00BC0C43">
      <w:r>
        <w:t>Implantation of an a</w:t>
      </w:r>
      <w:r w:rsidR="008E77FE" w:rsidRPr="003E4892">
        <w:t xml:space="preserve">ctive </w:t>
      </w:r>
      <w:r w:rsidR="001768C3">
        <w:t>m</w:t>
      </w:r>
      <w:r w:rsidR="00245092" w:rsidRPr="003E4892">
        <w:t>iddle</w:t>
      </w:r>
      <w:r w:rsidR="009028FE">
        <w:t xml:space="preserve"> </w:t>
      </w:r>
      <w:r w:rsidR="00245092" w:rsidRPr="003E4892">
        <w:t>ear implant</w:t>
      </w:r>
      <w:r>
        <w:t xml:space="preserve"> via </w:t>
      </w:r>
      <w:proofErr w:type="spellStart"/>
      <w:r>
        <w:t>Vibroplasty</w:t>
      </w:r>
      <w:proofErr w:type="spellEnd"/>
    </w:p>
    <w:p w14:paraId="61D4A875" w14:textId="334BDEA3" w:rsidR="00BE6B22" w:rsidRPr="00BC0C43" w:rsidRDefault="00665487" w:rsidP="00BC0C43">
      <w:pPr>
        <w:pStyle w:val="Heading2"/>
      </w:pPr>
      <w:r w:rsidRPr="00B15CDF">
        <w:t>Describe the key components and clinical steps involved in delivering the proposed health technology</w:t>
      </w:r>
      <w:r w:rsidR="00BE6B22">
        <w:t>:</w:t>
      </w:r>
    </w:p>
    <w:p w14:paraId="0617715E" w14:textId="525A3F36" w:rsidR="00DD1AC2" w:rsidRDefault="00DD1AC2" w:rsidP="002948A1">
      <w:r>
        <w:t xml:space="preserve">Active middle ear implants have been developed in the 1990s. Since then, </w:t>
      </w:r>
      <w:r w:rsidR="000D409A">
        <w:t>most</w:t>
      </w:r>
      <w:r>
        <w:t xml:space="preserve"> competitor device</w:t>
      </w:r>
      <w:r w:rsidR="000D409A">
        <w:t>s</w:t>
      </w:r>
      <w:r>
        <w:t xml:space="preserve"> </w:t>
      </w:r>
      <w:r w:rsidR="004113D5">
        <w:t>were</w:t>
      </w:r>
      <w:r>
        <w:t xml:space="preserve"> </w:t>
      </w:r>
      <w:r w:rsidR="000D409A">
        <w:t>retrieved</w:t>
      </w:r>
      <w:r>
        <w:t xml:space="preserve"> from the market. Currently, only the VIBRANT SOUNDBRIDGE is available in Australia.</w:t>
      </w:r>
    </w:p>
    <w:p w14:paraId="7BD38374" w14:textId="6B37E40A" w:rsidR="002948A1" w:rsidRPr="00967069" w:rsidRDefault="002948A1" w:rsidP="002948A1">
      <w:r w:rsidRPr="004569ED">
        <w:t xml:space="preserve">The </w:t>
      </w:r>
      <w:r w:rsidR="009028FE">
        <w:t xml:space="preserve">VIBRANT SOUNDBRIDGE </w:t>
      </w:r>
      <w:r w:rsidRPr="004569ED">
        <w:t>system consists of two major components:</w:t>
      </w:r>
    </w:p>
    <w:p w14:paraId="7C66FA9D" w14:textId="4A51915F" w:rsidR="002948A1" w:rsidRDefault="002948A1" w:rsidP="00F36ADD">
      <w:pPr>
        <w:pStyle w:val="ListParagraph"/>
        <w:numPr>
          <w:ilvl w:val="0"/>
          <w:numId w:val="2"/>
        </w:numPr>
        <w:ind w:left="284" w:firstLine="1"/>
      </w:pPr>
      <w:r w:rsidRPr="004569ED">
        <w:t xml:space="preserve">The implant, called Vibrating Ossicular Prosthesis </w:t>
      </w:r>
      <w:r>
        <w:t>(</w:t>
      </w:r>
      <w:r w:rsidRPr="004569ED">
        <w:t>VORP</w:t>
      </w:r>
      <w:r w:rsidR="00F36ADD">
        <w:t xml:space="preserve"> 503</w:t>
      </w:r>
      <w:r>
        <w:t>)</w:t>
      </w:r>
    </w:p>
    <w:p w14:paraId="2BB5EFB9" w14:textId="11DFF654" w:rsidR="002948A1" w:rsidRDefault="00F36ADD" w:rsidP="00F36ADD">
      <w:pPr>
        <w:pStyle w:val="ListParagraph"/>
        <w:ind w:left="284" w:firstLine="1"/>
        <w:rPr>
          <w:lang w:val="en-GB"/>
        </w:rPr>
      </w:pPr>
      <w:r w:rsidRPr="00F36ADD">
        <w:rPr>
          <w:lang w:val="en-GB"/>
        </w:rPr>
        <w:t xml:space="preserve">The VORP 503 </w:t>
      </w:r>
      <w:r w:rsidRPr="00E91AFF">
        <w:rPr>
          <w:lang w:val="en-GB"/>
        </w:rPr>
        <w:t>(</w:t>
      </w:r>
      <w:r w:rsidR="004113D5">
        <w:rPr>
          <w:lang w:val="en-GB"/>
        </w:rPr>
        <w:fldChar w:fldCharType="begin"/>
      </w:r>
      <w:r w:rsidR="004113D5">
        <w:rPr>
          <w:lang w:val="en-GB"/>
        </w:rPr>
        <w:instrText xml:space="preserve"> REF _Ref181798991 \h </w:instrText>
      </w:r>
      <w:r w:rsidR="004113D5">
        <w:rPr>
          <w:lang w:val="en-GB"/>
        </w:rPr>
      </w:r>
      <w:r w:rsidR="004113D5">
        <w:rPr>
          <w:lang w:val="en-GB"/>
        </w:rPr>
        <w:fldChar w:fldCharType="separate"/>
      </w:r>
      <w:r w:rsidR="00202D32">
        <w:t xml:space="preserve">Figure </w:t>
      </w:r>
      <w:r w:rsidR="00202D32">
        <w:rPr>
          <w:noProof/>
        </w:rPr>
        <w:t>1</w:t>
      </w:r>
      <w:r w:rsidR="004113D5">
        <w:rPr>
          <w:lang w:val="en-GB"/>
        </w:rPr>
        <w:fldChar w:fldCharType="end"/>
      </w:r>
      <w:r w:rsidRPr="00F36ADD">
        <w:rPr>
          <w:lang w:val="en-GB"/>
        </w:rPr>
        <w:t xml:space="preserve">) consists of the Floating Mass Transducer (FMT), a conductor link, the electronics (demodulator), fixation wings and a magnet surrounded by a receiver coil. </w:t>
      </w:r>
      <w:r>
        <w:rPr>
          <w:lang w:val="en-GB"/>
        </w:rPr>
        <w:t xml:space="preserve">The FMT is </w:t>
      </w:r>
      <w:r w:rsidR="004113D5">
        <w:rPr>
          <w:lang w:val="en-GB"/>
        </w:rPr>
        <w:t>coupled</w:t>
      </w:r>
      <w:r w:rsidRPr="002948A1">
        <w:rPr>
          <w:lang w:val="en-GB"/>
        </w:rPr>
        <w:t xml:space="preserve"> </w:t>
      </w:r>
      <w:r w:rsidR="007E2274">
        <w:rPr>
          <w:lang w:val="en-GB"/>
        </w:rPr>
        <w:t>to</w:t>
      </w:r>
      <w:r w:rsidRPr="002948A1">
        <w:rPr>
          <w:lang w:val="en-GB"/>
        </w:rPr>
        <w:t xml:space="preserve"> </w:t>
      </w:r>
      <w:r w:rsidR="006732A0">
        <w:rPr>
          <w:lang w:val="en-GB"/>
        </w:rPr>
        <w:t>one of several</w:t>
      </w:r>
      <w:r w:rsidRPr="002948A1">
        <w:rPr>
          <w:lang w:val="en-GB"/>
        </w:rPr>
        <w:t xml:space="preserve"> vibratory structure</w:t>
      </w:r>
      <w:r w:rsidR="00FD1E23">
        <w:rPr>
          <w:lang w:val="en-GB"/>
        </w:rPr>
        <w:t>s</w:t>
      </w:r>
      <w:r w:rsidRPr="002948A1">
        <w:rPr>
          <w:lang w:val="en-GB"/>
        </w:rPr>
        <w:t xml:space="preserve"> of the middle ear</w:t>
      </w:r>
      <w:r>
        <w:rPr>
          <w:lang w:val="en-GB"/>
        </w:rPr>
        <w:t xml:space="preserve"> (single-point fixation) in a procedure named </w:t>
      </w:r>
      <w:proofErr w:type="spellStart"/>
      <w:r>
        <w:rPr>
          <w:lang w:val="en-GB"/>
        </w:rPr>
        <w:t>Vibroplasty</w:t>
      </w:r>
      <w:proofErr w:type="spellEnd"/>
      <w:r>
        <w:rPr>
          <w:lang w:val="en-GB"/>
        </w:rPr>
        <w:t>. D</w:t>
      </w:r>
      <w:r w:rsidR="002948A1" w:rsidRPr="002948A1">
        <w:rPr>
          <w:lang w:val="en-GB"/>
        </w:rPr>
        <w:t xml:space="preserve">ifferent </w:t>
      </w:r>
      <w:proofErr w:type="spellStart"/>
      <w:r w:rsidR="00993EE6">
        <w:rPr>
          <w:lang w:val="en-GB"/>
        </w:rPr>
        <w:t>v</w:t>
      </w:r>
      <w:r w:rsidR="00993EE6" w:rsidRPr="002948A1">
        <w:rPr>
          <w:lang w:val="en-GB"/>
        </w:rPr>
        <w:t>ibroplasty</w:t>
      </w:r>
      <w:proofErr w:type="spellEnd"/>
      <w:r w:rsidR="00993EE6" w:rsidRPr="002948A1">
        <w:rPr>
          <w:lang w:val="en-GB"/>
        </w:rPr>
        <w:t xml:space="preserve"> </w:t>
      </w:r>
      <w:r w:rsidR="002948A1" w:rsidRPr="002948A1">
        <w:rPr>
          <w:lang w:val="en-GB"/>
        </w:rPr>
        <w:t xml:space="preserve">couplers can be used to affix the FMT to </w:t>
      </w:r>
      <w:r w:rsidR="00883E17">
        <w:rPr>
          <w:lang w:val="en-GB"/>
        </w:rPr>
        <w:t>different</w:t>
      </w:r>
      <w:r w:rsidR="002948A1" w:rsidRPr="002948A1">
        <w:rPr>
          <w:lang w:val="en-GB"/>
        </w:rPr>
        <w:t xml:space="preserve"> middle ear structure</w:t>
      </w:r>
      <w:r w:rsidR="00883E17">
        <w:rPr>
          <w:lang w:val="en-GB"/>
        </w:rPr>
        <w:t>s</w:t>
      </w:r>
      <w:r w:rsidR="002948A1" w:rsidRPr="002948A1">
        <w:rPr>
          <w:lang w:val="en-GB"/>
        </w:rPr>
        <w:t xml:space="preserve">. The middle ear is accessed either via a posterior </w:t>
      </w:r>
      <w:proofErr w:type="spellStart"/>
      <w:r w:rsidR="002948A1" w:rsidRPr="002948A1">
        <w:rPr>
          <w:lang w:val="en-GB"/>
        </w:rPr>
        <w:t>epitympanotomy</w:t>
      </w:r>
      <w:proofErr w:type="spellEnd"/>
      <w:r w:rsidR="002948A1" w:rsidRPr="002948A1">
        <w:rPr>
          <w:lang w:val="en-GB"/>
        </w:rPr>
        <w:t xml:space="preserve"> (also called </w:t>
      </w:r>
      <w:proofErr w:type="spellStart"/>
      <w:r w:rsidR="002948A1" w:rsidRPr="002948A1">
        <w:rPr>
          <w:lang w:val="en-GB"/>
        </w:rPr>
        <w:t>attico-antrotomy</w:t>
      </w:r>
      <w:proofErr w:type="spellEnd"/>
      <w:r w:rsidR="002948A1" w:rsidRPr="002948A1">
        <w:rPr>
          <w:lang w:val="en-GB"/>
        </w:rPr>
        <w:t>) or via the facial recess route (mastoidectomy and posterior tympanotomy).</w:t>
      </w:r>
    </w:p>
    <w:p w14:paraId="6F859316" w14:textId="77777777" w:rsidR="002948A1" w:rsidRDefault="002948A1" w:rsidP="00F36ADD">
      <w:pPr>
        <w:pStyle w:val="ListParagraph"/>
        <w:ind w:left="284" w:firstLine="1"/>
        <w:rPr>
          <w:lang w:val="en-GB"/>
        </w:rPr>
      </w:pPr>
    </w:p>
    <w:p w14:paraId="15A95472" w14:textId="2205C726" w:rsidR="002948A1" w:rsidRDefault="002948A1" w:rsidP="003517EF">
      <w:pPr>
        <w:pStyle w:val="ListParagraph"/>
        <w:numPr>
          <w:ilvl w:val="0"/>
          <w:numId w:val="2"/>
        </w:numPr>
        <w:spacing w:after="0"/>
        <w:ind w:left="284" w:firstLine="1"/>
      </w:pPr>
      <w:r w:rsidRPr="004569ED">
        <w:t>The external audio processor</w:t>
      </w:r>
      <w:r>
        <w:t xml:space="preserve"> (AP)</w:t>
      </w:r>
    </w:p>
    <w:p w14:paraId="12990DA4" w14:textId="21D55461" w:rsidR="002948A1" w:rsidRDefault="002948A1" w:rsidP="00195439">
      <w:pPr>
        <w:ind w:left="284"/>
        <w:rPr>
          <w:rFonts w:cs="SignaPro-Light"/>
          <w:szCs w:val="20"/>
        </w:rPr>
      </w:pPr>
      <w:r w:rsidRPr="004569ED">
        <w:rPr>
          <w:rFonts w:cs="SignaPro-Light"/>
          <w:szCs w:val="20"/>
        </w:rPr>
        <w:lastRenderedPageBreak/>
        <w:t xml:space="preserve">The system is operated via the externally worn audio </w:t>
      </w:r>
      <w:r w:rsidRPr="00E91AFF">
        <w:rPr>
          <w:rFonts w:cs="SignaPro-Light"/>
          <w:szCs w:val="20"/>
        </w:rPr>
        <w:t>processor</w:t>
      </w:r>
      <w:r w:rsidR="00883E17" w:rsidRPr="00E91AFF">
        <w:rPr>
          <w:rFonts w:cs="SignaPro-Light"/>
          <w:szCs w:val="20"/>
        </w:rPr>
        <w:t xml:space="preserve"> </w:t>
      </w:r>
      <w:r w:rsidR="00883E17" w:rsidRPr="00E91AFF">
        <w:rPr>
          <w:lang w:val="en-GB"/>
        </w:rPr>
        <w:t>(</w:t>
      </w:r>
      <w:r w:rsidR="004113D5">
        <w:rPr>
          <w:lang w:val="en-GB"/>
        </w:rPr>
        <w:fldChar w:fldCharType="begin"/>
      </w:r>
      <w:r w:rsidR="004113D5">
        <w:rPr>
          <w:lang w:val="en-GB"/>
        </w:rPr>
        <w:instrText xml:space="preserve"> REF _Ref181798991 \h </w:instrText>
      </w:r>
      <w:r w:rsidR="004113D5">
        <w:rPr>
          <w:lang w:val="en-GB"/>
        </w:rPr>
      </w:r>
      <w:r w:rsidR="004113D5">
        <w:rPr>
          <w:lang w:val="en-GB"/>
        </w:rPr>
        <w:fldChar w:fldCharType="separate"/>
      </w:r>
      <w:r w:rsidR="00202D32">
        <w:t xml:space="preserve">Figure </w:t>
      </w:r>
      <w:r w:rsidR="00202D32">
        <w:rPr>
          <w:noProof/>
        </w:rPr>
        <w:t>1</w:t>
      </w:r>
      <w:r w:rsidR="004113D5">
        <w:rPr>
          <w:lang w:val="en-GB"/>
        </w:rPr>
        <w:fldChar w:fldCharType="end"/>
      </w:r>
      <w:r w:rsidR="00883E17" w:rsidRPr="00E91AFF">
        <w:rPr>
          <w:lang w:val="en-GB"/>
        </w:rPr>
        <w:t>)</w:t>
      </w:r>
      <w:r w:rsidRPr="00E91AFF">
        <w:rPr>
          <w:rFonts w:cs="SignaPro-Light"/>
          <w:szCs w:val="20"/>
        </w:rPr>
        <w:t>. The</w:t>
      </w:r>
      <w:r w:rsidRPr="004569ED">
        <w:rPr>
          <w:rFonts w:cs="SignaPro-Light"/>
          <w:szCs w:val="20"/>
        </w:rPr>
        <w:t xml:space="preserve"> </w:t>
      </w:r>
      <w:r w:rsidR="00337250">
        <w:rPr>
          <w:rFonts w:cs="SignaPro-Light"/>
          <w:szCs w:val="20"/>
        </w:rPr>
        <w:t xml:space="preserve">SAMBA 2 </w:t>
      </w:r>
      <w:r>
        <w:rPr>
          <w:rFonts w:cs="SignaPro-Light"/>
          <w:szCs w:val="20"/>
        </w:rPr>
        <w:t>AP</w:t>
      </w:r>
      <w:r w:rsidRPr="004569ED">
        <w:rPr>
          <w:rFonts w:cs="SignaPro-Light"/>
          <w:szCs w:val="20"/>
        </w:rPr>
        <w:t xml:space="preserve"> contains a microphone, processing electronics, a battery, and an exchangeable magnet. It is held to the patient’s head via magnetic attraction to the implant magnet. The implant is activated when placing the external </w:t>
      </w:r>
      <w:r>
        <w:rPr>
          <w:rFonts w:cs="SignaPro-Light"/>
          <w:szCs w:val="20"/>
        </w:rPr>
        <w:t>AP</w:t>
      </w:r>
      <w:r w:rsidRPr="004569ED">
        <w:rPr>
          <w:rFonts w:cs="SignaPro-Light"/>
          <w:szCs w:val="20"/>
        </w:rPr>
        <w:t xml:space="preserve"> on the patient’s head over the receiver coil. The </w:t>
      </w:r>
      <w:r>
        <w:rPr>
          <w:rFonts w:cs="SignaPro-Light"/>
          <w:szCs w:val="20"/>
        </w:rPr>
        <w:t>AP</w:t>
      </w:r>
      <w:r w:rsidRPr="004569ED">
        <w:rPr>
          <w:rFonts w:cs="SignaPro-Light"/>
          <w:szCs w:val="20"/>
        </w:rPr>
        <w:t xml:space="preserve"> is adjusted by an audiologist, or other trained </w:t>
      </w:r>
      <w:r w:rsidR="00E91AFF">
        <w:rPr>
          <w:rFonts w:cs="SignaPro-Light"/>
          <w:szCs w:val="20"/>
        </w:rPr>
        <w:t>healthcare professional</w:t>
      </w:r>
      <w:r w:rsidRPr="004569ED">
        <w:rPr>
          <w:rFonts w:cs="SignaPro-Light"/>
          <w:szCs w:val="20"/>
        </w:rPr>
        <w:t>, so that its output properly drives the FMT.</w:t>
      </w:r>
    </w:p>
    <w:p w14:paraId="15B91442" w14:textId="77777777" w:rsidR="008B0DEB" w:rsidRDefault="008B0DEB" w:rsidP="002948A1">
      <w:pPr>
        <w:rPr>
          <w:rFonts w:cs="SignaPro-Light"/>
          <w:szCs w:val="20"/>
        </w:rPr>
      </w:pPr>
    </w:p>
    <w:p w14:paraId="47643EE4" w14:textId="77777777" w:rsidR="008B0DEB" w:rsidRDefault="008B0DEB" w:rsidP="003E4892">
      <w:pPr>
        <w:keepNext/>
        <w:jc w:val="center"/>
      </w:pPr>
      <w:r>
        <w:rPr>
          <w:noProof/>
          <w:szCs w:val="20"/>
        </w:rPr>
        <w:drawing>
          <wp:inline distT="0" distB="0" distL="0" distR="0" wp14:anchorId="549F2D22" wp14:editId="2B868BC5">
            <wp:extent cx="4470400" cy="3777673"/>
            <wp:effectExtent l="0" t="0" r="6350" b="0"/>
            <wp:docPr id="659330246" name="Picture 1" descr="Figure 1: Rendering of the VIBRANT SOUNDBRIDGE system, including VORP 503 implant, SAMBA 2 audio processor and five different Vibroplasty couplers. The inlet shows an enlarged view of the floating mass transducer (F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30246" name="Picture 1" descr="Figure 1: Rendering of the VIBRANT SOUNDBRIDGE system, including VORP 503 implant, SAMBA 2 audio processor and five different Vibroplasty couplers. The inlet shows an enlarged view of the floating mass transducer (FMT)."/>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4470858" cy="3778060"/>
                    </a:xfrm>
                    <a:prstGeom prst="rect">
                      <a:avLst/>
                    </a:prstGeom>
                    <a:ln>
                      <a:noFill/>
                    </a:ln>
                    <a:extLst>
                      <a:ext uri="{53640926-AAD7-44D8-BBD7-CCE9431645EC}">
                        <a14:shadowObscured xmlns:a14="http://schemas.microsoft.com/office/drawing/2010/main"/>
                      </a:ext>
                    </a:extLst>
                  </pic:spPr>
                </pic:pic>
              </a:graphicData>
            </a:graphic>
          </wp:inline>
        </w:drawing>
      </w:r>
    </w:p>
    <w:p w14:paraId="333DBEF1" w14:textId="6560974A" w:rsidR="008B0DEB" w:rsidRPr="004569ED" w:rsidRDefault="008B0DEB" w:rsidP="004113D5">
      <w:pPr>
        <w:pStyle w:val="Caption"/>
        <w:rPr>
          <w:szCs w:val="20"/>
        </w:rPr>
      </w:pPr>
      <w:bookmarkStart w:id="0" w:name="_Ref181798991"/>
      <w:r>
        <w:t xml:space="preserve">Figure </w:t>
      </w:r>
      <w:r>
        <w:fldChar w:fldCharType="begin"/>
      </w:r>
      <w:r>
        <w:instrText xml:space="preserve"> SEQ Figure \* ARABIC </w:instrText>
      </w:r>
      <w:r>
        <w:fldChar w:fldCharType="separate"/>
      </w:r>
      <w:r w:rsidR="00202D32">
        <w:rPr>
          <w:noProof/>
        </w:rPr>
        <w:t>1</w:t>
      </w:r>
      <w:r>
        <w:rPr>
          <w:noProof/>
        </w:rPr>
        <w:fldChar w:fldCharType="end"/>
      </w:r>
      <w:bookmarkEnd w:id="0"/>
      <w:r w:rsidR="004113D5">
        <w:t>:</w:t>
      </w:r>
      <w:r>
        <w:t xml:space="preserve"> Rendering of the VIBRANT SOUNDBRIDGE</w:t>
      </w:r>
      <w:r w:rsidR="00B030E9">
        <w:t xml:space="preserve"> </w:t>
      </w:r>
      <w:r>
        <w:t>system, including VORP</w:t>
      </w:r>
      <w:r w:rsidR="00993EE6">
        <w:t xml:space="preserve"> </w:t>
      </w:r>
      <w:r>
        <w:t xml:space="preserve">503 implant, </w:t>
      </w:r>
      <w:r w:rsidR="00993EE6">
        <w:t xml:space="preserve">SAMBA </w:t>
      </w:r>
      <w:r>
        <w:t xml:space="preserve">2 audio processor and </w:t>
      </w:r>
      <w:r>
        <w:rPr>
          <w:noProof/>
        </w:rPr>
        <w:t xml:space="preserve">five different </w:t>
      </w:r>
      <w:r w:rsidR="004113D5">
        <w:rPr>
          <w:noProof/>
        </w:rPr>
        <w:t xml:space="preserve">Vibroplasty </w:t>
      </w:r>
      <w:r>
        <w:rPr>
          <w:noProof/>
        </w:rPr>
        <w:t>couplers. The inlet shows an enlarged view of the floating mass transducer (FMT).</w:t>
      </w:r>
    </w:p>
    <w:p w14:paraId="496F861E" w14:textId="6A84304D" w:rsidR="00BE6B22" w:rsidRPr="00BC0C43" w:rsidRDefault="00665487" w:rsidP="00BC0C43">
      <w:pPr>
        <w:pStyle w:val="Heading2"/>
      </w:pPr>
      <w:r w:rsidRPr="00BC0C43">
        <w:rPr>
          <w:rStyle w:val="Heading2Char"/>
          <w:b/>
          <w:bCs/>
        </w:rPr>
        <w:t>Identify how the proposed technology achieves the intended patient outcomes</w:t>
      </w:r>
      <w:r w:rsidR="00BE6B22" w:rsidRPr="00BC0C43">
        <w:t>:</w:t>
      </w:r>
    </w:p>
    <w:p w14:paraId="6AB9F8B4" w14:textId="40BB5044" w:rsidR="003D15B9" w:rsidRDefault="00095047" w:rsidP="00BC0C43">
      <w:r>
        <w:t>T</w:t>
      </w:r>
      <w:r w:rsidR="0020108A">
        <w:t xml:space="preserve">he </w:t>
      </w:r>
      <w:r>
        <w:t xml:space="preserve">dual microphones of the </w:t>
      </w:r>
      <w:r w:rsidR="00993EE6">
        <w:t xml:space="preserve">SAMBA </w:t>
      </w:r>
      <w:r>
        <w:t xml:space="preserve">2 </w:t>
      </w:r>
      <w:r w:rsidR="0020108A">
        <w:t>audio processor</w:t>
      </w:r>
      <w:r>
        <w:t xml:space="preserve"> pick up sounds like speech or environmental noise.</w:t>
      </w:r>
      <w:r w:rsidR="003D15B9">
        <w:t xml:space="preserve"> </w:t>
      </w:r>
      <w:r w:rsidR="00980506">
        <w:t xml:space="preserve">At this point the </w:t>
      </w:r>
      <w:r w:rsidR="00993EE6">
        <w:t>SAMBA</w:t>
      </w:r>
      <w:r w:rsidR="00980506">
        <w:t xml:space="preserve"> 2 uses</w:t>
      </w:r>
      <w:r w:rsidR="003D15B9">
        <w:t xml:space="preserve"> directional speech enhancement, speech and noi</w:t>
      </w:r>
      <w:r w:rsidR="00980506">
        <w:t>s</w:t>
      </w:r>
      <w:r w:rsidR="003D15B9">
        <w:t>e management and wind-noise reduction</w:t>
      </w:r>
      <w:r w:rsidR="00980506">
        <w:t xml:space="preserve"> to optimize the patient’s hearing experience.</w:t>
      </w:r>
      <w:r w:rsidR="0020108A">
        <w:t xml:space="preserve"> </w:t>
      </w:r>
      <w:r>
        <w:t xml:space="preserve">The implant receives this information </w:t>
      </w:r>
      <w:r w:rsidR="008072CE">
        <w:t xml:space="preserve">via near-field magnetic induction technology </w:t>
      </w:r>
      <w:r>
        <w:t>and translates it to mechanical vibration</w:t>
      </w:r>
      <w:r w:rsidR="000D409A">
        <w:t>s</w:t>
      </w:r>
      <w:r>
        <w:t xml:space="preserve">, which </w:t>
      </w:r>
      <w:r w:rsidR="000D409A">
        <w:t>are</w:t>
      </w:r>
      <w:r>
        <w:t xml:space="preserve"> then transduced to the cochlea by the FMT. </w:t>
      </w:r>
      <w:r w:rsidR="008072CE">
        <w:t xml:space="preserve">The </w:t>
      </w:r>
      <w:r w:rsidR="00993EE6">
        <w:t xml:space="preserve">VIBRANT SOUNDBRIDGE </w:t>
      </w:r>
      <w:r w:rsidR="008072CE">
        <w:t xml:space="preserve">system thus restores the natural hearing pathway. </w:t>
      </w:r>
      <w:r w:rsidR="00980506">
        <w:t xml:space="preserve">A </w:t>
      </w:r>
      <w:r w:rsidR="008072CE">
        <w:t xml:space="preserve">set of </w:t>
      </w:r>
      <w:r w:rsidR="00980506">
        <w:t xml:space="preserve">available </w:t>
      </w:r>
      <w:proofErr w:type="spellStart"/>
      <w:r w:rsidR="000D409A">
        <w:t>vibroplasty</w:t>
      </w:r>
      <w:proofErr w:type="spellEnd"/>
      <w:r w:rsidR="000D409A">
        <w:t xml:space="preserve"> </w:t>
      </w:r>
      <w:r w:rsidR="008072CE">
        <w:t xml:space="preserve">couplers allow for a precise </w:t>
      </w:r>
      <w:r w:rsidR="003D15B9">
        <w:t xml:space="preserve">and long-term stable </w:t>
      </w:r>
      <w:r w:rsidR="008072CE">
        <w:t xml:space="preserve">coupling of the FMT to one of several target structures along the ossicular chain, including the round window membrane. This flexibility helps surgeons find the ideal coupling strategy for each single patient. </w:t>
      </w:r>
    </w:p>
    <w:p w14:paraId="7A390885" w14:textId="52D0AF00" w:rsidR="00A74C8C" w:rsidRDefault="0006727D" w:rsidP="00BC0C43">
      <w:r w:rsidRPr="00A74C8C">
        <w:t>Compared to surgical therapy with passive middle ear implants (</w:t>
      </w:r>
      <w:proofErr w:type="spellStart"/>
      <w:r w:rsidRPr="00A74C8C">
        <w:t>pMEIs</w:t>
      </w:r>
      <w:proofErr w:type="spellEnd"/>
      <w:r w:rsidRPr="00A74C8C">
        <w:t xml:space="preserve">), </w:t>
      </w:r>
      <w:proofErr w:type="spellStart"/>
      <w:r w:rsidRPr="00A74C8C">
        <w:t>aMEIs</w:t>
      </w:r>
      <w:proofErr w:type="spellEnd"/>
      <w:r w:rsidRPr="00A74C8C">
        <w:t xml:space="preserve"> provide signal amplification and are therefore much more effective in hearing restoration. Because the FMT is located close to the target cochlea, there is no risk of cross stimulating the contralateral cochlea. This is a huge advantage over BCIs, which cannot selectively stimulate one single cochlea. Selective stimulation is, however, crucial for true binaural hearing.</w:t>
      </w:r>
    </w:p>
    <w:p w14:paraId="0F9D3230" w14:textId="4E02B21F" w:rsidR="00BE6B22" w:rsidRPr="00665487" w:rsidRDefault="00665487" w:rsidP="00BC0C43">
      <w:pPr>
        <w:pStyle w:val="Heading2"/>
      </w:pPr>
      <w:r w:rsidRPr="00BC0C43">
        <w:lastRenderedPageBreak/>
        <w:t>Does the proposed health</w:t>
      </w:r>
      <w:r w:rsidRPr="00B15CDF">
        <w:t xml:space="preserve"> technology include a registered trademark component with characteristics that distinguishes it from other similar health components</w:t>
      </w:r>
      <w:r w:rsidR="00BE6B22">
        <w:t xml:space="preserve">? </w:t>
      </w:r>
    </w:p>
    <w:p w14:paraId="705ED1D3" w14:textId="77777777" w:rsidR="0020108A" w:rsidRDefault="004219EC" w:rsidP="00BC0C43">
      <w:r>
        <w:t>Yes</w:t>
      </w:r>
      <w:r w:rsidR="0020108A">
        <w:t xml:space="preserve">. </w:t>
      </w:r>
    </w:p>
    <w:p w14:paraId="56B7A252" w14:textId="77777777" w:rsidR="00EA07E4" w:rsidRDefault="00EA07E4" w:rsidP="00BC0C43"/>
    <w:p w14:paraId="6FE677F6" w14:textId="53A28694" w:rsidR="00B759D1" w:rsidRPr="00BC0C43" w:rsidRDefault="00665487" w:rsidP="00BC0C43">
      <w:pPr>
        <w:pStyle w:val="Heading2"/>
      </w:pPr>
      <w:r w:rsidRPr="00B15CDF">
        <w:t>Explain whether it is essential to have this trademark component or whether there would be other components that would be suitable</w:t>
      </w:r>
      <w:r w:rsidR="00B759D1">
        <w:t>:</w:t>
      </w:r>
    </w:p>
    <w:p w14:paraId="2D4411B7" w14:textId="62368BF0" w:rsidR="00B759D1" w:rsidRDefault="00B16436" w:rsidP="00BC0C43">
      <w:r>
        <w:t xml:space="preserve">The VIBRANT SOUNDBRIDGE trademark is the only active middle ear implant </w:t>
      </w:r>
      <w:r w:rsidR="004113D5">
        <w:t xml:space="preserve">available </w:t>
      </w:r>
      <w:r>
        <w:t xml:space="preserve">on the </w:t>
      </w:r>
      <w:r w:rsidR="004113D5">
        <w:t xml:space="preserve">Australian </w:t>
      </w:r>
      <w:r>
        <w:t>market.</w:t>
      </w:r>
    </w:p>
    <w:p w14:paraId="46AD8179" w14:textId="07B7F795" w:rsidR="00665487" w:rsidRDefault="00EA7B42" w:rsidP="00BC0C43">
      <w:pPr>
        <w:pStyle w:val="Heading2"/>
      </w:pPr>
      <w:r w:rsidRPr="00B15CDF">
        <w:t>Are there any proposed limitations on the provision of the proposed health technology delivered to the patient (For example: accessibility, dosage, quantity, duration or frequency)</w:t>
      </w:r>
      <w:r>
        <w:t>:</w:t>
      </w:r>
      <w:r w:rsidR="00665487">
        <w:t xml:space="preserve"> </w:t>
      </w:r>
    </w:p>
    <w:p w14:paraId="669B5F75" w14:textId="7AB8A1D7" w:rsidR="00665487" w:rsidRDefault="00B16436" w:rsidP="00BC0C43">
      <w:r>
        <w:t>No</w:t>
      </w:r>
      <w:r w:rsidR="00473BA9">
        <w:t>.</w:t>
      </w:r>
    </w:p>
    <w:p w14:paraId="207973FE" w14:textId="0108C50B" w:rsidR="00665487" w:rsidRPr="00BC0C43" w:rsidRDefault="00EA7B42" w:rsidP="00BC0C43">
      <w:pPr>
        <w:pStyle w:val="Heading2"/>
      </w:pPr>
      <w:r>
        <w:t>Provide details and explain</w:t>
      </w:r>
      <w:r w:rsidR="00665487">
        <w:t>:</w:t>
      </w:r>
    </w:p>
    <w:p w14:paraId="216EF476" w14:textId="74CFB524" w:rsidR="0020108A" w:rsidRPr="0020108A" w:rsidRDefault="005264C8" w:rsidP="00BC0C43">
      <w:r>
        <w:t>There are no such limitations, except to the maximum provision of two implants per patient if hearing restoration in both ears is indicated.</w:t>
      </w:r>
    </w:p>
    <w:p w14:paraId="2F90F356" w14:textId="56BF0008" w:rsidR="006227EF" w:rsidRPr="00BC0C43" w:rsidRDefault="006227EF" w:rsidP="00BC0C43">
      <w:pPr>
        <w:pStyle w:val="Heading2"/>
      </w:pPr>
      <w:r>
        <w:t>If applicable, advise which health professionals will be needed to provide the proposed health technology:</w:t>
      </w:r>
    </w:p>
    <w:p w14:paraId="6BC4ECCB" w14:textId="3807CD4B" w:rsidR="006227EF" w:rsidRDefault="00B16436" w:rsidP="00BC0C43">
      <w:r>
        <w:t>Audiologist</w:t>
      </w:r>
    </w:p>
    <w:p w14:paraId="5C8F41DA" w14:textId="77777777" w:rsidR="00095BB0" w:rsidRPr="00BC0C43" w:rsidRDefault="00095BB0" w:rsidP="00095BB0">
      <w:pPr>
        <w:rPr>
          <w:rFonts w:asciiTheme="minorHAnsi" w:eastAsia="Segoe UI" w:hAnsiTheme="minorHAnsi" w:cstheme="minorHAnsi"/>
          <w:color w:val="000000"/>
        </w:rPr>
      </w:pPr>
      <w:r>
        <w:t>ENT surgeon</w:t>
      </w:r>
    </w:p>
    <w:p w14:paraId="38745C05" w14:textId="7226CDC1" w:rsidR="00B16436" w:rsidRDefault="00B16436" w:rsidP="00BC0C43">
      <w:r w:rsidRPr="00B030E9">
        <w:t>Radiologist</w:t>
      </w:r>
      <w:r w:rsidR="00B030E9">
        <w:t xml:space="preserve"> (recommended)</w:t>
      </w:r>
    </w:p>
    <w:p w14:paraId="46150CA8" w14:textId="2602760A" w:rsidR="006227EF" w:rsidRPr="00BC0C43" w:rsidRDefault="006227EF" w:rsidP="00BC0C43">
      <w:pPr>
        <w:pStyle w:val="Heading2"/>
      </w:pPr>
      <w:r w:rsidRPr="00BE0612">
        <w:t xml:space="preserve">If applicable, advise </w:t>
      </w:r>
      <w:r w:rsidR="00BE0612" w:rsidRPr="00BE0612">
        <w:t>whether delivery of the proposed health technology can be delegated to another</w:t>
      </w:r>
      <w:r w:rsidRPr="00BE0612">
        <w:t xml:space="preserve"> health professional:</w:t>
      </w:r>
    </w:p>
    <w:p w14:paraId="5A95FA3B" w14:textId="69A096A8" w:rsidR="00665487" w:rsidRPr="00BC0C43" w:rsidRDefault="005264C8" w:rsidP="00BC0C43">
      <w:pPr>
        <w:rPr>
          <w:rFonts w:asciiTheme="minorHAnsi" w:eastAsia="Segoe UI" w:hAnsiTheme="minorHAnsi" w:cstheme="minorHAnsi"/>
          <w:color w:val="000000"/>
        </w:rPr>
      </w:pPr>
      <w:r>
        <w:t>Not applicable</w:t>
      </w:r>
    </w:p>
    <w:p w14:paraId="414D5196" w14:textId="42D4776C" w:rsidR="006227EF" w:rsidRDefault="006227EF" w:rsidP="00BC0C43">
      <w:pPr>
        <w:pStyle w:val="Heading2"/>
      </w:pPr>
      <w:r w:rsidRPr="00BE0612">
        <w:t xml:space="preserve">If applicable, advise </w:t>
      </w:r>
      <w:r w:rsidR="00BE0612" w:rsidRPr="00BE0612">
        <w:t>if there are any limitations on which health professionals might provide a referral for</w:t>
      </w:r>
      <w:r w:rsidRPr="00BE0612">
        <w:t xml:space="preserve"> the proposed health technology:</w:t>
      </w:r>
    </w:p>
    <w:p w14:paraId="05D2C3E2" w14:textId="36D860EA" w:rsidR="005264C8" w:rsidRPr="00BC0C43" w:rsidRDefault="002725E5" w:rsidP="005264C8">
      <w:pPr>
        <w:rPr>
          <w:rFonts w:asciiTheme="minorHAnsi" w:eastAsia="Segoe UI" w:hAnsiTheme="minorHAnsi" w:cstheme="minorHAnsi"/>
          <w:color w:val="000000"/>
        </w:rPr>
      </w:pPr>
      <w:r>
        <w:t>ENT surgeon or Otologist</w:t>
      </w:r>
    </w:p>
    <w:p w14:paraId="30AC00A8" w14:textId="634D8B2C" w:rsidR="00380C41" w:rsidRDefault="00380C41" w:rsidP="00BC0C43">
      <w:pPr>
        <w:pStyle w:val="Heading2"/>
      </w:pPr>
      <w:r>
        <w:t xml:space="preserve">Is there specific training or qualifications required to provide or deliver the proposed service, and/or any accreditation requirements to support delivery of the health technology? </w:t>
      </w:r>
    </w:p>
    <w:p w14:paraId="4E1F9F81" w14:textId="5E493335" w:rsidR="00380C41" w:rsidRDefault="00B16436" w:rsidP="00BC0C43">
      <w:r w:rsidRPr="005264C8">
        <w:t>Yes</w:t>
      </w:r>
    </w:p>
    <w:p w14:paraId="0E842550" w14:textId="4EA98943" w:rsidR="00380C41" w:rsidRPr="00BC0C43" w:rsidRDefault="00380C41" w:rsidP="00BC0C43">
      <w:pPr>
        <w:pStyle w:val="Heading2"/>
      </w:pPr>
      <w:r>
        <w:t>Provide details and explain:</w:t>
      </w:r>
    </w:p>
    <w:p w14:paraId="556EC34B" w14:textId="488B0E1F" w:rsidR="00095BB0" w:rsidRPr="003E4892" w:rsidRDefault="00B16436" w:rsidP="00EA0AA0">
      <w:r>
        <w:t xml:space="preserve">No accreditation is required. </w:t>
      </w:r>
      <w:r w:rsidR="002725E5" w:rsidRPr="003E4892">
        <w:t>T</w:t>
      </w:r>
      <w:r w:rsidR="00095BB0" w:rsidRPr="003E4892">
        <w:t xml:space="preserve">he </w:t>
      </w:r>
      <w:r w:rsidR="00454249">
        <w:t xml:space="preserve">ENT </w:t>
      </w:r>
      <w:r w:rsidR="00095BB0" w:rsidRPr="003E4892">
        <w:t xml:space="preserve">surgeon </w:t>
      </w:r>
      <w:r w:rsidR="002725E5">
        <w:t xml:space="preserve">performing </w:t>
      </w:r>
      <w:proofErr w:type="spellStart"/>
      <w:r w:rsidR="002725E5">
        <w:t>Vibroplasty</w:t>
      </w:r>
      <w:proofErr w:type="spellEnd"/>
      <w:r w:rsidR="002725E5">
        <w:t xml:space="preserve"> </w:t>
      </w:r>
      <w:r w:rsidR="00095BB0" w:rsidRPr="003E4892">
        <w:t xml:space="preserve">needs to be a qualified </w:t>
      </w:r>
      <w:r w:rsidR="002725E5">
        <w:t>m</w:t>
      </w:r>
      <w:r w:rsidR="00095BB0" w:rsidRPr="003E4892">
        <w:t xml:space="preserve">edical </w:t>
      </w:r>
      <w:r w:rsidR="002725E5">
        <w:t>p</w:t>
      </w:r>
      <w:r w:rsidR="00095BB0" w:rsidRPr="003E4892">
        <w:t xml:space="preserve">ractitioner and </w:t>
      </w:r>
      <w:r w:rsidR="002725E5">
        <w:t>o</w:t>
      </w:r>
      <w:r w:rsidR="00095BB0" w:rsidRPr="003E4892">
        <w:t xml:space="preserve">tology </w:t>
      </w:r>
      <w:r w:rsidR="002725E5">
        <w:t>s</w:t>
      </w:r>
      <w:r w:rsidR="00095BB0" w:rsidRPr="003E4892">
        <w:t>pecialist</w:t>
      </w:r>
      <w:r w:rsidR="002725E5">
        <w:t>.</w:t>
      </w:r>
    </w:p>
    <w:p w14:paraId="2D70AAE5" w14:textId="07FB65EA" w:rsidR="00031E05" w:rsidRDefault="002725E5" w:rsidP="00EA0AA0">
      <w:r>
        <w:t>In a</w:t>
      </w:r>
      <w:r w:rsidR="009430AC">
        <w:t>ddition</w:t>
      </w:r>
      <w:r>
        <w:t>, t</w:t>
      </w:r>
      <w:r w:rsidR="00B16436">
        <w:t xml:space="preserve">he manufacturer offers </w:t>
      </w:r>
      <w:r>
        <w:t xml:space="preserve">the following </w:t>
      </w:r>
      <w:r w:rsidR="00B16436">
        <w:t>specialized training</w:t>
      </w:r>
      <w:r w:rsidR="009430AC">
        <w:t>s</w:t>
      </w:r>
      <w:r w:rsidR="00B16436">
        <w:t xml:space="preserve"> to professionals (audiologist and surgeons)</w:t>
      </w:r>
      <w:r w:rsidR="00031E05">
        <w:t xml:space="preserve">, </w:t>
      </w:r>
      <w:r>
        <w:t>but these are not mandatory:</w:t>
      </w:r>
    </w:p>
    <w:p w14:paraId="3FC57912" w14:textId="2EFBDE92" w:rsidR="00031E05" w:rsidRDefault="00031E05" w:rsidP="00031E05">
      <w:pPr>
        <w:numPr>
          <w:ilvl w:val="0"/>
          <w:numId w:val="3"/>
        </w:numPr>
        <w:rPr>
          <w:lang w:val="en-US"/>
        </w:rPr>
      </w:pPr>
      <w:r>
        <w:rPr>
          <w:lang w:val="en-US"/>
        </w:rPr>
        <w:t>S</w:t>
      </w:r>
      <w:r w:rsidRPr="00031E05">
        <w:rPr>
          <w:lang w:val="en-US"/>
        </w:rPr>
        <w:t>urgical training labs for surgeons.</w:t>
      </w:r>
    </w:p>
    <w:p w14:paraId="13973160" w14:textId="6D030689" w:rsidR="00031E05" w:rsidRPr="00031E05" w:rsidRDefault="00031E05" w:rsidP="00031E05">
      <w:pPr>
        <w:numPr>
          <w:ilvl w:val="0"/>
          <w:numId w:val="3"/>
        </w:numPr>
        <w:rPr>
          <w:lang w:val="en-US"/>
        </w:rPr>
      </w:pPr>
      <w:r w:rsidRPr="00031E05">
        <w:rPr>
          <w:lang w:val="en-US"/>
        </w:rPr>
        <w:t xml:space="preserve">Clinical/Product </w:t>
      </w:r>
      <w:r w:rsidR="00993EE6">
        <w:rPr>
          <w:lang w:val="en-US"/>
        </w:rPr>
        <w:t>e</w:t>
      </w:r>
      <w:r w:rsidR="00993EE6" w:rsidRPr="00031E05">
        <w:rPr>
          <w:lang w:val="en-US"/>
        </w:rPr>
        <w:t xml:space="preserve">xperts </w:t>
      </w:r>
      <w:r>
        <w:rPr>
          <w:lang w:val="en-US"/>
        </w:rPr>
        <w:t>may be requested</w:t>
      </w:r>
      <w:r w:rsidRPr="00031E05">
        <w:rPr>
          <w:lang w:val="en-US"/>
        </w:rPr>
        <w:t xml:space="preserve"> for personalized trainings (</w:t>
      </w:r>
      <w:r>
        <w:rPr>
          <w:lang w:val="en-US"/>
        </w:rPr>
        <w:t>if</w:t>
      </w:r>
      <w:r w:rsidRPr="00031E05">
        <w:rPr>
          <w:lang w:val="en-US"/>
        </w:rPr>
        <w:t xml:space="preserve"> required)</w:t>
      </w:r>
      <w:r>
        <w:rPr>
          <w:lang w:val="en-US"/>
        </w:rPr>
        <w:t>.</w:t>
      </w:r>
    </w:p>
    <w:p w14:paraId="15C287FA" w14:textId="281E9AB3" w:rsidR="00031E05" w:rsidRPr="00031E05" w:rsidRDefault="00031E05" w:rsidP="00031E05">
      <w:pPr>
        <w:numPr>
          <w:ilvl w:val="0"/>
          <w:numId w:val="3"/>
        </w:numPr>
        <w:rPr>
          <w:lang w:val="en-US"/>
        </w:rPr>
      </w:pPr>
      <w:r w:rsidRPr="00031E05">
        <w:rPr>
          <w:lang w:val="en-US"/>
        </w:rPr>
        <w:t xml:space="preserve">There is a surgical guide for the </w:t>
      </w:r>
      <w:r w:rsidR="00454249">
        <w:rPr>
          <w:lang w:val="en-US"/>
        </w:rPr>
        <w:t xml:space="preserve">VIBRANT </w:t>
      </w:r>
      <w:r>
        <w:rPr>
          <w:lang w:val="en-US"/>
        </w:rPr>
        <w:t>SOUND</w:t>
      </w:r>
      <w:r w:rsidRPr="00031E05">
        <w:rPr>
          <w:lang w:val="en-US"/>
        </w:rPr>
        <w:t xml:space="preserve">BRIDGE </w:t>
      </w:r>
      <w:r w:rsidR="00993EE6">
        <w:rPr>
          <w:lang w:val="en-US"/>
        </w:rPr>
        <w:t>s</w:t>
      </w:r>
      <w:r w:rsidR="00993EE6" w:rsidRPr="00031E05">
        <w:rPr>
          <w:lang w:val="en-US"/>
        </w:rPr>
        <w:t xml:space="preserve">ystem </w:t>
      </w:r>
      <w:r w:rsidRPr="00031E05">
        <w:rPr>
          <w:lang w:val="en-US"/>
        </w:rPr>
        <w:t>(which is not part of the product labelling).</w:t>
      </w:r>
    </w:p>
    <w:p w14:paraId="62E72C87" w14:textId="77777777" w:rsidR="00031E05" w:rsidRPr="00031E05" w:rsidRDefault="00031E05" w:rsidP="00031E05">
      <w:pPr>
        <w:numPr>
          <w:ilvl w:val="0"/>
          <w:numId w:val="3"/>
        </w:numPr>
        <w:rPr>
          <w:lang w:val="en-US"/>
        </w:rPr>
      </w:pPr>
      <w:r w:rsidRPr="00031E05">
        <w:rPr>
          <w:lang w:val="en-US"/>
        </w:rPr>
        <w:lastRenderedPageBreak/>
        <w:t>Videos of implantation surgeries are published on MED-ELs professionals’ website.</w:t>
      </w:r>
    </w:p>
    <w:p w14:paraId="59A42569" w14:textId="77777777" w:rsidR="00031E05" w:rsidRPr="00031E05" w:rsidRDefault="00031E05" w:rsidP="00031E05">
      <w:pPr>
        <w:numPr>
          <w:ilvl w:val="0"/>
          <w:numId w:val="3"/>
        </w:numPr>
        <w:rPr>
          <w:lang w:val="en-US"/>
        </w:rPr>
      </w:pPr>
      <w:r w:rsidRPr="00031E05">
        <w:rPr>
          <w:lang w:val="en-US"/>
        </w:rPr>
        <w:t>Live surgeries are streamed with the opportunity to ask questions to the performing surgeons in unregular intervals.</w:t>
      </w:r>
    </w:p>
    <w:p w14:paraId="54E88C9C" w14:textId="29E2DD0A" w:rsidR="00380C41" w:rsidRDefault="00BB494A" w:rsidP="00BC0C43">
      <w:pPr>
        <w:pStyle w:val="Heading2"/>
        <w:rPr>
          <w:rStyle w:val="InstructionsChar"/>
        </w:rPr>
      </w:pPr>
      <w:r>
        <w:t xml:space="preserve">Indicate the proposed setting(s) in which the proposed health technology will be delivered: </w:t>
      </w:r>
    </w:p>
    <w:p w14:paraId="4EC927B2" w14:textId="480081E4" w:rsidR="00582377" w:rsidRPr="00582377" w:rsidRDefault="00582377" w:rsidP="00361BBE">
      <w:pPr>
        <w:pStyle w:val="Instructions"/>
      </w:pPr>
      <w:r w:rsidRPr="00582377">
        <w:rPr>
          <w:rStyle w:val="InstructionsChar"/>
          <w:i/>
          <w:iCs/>
          <w:color w:val="538135" w:themeColor="accent6" w:themeShade="BF"/>
        </w:rPr>
        <w:t>(Select all relevant settings)</w:t>
      </w:r>
    </w:p>
    <w:p w14:paraId="6C4BF8E1" w14:textId="2E96930A" w:rsidR="00BC0C43" w:rsidRPr="00BC0C43" w:rsidRDefault="00BC0C43"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Pr="00BC0C43">
        <w:fldChar w:fldCharType="separate"/>
      </w:r>
      <w:r w:rsidRPr="00BC0C43">
        <w:fldChar w:fldCharType="end"/>
      </w:r>
      <w:r w:rsidRPr="00BC0C43">
        <w:t xml:space="preserve"> </w:t>
      </w:r>
      <w:r w:rsidR="00BB494A" w:rsidRPr="00BC0C43">
        <w:t>Consulting rooms</w:t>
      </w:r>
      <w:r w:rsidR="00380C41" w:rsidRPr="00BC0C43">
        <w:t xml:space="preserve"> </w:t>
      </w:r>
    </w:p>
    <w:p w14:paraId="27A91C50" w14:textId="0DD9818F" w:rsidR="00380C41" w:rsidRPr="00BC0C43" w:rsidRDefault="00380C41"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Pr="00BC0C43">
        <w:fldChar w:fldCharType="separate"/>
      </w:r>
      <w:r w:rsidRPr="00BC0C43">
        <w:fldChar w:fldCharType="end"/>
      </w:r>
      <w:r w:rsidRPr="00BC0C43">
        <w:t xml:space="preserve"> </w:t>
      </w:r>
      <w:r w:rsidR="00BB494A" w:rsidRPr="00BC0C43">
        <w:t>Day surgery centre</w:t>
      </w:r>
    </w:p>
    <w:p w14:paraId="1DAFF305" w14:textId="40C84702" w:rsidR="00380C41" w:rsidRPr="00BC0C43" w:rsidRDefault="00380C41"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Pr="00BC0C43">
        <w:fldChar w:fldCharType="separate"/>
      </w:r>
      <w:r w:rsidRPr="00BC0C43">
        <w:fldChar w:fldCharType="end"/>
      </w:r>
      <w:r w:rsidRPr="00BC0C43">
        <w:t xml:space="preserve"> </w:t>
      </w:r>
      <w:r w:rsidR="00BB494A" w:rsidRPr="00BC0C43">
        <w:t>Emergency Department</w:t>
      </w:r>
      <w:r w:rsidRPr="00BC0C43">
        <w:t xml:space="preserve"> </w:t>
      </w:r>
    </w:p>
    <w:p w14:paraId="020AC503" w14:textId="0C6EF117" w:rsidR="00380C41" w:rsidRPr="00BC0C43" w:rsidRDefault="00247698" w:rsidP="00582377">
      <w:pPr>
        <w:pStyle w:val="Tickboxes"/>
      </w:pPr>
      <w:r>
        <w:fldChar w:fldCharType="begin">
          <w:ffData>
            <w:name w:val="Check2"/>
            <w:enabled/>
            <w:calcOnExit w:val="0"/>
            <w:checkBox>
              <w:sizeAuto/>
              <w:default w:val="1"/>
            </w:checkBox>
          </w:ffData>
        </w:fldChar>
      </w:r>
      <w:bookmarkStart w:id="1" w:name="Check2"/>
      <w:r>
        <w:instrText xml:space="preserve"> FORMCHECKBOX </w:instrText>
      </w:r>
      <w:r>
        <w:fldChar w:fldCharType="separate"/>
      </w:r>
      <w:r>
        <w:fldChar w:fldCharType="end"/>
      </w:r>
      <w:bookmarkEnd w:id="1"/>
      <w:r w:rsidR="00380C41" w:rsidRPr="00BC0C43">
        <w:t xml:space="preserve"> </w:t>
      </w:r>
      <w:r w:rsidR="00BB494A" w:rsidRPr="00BC0C43">
        <w:t>Inpatient private hospital</w:t>
      </w:r>
    </w:p>
    <w:p w14:paraId="6E8C6D7D" w14:textId="3D98300B" w:rsidR="00BB494A" w:rsidRPr="00BC0C43" w:rsidRDefault="00247698" w:rsidP="00582377">
      <w:pPr>
        <w:pStyle w:val="Tickboxes"/>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BB494A" w:rsidRPr="00BC0C43">
        <w:t xml:space="preserve"> Inpatient public hospital</w:t>
      </w:r>
    </w:p>
    <w:p w14:paraId="1C5133DF" w14:textId="2F641D97" w:rsidR="00BB494A" w:rsidRPr="00BC0C43" w:rsidRDefault="00BB494A"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Pr="00BC0C43">
        <w:fldChar w:fldCharType="separate"/>
      </w:r>
      <w:r w:rsidRPr="00BC0C43">
        <w:fldChar w:fldCharType="end"/>
      </w:r>
      <w:r w:rsidRPr="00BC0C43">
        <w:t xml:space="preserve"> Laboratory</w:t>
      </w:r>
    </w:p>
    <w:p w14:paraId="723FB55F" w14:textId="4423AF35" w:rsidR="00BB494A" w:rsidRPr="00BC0C43" w:rsidRDefault="0069680C" w:rsidP="00582377">
      <w:pPr>
        <w:pStyle w:val="Tickboxes"/>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BB494A" w:rsidRPr="00BC0C43">
        <w:t xml:space="preserve"> Outpatient clinic </w:t>
      </w:r>
    </w:p>
    <w:p w14:paraId="111DE2AB" w14:textId="35A5324A" w:rsidR="00BB494A" w:rsidRPr="00BC0C43" w:rsidRDefault="00BB494A"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Pr="00BC0C43">
        <w:fldChar w:fldCharType="separate"/>
      </w:r>
      <w:r w:rsidRPr="00BC0C43">
        <w:fldChar w:fldCharType="end"/>
      </w:r>
      <w:r w:rsidRPr="00BC0C43">
        <w:t xml:space="preserve"> Patient’s home</w:t>
      </w:r>
    </w:p>
    <w:p w14:paraId="428D75FD" w14:textId="3E4C76FA" w:rsidR="00BB494A" w:rsidRPr="00BC0C43" w:rsidRDefault="00BB494A"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Pr="00BC0C43">
        <w:fldChar w:fldCharType="separate"/>
      </w:r>
      <w:r w:rsidRPr="00BC0C43">
        <w:fldChar w:fldCharType="end"/>
      </w:r>
      <w:r w:rsidRPr="00BC0C43">
        <w:t xml:space="preserve"> Point of care testing </w:t>
      </w:r>
    </w:p>
    <w:p w14:paraId="47F449C5" w14:textId="7A9B3B9E" w:rsidR="00BB494A" w:rsidRPr="00BC0C43" w:rsidRDefault="00BB494A"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Pr="00BC0C43">
        <w:fldChar w:fldCharType="separate"/>
      </w:r>
      <w:r w:rsidRPr="00BC0C43">
        <w:fldChar w:fldCharType="end"/>
      </w:r>
      <w:r w:rsidRPr="00BC0C43">
        <w:t xml:space="preserve"> Residential aged care facility</w:t>
      </w:r>
    </w:p>
    <w:p w14:paraId="594B3A20" w14:textId="2E5732C5" w:rsidR="00BB494A" w:rsidRPr="000627EF" w:rsidRDefault="00BB494A"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Pr="00BC0C43">
        <w:fldChar w:fldCharType="separate"/>
      </w:r>
      <w:r w:rsidRPr="00BC0C43">
        <w:fldChar w:fldCharType="end"/>
      </w:r>
      <w:r w:rsidRPr="00BC0C43">
        <w:t xml:space="preserve"> Other (please specify) </w:t>
      </w:r>
    </w:p>
    <w:p w14:paraId="0D56AD3D" w14:textId="39219247" w:rsidR="00BB494A" w:rsidRDefault="002725E5" w:rsidP="00BC0C43">
      <w:pPr>
        <w:rPr>
          <w:rFonts w:asciiTheme="minorHAnsi" w:eastAsia="Segoe UI" w:hAnsiTheme="minorHAnsi" w:cstheme="minorHAnsi"/>
          <w:color w:val="000000"/>
        </w:rPr>
      </w:pPr>
      <w:r>
        <w:t xml:space="preserve">Implantation is typically performed as an inpatient procedure but fitting </w:t>
      </w:r>
      <w:r w:rsidR="00454249">
        <w:t xml:space="preserve">of the audio processor </w:t>
      </w:r>
      <w:r>
        <w:t>and follow-up appointments may take place in an outpatient setting.</w:t>
      </w:r>
    </w:p>
    <w:p w14:paraId="2A1C0D0A" w14:textId="3D79FC0A" w:rsidR="002D7216" w:rsidRDefault="002D7216" w:rsidP="00BC0C43">
      <w:pPr>
        <w:pStyle w:val="Heading2"/>
      </w:pPr>
      <w:r>
        <w:t xml:space="preserve">Is the proposed health technology intended to be entirely rendered inside Australia? </w:t>
      </w:r>
    </w:p>
    <w:p w14:paraId="0478F3B1" w14:textId="142D3349" w:rsidR="002D7216" w:rsidRDefault="002D7216" w:rsidP="00BC0C43">
      <w:r w:rsidRPr="00BF4BAA">
        <w:rPr>
          <w:highlight w:val="lightGray"/>
        </w:rPr>
        <w:t>Yes</w:t>
      </w:r>
    </w:p>
    <w:p w14:paraId="659D2B35" w14:textId="6E584A32" w:rsidR="002D7216" w:rsidRPr="00BC0C43" w:rsidRDefault="00EA0AA0" w:rsidP="00BC0C43">
      <w:pPr>
        <w:pStyle w:val="Heading2"/>
      </w:pPr>
      <w:r>
        <w:t>P</w:t>
      </w:r>
      <w:r w:rsidR="002D7216">
        <w:t>rovide additional details on the proposed health technology to be rendered outside of Australia:</w:t>
      </w:r>
    </w:p>
    <w:p w14:paraId="598F6A3E" w14:textId="5590A769" w:rsidR="002D7216" w:rsidRDefault="002B561B" w:rsidP="00BC0C43">
      <w:r>
        <w:t>Not applicable</w:t>
      </w:r>
    </w:p>
    <w:p w14:paraId="5B9D9A2F" w14:textId="5569185C" w:rsidR="00FE257E" w:rsidRPr="00EA0AA0" w:rsidRDefault="00FE257E" w:rsidP="00EA0AA0">
      <w:pPr>
        <w:pStyle w:val="Heading1"/>
      </w:pPr>
      <w:r w:rsidRPr="00EA0AA0">
        <w:t>Comparator</w:t>
      </w:r>
    </w:p>
    <w:p w14:paraId="4FFBF7A2" w14:textId="68C9C7EE" w:rsidR="00FE257E" w:rsidRDefault="00FE257E" w:rsidP="00BC0C43">
      <w:pPr>
        <w:pStyle w:val="Heading2"/>
      </w:pPr>
      <w:r w:rsidRPr="00FE257E">
        <w:t>Nominate the appropriate comparator(s) for the proposed medical service (i.e.</w:t>
      </w:r>
      <w:r w:rsidR="00010AAA">
        <w:t>,</w:t>
      </w:r>
      <w:r w:rsidRPr="00FE257E">
        <w:t xml:space="preserve"> how is the proposed population currently managed in the absence of the proposed medical service being available in the </w:t>
      </w:r>
      <w:r w:rsidRPr="00FE257E">
        <w:rPr>
          <w:u w:val="single"/>
        </w:rPr>
        <w:t>Australian healthcare system)</w:t>
      </w:r>
      <w:r w:rsidRPr="00FE257E">
        <w:t>. This includes identifying healthcare resources that are needed to be delivered at the same time as the comparator service</w:t>
      </w:r>
      <w:r>
        <w:t>:</w:t>
      </w:r>
    </w:p>
    <w:p w14:paraId="1494FF48" w14:textId="77777777" w:rsidR="008C46BB" w:rsidRDefault="008C46BB" w:rsidP="00BC0C43"/>
    <w:p w14:paraId="1058DF70" w14:textId="77777777" w:rsidR="00454249" w:rsidRDefault="00D3475A" w:rsidP="00454249">
      <w:pPr>
        <w:pStyle w:val="ListParagraph"/>
        <w:numPr>
          <w:ilvl w:val="0"/>
          <w:numId w:val="12"/>
        </w:numPr>
        <w:ind w:left="284" w:hanging="284"/>
      </w:pPr>
      <w:r w:rsidRPr="00454249">
        <w:rPr>
          <w:u w:val="single"/>
        </w:rPr>
        <w:t xml:space="preserve">Prescribed List (PL) group </w:t>
      </w:r>
      <w:r w:rsidR="00EB07AE" w:rsidRPr="00454249">
        <w:rPr>
          <w:u w:val="single"/>
        </w:rPr>
        <w:t>02.01.09 - Implantable Piezoelectric Bone Conduction Hearing System (all components)</w:t>
      </w:r>
      <w:r w:rsidR="00A27E1B">
        <w:t xml:space="preserve">, i.e. </w:t>
      </w:r>
    </w:p>
    <w:p w14:paraId="21E88B3B" w14:textId="42219D72" w:rsidR="003D4CE7" w:rsidRDefault="003D4CE7" w:rsidP="00764D8F">
      <w:pPr>
        <w:ind w:firstLine="284"/>
      </w:pPr>
      <w:r>
        <w:t xml:space="preserve">Active </w:t>
      </w:r>
      <w:r w:rsidR="00A37E8B">
        <w:t xml:space="preserve">transcutaneous </w:t>
      </w:r>
      <w:r>
        <w:t>BCIs:</w:t>
      </w:r>
    </w:p>
    <w:p w14:paraId="406E11A7" w14:textId="3BA772B6" w:rsidR="00764D8F" w:rsidRDefault="00A27E1B" w:rsidP="00764D8F">
      <w:pPr>
        <w:ind w:firstLine="284"/>
      </w:pPr>
      <w:r>
        <w:t>Cochlear Osia system</w:t>
      </w:r>
      <w:r w:rsidR="00764D8F">
        <w:t>, including other healthcare resources:</w:t>
      </w:r>
    </w:p>
    <w:p w14:paraId="64496040" w14:textId="5408E808" w:rsidR="00764D8F" w:rsidRDefault="00764D8F" w:rsidP="00764D8F">
      <w:pPr>
        <w:ind w:firstLine="284"/>
      </w:pPr>
      <w:r>
        <w:tab/>
        <w:t>Audiometry testing AC and BC thresholds and speech recognition</w:t>
      </w:r>
    </w:p>
    <w:p w14:paraId="2AF5F933" w14:textId="6857202C" w:rsidR="00764D8F" w:rsidRDefault="00764D8F" w:rsidP="00764D8F">
      <w:pPr>
        <w:ind w:firstLine="284"/>
      </w:pPr>
      <w:r>
        <w:tab/>
        <w:t>Programming of the audio processor (first fitting)</w:t>
      </w:r>
    </w:p>
    <w:p w14:paraId="755AC2AE" w14:textId="462BBBF3" w:rsidR="00764D8F" w:rsidRDefault="00764D8F" w:rsidP="00764D8F">
      <w:pPr>
        <w:ind w:firstLine="284"/>
      </w:pPr>
      <w:r>
        <w:tab/>
        <w:t>Aftercare and re-fitting (if necessary)</w:t>
      </w:r>
    </w:p>
    <w:p w14:paraId="2E267396" w14:textId="142D18B6" w:rsidR="00764D8F" w:rsidRDefault="00764D8F" w:rsidP="00764D8F">
      <w:pPr>
        <w:ind w:firstLine="284"/>
        <w:contextualSpacing/>
      </w:pPr>
      <w:r>
        <w:tab/>
      </w:r>
    </w:p>
    <w:p w14:paraId="55AD4EF1" w14:textId="126D7018" w:rsidR="009430AC" w:rsidRDefault="009430AC" w:rsidP="00454249">
      <w:pPr>
        <w:ind w:left="284" w:hanging="284"/>
      </w:pPr>
    </w:p>
    <w:p w14:paraId="178B9FC4" w14:textId="77777777" w:rsidR="00454249" w:rsidRDefault="00A27E1B" w:rsidP="000D44F1">
      <w:pPr>
        <w:pStyle w:val="ListParagraph"/>
        <w:numPr>
          <w:ilvl w:val="0"/>
          <w:numId w:val="12"/>
        </w:numPr>
        <w:ind w:left="284" w:hanging="284"/>
        <w:contextualSpacing w:val="0"/>
      </w:pPr>
      <w:r>
        <w:lastRenderedPageBreak/>
        <w:t>Other bone-conduction systems listed under</w:t>
      </w:r>
      <w:r w:rsidR="00247698">
        <w:t xml:space="preserve"> </w:t>
      </w:r>
      <w:r w:rsidR="00D3475A">
        <w:t xml:space="preserve">PL group </w:t>
      </w:r>
      <w:r w:rsidR="00247698" w:rsidRPr="00454249">
        <w:rPr>
          <w:u w:val="single"/>
        </w:rPr>
        <w:t>02.01.04 - Implantable Bone Conduction Hearing System</w:t>
      </w:r>
      <w:r>
        <w:t>, i.e.</w:t>
      </w:r>
    </w:p>
    <w:p w14:paraId="38B20F4C" w14:textId="7DA23512" w:rsidR="00E72FD6" w:rsidRDefault="00E72FD6" w:rsidP="00764D8F">
      <w:pPr>
        <w:pStyle w:val="ListParagraph"/>
        <w:ind w:left="284"/>
        <w:contextualSpacing w:val="0"/>
      </w:pPr>
      <w:r>
        <w:t xml:space="preserve">Active </w:t>
      </w:r>
      <w:r w:rsidR="00A37E8B">
        <w:t xml:space="preserve">transcutaneous </w:t>
      </w:r>
      <w:r>
        <w:t>BCIs:</w:t>
      </w:r>
    </w:p>
    <w:p w14:paraId="3277DC9B" w14:textId="0CE4FDF4" w:rsidR="00603376" w:rsidRDefault="00262703" w:rsidP="00764D8F">
      <w:pPr>
        <w:pStyle w:val="ListParagraph"/>
        <w:ind w:left="284"/>
        <w:contextualSpacing w:val="0"/>
        <w:rPr>
          <w:b/>
          <w:bCs/>
        </w:rPr>
      </w:pPr>
      <w:r>
        <w:t xml:space="preserve">BONEBRIDGE System (BCI 602 kit + </w:t>
      </w:r>
      <w:r w:rsidR="00993EE6">
        <w:t xml:space="preserve">SAMBA </w:t>
      </w:r>
      <w:r>
        <w:t xml:space="preserve">2 </w:t>
      </w:r>
      <w:r w:rsidR="00993EE6">
        <w:t>BONEBRIDGE audio processor</w:t>
      </w:r>
      <w:r>
        <w:t>)</w:t>
      </w:r>
      <w:r w:rsidR="00247698">
        <w:t xml:space="preserve"> </w:t>
      </w:r>
    </w:p>
    <w:p w14:paraId="6E576C4D" w14:textId="77777777" w:rsidR="00603376" w:rsidRDefault="00603376" w:rsidP="00D10F13">
      <w:pPr>
        <w:ind w:firstLine="720"/>
      </w:pPr>
      <w:r>
        <w:t>Audiometry testing AC and BC thresholds and speech recognition</w:t>
      </w:r>
    </w:p>
    <w:p w14:paraId="2AE2BC5C" w14:textId="77777777" w:rsidR="00603376" w:rsidRDefault="00603376" w:rsidP="00603376">
      <w:pPr>
        <w:ind w:firstLine="284"/>
      </w:pPr>
      <w:r>
        <w:tab/>
        <w:t>Programming of the audio processor (first fitting)</w:t>
      </w:r>
    </w:p>
    <w:p w14:paraId="5760EEF6" w14:textId="77777777" w:rsidR="00603376" w:rsidRDefault="00603376" w:rsidP="00603376">
      <w:pPr>
        <w:pStyle w:val="ListParagraph"/>
        <w:ind w:left="284"/>
        <w:contextualSpacing w:val="0"/>
      </w:pPr>
      <w:r>
        <w:tab/>
        <w:t>Aftercare and re-fitting (if necessary)</w:t>
      </w:r>
    </w:p>
    <w:p w14:paraId="7A367B35" w14:textId="1C4B847E" w:rsidR="00454249" w:rsidRDefault="00454249" w:rsidP="00764D8F">
      <w:pPr>
        <w:pStyle w:val="ListParagraph"/>
        <w:ind w:left="284"/>
        <w:contextualSpacing w:val="0"/>
      </w:pPr>
    </w:p>
    <w:p w14:paraId="63959FFE" w14:textId="163EDEF5" w:rsidR="00955904" w:rsidRDefault="00955904" w:rsidP="00764478">
      <w:pPr>
        <w:pStyle w:val="Heading2"/>
      </w:pPr>
      <w:r>
        <w:t>List any existing MBS item numbers that are relevant for the nominated comparators</w:t>
      </w:r>
      <w:r w:rsidR="000627EF">
        <w:t>:</w:t>
      </w:r>
      <w:r w:rsidR="00FE257E">
        <w:t xml:space="preserve"> </w:t>
      </w:r>
    </w:p>
    <w:p w14:paraId="589D677D" w14:textId="56FB4F2E" w:rsidR="00764478" w:rsidRDefault="00764478" w:rsidP="00764478">
      <w:r w:rsidRPr="005A0B07">
        <w:rPr>
          <w:u w:val="single"/>
        </w:rPr>
        <w:t>41603</w:t>
      </w:r>
      <w:r w:rsidR="005A0B07">
        <w:t xml:space="preserve"> (</w:t>
      </w:r>
      <w:r w:rsidR="005A0B07" w:rsidRPr="005A0B07">
        <w:t>Osseo-integration procedure-implantation of bone conduction hearing system device</w:t>
      </w:r>
      <w:r w:rsidR="005A0B07">
        <w:t>)</w:t>
      </w:r>
    </w:p>
    <w:p w14:paraId="24C1646C" w14:textId="404BE260" w:rsidR="005A0B07" w:rsidRDefault="005A0B07" w:rsidP="00764478">
      <w:r w:rsidRPr="005A0B07">
        <w:rPr>
          <w:u w:val="single"/>
        </w:rPr>
        <w:t>45794</w:t>
      </w:r>
      <w:r>
        <w:t xml:space="preserve"> (</w:t>
      </w:r>
      <w:r w:rsidRPr="005A0B07">
        <w:t>Osseo‑integration procedure, first stage, implantation of fixture, following congenital absence, tumour or trauma, other than a service associated with a service to which item 41603 applies</w:t>
      </w:r>
      <w:r>
        <w:t>)</w:t>
      </w:r>
    </w:p>
    <w:p w14:paraId="2183326A" w14:textId="78063B73" w:rsidR="00DD4A7F" w:rsidRDefault="005A0B07" w:rsidP="00CC4BFC">
      <w:r w:rsidRPr="005A0B07">
        <w:rPr>
          <w:u w:val="single"/>
        </w:rPr>
        <w:t>45797</w:t>
      </w:r>
      <w:r>
        <w:t xml:space="preserve"> (</w:t>
      </w:r>
      <w:r w:rsidRPr="005A0B07">
        <w:t>Osseo‑integration procedure, second stage, fixation of transcutaneous abutment, following congenital absence, tumour or trauma, other than a service associated with a service to which item 41603 applies</w:t>
      </w:r>
      <w:r>
        <w:t>)</w:t>
      </w:r>
    </w:p>
    <w:p w14:paraId="7AE42CF7" w14:textId="412AC98E" w:rsidR="00FE257E" w:rsidRDefault="00EA0AA0" w:rsidP="00BC0C43">
      <w:pPr>
        <w:pStyle w:val="Heading2"/>
      </w:pPr>
      <w:r>
        <w:t>P</w:t>
      </w:r>
      <w:r w:rsidR="005B5A58">
        <w:t>rovide a rationale for why this is a comparator</w:t>
      </w:r>
      <w:r w:rsidR="000627EF">
        <w:t>:</w:t>
      </w:r>
    </w:p>
    <w:p w14:paraId="3DD5AC62" w14:textId="3136FB69" w:rsidR="0019211D" w:rsidRPr="009626B9" w:rsidRDefault="00117523" w:rsidP="0019211D">
      <w:r w:rsidRPr="00117523">
        <w:t>Due to the reasons outlined below</w:t>
      </w:r>
      <w:r w:rsidR="0019211D" w:rsidRPr="00000CA0">
        <w:t xml:space="preserve">, we consider </w:t>
      </w:r>
      <w:r w:rsidR="002D10FC" w:rsidRPr="00000CA0">
        <w:t xml:space="preserve">only </w:t>
      </w:r>
      <w:r w:rsidR="0019211D" w:rsidRPr="00000CA0">
        <w:t>active bone</w:t>
      </w:r>
      <w:r w:rsidR="00993EE6">
        <w:t xml:space="preserve"> </w:t>
      </w:r>
      <w:r w:rsidR="0019211D" w:rsidRPr="00000CA0">
        <w:t>conduction implants (</w:t>
      </w:r>
      <w:proofErr w:type="spellStart"/>
      <w:r w:rsidR="0019211D" w:rsidRPr="00000CA0">
        <w:t>aBCIs</w:t>
      </w:r>
      <w:proofErr w:type="spellEnd"/>
      <w:r w:rsidR="0019211D" w:rsidRPr="00000CA0">
        <w:t xml:space="preserve">) as direct comparators </w:t>
      </w:r>
      <w:r w:rsidR="002D10FC">
        <w:t>for</w:t>
      </w:r>
      <w:r w:rsidR="0019211D" w:rsidRPr="00000CA0">
        <w:t xml:space="preserve"> the proposed medical service:</w:t>
      </w:r>
    </w:p>
    <w:p w14:paraId="1D8EE82E" w14:textId="77777777" w:rsidR="0019211D" w:rsidRPr="0019211D" w:rsidRDefault="0019211D" w:rsidP="00D10F13"/>
    <w:p w14:paraId="3542FE0D" w14:textId="30C7F2E7" w:rsidR="008E490D" w:rsidRDefault="00000C88" w:rsidP="003F554A">
      <w:pPr>
        <w:pStyle w:val="ListParagraph"/>
        <w:numPr>
          <w:ilvl w:val="0"/>
          <w:numId w:val="24"/>
        </w:numPr>
      </w:pPr>
      <w:r>
        <w:t>In MHL patients where the ossicular chain is non-functional, surgical reconstruction of the ossicular chain to re-establish the natural hearing pathway is considered first</w:t>
      </w:r>
      <w:r w:rsidR="00A37E8B">
        <w:t>-</w:t>
      </w:r>
      <w:r>
        <w:t>line treatment (</w:t>
      </w:r>
      <w:r w:rsidRPr="0019211D">
        <w:rPr>
          <w:u w:val="single"/>
        </w:rPr>
        <w:t xml:space="preserve">Prescribed List (PL) group </w:t>
      </w:r>
      <w:r>
        <w:t xml:space="preserve">02.01.05; MBS items 41539 – 41542). </w:t>
      </w:r>
      <w:r w:rsidR="0019211D" w:rsidRPr="00000CA0">
        <w:t xml:space="preserve">Because treatment with the proposed medical service is considered second-line treatment (see </w:t>
      </w:r>
      <w:r w:rsidR="0019211D" w:rsidRPr="00000CA0">
        <w:fldChar w:fldCharType="begin"/>
      </w:r>
      <w:r w:rsidR="0019211D" w:rsidRPr="00000CA0">
        <w:instrText xml:space="preserve"> REF _Ref192065301 \h </w:instrText>
      </w:r>
      <w:r w:rsidR="00000CA0">
        <w:instrText xml:space="preserve"> \* MERGEFORMAT </w:instrText>
      </w:r>
      <w:r w:rsidR="0019211D" w:rsidRPr="00000CA0">
        <w:fldChar w:fldCharType="separate"/>
      </w:r>
      <w:r w:rsidR="00202D32">
        <w:t xml:space="preserve">Figure </w:t>
      </w:r>
      <w:r w:rsidR="00202D32">
        <w:rPr>
          <w:noProof/>
        </w:rPr>
        <w:t>2</w:t>
      </w:r>
      <w:r w:rsidR="0019211D" w:rsidRPr="00000CA0">
        <w:fldChar w:fldCharType="end"/>
      </w:r>
      <w:r w:rsidR="0019211D" w:rsidRPr="00000CA0">
        <w:t xml:space="preserve">), reconstructive surgery is not a direct comparator. But see </w:t>
      </w:r>
      <w:r w:rsidR="007F57EF">
        <w:t xml:space="preserve">summary of </w:t>
      </w:r>
      <w:r w:rsidR="0019211D" w:rsidRPr="00000CA0">
        <w:t xml:space="preserve">evidence </w:t>
      </w:r>
      <w:r w:rsidR="006E06A6">
        <w:t>n°5</w:t>
      </w:r>
      <w:r w:rsidR="0019211D" w:rsidRPr="00000CA0">
        <w:t xml:space="preserve"> for a discussion on lifecycle costs o</w:t>
      </w:r>
      <w:r w:rsidR="006E06A6">
        <w:t>f</w:t>
      </w:r>
      <w:r w:rsidR="0019211D" w:rsidRPr="00000CA0">
        <w:t xml:space="preserve"> reconstructive surgery vs. the new medical service.</w:t>
      </w:r>
    </w:p>
    <w:p w14:paraId="7B03D4DE" w14:textId="476908AF" w:rsidR="00B1554B" w:rsidRDefault="00247698" w:rsidP="00000CA0">
      <w:pPr>
        <w:pStyle w:val="ListParagraph"/>
        <w:numPr>
          <w:ilvl w:val="0"/>
          <w:numId w:val="24"/>
        </w:numPr>
      </w:pPr>
      <w:r>
        <w:t xml:space="preserve">BCIs listed on the </w:t>
      </w:r>
      <w:r w:rsidR="00341632">
        <w:t xml:space="preserve">Prescribed </w:t>
      </w:r>
      <w:r>
        <w:t xml:space="preserve">List </w:t>
      </w:r>
      <w:r w:rsidR="000D409A">
        <w:t xml:space="preserve">(i.e., those included under product groups </w:t>
      </w:r>
      <w:r w:rsidR="000D409A" w:rsidRPr="00247698">
        <w:t xml:space="preserve">02.01.04 </w:t>
      </w:r>
      <w:r w:rsidR="000D409A">
        <w:t xml:space="preserve">and </w:t>
      </w:r>
      <w:r w:rsidR="000D409A" w:rsidRPr="00EB07AE">
        <w:t>02.01.09</w:t>
      </w:r>
      <w:r w:rsidR="000D409A">
        <w:t xml:space="preserve">) are used for the treatment of conductive (CHL) and </w:t>
      </w:r>
      <w:r w:rsidR="003C3850">
        <w:t xml:space="preserve">mild to moderate cases of </w:t>
      </w:r>
      <w:r w:rsidR="000D409A">
        <w:t xml:space="preserve">mixed hearing loss (MHL) and </w:t>
      </w:r>
      <w:r>
        <w:t>are implanted via procedures of MBS item</w:t>
      </w:r>
      <w:r w:rsidR="001B2263">
        <w:t>s</w:t>
      </w:r>
      <w:r>
        <w:t xml:space="preserve"> </w:t>
      </w:r>
      <w:r w:rsidRPr="00B34961">
        <w:rPr>
          <w:u w:val="single"/>
        </w:rPr>
        <w:t>41603</w:t>
      </w:r>
      <w:r w:rsidR="005A0B07">
        <w:t xml:space="preserve">, </w:t>
      </w:r>
      <w:r w:rsidR="005A0B07" w:rsidRPr="00B34961">
        <w:rPr>
          <w:u w:val="single"/>
        </w:rPr>
        <w:t>45794</w:t>
      </w:r>
      <w:r w:rsidR="005A0B07" w:rsidRPr="005A0B07">
        <w:t xml:space="preserve"> or </w:t>
      </w:r>
      <w:r w:rsidR="005A0B07" w:rsidRPr="00B34961">
        <w:rPr>
          <w:u w:val="single"/>
        </w:rPr>
        <w:t>45797</w:t>
      </w:r>
      <w:r>
        <w:t>.</w:t>
      </w:r>
      <w:r w:rsidR="00C2165C">
        <w:t xml:space="preserve"> </w:t>
      </w:r>
      <w:r w:rsidR="00B1554B">
        <w:t>However, the following BCI sub-groups should not be considered as direct comparators for the proposed medical service:</w:t>
      </w:r>
    </w:p>
    <w:p w14:paraId="5D0A4C4C" w14:textId="77777777" w:rsidR="00B1554B" w:rsidRPr="00B34961" w:rsidRDefault="00B1554B" w:rsidP="00B1554B">
      <w:pPr>
        <w:pStyle w:val="ListParagraph"/>
        <w:rPr>
          <w:highlight w:val="yellow"/>
        </w:rPr>
      </w:pPr>
    </w:p>
    <w:p w14:paraId="6F1DDEFE" w14:textId="32FECB4A" w:rsidR="00B1554B" w:rsidRPr="00000CA0" w:rsidRDefault="00B1554B" w:rsidP="00B1554B">
      <w:pPr>
        <w:pStyle w:val="ListParagraph"/>
        <w:numPr>
          <w:ilvl w:val="1"/>
          <w:numId w:val="24"/>
        </w:numPr>
      </w:pPr>
      <w:r w:rsidRPr="00000CA0">
        <w:t xml:space="preserve">Non-implantable </w:t>
      </w:r>
      <w:r w:rsidR="00A37E8B">
        <w:t>bone conduction devices (</w:t>
      </w:r>
      <w:r w:rsidRPr="00000CA0">
        <w:t>BCDs</w:t>
      </w:r>
      <w:r w:rsidR="00A37E8B">
        <w:t>)</w:t>
      </w:r>
      <w:r w:rsidR="00134F4B">
        <w:t xml:space="preserve"> </w:t>
      </w:r>
      <w:r w:rsidRPr="00000CA0">
        <w:t>used for bone</w:t>
      </w:r>
      <w:r w:rsidR="00A37E8B">
        <w:t xml:space="preserve"> </w:t>
      </w:r>
      <w:r w:rsidRPr="00000CA0">
        <w:t>conduction trials</w:t>
      </w:r>
      <w:r w:rsidR="00BD5CF7">
        <w:t>.</w:t>
      </w:r>
      <w:r w:rsidRPr="00000CA0">
        <w:t xml:space="preserve"> These are typically used as temporary solutions until a permanent, implantable solution becomes feasible.</w:t>
      </w:r>
    </w:p>
    <w:p w14:paraId="680098E0" w14:textId="73C9A47B" w:rsidR="00B1554B" w:rsidRPr="00000CA0" w:rsidRDefault="00B1554B" w:rsidP="00B1554B">
      <w:pPr>
        <w:pStyle w:val="ListParagraph"/>
        <w:numPr>
          <w:ilvl w:val="1"/>
          <w:numId w:val="24"/>
        </w:numPr>
      </w:pPr>
      <w:r w:rsidRPr="00000CA0">
        <w:t xml:space="preserve">Passive BCIs (BAHAs): there is a general trend away from passive implants (both percutaneous and transcutaneous) since the availability of active </w:t>
      </w:r>
      <w:r w:rsidR="00A37E8B">
        <w:t xml:space="preserve">transcutaneous </w:t>
      </w:r>
      <w:r w:rsidRPr="00000CA0">
        <w:t>bone</w:t>
      </w:r>
      <w:r w:rsidR="00A37E8B">
        <w:t xml:space="preserve"> </w:t>
      </w:r>
      <w:r w:rsidRPr="00000CA0">
        <w:t>conduction implants (</w:t>
      </w:r>
      <w:proofErr w:type="spellStart"/>
      <w:r w:rsidRPr="00000CA0">
        <w:t>aBCIs</w:t>
      </w:r>
      <w:proofErr w:type="spellEnd"/>
      <w:r w:rsidRPr="00000CA0">
        <w:t xml:space="preserve">), which are currently state-of-the-art. </w:t>
      </w:r>
    </w:p>
    <w:p w14:paraId="59C85134" w14:textId="77777777" w:rsidR="00B1554B" w:rsidRDefault="00B1554B" w:rsidP="00B1554B"/>
    <w:p w14:paraId="7D835BE0" w14:textId="329524A3" w:rsidR="00361BBE" w:rsidRPr="007B1545" w:rsidRDefault="005B5A58" w:rsidP="00BC0C43">
      <w:pPr>
        <w:pStyle w:val="Heading2"/>
        <w:rPr>
          <w:vertAlign w:val="superscript"/>
        </w:rPr>
      </w:pPr>
      <w:r>
        <w:lastRenderedPageBreak/>
        <w:t xml:space="preserve">Pattern of substitution – Will the proposed health technology wholly </w:t>
      </w:r>
      <w:proofErr w:type="gramStart"/>
      <w:r>
        <w:t>replace</w:t>
      </w:r>
      <w:proofErr w:type="gramEnd"/>
      <w:r>
        <w:t xml:space="preserve"> the proposed comparator, partially replace </w:t>
      </w:r>
      <w:r w:rsidR="000627EF">
        <w:t xml:space="preserve">the proposed comparator, displace the proposed comparator </w:t>
      </w:r>
      <w:r w:rsidR="00B03F94">
        <w:rPr>
          <w:vertAlign w:val="superscript"/>
        </w:rPr>
        <w:softHyphen/>
      </w:r>
      <w:r w:rsidR="00B03F94">
        <w:rPr>
          <w:vertAlign w:val="superscript"/>
        </w:rPr>
        <w:softHyphen/>
      </w:r>
      <w:r w:rsidR="00B03F94">
        <w:rPr>
          <w:vertAlign w:val="superscript"/>
        </w:rPr>
        <w:softHyphen/>
      </w:r>
    </w:p>
    <w:p w14:paraId="1DB01406" w14:textId="1F36345B" w:rsidR="000627EF" w:rsidRPr="00361BBE" w:rsidRDefault="00DB2D53" w:rsidP="00361BBE">
      <w:pPr>
        <w:pStyle w:val="Instructions"/>
        <w:rPr>
          <w:rStyle w:val="InstructionsChar"/>
          <w:b/>
          <w:bCs/>
          <w:i/>
          <w:iCs/>
        </w:rPr>
      </w:pPr>
      <w:r w:rsidRPr="00361BBE">
        <w:rPr>
          <w:rStyle w:val="InstructionsChar"/>
          <w:i/>
          <w:iCs/>
          <w:color w:val="538135" w:themeColor="accent6" w:themeShade="BF"/>
        </w:rPr>
        <w:t>(</w:t>
      </w:r>
      <w:r w:rsidR="00582377" w:rsidRPr="00361BBE">
        <w:rPr>
          <w:rStyle w:val="InstructionsChar"/>
          <w:i/>
          <w:iCs/>
          <w:color w:val="538135" w:themeColor="accent6" w:themeShade="BF"/>
        </w:rPr>
        <w:t>P</w:t>
      </w:r>
      <w:r w:rsidRPr="00361BBE">
        <w:rPr>
          <w:rStyle w:val="InstructionsChar"/>
          <w:i/>
          <w:iCs/>
          <w:color w:val="538135" w:themeColor="accent6" w:themeShade="BF"/>
        </w:rPr>
        <w:t>lease select your response)</w:t>
      </w:r>
    </w:p>
    <w:p w14:paraId="0A5F4C44" w14:textId="17ACE538" w:rsidR="000627EF" w:rsidRPr="00582377" w:rsidRDefault="00BC0C43" w:rsidP="00582377">
      <w:pPr>
        <w:pStyle w:val="Tickboxes"/>
      </w:pPr>
      <w:r w:rsidRPr="00582377">
        <w:fldChar w:fldCharType="begin">
          <w:ffData>
            <w:name w:val="Check2"/>
            <w:enabled/>
            <w:calcOnExit w:val="0"/>
            <w:checkBox>
              <w:sizeAuto/>
              <w:default w:val="0"/>
            </w:checkBox>
          </w:ffData>
        </w:fldChar>
      </w:r>
      <w:r w:rsidRPr="00582377">
        <w:instrText xml:space="preserve"> FORMCHECKBOX </w:instrText>
      </w:r>
      <w:r w:rsidRPr="00582377">
        <w:fldChar w:fldCharType="separate"/>
      </w:r>
      <w:r w:rsidRPr="00582377">
        <w:fldChar w:fldCharType="end"/>
      </w:r>
      <w:r w:rsidRPr="00582377">
        <w:t xml:space="preserve"> </w:t>
      </w:r>
      <w:r w:rsidR="000627EF" w:rsidRPr="00582377">
        <w:t xml:space="preserve">None </w:t>
      </w:r>
      <w:r w:rsidRPr="00582377">
        <w:t>(u</w:t>
      </w:r>
      <w:r w:rsidR="000627EF" w:rsidRPr="00582377">
        <w:t>sed with the comparator</w:t>
      </w:r>
      <w:r w:rsidRPr="00582377">
        <w:t>)</w:t>
      </w:r>
      <w:r w:rsidR="000627EF" w:rsidRPr="00582377">
        <w:t xml:space="preserve"> </w:t>
      </w:r>
    </w:p>
    <w:p w14:paraId="04FD711F" w14:textId="717AF290" w:rsidR="000627EF" w:rsidRPr="00582377" w:rsidRDefault="000627EF" w:rsidP="00582377">
      <w:pPr>
        <w:pStyle w:val="Tickboxes"/>
      </w:pPr>
      <w:r w:rsidRPr="00582377">
        <w:fldChar w:fldCharType="begin">
          <w:ffData>
            <w:name w:val="Check2"/>
            <w:enabled/>
            <w:calcOnExit w:val="0"/>
            <w:checkBox>
              <w:sizeAuto/>
              <w:default w:val="0"/>
            </w:checkBox>
          </w:ffData>
        </w:fldChar>
      </w:r>
      <w:r w:rsidRPr="00582377">
        <w:instrText xml:space="preserve"> FORMCHECKBOX </w:instrText>
      </w:r>
      <w:r w:rsidRPr="00582377">
        <w:fldChar w:fldCharType="separate"/>
      </w:r>
      <w:r w:rsidRPr="00582377">
        <w:fldChar w:fldCharType="end"/>
      </w:r>
      <w:r w:rsidRPr="00582377">
        <w:t xml:space="preserve"> Displaced </w:t>
      </w:r>
      <w:r w:rsidR="00BC0C43" w:rsidRPr="00582377">
        <w:t>(c</w:t>
      </w:r>
      <w:r w:rsidRPr="00582377">
        <w:t>omparator will likely be used following the proposed technology in some patients</w:t>
      </w:r>
      <w:r w:rsidR="00BC0C43" w:rsidRPr="00582377">
        <w:t>)</w:t>
      </w:r>
    </w:p>
    <w:p w14:paraId="3243B3BE" w14:textId="1AB64DC6" w:rsidR="000627EF" w:rsidRPr="00582377" w:rsidRDefault="00247698" w:rsidP="00582377">
      <w:pPr>
        <w:pStyle w:val="Tickboxes"/>
      </w:pPr>
      <w:r>
        <w:fldChar w:fldCharType="begin">
          <w:ffData>
            <w:name w:val="Check1"/>
            <w:enabled/>
            <w:calcOnExit w:val="0"/>
            <w:checkBox>
              <w:sizeAuto/>
              <w:default w:val="1"/>
            </w:checkBox>
          </w:ffData>
        </w:fldChar>
      </w:r>
      <w:bookmarkStart w:id="2" w:name="Check1"/>
      <w:r>
        <w:instrText xml:space="preserve"> FORMCHECKBOX </w:instrText>
      </w:r>
      <w:r>
        <w:fldChar w:fldCharType="separate"/>
      </w:r>
      <w:r>
        <w:fldChar w:fldCharType="end"/>
      </w:r>
      <w:bookmarkEnd w:id="2"/>
      <w:r w:rsidR="000627EF" w:rsidRPr="00582377">
        <w:t xml:space="preserve"> Partial </w:t>
      </w:r>
      <w:r w:rsidR="00BC0C43" w:rsidRPr="00582377">
        <w:t>(in</w:t>
      </w:r>
      <w:r w:rsidR="000627EF" w:rsidRPr="00582377">
        <w:t xml:space="preserve"> some cases, the proposed technology will replace the use of the comparator, but not all</w:t>
      </w:r>
      <w:r w:rsidR="00BC0C43" w:rsidRPr="00582377">
        <w:t>)</w:t>
      </w:r>
      <w:r w:rsidR="000627EF" w:rsidRPr="00582377">
        <w:t xml:space="preserve"> </w:t>
      </w:r>
    </w:p>
    <w:p w14:paraId="32AA0FD6" w14:textId="3CBE39A3" w:rsidR="000627EF" w:rsidRPr="00582377" w:rsidRDefault="000627EF" w:rsidP="00582377">
      <w:pPr>
        <w:pStyle w:val="Tickboxes"/>
      </w:pPr>
      <w:r w:rsidRPr="00582377">
        <w:fldChar w:fldCharType="begin">
          <w:ffData>
            <w:name w:val="Check2"/>
            <w:enabled/>
            <w:calcOnExit w:val="0"/>
            <w:checkBox>
              <w:sizeAuto/>
              <w:default w:val="0"/>
            </w:checkBox>
          </w:ffData>
        </w:fldChar>
      </w:r>
      <w:r w:rsidRPr="00582377">
        <w:instrText xml:space="preserve"> FORMCHECKBOX </w:instrText>
      </w:r>
      <w:r w:rsidRPr="00582377">
        <w:fldChar w:fldCharType="separate"/>
      </w:r>
      <w:r w:rsidRPr="00582377">
        <w:fldChar w:fldCharType="end"/>
      </w:r>
      <w:r w:rsidRPr="00582377">
        <w:t xml:space="preserve"> Full </w:t>
      </w:r>
      <w:r w:rsidR="00BC0C43" w:rsidRPr="00582377">
        <w:t>(s</w:t>
      </w:r>
      <w:r w:rsidRPr="00582377">
        <w:t>ubjects who receive the proposed intervention will not receive the comparator</w:t>
      </w:r>
      <w:r w:rsidR="00BC0C43" w:rsidRPr="00582377">
        <w:t>)</w:t>
      </w:r>
    </w:p>
    <w:p w14:paraId="3D9A6633" w14:textId="0FC8A361" w:rsidR="000627EF" w:rsidRPr="00582377" w:rsidRDefault="00EA0AA0" w:rsidP="00582377">
      <w:pPr>
        <w:pStyle w:val="Heading2"/>
      </w:pPr>
      <w:r>
        <w:t>Outline and e</w:t>
      </w:r>
      <w:r w:rsidR="000627EF" w:rsidRPr="00582377">
        <w:t>xplain the extent to which the current comparator is expected to be substituted:</w:t>
      </w:r>
    </w:p>
    <w:p w14:paraId="47207A1C" w14:textId="6A797082" w:rsidR="00247698" w:rsidRDefault="00247698" w:rsidP="00BC0C43">
      <w:r>
        <w:t>The proposed health technology will likely substitute comparators in cases when the comparator devices cannot deliver sufficient benefit, i.e.</w:t>
      </w:r>
      <w:r w:rsidR="00A37E8B">
        <w:t>,</w:t>
      </w:r>
      <w:r>
        <w:t xml:space="preserve"> </w:t>
      </w:r>
    </w:p>
    <w:p w14:paraId="674F8F96" w14:textId="11748D34" w:rsidR="000627EF" w:rsidRPr="00247698" w:rsidRDefault="00247698" w:rsidP="00247698">
      <w:pPr>
        <w:pStyle w:val="ListParagraph"/>
        <w:numPr>
          <w:ilvl w:val="0"/>
          <w:numId w:val="5"/>
        </w:numPr>
        <w:rPr>
          <w:rFonts w:asciiTheme="minorHAnsi" w:eastAsia="Segoe UI" w:hAnsiTheme="minorHAnsi" w:cstheme="minorHAnsi"/>
          <w:color w:val="000000"/>
        </w:rPr>
      </w:pPr>
      <w:r>
        <w:t xml:space="preserve">when </w:t>
      </w:r>
      <w:r w:rsidR="00940CE6">
        <w:t>comparator devices</w:t>
      </w:r>
      <w:r w:rsidR="002A374A">
        <w:t xml:space="preserve"> cannot deliver </w:t>
      </w:r>
      <w:r w:rsidR="00B2731A">
        <w:t>enough amplification</w:t>
      </w:r>
      <w:r w:rsidR="00B95EA8">
        <w:t>, or</w:t>
      </w:r>
    </w:p>
    <w:p w14:paraId="7073C5A4" w14:textId="7BAAEC7C" w:rsidR="00247698" w:rsidRPr="004C07FC" w:rsidRDefault="00247698" w:rsidP="00247698">
      <w:pPr>
        <w:pStyle w:val="ListParagraph"/>
        <w:numPr>
          <w:ilvl w:val="0"/>
          <w:numId w:val="5"/>
        </w:numPr>
        <w:rPr>
          <w:rFonts w:asciiTheme="minorHAnsi" w:eastAsia="Segoe UI" w:hAnsiTheme="minorHAnsi" w:cstheme="minorHAnsi"/>
          <w:color w:val="000000"/>
        </w:rPr>
      </w:pPr>
      <w:r>
        <w:t xml:space="preserve">when </w:t>
      </w:r>
      <w:r w:rsidR="00B95EA8">
        <w:t xml:space="preserve">stimulation of one single cochlea is </w:t>
      </w:r>
      <w:r w:rsidR="009626B9">
        <w:t xml:space="preserve">sought </w:t>
      </w:r>
      <w:r w:rsidR="00B95EA8">
        <w:t>and overstimulation of a contralateral cochlea is to be avoided</w:t>
      </w:r>
      <w:r w:rsidR="004C07FC">
        <w:t>, or</w:t>
      </w:r>
    </w:p>
    <w:p w14:paraId="77C9F50E" w14:textId="77777777" w:rsidR="00793F26" w:rsidRPr="00D10F13" w:rsidRDefault="004C07FC" w:rsidP="00247698">
      <w:pPr>
        <w:pStyle w:val="ListParagraph"/>
        <w:numPr>
          <w:ilvl w:val="0"/>
          <w:numId w:val="5"/>
        </w:numPr>
        <w:rPr>
          <w:rFonts w:asciiTheme="minorHAnsi" w:eastAsia="Segoe UI" w:hAnsiTheme="minorHAnsi" w:cstheme="minorHAnsi"/>
          <w:color w:val="000000"/>
        </w:rPr>
      </w:pPr>
      <w:r>
        <w:t>if restoration of true bi</w:t>
      </w:r>
      <w:r w:rsidR="007C6F6A">
        <w:t>naural</w:t>
      </w:r>
      <w:r>
        <w:t xml:space="preserve"> hearing is</w:t>
      </w:r>
      <w:r w:rsidR="009626B9">
        <w:t xml:space="preserve"> sought</w:t>
      </w:r>
      <w:r w:rsidR="00793F26">
        <w:t>, or</w:t>
      </w:r>
    </w:p>
    <w:p w14:paraId="149FB1AD" w14:textId="6DB8CBA2" w:rsidR="004C07FC" w:rsidRPr="00247698" w:rsidRDefault="001079CA" w:rsidP="00247698">
      <w:pPr>
        <w:pStyle w:val="ListParagraph"/>
        <w:numPr>
          <w:ilvl w:val="0"/>
          <w:numId w:val="5"/>
        </w:numPr>
        <w:rPr>
          <w:rFonts w:asciiTheme="minorHAnsi" w:eastAsia="Segoe UI" w:hAnsiTheme="minorHAnsi" w:cstheme="minorHAnsi"/>
          <w:color w:val="000000"/>
        </w:rPr>
      </w:pPr>
      <w:r>
        <w:t>when implantation of a comparator device (</w:t>
      </w:r>
      <w:proofErr w:type="spellStart"/>
      <w:r>
        <w:t>aBCI</w:t>
      </w:r>
      <w:proofErr w:type="spellEnd"/>
      <w:r>
        <w:t>) is not feasible due to anatomical reasons</w:t>
      </w:r>
      <w:r w:rsidR="008A20E5">
        <w:t xml:space="preserve"> (e.g.</w:t>
      </w:r>
      <w:r w:rsidR="00A37E8B">
        <w:t>,</w:t>
      </w:r>
      <w:r w:rsidR="00281A8F">
        <w:t xml:space="preserve"> </w:t>
      </w:r>
      <w:r w:rsidR="00A54577">
        <w:t>radical cavity, insufficient bone thickness) or skin</w:t>
      </w:r>
      <w:r w:rsidR="001C7635">
        <w:t xml:space="preserve"> </w:t>
      </w:r>
      <w:r w:rsidR="00281A8F">
        <w:t>quality.</w:t>
      </w:r>
    </w:p>
    <w:p w14:paraId="527F0163" w14:textId="2737A668" w:rsidR="0016065A" w:rsidRPr="00EA0AA0" w:rsidRDefault="0016065A" w:rsidP="00EA0AA0">
      <w:pPr>
        <w:pStyle w:val="Heading1"/>
      </w:pPr>
      <w:r w:rsidRPr="00EA0AA0">
        <w:t>Outcome</w:t>
      </w:r>
      <w:r w:rsidR="00770FA6" w:rsidRPr="00EA0AA0">
        <w:t>s</w:t>
      </w:r>
    </w:p>
    <w:p w14:paraId="3E7AD725" w14:textId="1CF7BD19" w:rsidR="00765B2C" w:rsidRPr="00582377" w:rsidRDefault="00FA6D97" w:rsidP="00BC0C43">
      <w:pPr>
        <w:rPr>
          <w:rFonts w:eastAsia="Segoe UI"/>
          <w:bCs/>
          <w:i/>
          <w:iCs/>
          <w:color w:val="538135" w:themeColor="accent6" w:themeShade="BF"/>
        </w:rPr>
      </w:pPr>
      <w:r w:rsidRPr="00582377">
        <w:rPr>
          <w:i/>
          <w:iCs/>
          <w:color w:val="538135" w:themeColor="accent6" w:themeShade="BF"/>
        </w:rPr>
        <w:t>(Please copy the below questions and complete for each outcome</w:t>
      </w:r>
      <w:r w:rsidRPr="00582377">
        <w:rPr>
          <w:rFonts w:eastAsia="Segoe UI"/>
          <w:bCs/>
          <w:i/>
          <w:iCs/>
          <w:color w:val="538135" w:themeColor="accent6" w:themeShade="BF"/>
        </w:rPr>
        <w:t>)</w:t>
      </w:r>
    </w:p>
    <w:p w14:paraId="17E1F7BE" w14:textId="77777777" w:rsidR="00361BBE" w:rsidRDefault="004C02B7" w:rsidP="00361BBE">
      <w:pPr>
        <w:pStyle w:val="Heading2"/>
        <w:spacing w:after="120"/>
      </w:pPr>
      <w:r>
        <w:t>List the key health outcomes (major and minor – prioritising major key health outcomes first) that will need to be measured in assessing the clinical claim for the proposed medical service/technology (versus the comparator):</w:t>
      </w:r>
      <w:r w:rsidR="00DB2D53">
        <w:t xml:space="preserve"> </w:t>
      </w:r>
    </w:p>
    <w:p w14:paraId="5EE70D74" w14:textId="77777777" w:rsidR="004C07FC" w:rsidRDefault="004C07FC" w:rsidP="004C07FC"/>
    <w:p w14:paraId="3E3B3403" w14:textId="34F691AC" w:rsidR="004C07FC" w:rsidRPr="004C07FC" w:rsidRDefault="00862EDB" w:rsidP="004C07FC">
      <w:pPr>
        <w:pStyle w:val="ListParagraph"/>
        <w:numPr>
          <w:ilvl w:val="0"/>
          <w:numId w:val="6"/>
        </w:numPr>
        <w:ind w:left="284" w:hanging="284"/>
      </w:pPr>
      <w:r>
        <w:t>Functional Gain</w:t>
      </w:r>
    </w:p>
    <w:p w14:paraId="7DF00C74" w14:textId="1CC049F5" w:rsidR="004C02B7" w:rsidRPr="00061233" w:rsidRDefault="00582377" w:rsidP="00361BBE">
      <w:pPr>
        <w:pStyle w:val="Instructions"/>
        <w:rPr>
          <w:i/>
          <w:iCs/>
          <w:color w:val="538135" w:themeColor="accent6" w:themeShade="BF"/>
        </w:rPr>
      </w:pPr>
      <w:r w:rsidRPr="00061233">
        <w:rPr>
          <w:rStyle w:val="InstructionsChar"/>
          <w:i/>
          <w:iCs/>
          <w:color w:val="538135" w:themeColor="accent6" w:themeShade="BF"/>
        </w:rPr>
        <w:t>(Please select your response)</w:t>
      </w:r>
    </w:p>
    <w:p w14:paraId="2BA09AC5" w14:textId="7015FBD9" w:rsidR="004C02B7" w:rsidRPr="00BC0C43" w:rsidRDefault="00862EDB" w:rsidP="00582377">
      <w:pPr>
        <w:pStyle w:val="Tickboxes"/>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BC0C43" w:rsidRPr="00BC0C43">
        <w:t xml:space="preserve"> </w:t>
      </w:r>
      <w:r w:rsidR="004C02B7" w:rsidRPr="00BC0C43">
        <w:t xml:space="preserve">Health benefits </w:t>
      </w:r>
    </w:p>
    <w:p w14:paraId="4B5E35E8" w14:textId="5E46D4C4" w:rsidR="004C02B7" w:rsidRPr="00BC0C43" w:rsidRDefault="004C02B7"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Pr="00BC0C43">
        <w:fldChar w:fldCharType="separate"/>
      </w:r>
      <w:r w:rsidRPr="00BC0C43">
        <w:fldChar w:fldCharType="end"/>
      </w:r>
      <w:r w:rsidRPr="00BC0C43">
        <w:t xml:space="preserve"> Health harms</w:t>
      </w:r>
    </w:p>
    <w:p w14:paraId="7846E3EA" w14:textId="2FF72254" w:rsidR="004C02B7" w:rsidRPr="00BC0C43" w:rsidRDefault="004C02B7"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Pr="00BC0C43">
        <w:fldChar w:fldCharType="separate"/>
      </w:r>
      <w:r w:rsidRPr="00BC0C43">
        <w:fldChar w:fldCharType="end"/>
      </w:r>
      <w:r w:rsidRPr="00BC0C43">
        <w:t xml:space="preserve"> Resources </w:t>
      </w:r>
    </w:p>
    <w:p w14:paraId="4A3C8161" w14:textId="3093E4D6" w:rsidR="00E00CD3" w:rsidRPr="00BC0C43" w:rsidRDefault="004C02B7" w:rsidP="00582377">
      <w:pPr>
        <w:pStyle w:val="Tickboxes"/>
        <w:rPr>
          <w:b/>
        </w:rPr>
      </w:pPr>
      <w:r w:rsidRPr="00BC0C43">
        <w:fldChar w:fldCharType="begin">
          <w:ffData>
            <w:name w:val="Check2"/>
            <w:enabled/>
            <w:calcOnExit w:val="0"/>
            <w:checkBox>
              <w:sizeAuto/>
              <w:default w:val="0"/>
            </w:checkBox>
          </w:ffData>
        </w:fldChar>
      </w:r>
      <w:r w:rsidRPr="00BC0C43">
        <w:instrText xml:space="preserve"> FORMCHECKBOX </w:instrText>
      </w:r>
      <w:r w:rsidRPr="00BC0C43">
        <w:fldChar w:fldCharType="separate"/>
      </w:r>
      <w:r w:rsidRPr="00BC0C43">
        <w:fldChar w:fldCharType="end"/>
      </w:r>
      <w:r w:rsidRPr="00BC0C43">
        <w:t xml:space="preserve"> Value of knowing</w:t>
      </w:r>
    </w:p>
    <w:p w14:paraId="36189B68" w14:textId="2A9DD4E8" w:rsidR="004C02B7" w:rsidRPr="00BC0C43" w:rsidRDefault="00E00CD3" w:rsidP="00BC0C43">
      <w:pPr>
        <w:pStyle w:val="Heading2"/>
      </w:pPr>
      <w:r>
        <w:t>O</w:t>
      </w:r>
      <w:r w:rsidR="00CB5480">
        <w:t>utcome description</w:t>
      </w:r>
      <w:r>
        <w:t xml:space="preserve"> –</w:t>
      </w:r>
      <w:r w:rsidR="00EA0AA0">
        <w:t xml:space="preserve"> </w:t>
      </w:r>
      <w:r>
        <w:t xml:space="preserve">include information about whether a change in patient management, or prognosis, occurs </w:t>
      </w:r>
      <w:proofErr w:type="gramStart"/>
      <w:r>
        <w:t>as a result of</w:t>
      </w:r>
      <w:proofErr w:type="gramEnd"/>
      <w:r>
        <w:t xml:space="preserve"> the test information</w:t>
      </w:r>
      <w:r w:rsidR="004C02B7">
        <w:t>:</w:t>
      </w:r>
    </w:p>
    <w:p w14:paraId="690EA31F" w14:textId="290E4917" w:rsidR="004C02B7" w:rsidRDefault="00862EDB" w:rsidP="00BC0C43">
      <w:r>
        <w:t>Assessment of unaided and aided sound-field hearing thresholds</w:t>
      </w:r>
      <w:r w:rsidR="0025463E">
        <w:t xml:space="preserve"> at single frequencies</w:t>
      </w:r>
      <w:r>
        <w:t>. The functional gain is defined as the difference, or the benefit from unaided to aided condition</w:t>
      </w:r>
      <w:r w:rsidR="0025463E">
        <w:t xml:space="preserve"> at specific frequencies</w:t>
      </w:r>
      <w:r>
        <w:t>.</w:t>
      </w:r>
    </w:p>
    <w:p w14:paraId="4DB83ACB" w14:textId="08E53A7C" w:rsidR="00862EDB" w:rsidRDefault="00862EDB" w:rsidP="00BC0C43">
      <w:r>
        <w:t xml:space="preserve">Patient management or prognosis are not expected to change </w:t>
      </w:r>
      <w:proofErr w:type="gramStart"/>
      <w:r>
        <w:t>as a result of</w:t>
      </w:r>
      <w:proofErr w:type="gramEnd"/>
      <w:r>
        <w:t xml:space="preserve"> the test information.</w:t>
      </w:r>
    </w:p>
    <w:p w14:paraId="67F9B329" w14:textId="77777777" w:rsidR="00862EDB" w:rsidRDefault="00862EDB" w:rsidP="00BC0C43"/>
    <w:p w14:paraId="47883C3F" w14:textId="5B247868" w:rsidR="004C07FC" w:rsidRPr="004C07FC" w:rsidRDefault="004C07FC" w:rsidP="004C07FC">
      <w:pPr>
        <w:pStyle w:val="ListParagraph"/>
        <w:numPr>
          <w:ilvl w:val="0"/>
          <w:numId w:val="6"/>
        </w:numPr>
        <w:ind w:left="284" w:hanging="284"/>
      </w:pPr>
      <w:r>
        <w:t>Effective Gain</w:t>
      </w:r>
    </w:p>
    <w:p w14:paraId="2411DDF0" w14:textId="77777777" w:rsidR="004C07FC" w:rsidRPr="00061233" w:rsidRDefault="004C07FC" w:rsidP="004C07FC">
      <w:pPr>
        <w:pStyle w:val="Instructions"/>
        <w:rPr>
          <w:i/>
          <w:iCs/>
          <w:color w:val="538135" w:themeColor="accent6" w:themeShade="BF"/>
        </w:rPr>
      </w:pPr>
      <w:r w:rsidRPr="00061233">
        <w:rPr>
          <w:rStyle w:val="InstructionsChar"/>
          <w:i/>
          <w:iCs/>
          <w:color w:val="538135" w:themeColor="accent6" w:themeShade="BF"/>
        </w:rPr>
        <w:t>(Please select your response)</w:t>
      </w:r>
    </w:p>
    <w:p w14:paraId="5C7BFFE0" w14:textId="2831BF24" w:rsidR="004C07FC" w:rsidRPr="00BC0C43" w:rsidRDefault="00862EDB" w:rsidP="004C07FC">
      <w:pPr>
        <w:pStyle w:val="Tickboxes"/>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4C07FC" w:rsidRPr="00BC0C43">
        <w:t xml:space="preserve"> Health benefits </w:t>
      </w:r>
    </w:p>
    <w:p w14:paraId="1C141D5A" w14:textId="77777777" w:rsidR="004C07FC" w:rsidRPr="00BC0C43" w:rsidRDefault="004C07FC" w:rsidP="004C07FC">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Pr="00BC0C43">
        <w:fldChar w:fldCharType="separate"/>
      </w:r>
      <w:r w:rsidRPr="00BC0C43">
        <w:fldChar w:fldCharType="end"/>
      </w:r>
      <w:r w:rsidRPr="00BC0C43">
        <w:t xml:space="preserve"> Health harms</w:t>
      </w:r>
    </w:p>
    <w:p w14:paraId="4AB6CB87" w14:textId="77777777" w:rsidR="004C07FC" w:rsidRPr="00BC0C43" w:rsidRDefault="004C07FC" w:rsidP="004C07FC">
      <w:pPr>
        <w:pStyle w:val="Tickboxes"/>
      </w:pPr>
      <w:r w:rsidRPr="00BC0C43">
        <w:lastRenderedPageBreak/>
        <w:fldChar w:fldCharType="begin">
          <w:ffData>
            <w:name w:val="Check1"/>
            <w:enabled/>
            <w:calcOnExit w:val="0"/>
            <w:checkBox>
              <w:sizeAuto/>
              <w:default w:val="0"/>
            </w:checkBox>
          </w:ffData>
        </w:fldChar>
      </w:r>
      <w:r w:rsidRPr="00BC0C43">
        <w:instrText xml:space="preserve"> FORMCHECKBOX </w:instrText>
      </w:r>
      <w:r w:rsidRPr="00BC0C43">
        <w:fldChar w:fldCharType="separate"/>
      </w:r>
      <w:r w:rsidRPr="00BC0C43">
        <w:fldChar w:fldCharType="end"/>
      </w:r>
      <w:r w:rsidRPr="00BC0C43">
        <w:t xml:space="preserve"> Resources </w:t>
      </w:r>
    </w:p>
    <w:p w14:paraId="61AADEF8" w14:textId="77777777" w:rsidR="004C07FC" w:rsidRPr="00BC0C43" w:rsidRDefault="004C07FC" w:rsidP="004C07FC">
      <w:pPr>
        <w:pStyle w:val="Tickboxes"/>
        <w:rPr>
          <w:b/>
        </w:rPr>
      </w:pPr>
      <w:r w:rsidRPr="00BC0C43">
        <w:fldChar w:fldCharType="begin">
          <w:ffData>
            <w:name w:val="Check2"/>
            <w:enabled/>
            <w:calcOnExit w:val="0"/>
            <w:checkBox>
              <w:sizeAuto/>
              <w:default w:val="0"/>
            </w:checkBox>
          </w:ffData>
        </w:fldChar>
      </w:r>
      <w:r w:rsidRPr="00BC0C43">
        <w:instrText xml:space="preserve"> FORMCHECKBOX </w:instrText>
      </w:r>
      <w:r w:rsidRPr="00BC0C43">
        <w:fldChar w:fldCharType="separate"/>
      </w:r>
      <w:r w:rsidRPr="00BC0C43">
        <w:fldChar w:fldCharType="end"/>
      </w:r>
      <w:r w:rsidRPr="00BC0C43">
        <w:t xml:space="preserve"> Value of knowing</w:t>
      </w:r>
    </w:p>
    <w:p w14:paraId="7338C3A1" w14:textId="77777777" w:rsidR="004C07FC" w:rsidRPr="00BC0C43" w:rsidRDefault="004C07FC" w:rsidP="004C07FC">
      <w:pPr>
        <w:pStyle w:val="Heading2"/>
      </w:pPr>
      <w:r>
        <w:t xml:space="preserve">Outcome description – include information about whether a change in patient management, or prognosis, occurs </w:t>
      </w:r>
      <w:proofErr w:type="gramStart"/>
      <w:r>
        <w:t>as a result of</w:t>
      </w:r>
      <w:proofErr w:type="gramEnd"/>
      <w:r>
        <w:t xml:space="preserve"> the test information:</w:t>
      </w:r>
    </w:p>
    <w:p w14:paraId="6C0714B7" w14:textId="19B7F148" w:rsidR="00862EDB" w:rsidRDefault="00862EDB" w:rsidP="00862EDB">
      <w:r>
        <w:t>Assessment of bone</w:t>
      </w:r>
      <w:r w:rsidR="00807D5D">
        <w:t xml:space="preserve"> </w:t>
      </w:r>
      <w:r>
        <w:t xml:space="preserve">conduction (BC) thresholds and aided sound-field hearing thresholds at single frequencies. The functional gain is defined as the difference, or the benefit from diagnostic BC thresholds at specific frequencies to aided sound-field </w:t>
      </w:r>
      <w:r w:rsidR="00594722">
        <w:t xml:space="preserve">(SF) </w:t>
      </w:r>
      <w:r>
        <w:t>hearing thresholds</w:t>
      </w:r>
      <w:r w:rsidR="0025463E">
        <w:t xml:space="preserve"> at the same frequency</w:t>
      </w:r>
      <w:r>
        <w:t>. Negative values indicate no closure of the air-bone gap (ABG). Positive values indicate overclosure of the ABG.</w:t>
      </w:r>
    </w:p>
    <w:p w14:paraId="66B28E83" w14:textId="77777777" w:rsidR="00862EDB" w:rsidRDefault="00862EDB" w:rsidP="00862EDB">
      <w:r>
        <w:t xml:space="preserve">Patient management or prognosis are not expected to change </w:t>
      </w:r>
      <w:proofErr w:type="gramStart"/>
      <w:r>
        <w:t>as a result of</w:t>
      </w:r>
      <w:proofErr w:type="gramEnd"/>
      <w:r>
        <w:t xml:space="preserve"> the test information.</w:t>
      </w:r>
    </w:p>
    <w:p w14:paraId="6BB63125" w14:textId="77777777" w:rsidR="004C07FC" w:rsidRDefault="004C07FC" w:rsidP="00BC0C43">
      <w:pPr>
        <w:rPr>
          <w:rFonts w:asciiTheme="minorHAnsi" w:eastAsia="Segoe UI" w:hAnsiTheme="minorHAnsi" w:cstheme="minorHAnsi"/>
          <w:color w:val="000000"/>
        </w:rPr>
      </w:pPr>
    </w:p>
    <w:p w14:paraId="63844F47" w14:textId="5C55ACE3" w:rsidR="004C07FC" w:rsidRPr="004C07FC" w:rsidRDefault="004C07FC" w:rsidP="004C07FC">
      <w:pPr>
        <w:pStyle w:val="ListParagraph"/>
        <w:numPr>
          <w:ilvl w:val="0"/>
          <w:numId w:val="6"/>
        </w:numPr>
        <w:ind w:left="284" w:hanging="284"/>
      </w:pPr>
      <w:r>
        <w:t>Word Recognition Score</w:t>
      </w:r>
    </w:p>
    <w:p w14:paraId="65E24CF4" w14:textId="77777777" w:rsidR="004C07FC" w:rsidRPr="00061233" w:rsidRDefault="004C07FC" w:rsidP="004C07FC">
      <w:pPr>
        <w:pStyle w:val="Instructions"/>
        <w:rPr>
          <w:i/>
          <w:iCs/>
          <w:color w:val="538135" w:themeColor="accent6" w:themeShade="BF"/>
        </w:rPr>
      </w:pPr>
      <w:r w:rsidRPr="00061233">
        <w:rPr>
          <w:rStyle w:val="InstructionsChar"/>
          <w:i/>
          <w:iCs/>
          <w:color w:val="538135" w:themeColor="accent6" w:themeShade="BF"/>
        </w:rPr>
        <w:t>(Please select your response)</w:t>
      </w:r>
    </w:p>
    <w:p w14:paraId="35AF17A4" w14:textId="7493EC47" w:rsidR="004C07FC" w:rsidRPr="00BC0C43" w:rsidRDefault="00862EDB" w:rsidP="004C07FC">
      <w:pPr>
        <w:pStyle w:val="Tickboxes"/>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4C07FC" w:rsidRPr="00BC0C43">
        <w:t xml:space="preserve"> Health benefits </w:t>
      </w:r>
    </w:p>
    <w:p w14:paraId="192AB0BE" w14:textId="77777777" w:rsidR="004C07FC" w:rsidRPr="00BC0C43" w:rsidRDefault="004C07FC" w:rsidP="004C07FC">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Pr="00BC0C43">
        <w:fldChar w:fldCharType="separate"/>
      </w:r>
      <w:r w:rsidRPr="00BC0C43">
        <w:fldChar w:fldCharType="end"/>
      </w:r>
      <w:r w:rsidRPr="00BC0C43">
        <w:t xml:space="preserve"> Health harms</w:t>
      </w:r>
    </w:p>
    <w:p w14:paraId="15CB2B6A" w14:textId="77777777" w:rsidR="004C07FC" w:rsidRPr="00BC0C43" w:rsidRDefault="004C07FC" w:rsidP="004C07FC">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Pr="00BC0C43">
        <w:fldChar w:fldCharType="separate"/>
      </w:r>
      <w:r w:rsidRPr="00BC0C43">
        <w:fldChar w:fldCharType="end"/>
      </w:r>
      <w:r w:rsidRPr="00BC0C43">
        <w:t xml:space="preserve"> Resources </w:t>
      </w:r>
    </w:p>
    <w:p w14:paraId="2E4D3270" w14:textId="77777777" w:rsidR="004C07FC" w:rsidRPr="00BC0C43" w:rsidRDefault="004C07FC" w:rsidP="004C07FC">
      <w:pPr>
        <w:pStyle w:val="Tickboxes"/>
        <w:rPr>
          <w:b/>
        </w:rPr>
      </w:pPr>
      <w:r w:rsidRPr="00BC0C43">
        <w:fldChar w:fldCharType="begin">
          <w:ffData>
            <w:name w:val="Check2"/>
            <w:enabled/>
            <w:calcOnExit w:val="0"/>
            <w:checkBox>
              <w:sizeAuto/>
              <w:default w:val="0"/>
            </w:checkBox>
          </w:ffData>
        </w:fldChar>
      </w:r>
      <w:r w:rsidRPr="00BC0C43">
        <w:instrText xml:space="preserve"> FORMCHECKBOX </w:instrText>
      </w:r>
      <w:r w:rsidRPr="00BC0C43">
        <w:fldChar w:fldCharType="separate"/>
      </w:r>
      <w:r w:rsidRPr="00BC0C43">
        <w:fldChar w:fldCharType="end"/>
      </w:r>
      <w:r w:rsidRPr="00BC0C43">
        <w:t xml:space="preserve"> Value of knowing</w:t>
      </w:r>
    </w:p>
    <w:p w14:paraId="6294BD9D" w14:textId="77777777" w:rsidR="004C07FC" w:rsidRPr="00BC0C43" w:rsidRDefault="004C07FC" w:rsidP="004C07FC">
      <w:pPr>
        <w:pStyle w:val="Heading2"/>
      </w:pPr>
      <w:r>
        <w:t xml:space="preserve">Outcome description – include information about whether a change in patient management, or prognosis, occurs </w:t>
      </w:r>
      <w:proofErr w:type="gramStart"/>
      <w:r>
        <w:t>as a result of</w:t>
      </w:r>
      <w:proofErr w:type="gramEnd"/>
      <w:r>
        <w:t xml:space="preserve"> the test information:</w:t>
      </w:r>
    </w:p>
    <w:p w14:paraId="2FDBD77A" w14:textId="6751BB98" w:rsidR="00862EDB" w:rsidRDefault="00862EDB" w:rsidP="00862EDB">
      <w:r>
        <w:t>Assessment of word recognition score (WRS) at stimulation level of 65</w:t>
      </w:r>
      <w:r w:rsidR="00807D5D">
        <w:t xml:space="preserve"> </w:t>
      </w:r>
      <w:r>
        <w:t xml:space="preserve">dB SPL. </w:t>
      </w:r>
      <w:r w:rsidR="0025463E">
        <w:t>Using a closed list of words, numbers, or sentences, the WRS indicates the percentage of correctly understood words, numbers, or sentences.</w:t>
      </w:r>
    </w:p>
    <w:p w14:paraId="0569CC67" w14:textId="02482105" w:rsidR="00862EDB" w:rsidRDefault="00862EDB" w:rsidP="00862EDB">
      <w:r>
        <w:t xml:space="preserve">Patient management or prognosis are not expected to change </w:t>
      </w:r>
      <w:r w:rsidR="00067758">
        <w:t>because of</w:t>
      </w:r>
      <w:r>
        <w:t xml:space="preserve"> the test information.</w:t>
      </w:r>
    </w:p>
    <w:p w14:paraId="1AA57DA1" w14:textId="77777777" w:rsidR="004C07FC" w:rsidRPr="00BE6B22" w:rsidRDefault="004C07FC" w:rsidP="004C07FC">
      <w:pPr>
        <w:rPr>
          <w:rFonts w:asciiTheme="minorHAnsi" w:eastAsia="Segoe UI" w:hAnsiTheme="minorHAnsi" w:cstheme="minorHAnsi"/>
          <w:color w:val="000000"/>
        </w:rPr>
      </w:pPr>
    </w:p>
    <w:p w14:paraId="59D15A09" w14:textId="29F0C9DF" w:rsidR="004C07FC" w:rsidRPr="004C07FC" w:rsidRDefault="004C07FC" w:rsidP="004C07FC">
      <w:pPr>
        <w:pStyle w:val="ListParagraph"/>
        <w:numPr>
          <w:ilvl w:val="0"/>
          <w:numId w:val="6"/>
        </w:numPr>
        <w:ind w:left="284" w:hanging="284"/>
      </w:pPr>
      <w:r>
        <w:t>S</w:t>
      </w:r>
      <w:r w:rsidR="000D2376">
        <w:t>peech Rec</w:t>
      </w:r>
      <w:r w:rsidR="0025463E">
        <w:t>eption</w:t>
      </w:r>
      <w:r w:rsidR="000D2376">
        <w:t xml:space="preserve"> Threshold in Noise</w:t>
      </w:r>
    </w:p>
    <w:p w14:paraId="4F77EF39" w14:textId="77777777" w:rsidR="004C07FC" w:rsidRPr="00061233" w:rsidRDefault="004C07FC" w:rsidP="004C07FC">
      <w:pPr>
        <w:pStyle w:val="Instructions"/>
        <w:rPr>
          <w:i/>
          <w:iCs/>
          <w:color w:val="538135" w:themeColor="accent6" w:themeShade="BF"/>
        </w:rPr>
      </w:pPr>
      <w:r w:rsidRPr="00061233">
        <w:rPr>
          <w:rStyle w:val="InstructionsChar"/>
          <w:i/>
          <w:iCs/>
          <w:color w:val="538135" w:themeColor="accent6" w:themeShade="BF"/>
        </w:rPr>
        <w:t>(Please select your response)</w:t>
      </w:r>
    </w:p>
    <w:p w14:paraId="47214362" w14:textId="590B5BA1" w:rsidR="004C07FC" w:rsidRPr="00BC0C43" w:rsidRDefault="00862EDB" w:rsidP="004C07FC">
      <w:pPr>
        <w:pStyle w:val="Tickboxes"/>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4C07FC" w:rsidRPr="00BC0C43">
        <w:t xml:space="preserve"> Health benefits </w:t>
      </w:r>
    </w:p>
    <w:p w14:paraId="6222F319" w14:textId="77777777" w:rsidR="004C07FC" w:rsidRPr="00BC0C43" w:rsidRDefault="004C07FC" w:rsidP="004C07FC">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Pr="00BC0C43">
        <w:fldChar w:fldCharType="separate"/>
      </w:r>
      <w:r w:rsidRPr="00BC0C43">
        <w:fldChar w:fldCharType="end"/>
      </w:r>
      <w:r w:rsidRPr="00BC0C43">
        <w:t xml:space="preserve"> Health harms</w:t>
      </w:r>
    </w:p>
    <w:p w14:paraId="71D4E085" w14:textId="77777777" w:rsidR="004C07FC" w:rsidRPr="00BC0C43" w:rsidRDefault="004C07FC" w:rsidP="004C07FC">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Pr="00BC0C43">
        <w:fldChar w:fldCharType="separate"/>
      </w:r>
      <w:r w:rsidRPr="00BC0C43">
        <w:fldChar w:fldCharType="end"/>
      </w:r>
      <w:r w:rsidRPr="00BC0C43">
        <w:t xml:space="preserve"> Resources </w:t>
      </w:r>
    </w:p>
    <w:p w14:paraId="4325BD42" w14:textId="4CFE9562" w:rsidR="00B842C2" w:rsidRDefault="004C07FC" w:rsidP="00CC4BFC">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Pr="00BC0C43">
        <w:fldChar w:fldCharType="separate"/>
      </w:r>
      <w:r w:rsidRPr="00BC0C43">
        <w:fldChar w:fldCharType="end"/>
      </w:r>
      <w:r w:rsidRPr="00BC0C43">
        <w:t xml:space="preserve"> Value of knowing</w:t>
      </w:r>
    </w:p>
    <w:p w14:paraId="7E90E871" w14:textId="4257F383" w:rsidR="004C07FC" w:rsidRPr="00BC0C43" w:rsidRDefault="004C07FC" w:rsidP="004C07FC">
      <w:pPr>
        <w:pStyle w:val="Heading2"/>
      </w:pPr>
      <w:r>
        <w:t xml:space="preserve">Outcome description – include information about whether a change in patient management, or prognosis, occurs </w:t>
      </w:r>
      <w:proofErr w:type="gramStart"/>
      <w:r>
        <w:t>as a result of</w:t>
      </w:r>
      <w:proofErr w:type="gramEnd"/>
      <w:r>
        <w:t xml:space="preserve"> the test information:</w:t>
      </w:r>
    </w:p>
    <w:p w14:paraId="20031BAB" w14:textId="3B74EE93" w:rsidR="0025463E" w:rsidRDefault="0025463E" w:rsidP="0025463E">
      <w:r>
        <w:t>Assessment of speech reception threshold (SRT</w:t>
      </w:r>
      <w:r w:rsidR="00807D5D">
        <w:t> </w:t>
      </w:r>
      <w:r>
        <w:t>50), which is defined as the level of stimulation (in dB SPL) at which the patients understood 50</w:t>
      </w:r>
      <w:r w:rsidR="00807D5D">
        <w:t> </w:t>
      </w:r>
      <w:r>
        <w:t>% of the stimuli (words, numbers, or sentences) correctly. To assess the SRT</w:t>
      </w:r>
      <w:r w:rsidR="00807D5D">
        <w:t> </w:t>
      </w:r>
      <w:r>
        <w:t>50 in noise, the noise signal is fixed at a specific level (in dB SPL), while the speech signal is adaptively changed over repeating test cycles</w:t>
      </w:r>
      <w:r w:rsidR="002A334F">
        <w:t xml:space="preserve">, effectively measuring speech understanding (in %) at different </w:t>
      </w:r>
      <w:r>
        <w:t>signal-to-noise-ratio</w:t>
      </w:r>
      <w:r w:rsidR="002A334F">
        <w:t>s</w:t>
      </w:r>
      <w:r>
        <w:t xml:space="preserve"> (SNR)</w:t>
      </w:r>
      <w:r w:rsidR="002A334F">
        <w:t xml:space="preserve">. The test result is the one SNR </w:t>
      </w:r>
      <w:r>
        <w:t>at which the patient understood 50</w:t>
      </w:r>
      <w:r w:rsidR="00807D5D">
        <w:t> </w:t>
      </w:r>
      <w:r>
        <w:t>% of the speech material correctly.</w:t>
      </w:r>
    </w:p>
    <w:p w14:paraId="66EE6ACE" w14:textId="1BE5B368" w:rsidR="004C07FC" w:rsidRPr="00BE6B22" w:rsidRDefault="0025463E" w:rsidP="00BC0C43">
      <w:pPr>
        <w:rPr>
          <w:rFonts w:asciiTheme="minorHAnsi" w:eastAsia="Segoe UI" w:hAnsiTheme="minorHAnsi" w:cstheme="minorHAnsi"/>
          <w:color w:val="000000"/>
        </w:rPr>
      </w:pPr>
      <w:r>
        <w:t xml:space="preserve">Patient management or prognosis are not expected to change </w:t>
      </w:r>
      <w:r w:rsidR="00067758">
        <w:t>because of</w:t>
      </w:r>
      <w:r>
        <w:t xml:space="preserve"> the test information.</w:t>
      </w:r>
    </w:p>
    <w:p w14:paraId="2AEB2CE5" w14:textId="77777777" w:rsidR="009B7079" w:rsidRDefault="009B7079">
      <w:pPr>
        <w:spacing w:after="160" w:line="259" w:lineRule="auto"/>
        <w:rPr>
          <w:b/>
          <w:bCs/>
          <w:color w:val="0070C0"/>
          <w:sz w:val="32"/>
          <w:szCs w:val="32"/>
        </w:rPr>
      </w:pPr>
      <w:r>
        <w:br w:type="page"/>
      </w:r>
    </w:p>
    <w:p w14:paraId="51234613" w14:textId="489583B9" w:rsidR="00566CF9" w:rsidRPr="00EA0AA0" w:rsidRDefault="00566CF9" w:rsidP="00EA0AA0">
      <w:pPr>
        <w:pStyle w:val="Heading1"/>
      </w:pPr>
      <w:r w:rsidRPr="00EA0AA0">
        <w:lastRenderedPageBreak/>
        <w:t>Proposed MBS items</w:t>
      </w:r>
    </w:p>
    <w:p w14:paraId="65E4A37C" w14:textId="17B967C3" w:rsidR="009C0554" w:rsidRDefault="009C0554" w:rsidP="00BC0C43">
      <w:pPr>
        <w:pStyle w:val="Heading2"/>
      </w:pPr>
      <w:r>
        <w:t>How is the technology/service funded at present? (</w:t>
      </w:r>
      <w:r w:rsidR="00EA0AA0">
        <w:t>e.g.,</w:t>
      </w:r>
      <w:r>
        <w:t xml:space="preserve"> research funding; State-based funding; self-funded by patients; no funding or payments): </w:t>
      </w:r>
    </w:p>
    <w:p w14:paraId="212E410A" w14:textId="72B0C368" w:rsidR="009C0554" w:rsidRPr="00BC0C43" w:rsidRDefault="00977088" w:rsidP="00BC0C43">
      <w:pPr>
        <w:rPr>
          <w:rFonts w:asciiTheme="minorHAnsi" w:eastAsia="Segoe UI" w:hAnsiTheme="minorHAnsi" w:cstheme="minorHAnsi"/>
          <w:color w:val="000000"/>
        </w:rPr>
      </w:pPr>
      <w:r>
        <w:t>no funding</w:t>
      </w:r>
      <w:r w:rsidR="00DD74AB">
        <w:t xml:space="preserve">; </w:t>
      </w:r>
      <w:r w:rsidR="00FD0B13">
        <w:t>occasionally state-base funding via hospital or self-funded by patients</w:t>
      </w:r>
    </w:p>
    <w:p w14:paraId="3F158DED" w14:textId="77777777" w:rsidR="00361BBE" w:rsidRDefault="00EA0AA0" w:rsidP="00BC0C43">
      <w:pPr>
        <w:pStyle w:val="Heading2"/>
      </w:pPr>
      <w:r>
        <w:t>P</w:t>
      </w:r>
      <w:r w:rsidR="00566CF9">
        <w:t xml:space="preserve">rovide at least one proposed item with their descriptor and associated costs, for each </w:t>
      </w:r>
      <w:r>
        <w:t>P</w:t>
      </w:r>
      <w:r w:rsidR="00566CF9">
        <w:t xml:space="preserve">opulation/Intervention: </w:t>
      </w:r>
    </w:p>
    <w:p w14:paraId="17C1E836" w14:textId="6DB85E0C" w:rsidR="00836A15" w:rsidRPr="00361BBE" w:rsidRDefault="0009097A" w:rsidP="00361BBE">
      <w:pPr>
        <w:pStyle w:val="Heading2"/>
        <w:spacing w:before="120" w:after="120"/>
        <w:rPr>
          <w:b w:val="0"/>
          <w:bCs w:val="0"/>
          <w:i/>
          <w:iCs/>
          <w:color w:val="538135" w:themeColor="accent6" w:themeShade="BF"/>
        </w:rPr>
      </w:pPr>
      <w:r w:rsidRPr="00361BBE">
        <w:rPr>
          <w:rStyle w:val="InstructionsChar"/>
          <w:b w:val="0"/>
          <w:bCs w:val="0"/>
          <w:i/>
          <w:iCs/>
          <w:color w:val="538135" w:themeColor="accent6" w:themeShade="BF"/>
        </w:rPr>
        <w:t>(</w:t>
      </w:r>
      <w:r w:rsidR="00361BBE" w:rsidRPr="00361BBE">
        <w:rPr>
          <w:rStyle w:val="InstructionsChar"/>
          <w:b w:val="0"/>
          <w:bCs w:val="0"/>
          <w:i/>
          <w:iCs/>
          <w:color w:val="538135" w:themeColor="accent6" w:themeShade="BF"/>
        </w:rPr>
        <w:t>P</w:t>
      </w:r>
      <w:r w:rsidRPr="00361BBE">
        <w:rPr>
          <w:rStyle w:val="InstructionsChar"/>
          <w:b w:val="0"/>
          <w:bCs w:val="0"/>
          <w:i/>
          <w:iCs/>
          <w:color w:val="538135" w:themeColor="accent6" w:themeShade="BF"/>
        </w:rPr>
        <w:t>lease copy the below questions and complete for each proposed item)</w:t>
      </w:r>
    </w:p>
    <w:tbl>
      <w:tblPr>
        <w:tblStyle w:val="TableGrid"/>
        <w:tblW w:w="0" w:type="auto"/>
        <w:tblLook w:val="04A0" w:firstRow="1" w:lastRow="0" w:firstColumn="1" w:lastColumn="0" w:noHBand="0" w:noVBand="1"/>
      </w:tblPr>
      <w:tblGrid>
        <w:gridCol w:w="3256"/>
        <w:gridCol w:w="6208"/>
      </w:tblGrid>
      <w:tr w:rsidR="00A05B4D" w14:paraId="550CA6B5" w14:textId="77777777" w:rsidTr="00A05B4D">
        <w:tc>
          <w:tcPr>
            <w:tcW w:w="3256" w:type="dxa"/>
          </w:tcPr>
          <w:p w14:paraId="392E8065" w14:textId="291357C7" w:rsidR="00A05B4D" w:rsidRPr="006B1118" w:rsidRDefault="00A05B4D" w:rsidP="00BC0C43">
            <w:pPr>
              <w:rPr>
                <w:sz w:val="21"/>
                <w:szCs w:val="21"/>
              </w:rPr>
            </w:pPr>
            <w:bookmarkStart w:id="3" w:name="_Hlk121232719"/>
            <w:r w:rsidRPr="006B1118">
              <w:rPr>
                <w:sz w:val="21"/>
                <w:szCs w:val="21"/>
              </w:rPr>
              <w:t xml:space="preserve">MBS item number </w:t>
            </w:r>
            <w:r w:rsidR="00BC0C43" w:rsidRPr="006B1118">
              <w:rPr>
                <w:sz w:val="21"/>
                <w:szCs w:val="21"/>
              </w:rPr>
              <w:br/>
            </w:r>
            <w:r w:rsidRPr="006B1118">
              <w:rPr>
                <w:sz w:val="21"/>
                <w:szCs w:val="21"/>
              </w:rPr>
              <w:t>(where used as a template for the proposed item)</w:t>
            </w:r>
          </w:p>
        </w:tc>
        <w:tc>
          <w:tcPr>
            <w:tcW w:w="6209" w:type="dxa"/>
          </w:tcPr>
          <w:p w14:paraId="4800781C" w14:textId="7757E560" w:rsidR="00A05B4D" w:rsidRPr="006B1118" w:rsidRDefault="00122992" w:rsidP="00BC0C43">
            <w:pPr>
              <w:rPr>
                <w:sz w:val="21"/>
                <w:szCs w:val="21"/>
              </w:rPr>
            </w:pPr>
            <w:r w:rsidRPr="00D10F13">
              <w:rPr>
                <w:sz w:val="21"/>
                <w:szCs w:val="21"/>
              </w:rPr>
              <w:t>41618 (</w:t>
            </w:r>
            <w:r w:rsidR="000F6984" w:rsidRPr="00D10F13">
              <w:rPr>
                <w:sz w:val="21"/>
                <w:szCs w:val="21"/>
              </w:rPr>
              <w:t>MEI for SNHL used as template)</w:t>
            </w:r>
          </w:p>
        </w:tc>
      </w:tr>
      <w:tr w:rsidR="00A05B4D" w14:paraId="28C30EF6" w14:textId="77777777" w:rsidTr="00A05B4D">
        <w:tc>
          <w:tcPr>
            <w:tcW w:w="3256" w:type="dxa"/>
          </w:tcPr>
          <w:p w14:paraId="6164541B" w14:textId="67698528" w:rsidR="00A05B4D" w:rsidRPr="006B1118" w:rsidRDefault="00A05B4D" w:rsidP="00BC0C43">
            <w:pPr>
              <w:rPr>
                <w:sz w:val="21"/>
                <w:szCs w:val="21"/>
              </w:rPr>
            </w:pPr>
            <w:r w:rsidRPr="006B1118">
              <w:rPr>
                <w:sz w:val="21"/>
                <w:szCs w:val="21"/>
              </w:rPr>
              <w:t>Category number</w:t>
            </w:r>
          </w:p>
        </w:tc>
        <w:tc>
          <w:tcPr>
            <w:tcW w:w="6209" w:type="dxa"/>
          </w:tcPr>
          <w:p w14:paraId="60FB6E4B" w14:textId="02079235" w:rsidR="00A05B4D" w:rsidRPr="006B1118" w:rsidRDefault="00C26306" w:rsidP="00BC0C43">
            <w:pPr>
              <w:rPr>
                <w:sz w:val="21"/>
                <w:szCs w:val="21"/>
              </w:rPr>
            </w:pPr>
            <w:r>
              <w:rPr>
                <w:sz w:val="21"/>
                <w:szCs w:val="21"/>
              </w:rPr>
              <w:t>3</w:t>
            </w:r>
          </w:p>
        </w:tc>
      </w:tr>
      <w:tr w:rsidR="00A05B4D" w14:paraId="27CB821A" w14:textId="77777777" w:rsidTr="00A05B4D">
        <w:tc>
          <w:tcPr>
            <w:tcW w:w="3256" w:type="dxa"/>
          </w:tcPr>
          <w:p w14:paraId="5E21B36E" w14:textId="39749155" w:rsidR="00A05B4D" w:rsidRPr="006B1118" w:rsidRDefault="00A05B4D" w:rsidP="00BC0C43">
            <w:pPr>
              <w:rPr>
                <w:sz w:val="21"/>
                <w:szCs w:val="21"/>
              </w:rPr>
            </w:pPr>
            <w:r w:rsidRPr="006B1118">
              <w:rPr>
                <w:sz w:val="21"/>
                <w:szCs w:val="21"/>
              </w:rPr>
              <w:t>Category description</w:t>
            </w:r>
          </w:p>
        </w:tc>
        <w:tc>
          <w:tcPr>
            <w:tcW w:w="6209" w:type="dxa"/>
          </w:tcPr>
          <w:p w14:paraId="4DED686A" w14:textId="7780B851" w:rsidR="00A05B4D" w:rsidRPr="006B1118" w:rsidRDefault="00C65285" w:rsidP="00BC0C43">
            <w:pPr>
              <w:rPr>
                <w:sz w:val="21"/>
                <w:szCs w:val="21"/>
              </w:rPr>
            </w:pPr>
            <w:r>
              <w:rPr>
                <w:sz w:val="21"/>
                <w:szCs w:val="21"/>
              </w:rPr>
              <w:t>Therapeutic Procedures</w:t>
            </w:r>
          </w:p>
        </w:tc>
      </w:tr>
      <w:tr w:rsidR="00A05B4D" w14:paraId="7AF5F341" w14:textId="77777777" w:rsidTr="00A05B4D">
        <w:tc>
          <w:tcPr>
            <w:tcW w:w="3256" w:type="dxa"/>
          </w:tcPr>
          <w:p w14:paraId="454ADFE2" w14:textId="5F0060E6" w:rsidR="00A05B4D" w:rsidRPr="006B1118" w:rsidRDefault="00A05B4D" w:rsidP="00BC0C43">
            <w:pPr>
              <w:rPr>
                <w:sz w:val="21"/>
                <w:szCs w:val="21"/>
              </w:rPr>
            </w:pPr>
            <w:r w:rsidRPr="00736D98">
              <w:rPr>
                <w:sz w:val="21"/>
                <w:szCs w:val="21"/>
              </w:rPr>
              <w:t>Proposed item descriptor</w:t>
            </w:r>
          </w:p>
        </w:tc>
        <w:tc>
          <w:tcPr>
            <w:tcW w:w="6209" w:type="dxa"/>
          </w:tcPr>
          <w:p w14:paraId="786FF0F3" w14:textId="0291D05D" w:rsidR="00DD5D7B" w:rsidRPr="003517EF" w:rsidRDefault="0038141E" w:rsidP="00DD5D7B">
            <w:pPr>
              <w:spacing w:after="240" w:line="300" w:lineRule="atLeast"/>
              <w:rPr>
                <w:sz w:val="21"/>
                <w:szCs w:val="21"/>
              </w:rPr>
            </w:pPr>
            <w:r w:rsidRPr="003517EF">
              <w:rPr>
                <w:sz w:val="21"/>
                <w:szCs w:val="21"/>
              </w:rPr>
              <w:t>Active m</w:t>
            </w:r>
            <w:r w:rsidR="00DD5D7B" w:rsidRPr="003517EF">
              <w:rPr>
                <w:sz w:val="21"/>
                <w:szCs w:val="21"/>
              </w:rPr>
              <w:t xml:space="preserve">iddle ear implant, partially implantable, insertion of, via </w:t>
            </w:r>
            <w:proofErr w:type="spellStart"/>
            <w:r w:rsidR="00641845" w:rsidRPr="003517EF">
              <w:rPr>
                <w:sz w:val="21"/>
                <w:szCs w:val="21"/>
              </w:rPr>
              <w:t>Vibroplasty</w:t>
            </w:r>
            <w:proofErr w:type="spellEnd"/>
            <w:r w:rsidR="00DD5D7B" w:rsidRPr="003517EF">
              <w:rPr>
                <w:sz w:val="21"/>
                <w:szCs w:val="21"/>
              </w:rPr>
              <w:t>, for patients with: </w:t>
            </w:r>
          </w:p>
          <w:p w14:paraId="797B95E8" w14:textId="559768E2" w:rsidR="00DD5D7B" w:rsidRPr="003517EF" w:rsidRDefault="00DD5D7B" w:rsidP="003E4892">
            <w:pPr>
              <w:pStyle w:val="ListParagraph"/>
              <w:numPr>
                <w:ilvl w:val="0"/>
                <w:numId w:val="11"/>
              </w:numPr>
              <w:spacing w:after="240" w:line="300" w:lineRule="atLeast"/>
              <w:rPr>
                <w:sz w:val="21"/>
                <w:szCs w:val="21"/>
              </w:rPr>
            </w:pPr>
            <w:r w:rsidRPr="003517EF">
              <w:rPr>
                <w:sz w:val="21"/>
                <w:szCs w:val="21"/>
              </w:rPr>
              <w:t>mixed or conductive hearing loss; and</w:t>
            </w:r>
          </w:p>
          <w:p w14:paraId="236BFE37" w14:textId="40B00E87" w:rsidR="005537FC" w:rsidRPr="003517EF" w:rsidRDefault="005537FC" w:rsidP="00DD5D7B">
            <w:pPr>
              <w:pStyle w:val="ListParagraph"/>
              <w:numPr>
                <w:ilvl w:val="0"/>
                <w:numId w:val="11"/>
              </w:numPr>
              <w:spacing w:after="240" w:line="300" w:lineRule="atLeast"/>
              <w:rPr>
                <w:sz w:val="21"/>
                <w:szCs w:val="21"/>
              </w:rPr>
            </w:pPr>
            <w:r w:rsidRPr="003517EF">
              <w:rPr>
                <w:sz w:val="21"/>
                <w:szCs w:val="21"/>
              </w:rPr>
              <w:t>no success or adequate benefit from surgical therapy or bone</w:t>
            </w:r>
            <w:r w:rsidR="00807D5D" w:rsidRPr="003517EF">
              <w:rPr>
                <w:sz w:val="21"/>
                <w:szCs w:val="21"/>
              </w:rPr>
              <w:t xml:space="preserve"> </w:t>
            </w:r>
            <w:r w:rsidRPr="003517EF">
              <w:rPr>
                <w:sz w:val="21"/>
                <w:szCs w:val="21"/>
              </w:rPr>
              <w:t>conduction devices; or</w:t>
            </w:r>
          </w:p>
          <w:p w14:paraId="4A23AC57" w14:textId="79C524D7" w:rsidR="00DD5D7B" w:rsidRPr="003517EF" w:rsidRDefault="005537FC" w:rsidP="003E4892">
            <w:pPr>
              <w:pStyle w:val="ListParagraph"/>
              <w:numPr>
                <w:ilvl w:val="0"/>
                <w:numId w:val="11"/>
              </w:numPr>
              <w:spacing w:after="240" w:line="300" w:lineRule="atLeast"/>
              <w:rPr>
                <w:sz w:val="21"/>
                <w:szCs w:val="21"/>
              </w:rPr>
            </w:pPr>
            <w:proofErr w:type="spellStart"/>
            <w:r w:rsidRPr="003517EF">
              <w:rPr>
                <w:sz w:val="21"/>
                <w:szCs w:val="21"/>
              </w:rPr>
              <w:t>can</w:t>
            </w:r>
            <w:r w:rsidR="00807D5D" w:rsidRPr="003517EF">
              <w:rPr>
                <w:sz w:val="21"/>
                <w:szCs w:val="21"/>
              </w:rPr>
              <w:t xml:space="preserve"> </w:t>
            </w:r>
            <w:r w:rsidRPr="003517EF">
              <w:rPr>
                <w:sz w:val="21"/>
                <w:szCs w:val="21"/>
              </w:rPr>
              <w:t>not</w:t>
            </w:r>
            <w:proofErr w:type="spellEnd"/>
            <w:r w:rsidRPr="003517EF">
              <w:rPr>
                <w:sz w:val="21"/>
                <w:szCs w:val="21"/>
              </w:rPr>
              <w:t xml:space="preserve"> wear traditional hearing aids.</w:t>
            </w:r>
          </w:p>
          <w:p w14:paraId="647BC308" w14:textId="202BFD0E" w:rsidR="00A05B4D" w:rsidRPr="006B1118" w:rsidRDefault="00A05B4D" w:rsidP="00BC0C43">
            <w:pPr>
              <w:rPr>
                <w:sz w:val="21"/>
                <w:szCs w:val="21"/>
              </w:rPr>
            </w:pPr>
          </w:p>
        </w:tc>
      </w:tr>
      <w:tr w:rsidR="00A05B4D" w14:paraId="2C0CA02D" w14:textId="77777777" w:rsidTr="00A05B4D">
        <w:tc>
          <w:tcPr>
            <w:tcW w:w="3256" w:type="dxa"/>
          </w:tcPr>
          <w:p w14:paraId="4881ED4A" w14:textId="6F25EF4B" w:rsidR="00A05B4D" w:rsidRPr="006B1118" w:rsidRDefault="00A05B4D" w:rsidP="00BC0C43">
            <w:pPr>
              <w:rPr>
                <w:sz w:val="21"/>
                <w:szCs w:val="21"/>
              </w:rPr>
            </w:pPr>
            <w:r w:rsidRPr="006B1118">
              <w:rPr>
                <w:sz w:val="21"/>
                <w:szCs w:val="21"/>
              </w:rPr>
              <w:t>Proposed MBS fee</w:t>
            </w:r>
          </w:p>
        </w:tc>
        <w:tc>
          <w:tcPr>
            <w:tcW w:w="6209" w:type="dxa"/>
          </w:tcPr>
          <w:p w14:paraId="3B790048" w14:textId="5297D5C8" w:rsidR="00A05B4D" w:rsidRPr="006B1118" w:rsidRDefault="00C65285" w:rsidP="00BC0C43">
            <w:pPr>
              <w:rPr>
                <w:sz w:val="21"/>
                <w:szCs w:val="21"/>
              </w:rPr>
            </w:pPr>
            <w:r w:rsidRPr="00C65285">
              <w:rPr>
                <w:sz w:val="21"/>
                <w:szCs w:val="21"/>
              </w:rPr>
              <w:t>$2,138.30</w:t>
            </w:r>
          </w:p>
        </w:tc>
      </w:tr>
      <w:tr w:rsidR="00A05B4D" w14:paraId="0984AD65" w14:textId="77777777" w:rsidTr="00B842C2">
        <w:trPr>
          <w:cantSplit/>
        </w:trPr>
        <w:tc>
          <w:tcPr>
            <w:tcW w:w="3256" w:type="dxa"/>
          </w:tcPr>
          <w:p w14:paraId="7B69A5E7" w14:textId="0C7AED59" w:rsidR="00A05B4D" w:rsidRPr="007B3EA3" w:rsidRDefault="00A05B4D" w:rsidP="00BC0C43">
            <w:pPr>
              <w:rPr>
                <w:sz w:val="21"/>
                <w:szCs w:val="21"/>
              </w:rPr>
            </w:pPr>
            <w:r w:rsidRPr="007B3EA3">
              <w:rPr>
                <w:sz w:val="21"/>
                <w:szCs w:val="21"/>
              </w:rPr>
              <w:t>Indicate the overall cost per patient of providing the proposed health technology</w:t>
            </w:r>
          </w:p>
        </w:tc>
        <w:tc>
          <w:tcPr>
            <w:tcW w:w="6209" w:type="dxa"/>
            <w:shd w:val="clear" w:color="auto" w:fill="auto"/>
          </w:tcPr>
          <w:p w14:paraId="2523C2C2" w14:textId="6EEE1DCB" w:rsidR="00711A4D" w:rsidRDefault="00711A4D" w:rsidP="00602FD1">
            <w:pPr>
              <w:rPr>
                <w:sz w:val="21"/>
                <w:szCs w:val="21"/>
              </w:rPr>
            </w:pPr>
            <w:r>
              <w:rPr>
                <w:sz w:val="21"/>
                <w:szCs w:val="21"/>
              </w:rPr>
              <w:t>Audiology</w:t>
            </w:r>
            <w:r w:rsidRPr="007B3EA3">
              <w:rPr>
                <w:sz w:val="21"/>
                <w:szCs w:val="21"/>
              </w:rPr>
              <w:t xml:space="preserve"> testing</w:t>
            </w:r>
            <w:r w:rsidR="004654B8">
              <w:rPr>
                <w:sz w:val="21"/>
                <w:szCs w:val="21"/>
              </w:rPr>
              <w:t>:</w:t>
            </w:r>
          </w:p>
          <w:p w14:paraId="1290B2D2" w14:textId="4ADDB8B0" w:rsidR="00711A4D" w:rsidRDefault="00711A4D" w:rsidP="00602FD1">
            <w:pPr>
              <w:rPr>
                <w:sz w:val="21"/>
                <w:szCs w:val="21"/>
              </w:rPr>
            </w:pPr>
            <w:r w:rsidRPr="00711A4D">
              <w:rPr>
                <w:sz w:val="21"/>
                <w:szCs w:val="21"/>
              </w:rPr>
              <w:t>$</w:t>
            </w:r>
            <w:r w:rsidR="00807D5D">
              <w:rPr>
                <w:sz w:val="21"/>
                <w:szCs w:val="21"/>
              </w:rPr>
              <w:t> </w:t>
            </w:r>
            <w:r w:rsidRPr="00711A4D">
              <w:rPr>
                <w:sz w:val="21"/>
                <w:szCs w:val="21"/>
              </w:rPr>
              <w:t>38.10 air and bone conduction and speech discrimination audiogram </w:t>
            </w:r>
            <w:r>
              <w:rPr>
                <w:sz w:val="21"/>
                <w:szCs w:val="21"/>
              </w:rPr>
              <w:t xml:space="preserve">(MBS 82315 </w:t>
            </w:r>
            <w:r w:rsidRPr="007B3EA3">
              <w:rPr>
                <w:sz w:val="21"/>
                <w:szCs w:val="21"/>
              </w:rPr>
              <w:t>85</w:t>
            </w:r>
            <w:r w:rsidR="00807D5D">
              <w:rPr>
                <w:sz w:val="21"/>
                <w:szCs w:val="21"/>
              </w:rPr>
              <w:t> </w:t>
            </w:r>
            <w:r w:rsidRPr="007B3EA3">
              <w:rPr>
                <w:sz w:val="21"/>
                <w:szCs w:val="21"/>
              </w:rPr>
              <w:t>% fee</w:t>
            </w:r>
            <w:r>
              <w:rPr>
                <w:sz w:val="21"/>
                <w:szCs w:val="21"/>
              </w:rPr>
              <w:t>)</w:t>
            </w:r>
          </w:p>
          <w:p w14:paraId="19E26B5B" w14:textId="4CB2B5F2" w:rsidR="00711A4D" w:rsidRDefault="00711A4D" w:rsidP="00602FD1">
            <w:r>
              <w:t xml:space="preserve">$15.50 </w:t>
            </w:r>
            <w:r w:rsidRPr="009E7765">
              <w:t xml:space="preserve">impedance audiogram </w:t>
            </w:r>
            <w:r>
              <w:t xml:space="preserve">(MBS </w:t>
            </w:r>
            <w:r w:rsidRPr="009E7765">
              <w:t>82324</w:t>
            </w:r>
            <w:r>
              <w:t xml:space="preserve"> 85</w:t>
            </w:r>
            <w:r w:rsidR="00807D5D">
              <w:t> </w:t>
            </w:r>
            <w:r>
              <w:t>% fee)</w:t>
            </w:r>
            <w:r w:rsidR="004654B8">
              <w:t xml:space="preserve"> or</w:t>
            </w:r>
          </w:p>
          <w:p w14:paraId="670B981E" w14:textId="6F3E22C4" w:rsidR="00161DFC" w:rsidRDefault="004654B8" w:rsidP="00602FD1">
            <w:r>
              <w:t>$19.25 (MBS 11324 85</w:t>
            </w:r>
            <w:r w:rsidR="00807D5D">
              <w:t> </w:t>
            </w:r>
            <w:r>
              <w:t>% fee)</w:t>
            </w:r>
          </w:p>
          <w:p w14:paraId="42CF7292" w14:textId="24A15468" w:rsidR="00BD7CB1" w:rsidRDefault="004654B8" w:rsidP="00602FD1">
            <w:pPr>
              <w:rPr>
                <w:sz w:val="21"/>
                <w:szCs w:val="21"/>
              </w:rPr>
            </w:pPr>
            <w:r>
              <w:rPr>
                <w:sz w:val="21"/>
                <w:szCs w:val="21"/>
              </w:rPr>
              <w:t>A</w:t>
            </w:r>
            <w:r w:rsidR="00917134" w:rsidRPr="007B3EA3">
              <w:rPr>
                <w:sz w:val="21"/>
                <w:szCs w:val="21"/>
              </w:rPr>
              <w:t>udiology</w:t>
            </w:r>
            <w:r w:rsidR="008F5A41" w:rsidRPr="007B3EA3">
              <w:rPr>
                <w:sz w:val="21"/>
                <w:szCs w:val="21"/>
              </w:rPr>
              <w:t xml:space="preserve"> programming/fitting</w:t>
            </w:r>
            <w:r>
              <w:rPr>
                <w:sz w:val="21"/>
                <w:szCs w:val="21"/>
              </w:rPr>
              <w:t>:</w:t>
            </w:r>
          </w:p>
          <w:p w14:paraId="03B0FDCA" w14:textId="4AA13305" w:rsidR="004654B8" w:rsidRDefault="00161DFC" w:rsidP="00602FD1">
            <w:r w:rsidRPr="00161DFC">
              <w:rPr>
                <w:sz w:val="21"/>
                <w:szCs w:val="21"/>
              </w:rPr>
              <w:t>$149.10</w:t>
            </w:r>
            <w:r>
              <w:rPr>
                <w:sz w:val="21"/>
                <w:szCs w:val="21"/>
              </w:rPr>
              <w:t xml:space="preserve"> </w:t>
            </w:r>
            <w:r w:rsidR="004654B8" w:rsidRPr="005C524F">
              <w:t>programming an auditory implant or the sound processor of an auditory implant</w:t>
            </w:r>
            <w:r w:rsidR="004654B8">
              <w:t xml:space="preserve"> (MBS </w:t>
            </w:r>
            <w:r w:rsidR="004654B8">
              <w:rPr>
                <w:sz w:val="21"/>
                <w:szCs w:val="21"/>
              </w:rPr>
              <w:t xml:space="preserve">82301 </w:t>
            </w:r>
            <w:r w:rsidR="004654B8">
              <w:t>85</w:t>
            </w:r>
            <w:r w:rsidR="00807D5D">
              <w:t> </w:t>
            </w:r>
            <w:r w:rsidR="004654B8">
              <w:t>% fee) or</w:t>
            </w:r>
          </w:p>
          <w:p w14:paraId="02040246" w14:textId="0D2902C9" w:rsidR="004654B8" w:rsidRPr="007B3EA3" w:rsidRDefault="004654B8" w:rsidP="00602FD1">
            <w:pPr>
              <w:rPr>
                <w:sz w:val="21"/>
                <w:szCs w:val="21"/>
              </w:rPr>
            </w:pPr>
            <w:r w:rsidRPr="004654B8">
              <w:t xml:space="preserve">$186.45 </w:t>
            </w:r>
            <w:r>
              <w:t>(MBS 11302 85</w:t>
            </w:r>
            <w:r w:rsidR="00807D5D">
              <w:t> </w:t>
            </w:r>
            <w:r>
              <w:t>% fee)</w:t>
            </w:r>
          </w:p>
          <w:p w14:paraId="29300F75" w14:textId="3C3F59BA" w:rsidR="00731405" w:rsidRPr="007B3EA3" w:rsidRDefault="004C70D6" w:rsidP="00BC0C43">
            <w:pPr>
              <w:rPr>
                <w:sz w:val="21"/>
                <w:szCs w:val="21"/>
              </w:rPr>
            </w:pPr>
            <w:r w:rsidRPr="007B3EA3">
              <w:rPr>
                <w:sz w:val="21"/>
                <w:szCs w:val="21"/>
              </w:rPr>
              <w:t>$</w:t>
            </w:r>
            <w:r w:rsidR="00807D5D">
              <w:rPr>
                <w:sz w:val="21"/>
                <w:szCs w:val="21"/>
              </w:rPr>
              <w:t> </w:t>
            </w:r>
            <w:r w:rsidRPr="007B3EA3">
              <w:rPr>
                <w:sz w:val="21"/>
                <w:szCs w:val="21"/>
              </w:rPr>
              <w:t xml:space="preserve">270.90 </w:t>
            </w:r>
            <w:r w:rsidR="00933663" w:rsidRPr="007B3EA3">
              <w:rPr>
                <w:sz w:val="21"/>
                <w:szCs w:val="21"/>
              </w:rPr>
              <w:t>CT scan</w:t>
            </w:r>
            <w:r w:rsidRPr="007B3EA3">
              <w:rPr>
                <w:sz w:val="21"/>
                <w:szCs w:val="21"/>
              </w:rPr>
              <w:t xml:space="preserve"> (MBS 56016 85</w:t>
            </w:r>
            <w:r w:rsidR="00807D5D">
              <w:rPr>
                <w:sz w:val="21"/>
                <w:szCs w:val="21"/>
              </w:rPr>
              <w:t> </w:t>
            </w:r>
            <w:r w:rsidRPr="007B3EA3">
              <w:rPr>
                <w:sz w:val="21"/>
                <w:szCs w:val="21"/>
              </w:rPr>
              <w:t>% fee)</w:t>
            </w:r>
          </w:p>
          <w:p w14:paraId="629E63F2" w14:textId="43C22083" w:rsidR="00282C53" w:rsidRPr="007B3EA3" w:rsidRDefault="00A3696E" w:rsidP="009B6B83">
            <w:pPr>
              <w:rPr>
                <w:sz w:val="21"/>
                <w:szCs w:val="21"/>
              </w:rPr>
            </w:pPr>
            <w:r w:rsidRPr="007B3EA3">
              <w:rPr>
                <w:sz w:val="21"/>
                <w:szCs w:val="21"/>
              </w:rPr>
              <w:t>$</w:t>
            </w:r>
            <w:r w:rsidR="00807D5D">
              <w:rPr>
                <w:sz w:val="21"/>
                <w:szCs w:val="21"/>
              </w:rPr>
              <w:t> </w:t>
            </w:r>
            <w:r w:rsidRPr="007B3EA3">
              <w:rPr>
                <w:sz w:val="21"/>
                <w:szCs w:val="21"/>
              </w:rPr>
              <w:t>2138.30</w:t>
            </w:r>
            <w:r w:rsidR="00282C53" w:rsidRPr="007B3EA3">
              <w:rPr>
                <w:sz w:val="21"/>
                <w:szCs w:val="21"/>
              </w:rPr>
              <w:t xml:space="preserve"> proposed MBS fee</w:t>
            </w:r>
            <w:r w:rsidR="00C567F1" w:rsidRPr="007B3EA3">
              <w:rPr>
                <w:sz w:val="21"/>
                <w:szCs w:val="21"/>
              </w:rPr>
              <w:t xml:space="preserve"> for surgical implantation</w:t>
            </w:r>
          </w:p>
          <w:p w14:paraId="32955F98" w14:textId="4BB12EEA" w:rsidR="009B6B83" w:rsidRPr="007B3EA3" w:rsidRDefault="009B6B83" w:rsidP="009B6B83">
            <w:pPr>
              <w:rPr>
                <w:sz w:val="21"/>
                <w:szCs w:val="21"/>
              </w:rPr>
            </w:pPr>
            <w:r w:rsidRPr="007B3EA3">
              <w:rPr>
                <w:sz w:val="21"/>
                <w:szCs w:val="21"/>
              </w:rPr>
              <w:t>$</w:t>
            </w:r>
            <w:r w:rsidR="00807D5D">
              <w:rPr>
                <w:sz w:val="21"/>
                <w:szCs w:val="21"/>
              </w:rPr>
              <w:t> </w:t>
            </w:r>
            <w:r w:rsidRPr="007B3EA3">
              <w:rPr>
                <w:sz w:val="21"/>
                <w:szCs w:val="21"/>
              </w:rPr>
              <w:t xml:space="preserve">350 </w:t>
            </w:r>
            <w:proofErr w:type="spellStart"/>
            <w:r w:rsidRPr="007B3EA3">
              <w:rPr>
                <w:sz w:val="21"/>
                <w:szCs w:val="21"/>
              </w:rPr>
              <w:t>Vibroplasty</w:t>
            </w:r>
            <w:proofErr w:type="spellEnd"/>
            <w:r w:rsidRPr="007B3EA3">
              <w:rPr>
                <w:sz w:val="21"/>
                <w:szCs w:val="21"/>
              </w:rPr>
              <w:t xml:space="preserve"> coupler</w:t>
            </w:r>
          </w:p>
          <w:p w14:paraId="27812063" w14:textId="17120263" w:rsidR="009B6B83" w:rsidRPr="007B3EA3" w:rsidRDefault="009B6B83" w:rsidP="009B6B83">
            <w:pPr>
              <w:rPr>
                <w:sz w:val="21"/>
                <w:szCs w:val="21"/>
              </w:rPr>
            </w:pPr>
            <w:r w:rsidRPr="007B3EA3">
              <w:rPr>
                <w:sz w:val="21"/>
                <w:szCs w:val="21"/>
              </w:rPr>
              <w:t>$</w:t>
            </w:r>
            <w:r w:rsidR="00145993" w:rsidRPr="00D10F13">
              <w:rPr>
                <w:sz w:val="21"/>
                <w:szCs w:val="21"/>
              </w:rPr>
              <w:t>7,166</w:t>
            </w:r>
            <w:r w:rsidRPr="007B3EA3">
              <w:rPr>
                <w:sz w:val="21"/>
                <w:szCs w:val="21"/>
              </w:rPr>
              <w:t xml:space="preserve"> SAMBA 2 </w:t>
            </w:r>
            <w:r w:rsidR="00993EE6">
              <w:rPr>
                <w:sz w:val="21"/>
                <w:szCs w:val="21"/>
              </w:rPr>
              <w:t>a</w:t>
            </w:r>
            <w:r w:rsidR="00993EE6" w:rsidRPr="007B3EA3">
              <w:rPr>
                <w:sz w:val="21"/>
                <w:szCs w:val="21"/>
              </w:rPr>
              <w:t xml:space="preserve">udio </w:t>
            </w:r>
            <w:r w:rsidR="00993EE6">
              <w:rPr>
                <w:sz w:val="21"/>
                <w:szCs w:val="21"/>
              </w:rPr>
              <w:t>p</w:t>
            </w:r>
            <w:r w:rsidR="00993EE6" w:rsidRPr="007B3EA3">
              <w:rPr>
                <w:sz w:val="21"/>
                <w:szCs w:val="21"/>
              </w:rPr>
              <w:t>rocessor</w:t>
            </w:r>
          </w:p>
          <w:p w14:paraId="1F0E7AAB" w14:textId="6662B337" w:rsidR="00A05B4D" w:rsidRPr="007B3EA3" w:rsidRDefault="009B6B83" w:rsidP="009B6B83">
            <w:pPr>
              <w:rPr>
                <w:sz w:val="21"/>
                <w:szCs w:val="21"/>
              </w:rPr>
            </w:pPr>
            <w:r w:rsidRPr="007B3EA3">
              <w:rPr>
                <w:sz w:val="21"/>
                <w:szCs w:val="21"/>
              </w:rPr>
              <w:t>$7,470</w:t>
            </w:r>
            <w:r w:rsidR="00A3696E" w:rsidRPr="007B3EA3">
              <w:rPr>
                <w:sz w:val="21"/>
                <w:szCs w:val="21"/>
              </w:rPr>
              <w:t xml:space="preserve"> </w:t>
            </w:r>
            <w:r w:rsidR="00B770CD" w:rsidRPr="007B3EA3">
              <w:rPr>
                <w:sz w:val="21"/>
                <w:szCs w:val="21"/>
              </w:rPr>
              <w:t>VORP</w:t>
            </w:r>
            <w:r w:rsidR="00807D5D">
              <w:rPr>
                <w:sz w:val="21"/>
                <w:szCs w:val="21"/>
              </w:rPr>
              <w:t> </w:t>
            </w:r>
            <w:r w:rsidR="00B770CD" w:rsidRPr="007B3EA3">
              <w:rPr>
                <w:sz w:val="21"/>
                <w:szCs w:val="21"/>
              </w:rPr>
              <w:t xml:space="preserve">503 </w:t>
            </w:r>
            <w:proofErr w:type="gramStart"/>
            <w:r w:rsidR="00B770CD" w:rsidRPr="007B3EA3">
              <w:rPr>
                <w:sz w:val="21"/>
                <w:szCs w:val="21"/>
              </w:rPr>
              <w:t>implant</w:t>
            </w:r>
            <w:proofErr w:type="gramEnd"/>
            <w:r w:rsidR="00B770CD" w:rsidRPr="007B3EA3">
              <w:rPr>
                <w:sz w:val="21"/>
                <w:szCs w:val="21"/>
              </w:rPr>
              <w:t xml:space="preserve"> </w:t>
            </w:r>
          </w:p>
        </w:tc>
      </w:tr>
      <w:tr w:rsidR="00A05B4D" w14:paraId="273F94AE" w14:textId="77777777" w:rsidTr="00602FD1">
        <w:tc>
          <w:tcPr>
            <w:tcW w:w="3256" w:type="dxa"/>
            <w:shd w:val="clear" w:color="auto" w:fill="auto"/>
          </w:tcPr>
          <w:p w14:paraId="41FCA2CE" w14:textId="1F2EB5A8" w:rsidR="00A05B4D" w:rsidRPr="00602FD1" w:rsidRDefault="00A05B4D" w:rsidP="00BC0C43">
            <w:pPr>
              <w:rPr>
                <w:sz w:val="21"/>
                <w:szCs w:val="21"/>
              </w:rPr>
            </w:pPr>
            <w:r w:rsidRPr="00602FD1">
              <w:rPr>
                <w:sz w:val="21"/>
                <w:szCs w:val="21"/>
              </w:rPr>
              <w:t>Please specify any anticipated out of pocket expenses</w:t>
            </w:r>
          </w:p>
        </w:tc>
        <w:tc>
          <w:tcPr>
            <w:tcW w:w="6209" w:type="dxa"/>
          </w:tcPr>
          <w:p w14:paraId="13FE8BA2" w14:textId="584E9D8F" w:rsidR="00A05B4D" w:rsidRPr="006B1118" w:rsidRDefault="00711A4D" w:rsidP="00BC0C43">
            <w:pPr>
              <w:rPr>
                <w:rFonts w:eastAsia="Segoe UI"/>
                <w:bCs/>
                <w:color w:val="000000"/>
                <w:sz w:val="21"/>
                <w:szCs w:val="21"/>
              </w:rPr>
            </w:pPr>
            <w:r>
              <w:rPr>
                <w:sz w:val="21"/>
                <w:szCs w:val="21"/>
              </w:rPr>
              <w:t>$56/year batteries for audio processor (estimation based on 8 cards of batteries per year at $7/card)</w:t>
            </w:r>
          </w:p>
        </w:tc>
      </w:tr>
      <w:tr w:rsidR="00A05B4D" w14:paraId="553E9440" w14:textId="77777777" w:rsidTr="00602FD1">
        <w:tc>
          <w:tcPr>
            <w:tcW w:w="3256" w:type="dxa"/>
            <w:shd w:val="clear" w:color="auto" w:fill="auto"/>
          </w:tcPr>
          <w:p w14:paraId="4D378DFC" w14:textId="4C67A6B8" w:rsidR="00A05B4D" w:rsidRPr="00602FD1" w:rsidRDefault="00A05B4D" w:rsidP="00BC0C43">
            <w:pPr>
              <w:rPr>
                <w:sz w:val="21"/>
                <w:szCs w:val="21"/>
              </w:rPr>
            </w:pPr>
            <w:r w:rsidRPr="00602FD1">
              <w:rPr>
                <w:sz w:val="21"/>
                <w:szCs w:val="21"/>
              </w:rPr>
              <w:lastRenderedPageBreak/>
              <w:t>Provide any further details and explain</w:t>
            </w:r>
          </w:p>
        </w:tc>
        <w:tc>
          <w:tcPr>
            <w:tcW w:w="6209" w:type="dxa"/>
          </w:tcPr>
          <w:p w14:paraId="674ECDEB" w14:textId="2E6D9314" w:rsidR="00A05B4D" w:rsidRPr="006B1118" w:rsidRDefault="00D45FB0" w:rsidP="00BC0C43">
            <w:pPr>
              <w:rPr>
                <w:rFonts w:eastAsia="Segoe UI"/>
                <w:bCs/>
                <w:color w:val="000000"/>
                <w:sz w:val="21"/>
                <w:szCs w:val="21"/>
              </w:rPr>
            </w:pPr>
            <w:r w:rsidRPr="00602FD1">
              <w:rPr>
                <w:sz w:val="21"/>
                <w:szCs w:val="21"/>
              </w:rPr>
              <w:t>anticipated out of pocket expenses</w:t>
            </w:r>
            <w:r w:rsidRPr="00D45FB0">
              <w:rPr>
                <w:sz w:val="21"/>
                <w:szCs w:val="21"/>
              </w:rPr>
              <w:t xml:space="preserve"> </w:t>
            </w:r>
            <w:r>
              <w:rPr>
                <w:sz w:val="21"/>
                <w:szCs w:val="21"/>
              </w:rPr>
              <w:t xml:space="preserve">are </w:t>
            </w:r>
            <w:r w:rsidR="000F4A6F">
              <w:rPr>
                <w:sz w:val="21"/>
                <w:szCs w:val="21"/>
              </w:rPr>
              <w:t xml:space="preserve">per </w:t>
            </w:r>
            <w:r w:rsidRPr="00D45FB0">
              <w:rPr>
                <w:sz w:val="21"/>
                <w:szCs w:val="21"/>
              </w:rPr>
              <w:t xml:space="preserve">year </w:t>
            </w:r>
            <w:r w:rsidR="000F4A6F">
              <w:rPr>
                <w:sz w:val="21"/>
                <w:szCs w:val="21"/>
              </w:rPr>
              <w:t xml:space="preserve">for </w:t>
            </w:r>
            <w:r w:rsidRPr="00D45FB0">
              <w:rPr>
                <w:sz w:val="21"/>
                <w:szCs w:val="21"/>
              </w:rPr>
              <w:t>batteries for</w:t>
            </w:r>
            <w:r w:rsidR="000F4A6F">
              <w:rPr>
                <w:sz w:val="21"/>
                <w:szCs w:val="21"/>
              </w:rPr>
              <w:t xml:space="preserve"> the</w:t>
            </w:r>
            <w:r w:rsidRPr="00D45FB0">
              <w:rPr>
                <w:sz w:val="21"/>
                <w:szCs w:val="21"/>
              </w:rPr>
              <w:t xml:space="preserve"> audio processor (estimation based on 8 cards of batteries per year at $7/card)</w:t>
            </w:r>
          </w:p>
        </w:tc>
      </w:tr>
    </w:tbl>
    <w:bookmarkEnd w:id="3"/>
    <w:p w14:paraId="321449D0" w14:textId="53188756" w:rsidR="005E1CFB" w:rsidRPr="00EA0AA0" w:rsidRDefault="0090168B" w:rsidP="00EA0AA0">
      <w:pPr>
        <w:pStyle w:val="Heading1"/>
      </w:pPr>
      <w:r w:rsidRPr="00EA0AA0">
        <w:t>Algorithms</w:t>
      </w:r>
    </w:p>
    <w:p w14:paraId="7EDD3EB5" w14:textId="76582628" w:rsidR="0090168B" w:rsidRPr="00EA0AA0" w:rsidRDefault="00EA0AA0" w:rsidP="00BC0C43">
      <w:pPr>
        <w:pStyle w:val="Heading2"/>
        <w:rPr>
          <w:u w:val="single"/>
        </w:rPr>
      </w:pPr>
      <w:r w:rsidRPr="00EA0AA0">
        <w:rPr>
          <w:u w:val="single"/>
        </w:rPr>
        <w:t>PREPARATION FOR USING THE HEALTH TECHNOLOGY</w:t>
      </w:r>
    </w:p>
    <w:p w14:paraId="463FDC5D" w14:textId="5634DB9D" w:rsidR="005E1CFB" w:rsidRPr="00BC0C43" w:rsidRDefault="0090168B" w:rsidP="00BC0C43">
      <w:pPr>
        <w:pStyle w:val="Heading2"/>
      </w:pPr>
      <w:r>
        <w:t xml:space="preserve">Define and summarise the clinical management algorithm, including any required tests or healthcare resources, before patients would be eligible for the </w:t>
      </w:r>
      <w:r w:rsidRPr="00DD0A06">
        <w:rPr>
          <w:u w:val="single"/>
        </w:rPr>
        <w:t>proposed health technology</w:t>
      </w:r>
      <w:r w:rsidR="005E1CFB">
        <w:t>:</w:t>
      </w:r>
    </w:p>
    <w:p w14:paraId="04EE1610" w14:textId="1A17DEFB" w:rsidR="00FF2A0A" w:rsidRDefault="00FF2A0A" w:rsidP="00FF2A0A">
      <w:r>
        <w:t>Patients presenting with hearing problems typically undergo a standard ENT visit including audiometric screening first. Depending on the type of hearing loss and/or comorbidities, more advanced audiological tests (speech audiometry, impedance audiometry) may be required. First</w:t>
      </w:r>
      <w:r w:rsidR="00807D5D">
        <w:t>-</w:t>
      </w:r>
      <w:r>
        <w:t>line treatments for patients diagnosed with C/MHL include reconstructive surgery (combined with traditional hearing aids) or bone</w:t>
      </w:r>
      <w:r w:rsidR="00807D5D">
        <w:t xml:space="preserve"> </w:t>
      </w:r>
      <w:r>
        <w:t>conduction solutions. If these are not feasible or not effective, the proposed treatment (</w:t>
      </w:r>
      <w:proofErr w:type="spellStart"/>
      <w:r>
        <w:t>Vibroplasty</w:t>
      </w:r>
      <w:proofErr w:type="spellEnd"/>
      <w:r>
        <w:t>/</w:t>
      </w:r>
      <w:proofErr w:type="spellStart"/>
      <w:r>
        <w:t>aMEI</w:t>
      </w:r>
      <w:proofErr w:type="spellEnd"/>
      <w:r>
        <w:t>) emerges as second</w:t>
      </w:r>
      <w:r w:rsidR="00807D5D">
        <w:t>-</w:t>
      </w:r>
      <w:r>
        <w:t xml:space="preserve">line treatment. An interdisciplinary team of healthcare professionals needs to determine </w:t>
      </w:r>
      <w:proofErr w:type="spellStart"/>
      <w:r>
        <w:t>aMEI</w:t>
      </w:r>
      <w:proofErr w:type="spellEnd"/>
      <w:r>
        <w:t xml:space="preserve"> candidacy and ideal timepoint for implantation based on the patient’s history, the management plan for the pathology, severity of hearing loss and potential expectations of the patient. A CT scan is recommended before deciding for a specific surgical strategy.</w:t>
      </w:r>
    </w:p>
    <w:p w14:paraId="30DA13E0" w14:textId="77777777" w:rsidR="00FF2A0A" w:rsidRDefault="00FF2A0A" w:rsidP="00FF2A0A"/>
    <w:p w14:paraId="4131E93D" w14:textId="44D9E7B5" w:rsidR="005E1CFB" w:rsidRDefault="0090168B" w:rsidP="00BC0C43">
      <w:pPr>
        <w:rPr>
          <w:bCs/>
        </w:rPr>
      </w:pPr>
      <w:r w:rsidRPr="00BC0C43">
        <w:rPr>
          <w:rStyle w:val="Heading2Char"/>
        </w:rPr>
        <w:t>Is there any expectation that the clinical management algorithm before the health technology is used will change due to the introduction of the proposed health technology</w:t>
      </w:r>
      <w:r w:rsidR="005E1CFB" w:rsidRPr="00BC0C43">
        <w:rPr>
          <w:rStyle w:val="Heading2Char"/>
        </w:rPr>
        <w:t xml:space="preserve">? </w:t>
      </w:r>
    </w:p>
    <w:p w14:paraId="1D885E3C" w14:textId="1DFC4C87" w:rsidR="00FF2A0A" w:rsidRDefault="00FF2A0A" w:rsidP="00FF2A0A">
      <w:r w:rsidRPr="00BF4BAA">
        <w:rPr>
          <w:highlight w:val="lightGray"/>
        </w:rPr>
        <w:t>No</w:t>
      </w:r>
      <w:r>
        <w:t xml:space="preserve">. The same management algorithm is currently used for </w:t>
      </w:r>
      <w:proofErr w:type="spellStart"/>
      <w:r>
        <w:t>aBCIs</w:t>
      </w:r>
      <w:proofErr w:type="spellEnd"/>
      <w:r>
        <w:t xml:space="preserve"> (under MBS item 41603) and </w:t>
      </w:r>
      <w:proofErr w:type="spellStart"/>
      <w:r>
        <w:t>aMEI</w:t>
      </w:r>
      <w:proofErr w:type="spellEnd"/>
      <w:r>
        <w:t xml:space="preserve"> for SNHL (MBS item </w:t>
      </w:r>
      <w:r w:rsidRPr="00D10F13">
        <w:rPr>
          <w:sz w:val="21"/>
          <w:szCs w:val="21"/>
        </w:rPr>
        <w:t>41618</w:t>
      </w:r>
      <w:r>
        <w:rPr>
          <w:sz w:val="21"/>
          <w:szCs w:val="21"/>
        </w:rPr>
        <w:t>).</w:t>
      </w:r>
    </w:p>
    <w:p w14:paraId="0EA69E70" w14:textId="2F8BA449" w:rsidR="005E1CFB" w:rsidRPr="00BC0C43" w:rsidRDefault="0090168B" w:rsidP="00BC0C43">
      <w:pPr>
        <w:pStyle w:val="Heading2"/>
      </w:pPr>
      <w:r>
        <w:t xml:space="preserve">Describe and explain any differences in the clinical management algorithm prior to the use of the </w:t>
      </w:r>
      <w:r w:rsidRPr="00DD0A06">
        <w:rPr>
          <w:u w:val="single"/>
        </w:rPr>
        <w:t>proposed health technology</w:t>
      </w:r>
      <w:r>
        <w:t xml:space="preserve"> vs. the </w:t>
      </w:r>
      <w:r w:rsidRPr="00DD0A06">
        <w:rPr>
          <w:u w:val="single"/>
        </w:rPr>
        <w:t>comparator health technology</w:t>
      </w:r>
      <w:r w:rsidR="005E1CFB">
        <w:t>:</w:t>
      </w:r>
    </w:p>
    <w:p w14:paraId="1F46C4EC" w14:textId="77777777" w:rsidR="00E32BA8" w:rsidRPr="00BC0C43" w:rsidRDefault="00E32BA8" w:rsidP="00E32BA8">
      <w:pPr>
        <w:rPr>
          <w:rFonts w:asciiTheme="minorHAnsi" w:eastAsia="Segoe UI" w:hAnsiTheme="minorHAnsi" w:cstheme="minorHAnsi"/>
          <w:color w:val="000000"/>
        </w:rPr>
      </w:pPr>
      <w:r w:rsidRPr="00FF2A0A">
        <w:t>No difference.</w:t>
      </w:r>
    </w:p>
    <w:p w14:paraId="2AEB8C28" w14:textId="17DF89E6" w:rsidR="00F16239" w:rsidRPr="00EA0AA0" w:rsidRDefault="00EA0AA0" w:rsidP="00BC0C43">
      <w:pPr>
        <w:pStyle w:val="Heading2"/>
        <w:rPr>
          <w:u w:val="single"/>
        </w:rPr>
      </w:pPr>
      <w:r w:rsidRPr="00EA0AA0">
        <w:rPr>
          <w:u w:val="single"/>
        </w:rPr>
        <w:t>USE OF THE HEALTH TECHNOLOGY</w:t>
      </w:r>
    </w:p>
    <w:p w14:paraId="7C130FEF" w14:textId="04FF653C" w:rsidR="0090168B" w:rsidRPr="00BC0C43" w:rsidRDefault="00F16239" w:rsidP="00BC0C43">
      <w:pPr>
        <w:pStyle w:val="Heading2"/>
      </w:pPr>
      <w:r>
        <w:t xml:space="preserve">Explain what other healthcare resources are used in conjunction with delivering the </w:t>
      </w:r>
      <w:r w:rsidRPr="00DD0A06">
        <w:rPr>
          <w:u w:val="single"/>
        </w:rPr>
        <w:t>proposed health technology</w:t>
      </w:r>
      <w:r w:rsidR="0090168B">
        <w:t>:</w:t>
      </w:r>
    </w:p>
    <w:p w14:paraId="0F56030F" w14:textId="77777777" w:rsidR="00E32BA8" w:rsidRPr="00BC0C43" w:rsidRDefault="00E32BA8" w:rsidP="00E32BA8">
      <w:pPr>
        <w:rPr>
          <w:rFonts w:asciiTheme="minorHAnsi" w:eastAsia="Segoe UI" w:hAnsiTheme="minorHAnsi" w:cstheme="minorHAnsi"/>
          <w:color w:val="000000"/>
        </w:rPr>
      </w:pPr>
      <w:r w:rsidRPr="00FF2A0A">
        <w:t>None.</w:t>
      </w:r>
    </w:p>
    <w:p w14:paraId="38D2ADE7" w14:textId="00333F26" w:rsidR="0090168B" w:rsidRPr="00BC0C43" w:rsidRDefault="00F16239" w:rsidP="00BC0C43">
      <w:pPr>
        <w:pStyle w:val="Heading2"/>
      </w:pPr>
      <w:r>
        <w:t xml:space="preserve">Explain what other healthcare resources are used in conjunction with the </w:t>
      </w:r>
      <w:r w:rsidRPr="00DD0A06">
        <w:rPr>
          <w:u w:val="single"/>
        </w:rPr>
        <w:t>comparator health technology</w:t>
      </w:r>
      <w:r w:rsidR="0090168B">
        <w:t>:</w:t>
      </w:r>
    </w:p>
    <w:p w14:paraId="6B2017E9" w14:textId="77777777" w:rsidR="00E32BA8" w:rsidRPr="00BC0C43" w:rsidRDefault="00E32BA8" w:rsidP="00E32BA8">
      <w:pPr>
        <w:rPr>
          <w:rFonts w:asciiTheme="minorHAnsi" w:eastAsia="Segoe UI" w:hAnsiTheme="minorHAnsi" w:cstheme="minorHAnsi"/>
          <w:color w:val="000000"/>
        </w:rPr>
      </w:pPr>
      <w:r>
        <w:t>None.</w:t>
      </w:r>
    </w:p>
    <w:p w14:paraId="378F78D9" w14:textId="28E2F695" w:rsidR="00F16239" w:rsidRPr="00BC0C43" w:rsidRDefault="00F16239" w:rsidP="00BC0C43">
      <w:pPr>
        <w:pStyle w:val="Heading2"/>
      </w:pPr>
      <w:r>
        <w:t xml:space="preserve">Describe and explain any differences in the healthcare resources used in conjunction with the </w:t>
      </w:r>
      <w:r w:rsidRPr="00DD0A06">
        <w:rPr>
          <w:u w:val="single"/>
        </w:rPr>
        <w:t>proposed health technology</w:t>
      </w:r>
      <w:r>
        <w:t xml:space="preserve"> vs. the </w:t>
      </w:r>
      <w:r w:rsidRPr="00DD0A06">
        <w:rPr>
          <w:u w:val="single"/>
        </w:rPr>
        <w:t>comparator health technology</w:t>
      </w:r>
      <w:r>
        <w:t>:</w:t>
      </w:r>
    </w:p>
    <w:p w14:paraId="08BA6D2E" w14:textId="77777777" w:rsidR="00E32BA8" w:rsidRPr="00BE6B22" w:rsidRDefault="00E32BA8" w:rsidP="00E32BA8">
      <w:pPr>
        <w:rPr>
          <w:rFonts w:asciiTheme="minorHAnsi" w:eastAsia="Segoe UI" w:hAnsiTheme="minorHAnsi" w:cstheme="minorHAnsi"/>
          <w:color w:val="000000"/>
        </w:rPr>
      </w:pPr>
      <w:r>
        <w:t>No differences.</w:t>
      </w:r>
    </w:p>
    <w:p w14:paraId="2BE17ED5" w14:textId="0F1E92FD" w:rsidR="00F16239" w:rsidRPr="00BF4BAA" w:rsidRDefault="00EA0AA0" w:rsidP="00BF4BAA">
      <w:pPr>
        <w:pStyle w:val="Heading2"/>
        <w:rPr>
          <w:u w:val="single"/>
        </w:rPr>
      </w:pPr>
      <w:r w:rsidRPr="00BC0C43">
        <w:rPr>
          <w:u w:val="single"/>
        </w:rPr>
        <w:t>CLINICAL MANAGEMENT AFTER THE USE OF HEALTH TECHNOLOGY</w:t>
      </w:r>
    </w:p>
    <w:p w14:paraId="3017C87B" w14:textId="631F5EC6" w:rsidR="00F16239" w:rsidRPr="00BC0C43" w:rsidRDefault="00F16239" w:rsidP="00BC0C43">
      <w:pPr>
        <w:pStyle w:val="Heading2"/>
      </w:pPr>
      <w:r>
        <w:t xml:space="preserve">Define and summarise the clinical management algorithm, including any required tests or healthcare resources, </w:t>
      </w:r>
      <w:r w:rsidRPr="00DD0A06">
        <w:rPr>
          <w:i/>
          <w:iCs/>
        </w:rPr>
        <w:t>after</w:t>
      </w:r>
      <w:r>
        <w:t xml:space="preserve"> the use of the </w:t>
      </w:r>
      <w:r w:rsidRPr="00DD0A06">
        <w:rPr>
          <w:u w:val="single"/>
        </w:rPr>
        <w:t>proposed health technology</w:t>
      </w:r>
      <w:r>
        <w:t>:</w:t>
      </w:r>
    </w:p>
    <w:p w14:paraId="1D33B635" w14:textId="77777777" w:rsidR="00E32BA8" w:rsidRPr="00E32BA8" w:rsidRDefault="00E32BA8" w:rsidP="00E32BA8">
      <w:r w:rsidRPr="00E32BA8">
        <w:lastRenderedPageBreak/>
        <w:t>Patients typically need the following:</w:t>
      </w:r>
    </w:p>
    <w:p w14:paraId="63E1DEE7" w14:textId="509D71D2" w:rsidR="00E32BA8" w:rsidRPr="00E32BA8" w:rsidRDefault="00E32BA8" w:rsidP="00E32BA8">
      <w:pPr>
        <w:pStyle w:val="ListParagraph"/>
        <w:numPr>
          <w:ilvl w:val="0"/>
          <w:numId w:val="19"/>
        </w:numPr>
      </w:pPr>
      <w:r w:rsidRPr="00E32BA8">
        <w:t>Wound care in the direct post-operative phase (</w:t>
      </w:r>
      <w:r w:rsidR="00337250">
        <w:t xml:space="preserve">approximately </w:t>
      </w:r>
      <w:r w:rsidRPr="00E32BA8">
        <w:t>within first week)</w:t>
      </w:r>
    </w:p>
    <w:p w14:paraId="6B3120FA" w14:textId="0869EDEC" w:rsidR="00E32BA8" w:rsidRPr="00E32BA8" w:rsidRDefault="00E32BA8" w:rsidP="00E32BA8">
      <w:pPr>
        <w:pStyle w:val="ListParagraph"/>
        <w:numPr>
          <w:ilvl w:val="0"/>
          <w:numId w:val="19"/>
        </w:numPr>
      </w:pPr>
      <w:r w:rsidRPr="00E32BA8">
        <w:t>Activation and fitting of audio processor (</w:t>
      </w:r>
      <w:r w:rsidR="00337250">
        <w:t xml:space="preserve">approximately </w:t>
      </w:r>
      <w:r w:rsidRPr="00E32BA8">
        <w:t>4 weeks post-op)</w:t>
      </w:r>
    </w:p>
    <w:p w14:paraId="56CB0796" w14:textId="5BD8ADBD" w:rsidR="00E32BA8" w:rsidRPr="00E32BA8" w:rsidRDefault="00E32BA8" w:rsidP="00E32BA8">
      <w:pPr>
        <w:pStyle w:val="ListParagraph"/>
        <w:numPr>
          <w:ilvl w:val="0"/>
          <w:numId w:val="19"/>
        </w:numPr>
      </w:pPr>
      <w:r w:rsidRPr="00E32BA8">
        <w:t xml:space="preserve">Additional fitting appointments as needed </w:t>
      </w:r>
      <w:r w:rsidR="00807D5D">
        <w:t>(</w:t>
      </w:r>
      <w:r w:rsidRPr="00E32BA8">
        <w:t>within the first 6 months</w:t>
      </w:r>
      <w:r w:rsidR="00807D5D">
        <w:t>)</w:t>
      </w:r>
    </w:p>
    <w:p w14:paraId="45EEED91" w14:textId="364F6BD5" w:rsidR="00E32BA8" w:rsidRPr="00E32BA8" w:rsidRDefault="00E32BA8" w:rsidP="00E32BA8">
      <w:pPr>
        <w:pStyle w:val="ListParagraph"/>
        <w:numPr>
          <w:ilvl w:val="0"/>
          <w:numId w:val="19"/>
        </w:numPr>
      </w:pPr>
      <w:r w:rsidRPr="00E32BA8">
        <w:t xml:space="preserve">Additional fitting appointment </w:t>
      </w:r>
      <w:r w:rsidR="001D33B6">
        <w:t>as needed</w:t>
      </w:r>
    </w:p>
    <w:p w14:paraId="09165252" w14:textId="69360128" w:rsidR="00F16239" w:rsidRPr="00BC0C43" w:rsidRDefault="00F16239" w:rsidP="00BC0C43">
      <w:pPr>
        <w:pStyle w:val="Heading2"/>
      </w:pPr>
      <w:r>
        <w:t xml:space="preserve">Define and summarise the clinical management algorithm, including any required tests or healthcare resources, </w:t>
      </w:r>
      <w:r w:rsidRPr="00545A4C">
        <w:rPr>
          <w:i/>
          <w:iCs/>
        </w:rPr>
        <w:t>after</w:t>
      </w:r>
      <w:r>
        <w:t xml:space="preserve"> the use of the </w:t>
      </w:r>
      <w:r w:rsidRPr="00545A4C">
        <w:rPr>
          <w:u w:val="single"/>
        </w:rPr>
        <w:t>comparator health technology</w:t>
      </w:r>
      <w:r>
        <w:t>:</w:t>
      </w:r>
    </w:p>
    <w:p w14:paraId="13E2220A" w14:textId="77777777" w:rsidR="00E32BA8" w:rsidRPr="00E32BA8" w:rsidRDefault="00E32BA8" w:rsidP="00E32BA8">
      <w:r w:rsidRPr="00E32BA8">
        <w:t>Patients treated with the comparator health technology need the same management algorithm:</w:t>
      </w:r>
    </w:p>
    <w:p w14:paraId="6540A469" w14:textId="050155FF" w:rsidR="00E32BA8" w:rsidRPr="00E32BA8" w:rsidRDefault="00E32BA8" w:rsidP="00E32BA8">
      <w:pPr>
        <w:pStyle w:val="ListParagraph"/>
        <w:numPr>
          <w:ilvl w:val="0"/>
          <w:numId w:val="20"/>
        </w:numPr>
      </w:pPr>
      <w:r w:rsidRPr="00E32BA8">
        <w:t>Wound care in the direct post-operative phase (</w:t>
      </w:r>
      <w:r w:rsidR="002413A2">
        <w:t xml:space="preserve">approximately </w:t>
      </w:r>
      <w:r w:rsidRPr="00E32BA8">
        <w:t>within first week)</w:t>
      </w:r>
    </w:p>
    <w:p w14:paraId="7BF0349F" w14:textId="29CAD312" w:rsidR="00E32BA8" w:rsidRPr="00E32BA8" w:rsidRDefault="00E32BA8" w:rsidP="00E32BA8">
      <w:pPr>
        <w:pStyle w:val="ListParagraph"/>
        <w:numPr>
          <w:ilvl w:val="0"/>
          <w:numId w:val="20"/>
        </w:numPr>
      </w:pPr>
      <w:r w:rsidRPr="00E32BA8">
        <w:t>Activation and fitting of audio processor (</w:t>
      </w:r>
      <w:r w:rsidR="002413A2">
        <w:t xml:space="preserve">approximately </w:t>
      </w:r>
      <w:r w:rsidRPr="00E32BA8">
        <w:t>4 weeks post-op)</w:t>
      </w:r>
    </w:p>
    <w:p w14:paraId="491FA7DB" w14:textId="16F5175B" w:rsidR="00E32BA8" w:rsidRPr="00E32BA8" w:rsidRDefault="00E32BA8" w:rsidP="00E32BA8">
      <w:pPr>
        <w:pStyle w:val="ListParagraph"/>
        <w:numPr>
          <w:ilvl w:val="0"/>
          <w:numId w:val="20"/>
        </w:numPr>
      </w:pPr>
      <w:r w:rsidRPr="00E32BA8">
        <w:t xml:space="preserve">Additional fitting appointments as needed </w:t>
      </w:r>
      <w:r w:rsidR="00807D5D">
        <w:t>(</w:t>
      </w:r>
      <w:r w:rsidRPr="00E32BA8">
        <w:t>within the first 6 months</w:t>
      </w:r>
      <w:r w:rsidR="00807D5D">
        <w:t>)</w:t>
      </w:r>
    </w:p>
    <w:p w14:paraId="5E774C35" w14:textId="1FE8ABCA" w:rsidR="00E32BA8" w:rsidRPr="00E32BA8" w:rsidRDefault="00E32BA8" w:rsidP="00E32BA8">
      <w:pPr>
        <w:pStyle w:val="ListParagraph"/>
        <w:numPr>
          <w:ilvl w:val="0"/>
          <w:numId w:val="20"/>
        </w:numPr>
      </w:pPr>
      <w:r w:rsidRPr="00E32BA8">
        <w:t xml:space="preserve">Additional fitting appointment </w:t>
      </w:r>
      <w:r w:rsidR="00F1671D">
        <w:t>as needed</w:t>
      </w:r>
    </w:p>
    <w:p w14:paraId="5C871695" w14:textId="78E78F7F" w:rsidR="00F16239" w:rsidRPr="00BC0C43" w:rsidRDefault="00F16239" w:rsidP="00BC0C43">
      <w:pPr>
        <w:pStyle w:val="Heading2"/>
      </w:pPr>
      <w:r>
        <w:t xml:space="preserve">Describe and explain any differences in the healthcare resources used </w:t>
      </w:r>
      <w:r w:rsidRPr="00545A4C">
        <w:rPr>
          <w:i/>
          <w:iCs/>
        </w:rPr>
        <w:t>after</w:t>
      </w:r>
      <w:r>
        <w:t xml:space="preserve"> the </w:t>
      </w:r>
      <w:r w:rsidRPr="00545A4C">
        <w:rPr>
          <w:u w:val="single"/>
        </w:rPr>
        <w:t>proposed health technology</w:t>
      </w:r>
      <w:r>
        <w:t xml:space="preserve"> vs. the </w:t>
      </w:r>
      <w:r w:rsidRPr="00545A4C">
        <w:rPr>
          <w:u w:val="single"/>
        </w:rPr>
        <w:t>comparator health technology</w:t>
      </w:r>
      <w:r>
        <w:t>:</w:t>
      </w:r>
    </w:p>
    <w:p w14:paraId="02D3758D" w14:textId="77777777" w:rsidR="00E32BA8" w:rsidRDefault="00E32BA8" w:rsidP="00E32BA8">
      <w:pPr>
        <w:rPr>
          <w:rFonts w:asciiTheme="minorHAnsi" w:eastAsia="Segoe UI" w:hAnsiTheme="minorHAnsi" w:cstheme="minorHAnsi"/>
          <w:color w:val="000000"/>
        </w:rPr>
      </w:pPr>
      <w:r w:rsidRPr="00E32BA8">
        <w:t>No difference.</w:t>
      </w:r>
    </w:p>
    <w:p w14:paraId="5574CCE6" w14:textId="562A47EE" w:rsidR="003B5CCD" w:rsidRPr="003B5CCD" w:rsidRDefault="00364572" w:rsidP="003B5CCD">
      <w:pPr>
        <w:pStyle w:val="Heading2"/>
      </w:pPr>
      <w:r>
        <w:t xml:space="preserve">Insert </w:t>
      </w:r>
      <w:r w:rsidR="00545A4C">
        <w:t>diagrams demonstrating the clinical management algorithm with and without the proposed health technology:</w:t>
      </w:r>
    </w:p>
    <w:p w14:paraId="27E22BC6" w14:textId="6531818F" w:rsidR="00F16239" w:rsidRDefault="00361BBE" w:rsidP="003B5CCD">
      <w:pPr>
        <w:spacing w:before="120"/>
        <w:rPr>
          <w:i/>
          <w:iCs/>
          <w:color w:val="538135" w:themeColor="accent6" w:themeShade="BF"/>
        </w:rPr>
      </w:pPr>
      <w:r>
        <w:rPr>
          <w:i/>
          <w:iCs/>
          <w:color w:val="538135" w:themeColor="accent6" w:themeShade="BF"/>
        </w:rPr>
        <w:t>(</w:t>
      </w:r>
      <w:r w:rsidR="00545A4C" w:rsidRPr="00582377">
        <w:rPr>
          <w:i/>
          <w:iCs/>
          <w:color w:val="538135" w:themeColor="accent6" w:themeShade="BF"/>
        </w:rPr>
        <w:t>Please ensure that the diagrams provided do not contain information under copyright</w:t>
      </w:r>
      <w:r>
        <w:rPr>
          <w:i/>
          <w:iCs/>
        </w:rPr>
        <w:t>)</w:t>
      </w:r>
      <w:r w:rsidR="00545A4C" w:rsidRPr="00BC0C43">
        <w:rPr>
          <w:i/>
          <w:iCs/>
        </w:rPr>
        <w:t xml:space="preserve"> </w:t>
      </w:r>
    </w:p>
    <w:p w14:paraId="3F654EBA" w14:textId="41B5204C" w:rsidR="005B70F1" w:rsidRDefault="00964701" w:rsidP="005B70F1">
      <w:pPr>
        <w:keepNext/>
      </w:pPr>
      <w:r>
        <w:rPr>
          <w:noProof/>
        </w:rPr>
        <w:lastRenderedPageBreak/>
        <w:drawing>
          <wp:inline distT="0" distB="0" distL="0" distR="0" wp14:anchorId="5CA4E2B1" wp14:editId="758C0A3B">
            <wp:extent cx="5955102" cy="8775510"/>
            <wp:effectExtent l="0" t="0" r="7620" b="6985"/>
            <wp:docPr id="1993399754" name="Picture 1" descr="Figure 2: Clinical management algorithm including the proposed health technology (red f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399754" name="Picture 1" descr="Figure 2: Clinical management algorithm including the proposed health technology (red frame)."/>
                    <pic:cNvPicPr/>
                  </pic:nvPicPr>
                  <pic:blipFill>
                    <a:blip r:embed="rId9">
                      <a:extLst>
                        <a:ext uri="{28A0092B-C50C-407E-A947-70E740481C1C}">
                          <a14:useLocalDpi xmlns:a14="http://schemas.microsoft.com/office/drawing/2010/main" val="0"/>
                        </a:ext>
                      </a:extLst>
                    </a:blip>
                    <a:stretch>
                      <a:fillRect/>
                    </a:stretch>
                  </pic:blipFill>
                  <pic:spPr>
                    <a:xfrm>
                      <a:off x="0" y="0"/>
                      <a:ext cx="5960577" cy="8783577"/>
                    </a:xfrm>
                    <a:prstGeom prst="rect">
                      <a:avLst/>
                    </a:prstGeom>
                  </pic:spPr>
                </pic:pic>
              </a:graphicData>
            </a:graphic>
          </wp:inline>
        </w:drawing>
      </w:r>
    </w:p>
    <w:p w14:paraId="7D6A15C3" w14:textId="055D9745" w:rsidR="005B70F1" w:rsidRPr="005B70F1" w:rsidRDefault="005B70F1" w:rsidP="005B70F1">
      <w:pPr>
        <w:pStyle w:val="Caption"/>
      </w:pPr>
      <w:bookmarkStart w:id="4" w:name="_Ref192065301"/>
      <w:r>
        <w:t xml:space="preserve">Figure </w:t>
      </w:r>
      <w:r>
        <w:fldChar w:fldCharType="begin"/>
      </w:r>
      <w:r>
        <w:instrText xml:space="preserve"> SEQ Figure \* ARABIC </w:instrText>
      </w:r>
      <w:r>
        <w:fldChar w:fldCharType="separate"/>
      </w:r>
      <w:r w:rsidR="00202D32">
        <w:rPr>
          <w:noProof/>
        </w:rPr>
        <w:t>2</w:t>
      </w:r>
      <w:r>
        <w:fldChar w:fldCharType="end"/>
      </w:r>
      <w:bookmarkEnd w:id="4"/>
      <w:r>
        <w:t xml:space="preserve">: </w:t>
      </w:r>
      <w:r w:rsidR="00991C1E">
        <w:t xml:space="preserve">Clinical management algorithm </w:t>
      </w:r>
      <w:r w:rsidR="00991C1E" w:rsidRPr="00B46C61">
        <w:rPr>
          <w:b/>
          <w:bCs/>
        </w:rPr>
        <w:t>including the proposed health technology</w:t>
      </w:r>
      <w:r w:rsidR="00991C1E">
        <w:t xml:space="preserve"> (</w:t>
      </w:r>
      <w:r w:rsidR="00B46C61">
        <w:t>red frame).</w:t>
      </w:r>
    </w:p>
    <w:p w14:paraId="5917DC6D" w14:textId="76667557" w:rsidR="001C7AB6" w:rsidRDefault="00964701" w:rsidP="001C7AB6">
      <w:pPr>
        <w:keepNext/>
        <w:spacing w:before="120"/>
      </w:pPr>
      <w:r>
        <w:rPr>
          <w:noProof/>
        </w:rPr>
        <w:lastRenderedPageBreak/>
        <w:drawing>
          <wp:inline distT="0" distB="0" distL="0" distR="0" wp14:anchorId="53B0729B" wp14:editId="2789E408">
            <wp:extent cx="6015990" cy="7411720"/>
            <wp:effectExtent l="0" t="0" r="3810" b="0"/>
            <wp:docPr id="1348725181" name="Picture 2" descr="Figure 3: Clinical management algorithm without the proposed health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725181" name="Picture 2" descr="Figure 3: Clinical management algorithm without the proposed health technology."/>
                    <pic:cNvPicPr/>
                  </pic:nvPicPr>
                  <pic:blipFill>
                    <a:blip r:embed="rId10">
                      <a:extLst>
                        <a:ext uri="{28A0092B-C50C-407E-A947-70E740481C1C}">
                          <a14:useLocalDpi xmlns:a14="http://schemas.microsoft.com/office/drawing/2010/main" val="0"/>
                        </a:ext>
                      </a:extLst>
                    </a:blip>
                    <a:stretch>
                      <a:fillRect/>
                    </a:stretch>
                  </pic:blipFill>
                  <pic:spPr>
                    <a:xfrm>
                      <a:off x="0" y="0"/>
                      <a:ext cx="6015990" cy="7411720"/>
                    </a:xfrm>
                    <a:prstGeom prst="rect">
                      <a:avLst/>
                    </a:prstGeom>
                  </pic:spPr>
                </pic:pic>
              </a:graphicData>
            </a:graphic>
          </wp:inline>
        </w:drawing>
      </w:r>
    </w:p>
    <w:p w14:paraId="01EF52EE" w14:textId="3BED686D" w:rsidR="001C7AB6" w:rsidRPr="001C7AB6" w:rsidRDefault="001C7AB6" w:rsidP="001C7AB6">
      <w:pPr>
        <w:pStyle w:val="Caption"/>
      </w:pPr>
      <w:r>
        <w:t xml:space="preserve">Figure </w:t>
      </w:r>
      <w:r>
        <w:fldChar w:fldCharType="begin"/>
      </w:r>
      <w:r>
        <w:instrText xml:space="preserve"> SEQ Figure \* ARABIC </w:instrText>
      </w:r>
      <w:r>
        <w:fldChar w:fldCharType="separate"/>
      </w:r>
      <w:r w:rsidR="00202D32">
        <w:rPr>
          <w:noProof/>
        </w:rPr>
        <w:t>3</w:t>
      </w:r>
      <w:r>
        <w:fldChar w:fldCharType="end"/>
      </w:r>
      <w:r>
        <w:t>: Clinical management al</w:t>
      </w:r>
      <w:r w:rsidR="0029364F">
        <w:t>gorithm</w:t>
      </w:r>
      <w:r w:rsidR="005B70F1">
        <w:t xml:space="preserve"> </w:t>
      </w:r>
      <w:r w:rsidR="005B70F1" w:rsidRPr="00B46C61">
        <w:rPr>
          <w:b/>
          <w:bCs/>
        </w:rPr>
        <w:t>without the proposed health technology</w:t>
      </w:r>
      <w:r w:rsidR="005B70F1">
        <w:t>.</w:t>
      </w:r>
    </w:p>
    <w:p w14:paraId="6EF67F2E" w14:textId="77777777" w:rsidR="00BB445F" w:rsidRDefault="00BB445F">
      <w:pPr>
        <w:spacing w:after="160" w:line="259" w:lineRule="auto"/>
        <w:rPr>
          <w:b/>
          <w:bCs/>
          <w:color w:val="0070C0"/>
          <w:sz w:val="32"/>
          <w:szCs w:val="32"/>
        </w:rPr>
      </w:pPr>
      <w:r>
        <w:br w:type="page"/>
      </w:r>
    </w:p>
    <w:p w14:paraId="5C94C69B" w14:textId="66B954C9" w:rsidR="004A45BE" w:rsidRDefault="004A45BE" w:rsidP="00EA0AA0">
      <w:pPr>
        <w:pStyle w:val="Heading1"/>
      </w:pPr>
      <w:r>
        <w:lastRenderedPageBreak/>
        <w:t>Claims</w:t>
      </w:r>
    </w:p>
    <w:p w14:paraId="022C40EC" w14:textId="77777777" w:rsidR="00361BBE" w:rsidRDefault="004A45BE" w:rsidP="00582377">
      <w:pPr>
        <w:pStyle w:val="Heading2"/>
      </w:pPr>
      <w:bookmarkStart w:id="5" w:name="_Hlk121218597"/>
      <w:r>
        <w:t xml:space="preserve">In terms of health outcomes (comparative benefits and harms), is the proposed technology claimed to be superior, non-inferior or inferior to the comparator(s)? </w:t>
      </w:r>
    </w:p>
    <w:p w14:paraId="6CA90951" w14:textId="2C48DBFD" w:rsidR="00582377" w:rsidRPr="00361BBE" w:rsidRDefault="00582377" w:rsidP="00361BBE">
      <w:pPr>
        <w:pStyle w:val="Instructions"/>
        <w:rPr>
          <w:rStyle w:val="InstructionsChar"/>
          <w:b/>
          <w:bCs/>
          <w:i/>
          <w:iCs/>
          <w:color w:val="538135" w:themeColor="accent6" w:themeShade="BF"/>
        </w:rPr>
      </w:pPr>
      <w:r w:rsidRPr="00361BBE">
        <w:rPr>
          <w:rStyle w:val="InstructionsChar"/>
          <w:i/>
          <w:iCs/>
          <w:color w:val="538135" w:themeColor="accent6" w:themeShade="BF"/>
        </w:rPr>
        <w:t>(Please select your response)</w:t>
      </w:r>
    </w:p>
    <w:p w14:paraId="137243BD" w14:textId="1D9F67DA" w:rsidR="004209FC" w:rsidRPr="00BC0C43" w:rsidRDefault="00B70FF3" w:rsidP="00582377">
      <w:pPr>
        <w:pStyle w:val="Tickboxes"/>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4209FC" w:rsidRPr="00BC0C43">
        <w:t xml:space="preserve"> Superior </w:t>
      </w:r>
    </w:p>
    <w:p w14:paraId="219D6AC6" w14:textId="77777777" w:rsidR="004209FC" w:rsidRPr="00BC0C43" w:rsidRDefault="004209FC"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Pr="00BC0C43">
        <w:fldChar w:fldCharType="separate"/>
      </w:r>
      <w:r w:rsidRPr="00BC0C43">
        <w:fldChar w:fldCharType="end"/>
      </w:r>
      <w:r w:rsidRPr="00BC0C43">
        <w:t xml:space="preserve"> Non-inferior</w:t>
      </w:r>
    </w:p>
    <w:p w14:paraId="1E1E7FC3" w14:textId="6E51E804" w:rsidR="00364572" w:rsidRPr="00BC0C43" w:rsidRDefault="004209FC"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Pr="00BC0C43">
        <w:fldChar w:fldCharType="separate"/>
      </w:r>
      <w:r w:rsidRPr="00BC0C43">
        <w:fldChar w:fldCharType="end"/>
      </w:r>
      <w:r w:rsidRPr="00BC0C43">
        <w:t xml:space="preserve"> Inferior </w:t>
      </w:r>
    </w:p>
    <w:p w14:paraId="12D880D8" w14:textId="573EC961" w:rsidR="004A45BE" w:rsidRPr="00BC0C43" w:rsidRDefault="00364572" w:rsidP="00BC0C43">
      <w:pPr>
        <w:pStyle w:val="Heading2"/>
      </w:pPr>
      <w:r w:rsidRPr="0026282C">
        <w:t>Please state what the overall claim is, and provide a rationale</w:t>
      </w:r>
      <w:r w:rsidRPr="00B15CDF">
        <w:t>:</w:t>
      </w:r>
    </w:p>
    <w:bookmarkEnd w:id="5"/>
    <w:p w14:paraId="656538B0" w14:textId="11F69FE6" w:rsidR="00136DD9" w:rsidRDefault="00AF4D51" w:rsidP="001252F2">
      <w:r>
        <w:t xml:space="preserve">Claim: </w:t>
      </w:r>
      <w:proofErr w:type="spellStart"/>
      <w:r w:rsidR="00136DD9">
        <w:t>aMEIs</w:t>
      </w:r>
      <w:proofErr w:type="spellEnd"/>
      <w:r w:rsidR="00136DD9">
        <w:t xml:space="preserve"> can </w:t>
      </w:r>
      <w:r>
        <w:t>provide true binaural hearing.</w:t>
      </w:r>
    </w:p>
    <w:p w14:paraId="719C250E" w14:textId="562070B3" w:rsidR="00F52DD8" w:rsidRDefault="00AF4D51" w:rsidP="00CC4BFC">
      <w:r>
        <w:t xml:space="preserve">Rationale: </w:t>
      </w:r>
      <w:r w:rsidR="001252F2">
        <w:t xml:space="preserve">Because the FMT </w:t>
      </w:r>
      <w:r w:rsidR="00136DD9">
        <w:t xml:space="preserve">of the proposed health technology </w:t>
      </w:r>
      <w:r w:rsidR="001252F2">
        <w:t xml:space="preserve">is located close to the target cochlea, </w:t>
      </w:r>
      <w:r w:rsidR="00136DD9">
        <w:t>it can provide selective stimulation</w:t>
      </w:r>
      <w:r w:rsidR="009B3869">
        <w:t xml:space="preserve"> of one single cochlea</w:t>
      </w:r>
      <w:r w:rsidR="00136DD9">
        <w:t>. T</w:t>
      </w:r>
      <w:r w:rsidR="001252F2">
        <w:t xml:space="preserve">here is no risk of cross stimulating the contralateral </w:t>
      </w:r>
      <w:r w:rsidR="009B3869">
        <w:t>side</w:t>
      </w:r>
      <w:r w:rsidR="001252F2">
        <w:t>. This is a huge advantage over BCIs, which cannot selectively stimulate one single cochlea. Selective stimulation is</w:t>
      </w:r>
      <w:r w:rsidR="00017B90">
        <w:t xml:space="preserve"> </w:t>
      </w:r>
      <w:r w:rsidR="006A48B4">
        <w:t>paramount</w:t>
      </w:r>
      <w:r w:rsidR="001252F2">
        <w:t xml:space="preserve"> for true binaural hearing</w:t>
      </w:r>
      <w:r w:rsidR="008B671B">
        <w:t xml:space="preserve"> and </w:t>
      </w:r>
      <w:r w:rsidR="00B7712F">
        <w:t>improved localization abilities</w:t>
      </w:r>
      <w:r w:rsidR="001252F2">
        <w:t>.</w:t>
      </w:r>
    </w:p>
    <w:p w14:paraId="43670E9E" w14:textId="3DAE6738" w:rsidR="004A45BE" w:rsidRPr="00BC0C43" w:rsidRDefault="004A45BE" w:rsidP="00BC0C43">
      <w:pPr>
        <w:pStyle w:val="Heading2"/>
      </w:pPr>
      <w:r>
        <w:t>Why would the requestor seek to use the proposed investigative technology rather than the comparator(s)?</w:t>
      </w:r>
    </w:p>
    <w:p w14:paraId="220FA15B" w14:textId="77777777" w:rsidR="00E32BA8" w:rsidRPr="00E32BA8" w:rsidRDefault="00E32BA8" w:rsidP="00E32BA8">
      <w:r w:rsidRPr="00E32BA8">
        <w:t>Requestors may choose the proposed technology:</w:t>
      </w:r>
    </w:p>
    <w:p w14:paraId="4CADDE40" w14:textId="77777777" w:rsidR="00E32BA8" w:rsidRPr="00E32BA8" w:rsidRDefault="00E32BA8" w:rsidP="00E32BA8">
      <w:pPr>
        <w:pStyle w:val="ListParagraph"/>
        <w:numPr>
          <w:ilvl w:val="0"/>
          <w:numId w:val="23"/>
        </w:numPr>
        <w:rPr>
          <w:rFonts w:asciiTheme="minorHAnsi" w:eastAsia="Segoe UI" w:hAnsiTheme="minorHAnsi" w:cstheme="minorHAnsi"/>
          <w:color w:val="000000"/>
        </w:rPr>
      </w:pPr>
      <w:r w:rsidRPr="00E32BA8">
        <w:t xml:space="preserve">In cases where true binaural hearing (improved sound localization) is key. </w:t>
      </w:r>
    </w:p>
    <w:p w14:paraId="45340DF3" w14:textId="77777777" w:rsidR="00E32BA8" w:rsidRPr="00D10F13" w:rsidRDefault="00E32BA8" w:rsidP="00E32BA8">
      <w:pPr>
        <w:pStyle w:val="ListParagraph"/>
        <w:numPr>
          <w:ilvl w:val="0"/>
          <w:numId w:val="23"/>
        </w:numPr>
        <w:rPr>
          <w:rFonts w:asciiTheme="minorHAnsi" w:eastAsia="Segoe UI" w:hAnsiTheme="minorHAnsi" w:cstheme="minorHAnsi"/>
          <w:color w:val="000000"/>
        </w:rPr>
      </w:pPr>
      <w:r w:rsidRPr="00E32BA8">
        <w:t>In cases where overclosure of the air-bone gap in speech-relevant frequencies is key.</w:t>
      </w:r>
    </w:p>
    <w:p w14:paraId="0F073A2E" w14:textId="7D03B459" w:rsidR="00F26097" w:rsidRPr="00D10F13" w:rsidRDefault="00F26097" w:rsidP="00E32BA8">
      <w:pPr>
        <w:pStyle w:val="ListParagraph"/>
        <w:numPr>
          <w:ilvl w:val="0"/>
          <w:numId w:val="23"/>
        </w:numPr>
        <w:rPr>
          <w:rFonts w:asciiTheme="minorHAnsi" w:eastAsia="Segoe UI" w:hAnsiTheme="minorHAnsi" w:cstheme="minorHAnsi"/>
          <w:color w:val="000000"/>
        </w:rPr>
      </w:pPr>
      <w:r>
        <w:t xml:space="preserve">If </w:t>
      </w:r>
      <w:r w:rsidR="00BD4786">
        <w:t xml:space="preserve">comparator devices </w:t>
      </w:r>
      <w:proofErr w:type="spellStart"/>
      <w:r w:rsidR="00BD4786">
        <w:t>can</w:t>
      </w:r>
      <w:r w:rsidR="0053001F">
        <w:t xml:space="preserve"> </w:t>
      </w:r>
      <w:r w:rsidR="00BD4786">
        <w:t>not</w:t>
      </w:r>
      <w:proofErr w:type="spellEnd"/>
      <w:r w:rsidR="00BD4786">
        <w:t xml:space="preserve"> deliver enough amplification</w:t>
      </w:r>
      <w:r w:rsidR="0053001F">
        <w:t>.</w:t>
      </w:r>
    </w:p>
    <w:p w14:paraId="7619EF57" w14:textId="7CC983AD" w:rsidR="00BD4786" w:rsidRPr="00E32BA8" w:rsidRDefault="00BD4786" w:rsidP="00E32BA8">
      <w:pPr>
        <w:pStyle w:val="ListParagraph"/>
        <w:numPr>
          <w:ilvl w:val="0"/>
          <w:numId w:val="23"/>
        </w:numPr>
        <w:rPr>
          <w:rFonts w:asciiTheme="minorHAnsi" w:eastAsia="Segoe UI" w:hAnsiTheme="minorHAnsi" w:cstheme="minorHAnsi"/>
          <w:color w:val="000000"/>
        </w:rPr>
      </w:pPr>
      <w:r>
        <w:t>I</w:t>
      </w:r>
      <w:r w:rsidR="00F608BB">
        <w:t>n cases where</w:t>
      </w:r>
      <w:r>
        <w:t xml:space="preserve"> </w:t>
      </w:r>
      <w:r w:rsidR="00F608BB">
        <w:t xml:space="preserve">implantation of </w:t>
      </w:r>
      <w:r>
        <w:t xml:space="preserve">comparator </w:t>
      </w:r>
      <w:r w:rsidR="00F608BB">
        <w:t>devices (</w:t>
      </w:r>
      <w:proofErr w:type="spellStart"/>
      <w:r w:rsidR="00F608BB">
        <w:t>aBCIs</w:t>
      </w:r>
      <w:proofErr w:type="spellEnd"/>
      <w:r w:rsidR="00F608BB">
        <w:t>) is not feasible due to anatomical</w:t>
      </w:r>
      <w:r w:rsidR="00793F26">
        <w:t xml:space="preserve"> reasons</w:t>
      </w:r>
      <w:r w:rsidR="00796BE5">
        <w:t xml:space="preserve"> (e.g.</w:t>
      </w:r>
      <w:r w:rsidR="0053001F">
        <w:t>,</w:t>
      </w:r>
      <w:r w:rsidR="00796BE5">
        <w:t xml:space="preserve"> radical cavity, insufficient bone thickness) or skin quality</w:t>
      </w:r>
      <w:r w:rsidR="00793F26">
        <w:t>.</w:t>
      </w:r>
    </w:p>
    <w:p w14:paraId="67792CDE" w14:textId="20F96D42" w:rsidR="004A45BE" w:rsidRPr="00BC0C43" w:rsidRDefault="004A45BE" w:rsidP="00BC0C43">
      <w:pPr>
        <w:pStyle w:val="Heading2"/>
      </w:pPr>
      <w:r w:rsidRPr="00B15CDF">
        <w:t>Identify how the proposed technology achieves the intended patient outcomes</w:t>
      </w:r>
      <w:r>
        <w:t>:</w:t>
      </w:r>
    </w:p>
    <w:p w14:paraId="1C6CB1F5" w14:textId="77777777" w:rsidR="001252F2" w:rsidRDefault="001252F2" w:rsidP="001252F2">
      <w:pPr>
        <w:pStyle w:val="ListParagraph"/>
        <w:ind w:left="360"/>
      </w:pPr>
    </w:p>
    <w:p w14:paraId="13614ED7" w14:textId="77777777" w:rsidR="0003288F" w:rsidRDefault="0003288F" w:rsidP="0003288F">
      <w:pPr>
        <w:pStyle w:val="ListParagraph"/>
        <w:numPr>
          <w:ilvl w:val="0"/>
          <w:numId w:val="8"/>
        </w:numPr>
      </w:pPr>
      <w:bookmarkStart w:id="6" w:name="_Hlk192071919"/>
      <w:r>
        <w:t>Better localization abilities in bilateral implanted patients compared to bilateral BCI.</w:t>
      </w:r>
    </w:p>
    <w:p w14:paraId="171A58E3" w14:textId="3F740534" w:rsidR="0003288F" w:rsidRDefault="0003288F" w:rsidP="0003288F">
      <w:pPr>
        <w:pStyle w:val="ListParagraph"/>
        <w:ind w:left="360"/>
      </w:pPr>
      <w:r>
        <w:t xml:space="preserve">A recent publication by </w:t>
      </w:r>
      <w:proofErr w:type="spellStart"/>
      <w:r>
        <w:t>Agterberg</w:t>
      </w:r>
      <w:proofErr w:type="spellEnd"/>
      <w:r>
        <w:t xml:space="preserve"> et al. (2024) calculated mean angular error (MAE) in patients with bilateral </w:t>
      </w:r>
      <w:proofErr w:type="spellStart"/>
      <w:r>
        <w:t>aMEI</w:t>
      </w:r>
      <w:proofErr w:type="spellEnd"/>
      <w:r>
        <w:t xml:space="preserve"> and compared their results to another cohort of patients who had received bilateral BCI</w:t>
      </w:r>
      <w:r w:rsidR="0053001F">
        <w:t>s</w:t>
      </w:r>
      <w:r>
        <w:t xml:space="preserve"> (Den Besten et al., 2020). The difference in MAE was significant</w:t>
      </w:r>
      <w:r w:rsidR="002B4FC1">
        <w:t xml:space="preserve"> (</w:t>
      </w:r>
      <w:r w:rsidR="002B4FC1" w:rsidRPr="002B4FC1">
        <w:t>p &lt; .005</w:t>
      </w:r>
      <w:r w:rsidR="00172D89">
        <w:t>)</w:t>
      </w:r>
      <w:r>
        <w:t xml:space="preserve">, with an average MAE of 16° (SD=7°) for </w:t>
      </w:r>
      <w:proofErr w:type="spellStart"/>
      <w:r>
        <w:t>aMEI</w:t>
      </w:r>
      <w:proofErr w:type="spellEnd"/>
      <w:r>
        <w:t xml:space="preserve"> and 37° (SD=11°) for BCI. </w:t>
      </w:r>
    </w:p>
    <w:bookmarkEnd w:id="6"/>
    <w:p w14:paraId="06E54613" w14:textId="77777777" w:rsidR="0003288F" w:rsidRDefault="0003288F" w:rsidP="0003288F">
      <w:pPr>
        <w:pStyle w:val="ListParagraph"/>
        <w:ind w:left="360"/>
      </w:pPr>
    </w:p>
    <w:p w14:paraId="10F3D36E" w14:textId="70D718F4" w:rsidR="001252F2" w:rsidRDefault="001252F2" w:rsidP="001252F2">
      <w:pPr>
        <w:pStyle w:val="ListParagraph"/>
        <w:numPr>
          <w:ilvl w:val="0"/>
          <w:numId w:val="8"/>
        </w:numPr>
      </w:pPr>
      <w:r>
        <w:t xml:space="preserve">Better effective gain (ABG overclosure) in mid-frequencies compared to BCIs. </w:t>
      </w:r>
    </w:p>
    <w:p w14:paraId="7502EB1D" w14:textId="7A4C2E38" w:rsidR="001252F2" w:rsidRDefault="00CE0F46" w:rsidP="001252F2">
      <w:pPr>
        <w:pStyle w:val="ListParagraph"/>
        <w:ind w:left="360"/>
      </w:pPr>
      <w:r>
        <w:t xml:space="preserve">A recent retrospective analysis in </w:t>
      </w:r>
      <w:r w:rsidR="00570E07">
        <w:t>the</w:t>
      </w:r>
      <w:r>
        <w:t xml:space="preserve"> Australian setting </w:t>
      </w:r>
      <w:r w:rsidR="001252F2">
        <w:t>(Tavora-Vieira</w:t>
      </w:r>
      <w:r w:rsidR="0053001F">
        <w:t xml:space="preserve"> et al.</w:t>
      </w:r>
      <w:r w:rsidR="0038141E">
        <w:t>,</w:t>
      </w:r>
      <w:r w:rsidR="001252F2">
        <w:t xml:space="preserve"> 2023) showed that the average ABG (as evidenced by a positive effective gain) was over-closed at 2</w:t>
      </w:r>
      <w:r w:rsidR="0053001F">
        <w:t> </w:t>
      </w:r>
      <w:r w:rsidR="001252F2">
        <w:t>kHz and 3</w:t>
      </w:r>
      <w:r w:rsidR="0053001F">
        <w:t> </w:t>
      </w:r>
      <w:r w:rsidR="001252F2">
        <w:t xml:space="preserve">kHz in patients who had received an </w:t>
      </w:r>
      <w:proofErr w:type="spellStart"/>
      <w:r w:rsidR="001252F2">
        <w:t>aMEI</w:t>
      </w:r>
      <w:proofErr w:type="spellEnd"/>
      <w:r w:rsidR="001252F2">
        <w:t>, while no full closure of the average ABG was achieved in patients who had received a BCI.</w:t>
      </w:r>
    </w:p>
    <w:p w14:paraId="0C02B4AB" w14:textId="77777777" w:rsidR="001252F2" w:rsidRDefault="001252F2" w:rsidP="001252F2">
      <w:pPr>
        <w:pStyle w:val="ListParagraph"/>
        <w:ind w:left="360"/>
      </w:pPr>
    </w:p>
    <w:p w14:paraId="0C2BEC69" w14:textId="2C345F79" w:rsidR="004A45BE" w:rsidRDefault="004A45BE" w:rsidP="00BC0C43">
      <w:pPr>
        <w:pStyle w:val="Heading2"/>
      </w:pPr>
      <w:r>
        <w:t xml:space="preserve">For some people, compared with the comparator(s), does the test information result in: </w:t>
      </w:r>
    </w:p>
    <w:p w14:paraId="6B54752B" w14:textId="21FD44C2" w:rsidR="009139B7" w:rsidRPr="009139B7" w:rsidRDefault="009139B7" w:rsidP="009139B7">
      <w:pPr>
        <w:rPr>
          <w:rFonts w:eastAsia="Segoe UI"/>
          <w:bCs/>
          <w:i/>
          <w:iCs/>
          <w:color w:val="538135" w:themeColor="accent6" w:themeShade="BF"/>
        </w:rPr>
      </w:pPr>
      <w:bookmarkStart w:id="7" w:name="_Hlk158208945"/>
      <w:r w:rsidRPr="00582377">
        <w:rPr>
          <w:i/>
          <w:iCs/>
          <w:color w:val="538135" w:themeColor="accent6" w:themeShade="BF"/>
        </w:rPr>
        <w:t xml:space="preserve">(Please </w:t>
      </w:r>
      <w:r>
        <w:rPr>
          <w:i/>
          <w:iCs/>
          <w:color w:val="538135" w:themeColor="accent6" w:themeShade="BF"/>
        </w:rPr>
        <w:t>answer either Yes or No, deleting text as required</w:t>
      </w:r>
      <w:r w:rsidRPr="00582377">
        <w:rPr>
          <w:rFonts w:eastAsia="Segoe UI"/>
          <w:bCs/>
          <w:i/>
          <w:iCs/>
          <w:color w:val="538135" w:themeColor="accent6" w:themeShade="BF"/>
        </w:rPr>
        <w:t>)</w:t>
      </w:r>
    </w:p>
    <w:bookmarkEnd w:id="7"/>
    <w:p w14:paraId="7C29AF11" w14:textId="77777777" w:rsidR="003802F3" w:rsidRDefault="004A45BE" w:rsidP="00361BBE">
      <w:pPr>
        <w:spacing w:before="120"/>
        <w:rPr>
          <w:bCs/>
        </w:rPr>
      </w:pPr>
      <w:r w:rsidRPr="00361BBE">
        <w:rPr>
          <w:b/>
          <w:bCs/>
        </w:rPr>
        <w:t>A change in clinical management?</w:t>
      </w:r>
      <w:r>
        <w:rPr>
          <w:bCs/>
        </w:rPr>
        <w:tab/>
      </w:r>
    </w:p>
    <w:p w14:paraId="04DCC18C" w14:textId="0C14E7AE" w:rsidR="002D0A1C" w:rsidRDefault="008B2824" w:rsidP="00361BBE">
      <w:pPr>
        <w:spacing w:before="120"/>
        <w:rPr>
          <w:bCs/>
        </w:rPr>
      </w:pPr>
      <w:r>
        <w:rPr>
          <w:bCs/>
        </w:rPr>
        <w:t>No.</w:t>
      </w:r>
    </w:p>
    <w:p w14:paraId="3710051E" w14:textId="77777777" w:rsidR="002D0A1C" w:rsidRPr="00BC0C43" w:rsidRDefault="002D0A1C" w:rsidP="00361BBE">
      <w:pPr>
        <w:spacing w:before="120"/>
        <w:rPr>
          <w:bCs/>
        </w:rPr>
      </w:pPr>
    </w:p>
    <w:p w14:paraId="43441E22" w14:textId="77777777" w:rsidR="001E1EDB" w:rsidRDefault="004A45BE" w:rsidP="00BC0C43">
      <w:pPr>
        <w:rPr>
          <w:bCs/>
        </w:rPr>
      </w:pPr>
      <w:r w:rsidRPr="00361BBE">
        <w:rPr>
          <w:b/>
          <w:bCs/>
        </w:rPr>
        <w:lastRenderedPageBreak/>
        <w:t>A change in health outcome?</w:t>
      </w:r>
      <w:r>
        <w:rPr>
          <w:bCs/>
        </w:rPr>
        <w:tab/>
      </w:r>
    </w:p>
    <w:p w14:paraId="6C54CA8D" w14:textId="7E5FFB99" w:rsidR="004A45BE" w:rsidRPr="00BC0C43" w:rsidRDefault="004A45BE" w:rsidP="00BC0C43">
      <w:pPr>
        <w:rPr>
          <w:bCs/>
        </w:rPr>
      </w:pPr>
      <w:r w:rsidRPr="00BF4BAA">
        <w:rPr>
          <w:bCs/>
          <w:highlight w:val="lightGray"/>
        </w:rPr>
        <w:t>Yes</w:t>
      </w:r>
      <w:r w:rsidR="001E1EDB">
        <w:rPr>
          <w:bCs/>
        </w:rPr>
        <w:t>.</w:t>
      </w:r>
    </w:p>
    <w:p w14:paraId="0EA34C1F" w14:textId="77777777" w:rsidR="001E1EDB" w:rsidRDefault="004A45BE" w:rsidP="00BC0C43">
      <w:pPr>
        <w:rPr>
          <w:bCs/>
        </w:rPr>
      </w:pPr>
      <w:r w:rsidRPr="00361BBE">
        <w:rPr>
          <w:b/>
          <w:bCs/>
        </w:rPr>
        <w:t>Other benefits?</w:t>
      </w:r>
      <w:r w:rsidRPr="00361BBE">
        <w:rPr>
          <w:b/>
          <w:bCs/>
        </w:rPr>
        <w:tab/>
      </w:r>
      <w:r>
        <w:rPr>
          <w:bCs/>
        </w:rPr>
        <w:tab/>
      </w:r>
      <w:r>
        <w:rPr>
          <w:bCs/>
        </w:rPr>
        <w:tab/>
      </w:r>
    </w:p>
    <w:p w14:paraId="0434A6A4" w14:textId="7EFCBD5D" w:rsidR="004A45BE" w:rsidRPr="00BC0C43" w:rsidRDefault="000177B4" w:rsidP="00BC0C43">
      <w:pPr>
        <w:rPr>
          <w:bCs/>
        </w:rPr>
      </w:pPr>
      <w:r>
        <w:rPr>
          <w:bCs/>
        </w:rPr>
        <w:t>No.</w:t>
      </w:r>
    </w:p>
    <w:p w14:paraId="04716397" w14:textId="0FE58BC1" w:rsidR="004A45BE" w:rsidRPr="00BC0C43" w:rsidRDefault="009D5D20" w:rsidP="00BC0C43">
      <w:pPr>
        <w:pStyle w:val="Heading2"/>
      </w:pPr>
      <w:r>
        <w:t>Please provide a rationale, and information on other benefits if relevant</w:t>
      </w:r>
      <w:r w:rsidR="004A45BE">
        <w:t>:</w:t>
      </w:r>
    </w:p>
    <w:p w14:paraId="387EB1A7" w14:textId="77777777" w:rsidR="00361BBE" w:rsidRDefault="009D5D20" w:rsidP="00582377">
      <w:pPr>
        <w:pStyle w:val="Heading2"/>
      </w:pPr>
      <w:r>
        <w:t>In terms of the immediate costs of the proposed technology (and immediate cost consequences, such as procedural costs, testing costs etc.), is the proposed technology claimed to be more costly, the same cost or less costly than the comparator?</w:t>
      </w:r>
      <w:r w:rsidR="004A45BE">
        <w:t xml:space="preserve"> </w:t>
      </w:r>
    </w:p>
    <w:p w14:paraId="576F477A" w14:textId="41A02A2C" w:rsidR="00582377" w:rsidRPr="00361BBE" w:rsidRDefault="00582377" w:rsidP="00361BBE">
      <w:pPr>
        <w:pStyle w:val="Instructions"/>
        <w:rPr>
          <w:rStyle w:val="InstructionsChar"/>
          <w:b/>
          <w:bCs/>
          <w:i/>
          <w:iCs/>
          <w:color w:val="538135" w:themeColor="accent6" w:themeShade="BF"/>
        </w:rPr>
      </w:pPr>
      <w:r w:rsidRPr="00361BBE">
        <w:rPr>
          <w:rStyle w:val="InstructionsChar"/>
          <w:i/>
          <w:iCs/>
          <w:color w:val="538135" w:themeColor="accent6" w:themeShade="BF"/>
        </w:rPr>
        <w:t>(Please select your response)</w:t>
      </w:r>
    </w:p>
    <w:p w14:paraId="0EB954C3" w14:textId="76551895" w:rsidR="006437E6" w:rsidRPr="00582377" w:rsidRDefault="00B70FF3" w:rsidP="00582377">
      <w:pPr>
        <w:pStyle w:val="Tickboxes"/>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6437E6" w:rsidRPr="00582377">
        <w:t xml:space="preserve"> More costly </w:t>
      </w:r>
    </w:p>
    <w:p w14:paraId="76F56838" w14:textId="0F328415" w:rsidR="006437E6" w:rsidRPr="00582377" w:rsidRDefault="00D442B5" w:rsidP="00582377">
      <w:pPr>
        <w:pStyle w:val="Tickboxes"/>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6437E6" w:rsidRPr="00582377">
        <w:t xml:space="preserve"> Same cost</w:t>
      </w:r>
    </w:p>
    <w:p w14:paraId="7925F574" w14:textId="04A11129" w:rsidR="00025969" w:rsidRPr="00582377" w:rsidRDefault="006437E6" w:rsidP="00582377">
      <w:pPr>
        <w:pStyle w:val="Tickboxes"/>
      </w:pPr>
      <w:r w:rsidRPr="00582377">
        <w:fldChar w:fldCharType="begin">
          <w:ffData>
            <w:name w:val="Check1"/>
            <w:enabled/>
            <w:calcOnExit w:val="0"/>
            <w:checkBox>
              <w:sizeAuto/>
              <w:default w:val="0"/>
            </w:checkBox>
          </w:ffData>
        </w:fldChar>
      </w:r>
      <w:r w:rsidRPr="00582377">
        <w:instrText xml:space="preserve"> FORMCHECKBOX </w:instrText>
      </w:r>
      <w:r w:rsidRPr="00582377">
        <w:fldChar w:fldCharType="separate"/>
      </w:r>
      <w:r w:rsidRPr="00582377">
        <w:fldChar w:fldCharType="end"/>
      </w:r>
      <w:r w:rsidRPr="00582377">
        <w:t xml:space="preserve"> Less costly </w:t>
      </w:r>
    </w:p>
    <w:p w14:paraId="3797314E" w14:textId="321C0DC3" w:rsidR="004A45BE" w:rsidRPr="00BC0C43" w:rsidRDefault="009D5D20" w:rsidP="00BC0C43">
      <w:pPr>
        <w:pStyle w:val="Heading2"/>
      </w:pPr>
      <w:r>
        <w:t>Provide a brief rationale for the claim</w:t>
      </w:r>
      <w:r w:rsidR="004A45BE">
        <w:t>:</w:t>
      </w:r>
    </w:p>
    <w:p w14:paraId="1623BD91" w14:textId="42539605" w:rsidR="00FB43AF" w:rsidRDefault="00FB43AF" w:rsidP="00FB43AF">
      <w:bookmarkStart w:id="8" w:name="_Hlk122532620"/>
      <w:r w:rsidRPr="00FB43AF">
        <w:t xml:space="preserve">The new procedure will be more costly than </w:t>
      </w:r>
      <w:proofErr w:type="spellStart"/>
      <w:r w:rsidRPr="00FB43AF">
        <w:t>aBCIs</w:t>
      </w:r>
      <w:proofErr w:type="spellEnd"/>
      <w:r w:rsidRPr="00FB43AF">
        <w:t xml:space="preserve"> under </w:t>
      </w:r>
      <w:r w:rsidRPr="00FB43AF">
        <w:rPr>
          <w:u w:val="single"/>
        </w:rPr>
        <w:t xml:space="preserve">PL group 02.01.04 </w:t>
      </w:r>
      <w:r w:rsidRPr="00FB43AF">
        <w:t xml:space="preserve">and equally costly compared to </w:t>
      </w:r>
      <w:proofErr w:type="spellStart"/>
      <w:r w:rsidRPr="00FB43AF">
        <w:t>aBCIs</w:t>
      </w:r>
      <w:proofErr w:type="spellEnd"/>
      <w:r w:rsidRPr="00FB43AF">
        <w:t xml:space="preserve"> under </w:t>
      </w:r>
      <w:r w:rsidRPr="00FB43AF">
        <w:rPr>
          <w:u w:val="single"/>
        </w:rPr>
        <w:t>PL group 02.01.09</w:t>
      </w:r>
      <w:r w:rsidRPr="00FB43AF">
        <w:t>. Overall, the cost of the new procedure will be comparable to item 41618, which is not a comparator due to a different target population.</w:t>
      </w:r>
    </w:p>
    <w:p w14:paraId="1F97D5BC" w14:textId="77777777" w:rsidR="008E468A" w:rsidRDefault="008E468A" w:rsidP="00EA0AA0">
      <w:pPr>
        <w:pStyle w:val="Heading1"/>
        <w:rPr>
          <w:b w:val="0"/>
          <w:bCs w:val="0"/>
          <w:color w:val="auto"/>
          <w:sz w:val="22"/>
          <w:szCs w:val="22"/>
        </w:rPr>
      </w:pPr>
    </w:p>
    <w:p w14:paraId="5C60D46B" w14:textId="77777777" w:rsidR="00356026" w:rsidRPr="00356026" w:rsidRDefault="00356026" w:rsidP="00356026"/>
    <w:p w14:paraId="70D06DDC" w14:textId="77777777" w:rsidR="00356026" w:rsidRPr="00356026" w:rsidRDefault="00356026" w:rsidP="00356026"/>
    <w:p w14:paraId="407D8DFA" w14:textId="77777777" w:rsidR="00356026" w:rsidRDefault="00356026">
      <w:pPr>
        <w:spacing w:after="160" w:line="259" w:lineRule="auto"/>
        <w:rPr>
          <w:b/>
          <w:bCs/>
          <w:color w:val="0070C0"/>
          <w:sz w:val="32"/>
          <w:szCs w:val="32"/>
        </w:rPr>
      </w:pPr>
      <w:r>
        <w:br w:type="page"/>
      </w:r>
    </w:p>
    <w:p w14:paraId="6E81358B" w14:textId="77777777" w:rsidR="00356026" w:rsidRDefault="00356026" w:rsidP="00EA0AA0">
      <w:pPr>
        <w:pStyle w:val="Heading1"/>
        <w:sectPr w:rsidR="00356026" w:rsidSect="00CC4BFC">
          <w:footerReference w:type="default" r:id="rId11"/>
          <w:pgSz w:w="11906" w:h="16838"/>
          <w:pgMar w:top="1440" w:right="992" w:bottom="1134" w:left="1440" w:header="425" w:footer="249" w:gutter="0"/>
          <w:pgNumType w:start="0"/>
          <w:cols w:space="708"/>
          <w:titlePg/>
          <w:docGrid w:linePitch="360"/>
        </w:sectPr>
      </w:pPr>
    </w:p>
    <w:p w14:paraId="78D9C328" w14:textId="3E077E1A" w:rsidR="0030566C" w:rsidRPr="004219BE" w:rsidRDefault="0030566C" w:rsidP="00EA0AA0">
      <w:pPr>
        <w:pStyle w:val="Heading1"/>
      </w:pPr>
      <w:r w:rsidRPr="004219BE">
        <w:lastRenderedPageBreak/>
        <w:t>Summary of Evidence</w:t>
      </w:r>
    </w:p>
    <w:p w14:paraId="30B8B45A" w14:textId="004CA95C" w:rsidR="0030566C" w:rsidRPr="00CC4BFC" w:rsidRDefault="0030566C" w:rsidP="00BC0C43">
      <w:pPr>
        <w:spacing w:before="120"/>
        <w:rPr>
          <w:b/>
          <w:bCs/>
        </w:rPr>
      </w:pPr>
      <w:r w:rsidRPr="00506488">
        <w:t xml:space="preserve">Provide one or more recent (published) high quality clinical studies that support use of the proposed health service/technology. </w:t>
      </w:r>
    </w:p>
    <w:tbl>
      <w:tblPr>
        <w:tblStyle w:val="TableGrid"/>
        <w:tblW w:w="5070" w:type="pct"/>
        <w:tblLayout w:type="fixed"/>
        <w:tblLook w:val="04A0" w:firstRow="1" w:lastRow="0" w:firstColumn="1" w:lastColumn="0" w:noHBand="0" w:noVBand="1"/>
        <w:tblCaption w:val="Summary of Evidence - Published"/>
      </w:tblPr>
      <w:tblGrid>
        <w:gridCol w:w="422"/>
        <w:gridCol w:w="1492"/>
        <w:gridCol w:w="2194"/>
        <w:gridCol w:w="5666"/>
        <w:gridCol w:w="2980"/>
        <w:gridCol w:w="1700"/>
      </w:tblGrid>
      <w:tr w:rsidR="002B3774" w:rsidRPr="004219BE" w14:paraId="7D7CFBCF" w14:textId="77777777" w:rsidTr="008675E3">
        <w:trPr>
          <w:cantSplit/>
          <w:tblHeader/>
        </w:trPr>
        <w:tc>
          <w:tcPr>
            <w:tcW w:w="146" w:type="pct"/>
          </w:tcPr>
          <w:p w14:paraId="3C303F90" w14:textId="77777777" w:rsidR="002B3774" w:rsidRPr="008675E3" w:rsidRDefault="002B3774" w:rsidP="009D7BEA">
            <w:pPr>
              <w:rPr>
                <w:b/>
                <w:bCs/>
              </w:rPr>
            </w:pPr>
          </w:p>
        </w:tc>
        <w:tc>
          <w:tcPr>
            <w:tcW w:w="516" w:type="pct"/>
          </w:tcPr>
          <w:p w14:paraId="22034637" w14:textId="77777777" w:rsidR="002B3774" w:rsidRPr="008675E3" w:rsidRDefault="002B3774" w:rsidP="009D7BEA">
            <w:pPr>
              <w:rPr>
                <w:b/>
                <w:bCs/>
              </w:rPr>
            </w:pPr>
            <w:r w:rsidRPr="008675E3">
              <w:rPr>
                <w:b/>
                <w:bCs/>
              </w:rPr>
              <w:t>Type of study design*</w:t>
            </w:r>
          </w:p>
        </w:tc>
        <w:tc>
          <w:tcPr>
            <w:tcW w:w="759" w:type="pct"/>
          </w:tcPr>
          <w:p w14:paraId="72A969B8" w14:textId="4FD42678" w:rsidR="002B3774" w:rsidRPr="008675E3" w:rsidRDefault="002B3774" w:rsidP="009D7BEA">
            <w:pPr>
              <w:rPr>
                <w:b/>
                <w:bCs/>
              </w:rPr>
            </w:pPr>
            <w:r w:rsidRPr="008675E3">
              <w:rPr>
                <w:b/>
                <w:bCs/>
              </w:rPr>
              <w:t>Title of journal article or research project (including any trial identifier or study lead if relevant)</w:t>
            </w:r>
          </w:p>
        </w:tc>
        <w:tc>
          <w:tcPr>
            <w:tcW w:w="1960" w:type="pct"/>
          </w:tcPr>
          <w:p w14:paraId="6849AB75" w14:textId="4ADA0B42" w:rsidR="002B3774" w:rsidRPr="008675E3" w:rsidRDefault="002B3774" w:rsidP="009D7BEA">
            <w:pPr>
              <w:rPr>
                <w:b/>
                <w:bCs/>
              </w:rPr>
            </w:pPr>
            <w:r w:rsidRPr="008675E3">
              <w:rPr>
                <w:b/>
                <w:bCs/>
              </w:rPr>
              <w:t>Short description of research (max 50</w:t>
            </w:r>
            <w:r w:rsidR="00677A07" w:rsidRPr="008675E3">
              <w:rPr>
                <w:b/>
                <w:bCs/>
              </w:rPr>
              <w:t xml:space="preserve"> </w:t>
            </w:r>
            <w:proofErr w:type="gramStart"/>
            <w:r w:rsidRPr="008675E3">
              <w:rPr>
                <w:b/>
                <w:bCs/>
              </w:rPr>
              <w:t>words)*</w:t>
            </w:r>
            <w:proofErr w:type="gramEnd"/>
            <w:r w:rsidRPr="008675E3">
              <w:rPr>
                <w:b/>
                <w:bCs/>
              </w:rPr>
              <w:t>*</w:t>
            </w:r>
          </w:p>
        </w:tc>
        <w:tc>
          <w:tcPr>
            <w:tcW w:w="1031" w:type="pct"/>
          </w:tcPr>
          <w:p w14:paraId="6D438BD5" w14:textId="77777777" w:rsidR="002B3774" w:rsidRPr="008675E3" w:rsidRDefault="002B3774" w:rsidP="009D7BEA">
            <w:pPr>
              <w:rPr>
                <w:b/>
                <w:bCs/>
              </w:rPr>
            </w:pPr>
            <w:r w:rsidRPr="008675E3">
              <w:rPr>
                <w:b/>
                <w:bCs/>
              </w:rPr>
              <w:t>Website link to journal article or research (if available)</w:t>
            </w:r>
          </w:p>
        </w:tc>
        <w:tc>
          <w:tcPr>
            <w:tcW w:w="588" w:type="pct"/>
          </w:tcPr>
          <w:p w14:paraId="53584C89" w14:textId="77777777" w:rsidR="002B3774" w:rsidRPr="008675E3" w:rsidRDefault="002B3774" w:rsidP="009D7BEA">
            <w:pPr>
              <w:rPr>
                <w:b/>
                <w:bCs/>
              </w:rPr>
            </w:pPr>
            <w:r w:rsidRPr="008675E3">
              <w:rPr>
                <w:b/>
                <w:bCs/>
              </w:rPr>
              <w:t>Date of publication***</w:t>
            </w:r>
          </w:p>
        </w:tc>
      </w:tr>
      <w:tr w:rsidR="001A5406" w:rsidRPr="004219BE" w14:paraId="770ED8C0" w14:textId="77777777" w:rsidTr="008675E3">
        <w:trPr>
          <w:cantSplit/>
        </w:trPr>
        <w:tc>
          <w:tcPr>
            <w:tcW w:w="146" w:type="pct"/>
          </w:tcPr>
          <w:p w14:paraId="3ED51E73" w14:textId="77777777" w:rsidR="001A5406" w:rsidRPr="004219BE" w:rsidRDefault="001A5406" w:rsidP="001A5406">
            <w:r w:rsidRPr="004219BE">
              <w:t>1.</w:t>
            </w:r>
          </w:p>
        </w:tc>
        <w:tc>
          <w:tcPr>
            <w:tcW w:w="516" w:type="pct"/>
          </w:tcPr>
          <w:p w14:paraId="10FDEB23" w14:textId="2AF8B230" w:rsidR="001A5406" w:rsidRPr="004219BE" w:rsidRDefault="001A5406" w:rsidP="001A5406">
            <w:r w:rsidRPr="004219BE">
              <w:t>Observational study</w:t>
            </w:r>
          </w:p>
        </w:tc>
        <w:tc>
          <w:tcPr>
            <w:tcW w:w="759" w:type="pct"/>
          </w:tcPr>
          <w:p w14:paraId="78324A85" w14:textId="7DCE4F1F" w:rsidR="001A5406" w:rsidRPr="004219BE" w:rsidRDefault="001A5406" w:rsidP="001A5406">
            <w:r w:rsidRPr="004219BE">
              <w:t>Decision making in bone conduction and active middle ear implants – hearing outcomes and experiences over a 10-year period</w:t>
            </w:r>
          </w:p>
        </w:tc>
        <w:tc>
          <w:tcPr>
            <w:tcW w:w="1960" w:type="pct"/>
          </w:tcPr>
          <w:p w14:paraId="3C61C1FC" w14:textId="6355D714" w:rsidR="001A5406" w:rsidRPr="004219BE" w:rsidRDefault="001A5406" w:rsidP="001A5406">
            <w:r w:rsidRPr="004219BE">
              <w:t xml:space="preserve">Retrospective data analysis of 89 patients comparing audiological outcomes across pre-assigned patient groups – effectively comparing treatment with </w:t>
            </w:r>
            <w:proofErr w:type="spellStart"/>
            <w:r w:rsidRPr="004219BE">
              <w:t>aMEI</w:t>
            </w:r>
            <w:proofErr w:type="spellEnd"/>
            <w:r w:rsidRPr="004219BE">
              <w:t xml:space="preserve"> vs. BCI. The </w:t>
            </w:r>
            <w:proofErr w:type="spellStart"/>
            <w:r w:rsidRPr="004219BE">
              <w:t>aMEI</w:t>
            </w:r>
            <w:proofErr w:type="spellEnd"/>
            <w:r w:rsidRPr="004219BE">
              <w:t xml:space="preserve"> group was shown to reach significantly better effective gain compared to the BCI group.</w:t>
            </w:r>
          </w:p>
        </w:tc>
        <w:tc>
          <w:tcPr>
            <w:tcW w:w="1031" w:type="pct"/>
          </w:tcPr>
          <w:p w14:paraId="0D5BA928" w14:textId="24088435" w:rsidR="001A5406" w:rsidRPr="004219BE" w:rsidRDefault="001A5406" w:rsidP="001A5406">
            <w:hyperlink r:id="rId12" w:history="1">
              <w:r w:rsidRPr="004219BE">
                <w:t>https://www.tandfonline.com/doi/full/10.1080/14670100.2023.2267900</w:t>
              </w:r>
            </w:hyperlink>
          </w:p>
        </w:tc>
        <w:tc>
          <w:tcPr>
            <w:tcW w:w="588" w:type="pct"/>
          </w:tcPr>
          <w:p w14:paraId="10751763" w14:textId="72CCC883" w:rsidR="001A5406" w:rsidRPr="004219BE" w:rsidRDefault="001A5406" w:rsidP="001A5406">
            <w:r w:rsidRPr="004219BE">
              <w:t>17 Oct 2023</w:t>
            </w:r>
          </w:p>
        </w:tc>
      </w:tr>
      <w:tr w:rsidR="003B5CCD" w:rsidRPr="004219BE" w14:paraId="13AA3206" w14:textId="77777777" w:rsidTr="008675E3">
        <w:trPr>
          <w:cantSplit/>
        </w:trPr>
        <w:tc>
          <w:tcPr>
            <w:tcW w:w="146" w:type="pct"/>
          </w:tcPr>
          <w:p w14:paraId="7E036800" w14:textId="5B0FA1EA" w:rsidR="003B5CCD" w:rsidRPr="004219BE" w:rsidRDefault="003B5CCD" w:rsidP="009D7BEA">
            <w:r w:rsidRPr="004219BE">
              <w:t>2.</w:t>
            </w:r>
          </w:p>
        </w:tc>
        <w:tc>
          <w:tcPr>
            <w:tcW w:w="516" w:type="pct"/>
          </w:tcPr>
          <w:p w14:paraId="63B9BDA3" w14:textId="7E0FB973" w:rsidR="003B5CCD" w:rsidRPr="004219BE" w:rsidRDefault="001A5406" w:rsidP="009D7BEA">
            <w:r w:rsidRPr="004219BE">
              <w:t>O</w:t>
            </w:r>
            <w:r w:rsidR="00E9699C" w:rsidRPr="004219BE">
              <w:t>bservational study</w:t>
            </w:r>
          </w:p>
        </w:tc>
        <w:tc>
          <w:tcPr>
            <w:tcW w:w="759" w:type="pct"/>
          </w:tcPr>
          <w:p w14:paraId="67ACF6F2" w14:textId="590A5DD3" w:rsidR="003B5CCD" w:rsidRPr="004219BE" w:rsidRDefault="00E9699C" w:rsidP="009D7BEA">
            <w:r w:rsidRPr="004219BE">
              <w:t xml:space="preserve">Middle Ear Active Implant Indications, Comparative Audiometric Results from Different Approaches, and Coupling with the Vibrant </w:t>
            </w:r>
            <w:proofErr w:type="spellStart"/>
            <w:r w:rsidRPr="004219BE">
              <w:t>Soundbridge</w:t>
            </w:r>
            <w:proofErr w:type="spellEnd"/>
            <w:r w:rsidRPr="004219BE">
              <w:t xml:space="preserve">®: A Single </w:t>
            </w:r>
            <w:proofErr w:type="spellStart"/>
            <w:r w:rsidRPr="004219BE">
              <w:t>Center</w:t>
            </w:r>
            <w:proofErr w:type="spellEnd"/>
            <w:r w:rsidRPr="004219BE">
              <w:t xml:space="preserve"> Experience over More Than 20 Years</w:t>
            </w:r>
          </w:p>
        </w:tc>
        <w:tc>
          <w:tcPr>
            <w:tcW w:w="1960" w:type="pct"/>
          </w:tcPr>
          <w:p w14:paraId="718A8EDB" w14:textId="07190BC5" w:rsidR="003B5CCD" w:rsidRPr="004219BE" w:rsidRDefault="00E9699C" w:rsidP="009D7BEA">
            <w:r w:rsidRPr="004219BE">
              <w:t xml:space="preserve">This is a retrospective analysis of data from 55 patients in a single centre. </w:t>
            </w:r>
            <w:r w:rsidR="0058002A" w:rsidRPr="004219BE">
              <w:t>Benefit in hearing thresholds and speech understanding are compared among subgroups, e.g., SNHL and CMHL or different coupling locations. Patients with CMHL are shown to have more benefit from the treatment when compared to patients with SNHL.</w:t>
            </w:r>
          </w:p>
        </w:tc>
        <w:tc>
          <w:tcPr>
            <w:tcW w:w="1031" w:type="pct"/>
          </w:tcPr>
          <w:p w14:paraId="6B976BCE" w14:textId="301F3713" w:rsidR="003B5CCD" w:rsidRPr="004219BE" w:rsidRDefault="00E9699C" w:rsidP="009D7BEA">
            <w:hyperlink r:id="rId13" w:history="1">
              <w:r w:rsidRPr="004219BE">
                <w:t>https://www.mdpi.com/2039-4349/14/4/61</w:t>
              </w:r>
            </w:hyperlink>
          </w:p>
        </w:tc>
        <w:tc>
          <w:tcPr>
            <w:tcW w:w="588" w:type="pct"/>
          </w:tcPr>
          <w:p w14:paraId="2B0FAE9B" w14:textId="5192DCEC" w:rsidR="003B5CCD" w:rsidRPr="004219BE" w:rsidRDefault="0058002A" w:rsidP="009D7BEA">
            <w:r w:rsidRPr="004219BE">
              <w:t>21 Aug 2024</w:t>
            </w:r>
          </w:p>
        </w:tc>
      </w:tr>
      <w:tr w:rsidR="001A5406" w:rsidRPr="004219BE" w14:paraId="51DDDAD3" w14:textId="77777777" w:rsidTr="008675E3">
        <w:trPr>
          <w:cantSplit/>
        </w:trPr>
        <w:tc>
          <w:tcPr>
            <w:tcW w:w="146" w:type="pct"/>
          </w:tcPr>
          <w:p w14:paraId="531C52AD" w14:textId="4BE47DCA" w:rsidR="001A5406" w:rsidRPr="004219BE" w:rsidRDefault="001A5406" w:rsidP="001A5406">
            <w:r w:rsidRPr="004219BE">
              <w:lastRenderedPageBreak/>
              <w:t>3.</w:t>
            </w:r>
          </w:p>
        </w:tc>
        <w:tc>
          <w:tcPr>
            <w:tcW w:w="516" w:type="pct"/>
          </w:tcPr>
          <w:p w14:paraId="009C8826" w14:textId="1BE5E9D2" w:rsidR="001A5406" w:rsidRPr="004219BE" w:rsidRDefault="001A5406" w:rsidP="001A5406">
            <w:r w:rsidRPr="004219BE">
              <w:t>Observational study</w:t>
            </w:r>
          </w:p>
        </w:tc>
        <w:tc>
          <w:tcPr>
            <w:tcW w:w="759" w:type="pct"/>
          </w:tcPr>
          <w:p w14:paraId="101FD05B" w14:textId="4A82617A" w:rsidR="001A5406" w:rsidRPr="004219BE" w:rsidRDefault="001A5406" w:rsidP="001A5406">
            <w:r w:rsidRPr="004219BE">
              <w:t xml:space="preserve">Health-related quality of life in Vibrant </w:t>
            </w:r>
            <w:proofErr w:type="spellStart"/>
            <w:r w:rsidRPr="004219BE">
              <w:t>Soundbridge</w:t>
            </w:r>
            <w:proofErr w:type="spellEnd"/>
            <w:r w:rsidRPr="004219BE">
              <w:t xml:space="preserve"> patients: Generic and specific measures, short-term and long-term outcomes</w:t>
            </w:r>
          </w:p>
        </w:tc>
        <w:tc>
          <w:tcPr>
            <w:tcW w:w="1960" w:type="pct"/>
          </w:tcPr>
          <w:p w14:paraId="2F88EF87" w14:textId="69D3F446" w:rsidR="001A5406" w:rsidRPr="004219BE" w:rsidRDefault="001A5406" w:rsidP="001A5406">
            <w:r w:rsidRPr="004219BE">
              <w:t>This is a retrospective analysis of Health-related Quality of Life (HR-QoL) data that was collected during clinical routine. The results of 21 patients from 2 centres show an immediate, clinically relevant benefit 3 months after treatment and stable benefit at 24 months post-intervention.</w:t>
            </w:r>
          </w:p>
        </w:tc>
        <w:tc>
          <w:tcPr>
            <w:tcW w:w="1031" w:type="pct"/>
          </w:tcPr>
          <w:p w14:paraId="3359E36D" w14:textId="533506DF" w:rsidR="001A5406" w:rsidRPr="004219BE" w:rsidRDefault="001A5406" w:rsidP="001A5406">
            <w:hyperlink r:id="rId14" w:history="1">
              <w:r w:rsidRPr="004219BE">
                <w:t>https://link.springer.com/article/10.1007/s00405-024-08889-2</w:t>
              </w:r>
            </w:hyperlink>
          </w:p>
        </w:tc>
        <w:tc>
          <w:tcPr>
            <w:tcW w:w="588" w:type="pct"/>
          </w:tcPr>
          <w:p w14:paraId="1A769279" w14:textId="58522C80" w:rsidR="001A5406" w:rsidRPr="004219BE" w:rsidRDefault="001A5406" w:rsidP="001A5406">
            <w:r w:rsidRPr="004219BE">
              <w:t>23 Aug 2024</w:t>
            </w:r>
          </w:p>
        </w:tc>
      </w:tr>
      <w:tr w:rsidR="006578A1" w:rsidRPr="004219BE" w14:paraId="5E5981A7" w14:textId="77777777" w:rsidTr="008675E3">
        <w:trPr>
          <w:cantSplit/>
        </w:trPr>
        <w:tc>
          <w:tcPr>
            <w:tcW w:w="146" w:type="pct"/>
          </w:tcPr>
          <w:p w14:paraId="5C5E126F" w14:textId="009245CB" w:rsidR="006578A1" w:rsidRPr="004219BE" w:rsidRDefault="006578A1" w:rsidP="006578A1">
            <w:r w:rsidRPr="004219BE">
              <w:t>4.</w:t>
            </w:r>
          </w:p>
        </w:tc>
        <w:tc>
          <w:tcPr>
            <w:tcW w:w="516" w:type="pct"/>
          </w:tcPr>
          <w:p w14:paraId="1FF60CC2" w14:textId="70FC2048" w:rsidR="006578A1" w:rsidRPr="004219BE" w:rsidRDefault="006578A1" w:rsidP="006578A1">
            <w:r w:rsidRPr="004219BE">
              <w:t>Systematic Review</w:t>
            </w:r>
          </w:p>
        </w:tc>
        <w:tc>
          <w:tcPr>
            <w:tcW w:w="759" w:type="pct"/>
          </w:tcPr>
          <w:p w14:paraId="3D543F8D" w14:textId="45A3B9D6" w:rsidR="006578A1" w:rsidRPr="004219BE" w:rsidRDefault="006578A1" w:rsidP="006578A1">
            <w:r w:rsidRPr="004219BE">
              <w:t>Efficacy of vibrant sound bridge in congenital aural atresia:</w:t>
            </w:r>
            <w:r w:rsidR="00AE7B41" w:rsidRPr="004219BE">
              <w:t xml:space="preserve"> </w:t>
            </w:r>
            <w:r w:rsidRPr="004219BE">
              <w:t>an updated systematic review</w:t>
            </w:r>
          </w:p>
        </w:tc>
        <w:tc>
          <w:tcPr>
            <w:tcW w:w="1960" w:type="pct"/>
          </w:tcPr>
          <w:p w14:paraId="6416CC3A" w14:textId="70F68A8E" w:rsidR="006578A1" w:rsidRPr="004219BE" w:rsidRDefault="00AE7B41" w:rsidP="00AA1FE4">
            <w:r w:rsidRPr="004219BE">
              <w:t xml:space="preserve">This Systematic Review summarizes evidence on effectiveness, safety and patient-reported outcomes </w:t>
            </w:r>
            <w:r w:rsidR="00AA1FE4" w:rsidRPr="004219BE">
              <w:t>with</w:t>
            </w:r>
            <w:r w:rsidRPr="004219BE">
              <w:t xml:space="preserve"> VIBRANT </w:t>
            </w:r>
            <w:r w:rsidR="0053001F" w:rsidRPr="004219BE">
              <w:t>S</w:t>
            </w:r>
            <w:r w:rsidR="0053001F">
              <w:t>OUNDBRIDGE</w:t>
            </w:r>
            <w:r w:rsidR="0053001F" w:rsidRPr="004219BE">
              <w:t xml:space="preserve"> </w:t>
            </w:r>
            <w:r w:rsidRPr="004219BE">
              <w:t xml:space="preserve">in patients with </w:t>
            </w:r>
            <w:r w:rsidR="0053001F" w:rsidRPr="0053001F">
              <w:t>congenital aural atresia</w:t>
            </w:r>
            <w:r w:rsidR="0053001F">
              <w:t xml:space="preserve"> (</w:t>
            </w:r>
            <w:r w:rsidRPr="004219BE">
              <w:t>CAA</w:t>
            </w:r>
            <w:r w:rsidR="0053001F">
              <w:t>)</w:t>
            </w:r>
            <w:r w:rsidRPr="004219BE">
              <w:t xml:space="preserve">. </w:t>
            </w:r>
            <w:r w:rsidR="003E29BC" w:rsidRPr="004219BE">
              <w:t>Twenty-seven</w:t>
            </w:r>
            <w:r w:rsidR="00AA1FE4" w:rsidRPr="004219BE">
              <w:t xml:space="preserve"> studies were included in the final dataset. The authors conclude that the </w:t>
            </w:r>
            <w:r w:rsidR="0053001F" w:rsidRPr="004219BE">
              <w:t>V</w:t>
            </w:r>
            <w:r w:rsidR="0053001F">
              <w:t xml:space="preserve">IBRANT SOUNDBRIDGE </w:t>
            </w:r>
            <w:r w:rsidR="00AA1FE4" w:rsidRPr="004219BE">
              <w:t>provided significant benefits to individuals with hearing loss owing to CAA, with excellent subjective outcomes and a low risk of complications.</w:t>
            </w:r>
          </w:p>
        </w:tc>
        <w:tc>
          <w:tcPr>
            <w:tcW w:w="1031" w:type="pct"/>
          </w:tcPr>
          <w:p w14:paraId="59A5BC43" w14:textId="7550BCCE" w:rsidR="006578A1" w:rsidRPr="004219BE" w:rsidRDefault="006578A1" w:rsidP="006578A1">
            <w:hyperlink r:id="rId15" w:history="1">
              <w:r w:rsidRPr="004219BE">
                <w:t>https://link.springer.com/article/10.1007/s00405-024-08629-6</w:t>
              </w:r>
            </w:hyperlink>
          </w:p>
        </w:tc>
        <w:tc>
          <w:tcPr>
            <w:tcW w:w="588" w:type="pct"/>
          </w:tcPr>
          <w:p w14:paraId="46344575" w14:textId="479F3BE5" w:rsidR="006578A1" w:rsidRPr="004219BE" w:rsidRDefault="006578A1" w:rsidP="006578A1">
            <w:r w:rsidRPr="004219BE">
              <w:t>22 Apr 2024</w:t>
            </w:r>
          </w:p>
        </w:tc>
      </w:tr>
      <w:tr w:rsidR="004C22F7" w:rsidRPr="004219BE" w14:paraId="25494812" w14:textId="77777777" w:rsidTr="008675E3">
        <w:trPr>
          <w:cantSplit/>
        </w:trPr>
        <w:tc>
          <w:tcPr>
            <w:tcW w:w="146" w:type="pct"/>
          </w:tcPr>
          <w:p w14:paraId="01283092" w14:textId="43A8A782" w:rsidR="004C22F7" w:rsidRPr="004219BE" w:rsidRDefault="004C22F7" w:rsidP="004C22F7">
            <w:r>
              <w:lastRenderedPageBreak/>
              <w:t>5.</w:t>
            </w:r>
          </w:p>
        </w:tc>
        <w:tc>
          <w:tcPr>
            <w:tcW w:w="516" w:type="pct"/>
          </w:tcPr>
          <w:p w14:paraId="7DDC0184" w14:textId="3C767BBF" w:rsidR="004C22F7" w:rsidRPr="004219BE" w:rsidRDefault="004C22F7" w:rsidP="004C22F7">
            <w:r w:rsidRPr="004219BE">
              <w:t>Health-Economic Analysis</w:t>
            </w:r>
          </w:p>
        </w:tc>
        <w:tc>
          <w:tcPr>
            <w:tcW w:w="759" w:type="pct"/>
          </w:tcPr>
          <w:p w14:paraId="43EFF1E5" w14:textId="77777777" w:rsidR="0053001F" w:rsidRPr="003517EF" w:rsidRDefault="0053001F" w:rsidP="0053001F">
            <w:pPr>
              <w:rPr>
                <w:lang w:val="en-US"/>
              </w:rPr>
            </w:pPr>
            <w:r w:rsidRPr="003517EF">
              <w:rPr>
                <w:lang w:val="en-US"/>
              </w:rPr>
              <w:t>Expensive today but cheaper tomorrow: lifetime costs of an active middle ear implant compared to alternative treatment options</w:t>
            </w:r>
          </w:p>
          <w:p w14:paraId="7C3312CC" w14:textId="3D2E636B" w:rsidR="004C22F7" w:rsidRPr="004219BE" w:rsidRDefault="004C22F7" w:rsidP="004C22F7"/>
        </w:tc>
        <w:tc>
          <w:tcPr>
            <w:tcW w:w="1960" w:type="pct"/>
          </w:tcPr>
          <w:p w14:paraId="4E650C6D" w14:textId="63D90AA8" w:rsidR="004C22F7" w:rsidRPr="004219BE" w:rsidRDefault="004C22F7" w:rsidP="004C22F7">
            <w:r w:rsidRPr="004219BE">
              <w:t xml:space="preserve">Lifetime costs were calculated for three different patient groups at a single ENT centre (Hannover Medical School). Direct treatment with </w:t>
            </w:r>
            <w:proofErr w:type="spellStart"/>
            <w:r w:rsidRPr="004219BE">
              <w:t>aMEI</w:t>
            </w:r>
            <w:proofErr w:type="spellEnd"/>
            <w:r w:rsidRPr="004219BE">
              <w:t xml:space="preserve"> (group 1) resulted in lowest lifetime costs. Treatment with </w:t>
            </w:r>
            <w:proofErr w:type="spellStart"/>
            <w:r w:rsidRPr="004219BE">
              <w:t>aMEI</w:t>
            </w:r>
            <w:proofErr w:type="spellEnd"/>
            <w:r w:rsidRPr="004219BE">
              <w:t xml:space="preserve"> after an avg. of 2.5 middle ear surgeries (group 2) was most expensive. Treatment with middle ear surgeries alone resulted in similar lifetime costs as in group 1, but over 25</w:t>
            </w:r>
            <w:r w:rsidR="0053001F">
              <w:t> </w:t>
            </w:r>
            <w:r w:rsidRPr="004219BE">
              <w:t>% of the population remained effectively untreated after an avg. lifetime of 26.7 years and a maximum of 15 repeated surgeries.</w:t>
            </w:r>
          </w:p>
        </w:tc>
        <w:tc>
          <w:tcPr>
            <w:tcW w:w="1031" w:type="pct"/>
          </w:tcPr>
          <w:p w14:paraId="159A963B" w14:textId="5E74DB2A" w:rsidR="004C22F7" w:rsidRDefault="00B03044" w:rsidP="004C22F7">
            <w:r w:rsidRPr="00B03044">
              <w:t>https://link.springer.com/article/10.1007/s10198-024-01743-6</w:t>
            </w:r>
          </w:p>
        </w:tc>
        <w:tc>
          <w:tcPr>
            <w:tcW w:w="588" w:type="pct"/>
          </w:tcPr>
          <w:p w14:paraId="668206BC" w14:textId="57F5DFF3" w:rsidR="004C22F7" w:rsidRPr="004219BE" w:rsidRDefault="00666630" w:rsidP="004C22F7">
            <w:r w:rsidRPr="00666630">
              <w:t>06 Dec</w:t>
            </w:r>
            <w:r>
              <w:t xml:space="preserve"> </w:t>
            </w:r>
            <w:r w:rsidRPr="00666630">
              <w:t>2024</w:t>
            </w:r>
          </w:p>
        </w:tc>
      </w:tr>
    </w:tbl>
    <w:p w14:paraId="28D8334A" w14:textId="77777777" w:rsidR="00BF4BAA" w:rsidRPr="00CC4BFC" w:rsidRDefault="00BF4BAA" w:rsidP="00BF4BAA">
      <w:pPr>
        <w:rPr>
          <w:sz w:val="20"/>
          <w:szCs w:val="20"/>
        </w:rPr>
      </w:pPr>
      <w:r w:rsidRPr="00CC4BFC">
        <w:rPr>
          <w:sz w:val="20"/>
          <w:szCs w:val="20"/>
        </w:rPr>
        <w:t xml:space="preserve">* Categorise study design, for example meta-analysis, randomised trials, non-randomised trial or observational study, study of diagnostic accuracy, etc. </w:t>
      </w:r>
    </w:p>
    <w:p w14:paraId="093464EB" w14:textId="77777777" w:rsidR="00BF4BAA" w:rsidRPr="00CC4BFC" w:rsidRDefault="00BF4BAA" w:rsidP="00BF4BAA">
      <w:pPr>
        <w:rPr>
          <w:sz w:val="20"/>
          <w:szCs w:val="20"/>
        </w:rPr>
      </w:pPr>
      <w:r w:rsidRPr="00CC4BFC">
        <w:rPr>
          <w:sz w:val="20"/>
          <w:szCs w:val="20"/>
        </w:rPr>
        <w:t>**Provide high level information including population numbers and whether patients are being recruited or in post-recruitment, including providing the trial registration number to allow for tracking purposes. For yet to be published research, provide high level information including population numbers and whether patients are being recruited or in post-recruitment.</w:t>
      </w:r>
    </w:p>
    <w:p w14:paraId="791F0387" w14:textId="1809F019" w:rsidR="00BC0C43" w:rsidRPr="004219BE" w:rsidRDefault="00BF4BAA" w:rsidP="00BC0C43">
      <w:r w:rsidRPr="00CC4BFC">
        <w:rPr>
          <w:sz w:val="20"/>
          <w:szCs w:val="20"/>
        </w:rPr>
        <w:t>*** If the publication is a follow-up to an initial publication, please advise. For yet to be published research, include the date of when results will be made available (to the best of your knowledge).</w:t>
      </w:r>
      <w:r w:rsidRPr="00CC4BFC">
        <w:rPr>
          <w:sz w:val="18"/>
          <w:szCs w:val="18"/>
        </w:rPr>
        <w:t xml:space="preserve"> </w:t>
      </w:r>
    </w:p>
    <w:p w14:paraId="145A46F8" w14:textId="77777777" w:rsidR="00506488" w:rsidRDefault="00506488">
      <w:pPr>
        <w:spacing w:after="160" w:line="259" w:lineRule="auto"/>
        <w:rPr>
          <w:b/>
          <w:bCs/>
        </w:rPr>
      </w:pPr>
      <w:r>
        <w:rPr>
          <w:b/>
          <w:bCs/>
        </w:rPr>
        <w:br w:type="page"/>
      </w:r>
    </w:p>
    <w:p w14:paraId="6CE4F0CD" w14:textId="16E2C2DD" w:rsidR="00BC0C43" w:rsidRPr="00A21DC4" w:rsidRDefault="0030566C" w:rsidP="00BC0C43">
      <w:pPr>
        <w:rPr>
          <w:b/>
          <w:bCs/>
        </w:rPr>
      </w:pPr>
      <w:r w:rsidRPr="00A21DC4">
        <w:rPr>
          <w:b/>
          <w:bCs/>
        </w:rPr>
        <w:lastRenderedPageBreak/>
        <w:t xml:space="preserve">Identify yet-to-be-published research that may have results available </w:t>
      </w:r>
      <w:proofErr w:type="gramStart"/>
      <w:r w:rsidRPr="00A21DC4">
        <w:rPr>
          <w:b/>
          <w:bCs/>
        </w:rPr>
        <w:t>in the near future</w:t>
      </w:r>
      <w:proofErr w:type="gramEnd"/>
      <w:r w:rsidRPr="00A21DC4">
        <w:rPr>
          <w:b/>
          <w:bCs/>
        </w:rPr>
        <w:t xml:space="preserve"> (that could be relevant to your application). </w:t>
      </w:r>
    </w:p>
    <w:p w14:paraId="455A5736" w14:textId="504CBDB8" w:rsidR="0030566C" w:rsidRPr="004219BE" w:rsidRDefault="0030566C" w:rsidP="00BC0C43"/>
    <w:tbl>
      <w:tblPr>
        <w:tblStyle w:val="TableGrid"/>
        <w:tblW w:w="5260" w:type="pct"/>
        <w:tblLook w:val="04A0" w:firstRow="1" w:lastRow="0" w:firstColumn="1" w:lastColumn="0" w:noHBand="0" w:noVBand="1"/>
        <w:tblCaption w:val="Summary of Evidence - Published"/>
      </w:tblPr>
      <w:tblGrid>
        <w:gridCol w:w="383"/>
        <w:gridCol w:w="1369"/>
        <w:gridCol w:w="1628"/>
        <w:gridCol w:w="3419"/>
        <w:gridCol w:w="6508"/>
        <w:gridCol w:w="1688"/>
      </w:tblGrid>
      <w:tr w:rsidR="003E29BC" w:rsidRPr="004219BE" w14:paraId="66CF159D" w14:textId="77777777" w:rsidTr="00935B33">
        <w:trPr>
          <w:cantSplit/>
          <w:tblHeader/>
        </w:trPr>
        <w:tc>
          <w:tcPr>
            <w:tcW w:w="128" w:type="pct"/>
          </w:tcPr>
          <w:p w14:paraId="1BD69B3B" w14:textId="77777777" w:rsidR="0030566C" w:rsidRPr="008675E3" w:rsidRDefault="0030566C" w:rsidP="00BC0C43">
            <w:pPr>
              <w:rPr>
                <w:b/>
                <w:bCs/>
              </w:rPr>
            </w:pPr>
          </w:p>
        </w:tc>
        <w:tc>
          <w:tcPr>
            <w:tcW w:w="456" w:type="pct"/>
          </w:tcPr>
          <w:p w14:paraId="130DF137" w14:textId="77777777" w:rsidR="0030566C" w:rsidRPr="008675E3" w:rsidRDefault="0030566C" w:rsidP="00BC0C43">
            <w:pPr>
              <w:rPr>
                <w:b/>
                <w:bCs/>
              </w:rPr>
            </w:pPr>
            <w:r w:rsidRPr="008675E3">
              <w:rPr>
                <w:b/>
                <w:bCs/>
              </w:rPr>
              <w:t>Type of study design*</w:t>
            </w:r>
          </w:p>
        </w:tc>
        <w:tc>
          <w:tcPr>
            <w:tcW w:w="543" w:type="pct"/>
          </w:tcPr>
          <w:p w14:paraId="18EB8919" w14:textId="562D7032" w:rsidR="0030566C" w:rsidRPr="008675E3" w:rsidRDefault="0030566C" w:rsidP="00BC0C43">
            <w:pPr>
              <w:rPr>
                <w:b/>
                <w:bCs/>
              </w:rPr>
            </w:pPr>
            <w:r w:rsidRPr="008675E3">
              <w:rPr>
                <w:b/>
                <w:bCs/>
              </w:rPr>
              <w:t>Title of journal article or research project (including any trial identifier or study lead if relevant)</w:t>
            </w:r>
          </w:p>
        </w:tc>
        <w:tc>
          <w:tcPr>
            <w:tcW w:w="1140" w:type="pct"/>
          </w:tcPr>
          <w:p w14:paraId="1EF74DD0" w14:textId="28361A70" w:rsidR="0030566C" w:rsidRPr="008675E3" w:rsidRDefault="0030566C" w:rsidP="00BC0C43">
            <w:pPr>
              <w:rPr>
                <w:b/>
                <w:bCs/>
              </w:rPr>
            </w:pPr>
            <w:r w:rsidRPr="008675E3">
              <w:rPr>
                <w:b/>
                <w:bCs/>
              </w:rPr>
              <w:t xml:space="preserve">Short description of research (max 50 </w:t>
            </w:r>
            <w:proofErr w:type="gramStart"/>
            <w:r w:rsidRPr="008675E3">
              <w:rPr>
                <w:b/>
                <w:bCs/>
              </w:rPr>
              <w:t>words)*</w:t>
            </w:r>
            <w:proofErr w:type="gramEnd"/>
            <w:r w:rsidRPr="008675E3">
              <w:rPr>
                <w:b/>
                <w:bCs/>
              </w:rPr>
              <w:t>*</w:t>
            </w:r>
          </w:p>
        </w:tc>
        <w:tc>
          <w:tcPr>
            <w:tcW w:w="2170" w:type="pct"/>
          </w:tcPr>
          <w:p w14:paraId="1070F437" w14:textId="77777777" w:rsidR="0030566C" w:rsidRPr="008675E3" w:rsidRDefault="0030566C" w:rsidP="00935B33">
            <w:pPr>
              <w:ind w:left="-79"/>
              <w:rPr>
                <w:b/>
                <w:bCs/>
              </w:rPr>
            </w:pPr>
            <w:r w:rsidRPr="008675E3">
              <w:rPr>
                <w:b/>
                <w:bCs/>
              </w:rPr>
              <w:t>Website link to journal article or research (if available)</w:t>
            </w:r>
          </w:p>
        </w:tc>
        <w:tc>
          <w:tcPr>
            <w:tcW w:w="563" w:type="pct"/>
          </w:tcPr>
          <w:p w14:paraId="585598AD" w14:textId="77777777" w:rsidR="0030566C" w:rsidRPr="008675E3" w:rsidRDefault="0030566C" w:rsidP="00BC0C43">
            <w:pPr>
              <w:rPr>
                <w:b/>
                <w:bCs/>
              </w:rPr>
            </w:pPr>
            <w:r w:rsidRPr="008675E3">
              <w:rPr>
                <w:b/>
                <w:bCs/>
              </w:rPr>
              <w:t>Date of publication***</w:t>
            </w:r>
          </w:p>
        </w:tc>
      </w:tr>
      <w:tr w:rsidR="003E29BC" w:rsidRPr="004219BE" w14:paraId="6A401450" w14:textId="77777777" w:rsidTr="00356E83">
        <w:trPr>
          <w:cantSplit/>
        </w:trPr>
        <w:tc>
          <w:tcPr>
            <w:tcW w:w="128" w:type="pct"/>
          </w:tcPr>
          <w:p w14:paraId="317D1009" w14:textId="77777777" w:rsidR="0030566C" w:rsidRPr="004219BE" w:rsidRDefault="0030566C" w:rsidP="00BC0C43">
            <w:r w:rsidRPr="004219BE">
              <w:t>1.</w:t>
            </w:r>
          </w:p>
        </w:tc>
        <w:tc>
          <w:tcPr>
            <w:tcW w:w="456" w:type="pct"/>
          </w:tcPr>
          <w:p w14:paraId="25DD079B" w14:textId="6FB39DFB" w:rsidR="0030566C" w:rsidRPr="00A543F6" w:rsidRDefault="001A5406" w:rsidP="00BC0C43">
            <w:r w:rsidRPr="00A543F6">
              <w:t>Non-randomised trial</w:t>
            </w:r>
          </w:p>
        </w:tc>
        <w:tc>
          <w:tcPr>
            <w:tcW w:w="543" w:type="pct"/>
          </w:tcPr>
          <w:p w14:paraId="2B799316" w14:textId="7CE7DCC6" w:rsidR="0030566C" w:rsidRPr="00A543F6" w:rsidRDefault="00B64E72" w:rsidP="00BC0C43">
            <w:r w:rsidRPr="00A543F6">
              <w:t xml:space="preserve">The Vibrant </w:t>
            </w:r>
            <w:proofErr w:type="spellStart"/>
            <w:r w:rsidRPr="00A543F6">
              <w:t>Soundbridge</w:t>
            </w:r>
            <w:proofErr w:type="spellEnd"/>
            <w:r w:rsidRPr="00A543F6">
              <w:t xml:space="preserve"> VORP 503 Post-Market clinical follow up study</w:t>
            </w:r>
          </w:p>
        </w:tc>
        <w:tc>
          <w:tcPr>
            <w:tcW w:w="1140" w:type="pct"/>
          </w:tcPr>
          <w:p w14:paraId="720C7B4C" w14:textId="026F50DD" w:rsidR="0030566C" w:rsidRPr="00A543F6" w:rsidRDefault="003E29BC" w:rsidP="00BC0C43">
            <w:r w:rsidRPr="00A543F6">
              <w:t xml:space="preserve">This is the final report of the post-market follow up study sponsored by the manufacturer. </w:t>
            </w:r>
            <w:proofErr w:type="spellStart"/>
            <w:r w:rsidRPr="00A543F6">
              <w:t>Sixtyseven</w:t>
            </w:r>
            <w:proofErr w:type="spellEnd"/>
            <w:r w:rsidRPr="00A543F6">
              <w:t xml:space="preserve"> patients were included prospectively across 9 participating centres. Data on audiological benefit, safety and QoL </w:t>
            </w:r>
            <w:r w:rsidR="00024F58" w:rsidRPr="00A543F6">
              <w:t>we</w:t>
            </w:r>
            <w:r w:rsidRPr="00A543F6">
              <w:t xml:space="preserve">re </w:t>
            </w:r>
            <w:r w:rsidR="0053001F" w:rsidRPr="00A543F6">
              <w:t>analysed</w:t>
            </w:r>
            <w:r w:rsidRPr="00A543F6">
              <w:t xml:space="preserve"> </w:t>
            </w:r>
            <w:r w:rsidR="00024F58" w:rsidRPr="00A543F6">
              <w:t>over</w:t>
            </w:r>
            <w:r w:rsidRPr="00A543F6">
              <w:t xml:space="preserve"> the full cohort and </w:t>
            </w:r>
            <w:r w:rsidR="00024F58" w:rsidRPr="00A543F6">
              <w:t>over subgroups</w:t>
            </w:r>
            <w:r w:rsidRPr="00A543F6">
              <w:t xml:space="preserve"> by type of hearing loss and FMT-couplers.</w:t>
            </w:r>
          </w:p>
        </w:tc>
        <w:tc>
          <w:tcPr>
            <w:tcW w:w="2170" w:type="pct"/>
          </w:tcPr>
          <w:p w14:paraId="63E2F750" w14:textId="0994CD2B" w:rsidR="0030566C" w:rsidRPr="00A543F6" w:rsidRDefault="0030566C" w:rsidP="00BC0C43"/>
        </w:tc>
        <w:tc>
          <w:tcPr>
            <w:tcW w:w="563" w:type="pct"/>
          </w:tcPr>
          <w:p w14:paraId="153696B3" w14:textId="711426DC" w:rsidR="0030566C" w:rsidRPr="00A543F6" w:rsidRDefault="003E29BC" w:rsidP="00BC0C43">
            <w:r w:rsidRPr="00A543F6">
              <w:t>Data from this report w</w:t>
            </w:r>
            <w:r w:rsidR="00AA1FE4" w:rsidRPr="00A543F6">
              <w:t>ill likely be published beginning of 2025</w:t>
            </w:r>
          </w:p>
        </w:tc>
      </w:tr>
    </w:tbl>
    <w:p w14:paraId="688B29B0" w14:textId="77777777" w:rsidR="0030566C" w:rsidRPr="00935B33" w:rsidRDefault="0030566C" w:rsidP="00BC0C43">
      <w:pPr>
        <w:rPr>
          <w:sz w:val="18"/>
          <w:szCs w:val="18"/>
        </w:rPr>
      </w:pPr>
      <w:r w:rsidRPr="00935B33">
        <w:rPr>
          <w:sz w:val="18"/>
          <w:szCs w:val="18"/>
        </w:rPr>
        <w:t xml:space="preserve">* Categorise study design, for example meta-analysis, randomised trials, non-randomised trial or observational study, study of diagnostic accuracy, etc. </w:t>
      </w:r>
    </w:p>
    <w:p w14:paraId="3DCB45F7" w14:textId="16448B8B" w:rsidR="0030566C" w:rsidRPr="00935B33" w:rsidRDefault="0030566C" w:rsidP="00BC0C43">
      <w:pPr>
        <w:rPr>
          <w:sz w:val="18"/>
          <w:szCs w:val="18"/>
        </w:rPr>
      </w:pPr>
      <w:r w:rsidRPr="00935B33">
        <w:rPr>
          <w:sz w:val="18"/>
          <w:szCs w:val="18"/>
        </w:rPr>
        <w:t>**Provide high level information including population numbers and whether patients are being recruited or in post-recruitment, including providing the trial registration number to allow for tracking purposes.</w:t>
      </w:r>
      <w:r w:rsidR="003C2446" w:rsidRPr="00935B33">
        <w:rPr>
          <w:sz w:val="18"/>
          <w:szCs w:val="18"/>
        </w:rPr>
        <w:t xml:space="preserve"> For yet to be published research, provide high level information including population numbers and whether patients are being recruited or in post-recruitment.</w:t>
      </w:r>
    </w:p>
    <w:p w14:paraId="3A47E654" w14:textId="2391D0B1" w:rsidR="0030566C" w:rsidRPr="00935B33" w:rsidRDefault="0030566C" w:rsidP="00BC0C43">
      <w:pPr>
        <w:rPr>
          <w:sz w:val="18"/>
          <w:szCs w:val="18"/>
        </w:rPr>
      </w:pPr>
      <w:r w:rsidRPr="00935B33">
        <w:rPr>
          <w:sz w:val="18"/>
          <w:szCs w:val="18"/>
        </w:rPr>
        <w:t>*** If the publication is a follow-up to an initial publication, please advise.</w:t>
      </w:r>
      <w:r w:rsidR="003C2446" w:rsidRPr="00935B33">
        <w:rPr>
          <w:sz w:val="18"/>
          <w:szCs w:val="18"/>
        </w:rPr>
        <w:t xml:space="preserve"> For yet to be published research, include the date of when results will be made available (to the best of your knowledge). </w:t>
      </w:r>
    </w:p>
    <w:bookmarkEnd w:id="8"/>
    <w:p w14:paraId="6DF01519" w14:textId="77777777" w:rsidR="00356026" w:rsidRDefault="00356026" w:rsidP="00BC0C43">
      <w:pPr>
        <w:sectPr w:rsidR="00356026" w:rsidSect="00356026">
          <w:pgSz w:w="16838" w:h="11906" w:orient="landscape"/>
          <w:pgMar w:top="1440" w:right="1440" w:bottom="992" w:left="1134" w:header="425" w:footer="249" w:gutter="0"/>
          <w:cols w:space="708"/>
          <w:docGrid w:linePitch="360"/>
        </w:sectPr>
      </w:pPr>
    </w:p>
    <w:p w14:paraId="77F3307D" w14:textId="5AD66454" w:rsidR="00B25407" w:rsidRPr="00FE725C" w:rsidRDefault="00B25407" w:rsidP="00BC0C43">
      <w:pPr>
        <w:rPr>
          <w:b/>
          <w:bCs/>
          <w:sz w:val="24"/>
          <w:szCs w:val="24"/>
          <w:lang w:val="de-AT"/>
        </w:rPr>
      </w:pPr>
      <w:r w:rsidRPr="00FE725C">
        <w:rPr>
          <w:b/>
          <w:bCs/>
          <w:sz w:val="24"/>
          <w:szCs w:val="24"/>
          <w:lang w:val="de-AT"/>
        </w:rPr>
        <w:lastRenderedPageBreak/>
        <w:t>Citations</w:t>
      </w:r>
    </w:p>
    <w:p w14:paraId="6E7577C2" w14:textId="6745DA5A" w:rsidR="00060DB1" w:rsidRDefault="00060DB1" w:rsidP="00060DB1">
      <w:r w:rsidRPr="00060DB1">
        <w:rPr>
          <w:lang w:val="de-AT"/>
        </w:rPr>
        <w:t>Agterberg M</w:t>
      </w:r>
      <w:r>
        <w:rPr>
          <w:lang w:val="de-AT"/>
        </w:rPr>
        <w:t>.</w:t>
      </w:r>
      <w:r w:rsidRPr="00060DB1">
        <w:rPr>
          <w:lang w:val="de-AT"/>
        </w:rPr>
        <w:t>J</w:t>
      </w:r>
      <w:r>
        <w:rPr>
          <w:lang w:val="de-AT"/>
        </w:rPr>
        <w:t>.</w:t>
      </w:r>
      <w:r w:rsidRPr="00060DB1">
        <w:rPr>
          <w:lang w:val="de-AT"/>
        </w:rPr>
        <w:t>H</w:t>
      </w:r>
      <w:r>
        <w:rPr>
          <w:lang w:val="de-AT"/>
        </w:rPr>
        <w:t>.</w:t>
      </w:r>
      <w:r w:rsidRPr="00060DB1">
        <w:rPr>
          <w:lang w:val="de-AT"/>
        </w:rPr>
        <w:t>, Straatman L</w:t>
      </w:r>
      <w:r>
        <w:rPr>
          <w:lang w:val="de-AT"/>
        </w:rPr>
        <w:t>.</w:t>
      </w:r>
      <w:r w:rsidRPr="00060DB1">
        <w:rPr>
          <w:lang w:val="de-AT"/>
        </w:rPr>
        <w:t>, Bruchhage K</w:t>
      </w:r>
      <w:r>
        <w:rPr>
          <w:lang w:val="de-AT"/>
        </w:rPr>
        <w:t>.</w:t>
      </w:r>
      <w:r w:rsidRPr="00060DB1">
        <w:rPr>
          <w:lang w:val="de-AT"/>
        </w:rPr>
        <w:t>-L</w:t>
      </w:r>
      <w:r>
        <w:rPr>
          <w:lang w:val="de-AT"/>
        </w:rPr>
        <w:t>.</w:t>
      </w:r>
      <w:r w:rsidRPr="00060DB1">
        <w:rPr>
          <w:lang w:val="de-AT"/>
        </w:rPr>
        <w:t>, Jürgens T</w:t>
      </w:r>
      <w:r>
        <w:rPr>
          <w:lang w:val="de-AT"/>
        </w:rPr>
        <w:t>.</w:t>
      </w:r>
      <w:r w:rsidRPr="00060DB1">
        <w:rPr>
          <w:lang w:val="de-AT"/>
        </w:rPr>
        <w:t>, Hollfelder D</w:t>
      </w:r>
      <w:r>
        <w:rPr>
          <w:lang w:val="de-AT"/>
        </w:rPr>
        <w:t>.</w:t>
      </w:r>
      <w:r w:rsidRPr="00060DB1">
        <w:rPr>
          <w:lang w:val="de-AT"/>
        </w:rPr>
        <w:t xml:space="preserve">, Leichtle A. (2024). </w:t>
      </w:r>
      <w:r>
        <w:t xml:space="preserve">The Merits of Bilateral Application of Middle Ear Implants in Patients With Bilateral Conductive and/or Mixed Hearing Loss. </w:t>
      </w:r>
      <w:r w:rsidRPr="00060DB1">
        <w:rPr>
          <w:i/>
          <w:iCs/>
        </w:rPr>
        <w:t>Trends in Hearing</w:t>
      </w:r>
      <w:r>
        <w:rPr>
          <w:i/>
          <w:iCs/>
        </w:rPr>
        <w:t xml:space="preserve">, </w:t>
      </w:r>
      <w:r>
        <w:t>28. DOI:10.1177/23312165241264466</w:t>
      </w:r>
    </w:p>
    <w:p w14:paraId="34DCE5C5" w14:textId="594CB2D5" w:rsidR="00983031" w:rsidRDefault="00983031" w:rsidP="00BC0C43">
      <w:pPr>
        <w:rPr>
          <w:rStyle w:val="Hyperlink"/>
        </w:rPr>
      </w:pPr>
      <w:r w:rsidRPr="00B05D88">
        <w:t xml:space="preserve">Attaway, J., Stone, C., </w:t>
      </w:r>
      <w:proofErr w:type="spellStart"/>
      <w:r w:rsidRPr="00B05D88">
        <w:t>Sendor</w:t>
      </w:r>
      <w:proofErr w:type="spellEnd"/>
      <w:r w:rsidRPr="00B05D88">
        <w:t xml:space="preserve">, C. &amp; Rosario, E. (2015). Effect of Amplification on Speech and Language in Children With Aural Atresia. </w:t>
      </w:r>
      <w:r w:rsidRPr="00B05D88">
        <w:rPr>
          <w:i/>
          <w:iCs/>
        </w:rPr>
        <w:t xml:space="preserve">Am J </w:t>
      </w:r>
      <w:proofErr w:type="spellStart"/>
      <w:r w:rsidRPr="00B05D88">
        <w:rPr>
          <w:i/>
          <w:iCs/>
        </w:rPr>
        <w:t>Audiol</w:t>
      </w:r>
      <w:proofErr w:type="spellEnd"/>
      <w:r w:rsidRPr="00B05D88">
        <w:t xml:space="preserve">, </w:t>
      </w:r>
      <w:r w:rsidRPr="00B05D88">
        <w:rPr>
          <w:i/>
          <w:iCs/>
        </w:rPr>
        <w:t>24</w:t>
      </w:r>
      <w:r w:rsidRPr="00B05D88">
        <w:t xml:space="preserve">(3), 354–359. </w:t>
      </w:r>
      <w:hyperlink r:id="rId16" w:history="1">
        <w:r w:rsidRPr="00B05D88">
          <w:rPr>
            <w:rStyle w:val="Hyperlink"/>
          </w:rPr>
          <w:t>https://doi.org/10.1044/2015_aja-15-0021</w:t>
        </w:r>
      </w:hyperlink>
    </w:p>
    <w:p w14:paraId="42924B6B" w14:textId="7323861C" w:rsidR="00B25407" w:rsidRDefault="00B25407" w:rsidP="00BC0C43">
      <w:pPr>
        <w:rPr>
          <w:rStyle w:val="Hyperlink"/>
        </w:rPr>
      </w:pPr>
      <w:r w:rsidRPr="008B34AF">
        <w:rPr>
          <w:lang w:val="en-US"/>
        </w:rPr>
        <w:t xml:space="preserve">Bluestone, C. D. (1998). </w:t>
      </w:r>
      <w:r w:rsidRPr="00B05D88">
        <w:t xml:space="preserve">Epidemiology and pathogenesis of chronic suppurative otitis media: implications for prevention and treatment. </w:t>
      </w:r>
      <w:r w:rsidRPr="00B05D88">
        <w:rPr>
          <w:i/>
          <w:iCs/>
        </w:rPr>
        <w:t xml:space="preserve">Int J </w:t>
      </w:r>
      <w:proofErr w:type="spellStart"/>
      <w:r w:rsidRPr="00B05D88">
        <w:rPr>
          <w:i/>
          <w:iCs/>
        </w:rPr>
        <w:t>Pediatr</w:t>
      </w:r>
      <w:proofErr w:type="spellEnd"/>
      <w:r w:rsidRPr="00B05D88">
        <w:rPr>
          <w:i/>
          <w:iCs/>
        </w:rPr>
        <w:t xml:space="preserve"> </w:t>
      </w:r>
      <w:proofErr w:type="spellStart"/>
      <w:r w:rsidRPr="00B05D88">
        <w:rPr>
          <w:i/>
          <w:iCs/>
        </w:rPr>
        <w:t>Otorhinolaryngol</w:t>
      </w:r>
      <w:proofErr w:type="spellEnd"/>
      <w:r w:rsidRPr="00B05D88">
        <w:t xml:space="preserve">, </w:t>
      </w:r>
      <w:r w:rsidRPr="00B05D88">
        <w:rPr>
          <w:i/>
          <w:iCs/>
        </w:rPr>
        <w:t>42</w:t>
      </w:r>
      <w:r w:rsidRPr="00B05D88">
        <w:t xml:space="preserve">(3), 207–223. </w:t>
      </w:r>
      <w:hyperlink r:id="rId17" w:history="1">
        <w:r w:rsidRPr="00B05D88">
          <w:rPr>
            <w:rStyle w:val="Hyperlink"/>
          </w:rPr>
          <w:t>https://doi.org/10.1016/s0165-5876(97)00147-x</w:t>
        </w:r>
      </w:hyperlink>
    </w:p>
    <w:p w14:paraId="4547AAB6" w14:textId="5E734E48" w:rsidR="00812BC8" w:rsidRPr="003E4892" w:rsidRDefault="00812BC8" w:rsidP="00BC0C43">
      <w:pPr>
        <w:rPr>
          <w:rStyle w:val="Hyperlink"/>
          <w:lang w:val="de-AT"/>
        </w:rPr>
      </w:pPr>
      <w:proofErr w:type="spellStart"/>
      <w:r w:rsidRPr="00B05D88">
        <w:t>Cureoglu</w:t>
      </w:r>
      <w:proofErr w:type="spellEnd"/>
      <w:r w:rsidRPr="00B05D88">
        <w:t xml:space="preserve">, S., Baylan, M. Y. &amp; Paparella, M. M. (2010). Cochlear otosclerosis. </w:t>
      </w:r>
      <w:r w:rsidRPr="00B05D88">
        <w:rPr>
          <w:i/>
          <w:iCs/>
        </w:rPr>
        <w:t xml:space="preserve">Curr </w:t>
      </w:r>
      <w:proofErr w:type="spellStart"/>
      <w:r w:rsidRPr="00B05D88">
        <w:rPr>
          <w:i/>
          <w:iCs/>
        </w:rPr>
        <w:t>Opin</w:t>
      </w:r>
      <w:proofErr w:type="spellEnd"/>
      <w:r w:rsidRPr="00B05D88">
        <w:rPr>
          <w:i/>
          <w:iCs/>
        </w:rPr>
        <w:t xml:space="preserve"> </w:t>
      </w:r>
      <w:proofErr w:type="spellStart"/>
      <w:r w:rsidRPr="00B05D88">
        <w:rPr>
          <w:i/>
          <w:iCs/>
        </w:rPr>
        <w:t>Otolaryngol</w:t>
      </w:r>
      <w:proofErr w:type="spellEnd"/>
      <w:r w:rsidRPr="00B05D88">
        <w:rPr>
          <w:i/>
          <w:iCs/>
        </w:rPr>
        <w:t xml:space="preserve"> Head Neck Surg</w:t>
      </w:r>
      <w:r w:rsidRPr="00B05D88">
        <w:t xml:space="preserve">, </w:t>
      </w:r>
      <w:r w:rsidRPr="00B05D88">
        <w:rPr>
          <w:i/>
          <w:iCs/>
        </w:rPr>
        <w:t>18</w:t>
      </w:r>
      <w:r w:rsidRPr="00B05D88">
        <w:t xml:space="preserve">(5), 357–362. </w:t>
      </w:r>
      <w:hyperlink r:id="rId18" w:history="1">
        <w:r w:rsidRPr="003517EF">
          <w:rPr>
            <w:rStyle w:val="Hyperlink"/>
            <w:lang w:val="de-AT"/>
          </w:rPr>
          <w:t>https://doi.org/10.1097/moo.0b013e32833d11d9</w:t>
        </w:r>
      </w:hyperlink>
    </w:p>
    <w:p w14:paraId="0C611448" w14:textId="057EB280" w:rsidR="00B25407" w:rsidRPr="00192F8F" w:rsidRDefault="00B25407" w:rsidP="00BC0C43">
      <w:pPr>
        <w:rPr>
          <w:rStyle w:val="Hyperlink"/>
          <w:u w:val="none"/>
        </w:rPr>
      </w:pPr>
      <w:r w:rsidRPr="00192F8F">
        <w:rPr>
          <w:rStyle w:val="Hyperlink"/>
          <w:color w:val="auto"/>
          <w:u w:val="none"/>
          <w:lang w:val="de-AT"/>
        </w:rPr>
        <w:t xml:space="preserve">DeAntonio, R., Yarzabal, J. P., Cruz, J. P., Schmidt, J. E. &amp; Kleijnen, J. (2016). </w:t>
      </w:r>
      <w:r w:rsidRPr="00192F8F">
        <w:rPr>
          <w:rStyle w:val="Hyperlink"/>
          <w:color w:val="auto"/>
          <w:u w:val="none"/>
        </w:rPr>
        <w:t xml:space="preserve">Epidemiology of otitis media in children from developing countries: A systematic review. Int J </w:t>
      </w:r>
      <w:proofErr w:type="spellStart"/>
      <w:r w:rsidRPr="00192F8F">
        <w:rPr>
          <w:rStyle w:val="Hyperlink"/>
          <w:color w:val="auto"/>
          <w:u w:val="none"/>
        </w:rPr>
        <w:t>Pediatr</w:t>
      </w:r>
      <w:proofErr w:type="spellEnd"/>
      <w:r w:rsidRPr="00192F8F">
        <w:rPr>
          <w:rStyle w:val="Hyperlink"/>
          <w:color w:val="auto"/>
          <w:u w:val="none"/>
        </w:rPr>
        <w:t xml:space="preserve"> </w:t>
      </w:r>
      <w:proofErr w:type="spellStart"/>
      <w:r w:rsidRPr="00192F8F">
        <w:rPr>
          <w:rStyle w:val="Hyperlink"/>
          <w:color w:val="auto"/>
          <w:u w:val="none"/>
        </w:rPr>
        <w:t>Otorhinolaryngol</w:t>
      </w:r>
      <w:proofErr w:type="spellEnd"/>
      <w:r w:rsidRPr="00192F8F">
        <w:rPr>
          <w:rStyle w:val="Hyperlink"/>
          <w:color w:val="auto"/>
          <w:u w:val="none"/>
        </w:rPr>
        <w:t xml:space="preserve">, 85, 65–74. </w:t>
      </w:r>
      <w:hyperlink r:id="rId19" w:history="1">
        <w:r w:rsidRPr="00192F8F">
          <w:rPr>
            <w:rStyle w:val="Hyperlink"/>
          </w:rPr>
          <w:t>https://doi.org/10.1016/j.ijporl.2016.03.032</w:t>
        </w:r>
      </w:hyperlink>
    </w:p>
    <w:p w14:paraId="41CF140B" w14:textId="0F66CE0F" w:rsidR="00060DB1" w:rsidRDefault="00060DB1" w:rsidP="00BC0C43">
      <w:r w:rsidRPr="00F07EDF">
        <w:t xml:space="preserve">Den Besten C. A., Vogt K., Bosman A. J., </w:t>
      </w:r>
      <w:proofErr w:type="spellStart"/>
      <w:r w:rsidRPr="00F07EDF">
        <w:t>Snik</w:t>
      </w:r>
      <w:proofErr w:type="spellEnd"/>
      <w:r w:rsidRPr="00F07EDF">
        <w:t xml:space="preserve"> A. F. M., Hol M. K. S., </w:t>
      </w:r>
      <w:proofErr w:type="spellStart"/>
      <w:r w:rsidRPr="00F07EDF">
        <w:t>Agterberg</w:t>
      </w:r>
      <w:proofErr w:type="spellEnd"/>
      <w:r w:rsidRPr="00F07EDF">
        <w:t xml:space="preserve"> M. J. H. (2020). </w:t>
      </w:r>
      <w:r w:rsidRPr="00060DB1">
        <w:t>The merits of bilateral application of bone-conduction devices in children with bilateral conductive hearing loss. </w:t>
      </w:r>
      <w:r w:rsidRPr="00060DB1">
        <w:rPr>
          <w:i/>
          <w:iCs/>
        </w:rPr>
        <w:t>Ear &amp; Hearing</w:t>
      </w:r>
      <w:r w:rsidRPr="00060DB1">
        <w:t>, 41, 1327–1332. </w:t>
      </w:r>
      <w:hyperlink r:id="rId20" w:history="1">
        <w:r w:rsidRPr="00060DB1">
          <w:rPr>
            <w:rStyle w:val="Hyperlink"/>
          </w:rPr>
          <w:t>https://doi.org/10.1097/AUD.0000000000000853</w:t>
        </w:r>
      </w:hyperlink>
    </w:p>
    <w:p w14:paraId="50E7C6A8" w14:textId="2E85104D" w:rsidR="00065550" w:rsidRDefault="00065550" w:rsidP="00BC0C43">
      <w:pPr>
        <w:rPr>
          <w:rStyle w:val="Hyperlink"/>
          <w:lang w:val="en-US"/>
        </w:rPr>
      </w:pPr>
      <w:r w:rsidRPr="00B05D88">
        <w:t xml:space="preserve">Institute for Health Metrics and Evaluation. (2015). </w:t>
      </w:r>
      <w:r w:rsidRPr="00B05D88">
        <w:rPr>
          <w:i/>
          <w:iCs/>
        </w:rPr>
        <w:t>EPI Visualization</w:t>
      </w:r>
      <w:r w:rsidRPr="00B05D88">
        <w:t xml:space="preserve">. </w:t>
      </w:r>
      <w:hyperlink r:id="rId21" w:history="1">
        <w:r w:rsidRPr="00B05D88">
          <w:rPr>
            <w:rStyle w:val="Hyperlink"/>
          </w:rPr>
          <w:t>http://vizhub.healthdata.org/epi/</w:t>
        </w:r>
      </w:hyperlink>
    </w:p>
    <w:p w14:paraId="7A5B932F" w14:textId="2782684B" w:rsidR="00B25407" w:rsidRDefault="00B25407" w:rsidP="00BC0C43">
      <w:pPr>
        <w:rPr>
          <w:rStyle w:val="Hyperlink"/>
          <w:lang w:val="en-US"/>
        </w:rPr>
      </w:pPr>
      <w:r w:rsidRPr="00192F8F">
        <w:t xml:space="preserve">Klein, J. O. (2000). The burden of otitis media. </w:t>
      </w:r>
      <w:r w:rsidRPr="00141EB4">
        <w:rPr>
          <w:i/>
          <w:iCs/>
        </w:rPr>
        <w:t>Vaccine</w:t>
      </w:r>
      <w:r w:rsidRPr="00192F8F">
        <w:t xml:space="preserve">, 19 Suppl 1, S2-8. </w:t>
      </w:r>
      <w:hyperlink r:id="rId22" w:history="1">
        <w:r w:rsidRPr="00207788">
          <w:rPr>
            <w:rStyle w:val="Hyperlink"/>
            <w:lang w:val="en-US"/>
          </w:rPr>
          <w:t>https://doi.org/10.1016/s0264-410x(00)00271-1</w:t>
        </w:r>
      </w:hyperlink>
    </w:p>
    <w:p w14:paraId="266E2327" w14:textId="5C0450F3" w:rsidR="00B25407" w:rsidRPr="003E4892" w:rsidRDefault="00B25407" w:rsidP="00BC0C43">
      <w:pPr>
        <w:rPr>
          <w:rStyle w:val="Hyperlink"/>
          <w:lang w:val="en-US"/>
        </w:rPr>
      </w:pPr>
      <w:r w:rsidRPr="00B05D88">
        <w:t xml:space="preserve">Kuo, C. L., Shiao, A. S., Yung, M., Sakagami, M., Sudhoff, H., Wang, C. H., Hsu, C. H. &amp; Lien, C. F. (2015). Updates and knowledge gaps in cholesteatoma research. </w:t>
      </w:r>
      <w:r w:rsidRPr="00B05D88">
        <w:rPr>
          <w:i/>
          <w:iCs/>
        </w:rPr>
        <w:t>Biomed Res Int</w:t>
      </w:r>
      <w:r w:rsidRPr="00B05D88">
        <w:t xml:space="preserve">, </w:t>
      </w:r>
      <w:r w:rsidRPr="00B05D88">
        <w:rPr>
          <w:i/>
          <w:iCs/>
        </w:rPr>
        <w:t>2015</w:t>
      </w:r>
      <w:r w:rsidRPr="00B05D88">
        <w:t xml:space="preserve">, 854024. </w:t>
      </w:r>
      <w:hyperlink r:id="rId23" w:history="1">
        <w:r w:rsidRPr="00B05D88">
          <w:rPr>
            <w:rStyle w:val="Hyperlink"/>
          </w:rPr>
          <w:t>https://doi.org/10.1155/2015/854024</w:t>
        </w:r>
      </w:hyperlink>
    </w:p>
    <w:p w14:paraId="39C55927" w14:textId="0500E271" w:rsidR="00B25407" w:rsidRDefault="00B25407" w:rsidP="00BC0C43">
      <w:pPr>
        <w:rPr>
          <w:rStyle w:val="Hyperlink"/>
        </w:rPr>
      </w:pPr>
      <w:proofErr w:type="spellStart"/>
      <w:r w:rsidRPr="00B05D88">
        <w:t>Monasta</w:t>
      </w:r>
      <w:proofErr w:type="spellEnd"/>
      <w:r w:rsidRPr="00B05D88">
        <w:t xml:space="preserve">, L., </w:t>
      </w:r>
      <w:proofErr w:type="spellStart"/>
      <w:r w:rsidRPr="00B05D88">
        <w:t>Ronfani</w:t>
      </w:r>
      <w:proofErr w:type="spellEnd"/>
      <w:r w:rsidRPr="00B05D88">
        <w:t xml:space="preserve">, L., Marchetti, F., Montico, M., </w:t>
      </w:r>
      <w:proofErr w:type="spellStart"/>
      <w:r w:rsidRPr="00B05D88">
        <w:t>Brumatti</w:t>
      </w:r>
      <w:proofErr w:type="spellEnd"/>
      <w:r w:rsidRPr="00B05D88">
        <w:t xml:space="preserve">, L. V., </w:t>
      </w:r>
      <w:proofErr w:type="spellStart"/>
      <w:r w:rsidRPr="00B05D88">
        <w:t>Bavcar</w:t>
      </w:r>
      <w:proofErr w:type="spellEnd"/>
      <w:r w:rsidRPr="00B05D88">
        <w:t xml:space="preserve">, A., Grasso, D., Barbiero, C. &amp; </w:t>
      </w:r>
      <w:proofErr w:type="spellStart"/>
      <w:r w:rsidRPr="00B05D88">
        <w:t>Tamburlini</w:t>
      </w:r>
      <w:proofErr w:type="spellEnd"/>
      <w:r w:rsidRPr="00B05D88">
        <w:t xml:space="preserve">, G. (2012). Burden of disease caused by otitis media: systematic review and global estimates. </w:t>
      </w:r>
      <w:proofErr w:type="spellStart"/>
      <w:r w:rsidRPr="00B05D88">
        <w:rPr>
          <w:i/>
          <w:iCs/>
        </w:rPr>
        <w:t>PLoS</w:t>
      </w:r>
      <w:proofErr w:type="spellEnd"/>
      <w:r w:rsidRPr="00B05D88">
        <w:rPr>
          <w:i/>
          <w:iCs/>
        </w:rPr>
        <w:t xml:space="preserve"> One</w:t>
      </w:r>
      <w:r w:rsidRPr="00B05D88">
        <w:t xml:space="preserve">, </w:t>
      </w:r>
      <w:r w:rsidRPr="00B05D88">
        <w:rPr>
          <w:i/>
          <w:iCs/>
        </w:rPr>
        <w:t>7</w:t>
      </w:r>
      <w:r w:rsidRPr="00B05D88">
        <w:t xml:space="preserve">(4), e36226. </w:t>
      </w:r>
      <w:hyperlink r:id="rId24" w:history="1">
        <w:r w:rsidRPr="00B05D88">
          <w:rPr>
            <w:rStyle w:val="Hyperlink"/>
          </w:rPr>
          <w:t>https://doi.org/10.1371/journal.pone.0036226</w:t>
        </w:r>
      </w:hyperlink>
    </w:p>
    <w:p w14:paraId="7B12323C" w14:textId="4C7C8317" w:rsidR="00065550" w:rsidRDefault="00065550" w:rsidP="00BC0C43">
      <w:proofErr w:type="spellStart"/>
      <w:r w:rsidRPr="00065550">
        <w:t>Olaison</w:t>
      </w:r>
      <w:proofErr w:type="spellEnd"/>
      <w:r w:rsidRPr="00065550">
        <w:t xml:space="preserve">, S., Berglund, M., Taj, T., Knutsson, J., Westman, E., Eriksson, P. and Bonnard, Å. (2024), Hearing Outcomes After </w:t>
      </w:r>
      <w:proofErr w:type="spellStart"/>
      <w:r w:rsidRPr="00065550">
        <w:t>Ossiculoplasty</w:t>
      </w:r>
      <w:proofErr w:type="spellEnd"/>
      <w:r w:rsidRPr="00065550">
        <w:t xml:space="preserve"> With Bone or Titanium Prostheses—A Nationwide Register-Based Study. Clinical Otolaryngology, 49: 660-669. </w:t>
      </w:r>
      <w:hyperlink r:id="rId25" w:history="1">
        <w:r w:rsidRPr="00065550">
          <w:rPr>
            <w:rStyle w:val="Hyperlink"/>
          </w:rPr>
          <w:t>https://doi.org/10.1111/coa.14191</w:t>
        </w:r>
      </w:hyperlink>
    </w:p>
    <w:p w14:paraId="34F55034" w14:textId="17B44D9D" w:rsidR="00812BC8" w:rsidRDefault="00812BC8" w:rsidP="00BC0C43">
      <w:pPr>
        <w:rPr>
          <w:rStyle w:val="Hyperlink"/>
        </w:rPr>
      </w:pPr>
      <w:proofErr w:type="spellStart"/>
      <w:r w:rsidRPr="00B05D88">
        <w:t>Rudic</w:t>
      </w:r>
      <w:proofErr w:type="spellEnd"/>
      <w:r w:rsidRPr="00B05D88">
        <w:t xml:space="preserve">, M., Keogh, I., Wagner, R., Wilkinson, E., Kiros, N., Ferrary, E., </w:t>
      </w:r>
      <w:proofErr w:type="spellStart"/>
      <w:r w:rsidRPr="00B05D88">
        <w:t>Sterkers</w:t>
      </w:r>
      <w:proofErr w:type="spellEnd"/>
      <w:r w:rsidRPr="00B05D88">
        <w:t xml:space="preserve">, O., </w:t>
      </w:r>
      <w:proofErr w:type="spellStart"/>
      <w:r w:rsidRPr="00B05D88">
        <w:t>Grayeli</w:t>
      </w:r>
      <w:proofErr w:type="spellEnd"/>
      <w:r w:rsidRPr="00B05D88">
        <w:t xml:space="preserve">, A. B., </w:t>
      </w:r>
      <w:proofErr w:type="spellStart"/>
      <w:r w:rsidRPr="00B05D88">
        <w:t>Zarkovic</w:t>
      </w:r>
      <w:proofErr w:type="spellEnd"/>
      <w:r w:rsidRPr="00B05D88">
        <w:t xml:space="preserve">, K. &amp; </w:t>
      </w:r>
      <w:proofErr w:type="spellStart"/>
      <w:r w:rsidRPr="00B05D88">
        <w:t>Zarkovic</w:t>
      </w:r>
      <w:proofErr w:type="spellEnd"/>
      <w:r w:rsidRPr="00B05D88">
        <w:t xml:space="preserve">, N. (2015). The pathophysiology of otosclerosis: Review of current research. </w:t>
      </w:r>
      <w:r w:rsidRPr="00B05D88">
        <w:rPr>
          <w:i/>
          <w:iCs/>
        </w:rPr>
        <w:t>Hear Res</w:t>
      </w:r>
      <w:r w:rsidRPr="00B05D88">
        <w:t xml:space="preserve">, </w:t>
      </w:r>
      <w:r w:rsidRPr="00B05D88">
        <w:rPr>
          <w:i/>
          <w:iCs/>
        </w:rPr>
        <w:t>330</w:t>
      </w:r>
      <w:r w:rsidRPr="00B05D88">
        <w:t xml:space="preserve">(Pt A), 51–56. </w:t>
      </w:r>
      <w:hyperlink r:id="rId26" w:history="1">
        <w:r w:rsidRPr="00B05D88">
          <w:rPr>
            <w:rStyle w:val="Hyperlink"/>
          </w:rPr>
          <w:t>https://doi.org/10.1016/j.heares.2015.07.014</w:t>
        </w:r>
      </w:hyperlink>
    </w:p>
    <w:p w14:paraId="07E5F2FF" w14:textId="5079BBA9" w:rsidR="00B25407" w:rsidRDefault="00B25407" w:rsidP="00BC0C43">
      <w:pPr>
        <w:rPr>
          <w:rStyle w:val="Hyperlink"/>
        </w:rPr>
      </w:pPr>
      <w:r w:rsidRPr="00B05D88">
        <w:t xml:space="preserve">Schilder, A. G., </w:t>
      </w:r>
      <w:proofErr w:type="spellStart"/>
      <w:r w:rsidRPr="00B05D88">
        <w:t>Chonmaitree</w:t>
      </w:r>
      <w:proofErr w:type="spellEnd"/>
      <w:r w:rsidRPr="00B05D88">
        <w:t xml:space="preserve">, T., Cripps, A. W., Rosenfeld, R. M., </w:t>
      </w:r>
      <w:proofErr w:type="spellStart"/>
      <w:r w:rsidRPr="00B05D88">
        <w:t>Casselbrant</w:t>
      </w:r>
      <w:proofErr w:type="spellEnd"/>
      <w:r w:rsidRPr="00B05D88">
        <w:t xml:space="preserve">, M. L., Haggard, M. P. &amp; Venekamp, R. P. (2016). Otitis media. </w:t>
      </w:r>
      <w:r w:rsidRPr="00B05D88">
        <w:rPr>
          <w:i/>
          <w:iCs/>
        </w:rPr>
        <w:t>Nat Rev Dis Primers</w:t>
      </w:r>
      <w:r w:rsidRPr="00B05D88">
        <w:t xml:space="preserve">, </w:t>
      </w:r>
      <w:r w:rsidRPr="00B05D88">
        <w:rPr>
          <w:i/>
          <w:iCs/>
        </w:rPr>
        <w:t>2</w:t>
      </w:r>
      <w:r w:rsidRPr="00B05D88">
        <w:t xml:space="preserve">(1), 16063. </w:t>
      </w:r>
      <w:hyperlink r:id="rId27" w:history="1">
        <w:r w:rsidRPr="00B05D88">
          <w:rPr>
            <w:rStyle w:val="Hyperlink"/>
          </w:rPr>
          <w:t>https://doi.org/10.1038/nrdp.2016.63</w:t>
        </w:r>
      </w:hyperlink>
    </w:p>
    <w:p w14:paraId="06E97C9C" w14:textId="465E13C9" w:rsidR="00065550" w:rsidRPr="003517EF" w:rsidRDefault="00065550" w:rsidP="00BC0C43">
      <w:pPr>
        <w:rPr>
          <w:lang w:val="en-US"/>
        </w:rPr>
      </w:pPr>
      <w:r w:rsidRPr="00B05D88">
        <w:t xml:space="preserve">Shah, L. M. &amp; H., 3rd Wiggins, R. (2009). Imaging of hearing loss. </w:t>
      </w:r>
      <w:r w:rsidRPr="000F1DAB">
        <w:rPr>
          <w:i/>
          <w:iCs/>
          <w:lang w:val="en-US"/>
        </w:rPr>
        <w:t>Neuroimaging Clin N Am</w:t>
      </w:r>
      <w:r w:rsidRPr="000F1DAB">
        <w:rPr>
          <w:lang w:val="en-US"/>
        </w:rPr>
        <w:t xml:space="preserve">, </w:t>
      </w:r>
      <w:r w:rsidRPr="000F1DAB">
        <w:rPr>
          <w:i/>
          <w:iCs/>
          <w:lang w:val="en-US"/>
        </w:rPr>
        <w:t>19</w:t>
      </w:r>
      <w:r w:rsidRPr="000F1DAB">
        <w:rPr>
          <w:lang w:val="en-US"/>
        </w:rPr>
        <w:t xml:space="preserve">(3), 287–306. </w:t>
      </w:r>
      <w:hyperlink r:id="rId28" w:history="1">
        <w:r w:rsidRPr="00F07EDF">
          <w:rPr>
            <w:rStyle w:val="Hyperlink"/>
            <w:lang w:val="en-US"/>
          </w:rPr>
          <w:t>https://doi.org/10.1016/j.nic.2009.06.010</w:t>
        </w:r>
      </w:hyperlink>
    </w:p>
    <w:p w14:paraId="31A5051E" w14:textId="1BC2454E" w:rsidR="00B25407" w:rsidRPr="00812BC8" w:rsidRDefault="00B25407" w:rsidP="00BC0C43">
      <w:pPr>
        <w:rPr>
          <w:rStyle w:val="Hyperlink"/>
        </w:rPr>
      </w:pPr>
      <w:proofErr w:type="spellStart"/>
      <w:r w:rsidRPr="003517EF">
        <w:rPr>
          <w:lang w:val="en-US"/>
        </w:rPr>
        <w:t>Sooriyamoorthy</w:t>
      </w:r>
      <w:proofErr w:type="spellEnd"/>
      <w:r w:rsidRPr="003517EF">
        <w:rPr>
          <w:lang w:val="en-US"/>
        </w:rPr>
        <w:t xml:space="preserve">, T. &amp; Jesus, O. D. (2023). </w:t>
      </w:r>
      <w:r w:rsidRPr="00B05D88">
        <w:t xml:space="preserve">Conductive Hearing Loss. </w:t>
      </w:r>
      <w:r w:rsidR="00812BC8" w:rsidRPr="003E4892">
        <w:t xml:space="preserve">[Updated 2023 Aug 23]. In: </w:t>
      </w:r>
      <w:proofErr w:type="spellStart"/>
      <w:r w:rsidR="00812BC8" w:rsidRPr="003E4892">
        <w:t>StatPearls</w:t>
      </w:r>
      <w:proofErr w:type="spellEnd"/>
      <w:r w:rsidR="00812BC8" w:rsidRPr="003E4892">
        <w:t xml:space="preserve"> [Internet]. Treasure Island (FL): </w:t>
      </w:r>
      <w:proofErr w:type="spellStart"/>
      <w:r w:rsidR="00812BC8" w:rsidRPr="003E4892">
        <w:t>StatPearls</w:t>
      </w:r>
      <w:proofErr w:type="spellEnd"/>
      <w:r w:rsidR="00812BC8" w:rsidRPr="003E4892">
        <w:t xml:space="preserve"> Publishing; 2024 Jan-. Available from: https://www.ncbi.nlm.nih.gov/books/NBK563267/</w:t>
      </w:r>
    </w:p>
    <w:p w14:paraId="6C6E043E" w14:textId="6863EBB1" w:rsidR="00060DB1" w:rsidRDefault="00060DB1" w:rsidP="00060DB1">
      <w:r w:rsidRPr="00060DB1">
        <w:lastRenderedPageBreak/>
        <w:t xml:space="preserve">Távora-Vieira, D., Marino, R., </w:t>
      </w:r>
      <w:proofErr w:type="spellStart"/>
      <w:r w:rsidRPr="00060DB1">
        <w:t>Kuthubutheen</w:t>
      </w:r>
      <w:proofErr w:type="spellEnd"/>
      <w:r w:rsidRPr="00060DB1">
        <w:t>, J., Broadbent, C., &amp; Acharya, A. (2023). Decision making in bone conduction and active middle ear implants – hearing outcomes and experiences over a 10-year period. </w:t>
      </w:r>
      <w:r w:rsidRPr="00060DB1">
        <w:rPr>
          <w:i/>
          <w:iCs/>
        </w:rPr>
        <w:t>Cochlear Implants International</w:t>
      </w:r>
      <w:r w:rsidRPr="00060DB1">
        <w:t>, </w:t>
      </w:r>
      <w:r w:rsidRPr="00060DB1">
        <w:rPr>
          <w:i/>
          <w:iCs/>
        </w:rPr>
        <w:t>25</w:t>
      </w:r>
      <w:r w:rsidRPr="00060DB1">
        <w:t xml:space="preserve">(1), 16–22. </w:t>
      </w:r>
      <w:hyperlink r:id="rId29" w:history="1">
        <w:r w:rsidRPr="000E55C2">
          <w:rPr>
            <w:rStyle w:val="Hyperlink"/>
          </w:rPr>
          <w:t>https://doi.org/10.1080/14670100.2023.2267900</w:t>
        </w:r>
      </w:hyperlink>
    </w:p>
    <w:p w14:paraId="590AC8C4" w14:textId="7676A57C" w:rsidR="00B25407" w:rsidRPr="0030566C" w:rsidRDefault="00B25407" w:rsidP="00BC0C43">
      <w:r w:rsidRPr="00B05D88">
        <w:t xml:space="preserve">World Health Organization. (2004). </w:t>
      </w:r>
      <w:r w:rsidRPr="00B05D88">
        <w:rPr>
          <w:i/>
          <w:iCs/>
        </w:rPr>
        <w:t xml:space="preserve">Chronic suppurative otitis </w:t>
      </w:r>
      <w:proofErr w:type="gramStart"/>
      <w:r w:rsidRPr="00B05D88">
        <w:rPr>
          <w:i/>
          <w:iCs/>
        </w:rPr>
        <w:t>media :</w:t>
      </w:r>
      <w:proofErr w:type="gramEnd"/>
      <w:r w:rsidRPr="00B05D88">
        <w:rPr>
          <w:i/>
          <w:iCs/>
        </w:rPr>
        <w:t xml:space="preserve"> burden of illness and management options</w:t>
      </w:r>
      <w:r w:rsidRPr="00B05D88">
        <w:t xml:space="preserve">. World Health Organization. </w:t>
      </w:r>
      <w:hyperlink r:id="rId30" w:history="1">
        <w:r w:rsidRPr="00B05D88">
          <w:rPr>
            <w:rStyle w:val="Hyperlink"/>
          </w:rPr>
          <w:t>https://apps.who.int/iris/handle/10665/42941</w:t>
        </w:r>
      </w:hyperlink>
    </w:p>
    <w:sectPr w:rsidR="00B25407" w:rsidRPr="0030566C" w:rsidSect="00356026">
      <w:pgSz w:w="11906" w:h="16838"/>
      <w:pgMar w:top="1440" w:right="992" w:bottom="1134" w:left="1440" w:header="425"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DA9AC" w14:textId="77777777" w:rsidR="00D8375F" w:rsidRDefault="00D8375F" w:rsidP="00BC0C43">
      <w:r>
        <w:separator/>
      </w:r>
    </w:p>
  </w:endnote>
  <w:endnote w:type="continuationSeparator" w:id="0">
    <w:p w14:paraId="63FAEED1" w14:textId="77777777" w:rsidR="00D8375F" w:rsidRDefault="00D8375F" w:rsidP="00BC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gnaPro-Light">
    <w:altName w:val="SignaPro-Light"/>
    <w:panose1 w:val="00000000000000000000"/>
    <w:charset w:val="00"/>
    <w:family w:val="swiss"/>
    <w:notTrueType/>
    <w:pitch w:val="variable"/>
    <w:sig w:usb0="A00002BF" w:usb1="4000687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988514"/>
      <w:docPartObj>
        <w:docPartGallery w:val="Page Numbers (Bottom of Page)"/>
        <w:docPartUnique/>
      </w:docPartObj>
    </w:sdtPr>
    <w:sdtEndPr/>
    <w:sdtContent>
      <w:p w14:paraId="1D946C7C" w14:textId="2135B215" w:rsidR="0090168B" w:rsidRDefault="0090168B" w:rsidP="002B3774">
        <w:pPr>
          <w:pStyle w:val="Footer"/>
          <w:jc w:val="right"/>
        </w:pPr>
        <w:r w:rsidRPr="00582377">
          <w:rPr>
            <w:sz w:val="21"/>
            <w:szCs w:val="21"/>
          </w:rPr>
          <w:fldChar w:fldCharType="begin"/>
        </w:r>
        <w:r w:rsidRPr="00582377">
          <w:rPr>
            <w:sz w:val="21"/>
            <w:szCs w:val="21"/>
          </w:rPr>
          <w:instrText xml:space="preserve"> PAGE  \* Arabic  \* MERGEFORMAT </w:instrText>
        </w:r>
        <w:r w:rsidRPr="00582377">
          <w:rPr>
            <w:sz w:val="21"/>
            <w:szCs w:val="21"/>
          </w:rPr>
          <w:fldChar w:fldCharType="separate"/>
        </w:r>
        <w:r w:rsidRPr="00582377">
          <w:rPr>
            <w:noProof/>
            <w:sz w:val="21"/>
            <w:szCs w:val="21"/>
          </w:rPr>
          <w:t>3</w:t>
        </w:r>
        <w:r w:rsidRPr="00582377">
          <w:rPr>
            <w:sz w:val="21"/>
            <w:szCs w:val="21"/>
          </w:rPr>
          <w:fldChar w:fldCharType="end"/>
        </w:r>
      </w:p>
    </w:sdtContent>
  </w:sdt>
  <w:p w14:paraId="355A1DA5" w14:textId="5A1B7690" w:rsidR="0090168B" w:rsidRDefault="00A75F7B" w:rsidP="00CC4BFC">
    <w:pPr>
      <w:pStyle w:val="Footer"/>
      <w:jc w:val="center"/>
    </w:pPr>
    <w:r>
      <w:t>MSAC 1803 – PICO set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6CF90" w14:textId="77777777" w:rsidR="00D8375F" w:rsidRDefault="00D8375F" w:rsidP="00BC0C43">
      <w:r>
        <w:separator/>
      </w:r>
    </w:p>
  </w:footnote>
  <w:footnote w:type="continuationSeparator" w:id="0">
    <w:p w14:paraId="39298969" w14:textId="77777777" w:rsidR="00D8375F" w:rsidRDefault="00D8375F" w:rsidP="00BC0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87BAC"/>
    <w:multiLevelType w:val="hybridMultilevel"/>
    <w:tmpl w:val="99606A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194757"/>
    <w:multiLevelType w:val="hybridMultilevel"/>
    <w:tmpl w:val="16204C16"/>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 w15:restartNumberingAfterBreak="0">
    <w:nsid w:val="0E917A1A"/>
    <w:multiLevelType w:val="hybridMultilevel"/>
    <w:tmpl w:val="8098BA6C"/>
    <w:lvl w:ilvl="0" w:tplc="93407D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419C1"/>
    <w:multiLevelType w:val="hybridMultilevel"/>
    <w:tmpl w:val="656C46D8"/>
    <w:lvl w:ilvl="0" w:tplc="938830BC">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40703"/>
    <w:multiLevelType w:val="hybridMultilevel"/>
    <w:tmpl w:val="DFA43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A08C2"/>
    <w:multiLevelType w:val="hybridMultilevel"/>
    <w:tmpl w:val="261EA4D4"/>
    <w:lvl w:ilvl="0" w:tplc="0409000F">
      <w:start w:val="1"/>
      <w:numFmt w:val="decimal"/>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D26A4"/>
    <w:multiLevelType w:val="hybridMultilevel"/>
    <w:tmpl w:val="58B4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C2E7E"/>
    <w:multiLevelType w:val="hybridMultilevel"/>
    <w:tmpl w:val="8EDAE6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D5483"/>
    <w:multiLevelType w:val="hybridMultilevel"/>
    <w:tmpl w:val="FF6C8736"/>
    <w:lvl w:ilvl="0" w:tplc="F8CEA150">
      <w:start w:val="1"/>
      <w:numFmt w:val="decimal"/>
      <w:lvlText w:val="%1."/>
      <w:lvlJc w:val="left"/>
      <w:pPr>
        <w:ind w:left="720" w:hanging="360"/>
      </w:pPr>
      <w:rPr>
        <w:rFonts w:ascii="Segoe UI" w:eastAsiaTheme="minorHAnsi" w:hAnsi="Segoe UI" w:cs="Segoe U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E1403E"/>
    <w:multiLevelType w:val="hybridMultilevel"/>
    <w:tmpl w:val="6D14F0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67DBC"/>
    <w:multiLevelType w:val="hybridMultilevel"/>
    <w:tmpl w:val="E1449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3B0939"/>
    <w:multiLevelType w:val="hybridMultilevel"/>
    <w:tmpl w:val="F4C858F4"/>
    <w:lvl w:ilvl="0" w:tplc="FFFFFFFF">
      <w:start w:val="1"/>
      <w:numFmt w:val="decimal"/>
      <w:lvlText w:val="%1."/>
      <w:lvlJc w:val="left"/>
      <w:pPr>
        <w:ind w:left="720" w:hanging="360"/>
      </w:pPr>
      <w:rPr>
        <w:rFonts w:ascii="Segoe UI" w:eastAsiaTheme="minorHAnsi" w:hAnsi="Segoe UI" w:cs="Segoe U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152B47"/>
    <w:multiLevelType w:val="hybridMultilevel"/>
    <w:tmpl w:val="88943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DC0CBC"/>
    <w:multiLevelType w:val="hybridMultilevel"/>
    <w:tmpl w:val="D18C8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260296"/>
    <w:multiLevelType w:val="hybridMultilevel"/>
    <w:tmpl w:val="B15ED578"/>
    <w:lvl w:ilvl="0" w:tplc="2220960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A04A95"/>
    <w:multiLevelType w:val="hybridMultilevel"/>
    <w:tmpl w:val="EE78F8C0"/>
    <w:lvl w:ilvl="0" w:tplc="FFFFFFFF">
      <w:start w:val="1"/>
      <w:numFmt w:val="decimal"/>
      <w:lvlText w:val="%1."/>
      <w:lvlJc w:val="left"/>
      <w:pPr>
        <w:ind w:left="720"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FC316C2"/>
    <w:multiLevelType w:val="hybridMultilevel"/>
    <w:tmpl w:val="FF6C8736"/>
    <w:lvl w:ilvl="0" w:tplc="FFFFFFFF">
      <w:start w:val="1"/>
      <w:numFmt w:val="decimal"/>
      <w:lvlText w:val="%1."/>
      <w:lvlJc w:val="left"/>
      <w:pPr>
        <w:ind w:left="720" w:hanging="360"/>
      </w:pPr>
      <w:rPr>
        <w:rFonts w:ascii="Segoe UI" w:eastAsiaTheme="minorHAnsi" w:hAnsi="Segoe UI" w:cs="Segoe UI"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79915F1"/>
    <w:multiLevelType w:val="hybridMultilevel"/>
    <w:tmpl w:val="CC126F02"/>
    <w:lvl w:ilvl="0" w:tplc="2220960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0B7844"/>
    <w:multiLevelType w:val="hybridMultilevel"/>
    <w:tmpl w:val="220A3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B5018D9"/>
    <w:multiLevelType w:val="hybridMultilevel"/>
    <w:tmpl w:val="98D81F4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2C005B6"/>
    <w:multiLevelType w:val="multilevel"/>
    <w:tmpl w:val="B28A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1E22EB"/>
    <w:multiLevelType w:val="hybridMultilevel"/>
    <w:tmpl w:val="9FAAC9D4"/>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12280D"/>
    <w:multiLevelType w:val="hybridMultilevel"/>
    <w:tmpl w:val="7E563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A370D2"/>
    <w:multiLevelType w:val="hybridMultilevel"/>
    <w:tmpl w:val="563A8B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15593278">
    <w:abstractNumId w:val="9"/>
  </w:num>
  <w:num w:numId="2" w16cid:durableId="1711538424">
    <w:abstractNumId w:val="19"/>
  </w:num>
  <w:num w:numId="3" w16cid:durableId="1223903305">
    <w:abstractNumId w:val="20"/>
  </w:num>
  <w:num w:numId="4" w16cid:durableId="2032880605">
    <w:abstractNumId w:val="4"/>
  </w:num>
  <w:num w:numId="5" w16cid:durableId="729234249">
    <w:abstractNumId w:val="6"/>
  </w:num>
  <w:num w:numId="6" w16cid:durableId="1645431247">
    <w:abstractNumId w:val="13"/>
  </w:num>
  <w:num w:numId="7" w16cid:durableId="1453131550">
    <w:abstractNumId w:val="0"/>
  </w:num>
  <w:num w:numId="8" w16cid:durableId="873999103">
    <w:abstractNumId w:val="23"/>
  </w:num>
  <w:num w:numId="9" w16cid:durableId="1365062390">
    <w:abstractNumId w:val="10"/>
  </w:num>
  <w:num w:numId="10" w16cid:durableId="787704818">
    <w:abstractNumId w:val="22"/>
  </w:num>
  <w:num w:numId="11" w16cid:durableId="1734232217">
    <w:abstractNumId w:val="2"/>
  </w:num>
  <w:num w:numId="12" w16cid:durableId="657851627">
    <w:abstractNumId w:val="5"/>
  </w:num>
  <w:num w:numId="13" w16cid:durableId="1908949842">
    <w:abstractNumId w:val="15"/>
  </w:num>
  <w:num w:numId="14" w16cid:durableId="1157111022">
    <w:abstractNumId w:val="1"/>
  </w:num>
  <w:num w:numId="15" w16cid:durableId="1112045798">
    <w:abstractNumId w:val="18"/>
  </w:num>
  <w:num w:numId="16" w16cid:durableId="293946559">
    <w:abstractNumId w:val="3"/>
  </w:num>
  <w:num w:numId="17" w16cid:durableId="307831201">
    <w:abstractNumId w:val="14"/>
  </w:num>
  <w:num w:numId="18" w16cid:durableId="810831055">
    <w:abstractNumId w:val="17"/>
  </w:num>
  <w:num w:numId="19" w16cid:durableId="1767456708">
    <w:abstractNumId w:val="8"/>
  </w:num>
  <w:num w:numId="20" w16cid:durableId="938949757">
    <w:abstractNumId w:val="16"/>
  </w:num>
  <w:num w:numId="21" w16cid:durableId="610741895">
    <w:abstractNumId w:val="11"/>
  </w:num>
  <w:num w:numId="22" w16cid:durableId="1223910642">
    <w:abstractNumId w:val="21"/>
  </w:num>
  <w:num w:numId="23" w16cid:durableId="1428235807">
    <w:abstractNumId w:val="7"/>
  </w:num>
  <w:num w:numId="24" w16cid:durableId="18039629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22"/>
    <w:rsid w:val="00000C88"/>
    <w:rsid w:val="00000CA0"/>
    <w:rsid w:val="00002E09"/>
    <w:rsid w:val="00010AAA"/>
    <w:rsid w:val="0001122B"/>
    <w:rsid w:val="00012CC0"/>
    <w:rsid w:val="000177B4"/>
    <w:rsid w:val="00017B90"/>
    <w:rsid w:val="00023E22"/>
    <w:rsid w:val="00024F58"/>
    <w:rsid w:val="00025969"/>
    <w:rsid w:val="00027EFB"/>
    <w:rsid w:val="00031E05"/>
    <w:rsid w:val="0003288F"/>
    <w:rsid w:val="000334F8"/>
    <w:rsid w:val="000469BB"/>
    <w:rsid w:val="00050071"/>
    <w:rsid w:val="00051843"/>
    <w:rsid w:val="00053C81"/>
    <w:rsid w:val="00054093"/>
    <w:rsid w:val="000540B4"/>
    <w:rsid w:val="0005508C"/>
    <w:rsid w:val="00057511"/>
    <w:rsid w:val="0005757E"/>
    <w:rsid w:val="00060830"/>
    <w:rsid w:val="00060DB1"/>
    <w:rsid w:val="00061233"/>
    <w:rsid w:val="00061A93"/>
    <w:rsid w:val="000627EF"/>
    <w:rsid w:val="00064555"/>
    <w:rsid w:val="00065550"/>
    <w:rsid w:val="00066B41"/>
    <w:rsid w:val="0006716B"/>
    <w:rsid w:val="0006727D"/>
    <w:rsid w:val="00067758"/>
    <w:rsid w:val="00067BCD"/>
    <w:rsid w:val="00070C26"/>
    <w:rsid w:val="0007793A"/>
    <w:rsid w:val="000844A0"/>
    <w:rsid w:val="0009097A"/>
    <w:rsid w:val="00090FF0"/>
    <w:rsid w:val="000934AF"/>
    <w:rsid w:val="00095047"/>
    <w:rsid w:val="00095BB0"/>
    <w:rsid w:val="00096B03"/>
    <w:rsid w:val="000B1B1F"/>
    <w:rsid w:val="000C3C3F"/>
    <w:rsid w:val="000C43E5"/>
    <w:rsid w:val="000D2376"/>
    <w:rsid w:val="000D3DAB"/>
    <w:rsid w:val="000D409A"/>
    <w:rsid w:val="000D44F1"/>
    <w:rsid w:val="000E1170"/>
    <w:rsid w:val="000E2C01"/>
    <w:rsid w:val="000E6302"/>
    <w:rsid w:val="000F3D0C"/>
    <w:rsid w:val="000F4A6F"/>
    <w:rsid w:val="000F4F62"/>
    <w:rsid w:val="000F6984"/>
    <w:rsid w:val="0010335A"/>
    <w:rsid w:val="001034F3"/>
    <w:rsid w:val="00105AB5"/>
    <w:rsid w:val="00106CA4"/>
    <w:rsid w:val="00107472"/>
    <w:rsid w:val="001079CA"/>
    <w:rsid w:val="001103E9"/>
    <w:rsid w:val="00117523"/>
    <w:rsid w:val="00122992"/>
    <w:rsid w:val="001252F2"/>
    <w:rsid w:val="001253DB"/>
    <w:rsid w:val="00132E4F"/>
    <w:rsid w:val="00134F4B"/>
    <w:rsid w:val="00135421"/>
    <w:rsid w:val="00136DD9"/>
    <w:rsid w:val="00137EF7"/>
    <w:rsid w:val="00141EB4"/>
    <w:rsid w:val="00143CD3"/>
    <w:rsid w:val="00145993"/>
    <w:rsid w:val="001461D0"/>
    <w:rsid w:val="0016065A"/>
    <w:rsid w:val="001612B6"/>
    <w:rsid w:val="00161DFC"/>
    <w:rsid w:val="00167E50"/>
    <w:rsid w:val="00172D89"/>
    <w:rsid w:val="00174428"/>
    <w:rsid w:val="00174B40"/>
    <w:rsid w:val="001762DD"/>
    <w:rsid w:val="00176393"/>
    <w:rsid w:val="001768C3"/>
    <w:rsid w:val="001822AA"/>
    <w:rsid w:val="00182945"/>
    <w:rsid w:val="00191BD2"/>
    <w:rsid w:val="0019211D"/>
    <w:rsid w:val="00192845"/>
    <w:rsid w:val="00192F8F"/>
    <w:rsid w:val="00195380"/>
    <w:rsid w:val="00195439"/>
    <w:rsid w:val="00197295"/>
    <w:rsid w:val="001972BC"/>
    <w:rsid w:val="00197915"/>
    <w:rsid w:val="001A04B0"/>
    <w:rsid w:val="001A1994"/>
    <w:rsid w:val="001A2EBA"/>
    <w:rsid w:val="001A5406"/>
    <w:rsid w:val="001A54EB"/>
    <w:rsid w:val="001B2263"/>
    <w:rsid w:val="001B2391"/>
    <w:rsid w:val="001B617D"/>
    <w:rsid w:val="001C1718"/>
    <w:rsid w:val="001C7635"/>
    <w:rsid w:val="001C7AB6"/>
    <w:rsid w:val="001D0F54"/>
    <w:rsid w:val="001D33B6"/>
    <w:rsid w:val="001D3816"/>
    <w:rsid w:val="001D7733"/>
    <w:rsid w:val="001E10D2"/>
    <w:rsid w:val="001E1EDB"/>
    <w:rsid w:val="001E2D76"/>
    <w:rsid w:val="001F318F"/>
    <w:rsid w:val="0020108A"/>
    <w:rsid w:val="00202D32"/>
    <w:rsid w:val="0020320C"/>
    <w:rsid w:val="002113B4"/>
    <w:rsid w:val="00212C36"/>
    <w:rsid w:val="00217BEC"/>
    <w:rsid w:val="002261C3"/>
    <w:rsid w:val="002310BD"/>
    <w:rsid w:val="002316BF"/>
    <w:rsid w:val="00237288"/>
    <w:rsid w:val="00237525"/>
    <w:rsid w:val="002413A2"/>
    <w:rsid w:val="0024309C"/>
    <w:rsid w:val="00245092"/>
    <w:rsid w:val="00245C6F"/>
    <w:rsid w:val="00247698"/>
    <w:rsid w:val="0025463E"/>
    <w:rsid w:val="00262703"/>
    <w:rsid w:val="0026322B"/>
    <w:rsid w:val="002644EC"/>
    <w:rsid w:val="002718D8"/>
    <w:rsid w:val="002725E5"/>
    <w:rsid w:val="00274455"/>
    <w:rsid w:val="002766BF"/>
    <w:rsid w:val="00280050"/>
    <w:rsid w:val="00281A8F"/>
    <w:rsid w:val="00282C53"/>
    <w:rsid w:val="00284375"/>
    <w:rsid w:val="00290DCF"/>
    <w:rsid w:val="0029364F"/>
    <w:rsid w:val="002948A1"/>
    <w:rsid w:val="002A13F8"/>
    <w:rsid w:val="002A1936"/>
    <w:rsid w:val="002A1BA3"/>
    <w:rsid w:val="002A334F"/>
    <w:rsid w:val="002A374A"/>
    <w:rsid w:val="002A4AE5"/>
    <w:rsid w:val="002B3774"/>
    <w:rsid w:val="002B4FC1"/>
    <w:rsid w:val="002B561B"/>
    <w:rsid w:val="002B7B2B"/>
    <w:rsid w:val="002C3D01"/>
    <w:rsid w:val="002C4103"/>
    <w:rsid w:val="002D0A1C"/>
    <w:rsid w:val="002D10FC"/>
    <w:rsid w:val="002D289F"/>
    <w:rsid w:val="002D2924"/>
    <w:rsid w:val="002D3618"/>
    <w:rsid w:val="002D364E"/>
    <w:rsid w:val="002D7216"/>
    <w:rsid w:val="002E0EFC"/>
    <w:rsid w:val="002E357C"/>
    <w:rsid w:val="002E3976"/>
    <w:rsid w:val="002E6C3C"/>
    <w:rsid w:val="002E7AE6"/>
    <w:rsid w:val="002F0507"/>
    <w:rsid w:val="002F1F52"/>
    <w:rsid w:val="002F2F91"/>
    <w:rsid w:val="002F7162"/>
    <w:rsid w:val="002F7274"/>
    <w:rsid w:val="00302069"/>
    <w:rsid w:val="0030566C"/>
    <w:rsid w:val="00306DD4"/>
    <w:rsid w:val="003124A6"/>
    <w:rsid w:val="00314964"/>
    <w:rsid w:val="0031783C"/>
    <w:rsid w:val="00327A46"/>
    <w:rsid w:val="00337250"/>
    <w:rsid w:val="00341632"/>
    <w:rsid w:val="00342E30"/>
    <w:rsid w:val="00346716"/>
    <w:rsid w:val="003517EF"/>
    <w:rsid w:val="00353312"/>
    <w:rsid w:val="003550B9"/>
    <w:rsid w:val="00356026"/>
    <w:rsid w:val="00356E83"/>
    <w:rsid w:val="00361BBE"/>
    <w:rsid w:val="00362453"/>
    <w:rsid w:val="003628C3"/>
    <w:rsid w:val="00363A81"/>
    <w:rsid w:val="00364572"/>
    <w:rsid w:val="00365780"/>
    <w:rsid w:val="00367991"/>
    <w:rsid w:val="00376CBC"/>
    <w:rsid w:val="003802F3"/>
    <w:rsid w:val="00380891"/>
    <w:rsid w:val="00380C41"/>
    <w:rsid w:val="0038141E"/>
    <w:rsid w:val="00382BF2"/>
    <w:rsid w:val="00385D0B"/>
    <w:rsid w:val="003878CB"/>
    <w:rsid w:val="003925C1"/>
    <w:rsid w:val="00394F4D"/>
    <w:rsid w:val="003A16D1"/>
    <w:rsid w:val="003A2701"/>
    <w:rsid w:val="003A5096"/>
    <w:rsid w:val="003B1356"/>
    <w:rsid w:val="003B5315"/>
    <w:rsid w:val="003B5354"/>
    <w:rsid w:val="003B5CCD"/>
    <w:rsid w:val="003C0F91"/>
    <w:rsid w:val="003C113D"/>
    <w:rsid w:val="003C1390"/>
    <w:rsid w:val="003C2446"/>
    <w:rsid w:val="003C2FF1"/>
    <w:rsid w:val="003C3850"/>
    <w:rsid w:val="003C5BD1"/>
    <w:rsid w:val="003D15B9"/>
    <w:rsid w:val="003D4CE7"/>
    <w:rsid w:val="003D6895"/>
    <w:rsid w:val="003E29BC"/>
    <w:rsid w:val="003E36B4"/>
    <w:rsid w:val="003E398B"/>
    <w:rsid w:val="003E4892"/>
    <w:rsid w:val="003F01C3"/>
    <w:rsid w:val="003F39D1"/>
    <w:rsid w:val="003F3AF2"/>
    <w:rsid w:val="003F3DAC"/>
    <w:rsid w:val="003F554A"/>
    <w:rsid w:val="004113D5"/>
    <w:rsid w:val="00415AFF"/>
    <w:rsid w:val="004209FC"/>
    <w:rsid w:val="0042180F"/>
    <w:rsid w:val="004219BE"/>
    <w:rsid w:val="004219EC"/>
    <w:rsid w:val="0043136A"/>
    <w:rsid w:val="00431950"/>
    <w:rsid w:val="004337F0"/>
    <w:rsid w:val="00442BAE"/>
    <w:rsid w:val="00447CA0"/>
    <w:rsid w:val="00452657"/>
    <w:rsid w:val="00452A33"/>
    <w:rsid w:val="00454249"/>
    <w:rsid w:val="0045459C"/>
    <w:rsid w:val="004608EC"/>
    <w:rsid w:val="00460DA8"/>
    <w:rsid w:val="004654B8"/>
    <w:rsid w:val="00467A1F"/>
    <w:rsid w:val="00473BA9"/>
    <w:rsid w:val="00480884"/>
    <w:rsid w:val="00482120"/>
    <w:rsid w:val="004845DD"/>
    <w:rsid w:val="004853BB"/>
    <w:rsid w:val="00486E37"/>
    <w:rsid w:val="00493F82"/>
    <w:rsid w:val="00494BBA"/>
    <w:rsid w:val="00497DED"/>
    <w:rsid w:val="004A1009"/>
    <w:rsid w:val="004A45BE"/>
    <w:rsid w:val="004A6760"/>
    <w:rsid w:val="004B00F0"/>
    <w:rsid w:val="004B0719"/>
    <w:rsid w:val="004B7948"/>
    <w:rsid w:val="004C02B7"/>
    <w:rsid w:val="004C07FC"/>
    <w:rsid w:val="004C22F7"/>
    <w:rsid w:val="004C601B"/>
    <w:rsid w:val="004C70D6"/>
    <w:rsid w:val="004C7646"/>
    <w:rsid w:val="004D3B73"/>
    <w:rsid w:val="004D7555"/>
    <w:rsid w:val="004D755F"/>
    <w:rsid w:val="004D79F6"/>
    <w:rsid w:val="004E31BA"/>
    <w:rsid w:val="004F678A"/>
    <w:rsid w:val="00506488"/>
    <w:rsid w:val="005122ED"/>
    <w:rsid w:val="005149D3"/>
    <w:rsid w:val="0052274F"/>
    <w:rsid w:val="005264C8"/>
    <w:rsid w:val="0053001F"/>
    <w:rsid w:val="0053535E"/>
    <w:rsid w:val="00541BC5"/>
    <w:rsid w:val="00545A4C"/>
    <w:rsid w:val="00547AA8"/>
    <w:rsid w:val="005537FC"/>
    <w:rsid w:val="005543AD"/>
    <w:rsid w:val="00555113"/>
    <w:rsid w:val="00555721"/>
    <w:rsid w:val="00562BE4"/>
    <w:rsid w:val="00566CF9"/>
    <w:rsid w:val="00570E07"/>
    <w:rsid w:val="00572CA8"/>
    <w:rsid w:val="00573AB0"/>
    <w:rsid w:val="0058002A"/>
    <w:rsid w:val="00582377"/>
    <w:rsid w:val="005837E9"/>
    <w:rsid w:val="005841A9"/>
    <w:rsid w:val="005842D9"/>
    <w:rsid w:val="00585C68"/>
    <w:rsid w:val="0059113D"/>
    <w:rsid w:val="00591B95"/>
    <w:rsid w:val="00594722"/>
    <w:rsid w:val="00595E92"/>
    <w:rsid w:val="005A0B07"/>
    <w:rsid w:val="005A2CDF"/>
    <w:rsid w:val="005A5731"/>
    <w:rsid w:val="005B08A3"/>
    <w:rsid w:val="005B0ED1"/>
    <w:rsid w:val="005B5A58"/>
    <w:rsid w:val="005B70F1"/>
    <w:rsid w:val="005C09CF"/>
    <w:rsid w:val="005C1B0F"/>
    <w:rsid w:val="005C5D3E"/>
    <w:rsid w:val="005D08A4"/>
    <w:rsid w:val="005D23BC"/>
    <w:rsid w:val="005D7BF6"/>
    <w:rsid w:val="005D7E7E"/>
    <w:rsid w:val="005E1CC0"/>
    <w:rsid w:val="005E1CFB"/>
    <w:rsid w:val="005E23B6"/>
    <w:rsid w:val="005E69BE"/>
    <w:rsid w:val="005F08EA"/>
    <w:rsid w:val="005F4AB5"/>
    <w:rsid w:val="00602FD1"/>
    <w:rsid w:val="00603376"/>
    <w:rsid w:val="00604E12"/>
    <w:rsid w:val="006064E4"/>
    <w:rsid w:val="0060713F"/>
    <w:rsid w:val="00610237"/>
    <w:rsid w:val="006117C9"/>
    <w:rsid w:val="00614D65"/>
    <w:rsid w:val="006227D1"/>
    <w:rsid w:val="006227EF"/>
    <w:rsid w:val="00623E11"/>
    <w:rsid w:val="00626878"/>
    <w:rsid w:val="00626A7D"/>
    <w:rsid w:val="0062705F"/>
    <w:rsid w:val="0063184E"/>
    <w:rsid w:val="00641845"/>
    <w:rsid w:val="006429A1"/>
    <w:rsid w:val="006437E6"/>
    <w:rsid w:val="006578A1"/>
    <w:rsid w:val="00665487"/>
    <w:rsid w:val="00666630"/>
    <w:rsid w:val="00666C79"/>
    <w:rsid w:val="006732A0"/>
    <w:rsid w:val="00675BAA"/>
    <w:rsid w:val="00677A07"/>
    <w:rsid w:val="00680163"/>
    <w:rsid w:val="00680FDF"/>
    <w:rsid w:val="00683518"/>
    <w:rsid w:val="006944CA"/>
    <w:rsid w:val="0069680C"/>
    <w:rsid w:val="006A183A"/>
    <w:rsid w:val="006A3877"/>
    <w:rsid w:val="006A48B4"/>
    <w:rsid w:val="006B04BB"/>
    <w:rsid w:val="006B1118"/>
    <w:rsid w:val="006B2F8C"/>
    <w:rsid w:val="006B6D1D"/>
    <w:rsid w:val="006C2164"/>
    <w:rsid w:val="006C2ED8"/>
    <w:rsid w:val="006D3003"/>
    <w:rsid w:val="006E06A6"/>
    <w:rsid w:val="006F155E"/>
    <w:rsid w:val="006F25AF"/>
    <w:rsid w:val="007047E3"/>
    <w:rsid w:val="00707862"/>
    <w:rsid w:val="00711A4D"/>
    <w:rsid w:val="00714966"/>
    <w:rsid w:val="007259DB"/>
    <w:rsid w:val="00731405"/>
    <w:rsid w:val="00733AB5"/>
    <w:rsid w:val="00736D98"/>
    <w:rsid w:val="007418A1"/>
    <w:rsid w:val="00750068"/>
    <w:rsid w:val="00750D14"/>
    <w:rsid w:val="00757649"/>
    <w:rsid w:val="00764478"/>
    <w:rsid w:val="00764D8F"/>
    <w:rsid w:val="00765B2C"/>
    <w:rsid w:val="00770FA6"/>
    <w:rsid w:val="007718BF"/>
    <w:rsid w:val="0078252F"/>
    <w:rsid w:val="00783B84"/>
    <w:rsid w:val="00783E04"/>
    <w:rsid w:val="007864CE"/>
    <w:rsid w:val="00792F1C"/>
    <w:rsid w:val="00793F26"/>
    <w:rsid w:val="007944FE"/>
    <w:rsid w:val="00796BE5"/>
    <w:rsid w:val="00796D0F"/>
    <w:rsid w:val="007A4BD6"/>
    <w:rsid w:val="007A4BF2"/>
    <w:rsid w:val="007A713B"/>
    <w:rsid w:val="007B1545"/>
    <w:rsid w:val="007B26E9"/>
    <w:rsid w:val="007B3EA3"/>
    <w:rsid w:val="007B766D"/>
    <w:rsid w:val="007B79E9"/>
    <w:rsid w:val="007C0CB0"/>
    <w:rsid w:val="007C12A5"/>
    <w:rsid w:val="007C2501"/>
    <w:rsid w:val="007C3968"/>
    <w:rsid w:val="007C49E6"/>
    <w:rsid w:val="007C6F6A"/>
    <w:rsid w:val="007C7A42"/>
    <w:rsid w:val="007D2CF5"/>
    <w:rsid w:val="007D5569"/>
    <w:rsid w:val="007D65C5"/>
    <w:rsid w:val="007E2274"/>
    <w:rsid w:val="007F075B"/>
    <w:rsid w:val="007F57EF"/>
    <w:rsid w:val="008072CE"/>
    <w:rsid w:val="008076C1"/>
    <w:rsid w:val="00807D5D"/>
    <w:rsid w:val="008113E1"/>
    <w:rsid w:val="008118C0"/>
    <w:rsid w:val="00812BC8"/>
    <w:rsid w:val="00822D4A"/>
    <w:rsid w:val="00823298"/>
    <w:rsid w:val="008232F2"/>
    <w:rsid w:val="008234AE"/>
    <w:rsid w:val="00827EFB"/>
    <w:rsid w:val="0083199B"/>
    <w:rsid w:val="00835D13"/>
    <w:rsid w:val="00836A15"/>
    <w:rsid w:val="00841961"/>
    <w:rsid w:val="00842FBF"/>
    <w:rsid w:val="00843ABC"/>
    <w:rsid w:val="00847872"/>
    <w:rsid w:val="0085557E"/>
    <w:rsid w:val="00862EDB"/>
    <w:rsid w:val="00866CA4"/>
    <w:rsid w:val="008675E3"/>
    <w:rsid w:val="008834FA"/>
    <w:rsid w:val="00883B9E"/>
    <w:rsid w:val="00883E17"/>
    <w:rsid w:val="00884F92"/>
    <w:rsid w:val="00885508"/>
    <w:rsid w:val="00887322"/>
    <w:rsid w:val="00887486"/>
    <w:rsid w:val="0089078B"/>
    <w:rsid w:val="0089318A"/>
    <w:rsid w:val="008949E0"/>
    <w:rsid w:val="00896D00"/>
    <w:rsid w:val="008A20E5"/>
    <w:rsid w:val="008A21FF"/>
    <w:rsid w:val="008A508A"/>
    <w:rsid w:val="008A6D24"/>
    <w:rsid w:val="008A7A5A"/>
    <w:rsid w:val="008B0DEB"/>
    <w:rsid w:val="008B17EC"/>
    <w:rsid w:val="008B20F8"/>
    <w:rsid w:val="008B2824"/>
    <w:rsid w:val="008B30A2"/>
    <w:rsid w:val="008B5EAA"/>
    <w:rsid w:val="008B671B"/>
    <w:rsid w:val="008C4662"/>
    <w:rsid w:val="008C46BB"/>
    <w:rsid w:val="008C7364"/>
    <w:rsid w:val="008D2056"/>
    <w:rsid w:val="008D4A83"/>
    <w:rsid w:val="008D4D1B"/>
    <w:rsid w:val="008D556B"/>
    <w:rsid w:val="008E18C6"/>
    <w:rsid w:val="008E1A71"/>
    <w:rsid w:val="008E2407"/>
    <w:rsid w:val="008E468A"/>
    <w:rsid w:val="008E490D"/>
    <w:rsid w:val="008E77FE"/>
    <w:rsid w:val="008F2AEE"/>
    <w:rsid w:val="008F5A41"/>
    <w:rsid w:val="008F5C9F"/>
    <w:rsid w:val="008F6B74"/>
    <w:rsid w:val="008F7D60"/>
    <w:rsid w:val="00900C04"/>
    <w:rsid w:val="0090168B"/>
    <w:rsid w:val="009028FE"/>
    <w:rsid w:val="0090595C"/>
    <w:rsid w:val="00910423"/>
    <w:rsid w:val="00912A16"/>
    <w:rsid w:val="0091305B"/>
    <w:rsid w:val="009139B7"/>
    <w:rsid w:val="00914138"/>
    <w:rsid w:val="00917134"/>
    <w:rsid w:val="009217B3"/>
    <w:rsid w:val="009225FA"/>
    <w:rsid w:val="00930344"/>
    <w:rsid w:val="00933663"/>
    <w:rsid w:val="00935B33"/>
    <w:rsid w:val="00937C85"/>
    <w:rsid w:val="00940CE6"/>
    <w:rsid w:val="009430AC"/>
    <w:rsid w:val="00944729"/>
    <w:rsid w:val="009464C4"/>
    <w:rsid w:val="0095130A"/>
    <w:rsid w:val="00951B5F"/>
    <w:rsid w:val="00955904"/>
    <w:rsid w:val="00956038"/>
    <w:rsid w:val="00957652"/>
    <w:rsid w:val="009626B9"/>
    <w:rsid w:val="00963CBF"/>
    <w:rsid w:val="00964701"/>
    <w:rsid w:val="00965C0F"/>
    <w:rsid w:val="009664C7"/>
    <w:rsid w:val="00970F90"/>
    <w:rsid w:val="0097510A"/>
    <w:rsid w:val="00975975"/>
    <w:rsid w:val="00975B6D"/>
    <w:rsid w:val="00977088"/>
    <w:rsid w:val="00980506"/>
    <w:rsid w:val="00983031"/>
    <w:rsid w:val="009868DE"/>
    <w:rsid w:val="00987D6F"/>
    <w:rsid w:val="00991C1E"/>
    <w:rsid w:val="0099227E"/>
    <w:rsid w:val="00993EE6"/>
    <w:rsid w:val="00996618"/>
    <w:rsid w:val="009A2C9A"/>
    <w:rsid w:val="009A499A"/>
    <w:rsid w:val="009B3869"/>
    <w:rsid w:val="009B67EF"/>
    <w:rsid w:val="009B6B63"/>
    <w:rsid w:val="009B6B83"/>
    <w:rsid w:val="009B7079"/>
    <w:rsid w:val="009C0554"/>
    <w:rsid w:val="009D0817"/>
    <w:rsid w:val="009D230B"/>
    <w:rsid w:val="009D5D20"/>
    <w:rsid w:val="009E2158"/>
    <w:rsid w:val="009F13A0"/>
    <w:rsid w:val="009F6378"/>
    <w:rsid w:val="009F7B57"/>
    <w:rsid w:val="00A00CD6"/>
    <w:rsid w:val="00A01593"/>
    <w:rsid w:val="00A05B4D"/>
    <w:rsid w:val="00A14164"/>
    <w:rsid w:val="00A20178"/>
    <w:rsid w:val="00A21DC4"/>
    <w:rsid w:val="00A242F3"/>
    <w:rsid w:val="00A25627"/>
    <w:rsid w:val="00A27E1B"/>
    <w:rsid w:val="00A36310"/>
    <w:rsid w:val="00A3696E"/>
    <w:rsid w:val="00A37E8B"/>
    <w:rsid w:val="00A435D2"/>
    <w:rsid w:val="00A46977"/>
    <w:rsid w:val="00A543F6"/>
    <w:rsid w:val="00A54532"/>
    <w:rsid w:val="00A54577"/>
    <w:rsid w:val="00A6304B"/>
    <w:rsid w:val="00A669F3"/>
    <w:rsid w:val="00A74C8C"/>
    <w:rsid w:val="00A75F7B"/>
    <w:rsid w:val="00A7782E"/>
    <w:rsid w:val="00A857A8"/>
    <w:rsid w:val="00A90306"/>
    <w:rsid w:val="00A9346D"/>
    <w:rsid w:val="00A94B90"/>
    <w:rsid w:val="00A9727F"/>
    <w:rsid w:val="00A97875"/>
    <w:rsid w:val="00AA1FE4"/>
    <w:rsid w:val="00AB32DF"/>
    <w:rsid w:val="00AC1BE0"/>
    <w:rsid w:val="00AC2ED1"/>
    <w:rsid w:val="00AC5530"/>
    <w:rsid w:val="00AC5B76"/>
    <w:rsid w:val="00AD1632"/>
    <w:rsid w:val="00AD1FB9"/>
    <w:rsid w:val="00AD33EF"/>
    <w:rsid w:val="00AD460B"/>
    <w:rsid w:val="00AE3CCC"/>
    <w:rsid w:val="00AE6DB3"/>
    <w:rsid w:val="00AE7B41"/>
    <w:rsid w:val="00AF187F"/>
    <w:rsid w:val="00AF2EA7"/>
    <w:rsid w:val="00AF4728"/>
    <w:rsid w:val="00AF4D51"/>
    <w:rsid w:val="00B03044"/>
    <w:rsid w:val="00B030E9"/>
    <w:rsid w:val="00B03F94"/>
    <w:rsid w:val="00B049A2"/>
    <w:rsid w:val="00B10A36"/>
    <w:rsid w:val="00B10A81"/>
    <w:rsid w:val="00B12D29"/>
    <w:rsid w:val="00B1554B"/>
    <w:rsid w:val="00B16436"/>
    <w:rsid w:val="00B207C7"/>
    <w:rsid w:val="00B22987"/>
    <w:rsid w:val="00B25407"/>
    <w:rsid w:val="00B26AC6"/>
    <w:rsid w:val="00B2731A"/>
    <w:rsid w:val="00B277A0"/>
    <w:rsid w:val="00B346AA"/>
    <w:rsid w:val="00B34961"/>
    <w:rsid w:val="00B4112F"/>
    <w:rsid w:val="00B43D98"/>
    <w:rsid w:val="00B46C61"/>
    <w:rsid w:val="00B477F5"/>
    <w:rsid w:val="00B518FC"/>
    <w:rsid w:val="00B54462"/>
    <w:rsid w:val="00B64E72"/>
    <w:rsid w:val="00B70FF3"/>
    <w:rsid w:val="00B74252"/>
    <w:rsid w:val="00B74E4C"/>
    <w:rsid w:val="00B759D1"/>
    <w:rsid w:val="00B76EF7"/>
    <w:rsid w:val="00B770CD"/>
    <w:rsid w:val="00B7712F"/>
    <w:rsid w:val="00B774B5"/>
    <w:rsid w:val="00B842C2"/>
    <w:rsid w:val="00B919AC"/>
    <w:rsid w:val="00B936AF"/>
    <w:rsid w:val="00B95EA8"/>
    <w:rsid w:val="00B97B93"/>
    <w:rsid w:val="00BA38F8"/>
    <w:rsid w:val="00BA45D2"/>
    <w:rsid w:val="00BB445F"/>
    <w:rsid w:val="00BB494A"/>
    <w:rsid w:val="00BB7625"/>
    <w:rsid w:val="00BC0C43"/>
    <w:rsid w:val="00BC1AA9"/>
    <w:rsid w:val="00BC2633"/>
    <w:rsid w:val="00BD4786"/>
    <w:rsid w:val="00BD5CF7"/>
    <w:rsid w:val="00BD7CB1"/>
    <w:rsid w:val="00BE0612"/>
    <w:rsid w:val="00BE138A"/>
    <w:rsid w:val="00BE1D75"/>
    <w:rsid w:val="00BE6B22"/>
    <w:rsid w:val="00BF22D5"/>
    <w:rsid w:val="00BF4BAA"/>
    <w:rsid w:val="00BF7073"/>
    <w:rsid w:val="00C01362"/>
    <w:rsid w:val="00C017E8"/>
    <w:rsid w:val="00C0246D"/>
    <w:rsid w:val="00C02E1C"/>
    <w:rsid w:val="00C04A2E"/>
    <w:rsid w:val="00C135C0"/>
    <w:rsid w:val="00C1728D"/>
    <w:rsid w:val="00C2165C"/>
    <w:rsid w:val="00C21FF8"/>
    <w:rsid w:val="00C2212B"/>
    <w:rsid w:val="00C25EF0"/>
    <w:rsid w:val="00C26306"/>
    <w:rsid w:val="00C26F76"/>
    <w:rsid w:val="00C303FA"/>
    <w:rsid w:val="00C306E5"/>
    <w:rsid w:val="00C37D33"/>
    <w:rsid w:val="00C409BA"/>
    <w:rsid w:val="00C4382F"/>
    <w:rsid w:val="00C469F6"/>
    <w:rsid w:val="00C567F1"/>
    <w:rsid w:val="00C57631"/>
    <w:rsid w:val="00C648B6"/>
    <w:rsid w:val="00C65285"/>
    <w:rsid w:val="00C66156"/>
    <w:rsid w:val="00C67202"/>
    <w:rsid w:val="00C74095"/>
    <w:rsid w:val="00C81ADB"/>
    <w:rsid w:val="00C86A4E"/>
    <w:rsid w:val="00C92274"/>
    <w:rsid w:val="00C96BF9"/>
    <w:rsid w:val="00C96E92"/>
    <w:rsid w:val="00CA36FC"/>
    <w:rsid w:val="00CB5480"/>
    <w:rsid w:val="00CC4BFC"/>
    <w:rsid w:val="00CC5932"/>
    <w:rsid w:val="00CD589E"/>
    <w:rsid w:val="00CE0F46"/>
    <w:rsid w:val="00CE2632"/>
    <w:rsid w:val="00CE4FD4"/>
    <w:rsid w:val="00CF151E"/>
    <w:rsid w:val="00CF4C6A"/>
    <w:rsid w:val="00CF6AA1"/>
    <w:rsid w:val="00D001F4"/>
    <w:rsid w:val="00D01964"/>
    <w:rsid w:val="00D01E47"/>
    <w:rsid w:val="00D07D2E"/>
    <w:rsid w:val="00D10F13"/>
    <w:rsid w:val="00D20D5D"/>
    <w:rsid w:val="00D23B6D"/>
    <w:rsid w:val="00D24182"/>
    <w:rsid w:val="00D32DD1"/>
    <w:rsid w:val="00D3475A"/>
    <w:rsid w:val="00D41DB9"/>
    <w:rsid w:val="00D42274"/>
    <w:rsid w:val="00D43C59"/>
    <w:rsid w:val="00D442B5"/>
    <w:rsid w:val="00D45BDB"/>
    <w:rsid w:val="00D45FB0"/>
    <w:rsid w:val="00D46A2F"/>
    <w:rsid w:val="00D516EA"/>
    <w:rsid w:val="00D545BF"/>
    <w:rsid w:val="00D8375F"/>
    <w:rsid w:val="00D849F4"/>
    <w:rsid w:val="00D91752"/>
    <w:rsid w:val="00D9682B"/>
    <w:rsid w:val="00DA0C3A"/>
    <w:rsid w:val="00DA7299"/>
    <w:rsid w:val="00DB019B"/>
    <w:rsid w:val="00DB1744"/>
    <w:rsid w:val="00DB2D53"/>
    <w:rsid w:val="00DB45C4"/>
    <w:rsid w:val="00DB4EA6"/>
    <w:rsid w:val="00DB67B0"/>
    <w:rsid w:val="00DC0980"/>
    <w:rsid w:val="00DD01EF"/>
    <w:rsid w:val="00DD0A06"/>
    <w:rsid w:val="00DD1AC2"/>
    <w:rsid w:val="00DD1BE6"/>
    <w:rsid w:val="00DD4A7F"/>
    <w:rsid w:val="00DD5D7B"/>
    <w:rsid w:val="00DD6B7E"/>
    <w:rsid w:val="00DD74AB"/>
    <w:rsid w:val="00DE7FB7"/>
    <w:rsid w:val="00DF34C1"/>
    <w:rsid w:val="00DF40E0"/>
    <w:rsid w:val="00DF5ECE"/>
    <w:rsid w:val="00E00CD3"/>
    <w:rsid w:val="00E01F28"/>
    <w:rsid w:val="00E02534"/>
    <w:rsid w:val="00E05A88"/>
    <w:rsid w:val="00E108E2"/>
    <w:rsid w:val="00E13794"/>
    <w:rsid w:val="00E15A0A"/>
    <w:rsid w:val="00E21022"/>
    <w:rsid w:val="00E21120"/>
    <w:rsid w:val="00E32BA8"/>
    <w:rsid w:val="00E341AD"/>
    <w:rsid w:val="00E37B66"/>
    <w:rsid w:val="00E42B08"/>
    <w:rsid w:val="00E4546B"/>
    <w:rsid w:val="00E602F8"/>
    <w:rsid w:val="00E6031E"/>
    <w:rsid w:val="00E60C48"/>
    <w:rsid w:val="00E63C5C"/>
    <w:rsid w:val="00E67CC1"/>
    <w:rsid w:val="00E72FD6"/>
    <w:rsid w:val="00E81242"/>
    <w:rsid w:val="00E8150D"/>
    <w:rsid w:val="00E8253B"/>
    <w:rsid w:val="00E91AFF"/>
    <w:rsid w:val="00E94E9E"/>
    <w:rsid w:val="00E9699C"/>
    <w:rsid w:val="00EA07E4"/>
    <w:rsid w:val="00EA0AA0"/>
    <w:rsid w:val="00EA3FFB"/>
    <w:rsid w:val="00EA5260"/>
    <w:rsid w:val="00EA7B42"/>
    <w:rsid w:val="00EA7E5B"/>
    <w:rsid w:val="00EB07AE"/>
    <w:rsid w:val="00EB11BB"/>
    <w:rsid w:val="00EB5AFB"/>
    <w:rsid w:val="00EC1313"/>
    <w:rsid w:val="00EC4F55"/>
    <w:rsid w:val="00ED260A"/>
    <w:rsid w:val="00ED57C9"/>
    <w:rsid w:val="00ED5988"/>
    <w:rsid w:val="00ED61CD"/>
    <w:rsid w:val="00EE1447"/>
    <w:rsid w:val="00EE6232"/>
    <w:rsid w:val="00EF1243"/>
    <w:rsid w:val="00EF12E1"/>
    <w:rsid w:val="00EF7BAC"/>
    <w:rsid w:val="00F03F72"/>
    <w:rsid w:val="00F07267"/>
    <w:rsid w:val="00F07EDF"/>
    <w:rsid w:val="00F10099"/>
    <w:rsid w:val="00F10B5F"/>
    <w:rsid w:val="00F14D6C"/>
    <w:rsid w:val="00F16239"/>
    <w:rsid w:val="00F1671D"/>
    <w:rsid w:val="00F2056D"/>
    <w:rsid w:val="00F21A00"/>
    <w:rsid w:val="00F22021"/>
    <w:rsid w:val="00F26097"/>
    <w:rsid w:val="00F2634C"/>
    <w:rsid w:val="00F36ADD"/>
    <w:rsid w:val="00F43849"/>
    <w:rsid w:val="00F47AD7"/>
    <w:rsid w:val="00F51CA5"/>
    <w:rsid w:val="00F52DD8"/>
    <w:rsid w:val="00F55F80"/>
    <w:rsid w:val="00F608BB"/>
    <w:rsid w:val="00F62993"/>
    <w:rsid w:val="00F66465"/>
    <w:rsid w:val="00F80837"/>
    <w:rsid w:val="00F80943"/>
    <w:rsid w:val="00F83543"/>
    <w:rsid w:val="00F85A0B"/>
    <w:rsid w:val="00F85A57"/>
    <w:rsid w:val="00F87DAF"/>
    <w:rsid w:val="00F9335B"/>
    <w:rsid w:val="00F95671"/>
    <w:rsid w:val="00F97AFA"/>
    <w:rsid w:val="00FA42A0"/>
    <w:rsid w:val="00FA55D2"/>
    <w:rsid w:val="00FA648A"/>
    <w:rsid w:val="00FA6D97"/>
    <w:rsid w:val="00FA75A0"/>
    <w:rsid w:val="00FA75CD"/>
    <w:rsid w:val="00FB0C02"/>
    <w:rsid w:val="00FB28F8"/>
    <w:rsid w:val="00FB43AF"/>
    <w:rsid w:val="00FB7A2C"/>
    <w:rsid w:val="00FB7AB1"/>
    <w:rsid w:val="00FC19D0"/>
    <w:rsid w:val="00FD0B13"/>
    <w:rsid w:val="00FD17E2"/>
    <w:rsid w:val="00FD1E23"/>
    <w:rsid w:val="00FD2AD1"/>
    <w:rsid w:val="00FD6354"/>
    <w:rsid w:val="00FE00BD"/>
    <w:rsid w:val="00FE1637"/>
    <w:rsid w:val="00FE257E"/>
    <w:rsid w:val="00FE363F"/>
    <w:rsid w:val="00FE3B4B"/>
    <w:rsid w:val="00FE5D65"/>
    <w:rsid w:val="00FE725C"/>
    <w:rsid w:val="00FF1ECB"/>
    <w:rsid w:val="00FF2A0A"/>
    <w:rsid w:val="00FF31DB"/>
    <w:rsid w:val="00FF5627"/>
    <w:rsid w:val="00FF5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D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9B7"/>
    <w:pPr>
      <w:spacing w:after="120" w:line="240" w:lineRule="auto"/>
    </w:pPr>
    <w:rPr>
      <w:rFonts w:ascii="Segoe UI" w:hAnsi="Segoe UI" w:cs="Segoe UI"/>
      <w:sz w:val="22"/>
      <w:szCs w:val="22"/>
    </w:rPr>
  </w:style>
  <w:style w:type="paragraph" w:styleId="Heading1">
    <w:name w:val="heading 1"/>
    <w:basedOn w:val="Normal"/>
    <w:next w:val="Normal"/>
    <w:link w:val="Heading1Char"/>
    <w:uiPriority w:val="9"/>
    <w:qFormat/>
    <w:rsid w:val="00EA0AA0"/>
    <w:pPr>
      <w:spacing w:before="240"/>
      <w:outlineLvl w:val="0"/>
    </w:pPr>
    <w:rPr>
      <w:b/>
      <w:bCs/>
      <w:color w:val="0070C0"/>
      <w:sz w:val="32"/>
      <w:szCs w:val="32"/>
    </w:rPr>
  </w:style>
  <w:style w:type="paragraph" w:styleId="Heading2">
    <w:name w:val="heading 2"/>
    <w:basedOn w:val="Normal"/>
    <w:next w:val="Normal"/>
    <w:link w:val="Heading2Char"/>
    <w:uiPriority w:val="9"/>
    <w:unhideWhenUsed/>
    <w:qFormat/>
    <w:rsid w:val="00BC0C43"/>
    <w:pPr>
      <w:spacing w:before="240" w:after="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3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582377"/>
    <w:pPr>
      <w:spacing w:after="160"/>
      <w:contextualSpacing/>
    </w:pPr>
    <w:rPr>
      <w:bCs/>
      <w:sz w:val="21"/>
      <w:szCs w:val="21"/>
    </w:rPr>
  </w:style>
  <w:style w:type="character" w:customStyle="1" w:styleId="TickboxesChar">
    <w:name w:val="Tick boxes Char"/>
    <w:basedOn w:val="DefaultParagraphFont"/>
    <w:link w:val="Tickboxes"/>
    <w:rsid w:val="00582377"/>
    <w:rPr>
      <w:rFonts w:ascii="Segoe UI" w:hAnsi="Segoe UI" w:cs="Segoe UI"/>
      <w:bCs/>
      <w:sz w:val="21"/>
      <w:szCs w:val="21"/>
    </w:rPr>
  </w:style>
  <w:style w:type="paragraph" w:styleId="NormalWeb">
    <w:name w:val="Normal (Web)"/>
    <w:basedOn w:val="Normal"/>
    <w:uiPriority w:val="99"/>
    <w:semiHidden/>
    <w:unhideWhenUsed/>
    <w:rsid w:val="000627EF"/>
    <w:pPr>
      <w:spacing w:before="100" w:beforeAutospacing="1" w:after="100" w:afterAutospacing="1"/>
    </w:pPr>
    <w:rPr>
      <w:rFonts w:eastAsia="Times New Roman"/>
      <w:lang w:eastAsia="en-AU"/>
    </w:rPr>
  </w:style>
  <w:style w:type="character" w:styleId="CommentReference">
    <w:name w:val="annotation reference"/>
    <w:basedOn w:val="DefaultParagraphFont"/>
    <w:uiPriority w:val="99"/>
    <w:semiHidden/>
    <w:unhideWhenUsed/>
    <w:rsid w:val="005D23BC"/>
    <w:rPr>
      <w:sz w:val="16"/>
      <w:szCs w:val="16"/>
    </w:rPr>
  </w:style>
  <w:style w:type="paragraph" w:styleId="CommentText">
    <w:name w:val="annotation text"/>
    <w:basedOn w:val="Normal"/>
    <w:link w:val="CommentTextChar"/>
    <w:uiPriority w:val="99"/>
    <w:unhideWhenUsed/>
    <w:rsid w:val="005D23BC"/>
    <w:rPr>
      <w:sz w:val="20"/>
      <w:szCs w:val="20"/>
    </w:rPr>
  </w:style>
  <w:style w:type="character" w:customStyle="1" w:styleId="CommentTextChar">
    <w:name w:val="Comment Text Char"/>
    <w:basedOn w:val="DefaultParagraphFont"/>
    <w:link w:val="CommentText"/>
    <w:uiPriority w:val="99"/>
    <w:rsid w:val="005D23BC"/>
    <w:rPr>
      <w:sz w:val="20"/>
      <w:szCs w:val="20"/>
    </w:rPr>
  </w:style>
  <w:style w:type="paragraph" w:styleId="CommentSubject">
    <w:name w:val="annotation subject"/>
    <w:basedOn w:val="CommentText"/>
    <w:next w:val="CommentText"/>
    <w:link w:val="CommentSubjectChar"/>
    <w:uiPriority w:val="99"/>
    <w:semiHidden/>
    <w:unhideWhenUsed/>
    <w:rsid w:val="005D23BC"/>
    <w:rPr>
      <w:b/>
      <w:bCs/>
    </w:rPr>
  </w:style>
  <w:style w:type="character" w:customStyle="1" w:styleId="CommentSubjectChar">
    <w:name w:val="Comment Subject Char"/>
    <w:basedOn w:val="CommentTextChar"/>
    <w:link w:val="CommentSubject"/>
    <w:uiPriority w:val="99"/>
    <w:semiHidden/>
    <w:rsid w:val="005D23BC"/>
    <w:rPr>
      <w:b/>
      <w:bCs/>
      <w:sz w:val="20"/>
      <w:szCs w:val="20"/>
    </w:rPr>
  </w:style>
  <w:style w:type="character" w:customStyle="1" w:styleId="Heading2Char">
    <w:name w:val="Heading 2 Char"/>
    <w:basedOn w:val="DefaultParagraphFont"/>
    <w:link w:val="Heading2"/>
    <w:uiPriority w:val="9"/>
    <w:rsid w:val="00BC0C43"/>
    <w:rPr>
      <w:rFonts w:ascii="Segoe UI" w:hAnsi="Segoe UI" w:cs="Segoe UI"/>
      <w:b/>
      <w:bCs/>
      <w:sz w:val="22"/>
      <w:szCs w:val="22"/>
    </w:rPr>
  </w:style>
  <w:style w:type="character" w:customStyle="1" w:styleId="Heading1Char">
    <w:name w:val="Heading 1 Char"/>
    <w:basedOn w:val="DefaultParagraphFont"/>
    <w:link w:val="Heading1"/>
    <w:uiPriority w:val="9"/>
    <w:rsid w:val="00EA0AA0"/>
    <w:rPr>
      <w:rFonts w:ascii="Segoe UI" w:hAnsi="Segoe UI" w:cs="Segoe UI"/>
      <w:b/>
      <w:bCs/>
      <w:color w:val="0070C0"/>
      <w:sz w:val="32"/>
      <w:szCs w:val="32"/>
    </w:rPr>
  </w:style>
  <w:style w:type="paragraph" w:customStyle="1" w:styleId="Instructions">
    <w:name w:val="Instructions"/>
    <w:basedOn w:val="Heading2"/>
    <w:link w:val="InstructionsChar"/>
    <w:qFormat/>
    <w:rsid w:val="00361BBE"/>
    <w:pPr>
      <w:spacing w:before="120" w:after="120"/>
    </w:pPr>
    <w:rPr>
      <w:b w:val="0"/>
      <w:bCs w:val="0"/>
    </w:rPr>
  </w:style>
  <w:style w:type="character" w:customStyle="1" w:styleId="InstructionsChar">
    <w:name w:val="Instructions Char"/>
    <w:basedOn w:val="Heading2Char"/>
    <w:link w:val="Instructions"/>
    <w:rsid w:val="00361BBE"/>
    <w:rPr>
      <w:rFonts w:ascii="Segoe UI" w:hAnsi="Segoe UI" w:cs="Segoe UI"/>
      <w:b w:val="0"/>
      <w:bCs w:val="0"/>
      <w:sz w:val="22"/>
      <w:szCs w:val="22"/>
    </w:rPr>
  </w:style>
  <w:style w:type="paragraph" w:styleId="ListParagraph">
    <w:name w:val="List Paragraph"/>
    <w:basedOn w:val="Normal"/>
    <w:uiPriority w:val="34"/>
    <w:qFormat/>
    <w:rsid w:val="002948A1"/>
    <w:pPr>
      <w:ind w:left="720"/>
      <w:contextualSpacing/>
    </w:pPr>
  </w:style>
  <w:style w:type="character" w:styleId="Hyperlink">
    <w:name w:val="Hyperlink"/>
    <w:basedOn w:val="DefaultParagraphFont"/>
    <w:uiPriority w:val="99"/>
    <w:unhideWhenUsed/>
    <w:rsid w:val="00473BA9"/>
    <w:rPr>
      <w:color w:val="0563C1" w:themeColor="hyperlink"/>
      <w:u w:val="single"/>
    </w:rPr>
  </w:style>
  <w:style w:type="character" w:styleId="UnresolvedMention">
    <w:name w:val="Unresolved Mention"/>
    <w:basedOn w:val="DefaultParagraphFont"/>
    <w:uiPriority w:val="99"/>
    <w:semiHidden/>
    <w:unhideWhenUsed/>
    <w:rsid w:val="00473BA9"/>
    <w:rPr>
      <w:color w:val="605E5C"/>
      <w:shd w:val="clear" w:color="auto" w:fill="E1DFDD"/>
    </w:rPr>
  </w:style>
  <w:style w:type="paragraph" w:styleId="Revision">
    <w:name w:val="Revision"/>
    <w:hidden/>
    <w:uiPriority w:val="99"/>
    <w:semiHidden/>
    <w:rsid w:val="00A90306"/>
    <w:pPr>
      <w:spacing w:after="0" w:line="240" w:lineRule="auto"/>
    </w:pPr>
    <w:rPr>
      <w:rFonts w:ascii="Segoe UI" w:hAnsi="Segoe UI" w:cs="Segoe UI"/>
      <w:sz w:val="22"/>
      <w:szCs w:val="22"/>
    </w:rPr>
  </w:style>
  <w:style w:type="character" w:styleId="FollowedHyperlink">
    <w:name w:val="FollowedHyperlink"/>
    <w:basedOn w:val="DefaultParagraphFont"/>
    <w:uiPriority w:val="99"/>
    <w:semiHidden/>
    <w:unhideWhenUsed/>
    <w:rsid w:val="004845DD"/>
    <w:rPr>
      <w:color w:val="954F72" w:themeColor="followedHyperlink"/>
      <w:u w:val="single"/>
    </w:rPr>
  </w:style>
  <w:style w:type="character" w:customStyle="1" w:styleId="cf01">
    <w:name w:val="cf01"/>
    <w:basedOn w:val="DefaultParagraphFont"/>
    <w:rsid w:val="00095BB0"/>
    <w:rPr>
      <w:rFonts w:ascii="Segoe UI" w:hAnsi="Segoe UI" w:cs="Segoe UI" w:hint="default"/>
      <w:sz w:val="18"/>
      <w:szCs w:val="18"/>
    </w:rPr>
  </w:style>
  <w:style w:type="paragraph" w:styleId="Caption">
    <w:name w:val="caption"/>
    <w:basedOn w:val="Normal"/>
    <w:next w:val="Normal"/>
    <w:uiPriority w:val="35"/>
    <w:unhideWhenUsed/>
    <w:qFormat/>
    <w:rsid w:val="008B0DEB"/>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756680781">
      <w:bodyDiv w:val="1"/>
      <w:marLeft w:val="0"/>
      <w:marRight w:val="0"/>
      <w:marTop w:val="0"/>
      <w:marBottom w:val="0"/>
      <w:divBdr>
        <w:top w:val="none" w:sz="0" w:space="0" w:color="auto"/>
        <w:left w:val="none" w:sz="0" w:space="0" w:color="auto"/>
        <w:bottom w:val="none" w:sz="0" w:space="0" w:color="auto"/>
        <w:right w:val="none" w:sz="0" w:space="0" w:color="auto"/>
      </w:divBdr>
    </w:div>
    <w:div w:id="800998299">
      <w:bodyDiv w:val="1"/>
      <w:marLeft w:val="0"/>
      <w:marRight w:val="0"/>
      <w:marTop w:val="0"/>
      <w:marBottom w:val="0"/>
      <w:divBdr>
        <w:top w:val="none" w:sz="0" w:space="0" w:color="auto"/>
        <w:left w:val="none" w:sz="0" w:space="0" w:color="auto"/>
        <w:bottom w:val="none" w:sz="0" w:space="0" w:color="auto"/>
        <w:right w:val="none" w:sz="0" w:space="0" w:color="auto"/>
      </w:divBdr>
    </w:div>
    <w:div w:id="823353824">
      <w:bodyDiv w:val="1"/>
      <w:marLeft w:val="0"/>
      <w:marRight w:val="0"/>
      <w:marTop w:val="0"/>
      <w:marBottom w:val="0"/>
      <w:divBdr>
        <w:top w:val="none" w:sz="0" w:space="0" w:color="auto"/>
        <w:left w:val="none" w:sz="0" w:space="0" w:color="auto"/>
        <w:bottom w:val="none" w:sz="0" w:space="0" w:color="auto"/>
        <w:right w:val="none" w:sz="0" w:space="0" w:color="auto"/>
      </w:divBdr>
    </w:div>
    <w:div w:id="963389067">
      <w:bodyDiv w:val="1"/>
      <w:marLeft w:val="0"/>
      <w:marRight w:val="0"/>
      <w:marTop w:val="0"/>
      <w:marBottom w:val="0"/>
      <w:divBdr>
        <w:top w:val="none" w:sz="0" w:space="0" w:color="auto"/>
        <w:left w:val="none" w:sz="0" w:space="0" w:color="auto"/>
        <w:bottom w:val="none" w:sz="0" w:space="0" w:color="auto"/>
        <w:right w:val="none" w:sz="0" w:space="0" w:color="auto"/>
      </w:divBdr>
    </w:div>
    <w:div w:id="971133972">
      <w:bodyDiv w:val="1"/>
      <w:marLeft w:val="0"/>
      <w:marRight w:val="0"/>
      <w:marTop w:val="0"/>
      <w:marBottom w:val="0"/>
      <w:divBdr>
        <w:top w:val="none" w:sz="0" w:space="0" w:color="auto"/>
        <w:left w:val="none" w:sz="0" w:space="0" w:color="auto"/>
        <w:bottom w:val="none" w:sz="0" w:space="0" w:color="auto"/>
        <w:right w:val="none" w:sz="0" w:space="0" w:color="auto"/>
      </w:divBdr>
      <w:divsChild>
        <w:div w:id="767196080">
          <w:marLeft w:val="0"/>
          <w:marRight w:val="0"/>
          <w:marTop w:val="0"/>
          <w:marBottom w:val="0"/>
          <w:divBdr>
            <w:top w:val="none" w:sz="0" w:space="0" w:color="auto"/>
            <w:left w:val="none" w:sz="0" w:space="0" w:color="auto"/>
            <w:bottom w:val="none" w:sz="0" w:space="0" w:color="auto"/>
            <w:right w:val="none" w:sz="0" w:space="0" w:color="auto"/>
          </w:divBdr>
        </w:div>
      </w:divsChild>
    </w:div>
    <w:div w:id="1113597673">
      <w:bodyDiv w:val="1"/>
      <w:marLeft w:val="0"/>
      <w:marRight w:val="0"/>
      <w:marTop w:val="0"/>
      <w:marBottom w:val="0"/>
      <w:divBdr>
        <w:top w:val="none" w:sz="0" w:space="0" w:color="auto"/>
        <w:left w:val="none" w:sz="0" w:space="0" w:color="auto"/>
        <w:bottom w:val="none" w:sz="0" w:space="0" w:color="auto"/>
        <w:right w:val="none" w:sz="0" w:space="0" w:color="auto"/>
      </w:divBdr>
    </w:div>
    <w:div w:id="1566408500">
      <w:bodyDiv w:val="1"/>
      <w:marLeft w:val="0"/>
      <w:marRight w:val="0"/>
      <w:marTop w:val="0"/>
      <w:marBottom w:val="0"/>
      <w:divBdr>
        <w:top w:val="none" w:sz="0" w:space="0" w:color="auto"/>
        <w:left w:val="none" w:sz="0" w:space="0" w:color="auto"/>
        <w:bottom w:val="none" w:sz="0" w:space="0" w:color="auto"/>
        <w:right w:val="none" w:sz="0" w:space="0" w:color="auto"/>
      </w:divBdr>
    </w:div>
    <w:div w:id="1600942625">
      <w:bodyDiv w:val="1"/>
      <w:marLeft w:val="0"/>
      <w:marRight w:val="0"/>
      <w:marTop w:val="0"/>
      <w:marBottom w:val="0"/>
      <w:divBdr>
        <w:top w:val="none" w:sz="0" w:space="0" w:color="auto"/>
        <w:left w:val="none" w:sz="0" w:space="0" w:color="auto"/>
        <w:bottom w:val="none" w:sz="0" w:space="0" w:color="auto"/>
        <w:right w:val="none" w:sz="0" w:space="0" w:color="auto"/>
      </w:divBdr>
      <w:divsChild>
        <w:div w:id="1680160347">
          <w:marLeft w:val="0"/>
          <w:marRight w:val="0"/>
          <w:marTop w:val="0"/>
          <w:marBottom w:val="0"/>
          <w:divBdr>
            <w:top w:val="none" w:sz="0" w:space="0" w:color="auto"/>
            <w:left w:val="none" w:sz="0" w:space="0" w:color="auto"/>
            <w:bottom w:val="none" w:sz="0" w:space="0" w:color="auto"/>
            <w:right w:val="none" w:sz="0" w:space="0" w:color="auto"/>
          </w:divBdr>
        </w:div>
      </w:divsChild>
    </w:div>
    <w:div w:id="1604267208">
      <w:bodyDiv w:val="1"/>
      <w:marLeft w:val="0"/>
      <w:marRight w:val="0"/>
      <w:marTop w:val="0"/>
      <w:marBottom w:val="0"/>
      <w:divBdr>
        <w:top w:val="none" w:sz="0" w:space="0" w:color="auto"/>
        <w:left w:val="none" w:sz="0" w:space="0" w:color="auto"/>
        <w:bottom w:val="none" w:sz="0" w:space="0" w:color="auto"/>
        <w:right w:val="none" w:sz="0" w:space="0" w:color="auto"/>
      </w:divBdr>
    </w:div>
    <w:div w:id="1749233494">
      <w:bodyDiv w:val="1"/>
      <w:marLeft w:val="0"/>
      <w:marRight w:val="0"/>
      <w:marTop w:val="0"/>
      <w:marBottom w:val="0"/>
      <w:divBdr>
        <w:top w:val="none" w:sz="0" w:space="0" w:color="auto"/>
        <w:left w:val="none" w:sz="0" w:space="0" w:color="auto"/>
        <w:bottom w:val="none" w:sz="0" w:space="0" w:color="auto"/>
        <w:right w:val="none" w:sz="0" w:space="0" w:color="auto"/>
      </w:divBdr>
    </w:div>
    <w:div w:id="1906794943">
      <w:bodyDiv w:val="1"/>
      <w:marLeft w:val="0"/>
      <w:marRight w:val="0"/>
      <w:marTop w:val="0"/>
      <w:marBottom w:val="0"/>
      <w:divBdr>
        <w:top w:val="none" w:sz="0" w:space="0" w:color="auto"/>
        <w:left w:val="none" w:sz="0" w:space="0" w:color="auto"/>
        <w:bottom w:val="none" w:sz="0" w:space="0" w:color="auto"/>
        <w:right w:val="none" w:sz="0" w:space="0" w:color="auto"/>
      </w:divBdr>
    </w:div>
    <w:div w:id="1925646378">
      <w:bodyDiv w:val="1"/>
      <w:marLeft w:val="0"/>
      <w:marRight w:val="0"/>
      <w:marTop w:val="0"/>
      <w:marBottom w:val="0"/>
      <w:divBdr>
        <w:top w:val="none" w:sz="0" w:space="0" w:color="auto"/>
        <w:left w:val="none" w:sz="0" w:space="0" w:color="auto"/>
        <w:bottom w:val="none" w:sz="0" w:space="0" w:color="auto"/>
        <w:right w:val="none" w:sz="0" w:space="0" w:color="auto"/>
      </w:divBdr>
    </w:div>
    <w:div w:id="2112893017">
      <w:bodyDiv w:val="1"/>
      <w:marLeft w:val="0"/>
      <w:marRight w:val="0"/>
      <w:marTop w:val="0"/>
      <w:marBottom w:val="0"/>
      <w:divBdr>
        <w:top w:val="none" w:sz="0" w:space="0" w:color="auto"/>
        <w:left w:val="none" w:sz="0" w:space="0" w:color="auto"/>
        <w:bottom w:val="none" w:sz="0" w:space="0" w:color="auto"/>
        <w:right w:val="none" w:sz="0" w:space="0" w:color="auto"/>
      </w:divBdr>
    </w:div>
    <w:div w:id="2124836156">
      <w:bodyDiv w:val="1"/>
      <w:marLeft w:val="0"/>
      <w:marRight w:val="0"/>
      <w:marTop w:val="0"/>
      <w:marBottom w:val="0"/>
      <w:divBdr>
        <w:top w:val="none" w:sz="0" w:space="0" w:color="auto"/>
        <w:left w:val="none" w:sz="0" w:space="0" w:color="auto"/>
        <w:bottom w:val="none" w:sz="0" w:space="0" w:color="auto"/>
        <w:right w:val="none" w:sz="0" w:space="0" w:color="auto"/>
      </w:divBdr>
      <w:divsChild>
        <w:div w:id="1696924446">
          <w:marLeft w:val="0"/>
          <w:marRight w:val="0"/>
          <w:marTop w:val="0"/>
          <w:marBottom w:val="0"/>
          <w:divBdr>
            <w:top w:val="none" w:sz="0" w:space="0" w:color="auto"/>
            <w:left w:val="none" w:sz="0" w:space="0" w:color="auto"/>
            <w:bottom w:val="none" w:sz="0" w:space="0" w:color="auto"/>
            <w:right w:val="none" w:sz="0" w:space="0" w:color="auto"/>
          </w:divBdr>
        </w:div>
        <w:div w:id="372657767">
          <w:marLeft w:val="0"/>
          <w:marRight w:val="0"/>
          <w:marTop w:val="0"/>
          <w:marBottom w:val="0"/>
          <w:divBdr>
            <w:top w:val="none" w:sz="0" w:space="0" w:color="auto"/>
            <w:left w:val="none" w:sz="0" w:space="0" w:color="auto"/>
            <w:bottom w:val="none" w:sz="0" w:space="0" w:color="auto"/>
            <w:right w:val="none" w:sz="0" w:space="0" w:color="auto"/>
          </w:divBdr>
        </w:div>
        <w:div w:id="1433747427">
          <w:marLeft w:val="0"/>
          <w:marRight w:val="0"/>
          <w:marTop w:val="0"/>
          <w:marBottom w:val="0"/>
          <w:divBdr>
            <w:top w:val="none" w:sz="0" w:space="0" w:color="auto"/>
            <w:left w:val="none" w:sz="0" w:space="0" w:color="auto"/>
            <w:bottom w:val="none" w:sz="0" w:space="0" w:color="auto"/>
            <w:right w:val="none" w:sz="0" w:space="0" w:color="auto"/>
          </w:divBdr>
        </w:div>
      </w:divsChild>
    </w:div>
    <w:div w:id="2130781273">
      <w:bodyDiv w:val="1"/>
      <w:marLeft w:val="0"/>
      <w:marRight w:val="0"/>
      <w:marTop w:val="0"/>
      <w:marBottom w:val="0"/>
      <w:divBdr>
        <w:top w:val="none" w:sz="0" w:space="0" w:color="auto"/>
        <w:left w:val="none" w:sz="0" w:space="0" w:color="auto"/>
        <w:bottom w:val="none" w:sz="0" w:space="0" w:color="auto"/>
        <w:right w:val="none" w:sz="0" w:space="0" w:color="auto"/>
      </w:divBdr>
    </w:div>
    <w:div w:id="213301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dpi.com/2039-4349/14/4/61" TargetMode="External"/><Relationship Id="rId18" Type="http://schemas.openxmlformats.org/officeDocument/2006/relationships/hyperlink" Target="https://doi.org/10.1097/moo.0b013e32833d11d9" TargetMode="External"/><Relationship Id="rId26" Type="http://schemas.openxmlformats.org/officeDocument/2006/relationships/hyperlink" Target="https://doi.org/10.1016/j.heares.2015.07.014" TargetMode="External"/><Relationship Id="rId3" Type="http://schemas.openxmlformats.org/officeDocument/2006/relationships/styles" Target="styles.xml"/><Relationship Id="rId21" Type="http://schemas.openxmlformats.org/officeDocument/2006/relationships/hyperlink" Target="http://vizhub.healthdata.org/epi/" TargetMode="External"/><Relationship Id="rId7" Type="http://schemas.openxmlformats.org/officeDocument/2006/relationships/endnotes" Target="endnotes.xml"/><Relationship Id="rId12" Type="http://schemas.openxmlformats.org/officeDocument/2006/relationships/hyperlink" Target="https://www.tandfonline.com/doi/full/10.1080/14670100.2023.2267900" TargetMode="External"/><Relationship Id="rId17" Type="http://schemas.openxmlformats.org/officeDocument/2006/relationships/hyperlink" Target="https://doi.org/10.1016/s0165-5876(97)00147-x" TargetMode="External"/><Relationship Id="rId25" Type="http://schemas.openxmlformats.org/officeDocument/2006/relationships/hyperlink" Target="https://doi.org/10.1111/coa.14191" TargetMode="External"/><Relationship Id="rId2" Type="http://schemas.openxmlformats.org/officeDocument/2006/relationships/numbering" Target="numbering.xml"/><Relationship Id="rId16" Type="http://schemas.openxmlformats.org/officeDocument/2006/relationships/hyperlink" Target="https://doi.org/10.1044/2015_aja-15-0021" TargetMode="External"/><Relationship Id="rId20" Type="http://schemas.openxmlformats.org/officeDocument/2006/relationships/hyperlink" Target="https://doi.org/10.1097/AUD.0000000000000853" TargetMode="External"/><Relationship Id="rId29" Type="http://schemas.openxmlformats.org/officeDocument/2006/relationships/hyperlink" Target="https://doi.org/10.1080/14670100.2023.22679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oi.org/10.1371/journal.pone.0036226"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nk.springer.com/article/10.1007/s00405-024-08629-6" TargetMode="External"/><Relationship Id="rId23" Type="http://schemas.openxmlformats.org/officeDocument/2006/relationships/hyperlink" Target="https://doi.org/10.1155/2015/854024" TargetMode="External"/><Relationship Id="rId28" Type="http://schemas.openxmlformats.org/officeDocument/2006/relationships/hyperlink" Target="https://doi.org/10.1016/j.nic.2009.06.010" TargetMode="External"/><Relationship Id="rId10" Type="http://schemas.openxmlformats.org/officeDocument/2006/relationships/image" Target="media/image3.png"/><Relationship Id="rId19" Type="http://schemas.openxmlformats.org/officeDocument/2006/relationships/hyperlink" Target="https://doi.org/10.1016/j.ijporl.2016.03.03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ink.springer.com/article/10.1007/s00405-024-08889-2" TargetMode="External"/><Relationship Id="rId22" Type="http://schemas.openxmlformats.org/officeDocument/2006/relationships/hyperlink" Target="https://doi.org/10.1016/s0264-410x(00)00271-1" TargetMode="External"/><Relationship Id="rId27" Type="http://schemas.openxmlformats.org/officeDocument/2006/relationships/hyperlink" Target="https://doi.org/10.1038/nrdp.2016.63" TargetMode="External"/><Relationship Id="rId30" Type="http://schemas.openxmlformats.org/officeDocument/2006/relationships/hyperlink" Target="https://apps.who.int/iris/handle/10665/429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894E7-6978-467B-8840-11305A50B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6201</Words>
  <Characters>35346</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2025-05-29T02:14:00Z</dcterms:created>
  <dcterms:modified xsi:type="dcterms:W3CDTF">2025-05-29T02:14:00Z</dcterms:modified>
</cp:coreProperties>
</file>